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654" w:rsidRDefault="005E5654" w:rsidP="00B3060D">
      <w:pPr>
        <w:pStyle w:val="ECHRDecisionBody"/>
        <w:jc w:val="center"/>
      </w:pPr>
      <w:bookmarkStart w:id="0" w:name="To"/>
      <w:bookmarkStart w:id="1" w:name="_GoBack"/>
      <w:bookmarkEnd w:id="1"/>
    </w:p>
    <w:p w:rsidR="00D707DF" w:rsidRPr="00990D53" w:rsidRDefault="00D707DF" w:rsidP="00B3060D">
      <w:pPr>
        <w:pStyle w:val="ECHRDecisionBody"/>
        <w:jc w:val="center"/>
      </w:pPr>
    </w:p>
    <w:p w:rsidR="005E5654" w:rsidRPr="00990D53" w:rsidRDefault="005E5654" w:rsidP="00B3060D">
      <w:pPr>
        <w:pStyle w:val="ECHRDecisionBody"/>
        <w:jc w:val="center"/>
      </w:pPr>
    </w:p>
    <w:p w:rsidR="007A582D" w:rsidRPr="00990D53" w:rsidRDefault="00236DF5" w:rsidP="00B3060D">
      <w:pPr>
        <w:pStyle w:val="ECHRDecisionBody"/>
        <w:jc w:val="center"/>
      </w:pPr>
      <w:r w:rsidRPr="00990D53">
        <w:t>EUROPEJSKI TRYBUNAŁ PRAW CZŁOWIEKA</w:t>
      </w:r>
    </w:p>
    <w:p w:rsidR="00236DF5" w:rsidRPr="00990D53" w:rsidRDefault="00236DF5" w:rsidP="00B3060D">
      <w:pPr>
        <w:pStyle w:val="ECHRDecisionBody"/>
        <w:jc w:val="center"/>
      </w:pPr>
    </w:p>
    <w:p w:rsidR="007A582D" w:rsidRPr="00990D53" w:rsidRDefault="00970952" w:rsidP="00B3060D">
      <w:pPr>
        <w:jc w:val="center"/>
      </w:pPr>
      <w:r w:rsidRPr="00990D53">
        <w:t>SEKCJA PIĄTA</w:t>
      </w:r>
    </w:p>
    <w:p w:rsidR="007A582D" w:rsidRPr="00990D53" w:rsidRDefault="007A582D" w:rsidP="00B3060D">
      <w:pPr>
        <w:jc w:val="center"/>
      </w:pPr>
    </w:p>
    <w:p w:rsidR="007A582D" w:rsidRPr="00990D53" w:rsidRDefault="007A582D" w:rsidP="00B3060D">
      <w:pPr>
        <w:jc w:val="center"/>
      </w:pPr>
    </w:p>
    <w:p w:rsidR="007A582D" w:rsidRDefault="007A582D" w:rsidP="00B3060D">
      <w:pPr>
        <w:jc w:val="center"/>
      </w:pPr>
    </w:p>
    <w:p w:rsidR="00D707DF" w:rsidRDefault="00D707DF" w:rsidP="00B3060D">
      <w:pPr>
        <w:jc w:val="center"/>
      </w:pPr>
    </w:p>
    <w:p w:rsidR="00D707DF" w:rsidRDefault="00D707DF" w:rsidP="00B3060D">
      <w:pPr>
        <w:jc w:val="center"/>
      </w:pPr>
    </w:p>
    <w:p w:rsidR="00D707DF" w:rsidRPr="00990D53" w:rsidRDefault="00D707DF" w:rsidP="00B3060D">
      <w:pPr>
        <w:jc w:val="center"/>
      </w:pPr>
    </w:p>
    <w:p w:rsidR="00014566" w:rsidRPr="00990D53" w:rsidRDefault="00970952" w:rsidP="00B3060D">
      <w:pPr>
        <w:jc w:val="center"/>
        <w:rPr>
          <w:b/>
        </w:rPr>
      </w:pPr>
      <w:r w:rsidRPr="00990D53">
        <w:rPr>
          <w:b/>
        </w:rPr>
        <w:t>SPRAWA</w:t>
      </w:r>
      <w:r w:rsidR="00014566" w:rsidRPr="00990D53">
        <w:rPr>
          <w:b/>
        </w:rPr>
        <w:t xml:space="preserve"> </w:t>
      </w:r>
      <w:bookmarkEnd w:id="0"/>
      <w:r w:rsidR="0036429B" w:rsidRPr="00990D53">
        <w:rPr>
          <w:b/>
        </w:rPr>
        <w:t xml:space="preserve">BERGMANN </w:t>
      </w:r>
      <w:r w:rsidRPr="00990D53">
        <w:rPr>
          <w:b/>
        </w:rPr>
        <w:t>przeciwko</w:t>
      </w:r>
      <w:r w:rsidR="0036429B" w:rsidRPr="00990D53">
        <w:rPr>
          <w:b/>
        </w:rPr>
        <w:t xml:space="preserve"> </w:t>
      </w:r>
      <w:r w:rsidRPr="00990D53">
        <w:rPr>
          <w:b/>
        </w:rPr>
        <w:t>NIEMCOM</w:t>
      </w:r>
    </w:p>
    <w:p w:rsidR="00014566" w:rsidRPr="00990D53" w:rsidRDefault="00014566" w:rsidP="00B3060D">
      <w:pPr>
        <w:jc w:val="center"/>
      </w:pPr>
    </w:p>
    <w:p w:rsidR="00014566" w:rsidRPr="00990D53" w:rsidRDefault="00014566" w:rsidP="00B3060D">
      <w:pPr>
        <w:jc w:val="center"/>
        <w:rPr>
          <w:i/>
        </w:rPr>
      </w:pPr>
      <w:r w:rsidRPr="00990D53">
        <w:rPr>
          <w:i/>
        </w:rPr>
        <w:t>(</w:t>
      </w:r>
      <w:r w:rsidR="00970952" w:rsidRPr="00990D53">
        <w:rPr>
          <w:i/>
        </w:rPr>
        <w:t>Skarga nr</w:t>
      </w:r>
      <w:r w:rsidR="0036429B" w:rsidRPr="00990D53">
        <w:rPr>
          <w:i/>
        </w:rPr>
        <w:t xml:space="preserve"> 23279/14</w:t>
      </w:r>
      <w:r w:rsidRPr="00990D53">
        <w:rPr>
          <w:i/>
        </w:rPr>
        <w:t>)</w:t>
      </w:r>
    </w:p>
    <w:p w:rsidR="007A582D" w:rsidRPr="00990D53" w:rsidRDefault="007A582D" w:rsidP="00B3060D">
      <w:pPr>
        <w:jc w:val="center"/>
      </w:pPr>
    </w:p>
    <w:p w:rsidR="007A582D" w:rsidRDefault="007A582D" w:rsidP="00B3060D">
      <w:pPr>
        <w:jc w:val="center"/>
      </w:pPr>
    </w:p>
    <w:p w:rsidR="00D707DF" w:rsidRDefault="00D707DF" w:rsidP="00B3060D">
      <w:pPr>
        <w:jc w:val="center"/>
      </w:pPr>
    </w:p>
    <w:p w:rsidR="00D707DF" w:rsidRDefault="00D707DF" w:rsidP="00B3060D">
      <w:pPr>
        <w:jc w:val="center"/>
      </w:pPr>
    </w:p>
    <w:p w:rsidR="00D707DF" w:rsidRDefault="00D707DF" w:rsidP="00B3060D">
      <w:pPr>
        <w:jc w:val="center"/>
      </w:pPr>
    </w:p>
    <w:p w:rsidR="00D707DF" w:rsidRDefault="00D707DF" w:rsidP="00B3060D">
      <w:pPr>
        <w:jc w:val="center"/>
      </w:pPr>
    </w:p>
    <w:p w:rsidR="00D707DF" w:rsidRPr="00990D53" w:rsidRDefault="00D707DF" w:rsidP="00B3060D">
      <w:pPr>
        <w:jc w:val="center"/>
      </w:pPr>
    </w:p>
    <w:p w:rsidR="007A582D" w:rsidRPr="00990D53" w:rsidRDefault="00970952" w:rsidP="00B3060D">
      <w:pPr>
        <w:pStyle w:val="ECHRPara"/>
        <w:ind w:firstLine="0"/>
        <w:jc w:val="center"/>
      </w:pPr>
      <w:r w:rsidRPr="00990D53">
        <w:t>WYROK</w:t>
      </w:r>
    </w:p>
    <w:p w:rsidR="007A582D" w:rsidRPr="00990D53" w:rsidRDefault="007A582D" w:rsidP="00B3060D">
      <w:pPr>
        <w:jc w:val="center"/>
        <w:rPr>
          <w:szCs w:val="24"/>
        </w:rPr>
      </w:pPr>
    </w:p>
    <w:p w:rsidR="007A582D" w:rsidRPr="00990D53" w:rsidRDefault="007A582D" w:rsidP="00B3060D">
      <w:pPr>
        <w:jc w:val="center"/>
        <w:rPr>
          <w:szCs w:val="24"/>
        </w:rPr>
      </w:pPr>
    </w:p>
    <w:p w:rsidR="007A582D" w:rsidRPr="00990D53" w:rsidRDefault="007A582D" w:rsidP="00B3060D">
      <w:pPr>
        <w:jc w:val="center"/>
        <w:rPr>
          <w:snapToGrid w:val="0"/>
        </w:rPr>
      </w:pPr>
      <w:r w:rsidRPr="00990D53">
        <w:rPr>
          <w:snapToGrid w:val="0"/>
        </w:rPr>
        <w:t>STRASBURG</w:t>
      </w:r>
    </w:p>
    <w:p w:rsidR="000B44CF" w:rsidRPr="00990D53" w:rsidRDefault="000B44CF" w:rsidP="00B3060D">
      <w:pPr>
        <w:pStyle w:val="ECHRPara"/>
        <w:ind w:firstLine="0"/>
        <w:jc w:val="center"/>
      </w:pPr>
    </w:p>
    <w:p w:rsidR="000B44CF" w:rsidRPr="00990D53" w:rsidRDefault="008749FF" w:rsidP="00B3060D">
      <w:pPr>
        <w:pStyle w:val="ECHRPara"/>
        <w:ind w:firstLine="0"/>
        <w:jc w:val="center"/>
      </w:pPr>
      <w:r w:rsidRPr="00990D53">
        <w:t xml:space="preserve">7 </w:t>
      </w:r>
      <w:r w:rsidR="00970952" w:rsidRPr="00990D53">
        <w:t>stycznia</w:t>
      </w:r>
      <w:r w:rsidRPr="00990D53">
        <w:t xml:space="preserve"> 2016</w:t>
      </w:r>
      <w:r w:rsidR="00970952" w:rsidRPr="00990D53">
        <w:t xml:space="preserve"> r.</w:t>
      </w:r>
    </w:p>
    <w:p w:rsidR="007A582D" w:rsidRPr="00990D53" w:rsidRDefault="007A582D" w:rsidP="00B3060D">
      <w:pPr>
        <w:jc w:val="center"/>
        <w:rPr>
          <w:snapToGrid w:val="0"/>
        </w:rPr>
      </w:pPr>
    </w:p>
    <w:p w:rsidR="007A582D" w:rsidRPr="00990D53" w:rsidRDefault="007A582D" w:rsidP="00B3060D">
      <w:pPr>
        <w:jc w:val="center"/>
        <w:rPr>
          <w:snapToGrid w:val="0"/>
        </w:rPr>
      </w:pPr>
    </w:p>
    <w:p w:rsidR="00B3060D" w:rsidRPr="00990D53" w:rsidRDefault="00970952" w:rsidP="00B3060D">
      <w:pPr>
        <w:pStyle w:val="jucase0"/>
        <w:ind w:firstLine="0"/>
        <w:jc w:val="center"/>
        <w:rPr>
          <w:color w:val="FF0000"/>
          <w:sz w:val="28"/>
          <w:szCs w:val="28"/>
          <w:u w:val="single"/>
          <w:lang w:val="pl-PL"/>
        </w:rPr>
      </w:pPr>
      <w:r w:rsidRPr="00990D53">
        <w:rPr>
          <w:color w:val="FF0000"/>
          <w:sz w:val="28"/>
          <w:szCs w:val="28"/>
          <w:u w:val="single"/>
          <w:lang w:val="pl-PL"/>
        </w:rPr>
        <w:t>OSTATECZNY</w:t>
      </w:r>
    </w:p>
    <w:p w:rsidR="00B3060D" w:rsidRPr="00990D53" w:rsidRDefault="00B3060D" w:rsidP="00B3060D">
      <w:pPr>
        <w:pStyle w:val="jupara"/>
        <w:tabs>
          <w:tab w:val="left" w:pos="4650"/>
        </w:tabs>
        <w:ind w:firstLine="0"/>
        <w:jc w:val="left"/>
        <w:rPr>
          <w:color w:val="FF0000"/>
          <w:sz w:val="28"/>
          <w:szCs w:val="28"/>
          <w:lang w:val="pl-PL"/>
        </w:rPr>
      </w:pPr>
      <w:r w:rsidRPr="00990D53">
        <w:rPr>
          <w:color w:val="FF0000"/>
          <w:sz w:val="28"/>
          <w:szCs w:val="28"/>
          <w:lang w:val="pl-PL"/>
        </w:rPr>
        <w:tab/>
      </w:r>
    </w:p>
    <w:p w:rsidR="00B3060D" w:rsidRPr="00990D53" w:rsidRDefault="00B3060D" w:rsidP="00B3060D">
      <w:pPr>
        <w:pStyle w:val="jupara"/>
        <w:ind w:firstLine="0"/>
        <w:jc w:val="center"/>
        <w:rPr>
          <w:color w:val="FF0000"/>
          <w:sz w:val="28"/>
          <w:szCs w:val="28"/>
          <w:lang w:val="pl-PL"/>
        </w:rPr>
      </w:pPr>
      <w:r w:rsidRPr="00990D53">
        <w:rPr>
          <w:color w:val="FF0000"/>
          <w:sz w:val="28"/>
          <w:szCs w:val="28"/>
          <w:lang w:val="pl-PL"/>
        </w:rPr>
        <w:t>07/04/2016</w:t>
      </w:r>
    </w:p>
    <w:p w:rsidR="00B3060D" w:rsidRPr="00990D53" w:rsidRDefault="00B3060D" w:rsidP="00B3060D">
      <w:pPr>
        <w:pStyle w:val="jupara"/>
        <w:ind w:firstLine="0"/>
        <w:jc w:val="center"/>
        <w:rPr>
          <w:lang w:val="pl-PL"/>
        </w:rPr>
      </w:pPr>
    </w:p>
    <w:p w:rsidR="00B3060D" w:rsidRPr="00990D53" w:rsidRDefault="00970952" w:rsidP="00B3060D">
      <w:pPr>
        <w:jc w:val="center"/>
        <w:rPr>
          <w:i/>
          <w:iCs/>
          <w:sz w:val="22"/>
        </w:rPr>
      </w:pPr>
      <w:r w:rsidRPr="00990D53">
        <w:rPr>
          <w:rFonts w:ascii="Times New Roman" w:eastAsia="MS Mincho" w:hAnsi="Times New Roman" w:cs="Times New Roman"/>
          <w:i/>
          <w:sz w:val="22"/>
          <w:szCs w:val="20"/>
          <w:lang w:eastAsia="fr-FR"/>
        </w:rPr>
        <w:t>Ten wyrok uprawomocnił się na warunkach określonych w Artykule 44 § 2 Konwencji. Może podlegać korekcie wydawniczej</w:t>
      </w:r>
      <w:r w:rsidRPr="00990D53">
        <w:rPr>
          <w:i/>
          <w:sz w:val="22"/>
        </w:rPr>
        <w:t>.</w:t>
      </w:r>
    </w:p>
    <w:p w:rsidR="007A582D" w:rsidRPr="00990D53" w:rsidRDefault="007A582D" w:rsidP="005E5654">
      <w:pPr>
        <w:pStyle w:val="ECHRPara"/>
        <w:ind w:firstLine="0"/>
        <w:sectPr w:rsidR="007A582D" w:rsidRPr="00990D53" w:rsidSect="00F962BF">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990D53" w:rsidRDefault="00970952" w:rsidP="005E5654">
      <w:pPr>
        <w:pStyle w:val="JuCase"/>
        <w:ind w:firstLine="0"/>
        <w:rPr>
          <w:bCs/>
        </w:rPr>
      </w:pPr>
      <w:r w:rsidRPr="00990D53">
        <w:lastRenderedPageBreak/>
        <w:t>W sprawie</w:t>
      </w:r>
      <w:r w:rsidR="00014566" w:rsidRPr="00990D53">
        <w:t xml:space="preserve"> </w:t>
      </w:r>
      <w:r w:rsidR="0036429B" w:rsidRPr="00990D53">
        <w:t xml:space="preserve">Bergmann </w:t>
      </w:r>
      <w:r w:rsidRPr="00990D53">
        <w:t>przeciwko Niemcom</w:t>
      </w:r>
      <w:r w:rsidR="00014566" w:rsidRPr="00990D53">
        <w:t>,</w:t>
      </w:r>
    </w:p>
    <w:p w:rsidR="00014566" w:rsidRPr="00990D53" w:rsidRDefault="00E0105A" w:rsidP="00E0105A">
      <w:pPr>
        <w:pStyle w:val="ECHRDecisionBody"/>
        <w:rPr>
          <w:rFonts w:asciiTheme="majorHAnsi" w:hAnsiTheme="majorHAnsi" w:cstheme="majorHAnsi"/>
        </w:rPr>
      </w:pPr>
      <w:r w:rsidRPr="00990D53">
        <w:rPr>
          <w:rFonts w:asciiTheme="majorHAnsi" w:hAnsiTheme="majorHAnsi" w:cstheme="majorHAnsi"/>
        </w:rPr>
        <w:t>Europejski Trybunał Praw Człowieka (</w:t>
      </w:r>
      <w:r w:rsidR="00236DF5" w:rsidRPr="00990D53">
        <w:rPr>
          <w:rFonts w:asciiTheme="majorHAnsi" w:hAnsiTheme="majorHAnsi" w:cstheme="majorHAnsi"/>
        </w:rPr>
        <w:t>s</w:t>
      </w:r>
      <w:r w:rsidRPr="00990D53">
        <w:rPr>
          <w:rFonts w:asciiTheme="majorHAnsi" w:hAnsiTheme="majorHAnsi" w:cstheme="majorHAnsi"/>
        </w:rPr>
        <w:t xml:space="preserve">ekcja </w:t>
      </w:r>
      <w:r w:rsidR="00236DF5" w:rsidRPr="00990D53">
        <w:rPr>
          <w:rFonts w:asciiTheme="majorHAnsi" w:hAnsiTheme="majorHAnsi" w:cstheme="majorHAnsi"/>
        </w:rPr>
        <w:t>p</w:t>
      </w:r>
      <w:r w:rsidRPr="00990D53">
        <w:rPr>
          <w:rFonts w:asciiTheme="majorHAnsi" w:hAnsiTheme="majorHAnsi" w:cstheme="majorHAnsi"/>
        </w:rPr>
        <w:t>iąta), zasiadając jako Wielka Izba w składzie</w:t>
      </w:r>
      <w:r w:rsidR="00014566" w:rsidRPr="00990D53">
        <w:t>:</w:t>
      </w:r>
    </w:p>
    <w:p w:rsidR="00014566" w:rsidRPr="00990D53" w:rsidRDefault="000B44CF" w:rsidP="00B3060D">
      <w:pPr>
        <w:pStyle w:val="ECHRDecisionBody"/>
      </w:pPr>
      <w:r w:rsidRPr="00990D53">
        <w:tab/>
        <w:t>Ganna Yudkivska,</w:t>
      </w:r>
      <w:r w:rsidRPr="00990D53">
        <w:rPr>
          <w:i/>
        </w:rPr>
        <w:t xml:space="preserve"> </w:t>
      </w:r>
      <w:r w:rsidR="00E0105A" w:rsidRPr="00990D53">
        <w:rPr>
          <w:i/>
        </w:rPr>
        <w:t>Przewodniczący</w:t>
      </w:r>
      <w:r w:rsidRPr="00990D53">
        <w:rPr>
          <w:i/>
        </w:rPr>
        <w:t>,</w:t>
      </w:r>
      <w:r w:rsidRPr="00990D53">
        <w:rPr>
          <w:i/>
        </w:rPr>
        <w:br/>
      </w:r>
      <w:r w:rsidRPr="00990D53">
        <w:tab/>
        <w:t>Angelika Nußberger,</w:t>
      </w:r>
      <w:r w:rsidRPr="00990D53">
        <w:rPr>
          <w:i/>
        </w:rPr>
        <w:br/>
      </w:r>
      <w:r w:rsidRPr="00990D53">
        <w:tab/>
        <w:t>Khanlar Hajiyev,</w:t>
      </w:r>
      <w:r w:rsidRPr="00990D53">
        <w:rPr>
          <w:i/>
        </w:rPr>
        <w:br/>
      </w:r>
      <w:r w:rsidRPr="00990D53">
        <w:tab/>
        <w:t>Faris Vehabović,</w:t>
      </w:r>
      <w:r w:rsidRPr="00990D53">
        <w:rPr>
          <w:i/>
        </w:rPr>
        <w:br/>
      </w:r>
      <w:r w:rsidRPr="00990D53">
        <w:tab/>
        <w:t>Yonko Grozev,</w:t>
      </w:r>
      <w:r w:rsidRPr="00990D53">
        <w:rPr>
          <w:i/>
        </w:rPr>
        <w:br/>
      </w:r>
      <w:r w:rsidRPr="00990D53">
        <w:tab/>
        <w:t>Síofra O</w:t>
      </w:r>
      <w:r w:rsidR="00B3060D" w:rsidRPr="00990D53">
        <w:t>’</w:t>
      </w:r>
      <w:r w:rsidRPr="00990D53">
        <w:t>Leary,</w:t>
      </w:r>
      <w:r w:rsidRPr="00990D53">
        <w:rPr>
          <w:i/>
        </w:rPr>
        <w:br/>
      </w:r>
      <w:r w:rsidRPr="00990D53">
        <w:tab/>
        <w:t>Carlo Ranzoni,</w:t>
      </w:r>
      <w:r w:rsidR="00E0105A" w:rsidRPr="00990D53">
        <w:rPr>
          <w:i/>
        </w:rPr>
        <w:t xml:space="preserve"> sędziowie</w:t>
      </w:r>
      <w:r w:rsidRPr="00990D53">
        <w:rPr>
          <w:i/>
        </w:rPr>
        <w:t>,</w:t>
      </w:r>
      <w:r w:rsidRPr="00990D53">
        <w:rPr>
          <w:i/>
        </w:rPr>
        <w:br/>
      </w:r>
      <w:r w:rsidR="00E0105A" w:rsidRPr="00990D53">
        <w:t>i</w:t>
      </w:r>
      <w:r w:rsidR="00014566" w:rsidRPr="00990D53">
        <w:t xml:space="preserve"> </w:t>
      </w:r>
      <w:r w:rsidR="0036429B" w:rsidRPr="00990D53">
        <w:t>Claudia Westerdiek</w:t>
      </w:r>
      <w:r w:rsidR="00014566" w:rsidRPr="00990D53">
        <w:t xml:space="preserve">, </w:t>
      </w:r>
      <w:r w:rsidR="00E0105A" w:rsidRPr="00990D53">
        <w:rPr>
          <w:i/>
        </w:rPr>
        <w:t>Kanclerz Sekcji</w:t>
      </w:r>
      <w:r w:rsidR="00014566" w:rsidRPr="00990D53">
        <w:rPr>
          <w:i/>
        </w:rPr>
        <w:t>,</w:t>
      </w:r>
    </w:p>
    <w:p w:rsidR="00014566" w:rsidRPr="00990D53" w:rsidRDefault="00236DF5" w:rsidP="00B3060D">
      <w:pPr>
        <w:pStyle w:val="ECHRPara"/>
      </w:pPr>
      <w:r w:rsidRPr="00990D53">
        <w:rPr>
          <w:rFonts w:asciiTheme="majorHAnsi" w:hAnsiTheme="majorHAnsi" w:cstheme="majorHAnsi"/>
        </w:rPr>
        <w:t>o</w:t>
      </w:r>
      <w:r w:rsidR="00E0105A" w:rsidRPr="00990D53">
        <w:rPr>
          <w:rFonts w:asciiTheme="majorHAnsi" w:hAnsiTheme="majorHAnsi" w:cstheme="majorHAnsi"/>
        </w:rPr>
        <w:t>bradując na posiedzeniu zamkniętym w dniu</w:t>
      </w:r>
      <w:r w:rsidR="00014566" w:rsidRPr="00990D53">
        <w:t xml:space="preserve"> </w:t>
      </w:r>
      <w:r w:rsidR="000B44CF" w:rsidRPr="00990D53">
        <w:t xml:space="preserve">1 </w:t>
      </w:r>
      <w:r w:rsidR="00E0105A" w:rsidRPr="00990D53">
        <w:t xml:space="preserve">grudnia </w:t>
      </w:r>
      <w:r w:rsidR="000B44CF" w:rsidRPr="00990D53">
        <w:t>2015</w:t>
      </w:r>
      <w:r w:rsidR="00E0105A" w:rsidRPr="00990D53">
        <w:t xml:space="preserve"> r.</w:t>
      </w:r>
      <w:r w:rsidR="00014566" w:rsidRPr="00990D53">
        <w:t>,</w:t>
      </w:r>
    </w:p>
    <w:p w:rsidR="00014566" w:rsidRPr="00990D53" w:rsidRDefault="00E0105A" w:rsidP="00E0105A">
      <w:pPr>
        <w:pStyle w:val="ECHRPara"/>
        <w:rPr>
          <w:rFonts w:asciiTheme="majorHAnsi" w:hAnsiTheme="majorHAnsi" w:cstheme="majorHAnsi"/>
        </w:rPr>
      </w:pPr>
      <w:r w:rsidRPr="00990D53">
        <w:rPr>
          <w:rFonts w:asciiTheme="majorHAnsi" w:hAnsiTheme="majorHAnsi" w:cstheme="majorHAnsi"/>
        </w:rPr>
        <w:t>wydaje następujący wyrok, który został przyjęty w tym dniu:</w:t>
      </w:r>
    </w:p>
    <w:p w:rsidR="00014566" w:rsidRPr="00990D53" w:rsidRDefault="00E0105A" w:rsidP="00B3060D">
      <w:pPr>
        <w:pStyle w:val="ECHRTitle1"/>
      </w:pPr>
      <w:r w:rsidRPr="00990D53">
        <w:t>PROCEDURA</w:t>
      </w:r>
    </w:p>
    <w:p w:rsidR="0036429B" w:rsidRPr="00990D53" w:rsidRDefault="00FD5A94" w:rsidP="00B3060D">
      <w:pPr>
        <w:pStyle w:val="ECHRPara"/>
      </w:pPr>
      <w:r w:rsidRPr="00990D53">
        <w:fldChar w:fldCharType="begin"/>
      </w:r>
      <w:r w:rsidRPr="00990D53">
        <w:instrText xml:space="preserve"> SEQ level0 \*arabic \r1</w:instrText>
      </w:r>
      <w:r w:rsidR="003D6C26" w:rsidRPr="00990D53">
        <w:fldChar w:fldCharType="begin"/>
      </w:r>
      <w:r w:rsidR="003D6C26" w:rsidRPr="00990D53">
        <w:instrText xml:space="preserve"> </w:instrText>
      </w:r>
      <w:r w:rsidRPr="00990D53">
        <w:instrText>.  </w:instrText>
      </w:r>
      <w:r w:rsidR="003D6C26" w:rsidRPr="00990D53">
        <w:instrText>SEQ level0 \*arabic \r1</w:instrText>
      </w:r>
      <w:r w:rsidR="009516D9" w:rsidRPr="00990D53">
        <w:fldChar w:fldCharType="begin"/>
      </w:r>
      <w:r w:rsidR="009516D9" w:rsidRPr="00990D53">
        <w:instrText xml:space="preserve"> </w:instrText>
      </w:r>
      <w:r w:rsidR="003D6C26" w:rsidRPr="00990D53">
        <w:instrText>.  </w:instrText>
      </w:r>
      <w:r w:rsidR="009516D9" w:rsidRPr="00990D53">
        <w:instrText xml:space="preserve">SEQ level0 \*arabic </w:instrText>
      </w:r>
      <w:r w:rsidR="009516D9" w:rsidRPr="00990D53">
        <w:fldChar w:fldCharType="separate"/>
      </w:r>
      <w:r w:rsidR="005065EA" w:rsidRPr="00990D53">
        <w:instrText>1</w:instrText>
      </w:r>
      <w:r w:rsidR="009516D9" w:rsidRPr="00990D53">
        <w:fldChar w:fldCharType="end"/>
      </w:r>
      <w:r w:rsidR="003D6C26" w:rsidRPr="00990D53">
        <w:instrText xml:space="preserve"> </w:instrText>
      </w:r>
      <w:r w:rsidR="003D6C26" w:rsidRPr="00990D53">
        <w:fldChar w:fldCharType="separate"/>
      </w:r>
      <w:r w:rsidR="003D6C26" w:rsidRPr="00990D53">
        <w:instrText>1</w:instrText>
      </w:r>
      <w:r w:rsidR="003D6C26" w:rsidRPr="00990D53">
        <w:fldChar w:fldCharType="end"/>
      </w:r>
      <w:r w:rsidRPr="00990D53">
        <w:instrText xml:space="preserve"> </w:instrText>
      </w:r>
      <w:r w:rsidRPr="00990D53">
        <w:fldChar w:fldCharType="separate"/>
      </w:r>
      <w:r w:rsidR="00A31FF5" w:rsidRPr="00990D53">
        <w:t>1</w:t>
      </w:r>
      <w:r w:rsidRPr="00990D53">
        <w:fldChar w:fldCharType="end"/>
      </w:r>
      <w:r w:rsidR="009516D9" w:rsidRPr="00990D53">
        <w:t>.  </w:t>
      </w:r>
      <w:r w:rsidR="00E0105A" w:rsidRPr="00990D53">
        <w:t>Sprawa wywodzi się ze skargi (nr 23279/14) wniesionej do Trybunału przeciwko Republice Federalnej Niemiec na podstawie Artykułu 34 Konwencji o Ochronie Praw Człowieka i Podstawowych Wolności (</w:t>
      </w:r>
      <w:r w:rsidR="00236DF5" w:rsidRPr="00990D53">
        <w:t>„</w:t>
      </w:r>
      <w:r w:rsidR="00E0105A" w:rsidRPr="00990D53">
        <w:t>Konwencja") przez obywatela Niemiec, Pana K</w:t>
      </w:r>
      <w:r w:rsidR="0036429B" w:rsidRPr="00990D53">
        <w:t>arl-Heinz Bergmann</w:t>
      </w:r>
      <w:r w:rsidR="00236DF5" w:rsidRPr="00990D53">
        <w:t>a</w:t>
      </w:r>
      <w:r w:rsidR="0036429B" w:rsidRPr="00990D53">
        <w:t xml:space="preserve"> (</w:t>
      </w:r>
      <w:r w:rsidR="00236DF5" w:rsidRPr="00990D53">
        <w:t>„</w:t>
      </w:r>
      <w:r w:rsidR="00E0105A" w:rsidRPr="00990D53">
        <w:t>skarżący</w:t>
      </w:r>
      <w:r w:rsidR="0036429B" w:rsidRPr="00990D53">
        <w:t xml:space="preserve">”), </w:t>
      </w:r>
      <w:r w:rsidR="00E0105A" w:rsidRPr="00990D53">
        <w:t>w dniu</w:t>
      </w:r>
      <w:r w:rsidR="0036429B" w:rsidRPr="00990D53">
        <w:t xml:space="preserve"> 18 </w:t>
      </w:r>
      <w:r w:rsidR="00E0105A" w:rsidRPr="00990D53">
        <w:t>marca</w:t>
      </w:r>
      <w:r w:rsidR="0036429B" w:rsidRPr="00990D53">
        <w:t xml:space="preserve"> 2014</w:t>
      </w:r>
      <w:r w:rsidR="00E0105A" w:rsidRPr="00990D53">
        <w:t xml:space="preserve"> r</w:t>
      </w:r>
      <w:r w:rsidR="00014566" w:rsidRPr="00990D53">
        <w:t>.</w:t>
      </w:r>
    </w:p>
    <w:p w:rsidR="0036429B"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2</w:t>
      </w:r>
      <w:r w:rsidRPr="00990D53">
        <w:fldChar w:fldCharType="end"/>
      </w:r>
      <w:r w:rsidR="00014566" w:rsidRPr="00990D53">
        <w:t>.  </w:t>
      </w:r>
      <w:r w:rsidR="00E0105A" w:rsidRPr="00990D53">
        <w:rPr>
          <w:rFonts w:asciiTheme="majorHAnsi" w:hAnsiTheme="majorHAnsi" w:cstheme="majorHAnsi"/>
        </w:rPr>
        <w:t>Skarżący, któremu przyznana została pomoc prawna z urzędu, był reprezentowany przez Pana </w:t>
      </w:r>
      <w:r w:rsidR="00E56C4E" w:rsidRPr="00990D53">
        <w:t> </w:t>
      </w:r>
      <w:r w:rsidR="00F67210" w:rsidRPr="00990D53">
        <w:t>A.</w:t>
      </w:r>
      <w:r w:rsidRPr="00990D53">
        <w:t xml:space="preserve"> Sommerfeld</w:t>
      </w:r>
      <w:r w:rsidR="00236DF5" w:rsidRPr="00990D53">
        <w:t>a</w:t>
      </w:r>
      <w:r w:rsidRPr="00990D53">
        <w:t xml:space="preserve">, </w:t>
      </w:r>
      <w:r w:rsidR="00E0105A" w:rsidRPr="00990D53">
        <w:t xml:space="preserve">adwokata prowadzącego praktykę w </w:t>
      </w:r>
      <w:r w:rsidRPr="00990D53">
        <w:t>Soest</w:t>
      </w:r>
      <w:r w:rsidR="008A008A" w:rsidRPr="00990D53">
        <w:t xml:space="preserve"> (</w:t>
      </w:r>
      <w:r w:rsidR="00E0105A" w:rsidRPr="00990D53">
        <w:t>Niemcy</w:t>
      </w:r>
      <w:r w:rsidR="008A008A" w:rsidRPr="00990D53">
        <w:t>)</w:t>
      </w:r>
      <w:r w:rsidRPr="00990D53">
        <w:t xml:space="preserve">. </w:t>
      </w:r>
      <w:r w:rsidR="00E0105A" w:rsidRPr="00990D53">
        <w:t>Rząd Niemiec</w:t>
      </w:r>
      <w:r w:rsidR="00014566" w:rsidRPr="00990D53">
        <w:t xml:space="preserve"> (</w:t>
      </w:r>
      <w:r w:rsidR="00236DF5" w:rsidRPr="00990D53">
        <w:t>„</w:t>
      </w:r>
      <w:r w:rsidR="00E0105A" w:rsidRPr="00990D53">
        <w:t>Rząd</w:t>
      </w:r>
      <w:r w:rsidR="00014566" w:rsidRPr="00990D53">
        <w:t xml:space="preserve">”) </w:t>
      </w:r>
      <w:r w:rsidR="005E15C2" w:rsidRPr="00990D53">
        <w:rPr>
          <w:rFonts w:asciiTheme="majorHAnsi" w:hAnsiTheme="majorHAnsi" w:cstheme="majorHAnsi"/>
        </w:rPr>
        <w:t>był reprezentowany przez</w:t>
      </w:r>
      <w:r w:rsidR="005E15C2" w:rsidRPr="00990D53">
        <w:t xml:space="preserve"> dwóch pełnomocników, Pana</w:t>
      </w:r>
      <w:r w:rsidR="001F1059" w:rsidRPr="00990D53">
        <w:t xml:space="preserve"> H.-J. Behrens</w:t>
      </w:r>
      <w:r w:rsidR="00236DF5" w:rsidRPr="00990D53">
        <w:t>a</w:t>
      </w:r>
      <w:r w:rsidR="001F1059" w:rsidRPr="00990D53">
        <w:t xml:space="preserve"> </w:t>
      </w:r>
      <w:r w:rsidR="005E15C2" w:rsidRPr="00990D53">
        <w:t>i Panią</w:t>
      </w:r>
      <w:r w:rsidR="001F1059" w:rsidRPr="00990D53">
        <w:t xml:space="preserve"> </w:t>
      </w:r>
      <w:r w:rsidR="005E15C2" w:rsidRPr="00990D53">
        <w:t>K. Behr</w:t>
      </w:r>
      <w:r w:rsidR="001F1059" w:rsidRPr="00990D53">
        <w:t xml:space="preserve"> </w:t>
      </w:r>
      <w:r w:rsidR="005E15C2" w:rsidRPr="00990D53">
        <w:t>z Federalnego Ministerstwa Sprawiedliwości i Ochrony Konsumenta.</w:t>
      </w:r>
    </w:p>
    <w:p w:rsidR="005E15C2"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3</w:t>
      </w:r>
      <w:r w:rsidRPr="00990D53">
        <w:fldChar w:fldCharType="end"/>
      </w:r>
      <w:r w:rsidRPr="00990D53">
        <w:t>.  </w:t>
      </w:r>
      <w:r w:rsidR="005E15C2" w:rsidRPr="00990D53">
        <w:t xml:space="preserve">Skarżący sformułował zarzut, że retrospektywne przedłużanie odbywania przez niego prewencyjnego pozbawienia wolności w centrum detencji prewencyjnej w Rosdorf ponad wcześniej obowiązujący ustawowy dziesięcioletni limit, narusza jego prawo do wolności na mocy art. 5 </w:t>
      </w:r>
      <w:r w:rsidR="005E15C2" w:rsidRPr="00990D53">
        <w:rPr>
          <w:rFonts w:ascii="Times New Roman" w:hAnsi="Times New Roman" w:cs="Times New Roman"/>
        </w:rPr>
        <w:t>§</w:t>
      </w:r>
      <w:r w:rsidR="005E15C2" w:rsidRPr="00990D53">
        <w:t xml:space="preserve"> 1 Konwencji, a także zakaz retrospektywnego orzekania o karze na mocy art. 7 </w:t>
      </w:r>
      <w:r w:rsidR="005E15C2" w:rsidRPr="00990D53">
        <w:rPr>
          <w:rFonts w:ascii="Times New Roman" w:hAnsi="Times New Roman" w:cs="Times New Roman"/>
        </w:rPr>
        <w:t>§</w:t>
      </w:r>
      <w:r w:rsidR="005E15C2" w:rsidRPr="00990D53">
        <w:t xml:space="preserve"> 1 Konwencji. </w:t>
      </w:r>
    </w:p>
    <w:p w:rsidR="00014566"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4</w:t>
      </w:r>
      <w:r w:rsidRPr="00990D53">
        <w:fldChar w:fldCharType="end"/>
      </w:r>
      <w:r w:rsidR="00014566" w:rsidRPr="00990D53">
        <w:t>.  </w:t>
      </w:r>
      <w:r w:rsidR="005E15C2" w:rsidRPr="00990D53">
        <w:t xml:space="preserve">Dnia 17 czerwca 2014 r. skarga została zakomunikowana Rządowi. </w:t>
      </w:r>
    </w:p>
    <w:p w:rsidR="005E15C2" w:rsidRPr="00990D53" w:rsidRDefault="005E15C2" w:rsidP="00B3060D">
      <w:pPr>
        <w:pStyle w:val="ECHRPara"/>
      </w:pPr>
    </w:p>
    <w:p w:rsidR="00014566" w:rsidRPr="00990D53" w:rsidRDefault="00A91662" w:rsidP="00B3060D">
      <w:pPr>
        <w:pStyle w:val="ECHRTitle1"/>
      </w:pPr>
      <w:r w:rsidRPr="00990D53">
        <w:lastRenderedPageBreak/>
        <w:t>FAKTY</w:t>
      </w:r>
    </w:p>
    <w:p w:rsidR="00014566" w:rsidRPr="00990D53" w:rsidRDefault="00014566" w:rsidP="00B3060D">
      <w:pPr>
        <w:pStyle w:val="ECHRHeading1"/>
      </w:pPr>
      <w:r w:rsidRPr="00990D53">
        <w:t>I.  </w:t>
      </w:r>
      <w:r w:rsidR="00A91662" w:rsidRPr="00990D53">
        <w:t>OKOLICZNOŚCI SPRAWY</w:t>
      </w:r>
    </w:p>
    <w:p w:rsidR="00014566"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5</w:t>
      </w:r>
      <w:r w:rsidRPr="00990D53">
        <w:fldChar w:fldCharType="end"/>
      </w:r>
      <w:r w:rsidR="00014566" w:rsidRPr="00990D53">
        <w:t>.  </w:t>
      </w:r>
      <w:r w:rsidR="00A91662" w:rsidRPr="00990D53">
        <w:t xml:space="preserve">Skarżący urodził się w 1943 r. i przebywa obecnie w </w:t>
      </w:r>
      <w:r w:rsidR="006D080B" w:rsidRPr="00990D53">
        <w:t>centrum prewencyjnego pozbawienia wolności</w:t>
      </w:r>
      <w:r w:rsidR="003479F7" w:rsidRPr="00990D53">
        <w:t xml:space="preserve">, znajdującym się na terenie więzienia w Rosdorf </w:t>
      </w:r>
      <w:r w:rsidR="006F3CCE" w:rsidRPr="00990D53">
        <w:t xml:space="preserve"> (</w:t>
      </w:r>
      <w:r w:rsidR="008C2DCB" w:rsidRPr="00990D53">
        <w:t>dalej zwany</w:t>
      </w:r>
      <w:r w:rsidR="006F3CCE" w:rsidRPr="00990D53">
        <w:t xml:space="preserve"> “</w:t>
      </w:r>
      <w:r w:rsidR="006D080B" w:rsidRPr="00990D53">
        <w:t>Centrum</w:t>
      </w:r>
      <w:r w:rsidR="006F3CCE" w:rsidRPr="00990D53">
        <w:t>”)</w:t>
      </w:r>
      <w:r w:rsidR="00014566" w:rsidRPr="00990D53">
        <w:t>.</w:t>
      </w:r>
    </w:p>
    <w:p w:rsidR="006A3444" w:rsidRPr="00990D53" w:rsidRDefault="00F67210" w:rsidP="00B3060D">
      <w:pPr>
        <w:pStyle w:val="ECHRHeading2"/>
      </w:pPr>
      <w:r w:rsidRPr="00990D53">
        <w:t>A</w:t>
      </w:r>
      <w:r w:rsidR="006A3444" w:rsidRPr="00990D53">
        <w:t>.  </w:t>
      </w:r>
      <w:r w:rsidR="00566076" w:rsidRPr="00990D53">
        <w:t xml:space="preserve">Poprzednie skazania skarżącego, </w:t>
      </w:r>
      <w:r w:rsidR="00A31FF5" w:rsidRPr="00990D53">
        <w:t>orzeczenie</w:t>
      </w:r>
      <w:r w:rsidR="00566076" w:rsidRPr="00990D53">
        <w:t xml:space="preserve"> </w:t>
      </w:r>
      <w:r w:rsidR="000B0FC5" w:rsidRPr="00990D53">
        <w:t>prewency</w:t>
      </w:r>
      <w:r w:rsidR="00A31FF5" w:rsidRPr="00990D53">
        <w:t>j</w:t>
      </w:r>
      <w:r w:rsidR="000B0FC5" w:rsidRPr="00990D53">
        <w:t>nego pozbawienia wolności</w:t>
      </w:r>
      <w:r w:rsidR="00566076" w:rsidRPr="00990D53">
        <w:t xml:space="preserve"> i jego </w:t>
      </w:r>
      <w:r w:rsidR="000B0FC5" w:rsidRPr="00990D53">
        <w:t>zastosowanie</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6</w:t>
      </w:r>
      <w:r w:rsidRPr="00990D53">
        <w:fldChar w:fldCharType="end"/>
      </w:r>
      <w:r w:rsidRPr="00990D53">
        <w:t>.  </w:t>
      </w:r>
      <w:r w:rsidR="00566076" w:rsidRPr="00990D53">
        <w:t>W lat</w:t>
      </w:r>
      <w:r w:rsidR="00A31FF5" w:rsidRPr="00990D53">
        <w:t>ach od 1966 do 1984 skarżący został</w:t>
      </w:r>
      <w:r w:rsidR="00566076" w:rsidRPr="00990D53">
        <w:t xml:space="preserve"> </w:t>
      </w:r>
      <w:r w:rsidR="00A31FF5" w:rsidRPr="00990D53">
        <w:t xml:space="preserve">pięć razy </w:t>
      </w:r>
      <w:r w:rsidR="00566076" w:rsidRPr="00990D53">
        <w:t xml:space="preserve">skazany przez sądy karne. Został uznany za winnego </w:t>
      </w:r>
      <w:r w:rsidR="0034250A" w:rsidRPr="00990D53">
        <w:t xml:space="preserve">napaści na tle seksualnym </w:t>
      </w:r>
      <w:r w:rsidR="00A31FF5" w:rsidRPr="00990D53">
        <w:t xml:space="preserve">na </w:t>
      </w:r>
      <w:r w:rsidR="0034250A" w:rsidRPr="00990D53">
        <w:t>siedm</w:t>
      </w:r>
      <w:r w:rsidR="00A31FF5" w:rsidRPr="00990D53">
        <w:t>ioletni</w:t>
      </w:r>
      <w:r w:rsidR="00236DF5" w:rsidRPr="00990D53">
        <w:t>ą</w:t>
      </w:r>
      <w:r w:rsidR="00A31FF5" w:rsidRPr="00990D53">
        <w:t xml:space="preserve"> dziewczyn</w:t>
      </w:r>
      <w:r w:rsidR="00236DF5" w:rsidRPr="00990D53">
        <w:t>kę</w:t>
      </w:r>
      <w:r w:rsidR="00A31FF5" w:rsidRPr="00990D53">
        <w:t xml:space="preserve"> oraz </w:t>
      </w:r>
      <w:r w:rsidR="00236DF5" w:rsidRPr="00990D53">
        <w:t xml:space="preserve">usiłowania </w:t>
      </w:r>
      <w:r w:rsidR="0034250A" w:rsidRPr="00990D53">
        <w:t xml:space="preserve"> </w:t>
      </w:r>
      <w:r w:rsidR="00236DF5" w:rsidRPr="00990D53">
        <w:t>z</w:t>
      </w:r>
      <w:r w:rsidR="0034250A" w:rsidRPr="00990D53">
        <w:t>gwał</w:t>
      </w:r>
      <w:r w:rsidR="00236DF5" w:rsidRPr="00990D53">
        <w:t>cenia,</w:t>
      </w:r>
      <w:r w:rsidR="0034250A" w:rsidRPr="00990D53">
        <w:t xml:space="preserve"> </w:t>
      </w:r>
      <w:r w:rsidR="00A31FF5" w:rsidRPr="00990D53">
        <w:t xml:space="preserve"> pod wpływem alkoholu</w:t>
      </w:r>
      <w:r w:rsidR="00236DF5" w:rsidRPr="00990D53">
        <w:t>,</w:t>
      </w:r>
      <w:r w:rsidR="00A31FF5" w:rsidRPr="00990D53">
        <w:t xml:space="preserve"> czternastoletniej dziewczyn</w:t>
      </w:r>
      <w:r w:rsidR="00236DF5" w:rsidRPr="00990D53">
        <w:t>ki</w:t>
      </w:r>
      <w:r w:rsidR="0034250A" w:rsidRPr="00990D53">
        <w:t xml:space="preserve">, a także </w:t>
      </w:r>
      <w:r w:rsidR="008B48E0" w:rsidRPr="00990D53">
        <w:t xml:space="preserve">usiłowania </w:t>
      </w:r>
      <w:r w:rsidR="0034250A" w:rsidRPr="00990D53">
        <w:t xml:space="preserve"> innych czynności seksualnych na trzynastoletnim chłopcu. Uznano go również za winnego popełnienia innych czynów bezprawnych, </w:t>
      </w:r>
      <w:r w:rsidR="00391E11" w:rsidRPr="00990D53">
        <w:t>między innymi podpalenia i uduszenia dziesięcioletniego chłopca podczas włamania,  jednak nie poniósł z tego tytułu odpowiedzialn</w:t>
      </w:r>
      <w:r w:rsidR="00A31FF5" w:rsidRPr="00990D53">
        <w:t>o</w:t>
      </w:r>
      <w:r w:rsidR="00391E11" w:rsidRPr="00990D53">
        <w:t xml:space="preserve">ści karnej ze względu na </w:t>
      </w:r>
      <w:r w:rsidR="00A31FF5" w:rsidRPr="00990D53">
        <w:t>stan</w:t>
      </w:r>
      <w:r w:rsidR="00391E11" w:rsidRPr="00990D53">
        <w:t xml:space="preserve"> upojenia alkoholowego</w:t>
      </w:r>
      <w:r w:rsidR="00A31FF5" w:rsidRPr="00990D53">
        <w:t>, w którym się znajdował</w:t>
      </w:r>
      <w:r w:rsidR="00391E11" w:rsidRPr="00990D53">
        <w:t xml:space="preserve"> podczas popełniania tego czynu. Został skazany</w:t>
      </w:r>
      <w:r w:rsidR="008B48E0" w:rsidRPr="00990D53">
        <w:t>,</w:t>
      </w:r>
      <w:r w:rsidR="00391E11" w:rsidRPr="00990D53">
        <w:t xml:space="preserve"> </w:t>
      </w:r>
      <w:r w:rsidR="008B48E0" w:rsidRPr="00990D53">
        <w:t xml:space="preserve">w szczególności, </w:t>
      </w:r>
      <w:r w:rsidR="00391E11" w:rsidRPr="00990D53">
        <w:t xml:space="preserve">na karę więzienia na czas od sześciu miesięcy do dziesięciu lat.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7</w:t>
      </w:r>
      <w:r w:rsidRPr="00990D53">
        <w:fldChar w:fldCharType="end"/>
      </w:r>
      <w:r w:rsidRPr="00990D53">
        <w:t>.  </w:t>
      </w:r>
      <w:r w:rsidR="00391E11" w:rsidRPr="00990D53">
        <w:t xml:space="preserve">W dniu 18 kwietnia 1986 r. Sąd Okręgowy w Hanoverze </w:t>
      </w:r>
      <w:r w:rsidR="00197EA6" w:rsidRPr="00990D53">
        <w:t>skazał skarżącego na piętnaście lat więz</w:t>
      </w:r>
      <w:r w:rsidR="00A31FF5" w:rsidRPr="00990D53">
        <w:t>i</w:t>
      </w:r>
      <w:r w:rsidR="00197EA6" w:rsidRPr="00990D53">
        <w:t xml:space="preserve">enia za dwa usiłowania zabójstwa oraz usiłowanie gwałtu i dwie napaści. </w:t>
      </w:r>
      <w:r w:rsidR="00A31FF5" w:rsidRPr="00990D53">
        <w:t xml:space="preserve">Orzekł </w:t>
      </w:r>
      <w:r w:rsidR="00197EA6" w:rsidRPr="00990D53">
        <w:t xml:space="preserve">również </w:t>
      </w:r>
      <w:r w:rsidR="000B0FC5" w:rsidRPr="00990D53">
        <w:t>prewencyjne pozbawienie wolności</w:t>
      </w:r>
      <w:r w:rsidR="00197EA6" w:rsidRPr="00990D53">
        <w:t xml:space="preserve"> na mocy art. 66 </w:t>
      </w:r>
      <w:r w:rsidR="00197EA6" w:rsidRPr="00990D53">
        <w:rPr>
          <w:rFonts w:ascii="Times New Roman" w:hAnsi="Times New Roman" w:cs="Times New Roman"/>
        </w:rPr>
        <w:t>§</w:t>
      </w:r>
      <w:r w:rsidR="00A31FF5" w:rsidRPr="00990D53">
        <w:t xml:space="preserve"> 2 Kodeksu karnego (</w:t>
      </w:r>
      <w:r w:rsidR="00197EA6" w:rsidRPr="00990D53">
        <w:t xml:space="preserve">zob. par. 46 poniżej).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8</w:t>
      </w:r>
      <w:r w:rsidRPr="00990D53">
        <w:fldChar w:fldCharType="end"/>
      </w:r>
      <w:r w:rsidRPr="00990D53">
        <w:t>.  </w:t>
      </w:r>
      <w:r w:rsidR="00197EA6" w:rsidRPr="00990D53">
        <w:t>Sąd Okręgowy stwierdził, że w okresie między 7 lipca 1</w:t>
      </w:r>
      <w:r w:rsidR="00A31FF5" w:rsidRPr="00990D53">
        <w:t>985 r. a 3 października 1985 r.</w:t>
      </w:r>
      <w:r w:rsidR="00197EA6" w:rsidRPr="00990D53">
        <w:t xml:space="preserve"> </w:t>
      </w:r>
      <w:r w:rsidR="00E966BE" w:rsidRPr="00990D53">
        <w:t>w celu osiągnięcia satysfakcji seksualnej</w:t>
      </w:r>
      <w:r w:rsidR="00A31FF5" w:rsidRPr="00990D53">
        <w:t>, skarżący</w:t>
      </w:r>
      <w:r w:rsidR="00197EA6" w:rsidRPr="00990D53">
        <w:t xml:space="preserve"> ugodził nożem w plecy dziewiętnastoletnią rowerzystkę</w:t>
      </w:r>
      <w:r w:rsidR="008D206B" w:rsidRPr="00990D53">
        <w:t xml:space="preserve"> w sposób s</w:t>
      </w:r>
      <w:r w:rsidR="00E966BE" w:rsidRPr="00990D53">
        <w:t>twarzający zagrożenie jej życia</w:t>
      </w:r>
      <w:r w:rsidR="008D206B" w:rsidRPr="00990D53">
        <w:t xml:space="preserve">; ugodził </w:t>
      </w:r>
      <w:r w:rsidR="008C2A53" w:rsidRPr="00990D53">
        <w:t>nożem rowerzystę, którego wziął za kobietę, dwa razy w plecy i w skroń, ponownie z pobudek sek</w:t>
      </w:r>
      <w:r w:rsidR="00A31FF5" w:rsidRPr="00990D53">
        <w:t>sualnych; ugodził kobietę nożem</w:t>
      </w:r>
      <w:r w:rsidR="008C2A53" w:rsidRPr="00990D53">
        <w:t xml:space="preserve"> w sposób zagrażający </w:t>
      </w:r>
      <w:r w:rsidR="00E966BE" w:rsidRPr="00990D53">
        <w:t xml:space="preserve">jej </w:t>
      </w:r>
      <w:r w:rsidR="008C2A53" w:rsidRPr="00990D53">
        <w:t xml:space="preserve">życiu i </w:t>
      </w:r>
      <w:r w:rsidR="00A31FF5" w:rsidRPr="00990D53">
        <w:t>usiłował</w:t>
      </w:r>
      <w:r w:rsidR="008C2A53" w:rsidRPr="00990D53">
        <w:t xml:space="preserve"> ją zgwałcić. Zbrodnie te popełnił pod wpływem alkoholu w parku w Hanoverze. </w:t>
      </w:r>
      <w:r w:rsidR="00E966BE" w:rsidRPr="00990D53">
        <w:t>Ponownie</w:t>
      </w:r>
      <w:r w:rsidR="008C2A53" w:rsidRPr="00990D53">
        <w:t xml:space="preserve"> </w:t>
      </w:r>
      <w:r w:rsidR="00E966BE" w:rsidRPr="00990D53">
        <w:t>pod wpływem alkoholu</w:t>
      </w:r>
      <w:r w:rsidR="00A31FF5" w:rsidRPr="00990D53">
        <w:t xml:space="preserve"> </w:t>
      </w:r>
      <w:r w:rsidR="008C2A53" w:rsidRPr="00990D53">
        <w:t xml:space="preserve">włamał się do domu, gdzie udusił czteroletnią dziewczynkę oraz zranił ją nożem poniżej talii w celu </w:t>
      </w:r>
      <w:r w:rsidR="006D080B" w:rsidRPr="00990D53">
        <w:t>osiągnięcia satysfakcji seksualnej</w:t>
      </w:r>
      <w:r w:rsidR="00E966BE" w:rsidRPr="00990D53">
        <w:t>.</w:t>
      </w:r>
      <w:r w:rsidR="008C2A53" w:rsidRPr="00990D53">
        <w:t xml:space="preserve"> Został </w:t>
      </w:r>
      <w:r w:rsidR="00E966BE" w:rsidRPr="00990D53">
        <w:t>aresztowany 9 października 1985</w:t>
      </w:r>
      <w:r w:rsidR="00A31FF5" w:rsidRPr="00990D53">
        <w:t xml:space="preserve"> </w:t>
      </w:r>
      <w:r w:rsidR="008C2A53" w:rsidRPr="00990D53">
        <w:t xml:space="preserve">r.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9</w:t>
      </w:r>
      <w:r w:rsidRPr="00990D53">
        <w:fldChar w:fldCharType="end"/>
      </w:r>
      <w:r w:rsidRPr="00990D53">
        <w:t>.  </w:t>
      </w:r>
      <w:r w:rsidR="00A31FF5" w:rsidRPr="00990D53">
        <w:t>P</w:t>
      </w:r>
      <w:r w:rsidR="008C2A53" w:rsidRPr="00990D53">
        <w:t>o zasięgnięciu opinii dwóch ekspertów medycyny</w:t>
      </w:r>
      <w:r w:rsidR="00A31FF5" w:rsidRPr="00990D53">
        <w:t xml:space="preserve"> Sąd Okręgowy</w:t>
      </w:r>
      <w:r w:rsidR="008C2A53" w:rsidRPr="00990D53">
        <w:t xml:space="preserve"> stwierdził, że w</w:t>
      </w:r>
      <w:r w:rsidR="00E966BE" w:rsidRPr="00990D53">
        <w:t xml:space="preserve"> chwili popełniania przestępstw</w:t>
      </w:r>
      <w:r w:rsidR="008C2A53" w:rsidRPr="00990D53">
        <w:t xml:space="preserve"> skarżący znajdował się w stanie ograniczającym odpowiedzialność karną (art. 21 Kodeksu karnego, zob. par. 62</w:t>
      </w:r>
      <w:r w:rsidR="00DA6A1F" w:rsidRPr="00990D53">
        <w:t xml:space="preserve"> poniżej). Została u niego zdiagnozowana dewiacja seksualna oraz zaburzenie psychoorganiczne, prawdopodobnie będące konsekwencją wieloletniego nadużywania alkoholu. W czasie, gdy skarżący nie spożywał alkoholu, zaburzenia te nie wpływały na jego odpowiedzialność karną, </w:t>
      </w:r>
      <w:r w:rsidR="00DA6A1F" w:rsidRPr="00990D53">
        <w:lastRenderedPageBreak/>
        <w:t xml:space="preserve">ponieważ był w stanie kontrolować swoją agresję. Jednakże w połączeniu z alkoholem, prowadziły do ograniczenia jego odpowiedzialności karnej.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10</w:t>
      </w:r>
      <w:r w:rsidRPr="00990D53">
        <w:fldChar w:fldCharType="end"/>
      </w:r>
      <w:r w:rsidRPr="00990D53">
        <w:t>.  </w:t>
      </w:r>
      <w:r w:rsidR="00DA6A1F" w:rsidRPr="00990D53">
        <w:t xml:space="preserve">Sąd Okręgowy postanowił o zastosowaniu wobec skarżącego </w:t>
      </w:r>
      <w:r w:rsidR="000B0FC5" w:rsidRPr="00990D53">
        <w:t>prewencyjnego pozbawienia wolności</w:t>
      </w:r>
      <w:r w:rsidR="00DA6A1F" w:rsidRPr="00990D53">
        <w:t xml:space="preserve"> na mocy art. 66 </w:t>
      </w:r>
      <w:r w:rsidR="00DA6A1F" w:rsidRPr="00990D53">
        <w:rPr>
          <w:rFonts w:ascii="Times New Roman" w:hAnsi="Times New Roman" w:cs="Times New Roman"/>
        </w:rPr>
        <w:t>§</w:t>
      </w:r>
      <w:r w:rsidR="00DA6A1F" w:rsidRPr="00990D53">
        <w:t xml:space="preserve"> 2 Kodeksu karnego. </w:t>
      </w:r>
      <w:r w:rsidR="00803607" w:rsidRPr="00990D53">
        <w:t xml:space="preserve">Stwierdził, że </w:t>
      </w:r>
      <w:r w:rsidR="00E966BE" w:rsidRPr="00990D53">
        <w:t>ze względu na zaburzenia psychiczne</w:t>
      </w:r>
      <w:r w:rsidR="00803607" w:rsidRPr="00990D53">
        <w:t xml:space="preserve">, miał skłonności do popełniania poważnych przestępstw, które wyrządzały ofiarom poważne krzywdy, zarówno fizyczne jak i psychiczne. Według opinii dwóch ekspertów medycyny, istniało wysokie ryzyko, </w:t>
      </w:r>
      <w:r w:rsidR="008F7648" w:rsidRPr="00990D53">
        <w:t>że w razie zwolnienia skarżący</w:t>
      </w:r>
      <w:r w:rsidR="00A31FF5" w:rsidRPr="00990D53">
        <w:t xml:space="preserve"> pod wpływem alkoholu i w celu osiągnięcia satysfakcji seksualnej nadal dopuszczałby się</w:t>
      </w:r>
      <w:r w:rsidR="008F7648" w:rsidRPr="00990D53">
        <w:t xml:space="preserve"> brutalnych przestępstw i przestępstw na tle seksualnym podobnych do tych, za które został skazany</w:t>
      </w:r>
      <w:r w:rsidR="00F15419" w:rsidRPr="00990D53">
        <w:t>.</w:t>
      </w:r>
      <w:r w:rsidR="00A24BFA" w:rsidRPr="00990D53">
        <w:t xml:space="preserve"> Dlatego stwarzał zagrożenie dla bezpieczeństwa publicznego.</w:t>
      </w:r>
      <w:r w:rsidR="006A3444" w:rsidRPr="00990D53">
        <w:t xml:space="preserve">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11</w:t>
      </w:r>
      <w:r w:rsidRPr="00990D53">
        <w:fldChar w:fldCharType="end"/>
      </w:r>
      <w:r w:rsidRPr="00990D53">
        <w:t>.  </w:t>
      </w:r>
      <w:r w:rsidR="00A24BFA" w:rsidRPr="00990D53">
        <w:t xml:space="preserve">Sąd Okręgowy postanowił </w:t>
      </w:r>
      <w:r w:rsidR="008B48E0" w:rsidRPr="00990D53">
        <w:t xml:space="preserve">nie zarządzać </w:t>
      </w:r>
      <w:r w:rsidR="00A24BFA" w:rsidRPr="00990D53">
        <w:t xml:space="preserve"> umieszczeni</w:t>
      </w:r>
      <w:r w:rsidR="008B48E0" w:rsidRPr="00990D53">
        <w:t>a</w:t>
      </w:r>
      <w:r w:rsidR="00A24BFA" w:rsidRPr="00990D53">
        <w:t xml:space="preserve"> skarżąc</w:t>
      </w:r>
      <w:r w:rsidR="00A31FF5" w:rsidRPr="00990D53">
        <w:t xml:space="preserve">ego w szpitalu psychiatrycznym </w:t>
      </w:r>
      <w:r w:rsidR="00A24BFA" w:rsidRPr="00990D53">
        <w:t xml:space="preserve">na mocy art. 63 Kodeksu karnego (zob. par. 63 poniżej). Sąd </w:t>
      </w:r>
      <w:r w:rsidR="00520592" w:rsidRPr="00990D53">
        <w:t xml:space="preserve">uznał za zasadne wnioski </w:t>
      </w:r>
      <w:r w:rsidR="00A31FF5" w:rsidRPr="00990D53">
        <w:t xml:space="preserve"> ekspertów, </w:t>
      </w:r>
      <w:r w:rsidR="00520592" w:rsidRPr="00990D53">
        <w:t xml:space="preserve">że zaburzenia osobowości skarżącego nie mogą być dłużej leczone, ponieważ </w:t>
      </w:r>
      <w:r w:rsidR="00A24BFA" w:rsidRPr="00990D53">
        <w:t xml:space="preserve"> </w:t>
      </w:r>
      <w:r w:rsidR="00E76412" w:rsidRPr="00990D53">
        <w:t xml:space="preserve">agresywne </w:t>
      </w:r>
      <w:r w:rsidR="00A24BFA" w:rsidRPr="00990D53">
        <w:t>zachowanie</w:t>
      </w:r>
      <w:r w:rsidR="00A31FF5" w:rsidRPr="00990D53">
        <w:t xml:space="preserve"> skarżącego</w:t>
      </w:r>
      <w:r w:rsidR="00E76412" w:rsidRPr="00990D53">
        <w:t xml:space="preserve"> o podłożu seksualnym</w:t>
      </w:r>
      <w:r w:rsidR="00A24BFA" w:rsidRPr="00990D53">
        <w:t xml:space="preserve"> trwało przez lata</w:t>
      </w:r>
      <w:r w:rsidR="00520592" w:rsidRPr="00990D53">
        <w:t xml:space="preserve"> </w:t>
      </w:r>
      <w:r w:rsidR="008B48E0" w:rsidRPr="00990D53">
        <w:t xml:space="preserve">oraz </w:t>
      </w:r>
      <w:r w:rsidR="00520592" w:rsidRPr="00990D53">
        <w:t xml:space="preserve">dlatego, że </w:t>
      </w:r>
      <w:r w:rsidR="00A24BFA" w:rsidRPr="00990D53">
        <w:t xml:space="preserve">byłby </w:t>
      </w:r>
      <w:r w:rsidR="00A31FF5" w:rsidRPr="00990D53">
        <w:t xml:space="preserve">on </w:t>
      </w:r>
      <w:r w:rsidR="00A24BFA" w:rsidRPr="00990D53">
        <w:t>niezdolny do korzystania z psychoterapii ze względu na ograniczone zdolności intelektualne</w:t>
      </w:r>
      <w:r w:rsidR="00520592" w:rsidRPr="00990D53">
        <w:t xml:space="preserve">. </w:t>
      </w:r>
      <w:r w:rsidR="000B0FC5" w:rsidRPr="00990D53">
        <w:t>Zastosowanie wobec skarżącego prewencyjnego pozbawienia wolności</w:t>
      </w:r>
      <w:r w:rsidR="00F76057" w:rsidRPr="00990D53">
        <w:t>, zapewniłoby lepszą ochronę bezpieczeństwa publicznego.</w:t>
      </w:r>
      <w:r w:rsidR="00A24BFA" w:rsidRPr="00990D53">
        <w:t xml:space="preserve"> </w:t>
      </w:r>
    </w:p>
    <w:p w:rsidR="00F76057"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12</w:t>
      </w:r>
      <w:r w:rsidRPr="00990D53">
        <w:fldChar w:fldCharType="end"/>
      </w:r>
      <w:r w:rsidRPr="00990D53">
        <w:t>.  </w:t>
      </w:r>
      <w:r w:rsidR="00F76057" w:rsidRPr="00990D53">
        <w:t>Skarżący odbył karę więzienia w pełnym wymiarze i w dniu 12 czerwca 2001 r. został po raz pierwszy umieszczony</w:t>
      </w:r>
      <w:r w:rsidR="000B0FC5" w:rsidRPr="00990D53">
        <w:t xml:space="preserve"> w </w:t>
      </w:r>
      <w:r w:rsidR="00274D66" w:rsidRPr="00990D53">
        <w:t>placówce prewencyjnej</w:t>
      </w:r>
      <w:r w:rsidR="00F76057" w:rsidRPr="00990D53">
        <w:t xml:space="preserve"> na terenie więzienia Celle</w:t>
      </w:r>
      <w:r w:rsidR="000B0FC5" w:rsidRPr="00990D53">
        <w:t xml:space="preserve">. </w:t>
      </w:r>
      <w:r w:rsidR="00F76057" w:rsidRPr="00990D53">
        <w:t xml:space="preserve">Do dnia 11 czerwca 2011 r. odbył dziesięcioletni okres </w:t>
      </w:r>
      <w:r w:rsidR="000B0FC5" w:rsidRPr="00990D53">
        <w:t>prewencyjnego pozbawienia wolności.</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13</w:t>
      </w:r>
      <w:r w:rsidRPr="00990D53">
        <w:fldChar w:fldCharType="end"/>
      </w:r>
      <w:r w:rsidRPr="00990D53">
        <w:t>.  </w:t>
      </w:r>
      <w:r w:rsidR="00F76057" w:rsidRPr="00990D53">
        <w:t>Sądy</w:t>
      </w:r>
      <w:r w:rsidR="00E966BE" w:rsidRPr="00990D53">
        <w:t xml:space="preserve"> </w:t>
      </w:r>
      <w:r w:rsidR="000F54EF" w:rsidRPr="00990D53">
        <w:t>właściwe do wykonania wyroków  orzekały ,</w:t>
      </w:r>
      <w:r w:rsidR="00F76057" w:rsidRPr="00990D53">
        <w:t xml:space="preserve">w regularnych odstępach </w:t>
      </w:r>
      <w:r w:rsidR="000F54EF" w:rsidRPr="00990D53">
        <w:t>,</w:t>
      </w:r>
      <w:r w:rsidR="00F76057" w:rsidRPr="00990D53">
        <w:t xml:space="preserve"> o kontynuacji </w:t>
      </w:r>
      <w:r w:rsidR="000B0FC5" w:rsidRPr="00990D53">
        <w:t>prewencyjnego pozbawienia wolności</w:t>
      </w:r>
      <w:r w:rsidR="000F54EF" w:rsidRPr="00990D53">
        <w:t xml:space="preserve"> skarżącego</w:t>
      </w:r>
      <w:r w:rsidR="00F76057" w:rsidRPr="00990D53">
        <w:t xml:space="preserve">. W szczególności, Sąd Okręgowy w </w:t>
      </w:r>
      <w:r w:rsidR="006A3444" w:rsidRPr="00990D53">
        <w:t>Lüneburg</w:t>
      </w:r>
      <w:r w:rsidR="00F76057" w:rsidRPr="00990D53">
        <w:t>u</w:t>
      </w:r>
      <w:r w:rsidR="006A3444" w:rsidRPr="00990D53">
        <w:t xml:space="preserve"> </w:t>
      </w:r>
      <w:r w:rsidR="00F76057" w:rsidRPr="00990D53">
        <w:t>postanowił o kontynuacji</w:t>
      </w:r>
      <w:r w:rsidR="000F54EF" w:rsidRPr="00990D53">
        <w:t xml:space="preserve"> jego detencji </w:t>
      </w:r>
      <w:r w:rsidR="00F76057" w:rsidRPr="00990D53">
        <w:t xml:space="preserve">w dniach 13 maja 2011 r. i 5 października 2012 r. </w:t>
      </w:r>
    </w:p>
    <w:p w:rsidR="006A3444" w:rsidRPr="00990D53" w:rsidRDefault="00F67210" w:rsidP="00B3060D">
      <w:pPr>
        <w:pStyle w:val="ECHRHeading2"/>
      </w:pPr>
      <w:r w:rsidRPr="00990D53">
        <w:t>B</w:t>
      </w:r>
      <w:r w:rsidR="006A3444" w:rsidRPr="00990D53">
        <w:t>.  </w:t>
      </w:r>
      <w:r w:rsidR="00F76057" w:rsidRPr="00990D53">
        <w:t>Kwestie sporne</w:t>
      </w:r>
    </w:p>
    <w:p w:rsidR="006A3444" w:rsidRPr="00990D53" w:rsidRDefault="00F67210" w:rsidP="00B3060D">
      <w:pPr>
        <w:pStyle w:val="ECHRHeading3"/>
      </w:pPr>
      <w:r w:rsidRPr="00990D53">
        <w:t>1.</w:t>
      </w:r>
      <w:r w:rsidR="006A3444" w:rsidRPr="00990D53">
        <w:t>  </w:t>
      </w:r>
      <w:r w:rsidR="00F76057" w:rsidRPr="00990D53">
        <w:t xml:space="preserve">Postanowienie Sądu Okręgowego w </w:t>
      </w:r>
      <w:r w:rsidR="006A3444" w:rsidRPr="00990D53">
        <w:t>Lüneburg</w:t>
      </w:r>
      <w:r w:rsidR="00F76057" w:rsidRPr="00990D53">
        <w:t>u</w:t>
      </w:r>
      <w:r w:rsidR="006A3444" w:rsidRPr="00990D53">
        <w:t xml:space="preserve">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14</w:t>
      </w:r>
      <w:r w:rsidRPr="00990D53">
        <w:fldChar w:fldCharType="end"/>
      </w:r>
      <w:r w:rsidRPr="00990D53">
        <w:t>.  </w:t>
      </w:r>
      <w:r w:rsidR="007869F0" w:rsidRPr="00990D53">
        <w:t xml:space="preserve">W dniu 26 lipca 2013 r. Sąd Okręgowy w </w:t>
      </w:r>
      <w:r w:rsidR="006A3444" w:rsidRPr="00990D53">
        <w:t>Lüneburg</w:t>
      </w:r>
      <w:r w:rsidR="007869F0" w:rsidRPr="00990D53">
        <w:t xml:space="preserve">u, zasiadający </w:t>
      </w:r>
      <w:r w:rsidR="000F54EF" w:rsidRPr="00990D53">
        <w:t>jako izba właściwa do wykonywania wyroków</w:t>
      </w:r>
      <w:r w:rsidR="007869F0" w:rsidRPr="00990D53">
        <w:t xml:space="preserve">, który wydał wyrok skazujący, postanowił o kontynuacji </w:t>
      </w:r>
      <w:r w:rsidR="00D8679D" w:rsidRPr="00990D53">
        <w:t>prewencyjnego pozbawienia wolności</w:t>
      </w:r>
      <w:r w:rsidR="00564945" w:rsidRPr="00990D53">
        <w:t>. Sąd Okręgowy zlecił władzom więzienia w</w:t>
      </w:r>
      <w:r w:rsidR="006A3444" w:rsidRPr="00990D53">
        <w:t xml:space="preserve"> Rosdorf </w:t>
      </w:r>
      <w:r w:rsidR="00564945" w:rsidRPr="00990D53">
        <w:t>za</w:t>
      </w:r>
      <w:r w:rsidR="00E76412" w:rsidRPr="00990D53">
        <w:t>proponowanie</w:t>
      </w:r>
      <w:r w:rsidR="00564945" w:rsidRPr="00990D53">
        <w:t xml:space="preserve"> skarżącemu specjalnej antyhormonalnej </w:t>
      </w:r>
      <w:r w:rsidR="00CA1444" w:rsidRPr="00990D53">
        <w:t xml:space="preserve">terapii, </w:t>
      </w:r>
      <w:r w:rsidR="00564945" w:rsidRPr="00990D53">
        <w:t xml:space="preserve">środkami mającymi ograniczyć jego sadystyczne fantazje i </w:t>
      </w:r>
      <w:r w:rsidR="00CA1444" w:rsidRPr="00990D53">
        <w:t xml:space="preserve">obniżyć </w:t>
      </w:r>
      <w:r w:rsidR="00564945" w:rsidRPr="00990D53">
        <w:t>libido, a poprzez to</w:t>
      </w:r>
      <w:r w:rsidR="00274D66" w:rsidRPr="00990D53">
        <w:t>,</w:t>
      </w:r>
      <w:r w:rsidR="00564945" w:rsidRPr="00990D53">
        <w:t xml:space="preserve"> zagrożenie</w:t>
      </w:r>
      <w:r w:rsidR="00E76412" w:rsidRPr="00990D53">
        <w:t xml:space="preserve"> jakie stwarzał</w:t>
      </w:r>
      <w:r w:rsidR="00564945" w:rsidRPr="00990D53">
        <w:t xml:space="preserve"> dla otoczenia. Sąd skonsultował sprawę z władzami więzienia w </w:t>
      </w:r>
      <w:r w:rsidR="00377ECA" w:rsidRPr="00990D53">
        <w:t>Celle</w:t>
      </w:r>
      <w:r w:rsidR="00564945" w:rsidRPr="00990D53">
        <w:t xml:space="preserve"> i prokuratorem, wysłuc</w:t>
      </w:r>
      <w:r w:rsidR="00AD7ADB" w:rsidRPr="00990D53">
        <w:t>hał skarżącego oraz jego obrońcy</w:t>
      </w:r>
      <w:r w:rsidR="00564945" w:rsidRPr="00990D53">
        <w:t>, który reprezentował go we wszystkich postępowaniach przed sądami krajowymi.</w:t>
      </w:r>
      <w:r w:rsidR="00377ECA" w:rsidRPr="00990D53">
        <w:t xml:space="preserve"> </w:t>
      </w:r>
    </w:p>
    <w:p w:rsidR="006A3444" w:rsidRPr="00990D53" w:rsidRDefault="00EE3604" w:rsidP="00B3060D">
      <w:pPr>
        <w:pStyle w:val="ECHRPara"/>
      </w:pPr>
      <w:r w:rsidRPr="00990D53">
        <w:lastRenderedPageBreak/>
        <w:fldChar w:fldCharType="begin"/>
      </w:r>
      <w:r w:rsidRPr="00990D53">
        <w:instrText xml:space="preserve"> SEQ level0 \*arabic </w:instrText>
      </w:r>
      <w:r w:rsidRPr="00990D53">
        <w:fldChar w:fldCharType="separate"/>
      </w:r>
      <w:r w:rsidR="00A31FF5" w:rsidRPr="00990D53">
        <w:t>15</w:t>
      </w:r>
      <w:r w:rsidRPr="00990D53">
        <w:fldChar w:fldCharType="end"/>
      </w:r>
      <w:r w:rsidRPr="00990D53">
        <w:t>. </w:t>
      </w:r>
      <w:r w:rsidR="00564945" w:rsidRPr="00990D53">
        <w:t xml:space="preserve">Sąd Okręgowy stwierdził, że </w:t>
      </w:r>
      <w:r w:rsidR="00A537D5" w:rsidRPr="00990D53">
        <w:t xml:space="preserve">zostały spełnione </w:t>
      </w:r>
      <w:r w:rsidR="00AD7ADB" w:rsidRPr="00990D53">
        <w:t>przesłanki do</w:t>
      </w:r>
      <w:r w:rsidR="00564945" w:rsidRPr="00990D53">
        <w:t xml:space="preserve"> </w:t>
      </w:r>
      <w:r w:rsidR="00A537D5" w:rsidRPr="00990D53">
        <w:t xml:space="preserve">wydania </w:t>
      </w:r>
      <w:r w:rsidR="00564945" w:rsidRPr="00990D53">
        <w:t xml:space="preserve">postanowienia o kontynuacji </w:t>
      </w:r>
      <w:r w:rsidR="00D8679D" w:rsidRPr="00990D53">
        <w:t>prewencyjnego pozbawienia wolności</w:t>
      </w:r>
      <w:r w:rsidR="00AD7ADB" w:rsidRPr="00990D53">
        <w:t>,</w:t>
      </w:r>
      <w:r w:rsidR="00A537D5" w:rsidRPr="00990D53">
        <w:t xml:space="preserve"> określone</w:t>
      </w:r>
      <w:r w:rsidR="00564945" w:rsidRPr="00990D53">
        <w:t xml:space="preserve"> w drugim zdaniu </w:t>
      </w:r>
      <w:r w:rsidR="00CA1444" w:rsidRPr="00990D53">
        <w:t xml:space="preserve">paragrafu </w:t>
      </w:r>
      <w:r w:rsidR="00564945" w:rsidRPr="00990D53">
        <w:t xml:space="preserve">316 </w:t>
      </w:r>
      <w:r w:rsidR="00E76412" w:rsidRPr="00990D53">
        <w:t xml:space="preserve"> </w:t>
      </w:r>
      <w:r w:rsidR="00564945" w:rsidRPr="00990D53">
        <w:t xml:space="preserve">f </w:t>
      </w:r>
      <w:r w:rsidR="00E76412" w:rsidRPr="00990D53">
        <w:t xml:space="preserve"> </w:t>
      </w:r>
      <w:r w:rsidR="00A537D5" w:rsidRPr="00990D53">
        <w:t>(2) Ustawy Wprowadzającej do Kodeksu karnego (zob. par. 53 poniżej).</w:t>
      </w:r>
      <w:r w:rsidRPr="00990D53">
        <w:t>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16</w:t>
      </w:r>
      <w:r w:rsidRPr="00990D53">
        <w:fldChar w:fldCharType="end"/>
      </w:r>
      <w:r w:rsidRPr="00990D53">
        <w:t>.  </w:t>
      </w:r>
      <w:r w:rsidR="00A537D5" w:rsidRPr="00990D53">
        <w:t>Sąd Okręgowy potwierdził, że</w:t>
      </w:r>
      <w:r w:rsidR="00274D66" w:rsidRPr="00990D53">
        <w:t xml:space="preserve"> w sprawie</w:t>
      </w:r>
      <w:r w:rsidR="00CA1444" w:rsidRPr="00990D53">
        <w:t xml:space="preserve"> skarżącego </w:t>
      </w:r>
      <w:r w:rsidR="00274D66" w:rsidRPr="00990D53">
        <w:t xml:space="preserve"> </w:t>
      </w:r>
      <w:r w:rsidR="00CA1444" w:rsidRPr="00990D53">
        <w:t xml:space="preserve">miały zastosowanie </w:t>
      </w:r>
      <w:r w:rsidR="00274D66" w:rsidRPr="00990D53">
        <w:t xml:space="preserve"> przepisy przejściowe</w:t>
      </w:r>
      <w:r w:rsidR="00A537D5" w:rsidRPr="00990D53">
        <w:t xml:space="preserve">. Stwierdził, </w:t>
      </w:r>
      <w:r w:rsidR="008A6C1F" w:rsidRPr="00990D53">
        <w:t xml:space="preserve">że </w:t>
      </w:r>
      <w:r w:rsidR="000170A3" w:rsidRPr="00990D53">
        <w:t xml:space="preserve">czasie, </w:t>
      </w:r>
      <w:r w:rsidR="008A6C1F" w:rsidRPr="00990D53">
        <w:t>gdy popełni</w:t>
      </w:r>
      <w:r w:rsidR="000170A3" w:rsidRPr="00990D53">
        <w:t>ł</w:t>
      </w:r>
      <w:r w:rsidR="008A6C1F" w:rsidRPr="00990D53">
        <w:t xml:space="preserve"> </w:t>
      </w:r>
      <w:r w:rsidR="000170A3" w:rsidRPr="00990D53">
        <w:t xml:space="preserve">on </w:t>
      </w:r>
      <w:r w:rsidR="008A6C1F" w:rsidRPr="00990D53">
        <w:t>ostatnie</w:t>
      </w:r>
      <w:r w:rsidR="00132BDC" w:rsidRPr="00990D53">
        <w:t xml:space="preserve"> prze</w:t>
      </w:r>
      <w:r w:rsidR="008A6C1F" w:rsidRPr="00990D53">
        <w:t>stępstwo</w:t>
      </w:r>
      <w:r w:rsidR="00A537D5" w:rsidRPr="00990D53">
        <w:t xml:space="preserve"> w dniu 3 października 1985 r.</w:t>
      </w:r>
      <w:r w:rsidR="00ED09D1" w:rsidRPr="00990D53">
        <w:t xml:space="preserve">, </w:t>
      </w:r>
      <w:r w:rsidR="008A6C1F" w:rsidRPr="00990D53">
        <w:t xml:space="preserve">maksymalny  czas trwania detencji prewencyjnej nie mógł przekraczać </w:t>
      </w:r>
      <w:r w:rsidR="00ED09D1" w:rsidRPr="00990D53">
        <w:t xml:space="preserve">dziesięciu lat. </w:t>
      </w:r>
      <w:r w:rsidR="000170A3" w:rsidRPr="00990D53">
        <w:t xml:space="preserve">Dopiero </w:t>
      </w:r>
      <w:r w:rsidR="002E2A64" w:rsidRPr="00990D53">
        <w:t xml:space="preserve"> po wejściu w życie Ustawy o zwalczaniu przestępstw seksualnych i innych niebezpiecznych przestępstw w dniu 31 stycznia 1998 r. (zob. par. 51 poniżej) sąd mógł przedłużyć </w:t>
      </w:r>
      <w:r w:rsidR="00D8679D" w:rsidRPr="00990D53">
        <w:t xml:space="preserve">prewencyjne pozbawienie wolności </w:t>
      </w:r>
      <w:r w:rsidR="002E2A64" w:rsidRPr="00990D53">
        <w:t xml:space="preserve">na czas nieograniczony. Skarżący należał do kategorii więźniów, których </w:t>
      </w:r>
      <w:r w:rsidR="00D8679D" w:rsidRPr="00990D53">
        <w:t>prewencyjne pozbawienie wolności</w:t>
      </w:r>
      <w:r w:rsidR="002E2A64" w:rsidRPr="00990D53">
        <w:t xml:space="preserve"> został</w:t>
      </w:r>
      <w:r w:rsidR="00D8679D" w:rsidRPr="00990D53">
        <w:t>o</w:t>
      </w:r>
      <w:r w:rsidR="002E2A64" w:rsidRPr="00990D53">
        <w:t xml:space="preserve"> przedłużon</w:t>
      </w:r>
      <w:r w:rsidR="00D8679D" w:rsidRPr="00990D53">
        <w:t>e</w:t>
      </w:r>
      <w:r w:rsidR="002E2A64" w:rsidRPr="00990D53">
        <w:t xml:space="preserve"> retrospektywnie, jak </w:t>
      </w:r>
      <w:r w:rsidR="00274D66" w:rsidRPr="00990D53">
        <w:t xml:space="preserve">to </w:t>
      </w:r>
      <w:r w:rsidR="002E2A64" w:rsidRPr="00990D53">
        <w:t xml:space="preserve">określił Federalny Trybunał Konstytucyjny w orzeczeniu z dnia 4 maja 2011 r. (zob. par. 66-72 poniżej). Sąd Okręgowy </w:t>
      </w:r>
      <w:r w:rsidR="008A6C1F" w:rsidRPr="00990D53">
        <w:t>następnie</w:t>
      </w:r>
      <w:r w:rsidR="002E2A64" w:rsidRPr="00990D53">
        <w:t xml:space="preserve"> stwierdził, że </w:t>
      </w:r>
      <w:r w:rsidR="00AD7ADB" w:rsidRPr="00990D53">
        <w:t>w drugim</w:t>
      </w:r>
      <w:r w:rsidR="002E2A64" w:rsidRPr="00990D53">
        <w:t xml:space="preserve"> zd</w:t>
      </w:r>
      <w:r w:rsidR="00AD7ADB" w:rsidRPr="00990D53">
        <w:t>aniu</w:t>
      </w:r>
      <w:r w:rsidR="002E2A64" w:rsidRPr="00990D53">
        <w:t xml:space="preserve"> </w:t>
      </w:r>
      <w:r w:rsidR="00546199" w:rsidRPr="00990D53">
        <w:t xml:space="preserve">paragrafu </w:t>
      </w:r>
      <w:r w:rsidR="002E2A64" w:rsidRPr="00990D53">
        <w:t xml:space="preserve"> </w:t>
      </w:r>
      <w:r w:rsidR="00E76412" w:rsidRPr="00990D53">
        <w:t xml:space="preserve">316f(2) </w:t>
      </w:r>
      <w:r w:rsidR="002E2A64" w:rsidRPr="00990D53">
        <w:t>Ustawy Wprowadzającej</w:t>
      </w:r>
      <w:r w:rsidR="00AD7ADB" w:rsidRPr="00990D53">
        <w:t xml:space="preserve"> do Kodeksu karnego </w:t>
      </w:r>
      <w:r w:rsidR="00546199" w:rsidRPr="00990D53">
        <w:t>określono</w:t>
      </w:r>
      <w:r w:rsidR="00C652E5" w:rsidRPr="00990D53">
        <w:t xml:space="preserve"> standard</w:t>
      </w:r>
      <w:r w:rsidR="002E2A64" w:rsidRPr="00990D53">
        <w:t xml:space="preserve">y </w:t>
      </w:r>
      <w:r w:rsidR="00100C99" w:rsidRPr="00990D53">
        <w:t xml:space="preserve">dla </w:t>
      </w:r>
      <w:r w:rsidR="00546199" w:rsidRPr="00990D53">
        <w:t xml:space="preserve">kontynuowania </w:t>
      </w:r>
      <w:r w:rsidR="008A6C1F" w:rsidRPr="00990D53">
        <w:t>retrospe</w:t>
      </w:r>
      <w:r w:rsidR="00C652E5" w:rsidRPr="00990D53">
        <w:t>ktywnie</w:t>
      </w:r>
      <w:r w:rsidR="00274D66" w:rsidRPr="00990D53">
        <w:t xml:space="preserve"> orzeczonego</w:t>
      </w:r>
      <w:r w:rsidR="00100C99" w:rsidRPr="00990D53">
        <w:t xml:space="preserve"> lub </w:t>
      </w:r>
      <w:r w:rsidR="00546199" w:rsidRPr="00990D53">
        <w:t xml:space="preserve">retrospektywnie </w:t>
      </w:r>
      <w:r w:rsidR="00100C99" w:rsidRPr="00990D53">
        <w:t xml:space="preserve">przedłużonego </w:t>
      </w:r>
      <w:r w:rsidR="00546199" w:rsidRPr="00990D53">
        <w:t>prewencyjnego pozbawienia wolności</w:t>
      </w:r>
      <w:r w:rsidR="00100C99" w:rsidRPr="00990D53">
        <w:t xml:space="preserve">, </w:t>
      </w:r>
      <w:r w:rsidR="008A6C1F" w:rsidRPr="00990D53">
        <w:t xml:space="preserve">które zostały wyznaczone </w:t>
      </w:r>
      <w:r w:rsidR="002E2A64" w:rsidRPr="00990D53">
        <w:t>przez Federalny Trybunał Konstytucyjny w powyżej wspomnianym orzeczeniu</w:t>
      </w:r>
      <w:r w:rsidR="00100C99" w:rsidRPr="00990D53">
        <w:t>.</w:t>
      </w:r>
      <w:r w:rsidR="002E2A64" w:rsidRPr="00990D53">
        <w:t xml:space="preserve"> </w:t>
      </w:r>
    </w:p>
    <w:p w:rsidR="002E1C0F"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17</w:t>
      </w:r>
      <w:r w:rsidRPr="00990D53">
        <w:fldChar w:fldCharType="end"/>
      </w:r>
      <w:r w:rsidRPr="00990D53">
        <w:t>.  </w:t>
      </w:r>
      <w:r w:rsidR="00100C99" w:rsidRPr="00990D53">
        <w:t xml:space="preserve">Sąd Okręgowy stwierdził, że zgodnie z </w:t>
      </w:r>
      <w:r w:rsidR="00546199" w:rsidRPr="00990D53">
        <w:t>paragrafem</w:t>
      </w:r>
      <w:r w:rsidR="00100C99" w:rsidRPr="00990D53">
        <w:t xml:space="preserve"> </w:t>
      </w:r>
      <w:r w:rsidR="00E76412" w:rsidRPr="00990D53">
        <w:t xml:space="preserve">316f(2) </w:t>
      </w:r>
      <w:r w:rsidR="00100C99" w:rsidRPr="00990D53">
        <w:t xml:space="preserve">Ustawy Wprowadzającej do Kodeksu karnego, skarżący cierpiał na zaburzenie psychiczne w znaczeniu </w:t>
      </w:r>
      <w:r w:rsidR="00546199" w:rsidRPr="00990D53">
        <w:t>paragrafu</w:t>
      </w:r>
      <w:r w:rsidR="00100C99" w:rsidRPr="00990D53">
        <w:t xml:space="preserve"> 1</w:t>
      </w:r>
      <w:r w:rsidR="00546199" w:rsidRPr="00990D53">
        <w:t>(</w:t>
      </w:r>
      <w:r w:rsidR="00100C99" w:rsidRPr="00990D53">
        <w:t>1</w:t>
      </w:r>
      <w:r w:rsidR="00546199" w:rsidRPr="00990D53">
        <w:t>)</w:t>
      </w:r>
      <w:r w:rsidR="00100C99" w:rsidRPr="00990D53">
        <w:t xml:space="preserve"> Ustawy </w:t>
      </w:r>
      <w:r w:rsidR="008A6C1F" w:rsidRPr="00990D53">
        <w:t>o Detencji Prewencyjnej</w:t>
      </w:r>
      <w:r w:rsidR="006A3444" w:rsidRPr="00990D53">
        <w:t xml:space="preserve"> </w:t>
      </w:r>
      <w:r w:rsidR="001631B9" w:rsidRPr="00990D53">
        <w:t xml:space="preserve">(zob. par. 64 poniżej). Potwierdzono w ten sposób </w:t>
      </w:r>
      <w:r w:rsidR="008A6C1F" w:rsidRPr="00990D53">
        <w:t xml:space="preserve">diagnozę </w:t>
      </w:r>
      <w:r w:rsidR="0076338B" w:rsidRPr="00990D53">
        <w:t xml:space="preserve">przedstawioną przez W., </w:t>
      </w:r>
      <w:r w:rsidR="001631B9" w:rsidRPr="00990D53">
        <w:t xml:space="preserve"> </w:t>
      </w:r>
      <w:r w:rsidR="0076338B" w:rsidRPr="00990D53">
        <w:t xml:space="preserve">zewnętrznego eksperta </w:t>
      </w:r>
      <w:r w:rsidR="001631B9" w:rsidRPr="00990D53">
        <w:t>psychiatr</w:t>
      </w:r>
      <w:r w:rsidR="0076338B" w:rsidRPr="00990D53">
        <w:t>ii,</w:t>
      </w:r>
      <w:r w:rsidR="001631B9" w:rsidRPr="00990D53">
        <w:t xml:space="preserve"> w jego raporcie z dnia 8 czerwca 2013 r. Został</w:t>
      </w:r>
      <w:r w:rsidR="00274D66" w:rsidRPr="00990D53">
        <w:t xml:space="preserve"> on</w:t>
      </w:r>
      <w:r w:rsidR="001631B9" w:rsidRPr="00990D53">
        <w:t xml:space="preserve"> zobowiązany do napisana raportu na podstawie akt  sprawy, </w:t>
      </w:r>
      <w:r w:rsidR="0076338B" w:rsidRPr="00990D53">
        <w:t xml:space="preserve">w której </w:t>
      </w:r>
      <w:r w:rsidR="001631B9" w:rsidRPr="00990D53">
        <w:t xml:space="preserve">skarżący odmówił poddania się badaniom. Psychiatra W. </w:t>
      </w:r>
      <w:r w:rsidR="0070388C" w:rsidRPr="00990D53">
        <w:t xml:space="preserve">zdiagnozował u skarżącego sadyzm, dewiacje seksualne oraz uzależnienie od alkoholu, </w:t>
      </w:r>
      <w:r w:rsidR="008A6C1F" w:rsidRPr="00990D53">
        <w:t xml:space="preserve">utrzymujące się pomimo niepicia alkoholu od </w:t>
      </w:r>
      <w:r w:rsidR="0070388C" w:rsidRPr="00990D53">
        <w:t xml:space="preserve">chwili zatrzymania. Sąd Okręgowy podkreślił, że ocena psychiatry W. potwierdza dotychczasowe tezy </w:t>
      </w:r>
      <w:r w:rsidR="001E6026" w:rsidRPr="00990D53">
        <w:t>s</w:t>
      </w:r>
      <w:r w:rsidR="0070388C" w:rsidRPr="00990D53">
        <w:t xml:space="preserve">formułowane przez innych </w:t>
      </w:r>
      <w:r w:rsidR="008A6C1F" w:rsidRPr="00990D53">
        <w:t xml:space="preserve"> </w:t>
      </w:r>
      <w:r w:rsidR="0070388C" w:rsidRPr="00990D53">
        <w:t xml:space="preserve">ekspertów, głównie te </w:t>
      </w:r>
      <w:r w:rsidR="001E6026" w:rsidRPr="00990D53">
        <w:t>ze stycznia i maja</w:t>
      </w:r>
      <w:r w:rsidR="0070388C" w:rsidRPr="00990D53">
        <w:t xml:space="preserve"> 2011 roku, </w:t>
      </w:r>
      <w:r w:rsidR="001E6026" w:rsidRPr="00990D53">
        <w:t xml:space="preserve">w których  eksperci </w:t>
      </w:r>
      <w:r w:rsidR="0070388C" w:rsidRPr="00990D53">
        <w:t>zdiagnozowali u skarżącego dewiacje seksualne z elementami sadomasochizmu, fetyszyzmu i pedofilii oraz uzależnienie od alkoholu, pomimo że skarżący nie spożywał go w tym czasie</w:t>
      </w:r>
      <w:r w:rsidR="002E1C0F" w:rsidRPr="00990D53">
        <w:t>.</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18</w:t>
      </w:r>
      <w:r w:rsidRPr="00990D53">
        <w:fldChar w:fldCharType="end"/>
      </w:r>
      <w:r w:rsidR="002E1C0F" w:rsidRPr="00990D53">
        <w:t xml:space="preserve">.  Co więcej, Sąd Okręgowy stwierdził, że zgodnie z sekcją </w:t>
      </w:r>
      <w:r w:rsidR="00E76412" w:rsidRPr="00990D53">
        <w:t>316 f (2)</w:t>
      </w:r>
      <w:r w:rsidR="002E1C0F" w:rsidRPr="00990D53">
        <w:t>, zdanie</w:t>
      </w:r>
      <w:r w:rsidR="001E6026" w:rsidRPr="00990D53">
        <w:t xml:space="preserve"> drugie</w:t>
      </w:r>
      <w:r w:rsidR="002E1C0F" w:rsidRPr="00990D53">
        <w:t xml:space="preserve"> Ustawy Wprowadzającej do Kodeksu karnego, mając na uwadze szczególne </w:t>
      </w:r>
      <w:r w:rsidR="009D0D26" w:rsidRPr="00990D53">
        <w:t>cechy</w:t>
      </w:r>
      <w:r w:rsidR="002E1C0F" w:rsidRPr="00990D53">
        <w:t xml:space="preserve"> osobowości i zachowania skarżącego,</w:t>
      </w:r>
      <w:r w:rsidR="006A3444" w:rsidRPr="00990D53">
        <w:t xml:space="preserve"> </w:t>
      </w:r>
      <w:r w:rsidR="00A31FF5" w:rsidRPr="00990D53">
        <w:t xml:space="preserve">istniało wysokie ryzyko, że w razie zwolnienia skarżący pod wpływem alkoholu i w celu osiągnięcia satysfakcji seksualnej nadal dopuszczałby się brutalnych przestępstw i przestępstw na tle seksualnym podobnych do tych, za które został skazany. </w:t>
      </w:r>
      <w:r w:rsidR="002E1C0F" w:rsidRPr="00990D53">
        <w:t xml:space="preserve">Podkreślając wnioski psychiatry W., zgodnie z powyżej wspomnianymi wcześniejszymi raportami ekspertów, sąd stwierdził, że skarżący przyznał się do swoich fantazji seksualnych, ale nie był w stanie </w:t>
      </w:r>
      <w:r w:rsidR="00D8679D" w:rsidRPr="00990D53">
        <w:lastRenderedPageBreak/>
        <w:t>wyleczyć ich przy pomocy</w:t>
      </w:r>
      <w:r w:rsidR="00DC1684" w:rsidRPr="00990D53">
        <w:t xml:space="preserve"> terapii. W </w:t>
      </w:r>
      <w:r w:rsidR="00274D66" w:rsidRPr="00990D53">
        <w:t>placówce</w:t>
      </w:r>
      <w:r w:rsidR="00DC1684" w:rsidRPr="00990D53">
        <w:t xml:space="preserve"> w Celle zaprzestał uczestnictwa we wszelkich aktywnościach przewidzianych dla osób </w:t>
      </w:r>
      <w:r w:rsidR="00D8679D" w:rsidRPr="00990D53">
        <w:t xml:space="preserve">osadzonych w </w:t>
      </w:r>
      <w:r w:rsidR="00274D66" w:rsidRPr="00990D53">
        <w:t>placówce prewencyjnej</w:t>
      </w:r>
      <w:r w:rsidR="00DC1684" w:rsidRPr="00990D53">
        <w:t xml:space="preserve">. Sąd Okręgowy podkreślił, że </w:t>
      </w:r>
      <w:r w:rsidR="0076338B" w:rsidRPr="00990D53">
        <w:t xml:space="preserve">psychiatra </w:t>
      </w:r>
      <w:r w:rsidR="00DC1684" w:rsidRPr="00990D53">
        <w:t>w swojej ocenie zagrożenia stwarzanego przez skarżącego, wziął pod uwagę jego zaawansowany wiek sześćdziesięciu dziewięciu lat</w:t>
      </w:r>
      <w:r w:rsidR="00D8679D" w:rsidRPr="00990D53">
        <w:t>. P</w:t>
      </w:r>
      <w:r w:rsidR="00DC1684" w:rsidRPr="00990D53">
        <w:t xml:space="preserve">rzekonująco wyjaśnił, że seksualne dewiacje skarżącego nie zostały </w:t>
      </w:r>
      <w:r w:rsidR="00D8679D" w:rsidRPr="00990D53">
        <w:t xml:space="preserve">w </w:t>
      </w:r>
      <w:r w:rsidR="001E6026" w:rsidRPr="00990D53">
        <w:t xml:space="preserve">wystarczającym </w:t>
      </w:r>
      <w:r w:rsidR="00D8679D" w:rsidRPr="00990D53">
        <w:t>stopniu</w:t>
      </w:r>
      <w:r w:rsidR="00DC1684" w:rsidRPr="00990D53">
        <w:t xml:space="preserve"> zła</w:t>
      </w:r>
      <w:r w:rsidR="001E6026" w:rsidRPr="00990D53">
        <w:t>godzone. Co więcej, jego uzależ</w:t>
      </w:r>
      <w:r w:rsidR="00DC1684" w:rsidRPr="00990D53">
        <w:t xml:space="preserve">nienie od alkoholu nie było </w:t>
      </w:r>
      <w:r w:rsidR="001E6026" w:rsidRPr="00990D53">
        <w:t>właściwie</w:t>
      </w:r>
      <w:r w:rsidR="00DC1684" w:rsidRPr="00990D53">
        <w:t xml:space="preserve"> leczone. </w:t>
      </w:r>
      <w:r w:rsidR="001E6026" w:rsidRPr="00990D53">
        <w:t>Ryzyko</w:t>
      </w:r>
      <w:r w:rsidR="00DC1684" w:rsidRPr="00990D53">
        <w:t xml:space="preserve"> popełnienia przez skarżącego</w:t>
      </w:r>
      <w:r w:rsidR="006D080B" w:rsidRPr="00990D53">
        <w:t xml:space="preserve"> </w:t>
      </w:r>
      <w:r w:rsidR="001E6026" w:rsidRPr="00990D53">
        <w:t xml:space="preserve">przestępstw </w:t>
      </w:r>
      <w:r w:rsidR="00DC1684" w:rsidRPr="00990D53">
        <w:t>seksualnych lub innych poważnych przestępstw</w:t>
      </w:r>
      <w:r w:rsidR="00D8679D" w:rsidRPr="00990D53">
        <w:t xml:space="preserve"> </w:t>
      </w:r>
      <w:r w:rsidR="001E6026" w:rsidRPr="00990D53">
        <w:t>w razie zwolnienia ulegało zwiększeniu wraz z konsumpcją alkoholu</w:t>
      </w:r>
      <w:r w:rsidR="00DC1684" w:rsidRPr="00990D53">
        <w:t xml:space="preserve">. </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19</w:t>
      </w:r>
      <w:r w:rsidRPr="00990D53">
        <w:fldChar w:fldCharType="end"/>
      </w:r>
      <w:r w:rsidRPr="00990D53">
        <w:t>.  </w:t>
      </w:r>
      <w:r w:rsidR="00DC1684" w:rsidRPr="00990D53">
        <w:t xml:space="preserve">Sąd Okręgowy stwierdził, że przedłużenie </w:t>
      </w:r>
      <w:r w:rsidR="00D8679D" w:rsidRPr="00990D53">
        <w:t>prewencyjnego pozbawienia wolności</w:t>
      </w:r>
      <w:r w:rsidR="00DC1684" w:rsidRPr="00990D53">
        <w:t xml:space="preserve"> w przypadku skarżącego, który był osadzony przez trzydzieści lat</w:t>
      </w:r>
      <w:r w:rsidR="00961637" w:rsidRPr="00990D53">
        <w:t xml:space="preserve">, nadal było proporcjonalne w </w:t>
      </w:r>
      <w:r w:rsidR="001E6026" w:rsidRPr="00990D53">
        <w:t>celu</w:t>
      </w:r>
      <w:r w:rsidR="00961637" w:rsidRPr="00990D53">
        <w:t xml:space="preserve"> ochrony bezpieczeństwa publicznego. Osadzenie skarżącego w nadzorowanym ośrodku było </w:t>
      </w:r>
      <w:r w:rsidR="00A603C4" w:rsidRPr="00990D53">
        <w:t xml:space="preserve">w praktyce </w:t>
      </w:r>
      <w:r w:rsidR="00961637" w:rsidRPr="00990D53">
        <w:t>niemożliwe</w:t>
      </w:r>
      <w:r w:rsidR="006D080B" w:rsidRPr="00990D53">
        <w:t>, pomimo wcześniejszy</w:t>
      </w:r>
      <w:r w:rsidR="00961637" w:rsidRPr="00990D53">
        <w:t>ch sugestii takiego rozwiązania</w:t>
      </w:r>
      <w:r w:rsidR="006A3444" w:rsidRPr="00990D53">
        <w:t>.</w:t>
      </w:r>
    </w:p>
    <w:p w:rsidR="006A3444" w:rsidRPr="00990D53" w:rsidRDefault="00EE3604" w:rsidP="00B3060D">
      <w:pPr>
        <w:pStyle w:val="ECHRPara"/>
      </w:pPr>
      <w:r w:rsidRPr="00990D53">
        <w:fldChar w:fldCharType="begin"/>
      </w:r>
      <w:r w:rsidRPr="00990D53">
        <w:instrText xml:space="preserve"> SEQ level0 \*arabic </w:instrText>
      </w:r>
      <w:r w:rsidRPr="00990D53">
        <w:fldChar w:fldCharType="separate"/>
      </w:r>
      <w:r w:rsidR="00A31FF5" w:rsidRPr="00990D53">
        <w:t>20</w:t>
      </w:r>
      <w:r w:rsidRPr="00990D53">
        <w:fldChar w:fldCharType="end"/>
      </w:r>
      <w:r w:rsidRPr="00990D53">
        <w:t>.  </w:t>
      </w:r>
      <w:r w:rsidR="00961637" w:rsidRPr="00990D53">
        <w:t xml:space="preserve">W sprawie nakazu wydanego przez Sąd Okręgowy na podstawie art. 67d </w:t>
      </w:r>
      <w:r w:rsidR="00961637" w:rsidRPr="00990D53">
        <w:rPr>
          <w:rFonts w:ascii="Times New Roman" w:hAnsi="Times New Roman" w:cs="Times New Roman"/>
        </w:rPr>
        <w:t>§</w:t>
      </w:r>
      <w:r w:rsidR="00961637" w:rsidRPr="00990D53">
        <w:t xml:space="preserve"> 2 Kodeksu karnego w związku z art, 66c </w:t>
      </w:r>
      <w:r w:rsidR="00961637" w:rsidRPr="00990D53">
        <w:rPr>
          <w:rFonts w:ascii="Times New Roman" w:hAnsi="Times New Roman" w:cs="Times New Roman"/>
        </w:rPr>
        <w:t>§</w:t>
      </w:r>
      <w:r w:rsidR="00961637" w:rsidRPr="00990D53">
        <w:t xml:space="preserve"> 1 podpunkt 1 Kodeksu karnego (zob. par. 49 i 54 poniżej), aby władze więzienia w Rosdorf zaproponowały skarżącemu specjalną terapię antyhormonalną, sąd stwierdził, że nakaz ten był niezbędny do zagwarantowania skarżącemu odpowiedniej opieki</w:t>
      </w:r>
      <w:r w:rsidR="00D8679D" w:rsidRPr="00990D53">
        <w:t xml:space="preserve"> w czasie pobytu</w:t>
      </w:r>
      <w:r w:rsidR="00961637" w:rsidRPr="00990D53">
        <w:t xml:space="preserve"> w </w:t>
      </w:r>
      <w:r w:rsidR="00274D66" w:rsidRPr="00990D53">
        <w:t>placówce prewencyj</w:t>
      </w:r>
      <w:r w:rsidR="00132BDC" w:rsidRPr="00990D53">
        <w:t>n</w:t>
      </w:r>
      <w:r w:rsidR="00274D66" w:rsidRPr="00990D53">
        <w:t>ej</w:t>
      </w:r>
      <w:r w:rsidR="00961637" w:rsidRPr="00990D53">
        <w:t xml:space="preserve">. </w:t>
      </w:r>
      <w:r w:rsidR="00BB5A69" w:rsidRPr="00990D53">
        <w:t>e</w:t>
      </w:r>
      <w:r w:rsidR="0076338B" w:rsidRPr="00990D53">
        <w:t>kspert</w:t>
      </w:r>
      <w:r w:rsidR="00961637" w:rsidRPr="00990D53">
        <w:t xml:space="preserve"> W. zaznaczył – co zrobił już w 2012 roku – że władze więzienia muszą co najmniej podjąć próbę </w:t>
      </w:r>
      <w:r w:rsidR="00D8679D" w:rsidRPr="00990D53">
        <w:t>leczenia skarżącego, który jest</w:t>
      </w:r>
      <w:r w:rsidR="00961637" w:rsidRPr="00990D53">
        <w:t xml:space="preserve"> chętny poddaniu się terapii z lekami. </w:t>
      </w:r>
      <w:r w:rsidR="00547AF7" w:rsidRPr="00990D53">
        <w:t>Zaproponowana t</w:t>
      </w:r>
      <w:r w:rsidR="00961637" w:rsidRPr="00990D53">
        <w:t>erapia antyhormonalna</w:t>
      </w:r>
      <w:r w:rsidR="00547AF7" w:rsidRPr="00990D53">
        <w:t xml:space="preserve"> </w:t>
      </w:r>
      <w:r w:rsidR="00274D66" w:rsidRPr="00990D53">
        <w:t>ogranicza</w:t>
      </w:r>
      <w:r w:rsidR="00167EA3" w:rsidRPr="00990D53">
        <w:t xml:space="preserve"> </w:t>
      </w:r>
      <w:r w:rsidR="00547AF7" w:rsidRPr="00990D53">
        <w:t>sadystyczne fantazje oraz libido</w:t>
      </w:r>
      <w:r w:rsidR="00167EA3" w:rsidRPr="00990D53">
        <w:t>, z tego względu mogłaby wpłynąć na zmniejszenie zagrożenia, jakie stwarza skarżący.</w:t>
      </w:r>
      <w:r w:rsidR="00547AF7" w:rsidRPr="00990D53">
        <w:t xml:space="preserve"> </w:t>
      </w:r>
    </w:p>
    <w:p w:rsidR="006A3444" w:rsidRPr="00990D53" w:rsidRDefault="00F67210" w:rsidP="00B3060D">
      <w:pPr>
        <w:pStyle w:val="ECHRHeading3"/>
      </w:pPr>
      <w:r w:rsidRPr="00990D53">
        <w:t>2.</w:t>
      </w:r>
      <w:r w:rsidR="006A3444" w:rsidRPr="00990D53">
        <w:t>  </w:t>
      </w:r>
      <w:r w:rsidR="00167EA3" w:rsidRPr="00990D53">
        <w:t>Orzeczenie Sądu Apelacyjnego w Celle</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21</w:t>
      </w:r>
      <w:r w:rsidRPr="00990D53">
        <w:fldChar w:fldCharType="end"/>
      </w:r>
      <w:r w:rsidR="00F427F7" w:rsidRPr="00990D53">
        <w:t>.  </w:t>
      </w:r>
      <w:r w:rsidR="00167EA3" w:rsidRPr="00990D53">
        <w:t>W dniu 1 lipca 2013 r. skarżący wniósł apelację na postanowienie Sądu Okręgowego, którą u</w:t>
      </w:r>
      <w:r w:rsidR="0076338B" w:rsidRPr="00990D53">
        <w:t>zasadnił</w:t>
      </w:r>
      <w:r w:rsidR="00167EA3" w:rsidRPr="00990D53">
        <w:t xml:space="preserve"> w dniu 14 lipca 2013 r. Zaskarżył, że retrospektywne przedłużenie jego </w:t>
      </w:r>
      <w:r w:rsidR="00D8679D" w:rsidRPr="00990D53">
        <w:t>pre</w:t>
      </w:r>
      <w:r w:rsidR="007003C0" w:rsidRPr="00990D53">
        <w:t>wencyjnego pozbawienia wolności</w:t>
      </w:r>
      <w:r w:rsidR="00167EA3" w:rsidRPr="00990D53">
        <w:t xml:space="preserve"> stanowiło naruszenie przepisów Konwencji.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22</w:t>
      </w:r>
      <w:r w:rsidRPr="00990D53">
        <w:fldChar w:fldCharType="end"/>
      </w:r>
      <w:r w:rsidR="00F427F7" w:rsidRPr="00990D53">
        <w:t>. </w:t>
      </w:r>
      <w:r w:rsidR="00AD7ADB" w:rsidRPr="00990D53">
        <w:t>W dniu 2 września 2013 r. Sąd Apelacyjny w Celle oddalił apelację. Poparł stanowisko Sądu Okręgowego</w:t>
      </w:r>
      <w:r w:rsidR="007003C0" w:rsidRPr="00990D53">
        <w:t xml:space="preserve"> o spełnieniu</w:t>
      </w:r>
      <w:r w:rsidR="00AD7ADB" w:rsidRPr="00990D53">
        <w:t xml:space="preserve"> </w:t>
      </w:r>
      <w:r w:rsidR="007003C0" w:rsidRPr="00990D53">
        <w:t>przesłanek</w:t>
      </w:r>
      <w:r w:rsidR="00AD7ADB" w:rsidRPr="00990D53">
        <w:t xml:space="preserve"> do wydania postanowienia o </w:t>
      </w:r>
      <w:r w:rsidR="00A603C4" w:rsidRPr="00990D53">
        <w:t>przedłużeniu</w:t>
      </w:r>
      <w:r w:rsidR="00AD7ADB" w:rsidRPr="00990D53">
        <w:t xml:space="preserve"> </w:t>
      </w:r>
      <w:r w:rsidR="007003C0" w:rsidRPr="00990D53">
        <w:t>prewencyjnego pozbawienia wolności</w:t>
      </w:r>
      <w:r w:rsidR="00A603C4" w:rsidRPr="00990D53">
        <w:t>, określonych</w:t>
      </w:r>
      <w:r w:rsidR="00AD7ADB" w:rsidRPr="00990D53">
        <w:t xml:space="preserve"> w drugim zdaniu </w:t>
      </w:r>
      <w:r w:rsidR="0076338B" w:rsidRPr="00990D53">
        <w:t>paragrafu</w:t>
      </w:r>
      <w:r w:rsidR="00AD7ADB" w:rsidRPr="00990D53">
        <w:t xml:space="preserve"> </w:t>
      </w:r>
      <w:r w:rsidR="00E76412" w:rsidRPr="00990D53">
        <w:t>316f(2)</w:t>
      </w:r>
      <w:r w:rsidR="00AD7ADB" w:rsidRPr="00990D53">
        <w:t xml:space="preserve"> Ustawy Wprowadzającej Kodeks karn</w:t>
      </w:r>
      <w:r w:rsidR="00BB5A69" w:rsidRPr="00990D53">
        <w:t>y</w:t>
      </w:r>
      <w:r w:rsidR="00AD7ADB" w:rsidRPr="00990D53">
        <w:t xml:space="preserve">. </w:t>
      </w:r>
    </w:p>
    <w:p w:rsidR="006A3444" w:rsidRPr="00990D53" w:rsidRDefault="00F427F7" w:rsidP="00B3060D">
      <w:pPr>
        <w:pStyle w:val="ECHRPara"/>
      </w:pPr>
      <w:r w:rsidRPr="00990D53">
        <w:fldChar w:fldCharType="begin"/>
      </w:r>
      <w:r w:rsidRPr="00990D53">
        <w:instrText xml:space="preserve"> SEQ level0 \*arabic </w:instrText>
      </w:r>
      <w:r w:rsidRPr="00990D53">
        <w:fldChar w:fldCharType="separate"/>
      </w:r>
      <w:r w:rsidR="00A31FF5" w:rsidRPr="00990D53">
        <w:t>23</w:t>
      </w:r>
      <w:r w:rsidRPr="00990D53">
        <w:fldChar w:fldCharType="end"/>
      </w:r>
      <w:r w:rsidRPr="00990D53">
        <w:t>.  </w:t>
      </w:r>
      <w:r w:rsidR="00AD7ADB" w:rsidRPr="00990D53">
        <w:t xml:space="preserve">Biorąc pod uwagę raport złożony przez </w:t>
      </w:r>
      <w:r w:rsidR="0076338B" w:rsidRPr="00990D53">
        <w:t>eksperta</w:t>
      </w:r>
      <w:r w:rsidR="00AD7ADB" w:rsidRPr="00990D53">
        <w:t xml:space="preserve"> W., Sąd Apelacyjny stwierdził, że skarżący </w:t>
      </w:r>
      <w:r w:rsidR="00C652E5" w:rsidRPr="00990D53">
        <w:t>miał zaburzenia psychiczne</w:t>
      </w:r>
      <w:r w:rsidR="00AD7ADB" w:rsidRPr="00990D53">
        <w:t xml:space="preserve"> w rozumieniu </w:t>
      </w:r>
      <w:r w:rsidR="0076338B" w:rsidRPr="00990D53">
        <w:t>pragrafu</w:t>
      </w:r>
      <w:r w:rsidR="00AD7ADB" w:rsidRPr="00990D53">
        <w:t>1</w:t>
      </w:r>
      <w:r w:rsidR="00F57FA8" w:rsidRPr="00990D53">
        <w:t>(</w:t>
      </w:r>
      <w:r w:rsidR="00AD7ADB" w:rsidRPr="00990D53">
        <w:t>1</w:t>
      </w:r>
      <w:r w:rsidR="00F57FA8" w:rsidRPr="00990D53">
        <w:t>)</w:t>
      </w:r>
      <w:r w:rsidR="00AD7ADB" w:rsidRPr="00990D53">
        <w:t xml:space="preserve"> Ustawy </w:t>
      </w:r>
      <w:r w:rsidR="00A603C4" w:rsidRPr="00990D53">
        <w:t>o Detencji Prewencyjnej</w:t>
      </w:r>
      <w:r w:rsidR="00BB5A69" w:rsidRPr="00990D53">
        <w:t xml:space="preserve"> (</w:t>
      </w:r>
      <w:r w:rsidR="00BB5A69" w:rsidRPr="00990D53">
        <w:rPr>
          <w:i/>
        </w:rPr>
        <w:t>The Therapy Detention Act</w:t>
      </w:r>
      <w:r w:rsidR="00BB5A69" w:rsidRPr="00990D53">
        <w:t>)</w:t>
      </w:r>
      <w:r w:rsidR="00A603C4" w:rsidRPr="00990D53">
        <w:t>.</w:t>
      </w:r>
      <w:r w:rsidR="00AD7ADB" w:rsidRPr="00990D53">
        <w:t xml:space="preserve"> </w:t>
      </w:r>
      <w:r w:rsidR="00C652E5" w:rsidRPr="00990D53">
        <w:t>Odnosząc się do orzecznictwa Federalnego Trybunału Konstytucyjnego (zob. par. 73-76 poniżej)</w:t>
      </w:r>
      <w:r w:rsidR="007003C0" w:rsidRPr="00990D53">
        <w:t xml:space="preserve"> s</w:t>
      </w:r>
      <w:r w:rsidR="00C652E5" w:rsidRPr="00990D53">
        <w:t xml:space="preserve">ąd stwierdził, </w:t>
      </w:r>
      <w:r w:rsidR="007003C0" w:rsidRPr="00990D53">
        <w:t>że w rozumieniu tej Ustawy zaburzenie psychiczne nie musiało osiągać takiego stopnia, który wpłynąłby na ogra</w:t>
      </w:r>
      <w:r w:rsidR="00A603C4" w:rsidRPr="00990D53">
        <w:t>nicz</w:t>
      </w:r>
      <w:r w:rsidR="007003C0" w:rsidRPr="00990D53">
        <w:t xml:space="preserve">enie lub wyłączenie odpowiedzialności karnej </w:t>
      </w:r>
      <w:r w:rsidR="00A603C4" w:rsidRPr="00990D53">
        <w:t>w rozumieniu</w:t>
      </w:r>
      <w:r w:rsidR="009D0D26" w:rsidRPr="00990D53">
        <w:t xml:space="preserve"> </w:t>
      </w:r>
      <w:r w:rsidR="009D0D26" w:rsidRPr="00990D53">
        <w:lastRenderedPageBreak/>
        <w:t xml:space="preserve">artykułów 20 i 21 Kodeksu karnego (zob. par. 61-62 poniżej). Szczególne zaburzenia wpływające na osobowość, zachowanie, preferencje seksualne i kontrolę instynktów danej osoby były zdefiniowane w sekcji 1 ust. 1 Ustawy o </w:t>
      </w:r>
      <w:r w:rsidR="00A603C4" w:rsidRPr="00990D53">
        <w:t>Detencji Prewencyjnej</w:t>
      </w:r>
      <w:r w:rsidR="009D0D26" w:rsidRPr="00990D53">
        <w:t xml:space="preserve"> jako “zaburzen</w:t>
      </w:r>
      <w:r w:rsidR="00132BDC" w:rsidRPr="00990D53">
        <w:t>ia psychiczne”. Sadyzm i uzależ</w:t>
      </w:r>
      <w:r w:rsidR="009D0D26" w:rsidRPr="00990D53">
        <w:t>nienie od alkoholu</w:t>
      </w:r>
      <w:r w:rsidR="00A603C4" w:rsidRPr="00990D53">
        <w:t>, nawet</w:t>
      </w:r>
      <w:r w:rsidR="009D0D26" w:rsidRPr="00990D53">
        <w:t xml:space="preserve"> bez spożywania</w:t>
      </w:r>
      <w:r w:rsidR="007003C0" w:rsidRPr="00990D53">
        <w:t xml:space="preserve"> go w czasie obecnym, skutkowały</w:t>
      </w:r>
      <w:r w:rsidR="009D0D26" w:rsidRPr="00990D53">
        <w:t xml:space="preserve"> w przypadku skarżącego </w:t>
      </w:r>
      <w:r w:rsidR="007003C0" w:rsidRPr="00990D53">
        <w:t>stwierdzeniem</w:t>
      </w:r>
      <w:r w:rsidR="009D0D26" w:rsidRPr="00990D53">
        <w:t xml:space="preserve"> zaburzenia psychicznego w rozumieniu tego przepisu</w:t>
      </w:r>
      <w:r w:rsidR="006A3444" w:rsidRPr="00990D53">
        <w:t>.</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24</w:t>
      </w:r>
      <w:r w:rsidRPr="00990D53">
        <w:fldChar w:fldCharType="end"/>
      </w:r>
      <w:r w:rsidR="00F427F7" w:rsidRPr="00990D53">
        <w:t>.  </w:t>
      </w:r>
      <w:r w:rsidR="00A31FF5" w:rsidRPr="00990D53">
        <w:t xml:space="preserve">Co więcej, nadal istniało wysokie ryzyko, że w razie zwolnienia skarżący  nadal dopuszczałby się </w:t>
      </w:r>
      <w:r w:rsidR="00F57FA8" w:rsidRPr="00990D53">
        <w:t xml:space="preserve">najpoważniejszych </w:t>
      </w:r>
      <w:r w:rsidR="00A31FF5" w:rsidRPr="00990D53">
        <w:t>brutalnych przestępstw i przestępstw na tle seksualnym</w:t>
      </w:r>
      <w:r w:rsidR="00F57FA8" w:rsidRPr="00990D53">
        <w:t>,</w:t>
      </w:r>
      <w:r w:rsidR="00A31FF5" w:rsidRPr="00990D53">
        <w:t xml:space="preserve"> podobnych do tych, za które został skazany -</w:t>
      </w:r>
      <w:r w:rsidR="009D0D26" w:rsidRPr="00990D53">
        <w:t xml:space="preserve"> mając na uwadze szczególne cechy jego osobowości i zachowania.</w:t>
      </w:r>
      <w:r w:rsidR="006A3444" w:rsidRPr="00990D53">
        <w:t xml:space="preserve"> </w:t>
      </w:r>
      <w:r w:rsidR="00A817F1" w:rsidRPr="00990D53">
        <w:t xml:space="preserve">Zagrożenie, jakie skarżący stwarzał dla otoczenia, nie zostało zredukowane w wyniku terapii; nie zmniejszyło się również z uwagi na jego zaawansowany wiek. </w:t>
      </w:r>
      <w:r w:rsidR="00A603C4" w:rsidRPr="00990D53">
        <w:t>N</w:t>
      </w:r>
      <w:r w:rsidR="00A817F1" w:rsidRPr="00990D53">
        <w:t>ie uczestniczył</w:t>
      </w:r>
      <w:r w:rsidR="00A603C4" w:rsidRPr="00990D53">
        <w:t xml:space="preserve"> wówczas</w:t>
      </w:r>
      <w:r w:rsidR="00A817F1" w:rsidRPr="00990D53">
        <w:t xml:space="preserve"> w żadnych poważnych zajęciach terapeutycznych i nadal umniejszał powagę swoich przestępstw. </w:t>
      </w:r>
      <w:r w:rsidR="007003C0" w:rsidRPr="00990D53">
        <w:t xml:space="preserve">Także </w:t>
      </w:r>
      <w:r w:rsidR="00A817F1" w:rsidRPr="00990D53">
        <w:t xml:space="preserve">psychiatra W. potwierdził, że jego choroba psychiczna była </w:t>
      </w:r>
      <w:r w:rsidR="00F57FA8" w:rsidRPr="00990D53">
        <w:t>trudna w</w:t>
      </w:r>
      <w:r w:rsidR="00A817F1" w:rsidRPr="00990D53">
        <w:t xml:space="preserve"> leczeni</w:t>
      </w:r>
      <w:r w:rsidR="00F57FA8" w:rsidRPr="00990D53">
        <w:t>u</w:t>
      </w:r>
      <w:r w:rsidR="00A817F1" w:rsidRPr="00990D53">
        <w:t xml:space="preserve">. Sąd Apelacyjny </w:t>
      </w:r>
      <w:r w:rsidR="008A0B84" w:rsidRPr="00990D53">
        <w:t xml:space="preserve">uznał za zasadne wnioski </w:t>
      </w:r>
      <w:r w:rsidR="00A817F1" w:rsidRPr="00990D53">
        <w:t xml:space="preserve"> Sądu Okręgowego o proporcjonalności </w:t>
      </w:r>
      <w:r w:rsidR="008A0B84" w:rsidRPr="00990D53">
        <w:t xml:space="preserve">nieprzerwanej </w:t>
      </w:r>
      <w:r w:rsidR="00A603C4" w:rsidRPr="00990D53">
        <w:t>detencji prewencyjnej</w:t>
      </w:r>
      <w:r w:rsidR="008A0B84" w:rsidRPr="00990D53">
        <w:t xml:space="preserve"> skarżącego</w:t>
      </w:r>
      <w:r w:rsidR="00A603C4" w:rsidRPr="00990D53">
        <w:t xml:space="preserve">, pomimo </w:t>
      </w:r>
      <w:r w:rsidR="008A0B84" w:rsidRPr="00990D53">
        <w:t>znaczne</w:t>
      </w:r>
      <w:r w:rsidR="00DC1EAB" w:rsidRPr="00990D53">
        <w:t>go całkowitego okresu jego detencji.</w:t>
      </w:r>
      <w:r w:rsidR="00A817F1" w:rsidRPr="00990D53">
        <w:t xml:space="preserve"> </w:t>
      </w:r>
    </w:p>
    <w:p w:rsidR="006A3444" w:rsidRPr="00990D53" w:rsidRDefault="00F67210" w:rsidP="00B3060D">
      <w:pPr>
        <w:pStyle w:val="ECHRHeading3"/>
      </w:pPr>
      <w:r w:rsidRPr="00990D53">
        <w:t>3.</w:t>
      </w:r>
      <w:r w:rsidR="006A3444" w:rsidRPr="00990D53">
        <w:t>  </w:t>
      </w:r>
      <w:r w:rsidR="00A817F1" w:rsidRPr="00990D53">
        <w:t>Orzeczenie Federalnego Trybunału Konstytucyjnego</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25</w:t>
      </w:r>
      <w:r w:rsidRPr="00990D53">
        <w:fldChar w:fldCharType="end"/>
      </w:r>
      <w:r w:rsidR="00F427F7" w:rsidRPr="00990D53">
        <w:t>.  </w:t>
      </w:r>
      <w:r w:rsidR="00A817F1" w:rsidRPr="00990D53">
        <w:t xml:space="preserve">Dnia 24 września 2013 r. skarżący złożył skargę konstytucyjną do Federalnego Trybunału Konstytucyjnego na orzeczenie Sądu Okręgowego w </w:t>
      </w:r>
      <w:r w:rsidR="006A3444" w:rsidRPr="00990D53">
        <w:t>Lüneburg</w:t>
      </w:r>
      <w:r w:rsidR="00A817F1" w:rsidRPr="00990D53">
        <w:t>u i Sądu Okręgowego w Celle.</w:t>
      </w:r>
      <w:r w:rsidR="006A3444" w:rsidRPr="00990D53">
        <w:t xml:space="preserve"> </w:t>
      </w:r>
      <w:r w:rsidR="00A817F1" w:rsidRPr="00990D53">
        <w:t xml:space="preserve">Twierdził, że nakaz kontynuacji </w:t>
      </w:r>
      <w:r w:rsidR="008F7648" w:rsidRPr="00990D53">
        <w:t>prewencyjnego pozbawienia wolności</w:t>
      </w:r>
      <w:r w:rsidR="008D22B9" w:rsidRPr="00990D53">
        <w:t xml:space="preserve"> naruszał jego konstytucyjne prawo do wolności w związku z konstytucyjnym prawem do ochrony uzasadnionych oczekiwań zagwarantow</w:t>
      </w:r>
      <w:r w:rsidR="00132BDC" w:rsidRPr="00990D53">
        <w:t>a</w:t>
      </w:r>
      <w:r w:rsidR="008D22B9" w:rsidRPr="00990D53">
        <w:t xml:space="preserve">nych przez państwo oparte na rządach prawa. </w:t>
      </w:r>
    </w:p>
    <w:p w:rsidR="008137CF" w:rsidRPr="00990D53" w:rsidRDefault="00F427F7" w:rsidP="00B3060D">
      <w:pPr>
        <w:pStyle w:val="ECHRPara"/>
      </w:pPr>
      <w:r w:rsidRPr="00990D53">
        <w:fldChar w:fldCharType="begin"/>
      </w:r>
      <w:r w:rsidRPr="00990D53">
        <w:instrText xml:space="preserve"> SEQ level0 \*arabic </w:instrText>
      </w:r>
      <w:r w:rsidRPr="00990D53">
        <w:fldChar w:fldCharType="separate"/>
      </w:r>
      <w:r w:rsidR="00A31FF5" w:rsidRPr="00990D53">
        <w:t>26</w:t>
      </w:r>
      <w:r w:rsidRPr="00990D53">
        <w:fldChar w:fldCharType="end"/>
      </w:r>
      <w:r w:rsidRPr="00990D53">
        <w:t>.  </w:t>
      </w:r>
      <w:r w:rsidR="008D22B9" w:rsidRPr="00990D53">
        <w:t xml:space="preserve">Skarżący przedstawił, że zgodnie z utrwalonym orzecznictwem Europejskiego Trybunału Praw Człowieka (odniósł się do sprawy </w:t>
      </w:r>
      <w:r w:rsidR="008D22B9" w:rsidRPr="00990D53">
        <w:rPr>
          <w:i/>
        </w:rPr>
        <w:t>M. przeciwko Niemcom,</w:t>
      </w:r>
      <w:r w:rsidR="008D22B9" w:rsidRPr="00990D53">
        <w:t xml:space="preserve"> nr </w:t>
      </w:r>
      <w:r w:rsidR="006A3444" w:rsidRPr="00990D53">
        <w:t xml:space="preserve">19359/04, </w:t>
      </w:r>
      <w:r w:rsidR="008D22B9" w:rsidRPr="00990D53">
        <w:t>ETPCz</w:t>
      </w:r>
      <w:r w:rsidR="006A3444" w:rsidRPr="00990D53">
        <w:t xml:space="preserve"> 2009), </w:t>
      </w:r>
      <w:r w:rsidR="008D22B9" w:rsidRPr="00990D53">
        <w:t xml:space="preserve">retrospektywne przedłużenie </w:t>
      </w:r>
      <w:r w:rsidR="008F7648" w:rsidRPr="00990D53">
        <w:t>prewencyjnego pozbawienia wolności</w:t>
      </w:r>
      <w:r w:rsidR="008D22B9" w:rsidRPr="00990D53">
        <w:t xml:space="preserve"> – kary – ponad </w:t>
      </w:r>
      <w:r w:rsidR="008F7648" w:rsidRPr="00990D53">
        <w:t>dziesięcioletni limit, naruszało</w:t>
      </w:r>
      <w:r w:rsidR="008D22B9" w:rsidRPr="00990D53">
        <w:t xml:space="preserve"> zakaz karania retrospektywnego, zgodnie z art. 7 Konwencji i stawało w sprzeczności z art. 5 </w:t>
      </w:r>
      <w:r w:rsidR="008D22B9" w:rsidRPr="00990D53">
        <w:rPr>
          <w:rFonts w:ascii="Times New Roman" w:hAnsi="Times New Roman" w:cs="Times New Roman"/>
        </w:rPr>
        <w:t>§</w:t>
      </w:r>
      <w:r w:rsidR="008D22B9" w:rsidRPr="00990D53">
        <w:t xml:space="preserve"> 1</w:t>
      </w:r>
      <w:r w:rsidR="00A603C4" w:rsidRPr="00990D53">
        <w:t xml:space="preserve"> lit. a)</w:t>
      </w:r>
      <w:r w:rsidR="008D22B9" w:rsidRPr="00990D53">
        <w:t xml:space="preserve"> Konwencji. </w:t>
      </w:r>
      <w:r w:rsidR="008137CF" w:rsidRPr="00990D53">
        <w:t xml:space="preserve">Co więcej, kontynuacja </w:t>
      </w:r>
      <w:r w:rsidR="008F7648" w:rsidRPr="00990D53">
        <w:t>prewencyjnego pozbawienia wolności</w:t>
      </w:r>
      <w:r w:rsidR="008137CF" w:rsidRPr="00990D53">
        <w:t xml:space="preserve"> nie mogła zostać usprawiedliwiona na mocy art. 5 </w:t>
      </w:r>
      <w:r w:rsidR="008137CF" w:rsidRPr="00990D53">
        <w:rPr>
          <w:rFonts w:ascii="Times New Roman" w:hAnsi="Times New Roman" w:cs="Times New Roman"/>
        </w:rPr>
        <w:t>§</w:t>
      </w:r>
      <w:r w:rsidR="008137CF" w:rsidRPr="00990D53">
        <w:t xml:space="preserve"> 1</w:t>
      </w:r>
      <w:r w:rsidR="00A603C4" w:rsidRPr="00990D53">
        <w:t xml:space="preserve"> lit. e). Nie cierpiał na zaburzenia psychiczne</w:t>
      </w:r>
      <w:r w:rsidR="008137CF" w:rsidRPr="00990D53">
        <w:t xml:space="preserve"> w rozumieniu tego przepisu. Dodatkowo, znaczenie i zakres “zaburzeń psychicznych” w rozumieniu przepisów prawa krajowego i w orzecznictwie sądów krajowych, pozostawało niejasne. </w:t>
      </w:r>
    </w:p>
    <w:p w:rsidR="006A3444" w:rsidRPr="00990D53" w:rsidRDefault="00DA2C01" w:rsidP="00B3060D">
      <w:pPr>
        <w:pStyle w:val="ECHRPara"/>
      </w:pPr>
      <w:r w:rsidRPr="00990D53">
        <w:fldChar w:fldCharType="begin"/>
      </w:r>
      <w:r w:rsidRPr="00990D53">
        <w:instrText xml:space="preserve"> SEQ level0 \*arabic </w:instrText>
      </w:r>
      <w:r w:rsidRPr="00990D53">
        <w:fldChar w:fldCharType="separate"/>
      </w:r>
      <w:r w:rsidR="00A31FF5" w:rsidRPr="00990D53">
        <w:t>27</w:t>
      </w:r>
      <w:r w:rsidRPr="00990D53">
        <w:fldChar w:fldCharType="end"/>
      </w:r>
      <w:r w:rsidRPr="00990D53">
        <w:t>.  </w:t>
      </w:r>
      <w:r w:rsidR="00A603C4" w:rsidRPr="00990D53">
        <w:t>Skarżący następnie</w:t>
      </w:r>
      <w:r w:rsidR="008137CF" w:rsidRPr="00990D53">
        <w:t xml:space="preserve"> podkreślił, że Sąd Okręgowy zalecił umieszczenie go w placówce nadzorowanej</w:t>
      </w:r>
      <w:r w:rsidR="00274D66" w:rsidRPr="00990D53">
        <w:t xml:space="preserve">. W tych okolicznościach dalszy pobyt skarżącego w placówce prewencyjnej w </w:t>
      </w:r>
      <w:r w:rsidR="008137CF" w:rsidRPr="00990D53">
        <w:t xml:space="preserve">Rosdorf, </w:t>
      </w:r>
      <w:r w:rsidR="008F7648" w:rsidRPr="00990D53">
        <w:t xml:space="preserve">nie był dłużej </w:t>
      </w:r>
      <w:r w:rsidR="008137CF" w:rsidRPr="00990D53">
        <w:t>pr</w:t>
      </w:r>
      <w:r w:rsidR="008F7648" w:rsidRPr="00990D53">
        <w:t>oporcjonaln</w:t>
      </w:r>
      <w:r w:rsidR="008C16AB" w:rsidRPr="00990D53">
        <w:t>y</w:t>
      </w:r>
      <w:r w:rsidR="008137CF" w:rsidRPr="00990D53">
        <w:t xml:space="preserve">. </w:t>
      </w:r>
      <w:r w:rsidR="004B3B53" w:rsidRPr="00990D53">
        <w:t>Przyzn</w:t>
      </w:r>
      <w:r w:rsidR="00274D66" w:rsidRPr="00990D53">
        <w:t>ał jednak, że jego pobyt w nowej placówce</w:t>
      </w:r>
      <w:r w:rsidR="004B3B53" w:rsidRPr="00990D53">
        <w:t xml:space="preserve"> na </w:t>
      </w:r>
      <w:r w:rsidR="004B3B53" w:rsidRPr="00990D53">
        <w:lastRenderedPageBreak/>
        <w:t xml:space="preserve">terenie </w:t>
      </w:r>
      <w:r w:rsidR="008F7648" w:rsidRPr="00990D53">
        <w:t>więzienia w Rosdorf spełniał</w:t>
      </w:r>
      <w:r w:rsidR="004B3B53" w:rsidRPr="00990D53">
        <w:t xml:space="preserve"> wymogi konstytucyjne polegające na zróżnicowaniu </w:t>
      </w:r>
      <w:r w:rsidR="00274D66" w:rsidRPr="00990D53">
        <w:t>osadzenia</w:t>
      </w:r>
      <w:r w:rsidR="008F7648" w:rsidRPr="00990D53">
        <w:t xml:space="preserve"> w </w:t>
      </w:r>
      <w:r w:rsidR="00274D66" w:rsidRPr="00990D53">
        <w:t>placówce prewencyjnej</w:t>
      </w:r>
      <w:r w:rsidR="004B3B53" w:rsidRPr="00990D53">
        <w:t xml:space="preserve"> </w:t>
      </w:r>
      <w:r w:rsidR="00274D66" w:rsidRPr="00990D53">
        <w:t>od</w:t>
      </w:r>
      <w:r w:rsidR="004B3B53" w:rsidRPr="00990D53">
        <w:t xml:space="preserve"> </w:t>
      </w:r>
      <w:r w:rsidR="008C16AB" w:rsidRPr="00990D53">
        <w:t>u</w:t>
      </w:r>
      <w:r w:rsidR="004B3B53" w:rsidRPr="00990D53">
        <w:t>więzienia</w:t>
      </w:r>
      <w:r w:rsidR="006A3444" w:rsidRPr="00990D53">
        <w:t>.</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28</w:t>
      </w:r>
      <w:r w:rsidRPr="00990D53">
        <w:fldChar w:fldCharType="end"/>
      </w:r>
      <w:r w:rsidR="00F427F7" w:rsidRPr="00990D53">
        <w:t>. </w:t>
      </w:r>
      <w:r w:rsidR="004B3B53" w:rsidRPr="00990D53">
        <w:t>W dniu 29 października 2013 r. Federalny Trybunał Konstytucyjny odrzucił skargę skarżącego bez podania p</w:t>
      </w:r>
      <w:r w:rsidR="008F7648" w:rsidRPr="00990D53">
        <w:t>rzyczyn</w:t>
      </w:r>
      <w:r w:rsidR="004B3B53" w:rsidRPr="00990D53">
        <w:t xml:space="preserve"> (akta nr 2 </w:t>
      </w:r>
      <w:r w:rsidR="006A3444" w:rsidRPr="00990D53">
        <w:t>BvR 2182/13).</w:t>
      </w:r>
      <w:r w:rsidR="004A0B66" w:rsidRPr="00990D53">
        <w:t xml:space="preserve"> </w:t>
      </w:r>
      <w:r w:rsidR="004B3B53" w:rsidRPr="00990D53">
        <w:t xml:space="preserve">Postanowienie zostało doręczone pełnomocnikowi skarżącego w dniu 7 listopada 2013 r. </w:t>
      </w:r>
    </w:p>
    <w:p w:rsidR="00B4252D" w:rsidRPr="00990D53" w:rsidRDefault="00022B07" w:rsidP="00B3060D">
      <w:pPr>
        <w:pStyle w:val="ECHRHeading2"/>
      </w:pPr>
      <w:r w:rsidRPr="00990D53">
        <w:t>C.  </w:t>
      </w:r>
      <w:r w:rsidR="004B3B53" w:rsidRPr="00990D53">
        <w:t>Równoległe i kolejne</w:t>
      </w:r>
      <w:r w:rsidR="00A603C4" w:rsidRPr="00990D53">
        <w:t xml:space="preserve"> postępowania</w:t>
      </w:r>
    </w:p>
    <w:p w:rsidR="00B4252D"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29</w:t>
      </w:r>
      <w:r w:rsidRPr="00990D53">
        <w:fldChar w:fldCharType="end"/>
      </w:r>
      <w:r w:rsidR="00956C07" w:rsidRPr="00990D53">
        <w:t>.  </w:t>
      </w:r>
      <w:r w:rsidR="004B3B53" w:rsidRPr="00990D53">
        <w:t xml:space="preserve">W dniu 5 grudnia 2011 r. Sąd Okręgowy w </w:t>
      </w:r>
      <w:r w:rsidR="00B4252D" w:rsidRPr="00990D53">
        <w:t>Lüneburg</w:t>
      </w:r>
      <w:r w:rsidR="004B3B53" w:rsidRPr="00990D53">
        <w:t xml:space="preserve">u, sekcja cywilna, postanowił o umieszczeniu skarżącego w szpitalu psychiatrycznym w </w:t>
      </w:r>
      <w:r w:rsidR="00B4252D" w:rsidRPr="00990D53">
        <w:t>Moring</w:t>
      </w:r>
      <w:r w:rsidR="00E80B20" w:rsidRPr="00990D53">
        <w:t>en</w:t>
      </w:r>
      <w:r w:rsidR="004B3B53" w:rsidRPr="00990D53">
        <w:t xml:space="preserve"> na mocy Ustawy o </w:t>
      </w:r>
      <w:r w:rsidR="00A603C4" w:rsidRPr="00990D53">
        <w:t>Detencji Prewencyjnej</w:t>
      </w:r>
      <w:r w:rsidR="004B3B53" w:rsidRPr="00990D53">
        <w:t>.</w:t>
      </w:r>
      <w:r w:rsidR="00B4252D" w:rsidRPr="00990D53">
        <w:t xml:space="preserve"> </w:t>
      </w:r>
      <w:r w:rsidR="004B3B53" w:rsidRPr="00990D53">
        <w:t xml:space="preserve">Stwierdził, że skarżący </w:t>
      </w:r>
      <w:r w:rsidR="00A603C4" w:rsidRPr="00990D53">
        <w:t>cierpiał na</w:t>
      </w:r>
      <w:r w:rsidR="004B3B53" w:rsidRPr="00990D53">
        <w:t xml:space="preserve"> zaburzenie psychiczne w rozumie</w:t>
      </w:r>
      <w:r w:rsidR="00183C4D" w:rsidRPr="00990D53">
        <w:t xml:space="preserve">niu </w:t>
      </w:r>
      <w:r w:rsidR="008C16AB" w:rsidRPr="00990D53">
        <w:t>paragrafu</w:t>
      </w:r>
      <w:r w:rsidR="00183C4D" w:rsidRPr="00990D53">
        <w:t xml:space="preserve"> 1 tej Ustawy oraz</w:t>
      </w:r>
      <w:r w:rsidR="004B3B53" w:rsidRPr="00990D53">
        <w:t xml:space="preserve"> że istniało wysokie ryzyko, że </w:t>
      </w:r>
      <w:r w:rsidR="00183C4D" w:rsidRPr="00990D53">
        <w:t xml:space="preserve">w razie zwolnienia </w:t>
      </w:r>
      <w:r w:rsidR="004B3B53" w:rsidRPr="00990D53">
        <w:t>dalej p</w:t>
      </w:r>
      <w:r w:rsidR="008F7648" w:rsidRPr="00990D53">
        <w:t>opełniałby poważne przestępstwa</w:t>
      </w:r>
      <w:r w:rsidR="004B3B53" w:rsidRPr="00990D53">
        <w:t xml:space="preserve">. </w:t>
      </w:r>
      <w:r w:rsidR="004E316D" w:rsidRPr="00990D53">
        <w:t>W dniu 31 stycznia 2012 r. Sąd Apelacyjny w Celle uchylił to postanowienie</w:t>
      </w:r>
      <w:r w:rsidR="008C16AB" w:rsidRPr="00990D53">
        <w:t xml:space="preserve"> uznając, że osadzenie na podstawie</w:t>
      </w:r>
      <w:r w:rsidR="004E316D" w:rsidRPr="00990D53">
        <w:t xml:space="preserve"> </w:t>
      </w:r>
      <w:r w:rsidR="00A603C4" w:rsidRPr="00990D53">
        <w:t>Ustawy o Detencji Prewencyjnej</w:t>
      </w:r>
      <w:r w:rsidR="008C16AB" w:rsidRPr="00990D53">
        <w:t xml:space="preserve"> jest</w:t>
      </w:r>
      <w:r w:rsidR="004E316D" w:rsidRPr="00990D53">
        <w:t xml:space="preserve"> możliwe  tylko wówczas, gdy </w:t>
      </w:r>
      <w:r w:rsidR="00C93433" w:rsidRPr="00990D53">
        <w:t>prewencyjne pozbawienie wolności</w:t>
      </w:r>
      <w:r w:rsidR="004E316D" w:rsidRPr="00990D53">
        <w:t xml:space="preserve"> zostało </w:t>
      </w:r>
      <w:r w:rsidR="00183C4D" w:rsidRPr="00990D53">
        <w:t>zakończone na mocy prawomocnego postanowienia</w:t>
      </w:r>
      <w:r w:rsidR="004E316D" w:rsidRPr="00990D53">
        <w:t xml:space="preserve">.  </w:t>
      </w:r>
    </w:p>
    <w:p w:rsidR="004E316D"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30</w:t>
      </w:r>
      <w:r w:rsidRPr="00990D53">
        <w:fldChar w:fldCharType="end"/>
      </w:r>
      <w:r w:rsidR="00F46389" w:rsidRPr="00990D53">
        <w:t>.  </w:t>
      </w:r>
      <w:r w:rsidR="004E316D" w:rsidRPr="00990D53">
        <w:t xml:space="preserve">W dniu 25 kwietnia 2014 r. Sąd Okręgowy w </w:t>
      </w:r>
      <w:r w:rsidR="00FE549E" w:rsidRPr="00990D53">
        <w:t>Göttingen</w:t>
      </w:r>
      <w:r w:rsidR="004E316D" w:rsidRPr="00990D53">
        <w:t>, w postępowaniu</w:t>
      </w:r>
      <w:r w:rsidR="00FE549E" w:rsidRPr="00990D53">
        <w:t xml:space="preserve"> </w:t>
      </w:r>
      <w:r w:rsidR="00183C4D" w:rsidRPr="00990D53">
        <w:t>kontrolnym na postanowienie</w:t>
      </w:r>
      <w:r w:rsidR="004E316D" w:rsidRPr="00990D53">
        <w:t xml:space="preserve"> o </w:t>
      </w:r>
      <w:r w:rsidR="00183C4D" w:rsidRPr="00990D53">
        <w:t>przedłużeniu</w:t>
      </w:r>
      <w:r w:rsidR="004E316D" w:rsidRPr="00990D53">
        <w:t xml:space="preserve"> </w:t>
      </w:r>
      <w:r w:rsidR="00C93433" w:rsidRPr="00990D53">
        <w:t xml:space="preserve"> prewencyjnego</w:t>
      </w:r>
      <w:r w:rsidR="00274D66" w:rsidRPr="00990D53">
        <w:t xml:space="preserve"> pozbawienia wolności</w:t>
      </w:r>
      <w:r w:rsidR="00C93433" w:rsidRPr="00990D53">
        <w:t xml:space="preserve">, postanowił </w:t>
      </w:r>
      <w:r w:rsidR="00183C4D" w:rsidRPr="00990D53">
        <w:t>o jego kontynuacji</w:t>
      </w:r>
      <w:r w:rsidR="004E316D" w:rsidRPr="00990D53">
        <w:t xml:space="preserve">. Stwierdził, że skarżący stale odmawiał </w:t>
      </w:r>
      <w:r w:rsidR="00274D66" w:rsidRPr="00990D53">
        <w:t>przyjmowania lekarstw</w:t>
      </w:r>
      <w:r w:rsidR="00183C4D" w:rsidRPr="00990D53">
        <w:t xml:space="preserve"> mających</w:t>
      </w:r>
      <w:r w:rsidR="004E316D" w:rsidRPr="00990D53">
        <w:t xml:space="preserve"> na celu zmniejszenie jego libido</w:t>
      </w:r>
      <w:r w:rsidR="002B6312" w:rsidRPr="00990D53">
        <w:t>.</w:t>
      </w:r>
    </w:p>
    <w:p w:rsidR="00756BBD"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31</w:t>
      </w:r>
      <w:r w:rsidRPr="00990D53">
        <w:fldChar w:fldCharType="end"/>
      </w:r>
      <w:r w:rsidR="00022B07" w:rsidRPr="00990D53">
        <w:t>.  </w:t>
      </w:r>
      <w:r w:rsidR="004E316D" w:rsidRPr="00990D53">
        <w:t xml:space="preserve">W dniu 15 stycznia 2015 r. Sąd Okręgowy w </w:t>
      </w:r>
      <w:r w:rsidR="00022B07" w:rsidRPr="00990D53">
        <w:t>Göttingen</w:t>
      </w:r>
      <w:r w:rsidR="004E316D" w:rsidRPr="00990D53">
        <w:t>, zasięgnąwszy konsultacji</w:t>
      </w:r>
      <w:r w:rsidR="004036B2" w:rsidRPr="00990D53">
        <w:t xml:space="preserve"> eksperta medycyny J., po raz kolejny postanowił </w:t>
      </w:r>
      <w:r w:rsidR="002B6312" w:rsidRPr="00990D53">
        <w:br/>
      </w:r>
      <w:r w:rsidR="004036B2" w:rsidRPr="00990D53">
        <w:t xml:space="preserve">o kontynuacji </w:t>
      </w:r>
      <w:r w:rsidR="00C93433" w:rsidRPr="00990D53">
        <w:t>prewencyjnego pozbawienia wolności</w:t>
      </w:r>
      <w:r w:rsidR="004036B2" w:rsidRPr="00990D53">
        <w:t xml:space="preserve"> skarżącego na mocy art. 67d </w:t>
      </w:r>
      <w:r w:rsidR="004036B2" w:rsidRPr="00990D53">
        <w:rPr>
          <w:rFonts w:ascii="Times New Roman" w:hAnsi="Times New Roman" w:cs="Times New Roman"/>
        </w:rPr>
        <w:t>§</w:t>
      </w:r>
      <w:r w:rsidR="004036B2" w:rsidRPr="00990D53">
        <w:t xml:space="preserve"> 3 Kodeksu karnego, w związku z </w:t>
      </w:r>
      <w:r w:rsidR="002B6312" w:rsidRPr="00990D53">
        <w:t>paragrafem</w:t>
      </w:r>
      <w:r w:rsidR="004036B2" w:rsidRPr="00990D53">
        <w:t xml:space="preserve"> </w:t>
      </w:r>
      <w:r w:rsidR="00E76412" w:rsidRPr="00990D53">
        <w:t xml:space="preserve">316 f (2), </w:t>
      </w:r>
      <w:r w:rsidR="004036B2" w:rsidRPr="00990D53">
        <w:t>zdanie drugie</w:t>
      </w:r>
      <w:r w:rsidR="00022B07" w:rsidRPr="00990D53">
        <w:t xml:space="preserve"> </w:t>
      </w:r>
      <w:r w:rsidR="004036B2" w:rsidRPr="00990D53">
        <w:t>Ustawy Wprowadzającej do Kodeksu karnego (zob. par</w:t>
      </w:r>
      <w:r w:rsidR="002B6312" w:rsidRPr="00990D53">
        <w:t>agrafy</w:t>
      </w:r>
      <w:r w:rsidR="004036B2" w:rsidRPr="00990D53">
        <w:t xml:space="preserve">. 51 i 53 poniżej). W dniu 24 kwietnia 2015 r. Sąd Apelacyjny w </w:t>
      </w:r>
      <w:r w:rsidR="009E1D51" w:rsidRPr="00990D53">
        <w:t>Braunschweig</w:t>
      </w:r>
      <w:r w:rsidR="004036B2" w:rsidRPr="00990D53">
        <w:t>u oddalił apelację złożoną na postanowienie Sądu Okręgowego.</w:t>
      </w:r>
      <w:r w:rsidR="009E1D51" w:rsidRPr="00990D53">
        <w:t xml:space="preserve"> </w:t>
      </w:r>
    </w:p>
    <w:p w:rsidR="00B53DD6" w:rsidRPr="00990D53" w:rsidRDefault="009516D9" w:rsidP="00B3060D">
      <w:pPr>
        <w:pStyle w:val="ECHRHeading2"/>
      </w:pPr>
      <w:r w:rsidRPr="00990D53">
        <w:t>D</w:t>
      </w:r>
      <w:r w:rsidR="006A3444" w:rsidRPr="00990D53">
        <w:t>.  </w:t>
      </w:r>
      <w:r w:rsidR="004036B2" w:rsidRPr="00990D53">
        <w:t xml:space="preserve">Warunki </w:t>
      </w:r>
      <w:r w:rsidR="00183C4D" w:rsidRPr="00990D53">
        <w:t xml:space="preserve">detencji prewencyjnej </w:t>
      </w:r>
      <w:r w:rsidR="004036B2" w:rsidRPr="00990D53">
        <w:t xml:space="preserve">skarżącego </w:t>
      </w:r>
    </w:p>
    <w:p w:rsidR="00A96728" w:rsidRPr="00990D53" w:rsidRDefault="00A96728" w:rsidP="00B3060D">
      <w:pPr>
        <w:pStyle w:val="ECHRHeading3"/>
      </w:pPr>
      <w:r w:rsidRPr="00990D53">
        <w:t>1.  </w:t>
      </w:r>
      <w:r w:rsidR="004036B2" w:rsidRPr="00990D53">
        <w:t>W</w:t>
      </w:r>
      <w:r w:rsidR="00183C4D" w:rsidRPr="00990D53">
        <w:t>arunki przed okresem omawianej detencji prewencyjnej</w:t>
      </w:r>
    </w:p>
    <w:p w:rsidR="00381BB8" w:rsidRPr="00990D53" w:rsidRDefault="006009F2" w:rsidP="00B3060D">
      <w:pPr>
        <w:pStyle w:val="ECHRPara"/>
      </w:pPr>
      <w:r w:rsidRPr="00990D53">
        <w:fldChar w:fldCharType="begin"/>
      </w:r>
      <w:r w:rsidRPr="00990D53">
        <w:instrText xml:space="preserve"> SEQ level0 \*arabic </w:instrText>
      </w:r>
      <w:r w:rsidRPr="00990D53">
        <w:fldChar w:fldCharType="separate"/>
      </w:r>
      <w:r w:rsidR="00A31FF5" w:rsidRPr="00990D53">
        <w:t>32</w:t>
      </w:r>
      <w:r w:rsidRPr="00990D53">
        <w:fldChar w:fldCharType="end"/>
      </w:r>
      <w:r w:rsidRPr="00990D53">
        <w:t>.  </w:t>
      </w:r>
      <w:r w:rsidR="004036B2" w:rsidRPr="00990D53">
        <w:t xml:space="preserve">Do 20 lutego 2012 r. skarżący był osadzony w </w:t>
      </w:r>
      <w:r w:rsidR="00274D66" w:rsidRPr="00990D53">
        <w:t>placówce prewencyjnej</w:t>
      </w:r>
      <w:r w:rsidR="004036B2" w:rsidRPr="00990D53">
        <w:t xml:space="preserve"> w skrzydle więzienia w Celle. </w:t>
      </w:r>
      <w:r w:rsidR="00274D66" w:rsidRPr="00990D53">
        <w:t xml:space="preserve">W latach 2005 – 2010 </w:t>
      </w:r>
      <w:r w:rsidR="00153B0D" w:rsidRPr="00990D53">
        <w:t>u</w:t>
      </w:r>
      <w:r w:rsidR="004036B2" w:rsidRPr="00990D53">
        <w:t xml:space="preserve">czestniczył w terapii z psychologiem, którą następnie przerwał. Odmówił uczestnictwa w programie leczenia uzależnienia od alkoholu jak i pozostałych zajęciach </w:t>
      </w:r>
      <w:r w:rsidR="00153B0D" w:rsidRPr="00990D53">
        <w:t>terapeutycznych</w:t>
      </w:r>
      <w:r w:rsidR="004036B2" w:rsidRPr="00990D53">
        <w:t xml:space="preserve">. </w:t>
      </w:r>
    </w:p>
    <w:p w:rsidR="006009F2" w:rsidRPr="00990D53" w:rsidRDefault="00170CD1" w:rsidP="00B3060D">
      <w:pPr>
        <w:pStyle w:val="ECHRPara"/>
      </w:pPr>
      <w:r w:rsidRPr="00990D53">
        <w:fldChar w:fldCharType="begin"/>
      </w:r>
      <w:r w:rsidRPr="00990D53">
        <w:instrText xml:space="preserve"> SEQ level0 \*arabic </w:instrText>
      </w:r>
      <w:r w:rsidRPr="00990D53">
        <w:fldChar w:fldCharType="separate"/>
      </w:r>
      <w:r w:rsidR="00A31FF5" w:rsidRPr="00990D53">
        <w:t>33</w:t>
      </w:r>
      <w:r w:rsidRPr="00990D53">
        <w:fldChar w:fldCharType="end"/>
      </w:r>
      <w:r w:rsidRPr="00990D53">
        <w:t>.  </w:t>
      </w:r>
      <w:r w:rsidR="004036B2" w:rsidRPr="00990D53">
        <w:t>W dniu 20 lutego 2012 r. skarżący został przeniesiony za jego zgodą</w:t>
      </w:r>
      <w:r w:rsidR="00274D66" w:rsidRPr="00990D53">
        <w:t xml:space="preserve"> do </w:t>
      </w:r>
      <w:r w:rsidR="00153B0D" w:rsidRPr="00990D53">
        <w:t>placówki terapeutycznej</w:t>
      </w:r>
      <w:r w:rsidR="00B14E5A" w:rsidRPr="00990D53">
        <w:t xml:space="preserve"> o charakterze przejściowym</w:t>
      </w:r>
      <w:r w:rsidR="00153B0D" w:rsidRPr="00990D53">
        <w:t>, znajdującej</w:t>
      </w:r>
      <w:r w:rsidR="00274D66" w:rsidRPr="00990D53">
        <w:t xml:space="preserve"> się w skrzydle więzienia w Celle</w:t>
      </w:r>
      <w:r w:rsidR="00B14E5A" w:rsidRPr="00990D53">
        <w:t xml:space="preserve">. Celem było ułatwienie dostępu do leczenia w </w:t>
      </w:r>
      <w:r w:rsidR="00B14E5A" w:rsidRPr="00990D53">
        <w:lastRenderedPageBreak/>
        <w:t xml:space="preserve">świetle obowiązku zróżnicowania </w:t>
      </w:r>
      <w:r w:rsidR="000D5DF6" w:rsidRPr="00990D53">
        <w:t>charakteru p</w:t>
      </w:r>
      <w:r w:rsidR="00F67B98" w:rsidRPr="00990D53">
        <w:t>rewencyjnego</w:t>
      </w:r>
      <w:r w:rsidR="000D5DF6" w:rsidRPr="00990D53">
        <w:t xml:space="preserve"> pozbawienia wolności</w:t>
      </w:r>
      <w:r w:rsidR="00F67B98" w:rsidRPr="00990D53">
        <w:t xml:space="preserve"> od kary więzienia, zgodnie z wyrokiem Europejskiego Trybunału</w:t>
      </w:r>
      <w:r w:rsidR="00B14E5A" w:rsidRPr="00990D53">
        <w:t xml:space="preserve"> </w:t>
      </w:r>
      <w:r w:rsidR="00F67B98" w:rsidRPr="00990D53">
        <w:t xml:space="preserve">Praw Człowieka w sprawie </w:t>
      </w:r>
      <w:r w:rsidR="00F67B98" w:rsidRPr="00990D53">
        <w:rPr>
          <w:i/>
        </w:rPr>
        <w:t>M. pr</w:t>
      </w:r>
      <w:r w:rsidR="005025A5" w:rsidRPr="00990D53">
        <w:rPr>
          <w:i/>
        </w:rPr>
        <w:t>zeciwko Niemcom</w:t>
      </w:r>
      <w:r w:rsidR="005025A5" w:rsidRPr="00990D53">
        <w:t xml:space="preserve"> (cyt. powyżej) oraz zgodnie</w:t>
      </w:r>
      <w:r w:rsidR="00F67B98" w:rsidRPr="00990D53">
        <w:t xml:space="preserve"> z wyrokiem Federalnego Trybunału Konstytucyjnego z dnia 4 maja 2011 r. (zob. paragrafy 66-72 poniżej). Skarżący uczestniczył </w:t>
      </w:r>
      <w:r w:rsidR="00FE50D8" w:rsidRPr="00990D53">
        <w:t xml:space="preserve">w sesjach terapii grupowej prowadzonej </w:t>
      </w:r>
      <w:r w:rsidR="005025A5" w:rsidRPr="00990D53">
        <w:t xml:space="preserve">przez lekarza, a także </w:t>
      </w:r>
      <w:r w:rsidR="009D23BF" w:rsidRPr="00990D53">
        <w:t>w ku</w:t>
      </w:r>
      <w:r w:rsidR="000D5DF6" w:rsidRPr="00990D53">
        <w:t>rsach umiejętności społecznych. Ze względu na obawę przed efektami ubocznymi, z</w:t>
      </w:r>
      <w:r w:rsidR="009D23BF" w:rsidRPr="00990D53">
        <w:t>aprzestał uczestnictwa w spotkaniach grupy dla o</w:t>
      </w:r>
      <w:r w:rsidR="00153B0D" w:rsidRPr="00990D53">
        <w:t>sób uzależnionych oraz odmówił z</w:t>
      </w:r>
      <w:r w:rsidR="009D23BF" w:rsidRPr="00990D53">
        <w:t xml:space="preserve">ażywania leków </w:t>
      </w:r>
      <w:r w:rsidR="000D5DF6" w:rsidRPr="00990D53">
        <w:t>mających ograniczyć jego libido</w:t>
      </w:r>
      <w:r w:rsidR="009D23BF" w:rsidRPr="00990D53">
        <w:t xml:space="preserve">. </w:t>
      </w:r>
    </w:p>
    <w:p w:rsidR="00CB23C6" w:rsidRPr="00990D53" w:rsidRDefault="00CB23C6" w:rsidP="00B3060D">
      <w:pPr>
        <w:pStyle w:val="ECHRHeading3"/>
      </w:pPr>
      <w:r w:rsidRPr="00990D53">
        <w:t>2.  </w:t>
      </w:r>
      <w:r w:rsidR="009D23BF" w:rsidRPr="00990D53">
        <w:t>Warunki osadzenia</w:t>
      </w:r>
    </w:p>
    <w:p w:rsidR="00240DEE" w:rsidRPr="00990D53" w:rsidRDefault="00F427F7" w:rsidP="00B3060D">
      <w:pPr>
        <w:pStyle w:val="ECHRPara"/>
      </w:pPr>
      <w:r w:rsidRPr="00990D53">
        <w:fldChar w:fldCharType="begin"/>
      </w:r>
      <w:r w:rsidRPr="00990D53">
        <w:instrText xml:space="preserve"> SEQ level0 \*arabic </w:instrText>
      </w:r>
      <w:r w:rsidRPr="00990D53">
        <w:fldChar w:fldCharType="separate"/>
      </w:r>
      <w:r w:rsidR="00A31FF5" w:rsidRPr="00990D53">
        <w:t>34</w:t>
      </w:r>
      <w:r w:rsidRPr="00990D53">
        <w:fldChar w:fldCharType="end"/>
      </w:r>
      <w:r w:rsidRPr="00990D53">
        <w:t>.  </w:t>
      </w:r>
      <w:r w:rsidR="009D23BF" w:rsidRPr="00990D53">
        <w:t xml:space="preserve">Od dnia 2 czerwca 2013 r. skarżący przebywał w </w:t>
      </w:r>
      <w:r w:rsidR="000D5DF6" w:rsidRPr="00990D53">
        <w:t>nowej placówce</w:t>
      </w:r>
      <w:r w:rsidR="009D23BF" w:rsidRPr="00990D53">
        <w:t xml:space="preserve"> dla osób </w:t>
      </w:r>
      <w:r w:rsidR="00942B9D" w:rsidRPr="00990D53">
        <w:t>prewencyjnie pozbawionych wolności</w:t>
      </w:r>
      <w:r w:rsidR="007C1B1E" w:rsidRPr="00990D53">
        <w:t xml:space="preserve">, w </w:t>
      </w:r>
      <w:r w:rsidR="00153B0D" w:rsidRPr="00990D53">
        <w:t>centrum detencji prewencyjnej</w:t>
      </w:r>
      <w:r w:rsidR="007C1B1E" w:rsidRPr="00990D53">
        <w:t xml:space="preserve"> znajdującym się na terenie więzienia w Rosdorf.</w:t>
      </w:r>
      <w:r w:rsidR="009D23BF" w:rsidRPr="00990D53">
        <w:t xml:space="preserve"> </w:t>
      </w:r>
    </w:p>
    <w:p w:rsidR="008011BF" w:rsidRPr="00990D53" w:rsidRDefault="008011BF" w:rsidP="00B3060D">
      <w:pPr>
        <w:pStyle w:val="ECHRPara"/>
      </w:pPr>
      <w:r w:rsidRPr="00990D53">
        <w:fldChar w:fldCharType="begin"/>
      </w:r>
      <w:r w:rsidRPr="00990D53">
        <w:instrText xml:space="preserve"> SEQ level0 \*arabic </w:instrText>
      </w:r>
      <w:r w:rsidRPr="00990D53">
        <w:fldChar w:fldCharType="separate"/>
      </w:r>
      <w:r w:rsidR="00A31FF5" w:rsidRPr="00990D53">
        <w:t>35</w:t>
      </w:r>
      <w:r w:rsidRPr="00990D53">
        <w:fldChar w:fldCharType="end"/>
      </w:r>
      <w:r w:rsidRPr="00990D53">
        <w:t>. </w:t>
      </w:r>
      <w:r w:rsidR="00CD0AA5" w:rsidRPr="00990D53">
        <w:t>W celu spełnienia wymogów konstytucyjnych</w:t>
      </w:r>
      <w:r w:rsidR="00240DEE" w:rsidRPr="00990D53">
        <w:t xml:space="preserve"> o rozróżnieniu </w:t>
      </w:r>
      <w:r w:rsidR="00153B0D" w:rsidRPr="00990D53">
        <w:t>warunków detencji prewencyjnej</w:t>
      </w:r>
      <w:r w:rsidR="00240DEE" w:rsidRPr="00990D53">
        <w:t xml:space="preserve"> od więzienia,</w:t>
      </w:r>
      <w:r w:rsidR="00CD0AA5" w:rsidRPr="00990D53">
        <w:t xml:space="preserve"> koncepcja prewencyjnego pozbawienia wolności została rozwinięta</w:t>
      </w:r>
      <w:r w:rsidR="00240DEE" w:rsidRPr="00990D53">
        <w:t xml:space="preserve"> w wyroku Federalnego </w:t>
      </w:r>
      <w:r w:rsidR="00942B9D" w:rsidRPr="00990D53">
        <w:t>Trybunału Konstytucyjnego z dnia 4 maja 2011</w:t>
      </w:r>
      <w:r w:rsidR="000D5DF6" w:rsidRPr="00990D53">
        <w:t xml:space="preserve"> r. (zob. par. 67 i 70 poniżej), a następnie doprecyzowana</w:t>
      </w:r>
      <w:r w:rsidR="00942B9D" w:rsidRPr="00990D53">
        <w:t xml:space="preserve"> w nowo uchwalonym</w:t>
      </w:r>
      <w:r w:rsidR="00CD0AA5" w:rsidRPr="00990D53">
        <w:t xml:space="preserve"> artykule 66 c Kodeksu karnego, a także w Ustawie Dolnej Saksonii o </w:t>
      </w:r>
      <w:r w:rsidR="00153B0D" w:rsidRPr="00990D53">
        <w:t>detencji prewencyjnej</w:t>
      </w:r>
      <w:r w:rsidR="00942B9D" w:rsidRPr="00990D53">
        <w:t xml:space="preserve"> </w:t>
      </w:r>
      <w:r w:rsidR="00CD0AA5" w:rsidRPr="00990D53">
        <w:t>(zob. par</w:t>
      </w:r>
      <w:r w:rsidR="002B6312" w:rsidRPr="00990D53">
        <w:t>agrafy</w:t>
      </w:r>
      <w:r w:rsidR="00CD0AA5" w:rsidRPr="00990D53">
        <w:t xml:space="preserve"> 54, 56-57 i 59-60 poniżej).</w:t>
      </w:r>
      <w:r w:rsidRPr="00990D53">
        <w:t> </w:t>
      </w:r>
    </w:p>
    <w:p w:rsidR="008011BF" w:rsidRPr="00990D53" w:rsidRDefault="008011BF" w:rsidP="00B3060D">
      <w:pPr>
        <w:pStyle w:val="ECHRPara"/>
      </w:pPr>
      <w:r w:rsidRPr="00990D53">
        <w:fldChar w:fldCharType="begin"/>
      </w:r>
      <w:r w:rsidRPr="00990D53">
        <w:instrText xml:space="preserve"> SEQ level0 \*arabic </w:instrText>
      </w:r>
      <w:r w:rsidRPr="00990D53">
        <w:fldChar w:fldCharType="separate"/>
      </w:r>
      <w:r w:rsidR="00A31FF5" w:rsidRPr="00990D53">
        <w:t>36</w:t>
      </w:r>
      <w:r w:rsidRPr="00990D53">
        <w:fldChar w:fldCharType="end"/>
      </w:r>
      <w:r w:rsidRPr="00990D53">
        <w:t>.  </w:t>
      </w:r>
      <w:r w:rsidR="00CD0AA5" w:rsidRPr="00990D53">
        <w:t xml:space="preserve">W </w:t>
      </w:r>
      <w:r w:rsidR="00153B0D" w:rsidRPr="00990D53">
        <w:t>centrum</w:t>
      </w:r>
      <w:r w:rsidR="00CD0AA5" w:rsidRPr="00990D53">
        <w:t xml:space="preserve"> w Rosdorf może być osadzonych do czterdziestu pięciu osób. </w:t>
      </w:r>
      <w:r w:rsidR="000D5DF6" w:rsidRPr="00990D53">
        <w:t>Osadzeni</w:t>
      </w:r>
      <w:r w:rsidR="00CD0AA5" w:rsidRPr="00990D53">
        <w:t xml:space="preserve"> umieszczani są w </w:t>
      </w:r>
      <w:r w:rsidR="00153B0D" w:rsidRPr="00990D53">
        <w:t>apartamentach</w:t>
      </w:r>
      <w:r w:rsidR="00CD0AA5" w:rsidRPr="00990D53">
        <w:t xml:space="preserve"> o powierzchni około 23 metrów kwadratowych, gdzie znajdują się </w:t>
      </w:r>
      <w:r w:rsidR="009E3A92" w:rsidRPr="00990D53">
        <w:t>dwa umeblowane pokoje i łazienka. Za wyjątkiem więźniów stwarzających częściowe zagrożenie</w:t>
      </w:r>
      <w:r w:rsidR="000D5DF6" w:rsidRPr="00990D53">
        <w:t xml:space="preserve"> dla bezpieczeństwa, pozostali</w:t>
      </w:r>
      <w:r w:rsidR="009E3A92" w:rsidRPr="00990D53">
        <w:t xml:space="preserve"> mogą bez ograniczeń poruszać się po budynku</w:t>
      </w:r>
      <w:r w:rsidR="000D5DF6" w:rsidRPr="00990D53">
        <w:t xml:space="preserve"> i terenie</w:t>
      </w:r>
      <w:r w:rsidR="009E3A92" w:rsidRPr="00990D53">
        <w:t xml:space="preserve"> więzienia prewencyjnego od godziny 18:00 do 21:45.  </w:t>
      </w:r>
      <w:r w:rsidR="005D1503" w:rsidRPr="00990D53">
        <w:t>Dozwolone jest przemeblow</w:t>
      </w:r>
      <w:r w:rsidR="00153B0D" w:rsidRPr="00990D53">
        <w:t>yw</w:t>
      </w:r>
      <w:r w:rsidR="005D1503" w:rsidRPr="00990D53">
        <w:t>anie i przemalow</w:t>
      </w:r>
      <w:r w:rsidR="00153B0D" w:rsidRPr="00990D53">
        <w:t>yw</w:t>
      </w:r>
      <w:r w:rsidR="005D1503" w:rsidRPr="00990D53">
        <w:t xml:space="preserve">anie pokojów, do których mają własne klucze. Pokoje wyposażone są w kontrolowany dostęp do </w:t>
      </w:r>
      <w:r w:rsidR="00340FFE" w:rsidRPr="00990D53">
        <w:t xml:space="preserve">internetu także e-maili, </w:t>
      </w:r>
      <w:r w:rsidR="000D5DF6" w:rsidRPr="00990D53">
        <w:t>telefonu, telewizji, CD,</w:t>
      </w:r>
      <w:r w:rsidR="00340FFE" w:rsidRPr="00990D53">
        <w:t xml:space="preserve"> odtwarzacza DVD i radio. Znajdują się tam </w:t>
      </w:r>
      <w:r w:rsidR="00767443" w:rsidRPr="00990D53">
        <w:t>pomieszczenia mieszczące około siedmiu osób, takie jak kuchnia</w:t>
      </w:r>
      <w:r w:rsidR="00607EF8" w:rsidRPr="00990D53">
        <w:t>,</w:t>
      </w:r>
      <w:r w:rsidR="00767443" w:rsidRPr="00990D53">
        <w:t xml:space="preserve"> stołówk</w:t>
      </w:r>
      <w:r w:rsidR="00607EF8" w:rsidRPr="00990D53">
        <w:t>a, pokój telewizyjny</w:t>
      </w:r>
      <w:r w:rsidR="00767443" w:rsidRPr="00990D53">
        <w:t xml:space="preserve"> </w:t>
      </w:r>
      <w:r w:rsidR="00607EF8" w:rsidRPr="00990D53">
        <w:t xml:space="preserve">oraz pokoje do gier, rękodzieła i ćwiczeń. Obszar na zewnątrz budynku o powierzchni około </w:t>
      </w:r>
      <w:r w:rsidR="000D5DF6" w:rsidRPr="00990D53">
        <w:t>1600 metrów kwadratowych</w:t>
      </w:r>
      <w:r w:rsidR="00607EF8" w:rsidRPr="00990D53">
        <w:t xml:space="preserve"> może być wykorzystywany jako powierzchnia do rekreacji, ogrodnictwa lub uprawiania sportu.</w:t>
      </w:r>
    </w:p>
    <w:p w:rsidR="003400D7" w:rsidRPr="00990D53" w:rsidRDefault="00A96728" w:rsidP="00B3060D">
      <w:pPr>
        <w:pStyle w:val="ECHRPara"/>
      </w:pPr>
      <w:r w:rsidRPr="00990D53">
        <w:fldChar w:fldCharType="begin"/>
      </w:r>
      <w:r w:rsidRPr="00990D53">
        <w:instrText xml:space="preserve"> SEQ level0 \*arabic </w:instrText>
      </w:r>
      <w:r w:rsidRPr="00990D53">
        <w:fldChar w:fldCharType="separate"/>
      </w:r>
      <w:r w:rsidR="00A31FF5" w:rsidRPr="00990D53">
        <w:t>37</w:t>
      </w:r>
      <w:r w:rsidRPr="00990D53">
        <w:fldChar w:fldCharType="end"/>
      </w:r>
      <w:r w:rsidRPr="00990D53">
        <w:t>.  </w:t>
      </w:r>
      <w:r w:rsidR="000D5DF6" w:rsidRPr="00990D53">
        <w:t>Osadzeni</w:t>
      </w:r>
      <w:r w:rsidR="00F963C2" w:rsidRPr="00990D53">
        <w:t xml:space="preserve"> w </w:t>
      </w:r>
      <w:r w:rsidR="00153B0D" w:rsidRPr="00990D53">
        <w:t>centrum</w:t>
      </w:r>
      <w:r w:rsidR="000D5DF6" w:rsidRPr="00990D53">
        <w:t xml:space="preserve"> </w:t>
      </w:r>
      <w:r w:rsidR="00F963C2" w:rsidRPr="00990D53">
        <w:t>pr</w:t>
      </w:r>
      <w:r w:rsidR="000D5DF6" w:rsidRPr="00990D53">
        <w:t>e</w:t>
      </w:r>
      <w:r w:rsidR="00153B0D" w:rsidRPr="00990D53">
        <w:t>wencyjnym</w:t>
      </w:r>
      <w:r w:rsidR="00F963C2" w:rsidRPr="00990D53">
        <w:t xml:space="preserve"> w Rosdorf mogą</w:t>
      </w:r>
      <w:r w:rsidR="000D5DF6" w:rsidRPr="00990D53">
        <w:t xml:space="preserve"> </w:t>
      </w:r>
      <w:r w:rsidR="00F963C2" w:rsidRPr="00990D53">
        <w:t xml:space="preserve">nosić swoje własne </w:t>
      </w:r>
      <w:r w:rsidR="002B6312" w:rsidRPr="00990D53">
        <w:t>ubrania</w:t>
      </w:r>
      <w:r w:rsidR="00F963C2" w:rsidRPr="00990D53">
        <w:t xml:space="preserve">. Mogą spożywać posiłki przygotowywane w </w:t>
      </w:r>
      <w:r w:rsidR="000D5DF6" w:rsidRPr="00990D53">
        <w:t>placówce</w:t>
      </w:r>
      <w:r w:rsidR="00F963C2" w:rsidRPr="00990D53">
        <w:t xml:space="preserve"> lub </w:t>
      </w:r>
      <w:r w:rsidR="002204A7" w:rsidRPr="00990D53">
        <w:t xml:space="preserve">przygotowywać je samodzielnie (w tym celu dostają pozwolenie na zakup pożywienia w zakładowym supermarkecie). Osoby pozostające w </w:t>
      </w:r>
      <w:r w:rsidR="000D5DF6" w:rsidRPr="00990D53">
        <w:t>placówce</w:t>
      </w:r>
      <w:r w:rsidR="002204A7" w:rsidRPr="00990D53">
        <w:t xml:space="preserve"> </w:t>
      </w:r>
      <w:r w:rsidR="000D5DF6" w:rsidRPr="00990D53">
        <w:t>prewencyjnej</w:t>
      </w:r>
      <w:r w:rsidR="002204A7" w:rsidRPr="00990D53">
        <w:t xml:space="preserve"> mają możliwość, ale nie obowiązek, podjęcia pracy. Mogą regularnie przyjmować wizyty. </w:t>
      </w:r>
    </w:p>
    <w:p w:rsidR="00B53DD6" w:rsidRPr="00990D53" w:rsidRDefault="00791002" w:rsidP="00B3060D">
      <w:pPr>
        <w:pStyle w:val="ECHRPara"/>
      </w:pPr>
      <w:r w:rsidRPr="00990D53">
        <w:fldChar w:fldCharType="begin"/>
      </w:r>
      <w:r w:rsidRPr="00990D53">
        <w:instrText xml:space="preserve"> SEQ level0 \*arabic </w:instrText>
      </w:r>
      <w:r w:rsidRPr="00990D53">
        <w:fldChar w:fldCharType="separate"/>
      </w:r>
      <w:r w:rsidR="00A31FF5" w:rsidRPr="00990D53">
        <w:t>38</w:t>
      </w:r>
      <w:r w:rsidRPr="00990D53">
        <w:fldChar w:fldCharType="end"/>
      </w:r>
      <w:r w:rsidRPr="00990D53">
        <w:t>.  </w:t>
      </w:r>
      <w:r w:rsidR="002204A7" w:rsidRPr="00990D53">
        <w:t>Zgodnie z informacjami dostarczonymi przez Rząd</w:t>
      </w:r>
      <w:r w:rsidR="00EA141F" w:rsidRPr="00990D53">
        <w:t>, w t</w:t>
      </w:r>
      <w:r w:rsidR="000D5DF6" w:rsidRPr="00990D53">
        <w:t>am</w:t>
      </w:r>
      <w:r w:rsidR="00E5537C" w:rsidRPr="00990D53">
        <w:t>t</w:t>
      </w:r>
      <w:r w:rsidR="00EA141F" w:rsidRPr="00990D53">
        <w:t xml:space="preserve">ym czasie skarżący był jednym z trzydziestu kilku więźniów osadzonych w </w:t>
      </w:r>
      <w:r w:rsidR="00E5537C" w:rsidRPr="00990D53">
        <w:t>centrum</w:t>
      </w:r>
      <w:r w:rsidR="000D5DF6" w:rsidRPr="00990D53">
        <w:t xml:space="preserve"> prewe</w:t>
      </w:r>
      <w:r w:rsidR="00E5537C" w:rsidRPr="00990D53">
        <w:t>ncyjnym</w:t>
      </w:r>
      <w:r w:rsidR="00EA141F" w:rsidRPr="00990D53">
        <w:t xml:space="preserve"> w Rosdorf. W celu </w:t>
      </w:r>
      <w:r w:rsidR="00973859" w:rsidRPr="00990D53">
        <w:t xml:space="preserve">spełnienia obowiązku </w:t>
      </w:r>
      <w:r w:rsidR="00FC00E0" w:rsidRPr="00990D53">
        <w:lastRenderedPageBreak/>
        <w:t>zapewnienia odpowiedniej terapii i opieki, a także zmotywow</w:t>
      </w:r>
      <w:r w:rsidR="00132BDC" w:rsidRPr="00990D53">
        <w:t>a</w:t>
      </w:r>
      <w:r w:rsidR="00FC00E0" w:rsidRPr="00990D53">
        <w:t xml:space="preserve">nia więźniów do udziału w terapiach i leczeniu, personel zakładu </w:t>
      </w:r>
      <w:r w:rsidR="0083517D" w:rsidRPr="00990D53">
        <w:t xml:space="preserve">składał się </w:t>
      </w:r>
      <w:r w:rsidR="00FC00E0" w:rsidRPr="00990D53">
        <w:t xml:space="preserve"> </w:t>
      </w:r>
      <w:r w:rsidR="0083517D" w:rsidRPr="00990D53">
        <w:t xml:space="preserve">z </w:t>
      </w:r>
      <w:r w:rsidR="00FC00E0" w:rsidRPr="00990D53">
        <w:t>jednego psychiatr</w:t>
      </w:r>
      <w:r w:rsidR="0083517D" w:rsidRPr="00990D53">
        <w:t>y</w:t>
      </w:r>
      <w:r w:rsidR="00FC00E0" w:rsidRPr="00990D53">
        <w:t>, czterech psychologów, pięci</w:t>
      </w:r>
      <w:r w:rsidR="0083517D" w:rsidRPr="00990D53">
        <w:t>u</w:t>
      </w:r>
      <w:r w:rsidR="00FC00E0" w:rsidRPr="00990D53">
        <w:t xml:space="preserve"> pracowników socjalnych i dwudziestu pięciu </w:t>
      </w:r>
      <w:r w:rsidR="00C823C8" w:rsidRPr="00990D53">
        <w:t>fu</w:t>
      </w:r>
      <w:r w:rsidR="00132BDC" w:rsidRPr="00990D53">
        <w:t>n</w:t>
      </w:r>
      <w:r w:rsidR="00C823C8" w:rsidRPr="00990D53">
        <w:t>kcjonariuszy służby więziennej</w:t>
      </w:r>
      <w:r w:rsidR="00FC00E0" w:rsidRPr="00990D53">
        <w:t xml:space="preserve">. Sytuacja kadrowa była podobna do tej w Szpitalu Psychiatrycznym w Moringen, położonego w tym samym </w:t>
      </w:r>
      <w:r w:rsidR="00FC00E0" w:rsidRPr="00990D53">
        <w:rPr>
          <w:i/>
        </w:rPr>
        <w:t>Landzie</w:t>
      </w:r>
      <w:r w:rsidR="00FC00E0" w:rsidRPr="00990D53">
        <w:t xml:space="preserve">, gdzie osoby były </w:t>
      </w:r>
      <w:r w:rsidR="000D5DF6" w:rsidRPr="00990D53">
        <w:t>kierowane na podstawie</w:t>
      </w:r>
      <w:r w:rsidR="00FC00E0" w:rsidRPr="00990D53">
        <w:t xml:space="preserve"> art. 63 Kodeksu karnego. </w:t>
      </w:r>
    </w:p>
    <w:p w:rsidR="008011BF" w:rsidRPr="00990D53" w:rsidRDefault="008B4D9C" w:rsidP="00B3060D">
      <w:pPr>
        <w:pStyle w:val="ECHRPara"/>
      </w:pPr>
      <w:r w:rsidRPr="00990D53">
        <w:fldChar w:fldCharType="begin"/>
      </w:r>
      <w:r w:rsidRPr="00990D53">
        <w:instrText xml:space="preserve"> SEQ level0 \*arabic </w:instrText>
      </w:r>
      <w:r w:rsidRPr="00990D53">
        <w:fldChar w:fldCharType="separate"/>
      </w:r>
      <w:r w:rsidR="00A31FF5" w:rsidRPr="00990D53">
        <w:t>39</w:t>
      </w:r>
      <w:r w:rsidRPr="00990D53">
        <w:fldChar w:fldCharType="end"/>
      </w:r>
      <w:r w:rsidRPr="00990D53">
        <w:t>.  </w:t>
      </w:r>
      <w:r w:rsidR="008873E2" w:rsidRPr="00990D53">
        <w:t xml:space="preserve">Przed rozpoczęciem </w:t>
      </w:r>
      <w:r w:rsidR="00E5537C" w:rsidRPr="00990D53">
        <w:t>detencji prewencyjnej</w:t>
      </w:r>
      <w:r w:rsidR="008873E2" w:rsidRPr="00990D53">
        <w:t xml:space="preserve"> więźniowie są badani w ce</w:t>
      </w:r>
      <w:r w:rsidR="000D5DF6" w:rsidRPr="00990D53">
        <w:t xml:space="preserve">lu </w:t>
      </w:r>
      <w:r w:rsidR="00E5537C" w:rsidRPr="00990D53">
        <w:t>zapewnienia</w:t>
      </w:r>
      <w:r w:rsidR="008873E2" w:rsidRPr="00990D53">
        <w:t xml:space="preserve"> właściwiej terapii i opieki. Następnie opracowywany jest indywidualny plan leczenia </w:t>
      </w:r>
      <w:r w:rsidRPr="00990D53">
        <w:t>(</w:t>
      </w:r>
      <w:r w:rsidRPr="00990D53">
        <w:rPr>
          <w:i/>
        </w:rPr>
        <w:t>Vollzugsplan</w:t>
      </w:r>
      <w:r w:rsidR="008873E2" w:rsidRPr="00990D53">
        <w:t>).</w:t>
      </w:r>
    </w:p>
    <w:p w:rsidR="008B4D9C" w:rsidRPr="00990D53" w:rsidRDefault="00F427F7" w:rsidP="00B3060D">
      <w:pPr>
        <w:pStyle w:val="ECHRPara"/>
      </w:pPr>
      <w:r w:rsidRPr="00990D53">
        <w:fldChar w:fldCharType="begin"/>
      </w:r>
      <w:r w:rsidRPr="00990D53">
        <w:instrText xml:space="preserve"> SEQ level0 \*arabic </w:instrText>
      </w:r>
      <w:r w:rsidRPr="00990D53">
        <w:fldChar w:fldCharType="separate"/>
      </w:r>
      <w:r w:rsidR="00A31FF5" w:rsidRPr="00990D53">
        <w:t>40</w:t>
      </w:r>
      <w:r w:rsidRPr="00990D53">
        <w:fldChar w:fldCharType="end"/>
      </w:r>
      <w:r w:rsidRPr="00990D53">
        <w:t>.  </w:t>
      </w:r>
      <w:r w:rsidR="008873E2" w:rsidRPr="00990D53">
        <w:t xml:space="preserve">Zgodnie z indywidualnym planem leczenia opracowanym dla skarżącego przez </w:t>
      </w:r>
      <w:r w:rsidR="00E5537C" w:rsidRPr="00990D53">
        <w:t>centrum w</w:t>
      </w:r>
      <w:r w:rsidR="008873E2" w:rsidRPr="00990D53">
        <w:t xml:space="preserve"> Rosdorf w dniu 28 listopada 2014 r., od lipca 2013 r. do sierpnia 2014 r. skarżący uczestniczył w sesjach terapii grupowej ukierunkowanych </w:t>
      </w:r>
      <w:r w:rsidR="003946C4" w:rsidRPr="00990D53">
        <w:t xml:space="preserve">na zapobieżenie powrotu do nadużywania alkoholu. Wkrótce zakończył uczestnictwo w terapiach. Brał udział w sesjach grupowych, podczas których więźniowie rozmawiali o swoich doświadczeniach z przepustek.  </w:t>
      </w:r>
      <w:r w:rsidR="00E5537C" w:rsidRPr="00990D53">
        <w:t>W tych terapiach również przestał uczestniczyć</w:t>
      </w:r>
      <w:r w:rsidR="003946C4" w:rsidRPr="00990D53">
        <w:t xml:space="preserve"> w sierpniu </w:t>
      </w:r>
      <w:r w:rsidR="00E5537C" w:rsidRPr="00990D53">
        <w:t>2014 r. ze względu na fakt, że osadzonym</w:t>
      </w:r>
      <w:r w:rsidR="003946C4" w:rsidRPr="00990D53">
        <w:t xml:space="preserve"> nie przyznawano dodatkowych przepustek. </w:t>
      </w:r>
      <w:r w:rsidR="00E5537C" w:rsidRPr="00990D53">
        <w:t>Co więcej,</w:t>
      </w:r>
      <w:r w:rsidR="00D3682E" w:rsidRPr="00990D53">
        <w:t xml:space="preserve"> jego motywacja do spotkań z psychologiem zakończyła się w marcu 2014 r., co </w:t>
      </w:r>
      <w:r w:rsidR="00E5537C" w:rsidRPr="00990D53">
        <w:t xml:space="preserve">usprawiedliwił </w:t>
      </w:r>
      <w:r w:rsidR="00D3682E" w:rsidRPr="00990D53">
        <w:t xml:space="preserve">brakiem doświadczenia psychologa. Brał udział w cotygodniowych spotkaniach wszystkich osadzonych od czerwca 2013 r. do lutego 2014 r., a </w:t>
      </w:r>
      <w:r w:rsidR="00E5537C" w:rsidRPr="00990D53">
        <w:t>zaprzestanie</w:t>
      </w:r>
      <w:r w:rsidR="00D3682E" w:rsidRPr="00990D53">
        <w:t xml:space="preserve"> udziału w tych spotkaniach wytłumaczył faktem, że jego plan leczenia nie spełnia jego oczekiwań. Nie wziął udziału w żadnych zajęciach rekreacyjnych, dnie spędzał oglądając w samotności telewizję. Odrzucał ponawiane zaproszenia do udziału w grupowych sesjach programu leczenia napastników. </w:t>
      </w:r>
      <w:r w:rsidR="00D847F2" w:rsidRPr="00990D53">
        <w:t>Jak wynika z powyższego, od sierpnia 2014 r. skarżący nie uczestniczył w żadnych terapiach. Podczas przepustek zachowywał się bez zarzutu.</w:t>
      </w:r>
      <w:r w:rsidR="00D3682E" w:rsidRPr="00990D53">
        <w:t xml:space="preserve"> </w:t>
      </w:r>
    </w:p>
    <w:p w:rsidR="00756BBD" w:rsidRPr="00990D53" w:rsidRDefault="001A2FB8" w:rsidP="00B3060D">
      <w:pPr>
        <w:pStyle w:val="ECHRPara"/>
      </w:pPr>
      <w:r w:rsidRPr="00990D53">
        <w:fldChar w:fldCharType="begin"/>
      </w:r>
      <w:r w:rsidRPr="00990D53">
        <w:instrText xml:space="preserve"> SEQ level0 \*arabic </w:instrText>
      </w:r>
      <w:r w:rsidRPr="00990D53">
        <w:fldChar w:fldCharType="separate"/>
      </w:r>
      <w:r w:rsidR="00A31FF5" w:rsidRPr="00990D53">
        <w:t>41</w:t>
      </w:r>
      <w:r w:rsidRPr="00990D53">
        <w:fldChar w:fldCharType="end"/>
      </w:r>
      <w:r w:rsidRPr="00990D53">
        <w:t>.  </w:t>
      </w:r>
      <w:r w:rsidR="00D847F2" w:rsidRPr="00990D53">
        <w:t xml:space="preserve">Zgodnie z planem leczenia skarżącego sporządzonym w </w:t>
      </w:r>
      <w:r w:rsidR="00E5537C" w:rsidRPr="00990D53">
        <w:t>centrum</w:t>
      </w:r>
      <w:r w:rsidR="00D847F2" w:rsidRPr="00990D53">
        <w:t xml:space="preserve"> Rosdorf w dniu 28 listopada 2014 r. oraz notatką wewnętrzną personelu zakładu, skarżący odrzucał regularnie ponawiane propozycje rozpoczęcia leczenia lekarstwami zaleconymi przez psychiatrę W., mającymi na celu zmnie</w:t>
      </w:r>
      <w:r w:rsidR="00E5537C" w:rsidRPr="00990D53">
        <w:t>j</w:t>
      </w:r>
      <w:r w:rsidR="00D847F2" w:rsidRPr="00990D53">
        <w:t xml:space="preserve">szenie jego libido, ze względu na obawy przed wystąpieniem </w:t>
      </w:r>
      <w:r w:rsidR="00E5537C" w:rsidRPr="00990D53">
        <w:t>skutków</w:t>
      </w:r>
      <w:r w:rsidR="00D847F2" w:rsidRPr="00990D53">
        <w:t xml:space="preserve"> ubocznych. W grudniu 2014 r. po raz pierwszy wyraził chęć podjęcia takiego leczenia</w:t>
      </w:r>
      <w:r w:rsidR="00E671F7" w:rsidRPr="00990D53">
        <w:t>.</w:t>
      </w:r>
    </w:p>
    <w:p w:rsidR="00014566" w:rsidRPr="00990D53" w:rsidRDefault="00014566" w:rsidP="00B3060D">
      <w:pPr>
        <w:pStyle w:val="ECHRHeading1"/>
      </w:pPr>
      <w:r w:rsidRPr="00990D53">
        <w:lastRenderedPageBreak/>
        <w:t>II.  </w:t>
      </w:r>
      <w:r w:rsidR="00D847F2" w:rsidRPr="00990D53">
        <w:t>WŁAŚCIWE PRAWO KRAJOWE I PRAKTYKA</w:t>
      </w:r>
    </w:p>
    <w:p w:rsidR="006A3444" w:rsidRPr="00990D53" w:rsidRDefault="00F67210" w:rsidP="00B3060D">
      <w:pPr>
        <w:pStyle w:val="ECHRHeading2"/>
      </w:pPr>
      <w:r w:rsidRPr="00990D53">
        <w:t>A</w:t>
      </w:r>
      <w:r w:rsidR="006A3444" w:rsidRPr="00990D53">
        <w:t>.  </w:t>
      </w:r>
      <w:r w:rsidR="00B01B67" w:rsidRPr="00990D53">
        <w:t>Przepisy o prewencyjnym pozbawieniu wolności i ich stosowanie</w:t>
      </w:r>
    </w:p>
    <w:p w:rsidR="005E5D48" w:rsidRPr="00990D53" w:rsidRDefault="005E5D48" w:rsidP="00B3060D">
      <w:pPr>
        <w:pStyle w:val="ECHRHeading3"/>
      </w:pPr>
      <w:r w:rsidRPr="00990D53">
        <w:t>1.  </w:t>
      </w:r>
      <w:r w:rsidR="00B01B67" w:rsidRPr="00990D53">
        <w:t>Ogólny zarys prawny</w:t>
      </w:r>
    </w:p>
    <w:p w:rsidR="006A3444" w:rsidRPr="00990D53" w:rsidRDefault="00A91662" w:rsidP="00B3060D">
      <w:pPr>
        <w:pStyle w:val="ECHRPara"/>
        <w:rPr>
          <w:snapToGrid w:val="0"/>
        </w:rPr>
      </w:pPr>
      <w:r w:rsidRPr="00990D53">
        <w:fldChar w:fldCharType="begin"/>
      </w:r>
      <w:r w:rsidRPr="00990D53">
        <w:instrText xml:space="preserve"> SEQ level0 \*arabic </w:instrText>
      </w:r>
      <w:r w:rsidRPr="00990D53">
        <w:fldChar w:fldCharType="separate"/>
      </w:r>
      <w:r w:rsidR="00A31FF5" w:rsidRPr="00990D53">
        <w:t>42</w:t>
      </w:r>
      <w:r w:rsidRPr="00990D53">
        <w:fldChar w:fldCharType="end"/>
      </w:r>
      <w:r w:rsidR="007B4666" w:rsidRPr="00990D53">
        <w:t>.  </w:t>
      </w:r>
      <w:r w:rsidR="00B01B67" w:rsidRPr="00990D53">
        <w:t>Kompleksowe podsumowane przepisów Kodeksu karnego i Kodeksu postępowania karnego regulujących dy</w:t>
      </w:r>
      <w:r w:rsidR="00E966BE" w:rsidRPr="00990D53">
        <w:t>fere</w:t>
      </w:r>
      <w:r w:rsidR="00B01B67" w:rsidRPr="00990D53">
        <w:t xml:space="preserve">ncję pomiędzy karami a środkami naprawczymi i prewencyjnymi, w szczególności prewencyjnym pozbawieniem wolności, </w:t>
      </w:r>
      <w:r w:rsidR="000663E7" w:rsidRPr="00990D53">
        <w:t xml:space="preserve">ze względu na dwutorowy system sankcji w niemieckim prawie karnym, a także wydawanie, kontrola i praktyczna implementacja nakazu prewencyjnego pozbawienia wolności, zawarta jest w wyroku Trybunału w sprawie </w:t>
      </w:r>
      <w:r w:rsidR="000663E7" w:rsidRPr="00990D53">
        <w:rPr>
          <w:i/>
        </w:rPr>
        <w:t xml:space="preserve">M. przeciwko Niemcom </w:t>
      </w:r>
      <w:r w:rsidR="006A3444" w:rsidRPr="00990D53">
        <w:t>(</w:t>
      </w:r>
      <w:r w:rsidR="000663E7" w:rsidRPr="00990D53">
        <w:rPr>
          <w:snapToGrid w:val="0"/>
        </w:rPr>
        <w:t>nr</w:t>
      </w:r>
      <w:r w:rsidR="006A3444" w:rsidRPr="00990D53">
        <w:t xml:space="preserve"> 19359/04, </w:t>
      </w:r>
      <w:r w:rsidR="006A3444" w:rsidRPr="00990D53">
        <w:rPr>
          <w:snapToGrid w:val="0"/>
        </w:rPr>
        <w:t>§§ 45-78</w:t>
      </w:r>
      <w:r w:rsidR="000663E7" w:rsidRPr="00990D53">
        <w:t>, ETPCz</w:t>
      </w:r>
      <w:r w:rsidR="006A3444" w:rsidRPr="00990D53">
        <w:t xml:space="preserve"> 2009</w:t>
      </w:r>
      <w:r w:rsidR="006A3444" w:rsidRPr="00990D53">
        <w:rPr>
          <w:snapToGrid w:val="0"/>
        </w:rPr>
        <w:t>).</w:t>
      </w:r>
    </w:p>
    <w:p w:rsidR="00BD4667" w:rsidRPr="00990D53" w:rsidRDefault="007B4666" w:rsidP="00B3060D">
      <w:pPr>
        <w:pStyle w:val="ECHRPara"/>
      </w:pPr>
      <w:r w:rsidRPr="00990D53">
        <w:rPr>
          <w:snapToGrid w:val="0"/>
        </w:rPr>
        <w:fldChar w:fldCharType="begin"/>
      </w:r>
      <w:r w:rsidRPr="00990D53">
        <w:rPr>
          <w:snapToGrid w:val="0"/>
        </w:rPr>
        <w:instrText xml:space="preserve"> SEQ level0 \*arabic </w:instrText>
      </w:r>
      <w:r w:rsidRPr="00990D53">
        <w:rPr>
          <w:snapToGrid w:val="0"/>
        </w:rPr>
        <w:fldChar w:fldCharType="separate"/>
      </w:r>
      <w:r w:rsidR="00A31FF5" w:rsidRPr="00990D53">
        <w:rPr>
          <w:snapToGrid w:val="0"/>
        </w:rPr>
        <w:t>43</w:t>
      </w:r>
      <w:r w:rsidRPr="00990D53">
        <w:rPr>
          <w:snapToGrid w:val="0"/>
        </w:rPr>
        <w:fldChar w:fldCharType="end"/>
      </w:r>
      <w:r w:rsidRPr="00990D53">
        <w:rPr>
          <w:snapToGrid w:val="0"/>
        </w:rPr>
        <w:t>.  </w:t>
      </w:r>
      <w:r w:rsidR="00961EC7" w:rsidRPr="00990D53">
        <w:rPr>
          <w:snapToGrid w:val="0"/>
        </w:rPr>
        <w:t>Przepisy Kodeksu karnego o prewencyjnym pozbawie</w:t>
      </w:r>
      <w:r w:rsidR="00E5537C" w:rsidRPr="00990D53">
        <w:rPr>
          <w:snapToGrid w:val="0"/>
        </w:rPr>
        <w:t>niu wolności zostały zmienione U</w:t>
      </w:r>
      <w:r w:rsidR="00961EC7" w:rsidRPr="00990D53">
        <w:rPr>
          <w:snapToGrid w:val="0"/>
        </w:rPr>
        <w:t>stawą ustanawiającą, na poziomie federa</w:t>
      </w:r>
      <w:r w:rsidR="00BD4667" w:rsidRPr="00990D53">
        <w:rPr>
          <w:snapToGrid w:val="0"/>
        </w:rPr>
        <w:t>lnym</w:t>
      </w:r>
      <w:r w:rsidR="00961EC7" w:rsidRPr="00990D53">
        <w:rPr>
          <w:snapToGrid w:val="0"/>
        </w:rPr>
        <w:t xml:space="preserve">, różnice pomiędzy przepisami o prewencyjnym pozbawieniu wolności a więzieniem </w:t>
      </w:r>
      <w:r w:rsidR="006A3444" w:rsidRPr="00990D53">
        <w:t>(</w:t>
      </w:r>
      <w:r w:rsidR="006A3444" w:rsidRPr="00990D53">
        <w:rPr>
          <w:i/>
        </w:rPr>
        <w:t>Gesetz zur bundesrechtlichen Umsetzung des Abstandsgebotes im Recht der Sicherungsverwahrung</w:t>
      </w:r>
      <w:r w:rsidR="00E05C1D" w:rsidRPr="00990D53">
        <w:rPr>
          <w:i/>
        </w:rPr>
        <w:t xml:space="preserve">, </w:t>
      </w:r>
      <w:r w:rsidR="00961EC7" w:rsidRPr="00990D53">
        <w:t xml:space="preserve">dalej zwana jako ,,Ustawa o (rozróżnieniu) </w:t>
      </w:r>
      <w:r w:rsidR="00153B0D" w:rsidRPr="00990D53">
        <w:t>detencji</w:t>
      </w:r>
      <w:r w:rsidR="00BD4667" w:rsidRPr="00990D53">
        <w:t xml:space="preserve"> </w:t>
      </w:r>
      <w:r w:rsidR="00961EC7" w:rsidRPr="00990D53">
        <w:t>prewencyjnej</w:t>
      </w:r>
      <w:r w:rsidR="00E05C1D" w:rsidRPr="00990D53">
        <w:t>”</w:t>
      </w:r>
      <w:r w:rsidR="006A3444" w:rsidRPr="00990D53">
        <w:t xml:space="preserve">) </w:t>
      </w:r>
      <w:r w:rsidR="00961EC7" w:rsidRPr="00990D53">
        <w:t>z dnia 5 grudnia 2012 r.</w:t>
      </w:r>
      <w:r w:rsidR="006A3444" w:rsidRPr="00990D53">
        <w:t xml:space="preserve">, </w:t>
      </w:r>
      <w:r w:rsidR="00961EC7" w:rsidRPr="00990D53">
        <w:t xml:space="preserve">która weszła w życie w dniu 1 czerwca 2013 r. Ustawodawca przyjął w niej nowe zasady stosowania </w:t>
      </w:r>
      <w:r w:rsidR="00BD4667" w:rsidRPr="00990D53">
        <w:t>izolacji</w:t>
      </w:r>
      <w:r w:rsidR="00961EC7" w:rsidRPr="00990D53">
        <w:t xml:space="preserve"> prewencyjnej oraz wykonania wcześniejszych wyroków kary pozbawienia wolności, mając na uwadze wymagania określone w </w:t>
      </w:r>
      <w:r w:rsidR="00276532" w:rsidRPr="00990D53">
        <w:t xml:space="preserve">wiodącym </w:t>
      </w:r>
      <w:r w:rsidR="00961EC7" w:rsidRPr="00990D53">
        <w:t xml:space="preserve">wyroku Federalnego Trybunału Konstytucyjnego </w:t>
      </w:r>
      <w:r w:rsidR="00276532" w:rsidRPr="00990D53">
        <w:t>z dnia 4 maja 2011 r. dotyczącym</w:t>
      </w:r>
      <w:r w:rsidR="00961EC7" w:rsidRPr="00990D53">
        <w:t xml:space="preserve"> </w:t>
      </w:r>
      <w:r w:rsidR="00BD4667" w:rsidRPr="00990D53">
        <w:t>izolacji</w:t>
      </w:r>
      <w:r w:rsidR="00961EC7" w:rsidRPr="00990D53">
        <w:t xml:space="preserve"> prewencyjnej (zob. par. 66-72 poniżej). </w:t>
      </w:r>
    </w:p>
    <w:p w:rsidR="006A3444" w:rsidRPr="00990D53" w:rsidRDefault="00961EC7" w:rsidP="00B3060D">
      <w:pPr>
        <w:pStyle w:val="ECHRPara"/>
      </w:pPr>
      <w:r w:rsidRPr="00990D53">
        <w:t xml:space="preserve"> </w:t>
      </w:r>
      <w:r w:rsidR="007B4666" w:rsidRPr="00990D53">
        <w:rPr>
          <w:snapToGrid w:val="0"/>
        </w:rPr>
        <w:fldChar w:fldCharType="begin"/>
      </w:r>
      <w:r w:rsidR="007B4666" w:rsidRPr="00990D53">
        <w:rPr>
          <w:snapToGrid w:val="0"/>
        </w:rPr>
        <w:instrText xml:space="preserve"> SEQ level0 \*arabic </w:instrText>
      </w:r>
      <w:r w:rsidR="007B4666" w:rsidRPr="00990D53">
        <w:rPr>
          <w:snapToGrid w:val="0"/>
        </w:rPr>
        <w:fldChar w:fldCharType="separate"/>
      </w:r>
      <w:r w:rsidR="00A31FF5" w:rsidRPr="00990D53">
        <w:rPr>
          <w:snapToGrid w:val="0"/>
        </w:rPr>
        <w:t>44</w:t>
      </w:r>
      <w:r w:rsidR="007B4666" w:rsidRPr="00990D53">
        <w:rPr>
          <w:snapToGrid w:val="0"/>
        </w:rPr>
        <w:fldChar w:fldCharType="end"/>
      </w:r>
      <w:r w:rsidR="007B4666" w:rsidRPr="00990D53">
        <w:rPr>
          <w:snapToGrid w:val="0"/>
        </w:rPr>
        <w:t>.  </w:t>
      </w:r>
      <w:r w:rsidRPr="00990D53">
        <w:rPr>
          <w:snapToGrid w:val="0"/>
        </w:rPr>
        <w:t xml:space="preserve">Przepisy mające zastosowanie w niniejszej sprawie, stanowią co następuje. </w:t>
      </w:r>
    </w:p>
    <w:p w:rsidR="006A3444" w:rsidRPr="00990D53" w:rsidRDefault="005E5D48" w:rsidP="00B3060D">
      <w:pPr>
        <w:pStyle w:val="ECHRHeading3"/>
      </w:pPr>
      <w:r w:rsidRPr="00990D53">
        <w:t>2</w:t>
      </w:r>
      <w:r w:rsidR="00F67210" w:rsidRPr="00990D53">
        <w:t>.</w:t>
      </w:r>
      <w:r w:rsidR="006A3444" w:rsidRPr="00990D53">
        <w:t> </w:t>
      </w:r>
      <w:r w:rsidR="00BD4667" w:rsidRPr="00990D53">
        <w:t>Orzeczenie o</w:t>
      </w:r>
      <w:r w:rsidR="006A3444" w:rsidRPr="00990D53">
        <w:t> </w:t>
      </w:r>
      <w:r w:rsidR="00BD4667" w:rsidRPr="00990D53">
        <w:t xml:space="preserve">izolacji prewencyjnej wydane przez sąd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45</w:t>
      </w:r>
      <w:r w:rsidRPr="00990D53">
        <w:fldChar w:fldCharType="end"/>
      </w:r>
      <w:r w:rsidR="007B4666" w:rsidRPr="00990D53">
        <w:t>.  </w:t>
      </w:r>
      <w:r w:rsidR="00BD4667" w:rsidRPr="00990D53">
        <w:t>Skazując pozwanego, sąd może, pod pewnymi warunkami, orzec o jego izolacji prewencyjnej (tak zwan</w:t>
      </w:r>
      <w:r w:rsidR="005F1D5B" w:rsidRPr="00990D53">
        <w:t xml:space="preserve">e środki naprawcze i prewencyjne) łącznie ze skazaniem na karę więzienia (kara), jeżeli pozwany stwarza zagrożenie dla społeczeństwa (art. 66 Kodeksu karnego).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46</w:t>
      </w:r>
      <w:r w:rsidRPr="00990D53">
        <w:fldChar w:fldCharType="end"/>
      </w:r>
      <w:r w:rsidR="005F1D5B" w:rsidRPr="00990D53">
        <w:t xml:space="preserve">.  Sąd może orzec detencję prewencyjną wraz z karą na mocy art. 66 </w:t>
      </w:r>
      <w:r w:rsidR="005F1D5B" w:rsidRPr="00990D53">
        <w:rPr>
          <w:rFonts w:ascii="Times New Roman" w:hAnsi="Times New Roman" w:cs="Times New Roman"/>
        </w:rPr>
        <w:t>§</w:t>
      </w:r>
      <w:r w:rsidR="005F1D5B" w:rsidRPr="00990D53">
        <w:t xml:space="preserve"> 2 Kodeksu karnego, jeżeli prawo przewiduje taką możliwość, w szczególności gdy osoba popełniła trzy przestępstwa umyślne, za które grożą kary pozbawienia wolności w wysokości co najmniej jednego roku oraz gdy została skazana na co najmniej trzy lata pozbawienia wolności za co najmniej jedno lub więcej z tych przestępstw. </w:t>
      </w:r>
      <w:r w:rsidR="00881308" w:rsidRPr="00990D53">
        <w:t>Dodatkowo</w:t>
      </w:r>
      <w:r w:rsidR="005F1D5B" w:rsidRPr="00990D53">
        <w:t xml:space="preserve"> kompleksowa ocena osoby i </w:t>
      </w:r>
      <w:r w:rsidR="00881308" w:rsidRPr="00990D53">
        <w:t>popełnionych przez nią czynów powinna</w:t>
      </w:r>
      <w:r w:rsidR="00DF405E" w:rsidRPr="00990D53">
        <w:t xml:space="preserve"> prowadzić do wniosków</w:t>
      </w:r>
      <w:r w:rsidR="00881308" w:rsidRPr="00990D53">
        <w:t>, że mając na uwadze jej skłonność do popełniania poważnych przestępstw, szczególnie wywołujących poważne krzywdy fizyczne i psychiczne ich ofiarom</w:t>
      </w:r>
      <w:r w:rsidR="00FA260E" w:rsidRPr="00990D53">
        <w:t xml:space="preserve"> </w:t>
      </w:r>
      <w:r w:rsidR="00881308" w:rsidRPr="00990D53">
        <w:t xml:space="preserve">lub szkody materialne, osoba ta stwarza zagrożenie </w:t>
      </w:r>
      <w:r w:rsidR="00881308" w:rsidRPr="00990D53">
        <w:lastRenderedPageBreak/>
        <w:t xml:space="preserve">dla społeczeństwa. Na mocy tego przepisu nie jest wymagane, aby sprawca był wcześniej skazany lub karany. </w:t>
      </w:r>
    </w:p>
    <w:p w:rsidR="006A3444" w:rsidRPr="00990D53" w:rsidRDefault="005E5D48" w:rsidP="00B3060D">
      <w:pPr>
        <w:pStyle w:val="ECHRHeading3"/>
      </w:pPr>
      <w:r w:rsidRPr="00990D53">
        <w:t>3</w:t>
      </w:r>
      <w:r w:rsidR="00F67210" w:rsidRPr="00990D53">
        <w:t>.</w:t>
      </w:r>
      <w:r w:rsidR="006A3444" w:rsidRPr="00990D53">
        <w:t>  </w:t>
      </w:r>
      <w:r w:rsidR="00881308" w:rsidRPr="00990D53">
        <w:t xml:space="preserve">Sądowa rewizja detencji prewencyjnej </w:t>
      </w:r>
    </w:p>
    <w:p w:rsidR="006A3444" w:rsidRPr="00990D53" w:rsidRDefault="00A91662" w:rsidP="00881308">
      <w:pPr>
        <w:pStyle w:val="ECHRPara"/>
      </w:pPr>
      <w:r w:rsidRPr="00990D53">
        <w:fldChar w:fldCharType="begin"/>
      </w:r>
      <w:r w:rsidRPr="00990D53">
        <w:instrText xml:space="preserve"> SEQ level0 \*arabic </w:instrText>
      </w:r>
      <w:r w:rsidRPr="00990D53">
        <w:fldChar w:fldCharType="separate"/>
      </w:r>
      <w:r w:rsidR="00A31FF5" w:rsidRPr="00990D53">
        <w:t>47</w:t>
      </w:r>
      <w:r w:rsidRPr="00990D53">
        <w:fldChar w:fldCharType="end"/>
      </w:r>
      <w:r w:rsidR="007B4666" w:rsidRPr="00990D53">
        <w:t>.  </w:t>
      </w:r>
      <w:r w:rsidR="00881308" w:rsidRPr="00990D53">
        <w:t xml:space="preserve">Zgodnie z art. 67e Kodeksu karnego, </w:t>
      </w:r>
      <w:r w:rsidR="00E01A5D" w:rsidRPr="00990D53">
        <w:t xml:space="preserve">sąd (izba </w:t>
      </w:r>
      <w:r w:rsidR="008D1126" w:rsidRPr="00990D53">
        <w:t>orzekająca w</w:t>
      </w:r>
      <w:r w:rsidR="00E01A5D" w:rsidRPr="00990D53">
        <w:t xml:space="preserve"> sprawie) </w:t>
      </w:r>
      <w:r w:rsidR="008D1126" w:rsidRPr="00990D53">
        <w:t>może skontrolować w dowolnym czasie czy prewencyjne pozbawienie wolności powinno zostać zawies</w:t>
      </w:r>
      <w:r w:rsidR="00E5537C" w:rsidRPr="00990D53">
        <w:t>zone czy zakończone i zastosowa</w:t>
      </w:r>
      <w:r w:rsidR="008D1126" w:rsidRPr="00990D53">
        <w:t>ć środek probacyjny. Sąd jest zobowiązany do podejmowania takiej kontroli po upływie określonych w ustawie terminów (</w:t>
      </w:r>
      <w:r w:rsidR="00276532" w:rsidRPr="00990D53">
        <w:t>paragraf 1 art. 67e</w:t>
      </w:r>
      <w:r w:rsidR="008D1126" w:rsidRPr="00990D53">
        <w:t xml:space="preserve">).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48</w:t>
      </w:r>
      <w:r w:rsidRPr="00990D53">
        <w:fldChar w:fldCharType="end"/>
      </w:r>
      <w:r w:rsidR="007B4666" w:rsidRPr="00990D53">
        <w:t>.  </w:t>
      </w:r>
      <w:r w:rsidR="008D1126" w:rsidRPr="00990D53">
        <w:t xml:space="preserve">Na podstawie art. 67 e </w:t>
      </w:r>
      <w:r w:rsidR="008D1126" w:rsidRPr="00990D53">
        <w:rPr>
          <w:rFonts w:ascii="Times New Roman" w:hAnsi="Times New Roman" w:cs="Times New Roman"/>
        </w:rPr>
        <w:t xml:space="preserve">§ 2 Kodeksu karnego, </w:t>
      </w:r>
      <w:r w:rsidR="00276532" w:rsidRPr="00990D53">
        <w:rPr>
          <w:rFonts w:ascii="Times New Roman" w:hAnsi="Times New Roman" w:cs="Times New Roman"/>
        </w:rPr>
        <w:t>który wszedł w życie</w:t>
      </w:r>
      <w:r w:rsidR="008D1126" w:rsidRPr="00990D53">
        <w:rPr>
          <w:rFonts w:ascii="Times New Roman" w:hAnsi="Times New Roman" w:cs="Times New Roman"/>
        </w:rPr>
        <w:t>1 czerwca 2013 r., określone terminy kontroli detencji prewencyjnej wynosiły jeden ro</w:t>
      </w:r>
      <w:r w:rsidR="00A51D19" w:rsidRPr="00990D53">
        <w:rPr>
          <w:rFonts w:ascii="Times New Roman" w:hAnsi="Times New Roman" w:cs="Times New Roman"/>
        </w:rPr>
        <w:t>k; okres ten jest zredukowany do dziewięciu miesięcy w przypadku osoby, której prewencyjne pozbawienie wolności trwa od dziesięciu lat.</w:t>
      </w:r>
    </w:p>
    <w:p w:rsidR="006A3444" w:rsidRPr="00990D53" w:rsidRDefault="005E5D48" w:rsidP="00B3060D">
      <w:pPr>
        <w:pStyle w:val="ECHRHeading3"/>
      </w:pPr>
      <w:r w:rsidRPr="00990D53">
        <w:t>4</w:t>
      </w:r>
      <w:r w:rsidR="00F67210" w:rsidRPr="00990D53">
        <w:t>.</w:t>
      </w:r>
      <w:r w:rsidR="006A3444" w:rsidRPr="00990D53">
        <w:t>  </w:t>
      </w:r>
      <w:r w:rsidR="00A51D19" w:rsidRPr="00990D53">
        <w:t>Czas trwania detencji prewencyjnej</w:t>
      </w:r>
    </w:p>
    <w:p w:rsidR="006A3444" w:rsidRPr="00990D53" w:rsidRDefault="006A3444" w:rsidP="00B3060D">
      <w:pPr>
        <w:pStyle w:val="ECHRHeading4"/>
      </w:pPr>
      <w:r w:rsidRPr="00990D53">
        <w:t>(</w:t>
      </w:r>
      <w:r w:rsidR="00F67210" w:rsidRPr="00990D53">
        <w:t>a</w:t>
      </w:r>
      <w:r w:rsidRPr="00990D53">
        <w:t>)  </w:t>
      </w:r>
      <w:r w:rsidR="00A51D19" w:rsidRPr="00990D53">
        <w:t>Przepisy ogólne</w:t>
      </w:r>
    </w:p>
    <w:p w:rsidR="006A3444" w:rsidRPr="00990D53" w:rsidRDefault="007B4666" w:rsidP="00B3060D">
      <w:pPr>
        <w:pStyle w:val="ECHRPara"/>
      </w:pPr>
      <w:r w:rsidRPr="00990D53">
        <w:fldChar w:fldCharType="begin"/>
      </w:r>
      <w:r w:rsidRPr="00990D53">
        <w:instrText xml:space="preserve"> SEQ level0 \*arabic </w:instrText>
      </w:r>
      <w:r w:rsidRPr="00990D53">
        <w:fldChar w:fldCharType="separate"/>
      </w:r>
      <w:r w:rsidR="00A31FF5" w:rsidRPr="00990D53">
        <w:t>49</w:t>
      </w:r>
      <w:r w:rsidRPr="00990D53">
        <w:fldChar w:fldCharType="end"/>
      </w:r>
      <w:r w:rsidRPr="00990D53">
        <w:t>.  </w:t>
      </w:r>
      <w:r w:rsidR="00A51D19" w:rsidRPr="00990D53">
        <w:t xml:space="preserve">Art. 67d </w:t>
      </w:r>
      <w:r w:rsidR="00E5537C" w:rsidRPr="00990D53">
        <w:rPr>
          <w:rFonts w:ascii="Times New Roman" w:hAnsi="Times New Roman" w:cs="Times New Roman"/>
        </w:rPr>
        <w:t>§</w:t>
      </w:r>
      <w:r w:rsidR="00A51D19" w:rsidRPr="00990D53">
        <w:rPr>
          <w:rFonts w:ascii="Times New Roman" w:hAnsi="Times New Roman" w:cs="Times New Roman"/>
        </w:rPr>
        <w:t xml:space="preserve"> 2 Kodeksu karnego stanowi, że maksymalny czas trwania detencji prewencyjnej nie jest określony przepisami lub jeżeli okres ten jeszcze nie upłynął, sąd warunkowo zawiesi dalsze wykonywanie środka w postaci detencji prewencyjnej, jeżeli przesłanki wskazują, że osoba, której on dotyczy, nie popełni czynów bezprawnych po zwolnieniu. Od 1 czerw</w:t>
      </w:r>
      <w:r w:rsidR="00E5537C" w:rsidRPr="00990D53">
        <w:rPr>
          <w:rFonts w:ascii="Times New Roman" w:hAnsi="Times New Roman" w:cs="Times New Roman"/>
        </w:rPr>
        <w:t>ca 2013 r., art. 67d §</w:t>
      </w:r>
      <w:r w:rsidR="00A51D19" w:rsidRPr="00990D53">
        <w:rPr>
          <w:rFonts w:ascii="Times New Roman" w:hAnsi="Times New Roman" w:cs="Times New Roman"/>
        </w:rPr>
        <w:t xml:space="preserve"> 2 stanowi, że sąd warunkowo</w:t>
      </w:r>
      <w:r w:rsidR="00A51D19" w:rsidRPr="00990D53">
        <w:t xml:space="preserve"> zawiesi kontynuację detencji prewencyjnej, jeżeli uzna, że dalsze jej trwanie</w:t>
      </w:r>
      <w:r w:rsidR="00FD190D" w:rsidRPr="00990D53">
        <w:t xml:space="preserve"> byłoby nieproporcjonalne, ponieważ w ciągu określonego czasu osoba, której </w:t>
      </w:r>
      <w:r w:rsidR="00276532" w:rsidRPr="00990D53">
        <w:t xml:space="preserve">to </w:t>
      </w:r>
      <w:r w:rsidR="00FD190D" w:rsidRPr="00990D53">
        <w:t>dotyczy, nie uzyskała odpowiedniej opieki w</w:t>
      </w:r>
      <w:r w:rsidR="00E5537C" w:rsidRPr="00990D53">
        <w:t xml:space="preserve"> znaczeniu art. 66c </w:t>
      </w:r>
      <w:r w:rsidR="00E5537C" w:rsidRPr="00990D53">
        <w:rPr>
          <w:rFonts w:ascii="Times New Roman" w:hAnsi="Times New Roman" w:cs="Times New Roman"/>
        </w:rPr>
        <w:t>§</w:t>
      </w:r>
      <w:r w:rsidR="00E5537C" w:rsidRPr="00990D53">
        <w:t xml:space="preserve"> </w:t>
      </w:r>
      <w:r w:rsidR="00FD190D" w:rsidRPr="00990D53">
        <w:t>1 ust. 1 Kodeksu kar</w:t>
      </w:r>
      <w:r w:rsidR="00963D11" w:rsidRPr="00990D53">
        <w:t>nego (zob. par. 54 poniżej).</w:t>
      </w:r>
      <w:r w:rsidR="00A51D19" w:rsidRPr="00990D53">
        <w:t xml:space="preserve"> </w:t>
      </w:r>
      <w:r w:rsidR="00963D11" w:rsidRPr="00990D53">
        <w:t>Jeżeli osadzonemu nie za</w:t>
      </w:r>
      <w:r w:rsidR="00E5537C" w:rsidRPr="00990D53">
        <w:t>proponowano</w:t>
      </w:r>
      <w:r w:rsidR="00963D11" w:rsidRPr="00990D53">
        <w:t xml:space="preserve"> </w:t>
      </w:r>
      <w:r w:rsidR="00E5537C" w:rsidRPr="00990D53">
        <w:t>odpowiedniej</w:t>
      </w:r>
      <w:r w:rsidR="00963D11" w:rsidRPr="00990D53">
        <w:t xml:space="preserve"> opieki, sąd wyznacza termin do kontroli kontynuowania detencji oraz określenia środ</w:t>
      </w:r>
      <w:r w:rsidR="002A164E" w:rsidRPr="00990D53">
        <w:t>k</w:t>
      </w:r>
      <w:r w:rsidR="00963D11" w:rsidRPr="00990D53">
        <w:t xml:space="preserve">ów zabezpieczających. Zawieszenie detencji automatycznie upoważnia do </w:t>
      </w:r>
      <w:r w:rsidR="002A164E" w:rsidRPr="00990D53">
        <w:t>dozoru</w:t>
      </w:r>
      <w:r w:rsidR="00963D11" w:rsidRPr="00990D53">
        <w:t xml:space="preserve"> </w:t>
      </w:r>
      <w:r w:rsidR="002A164E" w:rsidRPr="00990D53">
        <w:t>na</w:t>
      </w:r>
      <w:r w:rsidR="00276532" w:rsidRPr="00990D53">
        <w:t>d</w:t>
      </w:r>
      <w:r w:rsidR="002A164E" w:rsidRPr="00990D53">
        <w:t xml:space="preserve"> zachowaniem</w:t>
      </w:r>
      <w:r w:rsidR="00963D11" w:rsidRPr="00990D53">
        <w:t xml:space="preserve"> osoby, której </w:t>
      </w:r>
      <w:r w:rsidR="00276532" w:rsidRPr="00990D53">
        <w:t xml:space="preserve">to </w:t>
      </w:r>
      <w:r w:rsidR="00963D11" w:rsidRPr="00990D53">
        <w:t>dotyczy.</w:t>
      </w:r>
      <w:r w:rsidR="006A3444" w:rsidRPr="00990D53">
        <w:t xml:space="preserve"> </w:t>
      </w:r>
    </w:p>
    <w:p w:rsidR="006A3444" w:rsidRPr="00990D53" w:rsidRDefault="006A3444" w:rsidP="00B3060D">
      <w:pPr>
        <w:pStyle w:val="ECHRHeading4"/>
      </w:pPr>
      <w:r w:rsidRPr="00990D53">
        <w:t>(</w:t>
      </w:r>
      <w:r w:rsidR="00F67210" w:rsidRPr="00990D53">
        <w:t>b</w:t>
      </w:r>
      <w:r w:rsidRPr="00990D53">
        <w:t>)  </w:t>
      </w:r>
      <w:r w:rsidR="00963D11" w:rsidRPr="00990D53">
        <w:t>Przepisy obowiązujące przed 31 stycznia 1998 r.</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50</w:t>
      </w:r>
      <w:r w:rsidRPr="00990D53">
        <w:fldChar w:fldCharType="end"/>
      </w:r>
      <w:r w:rsidR="007B4666" w:rsidRPr="00990D53">
        <w:t>.  </w:t>
      </w:r>
      <w:r w:rsidR="002A164E" w:rsidRPr="00990D53">
        <w:t xml:space="preserve">Na mocy art. 67d </w:t>
      </w:r>
      <w:r w:rsidR="002A164E" w:rsidRPr="00990D53">
        <w:rPr>
          <w:rFonts w:ascii="Times New Roman" w:hAnsi="Times New Roman" w:cs="Times New Roman"/>
        </w:rPr>
        <w:t>§</w:t>
      </w:r>
      <w:r w:rsidR="002A164E" w:rsidRPr="00990D53">
        <w:t xml:space="preserve"> </w:t>
      </w:r>
      <w:r w:rsidR="00963D11" w:rsidRPr="00990D53">
        <w:t>1 Kodeksu karnego, obowiązującego przed 31 stycznia 1998 r., pierwszy okres detencji prewencyjnej nie mógł przekraczać dziesięciu lat. Jeżeli maks</w:t>
      </w:r>
      <w:r w:rsidR="002A164E" w:rsidRPr="00990D53">
        <w:t xml:space="preserve">ymalny czas </w:t>
      </w:r>
      <w:r w:rsidR="00963D11" w:rsidRPr="00990D53">
        <w:t>trwania upłynął, osadzonego należ</w:t>
      </w:r>
      <w:r w:rsidR="002A164E" w:rsidRPr="00990D53">
        <w:t xml:space="preserve">ało zwolnić (art. 67 d </w:t>
      </w:r>
      <w:r w:rsidR="002A164E" w:rsidRPr="00990D53">
        <w:rPr>
          <w:rFonts w:ascii="Times New Roman" w:hAnsi="Times New Roman" w:cs="Times New Roman"/>
        </w:rPr>
        <w:t>§</w:t>
      </w:r>
      <w:r w:rsidR="002A164E" w:rsidRPr="00990D53">
        <w:t xml:space="preserve"> </w:t>
      </w:r>
      <w:r w:rsidR="00963D11" w:rsidRPr="00990D53">
        <w:t xml:space="preserve">3 Kodeksu karnego). </w:t>
      </w:r>
    </w:p>
    <w:p w:rsidR="006A3444" w:rsidRPr="00990D53" w:rsidRDefault="006A3444" w:rsidP="00B3060D">
      <w:pPr>
        <w:pStyle w:val="ECHRHeading4"/>
      </w:pPr>
      <w:r w:rsidRPr="00990D53">
        <w:t>(</w:t>
      </w:r>
      <w:r w:rsidR="00F67210" w:rsidRPr="00990D53">
        <w:t>c</w:t>
      </w:r>
      <w:r w:rsidRPr="00990D53">
        <w:t>)  </w:t>
      </w:r>
      <w:r w:rsidR="00963D11" w:rsidRPr="00990D53">
        <w:t>Zmiany przepisów obowiązujące od 31 stycznia 1998 r.</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51</w:t>
      </w:r>
      <w:r w:rsidRPr="00990D53">
        <w:fldChar w:fldCharType="end"/>
      </w:r>
      <w:r w:rsidR="007B4666" w:rsidRPr="00990D53">
        <w:t>.  </w:t>
      </w:r>
      <w:r w:rsidR="00963D11" w:rsidRPr="00990D53">
        <w:t>Art. 67d Kodeksu karnego został zmieniony na mocy Ustawy o zwalczaniu przestępstw seksualnych i innych niebezpiecznych przestępstw z dnia</w:t>
      </w:r>
      <w:r w:rsidR="00340306" w:rsidRPr="00990D53">
        <w:t xml:space="preserve"> 26 stycznia 1998 r., </w:t>
      </w:r>
      <w:r w:rsidR="00276532" w:rsidRPr="00990D53">
        <w:t xml:space="preserve">i wszedł w </w:t>
      </w:r>
      <w:r w:rsidR="00ED147B" w:rsidRPr="00990D53">
        <w:t>życie</w:t>
      </w:r>
      <w:r w:rsidR="00276532" w:rsidRPr="00990D53">
        <w:t xml:space="preserve"> </w:t>
      </w:r>
      <w:r w:rsidR="00340306" w:rsidRPr="00990D53">
        <w:t>31 styc</w:t>
      </w:r>
      <w:r w:rsidR="002A164E" w:rsidRPr="00990D53">
        <w:t xml:space="preserve">znia 1998. Art. 67d </w:t>
      </w:r>
      <w:r w:rsidR="002A164E" w:rsidRPr="00990D53">
        <w:rPr>
          <w:rFonts w:ascii="Times New Roman" w:hAnsi="Times New Roman" w:cs="Times New Roman"/>
        </w:rPr>
        <w:t>§</w:t>
      </w:r>
      <w:r w:rsidR="002A164E" w:rsidRPr="00990D53">
        <w:t xml:space="preserve"> </w:t>
      </w:r>
      <w:r w:rsidR="00340306" w:rsidRPr="00990D53">
        <w:t xml:space="preserve">3 </w:t>
      </w:r>
      <w:r w:rsidR="00340306" w:rsidRPr="00990D53">
        <w:lastRenderedPageBreak/>
        <w:t>po zmianie stanowił</w:t>
      </w:r>
      <w:r w:rsidR="005E6AEA" w:rsidRPr="00990D53">
        <w:t xml:space="preserve"> i nadal stanowi</w:t>
      </w:r>
      <w:r w:rsidR="00340306" w:rsidRPr="00990D53">
        <w:t>, że jeżeli osadzony spędził dziesięć lat w detencji prewency</w:t>
      </w:r>
      <w:r w:rsidR="002A164E" w:rsidRPr="00990D53">
        <w:t>j</w:t>
      </w:r>
      <w:r w:rsidR="00340306" w:rsidRPr="00990D53">
        <w:t xml:space="preserve">nej, sąd orzeknie o zakończeniu stosowania środka (tylko wtedy), gdy mając na uwadze prognozę kryminalną osadzonego, nie stwarza on </w:t>
      </w:r>
      <w:r w:rsidR="002A164E" w:rsidRPr="00990D53">
        <w:t>ryzyka</w:t>
      </w:r>
      <w:r w:rsidR="00340306" w:rsidRPr="00990D53">
        <w:t xml:space="preserve"> popełnienia poważnego przestępstwa </w:t>
      </w:r>
      <w:r w:rsidR="002A164E" w:rsidRPr="00990D53">
        <w:t>powodującą znaczną krzywdę</w:t>
      </w:r>
      <w:r w:rsidR="00340306" w:rsidRPr="00990D53">
        <w:t xml:space="preserve"> psychicz</w:t>
      </w:r>
      <w:r w:rsidR="002A164E" w:rsidRPr="00990D53">
        <w:t>ną lub fizyczną</w:t>
      </w:r>
      <w:r w:rsidR="002F3F67" w:rsidRPr="00990D53">
        <w:t xml:space="preserve"> swoich ofiar. Zakończenie detencji automatycznie upoważnia do </w:t>
      </w:r>
      <w:r w:rsidR="002A164E" w:rsidRPr="00990D53">
        <w:t>dozoru nad zachowaniem</w:t>
      </w:r>
      <w:r w:rsidR="002F3F67" w:rsidRPr="00990D53">
        <w:t xml:space="preserve"> skazanego. Poprzedni maksymalny czas trwania okresu detencji prewencyjnej został zniesiony. Zgodnie z </w:t>
      </w:r>
      <w:r w:rsidR="005E6AEA" w:rsidRPr="00990D53">
        <w:t>paragrafem</w:t>
      </w:r>
      <w:r w:rsidR="002F3F67" w:rsidRPr="00990D53">
        <w:t>1 a(3) Ustawy Wprowadzającej</w:t>
      </w:r>
      <w:r w:rsidR="005E6AEA" w:rsidRPr="00990D53">
        <w:t xml:space="preserve"> </w:t>
      </w:r>
      <w:r w:rsidR="002F3F67" w:rsidRPr="00990D53">
        <w:t>Kodeks karn</w:t>
      </w:r>
      <w:r w:rsidR="005E6AEA" w:rsidRPr="00990D53">
        <w:t>y</w:t>
      </w:r>
      <w:r w:rsidR="002F3F67" w:rsidRPr="00990D53">
        <w:t>, zmieniony art. 67 d</w:t>
      </w:r>
      <w:r w:rsidR="002A164E" w:rsidRPr="00990D53">
        <w:t xml:space="preserve"> </w:t>
      </w:r>
      <w:r w:rsidR="002A164E" w:rsidRPr="00990D53">
        <w:rPr>
          <w:rFonts w:ascii="Times New Roman" w:hAnsi="Times New Roman" w:cs="Times New Roman"/>
        </w:rPr>
        <w:t>§</w:t>
      </w:r>
      <w:r w:rsidR="002A164E" w:rsidRPr="00990D53">
        <w:t xml:space="preserve"> </w:t>
      </w:r>
      <w:r w:rsidR="002F3F67" w:rsidRPr="00990D53">
        <w:t xml:space="preserve">3 Kodeksu karnego powinien być stosowany bez żadnych ograniczeń </w:t>
      </w:r>
      <w:r w:rsidR="006A3444" w:rsidRPr="00990D53">
        <w:rPr>
          <w:i/>
        </w:rPr>
        <w:t>ratione temporis</w:t>
      </w:r>
      <w:r w:rsidR="006A3444" w:rsidRPr="00990D53">
        <w:t>.</w:t>
      </w:r>
    </w:p>
    <w:p w:rsidR="006A3444" w:rsidRPr="00990D53" w:rsidRDefault="006A3444" w:rsidP="00B3060D">
      <w:pPr>
        <w:pStyle w:val="ECHRHeading4"/>
      </w:pPr>
      <w:r w:rsidRPr="00990D53">
        <w:t>(</w:t>
      </w:r>
      <w:r w:rsidR="00F67210" w:rsidRPr="00990D53">
        <w:t>d</w:t>
      </w:r>
      <w:r w:rsidRPr="00990D53">
        <w:t>)  </w:t>
      </w:r>
      <w:r w:rsidR="002F3F67" w:rsidRPr="00990D53">
        <w:t>Przepisy przejściowe</w:t>
      </w:r>
    </w:p>
    <w:p w:rsidR="00B53DD6" w:rsidRPr="00990D53" w:rsidRDefault="007B4666" w:rsidP="00B3060D">
      <w:pPr>
        <w:pStyle w:val="ECHRPara"/>
      </w:pPr>
      <w:r w:rsidRPr="00990D53">
        <w:fldChar w:fldCharType="begin"/>
      </w:r>
      <w:r w:rsidRPr="00990D53">
        <w:instrText xml:space="preserve"> SEQ level0 \*arabic </w:instrText>
      </w:r>
      <w:r w:rsidRPr="00990D53">
        <w:fldChar w:fldCharType="separate"/>
      </w:r>
      <w:r w:rsidR="00A31FF5" w:rsidRPr="00990D53">
        <w:t>52</w:t>
      </w:r>
      <w:r w:rsidRPr="00990D53">
        <w:fldChar w:fldCharType="end"/>
      </w:r>
      <w:r w:rsidRPr="00990D53">
        <w:t>.  </w:t>
      </w:r>
      <w:r w:rsidR="005E6AEA" w:rsidRPr="00990D53">
        <w:t xml:space="preserve">Paragraf </w:t>
      </w:r>
      <w:r w:rsidR="002F3F67" w:rsidRPr="00990D53">
        <w:t>316f Ustawy Wprowadzającej Kodeks karn</w:t>
      </w:r>
      <w:r w:rsidR="005E6AEA" w:rsidRPr="00990D53">
        <w:t>y</w:t>
      </w:r>
      <w:r w:rsidR="002F3F67" w:rsidRPr="00990D53">
        <w:t>, któr</w:t>
      </w:r>
      <w:r w:rsidR="005E6AEA" w:rsidRPr="00990D53">
        <w:t>y</w:t>
      </w:r>
      <w:r w:rsidR="002F3F67" w:rsidRPr="00990D53">
        <w:t xml:space="preserve"> wsz</w:t>
      </w:r>
      <w:r w:rsidR="005E6AEA" w:rsidRPr="00990D53">
        <w:t>ed</w:t>
      </w:r>
      <w:r w:rsidR="002F3F67" w:rsidRPr="00990D53">
        <w:t>ł w życie w dniu 1 czerwca 2</w:t>
      </w:r>
      <w:r w:rsidR="002A164E" w:rsidRPr="00990D53">
        <w:t>0</w:t>
      </w:r>
      <w:r w:rsidR="002F3F67" w:rsidRPr="00990D53">
        <w:t>13 r., zawiera przepis przejściow</w:t>
      </w:r>
      <w:r w:rsidR="005E6AEA" w:rsidRPr="00990D53">
        <w:t>y</w:t>
      </w:r>
      <w:r w:rsidR="002F3F67" w:rsidRPr="00990D53">
        <w:t xml:space="preserve"> wprowadzon</w:t>
      </w:r>
      <w:r w:rsidR="005E6AEA" w:rsidRPr="00990D53">
        <w:t>y</w:t>
      </w:r>
      <w:r w:rsidR="002F3F67" w:rsidRPr="00990D53">
        <w:t xml:space="preserve"> </w:t>
      </w:r>
      <w:r w:rsidR="002A164E" w:rsidRPr="00990D53">
        <w:t>Ustawą</w:t>
      </w:r>
      <w:r w:rsidR="002F3F67" w:rsidRPr="00990D53">
        <w:t xml:space="preserve"> o (rozróżnieniu) detencji prewencyjnej. </w:t>
      </w:r>
    </w:p>
    <w:p w:rsidR="006A3444" w:rsidRPr="00990D53" w:rsidRDefault="007B4666" w:rsidP="00B3060D">
      <w:pPr>
        <w:pStyle w:val="ECHRPara"/>
      </w:pPr>
      <w:r w:rsidRPr="00990D53">
        <w:fldChar w:fldCharType="begin"/>
      </w:r>
      <w:r w:rsidRPr="00990D53">
        <w:instrText xml:space="preserve"> SEQ level0 \*arabic </w:instrText>
      </w:r>
      <w:r w:rsidRPr="00990D53">
        <w:fldChar w:fldCharType="separate"/>
      </w:r>
      <w:r w:rsidR="00A31FF5" w:rsidRPr="00990D53">
        <w:t>53</w:t>
      </w:r>
      <w:r w:rsidRPr="00990D53">
        <w:fldChar w:fldCharType="end"/>
      </w:r>
      <w:r w:rsidRPr="00990D53">
        <w:t>.  </w:t>
      </w:r>
      <w:r w:rsidR="005E6AEA" w:rsidRPr="00990D53">
        <w:t xml:space="preserve">Paragraf </w:t>
      </w:r>
      <w:r w:rsidR="009377B5" w:rsidRPr="00990D53">
        <w:t>316f Ustawy Wprowadzającej</w:t>
      </w:r>
      <w:r w:rsidR="00ED147B">
        <w:t xml:space="preserve"> </w:t>
      </w:r>
      <w:r w:rsidR="009377B5" w:rsidRPr="00990D53">
        <w:t>Kodeks karn</w:t>
      </w:r>
      <w:r w:rsidR="005E6AEA" w:rsidRPr="00990D53">
        <w:t>y</w:t>
      </w:r>
      <w:r w:rsidR="009377B5" w:rsidRPr="00990D53">
        <w:t xml:space="preserve"> stanowi, że przepisy Kodeksu karnego o detencji prewencyjnej, będące w mocy od 1 czerwca 2013 r. są właściwe, jeżeli co najmniej jedno z przestępstw, za które orzeczono detencję prewencyjną, zostało popełnione po 31 maja 2013 r. W pozostałych przypadkach, z zasady, powinny być stosowane przepisy o detencji prewencyjnej będące w mocy do 31 maja 2013 r. (pierwsze zdanie </w:t>
      </w:r>
      <w:r w:rsidR="005E6AEA" w:rsidRPr="00990D53">
        <w:t>paragrafu</w:t>
      </w:r>
      <w:r w:rsidR="00E76412" w:rsidRPr="00990D53">
        <w:t>316f (2)</w:t>
      </w:r>
      <w:r w:rsidR="009377B5" w:rsidRPr="00990D53">
        <w:t xml:space="preserve"> Ustawy Wprowadzającej</w:t>
      </w:r>
      <w:r w:rsidR="005E6AEA" w:rsidRPr="00990D53">
        <w:t xml:space="preserve"> </w:t>
      </w:r>
      <w:r w:rsidR="009377B5" w:rsidRPr="00990D53">
        <w:t>Kodeks karn</w:t>
      </w:r>
      <w:r w:rsidR="005E6AEA" w:rsidRPr="00990D53">
        <w:t>y</w:t>
      </w:r>
      <w:r w:rsidR="009377B5" w:rsidRPr="00990D53">
        <w:t xml:space="preserve">. Jednakże orzeczenie </w:t>
      </w:r>
      <w:r w:rsidR="00C364A9" w:rsidRPr="00990D53">
        <w:t xml:space="preserve">o zastosowaniu lub </w:t>
      </w:r>
      <w:r w:rsidR="009377B5" w:rsidRPr="00990D53">
        <w:t>kontynuacji detencji prewencyjnej na podstawie przepisów prawnych nie mających jeszcze mocy obowiązującej w czasie popełnienia ostatniego przestępstwa</w:t>
      </w:r>
      <w:r w:rsidR="00C364A9" w:rsidRPr="00990D53">
        <w:t xml:space="preserve">, a także orzeczenie o zastosowaniu lub kontynuacji detencji prewencyjnej z mocą wsteczną, dozwolone jest wyłącznie w określonych przypadkach. Osoba, której dotyczy, musi cierpieć na zaburzenia psychiczne, a także </w:t>
      </w:r>
      <w:r w:rsidR="002A164E" w:rsidRPr="00990D53">
        <w:t xml:space="preserve">ze względu na </w:t>
      </w:r>
      <w:r w:rsidR="00FF5DA0" w:rsidRPr="00990D53">
        <w:t>sz</w:t>
      </w:r>
      <w:r w:rsidR="002A164E" w:rsidRPr="00990D53">
        <w:t xml:space="preserve">czególne warunki jej osobowości lub zachowania istnieje wysokie ryzyko </w:t>
      </w:r>
      <w:r w:rsidR="00FF5DA0" w:rsidRPr="00990D53">
        <w:t>popełnienia przez nią poważnej zbrodni z użyciem przemocy lub przestępstwa na tl</w:t>
      </w:r>
      <w:r w:rsidR="002A164E" w:rsidRPr="00990D53">
        <w:t>e seksualnym, wskutek zaburzeń psychicznych</w:t>
      </w:r>
      <w:r w:rsidR="00FF5DA0" w:rsidRPr="00990D53">
        <w:t xml:space="preserve"> (drugie zdanie</w:t>
      </w:r>
      <w:r w:rsidR="00ED147B">
        <w:t xml:space="preserve"> </w:t>
      </w:r>
      <w:r w:rsidR="005E6AEA" w:rsidRPr="00990D53">
        <w:t>paragrafu</w:t>
      </w:r>
      <w:r w:rsidR="00FF5DA0" w:rsidRPr="00990D53">
        <w:t xml:space="preserve"> </w:t>
      </w:r>
      <w:r w:rsidR="00E76412" w:rsidRPr="00990D53">
        <w:t>316f(2)</w:t>
      </w:r>
      <w:r w:rsidR="00FF5DA0" w:rsidRPr="00990D53">
        <w:t xml:space="preserve"> Ustawy Wprowadzającej</w:t>
      </w:r>
      <w:r w:rsidR="00ED147B">
        <w:t xml:space="preserve"> </w:t>
      </w:r>
      <w:r w:rsidR="00FF5DA0" w:rsidRPr="00990D53">
        <w:t xml:space="preserve">Kodeks </w:t>
      </w:r>
      <w:r w:rsidR="005E6AEA" w:rsidRPr="00990D53">
        <w:t>Karnego</w:t>
      </w:r>
      <w:r w:rsidR="00FF5DA0" w:rsidRPr="00990D53">
        <w:t xml:space="preserve">). Jeżeli powyższe przesłanki wymagane do orzeczenia o kontynuowaniu detencji prewencyjnej nie są spełnione, sąd uznaje detencyjne pozbawienie wolności za zakończone; </w:t>
      </w:r>
      <w:r w:rsidR="002A164E" w:rsidRPr="00990D53">
        <w:t>dozór nad zachowaniem</w:t>
      </w:r>
      <w:r w:rsidR="00FF5DA0" w:rsidRPr="00990D53">
        <w:t xml:space="preserve"> skazanego rozpoczyna się z chwilą jego zwolnienia z detencji prewencyjnej (czwarte zdanie </w:t>
      </w:r>
      <w:r w:rsidR="005E6AEA" w:rsidRPr="00990D53">
        <w:t xml:space="preserve">paragrafu </w:t>
      </w:r>
      <w:r w:rsidR="00E76412" w:rsidRPr="00990D53">
        <w:t>316f(2)</w:t>
      </w:r>
      <w:r w:rsidR="00FF5DA0" w:rsidRPr="00990D53">
        <w:t xml:space="preserve"> powyższej Ustawy). </w:t>
      </w:r>
    </w:p>
    <w:p w:rsidR="00B53DD6" w:rsidRPr="00990D53" w:rsidRDefault="005E5D48" w:rsidP="00B3060D">
      <w:pPr>
        <w:pStyle w:val="ECHRHeading3"/>
      </w:pPr>
      <w:r w:rsidRPr="00990D53">
        <w:t>5</w:t>
      </w:r>
      <w:r w:rsidR="00F67210" w:rsidRPr="00990D53">
        <w:t>.</w:t>
      </w:r>
      <w:r w:rsidR="006A3444" w:rsidRPr="00990D53">
        <w:t>  </w:t>
      </w:r>
      <w:r w:rsidR="00FF5DA0" w:rsidRPr="00990D53">
        <w:t>Implementacja detencji prewencyjnej w praktyce</w:t>
      </w:r>
    </w:p>
    <w:p w:rsidR="006A3444" w:rsidRPr="00990D53" w:rsidRDefault="007B4666" w:rsidP="00B3060D">
      <w:pPr>
        <w:pStyle w:val="ECHRPara"/>
      </w:pPr>
      <w:r w:rsidRPr="00990D53">
        <w:fldChar w:fldCharType="begin"/>
      </w:r>
      <w:r w:rsidRPr="00990D53">
        <w:instrText xml:space="preserve"> SEQ level0 \*arabic </w:instrText>
      </w:r>
      <w:r w:rsidRPr="00990D53">
        <w:fldChar w:fldCharType="separate"/>
      </w:r>
      <w:r w:rsidR="00A31FF5" w:rsidRPr="00990D53">
        <w:t>54</w:t>
      </w:r>
      <w:r w:rsidRPr="00990D53">
        <w:fldChar w:fldCharType="end"/>
      </w:r>
      <w:r w:rsidRPr="00990D53">
        <w:t>.  </w:t>
      </w:r>
      <w:r w:rsidR="00FF5DA0" w:rsidRPr="00990D53">
        <w:t xml:space="preserve">Artykuł 66c Kodeksu karnego stanowi o sposobie, w jaki implementowana jest detencja prewencyjna i poprzedzająca ją kara więzienia. Został wprowadzony Ustawą o (rozróżnieniu) detencji prewencyjnej (w związku z czym wszedł w życie w dniu 1 czerwca 2013 r.) Artykuł 66 c w odpowiedniej części stanowi: </w:t>
      </w:r>
    </w:p>
    <w:p w:rsidR="00B47314" w:rsidRPr="00990D53" w:rsidRDefault="006A3444" w:rsidP="00B3060D">
      <w:pPr>
        <w:pStyle w:val="ECHRParaQuote"/>
      </w:pPr>
      <w:r w:rsidRPr="00990D53">
        <w:lastRenderedPageBreak/>
        <w:t>“1.  </w:t>
      </w:r>
      <w:r w:rsidR="00B47314" w:rsidRPr="00990D53">
        <w:t>Osadzeni w detencji prewency</w:t>
      </w:r>
      <w:r w:rsidR="00E70D4A" w:rsidRPr="00990D53">
        <w:t>jnej przeb</w:t>
      </w:r>
      <w:r w:rsidR="00B47314" w:rsidRPr="00990D53">
        <w:t xml:space="preserve">ywają w placówkach, które </w:t>
      </w:r>
    </w:p>
    <w:p w:rsidR="006A3444" w:rsidRPr="00990D53" w:rsidRDefault="006A3444" w:rsidP="00B3060D">
      <w:pPr>
        <w:pStyle w:val="ECHRParaQuote"/>
      </w:pPr>
      <w:r w:rsidRPr="00990D53">
        <w:t>(1)  </w:t>
      </w:r>
      <w:r w:rsidR="00B47314" w:rsidRPr="00990D53">
        <w:t>oferują na podstawie kompleksowego badania i indywidualnego, regularnie aktualizowanego</w:t>
      </w:r>
      <w:r w:rsidR="00AA0CC2" w:rsidRPr="00990D53">
        <w:t xml:space="preserve"> planu leczenia</w:t>
      </w:r>
      <w:r w:rsidR="005E6AEA" w:rsidRPr="00990D53">
        <w:t>,</w:t>
      </w:r>
      <w:r w:rsidR="00B47314" w:rsidRPr="00990D53">
        <w:t xml:space="preserve"> opiekę</w:t>
      </w:r>
      <w:r w:rsidR="00AA0CC2" w:rsidRPr="00990D53">
        <w:t>,</w:t>
      </w:r>
      <w:r w:rsidR="00B47314" w:rsidRPr="00990D53">
        <w:t xml:space="preserve"> która jest </w:t>
      </w:r>
    </w:p>
    <w:p w:rsidR="006A3444" w:rsidRPr="00990D53" w:rsidRDefault="006A3444" w:rsidP="00B3060D">
      <w:pPr>
        <w:pStyle w:val="ECHRParaQuote"/>
      </w:pPr>
      <w:r w:rsidRPr="00990D53">
        <w:t>(a)  </w:t>
      </w:r>
      <w:r w:rsidR="00B47314" w:rsidRPr="00990D53">
        <w:t>indywidualna i dostosowana do potrzeb osadzonego, w celu przygotowania go do udziału w leczeniu</w:t>
      </w:r>
      <w:r w:rsidR="002A164E" w:rsidRPr="00990D53">
        <w:t xml:space="preserve"> psychiatrycznym, psychoterapeut</w:t>
      </w:r>
      <w:r w:rsidR="00B47314" w:rsidRPr="00990D53">
        <w:t>ycznym lub socjoterapeutycznym, jeżeli standardowa terapia</w:t>
      </w:r>
      <w:r w:rsidR="00AA0CC2" w:rsidRPr="00990D53">
        <w:t xml:space="preserve"> prawdopodobnie</w:t>
      </w:r>
      <w:r w:rsidR="00B47314" w:rsidRPr="00990D53">
        <w:t xml:space="preserve"> nie przyniesie pożądanych efektów oraz </w:t>
      </w:r>
    </w:p>
    <w:p w:rsidR="00525F99" w:rsidRPr="00990D53" w:rsidRDefault="006A3444" w:rsidP="00B3060D">
      <w:pPr>
        <w:pStyle w:val="ECHRParaQuote"/>
      </w:pPr>
      <w:r w:rsidRPr="00990D53">
        <w:t>(b)  </w:t>
      </w:r>
      <w:r w:rsidR="00B47314" w:rsidRPr="00990D53">
        <w:t>ukierunkowana na zminimalizowani</w:t>
      </w:r>
      <w:r w:rsidR="00AA0CC2" w:rsidRPr="00990D53">
        <w:t>e zagrożenia</w:t>
      </w:r>
      <w:r w:rsidR="00E70D4A" w:rsidRPr="00990D53">
        <w:t>,</w:t>
      </w:r>
      <w:r w:rsidR="00AA0CC2" w:rsidRPr="00990D53">
        <w:t xml:space="preserve"> </w:t>
      </w:r>
      <w:r w:rsidR="00E70D4A" w:rsidRPr="00990D53">
        <w:t xml:space="preserve">jakie osadzony stanowi </w:t>
      </w:r>
      <w:r w:rsidR="00AA0CC2" w:rsidRPr="00990D53">
        <w:t>dla społeczeństwa</w:t>
      </w:r>
      <w:r w:rsidR="00525F99" w:rsidRPr="00990D53">
        <w:t>, by możliwe było zawieszenie środka i warunkowe zwolnienie lub zakończenie</w:t>
      </w:r>
      <w:r w:rsidR="00E70D4A" w:rsidRPr="00990D53">
        <w:t xml:space="preserve"> trwania tego środka</w:t>
      </w:r>
      <w:r w:rsidR="00525F99" w:rsidRPr="00990D53">
        <w:t xml:space="preserve"> w najszybszym możliwym terminie,</w:t>
      </w:r>
      <w:r w:rsidR="00B47314" w:rsidRPr="00990D53">
        <w:t xml:space="preserve"> </w:t>
      </w:r>
    </w:p>
    <w:p w:rsidR="00B53DD6" w:rsidRPr="00990D53" w:rsidRDefault="006A3444" w:rsidP="00B3060D">
      <w:pPr>
        <w:pStyle w:val="ECHRParaQuote"/>
      </w:pPr>
      <w:r w:rsidRPr="00990D53">
        <w:t>(2)  </w:t>
      </w:r>
      <w:r w:rsidR="00525F99" w:rsidRPr="00990D53">
        <w:t>gwarantuje formę detencji, która</w:t>
      </w:r>
    </w:p>
    <w:p w:rsidR="00B53DD6" w:rsidRPr="00990D53" w:rsidRDefault="006A3444" w:rsidP="00B3060D">
      <w:pPr>
        <w:pStyle w:val="ECHRParaQuote"/>
      </w:pPr>
      <w:r w:rsidRPr="00990D53">
        <w:t>(a)  </w:t>
      </w:r>
      <w:r w:rsidR="00525F99" w:rsidRPr="00990D53">
        <w:t xml:space="preserve">stanowi dla osadzonego najmniejszy możliwy ciężar, </w:t>
      </w:r>
      <w:r w:rsidR="00AA0CC2" w:rsidRPr="00990D53">
        <w:t xml:space="preserve">poprzez </w:t>
      </w:r>
      <w:r w:rsidR="00E70D4A" w:rsidRPr="00990D53">
        <w:t>zagwarantowanie</w:t>
      </w:r>
      <w:r w:rsidR="00AA0CC2" w:rsidRPr="00990D53">
        <w:t xml:space="preserve"> warunków opieki przewidzianych</w:t>
      </w:r>
      <w:r w:rsidR="00525F99" w:rsidRPr="00990D53">
        <w:t xml:space="preserve"> w ust. 1, </w:t>
      </w:r>
      <w:r w:rsidR="00E70D4A" w:rsidRPr="00990D53">
        <w:t>to znaczy stworzenie warunków życia zbliżonych</w:t>
      </w:r>
      <w:r w:rsidR="00525F99" w:rsidRPr="00990D53">
        <w:t xml:space="preserve"> do </w:t>
      </w:r>
      <w:r w:rsidR="00E70D4A" w:rsidRPr="00990D53">
        <w:t xml:space="preserve">tych na wolności </w:t>
      </w:r>
      <w:r w:rsidR="00AA0CC2" w:rsidRPr="00990D53">
        <w:t xml:space="preserve">w </w:t>
      </w:r>
      <w:r w:rsidR="00525F99" w:rsidRPr="00990D53">
        <w:t xml:space="preserve">stopniu, w jakim względy bezpieczeństwa na to pozwalają, oraz  </w:t>
      </w:r>
    </w:p>
    <w:p w:rsidR="00525F99" w:rsidRPr="00990D53" w:rsidRDefault="006A3444" w:rsidP="00B3060D">
      <w:pPr>
        <w:pStyle w:val="ECHRParaQuote"/>
      </w:pPr>
      <w:r w:rsidRPr="00990D53">
        <w:t>(b)  </w:t>
      </w:r>
      <w:r w:rsidR="00AA0CC2" w:rsidRPr="00990D53">
        <w:t>przewiduje przydzielenie osadzonych</w:t>
      </w:r>
      <w:r w:rsidR="00525F99" w:rsidRPr="00990D53">
        <w:t xml:space="preserve"> </w:t>
      </w:r>
      <w:r w:rsidR="00AA0CC2" w:rsidRPr="00990D53">
        <w:t xml:space="preserve">do przeznaczonych w tym celu </w:t>
      </w:r>
      <w:r w:rsidR="00E70D4A" w:rsidRPr="00990D53">
        <w:t>budynków lub placówek</w:t>
      </w:r>
      <w:r w:rsidR="00AA0CC2" w:rsidRPr="00990D53">
        <w:t xml:space="preserve">, by odseparować ich </w:t>
      </w:r>
      <w:r w:rsidR="00525F99" w:rsidRPr="00990D53">
        <w:t xml:space="preserve">od więźniów skazanych na karę </w:t>
      </w:r>
      <w:r w:rsidR="00E70D4A" w:rsidRPr="00990D53">
        <w:t>pozbawienia wolności</w:t>
      </w:r>
      <w:r w:rsidR="00525F99" w:rsidRPr="00990D53">
        <w:t xml:space="preserve">, jeżeli leczenie w znaczeniu ust. 1 nie przewiduje inaczej, oraz </w:t>
      </w:r>
    </w:p>
    <w:p w:rsidR="00B53DD6" w:rsidRPr="00990D53" w:rsidRDefault="006A3444" w:rsidP="00B3060D">
      <w:pPr>
        <w:pStyle w:val="ECHRParaQuote"/>
      </w:pPr>
      <w:r w:rsidRPr="00990D53">
        <w:t>(3)  </w:t>
      </w:r>
      <w:r w:rsidR="00525F99" w:rsidRPr="00990D53">
        <w:t xml:space="preserve">w celu określonym w ust. 1 lit. b </w:t>
      </w:r>
    </w:p>
    <w:p w:rsidR="00525F99" w:rsidRPr="00990D53" w:rsidRDefault="006A3444" w:rsidP="00B3060D">
      <w:pPr>
        <w:pStyle w:val="ECHRParaQuote"/>
      </w:pPr>
      <w:r w:rsidRPr="00990D53">
        <w:t>(a)  </w:t>
      </w:r>
      <w:r w:rsidR="00525F99" w:rsidRPr="00990D53">
        <w:t>zapewnia for</w:t>
      </w:r>
      <w:r w:rsidR="00AA0CC2" w:rsidRPr="00990D53">
        <w:t>m</w:t>
      </w:r>
      <w:r w:rsidR="00525F99" w:rsidRPr="00990D53">
        <w:t xml:space="preserve">y wypoczynku podczas detencji, a także przygotowuje osadzonego </w:t>
      </w:r>
      <w:r w:rsidR="00AA0CC2" w:rsidRPr="00990D53">
        <w:t>do zwolnienia, chyba że występują</w:t>
      </w:r>
      <w:r w:rsidR="00525F99" w:rsidRPr="00990D53">
        <w:t xml:space="preserve"> poważne przeciwwskazania, w szczególności przy wystąpieniu konkretnych faktów urzeczywistniających ryzyko zbiegnięcia osadzonego lub nadużycia środków w celu popełnienia poważnych przestępstw oraz </w:t>
      </w:r>
    </w:p>
    <w:p w:rsidR="006A3444" w:rsidRPr="00990D53" w:rsidRDefault="00525F99" w:rsidP="00B3060D">
      <w:pPr>
        <w:pStyle w:val="ECHRParaQuote"/>
      </w:pPr>
      <w:r w:rsidRPr="00990D53">
        <w:t xml:space="preserve"> </w:t>
      </w:r>
      <w:r w:rsidR="006A3444" w:rsidRPr="00990D53">
        <w:t>(b)  </w:t>
      </w:r>
      <w:r w:rsidRPr="00990D53">
        <w:t>przewiduje kontynuację opieki na wolności poprzez bliską współpracę z prywatny</w:t>
      </w:r>
      <w:r w:rsidR="00AA0CC2" w:rsidRPr="00990D53">
        <w:t>m</w:t>
      </w:r>
      <w:r w:rsidRPr="00990D53">
        <w:t xml:space="preserve">i instytucjami.” </w:t>
      </w:r>
    </w:p>
    <w:p w:rsidR="00132BDC" w:rsidRPr="00990D53" w:rsidRDefault="007B4666" w:rsidP="00B3060D">
      <w:pPr>
        <w:pStyle w:val="ECHRPara"/>
      </w:pPr>
      <w:r w:rsidRPr="00990D53">
        <w:fldChar w:fldCharType="begin"/>
      </w:r>
      <w:r w:rsidRPr="00990D53">
        <w:instrText xml:space="preserve"> SEQ level0 \*arabic </w:instrText>
      </w:r>
      <w:r w:rsidRPr="00990D53">
        <w:fldChar w:fldCharType="separate"/>
      </w:r>
      <w:r w:rsidR="00A31FF5" w:rsidRPr="00990D53">
        <w:t>55</w:t>
      </w:r>
      <w:r w:rsidRPr="00990D53">
        <w:fldChar w:fldCharType="end"/>
      </w:r>
      <w:r w:rsidRPr="00990D53">
        <w:t>.  </w:t>
      </w:r>
      <w:r w:rsidR="00AA0CC2" w:rsidRPr="00990D53">
        <w:t xml:space="preserve">Na mocy </w:t>
      </w:r>
      <w:r w:rsidR="00E76F87" w:rsidRPr="00990D53">
        <w:t>paragrafu</w:t>
      </w:r>
      <w:r w:rsidR="00AA0CC2" w:rsidRPr="00990D53">
        <w:t xml:space="preserve"> </w:t>
      </w:r>
      <w:r w:rsidR="00E76412" w:rsidRPr="00990D53">
        <w:t xml:space="preserve">316f(2) </w:t>
      </w:r>
      <w:r w:rsidR="00AA0CC2" w:rsidRPr="00990D53">
        <w:t xml:space="preserve">Ustawy Wprowadzającej </w:t>
      </w:r>
      <w:r w:rsidR="002A164E" w:rsidRPr="00990D53">
        <w:t>Kodeks karn</w:t>
      </w:r>
      <w:r w:rsidR="00E76F87" w:rsidRPr="00990D53">
        <w:t>y</w:t>
      </w:r>
      <w:r w:rsidR="002A164E" w:rsidRPr="00990D53">
        <w:t>, nowy art.</w:t>
      </w:r>
      <w:r w:rsidR="00AA0CC2" w:rsidRPr="00990D53">
        <w:t xml:space="preserve"> 66c Kodeksu karnego stosuje się również do osób, które popełniły jedno przestępstwo lub więcej, </w:t>
      </w:r>
      <w:r w:rsidR="00132BDC" w:rsidRPr="00990D53">
        <w:t>a także do osób, co do których detencja prewencyjna została orzeczona przed 31 maja 2013 r.</w:t>
      </w:r>
      <w:r w:rsidR="00AA0CC2" w:rsidRPr="00990D53">
        <w:t xml:space="preserve"> </w:t>
      </w:r>
    </w:p>
    <w:p w:rsidR="00132BDC" w:rsidRPr="00990D53" w:rsidRDefault="00373932" w:rsidP="00B3060D">
      <w:pPr>
        <w:pStyle w:val="ECHRPara"/>
      </w:pPr>
      <w:r w:rsidRPr="00990D53">
        <w:fldChar w:fldCharType="begin"/>
      </w:r>
      <w:r w:rsidRPr="00990D53">
        <w:instrText xml:space="preserve"> SEQ level0 \*arabic </w:instrText>
      </w:r>
      <w:r w:rsidRPr="00990D53">
        <w:fldChar w:fldCharType="separate"/>
      </w:r>
      <w:r w:rsidR="00A31FF5" w:rsidRPr="00990D53">
        <w:t>56</w:t>
      </w:r>
      <w:r w:rsidRPr="00990D53">
        <w:fldChar w:fldCharType="end"/>
      </w:r>
      <w:r w:rsidRPr="00990D53">
        <w:t>. </w:t>
      </w:r>
      <w:r w:rsidR="00132BDC" w:rsidRPr="00990D53">
        <w:t>Sposób w jaki detencja prewencyjna jest implementowana regulowan</w:t>
      </w:r>
      <w:r w:rsidR="00E76F87" w:rsidRPr="00990D53">
        <w:t>y</w:t>
      </w:r>
      <w:r w:rsidR="00132BDC" w:rsidRPr="00990D53">
        <w:t xml:space="preserve"> jest w sposób szczegółowy przez </w:t>
      </w:r>
      <w:r w:rsidR="00E76F87" w:rsidRPr="00990D53">
        <w:t xml:space="preserve">poszczególne </w:t>
      </w:r>
      <w:r w:rsidR="00132BDC" w:rsidRPr="00990D53">
        <w:t xml:space="preserve">Landy. W Dolnej Saksonii, gdzie skarżący został osadzony, Parlament Landu przyjął Ustawę reformującą implementację detencji prewencyjnej w Dolnej Saksonii </w:t>
      </w:r>
      <w:r w:rsidR="003662F1" w:rsidRPr="00990D53">
        <w:t xml:space="preserve"> (</w:t>
      </w:r>
      <w:r w:rsidR="003662F1" w:rsidRPr="00990D53">
        <w:rPr>
          <w:i/>
        </w:rPr>
        <w:t>Gesetz zur Neuregelung des Vollzuges der Unterbringung in der Sicherungsverwahrung in Niedersachsen</w:t>
      </w:r>
      <w:r w:rsidR="008F6A9B" w:rsidRPr="00990D53">
        <w:rPr>
          <w:i/>
        </w:rPr>
        <w:t xml:space="preserve">, </w:t>
      </w:r>
      <w:r w:rsidR="00132BDC" w:rsidRPr="00990D53">
        <w:t>dalej zwana jako</w:t>
      </w:r>
      <w:r w:rsidR="008F6A9B" w:rsidRPr="00990D53">
        <w:t xml:space="preserve"> “</w:t>
      </w:r>
      <w:r w:rsidR="00132BDC" w:rsidRPr="00990D53">
        <w:t>Ustawa Dolnej Saksonii o detencji prewencyjnej</w:t>
      </w:r>
      <w:r w:rsidR="008F6A9B" w:rsidRPr="00990D53">
        <w:t>”</w:t>
      </w:r>
      <w:r w:rsidR="003662F1" w:rsidRPr="00990D53">
        <w:t xml:space="preserve">) </w:t>
      </w:r>
      <w:r w:rsidR="00132BDC" w:rsidRPr="00990D53">
        <w:t>z dnia 12 grudnia 2012 r., która weszła w życia w dniu 1 czerwca 2013 r. Składa się z</w:t>
      </w:r>
      <w:r w:rsidR="00E76F87" w:rsidRPr="00990D53">
        <w:t>e</w:t>
      </w:r>
      <w:r w:rsidR="00132BDC" w:rsidRPr="00990D53">
        <w:t xml:space="preserve"> 126 sekcji. </w:t>
      </w:r>
    </w:p>
    <w:p w:rsidR="00974268" w:rsidRPr="00990D53" w:rsidRDefault="003662F1" w:rsidP="00B3060D">
      <w:pPr>
        <w:pStyle w:val="ECHRPara"/>
      </w:pPr>
      <w:r w:rsidRPr="00990D53">
        <w:fldChar w:fldCharType="begin"/>
      </w:r>
      <w:r w:rsidRPr="00990D53">
        <w:instrText xml:space="preserve"> SEQ level0 \*arabic </w:instrText>
      </w:r>
      <w:r w:rsidRPr="00990D53">
        <w:fldChar w:fldCharType="separate"/>
      </w:r>
      <w:r w:rsidR="00A31FF5" w:rsidRPr="00990D53">
        <w:t>57</w:t>
      </w:r>
      <w:r w:rsidRPr="00990D53">
        <w:fldChar w:fldCharType="end"/>
      </w:r>
      <w:r w:rsidRPr="00990D53">
        <w:t>.  </w:t>
      </w:r>
      <w:r w:rsidR="00E76F87" w:rsidRPr="00990D53">
        <w:t>Paragraf</w:t>
      </w:r>
      <w:r w:rsidR="00E70D4A" w:rsidRPr="00990D53">
        <w:t xml:space="preserve"> 2 Ustawy Dolnej Saksonii o Detencji Prewencyjnej określa cele detencji prewencyjnej. Zgodni</w:t>
      </w:r>
      <w:r w:rsidR="002A164E" w:rsidRPr="00990D53">
        <w:t>e</w:t>
      </w:r>
      <w:r w:rsidR="00E70D4A" w:rsidRPr="00990D53">
        <w:t xml:space="preserve"> z </w:t>
      </w:r>
      <w:r w:rsidR="00E76F87" w:rsidRPr="00990D53">
        <w:t>paragrafem</w:t>
      </w:r>
      <w:r w:rsidR="00E70D4A" w:rsidRPr="00990D53">
        <w:t xml:space="preserve"> 2 ust. 1, detencja prewencyjna zmierza do zminimalizowania zagrożenia, jakie osadzony stanowi dla społeczeństwa do tego stopnia, ż</w:t>
      </w:r>
      <w:r w:rsidR="001A02D6" w:rsidRPr="00990D53">
        <w:t xml:space="preserve">e detencję prewencyjną warunkowo zawiesza się lub uznaje za zakończoną. Osoby prewencyjnie pozbawione wolności muszą nauczyć się odpowiedzialnego życia i </w:t>
      </w:r>
      <w:r w:rsidR="001A02D6" w:rsidRPr="00990D53">
        <w:lastRenderedPageBreak/>
        <w:t>zrezygnować z powrotu do przestępstwa (</w:t>
      </w:r>
      <w:r w:rsidR="00E76F87" w:rsidRPr="00990D53">
        <w:t>paragraf</w:t>
      </w:r>
      <w:r w:rsidR="001A02D6" w:rsidRPr="00990D53">
        <w:t xml:space="preserve"> 2 ust. 2). Detencja prewencyjna w równym stopniu służy ochronie społeczeństwa przed narażeniem na poważne przestępstw</w:t>
      </w:r>
      <w:r w:rsidR="005B1001" w:rsidRPr="00990D53">
        <w:t>a</w:t>
      </w:r>
      <w:r w:rsidR="001A02D6" w:rsidRPr="00990D53">
        <w:t xml:space="preserve"> (</w:t>
      </w:r>
      <w:r w:rsidR="00E76F87" w:rsidRPr="00990D53">
        <w:t>paragraf</w:t>
      </w:r>
      <w:r w:rsidR="001A02D6" w:rsidRPr="00990D53">
        <w:t xml:space="preserve"> 2 ust. 3). </w:t>
      </w:r>
    </w:p>
    <w:p w:rsidR="00974268"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58</w:t>
      </w:r>
      <w:r w:rsidRPr="00990D53">
        <w:fldChar w:fldCharType="end"/>
      </w:r>
      <w:r w:rsidR="00974268" w:rsidRPr="00990D53">
        <w:t>. </w:t>
      </w:r>
      <w:r w:rsidR="001A02D6" w:rsidRPr="00990D53">
        <w:t xml:space="preserve">Dla porównania, </w:t>
      </w:r>
      <w:r w:rsidR="00E76F87" w:rsidRPr="00990D53">
        <w:t>paragraf</w:t>
      </w:r>
      <w:r w:rsidR="001A02D6" w:rsidRPr="00990D53">
        <w:t xml:space="preserve"> 5 Ustawy Dolnej Saksonii o wykonywaniu wyroków </w:t>
      </w:r>
      <w:r w:rsidR="00647F76" w:rsidRPr="00990D53">
        <w:t>(</w:t>
      </w:r>
      <w:r w:rsidR="00647F76" w:rsidRPr="00990D53">
        <w:rPr>
          <w:i/>
        </w:rPr>
        <w:t>Niedersächsisches Justizvollzugsgesetz</w:t>
      </w:r>
      <w:r w:rsidR="00647F76" w:rsidRPr="00990D53">
        <w:t>)</w:t>
      </w:r>
      <w:r w:rsidR="00FC56CD" w:rsidRPr="00990D53">
        <w:t>,</w:t>
      </w:r>
      <w:r w:rsidR="00647F76" w:rsidRPr="00990D53">
        <w:t xml:space="preserve"> </w:t>
      </w:r>
      <w:r w:rsidR="001A02D6" w:rsidRPr="00990D53">
        <w:t xml:space="preserve">która reguluje w szczególności wykonywanie </w:t>
      </w:r>
      <w:r w:rsidR="005B1001" w:rsidRPr="00990D53">
        <w:t>wyroków</w:t>
      </w:r>
      <w:r w:rsidR="001A02D6" w:rsidRPr="00990D53">
        <w:t xml:space="preserve"> pozbawienia wolności w Dolnej Saksonii</w:t>
      </w:r>
      <w:r w:rsidR="005B1001" w:rsidRPr="00990D53">
        <w:t xml:space="preserve">, określa cel kary pozbawienia wolności. Stanowi, że w czasie wykonywania kary pozbawienia wolności osadzeni muszą się nauczyć, jak kierować swoim życiem w sposób społecznie odpowiedzialny i zrezygnować z powrotu do przestępstwa (zdanie pierwsze). Kara pozbawienia wolności w równym stopniu służy ochronie społeczeństwa przed narażeniem na poważne przestępstwa (zdanie drugie). </w:t>
      </w:r>
    </w:p>
    <w:p w:rsidR="00C142DD"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59</w:t>
      </w:r>
      <w:r w:rsidRPr="00990D53">
        <w:fldChar w:fldCharType="end"/>
      </w:r>
      <w:r w:rsidR="00A5200F" w:rsidRPr="00990D53">
        <w:t>.  </w:t>
      </w:r>
      <w:r w:rsidR="00E76F87" w:rsidRPr="00990D53">
        <w:t xml:space="preserve">paragraf </w:t>
      </w:r>
      <w:r w:rsidR="005B1001" w:rsidRPr="00990D53">
        <w:t>3 Ustawy Dolnej Saksonii o detencji prewencyjnej stanowi, że detencja prewencyjna promuje wolność jednostki i koncentruje się na terapii potrzebnej osadzonym (</w:t>
      </w:r>
      <w:r w:rsidR="00E76F87" w:rsidRPr="00990D53">
        <w:t>paragraf</w:t>
      </w:r>
      <w:r w:rsidR="005B1001" w:rsidRPr="00990D53">
        <w:t xml:space="preserve"> 3 ust. 1). Życie </w:t>
      </w:r>
      <w:r w:rsidR="00E76F87" w:rsidRPr="00990D53">
        <w:br/>
      </w:r>
      <w:r w:rsidR="005B1001" w:rsidRPr="00990D53">
        <w:t xml:space="preserve">w detencji prewencyjnej ma  być dostosowane do ogólnych warunków życia, </w:t>
      </w:r>
      <w:r w:rsidR="00C142DD" w:rsidRPr="00990D53">
        <w:t>chyba że osadzony poddany jest ograniczeniom wolności na podstawie Ustawy (</w:t>
      </w:r>
      <w:r w:rsidR="00E76F87" w:rsidRPr="00990D53">
        <w:t>paragraf</w:t>
      </w:r>
      <w:r w:rsidR="00C142DD" w:rsidRPr="00990D53">
        <w:t xml:space="preserve"> 3 ust. 2). </w:t>
      </w:r>
    </w:p>
    <w:p w:rsidR="00923733" w:rsidRPr="00990D53" w:rsidRDefault="00923733" w:rsidP="00B3060D">
      <w:pPr>
        <w:pStyle w:val="ECHRPara"/>
      </w:pPr>
      <w:r w:rsidRPr="00990D53">
        <w:fldChar w:fldCharType="begin"/>
      </w:r>
      <w:r w:rsidRPr="00990D53">
        <w:instrText xml:space="preserve"> SEQ level0 \*arabic </w:instrText>
      </w:r>
      <w:r w:rsidRPr="00990D53">
        <w:fldChar w:fldCharType="separate"/>
      </w:r>
      <w:r w:rsidR="00A31FF5" w:rsidRPr="00990D53">
        <w:t>60</w:t>
      </w:r>
      <w:r w:rsidRPr="00990D53">
        <w:fldChar w:fldCharType="end"/>
      </w:r>
      <w:r w:rsidRPr="00990D53">
        <w:t>. </w:t>
      </w:r>
      <w:r w:rsidR="00E76F87" w:rsidRPr="00990D53">
        <w:t>Paragraf</w:t>
      </w:r>
      <w:r w:rsidR="00C142DD" w:rsidRPr="00990D53">
        <w:t xml:space="preserve"> 4 ust. 1 Ustawy Dolnej Saksonii o detencji prewencyjnej stanowi</w:t>
      </w:r>
      <w:r w:rsidR="006C0767" w:rsidRPr="00990D53">
        <w:t xml:space="preserve">, że osadzonym należy bezzwłocznie zaoferować niezbędne środki opieki, a także inne środki niezbędne do osiągnięcia celów określonych w </w:t>
      </w:r>
      <w:r w:rsidR="00E76F87" w:rsidRPr="00990D53">
        <w:t>paragrafie</w:t>
      </w:r>
      <w:r w:rsidR="006C0767" w:rsidRPr="00990D53">
        <w:t xml:space="preserve"> 2</w:t>
      </w:r>
      <w:r w:rsidR="00E76F87" w:rsidRPr="00990D53">
        <w:t>(</w:t>
      </w:r>
      <w:r w:rsidR="006C0767" w:rsidRPr="00990D53">
        <w:t>1</w:t>
      </w:r>
      <w:r w:rsidR="00E76F87" w:rsidRPr="00990D53">
        <w:t>)</w:t>
      </w:r>
      <w:r w:rsidR="006C0767" w:rsidRPr="00990D53">
        <w:t xml:space="preserve"> i </w:t>
      </w:r>
      <w:r w:rsidR="00E76F87" w:rsidRPr="00990D53">
        <w:t>(</w:t>
      </w:r>
      <w:r w:rsidR="006C0767" w:rsidRPr="00990D53">
        <w:t>2</w:t>
      </w:r>
      <w:r w:rsidR="00E76F87" w:rsidRPr="00990D53">
        <w:t>)</w:t>
      </w:r>
      <w:r w:rsidR="006C0767" w:rsidRPr="00990D53">
        <w:t xml:space="preserve">, a także </w:t>
      </w:r>
      <w:r w:rsidR="002A164E" w:rsidRPr="00990D53">
        <w:t xml:space="preserve">by </w:t>
      </w:r>
      <w:r w:rsidR="006C0767" w:rsidRPr="00990D53">
        <w:t xml:space="preserve">motywować ich do osiągnięcia tych celów. Środki opieki </w:t>
      </w:r>
      <w:r w:rsidR="002A164E" w:rsidRPr="00990D53">
        <w:t>obej</w:t>
      </w:r>
      <w:r w:rsidR="006C0767" w:rsidRPr="00990D53">
        <w:t xml:space="preserve">mują w szczególności </w:t>
      </w:r>
      <w:r w:rsidR="002028D2" w:rsidRPr="00990D53">
        <w:t>terapie</w:t>
      </w:r>
      <w:r w:rsidR="006C0767" w:rsidRPr="00990D53">
        <w:t xml:space="preserve"> psychiatryczne, psychoterapeutyczne, so</w:t>
      </w:r>
      <w:r w:rsidR="002A164E" w:rsidRPr="00990D53">
        <w:t>cjoterapeutyczne, które należy odpowiednio dostosować</w:t>
      </w:r>
      <w:r w:rsidR="006C0767" w:rsidRPr="00990D53">
        <w:t>, jeżeli standardowa tera</w:t>
      </w:r>
      <w:r w:rsidR="002028D2" w:rsidRPr="00990D53">
        <w:t xml:space="preserve">pia okaże się niewystarczająca lub w perspektywie czasu </w:t>
      </w:r>
      <w:r w:rsidR="00BE1358" w:rsidRPr="00990D53">
        <w:t>nieefektywna</w:t>
      </w:r>
      <w:r w:rsidR="002028D2" w:rsidRPr="00990D53">
        <w:t>.</w:t>
      </w:r>
    </w:p>
    <w:p w:rsidR="006A3444" w:rsidRPr="00990D53" w:rsidRDefault="00F67210" w:rsidP="00B3060D">
      <w:pPr>
        <w:pStyle w:val="ECHRHeading2"/>
      </w:pPr>
      <w:r w:rsidRPr="00990D53">
        <w:t>B</w:t>
      </w:r>
      <w:r w:rsidR="006A3444" w:rsidRPr="00990D53">
        <w:t>.  </w:t>
      </w:r>
      <w:r w:rsidR="002028D2" w:rsidRPr="00990D53">
        <w:t>Przepisy o odpowiedzialności karnej</w:t>
      </w:r>
    </w:p>
    <w:p w:rsidR="006A3444" w:rsidRPr="00990D53" w:rsidRDefault="007B4666" w:rsidP="00B3060D">
      <w:pPr>
        <w:pStyle w:val="ECHRPara"/>
      </w:pPr>
      <w:r w:rsidRPr="00990D53">
        <w:fldChar w:fldCharType="begin"/>
      </w:r>
      <w:r w:rsidRPr="00990D53">
        <w:instrText xml:space="preserve"> SEQ level0 \*arabic </w:instrText>
      </w:r>
      <w:r w:rsidRPr="00990D53">
        <w:fldChar w:fldCharType="separate"/>
      </w:r>
      <w:r w:rsidR="00A31FF5" w:rsidRPr="00990D53">
        <w:t>61</w:t>
      </w:r>
      <w:r w:rsidRPr="00990D53">
        <w:fldChar w:fldCharType="end"/>
      </w:r>
      <w:r w:rsidRPr="00990D53">
        <w:t>.  </w:t>
      </w:r>
      <w:r w:rsidR="002028D2" w:rsidRPr="00990D53">
        <w:t xml:space="preserve">Art. 20 Kodeksu karnego zawiera treści o </w:t>
      </w:r>
      <w:r w:rsidR="009720F0" w:rsidRPr="00990D53">
        <w:t>nieprzypisywaniu</w:t>
      </w:r>
      <w:r w:rsidR="002028D2" w:rsidRPr="00990D53">
        <w:t xml:space="preserve"> odpowiedzialności karnej ze względu na zaburzenia psychiczne. Stanowi, ż</w:t>
      </w:r>
      <w:r w:rsidR="00B24DEF" w:rsidRPr="00990D53">
        <w:t>e osobie</w:t>
      </w:r>
      <w:r w:rsidR="002028D2" w:rsidRPr="00990D53">
        <w:t>, która popełniła czyn zabroniony zagrożony karą,</w:t>
      </w:r>
      <w:r w:rsidR="00B24DEF" w:rsidRPr="00990D53">
        <w:t xml:space="preserve"> i</w:t>
      </w:r>
      <w:r w:rsidR="002028D2" w:rsidRPr="00990D53">
        <w:t xml:space="preserve"> jest niezdolna do rozpoznania znaczenia swojego czynu lub zachowania się zgodnie z regułami ze względu na patologiczne zaburzenie psychiczne, stan głębokiego zaburzenia świadomości, upośledzenie psychiczne lub inne poważne </w:t>
      </w:r>
      <w:r w:rsidR="00B24DEF" w:rsidRPr="00990D53">
        <w:t>psychiczne</w:t>
      </w:r>
      <w:r w:rsidR="002028D2" w:rsidRPr="00990D53">
        <w:t xml:space="preserve"> </w:t>
      </w:r>
      <w:r w:rsidR="00B24DEF" w:rsidRPr="00990D53">
        <w:t>nieprawidłowości, nie można przypisać winy w trakcie czynu</w:t>
      </w:r>
      <w:r w:rsidR="006A3444" w:rsidRPr="00990D53">
        <w:t>.</w:t>
      </w:r>
    </w:p>
    <w:p w:rsidR="006A3444" w:rsidRPr="00990D53" w:rsidRDefault="007B4666" w:rsidP="00B3060D">
      <w:pPr>
        <w:pStyle w:val="ECHRPara"/>
      </w:pPr>
      <w:r w:rsidRPr="00990D53">
        <w:fldChar w:fldCharType="begin"/>
      </w:r>
      <w:r w:rsidRPr="00990D53">
        <w:instrText xml:space="preserve"> SEQ level0 \*arabic </w:instrText>
      </w:r>
      <w:r w:rsidRPr="00990D53">
        <w:fldChar w:fldCharType="separate"/>
      </w:r>
      <w:r w:rsidR="00A31FF5" w:rsidRPr="00990D53">
        <w:t>62</w:t>
      </w:r>
      <w:r w:rsidRPr="00990D53">
        <w:fldChar w:fldCharType="end"/>
      </w:r>
      <w:r w:rsidRPr="00990D53">
        <w:t>.  </w:t>
      </w:r>
      <w:r w:rsidR="009720F0" w:rsidRPr="00990D53">
        <w:t>Art.</w:t>
      </w:r>
      <w:r w:rsidR="00B24DEF" w:rsidRPr="00990D53">
        <w:t xml:space="preserve"> 21 Kodeksu karnego reguluje kwestie ograniczonej odpowiedzialności karnej. Stanowi, że kara powinna być złagodzona, jeżeli zdolność sprawcy do rozpoznania znaczenia czynu</w:t>
      </w:r>
      <w:r w:rsidR="009B2837" w:rsidRPr="00990D53">
        <w:t xml:space="preserve"> lub zachowanie</w:t>
      </w:r>
      <w:r w:rsidR="009720F0" w:rsidRPr="00990D53">
        <w:t xml:space="preserve"> się</w:t>
      </w:r>
      <w:r w:rsidR="009B2837" w:rsidRPr="00990D53">
        <w:t xml:space="preserve"> zgodne z regułami</w:t>
      </w:r>
      <w:r w:rsidR="00B24DEF" w:rsidRPr="00990D53">
        <w:t xml:space="preserve"> </w:t>
      </w:r>
      <w:r w:rsidR="009B2837" w:rsidRPr="00990D53">
        <w:t>jest znacząco ograniczone w trakcie popełniania czynu, ze wzg</w:t>
      </w:r>
      <w:r w:rsidR="009720F0" w:rsidRPr="00990D53">
        <w:t xml:space="preserve">lędu na powody wskazane w art. </w:t>
      </w:r>
      <w:r w:rsidR="009B2837" w:rsidRPr="00990D53">
        <w:t xml:space="preserve">20 Kodeksu karnego. </w:t>
      </w:r>
    </w:p>
    <w:p w:rsidR="006A3444" w:rsidRPr="00990D53" w:rsidRDefault="00F67210" w:rsidP="00B3060D">
      <w:pPr>
        <w:pStyle w:val="ECHRHeading2"/>
      </w:pPr>
      <w:bookmarkStart w:id="2" w:name="67a"/>
      <w:bookmarkEnd w:id="2"/>
      <w:r w:rsidRPr="00990D53">
        <w:lastRenderedPageBreak/>
        <w:t>C</w:t>
      </w:r>
      <w:r w:rsidR="006A3444" w:rsidRPr="00990D53">
        <w:t>.  </w:t>
      </w:r>
      <w:r w:rsidR="009B2837" w:rsidRPr="00990D53">
        <w:t>Detencja osoby chore</w:t>
      </w:r>
      <w:r w:rsidR="009720F0" w:rsidRPr="00990D53">
        <w:t>j</w:t>
      </w:r>
      <w:r w:rsidR="009B2837" w:rsidRPr="00990D53">
        <w:t xml:space="preserve"> psychicznie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63</w:t>
      </w:r>
      <w:r w:rsidRPr="00990D53">
        <w:fldChar w:fldCharType="end"/>
      </w:r>
      <w:r w:rsidR="007B4666" w:rsidRPr="00990D53">
        <w:t>.  </w:t>
      </w:r>
      <w:r w:rsidR="009B2837" w:rsidRPr="00990D53">
        <w:t xml:space="preserve">Detencja osoby chorej psychicznie jest przewidziana w Kodeksie karnym jako środek prewencyjny i naprawczy względem osoby, która popełniła czyn bezprawny i orzeczono wobec niej detencję. Art. 63 Kodeksu karnego stanowi, że </w:t>
      </w:r>
      <w:r w:rsidR="00F6002B" w:rsidRPr="00990D53">
        <w:t xml:space="preserve">wobec osoby, która popełniła czyn bezprawny </w:t>
      </w:r>
      <w:r w:rsidR="003643BD" w:rsidRPr="00990D53">
        <w:t xml:space="preserve">i nie można jej przypisać odpowiedzialności karnej lub </w:t>
      </w:r>
      <w:r w:rsidR="00F6002B" w:rsidRPr="00990D53">
        <w:t xml:space="preserve">podlega ograniczonej odpowiedzialności karnej , sąd orzeknie o umieszczeniu tej osoby – bezterminowo – w szpitalu psychiatrycznym. Kompleksowa ocena </w:t>
      </w:r>
      <w:r w:rsidR="003643BD" w:rsidRPr="00990D53">
        <w:t>podsądnego</w:t>
      </w:r>
      <w:r w:rsidR="00F6002B" w:rsidRPr="00990D53">
        <w:t xml:space="preserve"> i jego czynów powinna prowadzić do wniosków, że biorąc pod uwagę jego kondycję, z wysokim prawdopodobieństwem dopuści się czynów bezprawnych oraz będzie stanowił zagrożenie dla bezpieczeństwa publicznego.  </w:t>
      </w:r>
    </w:p>
    <w:p w:rsidR="000D3B88"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64</w:t>
      </w:r>
      <w:r w:rsidRPr="00990D53">
        <w:fldChar w:fldCharType="end"/>
      </w:r>
      <w:r w:rsidR="007B4666" w:rsidRPr="00990D53">
        <w:t>.  </w:t>
      </w:r>
      <w:r w:rsidR="00F6002B" w:rsidRPr="00990D53">
        <w:t xml:space="preserve">W dniu 1 stycznia 2011 r., </w:t>
      </w:r>
      <w:r w:rsidR="00090C28" w:rsidRPr="00990D53">
        <w:t xml:space="preserve">w następstwie wyroku Trybunału w sprawie </w:t>
      </w:r>
      <w:r w:rsidR="006A3444" w:rsidRPr="00990D53">
        <w:rPr>
          <w:i/>
        </w:rPr>
        <w:t xml:space="preserve">M. </w:t>
      </w:r>
      <w:r w:rsidR="00090C28" w:rsidRPr="00990D53">
        <w:rPr>
          <w:i/>
        </w:rPr>
        <w:t>przeciwko Niemcom</w:t>
      </w:r>
      <w:r w:rsidR="006A3444" w:rsidRPr="00990D53">
        <w:t xml:space="preserve"> (</w:t>
      </w:r>
      <w:r w:rsidR="009720F0" w:rsidRPr="00990D53">
        <w:t>cyt.</w:t>
      </w:r>
      <w:r w:rsidR="00090C28" w:rsidRPr="00990D53">
        <w:t xml:space="preserve"> powyżej</w:t>
      </w:r>
      <w:r w:rsidR="006A3444" w:rsidRPr="00990D53">
        <w:t xml:space="preserve">), </w:t>
      </w:r>
      <w:r w:rsidR="00090C28" w:rsidRPr="00990D53">
        <w:t>weszła w życie Ustawa o terapii i detencji agresywnych sprawców z zaburzeniami psychicznymi</w:t>
      </w:r>
      <w:r w:rsidR="006A3444" w:rsidRPr="00990D53">
        <w:t xml:space="preserve"> (</w:t>
      </w:r>
      <w:r w:rsidR="006A3444" w:rsidRPr="00990D53">
        <w:rPr>
          <w:i/>
        </w:rPr>
        <w:t>Gesetz zur Therapierung und Unterbringung psychisch gestörter Gewalttäter</w:t>
      </w:r>
      <w:r w:rsidR="008A709F" w:rsidRPr="00990D53">
        <w:rPr>
          <w:i/>
        </w:rPr>
        <w:t xml:space="preserve">, </w:t>
      </w:r>
      <w:r w:rsidR="009720F0" w:rsidRPr="00990D53">
        <w:t>,,Ustawa o detencji prewencyjnej</w:t>
      </w:r>
      <w:r w:rsidR="00090C28" w:rsidRPr="00990D53">
        <w:t xml:space="preserve">”). Na mocy </w:t>
      </w:r>
      <w:r w:rsidR="003643BD" w:rsidRPr="00990D53">
        <w:t>paragrafu</w:t>
      </w:r>
      <w:r w:rsidR="00090C28" w:rsidRPr="00990D53">
        <w:t xml:space="preserve"> 1 </w:t>
      </w:r>
      <w:r w:rsidR="003643BD" w:rsidRPr="00990D53">
        <w:t>(</w:t>
      </w:r>
      <w:r w:rsidR="00090C28" w:rsidRPr="00990D53">
        <w:t>1</w:t>
      </w:r>
      <w:r w:rsidR="003643BD" w:rsidRPr="00990D53">
        <w:t>)</w:t>
      </w:r>
      <w:r w:rsidR="00090C28" w:rsidRPr="00990D53">
        <w:t xml:space="preserve"> i </w:t>
      </w:r>
      <w:r w:rsidR="003643BD" w:rsidRPr="00990D53">
        <w:t>(</w:t>
      </w:r>
      <w:r w:rsidR="00090C28" w:rsidRPr="00990D53">
        <w:t>4</w:t>
      </w:r>
      <w:r w:rsidR="003643BD" w:rsidRPr="00990D53">
        <w:t>)</w:t>
      </w:r>
      <w:r w:rsidR="00090C28" w:rsidRPr="00990D53">
        <w:t xml:space="preserve"> tej Ustawy, izby cywilne Sądów Okręgowych mogą orzec o umieszczeniu osób, które nie mogą dłużej przebywać w detencji prewencyjnej</w:t>
      </w:r>
      <w:r w:rsidR="009720F0" w:rsidRPr="00990D53">
        <w:t>,</w:t>
      </w:r>
      <w:r w:rsidR="00090C28" w:rsidRPr="00990D53">
        <w:t xml:space="preserve"> w odpowiedniej placówce, ze względu za zakaz retrospektywnego zaostrzenia kary w przypadku detencji prewencyjnej. Detencja terapeutyczna może być orzeczona w przypadku, gdy osoba została uznana ostatecznym wyrokiem sądu za winną popełnienia określonych poważnych przestępstw, za które </w:t>
      </w:r>
      <w:r w:rsidR="000D3B88" w:rsidRPr="00990D53">
        <w:t xml:space="preserve">art. 66 </w:t>
      </w:r>
      <w:r w:rsidR="000D3B88" w:rsidRPr="00990D53">
        <w:rPr>
          <w:rFonts w:ascii="Times New Roman" w:hAnsi="Times New Roman" w:cs="Times New Roman"/>
        </w:rPr>
        <w:t>§</w:t>
      </w:r>
      <w:r w:rsidR="000D3B88" w:rsidRPr="00990D53">
        <w:t xml:space="preserve"> 3 Kodeksu karnego przewiduje </w:t>
      </w:r>
      <w:r w:rsidR="00090C28" w:rsidRPr="00990D53">
        <w:t xml:space="preserve">detencję prewencyjną. </w:t>
      </w:r>
      <w:r w:rsidR="000D3B88" w:rsidRPr="00990D53">
        <w:t>Ze względu</w:t>
      </w:r>
      <w:r w:rsidR="00090C28" w:rsidRPr="00990D53">
        <w:t xml:space="preserve"> na zaburzenia psychiczne</w:t>
      </w:r>
      <w:r w:rsidR="000D3B88" w:rsidRPr="00990D53">
        <w:t xml:space="preserve"> tej osoby</w:t>
      </w:r>
      <w:r w:rsidR="00090C28" w:rsidRPr="00990D53">
        <w:t xml:space="preserve">, </w:t>
      </w:r>
      <w:r w:rsidR="000D3B88" w:rsidRPr="00990D53">
        <w:t>w przypadku zwolnienia, jej zachowanie znacząco zakłócałaby życie</w:t>
      </w:r>
      <w:r w:rsidR="00090C28" w:rsidRPr="00990D53">
        <w:t xml:space="preserve">, integralność </w:t>
      </w:r>
      <w:r w:rsidR="000D3B88" w:rsidRPr="00990D53">
        <w:t xml:space="preserve">fizyczną, wolność osobistą lub samostanowienie seksualne innej osoby. Detencja musi być konieczna ze względu na ochronę bezpieczeństwa publicznego.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65</w:t>
      </w:r>
      <w:r w:rsidRPr="00990D53">
        <w:fldChar w:fldCharType="end"/>
      </w:r>
      <w:r w:rsidR="007B4666" w:rsidRPr="00990D53">
        <w:t>.  </w:t>
      </w:r>
      <w:r w:rsidR="000D3B88" w:rsidRPr="00990D53">
        <w:t xml:space="preserve">Na mocy </w:t>
      </w:r>
      <w:r w:rsidR="003643BD" w:rsidRPr="00990D53">
        <w:t>paragrafu</w:t>
      </w:r>
      <w:r w:rsidR="000D3B88" w:rsidRPr="00990D53">
        <w:t xml:space="preserve"> 2 </w:t>
      </w:r>
      <w:r w:rsidR="003643BD" w:rsidRPr="00990D53">
        <w:t>(</w:t>
      </w:r>
      <w:r w:rsidR="000D3B88" w:rsidRPr="00990D53">
        <w:t>1</w:t>
      </w:r>
      <w:r w:rsidR="003643BD" w:rsidRPr="00990D53">
        <w:t>)</w:t>
      </w:r>
      <w:r w:rsidR="000D3B88" w:rsidRPr="00990D53">
        <w:t xml:space="preserve"> Ustawy o detencji prewencyjne</w:t>
      </w:r>
      <w:r w:rsidR="0059493E" w:rsidRPr="00990D53">
        <w:t>j</w:t>
      </w:r>
      <w:r w:rsidR="000D3B88" w:rsidRPr="00990D53">
        <w:t xml:space="preserve">, placówkami dostosowanymi do „terapii detencyjnej” są tylko te, które gwarantują </w:t>
      </w:r>
      <w:r w:rsidR="0059493E" w:rsidRPr="00990D53">
        <w:t xml:space="preserve">swoją </w:t>
      </w:r>
      <w:r w:rsidR="000D3B88" w:rsidRPr="00990D53">
        <w:t>ofertą terapeu</w:t>
      </w:r>
      <w:r w:rsidR="0059493E" w:rsidRPr="00990D53">
        <w:t>tyczną i opieką</w:t>
      </w:r>
      <w:r w:rsidR="000D3B88" w:rsidRPr="00990D53">
        <w:t xml:space="preserve"> medyczną adekwatne leczenie psychiczne danej osoby</w:t>
      </w:r>
      <w:r w:rsidR="0059493E" w:rsidRPr="00990D53">
        <w:t>,</w:t>
      </w:r>
      <w:r w:rsidR="000D3B88" w:rsidRPr="00990D53">
        <w:t xml:space="preserve"> na podstawie zindywidualizowanego planu leczenia </w:t>
      </w:r>
      <w:r w:rsidR="0059493E" w:rsidRPr="00990D53">
        <w:t xml:space="preserve">ukierunkowanego na ograniczenie czasu jego trwania ( </w:t>
      </w:r>
      <w:r w:rsidR="000A1E42" w:rsidRPr="00990D53">
        <w:t>podpunkt (</w:t>
      </w:r>
      <w:r w:rsidR="0059493E" w:rsidRPr="00990D53">
        <w:t>1). Placówki muszą zapewnić, aby detencja była w jak najmniejszym stopniu uciążliwa dla osadzonego, biorąc pod uwagę aspekty terapeutyczne oraz kwestie bezpieczeństwa publicznego (</w:t>
      </w:r>
      <w:r w:rsidR="000A1E42" w:rsidRPr="00990D53">
        <w:t>podpunkt</w:t>
      </w:r>
      <w:r w:rsidR="0059493E" w:rsidRPr="00990D53">
        <w:t xml:space="preserve"> </w:t>
      </w:r>
      <w:r w:rsidR="000A1E42" w:rsidRPr="00990D53">
        <w:t>(</w:t>
      </w:r>
      <w:r w:rsidR="0059493E" w:rsidRPr="00990D53">
        <w:t>2</w:t>
      </w:r>
      <w:r w:rsidR="000A1E42" w:rsidRPr="00990D53">
        <w:t>)</w:t>
      </w:r>
      <w:r w:rsidR="0059493E" w:rsidRPr="00990D53">
        <w:t>). Osadzeni muszą być oddzieleni, w sensie położenia i organizacyjnym</w:t>
      </w:r>
      <w:r w:rsidR="009F7BFF" w:rsidRPr="00990D53">
        <w:t>,</w:t>
      </w:r>
      <w:r w:rsidR="0059493E" w:rsidRPr="00990D53">
        <w:t xml:space="preserve"> od </w:t>
      </w:r>
      <w:r w:rsidR="009F7BFF" w:rsidRPr="00990D53">
        <w:t>zakładów karnych</w:t>
      </w:r>
      <w:r w:rsidR="0059493E" w:rsidRPr="00990D53">
        <w:t xml:space="preserve"> (</w:t>
      </w:r>
      <w:r w:rsidR="000A1E42" w:rsidRPr="00990D53">
        <w:t>podpunkt</w:t>
      </w:r>
      <w:r w:rsidR="0059493E" w:rsidRPr="00990D53">
        <w:t xml:space="preserve"> </w:t>
      </w:r>
      <w:r w:rsidR="000A1E42" w:rsidRPr="00990D53">
        <w:t>(</w:t>
      </w:r>
      <w:r w:rsidR="0059493E" w:rsidRPr="00990D53">
        <w:t>3</w:t>
      </w:r>
      <w:r w:rsidR="000A1E42" w:rsidRPr="00990D53">
        <w:t>)</w:t>
      </w:r>
      <w:r w:rsidR="0059493E" w:rsidRPr="00990D53">
        <w:t xml:space="preserve">). Na mocy </w:t>
      </w:r>
      <w:r w:rsidR="000A1E42" w:rsidRPr="00990D53">
        <w:t>paragrafu</w:t>
      </w:r>
      <w:r w:rsidR="0059493E" w:rsidRPr="00990D53">
        <w:t xml:space="preserve"> 2  </w:t>
      </w:r>
      <w:r w:rsidR="000A1E42" w:rsidRPr="00990D53">
        <w:t>(</w:t>
      </w:r>
      <w:r w:rsidR="0059493E" w:rsidRPr="00990D53">
        <w:t>2</w:t>
      </w:r>
      <w:r w:rsidR="000A1E42" w:rsidRPr="00990D53">
        <w:t>)</w:t>
      </w:r>
      <w:r w:rsidR="0059493E" w:rsidRPr="00990D53">
        <w:t xml:space="preserve"> Ustaw</w:t>
      </w:r>
      <w:r w:rsidR="009F7BFF" w:rsidRPr="00990D53">
        <w:t>a o detencji prewencyjnej, obowiązujące</w:t>
      </w:r>
      <w:r w:rsidR="000A1E42" w:rsidRPr="00990D53">
        <w:t>go</w:t>
      </w:r>
      <w:r w:rsidR="009F7BFF" w:rsidRPr="00990D53">
        <w:t xml:space="preserve"> od 1 czerwca 2013 r., placówki określone w art. 66c</w:t>
      </w:r>
      <w:r w:rsidR="000A1E42" w:rsidRPr="00990D53">
        <w:t>§</w:t>
      </w:r>
      <w:r w:rsidR="009F7BFF" w:rsidRPr="00990D53">
        <w:t xml:space="preserve"> 1 Kodeksu karnego, również</w:t>
      </w:r>
      <w:r w:rsidR="009720F0" w:rsidRPr="00990D53">
        <w:t xml:space="preserve"> mogą</w:t>
      </w:r>
      <w:r w:rsidR="009F7BFF" w:rsidRPr="00990D53">
        <w:t xml:space="preserve"> służyć </w:t>
      </w:r>
      <w:r w:rsidR="009720F0" w:rsidRPr="00990D53">
        <w:t>celom</w:t>
      </w:r>
      <w:r w:rsidR="009F7BFF" w:rsidRPr="00990D53">
        <w:t xml:space="preserve"> terapii detencyjnej, jeżeli spełniają wymagania określone w </w:t>
      </w:r>
      <w:r w:rsidR="000A1E42" w:rsidRPr="00990D53">
        <w:t>paragrafie</w:t>
      </w:r>
      <w:r w:rsidR="009F7BFF" w:rsidRPr="00990D53">
        <w:t xml:space="preserve">2  </w:t>
      </w:r>
      <w:r w:rsidR="000A1E42" w:rsidRPr="00990D53">
        <w:t>(</w:t>
      </w:r>
      <w:r w:rsidR="009F7BFF" w:rsidRPr="00990D53">
        <w:t>1</w:t>
      </w:r>
      <w:r w:rsidR="000A1E42" w:rsidRPr="00990D53">
        <w:t>) podpunkt (</w:t>
      </w:r>
      <w:r w:rsidR="009F7BFF" w:rsidRPr="00990D53">
        <w:t>1</w:t>
      </w:r>
      <w:r w:rsidR="000A1E42" w:rsidRPr="00990D53">
        <w:t>)</w:t>
      </w:r>
      <w:r w:rsidR="009F7BFF" w:rsidRPr="00990D53">
        <w:t xml:space="preserve"> i </w:t>
      </w:r>
      <w:r w:rsidR="000A1E42" w:rsidRPr="00990D53">
        <w:t>(</w:t>
      </w:r>
      <w:r w:rsidR="009F7BFF" w:rsidRPr="00990D53">
        <w:t>2</w:t>
      </w:r>
      <w:r w:rsidR="000A1E42" w:rsidRPr="00990D53">
        <w:t>)</w:t>
      </w:r>
      <w:r w:rsidR="009F7BFF" w:rsidRPr="00990D53">
        <w:t xml:space="preserve"> Ustawy. </w:t>
      </w:r>
    </w:p>
    <w:p w:rsidR="006A3444" w:rsidRPr="00990D53" w:rsidRDefault="00F67210" w:rsidP="00B3060D">
      <w:pPr>
        <w:pStyle w:val="ECHRHeading2"/>
      </w:pPr>
      <w:r w:rsidRPr="00990D53">
        <w:lastRenderedPageBreak/>
        <w:t>D</w:t>
      </w:r>
      <w:r w:rsidR="006A3444" w:rsidRPr="00990D53">
        <w:t>.  </w:t>
      </w:r>
      <w:r w:rsidR="009F7BFF" w:rsidRPr="00990D53">
        <w:t>Aktualne orzecznictwo Federalnego Trybunału Konstytucyjnego</w:t>
      </w:r>
      <w:r w:rsidR="006A3444" w:rsidRPr="00990D53">
        <w:t xml:space="preserve"> </w:t>
      </w:r>
    </w:p>
    <w:p w:rsidR="006A3444" w:rsidRPr="00990D53" w:rsidRDefault="00F67210" w:rsidP="00B3060D">
      <w:pPr>
        <w:pStyle w:val="ECHRHeading3"/>
      </w:pPr>
      <w:r w:rsidRPr="00990D53">
        <w:t>1.</w:t>
      </w:r>
      <w:r w:rsidR="006A3444" w:rsidRPr="00990D53">
        <w:t>  </w:t>
      </w:r>
      <w:r w:rsidR="009720F0" w:rsidRPr="00990D53">
        <w:t>Wiodące</w:t>
      </w:r>
      <w:r w:rsidR="009F7BFF" w:rsidRPr="00990D53">
        <w:t xml:space="preserve"> orzeczenie Federalnego Trybunału Konstytucyjnego o detencji prewencyjnej z 4 maja 2011 r.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66</w:t>
      </w:r>
      <w:r w:rsidRPr="00990D53">
        <w:fldChar w:fldCharType="end"/>
      </w:r>
      <w:r w:rsidR="007B4666" w:rsidRPr="00990D53">
        <w:t>.  </w:t>
      </w:r>
      <w:r w:rsidR="009720F0" w:rsidRPr="00990D53">
        <w:t>W</w:t>
      </w:r>
      <w:r w:rsidR="009F7BFF" w:rsidRPr="00990D53">
        <w:t xml:space="preserve"> dniu 4 maja 2011 r. Federalny Trybunał Konstytucyjny wydał orzeczenie dotyczące</w:t>
      </w:r>
      <w:r w:rsidR="009720F0" w:rsidRPr="00990D53">
        <w:t xml:space="preserve"> retrospektywnego</w:t>
      </w:r>
      <w:r w:rsidR="009F7BFF" w:rsidRPr="00990D53">
        <w:t xml:space="preserve"> przedłużania detencji prewencyjne</w:t>
      </w:r>
      <w:r w:rsidR="0096301B" w:rsidRPr="00990D53">
        <w:t>j powyżej obowiązującego wówczas maksym</w:t>
      </w:r>
      <w:r w:rsidR="009720F0" w:rsidRPr="00990D53">
        <w:t>alnego dziesięcioletniego limitu</w:t>
      </w:r>
      <w:r w:rsidR="0096301B" w:rsidRPr="00990D53">
        <w:t xml:space="preserve">, a także retrospektywnego orzeczenia wobec skarżącego detencji prewencyjnej na mocy art. 66 b </w:t>
      </w:r>
      <w:r w:rsidR="000A1E42" w:rsidRPr="00990D53">
        <w:t xml:space="preserve">§ </w:t>
      </w:r>
      <w:r w:rsidR="0096301B" w:rsidRPr="00990D53">
        <w:t xml:space="preserve">2 Kodeksu karnego (akta nr 2 </w:t>
      </w:r>
      <w:r w:rsidR="009D068B" w:rsidRPr="00990D53">
        <w:t>BvR 2365/09, 2 BvR </w:t>
      </w:r>
      <w:r w:rsidR="006A3444" w:rsidRPr="00990D53">
        <w:t xml:space="preserve">740/10, 2 BvR 2333/08, 2 BvR 1152/10 and 2 BvR 571/10). </w:t>
      </w:r>
      <w:r w:rsidR="009720F0" w:rsidRPr="00990D53">
        <w:t>Przeciwnie do wcześniejszego stanowiska</w:t>
      </w:r>
      <w:r w:rsidR="00E21476" w:rsidRPr="00990D53">
        <w:t xml:space="preserve"> Federalny Trybunał Konstytucyjny stwierdził, że przepisy o retrospektywnym orzeczeniu i przedłużeniu detencji prewencyjne</w:t>
      </w:r>
      <w:r w:rsidR="009720F0" w:rsidRPr="00990D53">
        <w:t>j</w:t>
      </w:r>
      <w:r w:rsidR="00E21476" w:rsidRPr="00990D53">
        <w:t xml:space="preserve"> były niezgodne z Ustawą Zasadniczą ze względu na naruszenie konstytucyjnej zasady ochrony uzasadnionych oczekiwań w Państwie prawa, łącznie z konstytucyjnym prawem do wolności. </w:t>
      </w:r>
    </w:p>
    <w:p w:rsidR="00200415"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67</w:t>
      </w:r>
      <w:r w:rsidRPr="00990D53">
        <w:fldChar w:fldCharType="end"/>
      </w:r>
      <w:r w:rsidR="007B4666" w:rsidRPr="00990D53">
        <w:t>. </w:t>
      </w:r>
      <w:r w:rsidR="00E21476" w:rsidRPr="00990D53">
        <w:t xml:space="preserve">Federalny Trybunał Konstytucyjny </w:t>
      </w:r>
      <w:r w:rsidR="009720F0" w:rsidRPr="00990D53">
        <w:t>następnie</w:t>
      </w:r>
      <w:r w:rsidR="00E21476" w:rsidRPr="00990D53">
        <w:t xml:space="preserve"> stwierdził, że wszystki</w:t>
      </w:r>
      <w:r w:rsidR="000A1E42" w:rsidRPr="00990D53">
        <w:t>e</w:t>
      </w:r>
      <w:r w:rsidR="00E21476" w:rsidRPr="00990D53">
        <w:t xml:space="preserve"> przepis</w:t>
      </w:r>
      <w:r w:rsidR="000A1E42" w:rsidRPr="00990D53">
        <w:t>y</w:t>
      </w:r>
      <w:r w:rsidR="00E21476" w:rsidRPr="00990D53">
        <w:t xml:space="preserve"> Kodeksu karnego dotycząc</w:t>
      </w:r>
      <w:r w:rsidR="000A1E42" w:rsidRPr="00990D53">
        <w:t>e</w:t>
      </w:r>
      <w:r w:rsidR="00E21476" w:rsidRPr="00990D53">
        <w:t xml:space="preserve"> orzekania o detencji prewencyjnej i czasu jej trwania były niezgodne z fundamentalnym prawem do wolności osób prewencyjnie osadzonych. Dodatkowo, przepisy te nie spełniały konstytucyjnego wymogu rozróżnienia pomiędzy </w:t>
      </w:r>
      <w:r w:rsidR="00153B0D" w:rsidRPr="00990D53">
        <w:t>warunkami detencji prewencyjnej</w:t>
      </w:r>
      <w:r w:rsidR="00E21476" w:rsidRPr="00990D53">
        <w:t xml:space="preserve"> a </w:t>
      </w:r>
      <w:r w:rsidR="009720F0" w:rsidRPr="00990D53">
        <w:t>więzieniem</w:t>
      </w:r>
      <w:r w:rsidR="006A3444" w:rsidRPr="00990D53">
        <w:t xml:space="preserve"> (</w:t>
      </w:r>
      <w:r w:rsidR="006A3444" w:rsidRPr="00990D53">
        <w:rPr>
          <w:i/>
        </w:rPr>
        <w:t>Abstandsgebot</w:t>
      </w:r>
      <w:r w:rsidR="006A3444" w:rsidRPr="00990D53">
        <w:t xml:space="preserve">). </w:t>
      </w:r>
      <w:r w:rsidR="00200415" w:rsidRPr="00990D53">
        <w:t xml:space="preserve">Przepisy te zawarte są w szczególności w art. 66 Kodeksu karnego obowiązującego od 27 grudnia 2003 r.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68</w:t>
      </w:r>
      <w:r w:rsidRPr="00990D53">
        <w:fldChar w:fldCharType="end"/>
      </w:r>
      <w:r w:rsidR="007B4666" w:rsidRPr="00990D53">
        <w:t>.  </w:t>
      </w:r>
      <w:r w:rsidR="00200415" w:rsidRPr="00990D53">
        <w:t xml:space="preserve">Federalny Trybunał Konstytucyjny stwierdził, że wszystkie przepisy uznane za niezgodne z Ustawą Zasadniczą pozostawały w użyciu do dnia wejścia w życie nowej legislacji, najpóźniej do 31 maja 2013 r. W sytuacji osadzonych, których prewencyjne pozbawienie wolności zostało retrospekcyjnie orzeczone lub przedłużone na mocy art. 66 </w:t>
      </w:r>
      <w:r w:rsidR="00200415" w:rsidRPr="00990D53">
        <w:rPr>
          <w:rFonts w:ascii="Times New Roman" w:hAnsi="Times New Roman" w:cs="Times New Roman"/>
        </w:rPr>
        <w:t>§</w:t>
      </w:r>
      <w:r w:rsidR="00200415" w:rsidRPr="00990D53">
        <w:t xml:space="preserve"> 2 Kodeksu karnego, sąd orzekający w sprawie powinien bezzwłocznie zbadać, mając na uwadze szczególne cechy ich osobowości i zachowania,  </w:t>
      </w:r>
      <w:r w:rsidR="005607BC" w:rsidRPr="00990D53">
        <w:t xml:space="preserve">czy istniało </w:t>
      </w:r>
      <w:r w:rsidR="00BE1358" w:rsidRPr="00990D53">
        <w:t>ryzyko</w:t>
      </w:r>
      <w:r w:rsidR="005607BC" w:rsidRPr="00990D53">
        <w:t xml:space="preserve"> popełnienia przez nich najbardziej poważnych przestępstw z użyciem przemocy lub na tle seksualnym, jeśli dodatkowo cierpieli na zaburzenia psychiczne w znaczeniu </w:t>
      </w:r>
      <w:r w:rsidR="00ED147B" w:rsidRPr="00990D53">
        <w:t>paragrafu</w:t>
      </w:r>
      <w:r w:rsidR="005607BC" w:rsidRPr="00990D53">
        <w:t xml:space="preserve"> 1 </w:t>
      </w:r>
      <w:r w:rsidR="000A1E42" w:rsidRPr="00990D53">
        <w:t>(</w:t>
      </w:r>
      <w:r w:rsidR="005607BC" w:rsidRPr="00990D53">
        <w:t>1</w:t>
      </w:r>
      <w:r w:rsidR="000A1E42" w:rsidRPr="00990D53">
        <w:t>)</w:t>
      </w:r>
      <w:r w:rsidR="005607BC" w:rsidRPr="00990D53">
        <w:t xml:space="preserve"> nowo uchwalonej Ustawy o detencji prewencyjnej. W celu wyjaśnienia pojęcia zaburzenia psychicznego,</w:t>
      </w:r>
      <w:r w:rsidR="00F66707" w:rsidRPr="00990D53">
        <w:t xml:space="preserve"> Federalny</w:t>
      </w:r>
      <w:r w:rsidR="005607BC" w:rsidRPr="00990D53">
        <w:t xml:space="preserve"> Trybunał Konstytucyjny wyraźnie </w:t>
      </w:r>
      <w:r w:rsidR="00F66707" w:rsidRPr="00990D53">
        <w:t>posłużył</w:t>
      </w:r>
      <w:r w:rsidR="005607BC" w:rsidRPr="00990D53">
        <w:t xml:space="preserve"> się w swoim orzecznictwie (zob. </w:t>
      </w:r>
      <w:r w:rsidR="000A1E42" w:rsidRPr="00990D53">
        <w:t>§§</w:t>
      </w:r>
      <w:r w:rsidR="005607BC" w:rsidRPr="00990D53">
        <w:t xml:space="preserve"> 138 i  143-156 wyroku Federalnego Trybunału Konstytucyjnego) </w:t>
      </w:r>
      <w:r w:rsidR="00F66707" w:rsidRPr="00990D53">
        <w:t>interpretacją zawartą</w:t>
      </w:r>
      <w:r w:rsidR="005607BC" w:rsidRPr="00990D53">
        <w:t xml:space="preserve"> w art. 5 </w:t>
      </w:r>
      <w:r w:rsidR="005607BC" w:rsidRPr="00990D53">
        <w:rPr>
          <w:rFonts w:ascii="Times New Roman" w:hAnsi="Times New Roman" w:cs="Times New Roman"/>
        </w:rPr>
        <w:t>§</w:t>
      </w:r>
      <w:r w:rsidR="005607BC" w:rsidRPr="00990D53">
        <w:t xml:space="preserve"> 1 lit. e Konwencji </w:t>
      </w:r>
      <w:r w:rsidR="00F66707" w:rsidRPr="00990D53">
        <w:t>jako do ,,osób chorych umysłowo”. Jeżeli powyższe warunki nie zostały spełnione, osadzonych należało zwolnić nie późnie</w:t>
      </w:r>
      <w:r w:rsidR="00BE1358" w:rsidRPr="00990D53">
        <w:t>j</w:t>
      </w:r>
      <w:r w:rsidR="00F66707" w:rsidRPr="00990D53">
        <w:t xml:space="preserve"> niż do 31 grudnia 2011 r.</w:t>
      </w:r>
      <w:r w:rsidR="00BE1358" w:rsidRPr="00990D53">
        <w:t xml:space="preserve"> Pozostałe przepisy o orzekaniu</w:t>
      </w:r>
      <w:r w:rsidR="00F66707" w:rsidRPr="00990D53">
        <w:t xml:space="preserve"> i trwaniu detencji prewencyjnej mogły być stosowane wyłącznie w okresie przejściowym, po uprzedniej ścisłej kontroli proporcjonalności; za generalną zasadę przyjęto, że reguła proporcjonalności dotyczy sytuacji, gdzie w przypadku zwolnienia </w:t>
      </w:r>
      <w:r w:rsidR="00F66707" w:rsidRPr="00990D53">
        <w:lastRenderedPageBreak/>
        <w:t>osadzonego istniało</w:t>
      </w:r>
      <w:r w:rsidR="00BE1358" w:rsidRPr="00990D53">
        <w:t xml:space="preserve"> poważne</w:t>
      </w:r>
      <w:r w:rsidR="00F66707" w:rsidRPr="00990D53">
        <w:t xml:space="preserve"> </w:t>
      </w:r>
      <w:r w:rsidR="00BE1358" w:rsidRPr="00990D53">
        <w:t>ryzyko</w:t>
      </w:r>
      <w:r w:rsidR="00F66707" w:rsidRPr="00990D53">
        <w:t xml:space="preserve">, że popełni on poważne przestępstwa z użyciem przemocy lub na tle seksualnym.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69</w:t>
      </w:r>
      <w:r w:rsidRPr="00990D53">
        <w:fldChar w:fldCharType="end"/>
      </w:r>
      <w:r w:rsidR="007B4666" w:rsidRPr="00990D53">
        <w:t>. </w:t>
      </w:r>
      <w:r w:rsidR="00F66707" w:rsidRPr="00990D53">
        <w:t>W swoim orzeczeniu Federalny Trybunał Konstytucyjny podkreślił, że fakt zajmowania przez Konstytucję miejsca nadrzędnego wobec Konwencji w krajowym porządku prawnym</w:t>
      </w:r>
      <w:r w:rsidR="00935BF7" w:rsidRPr="00990D53">
        <w:t>, nie jest przeszkodą do podejmowania międzynarodowego i europejskiego dialogu pomiędzy sądami, lecz przeciwnie, stanowi podstawy normatywne do zinterpretowania jej w sposób otwarty wobec publicznego prawa międzynarodowego</w:t>
      </w:r>
      <w:r w:rsidR="007B4666" w:rsidRPr="00990D53">
        <w:t> </w:t>
      </w:r>
      <w:r w:rsidR="006A3444" w:rsidRPr="00990D53">
        <w:t xml:space="preserve"> (</w:t>
      </w:r>
      <w:r w:rsidR="006A3444" w:rsidRPr="00990D53">
        <w:rPr>
          <w:i/>
        </w:rPr>
        <w:t>völkerrechtsfreundliche Auslegung</w:t>
      </w:r>
      <w:r w:rsidR="006A3444" w:rsidRPr="00990D53">
        <w:t xml:space="preserve">; ibid., § 89). </w:t>
      </w:r>
      <w:r w:rsidR="00935BF7" w:rsidRPr="00990D53">
        <w:t xml:space="preserve">Podkreślił również, że pozostawienie interpretacji Konstytucji otwartej  na publiczne prawo międzynarodowe, sprzyja ograniczeniu możliwości naruszenia Konwencji </w:t>
      </w:r>
      <w:r w:rsidR="006A3444" w:rsidRPr="00990D53">
        <w:t>(ibid., §§ 82 and 89).</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70</w:t>
      </w:r>
      <w:r w:rsidRPr="00990D53">
        <w:fldChar w:fldCharType="end"/>
      </w:r>
      <w:r w:rsidR="007B4666" w:rsidRPr="00990D53">
        <w:t>.  </w:t>
      </w:r>
      <w:r w:rsidR="00935BF7" w:rsidRPr="00990D53">
        <w:t>W swoim wnioskowaniu Federalny Trybunał Konstytucyjny</w:t>
      </w:r>
      <w:r w:rsidR="00F33392" w:rsidRPr="00990D53">
        <w:t xml:space="preserve"> oparł się na interpretacji art. 5 i art. 7 Konwencji</w:t>
      </w:r>
      <w:r w:rsidR="00935BF7" w:rsidRPr="00990D53">
        <w:t xml:space="preserve"> </w:t>
      </w:r>
      <w:r w:rsidR="00F33392" w:rsidRPr="00990D53">
        <w:t xml:space="preserve">poczynionej przez Trybunał w sprawie </w:t>
      </w:r>
      <w:r w:rsidR="00F33392" w:rsidRPr="00990D53">
        <w:rPr>
          <w:i/>
        </w:rPr>
        <w:t>M. przeciwko Niemcom</w:t>
      </w:r>
      <w:r w:rsidR="00F33392" w:rsidRPr="00990D53">
        <w:t xml:space="preserve"> (cyt. powyżej</w:t>
      </w:r>
      <w:r w:rsidR="00345DCC" w:rsidRPr="00990D53">
        <w:t>;</w:t>
      </w:r>
      <w:r w:rsidR="00F33392" w:rsidRPr="00990D53">
        <w:t xml:space="preserve"> zob.</w:t>
      </w:r>
      <w:r w:rsidR="00345DCC" w:rsidRPr="00990D53">
        <w:t xml:space="preserve"> §§</w:t>
      </w:r>
      <w:r w:rsidR="00F33392" w:rsidRPr="00990D53">
        <w:t xml:space="preserve"> 137 </w:t>
      </w:r>
      <w:r w:rsidR="005C30D0" w:rsidRPr="00990D53">
        <w:t>et seq.</w:t>
      </w:r>
      <w:r w:rsidR="006A3444" w:rsidRPr="00990D53">
        <w:t xml:space="preserve"> </w:t>
      </w:r>
      <w:r w:rsidR="00F33392" w:rsidRPr="00990D53">
        <w:t>orzeczeni</w:t>
      </w:r>
      <w:r w:rsidR="00345DCC" w:rsidRPr="00990D53">
        <w:t>a</w:t>
      </w:r>
      <w:r w:rsidR="00F33392" w:rsidRPr="00990D53">
        <w:t xml:space="preserve"> Federalnego Trybunału Konstytucyjnego)</w:t>
      </w:r>
      <w:r w:rsidR="009D068B" w:rsidRPr="00990D53">
        <w:t xml:space="preserve">. </w:t>
      </w:r>
      <w:r w:rsidR="00F33392" w:rsidRPr="00990D53">
        <w:t>Podkreślił w szczególności, że wymóg konstytucyjny rozróżnienia</w:t>
      </w:r>
      <w:r w:rsidR="00153B0D" w:rsidRPr="00990D53">
        <w:t xml:space="preserve"> warunków</w:t>
      </w:r>
      <w:r w:rsidR="00F33392" w:rsidRPr="00990D53">
        <w:t xml:space="preserve"> detencji prewencyjnej od </w:t>
      </w:r>
      <w:r w:rsidR="00BE1358" w:rsidRPr="00990D53">
        <w:t>więzienia</w:t>
      </w:r>
      <w:r w:rsidR="00F33392" w:rsidRPr="00990D53">
        <w:t>, a także zasady określone w art. 7 Konwencji stawiały wymóg zindywidualizowanej i wzmocnionej terapii i op</w:t>
      </w:r>
      <w:r w:rsidR="00BE1358" w:rsidRPr="00990D53">
        <w:t>i</w:t>
      </w:r>
      <w:r w:rsidR="00F33392" w:rsidRPr="00990D53">
        <w:t xml:space="preserve">eki osób, których dotyczy. Zgodnie ze stwierdzeniem Trybunału w sprawie </w:t>
      </w:r>
      <w:r w:rsidR="00F33392" w:rsidRPr="00990D53">
        <w:rPr>
          <w:i/>
        </w:rPr>
        <w:t>M. przeciwko Niemcom</w:t>
      </w:r>
      <w:r w:rsidR="00F33392" w:rsidRPr="00990D53">
        <w:t xml:space="preserve"> (cyt. powyżej, </w:t>
      </w:r>
      <w:r w:rsidR="00345DCC" w:rsidRPr="00990D53">
        <w:t>§</w:t>
      </w:r>
      <w:r w:rsidR="00F33392" w:rsidRPr="00990D53">
        <w:t xml:space="preserve"> 129), koniecznym było zapewnienie wysokiego stopnia opieki przez multidyscyplinarny personel, a także zindywidualizowanej terapii, jeżeli terapia standardowa </w:t>
      </w:r>
      <w:r w:rsidR="00082B99" w:rsidRPr="00990D53">
        <w:t>stosowana</w:t>
      </w:r>
      <w:r w:rsidR="00F33392" w:rsidRPr="00990D53">
        <w:t xml:space="preserve"> w danej placówce</w:t>
      </w:r>
      <w:r w:rsidR="00082B99" w:rsidRPr="00990D53">
        <w:t xml:space="preserve"> okaże się niewystarczająca lub w perspektywie czasu nieefektywna </w:t>
      </w:r>
      <w:r w:rsidR="006A3444" w:rsidRPr="00990D53">
        <w:t>(</w:t>
      </w:r>
      <w:r w:rsidR="00082B99" w:rsidRPr="00990D53">
        <w:t>zob.</w:t>
      </w:r>
      <w:r w:rsidR="00345DCC" w:rsidRPr="00990D53">
        <w:t xml:space="preserve"> §</w:t>
      </w:r>
      <w:r w:rsidR="00082B99" w:rsidRPr="00990D53">
        <w:t xml:space="preserve"> </w:t>
      </w:r>
      <w:r w:rsidR="006A3444" w:rsidRPr="00990D53">
        <w:t xml:space="preserve">113 </w:t>
      </w:r>
      <w:r w:rsidR="00082B99" w:rsidRPr="00990D53">
        <w:t>wyroku Federalnego Trybunału Konstytucyjnego).</w:t>
      </w:r>
    </w:p>
    <w:p w:rsidR="006A3444" w:rsidRPr="00990D53" w:rsidRDefault="00A91662" w:rsidP="00F75327">
      <w:pPr>
        <w:pStyle w:val="ECHRPara"/>
      </w:pPr>
      <w:r w:rsidRPr="00990D53">
        <w:fldChar w:fldCharType="begin"/>
      </w:r>
      <w:r w:rsidRPr="00990D53">
        <w:instrText xml:space="preserve"> SEQ level0 \*arabic </w:instrText>
      </w:r>
      <w:r w:rsidRPr="00990D53">
        <w:fldChar w:fldCharType="separate"/>
      </w:r>
      <w:r w:rsidR="00A31FF5" w:rsidRPr="00990D53">
        <w:t>71</w:t>
      </w:r>
      <w:r w:rsidRPr="00990D53">
        <w:fldChar w:fldCharType="end"/>
      </w:r>
      <w:r w:rsidR="007B4666" w:rsidRPr="00990D53">
        <w:t>.  </w:t>
      </w:r>
      <w:r w:rsidR="00082B99" w:rsidRPr="00990D53">
        <w:t xml:space="preserve">Federalny Trybunał Konstytucyjny </w:t>
      </w:r>
      <w:r w:rsidR="00BE1358" w:rsidRPr="00990D53">
        <w:t>podtrzymał</w:t>
      </w:r>
      <w:r w:rsidR="00082B99" w:rsidRPr="00990D53">
        <w:t xml:space="preserve"> swoje stanowisko o tym, że absolutny zakaz retrospektywnego stosowania prawa karnego z art. 103 </w:t>
      </w:r>
      <w:r w:rsidR="00082B99" w:rsidRPr="00990D53">
        <w:rPr>
          <w:rFonts w:ascii="Times New Roman" w:hAnsi="Times New Roman" w:cs="Times New Roman"/>
        </w:rPr>
        <w:t>§</w:t>
      </w:r>
      <w:r w:rsidR="00082B99" w:rsidRPr="00990D53">
        <w:t xml:space="preserve"> 2 Ustawy Zasadniczej nie dotyczy detencji prewencyjnej. Jest ona środkiem naprawczym i prewencyjnym, który nie jest stosowany w celu ukarania winnych, ale stanowi środek prewencyjny ukierunkowany na ochronę bezpieczeństwa publicznego przed niebezpiecznym sprawcą (zob. </w:t>
      </w:r>
      <w:r w:rsidR="00345DCC" w:rsidRPr="00990D53">
        <w:t>§§</w:t>
      </w:r>
      <w:r w:rsidR="00082B99" w:rsidRPr="00990D53">
        <w:t xml:space="preserve">100-101 i 141-142 wyroku Federalnego Trybunału Konstytucyjnego). Federalny Trybunał Konstytucyjny stwierdził, że Europejski Trybunał Praw Człowieka uznał detencję prewencyjną za ,,karę” w znaczeniu art. 7 </w:t>
      </w:r>
      <w:r w:rsidR="00082B99" w:rsidRPr="00990D53">
        <w:rPr>
          <w:rFonts w:ascii="Times New Roman" w:hAnsi="Times New Roman" w:cs="Times New Roman"/>
        </w:rPr>
        <w:t>§</w:t>
      </w:r>
      <w:r w:rsidR="00082B99" w:rsidRPr="00990D53">
        <w:t xml:space="preserve"> 1 Konwencji </w:t>
      </w:r>
      <w:r w:rsidR="006A3444" w:rsidRPr="00990D53">
        <w:t xml:space="preserve">(ibid., </w:t>
      </w:r>
      <w:r w:rsidR="00345DCC" w:rsidRPr="00990D53">
        <w:t>§§</w:t>
      </w:r>
      <w:r w:rsidR="006A3444" w:rsidRPr="00990D53">
        <w:t xml:space="preserve"> 102</w:t>
      </w:r>
      <w:r w:rsidR="00082B99" w:rsidRPr="00990D53">
        <w:t xml:space="preserve"> i</w:t>
      </w:r>
      <w:r w:rsidR="006A3444" w:rsidRPr="00990D53">
        <w:t xml:space="preserve"> 140). </w:t>
      </w:r>
      <w:r w:rsidR="00F75327" w:rsidRPr="00990D53">
        <w:t xml:space="preserve">Stwierdził, że nie należy schematycznie powiązywać konstytucyjnego znaczenia terminu ,,kara” z jej znaczeniem konwencyjnym.  Właściwym odniesieniem są panujące osądy </w:t>
      </w:r>
      <w:r w:rsidR="006A3444" w:rsidRPr="00990D53">
        <w:t>(</w:t>
      </w:r>
      <w:r w:rsidR="006A3444" w:rsidRPr="00990D53">
        <w:rPr>
          <w:i/>
        </w:rPr>
        <w:t>Wertungen</w:t>
      </w:r>
      <w:r w:rsidR="006A3444" w:rsidRPr="00990D53">
        <w:t>)</w:t>
      </w:r>
      <w:r w:rsidR="00F75327" w:rsidRPr="00990D53">
        <w:t xml:space="preserve"> poczynione zgodnie z Konwencją w sposób zorientowany na rezultat, w celu uniknięcia naruszeń międzynarodowego prawa publicznego (</w:t>
      </w:r>
      <w:r w:rsidR="000D46B1" w:rsidRPr="00990D53">
        <w:t xml:space="preserve">ibid., </w:t>
      </w:r>
      <w:r w:rsidR="003A3553" w:rsidRPr="00990D53">
        <w:t> </w:t>
      </w:r>
      <w:r w:rsidR="00345DCC" w:rsidRPr="00990D53">
        <w:t>§§</w:t>
      </w:r>
      <w:r w:rsidR="00F75327" w:rsidRPr="00990D53">
        <w:t xml:space="preserve"> 91 i</w:t>
      </w:r>
      <w:r w:rsidR="006A3444" w:rsidRPr="00990D53">
        <w:t xml:space="preserve"> 141 </w:t>
      </w:r>
      <w:r w:rsidR="005C30D0" w:rsidRPr="00990D53">
        <w:t>et seq</w:t>
      </w:r>
      <w:r w:rsidR="006C6769" w:rsidRPr="00990D53">
        <w:t>.).</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72</w:t>
      </w:r>
      <w:r w:rsidRPr="00990D53">
        <w:fldChar w:fldCharType="end"/>
      </w:r>
      <w:r w:rsidR="007B4666" w:rsidRPr="00990D53">
        <w:t>.  </w:t>
      </w:r>
      <w:r w:rsidR="00F75327" w:rsidRPr="00990D53">
        <w:t>Biorąc pod uwagę konstytucyjne prawo do ochrony uzasadnionych oczekiwań w Państwie prawa oraz  ocenę art. 5 i 7 Konwenc</w:t>
      </w:r>
      <w:r w:rsidR="00BE1358" w:rsidRPr="00990D53">
        <w:t>j</w:t>
      </w:r>
      <w:r w:rsidR="00F75327" w:rsidRPr="00990D53">
        <w:t>i, przedłużenie detencji prewencyjnej skarżącego po</w:t>
      </w:r>
      <w:r w:rsidR="00BE1358" w:rsidRPr="00990D53">
        <w:t>nad</w:t>
      </w:r>
      <w:r w:rsidR="00F75327" w:rsidRPr="00990D53">
        <w:t xml:space="preserve"> obowiązujący wówczas </w:t>
      </w:r>
      <w:r w:rsidR="00F75327" w:rsidRPr="00990D53">
        <w:lastRenderedPageBreak/>
        <w:t>dziesięcioletni limit, było w praktyce konstytucyjne</w:t>
      </w:r>
      <w:r w:rsidR="006D74EA" w:rsidRPr="00990D53">
        <w:t xml:space="preserve"> jeśli</w:t>
      </w:r>
      <w:r w:rsidR="00F75327" w:rsidRPr="00990D53">
        <w:t xml:space="preserve">, </w:t>
      </w:r>
      <w:r w:rsidR="006A3444" w:rsidRPr="00990D53">
        <w:rPr>
          <w:i/>
        </w:rPr>
        <w:t>inter alia</w:t>
      </w:r>
      <w:r w:rsidR="006A3444" w:rsidRPr="00990D53">
        <w:t xml:space="preserve">, </w:t>
      </w:r>
      <w:r w:rsidR="009E1BCC" w:rsidRPr="00990D53">
        <w:t>zostały spełn</w:t>
      </w:r>
      <w:r w:rsidR="00BE1358" w:rsidRPr="00990D53">
        <w:t xml:space="preserve">ione wymagania art. 5 </w:t>
      </w:r>
      <w:r w:rsidR="00BE1358" w:rsidRPr="00990D53">
        <w:rPr>
          <w:rFonts w:ascii="Times New Roman" w:hAnsi="Times New Roman" w:cs="Times New Roman"/>
        </w:rPr>
        <w:t>§</w:t>
      </w:r>
      <w:r w:rsidR="00BE1358" w:rsidRPr="00990D53">
        <w:t xml:space="preserve"> </w:t>
      </w:r>
      <w:r w:rsidR="009E1BCC" w:rsidRPr="00990D53">
        <w:t xml:space="preserve">1 lit e) </w:t>
      </w:r>
      <w:r w:rsidR="006A3444" w:rsidRPr="00990D53">
        <w:t>(</w:t>
      </w:r>
      <w:r w:rsidR="009D068B" w:rsidRPr="00990D53">
        <w:t xml:space="preserve">ibid., </w:t>
      </w:r>
      <w:r w:rsidR="006D74EA" w:rsidRPr="00990D53">
        <w:t>§§</w:t>
      </w:r>
      <w:r w:rsidR="009D068B" w:rsidRPr="00990D53">
        <w:t xml:space="preserve"> 143 </w:t>
      </w:r>
      <w:r w:rsidR="009E1BCC" w:rsidRPr="00990D53">
        <w:t>i</w:t>
      </w:r>
      <w:r w:rsidR="009D068B" w:rsidRPr="00990D53">
        <w:t xml:space="preserve"> 151-</w:t>
      </w:r>
      <w:r w:rsidR="009E1BCC" w:rsidRPr="00990D53">
        <w:t>1</w:t>
      </w:r>
      <w:r w:rsidR="009D068B" w:rsidRPr="00990D53">
        <w:t xml:space="preserve">56). </w:t>
      </w:r>
      <w:r w:rsidR="009E1BCC" w:rsidRPr="00990D53">
        <w:t xml:space="preserve">Federalny Trybunał Konstytucyjny wyraźnie odniósł się w tym kontekście do orzecznictwa Europejskiego Trybunału Praw Człowieka, zgodnie z którym detencja osoby cierpiącej na zaburzenia psychiczne jest zgodna z prawem </w:t>
      </w:r>
      <w:r w:rsidR="00BE1358" w:rsidRPr="00990D53">
        <w:t xml:space="preserve">w rozumieniu art. 5 </w:t>
      </w:r>
      <w:r w:rsidR="00BE1358" w:rsidRPr="00990D53">
        <w:rPr>
          <w:rFonts w:ascii="Times New Roman" w:hAnsi="Times New Roman" w:cs="Times New Roman"/>
        </w:rPr>
        <w:t>§</w:t>
      </w:r>
      <w:r w:rsidR="00BE1358" w:rsidRPr="00990D53">
        <w:t xml:space="preserve"> </w:t>
      </w:r>
      <w:r w:rsidR="009E1BCC" w:rsidRPr="00990D53">
        <w:t>1 lit. e</w:t>
      </w:r>
      <w:r w:rsidR="00BE1358" w:rsidRPr="00990D53">
        <w:t>)</w:t>
      </w:r>
      <w:r w:rsidR="009E1BCC" w:rsidRPr="00990D53">
        <w:t xml:space="preserve"> Konwencji, jeżeli odbywa się w szpitalu, klinice lub innej właściwej placówce </w:t>
      </w:r>
      <w:r w:rsidR="006A3444" w:rsidRPr="00990D53">
        <w:t>(ibid., § 155).</w:t>
      </w:r>
    </w:p>
    <w:p w:rsidR="006A3444" w:rsidRPr="00990D53" w:rsidRDefault="00F67210" w:rsidP="00B3060D">
      <w:pPr>
        <w:pStyle w:val="ECHRHeading3"/>
      </w:pPr>
      <w:r w:rsidRPr="00990D53">
        <w:t>2.</w:t>
      </w:r>
      <w:r w:rsidR="006A3444" w:rsidRPr="00990D53">
        <w:t>  </w:t>
      </w:r>
      <w:r w:rsidR="001C4247" w:rsidRPr="00990D53">
        <w:t xml:space="preserve">Postanowienie z dnia 15 września 2011 r.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73</w:t>
      </w:r>
      <w:r w:rsidRPr="00990D53">
        <w:fldChar w:fldCharType="end"/>
      </w:r>
      <w:r w:rsidR="007B4666" w:rsidRPr="00990D53">
        <w:t>.  </w:t>
      </w:r>
      <w:r w:rsidR="001C4247" w:rsidRPr="00990D53">
        <w:t xml:space="preserve">W postanowieniu z dnia 15 września 2011 r. (akta nr 2 BvR 1516/11), Federalny Trybunał Konstytucyjny, odnosząc się do swojego orzeczenia z dnia 4 maja 2011 r. (cyt. powyżej) podkreślił, że przedłużanie aresztu prewencyjnego danej osoby ponad dopuszczalny </w:t>
      </w:r>
      <w:r w:rsidR="00412BD8" w:rsidRPr="00990D53">
        <w:t>dziesięcioletni okres obowiązujący w chwili skazania był</w:t>
      </w:r>
      <w:r w:rsidR="006D74EA" w:rsidRPr="00990D53">
        <w:t>o</w:t>
      </w:r>
      <w:r w:rsidR="00412BD8" w:rsidRPr="00990D53">
        <w:t xml:space="preserve"> możliw</w:t>
      </w:r>
      <w:r w:rsidR="006D74EA" w:rsidRPr="00990D53">
        <w:t>e</w:t>
      </w:r>
      <w:r w:rsidR="00412BD8" w:rsidRPr="00990D53">
        <w:t xml:space="preserve"> tylko, jeśli zostały spełnione przesłanki określone w art. 5 </w:t>
      </w:r>
      <w:r w:rsidR="00412BD8" w:rsidRPr="00990D53">
        <w:rPr>
          <w:rFonts w:ascii="Times New Roman" w:hAnsi="Times New Roman" w:cs="Times New Roman"/>
        </w:rPr>
        <w:t>§</w:t>
      </w:r>
      <w:r w:rsidR="00412BD8" w:rsidRPr="00990D53">
        <w:t xml:space="preserve"> 1 lit</w:t>
      </w:r>
      <w:r w:rsidR="00BE1358" w:rsidRPr="00990D53">
        <w:t>.</w:t>
      </w:r>
      <w:r w:rsidR="00412BD8" w:rsidRPr="00990D53">
        <w:t xml:space="preserve"> e) Konwencji</w:t>
      </w:r>
      <w:r w:rsidR="006A3444" w:rsidRPr="00990D53">
        <w:t>.</w:t>
      </w:r>
    </w:p>
    <w:p w:rsidR="00806BDA"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74</w:t>
      </w:r>
      <w:r w:rsidRPr="00990D53">
        <w:fldChar w:fldCharType="end"/>
      </w:r>
      <w:r w:rsidR="007B4666" w:rsidRPr="00990D53">
        <w:t>.  </w:t>
      </w:r>
      <w:r w:rsidR="00412BD8" w:rsidRPr="00990D53">
        <w:t xml:space="preserve">Federalny Trybunał Konstytucyjny dalej </w:t>
      </w:r>
      <w:r w:rsidR="00DA4746" w:rsidRPr="00990D53">
        <w:t>przedstawił,</w:t>
      </w:r>
      <w:r w:rsidR="00412BD8" w:rsidRPr="00990D53">
        <w:t xml:space="preserve"> że wyjaśnienie </w:t>
      </w:r>
      <w:r w:rsidR="00DA4746" w:rsidRPr="00990D53">
        <w:t>pojęcia</w:t>
      </w:r>
      <w:r w:rsidR="00412BD8" w:rsidRPr="00990D53">
        <w:t xml:space="preserve"> osób „umysłowo chorych” zawarte w art. 5 </w:t>
      </w:r>
      <w:r w:rsidR="00412BD8" w:rsidRPr="00990D53">
        <w:rPr>
          <w:rFonts w:ascii="Times New Roman" w:hAnsi="Times New Roman" w:cs="Times New Roman"/>
        </w:rPr>
        <w:t>§</w:t>
      </w:r>
      <w:r w:rsidR="00412BD8" w:rsidRPr="00990D53">
        <w:t xml:space="preserve"> 1 lit</w:t>
      </w:r>
      <w:r w:rsidR="00BE1358" w:rsidRPr="00990D53">
        <w:t>.</w:t>
      </w:r>
      <w:r w:rsidR="00412BD8" w:rsidRPr="00990D53">
        <w:t xml:space="preserve"> e) Konwencji </w:t>
      </w:r>
      <w:r w:rsidR="00DA4746" w:rsidRPr="00990D53">
        <w:t xml:space="preserve">zostało przedstawione w </w:t>
      </w:r>
      <w:r w:rsidR="006D74EA" w:rsidRPr="00990D53">
        <w:t>paragrafie</w:t>
      </w:r>
      <w:r w:rsidR="00DA4746" w:rsidRPr="00990D53">
        <w:t xml:space="preserve"> 1 </w:t>
      </w:r>
      <w:r w:rsidR="006D74EA" w:rsidRPr="00990D53">
        <w:t>(</w:t>
      </w:r>
      <w:r w:rsidR="00DA4746" w:rsidRPr="00990D53">
        <w:t>1</w:t>
      </w:r>
      <w:r w:rsidR="006D74EA" w:rsidRPr="00990D53">
        <w:t>)</w:t>
      </w:r>
      <w:r w:rsidR="00DA4746" w:rsidRPr="00990D53">
        <w:t xml:space="preserve"> Ustawy o </w:t>
      </w:r>
      <w:r w:rsidR="00BE1358" w:rsidRPr="00990D53">
        <w:t>Detencji Prewencyjnej</w:t>
      </w:r>
      <w:r w:rsidR="00DA4746" w:rsidRPr="00990D53">
        <w:t>. Ustawodawca stworzył w niej</w:t>
      </w:r>
      <w:r w:rsidR="00806BDA" w:rsidRPr="00990D53">
        <w:t xml:space="preserve"> nową kategorię „zaburzenia umysłowego”, które nie prowadziło do ograniczenia lub wyłączenia odpowiedzialności karnej danej osoby</w:t>
      </w:r>
      <w:r w:rsidR="00BE1358" w:rsidRPr="00990D53">
        <w:t xml:space="preserve"> w rozumieniu art. 20 i 21 Kodeksu k</w:t>
      </w:r>
      <w:r w:rsidR="00806BDA" w:rsidRPr="00990D53">
        <w:t xml:space="preserve">arnego. Szczególne zaburzenia wpływające na osobowość, zachowanie, preferencje seksualne i kontrolę instynktu mieściły się w pojęciu „zaburzenia psychicznego” z </w:t>
      </w:r>
      <w:r w:rsidR="006D74EA" w:rsidRPr="00990D53">
        <w:t>paragrafu</w:t>
      </w:r>
      <w:r w:rsidR="00806BDA" w:rsidRPr="00990D53">
        <w:t xml:space="preserve"> 1 </w:t>
      </w:r>
      <w:r w:rsidR="006D74EA" w:rsidRPr="00990D53">
        <w:t>(</w:t>
      </w:r>
      <w:r w:rsidR="00806BDA" w:rsidRPr="00990D53">
        <w:t>1</w:t>
      </w:r>
      <w:r w:rsidR="006D74EA" w:rsidRPr="00990D53">
        <w:t>)</w:t>
      </w:r>
      <w:r w:rsidR="00806BDA" w:rsidRPr="00990D53">
        <w:t xml:space="preserve"> Ustawy o Detencyjnej</w:t>
      </w:r>
      <w:r w:rsidR="00BE1358" w:rsidRPr="00990D53">
        <w:t xml:space="preserve"> Prewencyjnej</w:t>
      </w:r>
      <w:r w:rsidR="00806BDA" w:rsidRPr="00990D53">
        <w:t>. Dlatego pojęcie to nie było ograniczone do choroby psychicznej, która mogła zostać klinicznie wyleczona, ale poszerzona o osobowości dyssocjalne.</w:t>
      </w:r>
    </w:p>
    <w:p w:rsidR="006A3444" w:rsidRPr="00990D53" w:rsidRDefault="00F67210" w:rsidP="00B3060D">
      <w:pPr>
        <w:pStyle w:val="ECHRHeading3"/>
      </w:pPr>
      <w:r w:rsidRPr="00990D53">
        <w:t>3.</w:t>
      </w:r>
      <w:r w:rsidR="006A3444" w:rsidRPr="00990D53">
        <w:t>  </w:t>
      </w:r>
      <w:r w:rsidR="00B12AA6" w:rsidRPr="00990D53">
        <w:t xml:space="preserve">Postanowienie z dnia 11 lipca 2013 r. dotyczące zgodności sekcji 1 ust. 1 Ustawy o </w:t>
      </w:r>
      <w:r w:rsidR="00BE1358" w:rsidRPr="00990D53">
        <w:t xml:space="preserve">Detencji Prewencyjnej </w:t>
      </w:r>
      <w:r w:rsidR="00B12AA6" w:rsidRPr="00990D53">
        <w:t xml:space="preserve">z Ustawą Zasadniczą </w:t>
      </w:r>
    </w:p>
    <w:p w:rsidR="006A344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75</w:t>
      </w:r>
      <w:r w:rsidRPr="00990D53">
        <w:fldChar w:fldCharType="end"/>
      </w:r>
      <w:r w:rsidR="007B4666" w:rsidRPr="00990D53">
        <w:t>.  </w:t>
      </w:r>
      <w:r w:rsidR="00B12AA6" w:rsidRPr="00990D53">
        <w:t>Trybunał Konstytucyjny w dniu 11 lipca 2013 r.</w:t>
      </w:r>
      <w:r w:rsidR="00BE1358" w:rsidRPr="00990D53">
        <w:t xml:space="preserve"> postanowił, że </w:t>
      </w:r>
      <w:r w:rsidR="006D74EA" w:rsidRPr="00990D53">
        <w:t>paragraf</w:t>
      </w:r>
      <w:r w:rsidR="00BE1358" w:rsidRPr="00990D53">
        <w:t xml:space="preserve"> 1 </w:t>
      </w:r>
      <w:r w:rsidR="006D74EA" w:rsidRPr="00990D53">
        <w:t>(</w:t>
      </w:r>
      <w:r w:rsidR="00990E22" w:rsidRPr="00990D53">
        <w:t>1</w:t>
      </w:r>
      <w:r w:rsidR="006D74EA" w:rsidRPr="00990D53">
        <w:t>)</w:t>
      </w:r>
      <w:r w:rsidR="00990E22" w:rsidRPr="00990D53">
        <w:t xml:space="preserve"> </w:t>
      </w:r>
      <w:r w:rsidR="00BE1358" w:rsidRPr="00990D53">
        <w:t xml:space="preserve">Ustawy o Detencji Prewencyjnej </w:t>
      </w:r>
      <w:r w:rsidR="00ED422E" w:rsidRPr="00990D53">
        <w:t>(zob. powyżej</w:t>
      </w:r>
      <w:r w:rsidR="00990E22" w:rsidRPr="00990D53">
        <w:t>) był zgodn</w:t>
      </w:r>
      <w:r w:rsidR="006D74EA" w:rsidRPr="00990D53">
        <w:t>y</w:t>
      </w:r>
      <w:r w:rsidR="00990E22" w:rsidRPr="00990D53">
        <w:t xml:space="preserve"> z Ustawą Zasadniczą pod warunkiem, że był interpretowan</w:t>
      </w:r>
      <w:r w:rsidR="006D74EA" w:rsidRPr="00990D53">
        <w:t>y</w:t>
      </w:r>
      <w:r w:rsidR="00990E22" w:rsidRPr="00990D53">
        <w:t xml:space="preserve"> w ściśle okreś</w:t>
      </w:r>
      <w:r w:rsidR="009C3B77" w:rsidRPr="00990D53">
        <w:t>l</w:t>
      </w:r>
      <w:r w:rsidR="00990E22" w:rsidRPr="00990D53">
        <w:t xml:space="preserve">ony sposób (akta nr </w:t>
      </w:r>
      <w:r w:rsidR="006A3444" w:rsidRPr="00990D53">
        <w:t xml:space="preserve">2 BvR 2302/11 </w:t>
      </w:r>
      <w:r w:rsidR="00990E22" w:rsidRPr="00990D53">
        <w:t>oraz</w:t>
      </w:r>
      <w:r w:rsidR="006A3444" w:rsidRPr="00990D53">
        <w:t xml:space="preserve"> 2 BvR 1279/12). </w:t>
      </w:r>
      <w:r w:rsidR="00990E22" w:rsidRPr="00990D53">
        <w:t xml:space="preserve">Detencja lub jej przedłużenie na mocy tej Ustawy może być </w:t>
      </w:r>
      <w:r w:rsidR="006D74EA" w:rsidRPr="00990D53">
        <w:t xml:space="preserve">orzeczona </w:t>
      </w:r>
      <w:r w:rsidR="00990E22" w:rsidRPr="00990D53">
        <w:t xml:space="preserve"> tylko wówczas, jeżeli mając na uwadze szczególne cechy osobowości i zachowania </w:t>
      </w:r>
      <w:r w:rsidR="006D74EA" w:rsidRPr="00990D53">
        <w:t>osoby, której to dotyczy</w:t>
      </w:r>
      <w:r w:rsidR="00990E22" w:rsidRPr="00990D53">
        <w:t xml:space="preserve">, </w:t>
      </w:r>
      <w:r w:rsidR="00A31FF5" w:rsidRPr="00990D53">
        <w:t xml:space="preserve">istniało wysokie ryzyko, że w razie zwolnienia  pod wpływem alkoholu i w celu osiągnięcia satysfakcji seksualnej </w:t>
      </w:r>
      <w:r w:rsidR="006D74EA" w:rsidRPr="00990D53">
        <w:t xml:space="preserve">osoba ta </w:t>
      </w:r>
      <w:r w:rsidR="00A31FF5" w:rsidRPr="00990D53">
        <w:t>nadal dopuszczał</w:t>
      </w:r>
      <w:r w:rsidR="006D74EA" w:rsidRPr="00990D53">
        <w:t>a</w:t>
      </w:r>
      <w:r w:rsidR="00A31FF5" w:rsidRPr="00990D53">
        <w:t xml:space="preserve">by się </w:t>
      </w:r>
      <w:r w:rsidR="006D74EA" w:rsidRPr="00990D53">
        <w:t xml:space="preserve">najbardziej poważnych </w:t>
      </w:r>
      <w:r w:rsidR="00A31FF5" w:rsidRPr="00990D53">
        <w:t xml:space="preserve">brutalnych przestępstw i przestępstw na tle seksualnym. </w:t>
      </w:r>
      <w:r w:rsidR="00990E22" w:rsidRPr="00990D53">
        <w:t xml:space="preserve">Dodatkowo, musiały zostać spełnione przesłanki art. 5 </w:t>
      </w:r>
      <w:r w:rsidR="00990E22" w:rsidRPr="00990D53">
        <w:rPr>
          <w:rFonts w:ascii="Times New Roman" w:hAnsi="Times New Roman" w:cs="Times New Roman"/>
        </w:rPr>
        <w:t>§</w:t>
      </w:r>
      <w:r w:rsidR="00990E22" w:rsidRPr="00990D53">
        <w:t xml:space="preserve"> 1 lit. e</w:t>
      </w:r>
      <w:r w:rsidR="00ED422E" w:rsidRPr="00990D53">
        <w:t>)</w:t>
      </w:r>
      <w:r w:rsidR="00990E22" w:rsidRPr="00990D53">
        <w:t xml:space="preserve"> Konwencji.</w:t>
      </w:r>
      <w:r w:rsidR="009C3B77" w:rsidRPr="00990D53">
        <w:t xml:space="preserve"> Zasady funkcjonujące odnośnie zasądzone</w:t>
      </w:r>
      <w:r w:rsidR="00ED422E" w:rsidRPr="00990D53">
        <w:t>j lub</w:t>
      </w:r>
      <w:r w:rsidR="009C3B77" w:rsidRPr="00990D53">
        <w:t xml:space="preserve"> przedłużonej retrospektywnie detencji prewencyjnej</w:t>
      </w:r>
      <w:r w:rsidR="00990E22" w:rsidRPr="00990D53">
        <w:t xml:space="preserve"> </w:t>
      </w:r>
      <w:r w:rsidR="009C3B77" w:rsidRPr="00990D53">
        <w:t>(zob. powyżej), jednakowo stosuje się do detencji z Ustawy o Terapii Detencyjnej</w:t>
      </w:r>
      <w:r w:rsidR="006A3444" w:rsidRPr="00990D53">
        <w:t>.</w:t>
      </w:r>
    </w:p>
    <w:p w:rsidR="006A3444" w:rsidRPr="00990D53" w:rsidRDefault="00A91662" w:rsidP="00B3060D">
      <w:pPr>
        <w:pStyle w:val="ECHRPara"/>
      </w:pPr>
      <w:r w:rsidRPr="00990D53">
        <w:lastRenderedPageBreak/>
        <w:fldChar w:fldCharType="begin"/>
      </w:r>
      <w:r w:rsidRPr="00990D53">
        <w:instrText xml:space="preserve"> SEQ level0 \*arabic </w:instrText>
      </w:r>
      <w:r w:rsidRPr="00990D53">
        <w:fldChar w:fldCharType="separate"/>
      </w:r>
      <w:r w:rsidR="00A31FF5" w:rsidRPr="00990D53">
        <w:t>76</w:t>
      </w:r>
      <w:r w:rsidRPr="00990D53">
        <w:fldChar w:fldCharType="end"/>
      </w:r>
      <w:r w:rsidR="007B4666" w:rsidRPr="00990D53">
        <w:t>.  </w:t>
      </w:r>
      <w:r w:rsidR="009C3B77" w:rsidRPr="00990D53">
        <w:t xml:space="preserve">Federalny Trybunał Konstytucyjny powtórzył, że mając na uwadze standardy wynikające z art. 5 </w:t>
      </w:r>
      <w:r w:rsidR="009C3B77" w:rsidRPr="00990D53">
        <w:rPr>
          <w:rFonts w:ascii="Times New Roman" w:hAnsi="Times New Roman" w:cs="Times New Roman"/>
        </w:rPr>
        <w:t>§</w:t>
      </w:r>
      <w:r w:rsidR="009C3B77" w:rsidRPr="00990D53">
        <w:t xml:space="preserve"> 1 lit. e), „zaburzenie psyc</w:t>
      </w:r>
      <w:r w:rsidR="00ED422E" w:rsidRPr="00990D53">
        <w:t>hiczne” określone w sekcji 1 pkt</w:t>
      </w:r>
      <w:r w:rsidR="009C3B77" w:rsidRPr="00990D53">
        <w:t xml:space="preserve">. 1 Ustawy o Terapii Detencyjnej, nie musi być na tyle poważne, by ograniczało lub wyłączało odpowiedzialność karną osoby </w:t>
      </w:r>
      <w:r w:rsidR="00ED422E" w:rsidRPr="00990D53">
        <w:t>w rozumieniu</w:t>
      </w:r>
      <w:r w:rsidR="00842936" w:rsidRPr="00990D53">
        <w:t xml:space="preserve"> art. 20 i 21 Kodeksu karnego. Sąd dalej odniósł się do orzecznictwa Trybunału dotyczącego art. 5 </w:t>
      </w:r>
      <w:r w:rsidR="00842936" w:rsidRPr="00990D53">
        <w:rPr>
          <w:rFonts w:ascii="Times New Roman" w:hAnsi="Times New Roman" w:cs="Times New Roman"/>
        </w:rPr>
        <w:t>§</w:t>
      </w:r>
      <w:r w:rsidR="00842936" w:rsidRPr="00990D53">
        <w:t xml:space="preserve"> 1 lit. e) (w szczególności </w:t>
      </w:r>
      <w:r w:rsidR="00842936" w:rsidRPr="00990D53">
        <w:rPr>
          <w:i/>
        </w:rPr>
        <w:t>Kronfeldner przeciwko</w:t>
      </w:r>
      <w:r w:rsidR="006A3444" w:rsidRPr="00990D53">
        <w:rPr>
          <w:i/>
        </w:rPr>
        <w:t xml:space="preserve"> </w:t>
      </w:r>
      <w:r w:rsidR="00313C3C" w:rsidRPr="00990D53">
        <w:rPr>
          <w:i/>
        </w:rPr>
        <w:t> </w:t>
      </w:r>
      <w:r w:rsidR="00842936" w:rsidRPr="00990D53">
        <w:rPr>
          <w:i/>
        </w:rPr>
        <w:t>Niemcom</w:t>
      </w:r>
      <w:r w:rsidR="00842936" w:rsidRPr="00990D53">
        <w:t>, nr</w:t>
      </w:r>
      <w:r w:rsidR="006A3444" w:rsidRPr="00990D53">
        <w:t xml:space="preserve"> 21906/09, 19 </w:t>
      </w:r>
      <w:r w:rsidR="00842936" w:rsidRPr="00990D53">
        <w:t>stycznia</w:t>
      </w:r>
      <w:r w:rsidR="006A3444" w:rsidRPr="00990D53">
        <w:t xml:space="preserve"> 2012</w:t>
      </w:r>
      <w:r w:rsidR="00842936" w:rsidRPr="00990D53">
        <w:t xml:space="preserve"> r.</w:t>
      </w:r>
      <w:r w:rsidR="00352322" w:rsidRPr="00990D53">
        <w:t>,</w:t>
      </w:r>
      <w:r w:rsidR="006A3444" w:rsidRPr="00990D53">
        <w:t xml:space="preserve"> </w:t>
      </w:r>
      <w:r w:rsidR="00842936" w:rsidRPr="00990D53">
        <w:t>oraz</w:t>
      </w:r>
      <w:r w:rsidR="006A3444" w:rsidRPr="00990D53">
        <w:t xml:space="preserve"> </w:t>
      </w:r>
      <w:r w:rsidR="00842936" w:rsidRPr="00990D53">
        <w:rPr>
          <w:i/>
        </w:rPr>
        <w:t>B przeciwko Niemcom</w:t>
      </w:r>
      <w:r w:rsidR="00842936" w:rsidRPr="00990D53">
        <w:t>, nr</w:t>
      </w:r>
      <w:r w:rsidR="006A3444" w:rsidRPr="00990D53">
        <w:t xml:space="preserve"> </w:t>
      </w:r>
      <w:r w:rsidR="00313C3C" w:rsidRPr="00990D53">
        <w:t> </w:t>
      </w:r>
      <w:r w:rsidR="00842936" w:rsidRPr="00990D53">
        <w:t>61272/09, 19 kwietnia</w:t>
      </w:r>
      <w:r w:rsidR="006A3444" w:rsidRPr="00990D53">
        <w:t xml:space="preserve"> 2012</w:t>
      </w:r>
      <w:r w:rsidR="00842936" w:rsidRPr="00990D53">
        <w:t xml:space="preserve"> r.</w:t>
      </w:r>
      <w:r w:rsidR="006A3444" w:rsidRPr="00990D53">
        <w:t xml:space="preserve">) </w:t>
      </w:r>
      <w:r w:rsidR="00842936" w:rsidRPr="00990D53">
        <w:t>i stwierdz</w:t>
      </w:r>
      <w:r w:rsidR="00627879" w:rsidRPr="00990D53">
        <w:t>i</w:t>
      </w:r>
      <w:r w:rsidR="00842936" w:rsidRPr="00990D53">
        <w:t>ł, że detencja osoby ze względu na „chorobę umysłową” może być usprawiedl</w:t>
      </w:r>
      <w:r w:rsidR="00627879" w:rsidRPr="00990D53">
        <w:t>iwiona, jeżeli odbywała się w nieodpowiedniej instytucji psychiatrycznej, co skutkowało zintensyfikowaniem zaburzenia umysłowego.</w:t>
      </w:r>
      <w:r w:rsidR="006A3444" w:rsidRPr="00990D53">
        <w:t xml:space="preserve"> </w:t>
      </w:r>
    </w:p>
    <w:p w:rsidR="00014566" w:rsidRPr="00990D53" w:rsidRDefault="00627879" w:rsidP="00B3060D">
      <w:pPr>
        <w:pStyle w:val="ECHRTitle1"/>
      </w:pPr>
      <w:r w:rsidRPr="00990D53">
        <w:t>PRAWO</w:t>
      </w:r>
    </w:p>
    <w:p w:rsidR="00014566" w:rsidRPr="00990D53" w:rsidRDefault="00014566" w:rsidP="00B3060D">
      <w:pPr>
        <w:pStyle w:val="ECHRHeading1"/>
      </w:pPr>
      <w:r w:rsidRPr="00990D53">
        <w:t>I.  </w:t>
      </w:r>
      <w:r w:rsidR="00E0105A" w:rsidRPr="00990D53">
        <w:t>ZARZUT NARUSZENIA</w:t>
      </w:r>
      <w:r w:rsidR="00627879" w:rsidRPr="00990D53">
        <w:t xml:space="preserve"> ARTYKUŁU 5 </w:t>
      </w:r>
      <w:r w:rsidR="00627879" w:rsidRPr="00990D53">
        <w:rPr>
          <w:rFonts w:ascii="Times New Roman" w:hAnsi="Times New Roman" w:cs="Times New Roman"/>
        </w:rPr>
        <w:t>§</w:t>
      </w:r>
      <w:r w:rsidR="00627879" w:rsidRPr="00990D53">
        <w:t xml:space="preserve"> 1 KONWENCJI </w:t>
      </w:r>
    </w:p>
    <w:p w:rsidR="00014566"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77</w:t>
      </w:r>
      <w:r w:rsidRPr="00990D53">
        <w:fldChar w:fldCharType="end"/>
      </w:r>
      <w:r w:rsidR="00014566" w:rsidRPr="00990D53">
        <w:t>.  </w:t>
      </w:r>
      <w:r w:rsidR="008E12D1" w:rsidRPr="00990D53">
        <w:t xml:space="preserve">Skarżący zarzucił, że postanowienie sądu o przedłużeniu jego detencji prewencyjnej ponad dozwolony limit dziesięciu lat, ustanowiony na mocy przepisów obowiązujących w chwili popełnienia przestępstwa lub skazania, stanowiło naruszenie jego praw do wolności. Powołał się na art. 5 </w:t>
      </w:r>
      <w:r w:rsidR="008E12D1" w:rsidRPr="00990D53">
        <w:rPr>
          <w:rFonts w:ascii="Times New Roman" w:hAnsi="Times New Roman" w:cs="Times New Roman"/>
        </w:rPr>
        <w:t>§</w:t>
      </w:r>
      <w:r w:rsidR="008E12D1" w:rsidRPr="00990D53">
        <w:t xml:space="preserve"> 1 Konwencji, który w odpowiedniej części brzmi następująco</w:t>
      </w:r>
      <w:r w:rsidR="00014566" w:rsidRPr="00990D53">
        <w:t>:</w:t>
      </w:r>
    </w:p>
    <w:p w:rsidR="005D14A2" w:rsidRPr="00990D53" w:rsidRDefault="005D14A2" w:rsidP="00B3060D">
      <w:pPr>
        <w:pStyle w:val="ECHRParaQuote"/>
      </w:pPr>
      <w:r w:rsidRPr="00990D53">
        <w:t>“1.  </w:t>
      </w:r>
      <w:r w:rsidR="006F1756" w:rsidRPr="00990D53">
        <w:t>Każdy ma prawo do wolności i bezpieczeństwa osobistego. Nikt nie może być pozbawiony wolności, z wyjątkiem następujących przypadków i w trybie ustalonym przez prawo</w:t>
      </w:r>
      <w:r w:rsidRPr="00990D53">
        <w:t>:</w:t>
      </w:r>
    </w:p>
    <w:p w:rsidR="005D14A2" w:rsidRPr="00990D53" w:rsidRDefault="005D14A2" w:rsidP="00B3060D">
      <w:pPr>
        <w:pStyle w:val="ECHRParaQuote"/>
      </w:pPr>
      <w:r w:rsidRPr="00990D53">
        <w:t>(a)  </w:t>
      </w:r>
      <w:r w:rsidR="006F1756" w:rsidRPr="00990D53">
        <w:t>zgodnie z prawem pozbawienia wolności w wyniku skazania przez właściwy sąd;</w:t>
      </w:r>
    </w:p>
    <w:p w:rsidR="005D14A2" w:rsidRPr="00990D53" w:rsidRDefault="000B44CF" w:rsidP="00B3060D">
      <w:pPr>
        <w:pStyle w:val="ECHRParaQuote"/>
      </w:pPr>
      <w:r w:rsidRPr="00990D53">
        <w:t>...</w:t>
      </w:r>
    </w:p>
    <w:p w:rsidR="00014566" w:rsidRPr="00990D53" w:rsidRDefault="005D14A2" w:rsidP="00B3060D">
      <w:pPr>
        <w:pStyle w:val="ECHRParaQuote"/>
      </w:pPr>
      <w:r w:rsidRPr="00990D53">
        <w:t>(e)  </w:t>
      </w:r>
      <w:r w:rsidR="006F1756" w:rsidRPr="00990D53">
        <w:t>zgodnego z prawem pozbawienia wolności osoby w celu zapobieżenia szerzeniu przez nią choroby zakaźnej, osoby umysłowo chorej, alkoholika, narkomana lub włóczęgi;</w:t>
      </w:r>
      <w:r w:rsidRPr="00990D53">
        <w:t xml:space="preserve"> </w:t>
      </w:r>
      <w:r w:rsidR="000B44CF" w:rsidRPr="00990D53">
        <w:t>...</w:t>
      </w:r>
      <w:r w:rsidRPr="00990D53">
        <w:t>”</w:t>
      </w:r>
    </w:p>
    <w:p w:rsidR="00014566"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78</w:t>
      </w:r>
      <w:r w:rsidRPr="00990D53">
        <w:fldChar w:fldCharType="end"/>
      </w:r>
      <w:r w:rsidR="00014566" w:rsidRPr="00990D53">
        <w:t>.  </w:t>
      </w:r>
      <w:r w:rsidR="006F1756" w:rsidRPr="00990D53">
        <w:t xml:space="preserve">Rząd zakwestionował ten zarzut. </w:t>
      </w:r>
    </w:p>
    <w:p w:rsidR="00014566" w:rsidRPr="00990D53" w:rsidRDefault="00014566" w:rsidP="00B3060D">
      <w:pPr>
        <w:pStyle w:val="ECHRHeading2"/>
        <w:outlineLvl w:val="0"/>
      </w:pPr>
      <w:r w:rsidRPr="00990D53">
        <w:t>A.  </w:t>
      </w:r>
      <w:r w:rsidR="006F1756" w:rsidRPr="00990D53">
        <w:t>Dopuszczalność</w:t>
      </w:r>
    </w:p>
    <w:p w:rsidR="00B33CA1"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79</w:t>
      </w:r>
      <w:r w:rsidRPr="00990D53">
        <w:fldChar w:fldCharType="end"/>
      </w:r>
      <w:r w:rsidR="00014566" w:rsidRPr="00990D53">
        <w:t>.  </w:t>
      </w:r>
      <w:r w:rsidR="006F1756" w:rsidRPr="00990D53">
        <w:t xml:space="preserve">Rząd stwierdził, że skarżący nie wyczerpał krajowych środków ochrony prawnej w sprawie przedłużania detencyjnego pozbawienia wolności przez sądy krajowe, przed wydaniem postanowienia przez Sąd Okręgowy w dniu 26 lipca 2013 r. Skarżący nie skomentował tego stanowiska. </w:t>
      </w:r>
    </w:p>
    <w:p w:rsidR="00733F13" w:rsidRPr="00990D53" w:rsidRDefault="00733F13" w:rsidP="00B3060D">
      <w:pPr>
        <w:pStyle w:val="ECHRPara"/>
      </w:pPr>
      <w:r w:rsidRPr="00990D53">
        <w:lastRenderedPageBreak/>
        <w:fldChar w:fldCharType="begin"/>
      </w:r>
      <w:r w:rsidRPr="00990D53">
        <w:instrText xml:space="preserve"> SEQ level0 \*arabic </w:instrText>
      </w:r>
      <w:r w:rsidRPr="00990D53">
        <w:fldChar w:fldCharType="separate"/>
      </w:r>
      <w:r w:rsidR="00A31FF5" w:rsidRPr="00990D53">
        <w:t>80</w:t>
      </w:r>
      <w:r w:rsidRPr="00990D53">
        <w:fldChar w:fldCharType="end"/>
      </w:r>
      <w:r w:rsidRPr="00990D53">
        <w:t>.  </w:t>
      </w:r>
      <w:r w:rsidR="006F1756" w:rsidRPr="00990D53">
        <w:t xml:space="preserve">Trybunał stwierdził, że w swojej skardze skarżący powołał się wyłącznie na postanowienia sądów krajowych przedłużających prewencyjne pozbawienie wolności, to jest postanowienie Sądu Okręgowego </w:t>
      </w:r>
      <w:r w:rsidR="000C70F8" w:rsidRPr="00990D53">
        <w:t>Lüneburg</w:t>
      </w:r>
      <w:r w:rsidR="006F1756" w:rsidRPr="00990D53">
        <w:t>u</w:t>
      </w:r>
      <w:r w:rsidR="000C70F8" w:rsidRPr="00990D53">
        <w:t xml:space="preserve"> </w:t>
      </w:r>
      <w:r w:rsidR="006F1756" w:rsidRPr="00990D53">
        <w:t xml:space="preserve">z dnia 26 lipca 2013 r., utrzymane w mocy przez Sąd Apelacyjny w Celle w dniu 29 października 2013 r. (zob. par. 14-28 powyżej). Rząd nie wniósł co do tego sprzeciwu. </w:t>
      </w:r>
    </w:p>
    <w:p w:rsidR="00014566" w:rsidRPr="00990D53" w:rsidRDefault="000C70F8" w:rsidP="00B3060D">
      <w:pPr>
        <w:pStyle w:val="ECHRPara"/>
      </w:pPr>
      <w:r w:rsidRPr="00990D53">
        <w:fldChar w:fldCharType="begin"/>
      </w:r>
      <w:r w:rsidRPr="00990D53">
        <w:instrText xml:space="preserve"> SEQ level0 \*arabic </w:instrText>
      </w:r>
      <w:r w:rsidRPr="00990D53">
        <w:fldChar w:fldCharType="separate"/>
      </w:r>
      <w:r w:rsidR="00A31FF5" w:rsidRPr="00990D53">
        <w:t>81</w:t>
      </w:r>
      <w:r w:rsidRPr="00990D53">
        <w:fldChar w:fldCharType="end"/>
      </w:r>
      <w:r w:rsidRPr="00990D53">
        <w:t>.  </w:t>
      </w:r>
      <w:r w:rsidR="00E14CAB" w:rsidRPr="00990D53">
        <w:t xml:space="preserve">Trybunał stwierdza, że skarga nie jest w sposób oczywisty nieuzasadniona w rozumieniu art. 35 </w:t>
      </w:r>
      <w:r w:rsidR="00E14CAB" w:rsidRPr="00990D53">
        <w:rPr>
          <w:rFonts w:ascii="Times New Roman" w:hAnsi="Times New Roman" w:cs="Times New Roman"/>
        </w:rPr>
        <w:t>§</w:t>
      </w:r>
      <w:r w:rsidR="00E14CAB" w:rsidRPr="00990D53">
        <w:t xml:space="preserve"> 3 lit. a) Konwencji. Nie jest również nieuzasadniona na żadnym innym gruncie. W związku z tym uznaje ją za </w:t>
      </w:r>
      <w:r w:rsidR="00A55FBB" w:rsidRPr="00990D53">
        <w:t>dopuszczalną</w:t>
      </w:r>
      <w:r w:rsidR="00E14CAB" w:rsidRPr="00990D53">
        <w:t xml:space="preserve">. </w:t>
      </w:r>
    </w:p>
    <w:p w:rsidR="00014566" w:rsidRPr="00990D53" w:rsidRDefault="002325B3" w:rsidP="00B3060D">
      <w:pPr>
        <w:pStyle w:val="ECHRHeading2"/>
        <w:outlineLvl w:val="0"/>
      </w:pPr>
      <w:r w:rsidRPr="00990D53">
        <w:t>B.  </w:t>
      </w:r>
      <w:r w:rsidR="00EA31AC" w:rsidRPr="00990D53">
        <w:t>Przedmiot skargi</w:t>
      </w:r>
    </w:p>
    <w:p w:rsidR="007974B5" w:rsidRPr="00990D53" w:rsidRDefault="007974B5" w:rsidP="00B3060D">
      <w:pPr>
        <w:pStyle w:val="ECHRHeading3"/>
      </w:pPr>
      <w:r w:rsidRPr="00990D53">
        <w:t>1.  </w:t>
      </w:r>
      <w:r w:rsidR="002325B3" w:rsidRPr="00990D53">
        <w:t>Wnioski stron</w:t>
      </w:r>
    </w:p>
    <w:p w:rsidR="007974B5" w:rsidRPr="00990D53" w:rsidRDefault="007974B5" w:rsidP="00B3060D">
      <w:pPr>
        <w:pStyle w:val="ECHRHeading4"/>
      </w:pPr>
      <w:r w:rsidRPr="00990D53">
        <w:t>(a)  </w:t>
      </w:r>
      <w:r w:rsidR="002325B3" w:rsidRPr="00990D53">
        <w:t>Skarżący</w:t>
      </w:r>
    </w:p>
    <w:p w:rsidR="00014566"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82</w:t>
      </w:r>
      <w:r w:rsidRPr="00990D53">
        <w:fldChar w:fldCharType="end"/>
      </w:r>
      <w:r w:rsidR="00014566" w:rsidRPr="00990D53">
        <w:t>.  </w:t>
      </w:r>
      <w:r w:rsidR="00791055" w:rsidRPr="00990D53">
        <w:t>W</w:t>
      </w:r>
      <w:r w:rsidR="002325B3" w:rsidRPr="00990D53">
        <w:t xml:space="preserve"> opinii skarżącego, jego detencja prewencyjna nie była zgodna z art. 5 </w:t>
      </w:r>
      <w:r w:rsidR="002325B3" w:rsidRPr="00990D53">
        <w:rPr>
          <w:rFonts w:ascii="Times New Roman" w:hAnsi="Times New Roman" w:cs="Times New Roman"/>
        </w:rPr>
        <w:t>§</w:t>
      </w:r>
      <w:r w:rsidR="002325B3" w:rsidRPr="00990D53">
        <w:t xml:space="preserve"> 1 Konwencji. Odnosząc się do orzecznictwa Trybunału (szczególnie do </w:t>
      </w:r>
      <w:r w:rsidR="002325B3" w:rsidRPr="00990D53">
        <w:rPr>
          <w:i/>
        </w:rPr>
        <w:t>M. przeciwko Niemcom</w:t>
      </w:r>
      <w:r w:rsidR="002325B3" w:rsidRPr="00990D53">
        <w:t xml:space="preserve">, cyt. powyżej) jego detencja nie mogła być usprawiedliwiona zarówno na mocy </w:t>
      </w:r>
      <w:r w:rsidR="00ED422E" w:rsidRPr="00990D53">
        <w:t xml:space="preserve">art. 5 </w:t>
      </w:r>
      <w:r w:rsidR="00ED422E" w:rsidRPr="00990D53">
        <w:rPr>
          <w:rFonts w:ascii="Times New Roman" w:hAnsi="Times New Roman" w:cs="Times New Roman"/>
        </w:rPr>
        <w:t>§</w:t>
      </w:r>
      <w:r w:rsidR="00ED422E" w:rsidRPr="00990D53">
        <w:t xml:space="preserve"> 1</w:t>
      </w:r>
      <w:r w:rsidR="002325B3" w:rsidRPr="00990D53">
        <w:t xml:space="preserve"> lit. a) jak również lit. e). </w:t>
      </w:r>
    </w:p>
    <w:p w:rsidR="00E82E7C" w:rsidRPr="00990D53" w:rsidRDefault="00A91662" w:rsidP="00B3060D">
      <w:pPr>
        <w:pStyle w:val="ECHRPara"/>
        <w:rPr>
          <w:i/>
        </w:rPr>
      </w:pPr>
      <w:r w:rsidRPr="00990D53">
        <w:fldChar w:fldCharType="begin"/>
      </w:r>
      <w:r w:rsidRPr="00990D53">
        <w:instrText xml:space="preserve"> SEQ level0 \*arabic </w:instrText>
      </w:r>
      <w:r w:rsidRPr="00990D53">
        <w:fldChar w:fldCharType="separate"/>
      </w:r>
      <w:r w:rsidR="00A31FF5" w:rsidRPr="00990D53">
        <w:t>83</w:t>
      </w:r>
      <w:r w:rsidRPr="00990D53">
        <w:fldChar w:fldCharType="end"/>
      </w:r>
      <w:r w:rsidR="00E82E7C" w:rsidRPr="00990D53">
        <w:t>.  </w:t>
      </w:r>
      <w:r w:rsidR="00791055" w:rsidRPr="00990D53">
        <w:t xml:space="preserve">Skarżący twierdził, że nie był „umysłowo chory” w rozumieniu art. 5 </w:t>
      </w:r>
      <w:r w:rsidR="00791055" w:rsidRPr="00990D53">
        <w:rPr>
          <w:rFonts w:ascii="Times New Roman" w:hAnsi="Times New Roman" w:cs="Times New Roman"/>
        </w:rPr>
        <w:t>§</w:t>
      </w:r>
      <w:r w:rsidR="00791055" w:rsidRPr="00990D53">
        <w:t xml:space="preserve"> 1 lit</w:t>
      </w:r>
      <w:r w:rsidR="00ED422E" w:rsidRPr="00990D53">
        <w:t>.</w:t>
      </w:r>
      <w:r w:rsidR="00791055" w:rsidRPr="00990D53">
        <w:t xml:space="preserve"> e). Pojęcie to określało jedynie osoby chore umysłowo, które nie ponosiły odpowiedzialności karnej za swoje czyny, podczas gdy skarżący nie miał choroby umysłowej. W oparciu o </w:t>
      </w:r>
      <w:r w:rsidR="00593D6F" w:rsidRPr="00990D53">
        <w:t xml:space="preserve">wnioski </w:t>
      </w:r>
      <w:r w:rsidR="00791055" w:rsidRPr="00990D53">
        <w:t xml:space="preserve">Trybunału w wyroku </w:t>
      </w:r>
      <w:r w:rsidR="007417AC" w:rsidRPr="00990D53">
        <w:rPr>
          <w:i/>
        </w:rPr>
        <w:t xml:space="preserve">Glien </w:t>
      </w:r>
      <w:r w:rsidR="00791055" w:rsidRPr="00990D53">
        <w:rPr>
          <w:i/>
          <w:snapToGrid w:val="0"/>
        </w:rPr>
        <w:t>przeciwko Niemcom</w:t>
      </w:r>
      <w:r w:rsidR="007417AC" w:rsidRPr="00990D53">
        <w:rPr>
          <w:snapToGrid w:val="0"/>
        </w:rPr>
        <w:t xml:space="preserve"> </w:t>
      </w:r>
      <w:r w:rsidR="004A4C72" w:rsidRPr="00990D53">
        <w:rPr>
          <w:snapToGrid w:val="0"/>
        </w:rPr>
        <w:t>(</w:t>
      </w:r>
      <w:r w:rsidR="00791055" w:rsidRPr="00990D53">
        <w:t>nr</w:t>
      </w:r>
      <w:r w:rsidR="007417AC" w:rsidRPr="00990D53">
        <w:t xml:space="preserve"> 7345/12</w:t>
      </w:r>
      <w:r w:rsidR="007417AC" w:rsidRPr="00990D53">
        <w:rPr>
          <w:snapToGrid w:val="0"/>
        </w:rPr>
        <w:t xml:space="preserve">, § </w:t>
      </w:r>
      <w:r w:rsidR="004A4C72" w:rsidRPr="00990D53">
        <w:rPr>
          <w:snapToGrid w:val="0"/>
        </w:rPr>
        <w:t>87</w:t>
      </w:r>
      <w:r w:rsidR="007417AC" w:rsidRPr="00990D53">
        <w:rPr>
          <w:snapToGrid w:val="0"/>
        </w:rPr>
        <w:t xml:space="preserve">, 28 </w:t>
      </w:r>
      <w:r w:rsidR="00791055" w:rsidRPr="00990D53">
        <w:rPr>
          <w:snapToGrid w:val="0"/>
        </w:rPr>
        <w:t>listopada</w:t>
      </w:r>
      <w:r w:rsidR="007417AC" w:rsidRPr="00990D53">
        <w:rPr>
          <w:snapToGrid w:val="0"/>
        </w:rPr>
        <w:t xml:space="preserve"> 2013</w:t>
      </w:r>
      <w:r w:rsidR="00791055" w:rsidRPr="00990D53">
        <w:rPr>
          <w:snapToGrid w:val="0"/>
        </w:rPr>
        <w:t xml:space="preserve"> r.</w:t>
      </w:r>
      <w:r w:rsidR="004A4C72" w:rsidRPr="00990D53">
        <w:rPr>
          <w:snapToGrid w:val="0"/>
        </w:rPr>
        <w:t xml:space="preserve">), </w:t>
      </w:r>
      <w:r w:rsidR="00DA5CD1" w:rsidRPr="00990D53">
        <w:rPr>
          <w:snapToGrid w:val="0"/>
        </w:rPr>
        <w:t>przedstawił, że osoby</w:t>
      </w:r>
      <w:r w:rsidR="00593D6F" w:rsidRPr="00990D53">
        <w:rPr>
          <w:snapToGrid w:val="0"/>
        </w:rPr>
        <w:t xml:space="preserve"> </w:t>
      </w:r>
      <w:r w:rsidR="00DA5CD1" w:rsidRPr="00990D53">
        <w:rPr>
          <w:snapToGrid w:val="0"/>
        </w:rPr>
        <w:t>które</w:t>
      </w:r>
      <w:r w:rsidR="00593D6F" w:rsidRPr="00990D53">
        <w:rPr>
          <w:snapToGrid w:val="0"/>
        </w:rPr>
        <w:t xml:space="preserve"> </w:t>
      </w:r>
      <w:r w:rsidR="00DA5CD1" w:rsidRPr="00990D53">
        <w:rPr>
          <w:snapToGrid w:val="0"/>
        </w:rPr>
        <w:t>cierpiały</w:t>
      </w:r>
      <w:r w:rsidR="00593D6F" w:rsidRPr="00990D53">
        <w:rPr>
          <w:snapToGrid w:val="0"/>
        </w:rPr>
        <w:t xml:space="preserve"> </w:t>
      </w:r>
      <w:r w:rsidR="00DA5CD1" w:rsidRPr="00990D53">
        <w:rPr>
          <w:snapToGrid w:val="0"/>
        </w:rPr>
        <w:t>jedynie na zaburzenia osobowości nie podlegały pod tę definicję. Interpretacj</w:t>
      </w:r>
      <w:r w:rsidR="00ED422E" w:rsidRPr="00990D53">
        <w:rPr>
          <w:snapToGrid w:val="0"/>
        </w:rPr>
        <w:t>a terminu „zaburzenie umysłowe”</w:t>
      </w:r>
      <w:r w:rsidR="00DA5CD1" w:rsidRPr="00990D53">
        <w:rPr>
          <w:snapToGrid w:val="0"/>
        </w:rPr>
        <w:t xml:space="preserve"> poczyniona przez sądy krajowe była zbyt szeroka (odniósł się do orzeczenia Federalnego Trybunału Konstytucyjnego z dnia </w:t>
      </w:r>
      <w:r w:rsidR="009D068B" w:rsidRPr="00990D53">
        <w:rPr>
          <w:snapToGrid w:val="0"/>
        </w:rPr>
        <w:t xml:space="preserve">15 </w:t>
      </w:r>
      <w:r w:rsidR="00DA5CD1" w:rsidRPr="00990D53">
        <w:rPr>
          <w:snapToGrid w:val="0"/>
        </w:rPr>
        <w:t>września 2011 r.</w:t>
      </w:r>
      <w:r w:rsidR="009D068B" w:rsidRPr="00990D53">
        <w:rPr>
          <w:snapToGrid w:val="0"/>
        </w:rPr>
        <w:t xml:space="preserve">, </w:t>
      </w:r>
      <w:r w:rsidR="00DA5CD1" w:rsidRPr="00990D53">
        <w:rPr>
          <w:snapToGrid w:val="0"/>
        </w:rPr>
        <w:t>akta nr</w:t>
      </w:r>
      <w:r w:rsidR="009D068B" w:rsidRPr="00990D53">
        <w:rPr>
          <w:snapToGrid w:val="0"/>
        </w:rPr>
        <w:t> 2 </w:t>
      </w:r>
      <w:r w:rsidR="005D14A2" w:rsidRPr="00990D53">
        <w:rPr>
          <w:snapToGrid w:val="0"/>
        </w:rPr>
        <w:t xml:space="preserve">BvR 1516/11, </w:t>
      </w:r>
      <w:r w:rsidR="00DA5CD1" w:rsidRPr="00990D53">
        <w:rPr>
          <w:snapToGrid w:val="0"/>
        </w:rPr>
        <w:t>zob. par.</w:t>
      </w:r>
      <w:r w:rsidR="005D14A2" w:rsidRPr="00990D53">
        <w:rPr>
          <w:snapToGrid w:val="0"/>
        </w:rPr>
        <w:t xml:space="preserve"> </w:t>
      </w:r>
      <w:r w:rsidR="00CA346D" w:rsidRPr="00990D53">
        <w:rPr>
          <w:snapToGrid w:val="0"/>
        </w:rPr>
        <w:t>73-74</w:t>
      </w:r>
      <w:r w:rsidR="005D14A2" w:rsidRPr="00990D53">
        <w:rPr>
          <w:snapToGrid w:val="0"/>
        </w:rPr>
        <w:t xml:space="preserve"> </w:t>
      </w:r>
      <w:r w:rsidR="00DA5CD1" w:rsidRPr="00990D53">
        <w:rPr>
          <w:snapToGrid w:val="0"/>
        </w:rPr>
        <w:t>powyżej</w:t>
      </w:r>
      <w:r w:rsidR="005D14A2" w:rsidRPr="00990D53">
        <w:rPr>
          <w:snapToGrid w:val="0"/>
        </w:rPr>
        <w:t>).</w:t>
      </w:r>
    </w:p>
    <w:p w:rsidR="00E700AD" w:rsidRPr="00990D53" w:rsidRDefault="00C360A0" w:rsidP="00B3060D">
      <w:pPr>
        <w:pStyle w:val="ECHRPara"/>
      </w:pPr>
      <w:r w:rsidRPr="00990D53">
        <w:fldChar w:fldCharType="begin"/>
      </w:r>
      <w:r w:rsidRPr="00990D53">
        <w:instrText xml:space="preserve"> SEQ level0 \*arabic </w:instrText>
      </w:r>
      <w:r w:rsidRPr="00990D53">
        <w:fldChar w:fldCharType="separate"/>
      </w:r>
      <w:r w:rsidR="00A31FF5" w:rsidRPr="00990D53">
        <w:t>84</w:t>
      </w:r>
      <w:r w:rsidRPr="00990D53">
        <w:fldChar w:fldCharType="end"/>
      </w:r>
      <w:r w:rsidRPr="00990D53">
        <w:t>.  </w:t>
      </w:r>
      <w:r w:rsidR="00DA5CD1" w:rsidRPr="00990D53">
        <w:t xml:space="preserve">Skarżący dalej twierdził, że usprawiedliwianie jego detencji jako osoby „umysłowo chorej” prowadziłoby do </w:t>
      </w:r>
      <w:r w:rsidR="0099472C" w:rsidRPr="00990D53">
        <w:t>uznania przedłużenia jego detencji prewencyjnej ponad obowiązujący wówczas dziesięcio</w:t>
      </w:r>
      <w:r w:rsidR="00FF745E" w:rsidRPr="00990D53">
        <w:t xml:space="preserve">letni </w:t>
      </w:r>
      <w:r w:rsidR="00E700AD" w:rsidRPr="00990D53">
        <w:t xml:space="preserve">ustawowy limit, wbrew wnioskom Trybunału poczynionych w sprawie </w:t>
      </w:r>
      <w:r w:rsidR="007D3A4A" w:rsidRPr="00990D53">
        <w:rPr>
          <w:i/>
        </w:rPr>
        <w:t xml:space="preserve">M. </w:t>
      </w:r>
      <w:r w:rsidR="00E700AD" w:rsidRPr="00990D53">
        <w:rPr>
          <w:i/>
        </w:rPr>
        <w:t>przeciwko Niemcom</w:t>
      </w:r>
      <w:r w:rsidR="007D3A4A" w:rsidRPr="00990D53">
        <w:t xml:space="preserve"> (</w:t>
      </w:r>
      <w:r w:rsidR="00E700AD" w:rsidRPr="00990D53">
        <w:rPr>
          <w:snapToGrid w:val="0"/>
        </w:rPr>
        <w:t>cyt. powyżej</w:t>
      </w:r>
      <w:r w:rsidR="007D3A4A" w:rsidRPr="00990D53">
        <w:t xml:space="preserve">), </w:t>
      </w:r>
      <w:r w:rsidR="00E700AD" w:rsidRPr="00990D53">
        <w:t>pomimo podobieństwa okoliczności.</w:t>
      </w:r>
      <w:r w:rsidR="007D3A4A" w:rsidRPr="00990D53">
        <w:t xml:space="preserve"> </w:t>
      </w:r>
      <w:r w:rsidR="00E700AD" w:rsidRPr="00990D53">
        <w:t xml:space="preserve">Postanowienie o detencji prewencyjnej zostało wydane wyłącznie na podstawie zagrożenia, jakie stwarzał dla porządku i bezpieczeństwa publicznego. Kwestia, czy zagrożenie wynikało z zaburzenia umysłowego, pozostawało dla sądu bez znaczenia. Osadzenie skarżącego jako osoby „umysłowo chorej” było oczywistym odejściem od dotychczasowego orzecznictwa Trybunału, na mocy którego detencja prewencyjna nie była dłużej usprawiedliwiona artykułem 5 </w:t>
      </w:r>
      <w:r w:rsidR="00E700AD" w:rsidRPr="00990D53">
        <w:rPr>
          <w:rFonts w:ascii="Times New Roman" w:hAnsi="Times New Roman" w:cs="Times New Roman"/>
        </w:rPr>
        <w:t>§</w:t>
      </w:r>
      <w:r w:rsidR="00E700AD" w:rsidRPr="00990D53">
        <w:t xml:space="preserve"> 1 lit. a). </w:t>
      </w:r>
    </w:p>
    <w:p w:rsidR="007974B5" w:rsidRPr="00990D53" w:rsidRDefault="00A91662" w:rsidP="00B3060D">
      <w:pPr>
        <w:pStyle w:val="ECHRPara"/>
      </w:pPr>
      <w:r w:rsidRPr="00990D53">
        <w:lastRenderedPageBreak/>
        <w:fldChar w:fldCharType="begin"/>
      </w:r>
      <w:r w:rsidRPr="00990D53">
        <w:instrText xml:space="preserve"> SEQ level0 \*arabic </w:instrText>
      </w:r>
      <w:r w:rsidRPr="00990D53">
        <w:fldChar w:fldCharType="separate"/>
      </w:r>
      <w:r w:rsidR="00A31FF5" w:rsidRPr="00990D53">
        <w:t>85</w:t>
      </w:r>
      <w:r w:rsidRPr="00990D53">
        <w:fldChar w:fldCharType="end"/>
      </w:r>
      <w:r w:rsidR="002A00D6" w:rsidRPr="00990D53">
        <w:t>.  </w:t>
      </w:r>
      <w:r w:rsidR="00E700AD" w:rsidRPr="00990D53">
        <w:t xml:space="preserve">W swoim wniosku skarżący stwierdził, że warunki jego osadzenia w centrum detencyjnym w Rosdorf </w:t>
      </w:r>
      <w:r w:rsidR="00531631" w:rsidRPr="00990D53">
        <w:t>były takie same jak w więzieniu w Celle, gdzie był osadzony wcześniej</w:t>
      </w:r>
      <w:r w:rsidR="002A00D6" w:rsidRPr="00990D53">
        <w:t>.</w:t>
      </w:r>
    </w:p>
    <w:p w:rsidR="00B73D1E"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86</w:t>
      </w:r>
      <w:r w:rsidRPr="00990D53">
        <w:fldChar w:fldCharType="end"/>
      </w:r>
      <w:r w:rsidR="006F2A5A" w:rsidRPr="00990D53">
        <w:t>.  </w:t>
      </w:r>
      <w:r w:rsidR="00ED422E" w:rsidRPr="00990D53">
        <w:t>Skarżący</w:t>
      </w:r>
      <w:r w:rsidR="00531631" w:rsidRPr="00990D53">
        <w:t xml:space="preserve"> wniósł</w:t>
      </w:r>
      <w:r w:rsidR="00ED422E" w:rsidRPr="00990D53">
        <w:t xml:space="preserve"> również</w:t>
      </w:r>
      <w:r w:rsidR="00531631" w:rsidRPr="00990D53">
        <w:t xml:space="preserve">, że mając na uwadze jego zaawansowany wiek, kontynuacja detencji prewencyjnej – był pozbawiony wolności od roku 2001 – była nieproporcjonalna. </w:t>
      </w:r>
    </w:p>
    <w:p w:rsidR="007974B5" w:rsidRPr="00990D53" w:rsidRDefault="007974B5" w:rsidP="00B3060D">
      <w:pPr>
        <w:pStyle w:val="ECHRHeading4"/>
      </w:pPr>
      <w:r w:rsidRPr="00990D53">
        <w:t>(b)  </w:t>
      </w:r>
      <w:r w:rsidR="00531631" w:rsidRPr="00990D53">
        <w:t>Rząd</w:t>
      </w:r>
    </w:p>
    <w:p w:rsidR="00014566"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87</w:t>
      </w:r>
      <w:r w:rsidRPr="00990D53">
        <w:fldChar w:fldCharType="end"/>
      </w:r>
      <w:r w:rsidR="00014566" w:rsidRPr="00990D53">
        <w:t>.  </w:t>
      </w:r>
      <w:r w:rsidR="00531631" w:rsidRPr="00990D53">
        <w:t xml:space="preserve">W swoim wniosku Rząd zakomunikował, że detencja prewencyjna  skarżącego była zgodna z art. 5 </w:t>
      </w:r>
      <w:r w:rsidR="00531631" w:rsidRPr="00990D53">
        <w:rPr>
          <w:rFonts w:ascii="Times New Roman" w:hAnsi="Times New Roman" w:cs="Times New Roman"/>
        </w:rPr>
        <w:t>§</w:t>
      </w:r>
      <w:r w:rsidR="00531631" w:rsidRPr="00990D53">
        <w:t xml:space="preserve"> 1 Konwencji. Usprawiedliwienie dla jej zastosowania znajduje się w lit. e) tego artykułu. </w:t>
      </w:r>
    </w:p>
    <w:p w:rsidR="00A15C1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88</w:t>
      </w:r>
      <w:r w:rsidRPr="00990D53">
        <w:fldChar w:fldCharType="end"/>
      </w:r>
      <w:r w:rsidR="00F1075F" w:rsidRPr="00990D53">
        <w:t>.  </w:t>
      </w:r>
      <w:r w:rsidR="00531631" w:rsidRPr="00990D53">
        <w:t>W poglądzie Rządu, skarżący był „</w:t>
      </w:r>
      <w:r w:rsidR="001C3010" w:rsidRPr="00990D53">
        <w:t xml:space="preserve">chory umysłowo” w rozumieniu art. 5 </w:t>
      </w:r>
      <w:r w:rsidR="001C3010" w:rsidRPr="00990D53">
        <w:rPr>
          <w:rFonts w:ascii="Times New Roman" w:hAnsi="Times New Roman" w:cs="Times New Roman"/>
        </w:rPr>
        <w:t>§</w:t>
      </w:r>
      <w:r w:rsidR="001C3010" w:rsidRPr="00990D53">
        <w:t xml:space="preserve">. 1 lit. e) Konwencji jak określono w wyroku Trybunału w sprawie </w:t>
      </w:r>
      <w:r w:rsidR="005E79DE" w:rsidRPr="00990D53">
        <w:rPr>
          <w:i/>
        </w:rPr>
        <w:t xml:space="preserve">Winterwerp </w:t>
      </w:r>
      <w:r w:rsidR="001C3010" w:rsidRPr="00990D53">
        <w:rPr>
          <w:i/>
        </w:rPr>
        <w:t>przeciwko Holandii</w:t>
      </w:r>
      <w:r w:rsidR="005E79DE" w:rsidRPr="00990D53">
        <w:t xml:space="preserve"> (</w:t>
      </w:r>
      <w:r w:rsidR="0052634A" w:rsidRPr="00990D53">
        <w:t xml:space="preserve">24 </w:t>
      </w:r>
      <w:r w:rsidR="001C3010" w:rsidRPr="00990D53">
        <w:t>października</w:t>
      </w:r>
      <w:r w:rsidR="005E79DE" w:rsidRPr="00990D53">
        <w:t xml:space="preserve"> 1979</w:t>
      </w:r>
      <w:r w:rsidR="001C3010" w:rsidRPr="00990D53">
        <w:t xml:space="preserve"> r., § 37, Serie A nr</w:t>
      </w:r>
      <w:r w:rsidR="005E79DE" w:rsidRPr="00990D53">
        <w:t xml:space="preserve"> 33)</w:t>
      </w:r>
      <w:r w:rsidR="00806E81" w:rsidRPr="00990D53">
        <w:t xml:space="preserve">. </w:t>
      </w:r>
      <w:r w:rsidR="001C3010" w:rsidRPr="00990D53">
        <w:t xml:space="preserve">Skarżący był również alkoholikiem, a zagrożenie jakie stwarzał dla społeczeństwa pogłębiało się za każdym razem, gdy spożywał alkohol. </w:t>
      </w:r>
    </w:p>
    <w:p w:rsidR="000A2927"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89</w:t>
      </w:r>
      <w:r w:rsidRPr="00990D53">
        <w:fldChar w:fldCharType="end"/>
      </w:r>
      <w:r w:rsidR="002E6F17" w:rsidRPr="00990D53">
        <w:t>.  </w:t>
      </w:r>
      <w:r w:rsidR="001C3010" w:rsidRPr="00990D53">
        <w:t>Rząd stwierdził, że sądy krajowe uznały skarżącego za cierpiącego na zaburzenia umysłowe w rozumieni</w:t>
      </w:r>
      <w:r w:rsidR="00E76412" w:rsidRPr="00990D53">
        <w:t>u drugiego zdania sekcji 316 lit</w:t>
      </w:r>
      <w:r w:rsidR="001C3010" w:rsidRPr="00990D53">
        <w:t xml:space="preserve">. f) Ustawy Wprowadzającej do Kodeksu karnego, zinterpretowanego w świetle art. 5 </w:t>
      </w:r>
      <w:r w:rsidR="001C3010" w:rsidRPr="00990D53">
        <w:rPr>
          <w:rFonts w:ascii="Times New Roman" w:hAnsi="Times New Roman" w:cs="Times New Roman"/>
        </w:rPr>
        <w:t>§</w:t>
      </w:r>
      <w:r w:rsidR="001C3010" w:rsidRPr="00990D53">
        <w:t xml:space="preserve"> 1 lit. e) Konwencji. Zasięgnąwszy konsultacji psychiatry W. oraz biorąc pod uwagę  kilka wcześniejszych opinii biegłych, w których zawarto te same wnioski, sądy stwierdziły</w:t>
      </w:r>
      <w:r w:rsidR="000A2927" w:rsidRPr="00990D53">
        <w:t xml:space="preserve"> u skarżącego dewiacje seksualne, sadyzm, od momentu skazania w 1986 roku oraz, że był alkoholikiem. Zaburzenia te zostały sklasyfikowane jako choroby w kontekście medycznym.</w:t>
      </w:r>
    </w:p>
    <w:p w:rsidR="00FD0993"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90</w:t>
      </w:r>
      <w:r w:rsidRPr="00990D53">
        <w:fldChar w:fldCharType="end"/>
      </w:r>
      <w:r w:rsidR="000A3BFE" w:rsidRPr="00990D53">
        <w:t>.  </w:t>
      </w:r>
      <w:r w:rsidR="000A2927" w:rsidRPr="00990D53">
        <w:t xml:space="preserve">W chwili skazania skarżącego, sąd rozważał, czy </w:t>
      </w:r>
      <w:r w:rsidR="00ED422E" w:rsidRPr="00990D53">
        <w:t>j</w:t>
      </w:r>
      <w:r w:rsidR="000A2927" w:rsidRPr="00990D53">
        <w:t xml:space="preserve">ego zaburzenia psychiczne nie są na tyle poważne, aby ograniczyć jego odpowiedzialność karną w rozumieniu art. 21 Kodeksu karnego. Ze względu na same zaburzenia preferencji seksualnych, istniało wysokie ryzyko, że w razie zwolnienia, skarżący nadal dopuszczałby się </w:t>
      </w:r>
      <w:r w:rsidR="00A8282C" w:rsidRPr="00990D53">
        <w:t xml:space="preserve">najpoważniejszych </w:t>
      </w:r>
      <w:r w:rsidR="000A2927" w:rsidRPr="00990D53">
        <w:t>brutalnych przestępstw i przestępstw na</w:t>
      </w:r>
      <w:r w:rsidR="00FD0993" w:rsidRPr="00990D53">
        <w:t xml:space="preserve"> tle seksualnym podobnych do tyc</w:t>
      </w:r>
      <w:r w:rsidR="000A2927" w:rsidRPr="00990D53">
        <w:t xml:space="preserve">h, za które został skazany </w:t>
      </w:r>
      <w:r w:rsidR="00FD0993" w:rsidRPr="00990D53">
        <w:t>Zagrożenie, jakie stwarzał dla społeczeństwa, pogłębiało się w</w:t>
      </w:r>
      <w:r w:rsidR="000A2927" w:rsidRPr="00990D53">
        <w:t xml:space="preserve"> konsekwencji nadużywania </w:t>
      </w:r>
      <w:r w:rsidR="00FD0993" w:rsidRPr="00990D53">
        <w:t xml:space="preserve">alkoholu. Kontynuowanie jego detencji prewencyjnej było w związku z tym niezbędne w celu ochrony społeczeństwa. </w:t>
      </w:r>
      <w:r w:rsidR="000A2927" w:rsidRPr="00990D53">
        <w:t xml:space="preserve"> </w:t>
      </w:r>
    </w:p>
    <w:p w:rsidR="00FD0993" w:rsidRPr="00990D53" w:rsidRDefault="000A3BFE" w:rsidP="00B3060D">
      <w:pPr>
        <w:pStyle w:val="ECHRPara"/>
      </w:pPr>
      <w:r w:rsidRPr="00990D53">
        <w:fldChar w:fldCharType="begin"/>
      </w:r>
      <w:r w:rsidRPr="00990D53">
        <w:instrText xml:space="preserve"> SEQ level0 \*arabic </w:instrText>
      </w:r>
      <w:r w:rsidRPr="00990D53">
        <w:fldChar w:fldCharType="separate"/>
      </w:r>
      <w:r w:rsidR="00A31FF5" w:rsidRPr="00990D53">
        <w:t>91</w:t>
      </w:r>
      <w:r w:rsidRPr="00990D53">
        <w:fldChar w:fldCharType="end"/>
      </w:r>
      <w:r w:rsidRPr="00990D53">
        <w:t>.  </w:t>
      </w:r>
      <w:r w:rsidR="00FD0993" w:rsidRPr="00990D53">
        <w:t>Zgodnie z wnioskiem Rz</w:t>
      </w:r>
      <w:r w:rsidR="00ED422E" w:rsidRPr="00990D53">
        <w:t>ą</w:t>
      </w:r>
      <w:r w:rsidR="00FD0993" w:rsidRPr="00990D53">
        <w:t xml:space="preserve">du, skarżący był osadzony w placówce dostosowanej do osób z problemami psychicznymi i alkoholików. Centrum prewencyjne w Rosdorf spełniało wymagania od czerwca 2013 r. możliwe formy leczenia w centrum były porównywalne do tych stosowanych w klinikach psychiatrycznych, a każdy osadzony miał indywidualnie  dostosowaną terapię. </w:t>
      </w:r>
    </w:p>
    <w:p w:rsidR="006D33F4" w:rsidRPr="00990D53" w:rsidRDefault="00446311" w:rsidP="00B3060D">
      <w:pPr>
        <w:pStyle w:val="ECHRPara"/>
      </w:pPr>
      <w:r w:rsidRPr="00990D53">
        <w:fldChar w:fldCharType="begin"/>
      </w:r>
      <w:r w:rsidRPr="00990D53">
        <w:instrText xml:space="preserve"> SEQ level0 \*arabic </w:instrText>
      </w:r>
      <w:r w:rsidRPr="00990D53">
        <w:fldChar w:fldCharType="separate"/>
      </w:r>
      <w:r w:rsidR="00A31FF5" w:rsidRPr="00990D53">
        <w:t>92</w:t>
      </w:r>
      <w:r w:rsidRPr="00990D53">
        <w:fldChar w:fldCharType="end"/>
      </w:r>
      <w:r w:rsidR="00C97EA6" w:rsidRPr="00990D53">
        <w:t>.  </w:t>
      </w:r>
      <w:r w:rsidR="00FD0993" w:rsidRPr="00990D53">
        <w:t xml:space="preserve">Rząd wyjaśnił, że eksperci w placówce psychologicznej, a także pomoc społeczna prowadziła indywidualne spotkania z osadzonymi, by zachęcać ich do poddania się terapii. Oferowano grupowe terapie dla sprawców przestępstw na tle seksualnym, agresywnych przestępców oraz </w:t>
      </w:r>
      <w:r w:rsidR="00ED422E" w:rsidRPr="00990D53">
        <w:lastRenderedPageBreak/>
        <w:t>resocjalizacyjne</w:t>
      </w:r>
      <w:r w:rsidR="00FD0993" w:rsidRPr="00990D53">
        <w:t xml:space="preserve"> dla przestępców z uzależnieniem. Istniała możliwość </w:t>
      </w:r>
      <w:r w:rsidR="00ED422E" w:rsidRPr="00990D53">
        <w:t>stosowania leków przez</w:t>
      </w:r>
      <w:r w:rsidR="00FD0993" w:rsidRPr="00990D53">
        <w:t xml:space="preserve"> sprawców przestępstw na tle seksualnym w celu zmniejszenia ich libido. Osadzeni mogli skorzystać z indywidualnej terapii z psychologie</w:t>
      </w:r>
      <w:r w:rsidR="006D33F4" w:rsidRPr="00990D53">
        <w:t xml:space="preserve">m oraz </w:t>
      </w:r>
      <w:r w:rsidR="00ED422E" w:rsidRPr="00990D53">
        <w:t>przepustek</w:t>
      </w:r>
      <w:r w:rsidR="006D33F4" w:rsidRPr="00990D53">
        <w:t>. Co</w:t>
      </w:r>
      <w:r w:rsidR="00FD0993" w:rsidRPr="00990D53">
        <w:t xml:space="preserve"> więce</w:t>
      </w:r>
      <w:r w:rsidR="006D33F4" w:rsidRPr="00990D53">
        <w:t xml:space="preserve">j, oferowano zajęcia terapeutyczne, sportowo-pedagogiczne i wypoczynkowe w celu polepszenia ich zdolności komunikacyjnych i zmotywowania do poddania się terapii. </w:t>
      </w:r>
      <w:r w:rsidR="00F80174" w:rsidRPr="00990D53">
        <w:t xml:space="preserve"> </w:t>
      </w:r>
    </w:p>
    <w:p w:rsidR="007C7760"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93</w:t>
      </w:r>
      <w:r w:rsidRPr="00990D53">
        <w:fldChar w:fldCharType="end"/>
      </w:r>
      <w:r w:rsidR="00C97EA6" w:rsidRPr="00990D53">
        <w:t>. </w:t>
      </w:r>
      <w:r w:rsidR="00543F85" w:rsidRPr="00990D53">
        <w:t xml:space="preserve">W </w:t>
      </w:r>
      <w:r w:rsidR="00A8282C" w:rsidRPr="00990D53">
        <w:t>ocenie</w:t>
      </w:r>
      <w:r w:rsidR="00543F85" w:rsidRPr="00990D53">
        <w:t xml:space="preserve"> Rządu, co szczegółowo widać w planie terapii przygotowanej skarżącemu w </w:t>
      </w:r>
      <w:r w:rsidR="00F04A93" w:rsidRPr="00990D53">
        <w:t xml:space="preserve">centrum </w:t>
      </w:r>
      <w:r w:rsidR="00ED422E" w:rsidRPr="00990D53">
        <w:t xml:space="preserve">prewencyjnym </w:t>
      </w:r>
      <w:r w:rsidR="00F04A93" w:rsidRPr="00990D53">
        <w:t xml:space="preserve">w Rosdorf (zob. par. 39-41 powyżej), wszystkie środki terapeutyczne, które były </w:t>
      </w:r>
      <w:r w:rsidR="00ED422E" w:rsidRPr="00990D53">
        <w:t>odpowiednie</w:t>
      </w:r>
      <w:r w:rsidR="00F04A93" w:rsidRPr="00990D53">
        <w:t xml:space="preserve"> dla skarżącego w</w:t>
      </w:r>
      <w:r w:rsidR="00A8282C" w:rsidRPr="00990D53">
        <w:t>edług</w:t>
      </w:r>
      <w:r w:rsidR="00F04A93" w:rsidRPr="00990D53">
        <w:t xml:space="preserve"> lekarzy, były dostępne w Rosdorf oraz zostały mu zaoferowane.</w:t>
      </w:r>
      <w:r w:rsidR="00C97EA6" w:rsidRPr="00990D53">
        <w:t> </w:t>
      </w:r>
      <w:r w:rsidR="00FD3BC0" w:rsidRPr="00990D53">
        <w:t xml:space="preserve"> W szczególności</w:t>
      </w:r>
      <w:r w:rsidR="008D0FA7" w:rsidRPr="00990D53">
        <w:t>,</w:t>
      </w:r>
      <w:r w:rsidR="00FD3BC0" w:rsidRPr="00990D53">
        <w:t xml:space="preserve"> objęto go terapią z </w:t>
      </w:r>
      <w:r w:rsidR="008D0FA7" w:rsidRPr="00990D53">
        <w:t>użyciem leków</w:t>
      </w:r>
      <w:r w:rsidR="00FD3BC0" w:rsidRPr="00990D53">
        <w:t xml:space="preserve"> skierowaną na zredukowanie jego libido, terapią ukierunkowaną na wyleczenie z sadyzmu i alkoholizmu. Personel zaangażował skarżącego w terapię grupową, mającą na celu zapobieżenie powrotowi do nadużywania alkoholu. Mimo wszystko, stale odmawiał wzięcia udziału w zaoferowanej terapii z </w:t>
      </w:r>
      <w:r w:rsidR="008D0FA7" w:rsidRPr="00990D53">
        <w:t>użyciem leków</w:t>
      </w:r>
      <w:r w:rsidR="00FD3BC0" w:rsidRPr="00990D53">
        <w:t xml:space="preserve"> </w:t>
      </w:r>
      <w:r w:rsidR="008D0FA7" w:rsidRPr="00990D53">
        <w:t>u</w:t>
      </w:r>
      <w:r w:rsidR="003F7E3F" w:rsidRPr="00990D53">
        <w:t>ki</w:t>
      </w:r>
      <w:r w:rsidR="008D0FA7" w:rsidRPr="00990D53">
        <w:t>erunkowanej</w:t>
      </w:r>
      <w:r w:rsidR="00FD3BC0" w:rsidRPr="00990D53">
        <w:t xml:space="preserve"> na zredukowani</w:t>
      </w:r>
      <w:r w:rsidR="003F7E3F" w:rsidRPr="00990D53">
        <w:t>e</w:t>
      </w:r>
      <w:r w:rsidR="008D0FA7" w:rsidRPr="00990D53">
        <w:t xml:space="preserve"> jego libido oraz </w:t>
      </w:r>
      <w:r w:rsidR="00FD3BC0" w:rsidRPr="00990D53">
        <w:t>specjalnej terapii dla przestępców seksualnych.</w:t>
      </w:r>
      <w:r w:rsidR="001803A7" w:rsidRPr="00990D53">
        <w:t xml:space="preserve"> </w:t>
      </w:r>
    </w:p>
    <w:p w:rsidR="00486EAA"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94</w:t>
      </w:r>
      <w:r w:rsidRPr="00990D53">
        <w:fldChar w:fldCharType="end"/>
      </w:r>
      <w:r w:rsidR="00486EAA" w:rsidRPr="00990D53">
        <w:t>.  </w:t>
      </w:r>
      <w:r w:rsidR="003F7E3F" w:rsidRPr="00990D53">
        <w:t xml:space="preserve">Rząd twierdził, że detencja prewencyjna skarżącego była </w:t>
      </w:r>
      <w:r w:rsidR="0008445C" w:rsidRPr="00990D53">
        <w:t>najmniej inwazyjnym sposobem och</w:t>
      </w:r>
      <w:r w:rsidR="003F7E3F" w:rsidRPr="00990D53">
        <w:t>r</w:t>
      </w:r>
      <w:r w:rsidR="0008445C" w:rsidRPr="00990D53">
        <w:t>o</w:t>
      </w:r>
      <w:r w:rsidR="003F7E3F" w:rsidRPr="00990D53">
        <w:t xml:space="preserve">ny bezpieczeństwa publicznego. Biegli powołani przez sądy krajowe potwierdzili, że </w:t>
      </w:r>
      <w:r w:rsidR="008D0FA7" w:rsidRPr="00990D53">
        <w:t>zagrożenie</w:t>
      </w:r>
      <w:r w:rsidR="003F7E3F" w:rsidRPr="00990D53">
        <w:t xml:space="preserve">, jakie stanowił skarżący, nie zmniejszyło się pod wpływem jego wieku, ponieważ przy popełnianiu przestępstw swoją siłę kierował przeciwko z reguły słabszym kobietom lub dzieciom. Dodatkowo, przeniesienie skarżącego do </w:t>
      </w:r>
      <w:r w:rsidR="00EE003E" w:rsidRPr="00990D53">
        <w:t xml:space="preserve">zamkniętej </w:t>
      </w:r>
      <w:r w:rsidR="003F7E3F" w:rsidRPr="00990D53">
        <w:t xml:space="preserve">placówki nadzorowanej </w:t>
      </w:r>
      <w:r w:rsidR="00EE003E" w:rsidRPr="00990D53">
        <w:t xml:space="preserve">nie stanowiło mniej inwazyjnej metody, ponieważ w ten sam sposób pozbawiało go wolności. </w:t>
      </w:r>
    </w:p>
    <w:p w:rsidR="007974B5" w:rsidRPr="00990D53" w:rsidRDefault="007974B5" w:rsidP="00B3060D">
      <w:pPr>
        <w:pStyle w:val="ECHRHeading3"/>
      </w:pPr>
      <w:r w:rsidRPr="00990D53">
        <w:t>2.  </w:t>
      </w:r>
      <w:r w:rsidR="00EE003E" w:rsidRPr="00990D53">
        <w:t>Ocena Trybunału</w:t>
      </w:r>
    </w:p>
    <w:p w:rsidR="00DA6A72" w:rsidRPr="00990D53" w:rsidRDefault="00DA6A72" w:rsidP="00B3060D">
      <w:pPr>
        <w:pStyle w:val="ECHRHeading4"/>
        <w:rPr>
          <w:rFonts w:eastAsia="Times New Roman"/>
          <w:lang w:eastAsia="fr-FR"/>
        </w:rPr>
      </w:pPr>
      <w:r w:rsidRPr="00990D53">
        <w:rPr>
          <w:rFonts w:eastAsia="Times New Roman"/>
          <w:lang w:eastAsia="fr-FR"/>
        </w:rPr>
        <w:t>(a)  </w:t>
      </w:r>
      <w:r w:rsidR="00EE003E" w:rsidRPr="00990D53">
        <w:rPr>
          <w:rFonts w:eastAsia="Times New Roman"/>
          <w:lang w:eastAsia="fr-FR"/>
        </w:rPr>
        <w:t xml:space="preserve"> </w:t>
      </w:r>
      <w:r w:rsidR="00A8282C" w:rsidRPr="00990D53">
        <w:rPr>
          <w:rFonts w:eastAsia="Times New Roman"/>
          <w:lang w:eastAsia="fr-FR"/>
        </w:rPr>
        <w:t xml:space="preserve">Podsumowanie istotnych </w:t>
      </w:r>
      <w:r w:rsidR="00EE003E" w:rsidRPr="00990D53">
        <w:rPr>
          <w:rFonts w:eastAsia="Times New Roman"/>
          <w:lang w:eastAsia="fr-FR"/>
        </w:rPr>
        <w:t xml:space="preserve"> przepisów</w:t>
      </w:r>
      <w:r w:rsidRPr="00990D53">
        <w:rPr>
          <w:rFonts w:eastAsia="Times New Roman"/>
          <w:lang w:eastAsia="fr-FR"/>
        </w:rPr>
        <w:t xml:space="preserve"> </w:t>
      </w:r>
    </w:p>
    <w:p w:rsidR="00B93543" w:rsidRPr="00990D53" w:rsidRDefault="0036429B" w:rsidP="00B3060D">
      <w:pPr>
        <w:pStyle w:val="ECHRPara"/>
        <w:rPr>
          <w:i/>
        </w:rPr>
      </w:pPr>
      <w:r w:rsidRPr="00990D53">
        <w:fldChar w:fldCharType="begin"/>
      </w:r>
      <w:r w:rsidRPr="00990D53">
        <w:instrText xml:space="preserve"> SEQ level0 \*arabic </w:instrText>
      </w:r>
      <w:r w:rsidRPr="00990D53">
        <w:fldChar w:fldCharType="separate"/>
      </w:r>
      <w:r w:rsidR="00A31FF5" w:rsidRPr="00990D53">
        <w:t>95</w:t>
      </w:r>
      <w:r w:rsidRPr="00990D53">
        <w:fldChar w:fldCharType="end"/>
      </w:r>
      <w:r w:rsidR="00014566" w:rsidRPr="00990D53">
        <w:t>. </w:t>
      </w:r>
      <w:r w:rsidR="00EE003E" w:rsidRPr="00990D53">
        <w:t xml:space="preserve">Trybunał powtarza, że art. 5 </w:t>
      </w:r>
      <w:r w:rsidR="00EE003E" w:rsidRPr="00990D53">
        <w:rPr>
          <w:rFonts w:ascii="Times New Roman" w:hAnsi="Times New Roman" w:cs="Times New Roman"/>
        </w:rPr>
        <w:t>§</w:t>
      </w:r>
      <w:r w:rsidR="00EE003E" w:rsidRPr="00990D53">
        <w:t xml:space="preserve"> 1 lit. a) do f)</w:t>
      </w:r>
      <w:r w:rsidR="00014566" w:rsidRPr="00990D53">
        <w:t> </w:t>
      </w:r>
      <w:r w:rsidR="00EE003E" w:rsidRPr="00990D53">
        <w:t xml:space="preserve">zawiera wyczerpującą listę dopuszczalnych warunków do pozbawienia wolności, a żadne pozbawienie wolności nie będzie zgodne z prawem, jeżeli nie spełni któregokolwiek z tych warunków (zob. </w:t>
      </w:r>
      <w:r w:rsidR="00B93543" w:rsidRPr="00990D53">
        <w:rPr>
          <w:i/>
        </w:rPr>
        <w:t>Del Rio Prada</w:t>
      </w:r>
      <w:r w:rsidR="00B93543" w:rsidRPr="00990D53">
        <w:t xml:space="preserve"> </w:t>
      </w:r>
      <w:r w:rsidR="00EE003E" w:rsidRPr="00990D53">
        <w:rPr>
          <w:i/>
        </w:rPr>
        <w:t>przeciwko Hiszpanii</w:t>
      </w:r>
      <w:r w:rsidR="00B93543" w:rsidRPr="00990D53">
        <w:rPr>
          <w:i/>
        </w:rPr>
        <w:t xml:space="preserve"> </w:t>
      </w:r>
      <w:r w:rsidR="00EE003E" w:rsidRPr="00990D53">
        <w:t>[GC], nr</w:t>
      </w:r>
      <w:r w:rsidR="00B93543" w:rsidRPr="00990D53">
        <w:t xml:space="preserve"> 42750/09, § 123, 21 </w:t>
      </w:r>
      <w:r w:rsidR="00EE003E" w:rsidRPr="00990D53">
        <w:t>października</w:t>
      </w:r>
      <w:r w:rsidR="00B93543" w:rsidRPr="00990D53">
        <w:t xml:space="preserve"> 2013</w:t>
      </w:r>
      <w:r w:rsidR="00806E81" w:rsidRPr="00990D53">
        <w:t xml:space="preserve"> </w:t>
      </w:r>
      <w:r w:rsidR="00EE003E" w:rsidRPr="00990D53">
        <w:t xml:space="preserve">r. z </w:t>
      </w:r>
      <w:r w:rsidR="009A1DB5" w:rsidRPr="00990D53">
        <w:t>dalszymi odniesieniami</w:t>
      </w:r>
      <w:r w:rsidR="00B93543" w:rsidRPr="00990D53">
        <w:t xml:space="preserve">). </w:t>
      </w:r>
      <w:r w:rsidR="009A1DB5" w:rsidRPr="00990D53">
        <w:t xml:space="preserve">Zastosowanie jednego warunku nie wyklucza innego; detencja może, zależnie od okoliczności, być usprawiedliwiona na mocy jednego lub kilku przepisów (zob. </w:t>
      </w:r>
      <w:r w:rsidR="009A1DB5" w:rsidRPr="00990D53">
        <w:rPr>
          <w:i/>
        </w:rPr>
        <w:t>Kharin przeciwko Rosji</w:t>
      </w:r>
      <w:r w:rsidR="009A1DB5" w:rsidRPr="00990D53">
        <w:t>, nr</w:t>
      </w:r>
      <w:r w:rsidR="009D068B" w:rsidRPr="00990D53">
        <w:t> </w:t>
      </w:r>
      <w:r w:rsidR="007D2756" w:rsidRPr="00990D53">
        <w:t>37345/03</w:t>
      </w:r>
      <w:r w:rsidR="009A1DB5" w:rsidRPr="00990D53">
        <w:rPr>
          <w:snapToGrid w:val="0"/>
        </w:rPr>
        <w:t>, § 31, 3 lutego</w:t>
      </w:r>
      <w:r w:rsidR="007D2756" w:rsidRPr="00990D53">
        <w:rPr>
          <w:snapToGrid w:val="0"/>
        </w:rPr>
        <w:t xml:space="preserve"> 2011</w:t>
      </w:r>
      <w:r w:rsidR="00806E81" w:rsidRPr="00990D53">
        <w:rPr>
          <w:snapToGrid w:val="0"/>
        </w:rPr>
        <w:t xml:space="preserve"> </w:t>
      </w:r>
      <w:r w:rsidR="009A1DB5" w:rsidRPr="00990D53">
        <w:t>z dalszymi odniesieniami</w:t>
      </w:r>
      <w:r w:rsidR="00BA7235" w:rsidRPr="00990D53">
        <w:t>).</w:t>
      </w:r>
      <w:r w:rsidR="007D2756" w:rsidRPr="00990D53">
        <w:t xml:space="preserve"> </w:t>
      </w:r>
      <w:r w:rsidR="009A1DB5" w:rsidRPr="00990D53">
        <w:t xml:space="preserve">Tylko wąska interpretacja wyczerpującej listy dopuszczalnych warunków pozbawienia wolności jest zgodna z celem art. 5, mianowicie </w:t>
      </w:r>
      <w:r w:rsidR="008D0FA7" w:rsidRPr="00990D53">
        <w:t>gwarancją</w:t>
      </w:r>
      <w:r w:rsidR="009A1DB5" w:rsidRPr="00990D53">
        <w:t>, aby nikt nie został arbitralnie pozbawiony wolności (zob. między innymi</w:t>
      </w:r>
      <w:r w:rsidR="00B93543" w:rsidRPr="00990D53">
        <w:t xml:space="preserve">, </w:t>
      </w:r>
      <w:r w:rsidR="00B93543" w:rsidRPr="00990D53">
        <w:rPr>
          <w:i/>
        </w:rPr>
        <w:t xml:space="preserve">Winterwerp </w:t>
      </w:r>
      <w:r w:rsidR="009A1DB5" w:rsidRPr="00990D53">
        <w:rPr>
          <w:i/>
        </w:rPr>
        <w:t>przeciwko Holandii,</w:t>
      </w:r>
      <w:r w:rsidR="009A1DB5" w:rsidRPr="00990D53">
        <w:t xml:space="preserve"> 24 października</w:t>
      </w:r>
      <w:r w:rsidR="00B93543" w:rsidRPr="00990D53">
        <w:t xml:space="preserve"> 1979</w:t>
      </w:r>
      <w:r w:rsidR="009A1DB5" w:rsidRPr="00990D53">
        <w:t xml:space="preserve"> r., § 37, Serie A nr</w:t>
      </w:r>
      <w:r w:rsidR="00B93543" w:rsidRPr="00990D53">
        <w:t xml:space="preserve"> 33; </w:t>
      </w:r>
      <w:r w:rsidR="009A1DB5" w:rsidRPr="00990D53">
        <w:t>i</w:t>
      </w:r>
      <w:r w:rsidR="00B93543" w:rsidRPr="00990D53">
        <w:t xml:space="preserve"> </w:t>
      </w:r>
      <w:r w:rsidR="00B93543" w:rsidRPr="00990D53">
        <w:rPr>
          <w:i/>
        </w:rPr>
        <w:t xml:space="preserve">Shimovolos </w:t>
      </w:r>
      <w:r w:rsidR="009A1DB5" w:rsidRPr="00990D53">
        <w:rPr>
          <w:i/>
        </w:rPr>
        <w:t>przeciwko Rosji</w:t>
      </w:r>
      <w:r w:rsidR="009A1DB5" w:rsidRPr="00990D53">
        <w:t>, nr</w:t>
      </w:r>
      <w:r w:rsidR="00B93543" w:rsidRPr="00990D53">
        <w:t xml:space="preserve"> 30194/09, § 51, 21</w:t>
      </w:r>
      <w:r w:rsidR="00806E81" w:rsidRPr="00990D53">
        <w:t> </w:t>
      </w:r>
      <w:r w:rsidR="009A1DB5" w:rsidRPr="00990D53">
        <w:t>czerwca</w:t>
      </w:r>
      <w:r w:rsidR="00B93543" w:rsidRPr="00990D53">
        <w:t xml:space="preserve"> 2011</w:t>
      </w:r>
      <w:r w:rsidR="009A1DB5" w:rsidRPr="00990D53">
        <w:t xml:space="preserve"> r.</w:t>
      </w:r>
      <w:r w:rsidR="00B93543" w:rsidRPr="00990D53">
        <w:t>).</w:t>
      </w:r>
    </w:p>
    <w:p w:rsidR="00B93543" w:rsidRPr="00990D53" w:rsidRDefault="00B93543" w:rsidP="00B3060D">
      <w:pPr>
        <w:pStyle w:val="ECHRPara"/>
        <w:rPr>
          <w:i/>
        </w:rPr>
      </w:pPr>
      <w:r w:rsidRPr="00990D53">
        <w:lastRenderedPageBreak/>
        <w:fldChar w:fldCharType="begin"/>
      </w:r>
      <w:r w:rsidRPr="00990D53">
        <w:instrText xml:space="preserve"> SEQ level0 \*arabic </w:instrText>
      </w:r>
      <w:r w:rsidRPr="00990D53">
        <w:fldChar w:fldCharType="separate"/>
      </w:r>
      <w:r w:rsidR="00A31FF5" w:rsidRPr="00990D53">
        <w:t>96</w:t>
      </w:r>
      <w:r w:rsidRPr="00990D53">
        <w:fldChar w:fldCharType="end"/>
      </w:r>
      <w:r w:rsidRPr="00990D53">
        <w:t>.  T</w:t>
      </w:r>
      <w:r w:rsidR="009A1DB5" w:rsidRPr="00990D53">
        <w:t xml:space="preserve">rybunał dalej powtarza, że pojęcie „osób chorych umysłowo” </w:t>
      </w:r>
      <w:r w:rsidR="008D0FA7" w:rsidRPr="00990D53">
        <w:t>objęte artykułem</w:t>
      </w:r>
      <w:r w:rsidR="009A1DB5" w:rsidRPr="00990D53">
        <w:t xml:space="preserve"> 5 </w:t>
      </w:r>
      <w:r w:rsidR="009A1DB5" w:rsidRPr="00990D53">
        <w:rPr>
          <w:rFonts w:ascii="Times New Roman" w:hAnsi="Times New Roman" w:cs="Times New Roman"/>
        </w:rPr>
        <w:t>§</w:t>
      </w:r>
      <w:r w:rsidR="008D0FA7" w:rsidRPr="00990D53">
        <w:t xml:space="preserve"> 1 lit. e)</w:t>
      </w:r>
      <w:r w:rsidR="009A1DB5" w:rsidRPr="00990D53">
        <w:t xml:space="preserve"> samo w sobie nie precyzuje definicji</w:t>
      </w:r>
      <w:r w:rsidR="008D0FA7" w:rsidRPr="00990D53">
        <w:t>,</w:t>
      </w:r>
      <w:r w:rsidR="009A1DB5" w:rsidRPr="00990D53">
        <w:t xml:space="preserve"> ze względu na ewolucję pojęcia wynikającą z postępu psychiatrii (zob. </w:t>
      </w:r>
      <w:r w:rsidRPr="00990D53">
        <w:rPr>
          <w:i/>
        </w:rPr>
        <w:t>Winterwerp</w:t>
      </w:r>
      <w:r w:rsidRPr="00990D53">
        <w:t xml:space="preserve">, </w:t>
      </w:r>
      <w:r w:rsidR="000E433C" w:rsidRPr="00990D53">
        <w:t>cyt. powyżej</w:t>
      </w:r>
      <w:r w:rsidRPr="00990D53">
        <w:t>, § 37</w:t>
      </w:r>
      <w:r w:rsidR="00522F28" w:rsidRPr="00990D53">
        <w:t>,</w:t>
      </w:r>
      <w:r w:rsidR="000E433C" w:rsidRPr="00990D53">
        <w:t xml:space="preserve"> i</w:t>
      </w:r>
      <w:r w:rsidRPr="00990D53">
        <w:t xml:space="preserve"> </w:t>
      </w:r>
      <w:r w:rsidRPr="00990D53">
        <w:rPr>
          <w:i/>
        </w:rPr>
        <w:t xml:space="preserve">Rakevich </w:t>
      </w:r>
      <w:r w:rsidR="000E433C" w:rsidRPr="00990D53">
        <w:rPr>
          <w:i/>
        </w:rPr>
        <w:t>przeciwko Rosji</w:t>
      </w:r>
      <w:r w:rsidR="000E433C" w:rsidRPr="00990D53">
        <w:t>, nr</w:t>
      </w:r>
      <w:r w:rsidRPr="00990D53">
        <w:t xml:space="preserve"> 58973/00, § 26, 28 </w:t>
      </w:r>
      <w:r w:rsidR="000E433C" w:rsidRPr="00990D53">
        <w:t>p</w:t>
      </w:r>
      <w:r w:rsidR="000D520F" w:rsidRPr="00990D53">
        <w:t>aź</w:t>
      </w:r>
      <w:r w:rsidR="000E433C" w:rsidRPr="00990D53">
        <w:t>dziernika</w:t>
      </w:r>
      <w:r w:rsidRPr="00990D53">
        <w:t xml:space="preserve"> 2003</w:t>
      </w:r>
      <w:r w:rsidR="000E433C" w:rsidRPr="00990D53">
        <w:t xml:space="preserve"> r.</w:t>
      </w:r>
      <w:r w:rsidRPr="00990D53">
        <w:t xml:space="preserve">). </w:t>
      </w:r>
      <w:r w:rsidR="008D0FA7" w:rsidRPr="00990D53">
        <w:t>Nikt nie</w:t>
      </w:r>
      <w:r w:rsidR="000E433C" w:rsidRPr="00990D53">
        <w:t xml:space="preserve"> może być pozbaw</w:t>
      </w:r>
      <w:r w:rsidR="008D0FA7" w:rsidRPr="00990D53">
        <w:t>iony</w:t>
      </w:r>
      <w:r w:rsidR="000E433C" w:rsidRPr="00990D53">
        <w:t xml:space="preserve"> wolności ze względu na „chorobę umysłową”, chyba że spełnione są minimum trzy warunki: po pierwsze, choroba umysłowa musi zostać wiarygodnie </w:t>
      </w:r>
      <w:r w:rsidR="008D0FA7" w:rsidRPr="00990D53">
        <w:t>stwierdzona</w:t>
      </w:r>
      <w:r w:rsidR="000E433C" w:rsidRPr="00990D53">
        <w:t>, to znaczy przez kompetentną jednostkę na podstawie obiektywnych badań medycznych; po drugie zaburzenie umysłowe musi osiągać stopień</w:t>
      </w:r>
      <w:r w:rsidR="00480954" w:rsidRPr="00990D53">
        <w:t xml:space="preserve"> lub rodzaj, który </w:t>
      </w:r>
      <w:r w:rsidR="008D0FA7" w:rsidRPr="00990D53">
        <w:t>stanowi</w:t>
      </w:r>
      <w:r w:rsidR="00C3290E" w:rsidRPr="00990D53">
        <w:t xml:space="preserve"> podstawę do detencji</w:t>
      </w:r>
      <w:r w:rsidRPr="00990D53">
        <w:t xml:space="preserve">; </w:t>
      </w:r>
      <w:r w:rsidR="00480954" w:rsidRPr="00990D53">
        <w:t>po trzecie,</w:t>
      </w:r>
      <w:r w:rsidR="00C3290E" w:rsidRPr="00990D53">
        <w:t xml:space="preserve"> słuszność trwania detencji</w:t>
      </w:r>
      <w:r w:rsidRPr="00990D53">
        <w:t xml:space="preserve"> </w:t>
      </w:r>
      <w:r w:rsidR="00C3290E" w:rsidRPr="00990D53">
        <w:t>zależy od trwałości takiego zaburzenia (zob.</w:t>
      </w:r>
      <w:r w:rsidRPr="00990D53">
        <w:t xml:space="preserve"> </w:t>
      </w:r>
      <w:r w:rsidRPr="00990D53">
        <w:rPr>
          <w:i/>
        </w:rPr>
        <w:t>Winterwerp</w:t>
      </w:r>
      <w:r w:rsidRPr="00990D53">
        <w:t xml:space="preserve">, </w:t>
      </w:r>
      <w:r w:rsidR="00C3290E" w:rsidRPr="00990D53">
        <w:t>cyt. powyżej</w:t>
      </w:r>
      <w:r w:rsidRPr="00990D53">
        <w:t>, § 39</w:t>
      </w:r>
      <w:r w:rsidR="00522F28" w:rsidRPr="00990D53">
        <w:t>,</w:t>
      </w:r>
      <w:r w:rsidRPr="00990D53">
        <w:t xml:space="preserve"> </w:t>
      </w:r>
      <w:r w:rsidR="00C3290E" w:rsidRPr="00990D53">
        <w:t>i</w:t>
      </w:r>
      <w:r w:rsidRPr="00990D53">
        <w:t xml:space="preserve"> </w:t>
      </w:r>
      <w:r w:rsidRPr="00990D53">
        <w:rPr>
          <w:i/>
        </w:rPr>
        <w:t xml:space="preserve">Stanev </w:t>
      </w:r>
      <w:r w:rsidR="00C3290E" w:rsidRPr="00990D53">
        <w:rPr>
          <w:i/>
        </w:rPr>
        <w:t>przeciwko Bułgarii</w:t>
      </w:r>
      <w:r w:rsidRPr="00990D53">
        <w:rPr>
          <w:i/>
        </w:rPr>
        <w:t xml:space="preserve"> </w:t>
      </w:r>
      <w:r w:rsidRPr="00990D53">
        <w:t>[</w:t>
      </w:r>
      <w:r w:rsidR="00C3290E" w:rsidRPr="00990D53">
        <w:t>WI], nr 36760/06, § 145, ETPCz</w:t>
      </w:r>
      <w:r w:rsidRPr="00990D53">
        <w:t xml:space="preserve"> 2012).</w:t>
      </w:r>
    </w:p>
    <w:p w:rsidR="00B93543" w:rsidRPr="00990D53" w:rsidRDefault="00B93543" w:rsidP="00B3060D">
      <w:pPr>
        <w:pStyle w:val="ECHRPara"/>
      </w:pPr>
      <w:r w:rsidRPr="00990D53">
        <w:fldChar w:fldCharType="begin"/>
      </w:r>
      <w:r w:rsidRPr="00990D53">
        <w:instrText xml:space="preserve"> SEQ level0 \*arabic </w:instrText>
      </w:r>
      <w:r w:rsidRPr="00990D53">
        <w:fldChar w:fldCharType="separate"/>
      </w:r>
      <w:r w:rsidR="00A31FF5" w:rsidRPr="00990D53">
        <w:t>97</w:t>
      </w:r>
      <w:r w:rsidRPr="00990D53">
        <w:fldChar w:fldCharType="end"/>
      </w:r>
      <w:r w:rsidRPr="00990D53">
        <w:t>.  </w:t>
      </w:r>
      <w:r w:rsidR="00C3290E" w:rsidRPr="00990D53">
        <w:t xml:space="preserve">Zaburzenie psychiczne może osiągać stopień, który daje podstawy do detencji, jeżeli dana osoba wymaga stosowania terapii, środków medycznych lub innego leczenia klinicznego w celu wyleczenia lub złagodzenia </w:t>
      </w:r>
      <w:r w:rsidR="000D520F" w:rsidRPr="00990D53">
        <w:t>jego objawów lecz również gdy dana osoba wymaga kont</w:t>
      </w:r>
      <w:r w:rsidR="008D0FA7" w:rsidRPr="00990D53">
        <w:t xml:space="preserve">roli i nadzoru, by nie dopuścić, aby skrzywdziła </w:t>
      </w:r>
      <w:r w:rsidR="000D520F" w:rsidRPr="00990D53">
        <w:t>siebie lub innych (porównaj, na przykład</w:t>
      </w:r>
      <w:r w:rsidR="00C3290E" w:rsidRPr="00990D53">
        <w:t xml:space="preserve"> </w:t>
      </w:r>
      <w:r w:rsidRPr="00990D53">
        <w:rPr>
          <w:i/>
        </w:rPr>
        <w:t xml:space="preserve">Witold </w:t>
      </w:r>
      <w:r w:rsidR="007115E0" w:rsidRPr="00990D53">
        <w:rPr>
          <w:i/>
        </w:rPr>
        <w:t> </w:t>
      </w:r>
      <w:r w:rsidRPr="00990D53">
        <w:rPr>
          <w:i/>
        </w:rPr>
        <w:t>Litwa</w:t>
      </w:r>
      <w:r w:rsidR="00A8253A" w:rsidRPr="00990D53">
        <w:rPr>
          <w:i/>
        </w:rPr>
        <w:t xml:space="preserve"> </w:t>
      </w:r>
      <w:r w:rsidR="000D520F" w:rsidRPr="00990D53">
        <w:rPr>
          <w:i/>
        </w:rPr>
        <w:t>przeciwko Polsce</w:t>
      </w:r>
      <w:r w:rsidR="000D520F" w:rsidRPr="00990D53">
        <w:t>, nr</w:t>
      </w:r>
      <w:r w:rsidR="00A8253A" w:rsidRPr="00990D53">
        <w:t xml:space="preserve"> 26629/95, § 60, </w:t>
      </w:r>
      <w:r w:rsidR="000D520F" w:rsidRPr="00990D53">
        <w:t>ETPCz</w:t>
      </w:r>
      <w:r w:rsidR="00A8253A" w:rsidRPr="00990D53">
        <w:t xml:space="preserve"> 2000</w:t>
      </w:r>
      <w:r w:rsidR="00A8253A" w:rsidRPr="00990D53">
        <w:noBreakHyphen/>
        <w:t>III</w:t>
      </w:r>
      <w:r w:rsidR="007C6CCE" w:rsidRPr="00990D53">
        <w:t>,</w:t>
      </w:r>
      <w:r w:rsidR="000D520F" w:rsidRPr="00990D53">
        <w:t xml:space="preserve"> oraz</w:t>
      </w:r>
      <w:r w:rsidRPr="00990D53">
        <w:t xml:space="preserve"> </w:t>
      </w:r>
      <w:r w:rsidRPr="00990D53">
        <w:rPr>
          <w:i/>
        </w:rPr>
        <w:t xml:space="preserve">Hutchison </w:t>
      </w:r>
      <w:r w:rsidR="007115E0" w:rsidRPr="00990D53">
        <w:rPr>
          <w:i/>
        </w:rPr>
        <w:t> </w:t>
      </w:r>
      <w:r w:rsidRPr="00990D53">
        <w:rPr>
          <w:i/>
        </w:rPr>
        <w:t xml:space="preserve">Reid </w:t>
      </w:r>
      <w:r w:rsidR="000D520F" w:rsidRPr="00990D53">
        <w:rPr>
          <w:i/>
        </w:rPr>
        <w:t>przeciwko Zjednoczonemu Królestwu</w:t>
      </w:r>
      <w:r w:rsidR="000D520F" w:rsidRPr="00990D53">
        <w:t>, nr 50272/99, § 52, ETPCz</w:t>
      </w:r>
      <w:r w:rsidRPr="00990D53">
        <w:t xml:space="preserve"> </w:t>
      </w:r>
      <w:r w:rsidR="007115E0" w:rsidRPr="00990D53">
        <w:t> </w:t>
      </w:r>
      <w:r w:rsidRPr="00990D53">
        <w:t>2003</w:t>
      </w:r>
      <w:r w:rsidRPr="00990D53">
        <w:noBreakHyphen/>
        <w:t>IV).</w:t>
      </w:r>
    </w:p>
    <w:p w:rsidR="00B93543" w:rsidRPr="00990D53" w:rsidRDefault="00B93543" w:rsidP="00B3060D">
      <w:pPr>
        <w:pStyle w:val="ECHRPara"/>
        <w:rPr>
          <w:i/>
        </w:rPr>
      </w:pPr>
      <w:r w:rsidRPr="00990D53">
        <w:fldChar w:fldCharType="begin"/>
      </w:r>
      <w:r w:rsidRPr="00990D53">
        <w:instrText xml:space="preserve"> SEQ level0 \*arabic </w:instrText>
      </w:r>
      <w:r w:rsidRPr="00990D53">
        <w:fldChar w:fldCharType="separate"/>
      </w:r>
      <w:r w:rsidR="00A31FF5" w:rsidRPr="00990D53">
        <w:t>98</w:t>
      </w:r>
      <w:r w:rsidRPr="00990D53">
        <w:fldChar w:fldCharType="end"/>
      </w:r>
      <w:r w:rsidRPr="00990D53">
        <w:t>. </w:t>
      </w:r>
      <w:r w:rsidR="000D520F" w:rsidRPr="00990D53">
        <w:t xml:space="preserve">Władze krajowe mają pewną swobodę przy podejmowaniu decyzji o tym, czy osoba powinna zostać osadzona jako „chora umysłowo”, </w:t>
      </w:r>
      <w:r w:rsidR="00982FB1" w:rsidRPr="00990D53">
        <w:t xml:space="preserve">biorąc pod uwagę </w:t>
      </w:r>
      <w:r w:rsidR="009A347F" w:rsidRPr="00990D53">
        <w:t>meritum diagnozy klinicznej, która jest głównym czynnikiem podlegającym ocenie w poszczególnej sprawie; Zadanie</w:t>
      </w:r>
      <w:r w:rsidR="008D0FA7" w:rsidRPr="00990D53">
        <w:t>m</w:t>
      </w:r>
      <w:r w:rsidR="009A347F" w:rsidRPr="00990D53">
        <w:t xml:space="preserve"> Trybunału jest kontrola zgodności</w:t>
      </w:r>
      <w:r w:rsidR="00982FB1" w:rsidRPr="00990D53">
        <w:t xml:space="preserve"> podejmowanych przez te władze decyzji</w:t>
      </w:r>
      <w:r w:rsidR="009A347F" w:rsidRPr="00990D53">
        <w:t xml:space="preserve"> z Konwencją (zob.</w:t>
      </w:r>
      <w:r w:rsidRPr="00990D53">
        <w:t xml:space="preserve"> </w:t>
      </w:r>
      <w:r w:rsidRPr="00990D53">
        <w:rPr>
          <w:i/>
        </w:rPr>
        <w:t>Winterwerp</w:t>
      </w:r>
      <w:r w:rsidRPr="00990D53">
        <w:t xml:space="preserve">, </w:t>
      </w:r>
      <w:r w:rsidR="009A347F" w:rsidRPr="00990D53">
        <w:t>cyt. powyżej</w:t>
      </w:r>
      <w:r w:rsidRPr="00990D53">
        <w:t xml:space="preserve">, § 40; </w:t>
      </w:r>
      <w:r w:rsidRPr="00990D53">
        <w:rPr>
          <w:i/>
        </w:rPr>
        <w:t xml:space="preserve">X </w:t>
      </w:r>
      <w:r w:rsidR="009A347F" w:rsidRPr="00990D53">
        <w:rPr>
          <w:i/>
        </w:rPr>
        <w:t>przeciwko Zjednoczonemu Królestwu</w:t>
      </w:r>
      <w:r w:rsidRPr="00990D53">
        <w:t xml:space="preserve">, 5 </w:t>
      </w:r>
      <w:r w:rsidR="009A347F" w:rsidRPr="00990D53">
        <w:t>listopada</w:t>
      </w:r>
      <w:r w:rsidRPr="00990D53">
        <w:t xml:space="preserve"> 1981</w:t>
      </w:r>
      <w:r w:rsidR="009A347F" w:rsidRPr="00990D53">
        <w:t xml:space="preserve"> r., § 43, Serie A nr</w:t>
      </w:r>
      <w:r w:rsidRPr="00990D53">
        <w:t xml:space="preserve"> 46; </w:t>
      </w:r>
      <w:r w:rsidRPr="00990D53">
        <w:rPr>
          <w:i/>
        </w:rPr>
        <w:t xml:space="preserve">H.L. </w:t>
      </w:r>
      <w:r w:rsidR="009A347F" w:rsidRPr="00990D53">
        <w:rPr>
          <w:i/>
        </w:rPr>
        <w:t>przeciwko Zjednoczonemu Królestwu</w:t>
      </w:r>
      <w:r w:rsidR="009A347F" w:rsidRPr="00990D53">
        <w:t>, nr</w:t>
      </w:r>
      <w:r w:rsidRPr="00990D53">
        <w:t xml:space="preserve"> 45508/99, § 98, </w:t>
      </w:r>
      <w:r w:rsidR="009A347F" w:rsidRPr="00990D53">
        <w:t>ETPCz</w:t>
      </w:r>
      <w:r w:rsidRPr="00990D53">
        <w:t xml:space="preserve"> 2004</w:t>
      </w:r>
      <w:r w:rsidRPr="00990D53">
        <w:noBreakHyphen/>
        <w:t xml:space="preserve">IX; </w:t>
      </w:r>
      <w:r w:rsidR="009A347F" w:rsidRPr="00990D53">
        <w:t>oraz</w:t>
      </w:r>
      <w:r w:rsidRPr="00990D53">
        <w:t xml:space="preserve"> </w:t>
      </w:r>
      <w:r w:rsidRPr="00990D53">
        <w:rPr>
          <w:i/>
        </w:rPr>
        <w:t xml:space="preserve">S. </w:t>
      </w:r>
      <w:r w:rsidR="009A347F" w:rsidRPr="00990D53">
        <w:rPr>
          <w:i/>
        </w:rPr>
        <w:t>przeciwko Niemcom</w:t>
      </w:r>
      <w:r w:rsidR="009A347F" w:rsidRPr="00990D53">
        <w:t>, nr</w:t>
      </w:r>
      <w:r w:rsidRPr="00990D53">
        <w:t xml:space="preserve"> 3300/10, § 81, 28 </w:t>
      </w:r>
      <w:r w:rsidR="009A347F" w:rsidRPr="00990D53">
        <w:t xml:space="preserve">czerwca </w:t>
      </w:r>
      <w:r w:rsidRPr="00990D53">
        <w:t>2012</w:t>
      </w:r>
      <w:r w:rsidR="009A347F" w:rsidRPr="00990D53">
        <w:t xml:space="preserve"> r.</w:t>
      </w:r>
      <w:r w:rsidRPr="00990D53">
        <w:t xml:space="preserve">). </w:t>
      </w:r>
      <w:r w:rsidR="00982FB1" w:rsidRPr="00990D53">
        <w:t>W rezultacie zdiagnozowania u danej osoby choroby umysłowej</w:t>
      </w:r>
      <w:r w:rsidR="009A347F" w:rsidRPr="00990D53">
        <w:t xml:space="preserve"> zgodnie z art. 5 </w:t>
      </w:r>
      <w:r w:rsidR="009A347F" w:rsidRPr="00990D53">
        <w:rPr>
          <w:rFonts w:ascii="Times New Roman" w:hAnsi="Times New Roman" w:cs="Times New Roman"/>
        </w:rPr>
        <w:t>§</w:t>
      </w:r>
      <w:r w:rsidR="009A347F" w:rsidRPr="00990D53">
        <w:t xml:space="preserve"> 1 lit. e)</w:t>
      </w:r>
      <w:r w:rsidR="00A11828" w:rsidRPr="00990D53">
        <w:t xml:space="preserve">, </w:t>
      </w:r>
      <w:r w:rsidR="00982FB1" w:rsidRPr="00990D53">
        <w:t xml:space="preserve">stosuje się wobec niej środki pozbawiające wolności </w:t>
      </w:r>
      <w:r w:rsidR="00A11828" w:rsidRPr="00990D53">
        <w:t xml:space="preserve">(porównaj </w:t>
      </w:r>
      <w:r w:rsidRPr="00990D53">
        <w:rPr>
          <w:i/>
        </w:rPr>
        <w:t xml:space="preserve">Luberti </w:t>
      </w:r>
      <w:r w:rsidR="00A11828" w:rsidRPr="00990D53">
        <w:rPr>
          <w:i/>
        </w:rPr>
        <w:t>przeciwko Włochom,</w:t>
      </w:r>
      <w:r w:rsidRPr="00990D53">
        <w:t xml:space="preserve"> 23 </w:t>
      </w:r>
      <w:r w:rsidR="00A11828" w:rsidRPr="00990D53">
        <w:t>lutego 1984, § 28, Serie A nr</w:t>
      </w:r>
      <w:r w:rsidRPr="00990D53">
        <w:t xml:space="preserve"> 75</w:t>
      </w:r>
      <w:r w:rsidR="007C6CCE" w:rsidRPr="00990D53">
        <w:t>,</w:t>
      </w:r>
      <w:r w:rsidRPr="00990D53">
        <w:t xml:space="preserve"> </w:t>
      </w:r>
      <w:r w:rsidR="007D2756" w:rsidRPr="00990D53">
        <w:t xml:space="preserve">and </w:t>
      </w:r>
      <w:r w:rsidRPr="00990D53">
        <w:rPr>
          <w:i/>
        </w:rPr>
        <w:t xml:space="preserve">B </w:t>
      </w:r>
      <w:r w:rsidR="00A11828" w:rsidRPr="00990D53">
        <w:rPr>
          <w:i/>
        </w:rPr>
        <w:t>przeciwko Niemcom</w:t>
      </w:r>
      <w:r w:rsidR="00A11828" w:rsidRPr="00990D53">
        <w:t>, nr</w:t>
      </w:r>
      <w:r w:rsidR="007D2756" w:rsidRPr="00990D53">
        <w:t xml:space="preserve"> </w:t>
      </w:r>
      <w:r w:rsidRPr="00990D53">
        <w:t xml:space="preserve">61272/09, § 68, 19 </w:t>
      </w:r>
      <w:r w:rsidR="00A11828" w:rsidRPr="00990D53">
        <w:t>kwietnia</w:t>
      </w:r>
      <w:r w:rsidRPr="00990D53">
        <w:t xml:space="preserve"> 2012</w:t>
      </w:r>
      <w:r w:rsidR="00A11828" w:rsidRPr="00990D53">
        <w:t xml:space="preserve"> r.</w:t>
      </w:r>
      <w:r w:rsidRPr="00990D53">
        <w:t>).</w:t>
      </w:r>
    </w:p>
    <w:p w:rsidR="00B93543" w:rsidRPr="00990D53" w:rsidRDefault="00B93543" w:rsidP="00B3060D">
      <w:pPr>
        <w:pStyle w:val="ECHRPara"/>
      </w:pPr>
      <w:r w:rsidRPr="00990D53">
        <w:fldChar w:fldCharType="begin"/>
      </w:r>
      <w:r w:rsidRPr="00990D53">
        <w:instrText xml:space="preserve"> SEQ level0 \*arabic </w:instrText>
      </w:r>
      <w:r w:rsidRPr="00990D53">
        <w:fldChar w:fldCharType="separate"/>
      </w:r>
      <w:r w:rsidR="00A31FF5" w:rsidRPr="00990D53">
        <w:t>99</w:t>
      </w:r>
      <w:r w:rsidRPr="00990D53">
        <w:fldChar w:fldCharType="end"/>
      </w:r>
      <w:r w:rsidRPr="00990D53">
        <w:t>.  </w:t>
      </w:r>
      <w:r w:rsidR="00A11828" w:rsidRPr="00990D53">
        <w:t xml:space="preserve">Istnieje pewien związek pomiędzy przyczynami legalnego pozbawienia wolności a miejscem i warunkami </w:t>
      </w:r>
      <w:r w:rsidR="00982FB1" w:rsidRPr="00990D53">
        <w:t>jego odbywania</w:t>
      </w:r>
      <w:r w:rsidR="00A11828" w:rsidRPr="00990D53">
        <w:t xml:space="preserve">. W zasadzie „detencja” osoby jako osoby umysłowo chorej będzie „legalna” w rozumieniu art. 5 </w:t>
      </w:r>
      <w:r w:rsidR="00A11828" w:rsidRPr="00990D53">
        <w:rPr>
          <w:rFonts w:ascii="Times New Roman" w:hAnsi="Times New Roman" w:cs="Times New Roman"/>
        </w:rPr>
        <w:t>§</w:t>
      </w:r>
      <w:r w:rsidR="00A11828" w:rsidRPr="00990D53">
        <w:t xml:space="preserve"> 1 lit. e) jeśli odbywa się w szpitalu, klinice lub innej odpowiedniej </w:t>
      </w:r>
      <w:r w:rsidR="001C1DA8" w:rsidRPr="00990D53">
        <w:t>placówce</w:t>
      </w:r>
      <w:r w:rsidR="00A11828" w:rsidRPr="00990D53">
        <w:t xml:space="preserve"> (zob. </w:t>
      </w:r>
      <w:r w:rsidR="00782DFC" w:rsidRPr="00990D53">
        <w:t> </w:t>
      </w:r>
      <w:r w:rsidRPr="00990D53">
        <w:rPr>
          <w:i/>
        </w:rPr>
        <w:t xml:space="preserve">Hutchison </w:t>
      </w:r>
      <w:r w:rsidR="00782DFC" w:rsidRPr="00990D53">
        <w:rPr>
          <w:i/>
        </w:rPr>
        <w:t> </w:t>
      </w:r>
      <w:r w:rsidRPr="00990D53">
        <w:rPr>
          <w:i/>
        </w:rPr>
        <w:t>Reid</w:t>
      </w:r>
      <w:r w:rsidRPr="00990D53">
        <w:t xml:space="preserve">, </w:t>
      </w:r>
      <w:r w:rsidR="00A11828" w:rsidRPr="00990D53">
        <w:t>cyt. powyżej</w:t>
      </w:r>
      <w:r w:rsidRPr="00990D53">
        <w:t xml:space="preserve">, § 49; </w:t>
      </w:r>
      <w:r w:rsidRPr="00990D53">
        <w:rPr>
          <w:i/>
        </w:rPr>
        <w:t xml:space="preserve">Brand </w:t>
      </w:r>
      <w:r w:rsidR="00A11828" w:rsidRPr="00990D53">
        <w:rPr>
          <w:i/>
        </w:rPr>
        <w:t>przeciwko Holandii</w:t>
      </w:r>
      <w:r w:rsidR="00A11828" w:rsidRPr="00990D53">
        <w:t>, nr</w:t>
      </w:r>
      <w:r w:rsidR="009D068B" w:rsidRPr="00990D53">
        <w:t xml:space="preserve"> </w:t>
      </w:r>
      <w:r w:rsidR="00782DFC" w:rsidRPr="00990D53">
        <w:t> </w:t>
      </w:r>
      <w:r w:rsidR="009D068B" w:rsidRPr="00990D53">
        <w:t>49902/99, § 62, 11 </w:t>
      </w:r>
      <w:r w:rsidR="00A11828" w:rsidRPr="00990D53">
        <w:t>maja</w:t>
      </w:r>
      <w:r w:rsidRPr="00990D53">
        <w:t xml:space="preserve"> 2004; </w:t>
      </w:r>
      <w:r w:rsidRPr="00990D53">
        <w:rPr>
          <w:i/>
        </w:rPr>
        <w:t xml:space="preserve">Kallweit </w:t>
      </w:r>
      <w:r w:rsidR="00A11828" w:rsidRPr="00990D53">
        <w:rPr>
          <w:i/>
        </w:rPr>
        <w:t>przeciwko Niemcom</w:t>
      </w:r>
      <w:r w:rsidR="00A11828" w:rsidRPr="00990D53">
        <w:t>, nr</w:t>
      </w:r>
      <w:r w:rsidR="009E1BB9" w:rsidRPr="00990D53">
        <w:t xml:space="preserve"> 17792/07, §</w:t>
      </w:r>
      <w:r w:rsidR="00782DFC" w:rsidRPr="00990D53">
        <w:t> </w:t>
      </w:r>
      <w:r w:rsidRPr="00990D53">
        <w:t xml:space="preserve">46, 13 </w:t>
      </w:r>
      <w:r w:rsidR="00A11828" w:rsidRPr="00990D53">
        <w:t>stycznia</w:t>
      </w:r>
      <w:r w:rsidRPr="00990D53">
        <w:t xml:space="preserve"> 2011</w:t>
      </w:r>
      <w:r w:rsidR="00A11828" w:rsidRPr="00990D53">
        <w:t xml:space="preserve"> r.</w:t>
      </w:r>
      <w:r w:rsidR="007D2756" w:rsidRPr="00990D53">
        <w:t xml:space="preserve">; and </w:t>
      </w:r>
      <w:r w:rsidR="008860C4" w:rsidRPr="00990D53">
        <w:rPr>
          <w:i/>
        </w:rPr>
        <w:t xml:space="preserve">Glien </w:t>
      </w:r>
      <w:r w:rsidR="00A11828" w:rsidRPr="00990D53">
        <w:rPr>
          <w:i/>
          <w:snapToGrid w:val="0"/>
        </w:rPr>
        <w:t>przeciwko Niemcom</w:t>
      </w:r>
      <w:r w:rsidR="008860C4" w:rsidRPr="00990D53">
        <w:rPr>
          <w:snapToGrid w:val="0"/>
        </w:rPr>
        <w:t xml:space="preserve">, </w:t>
      </w:r>
      <w:r w:rsidR="00A11828" w:rsidRPr="00990D53">
        <w:t>nr</w:t>
      </w:r>
      <w:r w:rsidR="008860C4" w:rsidRPr="00990D53">
        <w:t xml:space="preserve"> 7345/12</w:t>
      </w:r>
      <w:r w:rsidR="008860C4" w:rsidRPr="00990D53">
        <w:rPr>
          <w:snapToGrid w:val="0"/>
        </w:rPr>
        <w:t xml:space="preserve">, § 75, 28 </w:t>
      </w:r>
      <w:r w:rsidR="00782DFC" w:rsidRPr="00990D53">
        <w:rPr>
          <w:snapToGrid w:val="0"/>
        </w:rPr>
        <w:t> </w:t>
      </w:r>
      <w:r w:rsidR="00A11828" w:rsidRPr="00990D53">
        <w:rPr>
          <w:snapToGrid w:val="0"/>
        </w:rPr>
        <w:t>listopada</w:t>
      </w:r>
      <w:r w:rsidR="008860C4" w:rsidRPr="00990D53">
        <w:rPr>
          <w:snapToGrid w:val="0"/>
        </w:rPr>
        <w:t xml:space="preserve"> 2013</w:t>
      </w:r>
      <w:r w:rsidR="00A11828" w:rsidRPr="00990D53">
        <w:rPr>
          <w:snapToGrid w:val="0"/>
        </w:rPr>
        <w:t xml:space="preserve"> r.</w:t>
      </w:r>
      <w:r w:rsidR="008860C4" w:rsidRPr="00990D53">
        <w:rPr>
          <w:snapToGrid w:val="0"/>
        </w:rPr>
        <w:t xml:space="preserve"> </w:t>
      </w:r>
      <w:r w:rsidR="00A11828" w:rsidRPr="00990D53">
        <w:rPr>
          <w:snapToGrid w:val="0"/>
        </w:rPr>
        <w:t>z dalszymi odniesieniami</w:t>
      </w:r>
      <w:r w:rsidRPr="00990D53">
        <w:t>).</w:t>
      </w:r>
    </w:p>
    <w:p w:rsidR="00990498" w:rsidRPr="00990D53" w:rsidRDefault="00990498" w:rsidP="00B3060D">
      <w:pPr>
        <w:ind w:firstLine="284"/>
        <w:rPr>
          <w:rFonts w:ascii="Times New Roman" w:eastAsia="Times New Roman" w:hAnsi="Times New Roman" w:cs="Times New Roman"/>
          <w:szCs w:val="20"/>
          <w:lang w:eastAsia="fr-FR"/>
        </w:rPr>
      </w:pPr>
      <w:r w:rsidRPr="00990D53">
        <w:rPr>
          <w:rFonts w:ascii="Times New Roman" w:eastAsia="Times New Roman" w:hAnsi="Times New Roman" w:cs="Times New Roman"/>
          <w:szCs w:val="20"/>
          <w:lang w:eastAsia="fr-FR"/>
        </w:rPr>
        <w:fldChar w:fldCharType="begin"/>
      </w:r>
      <w:r w:rsidRPr="00990D53">
        <w:rPr>
          <w:rFonts w:ascii="Times New Roman" w:eastAsia="Times New Roman" w:hAnsi="Times New Roman" w:cs="Times New Roman"/>
          <w:szCs w:val="20"/>
          <w:lang w:eastAsia="fr-FR"/>
        </w:rPr>
        <w:instrText xml:space="preserve"> SEQ level0 \*arabic </w:instrText>
      </w:r>
      <w:r w:rsidRPr="00990D53">
        <w:rPr>
          <w:rFonts w:ascii="Times New Roman" w:eastAsia="Times New Roman" w:hAnsi="Times New Roman" w:cs="Times New Roman"/>
          <w:szCs w:val="20"/>
          <w:lang w:eastAsia="fr-FR"/>
        </w:rPr>
        <w:fldChar w:fldCharType="separate"/>
      </w:r>
      <w:r w:rsidR="00A31FF5" w:rsidRPr="00990D53">
        <w:rPr>
          <w:rFonts w:ascii="Times New Roman" w:eastAsia="Times New Roman" w:hAnsi="Times New Roman" w:cs="Times New Roman"/>
          <w:szCs w:val="20"/>
          <w:lang w:eastAsia="fr-FR"/>
        </w:rPr>
        <w:t>100</w:t>
      </w:r>
      <w:r w:rsidRPr="00990D53">
        <w:rPr>
          <w:rFonts w:ascii="Times New Roman" w:eastAsia="Times New Roman" w:hAnsi="Times New Roman" w:cs="Times New Roman"/>
          <w:szCs w:val="20"/>
          <w:lang w:eastAsia="fr-FR"/>
        </w:rPr>
        <w:fldChar w:fldCharType="end"/>
      </w:r>
      <w:r w:rsidRPr="00990D53">
        <w:rPr>
          <w:rFonts w:ascii="Times New Roman" w:eastAsia="Times New Roman" w:hAnsi="Times New Roman" w:cs="Times New Roman"/>
          <w:szCs w:val="20"/>
          <w:lang w:eastAsia="fr-FR"/>
        </w:rPr>
        <w:t>. </w:t>
      </w:r>
      <w:r w:rsidR="00A11828" w:rsidRPr="00990D53">
        <w:rPr>
          <w:rFonts w:ascii="Times New Roman" w:eastAsia="Times New Roman" w:hAnsi="Times New Roman" w:cs="Times New Roman"/>
          <w:szCs w:val="20"/>
          <w:lang w:eastAsia="fr-FR"/>
        </w:rPr>
        <w:t xml:space="preserve">Co do znaczenia przyznanemu słowu „alkoholik” w świetle </w:t>
      </w:r>
      <w:r w:rsidR="0083616D" w:rsidRPr="00990D53">
        <w:rPr>
          <w:rFonts w:ascii="Times New Roman" w:eastAsia="Times New Roman" w:hAnsi="Times New Roman" w:cs="Times New Roman"/>
          <w:szCs w:val="20"/>
          <w:lang w:eastAsia="fr-FR"/>
        </w:rPr>
        <w:t xml:space="preserve">przedmiotu i celu </w:t>
      </w:r>
      <w:r w:rsidR="0083616D" w:rsidRPr="00990D53">
        <w:t xml:space="preserve">art. 5 </w:t>
      </w:r>
      <w:r w:rsidR="0083616D" w:rsidRPr="00990D53">
        <w:rPr>
          <w:rFonts w:ascii="Times New Roman" w:hAnsi="Times New Roman" w:cs="Times New Roman"/>
        </w:rPr>
        <w:t>§</w:t>
      </w:r>
      <w:r w:rsidR="0083616D" w:rsidRPr="00990D53">
        <w:t xml:space="preserve"> 1 lit. e) Konwencji, Trybunał powtarza, co </w:t>
      </w:r>
      <w:r w:rsidR="0083616D" w:rsidRPr="00990D53">
        <w:lastRenderedPageBreak/>
        <w:t>następuje. Przedmiotu i celu przepisu nie można interpretować w ten sposób, że dopuszcza detencj</w:t>
      </w:r>
      <w:r w:rsidR="007257CC" w:rsidRPr="00990D53">
        <w:t>ę</w:t>
      </w:r>
      <w:r w:rsidR="0083616D" w:rsidRPr="00990D53">
        <w:t xml:space="preserve"> „alkoholika” w sensi</w:t>
      </w:r>
      <w:r w:rsidR="008D0FA7" w:rsidRPr="00990D53">
        <w:t xml:space="preserve">e ograniczonym </w:t>
      </w:r>
      <w:r w:rsidR="007257CC" w:rsidRPr="00990D53">
        <w:t xml:space="preserve">do </w:t>
      </w:r>
      <w:r w:rsidR="008D0FA7" w:rsidRPr="00990D53">
        <w:t>os</w:t>
      </w:r>
      <w:r w:rsidR="007257CC" w:rsidRPr="00990D53">
        <w:t>ób</w:t>
      </w:r>
      <w:r w:rsidR="0083616D" w:rsidRPr="00990D53">
        <w:t xml:space="preserve"> </w:t>
      </w:r>
      <w:r w:rsidR="007257CC" w:rsidRPr="00990D53">
        <w:t xml:space="preserve">w </w:t>
      </w:r>
      <w:r w:rsidR="0083616D" w:rsidRPr="00990D53">
        <w:t>kliniczn</w:t>
      </w:r>
      <w:r w:rsidR="007257CC" w:rsidRPr="00990D53">
        <w:t xml:space="preserve">ym stanie „alkoholizmu”. </w:t>
      </w:r>
      <w:r w:rsidR="0083616D" w:rsidRPr="00990D53">
        <w:rPr>
          <w:rFonts w:ascii="Times New Roman" w:eastAsia="Times New Roman" w:hAnsi="Times New Roman" w:cs="Times New Roman"/>
          <w:szCs w:val="20"/>
          <w:lang w:eastAsia="fr-FR"/>
        </w:rPr>
        <w:t xml:space="preserve"> Osoby, które nie zostały klinicznie zdiagnozowane, ale których p</w:t>
      </w:r>
      <w:r w:rsidR="007257CC" w:rsidRPr="00990D53">
        <w:rPr>
          <w:rFonts w:ascii="Times New Roman" w:eastAsia="Times New Roman" w:hAnsi="Times New Roman" w:cs="Times New Roman"/>
          <w:szCs w:val="20"/>
          <w:lang w:eastAsia="fr-FR"/>
        </w:rPr>
        <w:t>ostepowanie</w:t>
      </w:r>
      <w:r w:rsidR="0083616D" w:rsidRPr="00990D53">
        <w:rPr>
          <w:rFonts w:ascii="Times New Roman" w:eastAsia="Times New Roman" w:hAnsi="Times New Roman" w:cs="Times New Roman"/>
          <w:szCs w:val="20"/>
          <w:lang w:eastAsia="fr-FR"/>
        </w:rPr>
        <w:t xml:space="preserve"> i zachowanie pod wpływem alkoholu stanowi zagrożenie dla porządku publicznego lub i</w:t>
      </w:r>
      <w:r w:rsidR="008D0FA7" w:rsidRPr="00990D53">
        <w:rPr>
          <w:rFonts w:ascii="Times New Roman" w:eastAsia="Times New Roman" w:hAnsi="Times New Roman" w:cs="Times New Roman"/>
          <w:szCs w:val="20"/>
          <w:lang w:eastAsia="fr-FR"/>
        </w:rPr>
        <w:t>ch samych, mogą zostać poddane dozorow</w:t>
      </w:r>
      <w:r w:rsidR="0083616D" w:rsidRPr="00990D53">
        <w:rPr>
          <w:rFonts w:ascii="Times New Roman" w:eastAsia="Times New Roman" w:hAnsi="Times New Roman" w:cs="Times New Roman"/>
          <w:szCs w:val="20"/>
          <w:lang w:eastAsia="fr-FR"/>
        </w:rPr>
        <w:t xml:space="preserve">i ze względu na ochronę bezpieczeństwa publicznego lub ich własnych interesów, takich jak zdrowie lub bezpieczeństwo osobiste. </w:t>
      </w:r>
      <w:r w:rsidR="0016293F" w:rsidRPr="00990D53">
        <w:rPr>
          <w:rFonts w:ascii="Times New Roman" w:eastAsia="Times New Roman" w:hAnsi="Times New Roman" w:cs="Times New Roman"/>
          <w:szCs w:val="20"/>
          <w:lang w:eastAsia="fr-FR"/>
        </w:rPr>
        <w:t>Mimo wszystko nie zezwala na detencję</w:t>
      </w:r>
      <w:r w:rsidR="0083616D" w:rsidRPr="00990D53">
        <w:rPr>
          <w:rFonts w:ascii="Times New Roman" w:eastAsia="Times New Roman" w:hAnsi="Times New Roman" w:cs="Times New Roman"/>
          <w:szCs w:val="20"/>
          <w:lang w:eastAsia="fr-FR"/>
        </w:rPr>
        <w:t xml:space="preserve"> osoby tylko ze względu na samo spożywanie</w:t>
      </w:r>
      <w:r w:rsidR="0016293F" w:rsidRPr="00990D53">
        <w:rPr>
          <w:rFonts w:ascii="Times New Roman" w:eastAsia="Times New Roman" w:hAnsi="Times New Roman" w:cs="Times New Roman"/>
          <w:szCs w:val="20"/>
          <w:lang w:eastAsia="fr-FR"/>
        </w:rPr>
        <w:t xml:space="preserve"> przez nią alkoholu</w:t>
      </w:r>
      <w:r w:rsidR="0083616D" w:rsidRPr="00990D53">
        <w:rPr>
          <w:rFonts w:ascii="Times New Roman" w:eastAsia="Times New Roman" w:hAnsi="Times New Roman" w:cs="Times New Roman"/>
          <w:szCs w:val="20"/>
          <w:lang w:eastAsia="fr-FR"/>
        </w:rPr>
        <w:t xml:space="preserve"> </w:t>
      </w:r>
      <w:r w:rsidR="0016293F" w:rsidRPr="00990D53">
        <w:rPr>
          <w:rFonts w:ascii="Times New Roman" w:eastAsia="Times New Roman" w:hAnsi="Times New Roman" w:cs="Times New Roman"/>
          <w:szCs w:val="20"/>
          <w:lang w:eastAsia="fr-FR"/>
        </w:rPr>
        <w:t>(zob.</w:t>
      </w:r>
      <w:r w:rsidR="009D068B" w:rsidRPr="00990D53">
        <w:rPr>
          <w:rFonts w:ascii="Times New Roman" w:eastAsia="Times New Roman" w:hAnsi="Times New Roman" w:cs="Times New Roman"/>
          <w:szCs w:val="20"/>
          <w:lang w:eastAsia="fr-FR"/>
        </w:rPr>
        <w:t> </w:t>
      </w:r>
      <w:r w:rsidRPr="00990D53">
        <w:rPr>
          <w:rFonts w:ascii="Times New Roman" w:eastAsia="Times New Roman" w:hAnsi="Times New Roman" w:cs="Times New Roman"/>
          <w:i/>
          <w:szCs w:val="20"/>
        </w:rPr>
        <w:t>Witold</w:t>
      </w:r>
      <w:r w:rsidR="009D068B" w:rsidRPr="00990D53">
        <w:rPr>
          <w:rFonts w:ascii="Times New Roman" w:eastAsia="Times New Roman" w:hAnsi="Times New Roman" w:cs="Times New Roman"/>
          <w:i/>
          <w:szCs w:val="20"/>
        </w:rPr>
        <w:t xml:space="preserve"> </w:t>
      </w:r>
      <w:r w:rsidRPr="00990D53">
        <w:rPr>
          <w:rFonts w:ascii="Times New Roman" w:eastAsia="Times New Roman" w:hAnsi="Times New Roman" w:cs="Times New Roman"/>
          <w:i/>
          <w:szCs w:val="20"/>
        </w:rPr>
        <w:t>Litwa</w:t>
      </w:r>
      <w:r w:rsidRPr="00990D53">
        <w:rPr>
          <w:rFonts w:ascii="Times New Roman" w:eastAsia="Times New Roman" w:hAnsi="Times New Roman" w:cs="Times New Roman"/>
          <w:szCs w:val="20"/>
        </w:rPr>
        <w:t xml:space="preserve">, </w:t>
      </w:r>
      <w:r w:rsidR="0016293F" w:rsidRPr="00990D53">
        <w:rPr>
          <w:rFonts w:ascii="Times New Roman" w:eastAsia="Times New Roman" w:hAnsi="Times New Roman" w:cs="Times New Roman"/>
          <w:szCs w:val="20"/>
        </w:rPr>
        <w:t>cyt. powyżej</w:t>
      </w:r>
      <w:r w:rsidRPr="00990D53">
        <w:rPr>
          <w:rFonts w:ascii="Times New Roman" w:eastAsia="Times New Roman" w:hAnsi="Times New Roman" w:cs="Times New Roman"/>
          <w:szCs w:val="20"/>
        </w:rPr>
        <w:t xml:space="preserve">, §§ 61-62; </w:t>
      </w:r>
      <w:r w:rsidRPr="00990D53">
        <w:rPr>
          <w:rFonts w:ascii="Times New Roman" w:eastAsia="Times New Roman" w:hAnsi="Times New Roman" w:cs="Times New Roman"/>
          <w:i/>
          <w:szCs w:val="20"/>
          <w:lang w:eastAsia="fr-FR"/>
        </w:rPr>
        <w:t xml:space="preserve">Hilda Hafsteinsdóttir </w:t>
      </w:r>
      <w:r w:rsidR="0016293F" w:rsidRPr="00990D53">
        <w:rPr>
          <w:rFonts w:ascii="Times New Roman" w:eastAsia="Times New Roman" w:hAnsi="Times New Roman" w:cs="Times New Roman"/>
          <w:i/>
          <w:szCs w:val="20"/>
          <w:lang w:eastAsia="fr-FR"/>
        </w:rPr>
        <w:t>przeciwko Islandii</w:t>
      </w:r>
      <w:r w:rsidR="0016293F" w:rsidRPr="00990D53">
        <w:rPr>
          <w:rFonts w:ascii="Times New Roman" w:eastAsia="Times New Roman" w:hAnsi="Times New Roman" w:cs="Times New Roman"/>
          <w:szCs w:val="20"/>
        </w:rPr>
        <w:t>, nr</w:t>
      </w:r>
      <w:r w:rsidRPr="00990D53">
        <w:rPr>
          <w:rFonts w:ascii="Times New Roman" w:eastAsia="Times New Roman" w:hAnsi="Times New Roman" w:cs="Times New Roman"/>
          <w:szCs w:val="20"/>
        </w:rPr>
        <w:t xml:space="preserve"> </w:t>
      </w:r>
      <w:r w:rsidRPr="00990D53">
        <w:rPr>
          <w:rFonts w:ascii="Times New Roman" w:eastAsia="Times New Roman" w:hAnsi="Times New Roman" w:cs="Times New Roman"/>
          <w:szCs w:val="20"/>
          <w:lang w:eastAsia="fr-FR"/>
        </w:rPr>
        <w:t>40905/98</w:t>
      </w:r>
      <w:r w:rsidRPr="00990D53">
        <w:rPr>
          <w:rFonts w:ascii="Times New Roman" w:eastAsia="Times New Roman" w:hAnsi="Times New Roman" w:cs="Times New Roman"/>
          <w:szCs w:val="20"/>
        </w:rPr>
        <w:t xml:space="preserve">, § 42, 8 </w:t>
      </w:r>
      <w:r w:rsidR="0016293F" w:rsidRPr="00990D53">
        <w:rPr>
          <w:rFonts w:ascii="Times New Roman" w:eastAsia="Times New Roman" w:hAnsi="Times New Roman" w:cs="Times New Roman"/>
          <w:szCs w:val="20"/>
        </w:rPr>
        <w:t>czerwca</w:t>
      </w:r>
      <w:r w:rsidRPr="00990D53">
        <w:rPr>
          <w:rFonts w:ascii="Times New Roman" w:eastAsia="Times New Roman" w:hAnsi="Times New Roman" w:cs="Times New Roman"/>
          <w:szCs w:val="20"/>
        </w:rPr>
        <w:t xml:space="preserve"> 2004</w:t>
      </w:r>
      <w:r w:rsidR="008860C4" w:rsidRPr="00990D53">
        <w:rPr>
          <w:rFonts w:ascii="Times New Roman" w:eastAsia="Times New Roman" w:hAnsi="Times New Roman" w:cs="Times New Roman"/>
          <w:szCs w:val="20"/>
        </w:rPr>
        <w:t xml:space="preserve">; </w:t>
      </w:r>
      <w:r w:rsidR="008860C4" w:rsidRPr="00990D53">
        <w:rPr>
          <w:i/>
        </w:rPr>
        <w:t>Kharin</w:t>
      </w:r>
      <w:r w:rsidR="008860C4" w:rsidRPr="00990D53">
        <w:t xml:space="preserve">, </w:t>
      </w:r>
      <w:r w:rsidR="0016293F" w:rsidRPr="00990D53">
        <w:t>cyt. powyżej</w:t>
      </w:r>
      <w:r w:rsidR="008860C4" w:rsidRPr="00990D53">
        <w:rPr>
          <w:snapToGrid w:val="0"/>
        </w:rPr>
        <w:t xml:space="preserve">, § 34; </w:t>
      </w:r>
      <w:r w:rsidR="0016293F" w:rsidRPr="00990D53">
        <w:rPr>
          <w:rFonts w:ascii="Times New Roman" w:eastAsia="Times New Roman" w:hAnsi="Times New Roman" w:cs="Times New Roman"/>
          <w:szCs w:val="20"/>
        </w:rPr>
        <w:t>oraz</w:t>
      </w:r>
      <w:r w:rsidR="008860C4" w:rsidRPr="00990D53">
        <w:rPr>
          <w:rFonts w:ascii="Times New Roman" w:eastAsia="Times New Roman" w:hAnsi="Times New Roman" w:cs="Times New Roman"/>
          <w:szCs w:val="20"/>
        </w:rPr>
        <w:t xml:space="preserve"> </w:t>
      </w:r>
      <w:r w:rsidR="0016293F" w:rsidRPr="00990D53">
        <w:rPr>
          <w:i/>
        </w:rPr>
        <w:t>S. przeciwko Niemcom,</w:t>
      </w:r>
      <w:r w:rsidR="007C6CCE" w:rsidRPr="00990D53">
        <w:rPr>
          <w:snapToGrid w:val="0"/>
          <w:szCs w:val="24"/>
        </w:rPr>
        <w:t xml:space="preserve"> </w:t>
      </w:r>
      <w:r w:rsidR="0016293F" w:rsidRPr="00990D53">
        <w:rPr>
          <w:snapToGrid w:val="0"/>
          <w:szCs w:val="24"/>
        </w:rPr>
        <w:t>cyt. powyżej</w:t>
      </w:r>
      <w:r w:rsidR="007C6CCE" w:rsidRPr="00990D53">
        <w:rPr>
          <w:snapToGrid w:val="0"/>
          <w:szCs w:val="24"/>
        </w:rPr>
        <w:t>,</w:t>
      </w:r>
      <w:r w:rsidR="008860C4" w:rsidRPr="00990D53">
        <w:rPr>
          <w:snapToGrid w:val="0"/>
          <w:szCs w:val="24"/>
        </w:rPr>
        <w:t xml:space="preserve"> § 83</w:t>
      </w:r>
      <w:r w:rsidRPr="00990D53">
        <w:rPr>
          <w:rFonts w:ascii="Times New Roman" w:eastAsia="Times New Roman" w:hAnsi="Times New Roman" w:cs="Times New Roman"/>
          <w:szCs w:val="20"/>
        </w:rPr>
        <w:t>)</w:t>
      </w:r>
      <w:r w:rsidRPr="00990D53">
        <w:rPr>
          <w:rFonts w:ascii="Times New Roman" w:eastAsia="Times New Roman" w:hAnsi="Times New Roman" w:cs="Times New Roman"/>
          <w:szCs w:val="20"/>
          <w:lang w:eastAsia="fr-FR"/>
        </w:rPr>
        <w:t>.</w:t>
      </w:r>
    </w:p>
    <w:p w:rsidR="00D24577" w:rsidRPr="00990D53" w:rsidRDefault="00493882" w:rsidP="00B3060D">
      <w:pPr>
        <w:pStyle w:val="ECHRPara"/>
      </w:pPr>
      <w:r w:rsidRPr="00990D53">
        <w:fldChar w:fldCharType="begin"/>
      </w:r>
      <w:r w:rsidRPr="00990D53">
        <w:instrText xml:space="preserve"> SEQ level0 \*arabic </w:instrText>
      </w:r>
      <w:r w:rsidRPr="00990D53">
        <w:fldChar w:fldCharType="separate"/>
      </w:r>
      <w:r w:rsidR="00A31FF5" w:rsidRPr="00990D53">
        <w:t>101</w:t>
      </w:r>
      <w:r w:rsidRPr="00990D53">
        <w:fldChar w:fldCharType="end"/>
      </w:r>
      <w:r w:rsidRPr="00990D53">
        <w:t>. </w:t>
      </w:r>
      <w:r w:rsidR="008D0FA7" w:rsidRPr="00990D53">
        <w:t>Aby pozbawienie wolności uznano za „legalne”, każdorazowo</w:t>
      </w:r>
      <w:r w:rsidR="0016293F" w:rsidRPr="00990D53">
        <w:t xml:space="preserve"> musi dodatkowo spełniać jeden z wyjątków wymienionych w </w:t>
      </w:r>
      <w:r w:rsidR="0016293F" w:rsidRPr="00990D53">
        <w:rPr>
          <w:rFonts w:ascii="Times New Roman" w:eastAsia="Times New Roman" w:hAnsi="Times New Roman" w:cs="Times New Roman"/>
          <w:szCs w:val="20"/>
          <w:lang w:eastAsia="fr-FR"/>
        </w:rPr>
        <w:t xml:space="preserve">art. 5 § 1 lit. od a) do f). </w:t>
      </w:r>
      <w:r w:rsidR="0016293F" w:rsidRPr="00990D53">
        <w:rPr>
          <w:rFonts w:ascii="Times New Roman" w:eastAsia="Times New Roman" w:hAnsi="Times New Roman" w:cs="Times New Roman"/>
          <w:szCs w:val="20"/>
          <w:lang w:eastAsia="en-GB"/>
        </w:rPr>
        <w:t>Jeżeli w sprawie chodzi o „legalność” detencji oraz przestrzeganie „procedury przewidzianej przez prawo”, Konwencja istotnie odwołuje się do prawa krajowego i stawia wymóg</w:t>
      </w:r>
      <w:r w:rsidR="0050185B" w:rsidRPr="00990D53">
        <w:rPr>
          <w:rFonts w:ascii="Times New Roman" w:eastAsia="Times New Roman" w:hAnsi="Times New Roman" w:cs="Times New Roman"/>
          <w:szCs w:val="20"/>
          <w:lang w:eastAsia="en-GB"/>
        </w:rPr>
        <w:t xml:space="preserve"> podporządkowania względem niego przepisów materialn</w:t>
      </w:r>
      <w:r w:rsidR="008D0FA7" w:rsidRPr="00990D53">
        <w:rPr>
          <w:rFonts w:ascii="Times New Roman" w:eastAsia="Times New Roman" w:hAnsi="Times New Roman" w:cs="Times New Roman"/>
          <w:szCs w:val="20"/>
          <w:lang w:eastAsia="en-GB"/>
        </w:rPr>
        <w:t xml:space="preserve">ych i proceduralnych (zobacz, </w:t>
      </w:r>
      <w:r w:rsidR="0050185B" w:rsidRPr="00990D53">
        <w:rPr>
          <w:rFonts w:ascii="Times New Roman" w:eastAsia="Times New Roman" w:hAnsi="Times New Roman" w:cs="Times New Roman"/>
          <w:szCs w:val="20"/>
          <w:lang w:eastAsia="en-GB"/>
        </w:rPr>
        <w:t>między innymi,</w:t>
      </w:r>
      <w:r w:rsidR="0016293F" w:rsidRPr="00990D53">
        <w:rPr>
          <w:rFonts w:ascii="Times New Roman" w:eastAsia="Times New Roman" w:hAnsi="Times New Roman" w:cs="Times New Roman"/>
          <w:szCs w:val="20"/>
          <w:lang w:eastAsia="en-GB"/>
        </w:rPr>
        <w:t xml:space="preserve"> </w:t>
      </w:r>
      <w:r w:rsidR="00D24577" w:rsidRPr="00990D53">
        <w:rPr>
          <w:rFonts w:ascii="Times New Roman" w:eastAsia="Times New Roman" w:hAnsi="Times New Roman" w:cs="Times New Roman"/>
          <w:i/>
          <w:szCs w:val="20"/>
        </w:rPr>
        <w:t xml:space="preserve">Erkalo </w:t>
      </w:r>
      <w:r w:rsidR="0050185B" w:rsidRPr="00990D53">
        <w:rPr>
          <w:rFonts w:ascii="Times New Roman" w:eastAsia="Times New Roman" w:hAnsi="Times New Roman" w:cs="Times New Roman"/>
          <w:i/>
          <w:szCs w:val="20"/>
        </w:rPr>
        <w:t>przeciwko Holandii</w:t>
      </w:r>
      <w:r w:rsidR="00D24577" w:rsidRPr="00990D53">
        <w:rPr>
          <w:rFonts w:ascii="Times New Roman" w:eastAsia="Times New Roman" w:hAnsi="Times New Roman" w:cs="Times New Roman"/>
          <w:szCs w:val="20"/>
        </w:rPr>
        <w:t xml:space="preserve">, 2 </w:t>
      </w:r>
      <w:r w:rsidR="0050185B" w:rsidRPr="00990D53">
        <w:rPr>
          <w:rFonts w:ascii="Times New Roman" w:eastAsia="Times New Roman" w:hAnsi="Times New Roman" w:cs="Times New Roman"/>
          <w:szCs w:val="20"/>
        </w:rPr>
        <w:t>września</w:t>
      </w:r>
      <w:r w:rsidR="00D24577" w:rsidRPr="00990D53">
        <w:rPr>
          <w:rFonts w:ascii="Times New Roman" w:eastAsia="Times New Roman" w:hAnsi="Times New Roman" w:cs="Times New Roman"/>
          <w:szCs w:val="20"/>
        </w:rPr>
        <w:t xml:space="preserve"> 1998</w:t>
      </w:r>
      <w:r w:rsidR="0050185B" w:rsidRPr="00990D53">
        <w:rPr>
          <w:rFonts w:ascii="Times New Roman" w:eastAsia="Times New Roman" w:hAnsi="Times New Roman" w:cs="Times New Roman"/>
          <w:szCs w:val="20"/>
        </w:rPr>
        <w:t xml:space="preserve"> r.</w:t>
      </w:r>
      <w:r w:rsidR="00D24577" w:rsidRPr="00990D53">
        <w:rPr>
          <w:rFonts w:ascii="Times New Roman" w:eastAsia="Times New Roman" w:hAnsi="Times New Roman" w:cs="Times New Roman"/>
          <w:szCs w:val="20"/>
        </w:rPr>
        <w:t xml:space="preserve">, § 52, </w:t>
      </w:r>
      <w:r w:rsidR="0050185B" w:rsidRPr="00990D53">
        <w:rPr>
          <w:rFonts w:ascii="Times New Roman" w:eastAsia="Times New Roman" w:hAnsi="Times New Roman" w:cs="Times New Roman"/>
          <w:i/>
          <w:szCs w:val="20"/>
        </w:rPr>
        <w:t>Raporty</w:t>
      </w:r>
      <w:r w:rsidR="00D24577" w:rsidRPr="00990D53">
        <w:rPr>
          <w:rFonts w:ascii="Times New Roman" w:eastAsia="Times New Roman" w:hAnsi="Times New Roman" w:cs="Times New Roman"/>
          <w:i/>
          <w:szCs w:val="20"/>
        </w:rPr>
        <w:t xml:space="preserve"> </w:t>
      </w:r>
      <w:r w:rsidR="00D24577" w:rsidRPr="00990D53">
        <w:rPr>
          <w:rFonts w:ascii="Times New Roman" w:eastAsia="Times New Roman" w:hAnsi="Times New Roman" w:cs="Times New Roman"/>
          <w:szCs w:val="20"/>
        </w:rPr>
        <w:t>1998</w:t>
      </w:r>
      <w:r w:rsidR="00D24577" w:rsidRPr="00990D53">
        <w:rPr>
          <w:rFonts w:ascii="Times New Roman" w:eastAsia="Times New Roman" w:hAnsi="Times New Roman" w:cs="Times New Roman"/>
          <w:szCs w:val="20"/>
        </w:rPr>
        <w:noBreakHyphen/>
        <w:t xml:space="preserve">VI; </w:t>
      </w:r>
      <w:r w:rsidR="00D24577" w:rsidRPr="00990D53">
        <w:rPr>
          <w:rFonts w:ascii="Times New Roman" w:eastAsia="Times New Roman" w:hAnsi="Times New Roman" w:cs="Times New Roman"/>
          <w:i/>
          <w:szCs w:val="20"/>
        </w:rPr>
        <w:t xml:space="preserve">Baranowski </w:t>
      </w:r>
      <w:r w:rsidR="0050185B" w:rsidRPr="00990D53">
        <w:rPr>
          <w:rFonts w:ascii="Times New Roman" w:eastAsia="Times New Roman" w:hAnsi="Times New Roman" w:cs="Times New Roman"/>
          <w:i/>
          <w:szCs w:val="20"/>
        </w:rPr>
        <w:t>przeciwko Polsce</w:t>
      </w:r>
      <w:r w:rsidR="0050185B" w:rsidRPr="00990D53">
        <w:rPr>
          <w:rFonts w:ascii="Times New Roman" w:eastAsia="Times New Roman" w:hAnsi="Times New Roman" w:cs="Times New Roman"/>
          <w:szCs w:val="20"/>
        </w:rPr>
        <w:t>, nr 28358/95, § 50, ETPCz</w:t>
      </w:r>
      <w:r w:rsidR="00D24577" w:rsidRPr="00990D53">
        <w:rPr>
          <w:rFonts w:ascii="Times New Roman" w:eastAsia="Times New Roman" w:hAnsi="Times New Roman" w:cs="Times New Roman"/>
          <w:szCs w:val="20"/>
        </w:rPr>
        <w:t> 2000</w:t>
      </w:r>
      <w:r w:rsidR="00D24577" w:rsidRPr="00990D53">
        <w:rPr>
          <w:rFonts w:ascii="Times New Roman" w:eastAsia="Times New Roman" w:hAnsi="Times New Roman" w:cs="Times New Roman"/>
          <w:szCs w:val="20"/>
        </w:rPr>
        <w:noBreakHyphen/>
        <w:t xml:space="preserve">III; </w:t>
      </w:r>
      <w:r w:rsidR="0050185B" w:rsidRPr="00990D53">
        <w:rPr>
          <w:rFonts w:ascii="Times New Roman" w:eastAsia="Times New Roman" w:hAnsi="Times New Roman" w:cs="Times New Roman"/>
          <w:szCs w:val="20"/>
        </w:rPr>
        <w:t>i</w:t>
      </w:r>
      <w:r w:rsidR="00A8253A" w:rsidRPr="00990D53">
        <w:rPr>
          <w:i/>
        </w:rPr>
        <w:t xml:space="preserve"> Saadi </w:t>
      </w:r>
      <w:r w:rsidR="0050185B" w:rsidRPr="00990D53">
        <w:rPr>
          <w:i/>
        </w:rPr>
        <w:t>przeciwko Zjednoczonemu Królestwu</w:t>
      </w:r>
      <w:r w:rsidR="0050185B" w:rsidRPr="00990D53">
        <w:t xml:space="preserve"> [WI], nr</w:t>
      </w:r>
      <w:r w:rsidR="00A8253A" w:rsidRPr="00990D53">
        <w:t xml:space="preserve"> 13229/03, </w:t>
      </w:r>
      <w:r w:rsidR="00A8253A" w:rsidRPr="00990D53">
        <w:rPr>
          <w:rFonts w:ascii="Times New Roman" w:eastAsia="Times New Roman" w:hAnsi="Times New Roman" w:cs="Times New Roman"/>
          <w:szCs w:val="20"/>
        </w:rPr>
        <w:t>§ 67</w:t>
      </w:r>
      <w:r w:rsidR="00A8253A" w:rsidRPr="00990D53">
        <w:t xml:space="preserve">, </w:t>
      </w:r>
      <w:r w:rsidR="0050185B" w:rsidRPr="00990D53">
        <w:t>ETPCz</w:t>
      </w:r>
      <w:r w:rsidR="00A8253A" w:rsidRPr="00990D53">
        <w:t xml:space="preserve"> 2008</w:t>
      </w:r>
      <w:r w:rsidR="00D24577" w:rsidRPr="00990D53">
        <w:rPr>
          <w:rFonts w:ascii="Times New Roman" w:eastAsia="Times New Roman" w:hAnsi="Times New Roman" w:cs="Times New Roman"/>
          <w:szCs w:val="20"/>
        </w:rPr>
        <w:t>)</w:t>
      </w:r>
      <w:r w:rsidR="00D24577" w:rsidRPr="00990D53">
        <w:rPr>
          <w:rFonts w:ascii="Times New Roman" w:eastAsia="Times New Roman" w:hAnsi="Times New Roman" w:cs="Times New Roman"/>
          <w:szCs w:val="20"/>
          <w:lang w:eastAsia="en-GB"/>
        </w:rPr>
        <w:t>.</w:t>
      </w:r>
    </w:p>
    <w:p w:rsidR="00D24577" w:rsidRPr="00990D53" w:rsidRDefault="00D24577" w:rsidP="00B3060D">
      <w:pPr>
        <w:ind w:firstLine="284"/>
        <w:rPr>
          <w:rFonts w:ascii="Times New Roman" w:eastAsia="Times New Roman" w:hAnsi="Times New Roman" w:cs="Times New Roman"/>
          <w:szCs w:val="20"/>
        </w:rPr>
      </w:pPr>
      <w:r w:rsidRPr="00990D53">
        <w:rPr>
          <w:rFonts w:ascii="Times New Roman" w:eastAsia="Times New Roman" w:hAnsi="Times New Roman" w:cs="Times New Roman"/>
          <w:szCs w:val="20"/>
          <w:lang w:eastAsia="fr-FR"/>
        </w:rPr>
        <w:fldChar w:fldCharType="begin"/>
      </w:r>
      <w:r w:rsidRPr="00990D53">
        <w:rPr>
          <w:rFonts w:ascii="Times New Roman" w:eastAsia="Times New Roman" w:hAnsi="Times New Roman" w:cs="Times New Roman"/>
          <w:szCs w:val="20"/>
          <w:lang w:eastAsia="fr-FR"/>
        </w:rPr>
        <w:instrText xml:space="preserve"> SEQ level0 \*arabic </w:instrText>
      </w:r>
      <w:r w:rsidRPr="00990D53">
        <w:rPr>
          <w:rFonts w:ascii="Times New Roman" w:eastAsia="Times New Roman" w:hAnsi="Times New Roman" w:cs="Times New Roman"/>
          <w:szCs w:val="20"/>
          <w:lang w:eastAsia="fr-FR"/>
        </w:rPr>
        <w:fldChar w:fldCharType="separate"/>
      </w:r>
      <w:r w:rsidR="00A31FF5" w:rsidRPr="00990D53">
        <w:rPr>
          <w:rFonts w:ascii="Times New Roman" w:eastAsia="Times New Roman" w:hAnsi="Times New Roman" w:cs="Times New Roman"/>
          <w:szCs w:val="20"/>
          <w:lang w:eastAsia="fr-FR"/>
        </w:rPr>
        <w:t>102</w:t>
      </w:r>
      <w:r w:rsidRPr="00990D53">
        <w:rPr>
          <w:rFonts w:ascii="Times New Roman" w:eastAsia="Times New Roman" w:hAnsi="Times New Roman" w:cs="Times New Roman"/>
          <w:szCs w:val="20"/>
          <w:lang w:eastAsia="fr-FR"/>
        </w:rPr>
        <w:fldChar w:fldCharType="end"/>
      </w:r>
      <w:r w:rsidRPr="00990D53">
        <w:rPr>
          <w:rFonts w:ascii="Times New Roman" w:eastAsia="Times New Roman" w:hAnsi="Times New Roman" w:cs="Times New Roman"/>
          <w:szCs w:val="20"/>
          <w:lang w:eastAsia="fr-FR"/>
        </w:rPr>
        <w:t>. </w:t>
      </w:r>
      <w:r w:rsidR="0050185B" w:rsidRPr="00990D53">
        <w:rPr>
          <w:rFonts w:ascii="Times New Roman" w:eastAsia="Times New Roman" w:hAnsi="Times New Roman" w:cs="Times New Roman"/>
          <w:szCs w:val="20"/>
          <w:lang w:eastAsia="fr-FR"/>
        </w:rPr>
        <w:t xml:space="preserve">Zgodność z prawem krajowym nie jest jednak wystarczająca: art. 5 § 1 wymaga, by jednostki były, przy każdym pozbawieniu wolności, chronione przed arbitralnością </w:t>
      </w:r>
      <w:r w:rsidR="0050185B" w:rsidRPr="00990D53">
        <w:rPr>
          <w:rFonts w:ascii="Times New Roman" w:eastAsia="Times New Roman" w:hAnsi="Times New Roman" w:cs="Courier New"/>
          <w:szCs w:val="20"/>
          <w:lang w:eastAsia="en-GB"/>
        </w:rPr>
        <w:t>(zobacz,</w:t>
      </w:r>
      <w:r w:rsidRPr="00990D53">
        <w:rPr>
          <w:rFonts w:ascii="Times New Roman" w:eastAsia="Times New Roman" w:hAnsi="Times New Roman" w:cs="Courier New"/>
          <w:szCs w:val="20"/>
          <w:lang w:eastAsia="en-GB"/>
        </w:rPr>
        <w:t xml:space="preserve"> </w:t>
      </w:r>
      <w:r w:rsidR="0050185B" w:rsidRPr="00990D53">
        <w:rPr>
          <w:rFonts w:ascii="Times New Roman" w:eastAsia="Times New Roman" w:hAnsi="Times New Roman" w:cs="Courier New"/>
          <w:szCs w:val="20"/>
          <w:lang w:eastAsia="en-GB"/>
        </w:rPr>
        <w:t>pomiędzy innymi</w:t>
      </w:r>
      <w:r w:rsidRPr="00990D53">
        <w:rPr>
          <w:rFonts w:ascii="Times New Roman" w:eastAsia="Times New Roman" w:hAnsi="Times New Roman" w:cs="Courier New"/>
          <w:szCs w:val="20"/>
          <w:lang w:eastAsia="en-GB"/>
        </w:rPr>
        <w:t xml:space="preserve">, </w:t>
      </w:r>
      <w:r w:rsidRPr="00990D53">
        <w:rPr>
          <w:rFonts w:ascii="Times New Roman" w:eastAsia="Times New Roman" w:hAnsi="Times New Roman" w:cs="Times New Roman"/>
          <w:i/>
          <w:szCs w:val="20"/>
        </w:rPr>
        <w:t>Winterwerp</w:t>
      </w:r>
      <w:r w:rsidRPr="00990D53">
        <w:rPr>
          <w:rFonts w:ascii="Times New Roman" w:eastAsia="Times New Roman" w:hAnsi="Times New Roman" w:cs="Times New Roman"/>
          <w:szCs w:val="20"/>
        </w:rPr>
        <w:t xml:space="preserve">, </w:t>
      </w:r>
      <w:r w:rsidR="0050185B" w:rsidRPr="00990D53">
        <w:rPr>
          <w:rFonts w:ascii="Times New Roman" w:eastAsia="Times New Roman" w:hAnsi="Times New Roman" w:cs="Times New Roman"/>
          <w:szCs w:val="20"/>
        </w:rPr>
        <w:t>cyt. powyżej</w:t>
      </w:r>
      <w:r w:rsidRPr="00990D53">
        <w:rPr>
          <w:rFonts w:ascii="Times New Roman" w:eastAsia="Times New Roman" w:hAnsi="Times New Roman" w:cs="Times New Roman"/>
          <w:szCs w:val="20"/>
        </w:rPr>
        <w:t>, §§ 37</w:t>
      </w:r>
      <w:r w:rsidR="007C6CCE" w:rsidRPr="00990D53">
        <w:rPr>
          <w:rFonts w:ascii="Times New Roman" w:eastAsia="Times New Roman" w:hAnsi="Times New Roman" w:cs="Times New Roman"/>
          <w:szCs w:val="20"/>
        </w:rPr>
        <w:t xml:space="preserve"> </w:t>
      </w:r>
      <w:r w:rsidR="0050185B" w:rsidRPr="00990D53">
        <w:rPr>
          <w:rFonts w:ascii="Times New Roman" w:eastAsia="Times New Roman" w:hAnsi="Times New Roman" w:cs="Times New Roman"/>
          <w:szCs w:val="20"/>
        </w:rPr>
        <w:t xml:space="preserve">i </w:t>
      </w:r>
      <w:r w:rsidRPr="00990D53">
        <w:rPr>
          <w:rFonts w:ascii="Times New Roman" w:eastAsia="Times New Roman" w:hAnsi="Times New Roman" w:cs="Times New Roman"/>
          <w:szCs w:val="20"/>
        </w:rPr>
        <w:t>45</w:t>
      </w:r>
      <w:r w:rsidRPr="00990D53">
        <w:rPr>
          <w:rFonts w:ascii="Times New Roman" w:eastAsia="Times New Roman" w:hAnsi="Times New Roman" w:cs="Courier New"/>
          <w:szCs w:val="20"/>
          <w:lang w:eastAsia="en-GB"/>
        </w:rPr>
        <w:t xml:space="preserve">; </w:t>
      </w:r>
      <w:r w:rsidRPr="00990D53">
        <w:rPr>
          <w:rFonts w:ascii="Times New Roman" w:eastAsia="Times New Roman" w:hAnsi="Times New Roman" w:cs="Times New Roman"/>
          <w:i/>
          <w:szCs w:val="20"/>
        </w:rPr>
        <w:t>Saadi</w:t>
      </w:r>
      <w:r w:rsidR="0050185B" w:rsidRPr="00990D53">
        <w:rPr>
          <w:rFonts w:ascii="Times New Roman" w:eastAsia="Times New Roman" w:hAnsi="Times New Roman" w:cs="Times New Roman"/>
          <w:i/>
          <w:szCs w:val="20"/>
        </w:rPr>
        <w:t xml:space="preserve">, </w:t>
      </w:r>
      <w:r w:rsidR="0050185B" w:rsidRPr="00990D53">
        <w:rPr>
          <w:rFonts w:ascii="Times New Roman" w:eastAsia="Times New Roman" w:hAnsi="Times New Roman" w:cs="Times New Roman"/>
          <w:szCs w:val="20"/>
        </w:rPr>
        <w:t>cyt. powyżej, § 67; oraz</w:t>
      </w:r>
      <w:r w:rsidR="008860C4" w:rsidRPr="00990D53">
        <w:rPr>
          <w:i/>
        </w:rPr>
        <w:t xml:space="preserve"> Reiner </w:t>
      </w:r>
      <w:r w:rsidR="0050185B" w:rsidRPr="00990D53">
        <w:rPr>
          <w:i/>
        </w:rPr>
        <w:t>przeciwko Niemcom</w:t>
      </w:r>
      <w:r w:rsidR="0050185B" w:rsidRPr="00990D53">
        <w:t>, nr</w:t>
      </w:r>
      <w:r w:rsidR="008860C4" w:rsidRPr="00990D53">
        <w:t xml:space="preserve"> 28527/08</w:t>
      </w:r>
      <w:r w:rsidR="008860C4" w:rsidRPr="00990D53">
        <w:rPr>
          <w:snapToGrid w:val="0"/>
          <w:szCs w:val="24"/>
        </w:rPr>
        <w:t xml:space="preserve">, § </w:t>
      </w:r>
      <w:r w:rsidR="00D31502" w:rsidRPr="00990D53">
        <w:rPr>
          <w:snapToGrid w:val="0"/>
          <w:szCs w:val="24"/>
        </w:rPr>
        <w:t>83</w:t>
      </w:r>
      <w:r w:rsidR="00101B4A" w:rsidRPr="00990D53">
        <w:rPr>
          <w:snapToGrid w:val="0"/>
          <w:szCs w:val="24"/>
        </w:rPr>
        <w:t>, 19 </w:t>
      </w:r>
      <w:r w:rsidR="0050185B" w:rsidRPr="00990D53">
        <w:rPr>
          <w:snapToGrid w:val="0"/>
          <w:szCs w:val="24"/>
        </w:rPr>
        <w:t>stycznia</w:t>
      </w:r>
      <w:r w:rsidR="008860C4" w:rsidRPr="00990D53">
        <w:rPr>
          <w:snapToGrid w:val="0"/>
          <w:szCs w:val="24"/>
        </w:rPr>
        <w:t xml:space="preserve"> 2012</w:t>
      </w:r>
      <w:r w:rsidRPr="00990D53">
        <w:rPr>
          <w:rFonts w:ascii="Times New Roman" w:eastAsia="Times New Roman" w:hAnsi="Times New Roman" w:cs="Times New Roman"/>
          <w:szCs w:val="20"/>
        </w:rPr>
        <w:t>).</w:t>
      </w:r>
    </w:p>
    <w:p w:rsidR="00DA6A72" w:rsidRPr="00990D53" w:rsidRDefault="00DA6A72" w:rsidP="00B3060D">
      <w:pPr>
        <w:pStyle w:val="ECHRHeading4"/>
        <w:rPr>
          <w:rFonts w:eastAsia="Times New Roman"/>
          <w:lang w:eastAsia="fr-FR"/>
        </w:rPr>
      </w:pPr>
      <w:r w:rsidRPr="00990D53">
        <w:rPr>
          <w:rFonts w:eastAsia="Times New Roman"/>
          <w:lang w:eastAsia="fr-FR"/>
        </w:rPr>
        <w:t>(b)  </w:t>
      </w:r>
      <w:r w:rsidR="0050185B" w:rsidRPr="00990D53">
        <w:rPr>
          <w:rFonts w:eastAsia="Times New Roman"/>
          <w:lang w:eastAsia="fr-FR"/>
        </w:rPr>
        <w:t>Stosowanie tych przepisów w niniejszej sprawie</w:t>
      </w:r>
    </w:p>
    <w:p w:rsidR="00E257D8" w:rsidRPr="00990D53" w:rsidRDefault="00E257D8" w:rsidP="00B3060D">
      <w:pPr>
        <w:pStyle w:val="ECHRHeading5"/>
      </w:pPr>
      <w:r w:rsidRPr="00990D53">
        <w:t>(i)  </w:t>
      </w:r>
      <w:r w:rsidR="0050185B" w:rsidRPr="00990D53">
        <w:t>Przyczyny pozbawienia wolności</w:t>
      </w:r>
    </w:p>
    <w:p w:rsidR="0050185B" w:rsidRPr="00990D53" w:rsidRDefault="00384A89" w:rsidP="00B3060D">
      <w:pPr>
        <w:pStyle w:val="ECHRPara"/>
      </w:pPr>
      <w:r w:rsidRPr="00990D53">
        <w:fldChar w:fldCharType="begin"/>
      </w:r>
      <w:r w:rsidRPr="00990D53">
        <w:instrText xml:space="preserve"> SEQ level0 \*arabic </w:instrText>
      </w:r>
      <w:r w:rsidRPr="00990D53">
        <w:fldChar w:fldCharType="separate"/>
      </w:r>
      <w:r w:rsidR="00A31FF5" w:rsidRPr="00990D53">
        <w:t>103</w:t>
      </w:r>
      <w:r w:rsidRPr="00990D53">
        <w:fldChar w:fldCharType="end"/>
      </w:r>
      <w:r w:rsidRPr="00990D53">
        <w:t>.  </w:t>
      </w:r>
      <w:r w:rsidR="0050185B" w:rsidRPr="00990D53">
        <w:t xml:space="preserve">Trybunał ma ustalić, czy detencja prewencyjna skarżącego w zakwestionowanym okresie była zgodna z prawem na mocy któregokolwiek z przepisów art. 5 </w:t>
      </w:r>
      <w:r w:rsidR="0050185B" w:rsidRPr="00990D53">
        <w:rPr>
          <w:rFonts w:ascii="Times New Roman" w:hAnsi="Times New Roman" w:cs="Times New Roman"/>
        </w:rPr>
        <w:t>§</w:t>
      </w:r>
      <w:r w:rsidR="0050185B" w:rsidRPr="00990D53">
        <w:t xml:space="preserve"> 1 lit. a) do f). </w:t>
      </w:r>
    </w:p>
    <w:p w:rsidR="00384A89" w:rsidRPr="00990D53" w:rsidRDefault="00384A89" w:rsidP="00B3060D">
      <w:pPr>
        <w:pStyle w:val="ECHRPara"/>
      </w:pPr>
      <w:r w:rsidRPr="00990D53">
        <w:fldChar w:fldCharType="begin"/>
      </w:r>
      <w:r w:rsidRPr="00990D53">
        <w:instrText xml:space="preserve"> SEQ level0 \*arabic </w:instrText>
      </w:r>
      <w:r w:rsidRPr="00990D53">
        <w:fldChar w:fldCharType="separate"/>
      </w:r>
      <w:r w:rsidR="00A31FF5" w:rsidRPr="00990D53">
        <w:t>104</w:t>
      </w:r>
      <w:r w:rsidRPr="00990D53">
        <w:fldChar w:fldCharType="end"/>
      </w:r>
      <w:r w:rsidRPr="00990D53">
        <w:t>.  </w:t>
      </w:r>
      <w:r w:rsidR="0050185B" w:rsidRPr="00990D53">
        <w:t xml:space="preserve">Trybunał stwierdza na początku, że </w:t>
      </w:r>
      <w:r w:rsidR="00684FA0" w:rsidRPr="00990D53">
        <w:t xml:space="preserve">skarżący został skazany oraz przebywał w detencji prewencyjnej </w:t>
      </w:r>
      <w:r w:rsidR="0050185B" w:rsidRPr="00990D53">
        <w:t>na mocy orzeczenia</w:t>
      </w:r>
      <w:r w:rsidR="00982FB1" w:rsidRPr="00990D53">
        <w:t xml:space="preserve"> wydanego w 1986 r.</w:t>
      </w:r>
      <w:r w:rsidR="00684FA0" w:rsidRPr="00990D53">
        <w:t xml:space="preserve"> przez</w:t>
      </w:r>
      <w:r w:rsidR="0050185B" w:rsidRPr="00990D53">
        <w:t xml:space="preserve"> </w:t>
      </w:r>
      <w:r w:rsidR="00684FA0" w:rsidRPr="00990D53">
        <w:t>Sąd Okręgowy</w:t>
      </w:r>
      <w:r w:rsidR="0050185B" w:rsidRPr="00990D53">
        <w:t xml:space="preserve"> w Hanoverze</w:t>
      </w:r>
      <w:r w:rsidR="00684FA0" w:rsidRPr="00990D53">
        <w:t xml:space="preserve">, ponad maksymalny okres dziesięciu lat, obowiązujący w chwili popełnienia przestępstw oraz wydania wyroku </w:t>
      </w:r>
      <w:r w:rsidR="00982FB1" w:rsidRPr="00990D53">
        <w:t>(</w:t>
      </w:r>
      <w:r w:rsidR="00684FA0" w:rsidRPr="00990D53">
        <w:t>(art. 67 lit. d) wówczas obowiązującego Kodeksu karnego, zob. par. 50 powyżej)</w:t>
      </w:r>
      <w:r w:rsidR="00982FB1" w:rsidRPr="00990D53">
        <w:t>)</w:t>
      </w:r>
      <w:r w:rsidR="00684FA0" w:rsidRPr="00990D53">
        <w:t xml:space="preserve">. Mając na uwadze ustalenia w sprawie </w:t>
      </w:r>
      <w:r w:rsidR="00B93660" w:rsidRPr="00990D53">
        <w:rPr>
          <w:i/>
        </w:rPr>
        <w:t xml:space="preserve">M. </w:t>
      </w:r>
      <w:r w:rsidR="00684FA0" w:rsidRPr="00990D53">
        <w:rPr>
          <w:i/>
        </w:rPr>
        <w:t>przeciwko Niemcom</w:t>
      </w:r>
      <w:r w:rsidR="00B93660" w:rsidRPr="00990D53">
        <w:t xml:space="preserve"> (</w:t>
      </w:r>
      <w:r w:rsidR="00684FA0" w:rsidRPr="00990D53">
        <w:t>cyt. powyżej</w:t>
      </w:r>
      <w:r w:rsidR="00B93660" w:rsidRPr="00990D53">
        <w:t xml:space="preserve">, §§ </w:t>
      </w:r>
      <w:r w:rsidR="00A9534D" w:rsidRPr="00990D53">
        <w:t>97-101</w:t>
      </w:r>
      <w:r w:rsidR="00B93660" w:rsidRPr="00990D53">
        <w:t xml:space="preserve">), </w:t>
      </w:r>
      <w:r w:rsidR="00684FA0" w:rsidRPr="00990D53">
        <w:t xml:space="preserve">Trybunał stwierdza, że detencja prewencyjna skarżącego nie może być uzasadniona na mocy art. 5 </w:t>
      </w:r>
      <w:r w:rsidR="00684FA0" w:rsidRPr="00990D53">
        <w:rPr>
          <w:rFonts w:ascii="Times New Roman" w:hAnsi="Times New Roman" w:cs="Times New Roman"/>
        </w:rPr>
        <w:t>§</w:t>
      </w:r>
      <w:r w:rsidR="00684FA0" w:rsidRPr="00990D53">
        <w:t xml:space="preserve"> 1 lit. a). Nie można jej uznać za detencję „po skazaniu” przez właściwy sąd, ze względu na brak </w:t>
      </w:r>
      <w:r w:rsidR="00684FA0" w:rsidRPr="00990D53">
        <w:lastRenderedPageBreak/>
        <w:t xml:space="preserve">powiązania skutkowego pomiędzy skazaniem skarżącego w roku 1986 a kontynuacją pozbawienia wolności. </w:t>
      </w:r>
    </w:p>
    <w:p w:rsidR="00963A87"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105</w:t>
      </w:r>
      <w:r w:rsidRPr="00990D53">
        <w:fldChar w:fldCharType="end"/>
      </w:r>
      <w:r w:rsidR="00963A87" w:rsidRPr="00990D53">
        <w:t>.  </w:t>
      </w:r>
      <w:r w:rsidR="00684FA0" w:rsidRPr="00990D53">
        <w:t>Trybun</w:t>
      </w:r>
      <w:r w:rsidR="00E023B4" w:rsidRPr="00990D53">
        <w:t xml:space="preserve">ał musi w związku z tym zbadać, czy zgodnie z twierdzeniem Rządu detencja prewencyjna skarżącego była uzasadniona na mocy art. 5 </w:t>
      </w:r>
      <w:r w:rsidR="00E023B4" w:rsidRPr="00990D53">
        <w:rPr>
          <w:rFonts w:ascii="Times New Roman" w:hAnsi="Times New Roman" w:cs="Times New Roman"/>
        </w:rPr>
        <w:t>§</w:t>
      </w:r>
      <w:r w:rsidR="00E023B4" w:rsidRPr="00990D53">
        <w:t xml:space="preserve"> 1</w:t>
      </w:r>
      <w:r w:rsidR="00982FB1" w:rsidRPr="00990D53">
        <w:t xml:space="preserve"> lit. e), bądź wręcz przeciwnie -</w:t>
      </w:r>
      <w:r w:rsidR="00E023B4" w:rsidRPr="00990D53">
        <w:t xml:space="preserve"> jak wnosi skarżący. </w:t>
      </w:r>
    </w:p>
    <w:p w:rsidR="00963A87" w:rsidRPr="00990D53" w:rsidRDefault="00963A87" w:rsidP="00B3060D">
      <w:pPr>
        <w:pStyle w:val="ECHRHeading6"/>
        <w:rPr>
          <w:rFonts w:eastAsia="Times New Roman"/>
          <w:lang w:eastAsia="fr-FR"/>
        </w:rPr>
      </w:pPr>
      <w:r w:rsidRPr="00990D53">
        <w:rPr>
          <w:rFonts w:eastAsia="Times New Roman"/>
          <w:lang w:eastAsia="fr-FR"/>
        </w:rPr>
        <w:t>(</w:t>
      </w:r>
      <w:r w:rsidR="00E257D8" w:rsidRPr="00990D53">
        <w:rPr>
          <w:rFonts w:eastAsia="Times New Roman" w:cstheme="majorHAnsi"/>
          <w:lang w:eastAsia="fr-FR"/>
        </w:rPr>
        <w:t>α</w:t>
      </w:r>
      <w:r w:rsidRPr="00990D53">
        <w:rPr>
          <w:rFonts w:eastAsia="Times New Roman"/>
          <w:lang w:eastAsia="fr-FR"/>
        </w:rPr>
        <w:t>)  </w:t>
      </w:r>
      <w:r w:rsidR="00E023B4" w:rsidRPr="00990D53">
        <w:rPr>
          <w:rFonts w:eastAsia="Times New Roman"/>
          <w:lang w:eastAsia="fr-FR"/>
        </w:rPr>
        <w:t>Detencja osoby „chorej psychicznie” lub „alkoholika”</w:t>
      </w:r>
      <w:r w:rsidRPr="00990D53">
        <w:rPr>
          <w:rFonts w:eastAsia="Times New Roman"/>
          <w:lang w:eastAsia="fr-FR"/>
        </w:rPr>
        <w:t xml:space="preserve"> </w:t>
      </w:r>
    </w:p>
    <w:p w:rsidR="00B73D1E" w:rsidRPr="00990D53" w:rsidRDefault="00963A87" w:rsidP="00B3060D">
      <w:pPr>
        <w:pStyle w:val="ECHRPara"/>
      </w:pPr>
      <w:r w:rsidRPr="00990D53">
        <w:fldChar w:fldCharType="begin"/>
      </w:r>
      <w:r w:rsidRPr="00990D53">
        <w:instrText xml:space="preserve"> SEQ level0 \*arabic </w:instrText>
      </w:r>
      <w:r w:rsidRPr="00990D53">
        <w:fldChar w:fldCharType="separate"/>
      </w:r>
      <w:r w:rsidR="00A31FF5" w:rsidRPr="00990D53">
        <w:t>106</w:t>
      </w:r>
      <w:r w:rsidRPr="00990D53">
        <w:fldChar w:fldCharType="end"/>
      </w:r>
      <w:r w:rsidRPr="00990D53">
        <w:t>. </w:t>
      </w:r>
      <w:r w:rsidR="00E023B4" w:rsidRPr="00990D53">
        <w:t xml:space="preserve">Trybunał wstępnie zbada, czy detencja skarżącego może być uzasadniona jako detencja osoby „chorej psychicznie” w rozumieniu art. 5 </w:t>
      </w:r>
      <w:r w:rsidR="00E023B4" w:rsidRPr="00990D53">
        <w:rPr>
          <w:rFonts w:ascii="Times New Roman" w:hAnsi="Times New Roman" w:cs="Times New Roman"/>
        </w:rPr>
        <w:t>§</w:t>
      </w:r>
      <w:r w:rsidR="00E023B4" w:rsidRPr="00990D53">
        <w:t xml:space="preserve"> 1 lit. e). Zgodnie z utrwalonym orzecznictwem Trybunału</w:t>
      </w:r>
      <w:r w:rsidRPr="00990D53">
        <w:t> </w:t>
      </w:r>
      <w:r w:rsidR="00E023B4" w:rsidRPr="00990D53">
        <w:t>(zob. paragrafy 96 i 98 powyżej), przed wydaniem postanowienia o kontynuacji detencji prewencyjnej należało udowodnić, że osoba jest chora psychicznie. Innymi słow</w:t>
      </w:r>
      <w:r w:rsidR="007257CC" w:rsidRPr="00990D53">
        <w:t>y</w:t>
      </w:r>
      <w:r w:rsidR="00E023B4" w:rsidRPr="00990D53">
        <w:t>, właściwa instytucja powinna ustalić istnienie rzeczywistego zaburzenia psychicznego</w:t>
      </w:r>
      <w:r w:rsidR="001A3BCC" w:rsidRPr="00990D53">
        <w:t xml:space="preserve"> na podstawie obiektywnej wiedzy medycznej.</w:t>
      </w:r>
      <w:r w:rsidR="00E023B4" w:rsidRPr="00990D53">
        <w:t xml:space="preserve">  </w:t>
      </w:r>
    </w:p>
    <w:p w:rsidR="001A3BCC"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107</w:t>
      </w:r>
      <w:r w:rsidRPr="00990D53">
        <w:fldChar w:fldCharType="end"/>
      </w:r>
      <w:r w:rsidR="00256345" w:rsidRPr="00990D53">
        <w:t>.  </w:t>
      </w:r>
      <w:r w:rsidR="001A3BCC" w:rsidRPr="00990D53">
        <w:t>Trybunał stwierdza, że Sąd Okręgowy w</w:t>
      </w:r>
      <w:r w:rsidR="005E6BA4" w:rsidRPr="00990D53">
        <w:t xml:space="preserve"> Lüneburg</w:t>
      </w:r>
      <w:r w:rsidR="001A3BCC" w:rsidRPr="00990D53">
        <w:t>u oraz Sąd Apelacyjny w Celle potwierdził ustalenia biegłych, że skarżący cierpiał na sadyzm i uznał to za for</w:t>
      </w:r>
      <w:r w:rsidR="008D0FA7" w:rsidRPr="00990D53">
        <w:t>m</w:t>
      </w:r>
      <w:r w:rsidR="001A3BCC" w:rsidRPr="00990D53">
        <w:t xml:space="preserve">ę zaburzenia psychicznego w rozumieniu zdania drugiego </w:t>
      </w:r>
      <w:r w:rsidR="007257CC" w:rsidRPr="00990D53">
        <w:t>paragrafu</w:t>
      </w:r>
      <w:r w:rsidR="001A3BCC" w:rsidRPr="00990D53">
        <w:t xml:space="preserve"> </w:t>
      </w:r>
      <w:r w:rsidR="00E76412" w:rsidRPr="00990D53">
        <w:t xml:space="preserve">316f(2) </w:t>
      </w:r>
      <w:r w:rsidR="001A3BCC" w:rsidRPr="00990D53">
        <w:t>Ustawy Wprowadzającej Kodeks karn</w:t>
      </w:r>
      <w:r w:rsidR="007257CC" w:rsidRPr="00990D53">
        <w:t>y</w:t>
      </w:r>
      <w:r w:rsidR="001A3BCC" w:rsidRPr="00990D53">
        <w:t xml:space="preserve"> oraz sekcji 1 </w:t>
      </w:r>
      <w:r w:rsidR="00CF2A4A" w:rsidRPr="00990D53">
        <w:t>(</w:t>
      </w:r>
      <w:r w:rsidR="001A3BCC" w:rsidRPr="00990D53">
        <w:t>1</w:t>
      </w:r>
      <w:r w:rsidR="00CF2A4A" w:rsidRPr="00990D53">
        <w:t>)</w:t>
      </w:r>
      <w:r w:rsidR="001A3BCC" w:rsidRPr="00990D53">
        <w:t xml:space="preserve"> Ustawy o Terapii Detencyjnej (zob. par. 17 i 23 powyżej). </w:t>
      </w:r>
    </w:p>
    <w:p w:rsidR="00CF21A6"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108</w:t>
      </w:r>
      <w:r w:rsidRPr="00990D53">
        <w:fldChar w:fldCharType="end"/>
      </w:r>
      <w:r w:rsidR="00242688" w:rsidRPr="00990D53">
        <w:t>. </w:t>
      </w:r>
      <w:r w:rsidR="001A3BCC" w:rsidRPr="00990D53">
        <w:t xml:space="preserve">Przy ustalaniu, czy sądy krajowe mogły </w:t>
      </w:r>
      <w:r w:rsidR="0082461D" w:rsidRPr="00990D53">
        <w:t xml:space="preserve">w ten sposób ustalić, czy </w:t>
      </w:r>
      <w:r w:rsidR="001A3BCC" w:rsidRPr="00990D53">
        <w:t xml:space="preserve">skarżący cierpiał na zaburzenie psychiczne w rozumieniu art. 5 </w:t>
      </w:r>
      <w:r w:rsidR="001A3BCC" w:rsidRPr="00990D53">
        <w:rPr>
          <w:rFonts w:ascii="Times New Roman" w:hAnsi="Times New Roman" w:cs="Times New Roman"/>
        </w:rPr>
        <w:t>§</w:t>
      </w:r>
      <w:r w:rsidR="001A3BCC" w:rsidRPr="00990D53">
        <w:t xml:space="preserve"> 1 lit. e), Trybunał stwierdza, że na mocy nowe</w:t>
      </w:r>
      <w:r w:rsidR="0082461D" w:rsidRPr="00990D53">
        <w:t>j</w:t>
      </w:r>
      <w:r w:rsidR="001A3BCC" w:rsidRPr="00990D53">
        <w:t xml:space="preserve"> </w:t>
      </w:r>
      <w:r w:rsidR="00CF2A4A" w:rsidRPr="00990D53">
        <w:t xml:space="preserve">paragrafu </w:t>
      </w:r>
      <w:r w:rsidR="00E76412" w:rsidRPr="00990D53">
        <w:t>316f(2)</w:t>
      </w:r>
      <w:r w:rsidR="001A3BCC" w:rsidRPr="00990D53">
        <w:t>, zdanie drugie Ustawy Wprowadzającej Kodeks karn</w:t>
      </w:r>
      <w:r w:rsidR="00CF2A4A" w:rsidRPr="00990D53">
        <w:t>y</w:t>
      </w:r>
      <w:r w:rsidR="001A3BCC" w:rsidRPr="00990D53">
        <w:t xml:space="preserve">, sądy orzekające mogły postanowić o kontynuacji detencji prewencyjnej skarżącego tylko </w:t>
      </w:r>
      <w:r w:rsidR="0082461D" w:rsidRPr="00990D53">
        <w:t>wówczas</w:t>
      </w:r>
      <w:r w:rsidR="001A3BCC" w:rsidRPr="00990D53">
        <w:t>,</w:t>
      </w:r>
      <w:r w:rsidR="0082461D" w:rsidRPr="00990D53">
        <w:t xml:space="preserve"> gdy,</w:t>
      </w:r>
      <w:r w:rsidR="001A3BCC" w:rsidRPr="00990D53">
        <w:t xml:space="preserve"> nie licząc innych wymagań, uznano go za osobę cierpiącą na zaburzenia psychiczne.</w:t>
      </w:r>
      <w:r w:rsidR="003A1B83" w:rsidRPr="00990D53">
        <w:t xml:space="preserve"> </w:t>
      </w:r>
      <w:r w:rsidR="001A3BCC" w:rsidRPr="00990D53">
        <w:t xml:space="preserve">Ten warunek został przyjęty na mocy zaostrzonych standardów wyznaczonych przez Federalny Trybunał Konstytucyjny w wyroku z 4 maja 2011 r. o kontynuacji retrospektywnie przedłużonej detencji prewencyjnej (zob. par. 68 powyżej). </w:t>
      </w:r>
    </w:p>
    <w:p w:rsidR="00CF21A6" w:rsidRPr="00990D53" w:rsidRDefault="006C5064" w:rsidP="00B3060D">
      <w:pPr>
        <w:pStyle w:val="ECHRPara"/>
        <w:rPr>
          <w:i/>
        </w:rPr>
      </w:pPr>
      <w:r w:rsidRPr="00990D53">
        <w:fldChar w:fldCharType="begin"/>
      </w:r>
      <w:r w:rsidRPr="00990D53">
        <w:instrText xml:space="preserve"> SEQ level0 \*arabic </w:instrText>
      </w:r>
      <w:r w:rsidRPr="00990D53">
        <w:fldChar w:fldCharType="separate"/>
      </w:r>
      <w:r w:rsidR="00A31FF5" w:rsidRPr="00990D53">
        <w:t>109</w:t>
      </w:r>
      <w:r w:rsidRPr="00990D53">
        <w:fldChar w:fldCharType="end"/>
      </w:r>
      <w:r w:rsidRPr="00990D53">
        <w:t>.  </w:t>
      </w:r>
      <w:r w:rsidR="001A3BCC" w:rsidRPr="00990D53">
        <w:t xml:space="preserve">Sądy krajowe nie musiały tylko wykazywać, na mocy art. 67  d </w:t>
      </w:r>
      <w:r w:rsidR="001A3BCC" w:rsidRPr="00990D53">
        <w:rPr>
          <w:rFonts w:ascii="Times New Roman" w:hAnsi="Times New Roman" w:cs="Times New Roman"/>
        </w:rPr>
        <w:t>§</w:t>
      </w:r>
      <w:r w:rsidR="001A3BCC" w:rsidRPr="00990D53">
        <w:t xml:space="preserve"> 3 Kodeksu karnego (zob. par. 51 powyżej), czy istniało ryz</w:t>
      </w:r>
      <w:r w:rsidR="00446816" w:rsidRPr="00990D53">
        <w:t xml:space="preserve">yko, </w:t>
      </w:r>
      <w:r w:rsidR="0082461D" w:rsidRPr="00990D53">
        <w:t xml:space="preserve">mając na uwadze prognozę kryminalną danej osoby, </w:t>
      </w:r>
      <w:r w:rsidR="00446816" w:rsidRPr="00990D53">
        <w:t xml:space="preserve">że </w:t>
      </w:r>
      <w:r w:rsidR="0082461D" w:rsidRPr="00990D53">
        <w:t xml:space="preserve">w razie zwolnienia </w:t>
      </w:r>
      <w:r w:rsidR="00446816" w:rsidRPr="00990D53">
        <w:t xml:space="preserve">powróciłaby </w:t>
      </w:r>
      <w:r w:rsidR="0082461D" w:rsidRPr="00990D53">
        <w:t>ona do przestępstwa bez względu na to, czy było</w:t>
      </w:r>
      <w:r w:rsidR="00982FB1" w:rsidRPr="00990D53">
        <w:t>by</w:t>
      </w:r>
      <w:r w:rsidR="00446816" w:rsidRPr="00990D53">
        <w:t xml:space="preserve"> wynikiem jej stanu psychicznego czy też nie (zob. w związku z tym </w:t>
      </w:r>
      <w:r w:rsidRPr="00990D53">
        <w:rPr>
          <w:i/>
        </w:rPr>
        <w:t>Kallweit</w:t>
      </w:r>
      <w:r w:rsidRPr="00990D53">
        <w:t xml:space="preserve">, </w:t>
      </w:r>
      <w:r w:rsidR="00446816" w:rsidRPr="00990D53">
        <w:t>cyt. powyżej</w:t>
      </w:r>
      <w:r w:rsidRPr="00990D53">
        <w:rPr>
          <w:snapToGrid w:val="0"/>
        </w:rPr>
        <w:t xml:space="preserve">, § </w:t>
      </w:r>
      <w:r w:rsidR="00D41E24" w:rsidRPr="00990D53">
        <w:rPr>
          <w:snapToGrid w:val="0"/>
        </w:rPr>
        <w:t xml:space="preserve">56; </w:t>
      </w:r>
      <w:r w:rsidR="00D41E24" w:rsidRPr="00990D53">
        <w:rPr>
          <w:i/>
        </w:rPr>
        <w:t xml:space="preserve">O.H. </w:t>
      </w:r>
      <w:r w:rsidR="00446816" w:rsidRPr="00990D53">
        <w:rPr>
          <w:i/>
        </w:rPr>
        <w:t>przeciwko Niemcom</w:t>
      </w:r>
      <w:r w:rsidR="00446816" w:rsidRPr="00990D53">
        <w:t>, nr</w:t>
      </w:r>
      <w:r w:rsidR="00D41E24" w:rsidRPr="00990D53">
        <w:t xml:space="preserve"> 4646/08</w:t>
      </w:r>
      <w:r w:rsidR="00D41E24" w:rsidRPr="00990D53">
        <w:rPr>
          <w:snapToGrid w:val="0"/>
          <w:szCs w:val="24"/>
        </w:rPr>
        <w:t xml:space="preserve">, § 86, 24 </w:t>
      </w:r>
      <w:r w:rsidR="00446816" w:rsidRPr="00990D53">
        <w:rPr>
          <w:snapToGrid w:val="0"/>
          <w:szCs w:val="24"/>
        </w:rPr>
        <w:t>listopada</w:t>
      </w:r>
      <w:r w:rsidR="00D41E24" w:rsidRPr="00990D53">
        <w:rPr>
          <w:snapToGrid w:val="0"/>
          <w:szCs w:val="24"/>
        </w:rPr>
        <w:t xml:space="preserve"> 2011</w:t>
      </w:r>
      <w:r w:rsidR="00982FB1" w:rsidRPr="00990D53">
        <w:rPr>
          <w:snapToGrid w:val="0"/>
          <w:szCs w:val="24"/>
        </w:rPr>
        <w:t xml:space="preserve"> r.</w:t>
      </w:r>
      <w:r w:rsidR="00D41E24" w:rsidRPr="00990D53">
        <w:rPr>
          <w:snapToGrid w:val="0"/>
          <w:szCs w:val="24"/>
        </w:rPr>
        <w:t xml:space="preserve">; </w:t>
      </w:r>
      <w:r w:rsidR="00446816" w:rsidRPr="00990D53">
        <w:rPr>
          <w:snapToGrid w:val="0"/>
          <w:szCs w:val="24"/>
        </w:rPr>
        <w:t>oraz</w:t>
      </w:r>
      <w:r w:rsidR="00D41E24" w:rsidRPr="00990D53">
        <w:rPr>
          <w:snapToGrid w:val="0"/>
          <w:szCs w:val="24"/>
        </w:rPr>
        <w:t xml:space="preserve"> </w:t>
      </w:r>
      <w:r w:rsidR="00D41E24" w:rsidRPr="00990D53">
        <w:rPr>
          <w:i/>
        </w:rPr>
        <w:t xml:space="preserve">Kronfeldner </w:t>
      </w:r>
      <w:r w:rsidR="00446816" w:rsidRPr="00990D53">
        <w:rPr>
          <w:i/>
        </w:rPr>
        <w:t>przeciwko Niemcom</w:t>
      </w:r>
      <w:r w:rsidR="00446816" w:rsidRPr="00990D53">
        <w:t>, nr</w:t>
      </w:r>
      <w:r w:rsidR="00D41E24" w:rsidRPr="00990D53">
        <w:t xml:space="preserve"> 21906/09</w:t>
      </w:r>
      <w:r w:rsidR="00D41E24" w:rsidRPr="00990D53">
        <w:rPr>
          <w:snapToGrid w:val="0"/>
          <w:szCs w:val="24"/>
        </w:rPr>
        <w:t xml:space="preserve">, § 79, 19 </w:t>
      </w:r>
      <w:r w:rsidR="00446816" w:rsidRPr="00990D53">
        <w:rPr>
          <w:snapToGrid w:val="0"/>
          <w:szCs w:val="24"/>
        </w:rPr>
        <w:t>stycznia</w:t>
      </w:r>
      <w:r w:rsidR="00D41E24" w:rsidRPr="00990D53">
        <w:rPr>
          <w:snapToGrid w:val="0"/>
          <w:szCs w:val="24"/>
        </w:rPr>
        <w:t xml:space="preserve"> 2012</w:t>
      </w:r>
      <w:r w:rsidR="00982FB1" w:rsidRPr="00990D53">
        <w:rPr>
          <w:snapToGrid w:val="0"/>
          <w:szCs w:val="24"/>
        </w:rPr>
        <w:t xml:space="preserve"> r.</w:t>
      </w:r>
      <w:r w:rsidR="00D41E24" w:rsidRPr="00990D53">
        <w:rPr>
          <w:snapToGrid w:val="0"/>
          <w:szCs w:val="24"/>
        </w:rPr>
        <w:t xml:space="preserve">). </w:t>
      </w:r>
      <w:r w:rsidR="0082461D" w:rsidRPr="00990D53">
        <w:rPr>
          <w:snapToGrid w:val="0"/>
          <w:szCs w:val="24"/>
        </w:rPr>
        <w:t>Sądy b</w:t>
      </w:r>
      <w:r w:rsidR="00446816" w:rsidRPr="00990D53">
        <w:rPr>
          <w:snapToGrid w:val="0"/>
          <w:szCs w:val="24"/>
        </w:rPr>
        <w:t xml:space="preserve">yły zobowiązane do ustalenia, czy osadzony cierpiał na zaburzenie psychiczne, </w:t>
      </w:r>
      <w:r w:rsidR="0082461D" w:rsidRPr="00990D53">
        <w:rPr>
          <w:snapToGrid w:val="0"/>
          <w:szCs w:val="24"/>
        </w:rPr>
        <w:t>przez które</w:t>
      </w:r>
      <w:r w:rsidR="00446816" w:rsidRPr="00990D53">
        <w:rPr>
          <w:snapToGrid w:val="0"/>
          <w:szCs w:val="24"/>
        </w:rPr>
        <w:t xml:space="preserve"> popełniłby najbardziej poważne przestępstwa z użyciem przemocy lub na tle seksualnym (zob. w związku z tym </w:t>
      </w:r>
      <w:r w:rsidR="00D44B84" w:rsidRPr="00990D53">
        <w:rPr>
          <w:i/>
        </w:rPr>
        <w:t>Glien</w:t>
      </w:r>
      <w:r w:rsidR="00D44B84" w:rsidRPr="00990D53">
        <w:rPr>
          <w:snapToGrid w:val="0"/>
        </w:rPr>
        <w:t xml:space="preserve">, </w:t>
      </w:r>
      <w:r w:rsidR="00446816" w:rsidRPr="00990D53">
        <w:t>cyt. powyżej</w:t>
      </w:r>
      <w:r w:rsidR="00D44B84" w:rsidRPr="00990D53">
        <w:rPr>
          <w:snapToGrid w:val="0"/>
        </w:rPr>
        <w:t>, § 80</w:t>
      </w:r>
      <w:r w:rsidR="00D44B84" w:rsidRPr="00990D53">
        <w:t>).</w:t>
      </w:r>
    </w:p>
    <w:p w:rsidR="00561AFE" w:rsidRPr="00990D53" w:rsidRDefault="00D44B84" w:rsidP="00B3060D">
      <w:pPr>
        <w:pStyle w:val="ECHRPara"/>
      </w:pPr>
      <w:r w:rsidRPr="00990D53">
        <w:fldChar w:fldCharType="begin"/>
      </w:r>
      <w:r w:rsidRPr="00990D53">
        <w:instrText xml:space="preserve"> SEQ level0 \*arabic </w:instrText>
      </w:r>
      <w:r w:rsidRPr="00990D53">
        <w:fldChar w:fldCharType="separate"/>
      </w:r>
      <w:r w:rsidR="00A31FF5" w:rsidRPr="00990D53">
        <w:t>110</w:t>
      </w:r>
      <w:r w:rsidRPr="00990D53">
        <w:fldChar w:fldCharType="end"/>
      </w:r>
      <w:r w:rsidRPr="00990D53">
        <w:t>. </w:t>
      </w:r>
      <w:r w:rsidR="00446816" w:rsidRPr="00990D53">
        <w:t>Trybunał jest usatysfakcjonowany, że sądy krajowe podczas postępowań były kompetentnymi</w:t>
      </w:r>
      <w:r w:rsidR="00982FB1" w:rsidRPr="00990D53">
        <w:t xml:space="preserve"> organami</w:t>
      </w:r>
      <w:r w:rsidR="00446816" w:rsidRPr="00990D53">
        <w:t xml:space="preserve">, które ustaliły, że skarżący cierpiał na zaburzenie psychiczne w znaczeniu określonym przez obowiązujące prawo krajowe. Wnioski sądów opierały się na ostatnim </w:t>
      </w:r>
      <w:r w:rsidR="00AC1D5E" w:rsidRPr="00990D53">
        <w:t xml:space="preserve"> </w:t>
      </w:r>
      <w:r w:rsidR="00446816" w:rsidRPr="00990D53">
        <w:lastRenderedPageBreak/>
        <w:t>raporcie opracowanym w dniu 8 czerwca 2013 r. przez zewnętrznych biegłych z zakresu psychiatrii i w związku z tym opierały się na obiektywnej wiedzy medycznej</w:t>
      </w:r>
      <w:r w:rsidR="00186110" w:rsidRPr="00990D53">
        <w:t>.</w:t>
      </w:r>
    </w:p>
    <w:p w:rsidR="006C4523" w:rsidRPr="00990D53" w:rsidRDefault="00A91662" w:rsidP="00B3060D">
      <w:pPr>
        <w:pStyle w:val="ECHRPara"/>
        <w:rPr>
          <w:snapToGrid w:val="0"/>
        </w:rPr>
      </w:pPr>
      <w:r w:rsidRPr="00990D53">
        <w:fldChar w:fldCharType="begin"/>
      </w:r>
      <w:r w:rsidRPr="00990D53">
        <w:instrText xml:space="preserve"> SEQ level0 \*arabic </w:instrText>
      </w:r>
      <w:r w:rsidRPr="00990D53">
        <w:fldChar w:fldCharType="separate"/>
      </w:r>
      <w:r w:rsidR="00A31FF5" w:rsidRPr="00990D53">
        <w:t>111</w:t>
      </w:r>
      <w:r w:rsidRPr="00990D53">
        <w:fldChar w:fldCharType="end"/>
      </w:r>
      <w:r w:rsidR="00441F5B" w:rsidRPr="00990D53">
        <w:t>.  </w:t>
      </w:r>
      <w:r w:rsidR="00446816" w:rsidRPr="00990D53">
        <w:t>Pozostaje kwesta do ustaleni</w:t>
      </w:r>
      <w:r w:rsidR="004B7D62" w:rsidRPr="00990D53">
        <w:t>a, czy sądy krajowe mogły stwierdzić</w:t>
      </w:r>
      <w:r w:rsidR="00446816" w:rsidRPr="00990D53">
        <w:t>, że skarżący był „chory umysłowo”, to znaczy, czy cierpiał na rzeczywiste zaburzenie psychiczne</w:t>
      </w:r>
      <w:r w:rsidR="003513C2" w:rsidRPr="00990D53">
        <w:t xml:space="preserve"> w rozumieniu art. 5 </w:t>
      </w:r>
      <w:r w:rsidR="003513C2" w:rsidRPr="00990D53">
        <w:rPr>
          <w:rFonts w:ascii="Times New Roman" w:hAnsi="Times New Roman" w:cs="Times New Roman"/>
        </w:rPr>
        <w:t>§</w:t>
      </w:r>
      <w:r w:rsidR="003513C2" w:rsidRPr="00990D53">
        <w:t xml:space="preserve"> 1 lit. e) Konwencji. Skarżący ten fakt zakwestionował twierdząc, że interpretacja terminu „zaburzenie psychiczne” przez sądy krajowe była szersza</w:t>
      </w:r>
      <w:r w:rsidR="00446816" w:rsidRPr="00990D53">
        <w:t xml:space="preserve"> </w:t>
      </w:r>
      <w:r w:rsidR="003513C2" w:rsidRPr="00990D53">
        <w:t xml:space="preserve">niż „choroba umysłowa” oraz, że nie cierpiał na żaden rodzaj choroby psychicznej. </w:t>
      </w:r>
    </w:p>
    <w:p w:rsidR="00B062A5"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112</w:t>
      </w:r>
      <w:r w:rsidRPr="00990D53">
        <w:fldChar w:fldCharType="end"/>
      </w:r>
      <w:r w:rsidR="0095794E" w:rsidRPr="00990D53">
        <w:t>.  </w:t>
      </w:r>
      <w:r w:rsidR="003513C2" w:rsidRPr="00990D53">
        <w:t>Trybunał stwierdza, że w trakcie postępowań sądy krajowe potwierdzając ustalenia biegłego z zakresu psychiatrii, z którym się konsultowały, uznały, że skarżący cierpiał w tym czasie na sadyzm, dewiac</w:t>
      </w:r>
      <w:r w:rsidR="0082461D" w:rsidRPr="00990D53">
        <w:t>j</w:t>
      </w:r>
      <w:r w:rsidR="003513C2" w:rsidRPr="00990D53">
        <w:t xml:space="preserve">e seksualne, które wymagały leczenia </w:t>
      </w:r>
      <w:r w:rsidR="004B7D62" w:rsidRPr="00990D53">
        <w:t>i terapii. Następnie podkreślił</w:t>
      </w:r>
      <w:r w:rsidR="0082461D" w:rsidRPr="00990D53">
        <w:t>, że</w:t>
      </w:r>
      <w:r w:rsidR="003513C2" w:rsidRPr="00990D53">
        <w:t xml:space="preserve"> diagnoza ta potwierdziła poprzednie ustalenia kilku biegłych,</w:t>
      </w:r>
      <w:r w:rsidR="0082461D" w:rsidRPr="00990D53">
        <w:t xml:space="preserve"> którzy stwierdzili</w:t>
      </w:r>
      <w:r w:rsidR="004B7D62" w:rsidRPr="00990D53">
        <w:t>,</w:t>
      </w:r>
      <w:r w:rsidR="003513C2" w:rsidRPr="00990D53">
        <w:t xml:space="preserve"> że skarżący cierpiał na zaburzenie preferencji seksualnych z elementami sadomasochizmu, fetyszyzmu i </w:t>
      </w:r>
      <w:r w:rsidR="0082461D" w:rsidRPr="00990D53">
        <w:t>pedofilii. Trybunał stwierdza, ż</w:t>
      </w:r>
      <w:r w:rsidR="003513C2" w:rsidRPr="00990D53">
        <w:t>e w tym kontekście skarżącego uznano za cierpiącego na dewiacje seksualne w chwili popełniania przestępstw, za które orzeczono detencję prewencyjną. Jego zaburzenia umysłowe</w:t>
      </w:r>
      <w:r w:rsidR="003513C2" w:rsidRPr="00990D53">
        <w:rPr>
          <w:snapToGrid w:val="0"/>
        </w:rPr>
        <w:t xml:space="preserve"> w powiązaniu z konsumpcją alkoholu poprowadziły do ograniczenia odpowiedzialności karnej w chwili popełniania czynu (zob. par. 9 powyżej). Stan skarżącego pozostał bez większych zmian od chwili skazania w roku 1986. </w:t>
      </w:r>
    </w:p>
    <w:p w:rsidR="00290B9C" w:rsidRPr="00990D53" w:rsidRDefault="00290B9C" w:rsidP="00B3060D">
      <w:pPr>
        <w:pStyle w:val="ECHRPara"/>
        <w:rPr>
          <w:snapToGrid w:val="0"/>
        </w:rPr>
      </w:pPr>
      <w:r w:rsidRPr="00990D53">
        <w:rPr>
          <w:snapToGrid w:val="0"/>
        </w:rPr>
        <w:fldChar w:fldCharType="begin"/>
      </w:r>
      <w:r w:rsidRPr="00990D53">
        <w:rPr>
          <w:snapToGrid w:val="0"/>
        </w:rPr>
        <w:instrText xml:space="preserve"> SEQ level0 \*arabic </w:instrText>
      </w:r>
      <w:r w:rsidRPr="00990D53">
        <w:rPr>
          <w:snapToGrid w:val="0"/>
        </w:rPr>
        <w:fldChar w:fldCharType="separate"/>
      </w:r>
      <w:r w:rsidR="00A31FF5" w:rsidRPr="00990D53">
        <w:rPr>
          <w:snapToGrid w:val="0"/>
        </w:rPr>
        <w:t>113</w:t>
      </w:r>
      <w:r w:rsidRPr="00990D53">
        <w:rPr>
          <w:snapToGrid w:val="0"/>
        </w:rPr>
        <w:fldChar w:fldCharType="end"/>
      </w:r>
      <w:r w:rsidRPr="00990D53">
        <w:rPr>
          <w:snapToGrid w:val="0"/>
        </w:rPr>
        <w:t>.  </w:t>
      </w:r>
      <w:r w:rsidR="00AC1D5E" w:rsidRPr="00990D53">
        <w:rPr>
          <w:snapToGrid w:val="0"/>
        </w:rPr>
        <w:t xml:space="preserve">Trybunał powtarza, że dopuszczalne warunki pozbawienia wolności określone w art. 5 </w:t>
      </w:r>
      <w:r w:rsidR="00AC1D5E" w:rsidRPr="00990D53">
        <w:rPr>
          <w:rFonts w:ascii="Times New Roman" w:hAnsi="Times New Roman" w:cs="Times New Roman"/>
          <w:snapToGrid w:val="0"/>
        </w:rPr>
        <w:t>§</w:t>
      </w:r>
      <w:r w:rsidR="00AC1D5E" w:rsidRPr="00990D53">
        <w:rPr>
          <w:snapToGrid w:val="0"/>
        </w:rPr>
        <w:t xml:space="preserve"> 1 należy interpretować zawężająco (zob. par. 95 powyżej). Zaburzenie psychiczne powinno być na tyle poważne, aby stwarzało konieczność leczenia w szpitalu, klinice lub inne odpowiedniej instytucji, by uznać je za rzeczywiste zaburzenie psychiczne w rozumieniu art. 5 </w:t>
      </w:r>
      <w:r w:rsidR="00AC1D5E" w:rsidRPr="00990D53">
        <w:rPr>
          <w:rFonts w:ascii="Times New Roman" w:hAnsi="Times New Roman" w:cs="Times New Roman"/>
          <w:snapToGrid w:val="0"/>
        </w:rPr>
        <w:t>§</w:t>
      </w:r>
      <w:r w:rsidR="00AC1D5E" w:rsidRPr="00990D53">
        <w:rPr>
          <w:snapToGrid w:val="0"/>
        </w:rPr>
        <w:t xml:space="preserve"> 1 lit. e) (zob. </w:t>
      </w:r>
      <w:r w:rsidR="0065714F" w:rsidRPr="00990D53">
        <w:rPr>
          <w:i/>
          <w:snapToGrid w:val="0"/>
        </w:rPr>
        <w:t>Glien</w:t>
      </w:r>
      <w:r w:rsidR="0065714F" w:rsidRPr="00990D53">
        <w:rPr>
          <w:snapToGrid w:val="0"/>
        </w:rPr>
        <w:t xml:space="preserve">, </w:t>
      </w:r>
      <w:r w:rsidR="00AC1D5E" w:rsidRPr="00990D53">
        <w:rPr>
          <w:snapToGrid w:val="0"/>
        </w:rPr>
        <w:t>cyt. powyżej</w:t>
      </w:r>
      <w:r w:rsidR="0065714F" w:rsidRPr="00990D53">
        <w:rPr>
          <w:snapToGrid w:val="0"/>
        </w:rPr>
        <w:t xml:space="preserve">, § 85). </w:t>
      </w:r>
      <w:r w:rsidR="00AC1D5E" w:rsidRPr="00990D53">
        <w:rPr>
          <w:snapToGrid w:val="0"/>
        </w:rPr>
        <w:t xml:space="preserve">Trybunał stwierdził, że w tym sensie pojęcie „osób umysłowo chorych” </w:t>
      </w:r>
      <w:r w:rsidR="00906B0A" w:rsidRPr="00990D53">
        <w:rPr>
          <w:snapToGrid w:val="0"/>
        </w:rPr>
        <w:t>(“</w:t>
      </w:r>
      <w:r w:rsidR="00906B0A" w:rsidRPr="00990D53">
        <w:rPr>
          <w:i/>
          <w:snapToGrid w:val="0"/>
        </w:rPr>
        <w:t>aliéné</w:t>
      </w:r>
      <w:r w:rsidR="00906B0A" w:rsidRPr="00990D53">
        <w:rPr>
          <w:snapToGrid w:val="0"/>
        </w:rPr>
        <w:t xml:space="preserve">” </w:t>
      </w:r>
      <w:r w:rsidR="00AC1D5E" w:rsidRPr="00990D53">
        <w:rPr>
          <w:snapToGrid w:val="0"/>
        </w:rPr>
        <w:t>w wers</w:t>
      </w:r>
      <w:r w:rsidR="005E15C2" w:rsidRPr="00990D53">
        <w:rPr>
          <w:snapToGrid w:val="0"/>
        </w:rPr>
        <w:t>j</w:t>
      </w:r>
      <w:r w:rsidR="00AC1D5E" w:rsidRPr="00990D53">
        <w:rPr>
          <w:snapToGrid w:val="0"/>
        </w:rPr>
        <w:t>i francuskiej</w:t>
      </w:r>
      <w:r w:rsidR="00F972D3" w:rsidRPr="00990D53">
        <w:rPr>
          <w:snapToGrid w:val="0"/>
        </w:rPr>
        <w:t xml:space="preserve">) </w:t>
      </w:r>
      <w:r w:rsidR="00AC1D5E" w:rsidRPr="00990D53">
        <w:rPr>
          <w:snapToGrid w:val="0"/>
        </w:rPr>
        <w:t xml:space="preserve">zawarte w art. 5 </w:t>
      </w:r>
      <w:r w:rsidR="00AC1D5E" w:rsidRPr="00990D53">
        <w:rPr>
          <w:rFonts w:ascii="Times New Roman" w:hAnsi="Times New Roman" w:cs="Times New Roman"/>
          <w:snapToGrid w:val="0"/>
        </w:rPr>
        <w:t>§</w:t>
      </w:r>
      <w:r w:rsidR="00AC1D5E" w:rsidRPr="00990D53">
        <w:rPr>
          <w:snapToGrid w:val="0"/>
        </w:rPr>
        <w:t xml:space="preserve"> 1 lit. e) </w:t>
      </w:r>
      <w:r w:rsidR="00906B0A" w:rsidRPr="00990D53">
        <w:rPr>
          <w:snapToGrid w:val="0"/>
        </w:rPr>
        <w:t xml:space="preserve"> </w:t>
      </w:r>
      <w:r w:rsidR="00AC1D5E" w:rsidRPr="00990D53">
        <w:rPr>
          <w:snapToGrid w:val="0"/>
        </w:rPr>
        <w:t xml:space="preserve">Konwencji, może być </w:t>
      </w:r>
      <w:r w:rsidR="00621FE1" w:rsidRPr="00990D53">
        <w:rPr>
          <w:snapToGrid w:val="0"/>
        </w:rPr>
        <w:t>bardziej restrykcyjne niż pojęcie „zaburzenia psychicznego”</w:t>
      </w:r>
      <w:r w:rsidR="00906B0A" w:rsidRPr="00990D53">
        <w:rPr>
          <w:snapToGrid w:val="0"/>
        </w:rPr>
        <w:t xml:space="preserve"> (“</w:t>
      </w:r>
      <w:r w:rsidR="00906B0A" w:rsidRPr="00990D53">
        <w:rPr>
          <w:i/>
          <w:snapToGrid w:val="0"/>
        </w:rPr>
        <w:t>psychische Störung</w:t>
      </w:r>
      <w:r w:rsidR="00906B0A" w:rsidRPr="00990D53">
        <w:rPr>
          <w:snapToGrid w:val="0"/>
        </w:rPr>
        <w:t xml:space="preserve">”) </w:t>
      </w:r>
      <w:r w:rsidR="00621FE1" w:rsidRPr="00990D53">
        <w:rPr>
          <w:snapToGrid w:val="0"/>
        </w:rPr>
        <w:t>zawarte w sekcji 1 u</w:t>
      </w:r>
      <w:r w:rsidR="005E15C2" w:rsidRPr="00990D53">
        <w:rPr>
          <w:snapToGrid w:val="0"/>
        </w:rPr>
        <w:t>s</w:t>
      </w:r>
      <w:r w:rsidR="00621FE1" w:rsidRPr="00990D53">
        <w:rPr>
          <w:snapToGrid w:val="0"/>
        </w:rPr>
        <w:t xml:space="preserve">t. 1 Ustawy o </w:t>
      </w:r>
      <w:r w:rsidR="004B7D62" w:rsidRPr="00990D53">
        <w:rPr>
          <w:snapToGrid w:val="0"/>
        </w:rPr>
        <w:t>Detencji Prewencyjnej</w:t>
      </w:r>
      <w:r w:rsidR="00621FE1" w:rsidRPr="00990D53">
        <w:rPr>
          <w:snapToGrid w:val="0"/>
        </w:rPr>
        <w:t xml:space="preserve"> (zob. </w:t>
      </w:r>
      <w:r w:rsidR="00906B0A" w:rsidRPr="00990D53">
        <w:rPr>
          <w:i/>
          <w:snapToGrid w:val="0"/>
        </w:rPr>
        <w:t>Glien</w:t>
      </w:r>
      <w:r w:rsidR="00906B0A" w:rsidRPr="00990D53">
        <w:rPr>
          <w:snapToGrid w:val="0"/>
        </w:rPr>
        <w:t xml:space="preserve">, </w:t>
      </w:r>
      <w:r w:rsidR="00621FE1" w:rsidRPr="00990D53">
        <w:rPr>
          <w:snapToGrid w:val="0"/>
        </w:rPr>
        <w:t>cyt. powyżej</w:t>
      </w:r>
      <w:r w:rsidR="00906B0A" w:rsidRPr="00990D53">
        <w:rPr>
          <w:snapToGrid w:val="0"/>
        </w:rPr>
        <w:t>, § 87).</w:t>
      </w:r>
    </w:p>
    <w:p w:rsidR="00C74CFA"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114</w:t>
      </w:r>
      <w:r w:rsidRPr="00990D53">
        <w:fldChar w:fldCharType="end"/>
      </w:r>
      <w:r w:rsidR="0042156B" w:rsidRPr="00990D53">
        <w:t>.  </w:t>
      </w:r>
      <w:r w:rsidR="00621FE1" w:rsidRPr="00990D53">
        <w:t>Jednakże, Trybunał stwierdza w niniejszej sprawie, że zaburzenie psychiczne, na które według sądów krajowych cierpiał skarżący, było na tyle poważne, że prowadziło do rzeczy</w:t>
      </w:r>
      <w:r w:rsidR="004B7D62" w:rsidRPr="00990D53">
        <w:t>wistej choroby umysłowej</w:t>
      </w:r>
      <w:r w:rsidR="00621FE1" w:rsidRPr="00990D53">
        <w:t xml:space="preserve"> w rozumieniu </w:t>
      </w:r>
      <w:r w:rsidR="00621FE1" w:rsidRPr="00990D53">
        <w:rPr>
          <w:snapToGrid w:val="0"/>
        </w:rPr>
        <w:t xml:space="preserve">art. 5 </w:t>
      </w:r>
      <w:r w:rsidR="00621FE1" w:rsidRPr="00990D53">
        <w:rPr>
          <w:rFonts w:ascii="Times New Roman" w:hAnsi="Times New Roman" w:cs="Times New Roman"/>
          <w:snapToGrid w:val="0"/>
        </w:rPr>
        <w:t>§</w:t>
      </w:r>
      <w:r w:rsidR="00621FE1" w:rsidRPr="00990D53">
        <w:rPr>
          <w:snapToGrid w:val="0"/>
        </w:rPr>
        <w:t xml:space="preserve"> 1 lit. e) . Szczególne dewiacje seksualne, czy sadyzm, na który, jak ustalono, skarżący cierpiał, wymagały </w:t>
      </w:r>
      <w:r w:rsidR="001C1DA8" w:rsidRPr="00990D53">
        <w:rPr>
          <w:snapToGrid w:val="0"/>
        </w:rPr>
        <w:t>terapii lekami pod nadzorem medycznym</w:t>
      </w:r>
      <w:r w:rsidR="00621FE1" w:rsidRPr="00990D53">
        <w:rPr>
          <w:snapToGrid w:val="0"/>
        </w:rPr>
        <w:t>. W połączeniu z konsumpcją alkoholu, jego zaburzenie stawało się na tyle poważne, że ograniczało jego odpowiedzialność karną w chwili popełniania czynu. Sąd orzekający również widzia</w:t>
      </w:r>
      <w:r w:rsidR="001C1DA8" w:rsidRPr="00990D53">
        <w:rPr>
          <w:snapToGrid w:val="0"/>
        </w:rPr>
        <w:t>ł słuszność detencji skarżącego</w:t>
      </w:r>
      <w:r w:rsidR="00621FE1" w:rsidRPr="00990D53">
        <w:rPr>
          <w:snapToGrid w:val="0"/>
        </w:rPr>
        <w:t xml:space="preserve"> w szpitalu psychiatrycznym na mocy art. 63 Kodeksu karnego, ale powstrzymał się od wydania takiego postanowienia ze względu na wątpliwości co do stanu skarżącego, który </w:t>
      </w:r>
      <w:r w:rsidR="00621FE1" w:rsidRPr="00990D53">
        <w:rPr>
          <w:snapToGrid w:val="0"/>
        </w:rPr>
        <w:lastRenderedPageBreak/>
        <w:t xml:space="preserve">zdecydowanie potrzebował leczenia, które jednak niekoniecznie mogło </w:t>
      </w:r>
      <w:r w:rsidR="001C1DA8" w:rsidRPr="00990D53">
        <w:rPr>
          <w:snapToGrid w:val="0"/>
        </w:rPr>
        <w:t>przynieść efekt</w:t>
      </w:r>
      <w:r w:rsidR="00621FE1" w:rsidRPr="00990D53">
        <w:rPr>
          <w:snapToGrid w:val="0"/>
        </w:rPr>
        <w:t xml:space="preserve"> (zob. par. 11 powyżej).</w:t>
      </w:r>
    </w:p>
    <w:p w:rsidR="00317042"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115</w:t>
      </w:r>
      <w:r w:rsidRPr="00990D53">
        <w:fldChar w:fldCharType="end"/>
      </w:r>
      <w:r w:rsidR="00F33A6F" w:rsidRPr="00990D53">
        <w:t>.  </w:t>
      </w:r>
      <w:r w:rsidR="00621FE1" w:rsidRPr="00990D53">
        <w:t xml:space="preserve">Trybunał </w:t>
      </w:r>
      <w:r w:rsidR="001C1DA8" w:rsidRPr="00990D53">
        <w:t>odnotował</w:t>
      </w:r>
      <w:r w:rsidR="00621FE1" w:rsidRPr="00990D53">
        <w:t>, że zgodnie z jego orzecznictwem (zob. par. 96 powyżej)</w:t>
      </w:r>
      <w:r w:rsidR="00CB40C4" w:rsidRPr="00990D53">
        <w:t xml:space="preserve">, zaburzenie psychiczne skarżącego było tego rodzaju lub stopnia, które </w:t>
      </w:r>
      <w:r w:rsidR="00C43A60" w:rsidRPr="00990D53">
        <w:t>koniecznie wymagało izolacji</w:t>
      </w:r>
      <w:r w:rsidR="00EC48F5" w:rsidRPr="00990D53">
        <w:t xml:space="preserve">. </w:t>
      </w:r>
      <w:r w:rsidR="00CB40C4" w:rsidRPr="00990D53">
        <w:t>Sądy krajowe stwierdziły, że istniało wysokie ryzyko</w:t>
      </w:r>
      <w:r w:rsidR="001C1DA8" w:rsidRPr="00990D53">
        <w:t xml:space="preserve"> w przypadku zwolnienia skarżącego, że</w:t>
      </w:r>
      <w:r w:rsidR="00CB40C4" w:rsidRPr="00990D53">
        <w:t xml:space="preserve"> nadal dopuszczałby się brutalnych przestępstw i przestępstw na tle seksualnym podobnych do tych, za które został skazany – czyli dwóch usiłowań zabójstwa w związku z usiłowaniem gwałtu w jednej sprawie. Co więcej, słuszność trwania detencji zależy od trwałości takiego zaburzenia. Na mocy </w:t>
      </w:r>
      <w:r w:rsidR="00CF2A4A" w:rsidRPr="00990D53">
        <w:t>paragrafu</w:t>
      </w:r>
      <w:r w:rsidR="00CB40C4" w:rsidRPr="00990D53">
        <w:t xml:space="preserve"> 316f 2 Ustawy Wprowadzającej do Kodeksu karnego, kontynuacja detencji prewencyjnej skar</w:t>
      </w:r>
      <w:r w:rsidR="001C1DA8" w:rsidRPr="00990D53">
        <w:t>żącego mogła być orzeczona,</w:t>
      </w:r>
      <w:r w:rsidR="00CB40C4" w:rsidRPr="00990D53">
        <w:t xml:space="preserve"> jeżeli w przypadku zwolnienia powróciłby do przestępstwa ze względu na swoje zaburzenia.  </w:t>
      </w:r>
    </w:p>
    <w:p w:rsidR="00CB40C4" w:rsidRPr="00990D53" w:rsidRDefault="008757E4" w:rsidP="00B3060D">
      <w:pPr>
        <w:pStyle w:val="ECHRPara"/>
      </w:pPr>
      <w:r w:rsidRPr="00990D53">
        <w:fldChar w:fldCharType="begin"/>
      </w:r>
      <w:r w:rsidRPr="00990D53">
        <w:instrText xml:space="preserve"> SEQ level0 \*arabic </w:instrText>
      </w:r>
      <w:r w:rsidRPr="00990D53">
        <w:fldChar w:fldCharType="separate"/>
      </w:r>
      <w:r w:rsidR="00A31FF5" w:rsidRPr="00990D53">
        <w:t>116</w:t>
      </w:r>
      <w:r w:rsidRPr="00990D53">
        <w:fldChar w:fldCharType="end"/>
      </w:r>
      <w:r w:rsidRPr="00990D53">
        <w:t>.  </w:t>
      </w:r>
      <w:r w:rsidR="00CB40C4" w:rsidRPr="00990D53">
        <w:t>Powyższe wskazuje, że skar</w:t>
      </w:r>
      <w:r w:rsidR="00B14326" w:rsidRPr="00990D53">
        <w:t>żący był osobą „chorą ps</w:t>
      </w:r>
      <w:r w:rsidR="00CB40C4" w:rsidRPr="00990D53">
        <w:t xml:space="preserve">ychicznie” w rozumieniu art. 5 </w:t>
      </w:r>
      <w:r w:rsidR="00CB40C4" w:rsidRPr="00990D53">
        <w:rPr>
          <w:rFonts w:ascii="Times New Roman" w:hAnsi="Times New Roman" w:cs="Times New Roman"/>
        </w:rPr>
        <w:t>§</w:t>
      </w:r>
      <w:r w:rsidR="00CB40C4" w:rsidRPr="00990D53">
        <w:t xml:space="preserve"> 1 lit. e). </w:t>
      </w:r>
    </w:p>
    <w:p w:rsidR="006A2E9A"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117</w:t>
      </w:r>
      <w:r w:rsidRPr="00990D53">
        <w:fldChar w:fldCharType="end"/>
      </w:r>
      <w:r w:rsidR="008757E4" w:rsidRPr="00990D53">
        <w:t>.  </w:t>
      </w:r>
      <w:r w:rsidR="00EE08E5" w:rsidRPr="00990D53">
        <w:t xml:space="preserve">Mając to na względzie, Trybunał stwierdza, że bez odpowiedzi pozostaje pytanie, czy skarżący, który został zdiagnozowany jako osoba uzależniona od alkoholu, nie spożywająca go od momentu aresztowania w 1985 roku oraz która pod wpływem alkoholu popełniła poważne przestępstwa, za które została skazana, może zostać uznana również za „alkoholika” w rozumieniu art. 5 </w:t>
      </w:r>
      <w:r w:rsidR="00EE08E5" w:rsidRPr="00990D53">
        <w:rPr>
          <w:rFonts w:ascii="Times New Roman" w:hAnsi="Times New Roman" w:cs="Times New Roman"/>
        </w:rPr>
        <w:t>§</w:t>
      </w:r>
      <w:r w:rsidR="00EE08E5" w:rsidRPr="00990D53">
        <w:t xml:space="preserve"> 1 lit. e).  </w:t>
      </w:r>
    </w:p>
    <w:p w:rsidR="00062D57" w:rsidRPr="00990D53" w:rsidRDefault="00062D57" w:rsidP="00B3060D">
      <w:pPr>
        <w:pStyle w:val="ECHRHeading6"/>
        <w:rPr>
          <w:rFonts w:eastAsia="Times New Roman"/>
          <w:lang w:eastAsia="fr-FR"/>
        </w:rPr>
      </w:pPr>
      <w:r w:rsidRPr="00990D53">
        <w:rPr>
          <w:rFonts w:eastAsia="Times New Roman"/>
          <w:lang w:eastAsia="fr-FR"/>
        </w:rPr>
        <w:t>(</w:t>
      </w:r>
      <w:r w:rsidR="00E257D8" w:rsidRPr="00990D53">
        <w:rPr>
          <w:rFonts w:eastAsia="Times New Roman" w:cstheme="majorHAnsi"/>
          <w:lang w:eastAsia="fr-FR"/>
        </w:rPr>
        <w:t>β</w:t>
      </w:r>
      <w:r w:rsidRPr="00990D53">
        <w:rPr>
          <w:rFonts w:eastAsia="Times New Roman"/>
          <w:lang w:eastAsia="fr-FR"/>
        </w:rPr>
        <w:t>)  </w:t>
      </w:r>
      <w:r w:rsidR="00EE08E5" w:rsidRPr="00990D53">
        <w:rPr>
          <w:rFonts w:eastAsia="Times New Roman"/>
          <w:lang w:eastAsia="fr-FR"/>
        </w:rPr>
        <w:t xml:space="preserve">Odpowiednie placówki dla osoby chorej psychicznie </w:t>
      </w:r>
    </w:p>
    <w:p w:rsidR="003B32AC"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118</w:t>
      </w:r>
      <w:r w:rsidRPr="00990D53">
        <w:fldChar w:fldCharType="end"/>
      </w:r>
      <w:r w:rsidR="00031C52" w:rsidRPr="00990D53">
        <w:t>. </w:t>
      </w:r>
      <w:r w:rsidR="00EE08E5" w:rsidRPr="00990D53">
        <w:t>Trybunał powtarza, że na mocy jego utrwalonego orzecznictwa, detencja osoby chore</w:t>
      </w:r>
      <w:r w:rsidR="001C1DA8" w:rsidRPr="00990D53">
        <w:t>j</w:t>
      </w:r>
      <w:r w:rsidR="00EE08E5" w:rsidRPr="00990D53">
        <w:t xml:space="preserve"> psychicznie będzie „legalna” </w:t>
      </w:r>
      <w:r w:rsidR="00E700AF" w:rsidRPr="00990D53">
        <w:t xml:space="preserve">tylko w rozumieniu art. 5 </w:t>
      </w:r>
      <w:r w:rsidR="00E700AF" w:rsidRPr="00990D53">
        <w:rPr>
          <w:rFonts w:ascii="Times New Roman" w:hAnsi="Times New Roman" w:cs="Times New Roman"/>
        </w:rPr>
        <w:t>§</w:t>
      </w:r>
      <w:r w:rsidR="00E700AF" w:rsidRPr="00990D53">
        <w:t xml:space="preserve"> 1 lit. e), jeżeli odbywa się w szpitalu, klinice lub innej odpowiedniej placówce (zob. par. 99 powyżej).</w:t>
      </w:r>
      <w:r w:rsidR="00031C52" w:rsidRPr="00990D53">
        <w:t> </w:t>
      </w:r>
    </w:p>
    <w:p w:rsidR="003B32AC"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119</w:t>
      </w:r>
      <w:r w:rsidRPr="00990D53">
        <w:fldChar w:fldCharType="end"/>
      </w:r>
      <w:r w:rsidR="003B32AC" w:rsidRPr="00990D53">
        <w:t>.  </w:t>
      </w:r>
      <w:r w:rsidR="00E700AF" w:rsidRPr="00990D53">
        <w:t xml:space="preserve">Trybunał stwierdza, że w trakcie postępowań, to znaczy od 26 lipca 2013 r. (dzień wydania postanowienia przez Sąd Okręgowy) do 25 kwietnia 2014 r. (dzień przedłużenia detencji prewencyjnej skarżącego przez Sąd Okręgowy w wyniku postępowania kontrolnego), skarżący był osadzony w nowo wybudowanym centrum </w:t>
      </w:r>
      <w:r w:rsidR="001C1DA8" w:rsidRPr="00990D53">
        <w:t>detencji prewencyjnej w Rosdorf -</w:t>
      </w:r>
      <w:r w:rsidR="00E700AF" w:rsidRPr="00990D53">
        <w:t xml:space="preserve"> oddzielnym budynku na terenie więzienia w Rosdorf. </w:t>
      </w:r>
    </w:p>
    <w:p w:rsidR="00031558"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120</w:t>
      </w:r>
      <w:r w:rsidRPr="00990D53">
        <w:fldChar w:fldCharType="end"/>
      </w:r>
      <w:r w:rsidR="00031558" w:rsidRPr="00990D53">
        <w:t>.  </w:t>
      </w:r>
      <w:r w:rsidR="00E700AF" w:rsidRPr="00990D53">
        <w:t xml:space="preserve">Trybunał stwierdza, że sytuacja skarżącego dlatego różni się od wielu innych skarżących, którzy, </w:t>
      </w:r>
      <w:r w:rsidR="001C1DA8" w:rsidRPr="00990D53">
        <w:t>według wyroku</w:t>
      </w:r>
      <w:r w:rsidR="00E700AF" w:rsidRPr="00990D53">
        <w:t xml:space="preserve"> w sprawie</w:t>
      </w:r>
      <w:r w:rsidR="00CD4483" w:rsidRPr="00990D53">
        <w:t xml:space="preserve"> </w:t>
      </w:r>
      <w:r w:rsidR="00CD4483" w:rsidRPr="00990D53">
        <w:rPr>
          <w:i/>
        </w:rPr>
        <w:t xml:space="preserve">M. </w:t>
      </w:r>
      <w:r w:rsidR="00E700AF" w:rsidRPr="00990D53">
        <w:rPr>
          <w:i/>
        </w:rPr>
        <w:t>przeciwko Niemcom</w:t>
      </w:r>
      <w:r w:rsidR="00CD4483" w:rsidRPr="00990D53">
        <w:t xml:space="preserve"> (</w:t>
      </w:r>
      <w:r w:rsidR="00E700AF" w:rsidRPr="00990D53">
        <w:t>cyt. powyżej</w:t>
      </w:r>
      <w:r w:rsidR="00CD4483" w:rsidRPr="00990D53">
        <w:t>)</w:t>
      </w:r>
      <w:r w:rsidR="00794294" w:rsidRPr="00990D53">
        <w:t xml:space="preserve">, </w:t>
      </w:r>
      <w:r w:rsidR="00E700AF" w:rsidRPr="00990D53">
        <w:t>kontynuowali detencję jako „osoby chore</w:t>
      </w:r>
      <w:r w:rsidR="001C1DA8" w:rsidRPr="00990D53">
        <w:t>j</w:t>
      </w:r>
      <w:r w:rsidR="00E700AF" w:rsidRPr="00990D53">
        <w:t xml:space="preserve"> psychicznie” w oddzielnym skrzydle dla osób prewencyjnie pozbawionych wolności pośród innych więźniów. Trybunał stwierdził, że osadzeni ci nie przebywali w </w:t>
      </w:r>
      <w:r w:rsidR="001C1DA8" w:rsidRPr="00990D53">
        <w:t>placówkach</w:t>
      </w:r>
      <w:r w:rsidR="00E700AF" w:rsidRPr="00990D53">
        <w:t xml:space="preserve"> dostosowanych do detencji</w:t>
      </w:r>
      <w:r w:rsidR="001C1DA8" w:rsidRPr="00990D53">
        <w:t xml:space="preserve"> osób chorych psychicznie (zob. </w:t>
      </w:r>
      <w:r w:rsidR="00E700AF" w:rsidRPr="00990D53">
        <w:t>w szczególności</w:t>
      </w:r>
      <w:r w:rsidR="00C01009" w:rsidRPr="00990D53">
        <w:t xml:space="preserve">, </w:t>
      </w:r>
      <w:r w:rsidR="00A97F8A" w:rsidRPr="00990D53">
        <w:rPr>
          <w:i/>
        </w:rPr>
        <w:t>Kallweit</w:t>
      </w:r>
      <w:r w:rsidR="00A97F8A" w:rsidRPr="00990D53">
        <w:t xml:space="preserve">, </w:t>
      </w:r>
      <w:r w:rsidR="00E700AF" w:rsidRPr="00990D53">
        <w:t>cyt. powyżej</w:t>
      </w:r>
      <w:r w:rsidR="00A97F8A" w:rsidRPr="00990D53">
        <w:rPr>
          <w:snapToGrid w:val="0"/>
        </w:rPr>
        <w:t>, § 57</w:t>
      </w:r>
      <w:r w:rsidR="00C01009" w:rsidRPr="00990D53">
        <w:t xml:space="preserve">; </w:t>
      </w:r>
      <w:r w:rsidR="00A97F8A" w:rsidRPr="00990D53">
        <w:rPr>
          <w:i/>
        </w:rPr>
        <w:t xml:space="preserve">O.H. </w:t>
      </w:r>
      <w:r w:rsidR="00E700AF" w:rsidRPr="00990D53">
        <w:rPr>
          <w:i/>
        </w:rPr>
        <w:t>przeciwko Niemcom</w:t>
      </w:r>
      <w:r w:rsidR="00A97F8A" w:rsidRPr="00990D53">
        <w:t xml:space="preserve">, </w:t>
      </w:r>
      <w:r w:rsidR="00E700AF" w:rsidRPr="00990D53">
        <w:t>cyt. powyżej</w:t>
      </w:r>
      <w:r w:rsidR="00A97F8A" w:rsidRPr="00990D53">
        <w:t xml:space="preserve">, §§ 87-92; </w:t>
      </w:r>
      <w:r w:rsidR="00A97F8A" w:rsidRPr="00990D53">
        <w:rPr>
          <w:i/>
        </w:rPr>
        <w:t>Kronfeldner</w:t>
      </w:r>
      <w:r w:rsidR="00A97F8A" w:rsidRPr="00990D53">
        <w:t xml:space="preserve">, </w:t>
      </w:r>
      <w:r w:rsidR="00E700AF" w:rsidRPr="00990D53">
        <w:t>cyt. powyżej</w:t>
      </w:r>
      <w:r w:rsidR="00A97F8A" w:rsidRPr="00990D53">
        <w:t xml:space="preserve">, </w:t>
      </w:r>
      <w:r w:rsidR="00A97F8A" w:rsidRPr="00990D53">
        <w:rPr>
          <w:lang w:eastAsia="fr-FR"/>
        </w:rPr>
        <w:t>§§</w:t>
      </w:r>
      <w:r w:rsidR="009D068B" w:rsidRPr="00990D53">
        <w:rPr>
          <w:lang w:eastAsia="fr-FR"/>
        </w:rPr>
        <w:t> </w:t>
      </w:r>
      <w:r w:rsidR="00A97F8A" w:rsidRPr="00990D53">
        <w:rPr>
          <w:lang w:eastAsia="fr-FR"/>
        </w:rPr>
        <w:t xml:space="preserve">80-85; </w:t>
      </w:r>
      <w:r w:rsidR="00E700AF" w:rsidRPr="00990D53">
        <w:t>oraz</w:t>
      </w:r>
      <w:r w:rsidR="00C01009" w:rsidRPr="00990D53">
        <w:t xml:space="preserve"> </w:t>
      </w:r>
      <w:r w:rsidR="00C01009" w:rsidRPr="00990D53">
        <w:rPr>
          <w:i/>
          <w:snapToGrid w:val="0"/>
        </w:rPr>
        <w:t>Glien</w:t>
      </w:r>
      <w:r w:rsidR="00C01009" w:rsidRPr="00990D53">
        <w:rPr>
          <w:snapToGrid w:val="0"/>
        </w:rPr>
        <w:t xml:space="preserve">, </w:t>
      </w:r>
      <w:r w:rsidR="00E700AF" w:rsidRPr="00990D53">
        <w:rPr>
          <w:snapToGrid w:val="0"/>
        </w:rPr>
        <w:t>cyt. powyżej</w:t>
      </w:r>
      <w:r w:rsidR="00C01009" w:rsidRPr="00990D53">
        <w:rPr>
          <w:snapToGrid w:val="0"/>
        </w:rPr>
        <w:t>, §§ 92-106</w:t>
      </w:r>
      <w:r w:rsidR="00C01009" w:rsidRPr="00990D53">
        <w:t>).</w:t>
      </w:r>
    </w:p>
    <w:p w:rsidR="000A28B1"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121</w:t>
      </w:r>
      <w:r w:rsidRPr="00990D53">
        <w:fldChar w:fldCharType="end"/>
      </w:r>
      <w:r w:rsidR="00CD567D" w:rsidRPr="00990D53">
        <w:t>.  </w:t>
      </w:r>
      <w:r w:rsidR="00E700AF" w:rsidRPr="00990D53">
        <w:t>Trybunał zaobserwował, że centrum detencji prewencyjne</w:t>
      </w:r>
      <w:r w:rsidR="001C1DA8" w:rsidRPr="00990D53">
        <w:t>j</w:t>
      </w:r>
      <w:r w:rsidR="00E700AF" w:rsidRPr="00990D53">
        <w:t xml:space="preserve"> w Rosdorf było zaprojektowane </w:t>
      </w:r>
      <w:r w:rsidR="00A005BD" w:rsidRPr="00990D53">
        <w:t xml:space="preserve">zgodnie z wyrokiem Trybunału </w:t>
      </w:r>
      <w:r w:rsidR="00A005BD" w:rsidRPr="00990D53">
        <w:lastRenderedPageBreak/>
        <w:t xml:space="preserve">Konstytucyjnego o detencji prewencyjnej z dnia 4 maja 2011 r. (zob. par. </w:t>
      </w:r>
      <w:r w:rsidR="00B14326" w:rsidRPr="00990D53">
        <w:t>66-72 powyżej). W</w:t>
      </w:r>
      <w:r w:rsidR="00A005BD" w:rsidRPr="00990D53">
        <w:t xml:space="preserve"> wyroku</w:t>
      </w:r>
      <w:r w:rsidR="00B14326" w:rsidRPr="00990D53">
        <w:t xml:space="preserve"> tym</w:t>
      </w:r>
      <w:r w:rsidR="00A005BD" w:rsidRPr="00990D53">
        <w:t>, który został wydany w następstwie orzec</w:t>
      </w:r>
      <w:r w:rsidR="00B14326" w:rsidRPr="00990D53">
        <w:t>zenia</w:t>
      </w:r>
      <w:r w:rsidR="00A005BD" w:rsidRPr="00990D53">
        <w:t xml:space="preserve"> tego Trybunału z dnia 17 grudnia 2009 r. w sprawie </w:t>
      </w:r>
      <w:r w:rsidR="00324498" w:rsidRPr="00990D53">
        <w:rPr>
          <w:i/>
        </w:rPr>
        <w:t>M</w:t>
      </w:r>
      <w:r w:rsidR="00A005BD" w:rsidRPr="00990D53">
        <w:rPr>
          <w:i/>
        </w:rPr>
        <w:t>. przeciwko Niemcom</w:t>
      </w:r>
      <w:r w:rsidR="00324498" w:rsidRPr="00990D53">
        <w:t xml:space="preserve"> (</w:t>
      </w:r>
      <w:r w:rsidR="00A005BD" w:rsidRPr="00990D53">
        <w:t>cyt. powyżej</w:t>
      </w:r>
      <w:r w:rsidR="00324498" w:rsidRPr="00990D53">
        <w:t xml:space="preserve">) </w:t>
      </w:r>
      <w:r w:rsidR="00A005BD" w:rsidRPr="00990D53">
        <w:t>o retrospektywnym prz</w:t>
      </w:r>
      <w:r w:rsidR="00B14326" w:rsidRPr="00990D53">
        <w:t>edłużaniu detencji prewencyjnej,</w:t>
      </w:r>
      <w:r w:rsidR="00A005BD" w:rsidRPr="00990D53">
        <w:t xml:space="preserve"> Federalny Trybunał Konstytucyjny uznał wszystkie przepisy Kodeksu karnego dotyczące orzekania i trwania detencji prewencyjne</w:t>
      </w:r>
      <w:r w:rsidR="00B14326" w:rsidRPr="00990D53">
        <w:t>j</w:t>
      </w:r>
      <w:r w:rsidR="00A005BD" w:rsidRPr="00990D53">
        <w:t xml:space="preserve"> jako niezgodne z fundamentalnym prawem do wolności osób znajdujących się w detencji prewencyjnej. Sąd stwierdził, że przepisy te nie spełniały konstytucyjnego wymogu o rozróżnieniu </w:t>
      </w:r>
      <w:r w:rsidR="00153B0D" w:rsidRPr="00990D53">
        <w:t>warunków detencji prewencyjnej od</w:t>
      </w:r>
      <w:r w:rsidR="00A005BD" w:rsidRPr="00990D53">
        <w:t xml:space="preserve"> </w:t>
      </w:r>
      <w:r w:rsidR="00153B0D" w:rsidRPr="00990D53">
        <w:t>więzienia</w:t>
      </w:r>
      <w:r w:rsidR="00A005BD" w:rsidRPr="00990D53">
        <w:t xml:space="preserve">. Postanowił, że nowa legislacja </w:t>
      </w:r>
      <w:r w:rsidR="00153B0D" w:rsidRPr="00990D53">
        <w:t>ma</w:t>
      </w:r>
      <w:r w:rsidR="00A005BD" w:rsidRPr="00990D53">
        <w:t xml:space="preserve"> wejść w życie najpóźniej do dnia 1 czerwca 2013 r</w:t>
      </w:r>
      <w:r w:rsidR="001851A9" w:rsidRPr="00990D53">
        <w:t>.</w:t>
      </w:r>
    </w:p>
    <w:p w:rsidR="001851A9"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122</w:t>
      </w:r>
      <w:r w:rsidRPr="00990D53">
        <w:fldChar w:fldCharType="end"/>
      </w:r>
      <w:r w:rsidR="001851A9" w:rsidRPr="00990D53">
        <w:t>. </w:t>
      </w:r>
      <w:r w:rsidR="00B14326" w:rsidRPr="00990D53">
        <w:t xml:space="preserve"> Ze względu na </w:t>
      </w:r>
      <w:r w:rsidR="001C1DA8" w:rsidRPr="00990D53">
        <w:t>ten warunek</w:t>
      </w:r>
      <w:r w:rsidR="00B14326" w:rsidRPr="00990D53">
        <w:t>, ustawodawca przyjął</w:t>
      </w:r>
      <w:r w:rsidR="001C1DA8" w:rsidRPr="00990D53">
        <w:t xml:space="preserve"> na stopniu federalnym</w:t>
      </w:r>
      <w:r w:rsidR="00B14326" w:rsidRPr="00990D53">
        <w:t xml:space="preserve"> nowe zasady wykonywania detencji prewencyjnej w Ustawie o (rozróżnieniu) Detencji Prewencyjnej, która weszła w</w:t>
      </w:r>
      <w:r w:rsidR="001C1DA8" w:rsidRPr="00990D53">
        <w:t xml:space="preserve"> życie w</w:t>
      </w:r>
      <w:r w:rsidR="00B14326" w:rsidRPr="00990D53">
        <w:t xml:space="preserve"> dniu 1 czerwca 2013 r. W szczególności art. 66c Kodeksu karnego odtąd stanowi, że detencja prewencyjna musi </w:t>
      </w:r>
      <w:r w:rsidR="002843F9" w:rsidRPr="00990D53">
        <w:t>odbywać się</w:t>
      </w:r>
      <w:r w:rsidR="00B14326" w:rsidRPr="00990D53">
        <w:t xml:space="preserve"> w placówkach, które oferują osadzonemu indywidualną i intensywną opiekę. Osadzeni powinni być zachęcani do udziału w leczeniu psychiatrycznym, psychoterapeutycznym i socjo</w:t>
      </w:r>
      <w:r w:rsidR="002843F9" w:rsidRPr="00990D53">
        <w:t xml:space="preserve">terapeutycznym </w:t>
      </w:r>
      <w:r w:rsidR="00CF2A4A" w:rsidRPr="00990D53">
        <w:t>ukierunkowanym</w:t>
      </w:r>
      <w:r w:rsidR="005E1972" w:rsidRPr="00990D53">
        <w:t xml:space="preserve"> na ograniczenie zagrożenia, jakie stwarzają dla bezpieczeństwa publicznego. Wszystkie</w:t>
      </w:r>
      <w:r w:rsidR="00AF597B" w:rsidRPr="00990D53">
        <w:t xml:space="preserve"> </w:t>
      </w:r>
      <w:r w:rsidR="00AF597B" w:rsidRPr="00990D53">
        <w:rPr>
          <w:i/>
        </w:rPr>
        <w:t>Länder</w:t>
      </w:r>
      <w:r w:rsidR="005E1972" w:rsidRPr="00990D53">
        <w:t xml:space="preserve"> przyjęły legislację regulującą te aspekty bardziej szczegółowo (zob. par. 56-57 i 59-60 powyżej). W celu spełnienia tych warunków sądowych i legislacyjnych w praktyce oraz by zapewnić lokum osobom pozostającym w detencji prewencyjnej, podjęto istotne prace budowlane na terenie wielu więzień w Niemczech</w:t>
      </w:r>
      <w:r w:rsidR="001B7AD1" w:rsidRPr="00990D53">
        <w:t>.</w:t>
      </w:r>
    </w:p>
    <w:p w:rsidR="00B53DD6"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123</w:t>
      </w:r>
      <w:r w:rsidRPr="00990D53">
        <w:fldChar w:fldCharType="end"/>
      </w:r>
      <w:r w:rsidR="00132261" w:rsidRPr="00990D53">
        <w:t>.  </w:t>
      </w:r>
      <w:r w:rsidR="005E1972" w:rsidRPr="00990D53">
        <w:t xml:space="preserve">Mając na uwadze </w:t>
      </w:r>
      <w:r w:rsidR="002843F9" w:rsidRPr="00990D53">
        <w:t xml:space="preserve">powyższe </w:t>
      </w:r>
      <w:r w:rsidR="005E1972" w:rsidRPr="00990D53">
        <w:t xml:space="preserve">zmiany, Trybunał </w:t>
      </w:r>
      <w:r w:rsidR="002843F9" w:rsidRPr="00990D53">
        <w:t xml:space="preserve">przeanalizuje środki </w:t>
      </w:r>
      <w:r w:rsidR="005E1972" w:rsidRPr="00990D53">
        <w:t xml:space="preserve">zastosowane w pozwanym kraju na stopniu sądowym, legislacyjnym i wykonawczym pod względem dostosowania detencji prewencyjnej do </w:t>
      </w:r>
      <w:r w:rsidR="002843F9" w:rsidRPr="00990D53">
        <w:t>prawa</w:t>
      </w:r>
      <w:r w:rsidR="005E1972" w:rsidRPr="00990D53">
        <w:t xml:space="preserve">, w szczególności, fundamentalnego prawa do wolności (zob. także </w:t>
      </w:r>
      <w:r w:rsidR="005776FD" w:rsidRPr="00990D53">
        <w:rPr>
          <w:i/>
        </w:rPr>
        <w:t>Glien</w:t>
      </w:r>
      <w:r w:rsidR="005776FD" w:rsidRPr="00990D53">
        <w:t xml:space="preserve">, </w:t>
      </w:r>
      <w:r w:rsidR="005E1972" w:rsidRPr="00990D53">
        <w:t>cyt. powyżej</w:t>
      </w:r>
      <w:r w:rsidR="005776FD" w:rsidRPr="00990D53">
        <w:t>, § 99).</w:t>
      </w:r>
    </w:p>
    <w:p w:rsidR="00CD567D"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124</w:t>
      </w:r>
      <w:r w:rsidRPr="00990D53">
        <w:fldChar w:fldCharType="end"/>
      </w:r>
      <w:r w:rsidR="00462F68" w:rsidRPr="00990D53">
        <w:t>.  </w:t>
      </w:r>
      <w:r w:rsidR="005E1972" w:rsidRPr="00990D53">
        <w:t>Aby określić, czy miejsce odbyw</w:t>
      </w:r>
      <w:r w:rsidR="002843F9" w:rsidRPr="00990D53">
        <w:t xml:space="preserve">ania przez skarżącego detencji </w:t>
      </w:r>
      <w:r w:rsidR="005E1972" w:rsidRPr="00990D53">
        <w:t>było odpowiednie dla osoby chore</w:t>
      </w:r>
      <w:r w:rsidR="002843F9" w:rsidRPr="00990D53">
        <w:t>j</w:t>
      </w:r>
      <w:r w:rsidR="005E1972" w:rsidRPr="00990D53">
        <w:t xml:space="preserve"> psychicznie, Trybunał oceni szczególne warunki detencji panujące w centrum detencji prewencyjnej w Rosdorf. </w:t>
      </w:r>
      <w:r w:rsidR="005746EA" w:rsidRPr="00990D53">
        <w:t>Stwierdza, że nowy reżim stosuje się wobec wszystkich więźniów odbywających tę for</w:t>
      </w:r>
      <w:r w:rsidR="002843F9" w:rsidRPr="00990D53">
        <w:t>m</w:t>
      </w:r>
      <w:r w:rsidR="005746EA" w:rsidRPr="00990D53">
        <w:t>ę detencji, niezależnie od</w:t>
      </w:r>
      <w:r w:rsidR="002843F9" w:rsidRPr="00990D53">
        <w:t xml:space="preserve"> rodzaju zaburzenia umysłowego oraz faktu,</w:t>
      </w:r>
      <w:r w:rsidR="005746EA" w:rsidRPr="00990D53">
        <w:t xml:space="preserve"> </w:t>
      </w:r>
      <w:r w:rsidR="002843F9" w:rsidRPr="00990D53">
        <w:t>c</w:t>
      </w:r>
      <w:r w:rsidR="005746EA" w:rsidRPr="00990D53">
        <w:t>zy ich detencję przedłuż</w:t>
      </w:r>
      <w:r w:rsidR="002843F9" w:rsidRPr="00990D53">
        <w:t>ono retrospektywnie.</w:t>
      </w:r>
    </w:p>
    <w:p w:rsidR="004A70C5" w:rsidRPr="00990D53" w:rsidRDefault="00570DD3" w:rsidP="00B3060D">
      <w:pPr>
        <w:pStyle w:val="ECHRPara"/>
      </w:pPr>
      <w:r w:rsidRPr="00990D53">
        <w:fldChar w:fldCharType="begin"/>
      </w:r>
      <w:r w:rsidRPr="00990D53">
        <w:instrText xml:space="preserve"> SEQ level0 \*arabic </w:instrText>
      </w:r>
      <w:r w:rsidRPr="00990D53">
        <w:fldChar w:fldCharType="separate"/>
      </w:r>
      <w:r w:rsidR="00A31FF5" w:rsidRPr="00990D53">
        <w:t>125</w:t>
      </w:r>
      <w:r w:rsidRPr="00990D53">
        <w:fldChar w:fldCharType="end"/>
      </w:r>
      <w:r w:rsidRPr="00990D53">
        <w:t>.  </w:t>
      </w:r>
      <w:r w:rsidR="002843F9" w:rsidRPr="00990D53">
        <w:t>Personel więzienny</w:t>
      </w:r>
      <w:r w:rsidR="005746EA" w:rsidRPr="00990D53">
        <w:t xml:space="preserve"> w centrum detencji prewencyjnej w Rosdorf, jak twierdził Rząd (zob. par. 38 powyżej), czego skarżący nie zakwestionował, składał się z jednego psychiatry, czterech psychologów, pięciu pracowników socjalnych i dwudziestu pięciu członków służby więziennej dla łącznej liczby trzydziestu więźniów w tym czasie. Trybunał stwierdza, że sytuacja </w:t>
      </w:r>
      <w:r w:rsidR="00C43A60" w:rsidRPr="00990D53">
        <w:t>kadrowa</w:t>
      </w:r>
      <w:r w:rsidR="005746EA" w:rsidRPr="00990D53">
        <w:t>, która była podob</w:t>
      </w:r>
      <w:r w:rsidR="00C43A60" w:rsidRPr="00990D53">
        <w:t>n</w:t>
      </w:r>
      <w:r w:rsidR="005746EA" w:rsidRPr="00990D53">
        <w:t xml:space="preserve">a do </w:t>
      </w:r>
      <w:r w:rsidR="00C43A60" w:rsidRPr="00990D53">
        <w:t xml:space="preserve">sytuacji </w:t>
      </w:r>
      <w:r w:rsidR="005746EA" w:rsidRPr="00990D53">
        <w:t xml:space="preserve">szpitala psychiatrycznego prowadzonego w tym samym Landzie, </w:t>
      </w:r>
      <w:r w:rsidR="002843F9" w:rsidRPr="00990D53">
        <w:t>uprawniała władze do</w:t>
      </w:r>
      <w:r w:rsidR="00C43A60" w:rsidRPr="00990D53">
        <w:t xml:space="preserve"> </w:t>
      </w:r>
      <w:r w:rsidR="002843F9" w:rsidRPr="00990D53">
        <w:t xml:space="preserve">zdiagnozowania u skarżącego zaburzenia </w:t>
      </w:r>
      <w:r w:rsidR="00C43A60" w:rsidRPr="00990D53">
        <w:t>psychiczne</w:t>
      </w:r>
      <w:r w:rsidR="002843F9" w:rsidRPr="00990D53">
        <w:t>go</w:t>
      </w:r>
      <w:r w:rsidR="00C43A60" w:rsidRPr="00990D53">
        <w:t xml:space="preserve">. </w:t>
      </w:r>
    </w:p>
    <w:p w:rsidR="004A70C5" w:rsidRPr="00990D53" w:rsidRDefault="00A91662" w:rsidP="00B3060D">
      <w:pPr>
        <w:pStyle w:val="ECHRPara"/>
      </w:pPr>
      <w:r w:rsidRPr="00990D53">
        <w:lastRenderedPageBreak/>
        <w:fldChar w:fldCharType="begin"/>
      </w:r>
      <w:r w:rsidRPr="00990D53">
        <w:instrText xml:space="preserve"> SEQ level0 \*arabic </w:instrText>
      </w:r>
      <w:r w:rsidRPr="00990D53">
        <w:fldChar w:fldCharType="separate"/>
      </w:r>
      <w:r w:rsidR="00A31FF5" w:rsidRPr="00990D53">
        <w:t>126</w:t>
      </w:r>
      <w:r w:rsidRPr="00990D53">
        <w:fldChar w:fldCharType="end"/>
      </w:r>
      <w:r w:rsidR="004A70C5" w:rsidRPr="00990D53">
        <w:t>.  </w:t>
      </w:r>
      <w:r w:rsidR="005746EA" w:rsidRPr="00990D53">
        <w:t>W sprawie szczególnej opieki zaoferowane</w:t>
      </w:r>
      <w:r w:rsidR="002843F9" w:rsidRPr="00990D53">
        <w:t>j skarżącemu</w:t>
      </w:r>
      <w:r w:rsidR="005746EA" w:rsidRPr="00990D53">
        <w:t xml:space="preserve"> ze względu na jego zaburzenie psychiczne, Trybunał stwierdza, że Sąd Okręgowy zgodnie z powtarzanym ustaleniem psychiatry W., </w:t>
      </w:r>
      <w:r w:rsidR="002843F9" w:rsidRPr="00990D53">
        <w:t xml:space="preserve">uznał </w:t>
      </w:r>
      <w:r w:rsidR="005746EA" w:rsidRPr="00990D53">
        <w:t xml:space="preserve">za istotne, że skarżący mógł skorzystać z leczenia ukierunkowanego na </w:t>
      </w:r>
      <w:r w:rsidR="002843F9" w:rsidRPr="00990D53">
        <w:t>zmniejszenie</w:t>
      </w:r>
      <w:r w:rsidR="005746EA" w:rsidRPr="00990D53">
        <w:t xml:space="preserve"> jego sadystycznych fantazji oraz jego libido, a w związku z tym jego zagrożenie dla społeczeństwa. </w:t>
      </w:r>
      <w:r w:rsidR="005D153B" w:rsidRPr="00990D53">
        <w:t xml:space="preserve">Sąd korzystając z nowych kompetencji przyznanych na mocy znowelizowanego art. 67d </w:t>
      </w:r>
      <w:r w:rsidR="005D153B" w:rsidRPr="00990D53">
        <w:rPr>
          <w:rFonts w:ascii="Times New Roman" w:hAnsi="Times New Roman" w:cs="Times New Roman"/>
        </w:rPr>
        <w:t>§</w:t>
      </w:r>
      <w:r w:rsidR="005D153B" w:rsidRPr="00990D53">
        <w:t xml:space="preserve"> 2, czytanego łącznie z art. 66c </w:t>
      </w:r>
      <w:r w:rsidR="005D153B" w:rsidRPr="00990D53">
        <w:rPr>
          <w:rFonts w:ascii="Times New Roman" w:hAnsi="Times New Roman" w:cs="Times New Roman"/>
        </w:rPr>
        <w:t>§</w:t>
      </w:r>
      <w:r w:rsidR="005D153B" w:rsidRPr="00990D53">
        <w:t xml:space="preserve"> 1 ust. 1 Kodeksu karnego, polecił władzom centrum w Rosdorf  zaoferowanie skarżącemu takiego leczenia w ciągu trzech miesięcy (zob. </w:t>
      </w:r>
      <w:r w:rsidR="000A3154" w:rsidRPr="00990D53">
        <w:t>§§</w:t>
      </w:r>
      <w:r w:rsidR="005D153B" w:rsidRPr="00990D53">
        <w:t xml:space="preserve"> 14, 20, 49 i 54 powyżej). Udokumentowano w planie leczenia skarżącego</w:t>
      </w:r>
      <w:r w:rsidR="002843F9" w:rsidRPr="00990D53">
        <w:t xml:space="preserve"> w</w:t>
      </w:r>
      <w:r w:rsidR="005D153B" w:rsidRPr="00990D53">
        <w:t xml:space="preserve"> centrum w Rosdorf (zob. par. 41 powyżej), że później stale oferowano mu leczenie. Jednak skarżący</w:t>
      </w:r>
      <w:r w:rsidR="00443618" w:rsidRPr="00990D53">
        <w:t xml:space="preserve"> odmawiał podjęcia terapii</w:t>
      </w:r>
      <w:r w:rsidR="005D153B" w:rsidRPr="00990D53">
        <w:t xml:space="preserve"> w tym okresie z obawy na </w:t>
      </w:r>
      <w:r w:rsidR="00443618" w:rsidRPr="00990D53">
        <w:t>skutki</w:t>
      </w:r>
      <w:r w:rsidR="005D153B" w:rsidRPr="00990D53">
        <w:t xml:space="preserve"> uboczne. Odmawiał również wzięcia udziału w sesjach grupowych w programie leczenia </w:t>
      </w:r>
      <w:r w:rsidR="00C43A60" w:rsidRPr="00990D53">
        <w:t>napastników</w:t>
      </w:r>
      <w:r w:rsidR="005D153B" w:rsidRPr="00990D53">
        <w:t xml:space="preserve">. </w:t>
      </w:r>
    </w:p>
    <w:p w:rsidR="001D7CBA"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127</w:t>
      </w:r>
      <w:r w:rsidRPr="00990D53">
        <w:fldChar w:fldCharType="end"/>
      </w:r>
      <w:r w:rsidR="001915C3" w:rsidRPr="00990D53">
        <w:t>.  </w:t>
      </w:r>
      <w:r w:rsidR="005D153B" w:rsidRPr="00990D53">
        <w:t>Tryb</w:t>
      </w:r>
      <w:r w:rsidR="003816E8" w:rsidRPr="00990D53">
        <w:t>unał dalej stwierdził, że z planu leczenia skarżącego w centrum Rosdorf wynika, że był stale zachęcany do wzię</w:t>
      </w:r>
      <w:r w:rsidR="00C43A60" w:rsidRPr="00990D53">
        <w:t>cia udziału w sesjach terapii gr</w:t>
      </w:r>
      <w:r w:rsidR="00443618" w:rsidRPr="00990D53">
        <w:t>upowej u</w:t>
      </w:r>
      <w:r w:rsidR="003816E8" w:rsidRPr="00990D53">
        <w:t>kier</w:t>
      </w:r>
      <w:r w:rsidR="00443618" w:rsidRPr="00990D53">
        <w:t>unkowanych na zapobieżenie</w:t>
      </w:r>
      <w:r w:rsidR="003816E8" w:rsidRPr="00990D53">
        <w:t xml:space="preserve"> powrotowi do nadużywania alkoholu od lip</w:t>
      </w:r>
      <w:r w:rsidR="00443618" w:rsidRPr="00990D53">
        <w:t>ca 2013 r. do sierpnia 2014 r. Kilka razy z</w:t>
      </w:r>
      <w:r w:rsidR="003816E8" w:rsidRPr="00990D53">
        <w:t>agwarantowano mu także przepustkę po</w:t>
      </w:r>
      <w:r w:rsidR="00443618" w:rsidRPr="00990D53">
        <w:t>d nadzorem,</w:t>
      </w:r>
      <w:r w:rsidR="003816E8" w:rsidRPr="00990D53">
        <w:t xml:space="preserve"> regularnie uczestniczył w sesjach terapii grupowej</w:t>
      </w:r>
      <w:r w:rsidR="00443618" w:rsidRPr="00990D53">
        <w:t>,</w:t>
      </w:r>
      <w:r w:rsidR="003816E8" w:rsidRPr="00990D53">
        <w:t xml:space="preserve"> podczas których osadzeni dyskutowali na temat swoich </w:t>
      </w:r>
      <w:r w:rsidR="00443618" w:rsidRPr="00990D53">
        <w:t>doświadczeń z przepustek. Co</w:t>
      </w:r>
      <w:r w:rsidR="003816E8" w:rsidRPr="00990D53">
        <w:t xml:space="preserve"> więcej, na pewno na pocz</w:t>
      </w:r>
      <w:r w:rsidR="001D7CBA" w:rsidRPr="00990D53">
        <w:t xml:space="preserve">ątku omawianego okresu, skarżący przez pewien czas był zmotywowany </w:t>
      </w:r>
      <w:r w:rsidR="003816E8" w:rsidRPr="00990D53">
        <w:t xml:space="preserve"> </w:t>
      </w:r>
      <w:r w:rsidR="001D7CBA" w:rsidRPr="00990D53">
        <w:t>do spotkań  z psychol</w:t>
      </w:r>
      <w:r w:rsidR="00C43A60" w:rsidRPr="00990D53">
        <w:t>ogiem i brał udział w co tygodni</w:t>
      </w:r>
      <w:r w:rsidR="001D7CBA" w:rsidRPr="00990D53">
        <w:t xml:space="preserve">owych spotkaniach </w:t>
      </w:r>
      <w:r w:rsidR="00443618" w:rsidRPr="00990D53">
        <w:t>osadzonych</w:t>
      </w:r>
      <w:r w:rsidR="001D7CBA" w:rsidRPr="00990D53">
        <w:t>, ale następnie zadecydował o zaprzesta</w:t>
      </w:r>
      <w:r w:rsidR="00C43A60" w:rsidRPr="00990D53">
        <w:t>niu uczestnictwa w tych spotkan</w:t>
      </w:r>
      <w:r w:rsidR="001D7CBA" w:rsidRPr="00990D53">
        <w:t>i</w:t>
      </w:r>
      <w:r w:rsidR="00C43A60" w:rsidRPr="00990D53">
        <w:t>a</w:t>
      </w:r>
      <w:r w:rsidR="001D7CBA" w:rsidRPr="00990D53">
        <w:t xml:space="preserve">ch. </w:t>
      </w:r>
    </w:p>
    <w:p w:rsidR="00DA445B" w:rsidRPr="00990D53" w:rsidRDefault="00910D31" w:rsidP="00B3060D">
      <w:pPr>
        <w:pStyle w:val="ECHRPara"/>
      </w:pPr>
      <w:r w:rsidRPr="00990D53">
        <w:fldChar w:fldCharType="begin"/>
      </w:r>
      <w:r w:rsidRPr="00990D53">
        <w:instrText xml:space="preserve"> SEQ level0 \*arabic </w:instrText>
      </w:r>
      <w:r w:rsidRPr="00990D53">
        <w:fldChar w:fldCharType="separate"/>
      </w:r>
      <w:r w:rsidR="00A31FF5" w:rsidRPr="00990D53">
        <w:t>128</w:t>
      </w:r>
      <w:r w:rsidRPr="00990D53">
        <w:fldChar w:fldCharType="end"/>
      </w:r>
      <w:r w:rsidRPr="00990D53">
        <w:t>.  </w:t>
      </w:r>
      <w:r w:rsidR="001D7CBA" w:rsidRPr="00990D53">
        <w:t>Przy ocenie warunków detencji skarżącego w centrum prewencyjn</w:t>
      </w:r>
      <w:r w:rsidR="00C43A60" w:rsidRPr="00990D53">
        <w:t>y</w:t>
      </w:r>
      <w:r w:rsidR="001D7CBA" w:rsidRPr="00990D53">
        <w:t>m w Rosdorf a w szczególności leczenia, jakie zostało mu zaoferowane ze względu na zaburzenie psychiczne, Trybunał stwierdza że zaistniała poważna zmiana w opiece medycznej i terapeutyczne</w:t>
      </w:r>
      <w:r w:rsidR="00C43A60" w:rsidRPr="00990D53">
        <w:t>j, która została zapropon</w:t>
      </w:r>
      <w:r w:rsidR="001D7CBA" w:rsidRPr="00990D53">
        <w:t>owana skarżącemu po przeniesieniu do tego centrum. Trybunał jest usatysfakc</w:t>
      </w:r>
      <w:r w:rsidR="00C43A60" w:rsidRPr="00990D53">
        <w:t>j</w:t>
      </w:r>
      <w:r w:rsidR="001D7CBA" w:rsidRPr="00990D53">
        <w:t>onowany, że skarżącemu zaoferowano terapeutyczne otoczenie od</w:t>
      </w:r>
      <w:r w:rsidR="00C43A60" w:rsidRPr="00990D53">
        <w:t>p</w:t>
      </w:r>
      <w:r w:rsidR="001D7CBA" w:rsidRPr="00990D53">
        <w:t>owiednie dla osoby osadzonej jako pacjent</w:t>
      </w:r>
      <w:r w:rsidR="000A3154" w:rsidRPr="00990D53">
        <w:t>a</w:t>
      </w:r>
      <w:r w:rsidR="001D7CBA" w:rsidRPr="00990D53">
        <w:t xml:space="preserve"> chor</w:t>
      </w:r>
      <w:r w:rsidR="000A3154" w:rsidRPr="00990D53">
        <w:t>ego</w:t>
      </w:r>
      <w:r w:rsidR="001D7CBA" w:rsidRPr="00990D53">
        <w:t xml:space="preserve"> psychicznie </w:t>
      </w:r>
      <w:r w:rsidR="00C43A60" w:rsidRPr="00990D53">
        <w:t xml:space="preserve">i znajdował się </w:t>
      </w:r>
      <w:r w:rsidR="001D7CBA" w:rsidRPr="00990D53">
        <w:t xml:space="preserve">w placówce odpowiedniej dla takich pacjentów. </w:t>
      </w:r>
    </w:p>
    <w:p w:rsidR="006A2E9A" w:rsidRPr="00990D53" w:rsidRDefault="00E257D8" w:rsidP="00B3060D">
      <w:pPr>
        <w:pStyle w:val="ECHRHeading5"/>
      </w:pPr>
      <w:r w:rsidRPr="00990D53">
        <w:t>(i</w:t>
      </w:r>
      <w:r w:rsidR="008A6854" w:rsidRPr="00990D53">
        <w:t>i)  “Legalna</w:t>
      </w:r>
      <w:r w:rsidR="00BF4F70" w:rsidRPr="00990D53">
        <w:t xml:space="preserve">” </w:t>
      </w:r>
      <w:r w:rsidR="008A6854" w:rsidRPr="00990D53">
        <w:t xml:space="preserve">detencja „zgodna z </w:t>
      </w:r>
      <w:r w:rsidR="00443618" w:rsidRPr="00990D53">
        <w:t>prawem</w:t>
      </w:r>
      <w:r w:rsidR="008A6854" w:rsidRPr="00990D53">
        <w:t xml:space="preserve">” </w:t>
      </w:r>
    </w:p>
    <w:p w:rsidR="008A6854"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129</w:t>
      </w:r>
      <w:r w:rsidRPr="00990D53">
        <w:fldChar w:fldCharType="end"/>
      </w:r>
      <w:r w:rsidR="00BF4F70" w:rsidRPr="00990D53">
        <w:t>.  </w:t>
      </w:r>
      <w:r w:rsidR="008A6854" w:rsidRPr="00990D53">
        <w:t xml:space="preserve">Trybunał następnie określił, czy prewencyjna detencja skarżącego była „legalna” i „zgodna z </w:t>
      </w:r>
      <w:r w:rsidR="00443618" w:rsidRPr="00990D53">
        <w:t>prawem</w:t>
      </w:r>
      <w:r w:rsidR="008A6854" w:rsidRPr="00990D53">
        <w:t xml:space="preserve">” w rozumieniu art. 5 </w:t>
      </w:r>
      <w:r w:rsidR="008A6854" w:rsidRPr="00990D53">
        <w:rPr>
          <w:rFonts w:ascii="Times New Roman" w:hAnsi="Times New Roman" w:cs="Times New Roman"/>
        </w:rPr>
        <w:t>§</w:t>
      </w:r>
      <w:r w:rsidR="008A6854" w:rsidRPr="00990D53">
        <w:t xml:space="preserve"> 1 lit. e). Wystarczającym jest, aby orzeczenie o kontynuacji detencji prewencyjnej skarżącego, na mocy art. 67d Kodeksu karnego w związku ze zdaniem drugim </w:t>
      </w:r>
      <w:r w:rsidR="000A3154" w:rsidRPr="00990D53">
        <w:t>paragrafu</w:t>
      </w:r>
      <w:r w:rsidR="008A6854" w:rsidRPr="00990D53">
        <w:t xml:space="preserve"> </w:t>
      </w:r>
      <w:r w:rsidR="00E76412" w:rsidRPr="00990D53">
        <w:t xml:space="preserve">316f(2) </w:t>
      </w:r>
      <w:r w:rsidR="008A6854" w:rsidRPr="00990D53">
        <w:t>Ustawy Wprowadzającej</w:t>
      </w:r>
      <w:r w:rsidR="000A3154" w:rsidRPr="00990D53">
        <w:t xml:space="preserve"> </w:t>
      </w:r>
      <w:r w:rsidR="008A6854" w:rsidRPr="00990D53">
        <w:t>Kodeks karn</w:t>
      </w:r>
      <w:r w:rsidR="000A3154" w:rsidRPr="00990D53">
        <w:t>y</w:t>
      </w:r>
      <w:r w:rsidR="008A6854" w:rsidRPr="00990D53">
        <w:t xml:space="preserve"> było zgodne z przepisami materialnymi i proceduralnymi prawa krajowego. </w:t>
      </w:r>
    </w:p>
    <w:p w:rsidR="00CD4483"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130</w:t>
      </w:r>
      <w:r w:rsidRPr="00990D53">
        <w:fldChar w:fldCharType="end"/>
      </w:r>
      <w:r w:rsidR="00046C8F" w:rsidRPr="00990D53">
        <w:t>.  </w:t>
      </w:r>
      <w:r w:rsidR="00E76412" w:rsidRPr="00990D53">
        <w:t>Detencja musi także być zg</w:t>
      </w:r>
      <w:r w:rsidR="008A6854" w:rsidRPr="00990D53">
        <w:t>o</w:t>
      </w:r>
      <w:r w:rsidR="00E76412" w:rsidRPr="00990D53">
        <w:t>d</w:t>
      </w:r>
      <w:r w:rsidR="008A6854" w:rsidRPr="00990D53">
        <w:t xml:space="preserve">na z celem art. 5 </w:t>
      </w:r>
      <w:r w:rsidR="008A6854" w:rsidRPr="00990D53">
        <w:rPr>
          <w:rFonts w:ascii="Times New Roman" w:hAnsi="Times New Roman" w:cs="Times New Roman"/>
        </w:rPr>
        <w:t>§</w:t>
      </w:r>
      <w:r w:rsidR="008A6854" w:rsidRPr="00990D53">
        <w:t xml:space="preserve"> 1</w:t>
      </w:r>
      <w:r w:rsidR="007B45B5" w:rsidRPr="00990D53">
        <w:t xml:space="preserve">, którym jest ochrona osób przed arbitralnym pozbawieniem wolności (zob. par. 102 </w:t>
      </w:r>
      <w:r w:rsidR="007B45B5" w:rsidRPr="00990D53">
        <w:lastRenderedPageBreak/>
        <w:t>powyżej). Trybunał w związku z tym stwierdza, że w</w:t>
      </w:r>
      <w:r w:rsidR="001C68D3" w:rsidRPr="00990D53">
        <w:t xml:space="preserve"> </w:t>
      </w:r>
      <w:r w:rsidR="007B45B5" w:rsidRPr="00990D53">
        <w:t>chwili</w:t>
      </w:r>
      <w:r w:rsidR="001C68D3" w:rsidRPr="00990D53">
        <w:t>,</w:t>
      </w:r>
      <w:r w:rsidR="007B45B5" w:rsidRPr="00990D53">
        <w:t xml:space="preserve"> gdy sądy krajowe orzekły o kontynuacji detencji prewencyjnej skarżącego ze względu na zagrożenie jakie stwarzał, skarżący miał sześćdziesiąt dziewięć lat i był pozbaw</w:t>
      </w:r>
      <w:r w:rsidR="001C68D3" w:rsidRPr="00990D53">
        <w:t>i</w:t>
      </w:r>
      <w:r w:rsidR="007B45B5" w:rsidRPr="00990D53">
        <w:t>ony wolności przez ponad dwadzieścia siedem lat.</w:t>
      </w:r>
    </w:p>
    <w:p w:rsidR="00570922"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131</w:t>
      </w:r>
      <w:r w:rsidRPr="00990D53">
        <w:fldChar w:fldCharType="end"/>
      </w:r>
      <w:r w:rsidR="00570922" w:rsidRPr="00990D53">
        <w:t>.  </w:t>
      </w:r>
      <w:r w:rsidR="008E013B" w:rsidRPr="00990D53">
        <w:t xml:space="preserve">Trybunał obserwuje jednak, że sądy krajowe wyraźnie stawiały pytanie o to, czy mając na uwadze zaawansowany wiek skarżącego, nadal stwarzał zagrożenie dla społeczeństwa ze względu na jego dewiacje seksualne. Biorąc pod uwagę ustalenia biegłego psychiatry, uznano, że </w:t>
      </w:r>
      <w:r w:rsidR="00546B31" w:rsidRPr="00990D53">
        <w:t>sadyzm seksualny skarżącego nie zmniejszył się znacząco ze względu na wiek. Co więcej, sądy krajowe wzięły pod uwagę, że skarżący był osadzony przez prawie trzydzieści lat. Mimo to stwierdzono, że istnieje wysokie ryzyko, że skarżący podejmie się próby</w:t>
      </w:r>
      <w:r w:rsidR="00443618" w:rsidRPr="00990D53">
        <w:t xml:space="preserve"> popełnienia</w:t>
      </w:r>
      <w:r w:rsidR="00546B31" w:rsidRPr="00990D53">
        <w:t xml:space="preserve"> przestępstwa z użyciem przemocy lub na tle seksualnym, gdyby został zwolniony. Ze względu na znaczne zagrożenie jakie poprzez to stwarzał skarżący, uznano przedłużenie jego detencji za proporcjonalne. Sądy krajowe wyjaśniły również, że detencja skarżącego w nadzorowanej rezydencji – co również znaczyłoby pozbawienie wolności – w praktyce pozostawała niemożliwa</w:t>
      </w:r>
      <w:r w:rsidR="001C7731" w:rsidRPr="00990D53">
        <w:t>.</w:t>
      </w:r>
    </w:p>
    <w:p w:rsidR="001D5923"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132</w:t>
      </w:r>
      <w:r w:rsidRPr="00990D53">
        <w:fldChar w:fldCharType="end"/>
      </w:r>
      <w:r w:rsidR="00273DFE" w:rsidRPr="00990D53">
        <w:t>.  </w:t>
      </w:r>
      <w:r w:rsidR="00546B31" w:rsidRPr="00990D53">
        <w:t xml:space="preserve">Mając na uwadze powyższe argumenty, które Trybunał uważa za </w:t>
      </w:r>
      <w:r w:rsidR="00443618" w:rsidRPr="00990D53">
        <w:t>trafne,</w:t>
      </w:r>
      <w:r w:rsidR="00894401" w:rsidRPr="00990D53">
        <w:t xml:space="preserve"> detencja prewencyjna skarżącego nie była arbitralna. Dlatego była „legalna” i </w:t>
      </w:r>
      <w:r w:rsidR="00443618" w:rsidRPr="00990D53">
        <w:t>„zgodna</w:t>
      </w:r>
      <w:r w:rsidR="00894401" w:rsidRPr="00990D53">
        <w:t xml:space="preserve"> z </w:t>
      </w:r>
      <w:r w:rsidR="00443618" w:rsidRPr="00990D53">
        <w:t>prawem</w:t>
      </w:r>
      <w:r w:rsidR="00894401" w:rsidRPr="00990D53">
        <w:t xml:space="preserve">” w rozumieniu art. 5 </w:t>
      </w:r>
      <w:r w:rsidR="00894401" w:rsidRPr="00990D53">
        <w:rPr>
          <w:rFonts w:ascii="Times New Roman" w:hAnsi="Times New Roman" w:cs="Times New Roman"/>
        </w:rPr>
        <w:t>§</w:t>
      </w:r>
      <w:r w:rsidR="00894401" w:rsidRPr="00990D53">
        <w:t xml:space="preserve"> 1. </w:t>
      </w:r>
    </w:p>
    <w:p w:rsidR="005214BC" w:rsidRPr="00990D53" w:rsidRDefault="00E257D8" w:rsidP="00B3060D">
      <w:pPr>
        <w:pStyle w:val="ECHRHeading5"/>
      </w:pPr>
      <w:r w:rsidRPr="00990D53">
        <w:t>(iii</w:t>
      </w:r>
      <w:r w:rsidR="005214BC" w:rsidRPr="00990D53">
        <w:t>)  </w:t>
      </w:r>
      <w:r w:rsidR="00894401" w:rsidRPr="00990D53">
        <w:t xml:space="preserve">Wnioski </w:t>
      </w:r>
    </w:p>
    <w:p w:rsidR="00782469" w:rsidRPr="00990D53" w:rsidRDefault="0036429B" w:rsidP="00B3060D">
      <w:pPr>
        <w:pStyle w:val="ECHRPara"/>
      </w:pPr>
      <w:r w:rsidRPr="00990D53">
        <w:fldChar w:fldCharType="begin"/>
      </w:r>
      <w:r w:rsidRPr="00990D53">
        <w:instrText xml:space="preserve"> SEQ level0 \*arabic </w:instrText>
      </w:r>
      <w:r w:rsidRPr="00990D53">
        <w:fldChar w:fldCharType="separate"/>
      </w:r>
      <w:r w:rsidR="00A31FF5" w:rsidRPr="00990D53">
        <w:t>133</w:t>
      </w:r>
      <w:r w:rsidRPr="00990D53">
        <w:fldChar w:fldCharType="end"/>
      </w:r>
      <w:r w:rsidR="00014566" w:rsidRPr="00990D53">
        <w:t>.  </w:t>
      </w:r>
      <w:r w:rsidR="00894401" w:rsidRPr="00990D53">
        <w:t xml:space="preserve">W związku z powyższym Trybunał stwierdza, że zakwestionowana detencja prewencyjna skarżącego był usprawiedliwiona na mocy art. 5 </w:t>
      </w:r>
      <w:r w:rsidR="00894401" w:rsidRPr="00990D53">
        <w:rPr>
          <w:rFonts w:ascii="Times New Roman" w:hAnsi="Times New Roman" w:cs="Times New Roman"/>
        </w:rPr>
        <w:t>§</w:t>
      </w:r>
      <w:r w:rsidR="00894401" w:rsidRPr="00990D53">
        <w:t xml:space="preserve"> 1 lit. e) jako detencja legalna, orzeczona zgodnie z procedurą przewidzianą przez prawo dla osób „chorych umysłowo”. </w:t>
      </w:r>
    </w:p>
    <w:p w:rsidR="00014566" w:rsidRPr="00990D53" w:rsidRDefault="00782469" w:rsidP="00B3060D">
      <w:pPr>
        <w:pStyle w:val="ECHRPara"/>
      </w:pPr>
      <w:r w:rsidRPr="00990D53">
        <w:fldChar w:fldCharType="begin"/>
      </w:r>
      <w:r w:rsidRPr="00990D53">
        <w:instrText xml:space="preserve"> SEQ level0 \*arabic </w:instrText>
      </w:r>
      <w:r w:rsidRPr="00990D53">
        <w:fldChar w:fldCharType="separate"/>
      </w:r>
      <w:r w:rsidR="00A31FF5" w:rsidRPr="00990D53">
        <w:t>134</w:t>
      </w:r>
      <w:r w:rsidRPr="00990D53">
        <w:fldChar w:fldCharType="end"/>
      </w:r>
      <w:r w:rsidRPr="00990D53">
        <w:t>.  </w:t>
      </w:r>
      <w:r w:rsidR="00894401" w:rsidRPr="00990D53">
        <w:t xml:space="preserve">Dlatego nie stwierdza się naruszenia art. 5 </w:t>
      </w:r>
      <w:r w:rsidR="00894401" w:rsidRPr="00990D53">
        <w:rPr>
          <w:rFonts w:ascii="Times New Roman" w:hAnsi="Times New Roman" w:cs="Times New Roman"/>
        </w:rPr>
        <w:t>§</w:t>
      </w:r>
      <w:r w:rsidR="00894401" w:rsidRPr="00990D53">
        <w:t xml:space="preserve"> 1 Konwencji</w:t>
      </w:r>
      <w:r w:rsidR="00014566" w:rsidRPr="00990D53">
        <w:t>.</w:t>
      </w:r>
    </w:p>
    <w:p w:rsidR="00014566" w:rsidRPr="00990D53" w:rsidRDefault="005D14A2" w:rsidP="00B3060D">
      <w:pPr>
        <w:pStyle w:val="ECHRHeading1"/>
      </w:pPr>
      <w:r w:rsidRPr="00990D53">
        <w:t>II</w:t>
      </w:r>
      <w:r w:rsidR="00014566" w:rsidRPr="00990D53">
        <w:t>.  </w:t>
      </w:r>
      <w:r w:rsidR="00E0105A" w:rsidRPr="00990D53">
        <w:t>ZARZUT NARUSZENIA</w:t>
      </w:r>
      <w:r w:rsidR="00D809D8" w:rsidRPr="00990D53">
        <w:t xml:space="preserve"> ART. 7 </w:t>
      </w:r>
      <w:r w:rsidR="00D809D8" w:rsidRPr="00990D53">
        <w:rPr>
          <w:rFonts w:ascii="Times New Roman" w:hAnsi="Times New Roman" w:cs="Times New Roman"/>
        </w:rPr>
        <w:t>§</w:t>
      </w:r>
      <w:r w:rsidR="00D809D8" w:rsidRPr="00990D53">
        <w:t xml:space="preserve"> 1 KONWENCJI </w:t>
      </w:r>
    </w:p>
    <w:p w:rsidR="001406D6" w:rsidRPr="00990D53" w:rsidRDefault="001406D6" w:rsidP="00B3060D">
      <w:pPr>
        <w:pStyle w:val="ECHRPara"/>
      </w:pPr>
      <w:r w:rsidRPr="00990D53">
        <w:fldChar w:fldCharType="begin"/>
      </w:r>
      <w:r w:rsidRPr="00990D53">
        <w:instrText xml:space="preserve"> SEQ level0 \*arabic </w:instrText>
      </w:r>
      <w:r w:rsidRPr="00990D53">
        <w:fldChar w:fldCharType="separate"/>
      </w:r>
      <w:r w:rsidR="00A31FF5" w:rsidRPr="00990D53">
        <w:t>135</w:t>
      </w:r>
      <w:r w:rsidRPr="00990D53">
        <w:fldChar w:fldCharType="end"/>
      </w:r>
      <w:r w:rsidRPr="00990D53">
        <w:t>.  </w:t>
      </w:r>
      <w:r w:rsidR="00D809D8" w:rsidRPr="00990D53">
        <w:t>Skarżący następnie stwierdził, że retrospektywne przedłużenie jego detencji prewencyjnej po</w:t>
      </w:r>
      <w:r w:rsidR="00443618" w:rsidRPr="00990D53">
        <w:t>nad</w:t>
      </w:r>
      <w:r w:rsidR="00D809D8" w:rsidRPr="00990D53">
        <w:t xml:space="preserve"> wcześniej obowiązujący maksymalny </w:t>
      </w:r>
      <w:r w:rsidR="00443618" w:rsidRPr="00990D53">
        <w:t>limit</w:t>
      </w:r>
      <w:r w:rsidR="00D809D8" w:rsidRPr="00990D53">
        <w:t xml:space="preserve"> dziesięciu lat, stanowiło naruszenie zakazu retrospektywnego karania w rozu</w:t>
      </w:r>
      <w:r w:rsidR="00CE72BA" w:rsidRPr="00990D53">
        <w:t xml:space="preserve">mieniu art. 7 </w:t>
      </w:r>
      <w:r w:rsidR="00CE72BA" w:rsidRPr="00990D53">
        <w:rPr>
          <w:rFonts w:ascii="Times New Roman" w:hAnsi="Times New Roman" w:cs="Times New Roman"/>
        </w:rPr>
        <w:t>§</w:t>
      </w:r>
      <w:r w:rsidR="00CE72BA" w:rsidRPr="00990D53">
        <w:t xml:space="preserve"> 1 Konwencji, który brzmi następująco: </w:t>
      </w:r>
    </w:p>
    <w:p w:rsidR="007D0A92" w:rsidRPr="00990D53" w:rsidRDefault="007D0A92" w:rsidP="00B3060D">
      <w:pPr>
        <w:pStyle w:val="ECHRParaQuote"/>
      </w:pPr>
      <w:r w:rsidRPr="00990D53">
        <w:t>“1. </w:t>
      </w:r>
      <w:r w:rsidR="00CE72BA" w:rsidRPr="00990D53">
        <w:t xml:space="preserve"> Nikt nie może być uznany za winnego popełnienia czynu polegającego na działaniu lub zaniechaniu działania, który według prawa wewnętrznego lub międzynarodowego nie stanowił czynu zagrożonego karą w czasie jego popełnienia. Nie będzie również wymierzona kara surowsza od tej, którą można było wymierzyć w czasie, gdy czyn zagrożony karą został popełniony</w:t>
      </w:r>
      <w:r w:rsidRPr="00990D53">
        <w:t>.”</w:t>
      </w:r>
    </w:p>
    <w:p w:rsidR="001406D6" w:rsidRPr="00990D53" w:rsidRDefault="001406D6" w:rsidP="00B3060D">
      <w:pPr>
        <w:pStyle w:val="ECHRPara"/>
      </w:pPr>
      <w:r w:rsidRPr="00990D53">
        <w:fldChar w:fldCharType="begin"/>
      </w:r>
      <w:r w:rsidRPr="00990D53">
        <w:instrText xml:space="preserve"> SEQ level0 \*arabic </w:instrText>
      </w:r>
      <w:r w:rsidRPr="00990D53">
        <w:fldChar w:fldCharType="separate"/>
      </w:r>
      <w:r w:rsidR="00A31FF5" w:rsidRPr="00990D53">
        <w:t>136</w:t>
      </w:r>
      <w:r w:rsidRPr="00990D53">
        <w:fldChar w:fldCharType="end"/>
      </w:r>
      <w:r w:rsidRPr="00990D53">
        <w:t>.  </w:t>
      </w:r>
      <w:r w:rsidR="00A55FBB" w:rsidRPr="00990D53">
        <w:t>Rząd zakwestionował to oskarżenie</w:t>
      </w:r>
      <w:r w:rsidRPr="00990D53">
        <w:t>.</w:t>
      </w:r>
    </w:p>
    <w:p w:rsidR="001406D6" w:rsidRPr="00990D53" w:rsidRDefault="001406D6" w:rsidP="00B3060D">
      <w:pPr>
        <w:pStyle w:val="ECHRHeading2"/>
        <w:outlineLvl w:val="0"/>
      </w:pPr>
      <w:r w:rsidRPr="00990D53">
        <w:lastRenderedPageBreak/>
        <w:t>A.  </w:t>
      </w:r>
      <w:r w:rsidR="00A55FBB" w:rsidRPr="00990D53">
        <w:t>Dopuszczalność</w:t>
      </w:r>
    </w:p>
    <w:p w:rsidR="001406D6" w:rsidRPr="00990D53" w:rsidRDefault="001406D6" w:rsidP="00B3060D">
      <w:pPr>
        <w:pStyle w:val="ECHRPara"/>
      </w:pPr>
      <w:r w:rsidRPr="00990D53">
        <w:fldChar w:fldCharType="begin"/>
      </w:r>
      <w:r w:rsidRPr="00990D53">
        <w:instrText xml:space="preserve"> SEQ level0 \*arabic </w:instrText>
      </w:r>
      <w:r w:rsidRPr="00990D53">
        <w:fldChar w:fldCharType="separate"/>
      </w:r>
      <w:r w:rsidR="00A31FF5" w:rsidRPr="00990D53">
        <w:t>137</w:t>
      </w:r>
      <w:r w:rsidRPr="00990D53">
        <w:fldChar w:fldCharType="end"/>
      </w:r>
      <w:r w:rsidRPr="00990D53">
        <w:t>.  </w:t>
      </w:r>
      <w:r w:rsidR="00A55FBB" w:rsidRPr="00990D53">
        <w:t xml:space="preserve">Trybunał stwierdza, że skarga nie jest w sposób oczywisty nieuzasadniona w rozumieniu art. 35 </w:t>
      </w:r>
      <w:r w:rsidR="00A55FBB" w:rsidRPr="00990D53">
        <w:rPr>
          <w:rFonts w:ascii="Times New Roman" w:hAnsi="Times New Roman" w:cs="Times New Roman"/>
        </w:rPr>
        <w:t>§</w:t>
      </w:r>
      <w:r w:rsidR="00A55FBB" w:rsidRPr="00990D53">
        <w:t xml:space="preserve"> 3 lit. a) Konwencji. Nie jest również nieuzasadniona na żadnym innym gruncie, mając na uwadze ustalenia poczynione powyżej (zob. par. 80 powyżej). W związku z tym uznaje ją za dopuszczalną. </w:t>
      </w:r>
    </w:p>
    <w:p w:rsidR="001406D6" w:rsidRPr="00990D53" w:rsidRDefault="001406D6" w:rsidP="00B3060D">
      <w:pPr>
        <w:pStyle w:val="ECHRHeading2"/>
        <w:outlineLvl w:val="0"/>
      </w:pPr>
      <w:r w:rsidRPr="00990D53">
        <w:t>B.  </w:t>
      </w:r>
      <w:r w:rsidR="00EA31AC" w:rsidRPr="00990D53">
        <w:t>Przedmiot skargi</w:t>
      </w:r>
    </w:p>
    <w:p w:rsidR="00F00317" w:rsidRPr="00990D53" w:rsidRDefault="00F00317" w:rsidP="00B3060D">
      <w:pPr>
        <w:pStyle w:val="ECHRHeading3"/>
      </w:pPr>
      <w:r w:rsidRPr="00990D53">
        <w:t>1. </w:t>
      </w:r>
      <w:r w:rsidR="00C52156" w:rsidRPr="00990D53">
        <w:t>Wnioski stron</w:t>
      </w:r>
      <w:r w:rsidRPr="00990D53">
        <w:t> </w:t>
      </w:r>
    </w:p>
    <w:p w:rsidR="00F00317" w:rsidRPr="00990D53" w:rsidRDefault="00F00317" w:rsidP="00B3060D">
      <w:pPr>
        <w:pStyle w:val="ECHRHeading4"/>
      </w:pPr>
      <w:r w:rsidRPr="00990D53">
        <w:t>(a)  </w:t>
      </w:r>
      <w:r w:rsidR="00C52156" w:rsidRPr="00990D53">
        <w:t>Skarżący</w:t>
      </w:r>
    </w:p>
    <w:p w:rsidR="008B139B"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138</w:t>
      </w:r>
      <w:r w:rsidRPr="00990D53">
        <w:fldChar w:fldCharType="end"/>
      </w:r>
      <w:r w:rsidR="001406D6" w:rsidRPr="00990D53">
        <w:t>.  </w:t>
      </w:r>
      <w:r w:rsidR="00C52156" w:rsidRPr="00990D53">
        <w:t xml:space="preserve">Skarżący jest zdania, że </w:t>
      </w:r>
      <w:r w:rsidR="00A53915" w:rsidRPr="00990D53">
        <w:t xml:space="preserve">retrospektywne </w:t>
      </w:r>
      <w:r w:rsidR="00C52156" w:rsidRPr="00990D53">
        <w:t xml:space="preserve">orzeczenie surowszej kary w postaci przedłużenia detencji prewencyjnej ponad wcześniej obowiązujący dziesięcioletni limit, stanowi naruszenie drugiego zdania art. 7 </w:t>
      </w:r>
      <w:r w:rsidR="00C52156" w:rsidRPr="00990D53">
        <w:rPr>
          <w:rFonts w:ascii="Times New Roman" w:hAnsi="Times New Roman" w:cs="Times New Roman"/>
        </w:rPr>
        <w:t>§</w:t>
      </w:r>
      <w:r w:rsidR="00C52156" w:rsidRPr="00990D53">
        <w:t xml:space="preserve"> 1 Konwencji. </w:t>
      </w:r>
    </w:p>
    <w:p w:rsidR="001A2DF0"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139</w:t>
      </w:r>
      <w:r w:rsidRPr="00990D53">
        <w:fldChar w:fldCharType="end"/>
      </w:r>
      <w:r w:rsidR="002A00D6" w:rsidRPr="00990D53">
        <w:t>.  </w:t>
      </w:r>
      <w:r w:rsidR="00C52156" w:rsidRPr="00990D53">
        <w:t xml:space="preserve">Skarżący twierdził, że jego sytuacja jest porównywalna do sytuacji skarżącego w sprawie </w:t>
      </w:r>
      <w:r w:rsidR="00401EEB" w:rsidRPr="00990D53">
        <w:rPr>
          <w:i/>
        </w:rPr>
        <w:t xml:space="preserve">M. </w:t>
      </w:r>
      <w:r w:rsidR="00C52156" w:rsidRPr="00990D53">
        <w:rPr>
          <w:i/>
        </w:rPr>
        <w:t>przeciwko Niemcom</w:t>
      </w:r>
      <w:r w:rsidR="00401EEB" w:rsidRPr="00990D53">
        <w:t xml:space="preserve"> (</w:t>
      </w:r>
      <w:r w:rsidR="00C52156" w:rsidRPr="00990D53">
        <w:t>cyt. powyżej</w:t>
      </w:r>
      <w:r w:rsidR="00401EEB" w:rsidRPr="00990D53">
        <w:t xml:space="preserve">), </w:t>
      </w:r>
      <w:r w:rsidR="00C52156" w:rsidRPr="00990D53">
        <w:t xml:space="preserve">gdzie Trybunał </w:t>
      </w:r>
      <w:r w:rsidR="001A2DF0" w:rsidRPr="00990D53">
        <w:t xml:space="preserve">uznał, że retrospektywne przedłużenie detencji prewencyjnej ponad wcześniej obowiązujący dziesięcioletni limit stanowiło naruszenie art. 7 </w:t>
      </w:r>
      <w:r w:rsidR="001A2DF0" w:rsidRPr="00990D53">
        <w:rPr>
          <w:rFonts w:ascii="Times New Roman" w:hAnsi="Times New Roman" w:cs="Times New Roman"/>
        </w:rPr>
        <w:t>§</w:t>
      </w:r>
      <w:r w:rsidR="001A2DF0" w:rsidRPr="00990D53">
        <w:t xml:space="preserve"> 1. Wkrótce Trybunał potwierdził swoje stanowisko w sprawie </w:t>
      </w:r>
      <w:r w:rsidR="00401EEB" w:rsidRPr="00990D53">
        <w:t xml:space="preserve"> </w:t>
      </w:r>
      <w:r w:rsidR="007D06C0" w:rsidRPr="00990D53">
        <w:rPr>
          <w:i/>
        </w:rPr>
        <w:t xml:space="preserve">Glien </w:t>
      </w:r>
      <w:r w:rsidR="007D06C0" w:rsidRPr="00990D53">
        <w:rPr>
          <w:snapToGrid w:val="0"/>
        </w:rPr>
        <w:t>(</w:t>
      </w:r>
      <w:r w:rsidR="001A2DF0" w:rsidRPr="00990D53">
        <w:t>cyt. powyżej</w:t>
      </w:r>
      <w:r w:rsidR="007D06C0" w:rsidRPr="00990D53">
        <w:rPr>
          <w:snapToGrid w:val="0"/>
        </w:rPr>
        <w:t xml:space="preserve">). </w:t>
      </w:r>
      <w:r w:rsidR="001A2DF0" w:rsidRPr="00990D53">
        <w:rPr>
          <w:snapToGrid w:val="0"/>
        </w:rPr>
        <w:t xml:space="preserve">Ustalenia Trybunału, które przedstawił, mają zastosowanie również w niniejsze sprawie. </w:t>
      </w:r>
    </w:p>
    <w:p w:rsidR="00F00317"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140</w:t>
      </w:r>
      <w:r w:rsidRPr="00990D53">
        <w:fldChar w:fldCharType="end"/>
      </w:r>
      <w:r w:rsidR="008D585C" w:rsidRPr="00990D53">
        <w:t>.  </w:t>
      </w:r>
      <w:r w:rsidR="00270EFE" w:rsidRPr="00990D53">
        <w:t>Skarżący twierdził, że był dalej osadzony w więzieniu. Jego leczenie nie różniło się od tego zaoferowanego w więzieniu w Celle. Rodzaje terapii były ograniczone. Dalej podkreślił, że zgodził się na przyj</w:t>
      </w:r>
      <w:r w:rsidR="005E15C2" w:rsidRPr="00990D53">
        <w:t>m</w:t>
      </w:r>
      <w:r w:rsidR="00270EFE" w:rsidRPr="00990D53">
        <w:t xml:space="preserve">owanie leków zmniejszających jego libido. </w:t>
      </w:r>
    </w:p>
    <w:p w:rsidR="00F00317" w:rsidRPr="00990D53" w:rsidRDefault="00F00317" w:rsidP="00B3060D">
      <w:pPr>
        <w:pStyle w:val="ECHRHeading4"/>
      </w:pPr>
      <w:r w:rsidRPr="00990D53">
        <w:t>(b)  </w:t>
      </w:r>
      <w:r w:rsidR="00270EFE" w:rsidRPr="00990D53">
        <w:t>Rząd</w:t>
      </w:r>
    </w:p>
    <w:p w:rsidR="000C78B1" w:rsidRPr="00990D53" w:rsidRDefault="001406D6" w:rsidP="00B3060D">
      <w:pPr>
        <w:pStyle w:val="ECHRPara"/>
      </w:pPr>
      <w:r w:rsidRPr="00990D53">
        <w:fldChar w:fldCharType="begin"/>
      </w:r>
      <w:r w:rsidRPr="00990D53">
        <w:instrText xml:space="preserve"> SEQ level0 \*arabic </w:instrText>
      </w:r>
      <w:r w:rsidRPr="00990D53">
        <w:fldChar w:fldCharType="separate"/>
      </w:r>
      <w:r w:rsidR="00A31FF5" w:rsidRPr="00990D53">
        <w:t>141</w:t>
      </w:r>
      <w:r w:rsidRPr="00990D53">
        <w:fldChar w:fldCharType="end"/>
      </w:r>
      <w:r w:rsidR="000C78B1" w:rsidRPr="00990D53">
        <w:t>.  </w:t>
      </w:r>
      <w:r w:rsidR="00270EFE" w:rsidRPr="00990D53">
        <w:t>Rząd stwierdził, że przedłużenie detencji prewencyjne</w:t>
      </w:r>
      <w:r w:rsidR="00A53915" w:rsidRPr="00990D53">
        <w:t>j</w:t>
      </w:r>
      <w:r w:rsidR="00270EFE" w:rsidRPr="00990D53">
        <w:t xml:space="preserve"> skarżącego ponad wcześniej obowiązujący dziesięcioletni limit, było zgodne z art. 7 </w:t>
      </w:r>
      <w:r w:rsidR="00270EFE" w:rsidRPr="00990D53">
        <w:rPr>
          <w:rFonts w:ascii="Times New Roman" w:hAnsi="Times New Roman" w:cs="Times New Roman"/>
        </w:rPr>
        <w:t>§</w:t>
      </w:r>
      <w:r w:rsidR="00270EFE" w:rsidRPr="00990D53">
        <w:t xml:space="preserve"> 1 Konwencji. </w:t>
      </w:r>
    </w:p>
    <w:p w:rsidR="000C78B1" w:rsidRPr="00990D53" w:rsidRDefault="00755169" w:rsidP="00B3060D">
      <w:pPr>
        <w:pStyle w:val="ECHRPara"/>
      </w:pPr>
      <w:r w:rsidRPr="00990D53">
        <w:fldChar w:fldCharType="begin"/>
      </w:r>
      <w:r w:rsidRPr="00990D53">
        <w:instrText xml:space="preserve"> SEQ level0 \*arabic </w:instrText>
      </w:r>
      <w:r w:rsidRPr="00990D53">
        <w:fldChar w:fldCharType="separate"/>
      </w:r>
      <w:r w:rsidR="00A31FF5" w:rsidRPr="00990D53">
        <w:t>142</w:t>
      </w:r>
      <w:r w:rsidRPr="00990D53">
        <w:fldChar w:fldCharType="end"/>
      </w:r>
      <w:r w:rsidRPr="00990D53">
        <w:t>.  </w:t>
      </w:r>
      <w:r w:rsidR="00270EFE" w:rsidRPr="00990D53">
        <w:t>Rząd uważał, że kara początkowo nałożona na skarżącego została zastąpiona inną, czego głównym celem było leczenie skarżącego jako osoby chorej psychicznie i ochrona społeczeństwa. Ze względu na faktyczną i legalną formę detencji</w:t>
      </w:r>
      <w:r w:rsidR="00A53915" w:rsidRPr="00990D53">
        <w:t xml:space="preserve"> prewencyjnej,</w:t>
      </w:r>
      <w:r w:rsidR="00270EFE" w:rsidRPr="00990D53">
        <w:t xml:space="preserve"> środek ten nie stanowił dłużej kary w rozumieniu art. 7 </w:t>
      </w:r>
      <w:r w:rsidR="00270EFE" w:rsidRPr="00990D53">
        <w:rPr>
          <w:rFonts w:ascii="Times New Roman" w:hAnsi="Times New Roman" w:cs="Times New Roman"/>
        </w:rPr>
        <w:t>§</w:t>
      </w:r>
      <w:r w:rsidR="00270EFE" w:rsidRPr="00990D53">
        <w:t xml:space="preserve"> 1, przynajmniej w </w:t>
      </w:r>
      <w:r w:rsidR="00A53915" w:rsidRPr="00990D53">
        <w:t>tym okresie</w:t>
      </w:r>
      <w:r w:rsidR="00270EFE" w:rsidRPr="00990D53">
        <w:t>, od lipca 2013 r</w:t>
      </w:r>
      <w:r w:rsidR="002D5170" w:rsidRPr="00990D53">
        <w:t>.</w:t>
      </w:r>
    </w:p>
    <w:p w:rsidR="000C78B1" w:rsidRPr="00990D53" w:rsidRDefault="00755169" w:rsidP="00B3060D">
      <w:pPr>
        <w:pStyle w:val="ECHRPara"/>
      </w:pPr>
      <w:r w:rsidRPr="00990D53">
        <w:fldChar w:fldCharType="begin"/>
      </w:r>
      <w:r w:rsidRPr="00990D53">
        <w:instrText xml:space="preserve"> SEQ level0 \*arabic </w:instrText>
      </w:r>
      <w:r w:rsidRPr="00990D53">
        <w:fldChar w:fldCharType="separate"/>
      </w:r>
      <w:r w:rsidR="00A31FF5" w:rsidRPr="00990D53">
        <w:t>143</w:t>
      </w:r>
      <w:r w:rsidRPr="00990D53">
        <w:fldChar w:fldCharType="end"/>
      </w:r>
      <w:r w:rsidRPr="00990D53">
        <w:t>. </w:t>
      </w:r>
      <w:r w:rsidR="00C163EC" w:rsidRPr="00990D53">
        <w:t>W poglądzie Rządu detencja prewencyjna została sklasyfikowana jako kara przez Trybunał w jego wyroku w sprawie</w:t>
      </w:r>
      <w:r w:rsidR="007D4339" w:rsidRPr="00990D53">
        <w:t xml:space="preserve"> </w:t>
      </w:r>
      <w:r w:rsidR="007D4339" w:rsidRPr="00990D53">
        <w:rPr>
          <w:i/>
        </w:rPr>
        <w:t xml:space="preserve">M. </w:t>
      </w:r>
      <w:r w:rsidR="00C163EC" w:rsidRPr="00990D53">
        <w:rPr>
          <w:i/>
        </w:rPr>
        <w:t>przeciwko Niemcom</w:t>
      </w:r>
      <w:r w:rsidR="007D4339" w:rsidRPr="00990D53">
        <w:t xml:space="preserve"> </w:t>
      </w:r>
      <w:r w:rsidR="00E82B3E" w:rsidRPr="00990D53">
        <w:t>(</w:t>
      </w:r>
      <w:r w:rsidR="00C163EC" w:rsidRPr="00990D53">
        <w:rPr>
          <w:snapToGrid w:val="0"/>
        </w:rPr>
        <w:t>cyt. powyżej</w:t>
      </w:r>
      <w:r w:rsidR="007D4339" w:rsidRPr="00990D53">
        <w:t xml:space="preserve">, § </w:t>
      </w:r>
      <w:r w:rsidR="00DA077D" w:rsidRPr="00990D53">
        <w:t>127</w:t>
      </w:r>
      <w:r w:rsidR="00E82B3E" w:rsidRPr="00990D53">
        <w:t>),</w:t>
      </w:r>
      <w:r w:rsidR="00C163EC" w:rsidRPr="00990D53">
        <w:t xml:space="preserve"> w szczególności ponieważ nie ma istotnej różnicy pomiędzy karą więzienia a detencją prewencyjną. To wnioskowanie nie było uzasadnione w stosunku do </w:t>
      </w:r>
      <w:r w:rsidR="005E15C2" w:rsidRPr="00990D53">
        <w:t>przedłużenia</w:t>
      </w:r>
      <w:r w:rsidR="00C163EC" w:rsidRPr="00990D53">
        <w:t xml:space="preserve"> detencji prewencyjnej skarżącego orzeczonego w li</w:t>
      </w:r>
      <w:r w:rsidR="00A53915" w:rsidRPr="00990D53">
        <w:t>pcu 2013 r. Odnosząc się do wnioskowania o</w:t>
      </w:r>
      <w:r w:rsidR="00C163EC" w:rsidRPr="00990D53">
        <w:t xml:space="preserve"> </w:t>
      </w:r>
      <w:r w:rsidR="00C163EC" w:rsidRPr="00990D53">
        <w:lastRenderedPageBreak/>
        <w:t xml:space="preserve">art. 5 </w:t>
      </w:r>
      <w:r w:rsidR="00C163EC" w:rsidRPr="00990D53">
        <w:rPr>
          <w:rFonts w:ascii="Times New Roman" w:hAnsi="Times New Roman" w:cs="Times New Roman"/>
        </w:rPr>
        <w:t>§</w:t>
      </w:r>
      <w:r w:rsidR="00C163EC" w:rsidRPr="00990D53">
        <w:t xml:space="preserve"> 1 </w:t>
      </w:r>
      <w:r w:rsidR="00A53915" w:rsidRPr="00990D53">
        <w:t>stwierdza się, że</w:t>
      </w:r>
      <w:r w:rsidR="00C163EC" w:rsidRPr="00990D53">
        <w:t xml:space="preserve"> detencja prewencyjna skarżącego w centrum detencji prewencyjnej na terenie więzienia w Rosdorf była zgodna z</w:t>
      </w:r>
      <w:r w:rsidR="00AB3111" w:rsidRPr="00990D53">
        <w:t xml:space="preserve"> wymogiem konstytucyjnym rozróżnienia </w:t>
      </w:r>
      <w:r w:rsidR="00153B0D" w:rsidRPr="00990D53">
        <w:t xml:space="preserve">warunków </w:t>
      </w:r>
      <w:r w:rsidR="00AB3111" w:rsidRPr="00990D53">
        <w:t>detencji prewencyjne</w:t>
      </w:r>
      <w:r w:rsidR="00153B0D" w:rsidRPr="00990D53">
        <w:t xml:space="preserve">j od </w:t>
      </w:r>
      <w:r w:rsidR="00AB3111" w:rsidRPr="00990D53">
        <w:t>więzienia. Wszy</w:t>
      </w:r>
      <w:r w:rsidR="00153B0D" w:rsidRPr="00990D53">
        <w:t>st</w:t>
      </w:r>
      <w:r w:rsidR="00A53915" w:rsidRPr="00990D53">
        <w:t>kie środki lecznicze</w:t>
      </w:r>
      <w:r w:rsidR="00AB3111" w:rsidRPr="00990D53">
        <w:t xml:space="preserve"> niezbędne skarżącemu były dostępne oraz zostały mu zaoferowane</w:t>
      </w:r>
      <w:r w:rsidR="00DF2CF8" w:rsidRPr="00990D53">
        <w:t>.</w:t>
      </w:r>
    </w:p>
    <w:p w:rsidR="00D27B98" w:rsidRPr="00990D53" w:rsidRDefault="00A91662" w:rsidP="00B3060D">
      <w:pPr>
        <w:pStyle w:val="ECHRPara"/>
        <w:rPr>
          <w:szCs w:val="24"/>
        </w:rPr>
      </w:pPr>
      <w:r w:rsidRPr="00990D53">
        <w:fldChar w:fldCharType="begin"/>
      </w:r>
      <w:r w:rsidRPr="00990D53">
        <w:instrText xml:space="preserve"> SEQ level0 \*arabic </w:instrText>
      </w:r>
      <w:r w:rsidRPr="00990D53">
        <w:fldChar w:fldCharType="separate"/>
      </w:r>
      <w:r w:rsidR="00A31FF5" w:rsidRPr="00990D53">
        <w:t>144</w:t>
      </w:r>
      <w:r w:rsidRPr="00990D53">
        <w:fldChar w:fldCharType="end"/>
      </w:r>
      <w:r w:rsidR="00755169" w:rsidRPr="00990D53">
        <w:t>.  </w:t>
      </w:r>
      <w:r w:rsidR="00AB3111" w:rsidRPr="00990D53">
        <w:t>Co wi</w:t>
      </w:r>
      <w:r w:rsidR="00C43A60" w:rsidRPr="00990D53">
        <w:t>ęcej, detencja prewencyjna była regulowana na mocy innych przepisów, niż te, które obowiązywały w przypadku więzienia.</w:t>
      </w:r>
      <w:r w:rsidR="00110E7D" w:rsidRPr="00990D53">
        <w:t xml:space="preserve"> </w:t>
      </w:r>
      <w:r w:rsidR="00AB3111" w:rsidRPr="00990D53">
        <w:t xml:space="preserve">Na mocy sekcji 2 i 3 Ustawy o Detencji Prewencyjnej Dolnej Saksonii (zob. par. 57 i 59 powyżej), która weszła w życie w dniu 1 czerwca 2013 r., istotnym znaczeniem detencji prewencyjnej był jej wpływ na zminimalizowanie zagrożenia, które stwarzał osadzony, poprzez wykorzystanie wszystkich dostępnych </w:t>
      </w:r>
      <w:r w:rsidR="00A53915" w:rsidRPr="00990D53">
        <w:t>wariantów</w:t>
      </w:r>
      <w:r w:rsidR="00AB3111" w:rsidRPr="00990D53">
        <w:t xml:space="preserve"> leczenia, by doprowadzić do zwolnienia osadzonego w najszybszym możliwym czasie. Nie wspomniano o </w:t>
      </w:r>
      <w:r w:rsidR="00C43A60" w:rsidRPr="00990D53">
        <w:t xml:space="preserve">uświadamianiu o powadze przestępstwa. </w:t>
      </w:r>
      <w:r w:rsidR="00AB3111" w:rsidRPr="00990D53">
        <w:t xml:space="preserve">Środek ten nie stanowił kary w rozumieniu art. 7 </w:t>
      </w:r>
      <w:r w:rsidR="00AB3111" w:rsidRPr="00990D53">
        <w:rPr>
          <w:rFonts w:ascii="Times New Roman" w:hAnsi="Times New Roman" w:cs="Times New Roman"/>
        </w:rPr>
        <w:t>§</w:t>
      </w:r>
      <w:r w:rsidR="00AB3111" w:rsidRPr="00990D53">
        <w:t xml:space="preserve"> 1. </w:t>
      </w:r>
    </w:p>
    <w:p w:rsidR="0051433C"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145</w:t>
      </w:r>
      <w:r w:rsidRPr="00990D53">
        <w:fldChar w:fldCharType="end"/>
      </w:r>
      <w:r w:rsidR="00755169" w:rsidRPr="00990D53">
        <w:t>. </w:t>
      </w:r>
      <w:r w:rsidR="0088006D" w:rsidRPr="00990D53">
        <w:t>Rząd przyznał, że placówka detencji prewencyjnej w Rosdorf była prowadzona na terenie więzienia Rosdorf. Powodem tej sytuacji było umożliwienie osobom przebywającym w detencji prewencyjnej korzystanie z urządzeń sportowych i wypoczynkowych dostępnych w więzieniu, a także by ułatwić dostęp do środków terapii grup</w:t>
      </w:r>
      <w:r w:rsidR="00A53915" w:rsidRPr="00990D53">
        <w:t>owej, które były prowadzone po</w:t>
      </w:r>
      <w:r w:rsidR="0088006D" w:rsidRPr="00990D53">
        <w:t xml:space="preserve"> zebraniu odpowiedniej liczby uczestników.</w:t>
      </w:r>
      <w:r w:rsidR="00755169" w:rsidRPr="00990D53">
        <w:t> </w:t>
      </w:r>
    </w:p>
    <w:p w:rsidR="0088006D"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146</w:t>
      </w:r>
      <w:r w:rsidRPr="00990D53">
        <w:fldChar w:fldCharType="end"/>
      </w:r>
      <w:r w:rsidR="00755169" w:rsidRPr="00990D53">
        <w:t>.  </w:t>
      </w:r>
      <w:r w:rsidR="00A459F7" w:rsidRPr="00990D53">
        <w:t>Rząd dalej przyznał, że postanowie</w:t>
      </w:r>
      <w:r w:rsidR="00A53915" w:rsidRPr="00990D53">
        <w:t>nia</w:t>
      </w:r>
      <w:r w:rsidR="0088006D" w:rsidRPr="00990D53">
        <w:t xml:space="preserve"> o kontynuacji detencji prewencyjne</w:t>
      </w:r>
      <w:r w:rsidR="00A53915" w:rsidRPr="00990D53">
        <w:t>j były</w:t>
      </w:r>
      <w:r w:rsidR="0088006D" w:rsidRPr="00990D53">
        <w:t xml:space="preserve"> wydawane przez sądy orzekające w sprawie, przynależące do systemu sprawiedliwości karnej, nie cywilnej. Było to kierowane względami praktyczności. Sądy odpowiedzialne za wydawanie orzeczeń rozważały również kwestie związane z osadzeniem w szpitalu psychiatrycznym, zgodnie z art. 63 Kodeksu karnego. Z związku z tym sądy te były szczególnie doświadczone w ocenie konieczności ograniczania </w:t>
      </w:r>
      <w:r w:rsidR="00A53915" w:rsidRPr="00990D53">
        <w:t xml:space="preserve">wolności </w:t>
      </w:r>
      <w:r w:rsidR="0088006D" w:rsidRPr="00990D53">
        <w:t xml:space="preserve">pacjentów chorych psychicznie. </w:t>
      </w:r>
    </w:p>
    <w:p w:rsidR="000D2D59"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147</w:t>
      </w:r>
      <w:r w:rsidRPr="00990D53">
        <w:fldChar w:fldCharType="end"/>
      </w:r>
      <w:r w:rsidR="00BB190D" w:rsidRPr="00990D53">
        <w:t>.  </w:t>
      </w:r>
      <w:r w:rsidR="0088006D" w:rsidRPr="00990D53">
        <w:t xml:space="preserve">W sprawie surowości środka detencji prewencyjnej, Rząd podkreślił, że osadzeni mieli rzeczywiste szanse na zwolnienie. Istniało domniemanie oparte na art. 67 d </w:t>
      </w:r>
      <w:r w:rsidR="0088006D" w:rsidRPr="00990D53">
        <w:rPr>
          <w:rFonts w:ascii="Times New Roman" w:hAnsi="Times New Roman" w:cs="Times New Roman"/>
        </w:rPr>
        <w:t>§</w:t>
      </w:r>
      <w:r w:rsidR="0088006D" w:rsidRPr="00990D53">
        <w:t xml:space="preserve"> 3 Kodeksu karnego, że osoba, która odbyła dziesięć lat detencji prewencyjnej, nie stanowiła dłużej zagrożenia</w:t>
      </w:r>
      <w:r w:rsidR="00CC2E38" w:rsidRPr="00990D53">
        <w:t>, które to domniemanie należało obalić</w:t>
      </w:r>
      <w:r w:rsidR="00A53915" w:rsidRPr="00990D53">
        <w:t>.</w:t>
      </w:r>
      <w:r w:rsidR="00CC2E38" w:rsidRPr="00990D53">
        <w:t xml:space="preserve"> </w:t>
      </w:r>
      <w:r w:rsidR="00A53915" w:rsidRPr="00990D53">
        <w:t>Należało również udowodnić, że ze względu</w:t>
      </w:r>
      <w:r w:rsidR="00CC2E38" w:rsidRPr="00990D53">
        <w:t xml:space="preserve"> na zaburzenie ps</w:t>
      </w:r>
      <w:r w:rsidR="00A53915" w:rsidRPr="00990D53">
        <w:t xml:space="preserve">ychiczne osadzony, w razie </w:t>
      </w:r>
      <w:r w:rsidR="00CC2E38" w:rsidRPr="00990D53">
        <w:t>zwolnienia, popełniłby najbardziej poważne przestępstwa z użyciem przemocy lub na tle seksualnym.</w:t>
      </w:r>
    </w:p>
    <w:p w:rsidR="005A6D4F" w:rsidRPr="00990D53" w:rsidRDefault="00BB190D" w:rsidP="00B3060D">
      <w:pPr>
        <w:pStyle w:val="ECHRPara"/>
      </w:pPr>
      <w:r w:rsidRPr="00990D53">
        <w:fldChar w:fldCharType="begin"/>
      </w:r>
      <w:r w:rsidRPr="00990D53">
        <w:instrText xml:space="preserve"> SEQ level0 \*arabic </w:instrText>
      </w:r>
      <w:r w:rsidRPr="00990D53">
        <w:fldChar w:fldCharType="separate"/>
      </w:r>
      <w:r w:rsidR="00A31FF5" w:rsidRPr="00990D53">
        <w:t>148</w:t>
      </w:r>
      <w:r w:rsidRPr="00990D53">
        <w:fldChar w:fldCharType="end"/>
      </w:r>
      <w:r w:rsidRPr="00990D53">
        <w:t>.  </w:t>
      </w:r>
      <w:r w:rsidR="00CC2E38" w:rsidRPr="00990D53">
        <w:t>Rząd stwierdził, że w praktyce, dwadzieścia jeden procent</w:t>
      </w:r>
      <w:r w:rsidR="00A53915" w:rsidRPr="00990D53">
        <w:t xml:space="preserve"> spraw z roku 2011</w:t>
      </w:r>
      <w:r w:rsidR="00CC2E38" w:rsidRPr="00990D53">
        <w:t xml:space="preserve"> dotyczących zakończenia detencji prewencyjnej, opierała się na skardze na bardziej restrykcyjną legisl</w:t>
      </w:r>
      <w:r w:rsidR="00A53915" w:rsidRPr="00990D53">
        <w:t>ację lub zaostrzone standardy, wyznaczone</w:t>
      </w:r>
      <w:r w:rsidR="00CC2E38" w:rsidRPr="00990D53">
        <w:t xml:space="preserve"> przez Federalny Trybunał Konstytucyjny w </w:t>
      </w:r>
      <w:r w:rsidR="00A53915" w:rsidRPr="00990D53">
        <w:t>j</w:t>
      </w:r>
      <w:r w:rsidR="00CC2E38" w:rsidRPr="00990D53">
        <w:t>ego wyroku z dnia 4 maja 2011 r. Przeciętny czas trwania detencji prewencyjnej w 2011 roku wynosił 6</w:t>
      </w:r>
      <w:r w:rsidR="00F378A9" w:rsidRPr="00990D53">
        <w:t xml:space="preserve"> lat i </w:t>
      </w:r>
      <w:r w:rsidR="00CC2E38" w:rsidRPr="00990D53">
        <w:t xml:space="preserve">2 </w:t>
      </w:r>
      <w:r w:rsidR="00F378A9" w:rsidRPr="00990D53">
        <w:t>miesiące</w:t>
      </w:r>
      <w:r w:rsidR="00CC2E38" w:rsidRPr="00990D53">
        <w:t xml:space="preserve">. </w:t>
      </w:r>
    </w:p>
    <w:p w:rsidR="00F00317" w:rsidRPr="00990D53" w:rsidRDefault="00F00317" w:rsidP="00B3060D">
      <w:pPr>
        <w:pStyle w:val="ECHRHeading3"/>
      </w:pPr>
      <w:r w:rsidRPr="00990D53">
        <w:lastRenderedPageBreak/>
        <w:t>2.  </w:t>
      </w:r>
      <w:r w:rsidR="00CC2E38" w:rsidRPr="00990D53">
        <w:t>Ocena Trybunału</w:t>
      </w:r>
    </w:p>
    <w:p w:rsidR="00F00317" w:rsidRPr="00990D53" w:rsidRDefault="00F00317" w:rsidP="00B3060D">
      <w:pPr>
        <w:pStyle w:val="ECHRHeading4"/>
        <w:rPr>
          <w:rFonts w:eastAsia="Times New Roman"/>
          <w:lang w:eastAsia="fr-FR"/>
        </w:rPr>
      </w:pPr>
      <w:r w:rsidRPr="00990D53">
        <w:rPr>
          <w:rFonts w:eastAsia="Times New Roman"/>
          <w:lang w:eastAsia="fr-FR"/>
        </w:rPr>
        <w:t>(a)  </w:t>
      </w:r>
      <w:r w:rsidR="00CC2E38" w:rsidRPr="00990D53">
        <w:rPr>
          <w:rFonts w:eastAsia="Times New Roman"/>
          <w:lang w:eastAsia="fr-FR"/>
        </w:rPr>
        <w:t>Podsumowanie odpowiednich zasad</w:t>
      </w:r>
    </w:p>
    <w:p w:rsidR="003E50A1" w:rsidRPr="00990D53" w:rsidRDefault="00F00317" w:rsidP="00CC2E38">
      <w:pPr>
        <w:pStyle w:val="ECHRPara"/>
      </w:pPr>
      <w:r w:rsidRPr="00990D53">
        <w:fldChar w:fldCharType="begin"/>
      </w:r>
      <w:r w:rsidRPr="00990D53">
        <w:instrText xml:space="preserve"> SEQ level0 \*arabic </w:instrText>
      </w:r>
      <w:r w:rsidRPr="00990D53">
        <w:fldChar w:fldCharType="separate"/>
      </w:r>
      <w:r w:rsidR="00A31FF5" w:rsidRPr="00990D53">
        <w:t>149</w:t>
      </w:r>
      <w:r w:rsidRPr="00990D53">
        <w:fldChar w:fldCharType="end"/>
      </w:r>
      <w:r w:rsidRPr="00990D53">
        <w:t>.  </w:t>
      </w:r>
      <w:r w:rsidR="004B197C" w:rsidRPr="00990D53">
        <w:t>Trybunał powtarza, że gwarancja z art. 7 Konwencji, która jest</w:t>
      </w:r>
      <w:r w:rsidR="00CC2E38" w:rsidRPr="00990D53">
        <w:t xml:space="preserve"> podstawowym</w:t>
      </w:r>
      <w:r w:rsidR="005E4464" w:rsidRPr="00990D53">
        <w:t xml:space="preserve"> elementem zasady prawa, zajmuj</w:t>
      </w:r>
      <w:r w:rsidR="004B197C" w:rsidRPr="00990D53">
        <w:t>e</w:t>
      </w:r>
      <w:r w:rsidR="005E4464" w:rsidRPr="00990D53">
        <w:t xml:space="preserve"> prominentne miejsce w </w:t>
      </w:r>
      <w:r w:rsidR="004B197C" w:rsidRPr="00990D53">
        <w:t>systemie ochrony</w:t>
      </w:r>
      <w:r w:rsidR="00CC2E38" w:rsidRPr="00990D53">
        <w:t xml:space="preserve">, </w:t>
      </w:r>
      <w:r w:rsidR="005E4464" w:rsidRPr="00990D53">
        <w:t>o czym świadczy</w:t>
      </w:r>
      <w:r w:rsidR="00CC2E38" w:rsidRPr="00990D53">
        <w:t xml:space="preserve"> fakt, że nie jest możliwe żadne odstępstwo od tej normy na mocy art. 15 Konwencji w czasie wojny lub </w:t>
      </w:r>
      <w:r w:rsidR="005E4464" w:rsidRPr="00990D53">
        <w:t xml:space="preserve">ze względu na </w:t>
      </w:r>
      <w:r w:rsidR="004B197C" w:rsidRPr="00990D53">
        <w:t>niebezpieczeństwo publiczne</w:t>
      </w:r>
      <w:r w:rsidR="00CC2E38" w:rsidRPr="00990D53">
        <w:t>. Powin</w:t>
      </w:r>
      <w:r w:rsidR="004B197C" w:rsidRPr="00990D53">
        <w:t>ien</w:t>
      </w:r>
      <w:r w:rsidR="00CC2E38" w:rsidRPr="00990D53">
        <w:t xml:space="preserve"> </w:t>
      </w:r>
      <w:r w:rsidR="004B197C" w:rsidRPr="00990D53">
        <w:t>być konstruowany</w:t>
      </w:r>
      <w:r w:rsidR="00CC2E38" w:rsidRPr="00990D53">
        <w:t xml:space="preserve"> i </w:t>
      </w:r>
      <w:r w:rsidR="004B197C" w:rsidRPr="00990D53">
        <w:t>stosowany zgodnie</w:t>
      </w:r>
      <w:r w:rsidR="00CC2E38" w:rsidRPr="00990D53">
        <w:t xml:space="preserve"> </w:t>
      </w:r>
      <w:r w:rsidR="004B197C" w:rsidRPr="00990D53">
        <w:t xml:space="preserve">ze swą materią i celem </w:t>
      </w:r>
      <w:r w:rsidR="00CC2E38" w:rsidRPr="00990D53">
        <w:t>w taki sposób, ab</w:t>
      </w:r>
      <w:r w:rsidR="005E15C2" w:rsidRPr="00990D53">
        <w:t>y zapewnić efektywne środki och</w:t>
      </w:r>
      <w:r w:rsidR="00CC2E38" w:rsidRPr="00990D53">
        <w:t>r</w:t>
      </w:r>
      <w:r w:rsidR="005E15C2" w:rsidRPr="00990D53">
        <w:t>o</w:t>
      </w:r>
      <w:r w:rsidR="00CC2E38" w:rsidRPr="00990D53">
        <w:t xml:space="preserve">ny przeciwko arbitralnemu oskarżeniu, skazaniu i karaniu (zob. </w:t>
      </w:r>
      <w:r w:rsidR="00C03E18" w:rsidRPr="00990D53">
        <w:rPr>
          <w:i/>
        </w:rPr>
        <w:t xml:space="preserve">M. </w:t>
      </w:r>
      <w:r w:rsidR="00CC2E38" w:rsidRPr="00990D53">
        <w:rPr>
          <w:i/>
        </w:rPr>
        <w:t>przeciwko Niemcom</w:t>
      </w:r>
      <w:r w:rsidR="00C03E18" w:rsidRPr="00990D53">
        <w:t xml:space="preserve">, </w:t>
      </w:r>
      <w:r w:rsidR="00CC2E38" w:rsidRPr="00990D53">
        <w:rPr>
          <w:snapToGrid w:val="0"/>
        </w:rPr>
        <w:t>cyt. powyżej</w:t>
      </w:r>
      <w:r w:rsidR="00C03E18" w:rsidRPr="00990D53">
        <w:t>, § 117</w:t>
      </w:r>
      <w:r w:rsidR="00CC2C0E" w:rsidRPr="00990D53">
        <w:t xml:space="preserve"> </w:t>
      </w:r>
      <w:r w:rsidR="00CC2E38" w:rsidRPr="00990D53">
        <w:t>z dalszymi odniesieniami</w:t>
      </w:r>
      <w:r w:rsidR="003E50A1" w:rsidRPr="00990D53">
        <w:t>).</w:t>
      </w:r>
    </w:p>
    <w:p w:rsidR="009556B1" w:rsidRPr="00990D53" w:rsidRDefault="003E50A1" w:rsidP="00B3060D">
      <w:pPr>
        <w:pStyle w:val="ECHRPara"/>
        <w:rPr>
          <w:szCs w:val="24"/>
        </w:rPr>
      </w:pPr>
      <w:r w:rsidRPr="00990D53">
        <w:fldChar w:fldCharType="begin"/>
      </w:r>
      <w:r w:rsidRPr="00990D53">
        <w:instrText xml:space="preserve"> SEQ level0 \*arabic </w:instrText>
      </w:r>
      <w:r w:rsidRPr="00990D53">
        <w:fldChar w:fldCharType="separate"/>
      </w:r>
      <w:r w:rsidR="00A31FF5" w:rsidRPr="00990D53">
        <w:t>150</w:t>
      </w:r>
      <w:r w:rsidRPr="00990D53">
        <w:fldChar w:fldCharType="end"/>
      </w:r>
      <w:r w:rsidRPr="00990D53">
        <w:t>.  </w:t>
      </w:r>
      <w:r w:rsidR="000F001B" w:rsidRPr="00990D53">
        <w:t xml:space="preserve">Koncepcja „kary” w art. 7 jest w swym zakresie autonomiczna. Aby uczynić ochronę przewidzianą w art. 7 efektywną, Trybunał powinien pozostać wolny od uprzedzeń i samodzielnie ocenić, czy określony środek stwarza sam w sobie „karę” w rozumieniu tego przepisu (zob. </w:t>
      </w:r>
      <w:r w:rsidR="009556B1" w:rsidRPr="00990D53">
        <w:rPr>
          <w:i/>
        </w:rPr>
        <w:t xml:space="preserve">Welch </w:t>
      </w:r>
      <w:r w:rsidR="000F001B" w:rsidRPr="00990D53">
        <w:rPr>
          <w:i/>
        </w:rPr>
        <w:t>przeciwko Zjednoczonemu Królestwu</w:t>
      </w:r>
      <w:r w:rsidR="009556B1" w:rsidRPr="00990D53">
        <w:t xml:space="preserve">, </w:t>
      </w:r>
      <w:smartTag w:uri="urn:schemas-microsoft-com:office:smarttags" w:element="date">
        <w:smartTagPr>
          <w:attr w:name="Year" w:val="1995"/>
          <w:attr w:name="Day" w:val="9"/>
          <w:attr w:name="Month" w:val="2"/>
          <w:attr w:name="ls" w:val="trans"/>
        </w:smartTagPr>
        <w:r w:rsidR="009556B1" w:rsidRPr="00990D53">
          <w:t xml:space="preserve">9 </w:t>
        </w:r>
        <w:r w:rsidR="000F001B" w:rsidRPr="00990D53">
          <w:t>lutego</w:t>
        </w:r>
        <w:r w:rsidR="009556B1" w:rsidRPr="00990D53">
          <w:t xml:space="preserve"> 1995</w:t>
        </w:r>
        <w:r w:rsidR="000F001B" w:rsidRPr="00990D53">
          <w:t xml:space="preserve"> r.</w:t>
        </w:r>
      </w:smartTag>
      <w:r w:rsidR="009556B1" w:rsidRPr="00990D53">
        <w:t>, § 27, S</w:t>
      </w:r>
      <w:r w:rsidR="000F001B" w:rsidRPr="00990D53">
        <w:t>erie A nr</w:t>
      </w:r>
      <w:r w:rsidR="009556B1" w:rsidRPr="00990D53">
        <w:t xml:space="preserve"> 307</w:t>
      </w:r>
      <w:r w:rsidR="009556B1" w:rsidRPr="00990D53">
        <w:noBreakHyphen/>
        <w:t>A</w:t>
      </w:r>
      <w:r w:rsidR="00CC2C0E" w:rsidRPr="00990D53">
        <w:t>;</w:t>
      </w:r>
      <w:r w:rsidR="009556B1" w:rsidRPr="00990D53">
        <w:t xml:space="preserve"> </w:t>
      </w:r>
      <w:r w:rsidR="000F001B" w:rsidRPr="00990D53">
        <w:rPr>
          <w:i/>
        </w:rPr>
        <w:t>Jamil przeciwko Francji</w:t>
      </w:r>
      <w:r w:rsidR="009556B1" w:rsidRPr="00990D53">
        <w:t xml:space="preserve">, </w:t>
      </w:r>
      <w:smartTag w:uri="urn:schemas-microsoft-com:office:smarttags" w:element="date">
        <w:smartTagPr>
          <w:attr w:name="Year" w:val="1995"/>
          <w:attr w:name="Day" w:val="8"/>
          <w:attr w:name="Month" w:val="6"/>
          <w:attr w:name="ls" w:val="trans"/>
        </w:smartTagPr>
        <w:r w:rsidR="009556B1" w:rsidRPr="00990D53">
          <w:t xml:space="preserve">8 </w:t>
        </w:r>
        <w:r w:rsidR="000F001B" w:rsidRPr="00990D53">
          <w:t>czerwca</w:t>
        </w:r>
        <w:r w:rsidR="00F165C3" w:rsidRPr="00990D53">
          <w:t xml:space="preserve"> 1995</w:t>
        </w:r>
        <w:r w:rsidR="000F001B" w:rsidRPr="00990D53">
          <w:t xml:space="preserve"> r.</w:t>
        </w:r>
      </w:smartTag>
      <w:r w:rsidR="000F001B" w:rsidRPr="00990D53">
        <w:t>, § 30, Serie</w:t>
      </w:r>
      <w:r w:rsidR="00F165C3" w:rsidRPr="00990D53">
        <w:t xml:space="preserve"> </w:t>
      </w:r>
      <w:r w:rsidR="00A97CEA" w:rsidRPr="00990D53">
        <w:t> </w:t>
      </w:r>
      <w:r w:rsidR="00F165C3" w:rsidRPr="00990D53">
        <w:t xml:space="preserve">A </w:t>
      </w:r>
      <w:r w:rsidR="00A97CEA" w:rsidRPr="00990D53">
        <w:t> </w:t>
      </w:r>
      <w:r w:rsidR="000F001B" w:rsidRPr="00990D53">
        <w:t>nr</w:t>
      </w:r>
      <w:r w:rsidR="00A97CEA" w:rsidRPr="00990D53">
        <w:t> </w:t>
      </w:r>
      <w:r w:rsidR="00F165C3" w:rsidRPr="00990D53">
        <w:t>317</w:t>
      </w:r>
      <w:r w:rsidR="00F165C3" w:rsidRPr="00990D53">
        <w:noBreakHyphen/>
        <w:t>B</w:t>
      </w:r>
      <w:r w:rsidR="00CC2C0E" w:rsidRPr="00990D53">
        <w:t xml:space="preserve">; </w:t>
      </w:r>
      <w:r w:rsidR="000F001B" w:rsidRPr="00990D53">
        <w:t xml:space="preserve">oraz </w:t>
      </w:r>
      <w:r w:rsidR="00CC2C0E" w:rsidRPr="00990D53">
        <w:rPr>
          <w:i/>
        </w:rPr>
        <w:t xml:space="preserve">Del </w:t>
      </w:r>
      <w:r w:rsidR="00CC2C0E" w:rsidRPr="00990D53">
        <w:rPr>
          <w:i/>
          <w:iCs/>
        </w:rPr>
        <w:t>Río</w:t>
      </w:r>
      <w:r w:rsidR="00CC2C0E" w:rsidRPr="00990D53">
        <w:rPr>
          <w:i/>
        </w:rPr>
        <w:t xml:space="preserve"> Prada</w:t>
      </w:r>
      <w:r w:rsidR="00CC2C0E" w:rsidRPr="00990D53">
        <w:t xml:space="preserve">, </w:t>
      </w:r>
      <w:r w:rsidR="000F001B" w:rsidRPr="00990D53">
        <w:t>cyt. powyżej</w:t>
      </w:r>
      <w:r w:rsidR="00CC2C0E" w:rsidRPr="00990D53">
        <w:rPr>
          <w:snapToGrid w:val="0"/>
        </w:rPr>
        <w:t>, § 81</w:t>
      </w:r>
      <w:r w:rsidR="009556B1" w:rsidRPr="00990D53">
        <w:t xml:space="preserve">). </w:t>
      </w:r>
      <w:r w:rsidR="000F001B" w:rsidRPr="00990D53">
        <w:t xml:space="preserve">Słowa drugiego zdania artykułu 7 </w:t>
      </w:r>
      <w:r w:rsidR="000F001B" w:rsidRPr="00990D53">
        <w:rPr>
          <w:rFonts w:ascii="Times New Roman" w:hAnsi="Times New Roman" w:cs="Times New Roman"/>
        </w:rPr>
        <w:t>§</w:t>
      </w:r>
      <w:r w:rsidR="000F001B" w:rsidRPr="00990D53">
        <w:t xml:space="preserve"> 1 wskazują, że początek – a więc bardzo istotny czynnik (zob. </w:t>
      </w:r>
      <w:r w:rsidR="00DE7919" w:rsidRPr="00990D53">
        <w:rPr>
          <w:i/>
        </w:rPr>
        <w:t>Glien</w:t>
      </w:r>
      <w:r w:rsidR="009D068B" w:rsidRPr="00990D53">
        <w:t xml:space="preserve">, </w:t>
      </w:r>
      <w:r w:rsidR="000F001B" w:rsidRPr="00990D53">
        <w:t>cyt. powyżej</w:t>
      </w:r>
      <w:r w:rsidR="009D068B" w:rsidRPr="00990D53">
        <w:t>, § </w:t>
      </w:r>
      <w:r w:rsidR="00DE7919" w:rsidRPr="00990D53">
        <w:t>121) –</w:t>
      </w:r>
      <w:r w:rsidR="004B197C" w:rsidRPr="00990D53">
        <w:t xml:space="preserve"> jakiejkolwiek oceny</w:t>
      </w:r>
      <w:r w:rsidR="000F001B" w:rsidRPr="00990D53">
        <w:t xml:space="preserve"> istnienia kary jest</w:t>
      </w:r>
      <w:r w:rsidR="004B197C" w:rsidRPr="00990D53">
        <w:t xml:space="preserve"> fakt,</w:t>
      </w:r>
      <w:r w:rsidR="000F001B" w:rsidRPr="00990D53">
        <w:t xml:space="preserve"> czy środek został nałożony w wyniku skazania za „przestępstwo”. Inne istotne czynniki stanowią charakterystykę środka na mocy prawa krajowego, jego naturę i cel, procedury potrzebne do </w:t>
      </w:r>
      <w:r w:rsidR="004B197C" w:rsidRPr="00990D53">
        <w:t>j</w:t>
      </w:r>
      <w:r w:rsidR="000F001B" w:rsidRPr="00990D53">
        <w:t xml:space="preserve">ego zastosowania i implementacji oraz jego surowość (zob. </w:t>
      </w:r>
      <w:r w:rsidR="009556B1" w:rsidRPr="00990D53">
        <w:rPr>
          <w:i/>
        </w:rPr>
        <w:t>Welch</w:t>
      </w:r>
      <w:r w:rsidR="009556B1" w:rsidRPr="00990D53">
        <w:t xml:space="preserve">, </w:t>
      </w:r>
      <w:r w:rsidR="000F001B" w:rsidRPr="00990D53">
        <w:t>cyt. powyżej</w:t>
      </w:r>
      <w:r w:rsidR="009556B1" w:rsidRPr="00990D53">
        <w:t xml:space="preserve"> § 28; </w:t>
      </w:r>
      <w:r w:rsidR="009556B1" w:rsidRPr="00990D53">
        <w:rPr>
          <w:i/>
        </w:rPr>
        <w:t xml:space="preserve">Van der Velden </w:t>
      </w:r>
      <w:r w:rsidR="000F001B" w:rsidRPr="00990D53">
        <w:rPr>
          <w:i/>
        </w:rPr>
        <w:t>przeciwko Holandii</w:t>
      </w:r>
      <w:r w:rsidR="000F001B" w:rsidRPr="00990D53">
        <w:t xml:space="preserve"> (dec.), nr</w:t>
      </w:r>
      <w:r w:rsidR="00B61203" w:rsidRPr="00990D53">
        <w:t> </w:t>
      </w:r>
      <w:r w:rsidR="000F001B" w:rsidRPr="00990D53">
        <w:t>29514/05, ETPCz 2006</w:t>
      </w:r>
      <w:r w:rsidR="000F001B" w:rsidRPr="00990D53">
        <w:noBreakHyphen/>
        <w:t xml:space="preserve">XV; oraz </w:t>
      </w:r>
      <w:r w:rsidR="009556B1" w:rsidRPr="00990D53">
        <w:rPr>
          <w:i/>
        </w:rPr>
        <w:t>Kafkaris</w:t>
      </w:r>
      <w:r w:rsidR="00B61203" w:rsidRPr="00990D53">
        <w:rPr>
          <w:i/>
          <w:szCs w:val="24"/>
        </w:rPr>
        <w:t xml:space="preserve"> </w:t>
      </w:r>
      <w:r w:rsidR="000F001B" w:rsidRPr="00990D53">
        <w:rPr>
          <w:i/>
          <w:szCs w:val="24"/>
        </w:rPr>
        <w:t>przeciwko Cyprowi</w:t>
      </w:r>
      <w:r w:rsidR="00B61203" w:rsidRPr="00990D53">
        <w:rPr>
          <w:i/>
          <w:szCs w:val="24"/>
        </w:rPr>
        <w:t xml:space="preserve"> </w:t>
      </w:r>
      <w:r w:rsidR="000F001B" w:rsidRPr="00990D53">
        <w:rPr>
          <w:szCs w:val="24"/>
        </w:rPr>
        <w:t>[WI], nr</w:t>
      </w:r>
      <w:r w:rsidR="00B61203" w:rsidRPr="00990D53">
        <w:rPr>
          <w:szCs w:val="24"/>
        </w:rPr>
        <w:t xml:space="preserve"> </w:t>
      </w:r>
      <w:r w:rsidR="00580357" w:rsidRPr="00990D53">
        <w:rPr>
          <w:szCs w:val="24"/>
        </w:rPr>
        <w:t> </w:t>
      </w:r>
      <w:r w:rsidR="00B61203" w:rsidRPr="00990D53">
        <w:rPr>
          <w:szCs w:val="24"/>
        </w:rPr>
        <w:t>21906/04</w:t>
      </w:r>
      <w:r w:rsidR="000F001B" w:rsidRPr="00990D53">
        <w:t>, § 142, ETPCz</w:t>
      </w:r>
      <w:r w:rsidR="00B61203" w:rsidRPr="00990D53">
        <w:t xml:space="preserve"> 2008</w:t>
      </w:r>
      <w:r w:rsidR="009556B1" w:rsidRPr="00990D53">
        <w:t xml:space="preserve">). </w:t>
      </w:r>
      <w:r w:rsidR="000F001B" w:rsidRPr="00990D53">
        <w:t xml:space="preserve">Surowość środka nie jest sama w sobie decydująca, odkąd wiele środków niekarzących, natury prewencyjnej może mieć istotne znaczenie dla osoby, jako środki sklasyfikowane jako karne (zob. </w:t>
      </w:r>
      <w:r w:rsidR="009556B1" w:rsidRPr="00990D53">
        <w:rPr>
          <w:i/>
        </w:rPr>
        <w:t>Welch</w:t>
      </w:r>
      <w:r w:rsidR="009556B1" w:rsidRPr="00990D53">
        <w:t xml:space="preserve">, </w:t>
      </w:r>
      <w:r w:rsidR="000F001B" w:rsidRPr="00990D53">
        <w:t>cyt. powyżej</w:t>
      </w:r>
      <w:r w:rsidR="009556B1" w:rsidRPr="00990D53">
        <w:t>, § 32</w:t>
      </w:r>
      <w:r w:rsidR="00B61203" w:rsidRPr="00990D53">
        <w:t>;</w:t>
      </w:r>
      <w:r w:rsidR="00F165C3" w:rsidRPr="00990D53">
        <w:t xml:space="preserve"> </w:t>
      </w:r>
      <w:r w:rsidR="00F165C3" w:rsidRPr="00990D53">
        <w:rPr>
          <w:i/>
        </w:rPr>
        <w:t xml:space="preserve">M. </w:t>
      </w:r>
      <w:r w:rsidR="000F001B" w:rsidRPr="00990D53">
        <w:rPr>
          <w:i/>
        </w:rPr>
        <w:t>przeciwko Niemcom</w:t>
      </w:r>
      <w:r w:rsidR="000F001B" w:rsidRPr="00990D53">
        <w:t>, cyt. powyżej</w:t>
      </w:r>
      <w:r w:rsidR="00F165C3" w:rsidRPr="00990D53">
        <w:t>, § 120</w:t>
      </w:r>
      <w:r w:rsidR="000F001B" w:rsidRPr="00990D53">
        <w:t>, oraz</w:t>
      </w:r>
      <w:r w:rsidR="00B61203" w:rsidRPr="00990D53">
        <w:t xml:space="preserve"> </w:t>
      </w:r>
      <w:r w:rsidR="00B61203" w:rsidRPr="00990D53">
        <w:rPr>
          <w:i/>
        </w:rPr>
        <w:t xml:space="preserve">Del </w:t>
      </w:r>
      <w:r w:rsidR="00B61203" w:rsidRPr="00990D53">
        <w:rPr>
          <w:i/>
          <w:iCs/>
        </w:rPr>
        <w:t>Río</w:t>
      </w:r>
      <w:r w:rsidR="00B61203" w:rsidRPr="00990D53">
        <w:rPr>
          <w:i/>
        </w:rPr>
        <w:t xml:space="preserve"> Prada</w:t>
      </w:r>
      <w:r w:rsidR="00B61203" w:rsidRPr="00990D53">
        <w:t xml:space="preserve">, </w:t>
      </w:r>
      <w:r w:rsidR="000F001B" w:rsidRPr="00990D53">
        <w:t>cyt. powyżej</w:t>
      </w:r>
      <w:r w:rsidR="00B61203" w:rsidRPr="00990D53">
        <w:rPr>
          <w:snapToGrid w:val="0"/>
        </w:rPr>
        <w:t>, § 82</w:t>
      </w:r>
      <w:r w:rsidR="009556B1" w:rsidRPr="00990D53">
        <w:t>).</w:t>
      </w:r>
    </w:p>
    <w:p w:rsidR="00F00317" w:rsidRPr="00990D53" w:rsidRDefault="00F00317" w:rsidP="00B3060D">
      <w:pPr>
        <w:pStyle w:val="ECHRHeading4"/>
        <w:rPr>
          <w:rFonts w:eastAsia="Times New Roman"/>
          <w:lang w:eastAsia="fr-FR"/>
        </w:rPr>
      </w:pPr>
      <w:r w:rsidRPr="00990D53">
        <w:rPr>
          <w:rFonts w:eastAsia="Times New Roman"/>
          <w:lang w:eastAsia="fr-FR"/>
        </w:rPr>
        <w:t>(b)  </w:t>
      </w:r>
      <w:r w:rsidR="000F001B" w:rsidRPr="00990D53">
        <w:rPr>
          <w:rFonts w:eastAsia="Times New Roman"/>
          <w:lang w:eastAsia="fr-FR"/>
        </w:rPr>
        <w:t>Stosowanie tych przepisów w niniejsze</w:t>
      </w:r>
      <w:r w:rsidR="004B197C" w:rsidRPr="00990D53">
        <w:rPr>
          <w:rFonts w:eastAsia="Times New Roman"/>
          <w:lang w:eastAsia="fr-FR"/>
        </w:rPr>
        <w:t>j</w:t>
      </w:r>
      <w:r w:rsidR="000F001B" w:rsidRPr="00990D53">
        <w:rPr>
          <w:rFonts w:eastAsia="Times New Roman"/>
          <w:lang w:eastAsia="fr-FR"/>
        </w:rPr>
        <w:t xml:space="preserve"> sprawie</w:t>
      </w:r>
    </w:p>
    <w:p w:rsidR="00241210" w:rsidRPr="00990D53" w:rsidRDefault="00241210" w:rsidP="00B3060D">
      <w:pPr>
        <w:pStyle w:val="ECHRHeading5"/>
        <w:rPr>
          <w:highlight w:val="yellow"/>
        </w:rPr>
      </w:pPr>
      <w:r w:rsidRPr="00990D53">
        <w:t>(i)  </w:t>
      </w:r>
      <w:r w:rsidR="004B197C" w:rsidRPr="00990D53">
        <w:t>Czy zastosowany środek był „surowszy</w:t>
      </w:r>
      <w:r w:rsidR="00E46926" w:rsidRPr="00990D53">
        <w:t xml:space="preserve">” od obowiązującego w chwili popełnienia przestępstwa </w:t>
      </w:r>
    </w:p>
    <w:p w:rsidR="004223A6" w:rsidRPr="00990D53" w:rsidRDefault="00DE7919" w:rsidP="00B3060D">
      <w:pPr>
        <w:pStyle w:val="ECHRPara"/>
      </w:pPr>
      <w:r w:rsidRPr="00990D53">
        <w:fldChar w:fldCharType="begin"/>
      </w:r>
      <w:r w:rsidRPr="00990D53">
        <w:instrText xml:space="preserve"> SEQ level0 \*arabic </w:instrText>
      </w:r>
      <w:r w:rsidRPr="00990D53">
        <w:fldChar w:fldCharType="separate"/>
      </w:r>
      <w:r w:rsidR="00A31FF5" w:rsidRPr="00990D53">
        <w:t>151</w:t>
      </w:r>
      <w:r w:rsidRPr="00990D53">
        <w:fldChar w:fldCharType="end"/>
      </w:r>
      <w:r w:rsidRPr="00990D53">
        <w:t>.  </w:t>
      </w:r>
      <w:r w:rsidR="00EF3E91" w:rsidRPr="00990D53">
        <w:t>W celu określenia</w:t>
      </w:r>
      <w:r w:rsidR="00E46926" w:rsidRPr="00990D53">
        <w:t xml:space="preserve">, czy detencja skarżącego wynikająca z zaskarżonej decyzji w związku z zakazem retrospektywnego orzekania na mocy zdania drugiego art. 7 </w:t>
      </w:r>
      <w:r w:rsidR="00E46926" w:rsidRPr="00990D53">
        <w:rPr>
          <w:rFonts w:ascii="Times New Roman" w:hAnsi="Times New Roman" w:cs="Times New Roman"/>
        </w:rPr>
        <w:t>§</w:t>
      </w:r>
      <w:r w:rsidR="00E46926" w:rsidRPr="00990D53">
        <w:t xml:space="preserve"> 1 Konwencji, Trybunał musi najpierw zbadać, czy przedłużona detencja stanowiła środek </w:t>
      </w:r>
      <w:r w:rsidR="004B197C" w:rsidRPr="00990D53">
        <w:t xml:space="preserve">surowszy </w:t>
      </w:r>
      <w:r w:rsidR="00E46926" w:rsidRPr="00990D53">
        <w:t xml:space="preserve">niż obowiązujący w chwili popełnienia przestępstw przez skarżącego. </w:t>
      </w:r>
    </w:p>
    <w:p w:rsidR="00D055C9"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152</w:t>
      </w:r>
      <w:r w:rsidRPr="00990D53">
        <w:fldChar w:fldCharType="end"/>
      </w:r>
      <w:r w:rsidR="00621559" w:rsidRPr="00990D53">
        <w:t>.  </w:t>
      </w:r>
      <w:r w:rsidR="00E15C53" w:rsidRPr="00990D53">
        <w:t xml:space="preserve">Trybunał zaobserwował, że sądy krajowe </w:t>
      </w:r>
      <w:r w:rsidR="00EF3E91" w:rsidRPr="00990D53">
        <w:t>orzekły</w:t>
      </w:r>
      <w:r w:rsidR="00E15C53" w:rsidRPr="00990D53">
        <w:t xml:space="preserve"> o kontynuacji detencji prewencyjnej na okres </w:t>
      </w:r>
      <w:r w:rsidR="00EF3E91" w:rsidRPr="00990D53">
        <w:t>wynoszący ponad dziesięć</w:t>
      </w:r>
      <w:r w:rsidR="00E15C53" w:rsidRPr="00990D53">
        <w:t xml:space="preserve"> lat. Skarżący zaś </w:t>
      </w:r>
      <w:r w:rsidR="00E15C53" w:rsidRPr="00990D53">
        <w:lastRenderedPageBreak/>
        <w:t>popełnił przestępstwa, za które orzeczono karę detencji prewencyjne</w:t>
      </w:r>
      <w:r w:rsidR="00EF3E91" w:rsidRPr="00990D53">
        <w:t>j</w:t>
      </w:r>
      <w:r w:rsidR="00E15C53" w:rsidRPr="00990D53">
        <w:t xml:space="preserve"> – usiłowanie zabójstwa w związku z usiłowaniem gwałtu i napadem – pomiędzy 7 lipca a 3 października 1985 r. W tym czasie detencja prewencyjna orzeczona na mocy ówczesnego art. 67d </w:t>
      </w:r>
      <w:r w:rsidR="00E15C53" w:rsidRPr="00990D53">
        <w:rPr>
          <w:rFonts w:ascii="Times New Roman" w:hAnsi="Times New Roman" w:cs="Times New Roman"/>
        </w:rPr>
        <w:t>§</w:t>
      </w:r>
      <w:r w:rsidR="00E15C53" w:rsidRPr="00990D53">
        <w:t xml:space="preserve"> 1 Kodeksu karnego (zob. par. 50 powyżej) oznaczała, że skarżący mógł być osadzony w detencji prewencyjnej na okres maksymalnie dziesięciu lat. Na podstawie nowelizacji art. 67d Kodeksu karnego wprowadzonej w roku 1998, czytanego łącznie z </w:t>
      </w:r>
      <w:r w:rsidR="00F378A9" w:rsidRPr="00990D53">
        <w:t>paragrafem</w:t>
      </w:r>
      <w:r w:rsidR="00E15C53" w:rsidRPr="00990D53">
        <w:t>1a</w:t>
      </w:r>
      <w:r w:rsidR="00F378A9" w:rsidRPr="00990D53">
        <w:t>(</w:t>
      </w:r>
      <w:r w:rsidR="00E15C53" w:rsidRPr="00990D53">
        <w:t>3</w:t>
      </w:r>
      <w:r w:rsidR="00F378A9" w:rsidRPr="00990D53">
        <w:t>)</w:t>
      </w:r>
      <w:r w:rsidR="00E15C53" w:rsidRPr="00990D53">
        <w:t xml:space="preserve"> Ustawy Wprowadzającej Kodeks karn</w:t>
      </w:r>
      <w:r w:rsidR="00F378A9" w:rsidRPr="00990D53">
        <w:t>y</w:t>
      </w:r>
      <w:r w:rsidR="00E15C53" w:rsidRPr="00990D53">
        <w:t xml:space="preserve"> (zob. par</w:t>
      </w:r>
      <w:r w:rsidR="00F378A9" w:rsidRPr="00990D53">
        <w:t>agraf</w:t>
      </w:r>
      <w:r w:rsidR="00E15C53" w:rsidRPr="00990D53">
        <w:t xml:space="preserve">51 powyżej), </w:t>
      </w:r>
      <w:r w:rsidR="003D447E" w:rsidRPr="00990D53">
        <w:t xml:space="preserve">uchylono maksymalny czas trwania ze skutkiem natychmiastowym oraz </w:t>
      </w:r>
      <w:r w:rsidR="00F378A9" w:rsidRPr="00990D53">
        <w:t>paragrafem</w:t>
      </w:r>
      <w:r w:rsidR="00E76412" w:rsidRPr="00990D53">
        <w:t xml:space="preserve">316f(2) </w:t>
      </w:r>
      <w:r w:rsidR="003D447E" w:rsidRPr="00990D53">
        <w:t>zdanie drugie tej samej Ustawy, sądy później orzekły o kontynuacji detencji prewencyjne</w:t>
      </w:r>
      <w:r w:rsidR="00F378A9" w:rsidRPr="00990D53">
        <w:t>j</w:t>
      </w:r>
      <w:r w:rsidR="003D447E" w:rsidRPr="00990D53">
        <w:t xml:space="preserve"> ponad dziesięcioletni limit. Dlatego detencja prewencyjna – zupełnie jak w sytuacji skarżącego w sprawie </w:t>
      </w:r>
      <w:r w:rsidR="00D055C9" w:rsidRPr="00990D53">
        <w:rPr>
          <w:i/>
        </w:rPr>
        <w:t>M</w:t>
      </w:r>
      <w:r w:rsidR="003D447E" w:rsidRPr="00990D53">
        <w:rPr>
          <w:i/>
        </w:rPr>
        <w:t>. przeciwko Niemcom</w:t>
      </w:r>
      <w:r w:rsidR="00D055C9" w:rsidRPr="00990D53">
        <w:t xml:space="preserve"> (</w:t>
      </w:r>
      <w:r w:rsidR="003D447E" w:rsidRPr="00990D53">
        <w:t>cyt. powyżej</w:t>
      </w:r>
      <w:r w:rsidR="00D055C9" w:rsidRPr="00990D53">
        <w:t xml:space="preserve">) – </w:t>
      </w:r>
      <w:r w:rsidR="003D447E" w:rsidRPr="00990D53">
        <w:t xml:space="preserve">została przedłużona w sposób retrospektywny na mocy prawa wprowadzonego po tym, jak skarżący dopuścił się przestępstw. </w:t>
      </w:r>
    </w:p>
    <w:p w:rsidR="00241210" w:rsidRPr="00990D53" w:rsidRDefault="00241210" w:rsidP="00B3060D">
      <w:pPr>
        <w:pStyle w:val="ECHRHeading5"/>
      </w:pPr>
      <w:r w:rsidRPr="00990D53">
        <w:t>(ii)  </w:t>
      </w:r>
      <w:r w:rsidR="003D447E" w:rsidRPr="00990D53">
        <w:t>Czy zastosowany środek stanowił „karę”</w:t>
      </w:r>
    </w:p>
    <w:p w:rsidR="00D13E0F" w:rsidRPr="00990D53" w:rsidRDefault="00FC6DFC" w:rsidP="00B3060D">
      <w:pPr>
        <w:pStyle w:val="ECHRPara"/>
      </w:pPr>
      <w:r w:rsidRPr="00990D53">
        <w:fldChar w:fldCharType="begin"/>
      </w:r>
      <w:r w:rsidRPr="00990D53">
        <w:instrText xml:space="preserve"> SEQ level0 \*arabic </w:instrText>
      </w:r>
      <w:r w:rsidRPr="00990D53">
        <w:fldChar w:fldCharType="separate"/>
      </w:r>
      <w:r w:rsidR="00A31FF5" w:rsidRPr="00990D53">
        <w:t>153</w:t>
      </w:r>
      <w:r w:rsidRPr="00990D53">
        <w:fldChar w:fldCharType="end"/>
      </w:r>
      <w:r w:rsidRPr="00990D53">
        <w:t>.  </w:t>
      </w:r>
      <w:r w:rsidR="00A738E2" w:rsidRPr="00990D53">
        <w:t xml:space="preserve">Przy sprawdzaniu, czy detencja prewencyjna skarżącego powinna zostać sklasyfikowana jako „kara” w rozumieniu art. 7 </w:t>
      </w:r>
      <w:r w:rsidR="00A738E2" w:rsidRPr="00990D53">
        <w:rPr>
          <w:rFonts w:ascii="Times New Roman" w:hAnsi="Times New Roman" w:cs="Times New Roman"/>
        </w:rPr>
        <w:t>§</w:t>
      </w:r>
      <w:r w:rsidR="00A738E2" w:rsidRPr="00990D53">
        <w:t xml:space="preserve"> 1 zdanie drugie, Trybunał zauważa, że już w sprawie </w:t>
      </w:r>
      <w:r w:rsidR="00A738E2" w:rsidRPr="00990D53">
        <w:rPr>
          <w:i/>
        </w:rPr>
        <w:t>M. przeciwko Niemcom</w:t>
      </w:r>
      <w:r w:rsidR="006B40FD" w:rsidRPr="00990D53">
        <w:rPr>
          <w:i/>
        </w:rPr>
        <w:t xml:space="preserve"> </w:t>
      </w:r>
      <w:r w:rsidR="00A738E2" w:rsidRPr="00990D53">
        <w:t xml:space="preserve">(cyt. powyżej, </w:t>
      </w:r>
      <w:r w:rsidR="00A738E2" w:rsidRPr="00990D53">
        <w:rPr>
          <w:rFonts w:ascii="Times New Roman" w:hAnsi="Times New Roman" w:cs="Times New Roman"/>
        </w:rPr>
        <w:t>§</w:t>
      </w:r>
      <w:r w:rsidR="00A738E2" w:rsidRPr="00990D53">
        <w:t xml:space="preserve"> 124-133) uznano detencj</w:t>
      </w:r>
      <w:r w:rsidR="00EF7692" w:rsidRPr="00990D53">
        <w:t>ę prewencyjną, orzeczoną i wykonaną zgodnie z niemieckim Kodeksem karnym za „karę</w:t>
      </w:r>
      <w:r w:rsidR="00EF3E91" w:rsidRPr="00990D53">
        <w:t>”</w:t>
      </w:r>
      <w:r w:rsidR="00EF7692" w:rsidRPr="00990D53">
        <w:t xml:space="preserve">. W sprawie </w:t>
      </w:r>
      <w:r w:rsidR="00D13E0F" w:rsidRPr="00990D53">
        <w:t xml:space="preserve"> </w:t>
      </w:r>
      <w:r w:rsidR="00D13E0F" w:rsidRPr="00990D53">
        <w:rPr>
          <w:i/>
        </w:rPr>
        <w:t>Glien</w:t>
      </w:r>
      <w:r w:rsidR="00D13E0F" w:rsidRPr="00990D53">
        <w:t xml:space="preserve"> (</w:t>
      </w:r>
      <w:r w:rsidR="00EF7692" w:rsidRPr="00990D53">
        <w:t>cyt. powyżej</w:t>
      </w:r>
      <w:r w:rsidR="00D13E0F" w:rsidRPr="00990D53">
        <w:t xml:space="preserve">, §§ 120-30) </w:t>
      </w:r>
      <w:r w:rsidR="00EF7692" w:rsidRPr="00990D53">
        <w:t xml:space="preserve">stwierdzono, że </w:t>
      </w:r>
      <w:r w:rsidR="00EC07BD" w:rsidRPr="00990D53">
        <w:t>detencja prewencyjna skarżącego w f</w:t>
      </w:r>
      <w:r w:rsidR="00AC76C6" w:rsidRPr="00990D53">
        <w:t>ormie obowiązującej w okresie prze</w:t>
      </w:r>
      <w:r w:rsidR="00827507" w:rsidRPr="00990D53">
        <w:t>j</w:t>
      </w:r>
      <w:r w:rsidR="00AC76C6" w:rsidRPr="00990D53">
        <w:t xml:space="preserve">ściowym po wyroku Federalnego Trybunału Konstytucyjnego z dnia 4 maja 2011 r., ale przed </w:t>
      </w:r>
      <w:r w:rsidR="00F378A9" w:rsidRPr="00990D53">
        <w:t xml:space="preserve">wejściem w życie </w:t>
      </w:r>
      <w:r w:rsidR="00AC76C6" w:rsidRPr="00990D53">
        <w:t xml:space="preserve">na </w:t>
      </w:r>
      <w:r w:rsidR="00F378A9" w:rsidRPr="00990D53">
        <w:t xml:space="preserve">poziomie </w:t>
      </w:r>
      <w:r w:rsidR="00AC76C6" w:rsidRPr="00990D53">
        <w:t>federaln</w:t>
      </w:r>
      <w:r w:rsidR="00F378A9" w:rsidRPr="00990D53">
        <w:t>ym</w:t>
      </w:r>
      <w:r w:rsidR="00AC76C6" w:rsidRPr="00990D53">
        <w:t xml:space="preserve"> Us</w:t>
      </w:r>
      <w:r w:rsidR="00EF3E91" w:rsidRPr="00990D53">
        <w:t>tawy o (rozróżnieniu) Detencji P</w:t>
      </w:r>
      <w:r w:rsidR="00AC76C6" w:rsidRPr="00990D53">
        <w:t xml:space="preserve">rewencyjnej z dnia 1 czerwca 2013 r., ciągle stanowiła „karę” w rozumieniu art. 7 </w:t>
      </w:r>
      <w:r w:rsidR="00AC76C6" w:rsidRPr="00990D53">
        <w:rPr>
          <w:rFonts w:ascii="Times New Roman" w:hAnsi="Times New Roman" w:cs="Times New Roman"/>
        </w:rPr>
        <w:t>§</w:t>
      </w:r>
      <w:r w:rsidR="00AC76C6" w:rsidRPr="00990D53">
        <w:t xml:space="preserve"> 1.</w:t>
      </w:r>
      <w:r w:rsidR="00827507" w:rsidRPr="00990D53">
        <w:t xml:space="preserve"> </w:t>
      </w:r>
      <w:r w:rsidR="00EC07BD" w:rsidRPr="00990D53">
        <w:t xml:space="preserve"> </w:t>
      </w:r>
      <w:r w:rsidR="00827507" w:rsidRPr="00990D53">
        <w:t xml:space="preserve">Uznano, że nie wprowadzono znaczących zmian dotyczących detencji prewencyjnej, w porównaniu do sytuacji opisywanej w </w:t>
      </w:r>
      <w:r w:rsidR="005703DC" w:rsidRPr="00990D53">
        <w:rPr>
          <w:i/>
          <w:snapToGrid w:val="0"/>
        </w:rPr>
        <w:t xml:space="preserve">M. </w:t>
      </w:r>
      <w:r w:rsidR="00827507" w:rsidRPr="00990D53">
        <w:rPr>
          <w:i/>
          <w:snapToGrid w:val="0"/>
        </w:rPr>
        <w:t>przeciwko Niemcom.</w:t>
      </w:r>
    </w:p>
    <w:p w:rsidR="00D13E0F" w:rsidRPr="00990D53" w:rsidRDefault="00B31E8A" w:rsidP="00B3060D">
      <w:pPr>
        <w:pStyle w:val="ECHRPara"/>
      </w:pPr>
      <w:r w:rsidRPr="00990D53">
        <w:fldChar w:fldCharType="begin"/>
      </w:r>
      <w:r w:rsidRPr="00990D53">
        <w:instrText xml:space="preserve"> SEQ level0 \*arabic </w:instrText>
      </w:r>
      <w:r w:rsidRPr="00990D53">
        <w:fldChar w:fldCharType="separate"/>
      </w:r>
      <w:r w:rsidR="00A31FF5" w:rsidRPr="00990D53">
        <w:t>154</w:t>
      </w:r>
      <w:r w:rsidRPr="00990D53">
        <w:fldChar w:fldCharType="end"/>
      </w:r>
      <w:r w:rsidRPr="00990D53">
        <w:t>.  </w:t>
      </w:r>
      <w:r w:rsidR="00827507" w:rsidRPr="00990D53">
        <w:t xml:space="preserve">Trybunał wziął pod uwagę argument Rządu, że </w:t>
      </w:r>
      <w:r w:rsidR="009D44B5" w:rsidRPr="00990D53">
        <w:t xml:space="preserve">detencja prewencyjna, uwzględniając </w:t>
      </w:r>
      <w:r w:rsidR="00F378A9" w:rsidRPr="00990D53">
        <w:t xml:space="preserve">istotne </w:t>
      </w:r>
      <w:r w:rsidR="009D44B5" w:rsidRPr="00990D53">
        <w:t xml:space="preserve">zmiany jakie zaszły w jej </w:t>
      </w:r>
      <w:r w:rsidR="00191C37" w:rsidRPr="00990D53">
        <w:t xml:space="preserve">prawnej </w:t>
      </w:r>
      <w:r w:rsidR="009D44B5" w:rsidRPr="00990D53">
        <w:t xml:space="preserve">formie  i </w:t>
      </w:r>
      <w:r w:rsidR="00191C37" w:rsidRPr="00990D53">
        <w:t xml:space="preserve">w </w:t>
      </w:r>
      <w:r w:rsidR="009D44B5" w:rsidRPr="00990D53">
        <w:t>praktyczne</w:t>
      </w:r>
      <w:r w:rsidR="00191C37" w:rsidRPr="00990D53">
        <w:t>j</w:t>
      </w:r>
      <w:r w:rsidR="009D44B5" w:rsidRPr="00990D53">
        <w:t xml:space="preserve"> implementacji, </w:t>
      </w:r>
      <w:r w:rsidR="00827507" w:rsidRPr="00990D53">
        <w:t xml:space="preserve">nie stanowi  kary w rozumieniu art. 7 </w:t>
      </w:r>
      <w:r w:rsidR="00827507" w:rsidRPr="00990D53">
        <w:rPr>
          <w:rFonts w:ascii="Times New Roman" w:hAnsi="Times New Roman" w:cs="Times New Roman"/>
        </w:rPr>
        <w:t>§</w:t>
      </w:r>
      <w:r w:rsidR="00827507" w:rsidRPr="00990D53">
        <w:t xml:space="preserve"> 1, </w:t>
      </w:r>
      <w:r w:rsidR="009D44B5" w:rsidRPr="00990D53">
        <w:t>szczególnie po c</w:t>
      </w:r>
      <w:r w:rsidR="00827507" w:rsidRPr="00990D53">
        <w:t>zerwcu 2013 r. Skarżący po</w:t>
      </w:r>
      <w:r w:rsidR="00191C37" w:rsidRPr="00990D53">
        <w:t>dnosił</w:t>
      </w:r>
      <w:r w:rsidR="00827507" w:rsidRPr="00990D53">
        <w:t xml:space="preserve">, że </w:t>
      </w:r>
      <w:r w:rsidR="00191C37" w:rsidRPr="00990D53">
        <w:t>realizacja</w:t>
      </w:r>
      <w:r w:rsidR="00827507" w:rsidRPr="00990D53">
        <w:t xml:space="preserve"> jego detencji prewencyjnej, szczególnie mając na względzie terapię, pozostała bez zmian, w związku z czym zakwestionował twierdzenia Rządu. </w:t>
      </w:r>
    </w:p>
    <w:p w:rsidR="001F6D55" w:rsidRPr="00990D53" w:rsidRDefault="001F6D55" w:rsidP="00B3060D">
      <w:pPr>
        <w:pStyle w:val="ECHRHeading6"/>
      </w:pPr>
      <w:r w:rsidRPr="00990D53">
        <w:t>(</w:t>
      </w:r>
      <w:r w:rsidRPr="00990D53">
        <w:rPr>
          <w:rFonts w:cstheme="minorHAnsi"/>
        </w:rPr>
        <w:t>α</w:t>
      </w:r>
      <w:r w:rsidRPr="00990D53">
        <w:t>)  </w:t>
      </w:r>
      <w:r w:rsidR="00827507" w:rsidRPr="00990D53">
        <w:t xml:space="preserve">Środki zastosowane po skazaniu za popełnienie przestępstwa </w:t>
      </w:r>
    </w:p>
    <w:p w:rsidR="00B31E8A" w:rsidRPr="00990D53" w:rsidRDefault="00921C0E" w:rsidP="00B3060D">
      <w:pPr>
        <w:pStyle w:val="ECHRPara"/>
      </w:pPr>
      <w:r w:rsidRPr="00990D53">
        <w:fldChar w:fldCharType="begin"/>
      </w:r>
      <w:r w:rsidRPr="00990D53">
        <w:instrText xml:space="preserve"> SEQ level0 \*arabic </w:instrText>
      </w:r>
      <w:r w:rsidRPr="00990D53">
        <w:fldChar w:fldCharType="separate"/>
      </w:r>
      <w:r w:rsidR="00A31FF5" w:rsidRPr="00990D53">
        <w:t>155</w:t>
      </w:r>
      <w:r w:rsidRPr="00990D53">
        <w:fldChar w:fldCharType="end"/>
      </w:r>
      <w:r w:rsidRPr="00990D53">
        <w:t>. </w:t>
      </w:r>
      <w:r w:rsidR="00827507" w:rsidRPr="00990D53">
        <w:t>Przy określaniu, czy detencja prewencyjna skarżącego</w:t>
      </w:r>
      <w:r w:rsidR="001C61F6" w:rsidRPr="00990D53">
        <w:t>, która</w:t>
      </w:r>
      <w:r w:rsidR="00827507" w:rsidRPr="00990D53">
        <w:t xml:space="preserve"> została przeprowadzona zgodnie z nowymi ramami prawnymi Ustawy o (rozróżnieniu) detencji prewencyjnej</w:t>
      </w:r>
      <w:r w:rsidR="001C61F6" w:rsidRPr="00990D53">
        <w:t>,</w:t>
      </w:r>
      <w:r w:rsidRPr="00990D53">
        <w:t> </w:t>
      </w:r>
      <w:r w:rsidR="001C61F6" w:rsidRPr="00990D53">
        <w:t xml:space="preserve"> była „karą”, Trybunał stwierdza, że punkt startowy a zarazem istotny czynnik przy tej ocenie jest, czy zastosowany środek został </w:t>
      </w:r>
      <w:r w:rsidR="00191C37" w:rsidRPr="00990D53">
        <w:t>orzeczony</w:t>
      </w:r>
      <w:r w:rsidR="001C61F6" w:rsidRPr="00990D53">
        <w:t xml:space="preserve"> po skazaniu za „przestępstwo” (zob. par. 150). </w:t>
      </w:r>
    </w:p>
    <w:p w:rsidR="001000B1" w:rsidRPr="00990D53" w:rsidRDefault="00860512" w:rsidP="00B3060D">
      <w:pPr>
        <w:pStyle w:val="ECHRPara"/>
      </w:pPr>
      <w:r w:rsidRPr="00990D53">
        <w:lastRenderedPageBreak/>
        <w:fldChar w:fldCharType="begin"/>
      </w:r>
      <w:r w:rsidRPr="00990D53">
        <w:instrText xml:space="preserve"> SEQ level0 \*arabic </w:instrText>
      </w:r>
      <w:r w:rsidRPr="00990D53">
        <w:fldChar w:fldCharType="separate"/>
      </w:r>
      <w:r w:rsidR="00A31FF5" w:rsidRPr="00990D53">
        <w:t>156</w:t>
      </w:r>
      <w:r w:rsidRPr="00990D53">
        <w:fldChar w:fldCharType="end"/>
      </w:r>
      <w:r w:rsidRPr="00990D53">
        <w:t>.  </w:t>
      </w:r>
      <w:r w:rsidR="001C61F6" w:rsidRPr="00990D53">
        <w:t xml:space="preserve">Trybunał stwierdza, że detencja prewencyjna skarżącego była początkowo orzeczona przez Sąd Okręgowy w Hanoverze w wyroku z dnia </w:t>
      </w:r>
      <w:smartTag w:uri="urn:schemas-microsoft-com:office:smarttags" w:element="date">
        <w:smartTagPr>
          <w:attr w:name="Year" w:val="1986"/>
          <w:attr w:name="Day" w:val="15"/>
          <w:attr w:name="Month" w:val="4"/>
          <w:attr w:name="ls" w:val="trans"/>
        </w:smartTagPr>
        <w:r w:rsidR="001C61F6" w:rsidRPr="00990D53">
          <w:t>15 kwietnia 1986 r.</w:t>
        </w:r>
      </w:smartTag>
      <w:r w:rsidR="001C61F6" w:rsidRPr="00990D53">
        <w:t xml:space="preserve"> na mocy art. 66 </w:t>
      </w:r>
      <w:r w:rsidR="001C61F6" w:rsidRPr="00990D53">
        <w:rPr>
          <w:rFonts w:ascii="Times New Roman" w:hAnsi="Times New Roman" w:cs="Times New Roman"/>
        </w:rPr>
        <w:t>§</w:t>
      </w:r>
      <w:r w:rsidR="001C61F6" w:rsidRPr="00990D53">
        <w:t xml:space="preserve"> 2 Kodeksu karnego,</w:t>
      </w:r>
      <w:r w:rsidR="00546AAF" w:rsidRPr="00990D53">
        <w:t xml:space="preserve"> łącznie ze skazaniem za kilka przestępstw, między innymi usiłowanie zabójstwa w związku z usiłowaniem gwałtu</w:t>
      </w:r>
      <w:r w:rsidR="00C21A7E" w:rsidRPr="00990D53">
        <w:t>.</w:t>
      </w:r>
      <w:r w:rsidR="00546AAF" w:rsidRPr="00990D53">
        <w:t xml:space="preserve"> Na mocy wyżej przywołanych przepisów, orzeczenie detencji prewencyjnej mogło być wydane przez sąd</w:t>
      </w:r>
      <w:r w:rsidR="00C21A7E" w:rsidRPr="00990D53">
        <w:t xml:space="preserve"> </w:t>
      </w:r>
      <w:r w:rsidR="009D44B5" w:rsidRPr="00990D53">
        <w:t>wobec kogoś jak</w:t>
      </w:r>
      <w:r w:rsidR="00363784" w:rsidRPr="00990D53">
        <w:t xml:space="preserve"> skarżący, kto między innymi, został skazany na co najmniej trzy lata więzienia</w:t>
      </w:r>
      <w:r w:rsidR="00191C37" w:rsidRPr="00990D53">
        <w:t>,</w:t>
      </w:r>
      <w:r w:rsidR="00363784" w:rsidRPr="00990D53">
        <w:t xml:space="preserve"> za co najmniej trzy przestępstwa intencjonalne. </w:t>
      </w:r>
    </w:p>
    <w:p w:rsidR="00860512" w:rsidRPr="00990D53" w:rsidRDefault="001000B1" w:rsidP="00B3060D">
      <w:pPr>
        <w:pStyle w:val="ECHRPara"/>
      </w:pPr>
      <w:r w:rsidRPr="00990D53">
        <w:fldChar w:fldCharType="begin"/>
      </w:r>
      <w:r w:rsidRPr="00990D53">
        <w:instrText xml:space="preserve"> SEQ level0 \*arabic </w:instrText>
      </w:r>
      <w:r w:rsidRPr="00990D53">
        <w:fldChar w:fldCharType="separate"/>
      </w:r>
      <w:r w:rsidR="00A31FF5" w:rsidRPr="00990D53">
        <w:t>157</w:t>
      </w:r>
      <w:r w:rsidRPr="00990D53">
        <w:fldChar w:fldCharType="end"/>
      </w:r>
      <w:r w:rsidRPr="00990D53">
        <w:t>.  </w:t>
      </w:r>
      <w:r w:rsidR="00363784" w:rsidRPr="00990D53">
        <w:t xml:space="preserve">Trybunał następnie stwierdza, że skarżący </w:t>
      </w:r>
      <w:r w:rsidR="009D44B5" w:rsidRPr="00990D53">
        <w:t>był nadal prewencyjnie pozbawiony wolności</w:t>
      </w:r>
      <w:r w:rsidR="00363784" w:rsidRPr="00990D53">
        <w:t xml:space="preserve"> w wyniku orzeczenia Sądu Okręgowego w Hanoverze z 1986 roku. Dodatkowe przesłanki z </w:t>
      </w:r>
      <w:r w:rsidR="00191C37" w:rsidRPr="00990D53">
        <w:t>paragrafu</w:t>
      </w:r>
      <w:r w:rsidR="00363784" w:rsidRPr="00990D53">
        <w:t xml:space="preserve"> </w:t>
      </w:r>
      <w:r w:rsidR="00E76412" w:rsidRPr="00990D53">
        <w:t>316f (2)</w:t>
      </w:r>
      <w:r w:rsidR="00363784" w:rsidRPr="00990D53">
        <w:t>, zdania drugiego Ustawy wprowadzającej</w:t>
      </w:r>
      <w:r w:rsidR="00191C37" w:rsidRPr="00990D53">
        <w:t xml:space="preserve"> </w:t>
      </w:r>
      <w:r w:rsidR="00363784" w:rsidRPr="00990D53">
        <w:t>Kodeks karn</w:t>
      </w:r>
      <w:r w:rsidR="00191C37" w:rsidRPr="00990D53">
        <w:t>y</w:t>
      </w:r>
      <w:r w:rsidR="00363784" w:rsidRPr="00990D53">
        <w:t xml:space="preserve">, które musiały być spełnione, aby przedłużyć detencję prewencyjną nie </w:t>
      </w:r>
      <w:r w:rsidR="009D44B5" w:rsidRPr="00990D53">
        <w:t>wpływają na fakt</w:t>
      </w:r>
      <w:r w:rsidR="00363784" w:rsidRPr="00990D53">
        <w:t xml:space="preserve">, że to pierwsze orzeczenie o detencji prewencyjnej z roku 1986, </w:t>
      </w:r>
      <w:r w:rsidR="009E32C0" w:rsidRPr="00990D53">
        <w:t>było następnie przedłużane</w:t>
      </w:r>
      <w:r w:rsidR="00B1789C" w:rsidRPr="00990D53">
        <w:t>, chociaż pod zaostrzonymi warunkami.</w:t>
      </w:r>
      <w:r w:rsidR="00363784" w:rsidRPr="00990D53">
        <w:t xml:space="preserve"> </w:t>
      </w:r>
    </w:p>
    <w:p w:rsidR="0071045E" w:rsidRPr="00990D53" w:rsidRDefault="00B82869" w:rsidP="00B3060D">
      <w:pPr>
        <w:pStyle w:val="ECHRPara"/>
      </w:pPr>
      <w:r w:rsidRPr="00990D53">
        <w:fldChar w:fldCharType="begin"/>
      </w:r>
      <w:r w:rsidRPr="00990D53">
        <w:instrText xml:space="preserve"> SEQ level0 \*arabic </w:instrText>
      </w:r>
      <w:r w:rsidRPr="00990D53">
        <w:fldChar w:fldCharType="separate"/>
      </w:r>
      <w:r w:rsidR="00A31FF5" w:rsidRPr="00990D53">
        <w:t>158</w:t>
      </w:r>
      <w:r w:rsidRPr="00990D53">
        <w:fldChar w:fldCharType="end"/>
      </w:r>
      <w:r w:rsidRPr="00990D53">
        <w:t>. </w:t>
      </w:r>
      <w:r w:rsidR="00B1789C" w:rsidRPr="00990D53">
        <w:t xml:space="preserve">Co więcej, nie skorzystano z możliwości przewidzianej Ustawą o </w:t>
      </w:r>
      <w:r w:rsidR="009E32C0" w:rsidRPr="00990D53">
        <w:t>Detencji Prewencyjnej</w:t>
      </w:r>
      <w:r w:rsidR="00B1789C" w:rsidRPr="00990D53">
        <w:t xml:space="preserve"> (zob.</w:t>
      </w:r>
      <w:r w:rsidR="00AE4E39" w:rsidRPr="00990D53">
        <w:t xml:space="preserve"> 64-65 powyżej), aby za podstawę </w:t>
      </w:r>
      <w:r w:rsidR="00B1789C" w:rsidRPr="00990D53">
        <w:t>dete</w:t>
      </w:r>
      <w:r w:rsidR="00AE4E39" w:rsidRPr="00990D53">
        <w:t>ncji</w:t>
      </w:r>
      <w:r w:rsidR="00B1789C" w:rsidRPr="00990D53">
        <w:t xml:space="preserve"> skarżącego</w:t>
      </w:r>
      <w:r w:rsidR="00AE4E39" w:rsidRPr="00990D53">
        <w:t xml:space="preserve"> przyjąć</w:t>
      </w:r>
      <w:r w:rsidR="00B1789C" w:rsidRPr="00990D53">
        <w:t xml:space="preserve"> </w:t>
      </w:r>
      <w:r w:rsidR="00AE4E39" w:rsidRPr="00990D53">
        <w:t>orzeczenie</w:t>
      </w:r>
      <w:r w:rsidR="00B1789C" w:rsidRPr="00990D53">
        <w:t xml:space="preserve"> sekcji cywilnej kompetentnego </w:t>
      </w:r>
      <w:r w:rsidR="00AE4E39" w:rsidRPr="00990D53">
        <w:t>Sądu Okręgowego</w:t>
      </w:r>
      <w:r w:rsidR="00B1789C" w:rsidRPr="00990D53">
        <w:t xml:space="preserve"> </w:t>
      </w:r>
      <w:r w:rsidR="00AE4E39" w:rsidRPr="00990D53">
        <w:t xml:space="preserve">o </w:t>
      </w:r>
      <w:r w:rsidR="00B1789C" w:rsidRPr="00990D53">
        <w:t>umieszcza</w:t>
      </w:r>
      <w:r w:rsidR="00AE4E39" w:rsidRPr="00990D53">
        <w:t>niu osoby</w:t>
      </w:r>
      <w:r w:rsidR="00B1789C" w:rsidRPr="00990D53">
        <w:t xml:space="preserve"> w odpowiednie</w:t>
      </w:r>
      <w:r w:rsidR="00AE4E39" w:rsidRPr="00990D53">
        <w:t>j</w:t>
      </w:r>
      <w:r w:rsidR="00B1789C" w:rsidRPr="00990D53">
        <w:t xml:space="preserve"> instytucji dla chory</w:t>
      </w:r>
      <w:r w:rsidR="00AE4E39" w:rsidRPr="00990D53">
        <w:t xml:space="preserve">ch psychicznie, mając na uwadze </w:t>
      </w:r>
      <w:r w:rsidR="00B1789C" w:rsidRPr="00990D53">
        <w:t>zagrożenie</w:t>
      </w:r>
      <w:r w:rsidR="00AE4E39" w:rsidRPr="00990D53">
        <w:t>, jakie wówczas stwarzał</w:t>
      </w:r>
      <w:r w:rsidR="00B1789C" w:rsidRPr="00990D53">
        <w:t xml:space="preserve"> dla społeczeństwa. Trybunał stwierdza, że przeciwnie </w:t>
      </w:r>
      <w:r w:rsidR="00AE4E39" w:rsidRPr="00990D53">
        <w:t xml:space="preserve">do detencji prewencyjnej orzekanej na mocy Kodeksu karnego, osadzenie na mocy Ustawy o Terapii Detencyjnej nie jest środkiem nałożonym w następstwie i łącznie ze skazaniem za przestępstwo, pomimo faktu, że może być orzeczone wyłącznie w stosunku do </w:t>
      </w:r>
      <w:r w:rsidR="00E46926" w:rsidRPr="00990D53">
        <w:t>osób</w:t>
      </w:r>
      <w:r w:rsidR="00AE4E39" w:rsidRPr="00990D53">
        <w:t xml:space="preserve">, które popełniły określone poważne przestępstwo a także, jeśli wcześniej </w:t>
      </w:r>
      <w:r w:rsidR="00E46926" w:rsidRPr="00990D53">
        <w:t>odbywały</w:t>
      </w:r>
      <w:r w:rsidR="00AE4E39" w:rsidRPr="00990D53">
        <w:t xml:space="preserve"> karę detencji prewencyjnej. Jest to </w:t>
      </w:r>
      <w:r w:rsidR="00E46926" w:rsidRPr="00990D53">
        <w:t>środek</w:t>
      </w:r>
      <w:r w:rsidR="00AE4E39" w:rsidRPr="00990D53">
        <w:t xml:space="preserve"> orzekany przez sądy cywiln</w:t>
      </w:r>
      <w:r w:rsidR="009E32C0" w:rsidRPr="00990D53">
        <w:t>e, poza ramami prawa karnego i ukierunko</w:t>
      </w:r>
      <w:r w:rsidR="00AE4E39" w:rsidRPr="00990D53">
        <w:t xml:space="preserve">wany na leczenie medyczne i </w:t>
      </w:r>
      <w:r w:rsidR="00E46926" w:rsidRPr="00990D53">
        <w:t>terapeutyczne oso</w:t>
      </w:r>
      <w:r w:rsidR="00AE4E39" w:rsidRPr="00990D53">
        <w:t xml:space="preserve">by cierpiącej na zaburzenie psychiczne, </w:t>
      </w:r>
      <w:r w:rsidR="009E32C0" w:rsidRPr="00990D53">
        <w:t>która stanowi</w:t>
      </w:r>
      <w:r w:rsidR="00AE4E39" w:rsidRPr="00990D53">
        <w:t xml:space="preserve"> </w:t>
      </w:r>
      <w:r w:rsidR="009E32C0" w:rsidRPr="00990D53">
        <w:t xml:space="preserve">zagrożenie </w:t>
      </w:r>
      <w:r w:rsidR="00AE4E39" w:rsidRPr="00990D53">
        <w:t>dla społeczeństwa ze względu na powagę popełnione</w:t>
      </w:r>
      <w:r w:rsidR="00343E4D" w:rsidRPr="00990D53">
        <w:t>go</w:t>
      </w:r>
      <w:r w:rsidR="00AE4E39" w:rsidRPr="00990D53">
        <w:t xml:space="preserve"> </w:t>
      </w:r>
      <w:r w:rsidR="00343E4D" w:rsidRPr="00990D53">
        <w:t>przestępstwa</w:t>
      </w:r>
      <w:r w:rsidR="00AE4E39" w:rsidRPr="00990D53">
        <w:t xml:space="preserve"> (zob. </w:t>
      </w:r>
      <w:r w:rsidR="00F97401" w:rsidRPr="00990D53">
        <w:rPr>
          <w:i/>
        </w:rPr>
        <w:t>Glien</w:t>
      </w:r>
      <w:r w:rsidR="00F97401" w:rsidRPr="00990D53">
        <w:t xml:space="preserve">, </w:t>
      </w:r>
      <w:r w:rsidR="00AE4E39" w:rsidRPr="00990D53">
        <w:t>cyt. powyżej</w:t>
      </w:r>
      <w:r w:rsidR="00F97401" w:rsidRPr="00990D53">
        <w:t>, § 122).</w:t>
      </w:r>
    </w:p>
    <w:p w:rsidR="0071045E" w:rsidRPr="00990D53" w:rsidRDefault="00B82869" w:rsidP="00B3060D">
      <w:pPr>
        <w:pStyle w:val="ECHRPara"/>
      </w:pPr>
      <w:r w:rsidRPr="00990D53">
        <w:fldChar w:fldCharType="begin"/>
      </w:r>
      <w:r w:rsidRPr="00990D53">
        <w:instrText xml:space="preserve"> SEQ level0 \*arabic </w:instrText>
      </w:r>
      <w:r w:rsidRPr="00990D53">
        <w:fldChar w:fldCharType="separate"/>
      </w:r>
      <w:r w:rsidR="00A31FF5" w:rsidRPr="00990D53">
        <w:t>159</w:t>
      </w:r>
      <w:r w:rsidRPr="00990D53">
        <w:fldChar w:fldCharType="end"/>
      </w:r>
      <w:r w:rsidRPr="00990D53">
        <w:t>.  </w:t>
      </w:r>
      <w:r w:rsidR="00AE4E39" w:rsidRPr="00990D53">
        <w:t xml:space="preserve">Trybunał w związku z tym stwierdza, że detencja prewencyjna skarżącego </w:t>
      </w:r>
      <w:r w:rsidR="00343E4D" w:rsidRPr="00990D53">
        <w:t xml:space="preserve">była orzeczona w następstwie jego skazania za „poważne przestępstwo”. Z tego powodu jego sytuacja nie różni się od tych omówionych w sprawach </w:t>
      </w:r>
      <w:r w:rsidR="00F97401" w:rsidRPr="00990D53">
        <w:rPr>
          <w:i/>
        </w:rPr>
        <w:t>M</w:t>
      </w:r>
      <w:r w:rsidR="00343E4D" w:rsidRPr="00990D53">
        <w:rPr>
          <w:i/>
        </w:rPr>
        <w:t>. przeciwko Niemcom</w:t>
      </w:r>
      <w:r w:rsidR="00F97401" w:rsidRPr="00990D53">
        <w:t xml:space="preserve"> </w:t>
      </w:r>
      <w:r w:rsidR="00343E4D" w:rsidRPr="00990D53">
        <w:t>(cyt. powyżej</w:t>
      </w:r>
      <w:r w:rsidR="00E07238" w:rsidRPr="00990D53">
        <w:t xml:space="preserve">, § 124) </w:t>
      </w:r>
      <w:r w:rsidR="00343E4D" w:rsidRPr="00990D53">
        <w:t>oraz</w:t>
      </w:r>
      <w:r w:rsidR="00F97401" w:rsidRPr="00990D53">
        <w:t xml:space="preserve"> </w:t>
      </w:r>
      <w:r w:rsidR="00F97401" w:rsidRPr="00990D53">
        <w:rPr>
          <w:i/>
        </w:rPr>
        <w:t>Glien</w:t>
      </w:r>
      <w:r w:rsidR="00F97401" w:rsidRPr="00990D53">
        <w:t xml:space="preserve"> (</w:t>
      </w:r>
      <w:r w:rsidR="00343E4D" w:rsidRPr="00990D53">
        <w:t>cyt. powyżej</w:t>
      </w:r>
      <w:r w:rsidR="007E59D0" w:rsidRPr="00990D53">
        <w:t>, § </w:t>
      </w:r>
      <w:r w:rsidR="00E07238" w:rsidRPr="00990D53">
        <w:t>121</w:t>
      </w:r>
      <w:r w:rsidR="00F97401" w:rsidRPr="00990D53">
        <w:t>).</w:t>
      </w:r>
    </w:p>
    <w:p w:rsidR="007A37C6" w:rsidRPr="00990D53" w:rsidRDefault="00A3112D" w:rsidP="00B3060D">
      <w:pPr>
        <w:pStyle w:val="ECHRPara"/>
      </w:pPr>
      <w:r w:rsidRPr="00990D53">
        <w:fldChar w:fldCharType="begin"/>
      </w:r>
      <w:r w:rsidRPr="00990D53">
        <w:instrText xml:space="preserve"> SEQ level0 \*arabic </w:instrText>
      </w:r>
      <w:r w:rsidRPr="00990D53">
        <w:fldChar w:fldCharType="separate"/>
      </w:r>
      <w:r w:rsidR="00A31FF5" w:rsidRPr="00990D53">
        <w:t>160</w:t>
      </w:r>
      <w:r w:rsidRPr="00990D53">
        <w:fldChar w:fldCharType="end"/>
      </w:r>
      <w:r w:rsidRPr="00990D53">
        <w:t>.  </w:t>
      </w:r>
      <w:r w:rsidR="007A37C6" w:rsidRPr="00990D53">
        <w:t>T</w:t>
      </w:r>
      <w:r w:rsidR="00343E4D" w:rsidRPr="00990D53">
        <w:t xml:space="preserve">rybunał będzie oceniał inne istotne czynniki przy określaniu, czy detencja prewencyjna skarżącego była „karą” w znaczeniu art. 7 </w:t>
      </w:r>
      <w:r w:rsidR="00343E4D" w:rsidRPr="00990D53">
        <w:rPr>
          <w:rFonts w:ascii="Times New Roman" w:hAnsi="Times New Roman" w:cs="Times New Roman"/>
        </w:rPr>
        <w:t>§</w:t>
      </w:r>
      <w:r w:rsidR="00343E4D" w:rsidRPr="00990D53">
        <w:t xml:space="preserve"> 1. </w:t>
      </w:r>
    </w:p>
    <w:p w:rsidR="001F6D55" w:rsidRPr="00990D53" w:rsidRDefault="001F6D55" w:rsidP="00B3060D">
      <w:pPr>
        <w:pStyle w:val="ECHRHeading6"/>
      </w:pPr>
      <w:r w:rsidRPr="00990D53">
        <w:t>(</w:t>
      </w:r>
      <w:r w:rsidRPr="00990D53">
        <w:rPr>
          <w:rFonts w:cstheme="minorHAnsi"/>
        </w:rPr>
        <w:t>β</w:t>
      </w:r>
      <w:r w:rsidRPr="00990D53">
        <w:t>)  </w:t>
      </w:r>
      <w:r w:rsidR="00343E4D" w:rsidRPr="00990D53">
        <w:t>Charakterystyka środka w kontekście prawa krajowego</w:t>
      </w:r>
    </w:p>
    <w:p w:rsidR="006C6769" w:rsidRPr="00990D53" w:rsidRDefault="007A37C6" w:rsidP="00B3060D">
      <w:pPr>
        <w:pStyle w:val="ECHRPara"/>
      </w:pPr>
      <w:r w:rsidRPr="00990D53">
        <w:fldChar w:fldCharType="begin"/>
      </w:r>
      <w:r w:rsidRPr="00990D53">
        <w:instrText xml:space="preserve"> SEQ level0 \*arabic </w:instrText>
      </w:r>
      <w:r w:rsidRPr="00990D53">
        <w:fldChar w:fldCharType="separate"/>
      </w:r>
      <w:r w:rsidR="00A31FF5" w:rsidRPr="00990D53">
        <w:t>161</w:t>
      </w:r>
      <w:r w:rsidRPr="00990D53">
        <w:fldChar w:fldCharType="end"/>
      </w:r>
      <w:r w:rsidRPr="00990D53">
        <w:t>.  </w:t>
      </w:r>
      <w:r w:rsidR="005624B6" w:rsidRPr="00990D53">
        <w:t xml:space="preserve">W sprawie charakterystyki detencji prewencyjnej w prawie krajowym, Trybunał stwierdza, że w Niemczech detencja taka nie jest i nigdy nie była uważana za karę, w stosunku do której obowiązuje </w:t>
      </w:r>
      <w:r w:rsidR="000913B6" w:rsidRPr="00990D53">
        <w:t xml:space="preserve">konstytucyjny zakaz karania retrospektywnego (zob. </w:t>
      </w:r>
      <w:r w:rsidR="004A6C11" w:rsidRPr="00990D53">
        <w:rPr>
          <w:i/>
        </w:rPr>
        <w:t xml:space="preserve">M. </w:t>
      </w:r>
      <w:r w:rsidR="000913B6" w:rsidRPr="00990D53">
        <w:rPr>
          <w:i/>
        </w:rPr>
        <w:t xml:space="preserve">przeciwko </w:t>
      </w:r>
      <w:r w:rsidR="000913B6" w:rsidRPr="00990D53">
        <w:rPr>
          <w:i/>
        </w:rPr>
        <w:lastRenderedPageBreak/>
        <w:t>Niemcom</w:t>
      </w:r>
      <w:r w:rsidR="000913B6" w:rsidRPr="00990D53">
        <w:t>, cyt. powyżej</w:t>
      </w:r>
      <w:r w:rsidR="004A6C11" w:rsidRPr="00990D53">
        <w:t>, §§ 125-26</w:t>
      </w:r>
      <w:r w:rsidR="002F7801" w:rsidRPr="00990D53">
        <w:t>,</w:t>
      </w:r>
      <w:r w:rsidR="004A6C11" w:rsidRPr="00990D53">
        <w:t xml:space="preserve"> </w:t>
      </w:r>
      <w:r w:rsidR="000913B6" w:rsidRPr="00990D53">
        <w:t>oraz</w:t>
      </w:r>
      <w:r w:rsidR="004A6C11" w:rsidRPr="00990D53">
        <w:t xml:space="preserve"> </w:t>
      </w:r>
      <w:r w:rsidR="004A6C11" w:rsidRPr="00990D53">
        <w:rPr>
          <w:i/>
        </w:rPr>
        <w:t>Glien</w:t>
      </w:r>
      <w:r w:rsidR="004A6C11" w:rsidRPr="00990D53">
        <w:t xml:space="preserve">, </w:t>
      </w:r>
      <w:r w:rsidR="000913B6" w:rsidRPr="00990D53">
        <w:t>cyt. powyżej</w:t>
      </w:r>
      <w:r w:rsidR="004A6C11" w:rsidRPr="00990D53">
        <w:t>, § 124)</w:t>
      </w:r>
      <w:r w:rsidRPr="00990D53">
        <w:t xml:space="preserve">. </w:t>
      </w:r>
      <w:r w:rsidR="000913B6" w:rsidRPr="00990D53">
        <w:t>W swoim wyroku z dnia 4 maja 2011 r., Federalny Trybunał Konstytucyjny ponownie potwierdził, że detencja prewencyjna przeciwnie do wniosków poczynionych przez ten Trybunał co do art. 7 Konwencji, nie jest karą w tym znaczeniu, że obowiązuje wobec niej całkowity zakaz retrospekt</w:t>
      </w:r>
      <w:r w:rsidR="009E32C0" w:rsidRPr="00990D53">
        <w:t>ywnego stosowania prawa karnego</w:t>
      </w:r>
      <w:r w:rsidR="000913B6" w:rsidRPr="00990D53">
        <w:t xml:space="preserve"> na mocy Ustawy Zasadniczej (zob. par. 71 powyżej). Następnie uznał, że wcześniejsze przepisy Kodeksu karnego co do orzekania i trwania detencji prewencyjnej nie były </w:t>
      </w:r>
      <w:r w:rsidR="009E32C0" w:rsidRPr="00990D53">
        <w:t>właściwe,</w:t>
      </w:r>
      <w:r w:rsidR="000913B6" w:rsidRPr="00990D53">
        <w:t xml:space="preserve"> jednak by s</w:t>
      </w:r>
      <w:r w:rsidR="009E32C0" w:rsidRPr="00990D53">
        <w:t xml:space="preserve">pełniały konstytucyjny wymóg </w:t>
      </w:r>
      <w:r w:rsidR="000913B6" w:rsidRPr="00990D53">
        <w:t>rozróżnienia po</w:t>
      </w:r>
      <w:r w:rsidR="00153B0D" w:rsidRPr="00990D53">
        <w:t>m</w:t>
      </w:r>
      <w:r w:rsidR="000913B6" w:rsidRPr="00990D53">
        <w:t xml:space="preserve">iędzy wyłącznie prewencyjnymi środkami o funkcjach </w:t>
      </w:r>
      <w:r w:rsidR="005F1481" w:rsidRPr="00990D53">
        <w:t xml:space="preserve"> </w:t>
      </w:r>
      <w:r w:rsidR="00E5537C" w:rsidRPr="00990D53">
        <w:t>naprawczych i prewencyjnych</w:t>
      </w:r>
      <w:r w:rsidR="005F1481" w:rsidRPr="00990D53">
        <w:t xml:space="preserve">, </w:t>
      </w:r>
      <w:r w:rsidR="000913B6" w:rsidRPr="00990D53">
        <w:t xml:space="preserve">takich jak detencja prewencyjna a karami takimi jak pozbawienie wolności (zob. par. 67 powyżej). Z tego powodu </w:t>
      </w:r>
      <w:r w:rsidR="00955B0E" w:rsidRPr="00990D53">
        <w:t xml:space="preserve">sąd nakazał </w:t>
      </w:r>
      <w:r w:rsidR="00153B0D" w:rsidRPr="00990D53">
        <w:t>ustawodawcy</w:t>
      </w:r>
      <w:r w:rsidR="00955B0E" w:rsidRPr="00990D53">
        <w:t xml:space="preserve"> zmianę przepisów o detencji pre</w:t>
      </w:r>
      <w:r w:rsidR="00C56890" w:rsidRPr="00990D53">
        <w:t xml:space="preserve">wencyjnej w Kodeksie karnym, aby odzwierciedlały tę różnicę. </w:t>
      </w:r>
    </w:p>
    <w:p w:rsidR="007A37C6" w:rsidRPr="00990D53" w:rsidRDefault="00E07238" w:rsidP="00B3060D">
      <w:pPr>
        <w:pStyle w:val="ECHRPara"/>
      </w:pPr>
      <w:r w:rsidRPr="00990D53">
        <w:fldChar w:fldCharType="begin"/>
      </w:r>
      <w:r w:rsidRPr="00990D53">
        <w:instrText xml:space="preserve"> SEQ level0 \*arabic </w:instrText>
      </w:r>
      <w:r w:rsidRPr="00990D53">
        <w:fldChar w:fldCharType="separate"/>
      </w:r>
      <w:r w:rsidR="00A31FF5" w:rsidRPr="00990D53">
        <w:t>162</w:t>
      </w:r>
      <w:r w:rsidRPr="00990D53">
        <w:fldChar w:fldCharType="end"/>
      </w:r>
      <w:r w:rsidRPr="00990D53">
        <w:t>.  </w:t>
      </w:r>
      <w:r w:rsidR="00C56890" w:rsidRPr="00990D53">
        <w:t xml:space="preserve">Wraz z tym wymogiem, zmiany legislacyjne do Kodeksu karnego wprowadzone Ustawą </w:t>
      </w:r>
      <w:r w:rsidR="009E32C0" w:rsidRPr="00990D53">
        <w:t>o (rozróżnieniu) Detencji P</w:t>
      </w:r>
      <w:r w:rsidR="003319E6" w:rsidRPr="00990D53">
        <w:t xml:space="preserve">rewencyjnej służą wyjaśnieniu i sprezycowaniu różnic pomiędzy sposobem, w jaki wykonywana jest detencja prewencyjna i kara pozbawienia wolności (zob. w szczególności nowy art. 66 Kodeksu karnego). Wymogi te określają i precyzują różnice pomiędzy środkami </w:t>
      </w:r>
      <w:r w:rsidR="00E5537C" w:rsidRPr="00990D53">
        <w:t>naprawczymi i prewencyjnymi</w:t>
      </w:r>
      <w:r w:rsidR="006A30BA" w:rsidRPr="00990D53">
        <w:t xml:space="preserve"> </w:t>
      </w:r>
      <w:r w:rsidR="003319E6" w:rsidRPr="00990D53">
        <w:t>to znaczy dete</w:t>
      </w:r>
      <w:r w:rsidR="009E32C0" w:rsidRPr="00990D53">
        <w:t>ncją</w:t>
      </w:r>
      <w:r w:rsidR="00D27358" w:rsidRPr="00990D53">
        <w:t xml:space="preserve"> prewencyjną, na mocy przepisów Kodeksu karnego a środkami uznawanymi za kary zgodnie z dobrze utrwalonym dwutorowym systemem sankcji w niemieckim prawie kryminalnym (zob.</w:t>
      </w:r>
      <w:r w:rsidR="006A30BA" w:rsidRPr="00990D53">
        <w:t xml:space="preserve"> </w:t>
      </w:r>
      <w:r w:rsidR="006A30BA" w:rsidRPr="00990D53">
        <w:rPr>
          <w:i/>
        </w:rPr>
        <w:t xml:space="preserve">M. </w:t>
      </w:r>
      <w:r w:rsidR="00D27358" w:rsidRPr="00990D53">
        <w:rPr>
          <w:i/>
        </w:rPr>
        <w:t>przeciwko Niemcom</w:t>
      </w:r>
      <w:r w:rsidR="006A30BA" w:rsidRPr="00990D53">
        <w:t xml:space="preserve">, </w:t>
      </w:r>
      <w:r w:rsidR="00D27358" w:rsidRPr="00990D53">
        <w:t>cyt. powyżej</w:t>
      </w:r>
      <w:r w:rsidR="006A30BA" w:rsidRPr="00990D53">
        <w:t xml:space="preserve">, §§ 45 et seq. </w:t>
      </w:r>
      <w:r w:rsidR="00D27358" w:rsidRPr="00990D53">
        <w:t>i</w:t>
      </w:r>
      <w:r w:rsidR="006A30BA" w:rsidRPr="00990D53">
        <w:t xml:space="preserve"> 125).</w:t>
      </w:r>
    </w:p>
    <w:p w:rsidR="007A37C6" w:rsidRPr="00990D53" w:rsidRDefault="00E07238" w:rsidP="00B3060D">
      <w:pPr>
        <w:pStyle w:val="ECHRPara"/>
      </w:pPr>
      <w:r w:rsidRPr="00990D53">
        <w:fldChar w:fldCharType="begin"/>
      </w:r>
      <w:r w:rsidRPr="00990D53">
        <w:instrText xml:space="preserve"> SEQ level0 \*arabic </w:instrText>
      </w:r>
      <w:r w:rsidRPr="00990D53">
        <w:fldChar w:fldCharType="separate"/>
      </w:r>
      <w:r w:rsidR="00A31FF5" w:rsidRPr="00990D53">
        <w:t>163</w:t>
      </w:r>
      <w:r w:rsidRPr="00990D53">
        <w:fldChar w:fldCharType="end"/>
      </w:r>
      <w:r w:rsidRPr="00990D53">
        <w:t>.  </w:t>
      </w:r>
      <w:r w:rsidR="00D27358" w:rsidRPr="00990D53">
        <w:t xml:space="preserve">W tym kontekście, Trybunał przyłącza się do ustaleń Federalnego Trybunału Konstytucyjnego, że </w:t>
      </w:r>
      <w:r w:rsidR="00CC7B82" w:rsidRPr="00990D53">
        <w:t xml:space="preserve">schematyczne usystematyzowanie konstytucyjnego pojęcia „kary” z pojęciem w rozumieniu Konwencji nie było obowiązkowe, jeżeli </w:t>
      </w:r>
      <w:r w:rsidR="00E81E80" w:rsidRPr="00990D53">
        <w:t>w swej treści spełnione były minimalne standar</w:t>
      </w:r>
      <w:r w:rsidR="00372B65" w:rsidRPr="00990D53">
        <w:t>d</w:t>
      </w:r>
      <w:r w:rsidR="00E81E80" w:rsidRPr="00990D53">
        <w:t>y wyznaczone w Konwencji (zob. par. 71 poniżej). Jak Trybunał wskazał już w swoim orzecznictwie, jego zadaniem jest autonomiczna interpretacja pojęcia „kary”</w:t>
      </w:r>
      <w:r w:rsidR="00372B65" w:rsidRPr="00990D53">
        <w:t xml:space="preserve"> z</w:t>
      </w:r>
      <w:r w:rsidR="00E81E80" w:rsidRPr="00990D53">
        <w:t xml:space="preserve"> art. 7 </w:t>
      </w:r>
      <w:r w:rsidR="00E81E80" w:rsidRPr="00990D53">
        <w:rPr>
          <w:rFonts w:ascii="Times New Roman" w:hAnsi="Times New Roman" w:cs="Times New Roman"/>
        </w:rPr>
        <w:t>§</w:t>
      </w:r>
      <w:r w:rsidR="00E81E80" w:rsidRPr="00990D53">
        <w:t xml:space="preserve"> 1</w:t>
      </w:r>
      <w:r w:rsidR="00372B65" w:rsidRPr="00990D53">
        <w:t xml:space="preserve"> Konwencji, mając na uwadze także klasyfikację porównywalnych środków u innych Układających się Państw (zob. </w:t>
      </w:r>
      <w:r w:rsidR="007F1A34" w:rsidRPr="00990D53">
        <w:t> </w:t>
      </w:r>
      <w:r w:rsidR="007A37C6" w:rsidRPr="00990D53">
        <w:rPr>
          <w:i/>
        </w:rPr>
        <w:t xml:space="preserve">M. </w:t>
      </w:r>
      <w:r w:rsidR="007F1A34" w:rsidRPr="00990D53">
        <w:rPr>
          <w:i/>
        </w:rPr>
        <w:t> </w:t>
      </w:r>
      <w:r w:rsidR="00372B65" w:rsidRPr="00990D53">
        <w:rPr>
          <w:i/>
        </w:rPr>
        <w:t>przeciwko Niemcom</w:t>
      </w:r>
      <w:r w:rsidR="007A37C6" w:rsidRPr="00990D53">
        <w:t xml:space="preserve">, </w:t>
      </w:r>
      <w:r w:rsidR="00372B65" w:rsidRPr="00990D53">
        <w:t>cyt. powyżej</w:t>
      </w:r>
      <w:r w:rsidR="007A37C6" w:rsidRPr="00990D53">
        <w:t>, § 126</w:t>
      </w:r>
      <w:r w:rsidR="002F7801" w:rsidRPr="00990D53">
        <w:t>,</w:t>
      </w:r>
      <w:r w:rsidR="001A5AD0" w:rsidRPr="00990D53">
        <w:t xml:space="preserve"> </w:t>
      </w:r>
      <w:r w:rsidR="00372B65" w:rsidRPr="00990D53">
        <w:t>oraz</w:t>
      </w:r>
      <w:r w:rsidR="001A5AD0" w:rsidRPr="00990D53">
        <w:t xml:space="preserve"> </w:t>
      </w:r>
      <w:r w:rsidR="001A5AD0" w:rsidRPr="00990D53">
        <w:rPr>
          <w:i/>
        </w:rPr>
        <w:t>Glien</w:t>
      </w:r>
      <w:r w:rsidR="001A5AD0" w:rsidRPr="00990D53">
        <w:t xml:space="preserve">, </w:t>
      </w:r>
      <w:r w:rsidR="00372B65" w:rsidRPr="00990D53">
        <w:t>cyt. powyżej</w:t>
      </w:r>
      <w:r w:rsidR="001A5AD0" w:rsidRPr="00990D53">
        <w:t>, § 124</w:t>
      </w:r>
      <w:r w:rsidR="007A37C6" w:rsidRPr="00990D53">
        <w:t>).</w:t>
      </w:r>
    </w:p>
    <w:p w:rsidR="005A6348" w:rsidRPr="00990D53" w:rsidRDefault="005A6348" w:rsidP="00B3060D">
      <w:pPr>
        <w:pStyle w:val="ECHRHeading6"/>
      </w:pPr>
      <w:r w:rsidRPr="00990D53">
        <w:t>(</w:t>
      </w:r>
      <w:r w:rsidRPr="00990D53">
        <w:rPr>
          <w:rFonts w:cstheme="minorHAnsi"/>
        </w:rPr>
        <w:t>γ</w:t>
      </w:r>
      <w:r w:rsidRPr="00990D53">
        <w:t>)  </w:t>
      </w:r>
      <w:r w:rsidR="00372B65" w:rsidRPr="00990D53">
        <w:t>Istota środka</w:t>
      </w:r>
    </w:p>
    <w:p w:rsidR="00860512" w:rsidRPr="00990D53" w:rsidRDefault="0069710A" w:rsidP="00B3060D">
      <w:pPr>
        <w:pStyle w:val="ECHRPara"/>
        <w:rPr>
          <w:i/>
        </w:rPr>
      </w:pPr>
      <w:r w:rsidRPr="00990D53">
        <w:fldChar w:fldCharType="begin"/>
      </w:r>
      <w:r w:rsidRPr="00990D53">
        <w:instrText xml:space="preserve"> SEQ level0 \*arabic </w:instrText>
      </w:r>
      <w:r w:rsidRPr="00990D53">
        <w:fldChar w:fldCharType="separate"/>
      </w:r>
      <w:r w:rsidR="00A31FF5" w:rsidRPr="00990D53">
        <w:t>164</w:t>
      </w:r>
      <w:r w:rsidRPr="00990D53">
        <w:fldChar w:fldCharType="end"/>
      </w:r>
      <w:r w:rsidRPr="00990D53">
        <w:t>.  </w:t>
      </w:r>
      <w:r w:rsidR="00372B65" w:rsidRPr="00990D53">
        <w:t>Trybunał następnie zbada istotę środka detencji prewencyjnej. Na wstępnie zaznacza, jak uczynił również</w:t>
      </w:r>
      <w:r w:rsidR="009E32C0" w:rsidRPr="00990D53">
        <w:t xml:space="preserve"> w sprawie</w:t>
      </w:r>
      <w:r w:rsidR="00372B65" w:rsidRPr="00990D53">
        <w:t xml:space="preserve"> </w:t>
      </w:r>
      <w:r w:rsidR="009D068B" w:rsidRPr="00990D53">
        <w:rPr>
          <w:i/>
        </w:rPr>
        <w:t>M. </w:t>
      </w:r>
      <w:r w:rsidR="00372B65" w:rsidRPr="00990D53">
        <w:rPr>
          <w:i/>
        </w:rPr>
        <w:t>przeciwko Niemcom</w:t>
      </w:r>
      <w:r w:rsidR="00353429" w:rsidRPr="00990D53">
        <w:t xml:space="preserve"> (</w:t>
      </w:r>
      <w:r w:rsidR="00372B65" w:rsidRPr="00990D53">
        <w:t>cyt. powyżej, § 127) oraz</w:t>
      </w:r>
      <w:r w:rsidR="00353429" w:rsidRPr="00990D53">
        <w:t xml:space="preserve"> </w:t>
      </w:r>
      <w:r w:rsidR="00353429" w:rsidRPr="00990D53">
        <w:rPr>
          <w:i/>
        </w:rPr>
        <w:t>Glien</w:t>
      </w:r>
      <w:r w:rsidR="00353429" w:rsidRPr="00990D53">
        <w:t xml:space="preserve"> (</w:t>
      </w:r>
      <w:r w:rsidR="00372B65" w:rsidRPr="00990D53">
        <w:t>cyt. powyżej</w:t>
      </w:r>
      <w:r w:rsidR="00353429" w:rsidRPr="00990D53">
        <w:t xml:space="preserve">, § 125) </w:t>
      </w:r>
      <w:r w:rsidR="00372B65" w:rsidRPr="00990D53">
        <w:t xml:space="preserve">że podobnie do kary pozbawienia wolności, środek prewencyjny uprawnia do pozbawienia wolności. Jednakże Trybunał obserwuje, że w przeciwieństwie do powyżej przywołanych spraw, detencja prewencyjna skarżącego nie odbywała się w zwyczajnym więzieniu w osobnym skrzydle dla osób prewencyjnie pozbawionych wolności. W tym czasie, skarżący został osadzony jako </w:t>
      </w:r>
      <w:r w:rsidR="00372B65" w:rsidRPr="00990D53">
        <w:lastRenderedPageBreak/>
        <w:t>osoba „chora umysłowo” w centrum detencji prewencyjnej na terenie więzienia w Rosdorf, gdzie zaproponowano mu leczenie nakierowane na jego zaburzenia psychiczne (porównaj również</w:t>
      </w:r>
      <w:r w:rsidR="00353429" w:rsidRPr="00990D53">
        <w:t xml:space="preserve"> </w:t>
      </w:r>
      <w:r w:rsidR="00EF6012" w:rsidRPr="00990D53">
        <w:rPr>
          <w:i/>
        </w:rPr>
        <w:t xml:space="preserve">Berland </w:t>
      </w:r>
      <w:r w:rsidR="00372B65" w:rsidRPr="00990D53">
        <w:rPr>
          <w:i/>
        </w:rPr>
        <w:t>przeciwko Francji</w:t>
      </w:r>
      <w:r w:rsidR="00EF6012" w:rsidRPr="00990D53">
        <w:rPr>
          <w:snapToGrid w:val="0"/>
        </w:rPr>
        <w:t xml:space="preserve">, </w:t>
      </w:r>
      <w:r w:rsidR="00372B65" w:rsidRPr="00990D53">
        <w:t>nr</w:t>
      </w:r>
      <w:r w:rsidR="00EF6012" w:rsidRPr="00990D53">
        <w:t xml:space="preserve"> 42875/10</w:t>
      </w:r>
      <w:r w:rsidR="00EF6012" w:rsidRPr="00990D53">
        <w:rPr>
          <w:snapToGrid w:val="0"/>
        </w:rPr>
        <w:t xml:space="preserve">, § 44, </w:t>
      </w:r>
      <w:r w:rsidR="00EF6012" w:rsidRPr="00990D53">
        <w:t>3</w:t>
      </w:r>
      <w:r w:rsidR="00EF6012" w:rsidRPr="00990D53">
        <w:rPr>
          <w:snapToGrid w:val="0"/>
        </w:rPr>
        <w:t xml:space="preserve"> </w:t>
      </w:r>
      <w:r w:rsidR="00372B65" w:rsidRPr="00990D53">
        <w:rPr>
          <w:snapToGrid w:val="0"/>
        </w:rPr>
        <w:t>września</w:t>
      </w:r>
      <w:r w:rsidR="00EF6012" w:rsidRPr="00990D53">
        <w:rPr>
          <w:snapToGrid w:val="0"/>
        </w:rPr>
        <w:t xml:space="preserve"> 2015</w:t>
      </w:r>
      <w:r w:rsidR="00372B65" w:rsidRPr="00990D53">
        <w:rPr>
          <w:snapToGrid w:val="0"/>
        </w:rPr>
        <w:t xml:space="preserve"> r.</w:t>
      </w:r>
      <w:r w:rsidR="00EF6012" w:rsidRPr="00990D53">
        <w:t>)</w:t>
      </w:r>
      <w:r w:rsidR="00CF7F38" w:rsidRPr="00990D53">
        <w:t>.</w:t>
      </w:r>
    </w:p>
    <w:p w:rsidR="00451A97" w:rsidRPr="00990D53" w:rsidRDefault="009067DD" w:rsidP="00E71ADD">
      <w:pPr>
        <w:pStyle w:val="ECHRPara"/>
      </w:pPr>
      <w:r w:rsidRPr="00990D53">
        <w:fldChar w:fldCharType="begin"/>
      </w:r>
      <w:r w:rsidRPr="00990D53">
        <w:instrText xml:space="preserve"> SEQ level0 \*arabic </w:instrText>
      </w:r>
      <w:r w:rsidRPr="00990D53">
        <w:fldChar w:fldCharType="separate"/>
      </w:r>
      <w:r w:rsidR="00A31FF5" w:rsidRPr="00990D53">
        <w:t>165</w:t>
      </w:r>
      <w:r w:rsidRPr="00990D53">
        <w:fldChar w:fldCharType="end"/>
      </w:r>
      <w:r w:rsidRPr="00990D53">
        <w:t>.  </w:t>
      </w:r>
      <w:r w:rsidR="00E71ADD" w:rsidRPr="00990D53">
        <w:t xml:space="preserve">Określając, czy w przeciwieństwie do powyżej przywołanych spraw, zaistniały istotne różnice w </w:t>
      </w:r>
      <w:r w:rsidR="00E46926" w:rsidRPr="00990D53">
        <w:t>sposobie</w:t>
      </w:r>
      <w:r w:rsidR="00E71ADD" w:rsidRPr="00990D53">
        <w:t xml:space="preserve"> wykonywania detencji </w:t>
      </w:r>
      <w:r w:rsidR="009C7975" w:rsidRPr="00990D53">
        <w:t xml:space="preserve"> </w:t>
      </w:r>
      <w:r w:rsidR="00E71ADD" w:rsidRPr="00990D53">
        <w:t xml:space="preserve">prewencyjnej a kary pozbawienia wolności, Trybunał stwierdza, że detencja prewencyjna jest obecnie zarządzana specjalnymi przepisami </w:t>
      </w:r>
      <w:r w:rsidR="00BA769A" w:rsidRPr="00990D53">
        <w:t>zawartymi w</w:t>
      </w:r>
      <w:r w:rsidR="00E71ADD" w:rsidRPr="00990D53">
        <w:t xml:space="preserve"> art. 66c</w:t>
      </w:r>
      <w:r w:rsidR="00E46926" w:rsidRPr="00990D53">
        <w:t xml:space="preserve"> Kodeksu kar</w:t>
      </w:r>
      <w:r w:rsidR="00E71ADD" w:rsidRPr="00990D53">
        <w:t>n</w:t>
      </w:r>
      <w:r w:rsidR="00E46926" w:rsidRPr="00990D53">
        <w:t>e</w:t>
      </w:r>
      <w:r w:rsidR="00E71ADD" w:rsidRPr="00990D53">
        <w:t>go</w:t>
      </w:r>
      <w:r w:rsidR="00BA769A" w:rsidRPr="00990D53">
        <w:t xml:space="preserve"> i w Ustawie Dolnej Saksonii o d</w:t>
      </w:r>
      <w:r w:rsidR="00E71ADD" w:rsidRPr="00990D53">
        <w:t xml:space="preserve">etencji prewencyjnej. Zgodnie z wymogami konstytucyjnymi rozróżnienia </w:t>
      </w:r>
      <w:r w:rsidR="00153B0D" w:rsidRPr="00990D53">
        <w:t xml:space="preserve">warunków </w:t>
      </w:r>
      <w:r w:rsidR="00E71ADD" w:rsidRPr="00990D53">
        <w:t>pomiędzy detencją pre</w:t>
      </w:r>
      <w:r w:rsidR="00153B0D" w:rsidRPr="00990D53">
        <w:t>wencyjną a więzieniem</w:t>
      </w:r>
      <w:r w:rsidR="00E71ADD" w:rsidRPr="00990D53">
        <w:t>, detencja prewencyjna odbywa się obecnie w oddzielnym budynku na terenie więzienia w Rosdorf</w:t>
      </w:r>
      <w:r w:rsidR="00B92238" w:rsidRPr="00990D53">
        <w:t>.</w:t>
      </w:r>
    </w:p>
    <w:p w:rsidR="000E2AA3" w:rsidRPr="00990D53" w:rsidRDefault="00B92238" w:rsidP="00B3060D">
      <w:pPr>
        <w:pStyle w:val="ECHRPara"/>
      </w:pPr>
      <w:r w:rsidRPr="00990D53">
        <w:fldChar w:fldCharType="begin"/>
      </w:r>
      <w:r w:rsidRPr="00990D53">
        <w:instrText xml:space="preserve"> SEQ level0 \*arabic </w:instrText>
      </w:r>
      <w:r w:rsidRPr="00990D53">
        <w:fldChar w:fldCharType="separate"/>
      </w:r>
      <w:r w:rsidR="00A31FF5" w:rsidRPr="00990D53">
        <w:t>166</w:t>
      </w:r>
      <w:r w:rsidRPr="00990D53">
        <w:fldChar w:fldCharType="end"/>
      </w:r>
      <w:r w:rsidRPr="00990D53">
        <w:t>. </w:t>
      </w:r>
      <w:r w:rsidR="00E71ADD" w:rsidRPr="00990D53">
        <w:t>Sytuacja materialna osób prewencyjnie pozbawionych wolności</w:t>
      </w:r>
      <w:r w:rsidRPr="00990D53">
        <w:t> </w:t>
      </w:r>
      <w:r w:rsidR="00E71ADD" w:rsidRPr="00990D53">
        <w:t>osadzonych w tym centrum jest znacznie lepsza niż więźniów odbywających karę wolności. Ci pierwsi</w:t>
      </w:r>
      <w:r w:rsidR="00E46926" w:rsidRPr="00990D53">
        <w:t>,</w:t>
      </w:r>
      <w:r w:rsidR="00E71ADD" w:rsidRPr="00990D53">
        <w:t xml:space="preserve"> osadzeni są w większych i lepiej wyposażonych apartamentach, mają dostęp do wspólnych pokoi i narzędzi, aby </w:t>
      </w:r>
      <w:r w:rsidR="00E46926" w:rsidRPr="00990D53">
        <w:t>urozmaicić im czas wolny</w:t>
      </w:r>
      <w:r w:rsidR="00E71ADD" w:rsidRPr="00990D53">
        <w:t xml:space="preserve"> oraz dostają więcej wolności osobistej, włączając </w:t>
      </w:r>
      <w:r w:rsidR="00E46926" w:rsidRPr="00990D53">
        <w:t>wolność</w:t>
      </w:r>
      <w:r w:rsidR="00E71ADD" w:rsidRPr="00990D53">
        <w:t xml:space="preserve"> poruszania. Co ważniejsze,</w:t>
      </w:r>
      <w:r w:rsidR="00E46926" w:rsidRPr="00990D53">
        <w:t xml:space="preserve"> </w:t>
      </w:r>
      <w:r w:rsidR="000E2AA3" w:rsidRPr="00990D53">
        <w:t xml:space="preserve">osadzonym </w:t>
      </w:r>
      <w:r w:rsidR="00E46926" w:rsidRPr="00990D53">
        <w:t xml:space="preserve">zostały </w:t>
      </w:r>
      <w:r w:rsidR="000E2AA3" w:rsidRPr="00990D53">
        <w:t>udostępnione</w:t>
      </w:r>
      <w:r w:rsidR="00E46926" w:rsidRPr="00990D53">
        <w:t xml:space="preserve"> konkretne środki</w:t>
      </w:r>
      <w:r w:rsidR="000E2AA3" w:rsidRPr="00990D53">
        <w:t>, aby</w:t>
      </w:r>
      <w:r w:rsidR="00E71ADD" w:rsidRPr="00990D53">
        <w:t xml:space="preserve"> </w:t>
      </w:r>
      <w:r w:rsidR="000E2AA3" w:rsidRPr="00990D53">
        <w:t>zapewnić im indywidualne i intensywne leczenie psychiatryczne, psychoterapeutyczne lub socjoterapeutyczne skierowane na zminimalizowanie zagrożenia, jakie stwarzają dla bezpieczeństwa publicznego, jak przewidziano w art. 66 lit. c</w:t>
      </w:r>
      <w:r w:rsidR="00E46926" w:rsidRPr="00990D53">
        <w:t>)</w:t>
      </w:r>
      <w:r w:rsidR="000E2AA3" w:rsidRPr="00990D53">
        <w:t xml:space="preserve"> Kodeksu karnego i sekcji 4 pkt. 2 Ustawy Dolnej Saksonii o detencji prewencyjnej. Pomimo faktu, że detencja prewencyjna jako pozbawienie wolności nadal stanowiła przejaw re</w:t>
      </w:r>
      <w:r w:rsidR="00E46926" w:rsidRPr="00990D53">
        <w:t>ak</w:t>
      </w:r>
      <w:r w:rsidR="000E2AA3" w:rsidRPr="00990D53">
        <w:t xml:space="preserve">cji Państwa na przestępstwo, Trybunał stwierdza, że sposób, w jaki obecnie środek jest wykonywany, uległ znaczącej zmianie. </w:t>
      </w:r>
    </w:p>
    <w:p w:rsidR="00915FE3" w:rsidRPr="00990D53" w:rsidRDefault="005065EA" w:rsidP="00B3060D">
      <w:pPr>
        <w:pStyle w:val="ECHRPara"/>
      </w:pPr>
      <w:r w:rsidRPr="00990D53">
        <w:fldChar w:fldCharType="begin"/>
      </w:r>
      <w:r w:rsidRPr="00990D53">
        <w:instrText xml:space="preserve"> SEQ level0 \*arabic </w:instrText>
      </w:r>
      <w:r w:rsidRPr="00990D53">
        <w:fldChar w:fldCharType="separate"/>
      </w:r>
      <w:r w:rsidR="00A31FF5" w:rsidRPr="00990D53">
        <w:t>167</w:t>
      </w:r>
      <w:r w:rsidRPr="00990D53">
        <w:fldChar w:fldCharType="end"/>
      </w:r>
      <w:r w:rsidRPr="00990D53">
        <w:t>. </w:t>
      </w:r>
      <w:r w:rsidR="009C7975" w:rsidRPr="00990D53">
        <w:t xml:space="preserve">Zdaniem Trybunału, zmiany istoty detencji prewencyjnej mają fundamentalne znaczenie dla osoby osadzonej jako osoba psychicznie chora, jak w przypadku skarżącego. Trybunał przyznaje </w:t>
      </w:r>
      <w:r w:rsidR="00E46926" w:rsidRPr="00990D53">
        <w:t>szczególne</w:t>
      </w:r>
      <w:r w:rsidR="009C7975" w:rsidRPr="00990D53">
        <w:t xml:space="preserve"> znaczenie nowemu warunkowi, który powinien być spełniony aby przedłużyć retrospektywnie detencję skarżącego na mocy </w:t>
      </w:r>
      <w:r w:rsidR="00C200E5" w:rsidRPr="00990D53">
        <w:t>paragrafu</w:t>
      </w:r>
      <w:r w:rsidR="009C7975" w:rsidRPr="00990D53">
        <w:t xml:space="preserve"> </w:t>
      </w:r>
      <w:r w:rsidR="00E76412" w:rsidRPr="00990D53">
        <w:t>316f(2)</w:t>
      </w:r>
      <w:r w:rsidR="009C7975" w:rsidRPr="00990D53">
        <w:t xml:space="preserve"> zdanie drugie Ustawy Wprowadzającej Kodeks karn</w:t>
      </w:r>
      <w:r w:rsidR="00C200E5" w:rsidRPr="00990D53">
        <w:t>y</w:t>
      </w:r>
      <w:r w:rsidR="009C7975" w:rsidRPr="00990D53">
        <w:t xml:space="preserve">, mianowicie </w:t>
      </w:r>
      <w:r w:rsidR="00E46926" w:rsidRPr="00990D53">
        <w:t>należy</w:t>
      </w:r>
      <w:r w:rsidR="009C7975" w:rsidRPr="00990D53">
        <w:t xml:space="preserve"> stwierdzić u danej osoby istnienie choroby psychicznej. Element ten nie stanowił </w:t>
      </w:r>
      <w:r w:rsidR="002473AA" w:rsidRPr="00990D53">
        <w:t>wystarczającej przesłanki do orzeczenia</w:t>
      </w:r>
      <w:r w:rsidR="009C7975" w:rsidRPr="00990D53">
        <w:t xml:space="preserve"> detencji prewencyjne</w:t>
      </w:r>
      <w:r w:rsidR="002473AA" w:rsidRPr="00990D53">
        <w:t>j w roku 1986 lecz</w:t>
      </w:r>
      <w:r w:rsidR="009C7975" w:rsidRPr="00990D53">
        <w:t xml:space="preserve"> wpływa na zmianę natury detencji. Pomimo faktu, że </w:t>
      </w:r>
      <w:r w:rsidR="00915FE3" w:rsidRPr="00990D53">
        <w:t xml:space="preserve">nie można zupełnie rozdzielić środka od przestępstwa, w wyniku którego został orzeczony, należy skoncentrować się na </w:t>
      </w:r>
      <w:r w:rsidR="002473AA" w:rsidRPr="00990D53">
        <w:t xml:space="preserve">tym </w:t>
      </w:r>
      <w:r w:rsidR="00915FE3" w:rsidRPr="00990D53">
        <w:t xml:space="preserve">środku, a następnie na leczeniu medycznym i terapeutycznym danej osoby. </w:t>
      </w:r>
    </w:p>
    <w:p w:rsidR="00827408" w:rsidRPr="00990D53" w:rsidRDefault="005065EA" w:rsidP="00B3060D">
      <w:pPr>
        <w:pStyle w:val="ECHRPara"/>
      </w:pPr>
      <w:r w:rsidRPr="00990D53">
        <w:fldChar w:fldCharType="begin"/>
      </w:r>
      <w:r w:rsidRPr="00990D53">
        <w:instrText xml:space="preserve"> SEQ level0 \*arabic </w:instrText>
      </w:r>
      <w:r w:rsidRPr="00990D53">
        <w:fldChar w:fldCharType="separate"/>
      </w:r>
      <w:r w:rsidR="00A31FF5" w:rsidRPr="00990D53">
        <w:t>168</w:t>
      </w:r>
      <w:r w:rsidRPr="00990D53">
        <w:fldChar w:fldCharType="end"/>
      </w:r>
      <w:r w:rsidRPr="00990D53">
        <w:t>.  </w:t>
      </w:r>
      <w:r w:rsidR="00801400" w:rsidRPr="00990D53">
        <w:t xml:space="preserve">Zapewniono również zindywidualizowaną i zintensyfikowaną opiekę medyczną i terapeutyczną, włączając psychoterapię i kontakt z psychiatrą, co jest szczególnie istotne dla pacjentów chorych psychicznie. </w:t>
      </w:r>
    </w:p>
    <w:p w:rsidR="00145A65" w:rsidRPr="00990D53" w:rsidRDefault="00387198" w:rsidP="00B3060D">
      <w:pPr>
        <w:pStyle w:val="ECHRPara"/>
      </w:pPr>
      <w:r w:rsidRPr="00990D53">
        <w:fldChar w:fldCharType="begin"/>
      </w:r>
      <w:r w:rsidRPr="00990D53">
        <w:instrText xml:space="preserve"> SEQ level0 \*arabic </w:instrText>
      </w:r>
      <w:r w:rsidRPr="00990D53">
        <w:fldChar w:fldCharType="separate"/>
      </w:r>
      <w:r w:rsidR="00A31FF5" w:rsidRPr="00990D53">
        <w:t>169</w:t>
      </w:r>
      <w:r w:rsidRPr="00990D53">
        <w:fldChar w:fldCharType="end"/>
      </w:r>
      <w:r w:rsidRPr="00990D53">
        <w:t>.  </w:t>
      </w:r>
      <w:r w:rsidR="00801400" w:rsidRPr="00990D53">
        <w:t xml:space="preserve">Trybunał zauważa, że zgodnie z nowym konceptem detencji prewencyjnej uregulowanym od roku 2013, skarżącemu w niniejszej </w:t>
      </w:r>
      <w:r w:rsidR="00801400" w:rsidRPr="00990D53">
        <w:lastRenderedPageBreak/>
        <w:t xml:space="preserve">sprawie zaproponowano, co on częściowo zaakceptował, terapię ukierunkowaną na </w:t>
      </w:r>
      <w:r w:rsidR="002473AA" w:rsidRPr="00990D53">
        <w:t xml:space="preserve">wyleczenie </w:t>
      </w:r>
      <w:r w:rsidR="00801400" w:rsidRPr="00990D53">
        <w:t>z</w:t>
      </w:r>
      <w:r w:rsidR="002473AA" w:rsidRPr="00990D53">
        <w:t>aburzeń psychicznych</w:t>
      </w:r>
      <w:r w:rsidR="00801400" w:rsidRPr="00990D53">
        <w:t xml:space="preserve">. Terapia obejmowała zażywanie leków, program leczenia dla </w:t>
      </w:r>
      <w:r w:rsidR="00C43A60" w:rsidRPr="00990D53">
        <w:t>napastników</w:t>
      </w:r>
      <w:r w:rsidR="00801400" w:rsidRPr="00990D53">
        <w:t>, regularne spotkan</w:t>
      </w:r>
      <w:r w:rsidR="002473AA" w:rsidRPr="00990D53">
        <w:t>i</w:t>
      </w:r>
      <w:r w:rsidR="00801400" w:rsidRPr="00990D53">
        <w:t>a z psychologiem, terapię ukierunkowaną na zapobie</w:t>
      </w:r>
      <w:r w:rsidR="002473AA" w:rsidRPr="00990D53">
        <w:t>żeni</w:t>
      </w:r>
      <w:r w:rsidR="00801400" w:rsidRPr="00990D53">
        <w:t>e powrotowi do nadużywania alkoholu. Trybunał</w:t>
      </w:r>
      <w:r w:rsidR="002473AA" w:rsidRPr="00990D53">
        <w:t xml:space="preserve"> stwierdza, że nastąpiła wyraźn</w:t>
      </w:r>
      <w:r w:rsidR="00801400" w:rsidRPr="00990D53">
        <w:t xml:space="preserve">a </w:t>
      </w:r>
      <w:r w:rsidR="002473AA" w:rsidRPr="00990D53">
        <w:t>różnica</w:t>
      </w:r>
      <w:r w:rsidR="00801400" w:rsidRPr="00990D53">
        <w:t xml:space="preserve"> w opiece medycznej i terapeutycznej zaproponowanej skarżącemu po przeniesieniu go do centrum w Rosdorf. Istota detencji prewencyjnej ul</w:t>
      </w:r>
      <w:r w:rsidR="002473AA" w:rsidRPr="00990D53">
        <w:t>e</w:t>
      </w:r>
      <w:r w:rsidR="00801400" w:rsidRPr="00990D53">
        <w:t xml:space="preserve">gła zmianie w </w:t>
      </w:r>
      <w:r w:rsidR="002473AA" w:rsidRPr="00990D53">
        <w:t>sytuacji</w:t>
      </w:r>
      <w:r w:rsidR="00801400" w:rsidRPr="00990D53">
        <w:t xml:space="preserve"> skarżącego, </w:t>
      </w:r>
      <w:r w:rsidR="002473AA" w:rsidRPr="00990D53">
        <w:t>którego detencja została przedłużona ze względu na zagrożenie jakie</w:t>
      </w:r>
      <w:r w:rsidR="008314C1" w:rsidRPr="00990D53">
        <w:t xml:space="preserve"> stanowił dla bezpieczeństwa publicznego, ze względu na jego zaburzenia psychiczne. </w:t>
      </w:r>
    </w:p>
    <w:p w:rsidR="005065EA" w:rsidRPr="00990D53" w:rsidRDefault="005065EA" w:rsidP="00B3060D">
      <w:pPr>
        <w:pStyle w:val="ECHRHeading6"/>
      </w:pPr>
      <w:r w:rsidRPr="00990D53">
        <w:t>(</w:t>
      </w:r>
      <w:r w:rsidRPr="00990D53">
        <w:rPr>
          <w:rFonts w:cstheme="minorHAnsi"/>
        </w:rPr>
        <w:t>δ</w:t>
      </w:r>
      <w:r w:rsidRPr="00990D53">
        <w:t>)  </w:t>
      </w:r>
      <w:r w:rsidR="008314C1" w:rsidRPr="00990D53">
        <w:t>Cel zastosowania środka</w:t>
      </w:r>
    </w:p>
    <w:p w:rsidR="00912FAB" w:rsidRPr="00990D53" w:rsidRDefault="00375768" w:rsidP="00B3060D">
      <w:pPr>
        <w:pStyle w:val="ECHRPara"/>
      </w:pPr>
      <w:r w:rsidRPr="00990D53">
        <w:fldChar w:fldCharType="begin"/>
      </w:r>
      <w:r w:rsidRPr="00990D53">
        <w:instrText xml:space="preserve"> SEQ level0 \*arabic </w:instrText>
      </w:r>
      <w:r w:rsidRPr="00990D53">
        <w:fldChar w:fldCharType="separate"/>
      </w:r>
      <w:r w:rsidR="00A31FF5" w:rsidRPr="00990D53">
        <w:t>170</w:t>
      </w:r>
      <w:r w:rsidRPr="00990D53">
        <w:fldChar w:fldCharType="end"/>
      </w:r>
      <w:r w:rsidRPr="00990D53">
        <w:t>.  </w:t>
      </w:r>
      <w:r w:rsidR="008314C1" w:rsidRPr="00990D53">
        <w:t>Przy określaniu celu zastosowania wobec sk</w:t>
      </w:r>
      <w:r w:rsidR="00BA769A" w:rsidRPr="00990D53">
        <w:t xml:space="preserve">arżącego detencji prewencyjnej, </w:t>
      </w:r>
      <w:r w:rsidR="008314C1" w:rsidRPr="00990D53">
        <w:t xml:space="preserve">w sprawach </w:t>
      </w:r>
      <w:r w:rsidR="008D3025" w:rsidRPr="00990D53">
        <w:rPr>
          <w:i/>
        </w:rPr>
        <w:t xml:space="preserve">M. </w:t>
      </w:r>
      <w:r w:rsidR="008314C1" w:rsidRPr="00990D53">
        <w:rPr>
          <w:i/>
        </w:rPr>
        <w:t>przeciwko Niemcom</w:t>
      </w:r>
      <w:r w:rsidR="008D3025" w:rsidRPr="00990D53">
        <w:t xml:space="preserve"> (</w:t>
      </w:r>
      <w:r w:rsidR="008314C1" w:rsidRPr="00990D53">
        <w:t>cyt. powyżej</w:t>
      </w:r>
      <w:r w:rsidR="008D3025" w:rsidRPr="00990D53">
        <w:t xml:space="preserve">, §§ </w:t>
      </w:r>
      <w:r w:rsidR="0061791E" w:rsidRPr="00990D53">
        <w:t>128-30</w:t>
      </w:r>
      <w:r w:rsidR="008D3025" w:rsidRPr="00990D53">
        <w:t xml:space="preserve">) </w:t>
      </w:r>
      <w:r w:rsidR="008314C1" w:rsidRPr="00990D53">
        <w:t>i</w:t>
      </w:r>
      <w:r w:rsidR="008D3025" w:rsidRPr="00990D53">
        <w:t xml:space="preserve"> </w:t>
      </w:r>
      <w:r w:rsidR="008D3025" w:rsidRPr="00990D53">
        <w:rPr>
          <w:i/>
        </w:rPr>
        <w:t>Glien</w:t>
      </w:r>
      <w:r w:rsidR="008D3025" w:rsidRPr="00990D53">
        <w:t xml:space="preserve"> (</w:t>
      </w:r>
      <w:r w:rsidR="008314C1" w:rsidRPr="00990D53">
        <w:t>cyt. powyżej</w:t>
      </w:r>
      <w:r w:rsidR="008D3025" w:rsidRPr="00990D53">
        <w:t xml:space="preserve">, §§ </w:t>
      </w:r>
      <w:r w:rsidR="0061791E" w:rsidRPr="00990D53">
        <w:t>126-27</w:t>
      </w:r>
      <w:r w:rsidR="008314C1" w:rsidRPr="00990D53">
        <w:t xml:space="preserve">) </w:t>
      </w:r>
      <w:r w:rsidR="00BA769A" w:rsidRPr="00990D53">
        <w:t xml:space="preserve">Trybunał </w:t>
      </w:r>
      <w:r w:rsidR="008314C1" w:rsidRPr="00990D53">
        <w:t xml:space="preserve">nie mógł przychylić się do argumentacji Rządu, </w:t>
      </w:r>
      <w:r w:rsidR="00BA769A" w:rsidRPr="00990D53">
        <w:t xml:space="preserve">że </w:t>
      </w:r>
      <w:r w:rsidR="008314C1" w:rsidRPr="00990D53">
        <w:t>detencja prewencyjna w swojej for</w:t>
      </w:r>
      <w:r w:rsidR="002473AA" w:rsidRPr="00990D53">
        <w:t>m</w:t>
      </w:r>
      <w:r w:rsidR="008314C1" w:rsidRPr="00990D53">
        <w:t>ie prawnej oraz praktycznej implementacji w tym czasie pełniła funkc</w:t>
      </w:r>
      <w:r w:rsidR="002473AA" w:rsidRPr="00990D53">
        <w:t>j</w:t>
      </w:r>
      <w:r w:rsidR="008314C1" w:rsidRPr="00990D53">
        <w:t>ę wyłącznie prewencyjną, nie karzącą. W swoich wnioskach Trybunał wziął pod uwagę sytuację osób znajdujących się w detencji prewencyjnej, a w szczególności brak specjalnych środków ukierunkowanych na zminimalizowanie zagrożeni</w:t>
      </w:r>
      <w:r w:rsidR="002473AA" w:rsidRPr="00990D53">
        <w:t>a, jakie stanowili dla bezpiecze</w:t>
      </w:r>
      <w:r w:rsidR="008314C1" w:rsidRPr="00990D53">
        <w:t xml:space="preserve">ństwa publicznego. </w:t>
      </w:r>
    </w:p>
    <w:p w:rsidR="00702CBA" w:rsidRPr="00990D53" w:rsidRDefault="00E34BE8" w:rsidP="00B3060D">
      <w:pPr>
        <w:pStyle w:val="ECHRPara"/>
      </w:pPr>
      <w:r w:rsidRPr="00990D53">
        <w:fldChar w:fldCharType="begin"/>
      </w:r>
      <w:r w:rsidRPr="00990D53">
        <w:instrText xml:space="preserve"> SEQ level0 \*arabic </w:instrText>
      </w:r>
      <w:r w:rsidRPr="00990D53">
        <w:fldChar w:fldCharType="separate"/>
      </w:r>
      <w:r w:rsidR="00A31FF5" w:rsidRPr="00990D53">
        <w:t>171</w:t>
      </w:r>
      <w:r w:rsidRPr="00990D53">
        <w:fldChar w:fldCharType="end"/>
      </w:r>
      <w:r w:rsidRPr="00990D53">
        <w:t>.  </w:t>
      </w:r>
      <w:r w:rsidR="008314C1" w:rsidRPr="00990D53">
        <w:t>Trybunał wziął pod uwagę argument Rząd</w:t>
      </w:r>
      <w:r w:rsidR="00BA769A" w:rsidRPr="00990D53">
        <w:t>u, że detencja prewencyjna odbywała się na podstawie przepisów odrębnych,</w:t>
      </w:r>
      <w:r w:rsidR="00C77924" w:rsidRPr="00990D53">
        <w:t xml:space="preserve"> a w niniejszej sprawie </w:t>
      </w:r>
      <w:r w:rsidR="00BA769A" w:rsidRPr="00990D53">
        <w:t>służyła zagwarantowaniu skarżącemu leczenia</w:t>
      </w:r>
      <w:r w:rsidR="00C77924" w:rsidRPr="00990D53">
        <w:t xml:space="preserve"> jako osobie chorej psychicznie oraz </w:t>
      </w:r>
      <w:r w:rsidR="00BA769A" w:rsidRPr="00990D53">
        <w:t>celom prewencji -</w:t>
      </w:r>
      <w:r w:rsidR="00C77924" w:rsidRPr="00990D53">
        <w:t xml:space="preserve"> mianowicie ochrony bezpieczeństwa publicznego. Powyższy argument został zakwestionowany przez skarżącego, który zarzucił, że nie zaoferowano mu żadnego leczenia innego od tego, jakie otrzymywał w więzieniu. </w:t>
      </w:r>
    </w:p>
    <w:p w:rsidR="00C77924" w:rsidRPr="00990D53" w:rsidRDefault="00702CBA" w:rsidP="00B3060D">
      <w:pPr>
        <w:pStyle w:val="ECHRPara"/>
      </w:pPr>
      <w:r w:rsidRPr="00990D53">
        <w:fldChar w:fldCharType="begin"/>
      </w:r>
      <w:r w:rsidRPr="00990D53">
        <w:instrText xml:space="preserve"> SEQ level0 \*arabic </w:instrText>
      </w:r>
      <w:r w:rsidRPr="00990D53">
        <w:fldChar w:fldCharType="separate"/>
      </w:r>
      <w:r w:rsidR="00A31FF5" w:rsidRPr="00990D53">
        <w:t>172</w:t>
      </w:r>
      <w:r w:rsidRPr="00990D53">
        <w:fldChar w:fldCharType="end"/>
      </w:r>
      <w:r w:rsidRPr="00990D53">
        <w:t>.  </w:t>
      </w:r>
      <w:r w:rsidR="00C77924" w:rsidRPr="00990D53">
        <w:t xml:space="preserve">Trybunał stwierdził, że zgodnie z sekcją 2 </w:t>
      </w:r>
      <w:r w:rsidR="00C200E5" w:rsidRPr="00990D53">
        <w:t>(</w:t>
      </w:r>
      <w:r w:rsidR="00C77924" w:rsidRPr="00990D53">
        <w:t>2</w:t>
      </w:r>
      <w:r w:rsidR="00C200E5" w:rsidRPr="00990D53">
        <w:t>)</w:t>
      </w:r>
      <w:r w:rsidR="00C77924" w:rsidRPr="00990D53">
        <w:t xml:space="preserve"> Ustawy Dolnej Saksonii o detencji prewencyjnej oraz sekcją 5, zdanie pierwsze Ustawy Dolnej Saksonii o detencji prewencyjnej osadzeni muszą nauczyć się odpowiedzialnego życia w społeczeństwa </w:t>
      </w:r>
      <w:r w:rsidR="00BA769A" w:rsidRPr="00990D53">
        <w:t xml:space="preserve">poddać się resocjalizacji. Co więcej, obie sekcje 2 </w:t>
      </w:r>
      <w:r w:rsidR="00C200E5" w:rsidRPr="00990D53">
        <w:t>(</w:t>
      </w:r>
      <w:r w:rsidR="00C77924" w:rsidRPr="00990D53">
        <w:t>3</w:t>
      </w:r>
      <w:r w:rsidR="00C200E5" w:rsidRPr="00990D53">
        <w:t>)</w:t>
      </w:r>
      <w:r w:rsidR="00C77924" w:rsidRPr="00990D53">
        <w:t xml:space="preserve"> Ustawy Dolnej Saksonii o detencji prewencyjnej i sekcja 5 zdanie drugie Ustawy Dolnej Saksonii o detencji prewencyjnej stanowi, że zarówno detencja prewencyjna jak i kara więzienia mają na celu ochronę bezpieczeństwa publicznego przed kolejnymi przestępstwami. </w:t>
      </w:r>
    </w:p>
    <w:p w:rsidR="00B80989"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173</w:t>
      </w:r>
      <w:r w:rsidRPr="00990D53">
        <w:fldChar w:fldCharType="end"/>
      </w:r>
      <w:r w:rsidR="00207512" w:rsidRPr="00990D53">
        <w:t>.  </w:t>
      </w:r>
      <w:r w:rsidR="008969D3" w:rsidRPr="00990D53">
        <w:t xml:space="preserve">Jak stwierdzono w sprawie </w:t>
      </w:r>
      <w:r w:rsidR="001C08E0" w:rsidRPr="00990D53">
        <w:rPr>
          <w:i/>
        </w:rPr>
        <w:t xml:space="preserve">M. </w:t>
      </w:r>
      <w:r w:rsidR="008969D3" w:rsidRPr="00990D53">
        <w:rPr>
          <w:i/>
        </w:rPr>
        <w:t>przeciwko Niemcom</w:t>
      </w:r>
      <w:r w:rsidR="009D068B" w:rsidRPr="00990D53">
        <w:t xml:space="preserve"> (</w:t>
      </w:r>
      <w:r w:rsidR="008969D3" w:rsidRPr="00990D53">
        <w:t>cyt. powyżej</w:t>
      </w:r>
      <w:r w:rsidR="009D068B" w:rsidRPr="00990D53">
        <w:t>, § </w:t>
      </w:r>
      <w:r w:rsidR="001C08E0" w:rsidRPr="00990D53">
        <w:t xml:space="preserve">130) </w:t>
      </w:r>
      <w:r w:rsidR="008969D3" w:rsidRPr="00990D53">
        <w:t>w sprawie obowiązujących wówczas przepisów, cel</w:t>
      </w:r>
      <w:r w:rsidR="00BA769A" w:rsidRPr="00990D53">
        <w:t>e</w:t>
      </w:r>
      <w:r w:rsidR="008969D3" w:rsidRPr="00990D53">
        <w:t xml:space="preserve"> dwóch kar i środków</w:t>
      </w:r>
      <w:r w:rsidR="001C08E0" w:rsidRPr="00990D53">
        <w:t xml:space="preserve"> </w:t>
      </w:r>
      <w:r w:rsidR="002473AA" w:rsidRPr="00990D53">
        <w:t xml:space="preserve">naprawczych i prewencyjnych </w:t>
      </w:r>
      <w:r w:rsidR="008969D3" w:rsidRPr="00990D53">
        <w:t xml:space="preserve">częściowo się </w:t>
      </w:r>
      <w:r w:rsidR="00BA769A" w:rsidRPr="00990D53">
        <w:t>pokrywały</w:t>
      </w:r>
      <w:r w:rsidR="008969D3" w:rsidRPr="00990D53">
        <w:t>.</w:t>
      </w:r>
    </w:p>
    <w:p w:rsidR="0010762B" w:rsidRPr="00990D53" w:rsidRDefault="00B80989" w:rsidP="00B3060D">
      <w:pPr>
        <w:pStyle w:val="ECHRPara"/>
      </w:pPr>
      <w:r w:rsidRPr="00990D53">
        <w:fldChar w:fldCharType="begin"/>
      </w:r>
      <w:r w:rsidRPr="00990D53">
        <w:instrText xml:space="preserve"> SEQ level0 \*arabic </w:instrText>
      </w:r>
      <w:r w:rsidRPr="00990D53">
        <w:fldChar w:fldCharType="separate"/>
      </w:r>
      <w:r w:rsidR="00A31FF5" w:rsidRPr="00990D53">
        <w:t>174</w:t>
      </w:r>
      <w:r w:rsidRPr="00990D53">
        <w:fldChar w:fldCharType="end"/>
      </w:r>
      <w:r w:rsidRPr="00990D53">
        <w:t>. </w:t>
      </w:r>
      <w:r w:rsidR="002204AB" w:rsidRPr="00990D53">
        <w:t>Ustawodawca rozwinął</w:t>
      </w:r>
      <w:r w:rsidRPr="00990D53">
        <w:t> </w:t>
      </w:r>
      <w:r w:rsidR="00C200E5" w:rsidRPr="00990D53">
        <w:t xml:space="preserve"> </w:t>
      </w:r>
      <w:r w:rsidR="00BA769A" w:rsidRPr="00990D53">
        <w:t xml:space="preserve">i </w:t>
      </w:r>
      <w:r w:rsidR="002204AB" w:rsidRPr="00990D53">
        <w:t>doprecyzował prewencyjny, a także terapeutyczny aspekt detencji prewencyjnej na podstawie wymogu zawartego w wyroku Federalnego Trybunału Konstytucyjnego z 4 maja 2011 r. Zgodnie z sekcj</w:t>
      </w:r>
      <w:r w:rsidR="00C200E5" w:rsidRPr="00990D53">
        <w:t>ą</w:t>
      </w:r>
      <w:r w:rsidR="002204AB" w:rsidRPr="00990D53">
        <w:t xml:space="preserve"> 2 </w:t>
      </w:r>
      <w:r w:rsidR="00C200E5" w:rsidRPr="00990D53">
        <w:t>(</w:t>
      </w:r>
      <w:r w:rsidR="00BA769A" w:rsidRPr="00990D53">
        <w:t>1</w:t>
      </w:r>
      <w:r w:rsidR="00C200E5" w:rsidRPr="00990D53">
        <w:t>)</w:t>
      </w:r>
      <w:r w:rsidR="00BA769A" w:rsidRPr="00990D53">
        <w:t xml:space="preserve"> Ustawy Dolnej Saksonii o detencji p</w:t>
      </w:r>
      <w:r w:rsidR="002204AB" w:rsidRPr="00990D53">
        <w:t xml:space="preserve">rewencyjnej, powstały centra detencji prewencyjnej, w których oferowano </w:t>
      </w:r>
      <w:r w:rsidR="0042417B" w:rsidRPr="00990D53">
        <w:lastRenderedPageBreak/>
        <w:t>osadzonym różne środki w celu zminimalizowania zagrożenia, jakie stwarzają dla społeczeństwa do tego poziomu, aby można ich by</w:t>
      </w:r>
      <w:r w:rsidR="00A1146D" w:rsidRPr="00990D53">
        <w:t>ł</w:t>
      </w:r>
      <w:r w:rsidR="0042417B" w:rsidRPr="00990D53">
        <w:t xml:space="preserve">o zwolnić. W następstwie zmian, istotą detencji prewencyjnej </w:t>
      </w:r>
      <w:r w:rsidR="00BA769A" w:rsidRPr="00990D53">
        <w:t>stało się</w:t>
      </w:r>
      <w:r w:rsidR="0042417B" w:rsidRPr="00990D53">
        <w:t xml:space="preserve"> zastosowanie adekwatnej</w:t>
      </w:r>
      <w:r w:rsidR="00A1146D" w:rsidRPr="00990D53">
        <w:t xml:space="preserve"> terapii wobec osadzonych, w celu zminimalizowania zagrożenia, jakie stwarzają dla społeczeństwa.</w:t>
      </w:r>
      <w:r w:rsidR="002204AB" w:rsidRPr="00990D53">
        <w:t xml:space="preserve"> </w:t>
      </w:r>
    </w:p>
    <w:p w:rsidR="008B6E1B"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175</w:t>
      </w:r>
      <w:r w:rsidRPr="00990D53">
        <w:fldChar w:fldCharType="end"/>
      </w:r>
      <w:r w:rsidR="008B6E1B" w:rsidRPr="00990D53">
        <w:t>.  </w:t>
      </w:r>
      <w:r w:rsidR="00A1146D" w:rsidRPr="00990D53">
        <w:t xml:space="preserve">Trybunał mimo to świadomy faktu, że detencja prewencyjna może być </w:t>
      </w:r>
      <w:r w:rsidR="00BA769A" w:rsidRPr="00990D53">
        <w:t xml:space="preserve">orzeczona </w:t>
      </w:r>
      <w:r w:rsidR="009F7C07" w:rsidRPr="00990D53">
        <w:t>tylko wówczas, gdy dana osoba z</w:t>
      </w:r>
      <w:r w:rsidR="00A1146D" w:rsidRPr="00990D53">
        <w:t xml:space="preserve">ostała uznana za winną popełnienia kilku przestępstw umyślnych określonej wagi. Kiedy sąd orzeka o detencji prewencyjnej łącznie z karą za przestępstwo, osoba skazana </w:t>
      </w:r>
      <w:r w:rsidR="00535DD0" w:rsidRPr="00990D53">
        <w:t xml:space="preserve">powinna postrzegać ją jako dodatkową karę. Zdecydowanie wprowadza karę odstraszającą, która nie jest włączana poprzez dodatkowy środek </w:t>
      </w:r>
      <w:r w:rsidR="00F470C2" w:rsidRPr="00990D53">
        <w:t>terapeutyczny w postaci lepszych warunków detencji. Kary więzienia i kary podobne do detencji prewencyjnych mają za zadanie przygotowanie osadzonych do prowadzenia odpowiedzialnego życia w społeczeństw</w:t>
      </w:r>
      <w:r w:rsidR="00C200E5" w:rsidRPr="00990D53">
        <w:t>ie</w:t>
      </w:r>
      <w:r w:rsidR="00F470C2" w:rsidRPr="00990D53">
        <w:t xml:space="preserve">, bez powrotu do przestępstwa. </w:t>
      </w:r>
    </w:p>
    <w:p w:rsidR="00130AD6"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176</w:t>
      </w:r>
      <w:r w:rsidRPr="00990D53">
        <w:fldChar w:fldCharType="end"/>
      </w:r>
      <w:r w:rsidR="00130AD6" w:rsidRPr="00990D53">
        <w:t>.  </w:t>
      </w:r>
      <w:r w:rsidR="00F470C2" w:rsidRPr="00990D53">
        <w:t>Zgodnie z powyższym</w:t>
      </w:r>
      <w:r w:rsidR="002B44C2" w:rsidRPr="00990D53">
        <w:t>i ustaleniami dotyczącymi istoty</w:t>
      </w:r>
      <w:r w:rsidR="00F470C2" w:rsidRPr="00990D53">
        <w:t xml:space="preserve"> środka (zob. par. 167-169 powyżej), Trybunał stwierdził, że </w:t>
      </w:r>
      <w:r w:rsidR="002B44C2" w:rsidRPr="00990D53">
        <w:t xml:space="preserve">przeciwnie do sytuacji obowiązującej w trakcie orzekania o detencji prewencyjnej skarżącego oraz przeciwnie </w:t>
      </w:r>
      <w:r w:rsidR="00DB7CF5" w:rsidRPr="00990D53">
        <w:t>do sytuacji osób, których detencja prewencyjna nie została restrospektywnie orzeczona lub przedłużona, nową przesłanką do przedłużenia detencji skarżącego było stwierdzenie istnienia zaburzenia psyc</w:t>
      </w:r>
      <w:r w:rsidR="002473AA" w:rsidRPr="00990D53">
        <w:t>hicznego. Trybunał stwierdza, że</w:t>
      </w:r>
      <w:r w:rsidR="00DB7CF5" w:rsidRPr="00990D53">
        <w:t xml:space="preserve"> cel zapobiegawczy znowelizowanej legislacji o detencji prewencyjnej stanowi</w:t>
      </w:r>
      <w:r w:rsidR="00BA769A" w:rsidRPr="00990D53">
        <w:t xml:space="preserve"> w tych okolicznościach</w:t>
      </w:r>
      <w:r w:rsidR="00DB7CF5" w:rsidRPr="00990D53">
        <w:t xml:space="preserve"> </w:t>
      </w:r>
      <w:r w:rsidR="00C200E5" w:rsidRPr="00990D53">
        <w:t xml:space="preserve">decydujący </w:t>
      </w:r>
      <w:r w:rsidR="00DB7CF5" w:rsidRPr="00990D53">
        <w:t>warunek</w:t>
      </w:r>
      <w:r w:rsidR="00C200E5" w:rsidRPr="00990D53">
        <w:t>.</w:t>
      </w:r>
      <w:r w:rsidR="00DB7CF5" w:rsidRPr="00990D53">
        <w:t xml:space="preserve">  Detencja prewencyjna skarżącego mogła zostać przedłużona tylko ze względu na przyczynę </w:t>
      </w:r>
      <w:r w:rsidR="00C200E5" w:rsidRPr="00990D53">
        <w:t>stwarzanego przez skarżącego zagrożenia,</w:t>
      </w:r>
      <w:r w:rsidR="00DB7CF5" w:rsidRPr="00990D53">
        <w:t xml:space="preserve"> </w:t>
      </w:r>
      <w:r w:rsidR="00A22471" w:rsidRPr="00990D53">
        <w:t>wynikającą</w:t>
      </w:r>
      <w:r w:rsidR="00C200E5" w:rsidRPr="00990D53">
        <w:t xml:space="preserve"> </w:t>
      </w:r>
      <w:r w:rsidR="00DB7CF5" w:rsidRPr="00990D53">
        <w:t xml:space="preserve"> </w:t>
      </w:r>
      <w:r w:rsidR="00C200E5" w:rsidRPr="00990D53">
        <w:t xml:space="preserve">z </w:t>
      </w:r>
      <w:r w:rsidR="00A22471" w:rsidRPr="00990D53">
        <w:t xml:space="preserve">jego </w:t>
      </w:r>
      <w:r w:rsidR="00DB7CF5" w:rsidRPr="00990D53">
        <w:t>zaburzeni</w:t>
      </w:r>
      <w:r w:rsidR="00C200E5" w:rsidRPr="00990D53">
        <w:t>a</w:t>
      </w:r>
      <w:r w:rsidR="00DB7CF5" w:rsidRPr="00990D53">
        <w:t xml:space="preserve"> ps</w:t>
      </w:r>
      <w:r w:rsidR="00BA769A" w:rsidRPr="00990D53">
        <w:t>ychiczn</w:t>
      </w:r>
      <w:r w:rsidR="00C200E5" w:rsidRPr="00990D53">
        <w:t>ego</w:t>
      </w:r>
      <w:r w:rsidR="00BA769A" w:rsidRPr="00990D53">
        <w:t>. Nie stanowiła jednak przesłanki</w:t>
      </w:r>
      <w:r w:rsidR="00DB7CF5" w:rsidRPr="00990D53">
        <w:t xml:space="preserve"> dla sądu do orzeczenia </w:t>
      </w:r>
      <w:r w:rsidR="00037B9E" w:rsidRPr="00990D53">
        <w:t xml:space="preserve">o detencji prewencyjnej i w związku z tym nowym, dodatkowym elementem, który jest niezależny od pierwszej nałożonej sankcji i wyraźnie rozróżnia istotę detencji ze względu na cele leczenia medycznego. Dodatkowo, jak stwierdzono powyżej, leczenie skarżącego jest podstawowym środkiem opieki, jakie zostało mu zaproponowane. W </w:t>
      </w:r>
      <w:r w:rsidR="00A22471" w:rsidRPr="00990D53">
        <w:t xml:space="preserve">ocenie </w:t>
      </w:r>
      <w:r w:rsidR="00037B9E" w:rsidRPr="00990D53">
        <w:t xml:space="preserve"> Trybunału, koncentracja na leczeniu medycznym skarżącego w celu zminimalizowania jego niebezpieczeństwa rozróżnia jego sytuację i podobne sytuacje innych osadzonych</w:t>
      </w:r>
      <w:r w:rsidR="00130AD6" w:rsidRPr="00990D53">
        <w:t xml:space="preserve"> </w:t>
      </w:r>
      <w:r w:rsidR="00037B9E" w:rsidRPr="00990D53">
        <w:t xml:space="preserve">od osadzonych w detencji prewencyjnej, którym zaproponowano leczenie które, w mniej zaawansowanej wersji, oferowane jest więźniom odbywających karę pozbawienia wolności. </w:t>
      </w:r>
    </w:p>
    <w:p w:rsidR="00931503" w:rsidRPr="00990D53" w:rsidRDefault="00130AD6" w:rsidP="00B3060D">
      <w:pPr>
        <w:pStyle w:val="ECHRPara"/>
      </w:pPr>
      <w:r w:rsidRPr="00990D53">
        <w:fldChar w:fldCharType="begin"/>
      </w:r>
      <w:r w:rsidRPr="00990D53">
        <w:instrText xml:space="preserve"> SEQ level0 \*arabic </w:instrText>
      </w:r>
      <w:r w:rsidRPr="00990D53">
        <w:fldChar w:fldCharType="separate"/>
      </w:r>
      <w:r w:rsidR="00A31FF5" w:rsidRPr="00990D53">
        <w:t>177</w:t>
      </w:r>
      <w:r w:rsidRPr="00990D53">
        <w:fldChar w:fldCharType="end"/>
      </w:r>
      <w:r w:rsidRPr="00990D53">
        <w:t>.  </w:t>
      </w:r>
      <w:r w:rsidR="00037B9E" w:rsidRPr="00990D53">
        <w:t>Mając na uwa</w:t>
      </w:r>
      <w:r w:rsidR="002473AA" w:rsidRPr="00990D53">
        <w:t>dze specjalne terapie zaproponow</w:t>
      </w:r>
      <w:r w:rsidR="00037B9E" w:rsidRPr="00990D53">
        <w:t xml:space="preserve">ane skarżącemu w centrum prewencyjnym Rosdorf (zob. par. 40-41 powyżej), Trybunał stwierdził, że przeciwnie do jego ustaleń podjętych w sprawie </w:t>
      </w:r>
      <w:r w:rsidR="00D822ED" w:rsidRPr="00990D53">
        <w:rPr>
          <w:i/>
        </w:rPr>
        <w:t>M</w:t>
      </w:r>
      <w:r w:rsidR="00037B9E" w:rsidRPr="00990D53">
        <w:rPr>
          <w:i/>
        </w:rPr>
        <w:t xml:space="preserve">. przeciwko Niemcom </w:t>
      </w:r>
      <w:r w:rsidR="00D822ED" w:rsidRPr="00990D53">
        <w:t>(c</w:t>
      </w:r>
      <w:r w:rsidR="00037B9E" w:rsidRPr="00990D53">
        <w:t>yt. powyżej</w:t>
      </w:r>
      <w:r w:rsidR="00D822ED" w:rsidRPr="00990D53">
        <w:t xml:space="preserve">, §§ 128-29), </w:t>
      </w:r>
      <w:r w:rsidR="00037B9E" w:rsidRPr="00990D53">
        <w:t xml:space="preserve">skarżącemu zaproponowano </w:t>
      </w:r>
      <w:r w:rsidR="00166079" w:rsidRPr="00990D53">
        <w:t xml:space="preserve">zindywidualizowaną opiekę wysokiej klasy, włączając ciągłe próby zachęcania zaangażowania skarżącego do udziału w leczeniu przez </w:t>
      </w:r>
      <w:r w:rsidR="00166079" w:rsidRPr="00990D53">
        <w:lastRenderedPageBreak/>
        <w:t xml:space="preserve">multidyscyplinarny personel, w oparciu o spójny plan nastawiony na przygotowanie osadzonego do zwolnienia. </w:t>
      </w:r>
    </w:p>
    <w:p w:rsidR="00233E1A" w:rsidRPr="00990D53" w:rsidRDefault="00233E1A" w:rsidP="00B3060D">
      <w:pPr>
        <w:pStyle w:val="ECHRHeading6"/>
      </w:pPr>
      <w:r w:rsidRPr="00990D53">
        <w:t>(</w:t>
      </w:r>
      <w:r w:rsidRPr="00990D53">
        <w:rPr>
          <w:rFonts w:cstheme="minorHAnsi"/>
        </w:rPr>
        <w:t>ε</w:t>
      </w:r>
      <w:r w:rsidRPr="00990D53">
        <w:t>)  </w:t>
      </w:r>
      <w:r w:rsidR="00166079" w:rsidRPr="00990D53">
        <w:t xml:space="preserve">Procedury włączone w tworzenie i implementację środka </w:t>
      </w:r>
    </w:p>
    <w:p w:rsidR="0084632B" w:rsidRPr="00990D53" w:rsidRDefault="00A91662" w:rsidP="00B3060D">
      <w:pPr>
        <w:pStyle w:val="ECHRPara"/>
        <w:rPr>
          <w:rFonts w:ascii="Times New Roman" w:eastAsia="Times New Roman" w:hAnsi="Times New Roman" w:cs="Times New Roman"/>
          <w:szCs w:val="20"/>
          <w:lang w:eastAsia="fr-FR"/>
        </w:rPr>
      </w:pPr>
      <w:r w:rsidRPr="00990D53">
        <w:fldChar w:fldCharType="begin"/>
      </w:r>
      <w:r w:rsidRPr="00990D53">
        <w:instrText xml:space="preserve"> SEQ level0 \*arabic </w:instrText>
      </w:r>
      <w:r w:rsidRPr="00990D53">
        <w:fldChar w:fldCharType="separate"/>
      </w:r>
      <w:r w:rsidR="00A31FF5" w:rsidRPr="00990D53">
        <w:t>178</w:t>
      </w:r>
      <w:r w:rsidRPr="00990D53">
        <w:fldChar w:fldCharType="end"/>
      </w:r>
      <w:r w:rsidR="001E2E8B" w:rsidRPr="00990D53">
        <w:t>. </w:t>
      </w:r>
      <w:r w:rsidR="00166079" w:rsidRPr="00990D53">
        <w:t xml:space="preserve"> Przy badaniu procedur włączonych w tworzenie i implementację </w:t>
      </w:r>
      <w:r w:rsidR="001E2E8B" w:rsidRPr="00990D53">
        <w:t> </w:t>
      </w:r>
      <w:r w:rsidR="00166079" w:rsidRPr="00990D53">
        <w:t>orzeczenia o detencji prewencyjnej, jak w przypadku skarżącego, Trybunał stwierdza, że zupełnie jak w sprawie</w:t>
      </w:r>
      <w:r w:rsidR="0042214D" w:rsidRPr="00990D53">
        <w:rPr>
          <w:rFonts w:ascii="Times New Roman" w:eastAsia="Times New Roman" w:hAnsi="Times New Roman" w:cs="Times New Roman"/>
          <w:szCs w:val="20"/>
          <w:lang w:eastAsia="fr-FR"/>
        </w:rPr>
        <w:t xml:space="preserve"> </w:t>
      </w:r>
      <w:r w:rsidR="00660568" w:rsidRPr="00990D53">
        <w:rPr>
          <w:rFonts w:ascii="Times New Roman" w:eastAsia="Times New Roman" w:hAnsi="Times New Roman" w:cs="Times New Roman"/>
          <w:i/>
          <w:szCs w:val="20"/>
          <w:lang w:eastAsia="fr-FR"/>
        </w:rPr>
        <w:t>M</w:t>
      </w:r>
      <w:r w:rsidR="00166079" w:rsidRPr="00990D53">
        <w:rPr>
          <w:rFonts w:ascii="Times New Roman" w:eastAsia="Times New Roman" w:hAnsi="Times New Roman" w:cs="Times New Roman"/>
          <w:i/>
          <w:szCs w:val="20"/>
          <w:lang w:eastAsia="fr-FR"/>
        </w:rPr>
        <w:t>. przeciwko Niemcom</w:t>
      </w:r>
      <w:r w:rsidR="00166079" w:rsidRPr="00990D53">
        <w:rPr>
          <w:rFonts w:ascii="Times New Roman" w:eastAsia="Times New Roman" w:hAnsi="Times New Roman" w:cs="Times New Roman"/>
          <w:szCs w:val="20"/>
          <w:lang w:eastAsia="fr-FR"/>
        </w:rPr>
        <w:t xml:space="preserve"> (cyt. powyżej</w:t>
      </w:r>
      <w:r w:rsidR="00660568" w:rsidRPr="00990D53">
        <w:rPr>
          <w:rFonts w:ascii="Times New Roman" w:eastAsia="Times New Roman" w:hAnsi="Times New Roman" w:cs="Times New Roman"/>
          <w:szCs w:val="20"/>
          <w:lang w:eastAsia="fr-FR"/>
        </w:rPr>
        <w:t xml:space="preserve">, § 131) </w:t>
      </w:r>
      <w:r w:rsidR="00166079" w:rsidRPr="00990D53">
        <w:rPr>
          <w:rFonts w:ascii="Times New Roman" w:eastAsia="Times New Roman" w:hAnsi="Times New Roman" w:cs="Times New Roman"/>
          <w:szCs w:val="20"/>
          <w:lang w:eastAsia="fr-FR"/>
        </w:rPr>
        <w:t>oraz</w:t>
      </w:r>
      <w:r w:rsidR="00660568" w:rsidRPr="00990D53">
        <w:rPr>
          <w:rFonts w:ascii="Times New Roman" w:eastAsia="Times New Roman" w:hAnsi="Times New Roman" w:cs="Times New Roman"/>
          <w:szCs w:val="20"/>
          <w:lang w:eastAsia="fr-FR"/>
        </w:rPr>
        <w:t xml:space="preserve"> </w:t>
      </w:r>
      <w:r w:rsidR="00660568" w:rsidRPr="00990D53">
        <w:rPr>
          <w:rFonts w:ascii="Times New Roman" w:eastAsia="Times New Roman" w:hAnsi="Times New Roman" w:cs="Times New Roman"/>
          <w:i/>
          <w:szCs w:val="20"/>
          <w:lang w:eastAsia="fr-FR"/>
        </w:rPr>
        <w:t>Glien</w:t>
      </w:r>
      <w:r w:rsidR="00660568" w:rsidRPr="00990D53">
        <w:rPr>
          <w:rFonts w:ascii="Times New Roman" w:eastAsia="Times New Roman" w:hAnsi="Times New Roman" w:cs="Times New Roman"/>
          <w:szCs w:val="20"/>
          <w:lang w:eastAsia="fr-FR"/>
        </w:rPr>
        <w:t xml:space="preserve"> (</w:t>
      </w:r>
      <w:r w:rsidR="00166079" w:rsidRPr="00990D53">
        <w:rPr>
          <w:rFonts w:ascii="Times New Roman" w:eastAsia="Times New Roman" w:hAnsi="Times New Roman" w:cs="Times New Roman"/>
          <w:szCs w:val="20"/>
          <w:lang w:eastAsia="fr-FR"/>
        </w:rPr>
        <w:t>cyt. powyżej</w:t>
      </w:r>
      <w:r w:rsidR="00660568" w:rsidRPr="00990D53">
        <w:rPr>
          <w:rFonts w:ascii="Times New Roman" w:eastAsia="Times New Roman" w:hAnsi="Times New Roman" w:cs="Times New Roman"/>
          <w:szCs w:val="20"/>
          <w:lang w:eastAsia="fr-FR"/>
        </w:rPr>
        <w:t xml:space="preserve">, § 128), </w:t>
      </w:r>
      <w:r w:rsidR="00166079" w:rsidRPr="00990D53">
        <w:rPr>
          <w:rFonts w:ascii="Times New Roman" w:eastAsia="Times New Roman" w:hAnsi="Times New Roman" w:cs="Times New Roman"/>
          <w:szCs w:val="20"/>
          <w:lang w:eastAsia="fr-FR"/>
        </w:rPr>
        <w:t xml:space="preserve">detencja prewencyjna skarżącego została orzeczona </w:t>
      </w:r>
      <w:r w:rsidR="001A6570" w:rsidRPr="00990D53">
        <w:rPr>
          <w:rFonts w:ascii="Times New Roman" w:eastAsia="Times New Roman" w:hAnsi="Times New Roman" w:cs="Times New Roman"/>
          <w:szCs w:val="20"/>
          <w:lang w:eastAsia="fr-FR"/>
        </w:rPr>
        <w:t xml:space="preserve">przez sądy (karne). Jej </w:t>
      </w:r>
      <w:r w:rsidR="009D5C1F" w:rsidRPr="00990D53">
        <w:rPr>
          <w:rFonts w:ascii="Times New Roman" w:eastAsia="Times New Roman" w:hAnsi="Times New Roman" w:cs="Times New Roman"/>
          <w:szCs w:val="20"/>
          <w:lang w:eastAsia="fr-FR"/>
        </w:rPr>
        <w:t>implementacja odbyła się</w:t>
      </w:r>
      <w:r w:rsidR="001A6570" w:rsidRPr="00990D53">
        <w:rPr>
          <w:rFonts w:ascii="Times New Roman" w:eastAsia="Times New Roman" w:hAnsi="Times New Roman" w:cs="Times New Roman"/>
          <w:szCs w:val="20"/>
          <w:lang w:eastAsia="fr-FR"/>
        </w:rPr>
        <w:t xml:space="preserve"> w innej procedurze, a zależała od sądów orzekających, czyli od sądów również wchodzących w skład systemu prawa karnego</w:t>
      </w:r>
      <w:r w:rsidR="00660568" w:rsidRPr="00990D53">
        <w:rPr>
          <w:rFonts w:ascii="Times New Roman" w:eastAsia="Times New Roman" w:hAnsi="Times New Roman" w:cs="Times New Roman"/>
          <w:szCs w:val="20"/>
          <w:lang w:eastAsia="fr-FR"/>
        </w:rPr>
        <w:t>.</w:t>
      </w:r>
      <w:r w:rsidR="00E5697B" w:rsidRPr="00990D53">
        <w:rPr>
          <w:rFonts w:ascii="Times New Roman" w:eastAsia="Times New Roman" w:hAnsi="Times New Roman" w:cs="Times New Roman"/>
          <w:szCs w:val="20"/>
          <w:lang w:eastAsia="fr-FR"/>
        </w:rPr>
        <w:t xml:space="preserve"> </w:t>
      </w:r>
      <w:r w:rsidR="009D5C1F" w:rsidRPr="00990D53">
        <w:rPr>
          <w:rFonts w:ascii="Times New Roman" w:eastAsia="Times New Roman" w:hAnsi="Times New Roman" w:cs="Times New Roman"/>
          <w:szCs w:val="20"/>
          <w:lang w:eastAsia="fr-FR"/>
        </w:rPr>
        <w:t>Procedura różniła się od tej</w:t>
      </w:r>
      <w:r w:rsidR="001A6570" w:rsidRPr="00990D53">
        <w:rPr>
          <w:rFonts w:ascii="Times New Roman" w:eastAsia="Times New Roman" w:hAnsi="Times New Roman" w:cs="Times New Roman"/>
          <w:szCs w:val="20"/>
          <w:lang w:eastAsia="fr-FR"/>
        </w:rPr>
        <w:t xml:space="preserve"> na mocy </w:t>
      </w:r>
      <w:r w:rsidR="00A22471" w:rsidRPr="00990D53">
        <w:rPr>
          <w:rFonts w:ascii="Times New Roman" w:eastAsia="Times New Roman" w:hAnsi="Times New Roman" w:cs="Times New Roman"/>
          <w:szCs w:val="20"/>
          <w:lang w:eastAsia="fr-FR"/>
        </w:rPr>
        <w:t xml:space="preserve">paragrafów </w:t>
      </w:r>
      <w:r w:rsidR="001A6570" w:rsidRPr="00990D53">
        <w:rPr>
          <w:rFonts w:ascii="Times New Roman" w:eastAsia="Times New Roman" w:hAnsi="Times New Roman" w:cs="Times New Roman"/>
          <w:szCs w:val="20"/>
          <w:lang w:eastAsia="fr-FR"/>
        </w:rPr>
        <w:t xml:space="preserve"> 1 i 4 Ust</w:t>
      </w:r>
      <w:r w:rsidR="009D5C1F" w:rsidRPr="00990D53">
        <w:rPr>
          <w:rFonts w:ascii="Times New Roman" w:eastAsia="Times New Roman" w:hAnsi="Times New Roman" w:cs="Times New Roman"/>
          <w:szCs w:val="20"/>
          <w:lang w:eastAsia="fr-FR"/>
        </w:rPr>
        <w:t>awy o terapii detencyjnej, które</w:t>
      </w:r>
      <w:r w:rsidR="001A6570" w:rsidRPr="00990D53">
        <w:rPr>
          <w:rFonts w:ascii="Times New Roman" w:eastAsia="Times New Roman" w:hAnsi="Times New Roman" w:cs="Times New Roman"/>
          <w:szCs w:val="20"/>
          <w:lang w:eastAsia="fr-FR"/>
        </w:rPr>
        <w:t xml:space="preserve"> stanowi</w:t>
      </w:r>
      <w:r w:rsidR="009D5C1F" w:rsidRPr="00990D53">
        <w:rPr>
          <w:rFonts w:ascii="Times New Roman" w:eastAsia="Times New Roman" w:hAnsi="Times New Roman" w:cs="Times New Roman"/>
          <w:szCs w:val="20"/>
          <w:lang w:eastAsia="fr-FR"/>
        </w:rPr>
        <w:t>ą</w:t>
      </w:r>
      <w:r w:rsidR="001A6570" w:rsidRPr="00990D53">
        <w:rPr>
          <w:rFonts w:ascii="Times New Roman" w:eastAsia="Times New Roman" w:hAnsi="Times New Roman" w:cs="Times New Roman"/>
          <w:szCs w:val="20"/>
          <w:lang w:eastAsia="fr-FR"/>
        </w:rPr>
        <w:t xml:space="preserve">, że </w:t>
      </w:r>
      <w:r w:rsidR="00A22471" w:rsidRPr="00990D53">
        <w:rPr>
          <w:rFonts w:ascii="Times New Roman" w:eastAsia="Times New Roman" w:hAnsi="Times New Roman" w:cs="Times New Roman"/>
          <w:szCs w:val="20"/>
          <w:lang w:eastAsia="fr-FR"/>
        </w:rPr>
        <w:t>wydziały</w:t>
      </w:r>
      <w:r w:rsidR="001A6570" w:rsidRPr="00990D53">
        <w:rPr>
          <w:rFonts w:ascii="Times New Roman" w:eastAsia="Times New Roman" w:hAnsi="Times New Roman" w:cs="Times New Roman"/>
          <w:szCs w:val="20"/>
          <w:lang w:eastAsia="fr-FR"/>
        </w:rPr>
        <w:t xml:space="preserve"> cywilne Sądu Okręgowego decydują o osadzeniu szczególnie niebezpiecznych napastników cierpiących na zaburzenia psychiczne (zob. par. 64 powyżej). Jednakże Trybunał również bierze pod uwagę argument Rządu (zob. par. 146 powyżej), że sądy orzekające były szczególnie doświadczone w ocenie konieczności osadzania osób chorych umysłowo jak również detencji w szpitalu psychiatrycznym na mocy art. 63 Kodeksu karnego. </w:t>
      </w:r>
    </w:p>
    <w:p w:rsidR="00233E1A" w:rsidRPr="00990D53" w:rsidRDefault="00233E1A" w:rsidP="00B3060D">
      <w:pPr>
        <w:pStyle w:val="ECHRHeading6"/>
      </w:pPr>
      <w:r w:rsidRPr="00990D53">
        <w:rPr>
          <w:rFonts w:eastAsia="Times New Roman"/>
          <w:lang w:eastAsia="fr-FR"/>
        </w:rPr>
        <w:t>(</w:t>
      </w:r>
      <w:r w:rsidRPr="00990D53">
        <w:rPr>
          <w:rFonts w:eastAsia="Times New Roman" w:cstheme="majorHAnsi"/>
          <w:lang w:eastAsia="fr-FR"/>
        </w:rPr>
        <w:t>ζ</w:t>
      </w:r>
      <w:r w:rsidRPr="00990D53">
        <w:rPr>
          <w:rFonts w:eastAsia="Times New Roman"/>
          <w:lang w:eastAsia="fr-FR"/>
        </w:rPr>
        <w:t>)  </w:t>
      </w:r>
      <w:r w:rsidR="00166079" w:rsidRPr="00990D53">
        <w:rPr>
          <w:rFonts w:eastAsia="Times New Roman"/>
          <w:lang w:eastAsia="fr-FR"/>
        </w:rPr>
        <w:t>Surowość środka</w:t>
      </w:r>
    </w:p>
    <w:p w:rsidR="00DB0900" w:rsidRPr="00990D53" w:rsidRDefault="00A91662" w:rsidP="00B3060D">
      <w:pPr>
        <w:pStyle w:val="ECHRPara"/>
      </w:pPr>
      <w:r w:rsidRPr="00990D53">
        <w:fldChar w:fldCharType="begin"/>
      </w:r>
      <w:r w:rsidRPr="00990D53">
        <w:instrText xml:space="preserve"> SEQ level0 \*arabic </w:instrText>
      </w:r>
      <w:r w:rsidRPr="00990D53">
        <w:fldChar w:fldCharType="separate"/>
      </w:r>
      <w:r w:rsidR="00A31FF5" w:rsidRPr="00990D53">
        <w:t>179</w:t>
      </w:r>
      <w:r w:rsidRPr="00990D53">
        <w:fldChar w:fldCharType="end"/>
      </w:r>
      <w:r w:rsidR="00484864" w:rsidRPr="00990D53">
        <w:t>.  </w:t>
      </w:r>
      <w:r w:rsidR="001A6570" w:rsidRPr="00990D53">
        <w:t xml:space="preserve">Ostatecznie, co do surowości detencji prewencyjnej, która jak powtórzono powyżej (w par. 150), sama w sobie nie jest decyzyjna – Trybunał zaobserwował, że ten środek, zupełnie jak w sprawie </w:t>
      </w:r>
      <w:r w:rsidR="00004A77" w:rsidRPr="00990D53">
        <w:rPr>
          <w:i/>
        </w:rPr>
        <w:t xml:space="preserve">M. </w:t>
      </w:r>
      <w:r w:rsidR="001A6570" w:rsidRPr="00990D53">
        <w:rPr>
          <w:i/>
        </w:rPr>
        <w:t xml:space="preserve">przeciwko Niemcom </w:t>
      </w:r>
      <w:r w:rsidR="00004A77" w:rsidRPr="00990D53">
        <w:t>(</w:t>
      </w:r>
      <w:r w:rsidR="001A6570" w:rsidRPr="00990D53">
        <w:t>cyt. powyżej</w:t>
      </w:r>
      <w:r w:rsidR="00004A77" w:rsidRPr="00990D53">
        <w:t xml:space="preserve">, § 132) </w:t>
      </w:r>
      <w:r w:rsidR="007F1A28" w:rsidRPr="00990D53">
        <w:t xml:space="preserve">oraz </w:t>
      </w:r>
      <w:r w:rsidR="00004A77" w:rsidRPr="00990D53">
        <w:rPr>
          <w:i/>
        </w:rPr>
        <w:t>Glien</w:t>
      </w:r>
      <w:r w:rsidR="00004A77" w:rsidRPr="00990D53">
        <w:t xml:space="preserve"> (</w:t>
      </w:r>
      <w:r w:rsidR="007F1A28" w:rsidRPr="00990D53">
        <w:t>cyt. powyżej</w:t>
      </w:r>
      <w:r w:rsidR="00004A77" w:rsidRPr="00990D53">
        <w:t xml:space="preserve">, § </w:t>
      </w:r>
      <w:r w:rsidR="00093ABE" w:rsidRPr="00990D53">
        <w:t>129</w:t>
      </w:r>
      <w:r w:rsidR="00004A77" w:rsidRPr="00990D53">
        <w:t xml:space="preserve">), </w:t>
      </w:r>
      <w:r w:rsidR="007F1A28" w:rsidRPr="00990D53">
        <w:t xml:space="preserve">nadal stanowił podstawy detencji bez określonego maksymalnego czasu jej trwania, w wyniku zmian w prawie z roku 1998. </w:t>
      </w:r>
      <w:r w:rsidR="009D5C1F" w:rsidRPr="00990D53">
        <w:t>Nie było obowiązku z</w:t>
      </w:r>
      <w:r w:rsidR="007F1A28" w:rsidRPr="00990D53">
        <w:t>wolnien</w:t>
      </w:r>
      <w:r w:rsidR="002473AA" w:rsidRPr="00990D53">
        <w:t>i</w:t>
      </w:r>
      <w:r w:rsidR="009D5C1F" w:rsidRPr="00990D53">
        <w:t>a</w:t>
      </w:r>
      <w:r w:rsidR="007F1A28" w:rsidRPr="00990D53">
        <w:t xml:space="preserve"> skarżącego po upływie określonego czas</w:t>
      </w:r>
      <w:r w:rsidR="00A22471" w:rsidRPr="00990D53">
        <w:t>u</w:t>
      </w:r>
      <w:r w:rsidR="007F1A28" w:rsidRPr="00990D53">
        <w:t xml:space="preserve">. </w:t>
      </w:r>
      <w:r w:rsidR="00A22471" w:rsidRPr="00990D53">
        <w:t>J</w:t>
      </w:r>
      <w:r w:rsidR="007F1A28" w:rsidRPr="00990D53">
        <w:t xml:space="preserve">ednakże, należy zauważyć, że w przeciwieństwie do wyroków </w:t>
      </w:r>
      <w:r w:rsidR="00A22471" w:rsidRPr="00990D53">
        <w:t xml:space="preserve">skazujących na </w:t>
      </w:r>
      <w:r w:rsidR="007F1A28" w:rsidRPr="00990D53">
        <w:t>więzieni</w:t>
      </w:r>
      <w:r w:rsidR="00A22471" w:rsidRPr="00990D53">
        <w:t>e</w:t>
      </w:r>
      <w:r w:rsidR="007F1A28" w:rsidRPr="00990D53">
        <w:t>, nie określono również minimalnego czasu trwania detencji, który w dużym stopniu zależał od chęci współpracy skarżącego. Nawet jeśli</w:t>
      </w:r>
      <w:r w:rsidR="009D5C1F" w:rsidRPr="00990D53">
        <w:t xml:space="preserve"> na podstawie nowych zasad</w:t>
      </w:r>
      <w:r w:rsidR="007F1A28" w:rsidRPr="00990D53">
        <w:t xml:space="preserve"> znajdował się w lepszym położeniu, </w:t>
      </w:r>
      <w:r w:rsidR="009D5C1F" w:rsidRPr="00990D53">
        <w:t>ponieważ</w:t>
      </w:r>
      <w:r w:rsidR="007F1A28" w:rsidRPr="00990D53">
        <w:t xml:space="preserve"> </w:t>
      </w:r>
      <w:r w:rsidR="009D5C1F" w:rsidRPr="00990D53">
        <w:t>został umieszczony w centrum</w:t>
      </w:r>
      <w:r w:rsidR="007F1A28" w:rsidRPr="00990D53">
        <w:t xml:space="preserve"> w celu </w:t>
      </w:r>
      <w:r w:rsidR="009D5C1F" w:rsidRPr="00990D53">
        <w:t>ograniczenia</w:t>
      </w:r>
      <w:r w:rsidR="007F1A28" w:rsidRPr="00990D53">
        <w:t xml:space="preserve"> niebezpieczeńs</w:t>
      </w:r>
      <w:r w:rsidR="009D5C1F" w:rsidRPr="00990D53">
        <w:t>twa, jakie stanowił, jego zwolnienie zależało od ustaleń sądu</w:t>
      </w:r>
      <w:r w:rsidR="007F1A28" w:rsidRPr="00990D53">
        <w:t xml:space="preserve">, </w:t>
      </w:r>
      <w:r w:rsidR="009D5C1F" w:rsidRPr="00990D53">
        <w:t>czy istnieje</w:t>
      </w:r>
      <w:r w:rsidR="007F1A28" w:rsidRPr="00990D53">
        <w:t xml:space="preserve"> </w:t>
      </w:r>
      <w:r w:rsidR="009D5C1F" w:rsidRPr="00990D53">
        <w:t>ryzyko</w:t>
      </w:r>
      <w:r w:rsidR="007F1A28" w:rsidRPr="00990D53">
        <w:t xml:space="preserve"> popełnienia </w:t>
      </w:r>
      <w:r w:rsidR="009D5C1F" w:rsidRPr="00990D53">
        <w:t xml:space="preserve">przez niego </w:t>
      </w:r>
      <w:r w:rsidR="007F1A28" w:rsidRPr="00990D53">
        <w:t>poważnego przestępstwa z użyciem przemocy lub na tle seksualnym, ze względu na jego zaburzenia psychiczne</w:t>
      </w:r>
      <w:r w:rsidR="00680238" w:rsidRPr="00990D53">
        <w:t>.</w:t>
      </w:r>
    </w:p>
    <w:p w:rsidR="00004A77" w:rsidRPr="00990D53" w:rsidRDefault="00DB0900" w:rsidP="00B3060D">
      <w:pPr>
        <w:pStyle w:val="ECHRPara"/>
      </w:pPr>
      <w:r w:rsidRPr="00990D53">
        <w:fldChar w:fldCharType="begin"/>
      </w:r>
      <w:r w:rsidRPr="00990D53">
        <w:instrText xml:space="preserve"> SEQ level0 \*arabic </w:instrText>
      </w:r>
      <w:r w:rsidRPr="00990D53">
        <w:fldChar w:fldCharType="separate"/>
      </w:r>
      <w:r w:rsidR="00A31FF5" w:rsidRPr="00990D53">
        <w:t>180</w:t>
      </w:r>
      <w:r w:rsidRPr="00990D53">
        <w:fldChar w:fldCharType="end"/>
      </w:r>
      <w:r w:rsidRPr="00990D53">
        <w:t>.  </w:t>
      </w:r>
      <w:r w:rsidR="007F1A28" w:rsidRPr="00990D53">
        <w:t xml:space="preserve">Późniejsze wymagania, początkowo wyznaczone przez Federalny Trybunał Konstytucyjny i uwzględnione przez ustawodawcę w </w:t>
      </w:r>
      <w:r w:rsidR="00A22471" w:rsidRPr="00990D53">
        <w:t>paragrafie</w:t>
      </w:r>
      <w:r w:rsidR="007F1A28" w:rsidRPr="00990D53">
        <w:t xml:space="preserve"> </w:t>
      </w:r>
      <w:r w:rsidR="00E76412" w:rsidRPr="00990D53">
        <w:t>316 f(2)</w:t>
      </w:r>
      <w:r w:rsidR="007F1A28" w:rsidRPr="00990D53">
        <w:t xml:space="preserve"> zdanie drugie Ustawy Wprowadzającej  Kodeks karn</w:t>
      </w:r>
      <w:r w:rsidR="00A22471" w:rsidRPr="00990D53">
        <w:t>y</w:t>
      </w:r>
      <w:r w:rsidR="007F1A28" w:rsidRPr="00990D53">
        <w:t xml:space="preserve"> są surowsze niż te omówione w sprawie </w:t>
      </w:r>
      <w:r w:rsidR="00004A77" w:rsidRPr="00990D53">
        <w:rPr>
          <w:i/>
        </w:rPr>
        <w:t xml:space="preserve">M. </w:t>
      </w:r>
      <w:r w:rsidR="007F1A28" w:rsidRPr="00990D53">
        <w:rPr>
          <w:i/>
        </w:rPr>
        <w:t>przeciwko Niemcom</w:t>
      </w:r>
      <w:r w:rsidR="00004A77" w:rsidRPr="00990D53">
        <w:t xml:space="preserve"> (ibid.). </w:t>
      </w:r>
      <w:r w:rsidR="007F1A28" w:rsidRPr="00990D53">
        <w:t xml:space="preserve">Detencja prewencyjna nadal pozostaje najsurowszym środkiem, jaki może być orzeczony na podstawie Kodeksu karnego. </w:t>
      </w:r>
      <w:r w:rsidR="004A0DBD" w:rsidRPr="00990D53">
        <w:t xml:space="preserve">W tym kontekście i w trakcie trwania postępowań, skarżący już znajdował się w detencji prewencyjnej </w:t>
      </w:r>
      <w:r w:rsidR="004A0DBD" w:rsidRPr="00990D53">
        <w:lastRenderedPageBreak/>
        <w:t xml:space="preserve">przez czas dłuższy niż dwanaście lat, po odbyciu kary więzienia trwającej piętnaście lat. </w:t>
      </w:r>
    </w:p>
    <w:p w:rsidR="00852252" w:rsidRPr="00990D53" w:rsidRDefault="00852252" w:rsidP="00B3060D">
      <w:pPr>
        <w:pStyle w:val="ECHRHeading6"/>
      </w:pPr>
      <w:r w:rsidRPr="00990D53">
        <w:t>(</w:t>
      </w:r>
      <w:r w:rsidRPr="00990D53">
        <w:rPr>
          <w:rFonts w:cstheme="minorHAnsi"/>
        </w:rPr>
        <w:t>η</w:t>
      </w:r>
      <w:r w:rsidRPr="00990D53">
        <w:t>)  </w:t>
      </w:r>
      <w:r w:rsidR="004A0DBD" w:rsidRPr="00990D53">
        <w:t>Wnioski</w:t>
      </w:r>
    </w:p>
    <w:p w:rsidR="004515B4" w:rsidRPr="00990D53" w:rsidRDefault="00D84E6F" w:rsidP="00B3060D">
      <w:pPr>
        <w:pStyle w:val="ECHRPara"/>
        <w:rPr>
          <w:rFonts w:ascii="Times New Roman" w:eastAsia="Times New Roman" w:hAnsi="Times New Roman" w:cs="Times New Roman"/>
          <w:szCs w:val="20"/>
          <w:lang w:eastAsia="fr-FR"/>
        </w:rPr>
      </w:pPr>
      <w:r w:rsidRPr="00990D53">
        <w:fldChar w:fldCharType="begin"/>
      </w:r>
      <w:r w:rsidRPr="00990D53">
        <w:instrText xml:space="preserve"> SEQ level0 \*arabic </w:instrText>
      </w:r>
      <w:r w:rsidRPr="00990D53">
        <w:fldChar w:fldCharType="separate"/>
      </w:r>
      <w:r w:rsidR="00A31FF5" w:rsidRPr="00990D53">
        <w:t>181</w:t>
      </w:r>
      <w:r w:rsidRPr="00990D53">
        <w:fldChar w:fldCharType="end"/>
      </w:r>
      <w:r w:rsidRPr="00990D53">
        <w:t>.  </w:t>
      </w:r>
      <w:r w:rsidR="004A0DBD" w:rsidRPr="00990D53">
        <w:t>Biorąc pod uwagę powyższe, przy ocenie całoś</w:t>
      </w:r>
      <w:r w:rsidR="009D5C1F" w:rsidRPr="00990D53">
        <w:t>ci czynników</w:t>
      </w:r>
      <w:r w:rsidR="004A0DBD" w:rsidRPr="00990D53">
        <w:t xml:space="preserve">, czy środek stanowi karę oraz wydając swoją własną opinię, Trybunał stwierdza, że detencja prewencyjna orzeczona zgodnie z nowymi ramami prawnymi nadal stanowi „karę” w znaczeniu art. 7 </w:t>
      </w:r>
      <w:r w:rsidR="004A0DBD" w:rsidRPr="00990D53">
        <w:rPr>
          <w:rFonts w:ascii="Times New Roman" w:hAnsi="Times New Roman" w:cs="Times New Roman"/>
        </w:rPr>
        <w:t>§</w:t>
      </w:r>
      <w:r w:rsidR="004A0DBD" w:rsidRPr="00990D53">
        <w:t xml:space="preserve"> 1. Stwierdza, że bardziej prewencyjna istota i cel zmienionej formy detencji pre</w:t>
      </w:r>
      <w:r w:rsidR="002473AA" w:rsidRPr="00990D53">
        <w:t xml:space="preserve">wencyjnej nie jest wystarczający, </w:t>
      </w:r>
      <w:r w:rsidR="009D5C1F" w:rsidRPr="00990D53">
        <w:t xml:space="preserve">by przyćmić fakt, że </w:t>
      </w:r>
      <w:r w:rsidR="004A0DBD" w:rsidRPr="00990D53">
        <w:t>środek, na mocy którego pozbawia się wolności</w:t>
      </w:r>
      <w:r w:rsidR="009918F1" w:rsidRPr="00990D53">
        <w:t xml:space="preserve"> bez określenia maksymalnego czasu trwania, był nałożony po odbyciu kary więzi</w:t>
      </w:r>
      <w:r w:rsidR="002473AA" w:rsidRPr="00990D53">
        <w:t>enia za popełnione przestępstwo</w:t>
      </w:r>
      <w:r w:rsidR="009918F1" w:rsidRPr="00990D53">
        <w:t xml:space="preserve"> i nadal </w:t>
      </w:r>
      <w:r w:rsidR="00A859CA" w:rsidRPr="00990D53">
        <w:t>jest orzekany</w:t>
      </w:r>
      <w:r w:rsidR="009918F1" w:rsidRPr="00990D53">
        <w:t xml:space="preserve"> przez sądy należące do systemu </w:t>
      </w:r>
      <w:r w:rsidR="00A859CA" w:rsidRPr="00990D53">
        <w:t>prawa karnego.</w:t>
      </w:r>
      <w:r w:rsidR="004A0DBD" w:rsidRPr="00990D53">
        <w:t xml:space="preserve"> </w:t>
      </w:r>
    </w:p>
    <w:p w:rsidR="005C52BB" w:rsidRPr="00990D53" w:rsidRDefault="004515B4" w:rsidP="00B3060D">
      <w:pPr>
        <w:pStyle w:val="ECHRPara"/>
      </w:pPr>
      <w:r w:rsidRPr="00990D53">
        <w:rPr>
          <w:rFonts w:ascii="Times New Roman" w:eastAsia="Times New Roman" w:hAnsi="Times New Roman" w:cs="Times New Roman"/>
          <w:szCs w:val="20"/>
          <w:lang w:eastAsia="fr-FR"/>
        </w:rPr>
        <w:fldChar w:fldCharType="begin"/>
      </w:r>
      <w:r w:rsidRPr="00990D53">
        <w:rPr>
          <w:rFonts w:ascii="Times New Roman" w:eastAsia="Times New Roman" w:hAnsi="Times New Roman" w:cs="Times New Roman"/>
          <w:szCs w:val="20"/>
          <w:lang w:eastAsia="fr-FR"/>
        </w:rPr>
        <w:instrText xml:space="preserve"> SEQ level0 \*arabic </w:instrText>
      </w:r>
      <w:r w:rsidRPr="00990D53">
        <w:rPr>
          <w:rFonts w:ascii="Times New Roman" w:eastAsia="Times New Roman" w:hAnsi="Times New Roman" w:cs="Times New Roman"/>
          <w:szCs w:val="20"/>
          <w:lang w:eastAsia="fr-FR"/>
        </w:rPr>
        <w:fldChar w:fldCharType="separate"/>
      </w:r>
      <w:r w:rsidR="00A31FF5" w:rsidRPr="00990D53">
        <w:rPr>
          <w:rFonts w:ascii="Times New Roman" w:eastAsia="Times New Roman" w:hAnsi="Times New Roman" w:cs="Times New Roman"/>
          <w:szCs w:val="20"/>
          <w:lang w:eastAsia="fr-FR"/>
        </w:rPr>
        <w:t>182</w:t>
      </w:r>
      <w:r w:rsidRPr="00990D53">
        <w:rPr>
          <w:rFonts w:ascii="Times New Roman" w:eastAsia="Times New Roman" w:hAnsi="Times New Roman" w:cs="Times New Roman"/>
          <w:szCs w:val="20"/>
          <w:lang w:eastAsia="fr-FR"/>
        </w:rPr>
        <w:fldChar w:fldCharType="end"/>
      </w:r>
      <w:r w:rsidRPr="00990D53">
        <w:rPr>
          <w:rFonts w:ascii="Times New Roman" w:eastAsia="Times New Roman" w:hAnsi="Times New Roman" w:cs="Times New Roman"/>
          <w:szCs w:val="20"/>
          <w:lang w:eastAsia="fr-FR"/>
        </w:rPr>
        <w:t>.  </w:t>
      </w:r>
      <w:r w:rsidR="009918F1" w:rsidRPr="00990D53">
        <w:rPr>
          <w:rFonts w:ascii="Times New Roman" w:eastAsia="Times New Roman" w:hAnsi="Times New Roman" w:cs="Times New Roman"/>
          <w:szCs w:val="20"/>
          <w:lang w:eastAsia="fr-FR"/>
        </w:rPr>
        <w:t xml:space="preserve">Jednakże w sprawach jak niniejsza, gdzie środek prewencyjny został przedłużony ze względu </w:t>
      </w:r>
      <w:r w:rsidR="009D5C1F" w:rsidRPr="00990D53">
        <w:rPr>
          <w:rFonts w:ascii="Times New Roman" w:eastAsia="Times New Roman" w:hAnsi="Times New Roman" w:cs="Times New Roman"/>
          <w:szCs w:val="20"/>
          <w:lang w:eastAsia="fr-FR"/>
        </w:rPr>
        <w:t>na potrzebę leczenia</w:t>
      </w:r>
      <w:r w:rsidR="002473AA" w:rsidRPr="00990D53">
        <w:rPr>
          <w:rFonts w:ascii="Times New Roman" w:eastAsia="Times New Roman" w:hAnsi="Times New Roman" w:cs="Times New Roman"/>
          <w:szCs w:val="20"/>
          <w:lang w:eastAsia="fr-FR"/>
        </w:rPr>
        <w:t xml:space="preserve"> zaburzenia psychicznego, Trybunał stwierdza, że zarówna istota jak i cel detencji prew</w:t>
      </w:r>
      <w:r w:rsidR="00A859CA" w:rsidRPr="00990D53">
        <w:rPr>
          <w:rFonts w:ascii="Times New Roman" w:eastAsia="Times New Roman" w:hAnsi="Times New Roman" w:cs="Times New Roman"/>
          <w:szCs w:val="20"/>
          <w:lang w:eastAsia="fr-FR"/>
        </w:rPr>
        <w:t xml:space="preserve">encyjnej znacząco uległ zmianie, a </w:t>
      </w:r>
      <w:r w:rsidR="002473AA" w:rsidRPr="00990D53">
        <w:rPr>
          <w:rFonts w:ascii="Times New Roman" w:eastAsia="Times New Roman" w:hAnsi="Times New Roman" w:cs="Times New Roman"/>
          <w:szCs w:val="20"/>
          <w:lang w:eastAsia="fr-FR"/>
        </w:rPr>
        <w:t>element karny i jego związek ze skazaniem</w:t>
      </w:r>
      <w:r w:rsidR="00A859CA" w:rsidRPr="00990D53">
        <w:rPr>
          <w:rFonts w:ascii="Times New Roman" w:eastAsia="Times New Roman" w:hAnsi="Times New Roman" w:cs="Times New Roman"/>
          <w:szCs w:val="20"/>
          <w:lang w:eastAsia="fr-FR"/>
        </w:rPr>
        <w:t xml:space="preserve"> odchodzą na drugi plan do tego stopnia,</w:t>
      </w:r>
      <w:r w:rsidR="002473AA" w:rsidRPr="00990D53">
        <w:rPr>
          <w:rFonts w:ascii="Times New Roman" w:eastAsia="Times New Roman" w:hAnsi="Times New Roman" w:cs="Times New Roman"/>
          <w:szCs w:val="20"/>
          <w:lang w:eastAsia="fr-FR"/>
        </w:rPr>
        <w:t xml:space="preserve"> że środek nie powinien być dłużej postrzegany jako kara w  rozumieniu art. 7 § 1</w:t>
      </w:r>
      <w:r w:rsidR="00865AEF" w:rsidRPr="00990D53">
        <w:t>.</w:t>
      </w:r>
    </w:p>
    <w:p w:rsidR="00A4396B" w:rsidRPr="00990D53" w:rsidRDefault="003629AA" w:rsidP="00B3060D">
      <w:pPr>
        <w:pStyle w:val="ECHRPara"/>
      </w:pPr>
      <w:r w:rsidRPr="00990D53">
        <w:fldChar w:fldCharType="begin"/>
      </w:r>
      <w:r w:rsidRPr="00990D53">
        <w:instrText xml:space="preserve"> SEQ level0 \*arabic </w:instrText>
      </w:r>
      <w:r w:rsidRPr="00990D53">
        <w:fldChar w:fldCharType="separate"/>
      </w:r>
      <w:r w:rsidR="00A31FF5" w:rsidRPr="00990D53">
        <w:t>183</w:t>
      </w:r>
      <w:r w:rsidRPr="00990D53">
        <w:fldChar w:fldCharType="end"/>
      </w:r>
      <w:r w:rsidRPr="00990D53">
        <w:t>.  </w:t>
      </w:r>
      <w:r w:rsidR="002473AA" w:rsidRPr="00990D53">
        <w:t xml:space="preserve">W związku z tym nie stwierdzono naruszenia art. 7 </w:t>
      </w:r>
      <w:r w:rsidR="002473AA" w:rsidRPr="00990D53">
        <w:rPr>
          <w:rFonts w:ascii="Times New Roman" w:hAnsi="Times New Roman" w:cs="Times New Roman"/>
        </w:rPr>
        <w:t>§</w:t>
      </w:r>
      <w:r w:rsidR="002473AA" w:rsidRPr="00990D53">
        <w:t xml:space="preserve"> 1 Konwencji. </w:t>
      </w:r>
    </w:p>
    <w:p w:rsidR="00014566" w:rsidRPr="00990D53" w:rsidRDefault="00A46225" w:rsidP="00B3060D">
      <w:pPr>
        <w:pStyle w:val="ECHRTitle1"/>
      </w:pPr>
      <w:r w:rsidRPr="00990D53">
        <w:t>Z TYCH POWODÓW, TRYBUNAŁ JEDNOGŁOŚNIE,</w:t>
      </w:r>
    </w:p>
    <w:p w:rsidR="00B637B9" w:rsidRPr="00990D53" w:rsidRDefault="00B637B9" w:rsidP="00B3060D">
      <w:pPr>
        <w:pStyle w:val="JuList"/>
      </w:pPr>
      <w:r w:rsidRPr="00990D53">
        <w:t>1.  </w:t>
      </w:r>
      <w:r w:rsidR="00A46225" w:rsidRPr="00990D53">
        <w:rPr>
          <w:i/>
        </w:rPr>
        <w:t xml:space="preserve">Uznaje </w:t>
      </w:r>
      <w:r w:rsidR="00A46225" w:rsidRPr="00990D53">
        <w:t>skargę za dopuszczalną</w:t>
      </w:r>
      <w:r w:rsidRPr="00990D53">
        <w:t>;</w:t>
      </w:r>
    </w:p>
    <w:p w:rsidR="00014566" w:rsidRPr="00990D53" w:rsidRDefault="00014566" w:rsidP="00B3060D">
      <w:pPr>
        <w:pStyle w:val="JuList"/>
        <w:ind w:left="0" w:firstLine="0"/>
      </w:pPr>
    </w:p>
    <w:p w:rsidR="00014566" w:rsidRPr="00990D53" w:rsidRDefault="00975BD8" w:rsidP="00B3060D">
      <w:pPr>
        <w:pStyle w:val="JuList"/>
      </w:pPr>
      <w:r w:rsidRPr="00990D53">
        <w:t>2</w:t>
      </w:r>
      <w:r w:rsidR="00014566" w:rsidRPr="00990D53">
        <w:t>.  </w:t>
      </w:r>
      <w:r w:rsidR="00970952" w:rsidRPr="00990D53">
        <w:rPr>
          <w:i/>
        </w:rPr>
        <w:t xml:space="preserve">Uznaje, </w:t>
      </w:r>
      <w:r w:rsidR="00970952" w:rsidRPr="00990D53">
        <w:t xml:space="preserve">że nie doszło do naruszenia Artykułu </w:t>
      </w:r>
      <w:r w:rsidRPr="00990D53">
        <w:t>5 § 1</w:t>
      </w:r>
      <w:r w:rsidR="00014566" w:rsidRPr="00990D53">
        <w:t xml:space="preserve"> </w:t>
      </w:r>
      <w:r w:rsidR="00970952" w:rsidRPr="00990D53">
        <w:t>Konwencji;</w:t>
      </w:r>
    </w:p>
    <w:p w:rsidR="00014566" w:rsidRPr="00990D53" w:rsidRDefault="00014566" w:rsidP="00B3060D">
      <w:pPr>
        <w:pStyle w:val="JuList"/>
      </w:pPr>
    </w:p>
    <w:p w:rsidR="00014566" w:rsidRPr="00990D53" w:rsidRDefault="00975BD8" w:rsidP="00B3060D">
      <w:pPr>
        <w:pStyle w:val="JuList"/>
      </w:pPr>
      <w:r w:rsidRPr="00990D53">
        <w:t>3</w:t>
      </w:r>
      <w:r w:rsidR="00014566" w:rsidRPr="00990D53">
        <w:t>.  </w:t>
      </w:r>
      <w:r w:rsidR="00970952" w:rsidRPr="00990D53">
        <w:rPr>
          <w:i/>
        </w:rPr>
        <w:t xml:space="preserve">Uznaje, </w:t>
      </w:r>
      <w:r w:rsidR="00970952" w:rsidRPr="00990D53">
        <w:t xml:space="preserve">że nie doszło do naruszenia Artykułu </w:t>
      </w:r>
      <w:r w:rsidRPr="00990D53">
        <w:t xml:space="preserve">7 § 1 </w:t>
      </w:r>
      <w:r w:rsidR="00970952" w:rsidRPr="00990D53">
        <w:t>Konwencji</w:t>
      </w:r>
      <w:r w:rsidRPr="00990D53">
        <w:t>.</w:t>
      </w:r>
    </w:p>
    <w:p w:rsidR="00014566" w:rsidRPr="00990D53" w:rsidRDefault="00970952" w:rsidP="00B3060D">
      <w:pPr>
        <w:pStyle w:val="JuParaLast"/>
      </w:pPr>
      <w:r w:rsidRPr="00990D53">
        <w:t>Sporządzono w języku angielskim oraz obwieszczono pisemnie dnia</w:t>
      </w:r>
      <w:r w:rsidR="00014566" w:rsidRPr="00990D53">
        <w:t xml:space="preserve"> </w:t>
      </w:r>
      <w:r w:rsidR="008749FF" w:rsidRPr="00990D53">
        <w:t xml:space="preserve">7 </w:t>
      </w:r>
      <w:r w:rsidRPr="00990D53">
        <w:t>stycznia</w:t>
      </w:r>
      <w:r w:rsidR="008749FF" w:rsidRPr="00990D53">
        <w:t xml:space="preserve"> 2016</w:t>
      </w:r>
      <w:r w:rsidRPr="00990D53">
        <w:t xml:space="preserve"> r.</w:t>
      </w:r>
      <w:r w:rsidR="00014566" w:rsidRPr="00990D53">
        <w:t xml:space="preserve">, </w:t>
      </w:r>
      <w:r w:rsidRPr="00990D53">
        <w:t>zgodnie z Regułą 77 ust. 2 i ust. 3 Regulaminu Trybunału.</w:t>
      </w:r>
    </w:p>
    <w:p w:rsidR="004D15F3" w:rsidRPr="00990D53" w:rsidRDefault="00014566" w:rsidP="00B3060D">
      <w:pPr>
        <w:pStyle w:val="JuSigned"/>
      </w:pPr>
      <w:r w:rsidRPr="00990D53">
        <w:tab/>
      </w:r>
      <w:r w:rsidR="0036429B" w:rsidRPr="00990D53">
        <w:t>Claudia Westerdiek</w:t>
      </w:r>
      <w:r w:rsidRPr="00990D53">
        <w:tab/>
      </w:r>
      <w:r w:rsidR="007D7616" w:rsidRPr="00990D53">
        <w:t>Ganna Yudkivska</w:t>
      </w:r>
      <w:r w:rsidR="00E1557C" w:rsidRPr="00990D53">
        <w:rPr>
          <w:szCs w:val="24"/>
        </w:rPr>
        <w:br/>
      </w:r>
      <w:r w:rsidRPr="00990D53">
        <w:tab/>
      </w:r>
      <w:r w:rsidR="00A46225" w:rsidRPr="00990D53">
        <w:rPr>
          <w:iCs/>
        </w:rPr>
        <w:t>Kanclerz</w:t>
      </w:r>
      <w:r w:rsidRPr="00990D53">
        <w:tab/>
        <w:t>P</w:t>
      </w:r>
      <w:r w:rsidR="00A46225" w:rsidRPr="00990D53">
        <w:t>rzewodniczący</w:t>
      </w:r>
    </w:p>
    <w:p w:rsidR="00101B4A" w:rsidRPr="00990D53" w:rsidRDefault="00101B4A" w:rsidP="00B3060D">
      <w:pPr>
        <w:pStyle w:val="JuParaLast"/>
      </w:pPr>
    </w:p>
    <w:p w:rsidR="005E15C2" w:rsidRPr="00990D53" w:rsidRDefault="005E15C2" w:rsidP="005E15C2">
      <w:pPr>
        <w:pStyle w:val="ECHRPara"/>
      </w:pPr>
    </w:p>
    <w:sectPr w:rsidR="005E15C2" w:rsidRPr="00990D53" w:rsidSect="000B44CF">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9F6" w:rsidRDefault="004D19F6" w:rsidP="00014566">
      <w:r>
        <w:separator/>
      </w:r>
    </w:p>
  </w:endnote>
  <w:endnote w:type="continuationSeparator" w:id="0">
    <w:p w:rsidR="004D19F6" w:rsidRDefault="004D19F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AB" w:rsidRPr="00150BFA" w:rsidRDefault="008C16AB" w:rsidP="00F962BF">
    <w:pPr>
      <w:jc w:val="center"/>
    </w:pPr>
    <w:r>
      <w:rPr>
        <w:noProof/>
        <w:lang w:eastAsia="pl-PL"/>
      </w:rPr>
      <w:drawing>
        <wp:inline distT="0" distB="0" distL="0" distR="0" wp14:anchorId="65EF3926" wp14:editId="25704C09">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C16AB" w:rsidRDefault="008C16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9F6" w:rsidRDefault="004D19F6" w:rsidP="00014566">
      <w:r>
        <w:separator/>
      </w:r>
    </w:p>
  </w:footnote>
  <w:footnote w:type="continuationSeparator" w:id="0">
    <w:p w:rsidR="004D19F6" w:rsidRDefault="004D19F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AB" w:rsidRPr="00D60D87" w:rsidRDefault="008C16AB" w:rsidP="00F962BF">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AB" w:rsidRPr="00A45145" w:rsidRDefault="008C16AB" w:rsidP="00F962BF">
    <w:pPr>
      <w:jc w:val="center"/>
    </w:pPr>
    <w:r>
      <w:rPr>
        <w:noProof/>
        <w:lang w:eastAsia="pl-PL"/>
      </w:rPr>
      <w:drawing>
        <wp:inline distT="0" distB="0" distL="0" distR="0" wp14:anchorId="5BEA99E0" wp14:editId="521E0D40">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C16AB" w:rsidRDefault="008C16A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AB" w:rsidRPr="00FF2306" w:rsidRDefault="008C16A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30193">
      <w:rPr>
        <w:rStyle w:val="Numerstrony"/>
        <w:noProof/>
        <w:szCs w:val="18"/>
        <w:lang w:val="en-GB"/>
      </w:rPr>
      <w:t>40</w:t>
    </w:r>
    <w:r>
      <w:rPr>
        <w:rStyle w:val="Numerstrony"/>
        <w:szCs w:val="18"/>
        <w:lang w:val="en-GB"/>
      </w:rPr>
      <w:fldChar w:fldCharType="end"/>
    </w:r>
    <w:r w:rsidRPr="00FF2306">
      <w:rPr>
        <w:lang w:val="en-GB"/>
      </w:rPr>
      <w:tab/>
    </w:r>
    <w:r w:rsidR="00A57256">
      <w:rPr>
        <w:lang w:val="en-GB"/>
      </w:rPr>
      <w:t>WYROK WS. BERGMANN PRZECIWKO NIEMCOM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AB" w:rsidRPr="00D60D87" w:rsidRDefault="008C16AB" w:rsidP="00D60D87">
    <w:pPr>
      <w:pStyle w:val="ECHRHeader"/>
      <w:rPr>
        <w:lang w:val="en-GB"/>
      </w:rPr>
    </w:pPr>
    <w:r w:rsidRPr="00D60D87">
      <w:rPr>
        <w:lang w:val="en-GB"/>
      </w:rPr>
      <w:tab/>
    </w:r>
    <w:r w:rsidR="00A57256">
      <w:rPr>
        <w:lang w:val="en-GB"/>
      </w:rPr>
      <w:t>WYROK WS. BERGMANN PRZECIWKO NIEMCOM</w:t>
    </w:r>
    <w:r w:rsidR="00A57256"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30193">
      <w:rPr>
        <w:rStyle w:val="Numerstrony"/>
        <w:noProof/>
        <w:szCs w:val="18"/>
        <w:lang w:val="en-GB"/>
      </w:rPr>
      <w:t>41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6429B"/>
    <w:rsid w:val="00000F56"/>
    <w:rsid w:val="000010ED"/>
    <w:rsid w:val="000041F8"/>
    <w:rsid w:val="000042A8"/>
    <w:rsid w:val="00004308"/>
    <w:rsid w:val="00004A77"/>
    <w:rsid w:val="00005BF0"/>
    <w:rsid w:val="00005E2D"/>
    <w:rsid w:val="00006FF2"/>
    <w:rsid w:val="00007154"/>
    <w:rsid w:val="000103AE"/>
    <w:rsid w:val="00011D69"/>
    <w:rsid w:val="00012AD3"/>
    <w:rsid w:val="00014566"/>
    <w:rsid w:val="00014CA3"/>
    <w:rsid w:val="000159D6"/>
    <w:rsid w:val="00015C2D"/>
    <w:rsid w:val="00015F00"/>
    <w:rsid w:val="000170A3"/>
    <w:rsid w:val="00017E2D"/>
    <w:rsid w:val="00021D85"/>
    <w:rsid w:val="00022052"/>
    <w:rsid w:val="00022B07"/>
    <w:rsid w:val="00022C1D"/>
    <w:rsid w:val="00022F89"/>
    <w:rsid w:val="00025630"/>
    <w:rsid w:val="00025C3C"/>
    <w:rsid w:val="00026F0F"/>
    <w:rsid w:val="00031558"/>
    <w:rsid w:val="00031C52"/>
    <w:rsid w:val="00034987"/>
    <w:rsid w:val="00036535"/>
    <w:rsid w:val="00037B9E"/>
    <w:rsid w:val="00043D81"/>
    <w:rsid w:val="00045288"/>
    <w:rsid w:val="00045D1B"/>
    <w:rsid w:val="000464EF"/>
    <w:rsid w:val="000466C2"/>
    <w:rsid w:val="00046C8F"/>
    <w:rsid w:val="00051A58"/>
    <w:rsid w:val="00053D0F"/>
    <w:rsid w:val="000602DF"/>
    <w:rsid w:val="00061B05"/>
    <w:rsid w:val="00062973"/>
    <w:rsid w:val="00062D57"/>
    <w:rsid w:val="00062D5D"/>
    <w:rsid w:val="000632D5"/>
    <w:rsid w:val="00063C51"/>
    <w:rsid w:val="000644EE"/>
    <w:rsid w:val="000655DF"/>
    <w:rsid w:val="000663E7"/>
    <w:rsid w:val="00067E12"/>
    <w:rsid w:val="000708E7"/>
    <w:rsid w:val="00070B59"/>
    <w:rsid w:val="00073EE9"/>
    <w:rsid w:val="000745D8"/>
    <w:rsid w:val="00075114"/>
    <w:rsid w:val="00081359"/>
    <w:rsid w:val="00082B99"/>
    <w:rsid w:val="0008445C"/>
    <w:rsid w:val="000856D7"/>
    <w:rsid w:val="000862D9"/>
    <w:rsid w:val="000865A6"/>
    <w:rsid w:val="00090C28"/>
    <w:rsid w:val="000913B6"/>
    <w:rsid w:val="00091D8B"/>
    <w:rsid w:val="000925AD"/>
    <w:rsid w:val="00093ABE"/>
    <w:rsid w:val="0009446E"/>
    <w:rsid w:val="00097767"/>
    <w:rsid w:val="00097B40"/>
    <w:rsid w:val="000A0946"/>
    <w:rsid w:val="000A0F0D"/>
    <w:rsid w:val="000A1E42"/>
    <w:rsid w:val="000A22DC"/>
    <w:rsid w:val="000A24EB"/>
    <w:rsid w:val="000A28B1"/>
    <w:rsid w:val="000A2927"/>
    <w:rsid w:val="000A3154"/>
    <w:rsid w:val="000A32F9"/>
    <w:rsid w:val="000A3BFE"/>
    <w:rsid w:val="000A3E8A"/>
    <w:rsid w:val="000A6297"/>
    <w:rsid w:val="000B0FC5"/>
    <w:rsid w:val="000B1F43"/>
    <w:rsid w:val="000B2928"/>
    <w:rsid w:val="000B44CF"/>
    <w:rsid w:val="000B5FE0"/>
    <w:rsid w:val="000B6923"/>
    <w:rsid w:val="000B75B6"/>
    <w:rsid w:val="000C033C"/>
    <w:rsid w:val="000C1431"/>
    <w:rsid w:val="000C3215"/>
    <w:rsid w:val="000C3C19"/>
    <w:rsid w:val="000C45A3"/>
    <w:rsid w:val="000C5F3C"/>
    <w:rsid w:val="000C6D93"/>
    <w:rsid w:val="000C6DCC"/>
    <w:rsid w:val="000C70F8"/>
    <w:rsid w:val="000C78B1"/>
    <w:rsid w:val="000D0D41"/>
    <w:rsid w:val="000D2D59"/>
    <w:rsid w:val="000D3B88"/>
    <w:rsid w:val="000D423A"/>
    <w:rsid w:val="000D46B1"/>
    <w:rsid w:val="000D47AA"/>
    <w:rsid w:val="000D520F"/>
    <w:rsid w:val="000D5DF6"/>
    <w:rsid w:val="000D721F"/>
    <w:rsid w:val="000D7DA3"/>
    <w:rsid w:val="000E069B"/>
    <w:rsid w:val="000E0E82"/>
    <w:rsid w:val="000E1DC5"/>
    <w:rsid w:val="000E223F"/>
    <w:rsid w:val="000E2AA3"/>
    <w:rsid w:val="000E3C2E"/>
    <w:rsid w:val="000E3E84"/>
    <w:rsid w:val="000E433C"/>
    <w:rsid w:val="000E5521"/>
    <w:rsid w:val="000E787F"/>
    <w:rsid w:val="000E7D45"/>
    <w:rsid w:val="000F001B"/>
    <w:rsid w:val="000F0208"/>
    <w:rsid w:val="000F0E9B"/>
    <w:rsid w:val="000F2FE3"/>
    <w:rsid w:val="000F54EF"/>
    <w:rsid w:val="000F7851"/>
    <w:rsid w:val="001000B1"/>
    <w:rsid w:val="00100C99"/>
    <w:rsid w:val="00101B4A"/>
    <w:rsid w:val="00103E01"/>
    <w:rsid w:val="00104E23"/>
    <w:rsid w:val="0010762B"/>
    <w:rsid w:val="00110221"/>
    <w:rsid w:val="00110E7D"/>
    <w:rsid w:val="00111B0C"/>
    <w:rsid w:val="00115D3C"/>
    <w:rsid w:val="00120D6C"/>
    <w:rsid w:val="001257EC"/>
    <w:rsid w:val="00130AD6"/>
    <w:rsid w:val="00132261"/>
    <w:rsid w:val="001329AE"/>
    <w:rsid w:val="00132BDC"/>
    <w:rsid w:val="00132C6A"/>
    <w:rsid w:val="00133D33"/>
    <w:rsid w:val="00134D64"/>
    <w:rsid w:val="00135A30"/>
    <w:rsid w:val="0013612C"/>
    <w:rsid w:val="001376D8"/>
    <w:rsid w:val="00137FF6"/>
    <w:rsid w:val="001406D6"/>
    <w:rsid w:val="00141650"/>
    <w:rsid w:val="00141782"/>
    <w:rsid w:val="001426DB"/>
    <w:rsid w:val="00143BB9"/>
    <w:rsid w:val="001457B9"/>
    <w:rsid w:val="00145A65"/>
    <w:rsid w:val="0014780B"/>
    <w:rsid w:val="00147EAF"/>
    <w:rsid w:val="00150506"/>
    <w:rsid w:val="00152926"/>
    <w:rsid w:val="00152D56"/>
    <w:rsid w:val="00153B0D"/>
    <w:rsid w:val="0015672B"/>
    <w:rsid w:val="001573FE"/>
    <w:rsid w:val="00161065"/>
    <w:rsid w:val="0016293F"/>
    <w:rsid w:val="00162A12"/>
    <w:rsid w:val="001631B9"/>
    <w:rsid w:val="00163997"/>
    <w:rsid w:val="00166079"/>
    <w:rsid w:val="00166530"/>
    <w:rsid w:val="00167EA3"/>
    <w:rsid w:val="00170CD1"/>
    <w:rsid w:val="0017310A"/>
    <w:rsid w:val="00174159"/>
    <w:rsid w:val="001750FE"/>
    <w:rsid w:val="0017541C"/>
    <w:rsid w:val="001803A7"/>
    <w:rsid w:val="00180859"/>
    <w:rsid w:val="00180E4E"/>
    <w:rsid w:val="001832BD"/>
    <w:rsid w:val="00183C4D"/>
    <w:rsid w:val="001851A9"/>
    <w:rsid w:val="00186110"/>
    <w:rsid w:val="001915C3"/>
    <w:rsid w:val="00191C37"/>
    <w:rsid w:val="0019364F"/>
    <w:rsid w:val="001943B5"/>
    <w:rsid w:val="00195134"/>
    <w:rsid w:val="00197EA6"/>
    <w:rsid w:val="001A02D6"/>
    <w:rsid w:val="001A145B"/>
    <w:rsid w:val="001A1BB0"/>
    <w:rsid w:val="001A2DF0"/>
    <w:rsid w:val="001A2FB8"/>
    <w:rsid w:val="001A3BCC"/>
    <w:rsid w:val="001A53D7"/>
    <w:rsid w:val="001A5AD0"/>
    <w:rsid w:val="001A5B23"/>
    <w:rsid w:val="001A6570"/>
    <w:rsid w:val="001A674C"/>
    <w:rsid w:val="001B0E99"/>
    <w:rsid w:val="001B1275"/>
    <w:rsid w:val="001B1881"/>
    <w:rsid w:val="001B382F"/>
    <w:rsid w:val="001B3B24"/>
    <w:rsid w:val="001B66DE"/>
    <w:rsid w:val="001B6F72"/>
    <w:rsid w:val="001B7AD1"/>
    <w:rsid w:val="001C08E0"/>
    <w:rsid w:val="001C0C3D"/>
    <w:rsid w:val="001C0F98"/>
    <w:rsid w:val="001C1DA8"/>
    <w:rsid w:val="001C2A42"/>
    <w:rsid w:val="001C3010"/>
    <w:rsid w:val="001C3E8C"/>
    <w:rsid w:val="001C4247"/>
    <w:rsid w:val="001C4379"/>
    <w:rsid w:val="001C616A"/>
    <w:rsid w:val="001C61F6"/>
    <w:rsid w:val="001C6242"/>
    <w:rsid w:val="001C68D3"/>
    <w:rsid w:val="001C7731"/>
    <w:rsid w:val="001C7B6A"/>
    <w:rsid w:val="001D1E79"/>
    <w:rsid w:val="001D4A48"/>
    <w:rsid w:val="001D54C5"/>
    <w:rsid w:val="001D5923"/>
    <w:rsid w:val="001D63ED"/>
    <w:rsid w:val="001D7348"/>
    <w:rsid w:val="001D7CBA"/>
    <w:rsid w:val="001E035B"/>
    <w:rsid w:val="001E0961"/>
    <w:rsid w:val="001E2859"/>
    <w:rsid w:val="001E2E8B"/>
    <w:rsid w:val="001E3EAE"/>
    <w:rsid w:val="001E5F3C"/>
    <w:rsid w:val="001E6026"/>
    <w:rsid w:val="001E6F32"/>
    <w:rsid w:val="001F1059"/>
    <w:rsid w:val="001F147A"/>
    <w:rsid w:val="001F2064"/>
    <w:rsid w:val="001F2145"/>
    <w:rsid w:val="001F2D0A"/>
    <w:rsid w:val="001F6262"/>
    <w:rsid w:val="001F6481"/>
    <w:rsid w:val="001F67B0"/>
    <w:rsid w:val="001F6D55"/>
    <w:rsid w:val="001F7B3D"/>
    <w:rsid w:val="00200415"/>
    <w:rsid w:val="0020089A"/>
    <w:rsid w:val="002028D2"/>
    <w:rsid w:val="00205F9F"/>
    <w:rsid w:val="002067BF"/>
    <w:rsid w:val="00207512"/>
    <w:rsid w:val="00210338"/>
    <w:rsid w:val="002115A6"/>
    <w:rsid w:val="002115FC"/>
    <w:rsid w:val="002133F8"/>
    <w:rsid w:val="0021423C"/>
    <w:rsid w:val="0021497A"/>
    <w:rsid w:val="002204A7"/>
    <w:rsid w:val="002204AB"/>
    <w:rsid w:val="00220BB2"/>
    <w:rsid w:val="00220D7F"/>
    <w:rsid w:val="00221EBD"/>
    <w:rsid w:val="00223CE7"/>
    <w:rsid w:val="00225CEE"/>
    <w:rsid w:val="00230D00"/>
    <w:rsid w:val="00231DF7"/>
    <w:rsid w:val="00231FD1"/>
    <w:rsid w:val="002325B3"/>
    <w:rsid w:val="00232D18"/>
    <w:rsid w:val="002339E0"/>
    <w:rsid w:val="00233CF8"/>
    <w:rsid w:val="00233E1A"/>
    <w:rsid w:val="0023575D"/>
    <w:rsid w:val="00236DF5"/>
    <w:rsid w:val="00237148"/>
    <w:rsid w:val="00240DEE"/>
    <w:rsid w:val="00241210"/>
    <w:rsid w:val="0024222D"/>
    <w:rsid w:val="00242688"/>
    <w:rsid w:val="00244B0E"/>
    <w:rsid w:val="00244F6C"/>
    <w:rsid w:val="002459DB"/>
    <w:rsid w:val="00245C8C"/>
    <w:rsid w:val="002473AA"/>
    <w:rsid w:val="002520F2"/>
    <w:rsid w:val="002532C5"/>
    <w:rsid w:val="002557EA"/>
    <w:rsid w:val="00255CF1"/>
    <w:rsid w:val="00256345"/>
    <w:rsid w:val="00257B69"/>
    <w:rsid w:val="00260C03"/>
    <w:rsid w:val="0026474F"/>
    <w:rsid w:val="0026540E"/>
    <w:rsid w:val="00266D65"/>
    <w:rsid w:val="00267747"/>
    <w:rsid w:val="00270A73"/>
    <w:rsid w:val="00270EFE"/>
    <w:rsid w:val="00273DFE"/>
    <w:rsid w:val="002747CB"/>
    <w:rsid w:val="00274AD7"/>
    <w:rsid w:val="00274D66"/>
    <w:rsid w:val="00275123"/>
    <w:rsid w:val="00275263"/>
    <w:rsid w:val="00276532"/>
    <w:rsid w:val="00277318"/>
    <w:rsid w:val="0028130B"/>
    <w:rsid w:val="00282240"/>
    <w:rsid w:val="002843F9"/>
    <w:rsid w:val="0028572A"/>
    <w:rsid w:val="00285ED2"/>
    <w:rsid w:val="00290B9C"/>
    <w:rsid w:val="00290C8B"/>
    <w:rsid w:val="00293A27"/>
    <w:rsid w:val="00294653"/>
    <w:rsid w:val="002948AD"/>
    <w:rsid w:val="00294C05"/>
    <w:rsid w:val="00294C92"/>
    <w:rsid w:val="00296595"/>
    <w:rsid w:val="002A00D6"/>
    <w:rsid w:val="002A01CC"/>
    <w:rsid w:val="002A08A4"/>
    <w:rsid w:val="002A164E"/>
    <w:rsid w:val="002A245B"/>
    <w:rsid w:val="002A4577"/>
    <w:rsid w:val="002A49B5"/>
    <w:rsid w:val="002A5539"/>
    <w:rsid w:val="002A61B1"/>
    <w:rsid w:val="002A663C"/>
    <w:rsid w:val="002B444B"/>
    <w:rsid w:val="002B44C2"/>
    <w:rsid w:val="002B5887"/>
    <w:rsid w:val="002B6312"/>
    <w:rsid w:val="002B714F"/>
    <w:rsid w:val="002C0692"/>
    <w:rsid w:val="002C06A8"/>
    <w:rsid w:val="002C0E27"/>
    <w:rsid w:val="002C2360"/>
    <w:rsid w:val="002C3040"/>
    <w:rsid w:val="002C59C4"/>
    <w:rsid w:val="002D022D"/>
    <w:rsid w:val="002D24BB"/>
    <w:rsid w:val="002D5170"/>
    <w:rsid w:val="002D5188"/>
    <w:rsid w:val="002D56CD"/>
    <w:rsid w:val="002D74C7"/>
    <w:rsid w:val="002E000A"/>
    <w:rsid w:val="002E1C0F"/>
    <w:rsid w:val="002E2A64"/>
    <w:rsid w:val="002E2C84"/>
    <w:rsid w:val="002E6064"/>
    <w:rsid w:val="002E6F17"/>
    <w:rsid w:val="002F09F9"/>
    <w:rsid w:val="002F169F"/>
    <w:rsid w:val="002F2AF7"/>
    <w:rsid w:val="002F3F67"/>
    <w:rsid w:val="002F5854"/>
    <w:rsid w:val="002F6B2C"/>
    <w:rsid w:val="002F7801"/>
    <w:rsid w:val="002F7E1C"/>
    <w:rsid w:val="00301177"/>
    <w:rsid w:val="00301A75"/>
    <w:rsid w:val="00302F70"/>
    <w:rsid w:val="0030336F"/>
    <w:rsid w:val="0030371F"/>
    <w:rsid w:val="0030375E"/>
    <w:rsid w:val="003045CB"/>
    <w:rsid w:val="00306A96"/>
    <w:rsid w:val="00306DDA"/>
    <w:rsid w:val="00312A22"/>
    <w:rsid w:val="00312A30"/>
    <w:rsid w:val="00313C3C"/>
    <w:rsid w:val="00317042"/>
    <w:rsid w:val="00317604"/>
    <w:rsid w:val="00320F72"/>
    <w:rsid w:val="003218DB"/>
    <w:rsid w:val="003229D8"/>
    <w:rsid w:val="003229E5"/>
    <w:rsid w:val="00323820"/>
    <w:rsid w:val="003238E4"/>
    <w:rsid w:val="00324498"/>
    <w:rsid w:val="0032463E"/>
    <w:rsid w:val="00326224"/>
    <w:rsid w:val="00327AF5"/>
    <w:rsid w:val="00330746"/>
    <w:rsid w:val="003319E6"/>
    <w:rsid w:val="0033377D"/>
    <w:rsid w:val="00335352"/>
    <w:rsid w:val="003361C5"/>
    <w:rsid w:val="00337EE4"/>
    <w:rsid w:val="003400D7"/>
    <w:rsid w:val="00340306"/>
    <w:rsid w:val="00340FFD"/>
    <w:rsid w:val="00340FFE"/>
    <w:rsid w:val="0034250A"/>
    <w:rsid w:val="00343E4D"/>
    <w:rsid w:val="00345DCC"/>
    <w:rsid w:val="003460ED"/>
    <w:rsid w:val="003479F7"/>
    <w:rsid w:val="003506B1"/>
    <w:rsid w:val="003513C2"/>
    <w:rsid w:val="00351A07"/>
    <w:rsid w:val="00352052"/>
    <w:rsid w:val="00352322"/>
    <w:rsid w:val="003532A1"/>
    <w:rsid w:val="00353429"/>
    <w:rsid w:val="00355154"/>
    <w:rsid w:val="00356867"/>
    <w:rsid w:val="00356A15"/>
    <w:rsid w:val="00356AC7"/>
    <w:rsid w:val="00356C1C"/>
    <w:rsid w:val="003609FA"/>
    <w:rsid w:val="003629AA"/>
    <w:rsid w:val="00363784"/>
    <w:rsid w:val="0036429B"/>
    <w:rsid w:val="003643BD"/>
    <w:rsid w:val="003654FD"/>
    <w:rsid w:val="003662F1"/>
    <w:rsid w:val="003710C8"/>
    <w:rsid w:val="00372B65"/>
    <w:rsid w:val="00373932"/>
    <w:rsid w:val="00375076"/>
    <w:rsid w:val="003750BE"/>
    <w:rsid w:val="00375768"/>
    <w:rsid w:val="0037594C"/>
    <w:rsid w:val="00377ECA"/>
    <w:rsid w:val="003816E8"/>
    <w:rsid w:val="00381BB8"/>
    <w:rsid w:val="00381CE3"/>
    <w:rsid w:val="00382614"/>
    <w:rsid w:val="00382FF6"/>
    <w:rsid w:val="00384A89"/>
    <w:rsid w:val="00384A9C"/>
    <w:rsid w:val="00387198"/>
    <w:rsid w:val="00387B9D"/>
    <w:rsid w:val="00391183"/>
    <w:rsid w:val="00391E11"/>
    <w:rsid w:val="0039364F"/>
    <w:rsid w:val="003946C4"/>
    <w:rsid w:val="00396686"/>
    <w:rsid w:val="00396A9C"/>
    <w:rsid w:val="0039778E"/>
    <w:rsid w:val="003A12FA"/>
    <w:rsid w:val="003A1B83"/>
    <w:rsid w:val="003A3553"/>
    <w:rsid w:val="003A355A"/>
    <w:rsid w:val="003A3AD5"/>
    <w:rsid w:val="003A5269"/>
    <w:rsid w:val="003A5735"/>
    <w:rsid w:val="003A7962"/>
    <w:rsid w:val="003B32AC"/>
    <w:rsid w:val="003B32C4"/>
    <w:rsid w:val="003B4941"/>
    <w:rsid w:val="003B4A7C"/>
    <w:rsid w:val="003B6E95"/>
    <w:rsid w:val="003B7C91"/>
    <w:rsid w:val="003C2D9A"/>
    <w:rsid w:val="003C5714"/>
    <w:rsid w:val="003C6B9F"/>
    <w:rsid w:val="003C6E2A"/>
    <w:rsid w:val="003C7971"/>
    <w:rsid w:val="003C7EB8"/>
    <w:rsid w:val="003D0299"/>
    <w:rsid w:val="003D0E7F"/>
    <w:rsid w:val="003D447E"/>
    <w:rsid w:val="003D6C26"/>
    <w:rsid w:val="003E370B"/>
    <w:rsid w:val="003E3CF0"/>
    <w:rsid w:val="003E50A1"/>
    <w:rsid w:val="003E6D80"/>
    <w:rsid w:val="003F05FA"/>
    <w:rsid w:val="003F0D69"/>
    <w:rsid w:val="003F16DC"/>
    <w:rsid w:val="003F2161"/>
    <w:rsid w:val="003F244A"/>
    <w:rsid w:val="003F30B8"/>
    <w:rsid w:val="003F4C45"/>
    <w:rsid w:val="003F5F7B"/>
    <w:rsid w:val="003F7587"/>
    <w:rsid w:val="003F7D64"/>
    <w:rsid w:val="003F7E3F"/>
    <w:rsid w:val="00401EEB"/>
    <w:rsid w:val="00403253"/>
    <w:rsid w:val="004036B2"/>
    <w:rsid w:val="0040667D"/>
    <w:rsid w:val="00406C50"/>
    <w:rsid w:val="00412830"/>
    <w:rsid w:val="00412BD8"/>
    <w:rsid w:val="00414300"/>
    <w:rsid w:val="0042156B"/>
    <w:rsid w:val="0042214D"/>
    <w:rsid w:val="004223A6"/>
    <w:rsid w:val="0042417B"/>
    <w:rsid w:val="00425C67"/>
    <w:rsid w:val="0042709F"/>
    <w:rsid w:val="00427E7A"/>
    <w:rsid w:val="004319AB"/>
    <w:rsid w:val="00436307"/>
    <w:rsid w:val="00436C49"/>
    <w:rsid w:val="004407BD"/>
    <w:rsid w:val="00440BEA"/>
    <w:rsid w:val="00441F5B"/>
    <w:rsid w:val="00443618"/>
    <w:rsid w:val="00445366"/>
    <w:rsid w:val="00446311"/>
    <w:rsid w:val="00446816"/>
    <w:rsid w:val="00447F5B"/>
    <w:rsid w:val="004515B4"/>
    <w:rsid w:val="00451A97"/>
    <w:rsid w:val="00452533"/>
    <w:rsid w:val="004549CC"/>
    <w:rsid w:val="00457962"/>
    <w:rsid w:val="00461370"/>
    <w:rsid w:val="00461DB0"/>
    <w:rsid w:val="00462F68"/>
    <w:rsid w:val="00463926"/>
    <w:rsid w:val="004646E0"/>
    <w:rsid w:val="00464C9A"/>
    <w:rsid w:val="0047266B"/>
    <w:rsid w:val="0047420E"/>
    <w:rsid w:val="00474F3D"/>
    <w:rsid w:val="00477E3A"/>
    <w:rsid w:val="00480954"/>
    <w:rsid w:val="004835CD"/>
    <w:rsid w:val="00483E5F"/>
    <w:rsid w:val="00483F02"/>
    <w:rsid w:val="00484864"/>
    <w:rsid w:val="00485FF9"/>
    <w:rsid w:val="00486EAA"/>
    <w:rsid w:val="004907F0"/>
    <w:rsid w:val="0049140B"/>
    <w:rsid w:val="004923A5"/>
    <w:rsid w:val="00493882"/>
    <w:rsid w:val="00496BFB"/>
    <w:rsid w:val="004A0B66"/>
    <w:rsid w:val="004A0DBD"/>
    <w:rsid w:val="004A15C7"/>
    <w:rsid w:val="004A4C72"/>
    <w:rsid w:val="004A6C11"/>
    <w:rsid w:val="004A70C5"/>
    <w:rsid w:val="004B013B"/>
    <w:rsid w:val="004B112B"/>
    <w:rsid w:val="004B197C"/>
    <w:rsid w:val="004B3B53"/>
    <w:rsid w:val="004B7D62"/>
    <w:rsid w:val="004C01E4"/>
    <w:rsid w:val="004C086C"/>
    <w:rsid w:val="004C1F56"/>
    <w:rsid w:val="004C27BC"/>
    <w:rsid w:val="004C2AF9"/>
    <w:rsid w:val="004D15F3"/>
    <w:rsid w:val="004D19F6"/>
    <w:rsid w:val="004D1EC6"/>
    <w:rsid w:val="004D5311"/>
    <w:rsid w:val="004D5DCC"/>
    <w:rsid w:val="004D666D"/>
    <w:rsid w:val="004D6C1A"/>
    <w:rsid w:val="004E316D"/>
    <w:rsid w:val="004E330B"/>
    <w:rsid w:val="004E7BE2"/>
    <w:rsid w:val="004F0717"/>
    <w:rsid w:val="004F076C"/>
    <w:rsid w:val="004F10AF"/>
    <w:rsid w:val="004F11A4"/>
    <w:rsid w:val="004F1C2B"/>
    <w:rsid w:val="004F2389"/>
    <w:rsid w:val="004F304D"/>
    <w:rsid w:val="004F61BE"/>
    <w:rsid w:val="004F66B1"/>
    <w:rsid w:val="004F6CA1"/>
    <w:rsid w:val="004F7005"/>
    <w:rsid w:val="004F7454"/>
    <w:rsid w:val="0050185B"/>
    <w:rsid w:val="005025A5"/>
    <w:rsid w:val="0050356F"/>
    <w:rsid w:val="005051A0"/>
    <w:rsid w:val="00505FB2"/>
    <w:rsid w:val="00506030"/>
    <w:rsid w:val="005065EA"/>
    <w:rsid w:val="00511545"/>
    <w:rsid w:val="00511C07"/>
    <w:rsid w:val="00511C51"/>
    <w:rsid w:val="005140FC"/>
    <w:rsid w:val="0051433C"/>
    <w:rsid w:val="005155A5"/>
    <w:rsid w:val="0051610D"/>
    <w:rsid w:val="005173A6"/>
    <w:rsid w:val="00520592"/>
    <w:rsid w:val="005206C7"/>
    <w:rsid w:val="00520BAA"/>
    <w:rsid w:val="005214BC"/>
    <w:rsid w:val="00522F28"/>
    <w:rsid w:val="00523D10"/>
    <w:rsid w:val="00523F8C"/>
    <w:rsid w:val="00525208"/>
    <w:rsid w:val="005257A5"/>
    <w:rsid w:val="00525F99"/>
    <w:rsid w:val="0052634A"/>
    <w:rsid w:val="005264C0"/>
    <w:rsid w:val="00526A8A"/>
    <w:rsid w:val="00531631"/>
    <w:rsid w:val="00531DF2"/>
    <w:rsid w:val="00535A2C"/>
    <w:rsid w:val="00535DD0"/>
    <w:rsid w:val="00543D7A"/>
    <w:rsid w:val="00543F85"/>
    <w:rsid w:val="005442EE"/>
    <w:rsid w:val="00545F1A"/>
    <w:rsid w:val="00546199"/>
    <w:rsid w:val="00546AAF"/>
    <w:rsid w:val="00546B31"/>
    <w:rsid w:val="00547353"/>
    <w:rsid w:val="005474E7"/>
    <w:rsid w:val="00547AF7"/>
    <w:rsid w:val="005512A3"/>
    <w:rsid w:val="00551D66"/>
    <w:rsid w:val="005526C4"/>
    <w:rsid w:val="0055473A"/>
    <w:rsid w:val="00554DCC"/>
    <w:rsid w:val="00555837"/>
    <w:rsid w:val="00555D65"/>
    <w:rsid w:val="00556569"/>
    <w:rsid w:val="00556907"/>
    <w:rsid w:val="00556FBD"/>
    <w:rsid w:val="005578CE"/>
    <w:rsid w:val="005607BC"/>
    <w:rsid w:val="00561AFE"/>
    <w:rsid w:val="005624B6"/>
    <w:rsid w:val="00562781"/>
    <w:rsid w:val="00563E83"/>
    <w:rsid w:val="00564511"/>
    <w:rsid w:val="005645A4"/>
    <w:rsid w:val="00564945"/>
    <w:rsid w:val="00565764"/>
    <w:rsid w:val="00566076"/>
    <w:rsid w:val="005666AB"/>
    <w:rsid w:val="00566FB8"/>
    <w:rsid w:val="005703DC"/>
    <w:rsid w:val="00570922"/>
    <w:rsid w:val="00570DD3"/>
    <w:rsid w:val="0057271C"/>
    <w:rsid w:val="00572845"/>
    <w:rsid w:val="005746EA"/>
    <w:rsid w:val="005776FD"/>
    <w:rsid w:val="00580357"/>
    <w:rsid w:val="0058294C"/>
    <w:rsid w:val="005829B1"/>
    <w:rsid w:val="00582B97"/>
    <w:rsid w:val="00592772"/>
    <w:rsid w:val="00593982"/>
    <w:rsid w:val="00593D6F"/>
    <w:rsid w:val="0059493E"/>
    <w:rsid w:val="00595592"/>
    <w:rsid w:val="0059574A"/>
    <w:rsid w:val="00596712"/>
    <w:rsid w:val="005A1B9B"/>
    <w:rsid w:val="005A35BC"/>
    <w:rsid w:val="005A6348"/>
    <w:rsid w:val="005A6751"/>
    <w:rsid w:val="005A6D4F"/>
    <w:rsid w:val="005A7CF7"/>
    <w:rsid w:val="005B092E"/>
    <w:rsid w:val="005B0DED"/>
    <w:rsid w:val="005B1001"/>
    <w:rsid w:val="005B152C"/>
    <w:rsid w:val="005B1645"/>
    <w:rsid w:val="005B1BE4"/>
    <w:rsid w:val="005B1EE0"/>
    <w:rsid w:val="005B2B24"/>
    <w:rsid w:val="005B4425"/>
    <w:rsid w:val="005B4B94"/>
    <w:rsid w:val="005C052D"/>
    <w:rsid w:val="005C30D0"/>
    <w:rsid w:val="005C3EE8"/>
    <w:rsid w:val="005C52BB"/>
    <w:rsid w:val="005C68F8"/>
    <w:rsid w:val="005D14A2"/>
    <w:rsid w:val="005D1503"/>
    <w:rsid w:val="005D153B"/>
    <w:rsid w:val="005D34F9"/>
    <w:rsid w:val="005D4190"/>
    <w:rsid w:val="005D67A3"/>
    <w:rsid w:val="005E15C2"/>
    <w:rsid w:val="005E1972"/>
    <w:rsid w:val="005E209E"/>
    <w:rsid w:val="005E2988"/>
    <w:rsid w:val="005E2A43"/>
    <w:rsid w:val="005E3085"/>
    <w:rsid w:val="005E4464"/>
    <w:rsid w:val="005E5654"/>
    <w:rsid w:val="005E5D48"/>
    <w:rsid w:val="005E6AEA"/>
    <w:rsid w:val="005E6BA4"/>
    <w:rsid w:val="005E79DE"/>
    <w:rsid w:val="005F1481"/>
    <w:rsid w:val="005F1D5B"/>
    <w:rsid w:val="005F51E1"/>
    <w:rsid w:val="005F573D"/>
    <w:rsid w:val="005F5F41"/>
    <w:rsid w:val="005F7385"/>
    <w:rsid w:val="006009F2"/>
    <w:rsid w:val="006032F4"/>
    <w:rsid w:val="00603C60"/>
    <w:rsid w:val="00604DF2"/>
    <w:rsid w:val="00607EF8"/>
    <w:rsid w:val="00611C80"/>
    <w:rsid w:val="00613A41"/>
    <w:rsid w:val="00615454"/>
    <w:rsid w:val="00615DDA"/>
    <w:rsid w:val="0061791E"/>
    <w:rsid w:val="00620692"/>
    <w:rsid w:val="00621559"/>
    <w:rsid w:val="00621FE1"/>
    <w:rsid w:val="006242CA"/>
    <w:rsid w:val="00625F00"/>
    <w:rsid w:val="006261E8"/>
    <w:rsid w:val="00626457"/>
    <w:rsid w:val="00626CB0"/>
    <w:rsid w:val="00627507"/>
    <w:rsid w:val="0062764F"/>
    <w:rsid w:val="00627879"/>
    <w:rsid w:val="006309CA"/>
    <w:rsid w:val="00633717"/>
    <w:rsid w:val="006344E1"/>
    <w:rsid w:val="0063670F"/>
    <w:rsid w:val="006403DE"/>
    <w:rsid w:val="00644CC8"/>
    <w:rsid w:val="0064575B"/>
    <w:rsid w:val="00645F85"/>
    <w:rsid w:val="00647F76"/>
    <w:rsid w:val="00651541"/>
    <w:rsid w:val="00652A2B"/>
    <w:rsid w:val="00653113"/>
    <w:rsid w:val="00653ED7"/>
    <w:rsid w:val="006545C4"/>
    <w:rsid w:val="00656FA4"/>
    <w:rsid w:val="0065714F"/>
    <w:rsid w:val="0065766D"/>
    <w:rsid w:val="0066040A"/>
    <w:rsid w:val="00660568"/>
    <w:rsid w:val="00660F58"/>
    <w:rsid w:val="00661971"/>
    <w:rsid w:val="00661CE8"/>
    <w:rsid w:val="006623D9"/>
    <w:rsid w:val="00662D7B"/>
    <w:rsid w:val="0066550C"/>
    <w:rsid w:val="006716F2"/>
    <w:rsid w:val="00673BAF"/>
    <w:rsid w:val="00680238"/>
    <w:rsid w:val="00680F74"/>
    <w:rsid w:val="006812BB"/>
    <w:rsid w:val="00682BF2"/>
    <w:rsid w:val="00684FA0"/>
    <w:rsid w:val="006859CE"/>
    <w:rsid w:val="00690F3A"/>
    <w:rsid w:val="00691270"/>
    <w:rsid w:val="006941B3"/>
    <w:rsid w:val="0069452B"/>
    <w:rsid w:val="0069485F"/>
    <w:rsid w:val="00694BA8"/>
    <w:rsid w:val="0069710A"/>
    <w:rsid w:val="006A037C"/>
    <w:rsid w:val="006A0F2C"/>
    <w:rsid w:val="006A2E9A"/>
    <w:rsid w:val="006A30BA"/>
    <w:rsid w:val="006A3444"/>
    <w:rsid w:val="006A36F4"/>
    <w:rsid w:val="006A406F"/>
    <w:rsid w:val="006A5C8A"/>
    <w:rsid w:val="006A5D3A"/>
    <w:rsid w:val="006B40FD"/>
    <w:rsid w:val="006C0767"/>
    <w:rsid w:val="006C23D4"/>
    <w:rsid w:val="006C4523"/>
    <w:rsid w:val="006C5064"/>
    <w:rsid w:val="006C6769"/>
    <w:rsid w:val="006C7A9C"/>
    <w:rsid w:val="006C7BB0"/>
    <w:rsid w:val="006C7E28"/>
    <w:rsid w:val="006D080B"/>
    <w:rsid w:val="006D2432"/>
    <w:rsid w:val="006D3237"/>
    <w:rsid w:val="006D33F4"/>
    <w:rsid w:val="006D41A5"/>
    <w:rsid w:val="006D479F"/>
    <w:rsid w:val="006D56CD"/>
    <w:rsid w:val="006D5BD5"/>
    <w:rsid w:val="006D63AD"/>
    <w:rsid w:val="006D74EA"/>
    <w:rsid w:val="006E28F1"/>
    <w:rsid w:val="006E2E37"/>
    <w:rsid w:val="006E3CF1"/>
    <w:rsid w:val="006E7E80"/>
    <w:rsid w:val="006F1756"/>
    <w:rsid w:val="006F1DF9"/>
    <w:rsid w:val="006F24DB"/>
    <w:rsid w:val="006F2A5A"/>
    <w:rsid w:val="006F3CCE"/>
    <w:rsid w:val="006F48CA"/>
    <w:rsid w:val="006F5645"/>
    <w:rsid w:val="006F606E"/>
    <w:rsid w:val="006F64DD"/>
    <w:rsid w:val="007003C0"/>
    <w:rsid w:val="00702CBA"/>
    <w:rsid w:val="0070388C"/>
    <w:rsid w:val="007045A2"/>
    <w:rsid w:val="00705FCF"/>
    <w:rsid w:val="007066D9"/>
    <w:rsid w:val="00707628"/>
    <w:rsid w:val="0071045E"/>
    <w:rsid w:val="00710B58"/>
    <w:rsid w:val="007115E0"/>
    <w:rsid w:val="007124DC"/>
    <w:rsid w:val="0071290A"/>
    <w:rsid w:val="007135DA"/>
    <w:rsid w:val="00715127"/>
    <w:rsid w:val="00715E8E"/>
    <w:rsid w:val="007161DF"/>
    <w:rsid w:val="00716AA7"/>
    <w:rsid w:val="00716D3D"/>
    <w:rsid w:val="00717BA5"/>
    <w:rsid w:val="00720366"/>
    <w:rsid w:val="00723580"/>
    <w:rsid w:val="00723755"/>
    <w:rsid w:val="007257CC"/>
    <w:rsid w:val="00726059"/>
    <w:rsid w:val="00730193"/>
    <w:rsid w:val="00730248"/>
    <w:rsid w:val="0073136C"/>
    <w:rsid w:val="00731697"/>
    <w:rsid w:val="00731F0F"/>
    <w:rsid w:val="00733250"/>
    <w:rsid w:val="00733F13"/>
    <w:rsid w:val="00740203"/>
    <w:rsid w:val="00740684"/>
    <w:rsid w:val="00741404"/>
    <w:rsid w:val="007417AC"/>
    <w:rsid w:val="007419B7"/>
    <w:rsid w:val="007449E5"/>
    <w:rsid w:val="00744F2E"/>
    <w:rsid w:val="00746C5A"/>
    <w:rsid w:val="00747FF0"/>
    <w:rsid w:val="00753FEF"/>
    <w:rsid w:val="00755169"/>
    <w:rsid w:val="00756BBD"/>
    <w:rsid w:val="00757579"/>
    <w:rsid w:val="00757D3B"/>
    <w:rsid w:val="0076338B"/>
    <w:rsid w:val="0076365E"/>
    <w:rsid w:val="00764D4E"/>
    <w:rsid w:val="00765A1F"/>
    <w:rsid w:val="00767443"/>
    <w:rsid w:val="00775B6D"/>
    <w:rsid w:val="00776D68"/>
    <w:rsid w:val="00777009"/>
    <w:rsid w:val="007773AF"/>
    <w:rsid w:val="00777DC1"/>
    <w:rsid w:val="00782469"/>
    <w:rsid w:val="00782DFC"/>
    <w:rsid w:val="00782E51"/>
    <w:rsid w:val="00783807"/>
    <w:rsid w:val="007850EE"/>
    <w:rsid w:val="007853A9"/>
    <w:rsid w:val="007854D0"/>
    <w:rsid w:val="00785B95"/>
    <w:rsid w:val="00786961"/>
    <w:rsid w:val="007869F0"/>
    <w:rsid w:val="00790E96"/>
    <w:rsid w:val="00791002"/>
    <w:rsid w:val="00791055"/>
    <w:rsid w:val="00792A5D"/>
    <w:rsid w:val="00793366"/>
    <w:rsid w:val="00794294"/>
    <w:rsid w:val="00795FE7"/>
    <w:rsid w:val="007964E7"/>
    <w:rsid w:val="007972C5"/>
    <w:rsid w:val="00797437"/>
    <w:rsid w:val="007974B5"/>
    <w:rsid w:val="007A37C6"/>
    <w:rsid w:val="007A4E43"/>
    <w:rsid w:val="007A582D"/>
    <w:rsid w:val="007A716F"/>
    <w:rsid w:val="007B270A"/>
    <w:rsid w:val="007B45B5"/>
    <w:rsid w:val="007B4666"/>
    <w:rsid w:val="007C0695"/>
    <w:rsid w:val="007C0F03"/>
    <w:rsid w:val="007C1B1E"/>
    <w:rsid w:val="007C419A"/>
    <w:rsid w:val="007C4CC8"/>
    <w:rsid w:val="007C5426"/>
    <w:rsid w:val="007C5798"/>
    <w:rsid w:val="007C5A53"/>
    <w:rsid w:val="007C6CCE"/>
    <w:rsid w:val="007C6F0F"/>
    <w:rsid w:val="007C7760"/>
    <w:rsid w:val="007D06C0"/>
    <w:rsid w:val="007D0A92"/>
    <w:rsid w:val="007D2756"/>
    <w:rsid w:val="007D3A4A"/>
    <w:rsid w:val="007D4339"/>
    <w:rsid w:val="007D4832"/>
    <w:rsid w:val="007D498C"/>
    <w:rsid w:val="007D7458"/>
    <w:rsid w:val="007D7616"/>
    <w:rsid w:val="007E21B2"/>
    <w:rsid w:val="007E2C4E"/>
    <w:rsid w:val="007E59D0"/>
    <w:rsid w:val="007E75F5"/>
    <w:rsid w:val="007F1905"/>
    <w:rsid w:val="007F1A28"/>
    <w:rsid w:val="007F1A34"/>
    <w:rsid w:val="007F2605"/>
    <w:rsid w:val="007F33C9"/>
    <w:rsid w:val="007F382C"/>
    <w:rsid w:val="007F7759"/>
    <w:rsid w:val="00800107"/>
    <w:rsid w:val="00800D73"/>
    <w:rsid w:val="008011BF"/>
    <w:rsid w:val="00801300"/>
    <w:rsid w:val="00801372"/>
    <w:rsid w:val="00801400"/>
    <w:rsid w:val="00802C64"/>
    <w:rsid w:val="00803607"/>
    <w:rsid w:val="0080569B"/>
    <w:rsid w:val="00805E52"/>
    <w:rsid w:val="008061D0"/>
    <w:rsid w:val="00806BDA"/>
    <w:rsid w:val="00806E81"/>
    <w:rsid w:val="008075F9"/>
    <w:rsid w:val="008076E1"/>
    <w:rsid w:val="00810B38"/>
    <w:rsid w:val="00811612"/>
    <w:rsid w:val="008137CF"/>
    <w:rsid w:val="00815281"/>
    <w:rsid w:val="0081572D"/>
    <w:rsid w:val="0081754D"/>
    <w:rsid w:val="008204C7"/>
    <w:rsid w:val="00820992"/>
    <w:rsid w:val="0082217E"/>
    <w:rsid w:val="00823602"/>
    <w:rsid w:val="00823BF5"/>
    <w:rsid w:val="0082461D"/>
    <w:rsid w:val="008255F5"/>
    <w:rsid w:val="00827408"/>
    <w:rsid w:val="00827507"/>
    <w:rsid w:val="0083014E"/>
    <w:rsid w:val="008314C1"/>
    <w:rsid w:val="0083214A"/>
    <w:rsid w:val="00834220"/>
    <w:rsid w:val="0083517D"/>
    <w:rsid w:val="00835300"/>
    <w:rsid w:val="0083616D"/>
    <w:rsid w:val="008402D1"/>
    <w:rsid w:val="00842936"/>
    <w:rsid w:val="00845499"/>
    <w:rsid w:val="00845723"/>
    <w:rsid w:val="0084632B"/>
    <w:rsid w:val="0085118B"/>
    <w:rsid w:val="00851EF9"/>
    <w:rsid w:val="00852252"/>
    <w:rsid w:val="008573A5"/>
    <w:rsid w:val="008577FD"/>
    <w:rsid w:val="00860512"/>
    <w:rsid w:val="00860B03"/>
    <w:rsid w:val="00861BD8"/>
    <w:rsid w:val="0086497A"/>
    <w:rsid w:val="00865AEF"/>
    <w:rsid w:val="008664D8"/>
    <w:rsid w:val="00867752"/>
    <w:rsid w:val="008713A1"/>
    <w:rsid w:val="008735CE"/>
    <w:rsid w:val="008749FF"/>
    <w:rsid w:val="008754AB"/>
    <w:rsid w:val="008757E4"/>
    <w:rsid w:val="00877FFC"/>
    <w:rsid w:val="0088006D"/>
    <w:rsid w:val="008800A4"/>
    <w:rsid w:val="0088060C"/>
    <w:rsid w:val="00881308"/>
    <w:rsid w:val="0088216B"/>
    <w:rsid w:val="008860C4"/>
    <w:rsid w:val="008873E2"/>
    <w:rsid w:val="00893576"/>
    <w:rsid w:val="00893E73"/>
    <w:rsid w:val="00894401"/>
    <w:rsid w:val="008946EE"/>
    <w:rsid w:val="0089697B"/>
    <w:rsid w:val="008969D3"/>
    <w:rsid w:val="008A008A"/>
    <w:rsid w:val="008A0B84"/>
    <w:rsid w:val="008A34D9"/>
    <w:rsid w:val="008A3B71"/>
    <w:rsid w:val="008A43C4"/>
    <w:rsid w:val="008A47C7"/>
    <w:rsid w:val="008A5898"/>
    <w:rsid w:val="008A58B7"/>
    <w:rsid w:val="008A6854"/>
    <w:rsid w:val="008A6C1F"/>
    <w:rsid w:val="008A709F"/>
    <w:rsid w:val="008A727B"/>
    <w:rsid w:val="008B02DC"/>
    <w:rsid w:val="008B03C4"/>
    <w:rsid w:val="008B139B"/>
    <w:rsid w:val="008B47C8"/>
    <w:rsid w:val="008B48E0"/>
    <w:rsid w:val="008B4D9C"/>
    <w:rsid w:val="008B57CE"/>
    <w:rsid w:val="008B5ECE"/>
    <w:rsid w:val="008B659F"/>
    <w:rsid w:val="008B6E1B"/>
    <w:rsid w:val="008C16AB"/>
    <w:rsid w:val="008C26DE"/>
    <w:rsid w:val="008C2A53"/>
    <w:rsid w:val="008C2DCB"/>
    <w:rsid w:val="008C3AA6"/>
    <w:rsid w:val="008D0FA7"/>
    <w:rsid w:val="008D1126"/>
    <w:rsid w:val="008D206B"/>
    <w:rsid w:val="008D2225"/>
    <w:rsid w:val="008D2262"/>
    <w:rsid w:val="008D22B9"/>
    <w:rsid w:val="008D3025"/>
    <w:rsid w:val="008D3E59"/>
    <w:rsid w:val="008D4752"/>
    <w:rsid w:val="008D4DDA"/>
    <w:rsid w:val="008D5781"/>
    <w:rsid w:val="008D585C"/>
    <w:rsid w:val="008E013B"/>
    <w:rsid w:val="008E12D1"/>
    <w:rsid w:val="008E271C"/>
    <w:rsid w:val="008E418E"/>
    <w:rsid w:val="008E59EB"/>
    <w:rsid w:val="008E5BC6"/>
    <w:rsid w:val="008E6A25"/>
    <w:rsid w:val="008F1BDF"/>
    <w:rsid w:val="008F2C2C"/>
    <w:rsid w:val="008F3AB0"/>
    <w:rsid w:val="008F5193"/>
    <w:rsid w:val="008F6A9B"/>
    <w:rsid w:val="008F7648"/>
    <w:rsid w:val="009013A7"/>
    <w:rsid w:val="009017FB"/>
    <w:rsid w:val="009017FC"/>
    <w:rsid w:val="0090192C"/>
    <w:rsid w:val="00901C24"/>
    <w:rsid w:val="00903B43"/>
    <w:rsid w:val="0090506B"/>
    <w:rsid w:val="009050C9"/>
    <w:rsid w:val="009066FC"/>
    <w:rsid w:val="009067DD"/>
    <w:rsid w:val="00906B0A"/>
    <w:rsid w:val="00906B2F"/>
    <w:rsid w:val="00910D31"/>
    <w:rsid w:val="0091246C"/>
    <w:rsid w:val="00912FAB"/>
    <w:rsid w:val="009140A3"/>
    <w:rsid w:val="009144A2"/>
    <w:rsid w:val="00914B84"/>
    <w:rsid w:val="0091510C"/>
    <w:rsid w:val="009155A0"/>
    <w:rsid w:val="00915C67"/>
    <w:rsid w:val="00915FE3"/>
    <w:rsid w:val="00916768"/>
    <w:rsid w:val="009170F8"/>
    <w:rsid w:val="009209BA"/>
    <w:rsid w:val="00921C0E"/>
    <w:rsid w:val="00923733"/>
    <w:rsid w:val="00924ED3"/>
    <w:rsid w:val="009253BC"/>
    <w:rsid w:val="009259AC"/>
    <w:rsid w:val="00926F38"/>
    <w:rsid w:val="00931503"/>
    <w:rsid w:val="00934301"/>
    <w:rsid w:val="00935BF7"/>
    <w:rsid w:val="00936CD1"/>
    <w:rsid w:val="009377B5"/>
    <w:rsid w:val="00940CE5"/>
    <w:rsid w:val="00941747"/>
    <w:rsid w:val="00941EFB"/>
    <w:rsid w:val="00942B9D"/>
    <w:rsid w:val="0094333F"/>
    <w:rsid w:val="00945FA1"/>
    <w:rsid w:val="00947AFB"/>
    <w:rsid w:val="009515BF"/>
    <w:rsid w:val="009516D9"/>
    <w:rsid w:val="00951D7D"/>
    <w:rsid w:val="00952C12"/>
    <w:rsid w:val="00953A11"/>
    <w:rsid w:val="009556B1"/>
    <w:rsid w:val="00955B0E"/>
    <w:rsid w:val="00956C07"/>
    <w:rsid w:val="0095794E"/>
    <w:rsid w:val="00961637"/>
    <w:rsid w:val="00961EC7"/>
    <w:rsid w:val="0096301B"/>
    <w:rsid w:val="009630C7"/>
    <w:rsid w:val="00963A87"/>
    <w:rsid w:val="00963D11"/>
    <w:rsid w:val="00965159"/>
    <w:rsid w:val="00967589"/>
    <w:rsid w:val="009703B8"/>
    <w:rsid w:val="00970952"/>
    <w:rsid w:val="009720F0"/>
    <w:rsid w:val="0097223B"/>
    <w:rsid w:val="00972B55"/>
    <w:rsid w:val="00973859"/>
    <w:rsid w:val="00973F4B"/>
    <w:rsid w:val="00974268"/>
    <w:rsid w:val="009743B7"/>
    <w:rsid w:val="00975BD8"/>
    <w:rsid w:val="00977C51"/>
    <w:rsid w:val="00980FAE"/>
    <w:rsid w:val="0098228B"/>
    <w:rsid w:val="009828DA"/>
    <w:rsid w:val="00982B2D"/>
    <w:rsid w:val="00982FB1"/>
    <w:rsid w:val="00985BAB"/>
    <w:rsid w:val="0098784D"/>
    <w:rsid w:val="00990256"/>
    <w:rsid w:val="00990498"/>
    <w:rsid w:val="00990D53"/>
    <w:rsid w:val="00990E22"/>
    <w:rsid w:val="009918F1"/>
    <w:rsid w:val="0099302B"/>
    <w:rsid w:val="00993A6D"/>
    <w:rsid w:val="0099472C"/>
    <w:rsid w:val="00997CAB"/>
    <w:rsid w:val="00997F03"/>
    <w:rsid w:val="009A0DC5"/>
    <w:rsid w:val="009A1DB5"/>
    <w:rsid w:val="009A347F"/>
    <w:rsid w:val="009A46DF"/>
    <w:rsid w:val="009B1B5F"/>
    <w:rsid w:val="009B2837"/>
    <w:rsid w:val="009B2EC2"/>
    <w:rsid w:val="009B61AF"/>
    <w:rsid w:val="009B6673"/>
    <w:rsid w:val="009B75EF"/>
    <w:rsid w:val="009C055F"/>
    <w:rsid w:val="009C0CF8"/>
    <w:rsid w:val="009C191B"/>
    <w:rsid w:val="009C2BD6"/>
    <w:rsid w:val="009C30D5"/>
    <w:rsid w:val="009C3B77"/>
    <w:rsid w:val="009C4D25"/>
    <w:rsid w:val="009C7975"/>
    <w:rsid w:val="009D068B"/>
    <w:rsid w:val="009D0D26"/>
    <w:rsid w:val="009D1AB0"/>
    <w:rsid w:val="009D23BF"/>
    <w:rsid w:val="009D297C"/>
    <w:rsid w:val="009D3590"/>
    <w:rsid w:val="009D44B5"/>
    <w:rsid w:val="009D5C1F"/>
    <w:rsid w:val="009E1BB9"/>
    <w:rsid w:val="009E1BCC"/>
    <w:rsid w:val="009E1D51"/>
    <w:rsid w:val="009E1F32"/>
    <w:rsid w:val="009E20A0"/>
    <w:rsid w:val="009E214B"/>
    <w:rsid w:val="009E306B"/>
    <w:rsid w:val="009E32C0"/>
    <w:rsid w:val="009E3A92"/>
    <w:rsid w:val="009E56E0"/>
    <w:rsid w:val="009E5829"/>
    <w:rsid w:val="009E776C"/>
    <w:rsid w:val="009F19C8"/>
    <w:rsid w:val="009F243E"/>
    <w:rsid w:val="009F48F5"/>
    <w:rsid w:val="009F554F"/>
    <w:rsid w:val="009F7BFF"/>
    <w:rsid w:val="009F7C07"/>
    <w:rsid w:val="00A005BD"/>
    <w:rsid w:val="00A053DA"/>
    <w:rsid w:val="00A068B8"/>
    <w:rsid w:val="00A1146D"/>
    <w:rsid w:val="00A11828"/>
    <w:rsid w:val="00A13C20"/>
    <w:rsid w:val="00A15C14"/>
    <w:rsid w:val="00A1726E"/>
    <w:rsid w:val="00A172E1"/>
    <w:rsid w:val="00A204CF"/>
    <w:rsid w:val="00A216CC"/>
    <w:rsid w:val="00A22471"/>
    <w:rsid w:val="00A23D49"/>
    <w:rsid w:val="00A24BFA"/>
    <w:rsid w:val="00A27004"/>
    <w:rsid w:val="00A2759E"/>
    <w:rsid w:val="00A30C29"/>
    <w:rsid w:val="00A3112D"/>
    <w:rsid w:val="00A312CD"/>
    <w:rsid w:val="00A31E0B"/>
    <w:rsid w:val="00A31FF5"/>
    <w:rsid w:val="00A3339D"/>
    <w:rsid w:val="00A34DD6"/>
    <w:rsid w:val="00A36819"/>
    <w:rsid w:val="00A36989"/>
    <w:rsid w:val="00A369B5"/>
    <w:rsid w:val="00A405F2"/>
    <w:rsid w:val="00A43628"/>
    <w:rsid w:val="00A4396B"/>
    <w:rsid w:val="00A459F7"/>
    <w:rsid w:val="00A45BFC"/>
    <w:rsid w:val="00A46225"/>
    <w:rsid w:val="00A51D19"/>
    <w:rsid w:val="00A51EA7"/>
    <w:rsid w:val="00A5200F"/>
    <w:rsid w:val="00A537D5"/>
    <w:rsid w:val="00A53915"/>
    <w:rsid w:val="00A54192"/>
    <w:rsid w:val="00A55FBB"/>
    <w:rsid w:val="00A57256"/>
    <w:rsid w:val="00A57FCE"/>
    <w:rsid w:val="00A6035E"/>
    <w:rsid w:val="00A603C4"/>
    <w:rsid w:val="00A6144C"/>
    <w:rsid w:val="00A63BEF"/>
    <w:rsid w:val="00A66617"/>
    <w:rsid w:val="00A66B64"/>
    <w:rsid w:val="00A671F8"/>
    <w:rsid w:val="00A673A4"/>
    <w:rsid w:val="00A724AE"/>
    <w:rsid w:val="00A73329"/>
    <w:rsid w:val="00A738E2"/>
    <w:rsid w:val="00A73EF1"/>
    <w:rsid w:val="00A817F1"/>
    <w:rsid w:val="00A82359"/>
    <w:rsid w:val="00A8253A"/>
    <w:rsid w:val="00A8282C"/>
    <w:rsid w:val="00A83A26"/>
    <w:rsid w:val="00A859CA"/>
    <w:rsid w:val="00A865D2"/>
    <w:rsid w:val="00A87C9D"/>
    <w:rsid w:val="00A911E2"/>
    <w:rsid w:val="00A91662"/>
    <w:rsid w:val="00A94C20"/>
    <w:rsid w:val="00A94CDF"/>
    <w:rsid w:val="00A94F7A"/>
    <w:rsid w:val="00A9534D"/>
    <w:rsid w:val="00A96242"/>
    <w:rsid w:val="00A96728"/>
    <w:rsid w:val="00A96ED6"/>
    <w:rsid w:val="00A97CEA"/>
    <w:rsid w:val="00A97D57"/>
    <w:rsid w:val="00A97F8A"/>
    <w:rsid w:val="00AA0CC2"/>
    <w:rsid w:val="00AA227F"/>
    <w:rsid w:val="00AA3BC7"/>
    <w:rsid w:val="00AA405A"/>
    <w:rsid w:val="00AA754A"/>
    <w:rsid w:val="00AB099E"/>
    <w:rsid w:val="00AB3111"/>
    <w:rsid w:val="00AB39C4"/>
    <w:rsid w:val="00AB42F4"/>
    <w:rsid w:val="00AB4328"/>
    <w:rsid w:val="00AB5FA0"/>
    <w:rsid w:val="00AC1D5E"/>
    <w:rsid w:val="00AC6E07"/>
    <w:rsid w:val="00AC76C6"/>
    <w:rsid w:val="00AD32F7"/>
    <w:rsid w:val="00AD381B"/>
    <w:rsid w:val="00AD5044"/>
    <w:rsid w:val="00AD7ADB"/>
    <w:rsid w:val="00AD7FD2"/>
    <w:rsid w:val="00AE0A2E"/>
    <w:rsid w:val="00AE354C"/>
    <w:rsid w:val="00AE4E39"/>
    <w:rsid w:val="00AF1C45"/>
    <w:rsid w:val="00AF1CE4"/>
    <w:rsid w:val="00AF3120"/>
    <w:rsid w:val="00AF4B07"/>
    <w:rsid w:val="00AF5154"/>
    <w:rsid w:val="00AF597B"/>
    <w:rsid w:val="00AF5ED8"/>
    <w:rsid w:val="00AF6186"/>
    <w:rsid w:val="00AF7570"/>
    <w:rsid w:val="00AF7A3A"/>
    <w:rsid w:val="00B01B67"/>
    <w:rsid w:val="00B062A5"/>
    <w:rsid w:val="00B0640B"/>
    <w:rsid w:val="00B07389"/>
    <w:rsid w:val="00B12AA6"/>
    <w:rsid w:val="00B14326"/>
    <w:rsid w:val="00B14E26"/>
    <w:rsid w:val="00B14E5A"/>
    <w:rsid w:val="00B160DB"/>
    <w:rsid w:val="00B1789C"/>
    <w:rsid w:val="00B20836"/>
    <w:rsid w:val="00B23386"/>
    <w:rsid w:val="00B233B9"/>
    <w:rsid w:val="00B235BB"/>
    <w:rsid w:val="00B24DEF"/>
    <w:rsid w:val="00B2572A"/>
    <w:rsid w:val="00B27A44"/>
    <w:rsid w:val="00B3060D"/>
    <w:rsid w:val="00B30BBF"/>
    <w:rsid w:val="00B3143C"/>
    <w:rsid w:val="00B31E8A"/>
    <w:rsid w:val="00B33C03"/>
    <w:rsid w:val="00B33CA1"/>
    <w:rsid w:val="00B37890"/>
    <w:rsid w:val="00B4252D"/>
    <w:rsid w:val="00B44E56"/>
    <w:rsid w:val="00B46543"/>
    <w:rsid w:val="00B47314"/>
    <w:rsid w:val="00B47D33"/>
    <w:rsid w:val="00B52BE0"/>
    <w:rsid w:val="00B53DD6"/>
    <w:rsid w:val="00B54133"/>
    <w:rsid w:val="00B57A48"/>
    <w:rsid w:val="00B61203"/>
    <w:rsid w:val="00B637B9"/>
    <w:rsid w:val="00B701ED"/>
    <w:rsid w:val="00B7241C"/>
    <w:rsid w:val="00B73D1E"/>
    <w:rsid w:val="00B75826"/>
    <w:rsid w:val="00B8086C"/>
    <w:rsid w:val="00B80989"/>
    <w:rsid w:val="00B82869"/>
    <w:rsid w:val="00B841FD"/>
    <w:rsid w:val="00B861B4"/>
    <w:rsid w:val="00B86DFE"/>
    <w:rsid w:val="00B8710D"/>
    <w:rsid w:val="00B90990"/>
    <w:rsid w:val="00B9123D"/>
    <w:rsid w:val="00B92238"/>
    <w:rsid w:val="00B922FF"/>
    <w:rsid w:val="00B925BE"/>
    <w:rsid w:val="00B9281E"/>
    <w:rsid w:val="00B930A2"/>
    <w:rsid w:val="00B93543"/>
    <w:rsid w:val="00B93660"/>
    <w:rsid w:val="00B93828"/>
    <w:rsid w:val="00B93925"/>
    <w:rsid w:val="00B95187"/>
    <w:rsid w:val="00B9625E"/>
    <w:rsid w:val="00BA0F90"/>
    <w:rsid w:val="00BA2BCF"/>
    <w:rsid w:val="00BA2D55"/>
    <w:rsid w:val="00BA515B"/>
    <w:rsid w:val="00BA71B1"/>
    <w:rsid w:val="00BA7235"/>
    <w:rsid w:val="00BA769A"/>
    <w:rsid w:val="00BB0637"/>
    <w:rsid w:val="00BB0AFF"/>
    <w:rsid w:val="00BB0CA6"/>
    <w:rsid w:val="00BB190D"/>
    <w:rsid w:val="00BB1F17"/>
    <w:rsid w:val="00BB345F"/>
    <w:rsid w:val="00BB371B"/>
    <w:rsid w:val="00BB5883"/>
    <w:rsid w:val="00BB5A69"/>
    <w:rsid w:val="00BB68EA"/>
    <w:rsid w:val="00BC0563"/>
    <w:rsid w:val="00BC1C27"/>
    <w:rsid w:val="00BC6BBF"/>
    <w:rsid w:val="00BD0D8C"/>
    <w:rsid w:val="00BD1572"/>
    <w:rsid w:val="00BD4667"/>
    <w:rsid w:val="00BD4DBF"/>
    <w:rsid w:val="00BD5EF1"/>
    <w:rsid w:val="00BD7C0C"/>
    <w:rsid w:val="00BE0B86"/>
    <w:rsid w:val="00BE1358"/>
    <w:rsid w:val="00BE14E3"/>
    <w:rsid w:val="00BE3774"/>
    <w:rsid w:val="00BE41E5"/>
    <w:rsid w:val="00BE613B"/>
    <w:rsid w:val="00BE6BF2"/>
    <w:rsid w:val="00BE7094"/>
    <w:rsid w:val="00BE7139"/>
    <w:rsid w:val="00BF0041"/>
    <w:rsid w:val="00BF0BBB"/>
    <w:rsid w:val="00BF2968"/>
    <w:rsid w:val="00BF4109"/>
    <w:rsid w:val="00BF4CC3"/>
    <w:rsid w:val="00BF4F70"/>
    <w:rsid w:val="00BF747D"/>
    <w:rsid w:val="00C01009"/>
    <w:rsid w:val="00C03E18"/>
    <w:rsid w:val="00C054C7"/>
    <w:rsid w:val="00C0571D"/>
    <w:rsid w:val="00C057B5"/>
    <w:rsid w:val="00C10128"/>
    <w:rsid w:val="00C142DD"/>
    <w:rsid w:val="00C14994"/>
    <w:rsid w:val="00C163EC"/>
    <w:rsid w:val="00C200E5"/>
    <w:rsid w:val="00C20FC0"/>
    <w:rsid w:val="00C21A7E"/>
    <w:rsid w:val="00C22687"/>
    <w:rsid w:val="00C2454C"/>
    <w:rsid w:val="00C266E1"/>
    <w:rsid w:val="00C27A97"/>
    <w:rsid w:val="00C31135"/>
    <w:rsid w:val="00C32867"/>
    <w:rsid w:val="00C3290E"/>
    <w:rsid w:val="00C32E4D"/>
    <w:rsid w:val="00C33309"/>
    <w:rsid w:val="00C33341"/>
    <w:rsid w:val="00C333A0"/>
    <w:rsid w:val="00C360A0"/>
    <w:rsid w:val="00C364A9"/>
    <w:rsid w:val="00C36A81"/>
    <w:rsid w:val="00C413DF"/>
    <w:rsid w:val="00C415DF"/>
    <w:rsid w:val="00C41974"/>
    <w:rsid w:val="00C42E30"/>
    <w:rsid w:val="00C43A60"/>
    <w:rsid w:val="00C447AD"/>
    <w:rsid w:val="00C44EEA"/>
    <w:rsid w:val="00C51D5A"/>
    <w:rsid w:val="00C52156"/>
    <w:rsid w:val="00C5346D"/>
    <w:rsid w:val="00C53F4A"/>
    <w:rsid w:val="00C54125"/>
    <w:rsid w:val="00C5538D"/>
    <w:rsid w:val="00C55B54"/>
    <w:rsid w:val="00C56890"/>
    <w:rsid w:val="00C6098E"/>
    <w:rsid w:val="00C6152C"/>
    <w:rsid w:val="00C61F27"/>
    <w:rsid w:val="00C621C2"/>
    <w:rsid w:val="00C62AC1"/>
    <w:rsid w:val="00C652E5"/>
    <w:rsid w:val="00C65466"/>
    <w:rsid w:val="00C66419"/>
    <w:rsid w:val="00C7405B"/>
    <w:rsid w:val="00C74810"/>
    <w:rsid w:val="00C74CFA"/>
    <w:rsid w:val="00C763B5"/>
    <w:rsid w:val="00C77924"/>
    <w:rsid w:val="00C80944"/>
    <w:rsid w:val="00C823C8"/>
    <w:rsid w:val="00C87BFB"/>
    <w:rsid w:val="00C90D68"/>
    <w:rsid w:val="00C93433"/>
    <w:rsid w:val="00C939FE"/>
    <w:rsid w:val="00C97EA6"/>
    <w:rsid w:val="00CA0DF7"/>
    <w:rsid w:val="00CA1444"/>
    <w:rsid w:val="00CA346D"/>
    <w:rsid w:val="00CA359A"/>
    <w:rsid w:val="00CA4BDA"/>
    <w:rsid w:val="00CB1F66"/>
    <w:rsid w:val="00CB23C6"/>
    <w:rsid w:val="00CB2951"/>
    <w:rsid w:val="00CB40C4"/>
    <w:rsid w:val="00CC2C0E"/>
    <w:rsid w:val="00CC2E38"/>
    <w:rsid w:val="00CC39A2"/>
    <w:rsid w:val="00CC5E9C"/>
    <w:rsid w:val="00CC61B9"/>
    <w:rsid w:val="00CC7B82"/>
    <w:rsid w:val="00CD0AA5"/>
    <w:rsid w:val="00CD253E"/>
    <w:rsid w:val="00CD282B"/>
    <w:rsid w:val="00CD4483"/>
    <w:rsid w:val="00CD4C35"/>
    <w:rsid w:val="00CD567D"/>
    <w:rsid w:val="00CD65A8"/>
    <w:rsid w:val="00CD6ACE"/>
    <w:rsid w:val="00CD7369"/>
    <w:rsid w:val="00CE0B0E"/>
    <w:rsid w:val="00CE2FF6"/>
    <w:rsid w:val="00CE3423"/>
    <w:rsid w:val="00CE3831"/>
    <w:rsid w:val="00CE62C4"/>
    <w:rsid w:val="00CE72BA"/>
    <w:rsid w:val="00CF030E"/>
    <w:rsid w:val="00CF21A6"/>
    <w:rsid w:val="00CF2A4A"/>
    <w:rsid w:val="00CF379E"/>
    <w:rsid w:val="00CF3A9C"/>
    <w:rsid w:val="00CF5594"/>
    <w:rsid w:val="00CF7F38"/>
    <w:rsid w:val="00D00ABB"/>
    <w:rsid w:val="00D00F4C"/>
    <w:rsid w:val="00D02904"/>
    <w:rsid w:val="00D02EEC"/>
    <w:rsid w:val="00D03551"/>
    <w:rsid w:val="00D055C9"/>
    <w:rsid w:val="00D06A63"/>
    <w:rsid w:val="00D07E0E"/>
    <w:rsid w:val="00D07E68"/>
    <w:rsid w:val="00D11478"/>
    <w:rsid w:val="00D1185D"/>
    <w:rsid w:val="00D13963"/>
    <w:rsid w:val="00D13E0F"/>
    <w:rsid w:val="00D15ED0"/>
    <w:rsid w:val="00D17BA4"/>
    <w:rsid w:val="00D20A1C"/>
    <w:rsid w:val="00D21B3E"/>
    <w:rsid w:val="00D21FED"/>
    <w:rsid w:val="00D2363F"/>
    <w:rsid w:val="00D24251"/>
    <w:rsid w:val="00D24577"/>
    <w:rsid w:val="00D26FA6"/>
    <w:rsid w:val="00D27068"/>
    <w:rsid w:val="00D27358"/>
    <w:rsid w:val="00D27B98"/>
    <w:rsid w:val="00D31502"/>
    <w:rsid w:val="00D32ABE"/>
    <w:rsid w:val="00D34398"/>
    <w:rsid w:val="00D343E2"/>
    <w:rsid w:val="00D361A2"/>
    <w:rsid w:val="00D3682E"/>
    <w:rsid w:val="00D40372"/>
    <w:rsid w:val="00D41E24"/>
    <w:rsid w:val="00D443FE"/>
    <w:rsid w:val="00D44B84"/>
    <w:rsid w:val="00D44C2E"/>
    <w:rsid w:val="00D44F87"/>
    <w:rsid w:val="00D45414"/>
    <w:rsid w:val="00D521BD"/>
    <w:rsid w:val="00D53C0F"/>
    <w:rsid w:val="00D566BD"/>
    <w:rsid w:val="00D57A4D"/>
    <w:rsid w:val="00D60AA7"/>
    <w:rsid w:val="00D60D87"/>
    <w:rsid w:val="00D61859"/>
    <w:rsid w:val="00D61D52"/>
    <w:rsid w:val="00D6435F"/>
    <w:rsid w:val="00D707DF"/>
    <w:rsid w:val="00D757C1"/>
    <w:rsid w:val="00D759F3"/>
    <w:rsid w:val="00D75E28"/>
    <w:rsid w:val="00D772C2"/>
    <w:rsid w:val="00D8008E"/>
    <w:rsid w:val="00D809D8"/>
    <w:rsid w:val="00D8116D"/>
    <w:rsid w:val="00D81288"/>
    <w:rsid w:val="00D822ED"/>
    <w:rsid w:val="00D82C45"/>
    <w:rsid w:val="00D82CB5"/>
    <w:rsid w:val="00D8440B"/>
    <w:rsid w:val="00D847F2"/>
    <w:rsid w:val="00D84E6F"/>
    <w:rsid w:val="00D8679D"/>
    <w:rsid w:val="00D8769E"/>
    <w:rsid w:val="00D908A8"/>
    <w:rsid w:val="00D9269D"/>
    <w:rsid w:val="00D93DDD"/>
    <w:rsid w:val="00D95477"/>
    <w:rsid w:val="00D95689"/>
    <w:rsid w:val="00D970F3"/>
    <w:rsid w:val="00D977B6"/>
    <w:rsid w:val="00D97C3E"/>
    <w:rsid w:val="00DA077D"/>
    <w:rsid w:val="00DA2C01"/>
    <w:rsid w:val="00DA445B"/>
    <w:rsid w:val="00DA4746"/>
    <w:rsid w:val="00DA4855"/>
    <w:rsid w:val="00DA4A31"/>
    <w:rsid w:val="00DA5CD1"/>
    <w:rsid w:val="00DA5F97"/>
    <w:rsid w:val="00DA6A1F"/>
    <w:rsid w:val="00DA6A72"/>
    <w:rsid w:val="00DA7B04"/>
    <w:rsid w:val="00DB0900"/>
    <w:rsid w:val="00DB23FC"/>
    <w:rsid w:val="00DB36C2"/>
    <w:rsid w:val="00DB7196"/>
    <w:rsid w:val="00DB7CF5"/>
    <w:rsid w:val="00DC1684"/>
    <w:rsid w:val="00DC169B"/>
    <w:rsid w:val="00DC1EAB"/>
    <w:rsid w:val="00DC2AB9"/>
    <w:rsid w:val="00DC38E8"/>
    <w:rsid w:val="00DC6174"/>
    <w:rsid w:val="00DC63F0"/>
    <w:rsid w:val="00DC6992"/>
    <w:rsid w:val="00DD4480"/>
    <w:rsid w:val="00DD522F"/>
    <w:rsid w:val="00DD55AE"/>
    <w:rsid w:val="00DD6D4E"/>
    <w:rsid w:val="00DD6EE5"/>
    <w:rsid w:val="00DE2B3A"/>
    <w:rsid w:val="00DE35CD"/>
    <w:rsid w:val="00DE386C"/>
    <w:rsid w:val="00DE3FCB"/>
    <w:rsid w:val="00DE4D35"/>
    <w:rsid w:val="00DE4E14"/>
    <w:rsid w:val="00DE5DFD"/>
    <w:rsid w:val="00DE7919"/>
    <w:rsid w:val="00DF0549"/>
    <w:rsid w:val="00DF098B"/>
    <w:rsid w:val="00DF11C4"/>
    <w:rsid w:val="00DF210C"/>
    <w:rsid w:val="00DF2CF8"/>
    <w:rsid w:val="00DF405E"/>
    <w:rsid w:val="00DF4B6A"/>
    <w:rsid w:val="00DF570C"/>
    <w:rsid w:val="00DF61C2"/>
    <w:rsid w:val="00DF786D"/>
    <w:rsid w:val="00DF7C30"/>
    <w:rsid w:val="00E008AE"/>
    <w:rsid w:val="00E0105A"/>
    <w:rsid w:val="00E01A5D"/>
    <w:rsid w:val="00E023B4"/>
    <w:rsid w:val="00E02C09"/>
    <w:rsid w:val="00E04992"/>
    <w:rsid w:val="00E04AE9"/>
    <w:rsid w:val="00E04D59"/>
    <w:rsid w:val="00E05C1D"/>
    <w:rsid w:val="00E07238"/>
    <w:rsid w:val="00E07DA1"/>
    <w:rsid w:val="00E123CB"/>
    <w:rsid w:val="00E13DBB"/>
    <w:rsid w:val="00E14CAB"/>
    <w:rsid w:val="00E1557C"/>
    <w:rsid w:val="00E15C53"/>
    <w:rsid w:val="00E20E13"/>
    <w:rsid w:val="00E2115D"/>
    <w:rsid w:val="00E21476"/>
    <w:rsid w:val="00E21A7A"/>
    <w:rsid w:val="00E21DBC"/>
    <w:rsid w:val="00E22E24"/>
    <w:rsid w:val="00E22F77"/>
    <w:rsid w:val="00E230AF"/>
    <w:rsid w:val="00E24A86"/>
    <w:rsid w:val="00E257D8"/>
    <w:rsid w:val="00E275D7"/>
    <w:rsid w:val="00E27DBE"/>
    <w:rsid w:val="00E27F2C"/>
    <w:rsid w:val="00E306F4"/>
    <w:rsid w:val="00E318E7"/>
    <w:rsid w:val="00E32AB1"/>
    <w:rsid w:val="00E34BE8"/>
    <w:rsid w:val="00E36C71"/>
    <w:rsid w:val="00E40404"/>
    <w:rsid w:val="00E4289D"/>
    <w:rsid w:val="00E44259"/>
    <w:rsid w:val="00E44855"/>
    <w:rsid w:val="00E4534E"/>
    <w:rsid w:val="00E459C6"/>
    <w:rsid w:val="00E46926"/>
    <w:rsid w:val="00E47589"/>
    <w:rsid w:val="00E50ADA"/>
    <w:rsid w:val="00E5537C"/>
    <w:rsid w:val="00E5697B"/>
    <w:rsid w:val="00E56BC4"/>
    <w:rsid w:val="00E56C4E"/>
    <w:rsid w:val="00E60E29"/>
    <w:rsid w:val="00E62C61"/>
    <w:rsid w:val="00E6424A"/>
    <w:rsid w:val="00E64915"/>
    <w:rsid w:val="00E661D4"/>
    <w:rsid w:val="00E671F7"/>
    <w:rsid w:val="00E70091"/>
    <w:rsid w:val="00E700AD"/>
    <w:rsid w:val="00E700AF"/>
    <w:rsid w:val="00E70D4A"/>
    <w:rsid w:val="00E71ADD"/>
    <w:rsid w:val="00E720F5"/>
    <w:rsid w:val="00E755E0"/>
    <w:rsid w:val="00E76412"/>
    <w:rsid w:val="00E76D47"/>
    <w:rsid w:val="00E76F87"/>
    <w:rsid w:val="00E80B20"/>
    <w:rsid w:val="00E81E80"/>
    <w:rsid w:val="00E82038"/>
    <w:rsid w:val="00E82B3E"/>
    <w:rsid w:val="00E82E7C"/>
    <w:rsid w:val="00E83631"/>
    <w:rsid w:val="00E83AF8"/>
    <w:rsid w:val="00E849F7"/>
    <w:rsid w:val="00E90302"/>
    <w:rsid w:val="00E93B68"/>
    <w:rsid w:val="00E9597F"/>
    <w:rsid w:val="00E966BE"/>
    <w:rsid w:val="00E97396"/>
    <w:rsid w:val="00EA141F"/>
    <w:rsid w:val="00EA185E"/>
    <w:rsid w:val="00EA31AC"/>
    <w:rsid w:val="00EA4BAD"/>
    <w:rsid w:val="00EA592A"/>
    <w:rsid w:val="00EB14E4"/>
    <w:rsid w:val="00EB17FD"/>
    <w:rsid w:val="00EB32A5"/>
    <w:rsid w:val="00EB34ED"/>
    <w:rsid w:val="00EB49B6"/>
    <w:rsid w:val="00EB7BE0"/>
    <w:rsid w:val="00EC07BD"/>
    <w:rsid w:val="00EC23CA"/>
    <w:rsid w:val="00EC2D5F"/>
    <w:rsid w:val="00EC315E"/>
    <w:rsid w:val="00EC48F5"/>
    <w:rsid w:val="00EC74D1"/>
    <w:rsid w:val="00ED077C"/>
    <w:rsid w:val="00ED09D1"/>
    <w:rsid w:val="00ED1190"/>
    <w:rsid w:val="00ED147B"/>
    <w:rsid w:val="00ED216E"/>
    <w:rsid w:val="00ED22A7"/>
    <w:rsid w:val="00ED2FB7"/>
    <w:rsid w:val="00ED422E"/>
    <w:rsid w:val="00ED6544"/>
    <w:rsid w:val="00ED6DA5"/>
    <w:rsid w:val="00ED7FDD"/>
    <w:rsid w:val="00EE003E"/>
    <w:rsid w:val="00EE0277"/>
    <w:rsid w:val="00EE08E5"/>
    <w:rsid w:val="00EE1DA9"/>
    <w:rsid w:val="00EE3604"/>
    <w:rsid w:val="00EE3E00"/>
    <w:rsid w:val="00EE5DD2"/>
    <w:rsid w:val="00EF030C"/>
    <w:rsid w:val="00EF10E0"/>
    <w:rsid w:val="00EF278D"/>
    <w:rsid w:val="00EF3E91"/>
    <w:rsid w:val="00EF41F1"/>
    <w:rsid w:val="00EF4F08"/>
    <w:rsid w:val="00EF6012"/>
    <w:rsid w:val="00EF6FC9"/>
    <w:rsid w:val="00EF7692"/>
    <w:rsid w:val="00F00317"/>
    <w:rsid w:val="00F00A79"/>
    <w:rsid w:val="00F00E86"/>
    <w:rsid w:val="00F011EB"/>
    <w:rsid w:val="00F024CE"/>
    <w:rsid w:val="00F03917"/>
    <w:rsid w:val="00F04A93"/>
    <w:rsid w:val="00F06C87"/>
    <w:rsid w:val="00F07C1E"/>
    <w:rsid w:val="00F105DB"/>
    <w:rsid w:val="00F1075F"/>
    <w:rsid w:val="00F132BC"/>
    <w:rsid w:val="00F13D80"/>
    <w:rsid w:val="00F15419"/>
    <w:rsid w:val="00F15A73"/>
    <w:rsid w:val="00F165C3"/>
    <w:rsid w:val="00F16AAA"/>
    <w:rsid w:val="00F21161"/>
    <w:rsid w:val="00F218EF"/>
    <w:rsid w:val="00F21BC7"/>
    <w:rsid w:val="00F2294C"/>
    <w:rsid w:val="00F22B11"/>
    <w:rsid w:val="00F266A2"/>
    <w:rsid w:val="00F32269"/>
    <w:rsid w:val="00F3251E"/>
    <w:rsid w:val="00F32AC8"/>
    <w:rsid w:val="00F33392"/>
    <w:rsid w:val="00F33A6F"/>
    <w:rsid w:val="00F359EC"/>
    <w:rsid w:val="00F378A9"/>
    <w:rsid w:val="00F427F7"/>
    <w:rsid w:val="00F43C50"/>
    <w:rsid w:val="00F4457E"/>
    <w:rsid w:val="00F44957"/>
    <w:rsid w:val="00F46389"/>
    <w:rsid w:val="00F470C2"/>
    <w:rsid w:val="00F4730E"/>
    <w:rsid w:val="00F53D19"/>
    <w:rsid w:val="00F56414"/>
    <w:rsid w:val="00F56A6F"/>
    <w:rsid w:val="00F5709C"/>
    <w:rsid w:val="00F57FA8"/>
    <w:rsid w:val="00F6002B"/>
    <w:rsid w:val="00F64495"/>
    <w:rsid w:val="00F64EF1"/>
    <w:rsid w:val="00F66707"/>
    <w:rsid w:val="00F67210"/>
    <w:rsid w:val="00F67280"/>
    <w:rsid w:val="00F67B98"/>
    <w:rsid w:val="00F70DC0"/>
    <w:rsid w:val="00F73C71"/>
    <w:rsid w:val="00F75327"/>
    <w:rsid w:val="00F753E4"/>
    <w:rsid w:val="00F75C97"/>
    <w:rsid w:val="00F76057"/>
    <w:rsid w:val="00F7664C"/>
    <w:rsid w:val="00F80174"/>
    <w:rsid w:val="00F8161E"/>
    <w:rsid w:val="00F86685"/>
    <w:rsid w:val="00F8765F"/>
    <w:rsid w:val="00F90767"/>
    <w:rsid w:val="00F94E8E"/>
    <w:rsid w:val="00F962BF"/>
    <w:rsid w:val="00F963C2"/>
    <w:rsid w:val="00F96869"/>
    <w:rsid w:val="00F97019"/>
    <w:rsid w:val="00F972D3"/>
    <w:rsid w:val="00F97401"/>
    <w:rsid w:val="00F97505"/>
    <w:rsid w:val="00FA260E"/>
    <w:rsid w:val="00FA685B"/>
    <w:rsid w:val="00FB00E1"/>
    <w:rsid w:val="00FB0C01"/>
    <w:rsid w:val="00FB37C2"/>
    <w:rsid w:val="00FB3FEF"/>
    <w:rsid w:val="00FB6E26"/>
    <w:rsid w:val="00FB74EC"/>
    <w:rsid w:val="00FB7E76"/>
    <w:rsid w:val="00FC00E0"/>
    <w:rsid w:val="00FC18F2"/>
    <w:rsid w:val="00FC39E5"/>
    <w:rsid w:val="00FC3A78"/>
    <w:rsid w:val="00FC552C"/>
    <w:rsid w:val="00FC56CD"/>
    <w:rsid w:val="00FC5FFE"/>
    <w:rsid w:val="00FC6DFC"/>
    <w:rsid w:val="00FD00F0"/>
    <w:rsid w:val="00FD0993"/>
    <w:rsid w:val="00FD1005"/>
    <w:rsid w:val="00FD190D"/>
    <w:rsid w:val="00FD1921"/>
    <w:rsid w:val="00FD1AB8"/>
    <w:rsid w:val="00FD3180"/>
    <w:rsid w:val="00FD3BC0"/>
    <w:rsid w:val="00FD4C0E"/>
    <w:rsid w:val="00FD5A94"/>
    <w:rsid w:val="00FD6C75"/>
    <w:rsid w:val="00FE2121"/>
    <w:rsid w:val="00FE50D8"/>
    <w:rsid w:val="00FE549E"/>
    <w:rsid w:val="00FE71B3"/>
    <w:rsid w:val="00FE7878"/>
    <w:rsid w:val="00FF0F2C"/>
    <w:rsid w:val="00FF42C5"/>
    <w:rsid w:val="00FF5141"/>
    <w:rsid w:val="00FF5DA0"/>
    <w:rsid w:val="00FF6380"/>
    <w:rsid w:val="00FF7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lang w:val="pl-PL"/>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A96ED6"/>
    <w:pPr>
      <w:spacing w:before="120" w:after="120"/>
      <w:ind w:left="425" w:firstLine="142"/>
    </w:pPr>
    <w:rPr>
      <w:sz w:val="20"/>
    </w:rPr>
  </w:style>
  <w:style w:type="paragraph" w:customStyle="1" w:styleId="ECHRPara">
    <w:name w:val="ECHR_Para"/>
    <w:aliases w:val="Ju_Para,Left,First line:  0 cm,Para,N_Para"/>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aliases w:val="ECHR_Para Char"/>
    <w:link w:val="ECHRPara"/>
    <w:uiPriority w:val="12"/>
    <w:rsid w:val="006A3444"/>
    <w:rPr>
      <w:rFonts w:eastAsiaTheme="minorEastAsia"/>
      <w:sz w:val="24"/>
    </w:rPr>
  </w:style>
  <w:style w:type="character" w:customStyle="1" w:styleId="JuParaCar">
    <w:name w:val="Ju_Para Car"/>
    <w:uiPriority w:val="12"/>
    <w:rsid w:val="005E79DE"/>
    <w:rPr>
      <w:rFonts w:eastAsiaTheme="minorEastAsia"/>
      <w:sz w:val="24"/>
    </w:rPr>
  </w:style>
  <w:style w:type="paragraph" w:styleId="Poprawka">
    <w:name w:val="Revision"/>
    <w:hidden/>
    <w:uiPriority w:val="99"/>
    <w:semiHidden/>
    <w:rsid w:val="00E24A86"/>
    <w:rPr>
      <w:rFonts w:eastAsiaTheme="minorEastAsia"/>
      <w:sz w:val="24"/>
    </w:rPr>
  </w:style>
  <w:style w:type="paragraph" w:customStyle="1" w:styleId="jupara">
    <w:name w:val="jupara"/>
    <w:basedOn w:val="Normalny"/>
    <w:rsid w:val="00B306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3060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lang w:val="pl-PL"/>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A96ED6"/>
    <w:pPr>
      <w:spacing w:before="120" w:after="120"/>
      <w:ind w:left="425" w:firstLine="142"/>
    </w:pPr>
    <w:rPr>
      <w:sz w:val="20"/>
    </w:rPr>
  </w:style>
  <w:style w:type="paragraph" w:customStyle="1" w:styleId="ECHRPara">
    <w:name w:val="ECHR_Para"/>
    <w:aliases w:val="Ju_Para,Left,First line:  0 cm,Para,N_Para"/>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aliases w:val="ECHR_Para Char"/>
    <w:link w:val="ECHRPara"/>
    <w:uiPriority w:val="12"/>
    <w:rsid w:val="006A3444"/>
    <w:rPr>
      <w:rFonts w:eastAsiaTheme="minorEastAsia"/>
      <w:sz w:val="24"/>
    </w:rPr>
  </w:style>
  <w:style w:type="character" w:customStyle="1" w:styleId="JuParaCar">
    <w:name w:val="Ju_Para Car"/>
    <w:uiPriority w:val="12"/>
    <w:rsid w:val="005E79DE"/>
    <w:rPr>
      <w:rFonts w:eastAsiaTheme="minorEastAsia"/>
      <w:sz w:val="24"/>
    </w:rPr>
  </w:style>
  <w:style w:type="paragraph" w:styleId="Poprawka">
    <w:name w:val="Revision"/>
    <w:hidden/>
    <w:uiPriority w:val="99"/>
    <w:semiHidden/>
    <w:rsid w:val="00E24A86"/>
    <w:rPr>
      <w:rFonts w:eastAsiaTheme="minorEastAsia"/>
      <w:sz w:val="24"/>
    </w:rPr>
  </w:style>
  <w:style w:type="paragraph" w:customStyle="1" w:styleId="jupara">
    <w:name w:val="jupara"/>
    <w:basedOn w:val="Normalny"/>
    <w:rsid w:val="00B306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3060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48902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1DBE8-065E-456C-BE89-EE6223487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13307A5-A699-4FE3-AC5F-58963D630068}">
  <ds:schemaRefs>
    <ds:schemaRef ds:uri="http://schemas.microsoft.com/sharepoint/v3/contenttype/forms"/>
  </ds:schemaRefs>
</ds:datastoreItem>
</file>

<file path=customXml/itemProps3.xml><?xml version="1.0" encoding="utf-8"?>
<ds:datastoreItem xmlns:ds="http://schemas.openxmlformats.org/officeDocument/2006/customXml" ds:itemID="{6CAB6E13-36CE-463A-87FA-53C3174DE26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522CCE-5C33-4791-A6A7-423A38ED2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16028</Words>
  <Characters>96173</Characters>
  <Application>Microsoft Office Word</Application>
  <DocSecurity>0</DocSecurity>
  <Lines>801</Lines>
  <Paragraphs>223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111978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2018-02-02T14:33:00Z</dcterms:created>
  <dcterms:modified xsi:type="dcterms:W3CDTF">2018-02-02T14:33:00Z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