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880065" w:rsidRDefault="00014566" w:rsidP="00880065">
      <w:pPr>
        <w:pStyle w:val="ECHRDecisionBody"/>
        <w:rPr>
          <w:lang w:val="en-GB"/>
        </w:rPr>
      </w:pPr>
      <w:bookmarkStart w:id="0" w:name="_GoBack"/>
      <w:bookmarkEnd w:id="0"/>
    </w:p>
    <w:p w:rsidR="001404BA" w:rsidRPr="00880065" w:rsidRDefault="001404BA" w:rsidP="00880065">
      <w:pPr>
        <w:pStyle w:val="ECHRDecisionBody"/>
        <w:rPr>
          <w:lang w:val="en-GB"/>
        </w:rPr>
      </w:pPr>
    </w:p>
    <w:p w:rsidR="001404BA" w:rsidRPr="00880065" w:rsidRDefault="001404BA" w:rsidP="00880065">
      <w:pPr>
        <w:pStyle w:val="ECHRDecisionBody"/>
        <w:rPr>
          <w:lang w:val="en-GB"/>
        </w:rPr>
      </w:pPr>
    </w:p>
    <w:p w:rsidR="00014566" w:rsidRPr="00880065" w:rsidRDefault="001404BA" w:rsidP="00880065">
      <w:pPr>
        <w:jc w:val="center"/>
        <w:rPr>
          <w:lang w:val="en-GB"/>
        </w:rPr>
      </w:pPr>
      <w:r w:rsidRPr="00880065">
        <w:rPr>
          <w:lang w:val="en-GB"/>
        </w:rPr>
        <w:t>SECOND SECTION</w:t>
      </w:r>
    </w:p>
    <w:p w:rsidR="00014566" w:rsidRPr="00880065" w:rsidRDefault="00014566" w:rsidP="00880065">
      <w:pPr>
        <w:jc w:val="center"/>
        <w:rPr>
          <w:lang w:val="en-GB"/>
        </w:rPr>
      </w:pPr>
    </w:p>
    <w:p w:rsidR="001404BA" w:rsidRPr="00880065" w:rsidRDefault="001404BA" w:rsidP="00880065">
      <w:pPr>
        <w:jc w:val="center"/>
        <w:rPr>
          <w:lang w:val="en-GB"/>
        </w:rPr>
      </w:pPr>
    </w:p>
    <w:p w:rsidR="001404BA" w:rsidRPr="00880065" w:rsidRDefault="001404BA" w:rsidP="00880065">
      <w:pPr>
        <w:jc w:val="center"/>
        <w:rPr>
          <w:lang w:val="en-GB"/>
        </w:rPr>
      </w:pPr>
    </w:p>
    <w:p w:rsidR="001404BA" w:rsidRPr="00880065" w:rsidRDefault="001404BA" w:rsidP="00880065">
      <w:pPr>
        <w:jc w:val="center"/>
        <w:rPr>
          <w:lang w:val="en-GB"/>
        </w:rPr>
      </w:pPr>
    </w:p>
    <w:p w:rsidR="001404BA" w:rsidRPr="00880065" w:rsidRDefault="001404BA" w:rsidP="00880065">
      <w:pPr>
        <w:jc w:val="center"/>
        <w:rPr>
          <w:lang w:val="en-GB"/>
        </w:rPr>
      </w:pPr>
    </w:p>
    <w:p w:rsidR="001404BA" w:rsidRPr="00880065" w:rsidRDefault="001404BA" w:rsidP="00880065">
      <w:pPr>
        <w:jc w:val="center"/>
        <w:rPr>
          <w:lang w:val="en-GB"/>
        </w:rPr>
      </w:pPr>
    </w:p>
    <w:p w:rsidR="00014566" w:rsidRPr="00880065" w:rsidRDefault="00014566" w:rsidP="00880065">
      <w:pPr>
        <w:jc w:val="center"/>
        <w:rPr>
          <w:b/>
          <w:lang w:val="en-GB"/>
        </w:rPr>
      </w:pPr>
      <w:bookmarkStart w:id="1" w:name="To"/>
      <w:r w:rsidRPr="00880065">
        <w:rPr>
          <w:b/>
          <w:lang w:val="en-GB"/>
        </w:rPr>
        <w:t xml:space="preserve">CASE OF </w:t>
      </w:r>
      <w:bookmarkEnd w:id="1"/>
      <w:r w:rsidR="001404BA" w:rsidRPr="00880065">
        <w:rPr>
          <w:b/>
          <w:lang w:val="en-GB"/>
        </w:rPr>
        <w:t>CENGİZ AND OTHERS v. TURKEY</w:t>
      </w:r>
    </w:p>
    <w:p w:rsidR="00014566" w:rsidRPr="00880065" w:rsidRDefault="00014566" w:rsidP="00880065">
      <w:pPr>
        <w:jc w:val="center"/>
        <w:rPr>
          <w:lang w:val="en-GB"/>
        </w:rPr>
      </w:pPr>
    </w:p>
    <w:p w:rsidR="00014566" w:rsidRPr="00880065" w:rsidRDefault="00014566" w:rsidP="00880065">
      <w:pPr>
        <w:jc w:val="center"/>
        <w:rPr>
          <w:i/>
          <w:lang w:val="en-GB"/>
        </w:rPr>
      </w:pPr>
      <w:r w:rsidRPr="00880065">
        <w:rPr>
          <w:i/>
          <w:lang w:val="en-GB"/>
        </w:rPr>
        <w:t>(</w:t>
      </w:r>
      <w:r w:rsidR="001404BA" w:rsidRPr="00880065">
        <w:rPr>
          <w:i/>
          <w:lang w:val="en-GB"/>
        </w:rPr>
        <w:t xml:space="preserve">Applications nos. 48226/10 and </w:t>
      </w:r>
      <w:r w:rsidR="00A86DDA" w:rsidRPr="00880065">
        <w:rPr>
          <w:i/>
          <w:lang w:val="en-GB"/>
        </w:rPr>
        <w:t>14027/11</w:t>
      </w:r>
      <w:r w:rsidRPr="00880065">
        <w:rPr>
          <w:i/>
          <w:lang w:val="en-GB"/>
        </w:rPr>
        <w:t>)</w:t>
      </w:r>
    </w:p>
    <w:p w:rsidR="00014566" w:rsidRPr="00880065" w:rsidRDefault="00014566" w:rsidP="00880065">
      <w:pPr>
        <w:jc w:val="center"/>
        <w:rPr>
          <w:lang w:val="en-GB"/>
        </w:rPr>
      </w:pPr>
    </w:p>
    <w:p w:rsidR="00014566" w:rsidRPr="00880065" w:rsidRDefault="0000423E" w:rsidP="00880065">
      <w:pPr>
        <w:jc w:val="center"/>
        <w:rPr>
          <w:lang w:val="en-GB"/>
        </w:rPr>
      </w:pPr>
      <w:r w:rsidRPr="00880065">
        <w:rPr>
          <w:i/>
          <w:lang w:val="en-GB"/>
        </w:rPr>
        <w:t>This version was rectified in accordance with Rule 81 of the Rules of Court on 10 May 2011</w:t>
      </w:r>
    </w:p>
    <w:p w:rsidR="00014566" w:rsidRPr="00880065" w:rsidRDefault="00014566" w:rsidP="00880065">
      <w:pPr>
        <w:jc w:val="center"/>
        <w:rPr>
          <w:lang w:val="en-GB"/>
        </w:rPr>
      </w:pPr>
    </w:p>
    <w:p w:rsidR="00014566" w:rsidRPr="00880065" w:rsidRDefault="00014566" w:rsidP="00880065">
      <w:pPr>
        <w:jc w:val="center"/>
        <w:rPr>
          <w:lang w:val="en-GB"/>
        </w:rPr>
      </w:pPr>
    </w:p>
    <w:p w:rsidR="00014566" w:rsidRPr="00880065" w:rsidRDefault="00014566" w:rsidP="00880065">
      <w:pPr>
        <w:jc w:val="center"/>
        <w:rPr>
          <w:lang w:val="en-GB"/>
        </w:rPr>
      </w:pPr>
    </w:p>
    <w:p w:rsidR="00014566" w:rsidRPr="00880065" w:rsidRDefault="00014566" w:rsidP="00880065">
      <w:pPr>
        <w:jc w:val="center"/>
        <w:rPr>
          <w:lang w:val="en-GB"/>
        </w:rPr>
      </w:pPr>
    </w:p>
    <w:p w:rsidR="00014566" w:rsidRPr="00880065" w:rsidRDefault="001404BA" w:rsidP="00880065">
      <w:pPr>
        <w:jc w:val="center"/>
        <w:rPr>
          <w:lang w:val="en-GB"/>
        </w:rPr>
      </w:pPr>
      <w:r w:rsidRPr="00880065">
        <w:rPr>
          <w:lang w:val="en-GB"/>
        </w:rPr>
        <w:t>JUDGMENT</w:t>
      </w:r>
    </w:p>
    <w:p w:rsidR="00014566" w:rsidRPr="00880065" w:rsidRDefault="00014566" w:rsidP="00880065">
      <w:pPr>
        <w:jc w:val="center"/>
        <w:rPr>
          <w:lang w:val="en-GB"/>
        </w:rPr>
      </w:pPr>
    </w:p>
    <w:p w:rsidR="001404BA" w:rsidRPr="00880065" w:rsidRDefault="001404BA" w:rsidP="00880065">
      <w:pPr>
        <w:jc w:val="center"/>
        <w:rPr>
          <w:b/>
          <w:lang w:val="en-GB"/>
        </w:rPr>
      </w:pPr>
    </w:p>
    <w:p w:rsidR="001404BA" w:rsidRPr="00880065" w:rsidRDefault="001404BA" w:rsidP="00880065">
      <w:pPr>
        <w:jc w:val="center"/>
        <w:rPr>
          <w:b/>
          <w:lang w:val="en-GB"/>
        </w:rPr>
      </w:pPr>
    </w:p>
    <w:p w:rsidR="001404BA" w:rsidRPr="00880065" w:rsidRDefault="001404BA" w:rsidP="00880065">
      <w:pPr>
        <w:jc w:val="center"/>
        <w:rPr>
          <w:b/>
          <w:lang w:val="en-GB"/>
        </w:rPr>
      </w:pPr>
      <w:r w:rsidRPr="00880065">
        <w:rPr>
          <w:lang w:val="en-GB"/>
        </w:rPr>
        <w:t>STRASBOURG</w:t>
      </w:r>
    </w:p>
    <w:p w:rsidR="001404BA" w:rsidRPr="00880065" w:rsidRDefault="001404BA" w:rsidP="00880065">
      <w:pPr>
        <w:jc w:val="center"/>
        <w:rPr>
          <w:b/>
          <w:lang w:val="en-GB"/>
        </w:rPr>
      </w:pPr>
    </w:p>
    <w:p w:rsidR="001404BA" w:rsidRPr="00880065" w:rsidRDefault="00A86DDA" w:rsidP="00880065">
      <w:pPr>
        <w:jc w:val="center"/>
        <w:rPr>
          <w:b/>
          <w:lang w:val="en-GB"/>
        </w:rPr>
      </w:pPr>
      <w:r w:rsidRPr="00880065">
        <w:rPr>
          <w:lang w:val="en-GB"/>
        </w:rPr>
        <w:t>1 December 2015</w:t>
      </w:r>
    </w:p>
    <w:p w:rsidR="00AA07C3" w:rsidRPr="00880065" w:rsidRDefault="00AA07C3" w:rsidP="00880065">
      <w:pPr>
        <w:jc w:val="center"/>
        <w:rPr>
          <w:lang w:val="en-GB"/>
        </w:rPr>
      </w:pPr>
    </w:p>
    <w:p w:rsidR="00AA07C3" w:rsidRPr="00880065" w:rsidRDefault="00AA07C3" w:rsidP="00880065">
      <w:pPr>
        <w:jc w:val="center"/>
        <w:rPr>
          <w:b/>
          <w:color w:val="FF0000"/>
          <w:sz w:val="28"/>
          <w:szCs w:val="28"/>
          <w:u w:val="single"/>
          <w:lang w:val="en-GB"/>
        </w:rPr>
      </w:pPr>
      <w:r w:rsidRPr="00880065">
        <w:rPr>
          <w:b/>
          <w:color w:val="FF0000"/>
          <w:sz w:val="28"/>
          <w:szCs w:val="28"/>
          <w:u w:val="single"/>
          <w:lang w:val="en-GB"/>
        </w:rPr>
        <w:t>FINAL</w:t>
      </w:r>
    </w:p>
    <w:p w:rsidR="00AA07C3" w:rsidRPr="00880065" w:rsidRDefault="00AA07C3" w:rsidP="00880065">
      <w:pPr>
        <w:jc w:val="center"/>
        <w:rPr>
          <w:color w:val="FF0000"/>
          <w:sz w:val="28"/>
          <w:szCs w:val="28"/>
          <w:lang w:val="en-GB"/>
        </w:rPr>
      </w:pPr>
    </w:p>
    <w:p w:rsidR="00AA07C3" w:rsidRPr="00880065" w:rsidRDefault="00AA07C3" w:rsidP="00880065">
      <w:pPr>
        <w:jc w:val="center"/>
        <w:rPr>
          <w:lang w:val="en-GB"/>
        </w:rPr>
      </w:pPr>
      <w:r w:rsidRPr="00880065">
        <w:rPr>
          <w:color w:val="FF0000"/>
          <w:sz w:val="28"/>
          <w:szCs w:val="28"/>
          <w:lang w:val="en-GB"/>
        </w:rPr>
        <w:t>01/03/2016</w:t>
      </w:r>
    </w:p>
    <w:p w:rsidR="00AA07C3" w:rsidRPr="00880065" w:rsidRDefault="00AA07C3" w:rsidP="00880065">
      <w:pPr>
        <w:jc w:val="center"/>
        <w:rPr>
          <w:lang w:val="en-GB"/>
        </w:rPr>
      </w:pPr>
    </w:p>
    <w:p w:rsidR="001404BA" w:rsidRPr="00880065" w:rsidRDefault="001404BA" w:rsidP="00880065">
      <w:pPr>
        <w:jc w:val="center"/>
        <w:rPr>
          <w:b/>
          <w:lang w:val="en-GB"/>
        </w:rPr>
      </w:pPr>
    </w:p>
    <w:p w:rsidR="001404BA" w:rsidRPr="00880065" w:rsidRDefault="001404BA" w:rsidP="00880065">
      <w:pPr>
        <w:jc w:val="center"/>
        <w:rPr>
          <w:b/>
          <w:i/>
          <w:sz w:val="22"/>
          <w:lang w:val="en-GB"/>
        </w:rPr>
      </w:pPr>
      <w:r w:rsidRPr="00880065">
        <w:rPr>
          <w:i/>
          <w:sz w:val="22"/>
          <w:lang w:val="en-GB"/>
        </w:rPr>
        <w:t xml:space="preserve">This judgment </w:t>
      </w:r>
      <w:r w:rsidR="0000423E" w:rsidRPr="00880065">
        <w:rPr>
          <w:i/>
          <w:sz w:val="22"/>
          <w:lang w:val="en-GB"/>
        </w:rPr>
        <w:t>has become final under Article 44 § 2 of the Convention</w:t>
      </w:r>
      <w:r w:rsidRPr="00880065">
        <w:rPr>
          <w:i/>
          <w:sz w:val="22"/>
          <w:lang w:val="en-GB"/>
        </w:rPr>
        <w:t xml:space="preserve"> final but it may be subject to editorial revision.</w:t>
      </w:r>
    </w:p>
    <w:p w:rsidR="00A86DDA" w:rsidRPr="00880065" w:rsidRDefault="00A86DDA" w:rsidP="00880065">
      <w:pPr>
        <w:pStyle w:val="ECHRPara"/>
        <w:rPr>
          <w:lang w:val="en-GB"/>
        </w:rPr>
        <w:sectPr w:rsidR="00A86DDA" w:rsidRPr="00880065" w:rsidSect="001404BA">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880065" w:rsidRDefault="00014566" w:rsidP="00880065">
      <w:pPr>
        <w:pStyle w:val="JuCase"/>
        <w:rPr>
          <w:bCs/>
          <w:lang w:val="en-GB"/>
        </w:rPr>
      </w:pPr>
      <w:r w:rsidRPr="00880065">
        <w:rPr>
          <w:lang w:val="en-GB"/>
        </w:rPr>
        <w:lastRenderedPageBreak/>
        <w:t xml:space="preserve">In the case of </w:t>
      </w:r>
      <w:r w:rsidR="001404BA" w:rsidRPr="00880065">
        <w:rPr>
          <w:lang w:val="en-GB"/>
        </w:rPr>
        <w:t>Cengiz and Others v. Turkey</w:t>
      </w:r>
      <w:r w:rsidRPr="00880065">
        <w:rPr>
          <w:lang w:val="en-GB"/>
        </w:rPr>
        <w:t>,</w:t>
      </w:r>
    </w:p>
    <w:p w:rsidR="00014566" w:rsidRPr="00880065" w:rsidRDefault="00014566" w:rsidP="00880065">
      <w:pPr>
        <w:pStyle w:val="ECHRPara"/>
        <w:rPr>
          <w:lang w:val="en-GB"/>
        </w:rPr>
      </w:pPr>
      <w:r w:rsidRPr="00880065">
        <w:rPr>
          <w:lang w:val="en-GB"/>
        </w:rPr>
        <w:t>The European Court of Human Rights (</w:t>
      </w:r>
      <w:r w:rsidR="001404BA" w:rsidRPr="00880065">
        <w:rPr>
          <w:lang w:val="en-GB"/>
        </w:rPr>
        <w:t>Second Section</w:t>
      </w:r>
      <w:r w:rsidRPr="00880065">
        <w:rPr>
          <w:lang w:val="en-GB"/>
        </w:rPr>
        <w:t xml:space="preserve">), sitting as a </w:t>
      </w:r>
      <w:r w:rsidR="001404BA" w:rsidRPr="00880065">
        <w:rPr>
          <w:lang w:val="en-GB"/>
        </w:rPr>
        <w:t>Chamber</w:t>
      </w:r>
      <w:r w:rsidRPr="00880065">
        <w:rPr>
          <w:lang w:val="en-GB"/>
        </w:rPr>
        <w:t xml:space="preserve"> composed of:</w:t>
      </w:r>
    </w:p>
    <w:p w:rsidR="00014566" w:rsidRPr="00880065" w:rsidRDefault="00A86DDA" w:rsidP="00880065">
      <w:pPr>
        <w:pStyle w:val="ECHRDecisionBody"/>
        <w:rPr>
          <w:lang w:val="en-GB"/>
        </w:rPr>
      </w:pPr>
      <w:r w:rsidRPr="00880065">
        <w:rPr>
          <w:lang w:val="en-GB"/>
        </w:rPr>
        <w:tab/>
        <w:t>Paul Lemmens,</w:t>
      </w:r>
      <w:r w:rsidRPr="00880065">
        <w:rPr>
          <w:i/>
          <w:lang w:val="en-GB"/>
        </w:rPr>
        <w:t xml:space="preserve"> President,</w:t>
      </w:r>
      <w:r w:rsidRPr="00880065">
        <w:rPr>
          <w:i/>
          <w:lang w:val="en-GB"/>
        </w:rPr>
        <w:br/>
      </w:r>
      <w:r w:rsidRPr="00880065">
        <w:rPr>
          <w:lang w:val="en-GB"/>
        </w:rPr>
        <w:tab/>
        <w:t>Işıl Karakaş,</w:t>
      </w:r>
      <w:r w:rsidRPr="00880065">
        <w:rPr>
          <w:i/>
          <w:lang w:val="en-GB"/>
        </w:rPr>
        <w:br/>
      </w:r>
      <w:r w:rsidRPr="00880065">
        <w:rPr>
          <w:lang w:val="en-GB"/>
        </w:rPr>
        <w:tab/>
        <w:t>Nebojša Vučinić,</w:t>
      </w:r>
      <w:r w:rsidRPr="00880065">
        <w:rPr>
          <w:i/>
          <w:lang w:val="en-GB"/>
        </w:rPr>
        <w:br/>
      </w:r>
      <w:r w:rsidRPr="00880065">
        <w:rPr>
          <w:lang w:val="en-GB"/>
        </w:rPr>
        <w:tab/>
        <w:t>Ksenija Turković,</w:t>
      </w:r>
      <w:r w:rsidRPr="00880065">
        <w:rPr>
          <w:i/>
          <w:lang w:val="en-GB"/>
        </w:rPr>
        <w:br/>
      </w:r>
      <w:r w:rsidRPr="00880065">
        <w:rPr>
          <w:lang w:val="en-GB"/>
        </w:rPr>
        <w:tab/>
        <w:t>Robert Spano,</w:t>
      </w:r>
      <w:r w:rsidRPr="00880065">
        <w:rPr>
          <w:i/>
          <w:lang w:val="en-GB"/>
        </w:rPr>
        <w:br/>
      </w:r>
      <w:r w:rsidRPr="00880065">
        <w:rPr>
          <w:lang w:val="en-GB"/>
        </w:rPr>
        <w:tab/>
        <w:t>Jon Fridrik Kjølbro,</w:t>
      </w:r>
      <w:r w:rsidRPr="00880065">
        <w:rPr>
          <w:i/>
          <w:lang w:val="en-GB"/>
        </w:rPr>
        <w:br/>
      </w:r>
      <w:r w:rsidRPr="00880065">
        <w:rPr>
          <w:lang w:val="en-GB"/>
        </w:rPr>
        <w:tab/>
        <w:t>Stéphanie Mourou-Vikström,</w:t>
      </w:r>
      <w:r w:rsidRPr="00880065">
        <w:rPr>
          <w:i/>
          <w:lang w:val="en-GB"/>
        </w:rPr>
        <w:t xml:space="preserve"> judges,</w:t>
      </w:r>
      <w:r w:rsidRPr="00880065">
        <w:rPr>
          <w:i/>
          <w:lang w:val="en-GB"/>
        </w:rPr>
        <w:br/>
      </w:r>
      <w:r w:rsidR="00014566" w:rsidRPr="00880065">
        <w:rPr>
          <w:lang w:val="en-GB"/>
        </w:rPr>
        <w:t xml:space="preserve">and </w:t>
      </w:r>
      <w:r w:rsidR="001404BA" w:rsidRPr="00880065">
        <w:rPr>
          <w:lang w:val="en-GB"/>
        </w:rPr>
        <w:t>Stanley Naismith</w:t>
      </w:r>
      <w:r w:rsidR="00014566" w:rsidRPr="00880065">
        <w:rPr>
          <w:lang w:val="en-GB"/>
        </w:rPr>
        <w:t xml:space="preserve">, </w:t>
      </w:r>
      <w:r w:rsidR="001404BA" w:rsidRPr="00880065">
        <w:rPr>
          <w:i/>
          <w:lang w:val="en-GB"/>
        </w:rPr>
        <w:t xml:space="preserve">Section </w:t>
      </w:r>
      <w:r w:rsidR="001404BA" w:rsidRPr="00880065">
        <w:rPr>
          <w:i/>
          <w:iCs/>
          <w:lang w:val="en-GB"/>
        </w:rPr>
        <w:t>Registrar</w:t>
      </w:r>
      <w:r w:rsidR="00014566" w:rsidRPr="00880065">
        <w:rPr>
          <w:i/>
          <w:lang w:val="en-GB"/>
        </w:rPr>
        <w:t>,</w:t>
      </w:r>
    </w:p>
    <w:p w:rsidR="00014566" w:rsidRPr="00880065" w:rsidRDefault="00014566" w:rsidP="00880065">
      <w:pPr>
        <w:pStyle w:val="ECHRPara"/>
        <w:rPr>
          <w:lang w:val="en-GB"/>
        </w:rPr>
      </w:pPr>
      <w:r w:rsidRPr="00880065">
        <w:rPr>
          <w:lang w:val="en-GB"/>
        </w:rPr>
        <w:t xml:space="preserve">Having deliberated in private on </w:t>
      </w:r>
      <w:r w:rsidR="00A86DDA" w:rsidRPr="00880065">
        <w:rPr>
          <w:lang w:val="en-GB"/>
        </w:rPr>
        <w:t>20 October 2015</w:t>
      </w:r>
      <w:r w:rsidRPr="00880065">
        <w:rPr>
          <w:lang w:val="en-GB"/>
        </w:rPr>
        <w:t>,</w:t>
      </w:r>
    </w:p>
    <w:p w:rsidR="00014566" w:rsidRPr="00880065" w:rsidRDefault="00014566" w:rsidP="00880065">
      <w:pPr>
        <w:pStyle w:val="ECHRPara"/>
        <w:rPr>
          <w:lang w:val="en-GB"/>
        </w:rPr>
      </w:pPr>
      <w:r w:rsidRPr="00880065">
        <w:rPr>
          <w:lang w:val="en-GB"/>
        </w:rPr>
        <w:t>Delivers the following judgment, which was adopted on that date:</w:t>
      </w:r>
    </w:p>
    <w:p w:rsidR="002878EC" w:rsidRPr="00880065" w:rsidRDefault="002878EC" w:rsidP="00880065">
      <w:pPr>
        <w:pStyle w:val="ECHRTitle1"/>
        <w:rPr>
          <w:lang w:val="en-GB"/>
        </w:rPr>
      </w:pPr>
      <w:bookmarkStart w:id="2" w:name="lt_pId000"/>
      <w:r w:rsidRPr="00880065">
        <w:rPr>
          <w:lang w:val="en-GB"/>
        </w:rPr>
        <w:t>PROCEDURE</w:t>
      </w:r>
      <w:bookmarkEnd w:id="2"/>
    </w:p>
    <w:p w:rsidR="00A4789D"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1</w:t>
      </w:r>
      <w:r w:rsidRPr="00880065">
        <w:rPr>
          <w:lang w:val="en-GB"/>
        </w:rPr>
        <w:fldChar w:fldCharType="end"/>
      </w:r>
      <w:r w:rsidRPr="00880065">
        <w:rPr>
          <w:lang w:val="en-GB"/>
        </w:rPr>
        <w:t>.  </w:t>
      </w:r>
      <w:bookmarkStart w:id="3" w:name="lt_pId002"/>
      <w:r w:rsidR="00A4789D" w:rsidRPr="00880065">
        <w:rPr>
          <w:lang w:val="en-GB"/>
        </w:rPr>
        <w:t>The case originated in two applications (nos. 48226/10 and 14027/11) against the Republic of Turkey lodged with the Court under Article 34 of the Convention for the Protection of Human Rights and Fundamental Freedoms (“the Convention”) by three Turkish nationals, Mr Serkan Cengiz, Mr Yaman Akdeniz and Mr Kerem Altıparmak (respectively “the first applicant”, “the second applicant” and “the third applicant”), on 20 July 2010 (the first applicant) and 27 December 2010 (the other two applicants).</w:t>
      </w:r>
    </w:p>
    <w:bookmarkEnd w:id="3"/>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2</w:t>
      </w:r>
      <w:r w:rsidRPr="00880065">
        <w:rPr>
          <w:lang w:val="en-GB"/>
        </w:rPr>
        <w:fldChar w:fldCharType="end"/>
      </w:r>
      <w:r w:rsidRPr="00880065">
        <w:rPr>
          <w:lang w:val="en-GB"/>
        </w:rPr>
        <w:t>.  </w:t>
      </w:r>
      <w:bookmarkStart w:id="4" w:name="lt_pId004"/>
      <w:r w:rsidR="00A4789D" w:rsidRPr="00880065">
        <w:rPr>
          <w:lang w:val="en-GB"/>
        </w:rPr>
        <w:t>The second and third applicants were represented before the Court by Ms A. Altıparmak, a lawyer practising in Ankara. The Turkish Government (“the Government”) were represented by their Agent.</w:t>
      </w:r>
      <w:bookmarkEnd w:id="4"/>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3</w:t>
      </w:r>
      <w:r w:rsidRPr="00880065">
        <w:rPr>
          <w:lang w:val="en-GB"/>
        </w:rPr>
        <w:fldChar w:fldCharType="end"/>
      </w:r>
      <w:r w:rsidRPr="00880065">
        <w:rPr>
          <w:lang w:val="en-GB"/>
        </w:rPr>
        <w:t>.  </w:t>
      </w:r>
      <w:bookmarkStart w:id="5" w:name="lt_pId008"/>
      <w:r w:rsidR="00A4789D" w:rsidRPr="00880065">
        <w:rPr>
          <w:lang w:val="en-GB"/>
        </w:rPr>
        <w:t xml:space="preserve">Relying on Article 10 of the Convention, the applicants complained in particular of a measure that had deprived them of all access to YouTube. In addition, relying on Article 6 of the Convention, the first applicant submitted that he had not had an effective judicial remedy enabling him to have the measure in question reviewed by </w:t>
      </w:r>
      <w:r w:rsidR="00BA1B2C" w:rsidRPr="00880065">
        <w:rPr>
          <w:lang w:val="en-GB"/>
        </w:rPr>
        <w:t>a</w:t>
      </w:r>
      <w:r w:rsidR="00A4789D" w:rsidRPr="00880065">
        <w:rPr>
          <w:lang w:val="en-GB"/>
        </w:rPr>
        <w:t xml:space="preserve"> court</w:t>
      </w:r>
      <w:bookmarkStart w:id="6" w:name="lt_pId009"/>
      <w:bookmarkEnd w:id="5"/>
      <w:r w:rsidRPr="00880065">
        <w:rPr>
          <w:lang w:val="en-GB"/>
        </w:rPr>
        <w:t>.</w:t>
      </w:r>
      <w:bookmarkEnd w:id="6"/>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4</w:t>
      </w:r>
      <w:r w:rsidRPr="00880065">
        <w:rPr>
          <w:lang w:val="en-GB"/>
        </w:rPr>
        <w:fldChar w:fldCharType="end"/>
      </w:r>
      <w:r w:rsidRPr="00880065">
        <w:rPr>
          <w:lang w:val="en-GB"/>
        </w:rPr>
        <w:t>.  </w:t>
      </w:r>
      <w:bookmarkStart w:id="7" w:name="lt_pId011"/>
      <w:r w:rsidRPr="00880065">
        <w:rPr>
          <w:lang w:val="en-GB"/>
        </w:rPr>
        <w:t>On 16 April 2014 notice of the applications was given to the Government.</w:t>
      </w:r>
      <w:bookmarkEnd w:id="7"/>
    </w:p>
    <w:p w:rsidR="002878EC" w:rsidRPr="00880065" w:rsidRDefault="002878EC" w:rsidP="00880065">
      <w:pPr>
        <w:pStyle w:val="ECHRTitle1"/>
        <w:rPr>
          <w:lang w:val="en-GB"/>
        </w:rPr>
      </w:pPr>
      <w:bookmarkStart w:id="8" w:name="lt_pId012"/>
      <w:r w:rsidRPr="00880065">
        <w:rPr>
          <w:lang w:val="en-GB"/>
        </w:rPr>
        <w:lastRenderedPageBreak/>
        <w:t>THE FACTS</w:t>
      </w:r>
      <w:bookmarkEnd w:id="8"/>
    </w:p>
    <w:p w:rsidR="002878EC" w:rsidRPr="00880065" w:rsidRDefault="002878EC" w:rsidP="00880065">
      <w:pPr>
        <w:pStyle w:val="ECHRHeading1"/>
        <w:rPr>
          <w:lang w:val="en-GB"/>
        </w:rPr>
      </w:pPr>
      <w:r w:rsidRPr="00880065">
        <w:rPr>
          <w:lang w:val="en-GB"/>
        </w:rPr>
        <w:t>I.  </w:t>
      </w:r>
      <w:bookmarkStart w:id="9" w:name="lt_pId014"/>
      <w:r w:rsidRPr="00880065">
        <w:rPr>
          <w:lang w:val="en-GB"/>
        </w:rPr>
        <w:t>THE CIRCUMSTANCES OF THE CASE</w:t>
      </w:r>
      <w:bookmarkEnd w:id="9"/>
    </w:p>
    <w:p w:rsidR="00880065"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5</w:t>
      </w:r>
      <w:r w:rsidRPr="00880065">
        <w:rPr>
          <w:lang w:val="en-GB"/>
        </w:rPr>
        <w:fldChar w:fldCharType="end"/>
      </w:r>
      <w:r w:rsidRPr="00880065">
        <w:rPr>
          <w:lang w:val="en-GB"/>
        </w:rPr>
        <w:t>.  </w:t>
      </w:r>
      <w:bookmarkStart w:id="10" w:name="lt_pId016"/>
      <w:r w:rsidR="00CD38BD" w:rsidRPr="00880065">
        <w:rPr>
          <w:lang w:val="en-GB"/>
        </w:rPr>
        <w:t>Mr Cengiz was born in 1974 and lives in İzmir. He is a lecturer at the Law Faculty of İzmir University and is an expert and legal practitioner in the field of freedom of expression.</w:t>
      </w:r>
    </w:p>
    <w:p w:rsidR="00880065" w:rsidRPr="00880065" w:rsidRDefault="00CD38BD" w:rsidP="00880065">
      <w:pPr>
        <w:pStyle w:val="ECHRPara"/>
        <w:rPr>
          <w:lang w:val="en-GB"/>
        </w:rPr>
      </w:pPr>
      <w:r w:rsidRPr="00880065">
        <w:rPr>
          <w:lang w:val="en-GB"/>
        </w:rPr>
        <w:t>Mr Akdeniz and Mr Altıparmak were born in 1968 and 1973 respectively. Mr Akdeniz is a professor of law at the Law Faculty of Bilgi University. Mr Altıparmak is an assistant professor of law at the Political Science Faculty of Ankara University and director of the university</w:t>
      </w:r>
      <w:r w:rsidR="00880065" w:rsidRPr="00880065">
        <w:rPr>
          <w:lang w:val="en-GB"/>
        </w:rPr>
        <w:t>’</w:t>
      </w:r>
      <w:r w:rsidRPr="00880065">
        <w:rPr>
          <w:lang w:val="en-GB"/>
        </w:rPr>
        <w:t>s Human Rights Centre</w:t>
      </w:r>
      <w:bookmarkStart w:id="11" w:name="lt_pId020"/>
      <w:bookmarkEnd w:id="10"/>
      <w:r w:rsidR="0086041D" w:rsidRPr="00880065">
        <w:rPr>
          <w:lang w:val="en-GB"/>
        </w:rPr>
        <w:t>.</w:t>
      </w:r>
      <w:bookmarkEnd w:id="11"/>
    </w:p>
    <w:p w:rsidR="002878EC" w:rsidRPr="00880065" w:rsidRDefault="002878EC" w:rsidP="00880065">
      <w:pPr>
        <w:pStyle w:val="ECHRHeading2"/>
        <w:rPr>
          <w:lang w:val="en-GB"/>
        </w:rPr>
      </w:pPr>
      <w:r w:rsidRPr="00880065">
        <w:rPr>
          <w:lang w:val="en-GB"/>
        </w:rPr>
        <w:t>A.  </w:t>
      </w:r>
      <w:bookmarkStart w:id="12" w:name="lt_pId022"/>
      <w:r w:rsidRPr="00880065">
        <w:rPr>
          <w:lang w:val="en-GB"/>
        </w:rPr>
        <w:t>Blocking order in respect of YouTube</w:t>
      </w:r>
      <w:bookmarkEnd w:id="12"/>
    </w:p>
    <w:p w:rsidR="00976F92"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6</w:t>
      </w:r>
      <w:r w:rsidRPr="00880065">
        <w:rPr>
          <w:lang w:val="en-GB"/>
        </w:rPr>
        <w:fldChar w:fldCharType="end"/>
      </w:r>
      <w:r w:rsidRPr="00880065">
        <w:rPr>
          <w:lang w:val="en-GB"/>
        </w:rPr>
        <w:t>.  </w:t>
      </w:r>
      <w:bookmarkStart w:id="13" w:name="lt_pId024"/>
      <w:r w:rsidR="00976F92" w:rsidRPr="00880065">
        <w:rPr>
          <w:lang w:val="en-GB"/>
        </w:rPr>
        <w:t>YouTube (http://www.youtube.com) is the leading video-hosting website on which users can upload, view and share videos. Most videos on the site or on YouTube channels can be viewed by any Internet users, but only users with a YouTube account may upload video files. The platform is available in more than seventy-six countries. Over one billion users visit the site each month, viewing more than six billion hours of videos.</w:t>
      </w:r>
    </w:p>
    <w:bookmarkEnd w:id="13"/>
    <w:p w:rsidR="00976F92"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7</w:t>
      </w:r>
      <w:r w:rsidRPr="00880065">
        <w:rPr>
          <w:lang w:val="en-GB"/>
        </w:rPr>
        <w:fldChar w:fldCharType="end"/>
      </w:r>
      <w:r w:rsidRPr="00880065">
        <w:rPr>
          <w:lang w:val="en-GB"/>
        </w:rPr>
        <w:t>.  </w:t>
      </w:r>
      <w:bookmarkStart w:id="14" w:name="lt_pId029"/>
      <w:r w:rsidR="00976F92" w:rsidRPr="00880065">
        <w:rPr>
          <w:lang w:val="en-GB"/>
        </w:rPr>
        <w:t>On 5 May 2008, under section 8(1)(</w:t>
      </w:r>
      <w:r w:rsidR="00336216" w:rsidRPr="00880065">
        <w:rPr>
          <w:lang w:val="en-GB"/>
        </w:rPr>
        <w:t>b), (2), (3) and (9) of Law no. </w:t>
      </w:r>
      <w:r w:rsidR="00976F92" w:rsidRPr="00880065">
        <w:rPr>
          <w:lang w:val="en-GB"/>
        </w:rPr>
        <w:t xml:space="preserve">5651 on regulating Internet publications and combating Internet offences (“Law no. 5651”), the Ankara Criminal Court of First Instance made an order for the blocking of access to the website http://www.youtube.com and the IP addresses 208.65.153.238-208.65.153.251 providing access to the website. The court held, among other things, that the content of ten pages on the website (ten video files) </w:t>
      </w:r>
      <w:r w:rsidR="00BE636A" w:rsidRPr="00880065">
        <w:rPr>
          <w:lang w:val="en-GB"/>
        </w:rPr>
        <w:t xml:space="preserve">infringed </w:t>
      </w:r>
      <w:r w:rsidR="00976F92" w:rsidRPr="00880065">
        <w:rPr>
          <w:lang w:val="en-GB"/>
        </w:rPr>
        <w:t>Law no. 5816 prohibiting insults to the memory of Atatürk</w:t>
      </w:r>
      <w:r w:rsidR="00336216" w:rsidRPr="00880065">
        <w:rPr>
          <w:lang w:val="en-GB"/>
        </w:rPr>
        <w:t>.</w:t>
      </w:r>
    </w:p>
    <w:bookmarkEnd w:id="14"/>
    <w:p w:rsidR="00162B4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8</w:t>
      </w:r>
      <w:r w:rsidRPr="00880065">
        <w:rPr>
          <w:lang w:val="en-GB"/>
        </w:rPr>
        <w:fldChar w:fldCharType="end"/>
      </w:r>
      <w:r w:rsidRPr="00880065">
        <w:rPr>
          <w:lang w:val="en-GB"/>
        </w:rPr>
        <w:t>.  </w:t>
      </w:r>
      <w:bookmarkStart w:id="15" w:name="lt_pId032"/>
      <w:r w:rsidR="00162B4C" w:rsidRPr="00880065">
        <w:rPr>
          <w:lang w:val="en-GB"/>
        </w:rPr>
        <w:t xml:space="preserve">On 21 May 2010 the first applicant lodged an objection against the blocking order of 5 May 2008. Relying on his right to freedom to receive </w:t>
      </w:r>
      <w:r w:rsidR="003255A4" w:rsidRPr="00880065">
        <w:rPr>
          <w:lang w:val="en-GB"/>
        </w:rPr>
        <w:t>and</w:t>
      </w:r>
      <w:r w:rsidR="00162B4C" w:rsidRPr="00880065">
        <w:rPr>
          <w:lang w:val="en-GB"/>
        </w:rPr>
        <w:t xml:space="preserve"> impart information and ideas, he soug</w:t>
      </w:r>
      <w:r w:rsidR="004B55BA" w:rsidRPr="00880065">
        <w:rPr>
          <w:lang w:val="en-GB"/>
        </w:rPr>
        <w:t>ht to have the order set aside.</w:t>
      </w:r>
    </w:p>
    <w:bookmarkEnd w:id="15"/>
    <w:p w:rsidR="00162B4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9</w:t>
      </w:r>
      <w:r w:rsidRPr="00880065">
        <w:rPr>
          <w:lang w:val="en-GB"/>
        </w:rPr>
        <w:fldChar w:fldCharType="end"/>
      </w:r>
      <w:r w:rsidRPr="00880065">
        <w:rPr>
          <w:lang w:val="en-GB"/>
        </w:rPr>
        <w:t>.  </w:t>
      </w:r>
      <w:bookmarkStart w:id="16" w:name="lt_pId035"/>
      <w:r w:rsidR="00162B4C" w:rsidRPr="00880065">
        <w:rPr>
          <w:lang w:val="en-GB"/>
        </w:rPr>
        <w:t>On 31 May 2010 the second and third applicants, as YouTube users, also lodged an objection against the blocking order of 5 May 2008. They sought to have the order set aside, arguing that there was a public interest in having access to YouTube and that the blocking of such access seriously impaired the very essence of their right to freedom to receive information and ideas. They also submitted that six of the ten pages to which the order of 5 May 2008 related had already been deleted and that the other four were no longer accessible from inside Turkey. This meant, in their submission, that the blocking order had become devoid of all purpose and constituted a disproportionate restriction on the rights of Internet users to receive and impart information and ideas.</w:t>
      </w:r>
    </w:p>
    <w:bookmarkEnd w:id="16"/>
    <w:p w:rsidR="004B55BA" w:rsidRPr="00880065" w:rsidRDefault="002878EC" w:rsidP="00880065">
      <w:pPr>
        <w:pStyle w:val="ECHRPara"/>
        <w:rPr>
          <w:lang w:val="en-GB"/>
        </w:rPr>
      </w:pPr>
      <w:r w:rsidRPr="00880065">
        <w:rPr>
          <w:lang w:val="en-GB"/>
        </w:rPr>
        <w:lastRenderedPageBreak/>
        <w:fldChar w:fldCharType="begin"/>
      </w:r>
      <w:r w:rsidRPr="00880065">
        <w:rPr>
          <w:lang w:val="en-GB"/>
        </w:rPr>
        <w:instrText xml:space="preserve"> SEQ level0 \*arabic </w:instrText>
      </w:r>
      <w:r w:rsidRPr="00880065">
        <w:rPr>
          <w:lang w:val="en-GB"/>
        </w:rPr>
        <w:fldChar w:fldCharType="separate"/>
      </w:r>
      <w:r w:rsidR="00880065">
        <w:rPr>
          <w:noProof/>
          <w:lang w:val="en-GB"/>
        </w:rPr>
        <w:t>10</w:t>
      </w:r>
      <w:r w:rsidRPr="00880065">
        <w:rPr>
          <w:lang w:val="en-GB"/>
        </w:rPr>
        <w:fldChar w:fldCharType="end"/>
      </w:r>
      <w:r w:rsidRPr="00880065">
        <w:rPr>
          <w:lang w:val="en-GB"/>
        </w:rPr>
        <w:t>.  </w:t>
      </w:r>
      <w:bookmarkStart w:id="17" w:name="lt_pId040"/>
      <w:r w:rsidR="004B55BA" w:rsidRPr="00880065">
        <w:rPr>
          <w:lang w:val="en-GB"/>
        </w:rPr>
        <w:t>On 9 June 2010 the Ankara Criminal Court of First Instance dismissed the applicants</w:t>
      </w:r>
      <w:r w:rsidR="00880065" w:rsidRPr="00880065">
        <w:rPr>
          <w:lang w:val="en-GB"/>
        </w:rPr>
        <w:t>’</w:t>
      </w:r>
      <w:r w:rsidR="004B55BA" w:rsidRPr="00880065">
        <w:rPr>
          <w:lang w:val="en-GB"/>
        </w:rPr>
        <w:t xml:space="preserve"> objection, holding in particular that the blocking order complied with the requirements of the legislation. </w:t>
      </w:r>
      <w:r w:rsidR="00C36513" w:rsidRPr="00880065">
        <w:rPr>
          <w:lang w:val="en-GB"/>
        </w:rPr>
        <w:t>Addressing</w:t>
      </w:r>
      <w:r w:rsidR="004B55BA" w:rsidRPr="00880065">
        <w:rPr>
          <w:lang w:val="en-GB"/>
        </w:rPr>
        <w:t xml:space="preserve"> the </w:t>
      </w:r>
      <w:r w:rsidR="00256F7C" w:rsidRPr="00880065">
        <w:rPr>
          <w:lang w:val="en-GB"/>
        </w:rPr>
        <w:t>in</w:t>
      </w:r>
      <w:r w:rsidR="004B55BA" w:rsidRPr="00880065">
        <w:rPr>
          <w:lang w:val="en-GB"/>
        </w:rPr>
        <w:t>access</w:t>
      </w:r>
      <w:r w:rsidR="00256F7C" w:rsidRPr="00880065">
        <w:rPr>
          <w:lang w:val="en-GB"/>
        </w:rPr>
        <w:t>ibility</w:t>
      </w:r>
      <w:r w:rsidR="004B55BA" w:rsidRPr="00880065">
        <w:rPr>
          <w:lang w:val="en-GB"/>
        </w:rPr>
        <w:t xml:space="preserve"> </w:t>
      </w:r>
      <w:r w:rsidR="00256F7C" w:rsidRPr="00880065">
        <w:rPr>
          <w:lang w:val="en-GB"/>
        </w:rPr>
        <w:t>of</w:t>
      </w:r>
      <w:r w:rsidR="004B55BA" w:rsidRPr="00880065">
        <w:rPr>
          <w:lang w:val="en-GB"/>
        </w:rPr>
        <w:t xml:space="preserve"> the video files from inside Turkey, it stated that while access to the files had indeed been blocked by YouTube</w:t>
      </w:r>
      <w:r w:rsidR="00C36513" w:rsidRPr="00880065">
        <w:rPr>
          <w:lang w:val="en-GB"/>
        </w:rPr>
        <w:t xml:space="preserve"> within Turk</w:t>
      </w:r>
      <w:r w:rsidR="00000472" w:rsidRPr="00880065">
        <w:rPr>
          <w:lang w:val="en-GB"/>
        </w:rPr>
        <w:t>ey</w:t>
      </w:r>
      <w:r w:rsidR="004B55BA" w:rsidRPr="00880065">
        <w:rPr>
          <w:lang w:val="en-GB"/>
        </w:rPr>
        <w:t>, the videos in question had nevertheless not been removed from the website</w:t>
      </w:r>
      <w:r w:rsidR="00880065" w:rsidRPr="00880065">
        <w:rPr>
          <w:lang w:val="en-GB"/>
        </w:rPr>
        <w:t>’</w:t>
      </w:r>
      <w:r w:rsidR="004B55BA" w:rsidRPr="00880065">
        <w:rPr>
          <w:lang w:val="en-GB"/>
        </w:rPr>
        <w:t xml:space="preserve">s database and thus remained accessible to Internet users worldwide. It also </w:t>
      </w:r>
      <w:r w:rsidR="005A27FD" w:rsidRPr="00880065">
        <w:rPr>
          <w:lang w:val="en-GB"/>
        </w:rPr>
        <w:t>held</w:t>
      </w:r>
      <w:r w:rsidR="004B55BA" w:rsidRPr="00880065">
        <w:rPr>
          <w:lang w:val="en-GB"/>
        </w:rPr>
        <w:t xml:space="preserve"> that as they had not been part</w:t>
      </w:r>
      <w:r w:rsidR="007F2BD4" w:rsidRPr="00880065">
        <w:rPr>
          <w:lang w:val="en-GB"/>
        </w:rPr>
        <w:t>ies</w:t>
      </w:r>
      <w:r w:rsidR="004B55BA" w:rsidRPr="00880065">
        <w:rPr>
          <w:lang w:val="en-GB"/>
        </w:rPr>
        <w:t xml:space="preserve"> to the investigation procedure, the applicants did not have </w:t>
      </w:r>
      <w:r w:rsidR="004B55BA" w:rsidRPr="00880065">
        <w:rPr>
          <w:i/>
          <w:lang w:val="en-GB"/>
        </w:rPr>
        <w:t>locus standi</w:t>
      </w:r>
      <w:r w:rsidR="004B55BA" w:rsidRPr="00880065">
        <w:rPr>
          <w:lang w:val="en-GB"/>
        </w:rPr>
        <w:t xml:space="preserve"> to challenge such orders. Lastly, the court noted that an objection against the same blocking order had already been dismissed on 4 June 2008</w:t>
      </w:r>
      <w:r w:rsidR="003146E4" w:rsidRPr="00880065">
        <w:rPr>
          <w:lang w:val="en-GB"/>
        </w:rPr>
        <w:t>.</w:t>
      </w:r>
    </w:p>
    <w:bookmarkEnd w:id="17"/>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11</w:t>
      </w:r>
      <w:r w:rsidRPr="00880065">
        <w:rPr>
          <w:lang w:val="en-GB"/>
        </w:rPr>
        <w:fldChar w:fldCharType="end"/>
      </w:r>
      <w:r w:rsidRPr="00880065">
        <w:rPr>
          <w:lang w:val="en-GB"/>
        </w:rPr>
        <w:t>.  </w:t>
      </w:r>
      <w:bookmarkStart w:id="18" w:name="lt_pId045"/>
      <w:r w:rsidR="003146E4" w:rsidRPr="00880065">
        <w:rPr>
          <w:lang w:val="en-GB"/>
        </w:rPr>
        <w:t>On 2 July 2010 the Ankara Criminal</w:t>
      </w:r>
      <w:r w:rsidR="006E40A9" w:rsidRPr="00880065">
        <w:rPr>
          <w:lang w:val="en-GB"/>
        </w:rPr>
        <w:t xml:space="preserve"> Court upheld the decision of 9 </w:t>
      </w:r>
      <w:r w:rsidR="003146E4" w:rsidRPr="00880065">
        <w:rPr>
          <w:lang w:val="en-GB"/>
        </w:rPr>
        <w:t>June 2010 of the Ankara Criminal Court of First Instance, holding that it had complied with the procedural rules and fell within the court</w:t>
      </w:r>
      <w:r w:rsidR="00880065" w:rsidRPr="00880065">
        <w:rPr>
          <w:lang w:val="en-GB"/>
        </w:rPr>
        <w:t>’</w:t>
      </w:r>
      <w:r w:rsidR="003146E4" w:rsidRPr="00880065">
        <w:rPr>
          <w:lang w:val="en-GB"/>
        </w:rPr>
        <w:t>s discretion</w:t>
      </w:r>
      <w:r w:rsidR="00E767B1" w:rsidRPr="00880065">
        <w:rPr>
          <w:lang w:val="en-GB"/>
        </w:rPr>
        <w:t>.</w:t>
      </w:r>
      <w:bookmarkEnd w:id="18"/>
    </w:p>
    <w:p w:rsidR="002878EC" w:rsidRPr="00880065" w:rsidRDefault="002878EC" w:rsidP="00880065">
      <w:pPr>
        <w:pStyle w:val="ECHRHeading2"/>
        <w:rPr>
          <w:lang w:val="en-GB"/>
        </w:rPr>
      </w:pPr>
      <w:r w:rsidRPr="00880065">
        <w:rPr>
          <w:lang w:val="en-GB"/>
        </w:rPr>
        <w:t>B.  </w:t>
      </w:r>
      <w:bookmarkStart w:id="19" w:name="lt_pId047"/>
      <w:r w:rsidRPr="00880065">
        <w:rPr>
          <w:lang w:val="en-GB"/>
        </w:rPr>
        <w:t>Subsequent decisions</w:t>
      </w:r>
      <w:bookmarkEnd w:id="19"/>
    </w:p>
    <w:bookmarkStart w:id="20" w:name="lt_pId049"/>
    <w:p w:rsidR="00920EAE" w:rsidRPr="00880065" w:rsidRDefault="00920EAE"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12</w:t>
      </w:r>
      <w:r w:rsidRPr="00880065">
        <w:rPr>
          <w:lang w:val="en-GB"/>
        </w:rPr>
        <w:fldChar w:fldCharType="end"/>
      </w:r>
      <w:r w:rsidRPr="00880065">
        <w:rPr>
          <w:lang w:val="en-GB"/>
        </w:rPr>
        <w:t>.  On 17 June 2010 the Ankara Criminal Court of First Instance adopted a further decision concerning YouTube, ordering the blocking of access to the website http://www.youtube.com and forty-four other IP addresses belonging to the site.</w:t>
      </w:r>
    </w:p>
    <w:p w:rsidR="00920EAE" w:rsidRPr="00880065" w:rsidRDefault="00920EAE"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13</w:t>
      </w:r>
      <w:r w:rsidRPr="00880065">
        <w:rPr>
          <w:lang w:val="en-GB"/>
        </w:rPr>
        <w:fldChar w:fldCharType="end"/>
      </w:r>
      <w:r w:rsidRPr="00880065">
        <w:rPr>
          <w:lang w:val="en-GB"/>
        </w:rPr>
        <w:t>.  On 23 June 2010 the second and third applicants lodged an objection against the additional blocking order of 17 June 2010.</w:t>
      </w:r>
    </w:p>
    <w:p w:rsidR="00920EAE" w:rsidRPr="00880065" w:rsidRDefault="00920EAE"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14</w:t>
      </w:r>
      <w:r w:rsidRPr="00880065">
        <w:rPr>
          <w:lang w:val="en-GB"/>
        </w:rPr>
        <w:fldChar w:fldCharType="end"/>
      </w:r>
      <w:r w:rsidRPr="00880065">
        <w:rPr>
          <w:lang w:val="en-GB"/>
        </w:rPr>
        <w:t>.  On 1 July 2010 the Ankara Criminal Court of First Instance dismissed the objection lodged by th</w:t>
      </w:r>
      <w:r w:rsidR="00360EEB" w:rsidRPr="00880065">
        <w:rPr>
          <w:lang w:val="en-GB"/>
        </w:rPr>
        <w:t>os</w:t>
      </w:r>
      <w:r w:rsidRPr="00880065">
        <w:rPr>
          <w:lang w:val="en-GB"/>
        </w:rPr>
        <w:t xml:space="preserve">e two applicants and by representatives of YouTube and the </w:t>
      </w:r>
      <w:r w:rsidRPr="00880065">
        <w:rPr>
          <w:bCs/>
        </w:rPr>
        <w:t>Internet Technology Association</w:t>
      </w:r>
      <w:r w:rsidRPr="00880065">
        <w:rPr>
          <w:lang w:val="en-GB"/>
        </w:rPr>
        <w:t xml:space="preserve">. </w:t>
      </w:r>
      <w:r w:rsidR="0038781C" w:rsidRPr="00880065">
        <w:rPr>
          <w:lang w:val="en-GB"/>
        </w:rPr>
        <w:t>Addressing the</w:t>
      </w:r>
      <w:r w:rsidRPr="00880065">
        <w:rPr>
          <w:lang w:val="en-GB"/>
        </w:rPr>
        <w:t xml:space="preserve"> </w:t>
      </w:r>
      <w:r w:rsidR="00782D04" w:rsidRPr="00880065">
        <w:rPr>
          <w:lang w:val="en-GB"/>
        </w:rPr>
        <w:t>in</w:t>
      </w:r>
      <w:r w:rsidRPr="00880065">
        <w:rPr>
          <w:lang w:val="en-GB"/>
        </w:rPr>
        <w:t>access</w:t>
      </w:r>
      <w:r w:rsidR="00782D04" w:rsidRPr="00880065">
        <w:rPr>
          <w:lang w:val="en-GB"/>
        </w:rPr>
        <w:t>ibility of</w:t>
      </w:r>
      <w:r w:rsidRPr="00880065">
        <w:rPr>
          <w:lang w:val="en-GB"/>
        </w:rPr>
        <w:t xml:space="preserve"> the video files from </w:t>
      </w:r>
      <w:r w:rsidR="005A27FD" w:rsidRPr="00880065">
        <w:rPr>
          <w:lang w:val="en-GB"/>
        </w:rPr>
        <w:t>inside</w:t>
      </w:r>
      <w:r w:rsidRPr="00880065">
        <w:rPr>
          <w:lang w:val="en-GB"/>
        </w:rPr>
        <w:t xml:space="preserve"> Turkey, it reiterated that </w:t>
      </w:r>
      <w:r w:rsidR="00782D04" w:rsidRPr="00880065">
        <w:rPr>
          <w:lang w:val="en-GB"/>
        </w:rPr>
        <w:t>while</w:t>
      </w:r>
      <w:r w:rsidRPr="00880065">
        <w:rPr>
          <w:lang w:val="en-GB"/>
        </w:rPr>
        <w:t xml:space="preserve"> access to the files had indeed been blocked</w:t>
      </w:r>
      <w:r w:rsidR="00B33289" w:rsidRPr="00880065">
        <w:rPr>
          <w:lang w:val="en-GB"/>
        </w:rPr>
        <w:t xml:space="preserve"> by YouTube</w:t>
      </w:r>
      <w:r w:rsidR="0038781C" w:rsidRPr="00880065">
        <w:rPr>
          <w:lang w:val="en-GB"/>
        </w:rPr>
        <w:t xml:space="preserve"> within Turk</w:t>
      </w:r>
      <w:r w:rsidR="00000472" w:rsidRPr="00880065">
        <w:rPr>
          <w:lang w:val="en-GB"/>
        </w:rPr>
        <w:t>ey</w:t>
      </w:r>
      <w:r w:rsidRPr="00880065">
        <w:rPr>
          <w:lang w:val="en-GB"/>
        </w:rPr>
        <w:t xml:space="preserve">, the videos in question had nevertheless not been </w:t>
      </w:r>
      <w:r w:rsidR="005A27FD" w:rsidRPr="00880065">
        <w:rPr>
          <w:lang w:val="en-GB"/>
        </w:rPr>
        <w:t>removed</w:t>
      </w:r>
      <w:r w:rsidRPr="00880065">
        <w:rPr>
          <w:lang w:val="en-GB"/>
        </w:rPr>
        <w:t xml:space="preserve"> from the website</w:t>
      </w:r>
      <w:r w:rsidR="00880065" w:rsidRPr="00880065">
        <w:rPr>
          <w:lang w:val="en-GB"/>
        </w:rPr>
        <w:t>’</w:t>
      </w:r>
      <w:r w:rsidR="005A27FD" w:rsidRPr="00880065">
        <w:rPr>
          <w:lang w:val="en-GB"/>
        </w:rPr>
        <w:t>s database</w:t>
      </w:r>
      <w:r w:rsidRPr="00880065">
        <w:rPr>
          <w:lang w:val="en-GB"/>
        </w:rPr>
        <w:t xml:space="preserve"> and thus remained accessible to Internet users worldwide. It also held that </w:t>
      </w:r>
      <w:r w:rsidR="005A27FD" w:rsidRPr="00880065">
        <w:rPr>
          <w:lang w:val="en-GB"/>
        </w:rPr>
        <w:t>as</w:t>
      </w:r>
      <w:r w:rsidRPr="00880065">
        <w:rPr>
          <w:lang w:val="en-GB"/>
        </w:rPr>
        <w:t xml:space="preserve"> they were not parties to the case, the applicants did not have </w:t>
      </w:r>
      <w:r w:rsidRPr="00880065">
        <w:rPr>
          <w:i/>
          <w:lang w:val="en-GB"/>
        </w:rPr>
        <w:t xml:space="preserve">locus standi </w:t>
      </w:r>
      <w:r w:rsidRPr="00880065">
        <w:rPr>
          <w:lang w:val="en-GB"/>
        </w:rPr>
        <w:t xml:space="preserve">to challenge such orders. It added that, given that the website in question </w:t>
      </w:r>
      <w:r w:rsidR="007A6EC8" w:rsidRPr="00880065">
        <w:rPr>
          <w:lang w:val="en-GB"/>
        </w:rPr>
        <w:t xml:space="preserve">had </w:t>
      </w:r>
      <w:r w:rsidRPr="00880065">
        <w:rPr>
          <w:lang w:val="en-GB"/>
        </w:rPr>
        <w:t>continued to infringe the law by remaining active, the blocking order was compatible with the requirements of the legislation. Lastly, it rejected the argument that the provision applied in the present case was unconstitutional.</w:t>
      </w:r>
    </w:p>
    <w:p w:rsidR="002878EC" w:rsidRPr="00880065" w:rsidRDefault="00920EAE" w:rsidP="00880065">
      <w:pPr>
        <w:pStyle w:val="ECHRPara"/>
        <w:rPr>
          <w:lang w:val="en-GB"/>
        </w:rPr>
      </w:pPr>
      <w:r w:rsidRPr="00880065">
        <w:rPr>
          <w:rFonts w:cs="Times New Roman"/>
          <w:lang w:val="en-GB"/>
        </w:rPr>
        <w:fldChar w:fldCharType="begin"/>
      </w:r>
      <w:r w:rsidRPr="00880065">
        <w:rPr>
          <w:rFonts w:cs="Times New Roman"/>
          <w:lang w:val="en-GB"/>
        </w:rPr>
        <w:instrText xml:space="preserve"> SEQ level0 \*arabic </w:instrText>
      </w:r>
      <w:r w:rsidRPr="00880065">
        <w:rPr>
          <w:rFonts w:cs="Times New Roman"/>
          <w:lang w:val="en-GB"/>
        </w:rPr>
        <w:fldChar w:fldCharType="separate"/>
      </w:r>
      <w:r w:rsidR="00880065">
        <w:rPr>
          <w:rFonts w:cs="Times New Roman"/>
          <w:noProof/>
          <w:lang w:val="en-GB"/>
        </w:rPr>
        <w:t>15</w:t>
      </w:r>
      <w:r w:rsidRPr="00880065">
        <w:rPr>
          <w:rFonts w:cs="Times New Roman"/>
          <w:lang w:val="en-GB"/>
        </w:rPr>
        <w:fldChar w:fldCharType="end"/>
      </w:r>
      <w:r w:rsidRPr="00880065">
        <w:rPr>
          <w:rFonts w:cs="Times New Roman"/>
          <w:lang w:val="en-GB"/>
        </w:rPr>
        <w:t>.  In the judgment of 2</w:t>
      </w:r>
      <w:r w:rsidR="009F7D14" w:rsidRPr="00880065">
        <w:rPr>
          <w:rFonts w:cs="Times New Roman"/>
          <w:lang w:val="en-GB"/>
        </w:rPr>
        <w:t xml:space="preserve"> </w:t>
      </w:r>
      <w:r w:rsidRPr="00880065">
        <w:rPr>
          <w:rFonts w:cs="Times New Roman"/>
          <w:lang w:val="en-GB"/>
        </w:rPr>
        <w:t>July 2010</w:t>
      </w:r>
      <w:r w:rsidR="009F7D14" w:rsidRPr="00880065">
        <w:rPr>
          <w:rFonts w:cs="Times New Roman"/>
          <w:lang w:val="en-GB"/>
        </w:rPr>
        <w:t xml:space="preserve"> referred to above</w:t>
      </w:r>
      <w:r w:rsidRPr="00880065">
        <w:rPr>
          <w:rFonts w:cs="Times New Roman"/>
          <w:lang w:val="en-GB"/>
        </w:rPr>
        <w:t xml:space="preserve"> (see paragraph 11)</w:t>
      </w:r>
      <w:r w:rsidR="00057644" w:rsidRPr="00880065">
        <w:rPr>
          <w:rFonts w:cs="Times New Roman"/>
          <w:lang w:val="en-GB"/>
        </w:rPr>
        <w:t>,</w:t>
      </w:r>
      <w:r w:rsidRPr="00880065">
        <w:rPr>
          <w:rFonts w:cs="Times New Roman"/>
          <w:lang w:val="en-GB"/>
        </w:rPr>
        <w:t xml:space="preserve"> the Ankara Criminal Court also upheld the decision of 1 July 2010 of the Ankara Criminal Court of First Instance</w:t>
      </w:r>
      <w:bookmarkStart w:id="21" w:name="lt_pId059"/>
      <w:bookmarkEnd w:id="20"/>
      <w:r w:rsidR="002878EC" w:rsidRPr="00880065">
        <w:rPr>
          <w:lang w:val="en-GB"/>
        </w:rPr>
        <w:t>.</w:t>
      </w:r>
      <w:bookmarkEnd w:id="21"/>
    </w:p>
    <w:p w:rsidR="002878EC" w:rsidRPr="00880065" w:rsidRDefault="002878EC" w:rsidP="00880065">
      <w:pPr>
        <w:pStyle w:val="ECHRHeading2"/>
        <w:rPr>
          <w:lang w:val="en-GB"/>
        </w:rPr>
      </w:pPr>
      <w:r w:rsidRPr="00880065">
        <w:rPr>
          <w:lang w:val="en-GB"/>
        </w:rPr>
        <w:t>C.  </w:t>
      </w:r>
      <w:bookmarkStart w:id="22" w:name="lt_pId061"/>
      <w:r w:rsidRPr="00880065">
        <w:rPr>
          <w:lang w:val="en-GB"/>
        </w:rPr>
        <w:t>Information submitted by the parties</w:t>
      </w:r>
      <w:bookmarkEnd w:id="22"/>
    </w:p>
    <w:p w:rsidR="007A5F08" w:rsidRPr="00880065" w:rsidRDefault="002878EC" w:rsidP="00880065">
      <w:pPr>
        <w:pStyle w:val="ECHRPara"/>
        <w:rPr>
          <w:rFonts w:cs="Times New Roman"/>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16</w:t>
      </w:r>
      <w:r w:rsidRPr="00880065">
        <w:rPr>
          <w:lang w:val="en-GB"/>
        </w:rPr>
        <w:fldChar w:fldCharType="end"/>
      </w:r>
      <w:r w:rsidRPr="00880065">
        <w:rPr>
          <w:lang w:val="en-GB"/>
        </w:rPr>
        <w:t>.  </w:t>
      </w:r>
      <w:bookmarkStart w:id="23" w:name="lt_pId063"/>
      <w:r w:rsidR="007A5F08" w:rsidRPr="00880065">
        <w:rPr>
          <w:rFonts w:cs="Times New Roman"/>
          <w:lang w:val="en-GB"/>
        </w:rPr>
        <w:t>The Government indicated that</w:t>
      </w:r>
      <w:r w:rsidR="00804573" w:rsidRPr="00880065">
        <w:rPr>
          <w:rFonts w:cs="Times New Roman"/>
          <w:lang w:val="en-GB"/>
        </w:rPr>
        <w:t xml:space="preserve"> in the period</w:t>
      </w:r>
      <w:r w:rsidR="007A5F08" w:rsidRPr="00880065">
        <w:rPr>
          <w:rFonts w:cs="Times New Roman"/>
          <w:lang w:val="en-GB"/>
        </w:rPr>
        <w:t xml:space="preserve"> before and after the order blocking access to YouTube, between 23 November 2007 and 1 July </w:t>
      </w:r>
      <w:r w:rsidR="007A5F08" w:rsidRPr="00880065">
        <w:rPr>
          <w:rFonts w:cs="Times New Roman"/>
          <w:lang w:val="en-GB"/>
        </w:rPr>
        <w:lastRenderedPageBreak/>
        <w:t xml:space="preserve">2009, 1,785 complaints had been made to the </w:t>
      </w:r>
      <w:r w:rsidR="007A5F08" w:rsidRPr="00880065">
        <w:rPr>
          <w:rFonts w:cs="Times New Roman"/>
        </w:rPr>
        <w:t xml:space="preserve">Telecommunications and Information Technology Directorate (“the TİB”) to the effect that YouTube was hosting </w:t>
      </w:r>
      <w:r w:rsidR="00FC6EFB" w:rsidRPr="00880065">
        <w:rPr>
          <w:rFonts w:cs="Times New Roman"/>
        </w:rPr>
        <w:t xml:space="preserve">content that was </w:t>
      </w:r>
      <w:r w:rsidR="007A5F08" w:rsidRPr="00880065">
        <w:rPr>
          <w:rFonts w:cs="Times New Roman"/>
        </w:rPr>
        <w:t xml:space="preserve">illegal </w:t>
      </w:r>
      <w:r w:rsidR="00FC6EFB" w:rsidRPr="00880065">
        <w:rPr>
          <w:lang w:val="en-GB"/>
        </w:rPr>
        <w:t xml:space="preserve">under </w:t>
      </w:r>
      <w:r w:rsidR="007A5F08" w:rsidRPr="00880065">
        <w:rPr>
          <w:rFonts w:cs="Times New Roman"/>
        </w:rPr>
        <w:t>Law no.</w:t>
      </w:r>
      <w:r w:rsidR="007A5F08" w:rsidRPr="00880065">
        <w:rPr>
          <w:rFonts w:cs="Times New Roman"/>
          <w:lang w:val="en-GB"/>
        </w:rPr>
        <w:t xml:space="preserve"> 5651, in particular concerning sexual abuse of minors and insults to the memory of Atatürk.</w:t>
      </w:r>
    </w:p>
    <w:p w:rsidR="007A5F08" w:rsidRPr="00880065" w:rsidRDefault="007A5F08"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17</w:t>
      </w:r>
      <w:r w:rsidRPr="00880065">
        <w:rPr>
          <w:lang w:val="en-GB"/>
        </w:rPr>
        <w:fldChar w:fldCharType="end"/>
      </w:r>
      <w:r w:rsidRPr="00880065">
        <w:rPr>
          <w:lang w:val="en-GB"/>
        </w:rPr>
        <w:t>.  The Government also stated that prior to the order of 5 May 2008, the domestic courts had already made thirty-four orders blocking access to YouTube on account of illegal content hosted by the site. Following the orders, the TİB had contacted YouTube</w:t>
      </w:r>
      <w:r w:rsidR="00880065" w:rsidRPr="00880065">
        <w:rPr>
          <w:lang w:val="en-GB"/>
        </w:rPr>
        <w:t>’</w:t>
      </w:r>
      <w:r w:rsidRPr="00880065">
        <w:rPr>
          <w:lang w:val="en-GB"/>
        </w:rPr>
        <w:t>s legal representative in Turkey under the “notice and take down” procedure. The order of 5 May 2008</w:t>
      </w:r>
      <w:r w:rsidR="00033CAD" w:rsidRPr="00880065">
        <w:rPr>
          <w:lang w:val="en-GB"/>
        </w:rPr>
        <w:t>, according to the Government,</w:t>
      </w:r>
      <w:r w:rsidRPr="00880065">
        <w:rPr>
          <w:lang w:val="en-GB"/>
        </w:rPr>
        <w:t xml:space="preserve"> indicated that there were ten web addresses (URLs) host</w:t>
      </w:r>
      <w:r w:rsidR="000361C0" w:rsidRPr="00880065">
        <w:rPr>
          <w:lang w:val="en-GB"/>
        </w:rPr>
        <w:t>ing</w:t>
      </w:r>
      <w:r w:rsidRPr="00880065">
        <w:rPr>
          <w:lang w:val="en-GB"/>
        </w:rPr>
        <w:t xml:space="preserve"> defamatory content about Atatürk. Access to six of the pages had been blocked, but the other four </w:t>
      </w:r>
      <w:r w:rsidR="0053111A" w:rsidRPr="00880065">
        <w:rPr>
          <w:lang w:val="en-GB"/>
        </w:rPr>
        <w:t xml:space="preserve">had </w:t>
      </w:r>
      <w:r w:rsidRPr="00880065">
        <w:rPr>
          <w:lang w:val="en-GB"/>
        </w:rPr>
        <w:t xml:space="preserve">remained accessible both </w:t>
      </w:r>
      <w:r w:rsidR="0053111A" w:rsidRPr="00880065">
        <w:rPr>
          <w:lang w:val="en-GB"/>
        </w:rPr>
        <w:t>from within</w:t>
      </w:r>
      <w:r w:rsidRPr="00880065">
        <w:rPr>
          <w:lang w:val="en-GB"/>
        </w:rPr>
        <w:t xml:space="preserve"> Turkey and abroad. Accordingly, the TİB had notified YouTube of its </w:t>
      </w:r>
      <w:r w:rsidR="000361C0" w:rsidRPr="00880065">
        <w:rPr>
          <w:lang w:val="en-GB"/>
        </w:rPr>
        <w:t>decision to remove</w:t>
      </w:r>
      <w:r w:rsidRPr="00880065">
        <w:rPr>
          <w:lang w:val="en-GB"/>
        </w:rPr>
        <w:t xml:space="preserve"> the content in question. However, YouTube had not stopped hosting the offending pages </w:t>
      </w:r>
      <w:r w:rsidR="0053111A" w:rsidRPr="00880065">
        <w:rPr>
          <w:lang w:val="en-GB"/>
        </w:rPr>
        <w:t xml:space="preserve">and </w:t>
      </w:r>
      <w:r w:rsidRPr="00880065">
        <w:rPr>
          <w:lang w:val="en-GB"/>
        </w:rPr>
        <w:t xml:space="preserve">the TİB had had no other solution </w:t>
      </w:r>
      <w:r w:rsidR="00192214" w:rsidRPr="00880065">
        <w:rPr>
          <w:lang w:val="en-GB"/>
        </w:rPr>
        <w:t>than</w:t>
      </w:r>
      <w:r w:rsidRPr="00880065">
        <w:rPr>
          <w:lang w:val="en-GB"/>
        </w:rPr>
        <w:t xml:space="preserve"> to block access to the entire YouTube website, as Turkey had not set up a URL filtering system.</w:t>
      </w:r>
    </w:p>
    <w:p w:rsidR="002878EC" w:rsidRPr="00880065" w:rsidRDefault="007A5F08"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18</w:t>
      </w:r>
      <w:r w:rsidRPr="00880065">
        <w:rPr>
          <w:lang w:val="en-GB"/>
        </w:rPr>
        <w:fldChar w:fldCharType="end"/>
      </w:r>
      <w:r w:rsidRPr="00880065">
        <w:rPr>
          <w:lang w:val="en-GB"/>
        </w:rPr>
        <w:t>.  The applicants stated that following the order of 5 May 2008, access to YouTube had been blocked in Turkey by the TİB until 30 October 2010. On that date, the blocking order in respect of YouTube had been lifted by the competent public prosecutor</w:t>
      </w:r>
      <w:r w:rsidR="00880065" w:rsidRPr="00880065">
        <w:rPr>
          <w:lang w:val="en-GB"/>
        </w:rPr>
        <w:t>’</w:t>
      </w:r>
      <w:r w:rsidRPr="00880065">
        <w:rPr>
          <w:lang w:val="en-GB"/>
        </w:rPr>
        <w:t xml:space="preserve">s office following a request from a company claiming to own the copyright </w:t>
      </w:r>
      <w:r w:rsidR="00D4023F" w:rsidRPr="00880065">
        <w:rPr>
          <w:lang w:val="en-GB"/>
        </w:rPr>
        <w:t>to the videos. However, from 1 </w:t>
      </w:r>
      <w:r w:rsidRPr="00880065">
        <w:rPr>
          <w:lang w:val="en-GB"/>
        </w:rPr>
        <w:t xml:space="preserve">November 2010 YouTube had decided to restore the videos, finding that they did not infringe copyright. The second and third applicants also </w:t>
      </w:r>
      <w:r w:rsidR="003E6837" w:rsidRPr="00880065">
        <w:rPr>
          <w:lang w:val="en-GB"/>
        </w:rPr>
        <w:t>pointed out</w:t>
      </w:r>
      <w:r w:rsidRPr="00880065">
        <w:rPr>
          <w:lang w:val="en-GB"/>
        </w:rPr>
        <w:t xml:space="preserve"> that they had discovered that in January 2015, four video files (nos. 1, 2, 7 and 8) out of the ten </w:t>
      </w:r>
      <w:r w:rsidR="00EE1582" w:rsidRPr="00880065">
        <w:rPr>
          <w:lang w:val="en-GB"/>
        </w:rPr>
        <w:t>concerned by</w:t>
      </w:r>
      <w:r w:rsidRPr="00880065">
        <w:rPr>
          <w:lang w:val="en-GB"/>
        </w:rPr>
        <w:t xml:space="preserve"> the order of 5 May 2008 were still accessible on YouTube. They </w:t>
      </w:r>
      <w:r w:rsidR="00807C62" w:rsidRPr="00880065">
        <w:rPr>
          <w:lang w:val="en-GB"/>
        </w:rPr>
        <w:t>noted</w:t>
      </w:r>
      <w:r w:rsidRPr="00880065">
        <w:rPr>
          <w:lang w:val="en-GB"/>
        </w:rPr>
        <w:t xml:space="preserve"> that among those files, videos nos. 2 and 7 did not include any content that could be construed as insulting the memory of Atatürk and thus fell outside the scope of section 8 of Law no. 5651. In particular, video no. 2 was fourteen seconds long and showed a burning Turkish flag. Video no. 7 was forty-nine seconds long and showed a former chief of staff of the Turkish armed forces. Only videos nos. 1 and 8 might have been </w:t>
      </w:r>
      <w:r w:rsidR="00807C62" w:rsidRPr="00880065">
        <w:rPr>
          <w:lang w:val="en-GB"/>
        </w:rPr>
        <w:t>regarded</w:t>
      </w:r>
      <w:r w:rsidRPr="00880065">
        <w:rPr>
          <w:lang w:val="en-GB"/>
        </w:rPr>
        <w:t xml:space="preserve"> as insulting, but </w:t>
      </w:r>
      <w:r w:rsidR="0053111A" w:rsidRPr="00880065">
        <w:rPr>
          <w:lang w:val="en-GB"/>
        </w:rPr>
        <w:t>there had been no proce</w:t>
      </w:r>
      <w:r w:rsidR="0039215B" w:rsidRPr="00880065">
        <w:rPr>
          <w:lang w:val="en-GB"/>
        </w:rPr>
        <w:t>edings</w:t>
      </w:r>
      <w:r w:rsidRPr="00880065">
        <w:rPr>
          <w:lang w:val="en-GB"/>
        </w:rPr>
        <w:t xml:space="preserve"> to establish that their content was illegal</w:t>
      </w:r>
      <w:bookmarkStart w:id="24" w:name="lt_pId079"/>
      <w:bookmarkEnd w:id="23"/>
      <w:r w:rsidR="001E05DD" w:rsidRPr="00880065">
        <w:rPr>
          <w:lang w:val="en-GB"/>
        </w:rPr>
        <w:t>.</w:t>
      </w:r>
      <w:bookmarkEnd w:id="24"/>
    </w:p>
    <w:p w:rsidR="002878EC" w:rsidRPr="00880065" w:rsidRDefault="002878EC" w:rsidP="00880065">
      <w:pPr>
        <w:pStyle w:val="ECHRHeading1"/>
        <w:rPr>
          <w:lang w:val="en-GB"/>
        </w:rPr>
      </w:pPr>
      <w:bookmarkStart w:id="25" w:name="lt_pId080"/>
      <w:r w:rsidRPr="00880065">
        <w:rPr>
          <w:lang w:val="en-GB"/>
        </w:rPr>
        <w:t>II.</w:t>
      </w:r>
      <w:bookmarkEnd w:id="25"/>
      <w:r w:rsidRPr="00880065">
        <w:rPr>
          <w:lang w:val="en-GB"/>
        </w:rPr>
        <w:t>  </w:t>
      </w:r>
      <w:bookmarkStart w:id="26" w:name="lt_pId081"/>
      <w:r w:rsidRPr="00880065">
        <w:rPr>
          <w:lang w:val="en-GB"/>
        </w:rPr>
        <w:t>RELEVANT DOMESTIC AND INTERNATIONAL LAW AND PRACTICE</w:t>
      </w:r>
      <w:bookmarkEnd w:id="26"/>
    </w:p>
    <w:p w:rsidR="002878EC" w:rsidRPr="00880065" w:rsidRDefault="002878EC" w:rsidP="00880065">
      <w:pPr>
        <w:pStyle w:val="ECHRHeading2"/>
        <w:rPr>
          <w:lang w:val="en-GB"/>
        </w:rPr>
      </w:pPr>
      <w:r w:rsidRPr="00880065">
        <w:rPr>
          <w:lang w:val="en-GB"/>
        </w:rPr>
        <w:t>A.  </w:t>
      </w:r>
      <w:bookmarkStart w:id="27" w:name="lt_pId083"/>
      <w:r w:rsidRPr="00880065">
        <w:rPr>
          <w:lang w:val="en-GB"/>
        </w:rPr>
        <w:t>Internet</w:t>
      </w:r>
      <w:bookmarkEnd w:id="27"/>
      <w:r w:rsidR="001E05DD" w:rsidRPr="00880065">
        <w:rPr>
          <w:lang w:val="en-GB"/>
        </w:rPr>
        <w:t xml:space="preserve"> law</w:t>
      </w:r>
    </w:p>
    <w:p w:rsidR="002878EC" w:rsidRPr="00880065" w:rsidRDefault="002878EC" w:rsidP="00880065">
      <w:pPr>
        <w:pStyle w:val="ECHRPara"/>
        <w:rPr>
          <w:snapToGrid w:val="0"/>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19</w:t>
      </w:r>
      <w:r w:rsidRPr="00880065">
        <w:rPr>
          <w:lang w:val="en-GB"/>
        </w:rPr>
        <w:fldChar w:fldCharType="end"/>
      </w:r>
      <w:r w:rsidRPr="00880065">
        <w:rPr>
          <w:lang w:val="en-GB"/>
        </w:rPr>
        <w:t>.  </w:t>
      </w:r>
      <w:bookmarkStart w:id="28" w:name="lt_pId085"/>
      <w:r w:rsidR="001E05DD" w:rsidRPr="00880065">
        <w:t xml:space="preserve">For a summary of the relevant domestic and international law and practice at the material time, the Court would refer to </w:t>
      </w:r>
      <w:r w:rsidR="001E05DD" w:rsidRPr="00880065">
        <w:rPr>
          <w:i/>
          <w:lang w:val="en-GB"/>
        </w:rPr>
        <w:t>Ahmet Yıldırım v</w:t>
      </w:r>
      <w:r w:rsidRPr="00880065">
        <w:rPr>
          <w:i/>
          <w:lang w:val="en-GB"/>
        </w:rPr>
        <w:t>. </w:t>
      </w:r>
      <w:r w:rsidR="008D40F9" w:rsidRPr="00880065">
        <w:rPr>
          <w:i/>
          <w:lang w:val="en-GB"/>
        </w:rPr>
        <w:t>Turkey</w:t>
      </w:r>
      <w:r w:rsidRPr="00880065">
        <w:rPr>
          <w:lang w:val="en-GB"/>
        </w:rPr>
        <w:t xml:space="preserve"> (n</w:t>
      </w:r>
      <w:r w:rsidR="001E05DD" w:rsidRPr="00880065">
        <w:rPr>
          <w:lang w:val="en-GB"/>
        </w:rPr>
        <w:t>o.</w:t>
      </w:r>
      <w:r w:rsidRPr="00880065">
        <w:rPr>
          <w:snapToGrid w:val="0"/>
          <w:lang w:val="en-GB"/>
        </w:rPr>
        <w:t xml:space="preserve"> 3111/10, §§ 15-37, </w:t>
      </w:r>
      <w:r w:rsidR="001E05DD" w:rsidRPr="00880065">
        <w:rPr>
          <w:snapToGrid w:val="0"/>
          <w:lang w:val="en-GB"/>
        </w:rPr>
        <w:t>ECHR</w:t>
      </w:r>
      <w:r w:rsidRPr="00880065">
        <w:rPr>
          <w:snapToGrid w:val="0"/>
          <w:lang w:val="en-GB"/>
        </w:rPr>
        <w:t xml:space="preserve"> 2012).</w:t>
      </w:r>
      <w:bookmarkEnd w:id="28"/>
    </w:p>
    <w:p w:rsidR="002878EC" w:rsidRPr="00880065" w:rsidRDefault="002878EC" w:rsidP="00880065">
      <w:pPr>
        <w:pStyle w:val="ECHRPara"/>
        <w:rPr>
          <w:lang w:val="en-GB"/>
        </w:rPr>
      </w:pPr>
      <w:r w:rsidRPr="00880065">
        <w:rPr>
          <w:lang w:val="en-GB"/>
        </w:rPr>
        <w:lastRenderedPageBreak/>
        <w:fldChar w:fldCharType="begin"/>
      </w:r>
      <w:r w:rsidRPr="00880065">
        <w:rPr>
          <w:lang w:val="en-GB"/>
        </w:rPr>
        <w:instrText xml:space="preserve"> SEQ level0 \*arabic </w:instrText>
      </w:r>
      <w:r w:rsidRPr="00880065">
        <w:rPr>
          <w:lang w:val="en-GB"/>
        </w:rPr>
        <w:fldChar w:fldCharType="separate"/>
      </w:r>
      <w:r w:rsidR="00880065">
        <w:rPr>
          <w:noProof/>
          <w:lang w:val="en-GB"/>
        </w:rPr>
        <w:t>20</w:t>
      </w:r>
      <w:r w:rsidRPr="00880065">
        <w:rPr>
          <w:lang w:val="en-GB"/>
        </w:rPr>
        <w:fldChar w:fldCharType="end"/>
      </w:r>
      <w:r w:rsidRPr="00880065">
        <w:rPr>
          <w:lang w:val="en-GB"/>
        </w:rPr>
        <w:t>.  </w:t>
      </w:r>
      <w:bookmarkStart w:id="29" w:name="lt_pId087"/>
      <w:r w:rsidRPr="00880065">
        <w:rPr>
          <w:lang w:val="en-GB"/>
        </w:rPr>
        <w:t>Law no. 5651 of 4 May 2007 on regulating Internet publications and combating Internet offences provided as follows, in so far as relevant, at the material time:</w:t>
      </w:r>
      <w:bookmarkEnd w:id="29"/>
    </w:p>
    <w:p w:rsidR="002878EC" w:rsidRPr="00880065" w:rsidRDefault="00766202" w:rsidP="00880065">
      <w:pPr>
        <w:pStyle w:val="ECHRTitleCentre3"/>
        <w:rPr>
          <w:lang w:val="en-GB"/>
        </w:rPr>
      </w:pPr>
      <w:bookmarkStart w:id="30" w:name="lt_pId088"/>
      <w:r w:rsidRPr="00880065">
        <w:rPr>
          <w:lang w:val="en-GB"/>
        </w:rPr>
        <w:t xml:space="preserve">Section 8 – </w:t>
      </w:r>
      <w:r w:rsidR="002878EC" w:rsidRPr="00880065">
        <w:rPr>
          <w:lang w:val="en-GB"/>
        </w:rPr>
        <w:t>Blocking orders and implementation thereof</w:t>
      </w:r>
      <w:bookmarkEnd w:id="30"/>
    </w:p>
    <w:p w:rsidR="002878EC" w:rsidRPr="00880065" w:rsidRDefault="005D3723" w:rsidP="00880065">
      <w:pPr>
        <w:pStyle w:val="ECHRParaQuote"/>
        <w:rPr>
          <w:lang w:val="en-GB"/>
        </w:rPr>
      </w:pPr>
      <w:bookmarkStart w:id="31" w:name="lt_pId089"/>
      <w:r w:rsidRPr="00880065">
        <w:rPr>
          <w:lang w:val="en-GB"/>
        </w:rPr>
        <w:t>“</w:t>
      </w:r>
      <w:r w:rsidR="002878EC" w:rsidRPr="00880065">
        <w:rPr>
          <w:lang w:val="en-GB"/>
        </w:rPr>
        <w:t>(1) A blocking order (</w:t>
      </w:r>
      <w:r w:rsidR="002878EC" w:rsidRPr="00880065">
        <w:rPr>
          <w:i/>
          <w:lang w:val="en-GB"/>
        </w:rPr>
        <w:t>erişimin engellenmesi</w:t>
      </w:r>
      <w:r w:rsidR="002878EC" w:rsidRPr="00880065">
        <w:rPr>
          <w:lang w:val="en-GB"/>
        </w:rPr>
        <w:t>) shall be issued in respect of Internet publications where there are sufficient grounds to suspect that their content is such as to amount to one of the following offences:</w:t>
      </w:r>
      <w:bookmarkEnd w:id="31"/>
    </w:p>
    <w:p w:rsidR="002878EC" w:rsidRPr="00880065" w:rsidRDefault="002878EC" w:rsidP="00880065">
      <w:pPr>
        <w:pStyle w:val="JuQuotSub"/>
        <w:rPr>
          <w:lang w:val="en-GB"/>
        </w:rPr>
      </w:pPr>
      <w:bookmarkStart w:id="32" w:name="lt_pId090"/>
      <w:r w:rsidRPr="00880065">
        <w:rPr>
          <w:lang w:val="en-GB"/>
        </w:rPr>
        <w:t xml:space="preserve">(a) Offences under the Criminal Code </w:t>
      </w:r>
      <w:bookmarkEnd w:id="32"/>
      <w:r w:rsidR="0039215B" w:rsidRPr="00880065">
        <w:rPr>
          <w:lang w:val="en-GB"/>
        </w:rPr>
        <w:t>...</w:t>
      </w:r>
    </w:p>
    <w:p w:rsidR="002878EC" w:rsidRPr="00880065" w:rsidRDefault="002878EC" w:rsidP="00880065">
      <w:pPr>
        <w:pStyle w:val="JuQuotSub"/>
        <w:rPr>
          <w:lang w:val="en-GB"/>
        </w:rPr>
      </w:pPr>
      <w:r w:rsidRPr="00880065">
        <w:rPr>
          <w:lang w:val="en-GB"/>
        </w:rPr>
        <w:tab/>
      </w:r>
      <w:bookmarkStart w:id="33" w:name="lt_pId092"/>
      <w:r w:rsidRPr="00880065">
        <w:rPr>
          <w:lang w:val="en-GB"/>
        </w:rPr>
        <w:t>(1) incitement to suicide (</w:t>
      </w:r>
      <w:r w:rsidR="00FE6A66" w:rsidRPr="00880065">
        <w:rPr>
          <w:lang w:val="en-GB"/>
        </w:rPr>
        <w:t>Article 8</w:t>
      </w:r>
      <w:r w:rsidRPr="00880065">
        <w:rPr>
          <w:lang w:val="en-GB"/>
        </w:rPr>
        <w:t>4);</w:t>
      </w:r>
      <w:bookmarkEnd w:id="33"/>
    </w:p>
    <w:p w:rsidR="002878EC" w:rsidRPr="00880065" w:rsidRDefault="002878EC" w:rsidP="00880065">
      <w:pPr>
        <w:pStyle w:val="JuQuotSub"/>
        <w:rPr>
          <w:lang w:val="en-GB"/>
        </w:rPr>
      </w:pPr>
      <w:r w:rsidRPr="00880065">
        <w:rPr>
          <w:lang w:val="en-GB"/>
        </w:rPr>
        <w:tab/>
      </w:r>
      <w:bookmarkStart w:id="34" w:name="lt_pId094"/>
      <w:r w:rsidRPr="00880065">
        <w:rPr>
          <w:lang w:val="en-GB"/>
        </w:rPr>
        <w:t>(2) sexual abuse of minors (</w:t>
      </w:r>
      <w:r w:rsidR="00FE6A66" w:rsidRPr="00880065">
        <w:rPr>
          <w:lang w:val="en-GB"/>
        </w:rPr>
        <w:t>Article 1</w:t>
      </w:r>
      <w:r w:rsidRPr="00880065">
        <w:rPr>
          <w:lang w:val="en-GB"/>
        </w:rPr>
        <w:t>03 § 1);</w:t>
      </w:r>
      <w:bookmarkEnd w:id="34"/>
    </w:p>
    <w:p w:rsidR="002878EC" w:rsidRPr="00880065" w:rsidRDefault="002878EC" w:rsidP="00880065">
      <w:pPr>
        <w:pStyle w:val="JuQuotSub"/>
        <w:rPr>
          <w:lang w:val="en-GB"/>
        </w:rPr>
      </w:pPr>
      <w:r w:rsidRPr="00880065">
        <w:rPr>
          <w:lang w:val="en-GB"/>
        </w:rPr>
        <w:tab/>
      </w:r>
      <w:bookmarkStart w:id="35" w:name="lt_pId096"/>
      <w:r w:rsidRPr="00880065">
        <w:rPr>
          <w:lang w:val="en-GB"/>
        </w:rPr>
        <w:t>(3) facilitating the use of narcotic drugs (</w:t>
      </w:r>
      <w:r w:rsidR="00FE6A66" w:rsidRPr="00880065">
        <w:rPr>
          <w:lang w:val="en-GB"/>
        </w:rPr>
        <w:t>Article 1</w:t>
      </w:r>
      <w:r w:rsidRPr="00880065">
        <w:rPr>
          <w:lang w:val="en-GB"/>
        </w:rPr>
        <w:t>90);</w:t>
      </w:r>
      <w:bookmarkEnd w:id="35"/>
    </w:p>
    <w:p w:rsidR="002878EC" w:rsidRPr="00880065" w:rsidRDefault="002878EC" w:rsidP="00880065">
      <w:pPr>
        <w:pStyle w:val="JuQuotSub"/>
        <w:rPr>
          <w:lang w:val="en-GB"/>
        </w:rPr>
      </w:pPr>
      <w:r w:rsidRPr="00880065">
        <w:rPr>
          <w:lang w:val="en-GB"/>
        </w:rPr>
        <w:tab/>
      </w:r>
      <w:bookmarkStart w:id="36" w:name="lt_pId098"/>
      <w:r w:rsidRPr="00880065">
        <w:rPr>
          <w:lang w:val="en-GB"/>
        </w:rPr>
        <w:t>(4) supplying products dangerous to health (</w:t>
      </w:r>
      <w:r w:rsidR="00FE6A66" w:rsidRPr="00880065">
        <w:rPr>
          <w:lang w:val="en-GB"/>
        </w:rPr>
        <w:t>Article 1</w:t>
      </w:r>
      <w:r w:rsidRPr="00880065">
        <w:rPr>
          <w:lang w:val="en-GB"/>
        </w:rPr>
        <w:t>94);</w:t>
      </w:r>
      <w:bookmarkEnd w:id="36"/>
    </w:p>
    <w:p w:rsidR="002878EC" w:rsidRPr="00880065" w:rsidRDefault="002878EC" w:rsidP="00880065">
      <w:pPr>
        <w:pStyle w:val="JuQuotSub"/>
        <w:rPr>
          <w:lang w:val="en-GB"/>
        </w:rPr>
      </w:pPr>
      <w:r w:rsidRPr="00880065">
        <w:rPr>
          <w:lang w:val="en-GB"/>
        </w:rPr>
        <w:tab/>
      </w:r>
      <w:bookmarkStart w:id="37" w:name="lt_pId100"/>
      <w:r w:rsidRPr="00880065">
        <w:rPr>
          <w:lang w:val="en-GB"/>
        </w:rPr>
        <w:t>(5) obscenity (</w:t>
      </w:r>
      <w:r w:rsidR="00FE6A66" w:rsidRPr="00880065">
        <w:rPr>
          <w:lang w:val="en-GB"/>
        </w:rPr>
        <w:t>Article 2</w:t>
      </w:r>
      <w:r w:rsidRPr="00880065">
        <w:rPr>
          <w:lang w:val="en-GB"/>
        </w:rPr>
        <w:t>26);</w:t>
      </w:r>
      <w:bookmarkEnd w:id="37"/>
    </w:p>
    <w:p w:rsidR="002878EC" w:rsidRPr="00880065" w:rsidRDefault="002878EC" w:rsidP="00880065">
      <w:pPr>
        <w:pStyle w:val="JuQuotSub"/>
        <w:rPr>
          <w:lang w:val="en-GB"/>
        </w:rPr>
      </w:pPr>
      <w:r w:rsidRPr="00880065">
        <w:rPr>
          <w:lang w:val="en-GB"/>
        </w:rPr>
        <w:tab/>
      </w:r>
      <w:bookmarkStart w:id="38" w:name="lt_pId102"/>
      <w:r w:rsidRPr="00880065">
        <w:rPr>
          <w:lang w:val="en-GB"/>
        </w:rPr>
        <w:t>(6) prostitution (</w:t>
      </w:r>
      <w:r w:rsidR="00FE6A66" w:rsidRPr="00880065">
        <w:rPr>
          <w:lang w:val="en-GB"/>
        </w:rPr>
        <w:t>Article 2</w:t>
      </w:r>
      <w:r w:rsidRPr="00880065">
        <w:rPr>
          <w:lang w:val="en-GB"/>
        </w:rPr>
        <w:t>27);</w:t>
      </w:r>
      <w:bookmarkEnd w:id="38"/>
    </w:p>
    <w:p w:rsidR="002878EC" w:rsidRPr="00880065" w:rsidRDefault="002878EC" w:rsidP="00880065">
      <w:pPr>
        <w:pStyle w:val="JuQuotSub"/>
        <w:rPr>
          <w:lang w:val="en-GB"/>
        </w:rPr>
      </w:pPr>
      <w:r w:rsidRPr="00880065">
        <w:rPr>
          <w:lang w:val="en-GB"/>
        </w:rPr>
        <w:tab/>
      </w:r>
      <w:bookmarkStart w:id="39" w:name="lt_pId104"/>
      <w:r w:rsidRPr="00880065">
        <w:rPr>
          <w:lang w:val="en-GB"/>
        </w:rPr>
        <w:t>(7) hosting gambling activities (</w:t>
      </w:r>
      <w:r w:rsidR="00FE6A66" w:rsidRPr="00880065">
        <w:rPr>
          <w:lang w:val="en-GB"/>
        </w:rPr>
        <w:t>Article 2</w:t>
      </w:r>
      <w:r w:rsidRPr="00880065">
        <w:rPr>
          <w:lang w:val="en-GB"/>
        </w:rPr>
        <w:t>28);</w:t>
      </w:r>
      <w:bookmarkEnd w:id="39"/>
    </w:p>
    <w:p w:rsidR="002878EC" w:rsidRPr="00880065" w:rsidRDefault="002878EC" w:rsidP="00880065">
      <w:pPr>
        <w:pStyle w:val="JuQuotSub"/>
        <w:rPr>
          <w:lang w:val="en-GB"/>
        </w:rPr>
      </w:pPr>
      <w:bookmarkStart w:id="40" w:name="lt_pId105"/>
      <w:r w:rsidRPr="00880065">
        <w:rPr>
          <w:lang w:val="en-GB"/>
        </w:rPr>
        <w:t>(b) offences against the memory of Atatürk under Law no. 5816 of 25 July 1951 ...</w:t>
      </w:r>
      <w:bookmarkEnd w:id="40"/>
    </w:p>
    <w:p w:rsidR="002878EC" w:rsidRPr="00880065" w:rsidRDefault="002878EC" w:rsidP="00880065">
      <w:pPr>
        <w:pStyle w:val="ECHRParaQuote"/>
        <w:rPr>
          <w:lang w:val="en-GB"/>
        </w:rPr>
      </w:pPr>
      <w:bookmarkStart w:id="41" w:name="lt_pId106"/>
      <w:r w:rsidRPr="00880065">
        <w:rPr>
          <w:lang w:val="en-GB"/>
        </w:rPr>
        <w:t>(2) The blocking order shall be issued by a judge if the case is at the investigation stage or by the court if a prosecution has been brought.</w:t>
      </w:r>
      <w:bookmarkEnd w:id="41"/>
      <w:r w:rsidRPr="00880065">
        <w:rPr>
          <w:lang w:val="en-GB"/>
        </w:rPr>
        <w:t xml:space="preserve"> </w:t>
      </w:r>
      <w:bookmarkStart w:id="42" w:name="lt_pId107"/>
      <w:r w:rsidRPr="00880065">
        <w:rPr>
          <w:lang w:val="en-GB"/>
        </w:rPr>
        <w:t>During the investigation, the blocking of access may be ordered by the public prosecutor in cases where a delay in acting could have harmful effects.</w:t>
      </w:r>
      <w:bookmarkEnd w:id="42"/>
      <w:r w:rsidRPr="00880065">
        <w:rPr>
          <w:lang w:val="en-GB"/>
        </w:rPr>
        <w:t xml:space="preserve"> </w:t>
      </w:r>
      <w:bookmarkStart w:id="43" w:name="lt_pId108"/>
      <w:r w:rsidRPr="00880065">
        <w:rPr>
          <w:lang w:val="en-GB"/>
        </w:rPr>
        <w:t>The order must then be submitted to the judge for approval within twenty-four hours.</w:t>
      </w:r>
      <w:bookmarkEnd w:id="43"/>
      <w:r w:rsidRPr="00880065">
        <w:rPr>
          <w:lang w:val="en-GB"/>
        </w:rPr>
        <w:t xml:space="preserve"> </w:t>
      </w:r>
      <w:bookmarkStart w:id="44" w:name="lt_pId109"/>
      <w:r w:rsidRPr="00880065">
        <w:rPr>
          <w:lang w:val="en-GB"/>
        </w:rPr>
        <w:t>The judge must give a decision within a further twenty-four hours.</w:t>
      </w:r>
      <w:bookmarkEnd w:id="44"/>
      <w:r w:rsidRPr="00880065">
        <w:rPr>
          <w:lang w:val="en-GB"/>
        </w:rPr>
        <w:t xml:space="preserve"> </w:t>
      </w:r>
      <w:bookmarkStart w:id="45" w:name="lt_pId110"/>
      <w:r w:rsidRPr="00880065">
        <w:rPr>
          <w:lang w:val="en-GB"/>
        </w:rPr>
        <w:t>If he or she does not approve the blocking of access, the measure shall be lifted by the prosecutor forthwith.</w:t>
      </w:r>
      <w:bookmarkEnd w:id="45"/>
      <w:r w:rsidRPr="00880065">
        <w:rPr>
          <w:lang w:val="en-GB"/>
        </w:rPr>
        <w:t xml:space="preserve"> </w:t>
      </w:r>
      <w:bookmarkStart w:id="46" w:name="lt_pId111"/>
      <w:r w:rsidRPr="00880065">
        <w:rPr>
          <w:lang w:val="en-GB"/>
        </w:rPr>
        <w:t>Blocking orders issued as a preventive measure may be appealed against in accordance with the provisions of the Code of Criminal Procedure (Law no. 5271).</w:t>
      </w:r>
      <w:bookmarkEnd w:id="46"/>
    </w:p>
    <w:p w:rsidR="002878EC" w:rsidRPr="00880065" w:rsidRDefault="002878EC" w:rsidP="00880065">
      <w:pPr>
        <w:pStyle w:val="ECHRParaQuote"/>
        <w:rPr>
          <w:lang w:val="en-GB"/>
        </w:rPr>
      </w:pPr>
      <w:bookmarkStart w:id="47" w:name="lt_pId112"/>
      <w:r w:rsidRPr="00880065">
        <w:rPr>
          <w:lang w:val="en-GB"/>
        </w:rPr>
        <w:t>(3) A copy of the blocking order issued by the judge, court or public prosecutor shall be sent to the [Telecommunications and Information Technology] Directorate for execution.</w:t>
      </w:r>
      <w:bookmarkEnd w:id="47"/>
    </w:p>
    <w:p w:rsidR="002878EC" w:rsidRPr="00880065" w:rsidRDefault="002878EC" w:rsidP="00880065">
      <w:pPr>
        <w:pStyle w:val="ECHRParaQuote"/>
        <w:rPr>
          <w:lang w:val="en-GB"/>
        </w:rPr>
      </w:pPr>
      <w:bookmarkStart w:id="48" w:name="lt_pId113"/>
      <w:r w:rsidRPr="00880065">
        <w:rPr>
          <w:lang w:val="en-GB"/>
        </w:rPr>
        <w:t>(4) Where the content provider or the host</w:t>
      </w:r>
      <w:r w:rsidR="0039215B" w:rsidRPr="00880065">
        <w:rPr>
          <w:lang w:val="en-GB"/>
        </w:rPr>
        <w:t>ing service provider is abroad ...</w:t>
      </w:r>
      <w:r w:rsidRPr="00880065">
        <w:rPr>
          <w:lang w:val="en-GB"/>
        </w:rPr>
        <w:t xml:space="preserve"> the blocking order shall be issued by the Directorate of its own motion.</w:t>
      </w:r>
      <w:bookmarkEnd w:id="48"/>
      <w:r w:rsidRPr="00880065">
        <w:rPr>
          <w:lang w:val="en-GB"/>
        </w:rPr>
        <w:t xml:space="preserve"> </w:t>
      </w:r>
      <w:bookmarkStart w:id="49" w:name="lt_pId114"/>
      <w:r w:rsidRPr="00880065">
        <w:rPr>
          <w:lang w:val="en-GB"/>
        </w:rPr>
        <w:t>It shall then be notified to the access provider with a request for execution.</w:t>
      </w:r>
      <w:bookmarkEnd w:id="49"/>
    </w:p>
    <w:p w:rsidR="002878EC" w:rsidRPr="00880065" w:rsidRDefault="002878EC" w:rsidP="00880065">
      <w:pPr>
        <w:pStyle w:val="ECHRParaQuote"/>
        <w:rPr>
          <w:lang w:val="en-GB"/>
        </w:rPr>
      </w:pPr>
      <w:bookmarkStart w:id="50" w:name="lt_pId115"/>
      <w:r w:rsidRPr="00880065">
        <w:rPr>
          <w:lang w:val="en-GB"/>
        </w:rPr>
        <w:t>(5) Blocking orders shall be implemented immediately or at the latest twenty-four hours after notification.</w:t>
      </w:r>
      <w:bookmarkEnd w:id="50"/>
    </w:p>
    <w:p w:rsidR="002878EC" w:rsidRPr="00880065" w:rsidRDefault="00FE6A66" w:rsidP="00880065">
      <w:pPr>
        <w:pStyle w:val="ECHRParaQuote"/>
        <w:rPr>
          <w:lang w:val="en-GB"/>
        </w:rPr>
      </w:pPr>
      <w:r w:rsidRPr="00880065">
        <w:rPr>
          <w:lang w:val="en-GB"/>
        </w:rPr>
        <w:t>...</w:t>
      </w:r>
    </w:p>
    <w:p w:rsidR="002878EC" w:rsidRPr="00880065" w:rsidRDefault="002878EC" w:rsidP="00880065">
      <w:pPr>
        <w:pStyle w:val="ECHRParaQuote"/>
        <w:rPr>
          <w:lang w:val="en-GB"/>
        </w:rPr>
      </w:pPr>
      <w:bookmarkStart w:id="51" w:name="lt_pId117"/>
      <w:r w:rsidRPr="00880065">
        <w:rPr>
          <w:lang w:val="en-GB"/>
        </w:rPr>
        <w:t xml:space="preserve">(7) If the criminal investigation ends in a decision to discontinue the proceedings, the blocking order shall automatically cease to apply </w:t>
      </w:r>
      <w:bookmarkEnd w:id="51"/>
      <w:r w:rsidR="0039215B" w:rsidRPr="00880065">
        <w:rPr>
          <w:lang w:val="en-GB"/>
        </w:rPr>
        <w:t>...</w:t>
      </w:r>
    </w:p>
    <w:p w:rsidR="002878EC" w:rsidRPr="00880065" w:rsidRDefault="002878EC" w:rsidP="00880065">
      <w:pPr>
        <w:pStyle w:val="ECHRParaQuote"/>
        <w:rPr>
          <w:lang w:val="en-GB"/>
        </w:rPr>
      </w:pPr>
      <w:bookmarkStart w:id="52" w:name="lt_pId118"/>
      <w:r w:rsidRPr="00880065">
        <w:rPr>
          <w:lang w:val="en-GB"/>
        </w:rPr>
        <w:t xml:space="preserve">(8) Where the trial ends in an acquittal, the blocking order shall automatically cease to apply </w:t>
      </w:r>
      <w:bookmarkEnd w:id="52"/>
      <w:r w:rsidR="0039215B" w:rsidRPr="00880065">
        <w:rPr>
          <w:lang w:val="en-GB"/>
        </w:rPr>
        <w:t>...</w:t>
      </w:r>
    </w:p>
    <w:p w:rsidR="002878EC" w:rsidRPr="00880065" w:rsidRDefault="002878EC" w:rsidP="00880065">
      <w:pPr>
        <w:pStyle w:val="ECHRParaQuote"/>
        <w:rPr>
          <w:lang w:val="en-GB"/>
        </w:rPr>
      </w:pPr>
      <w:bookmarkStart w:id="53" w:name="lt_pId119"/>
      <w:r w:rsidRPr="00880065">
        <w:rPr>
          <w:lang w:val="en-GB"/>
        </w:rPr>
        <w:t xml:space="preserve">(9) If the illegal content is removed, the </w:t>
      </w:r>
      <w:r w:rsidR="0039215B" w:rsidRPr="00880065">
        <w:rPr>
          <w:lang w:val="en-GB"/>
        </w:rPr>
        <w:t>blocking order shall be lifted ...</w:t>
      </w:r>
      <w:r w:rsidR="005D3723" w:rsidRPr="00880065">
        <w:rPr>
          <w:lang w:val="en-GB"/>
        </w:rPr>
        <w:t>”</w:t>
      </w:r>
      <w:bookmarkEnd w:id="53"/>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21</w:t>
      </w:r>
      <w:r w:rsidRPr="00880065">
        <w:rPr>
          <w:lang w:val="en-GB"/>
        </w:rPr>
        <w:fldChar w:fldCharType="end"/>
      </w:r>
      <w:r w:rsidRPr="00880065">
        <w:rPr>
          <w:lang w:val="en-GB"/>
        </w:rPr>
        <w:t>.  </w:t>
      </w:r>
      <w:bookmarkStart w:id="54" w:name="lt_pId121"/>
      <w:r w:rsidR="00162D82" w:rsidRPr="00880065">
        <w:rPr>
          <w:lang w:val="en-GB"/>
        </w:rPr>
        <w:t>The Gov</w:t>
      </w:r>
      <w:r w:rsidR="00FE6A66" w:rsidRPr="00880065">
        <w:rPr>
          <w:lang w:val="en-GB"/>
        </w:rPr>
        <w:t>ernment</w:t>
      </w:r>
      <w:r w:rsidRPr="00880065">
        <w:rPr>
          <w:lang w:val="en-GB"/>
        </w:rPr>
        <w:t xml:space="preserve"> </w:t>
      </w:r>
      <w:r w:rsidR="001E05DD" w:rsidRPr="00880065">
        <w:rPr>
          <w:lang w:val="en-GB"/>
        </w:rPr>
        <w:t>stated that two significant amendments had recently been made to</w:t>
      </w:r>
      <w:r w:rsidRPr="00880065">
        <w:rPr>
          <w:lang w:val="en-GB"/>
        </w:rPr>
        <w:t xml:space="preserve"> </w:t>
      </w:r>
      <w:r w:rsidR="001E05DD" w:rsidRPr="00880065">
        <w:rPr>
          <w:lang w:val="en-GB"/>
        </w:rPr>
        <w:t>Law no.</w:t>
      </w:r>
      <w:r w:rsidRPr="00880065">
        <w:rPr>
          <w:lang w:val="en-GB"/>
        </w:rPr>
        <w:t xml:space="preserve"> 5651.</w:t>
      </w:r>
      <w:bookmarkEnd w:id="54"/>
      <w:r w:rsidRPr="00880065">
        <w:rPr>
          <w:lang w:val="en-GB"/>
        </w:rPr>
        <w:t xml:space="preserve"> </w:t>
      </w:r>
      <w:bookmarkStart w:id="55" w:name="lt_pId122"/>
      <w:r w:rsidR="006222D3" w:rsidRPr="00880065">
        <w:rPr>
          <w:lang w:val="en-GB"/>
        </w:rPr>
        <w:t xml:space="preserve">The prison sentences provided for by </w:t>
      </w:r>
      <w:r w:rsidR="006222D3" w:rsidRPr="00880065">
        <w:rPr>
          <w:lang w:val="en-GB"/>
        </w:rPr>
        <w:lastRenderedPageBreak/>
        <w:t>the Law had been replaced by fines and the effective protection of personal rights had been increased; also, blocking orders were now limited in time.</w:t>
      </w:r>
      <w:bookmarkEnd w:id="55"/>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22</w:t>
      </w:r>
      <w:r w:rsidRPr="00880065">
        <w:rPr>
          <w:lang w:val="en-GB"/>
        </w:rPr>
        <w:fldChar w:fldCharType="end"/>
      </w:r>
      <w:r w:rsidRPr="00880065">
        <w:rPr>
          <w:rFonts w:ascii="Times New Roman" w:eastAsia="Times New Roman" w:hAnsi="Times New Roman" w:cs="Times New Roman"/>
          <w:lang w:val="en-GB"/>
        </w:rPr>
        <w:t>.  </w:t>
      </w:r>
      <w:bookmarkStart w:id="56" w:name="lt_pId124"/>
      <w:r w:rsidR="00D81A21" w:rsidRPr="00880065">
        <w:rPr>
          <w:rFonts w:ascii="Times New Roman" w:eastAsia="Times New Roman" w:hAnsi="Times New Roman" w:cs="Times New Roman"/>
          <w:lang w:val="en-GB"/>
        </w:rPr>
        <w:t>In addition, t</w:t>
      </w:r>
      <w:r w:rsidR="00442C3F" w:rsidRPr="00880065">
        <w:rPr>
          <w:rFonts w:ascii="Times New Roman" w:eastAsia="Times New Roman" w:hAnsi="Times New Roman" w:cs="Times New Roman"/>
          <w:lang w:val="en-GB"/>
        </w:rPr>
        <w:t>he Court observes that</w:t>
      </w:r>
      <w:r w:rsidRPr="00880065">
        <w:rPr>
          <w:rStyle w:val="Odwoanieprzypisudolnego"/>
          <w:rFonts w:ascii="Times New Roman" w:eastAsia="Times New Roman" w:hAnsi="Times New Roman" w:cs="Times New Roman"/>
          <w:lang w:val="en-GB"/>
        </w:rPr>
        <w:footnoteReference w:id="1"/>
      </w:r>
      <w:r w:rsidRPr="00880065">
        <w:rPr>
          <w:rFonts w:ascii="Times New Roman" w:eastAsia="Times New Roman" w:hAnsi="Times New Roman" w:cs="Times New Roman"/>
          <w:lang w:val="en-GB"/>
        </w:rPr>
        <w:t xml:space="preserve"> </w:t>
      </w:r>
      <w:r w:rsidR="00442C3F" w:rsidRPr="00880065">
        <w:rPr>
          <w:rFonts w:ascii="Times New Roman" w:eastAsia="Times New Roman" w:hAnsi="Times New Roman" w:cs="Times New Roman"/>
          <w:lang w:val="en-GB"/>
        </w:rPr>
        <w:t xml:space="preserve">Law no. </w:t>
      </w:r>
      <w:r w:rsidRPr="00880065">
        <w:rPr>
          <w:rFonts w:ascii="Times New Roman" w:eastAsia="Times New Roman" w:hAnsi="Times New Roman" w:cs="Times New Roman"/>
          <w:lang w:val="en-GB"/>
        </w:rPr>
        <w:t>6639</w:t>
      </w:r>
      <w:r w:rsidR="00442C3F" w:rsidRPr="00880065">
        <w:rPr>
          <w:rFonts w:ascii="Times New Roman" w:eastAsia="Times New Roman" w:hAnsi="Times New Roman" w:cs="Times New Roman"/>
          <w:lang w:val="en-GB"/>
        </w:rPr>
        <w:t>, enacted on</w:t>
      </w:r>
      <w:r w:rsidRPr="00880065">
        <w:rPr>
          <w:rFonts w:ascii="Times New Roman" w:eastAsia="Times New Roman" w:hAnsi="Times New Roman" w:cs="Times New Roman"/>
          <w:lang w:val="en-GB"/>
        </w:rPr>
        <w:t xml:space="preserve"> </w:t>
      </w:r>
      <w:r w:rsidR="00FE6A66" w:rsidRPr="00880065">
        <w:rPr>
          <w:rFonts w:ascii="Times New Roman" w:eastAsia="Times New Roman" w:hAnsi="Times New Roman" w:cs="Times New Roman"/>
          <w:lang w:val="en-GB"/>
        </w:rPr>
        <w:t>2</w:t>
      </w:r>
      <w:r w:rsidRPr="00880065">
        <w:rPr>
          <w:rFonts w:ascii="Times New Roman" w:eastAsia="Times New Roman" w:hAnsi="Times New Roman" w:cs="Times New Roman"/>
          <w:lang w:val="en-GB"/>
        </w:rPr>
        <w:t>7 </w:t>
      </w:r>
      <w:r w:rsidR="009C5882" w:rsidRPr="00880065">
        <w:rPr>
          <w:rFonts w:ascii="Times New Roman" w:eastAsia="Times New Roman" w:hAnsi="Times New Roman" w:cs="Times New Roman"/>
          <w:lang w:val="en-GB"/>
        </w:rPr>
        <w:t>Mar</w:t>
      </w:r>
      <w:r w:rsidR="00442C3F" w:rsidRPr="00880065">
        <w:rPr>
          <w:rFonts w:ascii="Times New Roman" w:eastAsia="Times New Roman" w:hAnsi="Times New Roman" w:cs="Times New Roman"/>
          <w:lang w:val="en-GB"/>
        </w:rPr>
        <w:t>ch</w:t>
      </w:r>
      <w:r w:rsidRPr="00880065">
        <w:rPr>
          <w:rFonts w:ascii="Times New Roman" w:eastAsia="Times New Roman" w:hAnsi="Times New Roman" w:cs="Times New Roman"/>
          <w:lang w:val="en-GB"/>
        </w:rPr>
        <w:t xml:space="preserve"> 2015, </w:t>
      </w:r>
      <w:r w:rsidR="007D3922" w:rsidRPr="00880065">
        <w:rPr>
          <w:rFonts w:ascii="Times New Roman" w:eastAsia="Times New Roman" w:hAnsi="Times New Roman" w:cs="Times New Roman"/>
          <w:lang w:val="en-GB"/>
        </w:rPr>
        <w:t xml:space="preserve">inserted </w:t>
      </w:r>
      <w:r w:rsidR="00442C3F" w:rsidRPr="00880065">
        <w:rPr>
          <w:rFonts w:ascii="Times New Roman" w:eastAsia="Times New Roman" w:hAnsi="Times New Roman" w:cs="Times New Roman"/>
          <w:lang w:val="en-GB"/>
        </w:rPr>
        <w:t>a new section</w:t>
      </w:r>
      <w:r w:rsidR="00FE6A66" w:rsidRPr="00880065">
        <w:rPr>
          <w:rFonts w:ascii="Times New Roman" w:eastAsia="Times New Roman" w:hAnsi="Times New Roman" w:cs="Times New Roman"/>
          <w:lang w:val="en-GB"/>
        </w:rPr>
        <w:t xml:space="preserve"> 8</w:t>
      </w:r>
      <w:r w:rsidRPr="00880065">
        <w:rPr>
          <w:rFonts w:ascii="Times New Roman" w:eastAsia="Times New Roman" w:hAnsi="Times New Roman" w:cs="Times New Roman"/>
          <w:lang w:val="en-GB"/>
        </w:rPr>
        <w:t xml:space="preserve">A </w:t>
      </w:r>
      <w:r w:rsidR="007D3922" w:rsidRPr="00880065">
        <w:rPr>
          <w:rFonts w:ascii="Times New Roman" w:eastAsia="Times New Roman" w:hAnsi="Times New Roman" w:cs="Times New Roman"/>
          <w:lang w:val="en-GB"/>
        </w:rPr>
        <w:t>into Law no.</w:t>
      </w:r>
      <w:r w:rsidRPr="00880065">
        <w:rPr>
          <w:lang w:val="en-GB"/>
        </w:rPr>
        <w:t xml:space="preserve"> 5651.</w:t>
      </w:r>
      <w:bookmarkEnd w:id="56"/>
      <w:r w:rsidRPr="00880065">
        <w:rPr>
          <w:lang w:val="en-GB"/>
        </w:rPr>
        <w:t xml:space="preserve"> </w:t>
      </w:r>
      <w:bookmarkStart w:id="59" w:name="lt_pId125"/>
      <w:r w:rsidR="007D3922" w:rsidRPr="00880065">
        <w:rPr>
          <w:lang w:val="en-GB"/>
        </w:rPr>
        <w:t>The new provision</w:t>
      </w:r>
      <w:r w:rsidRPr="00880065">
        <w:rPr>
          <w:lang w:val="en-GB"/>
        </w:rPr>
        <w:t xml:space="preserve"> </w:t>
      </w:r>
      <w:r w:rsidR="007D3922" w:rsidRPr="00880065">
        <w:rPr>
          <w:lang w:val="en-GB"/>
        </w:rPr>
        <w:t>authorises</w:t>
      </w:r>
      <w:r w:rsidRPr="00880065">
        <w:rPr>
          <w:lang w:val="en-GB"/>
        </w:rPr>
        <w:t xml:space="preserve"> </w:t>
      </w:r>
      <w:r w:rsidR="00162D82" w:rsidRPr="00880065">
        <w:rPr>
          <w:lang w:val="en-GB"/>
        </w:rPr>
        <w:t>the TİB</w:t>
      </w:r>
      <w:r w:rsidRPr="00880065">
        <w:rPr>
          <w:lang w:val="en-GB"/>
        </w:rPr>
        <w:t xml:space="preserve">, </w:t>
      </w:r>
      <w:r w:rsidR="007D3922" w:rsidRPr="00880065">
        <w:rPr>
          <w:lang w:val="en-GB"/>
        </w:rPr>
        <w:t>further to a request to that effect from the Prime Minist</w:t>
      </w:r>
      <w:r w:rsidRPr="00880065">
        <w:rPr>
          <w:lang w:val="en-GB"/>
        </w:rPr>
        <w:t>e</w:t>
      </w:r>
      <w:r w:rsidR="007D3922" w:rsidRPr="00880065">
        <w:rPr>
          <w:lang w:val="en-GB"/>
        </w:rPr>
        <w:t>r</w:t>
      </w:r>
      <w:r w:rsidRPr="00880065">
        <w:rPr>
          <w:lang w:val="en-GB"/>
        </w:rPr>
        <w:t xml:space="preserve"> </w:t>
      </w:r>
      <w:r w:rsidR="007D3922" w:rsidRPr="00880065">
        <w:rPr>
          <w:lang w:val="en-GB"/>
        </w:rPr>
        <w:t>or a ministry</w:t>
      </w:r>
      <w:r w:rsidRPr="00880065">
        <w:rPr>
          <w:lang w:val="en-GB"/>
        </w:rPr>
        <w:t xml:space="preserve">, </w:t>
      </w:r>
      <w:r w:rsidR="007D3922" w:rsidRPr="00880065">
        <w:rPr>
          <w:lang w:val="en-GB"/>
        </w:rPr>
        <w:t>to</w:t>
      </w:r>
      <w:r w:rsidRPr="00880065">
        <w:rPr>
          <w:lang w:val="en-GB"/>
        </w:rPr>
        <w:t xml:space="preserve"> ord</w:t>
      </w:r>
      <w:r w:rsidR="007D3922" w:rsidRPr="00880065">
        <w:rPr>
          <w:lang w:val="en-GB"/>
        </w:rPr>
        <w:t>er the deletion of the content of a web page and/or the blocking of access to such content.</w:t>
      </w:r>
      <w:bookmarkStart w:id="60" w:name="lt_pId126"/>
      <w:bookmarkEnd w:id="59"/>
      <w:r w:rsidR="007D3922" w:rsidRPr="00880065">
        <w:rPr>
          <w:lang w:val="en-GB"/>
        </w:rPr>
        <w:t xml:space="preserve"> It also explicitly states for the first time that the blocking of access to an entire website is permitted.</w:t>
      </w:r>
      <w:r w:rsidRPr="00880065">
        <w:rPr>
          <w:lang w:val="en-GB"/>
        </w:rPr>
        <w:t xml:space="preserve"> </w:t>
      </w:r>
      <w:r w:rsidR="007D3922" w:rsidRPr="00880065">
        <w:rPr>
          <w:lang w:val="en-GB"/>
        </w:rPr>
        <w:t>Subsection (3) of section 8A reads:</w:t>
      </w:r>
      <w:bookmarkEnd w:id="60"/>
    </w:p>
    <w:p w:rsidR="002878EC" w:rsidRPr="00880065" w:rsidRDefault="00FE6A66" w:rsidP="00880065">
      <w:pPr>
        <w:pStyle w:val="ECHRParaQuote"/>
        <w:rPr>
          <w:lang w:val="en-GB"/>
        </w:rPr>
      </w:pPr>
      <w:bookmarkStart w:id="61" w:name="lt_pId128"/>
      <w:r w:rsidRPr="00880065">
        <w:rPr>
          <w:lang w:val="en-GB"/>
        </w:rPr>
        <w:t>“</w:t>
      </w:r>
      <w:r w:rsidR="0063472A" w:rsidRPr="00880065">
        <w:rPr>
          <w:lang w:val="en-GB"/>
        </w:rPr>
        <w:t xml:space="preserve">Blocking orders issued in accordance with this provision shall be aimed at blocking access to the content of the chapter or part of the </w:t>
      </w:r>
      <w:r w:rsidR="002878EC" w:rsidRPr="00880065">
        <w:rPr>
          <w:lang w:val="en-GB"/>
        </w:rPr>
        <w:t xml:space="preserve">publication (URL </w:t>
      </w:r>
      <w:r w:rsidR="0063472A" w:rsidRPr="00880065">
        <w:rPr>
          <w:lang w:val="en-GB"/>
        </w:rPr>
        <w:t>or other</w:t>
      </w:r>
      <w:r w:rsidR="002878EC" w:rsidRPr="00880065">
        <w:rPr>
          <w:lang w:val="en-GB"/>
        </w:rPr>
        <w:t xml:space="preserve">) </w:t>
      </w:r>
      <w:r w:rsidR="0063472A" w:rsidRPr="00880065">
        <w:rPr>
          <w:lang w:val="en-GB"/>
        </w:rPr>
        <w:t>constituting the offence</w:t>
      </w:r>
      <w:r w:rsidR="002878EC" w:rsidRPr="00880065">
        <w:rPr>
          <w:lang w:val="en-GB"/>
        </w:rPr>
        <w:t>.</w:t>
      </w:r>
      <w:bookmarkEnd w:id="61"/>
      <w:r w:rsidR="002878EC" w:rsidRPr="00880065">
        <w:rPr>
          <w:lang w:val="en-GB"/>
        </w:rPr>
        <w:t xml:space="preserve"> </w:t>
      </w:r>
      <w:bookmarkStart w:id="62" w:name="lt_pId129"/>
      <w:r w:rsidR="0063472A" w:rsidRPr="00880065">
        <w:rPr>
          <w:lang w:val="en-GB"/>
        </w:rPr>
        <w:t>Where it is not technically possible to block access to the offending content or where the blocking of access to the offending content does not prevent the offence, access to the entire website may be blocked.</w:t>
      </w:r>
      <w:r w:rsidRPr="00880065">
        <w:rPr>
          <w:lang w:val="en-GB"/>
        </w:rPr>
        <w:t>”</w:t>
      </w:r>
      <w:bookmarkEnd w:id="62"/>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23</w:t>
      </w:r>
      <w:r w:rsidRPr="00880065">
        <w:rPr>
          <w:lang w:val="en-GB"/>
        </w:rPr>
        <w:fldChar w:fldCharType="end"/>
      </w:r>
      <w:r w:rsidRPr="00880065">
        <w:rPr>
          <w:lang w:val="en-GB"/>
        </w:rPr>
        <w:t>.  </w:t>
      </w:r>
      <w:bookmarkStart w:id="63" w:name="lt_pId131"/>
      <w:r w:rsidR="00162D82" w:rsidRPr="00880065">
        <w:rPr>
          <w:lang w:val="en-GB"/>
        </w:rPr>
        <w:t>The Gov</w:t>
      </w:r>
      <w:r w:rsidR="00FE6A66" w:rsidRPr="00880065">
        <w:rPr>
          <w:lang w:val="en-GB"/>
        </w:rPr>
        <w:t>ernment</w:t>
      </w:r>
      <w:r w:rsidRPr="00880065">
        <w:rPr>
          <w:lang w:val="en-GB"/>
        </w:rPr>
        <w:t xml:space="preserve"> </w:t>
      </w:r>
      <w:r w:rsidR="005B7596" w:rsidRPr="00880065">
        <w:rPr>
          <w:lang w:val="en-GB"/>
        </w:rPr>
        <w:t>pointed out that URL filtering technology for foreign-based websites was not available in Turkey and that the relevant</w:t>
      </w:r>
      <w:r w:rsidRPr="00880065">
        <w:rPr>
          <w:lang w:val="en-GB"/>
        </w:rPr>
        <w:t xml:space="preserve"> </w:t>
      </w:r>
      <w:r w:rsidR="005B7596" w:rsidRPr="00880065">
        <w:rPr>
          <w:lang w:val="en-GB"/>
        </w:rPr>
        <w:t>legislation in this area was based on the “notice and take down” procedure</w:t>
      </w:r>
      <w:r w:rsidRPr="00880065">
        <w:rPr>
          <w:lang w:val="en-GB"/>
        </w:rPr>
        <w:t xml:space="preserve">, </w:t>
      </w:r>
      <w:r w:rsidR="00CD7637" w:rsidRPr="00880065">
        <w:rPr>
          <w:lang w:val="en-GB"/>
        </w:rPr>
        <w:t>which tended to avoid the inconvenience of blocking access to the entire website. Thus, 60,000 examples of illegal content on foreign-based websites had been removed</w:t>
      </w:r>
      <w:bookmarkStart w:id="64" w:name="lt_pId133"/>
      <w:bookmarkEnd w:id="63"/>
      <w:r w:rsidR="001134D7" w:rsidRPr="00880065">
        <w:rPr>
          <w:lang w:val="en-GB"/>
        </w:rPr>
        <w:t xml:space="preserve"> to date</w:t>
      </w:r>
      <w:r w:rsidRPr="00880065">
        <w:rPr>
          <w:lang w:val="en-GB"/>
        </w:rPr>
        <w:t>.</w:t>
      </w:r>
      <w:bookmarkEnd w:id="64"/>
      <w:r w:rsidRPr="00880065">
        <w:rPr>
          <w:lang w:val="en-GB"/>
        </w:rPr>
        <w:t xml:space="preserve"> </w:t>
      </w:r>
      <w:bookmarkStart w:id="65" w:name="lt_pId134"/>
      <w:r w:rsidR="00CD7637" w:rsidRPr="00880065">
        <w:rPr>
          <w:lang w:val="en-GB"/>
        </w:rPr>
        <w:t>To that end</w:t>
      </w:r>
      <w:r w:rsidRPr="00880065">
        <w:rPr>
          <w:lang w:val="en-GB"/>
        </w:rPr>
        <w:t xml:space="preserve">, </w:t>
      </w:r>
      <w:r w:rsidR="00CD7637" w:rsidRPr="00880065">
        <w:rPr>
          <w:lang w:val="en-GB"/>
        </w:rPr>
        <w:t xml:space="preserve">an </w:t>
      </w:r>
      <w:r w:rsidRPr="00880065">
        <w:rPr>
          <w:lang w:val="en-GB"/>
        </w:rPr>
        <w:t>information</w:t>
      </w:r>
      <w:r w:rsidR="00CD7637" w:rsidRPr="00880065">
        <w:rPr>
          <w:lang w:val="en-GB"/>
        </w:rPr>
        <w:t xml:space="preserve"> reporting centre had been set up</w:t>
      </w:r>
      <w:r w:rsidR="00C93476" w:rsidRPr="00880065">
        <w:rPr>
          <w:lang w:val="en-GB"/>
        </w:rPr>
        <w:t>; its duties included</w:t>
      </w:r>
      <w:r w:rsidR="00CD7637" w:rsidRPr="00880065">
        <w:rPr>
          <w:lang w:val="en-GB"/>
        </w:rPr>
        <w:t xml:space="preserve"> </w:t>
      </w:r>
      <w:r w:rsidR="00C93476" w:rsidRPr="00880065">
        <w:rPr>
          <w:lang w:val="en-GB"/>
        </w:rPr>
        <w:t>receiving</w:t>
      </w:r>
      <w:r w:rsidR="00CD7637" w:rsidRPr="00880065">
        <w:rPr>
          <w:lang w:val="en-GB"/>
        </w:rPr>
        <w:t xml:space="preserve"> complaints from individuals about </w:t>
      </w:r>
      <w:r w:rsidR="00B67E55" w:rsidRPr="00880065">
        <w:rPr>
          <w:lang w:val="en-GB"/>
        </w:rPr>
        <w:t>Internet</w:t>
      </w:r>
      <w:r w:rsidR="00CD7637" w:rsidRPr="00880065">
        <w:rPr>
          <w:lang w:val="en-GB"/>
        </w:rPr>
        <w:t xml:space="preserve"> content</w:t>
      </w:r>
      <w:r w:rsidRPr="00880065">
        <w:rPr>
          <w:lang w:val="en-GB"/>
        </w:rPr>
        <w:t>.</w:t>
      </w:r>
      <w:bookmarkEnd w:id="65"/>
      <w:r w:rsidRPr="00880065">
        <w:rPr>
          <w:lang w:val="en-GB"/>
        </w:rPr>
        <w:t xml:space="preserve"> </w:t>
      </w:r>
      <w:bookmarkStart w:id="66" w:name="lt_pId135"/>
      <w:r w:rsidR="00057644" w:rsidRPr="00880065">
        <w:rPr>
          <w:lang w:val="en-GB"/>
        </w:rPr>
        <w:t>M</w:t>
      </w:r>
      <w:r w:rsidR="00F056C5" w:rsidRPr="00880065">
        <w:rPr>
          <w:lang w:val="en-GB"/>
        </w:rPr>
        <w:t xml:space="preserve">any </w:t>
      </w:r>
      <w:r w:rsidR="00057644" w:rsidRPr="00880065">
        <w:rPr>
          <w:lang w:val="en-GB"/>
        </w:rPr>
        <w:t xml:space="preserve">individual </w:t>
      </w:r>
      <w:r w:rsidR="00F056C5" w:rsidRPr="00880065">
        <w:rPr>
          <w:lang w:val="en-GB"/>
        </w:rPr>
        <w:t xml:space="preserve">complaints </w:t>
      </w:r>
      <w:r w:rsidR="002438C7" w:rsidRPr="00880065">
        <w:rPr>
          <w:lang w:val="en-GB"/>
        </w:rPr>
        <w:t>had been made to the centre</w:t>
      </w:r>
      <w:r w:rsidR="00F056C5" w:rsidRPr="00880065">
        <w:rPr>
          <w:lang w:val="en-GB"/>
        </w:rPr>
        <w:t xml:space="preserve"> </w:t>
      </w:r>
      <w:r w:rsidR="00057644" w:rsidRPr="00880065">
        <w:rPr>
          <w:lang w:val="en-GB"/>
        </w:rPr>
        <w:t xml:space="preserve">by this means </w:t>
      </w:r>
      <w:r w:rsidR="00B67E55" w:rsidRPr="00880065">
        <w:rPr>
          <w:lang w:val="en-GB"/>
        </w:rPr>
        <w:t xml:space="preserve">about videos shared on </w:t>
      </w:r>
      <w:r w:rsidRPr="00880065">
        <w:rPr>
          <w:lang w:val="en-GB"/>
        </w:rPr>
        <w:t>YouTube.</w:t>
      </w:r>
      <w:bookmarkEnd w:id="66"/>
    </w:p>
    <w:p w:rsidR="002878EC" w:rsidRPr="00880065" w:rsidRDefault="002878EC" w:rsidP="00880065">
      <w:pPr>
        <w:pStyle w:val="ECHRHeading2"/>
        <w:rPr>
          <w:snapToGrid w:val="0"/>
          <w:lang w:val="en-GB"/>
        </w:rPr>
      </w:pPr>
      <w:r w:rsidRPr="00880065">
        <w:rPr>
          <w:snapToGrid w:val="0"/>
          <w:lang w:val="en-GB"/>
        </w:rPr>
        <w:t>B.  </w:t>
      </w:r>
      <w:bookmarkStart w:id="67" w:name="lt_pId137"/>
      <w:r w:rsidRPr="00880065">
        <w:rPr>
          <w:snapToGrid w:val="0"/>
          <w:lang w:val="en-GB"/>
        </w:rPr>
        <w:t>Law no. 5816</w:t>
      </w:r>
      <w:bookmarkEnd w:id="67"/>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24</w:t>
      </w:r>
      <w:r w:rsidRPr="00880065">
        <w:rPr>
          <w:lang w:val="en-GB"/>
        </w:rPr>
        <w:fldChar w:fldCharType="end"/>
      </w:r>
      <w:r w:rsidRPr="00880065">
        <w:rPr>
          <w:lang w:val="en-GB"/>
        </w:rPr>
        <w:t>.  </w:t>
      </w:r>
      <w:bookmarkStart w:id="68" w:name="lt_pId139"/>
      <w:r w:rsidR="00B67E55" w:rsidRPr="00880065">
        <w:rPr>
          <w:lang w:val="en-GB"/>
        </w:rPr>
        <w:t>The relevant provisions of Law no.</w:t>
      </w:r>
      <w:r w:rsidRPr="00880065">
        <w:rPr>
          <w:lang w:val="en-GB"/>
        </w:rPr>
        <w:t xml:space="preserve"> 5816 </w:t>
      </w:r>
      <w:r w:rsidR="00B67E55" w:rsidRPr="00880065">
        <w:rPr>
          <w:lang w:val="en-GB"/>
        </w:rPr>
        <w:t>of</w:t>
      </w:r>
      <w:r w:rsidRPr="00880065">
        <w:rPr>
          <w:lang w:val="en-GB"/>
        </w:rPr>
        <w:t xml:space="preserve"> 25 </w:t>
      </w:r>
      <w:r w:rsidR="009C5882" w:rsidRPr="00880065">
        <w:rPr>
          <w:lang w:val="en-GB"/>
        </w:rPr>
        <w:t>July</w:t>
      </w:r>
      <w:r w:rsidRPr="00880065">
        <w:rPr>
          <w:lang w:val="en-GB"/>
        </w:rPr>
        <w:t xml:space="preserve"> 1951 </w:t>
      </w:r>
      <w:r w:rsidR="00B67E55" w:rsidRPr="00880065">
        <w:t>prohibiting insults against the memory of Atatürk</w:t>
      </w:r>
      <w:r w:rsidRPr="00880065">
        <w:rPr>
          <w:lang w:val="en-GB"/>
        </w:rPr>
        <w:t xml:space="preserve"> </w:t>
      </w:r>
      <w:r w:rsidR="00B67E55" w:rsidRPr="00880065">
        <w:rPr>
          <w:lang w:val="en-GB"/>
        </w:rPr>
        <w:t>read as follows</w:t>
      </w:r>
      <w:r w:rsidR="00FE6A66" w:rsidRPr="00880065">
        <w:rPr>
          <w:lang w:val="en-GB"/>
        </w:rPr>
        <w:t>:</w:t>
      </w:r>
      <w:bookmarkEnd w:id="68"/>
    </w:p>
    <w:p w:rsidR="002878EC" w:rsidRPr="00880065" w:rsidRDefault="002878EC" w:rsidP="00880065">
      <w:pPr>
        <w:pStyle w:val="ECHRTitleCentre3"/>
        <w:rPr>
          <w:lang w:val="en-GB"/>
        </w:rPr>
      </w:pPr>
      <w:bookmarkStart w:id="69" w:name="lt_pId140"/>
      <w:r w:rsidRPr="00880065">
        <w:rPr>
          <w:lang w:val="en-GB"/>
        </w:rPr>
        <w:t>Section 1</w:t>
      </w:r>
      <w:bookmarkEnd w:id="69"/>
    </w:p>
    <w:p w:rsidR="00020A80" w:rsidRPr="00880065" w:rsidRDefault="00FE6A66" w:rsidP="00880065">
      <w:pPr>
        <w:pStyle w:val="ECHRParaQuote"/>
        <w:rPr>
          <w:lang w:val="en-GB"/>
        </w:rPr>
      </w:pPr>
      <w:bookmarkStart w:id="70" w:name="lt_pId141"/>
      <w:r w:rsidRPr="00880065">
        <w:rPr>
          <w:lang w:val="en-GB"/>
        </w:rPr>
        <w:t>“</w:t>
      </w:r>
      <w:r w:rsidR="00020A80" w:rsidRPr="00880065">
        <w:rPr>
          <w:lang w:val="en-GB"/>
        </w:rPr>
        <w:t xml:space="preserve">Anyone who </w:t>
      </w:r>
      <w:r w:rsidR="002E2141" w:rsidRPr="00880065">
        <w:rPr>
          <w:lang w:val="en-GB"/>
        </w:rPr>
        <w:t>specifically</w:t>
      </w:r>
      <w:r w:rsidR="00020A80" w:rsidRPr="00880065">
        <w:rPr>
          <w:lang w:val="en-GB"/>
        </w:rPr>
        <w:t xml:space="preserve"> insults </w:t>
      </w:r>
      <w:r w:rsidR="00E67804" w:rsidRPr="00880065">
        <w:rPr>
          <w:lang w:val="en-GB"/>
        </w:rPr>
        <w:t xml:space="preserve">or curses </w:t>
      </w:r>
      <w:r w:rsidR="00020A80" w:rsidRPr="00880065">
        <w:rPr>
          <w:lang w:val="en-GB"/>
        </w:rPr>
        <w:t>the memory of Atatürk shall be liable to imprisonment for a term of between one and three years.</w:t>
      </w:r>
    </w:p>
    <w:p w:rsidR="00020A80" w:rsidRPr="00880065" w:rsidRDefault="00020A80" w:rsidP="00880065">
      <w:pPr>
        <w:pStyle w:val="ECHRParaQuote"/>
        <w:rPr>
          <w:lang w:val="en-GB"/>
        </w:rPr>
      </w:pPr>
      <w:r w:rsidRPr="00880065">
        <w:rPr>
          <w:lang w:val="en-GB"/>
        </w:rPr>
        <w:t xml:space="preserve">Anyone who </w:t>
      </w:r>
      <w:r w:rsidR="00E67804" w:rsidRPr="00880065">
        <w:rPr>
          <w:lang w:val="en-GB"/>
        </w:rPr>
        <w:t>breaks</w:t>
      </w:r>
      <w:r w:rsidRPr="00880065">
        <w:rPr>
          <w:lang w:val="en-GB"/>
        </w:rPr>
        <w:t xml:space="preserve">, </w:t>
      </w:r>
      <w:r w:rsidR="00E67804" w:rsidRPr="00880065">
        <w:rPr>
          <w:lang w:val="en-GB"/>
        </w:rPr>
        <w:t>destroys</w:t>
      </w:r>
      <w:r w:rsidRPr="00880065">
        <w:rPr>
          <w:lang w:val="en-GB"/>
        </w:rPr>
        <w:t xml:space="preserve">, </w:t>
      </w:r>
      <w:r w:rsidR="00E67804" w:rsidRPr="00880065">
        <w:rPr>
          <w:lang w:val="en-GB"/>
        </w:rPr>
        <w:t>damages</w:t>
      </w:r>
      <w:r w:rsidRPr="00880065">
        <w:rPr>
          <w:lang w:val="en-GB"/>
        </w:rPr>
        <w:t xml:space="preserve"> or dirties a</w:t>
      </w:r>
      <w:r w:rsidR="00E67804" w:rsidRPr="00880065">
        <w:rPr>
          <w:lang w:val="en-GB"/>
        </w:rPr>
        <w:t xml:space="preserve"> statue or image</w:t>
      </w:r>
      <w:r w:rsidRPr="00880065">
        <w:rPr>
          <w:lang w:val="en-GB"/>
        </w:rPr>
        <w:t xml:space="preserve"> </w:t>
      </w:r>
      <w:r w:rsidR="002E2141" w:rsidRPr="00880065">
        <w:rPr>
          <w:lang w:val="en-GB"/>
        </w:rPr>
        <w:t>of</w:t>
      </w:r>
      <w:r w:rsidRPr="00880065">
        <w:rPr>
          <w:lang w:val="en-GB"/>
        </w:rPr>
        <w:t xml:space="preserve"> Atatürk</w:t>
      </w:r>
      <w:r w:rsidR="002E2141" w:rsidRPr="00880065">
        <w:rPr>
          <w:lang w:val="en-GB"/>
        </w:rPr>
        <w:t xml:space="preserve"> or his tomb</w:t>
      </w:r>
      <w:r w:rsidRPr="00880065">
        <w:rPr>
          <w:lang w:val="en-GB"/>
        </w:rPr>
        <w:t xml:space="preserve"> shall be liable to imprisonment for a term of between one and five years.</w:t>
      </w:r>
    </w:p>
    <w:p w:rsidR="002878EC" w:rsidRPr="00880065" w:rsidRDefault="00020A80" w:rsidP="00880065">
      <w:pPr>
        <w:pStyle w:val="ECHRParaQuote"/>
        <w:rPr>
          <w:lang w:val="en-GB"/>
        </w:rPr>
      </w:pPr>
      <w:r w:rsidRPr="00880065">
        <w:rPr>
          <w:lang w:val="en-GB"/>
        </w:rPr>
        <w:t>Anyone who incites another to commit any of the above-mentioned offences shall be punish</w:t>
      </w:r>
      <w:r w:rsidR="002C09A8" w:rsidRPr="00880065">
        <w:rPr>
          <w:lang w:val="en-GB"/>
        </w:rPr>
        <w:t>ed in the same way as the principal offender</w:t>
      </w:r>
      <w:r w:rsidRPr="00880065">
        <w:rPr>
          <w:lang w:val="en-GB"/>
        </w:rPr>
        <w:t>.</w:t>
      </w:r>
      <w:bookmarkStart w:id="71" w:name="lt_pId143"/>
      <w:bookmarkEnd w:id="70"/>
      <w:r w:rsidR="00FE6A66" w:rsidRPr="00880065">
        <w:rPr>
          <w:lang w:val="en-GB"/>
        </w:rPr>
        <w:t>”</w:t>
      </w:r>
      <w:bookmarkEnd w:id="71"/>
    </w:p>
    <w:p w:rsidR="002878EC" w:rsidRPr="00880065" w:rsidRDefault="002878EC" w:rsidP="00880065">
      <w:pPr>
        <w:pStyle w:val="ECHRTitleCentre3"/>
        <w:rPr>
          <w:lang w:val="en-GB"/>
        </w:rPr>
      </w:pPr>
      <w:bookmarkStart w:id="72" w:name="lt_pId144"/>
      <w:r w:rsidRPr="00880065">
        <w:rPr>
          <w:lang w:val="en-GB"/>
        </w:rPr>
        <w:t>Section 2</w:t>
      </w:r>
      <w:bookmarkEnd w:id="72"/>
    </w:p>
    <w:p w:rsidR="002878EC" w:rsidRPr="00880065" w:rsidRDefault="00FE6A66" w:rsidP="00880065">
      <w:pPr>
        <w:pStyle w:val="ECHRParaQuote"/>
        <w:rPr>
          <w:lang w:val="en-GB"/>
        </w:rPr>
      </w:pPr>
      <w:bookmarkStart w:id="73" w:name="lt_pId145"/>
      <w:r w:rsidRPr="00880065">
        <w:rPr>
          <w:lang w:val="en-GB"/>
        </w:rPr>
        <w:t>“</w:t>
      </w:r>
      <w:r w:rsidR="002E2141" w:rsidRPr="00880065">
        <w:rPr>
          <w:lang w:val="en-GB"/>
        </w:rPr>
        <w:t xml:space="preserve">The punishment shall be increased by half where the offence provided for in section [1] above has been committed by a group of two or more persons, or overtly or via the media or in a public place. Where </w:t>
      </w:r>
      <w:r w:rsidR="00554F7A" w:rsidRPr="00880065">
        <w:rPr>
          <w:lang w:val="en-GB"/>
        </w:rPr>
        <w:t xml:space="preserve">violence is used in the commission or </w:t>
      </w:r>
      <w:r w:rsidR="00554F7A" w:rsidRPr="00880065">
        <w:rPr>
          <w:lang w:val="en-GB"/>
        </w:rPr>
        <w:lastRenderedPageBreak/>
        <w:t xml:space="preserve">attempted commission of </w:t>
      </w:r>
      <w:r w:rsidR="002E2141" w:rsidRPr="00880065">
        <w:rPr>
          <w:lang w:val="en-GB"/>
        </w:rPr>
        <w:t>the offences provided for in the second subsection of section 1 above</w:t>
      </w:r>
      <w:r w:rsidR="00554F7A" w:rsidRPr="00880065">
        <w:rPr>
          <w:lang w:val="en-GB"/>
        </w:rPr>
        <w:t>,</w:t>
      </w:r>
      <w:r w:rsidR="002E2141" w:rsidRPr="00880065">
        <w:rPr>
          <w:lang w:val="en-GB"/>
        </w:rPr>
        <w:t xml:space="preserve"> the punishment shall be doubled</w:t>
      </w:r>
      <w:r w:rsidR="002878EC" w:rsidRPr="00880065">
        <w:rPr>
          <w:lang w:val="en-GB"/>
        </w:rPr>
        <w:t>.</w:t>
      </w:r>
      <w:r w:rsidRPr="00880065">
        <w:rPr>
          <w:lang w:val="en-GB"/>
        </w:rPr>
        <w:t>”</w:t>
      </w:r>
      <w:bookmarkEnd w:id="73"/>
    </w:p>
    <w:p w:rsidR="002878EC" w:rsidRPr="00880065" w:rsidRDefault="002878EC" w:rsidP="00880065">
      <w:pPr>
        <w:pStyle w:val="ECHRHeading2"/>
        <w:rPr>
          <w:snapToGrid w:val="0"/>
          <w:lang w:val="en-GB"/>
        </w:rPr>
      </w:pPr>
      <w:r w:rsidRPr="00880065">
        <w:rPr>
          <w:snapToGrid w:val="0"/>
          <w:lang w:val="en-GB"/>
        </w:rPr>
        <w:t>C.  </w:t>
      </w:r>
      <w:bookmarkStart w:id="74" w:name="lt_pId147"/>
      <w:r w:rsidRPr="00880065">
        <w:rPr>
          <w:snapToGrid w:val="0"/>
          <w:lang w:val="en-GB"/>
        </w:rPr>
        <w:t>Constitutional case-law</w:t>
      </w:r>
      <w:bookmarkEnd w:id="74"/>
    </w:p>
    <w:p w:rsidR="002878EC" w:rsidRPr="00880065" w:rsidRDefault="002878EC" w:rsidP="00880065">
      <w:pPr>
        <w:pStyle w:val="ECHRHeading3"/>
        <w:rPr>
          <w:lang w:val="en-GB"/>
        </w:rPr>
      </w:pPr>
      <w:r w:rsidRPr="00880065">
        <w:rPr>
          <w:lang w:val="en-GB"/>
        </w:rPr>
        <w:t>1.  </w:t>
      </w:r>
      <w:bookmarkStart w:id="75" w:name="lt_pId149"/>
      <w:r w:rsidR="0021068F" w:rsidRPr="00880065">
        <w:rPr>
          <w:lang w:val="en-GB"/>
        </w:rPr>
        <w:t>The</w:t>
      </w:r>
      <w:r w:rsidRPr="00880065">
        <w:rPr>
          <w:lang w:val="en-GB"/>
        </w:rPr>
        <w:t xml:space="preserve"> </w:t>
      </w:r>
      <w:r w:rsidR="00FE6A66" w:rsidRPr="00880065">
        <w:rPr>
          <w:lang w:val="en-GB"/>
        </w:rPr>
        <w:t>“</w:t>
      </w:r>
      <w:r w:rsidRPr="00880065">
        <w:rPr>
          <w:lang w:val="en-GB"/>
        </w:rPr>
        <w:t>twitter.com</w:t>
      </w:r>
      <w:r w:rsidR="00FE6A66" w:rsidRPr="00880065">
        <w:rPr>
          <w:lang w:val="en-GB"/>
        </w:rPr>
        <w:t>”</w:t>
      </w:r>
      <w:bookmarkEnd w:id="75"/>
      <w:r w:rsidR="0021068F" w:rsidRPr="00880065">
        <w:rPr>
          <w:lang w:val="en-GB"/>
        </w:rPr>
        <w:t xml:space="preserve"> judgment</w:t>
      </w:r>
    </w:p>
    <w:p w:rsidR="001D73E4" w:rsidRPr="00880065" w:rsidRDefault="002878EC" w:rsidP="00880065">
      <w:pPr>
        <w:pStyle w:val="ECHRPara"/>
        <w:rPr>
          <w:rFonts w:cs="Times New Roman"/>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25</w:t>
      </w:r>
      <w:r w:rsidRPr="00880065">
        <w:rPr>
          <w:lang w:val="en-GB"/>
        </w:rPr>
        <w:fldChar w:fldCharType="end"/>
      </w:r>
      <w:r w:rsidRPr="00880065">
        <w:rPr>
          <w:lang w:val="en-GB"/>
        </w:rPr>
        <w:t>.  </w:t>
      </w:r>
      <w:bookmarkStart w:id="76" w:name="lt_pId151"/>
      <w:r w:rsidR="001D73E4" w:rsidRPr="00880065">
        <w:rPr>
          <w:rFonts w:cs="Times New Roman"/>
          <w:lang w:val="en-GB"/>
        </w:rPr>
        <w:t xml:space="preserve">In March 2014, following several decisions in which the Turkish courts </w:t>
      </w:r>
      <w:r w:rsidR="00795D8D" w:rsidRPr="00880065">
        <w:rPr>
          <w:rFonts w:cs="Times New Roman"/>
          <w:lang w:val="en-GB"/>
        </w:rPr>
        <w:t xml:space="preserve">had </w:t>
      </w:r>
      <w:r w:rsidR="001D73E4" w:rsidRPr="00880065">
        <w:rPr>
          <w:rFonts w:cs="Times New Roman"/>
          <w:lang w:val="en-GB"/>
        </w:rPr>
        <w:t xml:space="preserve">found that the website twitter.com (a microblogging site where users can post short messages </w:t>
      </w:r>
      <w:r w:rsidR="001D73E4" w:rsidRPr="00880065">
        <w:rPr>
          <w:rFonts w:cs="Times New Roman"/>
          <w:lang w:val="en"/>
        </w:rPr>
        <w:t xml:space="preserve">online </w:t>
      </w:r>
      <w:r w:rsidR="001D73E4" w:rsidRPr="00880065">
        <w:rPr>
          <w:rFonts w:cs="Times New Roman"/>
          <w:lang w:val="en-GB"/>
        </w:rPr>
        <w:t xml:space="preserve">free of charge via instant messaging or SMS) </w:t>
      </w:r>
      <w:r w:rsidR="00795D8D" w:rsidRPr="00880065">
        <w:rPr>
          <w:rFonts w:cs="Times New Roman"/>
          <w:lang w:val="en-GB"/>
        </w:rPr>
        <w:t>was hosting</w:t>
      </w:r>
      <w:r w:rsidR="001D73E4" w:rsidRPr="00880065">
        <w:rPr>
          <w:rFonts w:cs="Times New Roman"/>
          <w:lang w:val="en-GB"/>
        </w:rPr>
        <w:t xml:space="preserve"> content that was damaging to the claimants</w:t>
      </w:r>
      <w:r w:rsidR="00880065" w:rsidRPr="00880065">
        <w:rPr>
          <w:rFonts w:cs="Times New Roman"/>
          <w:lang w:val="en-GB"/>
        </w:rPr>
        <w:t>’</w:t>
      </w:r>
      <w:r w:rsidR="001D73E4" w:rsidRPr="00880065">
        <w:rPr>
          <w:rFonts w:cs="Times New Roman"/>
          <w:lang w:val="en-GB"/>
        </w:rPr>
        <w:t xml:space="preserve"> private life and reputation, the TİB ordered t</w:t>
      </w:r>
      <w:r w:rsidR="004359D7" w:rsidRPr="00880065">
        <w:rPr>
          <w:rFonts w:cs="Times New Roman"/>
          <w:lang w:val="en-GB"/>
        </w:rPr>
        <w:t xml:space="preserve">he blocking of access to the </w:t>
      </w:r>
      <w:r w:rsidR="001D73E4" w:rsidRPr="00880065">
        <w:rPr>
          <w:rFonts w:cs="Times New Roman"/>
          <w:lang w:val="en-GB"/>
        </w:rPr>
        <w:t>site. In a judgment of 25 March 2014 the Ankara Administrative Court stayed the implementation of the TİB</w:t>
      </w:r>
      <w:r w:rsidR="00880065" w:rsidRPr="00880065">
        <w:rPr>
          <w:rFonts w:cs="Times New Roman"/>
          <w:lang w:val="en-GB"/>
        </w:rPr>
        <w:t>’</w:t>
      </w:r>
      <w:r w:rsidR="001D73E4" w:rsidRPr="00880065">
        <w:rPr>
          <w:rFonts w:cs="Times New Roman"/>
          <w:lang w:val="en-GB"/>
        </w:rPr>
        <w:t>s order.</w:t>
      </w:r>
    </w:p>
    <w:p w:rsidR="001D73E4" w:rsidRPr="00880065" w:rsidRDefault="001D73E4" w:rsidP="00880065">
      <w:pPr>
        <w:pStyle w:val="ECHRPara"/>
        <w:rPr>
          <w:lang w:val="en-GB"/>
        </w:rPr>
      </w:pPr>
      <w:r w:rsidRPr="00880065">
        <w:rPr>
          <w:lang w:val="en-GB"/>
        </w:rPr>
        <w:t>In the meantime, on 24 and 25 March 2014, three individuals, including the second and third applicants, had applied to the Constitutional Court to challenge the blocking order.</w:t>
      </w:r>
    </w:p>
    <w:p w:rsidR="001D73E4" w:rsidRPr="00880065" w:rsidRDefault="001D73E4" w:rsidP="00880065">
      <w:pPr>
        <w:pStyle w:val="ECHRPara"/>
        <w:rPr>
          <w:lang w:val="en-GB"/>
        </w:rPr>
      </w:pPr>
      <w:r w:rsidRPr="00880065">
        <w:rPr>
          <w:lang w:val="en-GB"/>
        </w:rPr>
        <w:t>In a judgment of 2 April 2014 (no. 2014/3986) the Constitutional Court held that the TİB</w:t>
      </w:r>
      <w:r w:rsidR="00880065" w:rsidRPr="00880065">
        <w:rPr>
          <w:lang w:val="en-GB"/>
        </w:rPr>
        <w:t>’</w:t>
      </w:r>
      <w:r w:rsidRPr="00880065">
        <w:rPr>
          <w:lang w:val="en-GB"/>
        </w:rPr>
        <w:t xml:space="preserve">s decision to block access to twitter.com interfered with the right to </w:t>
      </w:r>
      <w:r w:rsidR="00540148" w:rsidRPr="00880065">
        <w:rPr>
          <w:lang w:val="en-GB"/>
        </w:rPr>
        <w:t xml:space="preserve">freedom to </w:t>
      </w:r>
      <w:r w:rsidRPr="00880065">
        <w:rPr>
          <w:lang w:val="en-GB"/>
        </w:rPr>
        <w:t xml:space="preserve">receive </w:t>
      </w:r>
      <w:r w:rsidR="003255A4" w:rsidRPr="00880065">
        <w:rPr>
          <w:lang w:val="en-GB"/>
        </w:rPr>
        <w:t>and</w:t>
      </w:r>
      <w:r w:rsidRPr="00880065">
        <w:rPr>
          <w:lang w:val="en-GB"/>
        </w:rPr>
        <w:t xml:space="preserve"> impart information and ideas. It noted, in particular, that delaying the posting of information or opinions shared via this medium, even for a short time, risked making the site devoid of all topical value and interest</w:t>
      </w:r>
      <w:r w:rsidR="00811C50" w:rsidRPr="00880065">
        <w:rPr>
          <w:lang w:val="en-GB"/>
        </w:rPr>
        <w:t xml:space="preserve"> and that</w:t>
      </w:r>
      <w:r w:rsidRPr="00880065">
        <w:rPr>
          <w:lang w:val="en-GB"/>
        </w:rPr>
        <w:t xml:space="preserve"> as a result the applicants, who were active users of the site, had an interest in </w:t>
      </w:r>
      <w:r w:rsidR="008E500C" w:rsidRPr="00880065">
        <w:rPr>
          <w:lang w:val="en-GB"/>
        </w:rPr>
        <w:t xml:space="preserve">having </w:t>
      </w:r>
      <w:r w:rsidRPr="00880065">
        <w:rPr>
          <w:lang w:val="en-GB"/>
        </w:rPr>
        <w:t>the blocking order lifted promptly. Referring to the Court</w:t>
      </w:r>
      <w:r w:rsidR="00880065" w:rsidRPr="00880065">
        <w:rPr>
          <w:lang w:val="en-GB"/>
        </w:rPr>
        <w:t>’</w:t>
      </w:r>
      <w:r w:rsidRPr="00880065">
        <w:rPr>
          <w:lang w:val="en-GB"/>
        </w:rPr>
        <w:t xml:space="preserve">s judgment in </w:t>
      </w:r>
      <w:r w:rsidRPr="00880065">
        <w:rPr>
          <w:i/>
          <w:lang w:val="en-GB" w:eastAsia="fr-FR"/>
        </w:rPr>
        <w:t>Ahmet Yıldırım</w:t>
      </w:r>
      <w:r w:rsidRPr="00880065">
        <w:rPr>
          <w:snapToGrid w:val="0"/>
          <w:lang w:val="en-GB" w:eastAsia="fr-FR"/>
        </w:rPr>
        <w:t xml:space="preserve"> (cited above), </w:t>
      </w:r>
      <w:r w:rsidRPr="00880065">
        <w:rPr>
          <w:lang w:val="en-GB"/>
        </w:rPr>
        <w:t>it also held that the measure in issue had had no legal basis.</w:t>
      </w:r>
    </w:p>
    <w:p w:rsidR="001D73E4" w:rsidRPr="00880065" w:rsidRDefault="001D73E4" w:rsidP="00880065">
      <w:pPr>
        <w:pStyle w:val="ECHRHeading3"/>
        <w:rPr>
          <w:lang w:val="en-GB"/>
        </w:rPr>
      </w:pPr>
      <w:r w:rsidRPr="00880065">
        <w:rPr>
          <w:lang w:val="en-GB"/>
        </w:rPr>
        <w:t>2.  The “YouTube” judgment</w:t>
      </w:r>
    </w:p>
    <w:p w:rsidR="001D73E4" w:rsidRPr="00880065" w:rsidRDefault="001D73E4"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26</w:t>
      </w:r>
      <w:r w:rsidRPr="00880065">
        <w:rPr>
          <w:lang w:val="en-GB"/>
        </w:rPr>
        <w:fldChar w:fldCharType="end"/>
      </w:r>
      <w:r w:rsidRPr="00880065">
        <w:rPr>
          <w:lang w:val="en-GB"/>
        </w:rPr>
        <w:t xml:space="preserve">.  On 27 March 2014 the TİB issued an order blocking access to YouTube, particularly </w:t>
      </w:r>
      <w:r w:rsidR="00811C50" w:rsidRPr="00880065">
        <w:rPr>
          <w:lang w:val="en-GB"/>
        </w:rPr>
        <w:t>in the light</w:t>
      </w:r>
      <w:r w:rsidRPr="00880065">
        <w:rPr>
          <w:lang w:val="en-GB"/>
        </w:rPr>
        <w:t xml:space="preserve"> of a judgment of the </w:t>
      </w:r>
      <w:r w:rsidRPr="00880065">
        <w:rPr>
          <w:color w:val="000000"/>
          <w:lang w:val="en-GB"/>
        </w:rPr>
        <w:t>Gölbaşı</w:t>
      </w:r>
      <w:r w:rsidRPr="00880065">
        <w:rPr>
          <w:lang w:val="en-GB"/>
        </w:rPr>
        <w:t xml:space="preserve"> Criminal Court of First Instance. In a judgment of 2 May 2014 the Ankara Administrative Court stayed the implementation of the TİB</w:t>
      </w:r>
      <w:r w:rsidR="00880065" w:rsidRPr="00880065">
        <w:rPr>
          <w:lang w:val="en-GB"/>
        </w:rPr>
        <w:t>’</w:t>
      </w:r>
      <w:r w:rsidRPr="00880065">
        <w:rPr>
          <w:lang w:val="en-GB"/>
        </w:rPr>
        <w:t>s order. Following the non-enforcement of that judgment, the YouTube company, the second and third applicants and six other individuals applied to the Constitutional Court. In a judgment of 29 May 2014 the court set aside the blocking order. Before addressing the merits of the case, it determined whether the applicants had the status of victims and held as follows:</w:t>
      </w:r>
    </w:p>
    <w:p w:rsidR="001D73E4" w:rsidRPr="00880065" w:rsidRDefault="001D73E4" w:rsidP="00880065">
      <w:pPr>
        <w:pStyle w:val="ECHRParaQuote"/>
        <w:rPr>
          <w:lang w:val="en-GB"/>
        </w:rPr>
      </w:pPr>
      <w:r w:rsidRPr="00880065">
        <w:rPr>
          <w:lang w:val="en-GB"/>
        </w:rPr>
        <w:t xml:space="preserve">“27. ... It appears from the file that ... Yaman Akdeniz, Kerem Altıparmak and M.F. </w:t>
      </w:r>
      <w:r w:rsidR="00DD1AF4" w:rsidRPr="00880065">
        <w:rPr>
          <w:lang w:val="en-GB"/>
        </w:rPr>
        <w:t>taught</w:t>
      </w:r>
      <w:r w:rsidRPr="00880065">
        <w:rPr>
          <w:lang w:val="en-GB"/>
        </w:rPr>
        <w:t xml:space="preserve"> at different universities. These applicants explained that they carried out research in the field of human rights and share</w:t>
      </w:r>
      <w:r w:rsidR="006A501C" w:rsidRPr="00880065">
        <w:rPr>
          <w:lang w:val="en-GB"/>
        </w:rPr>
        <w:t>d</w:t>
      </w:r>
      <w:r w:rsidRPr="00880065">
        <w:rPr>
          <w:lang w:val="en-GB"/>
        </w:rPr>
        <w:t xml:space="preserve"> the research via their YouTube accounts. They also stated that</w:t>
      </w:r>
      <w:r w:rsidR="006A501C" w:rsidRPr="00880065">
        <w:rPr>
          <w:lang w:val="en-GB"/>
        </w:rPr>
        <w:t xml:space="preserve"> through</w:t>
      </w:r>
      <w:r w:rsidRPr="00880065">
        <w:rPr>
          <w:lang w:val="en-GB"/>
        </w:rPr>
        <w:t xml:space="preserve"> the website</w:t>
      </w:r>
      <w:r w:rsidR="006A501C" w:rsidRPr="00880065">
        <w:rPr>
          <w:lang w:val="en-GB"/>
        </w:rPr>
        <w:t>, they were able to</w:t>
      </w:r>
      <w:r w:rsidRPr="00880065">
        <w:rPr>
          <w:lang w:val="en-GB"/>
        </w:rPr>
        <w:t xml:space="preserve"> access written and visual material from the United Nations and the Council of Europe ... The applicant E.E., for his part, explained that he had a [YouTube] account, that he regularly followed users who shared </w:t>
      </w:r>
      <w:r w:rsidR="00151831" w:rsidRPr="00880065">
        <w:rPr>
          <w:lang w:val="en-GB"/>
        </w:rPr>
        <w:t>files</w:t>
      </w:r>
      <w:r w:rsidRPr="00880065">
        <w:rPr>
          <w:lang w:val="en-GB"/>
        </w:rPr>
        <w:t xml:space="preserve">, as well as the activities of non-governmental organisations and professional bodies, </w:t>
      </w:r>
      <w:r w:rsidR="00151831" w:rsidRPr="00880065">
        <w:rPr>
          <w:lang w:val="en-GB"/>
        </w:rPr>
        <w:t xml:space="preserve">and </w:t>
      </w:r>
      <w:r w:rsidRPr="00880065">
        <w:rPr>
          <w:lang w:val="en-GB"/>
        </w:rPr>
        <w:t>that he also wrote critical comments about the shared content ...</w:t>
      </w:r>
    </w:p>
    <w:p w:rsidR="001D73E4" w:rsidRPr="00880065" w:rsidRDefault="001D73E4" w:rsidP="00880065">
      <w:pPr>
        <w:pStyle w:val="ECHRParaQuote"/>
        <w:rPr>
          <w:lang w:val="en-GB"/>
        </w:rPr>
      </w:pPr>
      <w:r w:rsidRPr="00880065">
        <w:rPr>
          <w:lang w:val="en-GB"/>
        </w:rPr>
        <w:lastRenderedPageBreak/>
        <w:t>28.  In the light of those explanations, it can be concluded that the applicants were direct victims of the administrative decision ordering the blocking of access to the entire youtube.com website ...”</w:t>
      </w:r>
    </w:p>
    <w:p w:rsidR="001D73E4" w:rsidRPr="00880065" w:rsidRDefault="001D73E4" w:rsidP="00880065">
      <w:pPr>
        <w:pStyle w:val="ECHRPara"/>
        <w:rPr>
          <w:lang w:val="en-GB"/>
        </w:rPr>
      </w:pPr>
      <w:r w:rsidRPr="00880065">
        <w:rPr>
          <w:lang w:val="en-GB"/>
        </w:rPr>
        <w:t xml:space="preserve">As to the merits of the case, with reference to the </w:t>
      </w:r>
      <w:r w:rsidRPr="00880065">
        <w:rPr>
          <w:i/>
          <w:lang w:val="en-GB" w:eastAsia="fr-FR"/>
        </w:rPr>
        <w:t xml:space="preserve">Ahmet Yıldırım </w:t>
      </w:r>
      <w:r w:rsidRPr="00880065">
        <w:rPr>
          <w:lang w:val="en-GB" w:eastAsia="fr-FR"/>
        </w:rPr>
        <w:t>judgment (cited above),</w:t>
      </w:r>
      <w:r w:rsidRPr="00880065">
        <w:rPr>
          <w:i/>
          <w:lang w:val="en-GB" w:eastAsia="fr-FR"/>
        </w:rPr>
        <w:t xml:space="preserve"> </w:t>
      </w:r>
      <w:r w:rsidRPr="00880065">
        <w:rPr>
          <w:lang w:val="en-GB"/>
        </w:rPr>
        <w:t xml:space="preserve">the Constitutional Court </w:t>
      </w:r>
      <w:r w:rsidR="00693C0B" w:rsidRPr="00880065">
        <w:rPr>
          <w:lang w:val="en-GB"/>
        </w:rPr>
        <w:t>found</w:t>
      </w:r>
      <w:r w:rsidRPr="00880065">
        <w:rPr>
          <w:lang w:val="en-GB"/>
        </w:rPr>
        <w:t xml:space="preserve"> that the measure in issue had had no legal basis, particularly in the light of Law no. 5651, which did not authorise the wholesale blocking of an Internet site. It </w:t>
      </w:r>
      <w:r w:rsidR="00693C0B" w:rsidRPr="00880065">
        <w:rPr>
          <w:lang w:val="en-GB"/>
        </w:rPr>
        <w:t>held</w:t>
      </w:r>
      <w:r w:rsidRPr="00880065">
        <w:rPr>
          <w:lang w:val="en-GB"/>
        </w:rPr>
        <w:t>:</w:t>
      </w:r>
    </w:p>
    <w:p w:rsidR="002878EC" w:rsidRPr="00880065" w:rsidRDefault="001D73E4" w:rsidP="00880065">
      <w:pPr>
        <w:pStyle w:val="ECHRParaQuote"/>
        <w:rPr>
          <w:lang w:val="en-GB"/>
        </w:rPr>
      </w:pPr>
      <w:r w:rsidRPr="00880065">
        <w:rPr>
          <w:lang w:val="en-GB"/>
        </w:rPr>
        <w:t>“52.  In modern democracies, the Internet has acquired significant importance in terms of the exercise of fundamental rights and freedoms, especially the freedom of expression. Social media constitute a transparent platform ... affording individuals the opportunity to participate in creating, publishing and interpreting media content. Social media platforms are thus indispensable tools for the exercise of the right to freedom to express, share and impart information and ideas. Accordingly, the State and its administrative authorities must display considerable sensitivity not only when regulating this area but also in their practice, since these platforms have become one of the most effective and widespread means of both imparting ideas and receiving information.”</w:t>
      </w:r>
      <w:bookmarkEnd w:id="76"/>
    </w:p>
    <w:p w:rsidR="002878EC" w:rsidRPr="00880065" w:rsidRDefault="002878EC" w:rsidP="00880065">
      <w:pPr>
        <w:pStyle w:val="ECHRHeading2"/>
        <w:rPr>
          <w:lang w:val="en-GB"/>
        </w:rPr>
      </w:pPr>
      <w:r w:rsidRPr="00880065">
        <w:rPr>
          <w:lang w:val="en-GB"/>
        </w:rPr>
        <w:t>D.  </w:t>
      </w:r>
      <w:bookmarkStart w:id="77" w:name="lt_pId180"/>
      <w:r w:rsidRPr="00880065">
        <w:rPr>
          <w:lang w:val="en-GB"/>
        </w:rPr>
        <w:t>The United Nations Human Rights Committee</w:t>
      </w:r>
      <w:bookmarkEnd w:id="77"/>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27</w:t>
      </w:r>
      <w:r w:rsidRPr="00880065">
        <w:rPr>
          <w:lang w:val="en-GB"/>
        </w:rPr>
        <w:fldChar w:fldCharType="end"/>
      </w:r>
      <w:r w:rsidRPr="00880065">
        <w:rPr>
          <w:lang w:val="en-GB"/>
        </w:rPr>
        <w:t>.  </w:t>
      </w:r>
      <w:bookmarkStart w:id="78" w:name="lt_pId182"/>
      <w:r w:rsidRPr="00880065">
        <w:rPr>
          <w:lang w:val="en-GB"/>
        </w:rPr>
        <w:t xml:space="preserve">In its General Comment No. 34 on </w:t>
      </w:r>
      <w:r w:rsidR="00FE6A66" w:rsidRPr="00880065">
        <w:rPr>
          <w:lang w:val="en-GB"/>
        </w:rPr>
        <w:t>Article 1</w:t>
      </w:r>
      <w:r w:rsidRPr="00880065">
        <w:rPr>
          <w:lang w:val="en-GB"/>
        </w:rPr>
        <w:t>9 of the International Covenant on Civil and Political Rights, adopted</w:t>
      </w:r>
      <w:r w:rsidR="00A975C8" w:rsidRPr="00880065">
        <w:rPr>
          <w:lang w:val="en-GB"/>
        </w:rPr>
        <w:t xml:space="preserve"> at its 102nd session (11-29 </w:t>
      </w:r>
      <w:r w:rsidRPr="00880065">
        <w:rPr>
          <w:lang w:val="en-GB"/>
        </w:rPr>
        <w:t>July 2011), the United Nations Human Rights Committee stated as follows:</w:t>
      </w:r>
      <w:bookmarkEnd w:id="78"/>
    </w:p>
    <w:p w:rsidR="002878EC" w:rsidRPr="00880065" w:rsidRDefault="00FE6A66" w:rsidP="00880065">
      <w:pPr>
        <w:pStyle w:val="ECHRParaQuote"/>
        <w:rPr>
          <w:lang w:val="en-GB"/>
        </w:rPr>
      </w:pPr>
      <w:r w:rsidRPr="00880065">
        <w:rPr>
          <w:lang w:val="en-GB"/>
        </w:rPr>
        <w:t>“</w:t>
      </w:r>
      <w:r w:rsidR="002878EC" w:rsidRPr="00880065">
        <w:rPr>
          <w:lang w:val="en-GB"/>
        </w:rPr>
        <w:t>43</w:t>
      </w:r>
      <w:bookmarkStart w:id="79" w:name="lt_pId184"/>
      <w:r w:rsidR="002878EC" w:rsidRPr="00880065">
        <w:rPr>
          <w:lang w:val="en-GB"/>
        </w:rPr>
        <w:t>. Any restrictions on the operation of websites, blogs or any other internet-based, electronic or other such information dissemination system, including systems to support such communication, such as internet service providers or search engines, are only permissible to the extent that they are compatible with paragraph 3 [</w:t>
      </w:r>
      <w:r w:rsidR="006B4ECD" w:rsidRPr="00880065">
        <w:rPr>
          <w:lang w:val="en-GB"/>
        </w:rPr>
        <w:t>of A</w:t>
      </w:r>
      <w:r w:rsidRPr="00880065">
        <w:rPr>
          <w:lang w:val="en-GB"/>
        </w:rPr>
        <w:t>rticle 1</w:t>
      </w:r>
      <w:r w:rsidR="002878EC" w:rsidRPr="00880065">
        <w:rPr>
          <w:lang w:val="en-GB"/>
        </w:rPr>
        <w:t xml:space="preserve">9 </w:t>
      </w:r>
      <w:r w:rsidR="006B4ECD" w:rsidRPr="00880065">
        <w:rPr>
          <w:lang w:val="en-GB"/>
        </w:rPr>
        <w:t xml:space="preserve">of the </w:t>
      </w:r>
      <w:r w:rsidR="006B4ECD" w:rsidRPr="00880065">
        <w:t>International Covenant on Civil and Political Rights,</w:t>
      </w:r>
      <w:r w:rsidR="002878EC" w:rsidRPr="00880065">
        <w:rPr>
          <w:lang w:val="en-GB"/>
        </w:rPr>
        <w:t xml:space="preserve"> </w:t>
      </w:r>
      <w:r w:rsidR="006B4ECD" w:rsidRPr="00880065">
        <w:rPr>
          <w:lang w:val="en-GB"/>
        </w:rPr>
        <w:t xml:space="preserve">governing the </w:t>
      </w:r>
      <w:r w:rsidR="00CF5B17" w:rsidRPr="00880065">
        <w:rPr>
          <w:lang w:val="en-GB"/>
        </w:rPr>
        <w:t xml:space="preserve">restrictions that may be imposed on the exercise of the right to freedom of </w:t>
      </w:r>
      <w:r w:rsidR="002878EC" w:rsidRPr="00880065">
        <w:rPr>
          <w:lang w:val="en-GB"/>
        </w:rPr>
        <w:t>expression].</w:t>
      </w:r>
      <w:bookmarkEnd w:id="79"/>
      <w:r w:rsidR="002878EC" w:rsidRPr="00880065">
        <w:rPr>
          <w:lang w:val="en-GB"/>
        </w:rPr>
        <w:t xml:space="preserve"> </w:t>
      </w:r>
      <w:bookmarkStart w:id="80" w:name="lt_pId185"/>
      <w:r w:rsidR="002878EC" w:rsidRPr="00880065">
        <w:rPr>
          <w:lang w:val="en-GB"/>
        </w:rPr>
        <w:t>Permissible restrictions generally should be content-specific; generic bans on the operation of certain sites and systems are not compatible with paragraph 3.</w:t>
      </w:r>
      <w:bookmarkEnd w:id="80"/>
      <w:r w:rsidR="002878EC" w:rsidRPr="00880065">
        <w:rPr>
          <w:lang w:val="en-GB"/>
        </w:rPr>
        <w:t xml:space="preserve"> </w:t>
      </w:r>
      <w:bookmarkStart w:id="81" w:name="lt_pId186"/>
      <w:r w:rsidR="002878EC" w:rsidRPr="00880065">
        <w:rPr>
          <w:lang w:val="en-GB"/>
        </w:rPr>
        <w:t>It is also inconsistent with paragraph 3 to prohibit a site or an information dissemination system from publishing material solely on the basis that it may be critical of the government or the political social system espoused by the government.</w:t>
      </w:r>
      <w:r w:rsidR="005D3723" w:rsidRPr="00880065">
        <w:rPr>
          <w:lang w:val="en-GB"/>
        </w:rPr>
        <w:t>”</w:t>
      </w:r>
      <w:bookmarkEnd w:id="81"/>
    </w:p>
    <w:p w:rsidR="002878EC" w:rsidRPr="00880065" w:rsidRDefault="002878EC" w:rsidP="00880065">
      <w:pPr>
        <w:pStyle w:val="ECHRTitle1"/>
        <w:rPr>
          <w:lang w:val="en-GB"/>
        </w:rPr>
      </w:pPr>
      <w:bookmarkStart w:id="82" w:name="lt_pId187"/>
      <w:r w:rsidRPr="00880065">
        <w:rPr>
          <w:lang w:val="en-GB"/>
        </w:rPr>
        <w:t>THE LAW</w:t>
      </w:r>
      <w:bookmarkEnd w:id="82"/>
    </w:p>
    <w:p w:rsidR="002878EC" w:rsidRPr="00880065" w:rsidRDefault="002878EC" w:rsidP="00880065">
      <w:pPr>
        <w:pStyle w:val="ECHRHeading1"/>
        <w:rPr>
          <w:lang w:val="en-GB"/>
        </w:rPr>
      </w:pPr>
      <w:r w:rsidRPr="00880065">
        <w:rPr>
          <w:lang w:val="en-GB"/>
        </w:rPr>
        <w:t>I.  </w:t>
      </w:r>
      <w:bookmarkStart w:id="83" w:name="lt_pId189"/>
      <w:r w:rsidRPr="00880065">
        <w:rPr>
          <w:lang w:val="en-GB"/>
        </w:rPr>
        <w:t>JOINDER OF THE APPLICATIONS</w:t>
      </w:r>
      <w:bookmarkEnd w:id="83"/>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28</w:t>
      </w:r>
      <w:r w:rsidRPr="00880065">
        <w:rPr>
          <w:lang w:val="en-GB"/>
        </w:rPr>
        <w:fldChar w:fldCharType="end"/>
      </w:r>
      <w:r w:rsidRPr="00880065">
        <w:rPr>
          <w:lang w:val="en-GB"/>
        </w:rPr>
        <w:t>.  </w:t>
      </w:r>
      <w:bookmarkStart w:id="84" w:name="lt_pId191"/>
      <w:r w:rsidRPr="00880065">
        <w:rPr>
          <w:lang w:val="en-GB"/>
        </w:rPr>
        <w:t xml:space="preserve">The Court decides, in accordance with </w:t>
      </w:r>
      <w:r w:rsidR="00FE6A66" w:rsidRPr="00880065">
        <w:rPr>
          <w:lang w:val="en-GB"/>
        </w:rPr>
        <w:t>Rule 4</w:t>
      </w:r>
      <w:r w:rsidRPr="00880065">
        <w:rPr>
          <w:lang w:val="en-GB"/>
        </w:rPr>
        <w:t>2 § 1 of the Rules of Court, to join the applications in view of their similarity as regards the facts and the legal issues they raise, and to examine them jointly in a single judgment.</w:t>
      </w:r>
      <w:bookmarkEnd w:id="84"/>
    </w:p>
    <w:p w:rsidR="002878EC" w:rsidRPr="00880065" w:rsidRDefault="002878EC" w:rsidP="00880065">
      <w:pPr>
        <w:pStyle w:val="ECHRHeading1"/>
        <w:rPr>
          <w:lang w:val="en-GB"/>
        </w:rPr>
      </w:pPr>
      <w:bookmarkStart w:id="85" w:name="lt_pId192"/>
      <w:r w:rsidRPr="00880065">
        <w:rPr>
          <w:lang w:val="en-GB"/>
        </w:rPr>
        <w:lastRenderedPageBreak/>
        <w:t>II.</w:t>
      </w:r>
      <w:bookmarkEnd w:id="85"/>
      <w:r w:rsidRPr="00880065">
        <w:rPr>
          <w:lang w:val="en-GB"/>
        </w:rPr>
        <w:t>  </w:t>
      </w:r>
      <w:bookmarkStart w:id="86" w:name="lt_pId193"/>
      <w:r w:rsidRPr="00880065">
        <w:rPr>
          <w:lang w:val="en-GB"/>
        </w:rPr>
        <w:t xml:space="preserve">ALLEGED VIOLATION OF </w:t>
      </w:r>
      <w:r w:rsidR="00FE6A66" w:rsidRPr="00880065">
        <w:rPr>
          <w:lang w:val="en-GB"/>
        </w:rPr>
        <w:t>ARTICLE 1</w:t>
      </w:r>
      <w:r w:rsidRPr="00880065">
        <w:rPr>
          <w:lang w:val="en-GB"/>
        </w:rPr>
        <w:t>0 OF THE CONVENTION</w:t>
      </w:r>
      <w:bookmarkEnd w:id="86"/>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29</w:t>
      </w:r>
      <w:r w:rsidRPr="00880065">
        <w:rPr>
          <w:lang w:val="en-GB"/>
        </w:rPr>
        <w:fldChar w:fldCharType="end"/>
      </w:r>
      <w:r w:rsidRPr="00880065">
        <w:rPr>
          <w:lang w:val="en-GB"/>
        </w:rPr>
        <w:t>.  </w:t>
      </w:r>
      <w:bookmarkStart w:id="87" w:name="lt_pId195"/>
      <w:r w:rsidR="008F1286" w:rsidRPr="00880065">
        <w:rPr>
          <w:lang w:val="en-GB"/>
        </w:rPr>
        <w:t>The</w:t>
      </w:r>
      <w:r w:rsidRPr="00880065">
        <w:rPr>
          <w:lang w:val="en-GB"/>
        </w:rPr>
        <w:t xml:space="preserve"> </w:t>
      </w:r>
      <w:r w:rsidR="00FE6A66" w:rsidRPr="00880065">
        <w:rPr>
          <w:lang w:val="en-GB"/>
        </w:rPr>
        <w:t>applicants</w:t>
      </w:r>
      <w:r w:rsidRPr="00880065">
        <w:rPr>
          <w:lang w:val="en-GB"/>
        </w:rPr>
        <w:t xml:space="preserve"> </w:t>
      </w:r>
      <w:r w:rsidR="008F1286" w:rsidRPr="00880065">
        <w:rPr>
          <w:lang w:val="en-GB"/>
        </w:rPr>
        <w:t xml:space="preserve">complained that the measure taken by the domestic courts had prevented them from having access to </w:t>
      </w:r>
      <w:r w:rsidRPr="00880065">
        <w:rPr>
          <w:lang w:val="en-GB"/>
        </w:rPr>
        <w:t>YouTube.</w:t>
      </w:r>
      <w:bookmarkEnd w:id="87"/>
      <w:r w:rsidRPr="00880065">
        <w:rPr>
          <w:lang w:val="en-GB"/>
        </w:rPr>
        <w:t xml:space="preserve"> </w:t>
      </w:r>
      <w:bookmarkStart w:id="88" w:name="lt_pId196"/>
      <w:r w:rsidRPr="00880065">
        <w:rPr>
          <w:lang w:val="en-GB"/>
        </w:rPr>
        <w:t xml:space="preserve">They submitted that the measure amounted to an infringement of their </w:t>
      </w:r>
      <w:r w:rsidR="002C4FE7" w:rsidRPr="00880065">
        <w:rPr>
          <w:lang w:val="en-GB"/>
        </w:rPr>
        <w:t xml:space="preserve">right to </w:t>
      </w:r>
      <w:r w:rsidRPr="00880065">
        <w:rPr>
          <w:lang w:val="en-GB"/>
        </w:rPr>
        <w:t xml:space="preserve">freedom to receive and impart information and ideas, guaranteed by </w:t>
      </w:r>
      <w:r w:rsidR="00FE6A66" w:rsidRPr="00880065">
        <w:rPr>
          <w:lang w:val="en-GB"/>
        </w:rPr>
        <w:t>Article 1</w:t>
      </w:r>
      <w:r w:rsidRPr="00880065">
        <w:rPr>
          <w:lang w:val="en-GB"/>
        </w:rPr>
        <w:t>0 of the Convention.</w:t>
      </w:r>
      <w:bookmarkEnd w:id="88"/>
      <w:r w:rsidRPr="00880065">
        <w:rPr>
          <w:lang w:val="en-GB"/>
        </w:rPr>
        <w:t xml:space="preserve"> </w:t>
      </w:r>
      <w:bookmarkStart w:id="89" w:name="lt_pId197"/>
      <w:r w:rsidRPr="00880065">
        <w:rPr>
          <w:lang w:val="en-GB"/>
        </w:rPr>
        <w:t>The relevant parts of that Article provide:</w:t>
      </w:r>
      <w:bookmarkEnd w:id="89"/>
    </w:p>
    <w:p w:rsidR="002878EC" w:rsidRPr="00880065" w:rsidRDefault="00FE6A66" w:rsidP="00880065">
      <w:pPr>
        <w:pStyle w:val="ECHRParaQuote"/>
        <w:rPr>
          <w:lang w:val="en-GB"/>
        </w:rPr>
      </w:pPr>
      <w:r w:rsidRPr="00880065">
        <w:rPr>
          <w:lang w:val="en-GB"/>
        </w:rPr>
        <w:t>“</w:t>
      </w:r>
      <w:r w:rsidR="002878EC" w:rsidRPr="00880065">
        <w:rPr>
          <w:lang w:val="en-GB"/>
        </w:rPr>
        <w:t>1.  </w:t>
      </w:r>
      <w:bookmarkStart w:id="90" w:name="lt_pId199"/>
      <w:r w:rsidR="002878EC" w:rsidRPr="00880065">
        <w:rPr>
          <w:lang w:val="en-GB"/>
        </w:rPr>
        <w:t>Everyone has the right to freedom of expression.</w:t>
      </w:r>
      <w:bookmarkEnd w:id="90"/>
      <w:r w:rsidR="002878EC" w:rsidRPr="00880065">
        <w:rPr>
          <w:lang w:val="en-GB"/>
        </w:rPr>
        <w:t xml:space="preserve"> </w:t>
      </w:r>
      <w:bookmarkStart w:id="91" w:name="lt_pId200"/>
      <w:r w:rsidR="002878EC" w:rsidRPr="00880065">
        <w:rPr>
          <w:lang w:val="en-GB"/>
        </w:rPr>
        <w:t>This right shall include freedom to hold opinions and to receive and impart information and ideas without interference by public authority and regardless of frontiers. ...</w:t>
      </w:r>
      <w:bookmarkEnd w:id="91"/>
    </w:p>
    <w:p w:rsidR="002878EC" w:rsidRPr="00880065" w:rsidRDefault="002878EC" w:rsidP="00880065">
      <w:pPr>
        <w:pStyle w:val="ECHRParaQuote"/>
        <w:rPr>
          <w:lang w:val="en-GB"/>
        </w:rPr>
      </w:pPr>
      <w:r w:rsidRPr="00880065">
        <w:rPr>
          <w:lang w:val="en-GB"/>
        </w:rPr>
        <w:t>2.  </w:t>
      </w:r>
      <w:bookmarkStart w:id="92" w:name="lt_pId202"/>
      <w:r w:rsidRPr="00880065">
        <w:rPr>
          <w:lang w:val="en-GB"/>
        </w:rPr>
        <w:t>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r w:rsidR="005D3723" w:rsidRPr="00880065">
        <w:rPr>
          <w:lang w:val="en-GB"/>
        </w:rPr>
        <w:t>”</w:t>
      </w:r>
      <w:bookmarkEnd w:id="92"/>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30</w:t>
      </w:r>
      <w:r w:rsidRPr="00880065">
        <w:rPr>
          <w:lang w:val="en-GB"/>
        </w:rPr>
        <w:fldChar w:fldCharType="end"/>
      </w:r>
      <w:r w:rsidRPr="00880065">
        <w:rPr>
          <w:lang w:val="en-GB"/>
        </w:rPr>
        <w:t>.  </w:t>
      </w:r>
      <w:bookmarkStart w:id="93" w:name="lt_pId204"/>
      <w:r w:rsidRPr="00880065">
        <w:rPr>
          <w:lang w:val="en-GB"/>
        </w:rPr>
        <w:t>The Government contested the applicants</w:t>
      </w:r>
      <w:r w:rsidR="00880065" w:rsidRPr="00880065">
        <w:rPr>
          <w:lang w:val="en-GB"/>
        </w:rPr>
        <w:t>’</w:t>
      </w:r>
      <w:r w:rsidRPr="00880065">
        <w:rPr>
          <w:lang w:val="en-GB"/>
        </w:rPr>
        <w:t xml:space="preserve"> argument.</w:t>
      </w:r>
      <w:bookmarkEnd w:id="93"/>
    </w:p>
    <w:p w:rsidR="002878EC" w:rsidRPr="00880065" w:rsidRDefault="002878EC" w:rsidP="00880065">
      <w:pPr>
        <w:pStyle w:val="ECHRHeading2"/>
        <w:rPr>
          <w:lang w:val="en-GB"/>
        </w:rPr>
      </w:pPr>
      <w:r w:rsidRPr="00880065">
        <w:rPr>
          <w:lang w:val="en-GB"/>
        </w:rPr>
        <w:t>A.  </w:t>
      </w:r>
      <w:bookmarkStart w:id="94" w:name="lt_pId206"/>
      <w:r w:rsidRPr="00880065">
        <w:rPr>
          <w:lang w:val="en-GB"/>
        </w:rPr>
        <w:t>Admissibility</w:t>
      </w:r>
      <w:bookmarkEnd w:id="94"/>
    </w:p>
    <w:p w:rsidR="002878EC" w:rsidRPr="00880065" w:rsidRDefault="002878EC" w:rsidP="00880065">
      <w:pPr>
        <w:pStyle w:val="ECHRPara"/>
        <w:rPr>
          <w:rFonts w:eastAsia="Times New Roman"/>
          <w:lang w:val="en-GB" w:eastAsia="fr-FR"/>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31</w:t>
      </w:r>
      <w:r w:rsidRPr="00880065">
        <w:rPr>
          <w:lang w:val="en-GB"/>
        </w:rPr>
        <w:fldChar w:fldCharType="end"/>
      </w:r>
      <w:r w:rsidRPr="00880065">
        <w:rPr>
          <w:lang w:val="en-GB"/>
        </w:rPr>
        <w:t>.  </w:t>
      </w:r>
      <w:bookmarkStart w:id="95" w:name="lt_pId208"/>
      <w:r w:rsidRPr="00880065">
        <w:rPr>
          <w:rFonts w:eastAsia="Times New Roman"/>
          <w:lang w:val="en-GB" w:eastAsia="fr-FR"/>
        </w:rPr>
        <w:t>The Government contended that the applicants</w:t>
      </w:r>
      <w:r w:rsidR="00880065" w:rsidRPr="00880065">
        <w:rPr>
          <w:rFonts w:eastAsia="Times New Roman"/>
          <w:lang w:val="en-GB" w:eastAsia="fr-FR"/>
        </w:rPr>
        <w:t>’</w:t>
      </w:r>
      <w:r w:rsidRPr="00880065">
        <w:rPr>
          <w:rFonts w:eastAsia="Times New Roman"/>
          <w:lang w:val="en-GB" w:eastAsia="fr-FR"/>
        </w:rPr>
        <w:t xml:space="preserve"> complaint was incompatible </w:t>
      </w:r>
      <w:r w:rsidRPr="00880065">
        <w:rPr>
          <w:rFonts w:eastAsia="Times New Roman"/>
          <w:i/>
          <w:lang w:val="en-GB" w:eastAsia="fr-FR"/>
        </w:rPr>
        <w:t xml:space="preserve">ratione materiae </w:t>
      </w:r>
      <w:r w:rsidRPr="00880065">
        <w:rPr>
          <w:rFonts w:eastAsia="Times New Roman"/>
          <w:lang w:val="en-GB" w:eastAsia="fr-FR"/>
        </w:rPr>
        <w:t>with the provisions of the Convention.</w:t>
      </w:r>
      <w:bookmarkEnd w:id="95"/>
      <w:r w:rsidRPr="00880065">
        <w:rPr>
          <w:rFonts w:eastAsia="Times New Roman"/>
          <w:lang w:val="en-GB" w:eastAsia="fr-FR"/>
        </w:rPr>
        <w:t xml:space="preserve"> </w:t>
      </w:r>
      <w:bookmarkStart w:id="96" w:name="lt_pId209"/>
      <w:r w:rsidR="00155269" w:rsidRPr="00880065">
        <w:rPr>
          <w:rFonts w:eastAsia="Times New Roman"/>
          <w:lang w:val="en-GB" w:eastAsia="fr-FR"/>
        </w:rPr>
        <w:t>Referring</w:t>
      </w:r>
      <w:r w:rsidR="007F669D" w:rsidRPr="00880065">
        <w:rPr>
          <w:rFonts w:eastAsia="Times New Roman"/>
          <w:lang w:val="en-GB" w:eastAsia="fr-FR"/>
        </w:rPr>
        <w:t xml:space="preserve"> in particular to </w:t>
      </w:r>
      <w:r w:rsidRPr="00880065">
        <w:rPr>
          <w:rFonts w:eastAsia="Times New Roman"/>
          <w:i/>
          <w:lang w:val="en-GB" w:eastAsia="fr-FR"/>
        </w:rPr>
        <w:t xml:space="preserve">Tanrıkulu </w:t>
      </w:r>
      <w:r w:rsidR="007F669D" w:rsidRPr="00880065">
        <w:rPr>
          <w:rFonts w:eastAsia="Times New Roman"/>
          <w:i/>
          <w:lang w:val="en-GB" w:eastAsia="fr-FR"/>
        </w:rPr>
        <w:t>and Others v</w:t>
      </w:r>
      <w:r w:rsidRPr="00880065">
        <w:rPr>
          <w:rFonts w:eastAsia="Times New Roman"/>
          <w:i/>
          <w:lang w:val="en-GB" w:eastAsia="fr-FR"/>
        </w:rPr>
        <w:t xml:space="preserve">. </w:t>
      </w:r>
      <w:r w:rsidR="008D40F9" w:rsidRPr="00880065">
        <w:rPr>
          <w:rFonts w:eastAsia="Times New Roman"/>
          <w:i/>
          <w:lang w:val="en-GB" w:eastAsia="fr-FR"/>
        </w:rPr>
        <w:t>Turkey</w:t>
      </w:r>
      <w:r w:rsidRPr="00880065">
        <w:rPr>
          <w:rFonts w:eastAsia="Times New Roman"/>
          <w:lang w:val="en-GB" w:eastAsia="fr-FR"/>
        </w:rPr>
        <w:t xml:space="preserve"> ((d</w:t>
      </w:r>
      <w:r w:rsidR="007F669D" w:rsidRPr="00880065">
        <w:rPr>
          <w:rFonts w:eastAsia="Times New Roman"/>
          <w:lang w:val="en-GB" w:eastAsia="fr-FR"/>
        </w:rPr>
        <w:t>e</w:t>
      </w:r>
      <w:r w:rsidRPr="00880065">
        <w:rPr>
          <w:rFonts w:eastAsia="Times New Roman"/>
          <w:lang w:val="en-GB" w:eastAsia="fr-FR"/>
        </w:rPr>
        <w:t>c.), n</w:t>
      </w:r>
      <w:r w:rsidR="007F669D" w:rsidRPr="00880065">
        <w:rPr>
          <w:rFonts w:eastAsia="Times New Roman"/>
          <w:lang w:val="en-GB" w:eastAsia="fr-FR"/>
        </w:rPr>
        <w:t>os.</w:t>
      </w:r>
      <w:r w:rsidRPr="00880065">
        <w:rPr>
          <w:rFonts w:eastAsia="Times New Roman"/>
          <w:lang w:val="en-GB" w:eastAsia="fr-FR"/>
        </w:rPr>
        <w:t xml:space="preserve"> 40150/98, 40153/98 </w:t>
      </w:r>
      <w:r w:rsidR="007F669D" w:rsidRPr="00880065">
        <w:rPr>
          <w:rFonts w:eastAsia="Times New Roman"/>
          <w:lang w:val="en-GB" w:eastAsia="fr-FR"/>
        </w:rPr>
        <w:t>and</w:t>
      </w:r>
      <w:r w:rsidRPr="00880065">
        <w:rPr>
          <w:rFonts w:eastAsia="Times New Roman"/>
          <w:lang w:val="en-GB" w:eastAsia="fr-FR"/>
        </w:rPr>
        <w:t xml:space="preserve"> 40160/98, 6 </w:t>
      </w:r>
      <w:r w:rsidR="009C5882" w:rsidRPr="00880065">
        <w:rPr>
          <w:rFonts w:eastAsia="Times New Roman"/>
          <w:lang w:val="en-GB" w:eastAsia="fr-FR"/>
        </w:rPr>
        <w:t>November</w:t>
      </w:r>
      <w:r w:rsidR="007F669D" w:rsidRPr="00880065">
        <w:rPr>
          <w:rFonts w:eastAsia="Times New Roman"/>
          <w:lang w:val="en-GB" w:eastAsia="fr-FR"/>
        </w:rPr>
        <w:t xml:space="preserve"> 2001)</w:t>
      </w:r>
      <w:r w:rsidRPr="00880065">
        <w:rPr>
          <w:rFonts w:eastAsia="Times New Roman"/>
          <w:lang w:val="en-GB" w:eastAsia="fr-FR"/>
        </w:rPr>
        <w:t xml:space="preserve"> </w:t>
      </w:r>
      <w:r w:rsidR="007F669D" w:rsidRPr="00880065">
        <w:rPr>
          <w:rFonts w:eastAsia="Times New Roman"/>
          <w:lang w:val="en-GB" w:eastAsia="fr-FR"/>
        </w:rPr>
        <w:t>and</w:t>
      </w:r>
      <w:r w:rsidRPr="00880065">
        <w:rPr>
          <w:rFonts w:eastAsia="Times New Roman"/>
          <w:lang w:val="en-GB" w:eastAsia="fr-FR"/>
        </w:rPr>
        <w:t xml:space="preserve"> </w:t>
      </w:r>
      <w:r w:rsidR="007F669D" w:rsidRPr="00880065">
        <w:rPr>
          <w:rFonts w:eastAsia="Times New Roman"/>
          <w:i/>
          <w:lang w:val="en-GB" w:eastAsia="fr-FR"/>
        </w:rPr>
        <w:t>Akdeniz v</w:t>
      </w:r>
      <w:r w:rsidRPr="00880065">
        <w:rPr>
          <w:rFonts w:eastAsia="Times New Roman"/>
          <w:i/>
          <w:lang w:val="en-GB" w:eastAsia="fr-FR"/>
        </w:rPr>
        <w:t>. </w:t>
      </w:r>
      <w:r w:rsidR="008D40F9" w:rsidRPr="00880065">
        <w:rPr>
          <w:rFonts w:eastAsia="Times New Roman"/>
          <w:i/>
          <w:lang w:val="en-GB" w:eastAsia="fr-FR"/>
        </w:rPr>
        <w:t>Turkey</w:t>
      </w:r>
      <w:r w:rsidR="007F669D" w:rsidRPr="00880065">
        <w:rPr>
          <w:rFonts w:eastAsia="Times New Roman"/>
          <w:lang w:val="en-GB" w:eastAsia="fr-FR"/>
        </w:rPr>
        <w:t xml:space="preserve"> ((de</w:t>
      </w:r>
      <w:r w:rsidRPr="00880065">
        <w:rPr>
          <w:rFonts w:eastAsia="Times New Roman"/>
          <w:lang w:val="en-GB" w:eastAsia="fr-FR"/>
        </w:rPr>
        <w:t>c.), n</w:t>
      </w:r>
      <w:r w:rsidR="007F669D" w:rsidRPr="00880065">
        <w:rPr>
          <w:rFonts w:eastAsia="Times New Roman"/>
          <w:lang w:val="en-GB" w:eastAsia="fr-FR"/>
        </w:rPr>
        <w:t>o.</w:t>
      </w:r>
      <w:r w:rsidRPr="00880065">
        <w:rPr>
          <w:rFonts w:eastAsia="Times New Roman"/>
          <w:lang w:val="en-GB" w:eastAsia="fr-FR"/>
        </w:rPr>
        <w:t xml:space="preserve"> 20877/10, 11 </w:t>
      </w:r>
      <w:r w:rsidR="0089222E" w:rsidRPr="00880065">
        <w:rPr>
          <w:rFonts w:eastAsia="Times New Roman"/>
          <w:lang w:val="en-GB" w:eastAsia="fr-FR"/>
        </w:rPr>
        <w:t>March</w:t>
      </w:r>
      <w:r w:rsidRPr="00880065">
        <w:rPr>
          <w:rFonts w:eastAsia="Times New Roman"/>
          <w:lang w:val="en-GB" w:eastAsia="fr-FR"/>
        </w:rPr>
        <w:t xml:space="preserve"> 2014), </w:t>
      </w:r>
      <w:r w:rsidR="007F669D" w:rsidRPr="00880065">
        <w:rPr>
          <w:rFonts w:eastAsia="Times New Roman"/>
          <w:lang w:val="en-GB" w:eastAsia="fr-FR"/>
        </w:rPr>
        <w:t>they argued that the</w:t>
      </w:r>
      <w:r w:rsidRPr="00880065">
        <w:rPr>
          <w:rFonts w:eastAsia="Times New Roman"/>
          <w:lang w:val="en-GB" w:eastAsia="fr-FR"/>
        </w:rPr>
        <w:t xml:space="preserve"> </w:t>
      </w:r>
      <w:r w:rsidR="00FE6A66" w:rsidRPr="00880065">
        <w:rPr>
          <w:rFonts w:eastAsia="Times New Roman"/>
          <w:lang w:val="en-GB" w:eastAsia="fr-FR"/>
        </w:rPr>
        <w:t>applicants</w:t>
      </w:r>
      <w:r w:rsidRPr="00880065">
        <w:rPr>
          <w:rFonts w:eastAsia="Times New Roman"/>
          <w:lang w:val="en-GB" w:eastAsia="fr-FR"/>
        </w:rPr>
        <w:t xml:space="preserve"> </w:t>
      </w:r>
      <w:r w:rsidR="007F669D" w:rsidRPr="00880065">
        <w:rPr>
          <w:rFonts w:eastAsia="Times New Roman"/>
          <w:lang w:val="en-GB" w:eastAsia="fr-FR"/>
        </w:rPr>
        <w:t xml:space="preserve">could not be said to have been </w:t>
      </w:r>
      <w:r w:rsidRPr="00880065">
        <w:rPr>
          <w:rFonts w:eastAsia="Times New Roman"/>
          <w:lang w:val="en-GB" w:eastAsia="fr-FR"/>
        </w:rPr>
        <w:t>direct</w:t>
      </w:r>
      <w:r w:rsidR="007F669D" w:rsidRPr="00880065">
        <w:rPr>
          <w:rFonts w:eastAsia="Times New Roman"/>
          <w:lang w:val="en-GB" w:eastAsia="fr-FR"/>
        </w:rPr>
        <w:t xml:space="preserve">ly affected by the </w:t>
      </w:r>
      <w:r w:rsidR="00FF695E" w:rsidRPr="00880065">
        <w:rPr>
          <w:rFonts w:eastAsia="Times New Roman"/>
          <w:lang w:eastAsia="fr-FR"/>
        </w:rPr>
        <w:t>facts</w:t>
      </w:r>
      <w:r w:rsidR="008F4604" w:rsidRPr="00880065">
        <w:rPr>
          <w:rFonts w:eastAsia="Times New Roman"/>
          <w:lang w:eastAsia="fr-FR"/>
        </w:rPr>
        <w:t xml:space="preserve"> allegedly constituting the interference</w:t>
      </w:r>
      <w:r w:rsidRPr="00880065">
        <w:rPr>
          <w:rFonts w:eastAsia="Times New Roman"/>
          <w:lang w:val="en-GB" w:eastAsia="fr-FR"/>
        </w:rPr>
        <w:t>.</w:t>
      </w:r>
      <w:bookmarkEnd w:id="96"/>
    </w:p>
    <w:p w:rsidR="002878EC" w:rsidRPr="00880065" w:rsidRDefault="002878EC" w:rsidP="00880065">
      <w:pPr>
        <w:pStyle w:val="ECHRPara"/>
        <w:rPr>
          <w:rFonts w:eastAsia="Times New Roman"/>
          <w:lang w:val="en-GB" w:eastAsia="fr-FR"/>
        </w:rPr>
      </w:pPr>
      <w:r w:rsidRPr="00880065">
        <w:rPr>
          <w:rFonts w:eastAsia="Times New Roman"/>
          <w:lang w:val="en-GB" w:eastAsia="fr-FR"/>
        </w:rPr>
        <w:fldChar w:fldCharType="begin"/>
      </w:r>
      <w:r w:rsidRPr="00880065">
        <w:rPr>
          <w:rFonts w:eastAsia="Times New Roman"/>
          <w:lang w:val="en-GB" w:eastAsia="fr-FR"/>
        </w:rPr>
        <w:instrText xml:space="preserve"> SEQ level0 \*arabic </w:instrText>
      </w:r>
      <w:r w:rsidRPr="00880065">
        <w:rPr>
          <w:rFonts w:eastAsia="Times New Roman"/>
          <w:lang w:val="en-GB" w:eastAsia="fr-FR"/>
        </w:rPr>
        <w:fldChar w:fldCharType="separate"/>
      </w:r>
      <w:r w:rsidR="00880065">
        <w:rPr>
          <w:rFonts w:eastAsia="Times New Roman"/>
          <w:noProof/>
          <w:lang w:val="en-GB" w:eastAsia="fr-FR"/>
        </w:rPr>
        <w:t>32</w:t>
      </w:r>
      <w:r w:rsidRPr="00880065">
        <w:rPr>
          <w:rFonts w:eastAsia="Times New Roman"/>
          <w:lang w:val="en-GB" w:eastAsia="fr-FR"/>
        </w:rPr>
        <w:fldChar w:fldCharType="end"/>
      </w:r>
      <w:r w:rsidRPr="00880065">
        <w:rPr>
          <w:rFonts w:eastAsia="Times New Roman"/>
          <w:lang w:val="en-GB" w:eastAsia="fr-FR"/>
        </w:rPr>
        <w:t>.  </w:t>
      </w:r>
      <w:bookmarkStart w:id="97" w:name="lt_pId211"/>
      <w:r w:rsidR="00162D82" w:rsidRPr="00880065">
        <w:rPr>
          <w:rFonts w:eastAsia="Times New Roman"/>
          <w:lang w:val="en-GB" w:eastAsia="fr-FR"/>
        </w:rPr>
        <w:t>The Gov</w:t>
      </w:r>
      <w:r w:rsidR="00FE6A66" w:rsidRPr="00880065">
        <w:rPr>
          <w:rFonts w:eastAsia="Times New Roman"/>
          <w:lang w:val="en-GB" w:eastAsia="fr-FR"/>
        </w:rPr>
        <w:t>ernment</w:t>
      </w:r>
      <w:r w:rsidRPr="00880065">
        <w:rPr>
          <w:rFonts w:eastAsia="Times New Roman"/>
          <w:lang w:val="en-GB" w:eastAsia="fr-FR"/>
        </w:rPr>
        <w:t xml:space="preserve"> </w:t>
      </w:r>
      <w:r w:rsidR="008F4604" w:rsidRPr="00880065">
        <w:rPr>
          <w:rFonts w:eastAsia="Times New Roman"/>
          <w:lang w:val="en-GB" w:eastAsia="fr-FR"/>
        </w:rPr>
        <w:t>further noted that the</w:t>
      </w:r>
      <w:r w:rsidRPr="00880065">
        <w:rPr>
          <w:rFonts w:eastAsia="Times New Roman"/>
          <w:lang w:val="en-GB" w:eastAsia="fr-FR"/>
        </w:rPr>
        <w:t xml:space="preserve"> </w:t>
      </w:r>
      <w:r w:rsidR="00FE6A66" w:rsidRPr="00880065">
        <w:rPr>
          <w:rFonts w:eastAsia="Times New Roman"/>
          <w:lang w:val="en-GB" w:eastAsia="fr-FR"/>
        </w:rPr>
        <w:t>applicants</w:t>
      </w:r>
      <w:r w:rsidRPr="00880065">
        <w:rPr>
          <w:rFonts w:eastAsia="Times New Roman"/>
          <w:lang w:val="en-GB" w:eastAsia="fr-FR"/>
        </w:rPr>
        <w:t xml:space="preserve"> </w:t>
      </w:r>
      <w:r w:rsidR="008F4604" w:rsidRPr="00880065">
        <w:rPr>
          <w:rFonts w:eastAsia="Times New Roman"/>
          <w:lang w:val="en-GB" w:eastAsia="fr-FR"/>
        </w:rPr>
        <w:t>had lodged their applications with the Court two years after the order blocking access to</w:t>
      </w:r>
      <w:r w:rsidRPr="00880065">
        <w:rPr>
          <w:rFonts w:eastAsia="Times New Roman"/>
          <w:lang w:val="en-GB" w:eastAsia="fr-FR"/>
        </w:rPr>
        <w:t xml:space="preserve"> YouTube.</w:t>
      </w:r>
      <w:bookmarkEnd w:id="97"/>
      <w:r w:rsidRPr="00880065">
        <w:rPr>
          <w:rFonts w:eastAsia="Times New Roman"/>
          <w:lang w:val="en-GB" w:eastAsia="fr-FR"/>
        </w:rPr>
        <w:t xml:space="preserve"> </w:t>
      </w:r>
      <w:bookmarkStart w:id="98" w:name="lt_pId212"/>
      <w:r w:rsidR="008F4604" w:rsidRPr="00880065">
        <w:rPr>
          <w:rFonts w:eastAsia="Times New Roman"/>
          <w:lang w:val="en-GB" w:eastAsia="fr-FR"/>
        </w:rPr>
        <w:t>They submitted that if the applicants considered themselves to be the victim</w:t>
      </w:r>
      <w:r w:rsidRPr="00880065">
        <w:rPr>
          <w:rFonts w:eastAsia="Times New Roman"/>
          <w:lang w:val="en-GB" w:eastAsia="fr-FR"/>
        </w:rPr>
        <w:t xml:space="preserve">s </w:t>
      </w:r>
      <w:r w:rsidR="008F4604" w:rsidRPr="00880065">
        <w:rPr>
          <w:rFonts w:eastAsia="Times New Roman"/>
          <w:lang w:val="en-GB" w:eastAsia="fr-FR"/>
        </w:rPr>
        <w:t>of the</w:t>
      </w:r>
      <w:r w:rsidRPr="00880065">
        <w:rPr>
          <w:rFonts w:eastAsia="Times New Roman"/>
          <w:lang w:val="en-GB" w:eastAsia="fr-FR"/>
        </w:rPr>
        <w:t xml:space="preserve"> me</w:t>
      </w:r>
      <w:r w:rsidR="008F4604" w:rsidRPr="00880065">
        <w:rPr>
          <w:rFonts w:eastAsia="Times New Roman"/>
          <w:lang w:val="en-GB" w:eastAsia="fr-FR"/>
        </w:rPr>
        <w:t>a</w:t>
      </w:r>
      <w:r w:rsidRPr="00880065">
        <w:rPr>
          <w:rFonts w:eastAsia="Times New Roman"/>
          <w:lang w:val="en-GB" w:eastAsia="fr-FR"/>
        </w:rPr>
        <w:t>sures</w:t>
      </w:r>
      <w:r w:rsidR="008F4604" w:rsidRPr="00880065">
        <w:rPr>
          <w:rFonts w:eastAsia="Times New Roman"/>
          <w:lang w:val="en-GB" w:eastAsia="fr-FR"/>
        </w:rPr>
        <w:t xml:space="preserve"> in question</w:t>
      </w:r>
      <w:r w:rsidRPr="00880065">
        <w:rPr>
          <w:rFonts w:eastAsia="Times New Roman"/>
          <w:lang w:val="en-GB" w:eastAsia="fr-FR"/>
        </w:rPr>
        <w:t xml:space="preserve">, </w:t>
      </w:r>
      <w:r w:rsidR="008F4604" w:rsidRPr="00880065">
        <w:rPr>
          <w:rFonts w:eastAsia="Times New Roman"/>
          <w:lang w:val="en-GB" w:eastAsia="fr-FR"/>
        </w:rPr>
        <w:t>they should not have waited such a long time to complain about them</w:t>
      </w:r>
      <w:r w:rsidRPr="00880065">
        <w:rPr>
          <w:rFonts w:eastAsia="Times New Roman"/>
          <w:lang w:val="en-GB" w:eastAsia="fr-FR"/>
        </w:rPr>
        <w:t>.</w:t>
      </w:r>
      <w:bookmarkEnd w:id="98"/>
    </w:p>
    <w:p w:rsidR="002878EC" w:rsidRPr="00880065" w:rsidRDefault="002878EC" w:rsidP="00880065">
      <w:pPr>
        <w:pStyle w:val="ECHRPara"/>
        <w:rPr>
          <w:rFonts w:eastAsia="Times New Roman"/>
          <w:lang w:val="en-GB" w:eastAsia="fr-FR"/>
        </w:rPr>
      </w:pPr>
      <w:r w:rsidRPr="00880065">
        <w:rPr>
          <w:rFonts w:eastAsia="Times New Roman"/>
          <w:lang w:val="en-GB" w:eastAsia="fr-FR"/>
        </w:rPr>
        <w:fldChar w:fldCharType="begin"/>
      </w:r>
      <w:r w:rsidRPr="00880065">
        <w:rPr>
          <w:rFonts w:eastAsia="Times New Roman"/>
          <w:lang w:val="en-GB" w:eastAsia="fr-FR"/>
        </w:rPr>
        <w:instrText xml:space="preserve"> SEQ level0 \*arabic </w:instrText>
      </w:r>
      <w:r w:rsidRPr="00880065">
        <w:rPr>
          <w:rFonts w:eastAsia="Times New Roman"/>
          <w:lang w:val="en-GB" w:eastAsia="fr-FR"/>
        </w:rPr>
        <w:fldChar w:fldCharType="separate"/>
      </w:r>
      <w:r w:rsidR="00880065">
        <w:rPr>
          <w:rFonts w:eastAsia="Times New Roman"/>
          <w:noProof/>
          <w:lang w:val="en-GB" w:eastAsia="fr-FR"/>
        </w:rPr>
        <w:t>33</w:t>
      </w:r>
      <w:r w:rsidRPr="00880065">
        <w:rPr>
          <w:rFonts w:eastAsia="Times New Roman"/>
          <w:lang w:val="en-GB" w:eastAsia="fr-FR"/>
        </w:rPr>
        <w:fldChar w:fldCharType="end"/>
      </w:r>
      <w:r w:rsidRPr="00880065">
        <w:rPr>
          <w:rFonts w:eastAsia="Times New Roman"/>
          <w:lang w:val="en-GB" w:eastAsia="fr-FR"/>
        </w:rPr>
        <w:t>.  </w:t>
      </w:r>
      <w:bookmarkStart w:id="99" w:name="lt_pId214"/>
      <w:r w:rsidRPr="00880065">
        <w:rPr>
          <w:rFonts w:eastAsia="Times New Roman"/>
          <w:lang w:val="en-GB" w:eastAsia="fr-FR"/>
        </w:rPr>
        <w:t>The applicants disputed that argument.</w:t>
      </w:r>
      <w:bookmarkEnd w:id="99"/>
    </w:p>
    <w:p w:rsidR="002878EC" w:rsidRPr="00880065" w:rsidRDefault="002878EC" w:rsidP="00880065">
      <w:pPr>
        <w:pStyle w:val="ECHRPara"/>
        <w:rPr>
          <w:i/>
          <w:lang w:val="en-GB" w:eastAsia="fr-FR"/>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34</w:t>
      </w:r>
      <w:r w:rsidRPr="00880065">
        <w:rPr>
          <w:lang w:val="en-GB"/>
        </w:rPr>
        <w:fldChar w:fldCharType="end"/>
      </w:r>
      <w:r w:rsidRPr="00880065">
        <w:rPr>
          <w:lang w:val="en-GB"/>
        </w:rPr>
        <w:t>.  </w:t>
      </w:r>
      <w:bookmarkStart w:id="100" w:name="lt_pId216"/>
      <w:r w:rsidR="008F4604" w:rsidRPr="00880065">
        <w:rPr>
          <w:lang w:val="en-GB"/>
        </w:rPr>
        <w:t>The Court</w:t>
      </w:r>
      <w:r w:rsidRPr="00880065">
        <w:rPr>
          <w:lang w:val="en-GB"/>
        </w:rPr>
        <w:t xml:space="preserve"> </w:t>
      </w:r>
      <w:r w:rsidR="008F4604" w:rsidRPr="00880065">
        <w:t>considers that the Government</w:t>
      </w:r>
      <w:r w:rsidR="00880065" w:rsidRPr="00880065">
        <w:t>’</w:t>
      </w:r>
      <w:r w:rsidR="008F4604" w:rsidRPr="00880065">
        <w:t>s preliminary objection that the applicants lack victim status raises issues that are closely linked to the examination of whether there has been an interference with the applicants</w:t>
      </w:r>
      <w:r w:rsidR="00880065" w:rsidRPr="00880065">
        <w:t>’</w:t>
      </w:r>
      <w:r w:rsidR="008F4604" w:rsidRPr="00880065">
        <w:t xml:space="preserve"> exercise of their right to</w:t>
      </w:r>
      <w:r w:rsidR="00AA60F9" w:rsidRPr="00880065">
        <w:t xml:space="preserve"> freedom to</w:t>
      </w:r>
      <w:r w:rsidR="008F4604" w:rsidRPr="00880065">
        <w:t xml:space="preserve"> receive </w:t>
      </w:r>
      <w:r w:rsidR="003255A4" w:rsidRPr="00880065">
        <w:t>and</w:t>
      </w:r>
      <w:r w:rsidR="008F4604" w:rsidRPr="00880065">
        <w:t xml:space="preserve"> impart </w:t>
      </w:r>
      <w:r w:rsidR="006845C4" w:rsidRPr="00880065">
        <w:rPr>
          <w:lang w:val="en-GB"/>
        </w:rPr>
        <w:t>information and ideas</w:t>
      </w:r>
      <w:r w:rsidRPr="00880065">
        <w:rPr>
          <w:lang w:val="en-GB"/>
        </w:rPr>
        <w:t xml:space="preserve">, </w:t>
      </w:r>
      <w:r w:rsidR="008F4604" w:rsidRPr="00880065">
        <w:rPr>
          <w:lang w:val="en-GB"/>
        </w:rPr>
        <w:t>and</w:t>
      </w:r>
      <w:r w:rsidRPr="00880065">
        <w:rPr>
          <w:lang w:val="en-GB"/>
        </w:rPr>
        <w:t xml:space="preserve"> </w:t>
      </w:r>
      <w:r w:rsidR="008F4604" w:rsidRPr="00880065">
        <w:rPr>
          <w:lang w:val="en-GB"/>
        </w:rPr>
        <w:t>hence to the merits of the complaint under</w:t>
      </w:r>
      <w:r w:rsidRPr="00880065">
        <w:rPr>
          <w:lang w:val="en-GB"/>
        </w:rPr>
        <w:t xml:space="preserve"> </w:t>
      </w:r>
      <w:r w:rsidR="008F4604" w:rsidRPr="00880065">
        <w:rPr>
          <w:lang w:val="en-GB"/>
        </w:rPr>
        <w:t>A</w:t>
      </w:r>
      <w:r w:rsidR="00FE6A66" w:rsidRPr="00880065">
        <w:rPr>
          <w:lang w:val="en-GB"/>
        </w:rPr>
        <w:t>rticle 1</w:t>
      </w:r>
      <w:r w:rsidRPr="00880065">
        <w:rPr>
          <w:lang w:val="en-GB"/>
        </w:rPr>
        <w:t xml:space="preserve">0 </w:t>
      </w:r>
      <w:r w:rsidR="005D3723" w:rsidRPr="00880065">
        <w:rPr>
          <w:lang w:val="en-GB"/>
        </w:rPr>
        <w:t>of the Conve</w:t>
      </w:r>
      <w:r w:rsidRPr="00880065">
        <w:rPr>
          <w:lang w:val="en-GB"/>
        </w:rPr>
        <w:t>ntion.</w:t>
      </w:r>
      <w:bookmarkEnd w:id="100"/>
      <w:r w:rsidRPr="00880065">
        <w:rPr>
          <w:lang w:val="en-GB"/>
        </w:rPr>
        <w:t xml:space="preserve"> </w:t>
      </w:r>
      <w:bookmarkStart w:id="101" w:name="lt_pId217"/>
      <w:r w:rsidR="008F4604" w:rsidRPr="00880065">
        <w:t>It therefore decides to join this objection to the merits</w:t>
      </w:r>
      <w:r w:rsidR="008F4604" w:rsidRPr="00880065">
        <w:rPr>
          <w:lang w:val="en-GB"/>
        </w:rPr>
        <w:t xml:space="preserve"> </w:t>
      </w:r>
      <w:r w:rsidRPr="00880065">
        <w:rPr>
          <w:lang w:val="en-GB"/>
        </w:rPr>
        <w:t>(</w:t>
      </w:r>
      <w:r w:rsidR="008F4604" w:rsidRPr="00880065">
        <w:rPr>
          <w:lang w:val="en-GB"/>
        </w:rPr>
        <w:t>see, to similar effect</w:t>
      </w:r>
      <w:r w:rsidRPr="00880065">
        <w:rPr>
          <w:lang w:val="en-GB"/>
        </w:rPr>
        <w:t xml:space="preserve">, </w:t>
      </w:r>
      <w:r w:rsidRPr="00880065">
        <w:rPr>
          <w:i/>
          <w:lang w:val="en-GB" w:eastAsia="fr-FR"/>
        </w:rPr>
        <w:t xml:space="preserve">Dink </w:t>
      </w:r>
      <w:r w:rsidR="008F4604" w:rsidRPr="00880065">
        <w:rPr>
          <w:i/>
          <w:lang w:val="en-GB" w:eastAsia="fr-FR"/>
        </w:rPr>
        <w:t>v. Turkey</w:t>
      </w:r>
      <w:r w:rsidRPr="00880065">
        <w:rPr>
          <w:lang w:val="en-GB" w:eastAsia="fr-FR"/>
        </w:rPr>
        <w:t>, n</w:t>
      </w:r>
      <w:r w:rsidR="008F4604" w:rsidRPr="00880065">
        <w:rPr>
          <w:lang w:val="en-GB" w:eastAsia="fr-FR"/>
        </w:rPr>
        <w:t>os.</w:t>
      </w:r>
      <w:r w:rsidRPr="00880065">
        <w:rPr>
          <w:lang w:val="en-GB" w:eastAsia="fr-FR"/>
        </w:rPr>
        <w:t xml:space="preserve"> 2668/07, 6102/08, 30079/08, 7072/09 </w:t>
      </w:r>
      <w:r w:rsidR="008F4604" w:rsidRPr="00880065">
        <w:rPr>
          <w:lang w:val="en-GB" w:eastAsia="fr-FR"/>
        </w:rPr>
        <w:t>and 7124/09, § </w:t>
      </w:r>
      <w:r w:rsidRPr="00880065">
        <w:rPr>
          <w:lang w:val="en-GB" w:eastAsia="fr-FR"/>
        </w:rPr>
        <w:t>100, 14 </w:t>
      </w:r>
      <w:r w:rsidR="009C5882" w:rsidRPr="00880065">
        <w:rPr>
          <w:lang w:val="en-GB" w:eastAsia="fr-FR"/>
        </w:rPr>
        <w:t>September</w:t>
      </w:r>
      <w:r w:rsidRPr="00880065">
        <w:rPr>
          <w:lang w:val="en-GB" w:eastAsia="fr-FR"/>
        </w:rPr>
        <w:t xml:space="preserve"> 2010, </w:t>
      </w:r>
      <w:r w:rsidR="008F4604" w:rsidRPr="00880065">
        <w:rPr>
          <w:lang w:val="en-GB" w:eastAsia="fr-FR"/>
        </w:rPr>
        <w:t>and</w:t>
      </w:r>
      <w:r w:rsidRPr="00880065">
        <w:rPr>
          <w:lang w:val="en-GB" w:eastAsia="fr-FR"/>
        </w:rPr>
        <w:t xml:space="preserve"> </w:t>
      </w:r>
      <w:r w:rsidRPr="00880065">
        <w:rPr>
          <w:i/>
          <w:lang w:val="en-GB" w:eastAsia="fr-FR"/>
        </w:rPr>
        <w:t xml:space="preserve">Altuğ Taner Akçam </w:t>
      </w:r>
      <w:r w:rsidR="008F4604" w:rsidRPr="00880065">
        <w:rPr>
          <w:i/>
          <w:lang w:val="en-GB" w:eastAsia="fr-FR"/>
        </w:rPr>
        <w:t>v. Turkey</w:t>
      </w:r>
      <w:r w:rsidRPr="00880065">
        <w:rPr>
          <w:lang w:val="en-GB" w:eastAsia="fr-FR"/>
        </w:rPr>
        <w:t>, n</w:t>
      </w:r>
      <w:r w:rsidR="008F4604" w:rsidRPr="00880065">
        <w:rPr>
          <w:lang w:val="en-GB" w:eastAsia="fr-FR"/>
        </w:rPr>
        <w:t>o.</w:t>
      </w:r>
      <w:r w:rsidRPr="00880065">
        <w:rPr>
          <w:lang w:val="en-GB" w:eastAsia="fr-FR"/>
        </w:rPr>
        <w:t> 27520/07, § 51, 25 </w:t>
      </w:r>
      <w:r w:rsidR="009C5882" w:rsidRPr="00880065">
        <w:rPr>
          <w:lang w:val="en-GB" w:eastAsia="fr-FR"/>
        </w:rPr>
        <w:t>October</w:t>
      </w:r>
      <w:r w:rsidRPr="00880065">
        <w:rPr>
          <w:lang w:val="en-GB" w:eastAsia="fr-FR"/>
        </w:rPr>
        <w:t xml:space="preserve"> 2011)</w:t>
      </w:r>
      <w:r w:rsidRPr="00880065">
        <w:rPr>
          <w:lang w:val="en-GB"/>
        </w:rPr>
        <w:t>.</w:t>
      </w:r>
      <w:bookmarkEnd w:id="101"/>
    </w:p>
    <w:p w:rsidR="002878EC" w:rsidRPr="00880065" w:rsidRDefault="002878EC" w:rsidP="00880065">
      <w:pPr>
        <w:pStyle w:val="ECHRPara"/>
        <w:rPr>
          <w:lang w:val="en-GB"/>
        </w:rPr>
      </w:pPr>
      <w:r w:rsidRPr="00880065">
        <w:rPr>
          <w:rFonts w:eastAsia="Times New Roman"/>
          <w:lang w:val="en-GB" w:eastAsia="fr-FR"/>
        </w:rPr>
        <w:lastRenderedPageBreak/>
        <w:fldChar w:fldCharType="begin"/>
      </w:r>
      <w:r w:rsidRPr="00880065">
        <w:rPr>
          <w:rFonts w:eastAsia="Times New Roman"/>
          <w:lang w:val="en-GB" w:eastAsia="fr-FR"/>
        </w:rPr>
        <w:instrText xml:space="preserve"> SEQ level0 \*arabic </w:instrText>
      </w:r>
      <w:r w:rsidRPr="00880065">
        <w:rPr>
          <w:rFonts w:eastAsia="Times New Roman"/>
          <w:lang w:val="en-GB" w:eastAsia="fr-FR"/>
        </w:rPr>
        <w:fldChar w:fldCharType="separate"/>
      </w:r>
      <w:r w:rsidR="00880065">
        <w:rPr>
          <w:rFonts w:eastAsia="Times New Roman"/>
          <w:noProof/>
          <w:lang w:val="en-GB" w:eastAsia="fr-FR"/>
        </w:rPr>
        <w:t>35</w:t>
      </w:r>
      <w:r w:rsidRPr="00880065">
        <w:rPr>
          <w:rFonts w:eastAsia="Times New Roman"/>
          <w:lang w:val="en-GB" w:eastAsia="fr-FR"/>
        </w:rPr>
        <w:fldChar w:fldCharType="end"/>
      </w:r>
      <w:r w:rsidRPr="00880065">
        <w:rPr>
          <w:rFonts w:eastAsia="Times New Roman"/>
          <w:lang w:val="en-GB" w:eastAsia="fr-FR"/>
        </w:rPr>
        <w:t>.  </w:t>
      </w:r>
      <w:bookmarkStart w:id="102" w:name="lt_pId219"/>
      <w:r w:rsidRPr="00880065">
        <w:rPr>
          <w:lang w:val="en-GB"/>
        </w:rPr>
        <w:t xml:space="preserve">The Court notes that this complaint is not manifestly ill-founded within the meaning of </w:t>
      </w:r>
      <w:r w:rsidR="00FE6A66" w:rsidRPr="00880065">
        <w:rPr>
          <w:lang w:val="en-GB"/>
        </w:rPr>
        <w:t>Article 3</w:t>
      </w:r>
      <w:r w:rsidRPr="00880065">
        <w:rPr>
          <w:lang w:val="en-GB"/>
        </w:rPr>
        <w:t>5 § 3 of the Convention and is not inadmissible on any other grounds. It therefore declares it admissible.</w:t>
      </w:r>
      <w:bookmarkEnd w:id="102"/>
    </w:p>
    <w:p w:rsidR="002878EC" w:rsidRPr="00880065" w:rsidRDefault="002878EC" w:rsidP="00880065">
      <w:pPr>
        <w:pStyle w:val="ECHRHeading2"/>
        <w:rPr>
          <w:lang w:val="en-GB"/>
        </w:rPr>
      </w:pPr>
      <w:r w:rsidRPr="00880065">
        <w:rPr>
          <w:lang w:val="en-GB"/>
        </w:rPr>
        <w:t>B.  </w:t>
      </w:r>
      <w:bookmarkStart w:id="103" w:name="lt_pId221"/>
      <w:r w:rsidRPr="00880065">
        <w:rPr>
          <w:lang w:val="en-GB"/>
        </w:rPr>
        <w:t>Merits</w:t>
      </w:r>
      <w:bookmarkEnd w:id="103"/>
    </w:p>
    <w:p w:rsidR="002878EC" w:rsidRPr="00880065" w:rsidRDefault="002878EC" w:rsidP="00880065">
      <w:pPr>
        <w:pStyle w:val="ECHRHeading3"/>
        <w:rPr>
          <w:lang w:val="en-GB"/>
        </w:rPr>
      </w:pPr>
      <w:r w:rsidRPr="00880065">
        <w:rPr>
          <w:lang w:val="en-GB"/>
        </w:rPr>
        <w:t>1.  </w:t>
      </w:r>
      <w:bookmarkStart w:id="104" w:name="lt_pId223"/>
      <w:r w:rsidRPr="00880065">
        <w:rPr>
          <w:lang w:val="en-GB"/>
        </w:rPr>
        <w:t>The parties</w:t>
      </w:r>
      <w:r w:rsidR="00880065" w:rsidRPr="00880065">
        <w:rPr>
          <w:lang w:val="en-GB"/>
        </w:rPr>
        <w:t>’</w:t>
      </w:r>
      <w:r w:rsidRPr="00880065">
        <w:rPr>
          <w:lang w:val="en-GB"/>
        </w:rPr>
        <w:t xml:space="preserve"> submissions</w:t>
      </w:r>
      <w:bookmarkEnd w:id="104"/>
    </w:p>
    <w:p w:rsidR="002878EC" w:rsidRPr="00880065" w:rsidRDefault="004D1215" w:rsidP="00880065">
      <w:pPr>
        <w:pStyle w:val="ECHRHeading4"/>
        <w:rPr>
          <w:lang w:val="en-GB"/>
        </w:rPr>
      </w:pPr>
      <w:bookmarkStart w:id="105" w:name="lt_pId224"/>
      <w:r w:rsidRPr="00880065">
        <w:rPr>
          <w:rFonts w:cstheme="majorHAnsi"/>
          <w:lang w:val="en-GB"/>
        </w:rPr>
        <w:t>(a)  </w:t>
      </w:r>
      <w:r w:rsidR="002878EC" w:rsidRPr="00880065">
        <w:rPr>
          <w:rFonts w:cstheme="majorHAnsi"/>
          <w:lang w:val="en-GB"/>
        </w:rPr>
        <w:t>The applicants</w:t>
      </w:r>
      <w:bookmarkEnd w:id="105"/>
    </w:p>
    <w:p w:rsidR="002878EC" w:rsidRPr="00880065" w:rsidRDefault="002878EC" w:rsidP="00880065">
      <w:pPr>
        <w:pStyle w:val="ECHRPara"/>
        <w:rPr>
          <w:i/>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36</w:t>
      </w:r>
      <w:r w:rsidRPr="00880065">
        <w:rPr>
          <w:lang w:val="en-GB"/>
        </w:rPr>
        <w:fldChar w:fldCharType="end"/>
      </w:r>
      <w:r w:rsidRPr="00880065">
        <w:rPr>
          <w:lang w:val="en-GB"/>
        </w:rPr>
        <w:t>.  </w:t>
      </w:r>
      <w:bookmarkStart w:id="106" w:name="lt_pId226"/>
      <w:r w:rsidRPr="00880065">
        <w:rPr>
          <w:lang w:val="en-GB"/>
        </w:rPr>
        <w:t>The three applicants submitted that the order blocking access to YouTube amounted to an infringement of their freedom to receive and impart information and ideas.</w:t>
      </w:r>
      <w:bookmarkEnd w:id="106"/>
      <w:r w:rsidRPr="00880065">
        <w:rPr>
          <w:lang w:val="en-GB"/>
        </w:rPr>
        <w:t xml:space="preserve"> </w:t>
      </w:r>
      <w:bookmarkStart w:id="107" w:name="lt_pId227"/>
      <w:r w:rsidR="00D017B2" w:rsidRPr="00880065">
        <w:rPr>
          <w:lang w:val="en-GB"/>
        </w:rPr>
        <w:t>Relying on</w:t>
      </w:r>
      <w:r w:rsidRPr="00880065">
        <w:rPr>
          <w:lang w:val="en-GB"/>
        </w:rPr>
        <w:t xml:space="preserve"> </w:t>
      </w:r>
      <w:r w:rsidRPr="00880065">
        <w:rPr>
          <w:i/>
          <w:lang w:val="en-GB"/>
        </w:rPr>
        <w:t>Ahmet Yıldırım</w:t>
      </w:r>
      <w:r w:rsidRPr="00880065">
        <w:rPr>
          <w:lang w:val="en-GB"/>
        </w:rPr>
        <w:t xml:space="preserve"> </w:t>
      </w:r>
      <w:r w:rsidR="008F4604" w:rsidRPr="00880065">
        <w:rPr>
          <w:i/>
          <w:lang w:val="en-GB"/>
        </w:rPr>
        <w:t>v. Turkey</w:t>
      </w:r>
      <w:r w:rsidRPr="00880065">
        <w:rPr>
          <w:lang w:val="en-GB"/>
        </w:rPr>
        <w:t xml:space="preserve"> (n</w:t>
      </w:r>
      <w:r w:rsidR="004B5B37" w:rsidRPr="00880065">
        <w:rPr>
          <w:lang w:val="en-GB"/>
        </w:rPr>
        <w:t>o.</w:t>
      </w:r>
      <w:r w:rsidR="006F79F0" w:rsidRPr="00880065">
        <w:rPr>
          <w:lang w:val="en-GB"/>
        </w:rPr>
        <w:t> </w:t>
      </w:r>
      <w:r w:rsidRPr="00880065">
        <w:rPr>
          <w:lang w:val="en-GB"/>
        </w:rPr>
        <w:t xml:space="preserve">3111/10, </w:t>
      </w:r>
      <w:r w:rsidR="001E05DD" w:rsidRPr="00880065">
        <w:rPr>
          <w:lang w:val="en-GB"/>
        </w:rPr>
        <w:t>ECHR</w:t>
      </w:r>
      <w:r w:rsidRPr="00880065">
        <w:rPr>
          <w:lang w:val="en-GB"/>
        </w:rPr>
        <w:t xml:space="preserve"> 2012) </w:t>
      </w:r>
      <w:r w:rsidR="00266402" w:rsidRPr="00880065">
        <w:rPr>
          <w:lang w:val="en-GB"/>
        </w:rPr>
        <w:t xml:space="preserve">and two judgments of the </w:t>
      </w:r>
      <w:r w:rsidR="00FE6A66" w:rsidRPr="00880065">
        <w:rPr>
          <w:lang w:val="en-GB"/>
        </w:rPr>
        <w:t>Constitutional Court</w:t>
      </w:r>
      <w:r w:rsidRPr="00880065">
        <w:rPr>
          <w:lang w:val="en-GB"/>
        </w:rPr>
        <w:t xml:space="preserve"> (</w:t>
      </w:r>
      <w:r w:rsidR="004B5B37" w:rsidRPr="00880065">
        <w:rPr>
          <w:lang w:val="en-GB"/>
        </w:rPr>
        <w:t xml:space="preserve">see </w:t>
      </w:r>
      <w:r w:rsidRPr="00880065">
        <w:rPr>
          <w:lang w:val="en-GB"/>
        </w:rPr>
        <w:t>para</w:t>
      </w:r>
      <w:r w:rsidR="00FE6A66" w:rsidRPr="00880065">
        <w:rPr>
          <w:lang w:val="en-GB"/>
        </w:rPr>
        <w:t>graph</w:t>
      </w:r>
      <w:r w:rsidRPr="00880065">
        <w:rPr>
          <w:lang w:val="en-GB"/>
        </w:rPr>
        <w:t xml:space="preserve">s 25-26 </w:t>
      </w:r>
      <w:r w:rsidR="004B5B37" w:rsidRPr="00880065">
        <w:rPr>
          <w:lang w:val="en-GB"/>
        </w:rPr>
        <w:t>above</w:t>
      </w:r>
      <w:r w:rsidRPr="00880065">
        <w:rPr>
          <w:lang w:val="en-GB"/>
        </w:rPr>
        <w:t xml:space="preserve">), </w:t>
      </w:r>
      <w:r w:rsidR="00266402" w:rsidRPr="00880065">
        <w:rPr>
          <w:lang w:val="en-GB"/>
        </w:rPr>
        <w:t>they also asserted that</w:t>
      </w:r>
      <w:r w:rsidRPr="00880065">
        <w:rPr>
          <w:lang w:val="en-GB"/>
        </w:rPr>
        <w:t xml:space="preserve"> </w:t>
      </w:r>
      <w:r w:rsidR="004B5B37" w:rsidRPr="00880065">
        <w:rPr>
          <w:lang w:val="en-GB"/>
        </w:rPr>
        <w:t>Law no.</w:t>
      </w:r>
      <w:r w:rsidRPr="00880065">
        <w:rPr>
          <w:lang w:val="en-GB"/>
        </w:rPr>
        <w:t xml:space="preserve"> 5651 </w:t>
      </w:r>
      <w:r w:rsidR="00266402" w:rsidRPr="00880065">
        <w:rPr>
          <w:lang w:val="en-GB"/>
        </w:rPr>
        <w:t xml:space="preserve">did not permit the wholesale blocking of access to a website. </w:t>
      </w:r>
      <w:bookmarkStart w:id="108" w:name="lt_pId228"/>
      <w:bookmarkEnd w:id="107"/>
      <w:r w:rsidR="00266402" w:rsidRPr="00880065">
        <w:rPr>
          <w:lang w:val="en-GB"/>
        </w:rPr>
        <w:t>Accordingly,</w:t>
      </w:r>
      <w:r w:rsidRPr="00880065">
        <w:rPr>
          <w:lang w:val="en-GB"/>
        </w:rPr>
        <w:t xml:space="preserve"> </w:t>
      </w:r>
      <w:r w:rsidR="00266402" w:rsidRPr="00880065">
        <w:rPr>
          <w:lang w:val="en-GB"/>
        </w:rPr>
        <w:t>the impugned interference could not be said to have been</w:t>
      </w:r>
      <w:r w:rsidRPr="00880065">
        <w:rPr>
          <w:lang w:val="en-GB"/>
        </w:rPr>
        <w:t xml:space="preserve"> </w:t>
      </w:r>
      <w:r w:rsidR="00FE6A66" w:rsidRPr="00880065">
        <w:rPr>
          <w:lang w:val="en-GB"/>
        </w:rPr>
        <w:t>“</w:t>
      </w:r>
      <w:r w:rsidR="00266402" w:rsidRPr="00880065">
        <w:rPr>
          <w:lang w:val="en-GB"/>
        </w:rPr>
        <w:t>prescribed by law</w:t>
      </w:r>
      <w:r w:rsidR="00FE6A66" w:rsidRPr="00880065">
        <w:rPr>
          <w:lang w:val="en-GB"/>
        </w:rPr>
        <w:t>”</w:t>
      </w:r>
      <w:r w:rsidRPr="00880065">
        <w:rPr>
          <w:lang w:val="en-GB"/>
        </w:rPr>
        <w:t>.</w:t>
      </w:r>
      <w:bookmarkEnd w:id="108"/>
      <w:r w:rsidRPr="00880065">
        <w:rPr>
          <w:lang w:val="en-GB"/>
        </w:rPr>
        <w:t xml:space="preserve"> </w:t>
      </w:r>
      <w:bookmarkStart w:id="109" w:name="lt_pId229"/>
      <w:r w:rsidRPr="00880065">
        <w:rPr>
          <w:lang w:val="en-GB"/>
        </w:rPr>
        <w:t xml:space="preserve">They further contended that the consequences </w:t>
      </w:r>
      <w:r w:rsidR="008F6834" w:rsidRPr="00880065">
        <w:rPr>
          <w:lang w:val="en-GB"/>
        </w:rPr>
        <w:t>that</w:t>
      </w:r>
      <w:r w:rsidRPr="00880065">
        <w:rPr>
          <w:lang w:val="en-GB"/>
        </w:rPr>
        <w:t xml:space="preserve"> the blocking order</w:t>
      </w:r>
      <w:r w:rsidR="00AA400B" w:rsidRPr="00880065">
        <w:rPr>
          <w:lang w:val="en-GB"/>
        </w:rPr>
        <w:t xml:space="preserve"> </w:t>
      </w:r>
      <w:r w:rsidR="008F6834" w:rsidRPr="00880065">
        <w:rPr>
          <w:lang w:val="en-GB"/>
        </w:rPr>
        <w:t xml:space="preserve">had entailed </w:t>
      </w:r>
      <w:r w:rsidR="00AA400B" w:rsidRPr="00880065">
        <w:rPr>
          <w:lang w:val="en-GB"/>
        </w:rPr>
        <w:t>for them</w:t>
      </w:r>
      <w:r w:rsidR="00EC2459" w:rsidRPr="00880065">
        <w:rPr>
          <w:lang w:val="en-GB"/>
        </w:rPr>
        <w:t>,</w:t>
      </w:r>
      <w:r w:rsidRPr="00880065">
        <w:rPr>
          <w:lang w:val="en-GB"/>
        </w:rPr>
        <w:t xml:space="preserve"> </w:t>
      </w:r>
      <w:r w:rsidR="00EC2459" w:rsidRPr="00880065">
        <w:rPr>
          <w:lang w:val="en-GB"/>
        </w:rPr>
        <w:t>by</w:t>
      </w:r>
      <w:r w:rsidR="00BF3812" w:rsidRPr="00880065">
        <w:rPr>
          <w:lang w:val="en-GB"/>
        </w:rPr>
        <w:t xml:space="preserve"> making it impossible</w:t>
      </w:r>
      <w:r w:rsidRPr="00880065">
        <w:rPr>
          <w:lang w:val="en-GB"/>
        </w:rPr>
        <w:t xml:space="preserve"> to access </w:t>
      </w:r>
      <w:r w:rsidR="00AA400B" w:rsidRPr="00880065">
        <w:rPr>
          <w:lang w:val="en-GB"/>
        </w:rPr>
        <w:t>num</w:t>
      </w:r>
      <w:r w:rsidRPr="00880065">
        <w:rPr>
          <w:lang w:val="en-GB"/>
        </w:rPr>
        <w:t>er</w:t>
      </w:r>
      <w:r w:rsidR="00AA400B" w:rsidRPr="00880065">
        <w:rPr>
          <w:lang w:val="en-GB"/>
        </w:rPr>
        <w:t>ou</w:t>
      </w:r>
      <w:r w:rsidRPr="00880065">
        <w:rPr>
          <w:lang w:val="en-GB"/>
        </w:rPr>
        <w:t>s</w:t>
      </w:r>
      <w:r w:rsidR="00AA400B" w:rsidRPr="00880065">
        <w:rPr>
          <w:lang w:val="en-GB"/>
        </w:rPr>
        <w:t xml:space="preserve"> </w:t>
      </w:r>
      <w:r w:rsidR="009E6C39" w:rsidRPr="00880065">
        <w:rPr>
          <w:lang w:val="en-GB"/>
        </w:rPr>
        <w:t xml:space="preserve">YouTube </w:t>
      </w:r>
      <w:r w:rsidRPr="00880065">
        <w:rPr>
          <w:lang w:val="en-GB"/>
        </w:rPr>
        <w:t xml:space="preserve">videos </w:t>
      </w:r>
      <w:r w:rsidR="00EC2459" w:rsidRPr="00880065">
        <w:rPr>
          <w:lang w:val="en-GB"/>
        </w:rPr>
        <w:t>that were unrelated</w:t>
      </w:r>
      <w:r w:rsidRPr="00880065">
        <w:rPr>
          <w:lang w:val="en-GB"/>
        </w:rPr>
        <w:t xml:space="preserve"> </w:t>
      </w:r>
      <w:r w:rsidR="00997243" w:rsidRPr="00880065">
        <w:rPr>
          <w:lang w:val="en-GB"/>
        </w:rPr>
        <w:t>to</w:t>
      </w:r>
      <w:r w:rsidRPr="00880065">
        <w:rPr>
          <w:lang w:val="en-GB"/>
        </w:rPr>
        <w:t xml:space="preserve"> the illegal content </w:t>
      </w:r>
      <w:r w:rsidR="00EC2459" w:rsidRPr="00880065">
        <w:rPr>
          <w:lang w:val="en-GB"/>
        </w:rPr>
        <w:t>forming the basis of</w:t>
      </w:r>
      <w:r w:rsidR="009E6C39" w:rsidRPr="00880065">
        <w:rPr>
          <w:lang w:val="en-GB"/>
        </w:rPr>
        <w:t xml:space="preserve"> the blocking order in respect of the site</w:t>
      </w:r>
      <w:r w:rsidRPr="00880065">
        <w:rPr>
          <w:lang w:val="en-GB"/>
        </w:rPr>
        <w:t>, had been disproportionate to the aims pursued.</w:t>
      </w:r>
      <w:bookmarkEnd w:id="109"/>
      <w:r w:rsidRPr="00880065">
        <w:rPr>
          <w:lang w:val="en-GB"/>
        </w:rPr>
        <w:t xml:space="preserve"> </w:t>
      </w:r>
      <w:bookmarkStart w:id="110" w:name="lt_pId230"/>
      <w:r w:rsidR="00AA400B" w:rsidRPr="00880065">
        <w:rPr>
          <w:lang w:val="en-GB"/>
        </w:rPr>
        <w:t>They</w:t>
      </w:r>
      <w:r w:rsidRPr="00880065">
        <w:rPr>
          <w:lang w:val="en-GB"/>
        </w:rPr>
        <w:t xml:space="preserve"> argued in addition that the proceedings leading to the blocking of YouTube could not be regarded as fair and impartial.</w:t>
      </w:r>
      <w:bookmarkEnd w:id="110"/>
    </w:p>
    <w:p w:rsidR="002878EC" w:rsidRPr="00880065" w:rsidRDefault="002878EC" w:rsidP="00880065">
      <w:pPr>
        <w:pStyle w:val="ECHRPara"/>
        <w:rPr>
          <w:rFonts w:ascii="Times New Roman" w:eastAsia="Times New Roman" w:hAnsi="Times New Roman" w:cs="Times New Roman"/>
          <w:szCs w:val="24"/>
          <w:lang w:val="en-GB" w:eastAsia="fr-FR"/>
        </w:rPr>
      </w:pPr>
      <w:r w:rsidRPr="00880065">
        <w:rPr>
          <w:rFonts w:ascii="Times New Roman" w:eastAsia="Times New Roman" w:hAnsi="Times New Roman" w:cs="Times New Roman"/>
          <w:szCs w:val="24"/>
          <w:lang w:val="en-GB" w:eastAsia="fr-FR"/>
        </w:rPr>
        <w:fldChar w:fldCharType="begin"/>
      </w:r>
      <w:r w:rsidRPr="00880065">
        <w:rPr>
          <w:rFonts w:ascii="Times New Roman" w:eastAsia="Times New Roman" w:hAnsi="Times New Roman" w:cs="Times New Roman"/>
          <w:szCs w:val="24"/>
          <w:lang w:val="en-GB" w:eastAsia="fr-FR"/>
        </w:rPr>
        <w:instrText xml:space="preserve"> SEQ level0 \*arabic </w:instrText>
      </w:r>
      <w:r w:rsidRPr="00880065">
        <w:rPr>
          <w:rFonts w:ascii="Times New Roman" w:eastAsia="Times New Roman" w:hAnsi="Times New Roman" w:cs="Times New Roman"/>
          <w:szCs w:val="24"/>
          <w:lang w:val="en-GB" w:eastAsia="fr-FR"/>
        </w:rPr>
        <w:fldChar w:fldCharType="separate"/>
      </w:r>
      <w:r w:rsidR="00880065">
        <w:rPr>
          <w:rFonts w:ascii="Times New Roman" w:eastAsia="Times New Roman" w:hAnsi="Times New Roman" w:cs="Times New Roman"/>
          <w:noProof/>
          <w:szCs w:val="24"/>
          <w:lang w:val="en-GB" w:eastAsia="fr-FR"/>
        </w:rPr>
        <w:t>37</w:t>
      </w:r>
      <w:r w:rsidRPr="00880065">
        <w:rPr>
          <w:rFonts w:ascii="Times New Roman" w:eastAsia="Times New Roman" w:hAnsi="Times New Roman" w:cs="Times New Roman"/>
          <w:szCs w:val="24"/>
          <w:lang w:val="en-GB" w:eastAsia="fr-FR"/>
        </w:rPr>
        <w:fldChar w:fldCharType="end"/>
      </w:r>
      <w:r w:rsidRPr="00880065">
        <w:rPr>
          <w:rFonts w:ascii="Times New Roman" w:eastAsia="Times New Roman" w:hAnsi="Times New Roman" w:cs="Times New Roman"/>
          <w:szCs w:val="24"/>
          <w:lang w:val="en-GB" w:eastAsia="fr-FR"/>
        </w:rPr>
        <w:t>.  </w:t>
      </w:r>
      <w:bookmarkStart w:id="111" w:name="lt_pId232"/>
      <w:r w:rsidR="004B5B37" w:rsidRPr="00880065">
        <w:rPr>
          <w:rFonts w:ascii="Times New Roman" w:eastAsia="Times New Roman" w:hAnsi="Times New Roman" w:cs="Times New Roman"/>
          <w:szCs w:val="24"/>
          <w:lang w:val="en-GB" w:eastAsia="fr-FR"/>
        </w:rPr>
        <w:t>The first</w:t>
      </w:r>
      <w:r w:rsidRPr="00880065">
        <w:rPr>
          <w:rFonts w:ascii="Times New Roman" w:eastAsia="Times New Roman" w:hAnsi="Times New Roman" w:cs="Times New Roman"/>
          <w:szCs w:val="24"/>
          <w:lang w:val="en-GB" w:eastAsia="fr-FR"/>
        </w:rPr>
        <w:t xml:space="preserve"> </w:t>
      </w:r>
      <w:r w:rsidR="00FE6A66" w:rsidRPr="00880065">
        <w:rPr>
          <w:rFonts w:ascii="Times New Roman" w:eastAsia="Times New Roman" w:hAnsi="Times New Roman" w:cs="Times New Roman"/>
          <w:szCs w:val="24"/>
          <w:lang w:val="en-GB" w:eastAsia="fr-FR"/>
        </w:rPr>
        <w:t>applicant</w:t>
      </w:r>
      <w:r w:rsidRPr="00880065">
        <w:rPr>
          <w:rFonts w:ascii="Times New Roman" w:eastAsia="Times New Roman" w:hAnsi="Times New Roman" w:cs="Times New Roman"/>
          <w:szCs w:val="24"/>
          <w:lang w:val="en-GB" w:eastAsia="fr-FR"/>
        </w:rPr>
        <w:t xml:space="preserve"> </w:t>
      </w:r>
      <w:r w:rsidR="008D1E66" w:rsidRPr="00880065">
        <w:rPr>
          <w:rFonts w:ascii="Times New Roman" w:eastAsia="Times New Roman" w:hAnsi="Times New Roman" w:cs="Times New Roman"/>
          <w:szCs w:val="24"/>
          <w:lang w:val="en-GB" w:eastAsia="fr-FR"/>
        </w:rPr>
        <w:t>submitted</w:t>
      </w:r>
      <w:r w:rsidR="009A666F" w:rsidRPr="00880065">
        <w:rPr>
          <w:rFonts w:ascii="Times New Roman" w:eastAsia="Times New Roman" w:hAnsi="Times New Roman" w:cs="Times New Roman"/>
          <w:szCs w:val="24"/>
          <w:lang w:val="en-GB" w:eastAsia="fr-FR"/>
        </w:rPr>
        <w:t>, among other things,</w:t>
      </w:r>
      <w:r w:rsidR="008D1E66" w:rsidRPr="00880065">
        <w:rPr>
          <w:rFonts w:ascii="Times New Roman" w:eastAsia="Times New Roman" w:hAnsi="Times New Roman" w:cs="Times New Roman"/>
          <w:szCs w:val="24"/>
          <w:lang w:val="en-GB" w:eastAsia="fr-FR"/>
        </w:rPr>
        <w:t xml:space="preserve"> that he was </w:t>
      </w:r>
      <w:r w:rsidR="00D80DD3" w:rsidRPr="00880065">
        <w:rPr>
          <w:rFonts w:ascii="Times New Roman" w:eastAsia="Times New Roman" w:hAnsi="Times New Roman" w:cs="Times New Roman"/>
          <w:szCs w:val="24"/>
          <w:lang w:val="en-GB" w:eastAsia="fr-FR"/>
        </w:rPr>
        <w:t xml:space="preserve">a lecturer </w:t>
      </w:r>
      <w:r w:rsidR="009A666F" w:rsidRPr="00880065">
        <w:rPr>
          <w:rFonts w:ascii="Times New Roman" w:eastAsia="Times New Roman" w:hAnsi="Times New Roman" w:cs="Times New Roman"/>
          <w:szCs w:val="24"/>
          <w:lang w:val="en-GB" w:eastAsia="fr-FR"/>
        </w:rPr>
        <w:t>in law</w:t>
      </w:r>
      <w:r w:rsidR="00072B71" w:rsidRPr="00880065">
        <w:rPr>
          <w:rFonts w:ascii="Times New Roman" w:eastAsia="Times New Roman" w:hAnsi="Times New Roman" w:cs="Times New Roman"/>
          <w:szCs w:val="24"/>
          <w:lang w:val="en-GB" w:eastAsia="fr-FR"/>
        </w:rPr>
        <w:t xml:space="preserve"> and an expert and legal practitioner in the field of freedom of</w:t>
      </w:r>
      <w:r w:rsidRPr="00880065">
        <w:rPr>
          <w:rFonts w:ascii="Times New Roman" w:eastAsia="Times New Roman" w:hAnsi="Times New Roman" w:cs="Times New Roman"/>
          <w:szCs w:val="24"/>
          <w:lang w:val="en-GB" w:eastAsia="fr-FR"/>
        </w:rPr>
        <w:t xml:space="preserve"> </w:t>
      </w:r>
      <w:r w:rsidRPr="00880065">
        <w:rPr>
          <w:lang w:val="en-GB"/>
        </w:rPr>
        <w:t>expression</w:t>
      </w:r>
      <w:r w:rsidRPr="00880065">
        <w:rPr>
          <w:rFonts w:ascii="Times New Roman" w:eastAsia="Times New Roman" w:hAnsi="Times New Roman" w:cs="Times New Roman"/>
          <w:szCs w:val="24"/>
          <w:lang w:val="en-GB" w:eastAsia="fr-FR"/>
        </w:rPr>
        <w:t>.</w:t>
      </w:r>
      <w:bookmarkEnd w:id="111"/>
      <w:r w:rsidRPr="00880065">
        <w:rPr>
          <w:rFonts w:ascii="Times New Roman" w:eastAsia="Times New Roman" w:hAnsi="Times New Roman" w:cs="Times New Roman"/>
          <w:szCs w:val="24"/>
          <w:lang w:val="en-GB" w:eastAsia="fr-FR"/>
        </w:rPr>
        <w:t xml:space="preserve"> </w:t>
      </w:r>
      <w:bookmarkStart w:id="112" w:name="lt_pId233"/>
      <w:r w:rsidR="00072B71" w:rsidRPr="00880065">
        <w:rPr>
          <w:rFonts w:ascii="Times New Roman" w:eastAsia="Times New Roman" w:hAnsi="Times New Roman" w:cs="Times New Roman"/>
          <w:szCs w:val="24"/>
          <w:lang w:val="en-GB" w:eastAsia="fr-FR"/>
        </w:rPr>
        <w:t>He explained that</w:t>
      </w:r>
      <w:r w:rsidRPr="00880065">
        <w:rPr>
          <w:rFonts w:ascii="Times New Roman" w:eastAsia="Times New Roman" w:hAnsi="Times New Roman" w:cs="Times New Roman"/>
          <w:szCs w:val="24"/>
          <w:lang w:val="en-GB" w:eastAsia="fr-FR"/>
        </w:rPr>
        <w:t xml:space="preserve"> </w:t>
      </w:r>
      <w:r w:rsidR="00072B71" w:rsidRPr="00880065">
        <w:rPr>
          <w:rFonts w:ascii="Times New Roman" w:eastAsia="Times New Roman" w:hAnsi="Times New Roman" w:cs="Times New Roman"/>
          <w:szCs w:val="24"/>
          <w:lang w:val="en-GB" w:eastAsia="fr-FR"/>
        </w:rPr>
        <w:t xml:space="preserve">international </w:t>
      </w:r>
      <w:r w:rsidRPr="00880065">
        <w:rPr>
          <w:rFonts w:ascii="Times New Roman" w:eastAsia="Times New Roman" w:hAnsi="Times New Roman" w:cs="Times New Roman"/>
          <w:szCs w:val="24"/>
          <w:lang w:val="en-GB" w:eastAsia="fr-FR"/>
        </w:rPr>
        <w:t xml:space="preserve">organisations </w:t>
      </w:r>
      <w:r w:rsidR="001F3A90" w:rsidRPr="00880065">
        <w:rPr>
          <w:rFonts w:ascii="Times New Roman" w:eastAsia="Times New Roman" w:hAnsi="Times New Roman" w:cs="Times New Roman"/>
          <w:szCs w:val="24"/>
          <w:lang w:val="en-GB" w:eastAsia="fr-FR"/>
        </w:rPr>
        <w:t>uploaded</w:t>
      </w:r>
      <w:r w:rsidR="00072B71" w:rsidRPr="00880065">
        <w:rPr>
          <w:rFonts w:ascii="Times New Roman" w:eastAsia="Times New Roman" w:hAnsi="Times New Roman" w:cs="Times New Roman"/>
          <w:szCs w:val="24"/>
          <w:lang w:val="en-GB" w:eastAsia="fr-FR"/>
        </w:rPr>
        <w:t xml:space="preserve"> a large amount of visual material on </w:t>
      </w:r>
      <w:r w:rsidRPr="00880065">
        <w:rPr>
          <w:rFonts w:ascii="Times New Roman" w:eastAsia="Times New Roman" w:hAnsi="Times New Roman" w:cs="Times New Roman"/>
          <w:szCs w:val="24"/>
          <w:lang w:val="en-GB" w:eastAsia="fr-FR"/>
        </w:rPr>
        <w:t xml:space="preserve">YouTube </w:t>
      </w:r>
      <w:r w:rsidR="008F4604" w:rsidRPr="00880065">
        <w:rPr>
          <w:rFonts w:ascii="Times New Roman" w:eastAsia="Times New Roman" w:hAnsi="Times New Roman" w:cs="Times New Roman"/>
          <w:szCs w:val="24"/>
          <w:lang w:val="en-GB" w:eastAsia="fr-FR"/>
        </w:rPr>
        <w:t>and</w:t>
      </w:r>
      <w:r w:rsidRPr="00880065">
        <w:rPr>
          <w:rFonts w:ascii="Times New Roman" w:eastAsia="Times New Roman" w:hAnsi="Times New Roman" w:cs="Times New Roman"/>
          <w:szCs w:val="24"/>
          <w:lang w:val="en-GB" w:eastAsia="fr-FR"/>
        </w:rPr>
        <w:t xml:space="preserve"> </w:t>
      </w:r>
      <w:r w:rsidR="00072B71" w:rsidRPr="00880065">
        <w:rPr>
          <w:rFonts w:ascii="Times New Roman" w:eastAsia="Times New Roman" w:hAnsi="Times New Roman" w:cs="Times New Roman"/>
          <w:szCs w:val="24"/>
          <w:lang w:val="en-GB" w:eastAsia="fr-FR"/>
        </w:rPr>
        <w:t>that he regularly used such material in his activities</w:t>
      </w:r>
      <w:r w:rsidRPr="00880065">
        <w:rPr>
          <w:rFonts w:ascii="Times New Roman" w:eastAsia="Times New Roman" w:hAnsi="Times New Roman" w:cs="Times New Roman"/>
          <w:szCs w:val="24"/>
          <w:lang w:val="en-GB" w:eastAsia="fr-FR"/>
        </w:rPr>
        <w:t>.</w:t>
      </w:r>
      <w:bookmarkEnd w:id="112"/>
      <w:r w:rsidRPr="00880065">
        <w:rPr>
          <w:rFonts w:ascii="Times New Roman" w:eastAsia="Times New Roman" w:hAnsi="Times New Roman" w:cs="Times New Roman"/>
          <w:szCs w:val="24"/>
          <w:lang w:val="en-GB" w:eastAsia="fr-FR"/>
        </w:rPr>
        <w:t xml:space="preserve"> </w:t>
      </w:r>
      <w:bookmarkStart w:id="113" w:name="lt_pId234"/>
      <w:r w:rsidR="00072B71" w:rsidRPr="00880065">
        <w:rPr>
          <w:rFonts w:ascii="Times New Roman" w:eastAsia="Times New Roman" w:hAnsi="Times New Roman" w:cs="Times New Roman"/>
          <w:szCs w:val="24"/>
          <w:lang w:val="en-GB" w:eastAsia="fr-FR"/>
        </w:rPr>
        <w:t>As an active user with a</w:t>
      </w:r>
      <w:r w:rsidRPr="00880065">
        <w:rPr>
          <w:rFonts w:ascii="Times New Roman" w:eastAsia="Times New Roman" w:hAnsi="Times New Roman" w:cs="Times New Roman"/>
          <w:szCs w:val="24"/>
          <w:lang w:val="en-GB" w:eastAsia="fr-FR"/>
        </w:rPr>
        <w:t xml:space="preserve"> YouTube</w:t>
      </w:r>
      <w:r w:rsidR="00072B71" w:rsidRPr="00880065">
        <w:rPr>
          <w:rFonts w:ascii="Times New Roman" w:eastAsia="Times New Roman" w:hAnsi="Times New Roman" w:cs="Times New Roman"/>
          <w:szCs w:val="24"/>
          <w:lang w:val="en-GB" w:eastAsia="fr-FR"/>
        </w:rPr>
        <w:t xml:space="preserve"> account</w:t>
      </w:r>
      <w:r w:rsidRPr="00880065">
        <w:rPr>
          <w:rFonts w:ascii="Times New Roman" w:eastAsia="Times New Roman" w:hAnsi="Times New Roman" w:cs="Times New Roman"/>
          <w:szCs w:val="24"/>
          <w:lang w:val="en-GB" w:eastAsia="fr-FR"/>
        </w:rPr>
        <w:t xml:space="preserve">, </w:t>
      </w:r>
      <w:r w:rsidR="00072B71" w:rsidRPr="00880065">
        <w:rPr>
          <w:rFonts w:ascii="Times New Roman" w:eastAsia="Times New Roman" w:hAnsi="Times New Roman" w:cs="Times New Roman"/>
          <w:szCs w:val="24"/>
          <w:lang w:val="en-GB" w:eastAsia="fr-FR"/>
        </w:rPr>
        <w:t xml:space="preserve">he </w:t>
      </w:r>
      <w:r w:rsidR="00AA400B" w:rsidRPr="00880065">
        <w:rPr>
          <w:rFonts w:ascii="Times New Roman" w:eastAsia="Times New Roman" w:hAnsi="Times New Roman" w:cs="Times New Roman"/>
          <w:szCs w:val="24"/>
          <w:lang w:val="en-GB" w:eastAsia="fr-FR"/>
        </w:rPr>
        <w:t>enjoyed</w:t>
      </w:r>
      <w:r w:rsidR="00072B71" w:rsidRPr="00880065">
        <w:rPr>
          <w:rFonts w:ascii="Times New Roman" w:eastAsia="Times New Roman" w:hAnsi="Times New Roman" w:cs="Times New Roman"/>
          <w:szCs w:val="24"/>
          <w:lang w:val="en-GB" w:eastAsia="fr-FR"/>
        </w:rPr>
        <w:t xml:space="preserve"> access </w:t>
      </w:r>
      <w:r w:rsidR="00AA400B" w:rsidRPr="00880065">
        <w:rPr>
          <w:rFonts w:ascii="Times New Roman" w:eastAsia="Times New Roman" w:hAnsi="Times New Roman" w:cs="Times New Roman"/>
          <w:szCs w:val="24"/>
          <w:lang w:val="en-GB" w:eastAsia="fr-FR"/>
        </w:rPr>
        <w:t>to many different</w:t>
      </w:r>
      <w:r w:rsidR="00072B71" w:rsidRPr="00880065">
        <w:rPr>
          <w:rFonts w:ascii="Times New Roman" w:eastAsia="Times New Roman" w:hAnsi="Times New Roman" w:cs="Times New Roman"/>
          <w:szCs w:val="24"/>
          <w:lang w:val="en-GB" w:eastAsia="fr-FR"/>
        </w:rPr>
        <w:t xml:space="preserve"> information </w:t>
      </w:r>
      <w:r w:rsidRPr="00880065">
        <w:rPr>
          <w:rFonts w:ascii="Times New Roman" w:eastAsia="Times New Roman" w:hAnsi="Times New Roman" w:cs="Times New Roman"/>
          <w:szCs w:val="24"/>
          <w:lang w:val="en-GB" w:eastAsia="fr-FR"/>
        </w:rPr>
        <w:t>sources</w:t>
      </w:r>
      <w:r w:rsidR="00072B71" w:rsidRPr="00880065">
        <w:rPr>
          <w:rFonts w:ascii="Times New Roman" w:eastAsia="Times New Roman" w:hAnsi="Times New Roman" w:cs="Times New Roman"/>
          <w:szCs w:val="24"/>
          <w:lang w:val="en-GB" w:eastAsia="fr-FR"/>
        </w:rPr>
        <w:t xml:space="preserve"> </w:t>
      </w:r>
      <w:r w:rsidR="00AA400B" w:rsidRPr="00880065">
        <w:rPr>
          <w:rFonts w:ascii="Times New Roman" w:eastAsia="Times New Roman" w:hAnsi="Times New Roman" w:cs="Times New Roman"/>
          <w:szCs w:val="24"/>
          <w:lang w:val="en-GB" w:eastAsia="fr-FR"/>
        </w:rPr>
        <w:t>that p</w:t>
      </w:r>
      <w:r w:rsidR="00AA400B" w:rsidRPr="00880065">
        <w:rPr>
          <w:lang w:val="en-GB"/>
        </w:rPr>
        <w:t xml:space="preserve">ublished a wide range of content on </w:t>
      </w:r>
      <w:r w:rsidR="00072B71" w:rsidRPr="00880065">
        <w:rPr>
          <w:rFonts w:ascii="Times New Roman" w:eastAsia="Times New Roman" w:hAnsi="Times New Roman" w:cs="Times New Roman"/>
          <w:szCs w:val="24"/>
          <w:lang w:val="en-GB" w:eastAsia="fr-FR"/>
        </w:rPr>
        <w:t>the site,</w:t>
      </w:r>
      <w:r w:rsidRPr="00880065">
        <w:rPr>
          <w:rFonts w:ascii="Times New Roman" w:eastAsia="Times New Roman" w:hAnsi="Times New Roman" w:cs="Times New Roman"/>
          <w:szCs w:val="24"/>
          <w:lang w:val="en-GB" w:eastAsia="fr-FR"/>
        </w:rPr>
        <w:t xml:space="preserve"> </w:t>
      </w:r>
      <w:r w:rsidR="00072B71" w:rsidRPr="00880065">
        <w:rPr>
          <w:rFonts w:ascii="Times New Roman" w:eastAsia="Times New Roman" w:hAnsi="Times New Roman" w:cs="Times New Roman"/>
          <w:szCs w:val="24"/>
          <w:lang w:val="en-GB" w:eastAsia="fr-FR"/>
        </w:rPr>
        <w:t>such as</w:t>
      </w:r>
      <w:r w:rsidRPr="00880065">
        <w:rPr>
          <w:rFonts w:ascii="Times New Roman" w:eastAsia="Times New Roman" w:hAnsi="Times New Roman" w:cs="Times New Roman"/>
          <w:szCs w:val="24"/>
          <w:lang w:val="en-GB" w:eastAsia="fr-FR"/>
        </w:rPr>
        <w:t xml:space="preserve"> documentation, analys</w:t>
      </w:r>
      <w:r w:rsidR="00AA400B" w:rsidRPr="00880065">
        <w:rPr>
          <w:rFonts w:ascii="Times New Roman" w:eastAsia="Times New Roman" w:hAnsi="Times New Roman" w:cs="Times New Roman"/>
          <w:szCs w:val="24"/>
          <w:lang w:val="en-GB" w:eastAsia="fr-FR"/>
        </w:rPr>
        <w:t>e</w:t>
      </w:r>
      <w:r w:rsidRPr="00880065">
        <w:rPr>
          <w:rFonts w:ascii="Times New Roman" w:eastAsia="Times New Roman" w:hAnsi="Times New Roman" w:cs="Times New Roman"/>
          <w:szCs w:val="24"/>
          <w:lang w:val="en-GB" w:eastAsia="fr-FR"/>
        </w:rPr>
        <w:t xml:space="preserve">s </w:t>
      </w:r>
      <w:r w:rsidR="00072B71" w:rsidRPr="00880065">
        <w:rPr>
          <w:rFonts w:ascii="Times New Roman" w:eastAsia="Times New Roman" w:hAnsi="Times New Roman" w:cs="Times New Roman"/>
          <w:szCs w:val="24"/>
          <w:lang w:val="en-GB" w:eastAsia="fr-FR"/>
        </w:rPr>
        <w:t>and</w:t>
      </w:r>
      <w:r w:rsidRPr="00880065">
        <w:rPr>
          <w:rFonts w:ascii="Times New Roman" w:eastAsia="Times New Roman" w:hAnsi="Times New Roman" w:cs="Times New Roman"/>
          <w:szCs w:val="24"/>
          <w:lang w:val="en-GB" w:eastAsia="fr-FR"/>
        </w:rPr>
        <w:t xml:space="preserve"> </w:t>
      </w:r>
      <w:r w:rsidR="00072B71" w:rsidRPr="00880065">
        <w:rPr>
          <w:rFonts w:ascii="Times New Roman" w:eastAsia="Times New Roman" w:hAnsi="Times New Roman" w:cs="Times New Roman"/>
          <w:szCs w:val="24"/>
          <w:lang w:val="en-GB" w:eastAsia="fr-FR"/>
        </w:rPr>
        <w:t>entertainment</w:t>
      </w:r>
      <w:r w:rsidRPr="00880065">
        <w:rPr>
          <w:rFonts w:ascii="Times New Roman" w:eastAsia="Times New Roman" w:hAnsi="Times New Roman" w:cs="Times New Roman"/>
          <w:szCs w:val="24"/>
          <w:lang w:val="en-GB" w:eastAsia="fr-FR"/>
        </w:rPr>
        <w:t>.</w:t>
      </w:r>
      <w:bookmarkEnd w:id="113"/>
      <w:r w:rsidRPr="00880065">
        <w:rPr>
          <w:rFonts w:ascii="Times New Roman" w:eastAsia="Times New Roman" w:hAnsi="Times New Roman" w:cs="Times New Roman"/>
          <w:szCs w:val="24"/>
          <w:lang w:val="en-GB" w:eastAsia="fr-FR"/>
        </w:rPr>
        <w:t xml:space="preserve"> </w:t>
      </w:r>
      <w:bookmarkStart w:id="114" w:name="lt_pId235"/>
      <w:r w:rsidR="00072B71" w:rsidRPr="00880065">
        <w:rPr>
          <w:rFonts w:ascii="Times New Roman" w:eastAsia="Times New Roman" w:hAnsi="Times New Roman" w:cs="Times New Roman"/>
          <w:szCs w:val="24"/>
          <w:lang w:val="en-GB" w:eastAsia="fr-FR"/>
        </w:rPr>
        <w:t>As a result of the wholesale blocking of the site</w:t>
      </w:r>
      <w:r w:rsidRPr="00880065">
        <w:rPr>
          <w:rFonts w:ascii="Times New Roman" w:eastAsia="Times New Roman" w:hAnsi="Times New Roman" w:cs="Times New Roman"/>
          <w:szCs w:val="24"/>
          <w:lang w:val="en-GB" w:eastAsia="fr-FR"/>
        </w:rPr>
        <w:t xml:space="preserve">, </w:t>
      </w:r>
      <w:r w:rsidR="00072B71" w:rsidRPr="00880065">
        <w:rPr>
          <w:rFonts w:ascii="Times New Roman" w:eastAsia="Times New Roman" w:hAnsi="Times New Roman" w:cs="Times New Roman"/>
          <w:szCs w:val="24"/>
          <w:lang w:val="en-GB" w:eastAsia="fr-FR"/>
        </w:rPr>
        <w:t xml:space="preserve">he had been unable to access his </w:t>
      </w:r>
      <w:r w:rsidRPr="00880065">
        <w:rPr>
          <w:rFonts w:ascii="Times New Roman" w:eastAsia="Times New Roman" w:hAnsi="Times New Roman" w:cs="Times New Roman"/>
          <w:szCs w:val="24"/>
          <w:lang w:val="en-GB" w:eastAsia="fr-FR"/>
        </w:rPr>
        <w:t>YouTube</w:t>
      </w:r>
      <w:r w:rsidR="00072B71" w:rsidRPr="00880065">
        <w:rPr>
          <w:rFonts w:ascii="Times New Roman" w:eastAsia="Times New Roman" w:hAnsi="Times New Roman" w:cs="Times New Roman"/>
          <w:szCs w:val="24"/>
          <w:lang w:val="en-GB" w:eastAsia="fr-FR"/>
        </w:rPr>
        <w:t xml:space="preserve"> account for more than three years</w:t>
      </w:r>
      <w:r w:rsidRPr="00880065">
        <w:rPr>
          <w:rFonts w:ascii="Times New Roman" w:eastAsia="Times New Roman" w:hAnsi="Times New Roman" w:cs="Times New Roman"/>
          <w:szCs w:val="24"/>
          <w:lang w:val="en-GB" w:eastAsia="fr-FR"/>
        </w:rPr>
        <w:t>.</w:t>
      </w:r>
      <w:bookmarkEnd w:id="114"/>
    </w:p>
    <w:p w:rsidR="002878EC" w:rsidRPr="00880065" w:rsidRDefault="002878EC" w:rsidP="00880065">
      <w:pPr>
        <w:pStyle w:val="ECHRPara"/>
        <w:rPr>
          <w:lang w:val="en-GB" w:eastAsia="fr-FR"/>
        </w:rPr>
      </w:pPr>
      <w:r w:rsidRPr="00880065">
        <w:rPr>
          <w:rFonts w:ascii="Times New Roman" w:eastAsia="Times New Roman" w:hAnsi="Times New Roman" w:cs="Times New Roman"/>
          <w:szCs w:val="24"/>
          <w:lang w:val="en-GB" w:eastAsia="fr-FR"/>
        </w:rPr>
        <w:fldChar w:fldCharType="begin"/>
      </w:r>
      <w:r w:rsidRPr="00880065">
        <w:rPr>
          <w:rFonts w:ascii="Times New Roman" w:eastAsia="Times New Roman" w:hAnsi="Times New Roman" w:cs="Times New Roman"/>
          <w:szCs w:val="24"/>
          <w:lang w:val="en-GB" w:eastAsia="fr-FR"/>
        </w:rPr>
        <w:instrText xml:space="preserve"> SEQ level0 \*arabic </w:instrText>
      </w:r>
      <w:r w:rsidRPr="00880065">
        <w:rPr>
          <w:rFonts w:ascii="Times New Roman" w:eastAsia="Times New Roman" w:hAnsi="Times New Roman" w:cs="Times New Roman"/>
          <w:szCs w:val="24"/>
          <w:lang w:val="en-GB" w:eastAsia="fr-FR"/>
        </w:rPr>
        <w:fldChar w:fldCharType="separate"/>
      </w:r>
      <w:r w:rsidR="00880065">
        <w:rPr>
          <w:rFonts w:ascii="Times New Roman" w:eastAsia="Times New Roman" w:hAnsi="Times New Roman" w:cs="Times New Roman"/>
          <w:noProof/>
          <w:szCs w:val="24"/>
          <w:lang w:val="en-GB" w:eastAsia="fr-FR"/>
        </w:rPr>
        <w:t>38</w:t>
      </w:r>
      <w:r w:rsidRPr="00880065">
        <w:rPr>
          <w:rFonts w:ascii="Times New Roman" w:eastAsia="Times New Roman" w:hAnsi="Times New Roman" w:cs="Times New Roman"/>
          <w:szCs w:val="24"/>
          <w:lang w:val="en-GB" w:eastAsia="fr-FR"/>
        </w:rPr>
        <w:fldChar w:fldCharType="end"/>
      </w:r>
      <w:r w:rsidRPr="00880065">
        <w:rPr>
          <w:rFonts w:ascii="Times New Roman" w:eastAsia="Times New Roman" w:hAnsi="Times New Roman" w:cs="Times New Roman"/>
          <w:szCs w:val="24"/>
          <w:lang w:val="en-GB" w:eastAsia="fr-FR"/>
        </w:rPr>
        <w:t>.  </w:t>
      </w:r>
      <w:bookmarkStart w:id="115" w:name="lt_pId237"/>
      <w:r w:rsidR="00C614CC" w:rsidRPr="00880065">
        <w:rPr>
          <w:rFonts w:ascii="Times New Roman" w:eastAsia="Times New Roman" w:hAnsi="Times New Roman" w:cs="Times New Roman"/>
          <w:szCs w:val="24"/>
          <w:lang w:val="en-GB" w:eastAsia="fr-FR"/>
        </w:rPr>
        <w:t xml:space="preserve">The </w:t>
      </w:r>
      <w:r w:rsidR="004B5B37" w:rsidRPr="00880065">
        <w:rPr>
          <w:rFonts w:ascii="Times New Roman" w:eastAsia="Times New Roman" w:hAnsi="Times New Roman" w:cs="Times New Roman"/>
          <w:szCs w:val="24"/>
          <w:lang w:val="en-GB" w:eastAsia="fr-FR"/>
        </w:rPr>
        <w:t>second and third</w:t>
      </w:r>
      <w:r w:rsidRPr="00880065">
        <w:rPr>
          <w:rFonts w:ascii="Times New Roman" w:eastAsia="Times New Roman" w:hAnsi="Times New Roman" w:cs="Times New Roman"/>
          <w:szCs w:val="24"/>
          <w:lang w:val="en-GB" w:eastAsia="fr-FR"/>
        </w:rPr>
        <w:t xml:space="preserve"> </w:t>
      </w:r>
      <w:r w:rsidR="00FE6A66" w:rsidRPr="00880065">
        <w:rPr>
          <w:rFonts w:ascii="Times New Roman" w:eastAsia="Times New Roman" w:hAnsi="Times New Roman" w:cs="Times New Roman"/>
          <w:szCs w:val="24"/>
          <w:lang w:val="en-GB" w:eastAsia="fr-FR"/>
        </w:rPr>
        <w:t>applicants</w:t>
      </w:r>
      <w:r w:rsidRPr="00880065">
        <w:rPr>
          <w:lang w:val="en-GB" w:eastAsia="fr-FR"/>
        </w:rPr>
        <w:t xml:space="preserve">, </w:t>
      </w:r>
      <w:r w:rsidR="004E398D" w:rsidRPr="00880065">
        <w:rPr>
          <w:lang w:val="en-GB" w:eastAsia="fr-FR"/>
        </w:rPr>
        <w:t xml:space="preserve">emphasising the importance of the </w:t>
      </w:r>
      <w:r w:rsidRPr="00880065">
        <w:rPr>
          <w:lang w:val="en-GB" w:eastAsia="fr-FR"/>
        </w:rPr>
        <w:t>Internet</w:t>
      </w:r>
      <w:r w:rsidR="004E398D" w:rsidRPr="00880065">
        <w:rPr>
          <w:lang w:val="en-GB" w:eastAsia="fr-FR"/>
        </w:rPr>
        <w:t xml:space="preserve">, which had become one of the main means by which individuals could exercise their </w:t>
      </w:r>
      <w:r w:rsidR="00CF0F8D" w:rsidRPr="00880065">
        <w:rPr>
          <w:lang w:val="en-GB" w:eastAsia="fr-FR"/>
        </w:rPr>
        <w:t xml:space="preserve">right to </w:t>
      </w:r>
      <w:r w:rsidR="004E398D" w:rsidRPr="00880065">
        <w:rPr>
          <w:lang w:val="en-GB" w:eastAsia="fr-FR"/>
        </w:rPr>
        <w:t xml:space="preserve">freedom to receive </w:t>
      </w:r>
      <w:r w:rsidR="003255A4" w:rsidRPr="00880065">
        <w:rPr>
          <w:lang w:val="en-GB" w:eastAsia="fr-FR"/>
        </w:rPr>
        <w:t>and</w:t>
      </w:r>
      <w:r w:rsidR="004E398D" w:rsidRPr="00880065">
        <w:rPr>
          <w:lang w:val="en-GB" w:eastAsia="fr-FR"/>
        </w:rPr>
        <w:t xml:space="preserve"> impart</w:t>
      </w:r>
      <w:r w:rsidRPr="00880065">
        <w:rPr>
          <w:lang w:val="en-GB" w:eastAsia="fr-FR"/>
        </w:rPr>
        <w:t xml:space="preserve"> </w:t>
      </w:r>
      <w:r w:rsidR="006845C4" w:rsidRPr="00880065">
        <w:rPr>
          <w:lang w:val="en-GB" w:eastAsia="fr-FR"/>
        </w:rPr>
        <w:t>information and ideas</w:t>
      </w:r>
      <w:r w:rsidRPr="00880065">
        <w:rPr>
          <w:lang w:val="en-GB" w:eastAsia="fr-FR"/>
        </w:rPr>
        <w:t xml:space="preserve">, </w:t>
      </w:r>
      <w:r w:rsidR="004E398D" w:rsidRPr="00880065">
        <w:rPr>
          <w:lang w:val="en-GB" w:eastAsia="fr-FR"/>
        </w:rPr>
        <w:t>contended that they had been directly affected by the measure in issue</w:t>
      </w:r>
      <w:r w:rsidRPr="00880065">
        <w:rPr>
          <w:lang w:val="en-GB" w:eastAsia="fr-FR"/>
        </w:rPr>
        <w:t>.</w:t>
      </w:r>
      <w:bookmarkEnd w:id="115"/>
      <w:r w:rsidRPr="00880065">
        <w:rPr>
          <w:lang w:val="en-GB" w:eastAsia="fr-FR"/>
        </w:rPr>
        <w:t xml:space="preserve"> </w:t>
      </w:r>
      <w:bookmarkStart w:id="116" w:name="lt_pId238"/>
      <w:r w:rsidR="004E398D" w:rsidRPr="00880065">
        <w:rPr>
          <w:lang w:val="en-GB" w:eastAsia="fr-FR"/>
        </w:rPr>
        <w:t>They explained in that connection that</w:t>
      </w:r>
      <w:r w:rsidRPr="00880065">
        <w:rPr>
          <w:lang w:val="en-GB" w:eastAsia="fr-FR"/>
        </w:rPr>
        <w:t xml:space="preserve"> YouTube </w:t>
      </w:r>
      <w:r w:rsidR="004E398D" w:rsidRPr="00880065">
        <w:rPr>
          <w:lang w:val="en-GB" w:eastAsia="fr-FR"/>
        </w:rPr>
        <w:t>not only disseminated</w:t>
      </w:r>
      <w:r w:rsidRPr="00880065">
        <w:rPr>
          <w:lang w:val="en-GB" w:eastAsia="fr-FR"/>
        </w:rPr>
        <w:t xml:space="preserve"> </w:t>
      </w:r>
      <w:r w:rsidR="004E398D" w:rsidRPr="00880065">
        <w:rPr>
          <w:lang w:val="en-GB" w:eastAsia="fr-FR"/>
        </w:rPr>
        <w:t>artistic and musical content</w:t>
      </w:r>
      <w:r w:rsidRPr="00880065">
        <w:rPr>
          <w:lang w:val="en-GB" w:eastAsia="fr-FR"/>
        </w:rPr>
        <w:t xml:space="preserve">, </w:t>
      </w:r>
      <w:r w:rsidR="004E398D" w:rsidRPr="00880065">
        <w:rPr>
          <w:lang w:val="en-GB" w:eastAsia="fr-FR"/>
        </w:rPr>
        <w:t xml:space="preserve">but was also a large-scale and very popular platform for political </w:t>
      </w:r>
      <w:r w:rsidR="00CF0F8D" w:rsidRPr="00880065">
        <w:rPr>
          <w:lang w:val="en-GB" w:eastAsia="fr-FR"/>
        </w:rPr>
        <w:t>speech</w:t>
      </w:r>
      <w:r w:rsidR="004E398D" w:rsidRPr="00880065">
        <w:rPr>
          <w:lang w:val="en-GB" w:eastAsia="fr-FR"/>
        </w:rPr>
        <w:t xml:space="preserve"> and political and social activities.</w:t>
      </w:r>
      <w:bookmarkEnd w:id="116"/>
      <w:r w:rsidRPr="00880065">
        <w:rPr>
          <w:lang w:val="en-GB" w:eastAsia="fr-FR"/>
        </w:rPr>
        <w:t xml:space="preserve"> </w:t>
      </w:r>
      <w:bookmarkStart w:id="117" w:name="lt_pId239"/>
      <w:r w:rsidR="004E398D" w:rsidRPr="00880065">
        <w:rPr>
          <w:lang w:val="en-GB" w:eastAsia="fr-FR"/>
        </w:rPr>
        <w:t>I</w:t>
      </w:r>
      <w:r w:rsidRPr="00880065">
        <w:rPr>
          <w:lang w:val="en-GB" w:eastAsia="fr-FR"/>
        </w:rPr>
        <w:t>n particul</w:t>
      </w:r>
      <w:r w:rsidR="004E398D" w:rsidRPr="00880065">
        <w:rPr>
          <w:lang w:val="en-GB" w:eastAsia="fr-FR"/>
        </w:rPr>
        <w:t>a</w:t>
      </w:r>
      <w:r w:rsidRPr="00880065">
        <w:rPr>
          <w:lang w:val="en-GB" w:eastAsia="fr-FR"/>
        </w:rPr>
        <w:t xml:space="preserve">r, </w:t>
      </w:r>
      <w:r w:rsidR="004E398D" w:rsidRPr="00880065">
        <w:rPr>
          <w:lang w:val="en-GB" w:eastAsia="fr-FR"/>
        </w:rPr>
        <w:t>political content that was</w:t>
      </w:r>
      <w:r w:rsidRPr="00880065">
        <w:rPr>
          <w:lang w:val="en-GB" w:eastAsia="fr-FR"/>
        </w:rPr>
        <w:t xml:space="preserve"> ignor</w:t>
      </w:r>
      <w:r w:rsidR="004E398D" w:rsidRPr="00880065">
        <w:rPr>
          <w:lang w:val="en-GB" w:eastAsia="fr-FR"/>
        </w:rPr>
        <w:t xml:space="preserve">ed by the traditional media or banned by repressive governments was often shared </w:t>
      </w:r>
      <w:r w:rsidRPr="00880065">
        <w:rPr>
          <w:lang w:val="en-GB" w:eastAsia="fr-FR"/>
        </w:rPr>
        <w:t xml:space="preserve">via YouTube, </w:t>
      </w:r>
      <w:r w:rsidR="004E398D" w:rsidRPr="00880065">
        <w:rPr>
          <w:lang w:val="en-GB" w:eastAsia="fr-FR"/>
        </w:rPr>
        <w:t>fostering</w:t>
      </w:r>
      <w:r w:rsidRPr="00880065">
        <w:rPr>
          <w:lang w:val="en-GB" w:eastAsia="fr-FR"/>
        </w:rPr>
        <w:t xml:space="preserve"> </w:t>
      </w:r>
      <w:r w:rsidR="00FE6A66" w:rsidRPr="00880065">
        <w:rPr>
          <w:lang w:val="en-GB" w:eastAsia="fr-FR"/>
        </w:rPr>
        <w:t>“</w:t>
      </w:r>
      <w:r w:rsidR="004E398D" w:rsidRPr="00880065">
        <w:rPr>
          <w:lang w:val="en-GB" w:eastAsia="fr-FR"/>
        </w:rPr>
        <w:t xml:space="preserve">citizen </w:t>
      </w:r>
      <w:r w:rsidRPr="00880065">
        <w:rPr>
          <w:lang w:val="en-GB" w:eastAsia="fr-FR"/>
        </w:rPr>
        <w:t>journalism</w:t>
      </w:r>
      <w:r w:rsidR="00FE6A66" w:rsidRPr="00880065">
        <w:rPr>
          <w:lang w:val="en-GB" w:eastAsia="fr-FR"/>
        </w:rPr>
        <w:t>”</w:t>
      </w:r>
      <w:r w:rsidRPr="00880065">
        <w:rPr>
          <w:lang w:val="en-GB" w:eastAsia="fr-FR"/>
        </w:rPr>
        <w:t xml:space="preserve"> </w:t>
      </w:r>
      <w:r w:rsidR="004E398D" w:rsidRPr="00880065">
        <w:rPr>
          <w:lang w:val="en-GB" w:eastAsia="fr-FR"/>
        </w:rPr>
        <w:t>on an unforeseen scale</w:t>
      </w:r>
      <w:r w:rsidRPr="00880065">
        <w:rPr>
          <w:lang w:val="en-GB" w:eastAsia="fr-FR"/>
        </w:rPr>
        <w:t>.</w:t>
      </w:r>
      <w:bookmarkEnd w:id="117"/>
      <w:r w:rsidRPr="00880065">
        <w:rPr>
          <w:lang w:val="en-GB" w:eastAsia="fr-FR"/>
        </w:rPr>
        <w:t xml:space="preserve"> </w:t>
      </w:r>
      <w:bookmarkStart w:id="118" w:name="lt_pId240"/>
      <w:r w:rsidR="004E398D" w:rsidRPr="00880065">
        <w:rPr>
          <w:lang w:val="en-GB" w:eastAsia="fr-FR"/>
        </w:rPr>
        <w:t>From that perspective</w:t>
      </w:r>
      <w:r w:rsidRPr="00880065">
        <w:rPr>
          <w:lang w:val="en-GB" w:eastAsia="fr-FR"/>
        </w:rPr>
        <w:t xml:space="preserve">, </w:t>
      </w:r>
      <w:r w:rsidR="004E398D" w:rsidRPr="00880065">
        <w:rPr>
          <w:lang w:val="en-GB" w:eastAsia="fr-FR"/>
        </w:rPr>
        <w:t>YouTube was a unique</w:t>
      </w:r>
      <w:r w:rsidRPr="00880065">
        <w:rPr>
          <w:lang w:val="en-GB" w:eastAsia="fr-FR"/>
        </w:rPr>
        <w:t xml:space="preserve"> </w:t>
      </w:r>
      <w:r w:rsidR="004E398D" w:rsidRPr="00880065">
        <w:rPr>
          <w:lang w:val="en-GB" w:eastAsia="fr-FR"/>
        </w:rPr>
        <w:t>platform</w:t>
      </w:r>
      <w:r w:rsidRPr="00880065">
        <w:rPr>
          <w:lang w:val="en-GB" w:eastAsia="fr-FR"/>
        </w:rPr>
        <w:t xml:space="preserve"> </w:t>
      </w:r>
      <w:r w:rsidR="004E398D" w:rsidRPr="00880065">
        <w:rPr>
          <w:lang w:val="en-GB" w:eastAsia="fr-FR"/>
        </w:rPr>
        <w:t>on account of its</w:t>
      </w:r>
      <w:r w:rsidRPr="00880065">
        <w:rPr>
          <w:lang w:val="en-GB" w:eastAsia="fr-FR"/>
        </w:rPr>
        <w:t xml:space="preserve"> </w:t>
      </w:r>
      <w:r w:rsidR="004E398D" w:rsidRPr="00880065">
        <w:rPr>
          <w:lang w:val="en-GB" w:eastAsia="fr-FR"/>
        </w:rPr>
        <w:t>characteristics</w:t>
      </w:r>
      <w:r w:rsidRPr="00880065">
        <w:rPr>
          <w:lang w:val="en-GB" w:eastAsia="fr-FR"/>
        </w:rPr>
        <w:t xml:space="preserve">, </w:t>
      </w:r>
      <w:r w:rsidR="00CF0F8D" w:rsidRPr="00880065">
        <w:rPr>
          <w:lang w:val="en-GB" w:eastAsia="fr-FR"/>
        </w:rPr>
        <w:t>its</w:t>
      </w:r>
      <w:r w:rsidRPr="00880065">
        <w:rPr>
          <w:lang w:val="en-GB" w:eastAsia="fr-FR"/>
        </w:rPr>
        <w:t xml:space="preserve"> </w:t>
      </w:r>
      <w:r w:rsidR="004E398D" w:rsidRPr="00880065">
        <w:rPr>
          <w:lang w:val="en-GB" w:eastAsia="fr-FR"/>
        </w:rPr>
        <w:t>accessibility</w:t>
      </w:r>
      <w:r w:rsidRPr="00880065">
        <w:rPr>
          <w:lang w:val="en-GB" w:eastAsia="fr-FR"/>
        </w:rPr>
        <w:t xml:space="preserve"> </w:t>
      </w:r>
      <w:r w:rsidR="008F4604" w:rsidRPr="00880065">
        <w:rPr>
          <w:lang w:val="en-GB" w:eastAsia="fr-FR"/>
        </w:rPr>
        <w:t>and</w:t>
      </w:r>
      <w:r w:rsidRPr="00880065">
        <w:rPr>
          <w:lang w:val="en-GB" w:eastAsia="fr-FR"/>
        </w:rPr>
        <w:t xml:space="preserve"> </w:t>
      </w:r>
      <w:r w:rsidR="004E398D" w:rsidRPr="00880065">
        <w:rPr>
          <w:lang w:val="en-GB" w:eastAsia="fr-FR"/>
        </w:rPr>
        <w:t>above all its potential</w:t>
      </w:r>
      <w:r w:rsidRPr="00880065">
        <w:rPr>
          <w:lang w:val="en-GB" w:eastAsia="fr-FR"/>
        </w:rPr>
        <w:t xml:space="preserve"> impact, </w:t>
      </w:r>
      <w:r w:rsidR="008F4604" w:rsidRPr="00880065">
        <w:rPr>
          <w:lang w:val="en-GB" w:eastAsia="fr-FR"/>
        </w:rPr>
        <w:t>and</w:t>
      </w:r>
      <w:r w:rsidRPr="00880065">
        <w:rPr>
          <w:lang w:val="en-GB" w:eastAsia="fr-FR"/>
        </w:rPr>
        <w:t xml:space="preserve"> </w:t>
      </w:r>
      <w:r w:rsidR="004E398D" w:rsidRPr="00880065">
        <w:rPr>
          <w:lang w:val="en-GB" w:eastAsia="fr-FR"/>
        </w:rPr>
        <w:t xml:space="preserve">there were no </w:t>
      </w:r>
      <w:r w:rsidR="00CF0F8D" w:rsidRPr="00880065">
        <w:rPr>
          <w:lang w:val="en-GB" w:eastAsia="fr-FR"/>
        </w:rPr>
        <w:t>eq</w:t>
      </w:r>
      <w:r w:rsidR="00CF0F8D" w:rsidRPr="00880065">
        <w:rPr>
          <w:lang w:val="en-GB"/>
        </w:rPr>
        <w:t>uivalents that could replace it</w:t>
      </w:r>
      <w:r w:rsidRPr="00880065">
        <w:rPr>
          <w:lang w:val="en-GB" w:eastAsia="fr-FR"/>
        </w:rPr>
        <w:t>.</w:t>
      </w:r>
      <w:bookmarkEnd w:id="118"/>
    </w:p>
    <w:p w:rsidR="002878EC" w:rsidRPr="00880065" w:rsidRDefault="002878EC" w:rsidP="00880065">
      <w:pPr>
        <w:pStyle w:val="ECHRPara"/>
        <w:rPr>
          <w:lang w:val="en-GB"/>
        </w:rPr>
      </w:pPr>
      <w:r w:rsidRPr="00880065">
        <w:rPr>
          <w:lang w:val="en-GB" w:eastAsia="fr-FR"/>
        </w:rPr>
        <w:lastRenderedPageBreak/>
        <w:fldChar w:fldCharType="begin"/>
      </w:r>
      <w:r w:rsidRPr="00880065">
        <w:rPr>
          <w:lang w:val="en-GB" w:eastAsia="fr-FR"/>
        </w:rPr>
        <w:instrText xml:space="preserve"> SEQ level0 \*arabic </w:instrText>
      </w:r>
      <w:r w:rsidRPr="00880065">
        <w:rPr>
          <w:lang w:val="en-GB" w:eastAsia="fr-FR"/>
        </w:rPr>
        <w:fldChar w:fldCharType="separate"/>
      </w:r>
      <w:r w:rsidR="00880065">
        <w:rPr>
          <w:noProof/>
          <w:lang w:val="en-GB" w:eastAsia="fr-FR"/>
        </w:rPr>
        <w:t>39</w:t>
      </w:r>
      <w:r w:rsidRPr="00880065">
        <w:rPr>
          <w:lang w:val="en-GB" w:eastAsia="fr-FR"/>
        </w:rPr>
        <w:fldChar w:fldCharType="end"/>
      </w:r>
      <w:r w:rsidRPr="00880065">
        <w:rPr>
          <w:lang w:val="en-GB" w:eastAsia="fr-FR"/>
        </w:rPr>
        <w:t>.  </w:t>
      </w:r>
      <w:bookmarkStart w:id="119" w:name="lt_pId242"/>
      <w:r w:rsidR="004E398D" w:rsidRPr="00880065">
        <w:rPr>
          <w:lang w:val="en-GB" w:eastAsia="fr-FR"/>
        </w:rPr>
        <w:t>Furthermore, the</w:t>
      </w:r>
      <w:r w:rsidR="00B1716A" w:rsidRPr="00880065">
        <w:rPr>
          <w:lang w:val="en-GB" w:eastAsia="fr-FR"/>
        </w:rPr>
        <w:t xml:space="preserve"> second and third</w:t>
      </w:r>
      <w:r w:rsidRPr="00880065">
        <w:rPr>
          <w:lang w:val="en-GB" w:eastAsia="fr-FR"/>
        </w:rPr>
        <w:t xml:space="preserve"> </w:t>
      </w:r>
      <w:r w:rsidR="00FE6A66" w:rsidRPr="00880065">
        <w:rPr>
          <w:lang w:val="en-GB" w:eastAsia="fr-FR"/>
        </w:rPr>
        <w:t>applicants</w:t>
      </w:r>
      <w:r w:rsidRPr="00880065">
        <w:rPr>
          <w:lang w:val="en-GB" w:eastAsia="fr-FR"/>
        </w:rPr>
        <w:t xml:space="preserve"> </w:t>
      </w:r>
      <w:r w:rsidR="004E398D" w:rsidRPr="00880065">
        <w:rPr>
          <w:lang w:val="en-GB" w:eastAsia="fr-FR"/>
        </w:rPr>
        <w:t>submitted that the present case differed from</w:t>
      </w:r>
      <w:r w:rsidRPr="00880065">
        <w:rPr>
          <w:lang w:val="en-GB" w:eastAsia="fr-FR"/>
        </w:rPr>
        <w:t xml:space="preserve"> </w:t>
      </w:r>
      <w:r w:rsidRPr="00880065">
        <w:rPr>
          <w:i/>
          <w:lang w:val="en-GB" w:eastAsia="fr-FR"/>
        </w:rPr>
        <w:t xml:space="preserve">Akdeniz </w:t>
      </w:r>
      <w:r w:rsidRPr="00880065">
        <w:rPr>
          <w:lang w:val="en-GB" w:eastAsia="fr-FR"/>
        </w:rPr>
        <w:t>(</w:t>
      </w:r>
      <w:r w:rsidR="00FE6A66" w:rsidRPr="00880065">
        <w:rPr>
          <w:lang w:val="en-GB" w:eastAsia="fr-FR"/>
        </w:rPr>
        <w:t>cited above</w:t>
      </w:r>
      <w:r w:rsidRPr="00880065">
        <w:rPr>
          <w:lang w:val="en-GB" w:eastAsia="fr-FR"/>
        </w:rPr>
        <w:t xml:space="preserve">), </w:t>
      </w:r>
      <w:r w:rsidR="00B1716A" w:rsidRPr="00880065">
        <w:rPr>
          <w:lang w:val="en-GB" w:eastAsia="fr-FR"/>
        </w:rPr>
        <w:t>which</w:t>
      </w:r>
      <w:r w:rsidRPr="00880065">
        <w:rPr>
          <w:lang w:val="en-GB" w:eastAsia="fr-FR"/>
        </w:rPr>
        <w:t xml:space="preserve"> </w:t>
      </w:r>
      <w:r w:rsidR="00E4559F" w:rsidRPr="00880065">
        <w:rPr>
          <w:lang w:val="en-GB" w:eastAsia="fr-FR"/>
        </w:rPr>
        <w:t xml:space="preserve">had </w:t>
      </w:r>
      <w:r w:rsidRPr="00880065">
        <w:rPr>
          <w:lang w:val="en-GB" w:eastAsia="fr-FR"/>
        </w:rPr>
        <w:t>concern</w:t>
      </w:r>
      <w:r w:rsidR="00B1716A" w:rsidRPr="00880065">
        <w:rPr>
          <w:lang w:val="en-GB" w:eastAsia="fr-FR"/>
        </w:rPr>
        <w:t>ed</w:t>
      </w:r>
      <w:r w:rsidRPr="00880065">
        <w:rPr>
          <w:lang w:val="en-GB" w:eastAsia="fr-FR"/>
        </w:rPr>
        <w:t xml:space="preserve"> </w:t>
      </w:r>
      <w:r w:rsidR="00B1716A" w:rsidRPr="00880065">
        <w:rPr>
          <w:lang w:val="en-GB" w:eastAsia="fr-FR"/>
        </w:rPr>
        <w:t xml:space="preserve">the blocking of </w:t>
      </w:r>
      <w:r w:rsidRPr="00880065">
        <w:rPr>
          <w:lang w:val="en-GB" w:eastAsia="fr-FR"/>
        </w:rPr>
        <w:t xml:space="preserve">sites </w:t>
      </w:r>
      <w:r w:rsidR="00B1716A" w:rsidRPr="00880065">
        <w:rPr>
          <w:lang w:val="en-GB" w:eastAsia="fr-FR"/>
        </w:rPr>
        <w:t>hosting musical content</w:t>
      </w:r>
      <w:r w:rsidRPr="00880065">
        <w:rPr>
          <w:lang w:val="en-GB" w:eastAsia="fr-FR"/>
        </w:rPr>
        <w:t xml:space="preserve"> </w:t>
      </w:r>
      <w:r w:rsidR="00B1716A" w:rsidRPr="00880065">
        <w:rPr>
          <w:lang w:val="en-GB" w:eastAsia="fr-FR"/>
        </w:rPr>
        <w:t>on the grounds that the</w:t>
      </w:r>
      <w:r w:rsidRPr="00880065">
        <w:rPr>
          <w:lang w:val="en-GB" w:eastAsia="fr-FR"/>
        </w:rPr>
        <w:t xml:space="preserve"> sites</w:t>
      </w:r>
      <w:r w:rsidR="00B1716A" w:rsidRPr="00880065">
        <w:rPr>
          <w:lang w:val="en-GB" w:eastAsia="fr-FR"/>
        </w:rPr>
        <w:t xml:space="preserve"> </w:t>
      </w:r>
      <w:r w:rsidR="00E4559F" w:rsidRPr="00880065">
        <w:rPr>
          <w:lang w:val="en-GB" w:eastAsia="fr-FR"/>
        </w:rPr>
        <w:t>did not comply</w:t>
      </w:r>
      <w:r w:rsidR="00B1716A" w:rsidRPr="00880065">
        <w:rPr>
          <w:lang w:val="en-GB" w:eastAsia="fr-FR"/>
        </w:rPr>
        <w:t xml:space="preserve"> with copyright legislation.</w:t>
      </w:r>
      <w:r w:rsidRPr="00880065">
        <w:rPr>
          <w:lang w:val="en-GB" w:eastAsia="fr-FR"/>
        </w:rPr>
        <w:t xml:space="preserve"> </w:t>
      </w:r>
      <w:bookmarkStart w:id="120" w:name="lt_pId243"/>
      <w:bookmarkEnd w:id="119"/>
      <w:r w:rsidR="00B1716A" w:rsidRPr="00880065">
        <w:rPr>
          <w:lang w:val="en-GB" w:eastAsia="fr-FR"/>
        </w:rPr>
        <w:t>The</w:t>
      </w:r>
      <w:r w:rsidRPr="00880065">
        <w:rPr>
          <w:lang w:val="en-GB" w:eastAsia="fr-FR"/>
        </w:rPr>
        <w:t xml:space="preserve"> </w:t>
      </w:r>
      <w:r w:rsidR="008F4604" w:rsidRPr="00880065">
        <w:rPr>
          <w:lang w:val="en-GB" w:eastAsia="fr-FR"/>
        </w:rPr>
        <w:t>Court</w:t>
      </w:r>
      <w:r w:rsidRPr="00880065">
        <w:rPr>
          <w:lang w:val="en-GB" w:eastAsia="fr-FR"/>
        </w:rPr>
        <w:t xml:space="preserve"> </w:t>
      </w:r>
      <w:r w:rsidR="00B1716A" w:rsidRPr="00880065">
        <w:rPr>
          <w:lang w:val="en-GB" w:eastAsia="fr-FR"/>
        </w:rPr>
        <w:t>had, moreover, a</w:t>
      </w:r>
      <w:r w:rsidRPr="00880065">
        <w:rPr>
          <w:lang w:val="en-GB" w:eastAsia="fr-FR"/>
        </w:rPr>
        <w:t>ffirm</w:t>
      </w:r>
      <w:r w:rsidR="00B1716A" w:rsidRPr="00880065">
        <w:rPr>
          <w:lang w:val="en-GB" w:eastAsia="fr-FR"/>
        </w:rPr>
        <w:t>ed</w:t>
      </w:r>
      <w:r w:rsidRPr="00880065">
        <w:rPr>
          <w:lang w:val="en-GB" w:eastAsia="fr-FR"/>
        </w:rPr>
        <w:t xml:space="preserve"> </w:t>
      </w:r>
      <w:r w:rsidR="00B1716A" w:rsidRPr="00880065">
        <w:rPr>
          <w:lang w:val="en-GB" w:eastAsia="fr-FR"/>
        </w:rPr>
        <w:t xml:space="preserve">that the </w:t>
      </w:r>
      <w:r w:rsidR="00525A14" w:rsidRPr="00880065">
        <w:rPr>
          <w:lang w:val="en-GB" w:eastAsia="fr-FR"/>
        </w:rPr>
        <w:t>Contracting States</w:t>
      </w:r>
      <w:r w:rsidR="00880065" w:rsidRPr="00880065">
        <w:rPr>
          <w:lang w:val="en-GB" w:eastAsia="fr-FR"/>
        </w:rPr>
        <w:t>’</w:t>
      </w:r>
      <w:r w:rsidR="00525A14" w:rsidRPr="00880065">
        <w:rPr>
          <w:lang w:val="en-GB" w:eastAsia="fr-FR"/>
        </w:rPr>
        <w:t xml:space="preserve"> </w:t>
      </w:r>
      <w:r w:rsidR="00525A14" w:rsidRPr="00880065">
        <w:rPr>
          <w:lang w:eastAsia="fr-FR"/>
        </w:rPr>
        <w:t>margin of appreciation should be reduced where what was at stake was not a given individual</w:t>
      </w:r>
      <w:r w:rsidR="00880065" w:rsidRPr="00880065">
        <w:rPr>
          <w:lang w:eastAsia="fr-FR"/>
        </w:rPr>
        <w:t>’</w:t>
      </w:r>
      <w:r w:rsidR="00525A14" w:rsidRPr="00880065">
        <w:rPr>
          <w:lang w:eastAsia="fr-FR"/>
        </w:rPr>
        <w:t xml:space="preserve">s purely “commercial” expression, but his or her participation in a debate affecting the general interest </w:t>
      </w:r>
      <w:r w:rsidRPr="00880065">
        <w:rPr>
          <w:lang w:val="en-GB"/>
        </w:rPr>
        <w:t>(</w:t>
      </w:r>
      <w:r w:rsidR="00525A14" w:rsidRPr="00880065">
        <w:rPr>
          <w:lang w:val="en-GB"/>
        </w:rPr>
        <w:t>the applicants cited</w:t>
      </w:r>
      <w:r w:rsidRPr="00880065">
        <w:rPr>
          <w:lang w:val="en-GB"/>
        </w:rPr>
        <w:t xml:space="preserve">, </w:t>
      </w:r>
      <w:r w:rsidRPr="00880065">
        <w:rPr>
          <w:i/>
          <w:lang w:val="en-GB"/>
        </w:rPr>
        <w:t>mutatis mutandis</w:t>
      </w:r>
      <w:r w:rsidRPr="00880065">
        <w:rPr>
          <w:lang w:val="en-GB"/>
        </w:rPr>
        <w:t xml:space="preserve">, </w:t>
      </w:r>
      <w:r w:rsidRPr="00880065">
        <w:rPr>
          <w:i/>
          <w:lang w:val="en-GB" w:eastAsia="fr-FR"/>
        </w:rPr>
        <w:t xml:space="preserve">Ashby Donald </w:t>
      </w:r>
      <w:r w:rsidR="004B5B37" w:rsidRPr="00880065">
        <w:rPr>
          <w:i/>
          <w:lang w:val="en-GB" w:eastAsia="fr-FR"/>
        </w:rPr>
        <w:t>and Others</w:t>
      </w:r>
      <w:r w:rsidRPr="00880065">
        <w:rPr>
          <w:i/>
          <w:lang w:val="en-GB" w:eastAsia="fr-FR"/>
        </w:rPr>
        <w:t xml:space="preserve"> </w:t>
      </w:r>
      <w:r w:rsidR="008F4604" w:rsidRPr="00880065">
        <w:rPr>
          <w:i/>
          <w:lang w:val="en-GB" w:eastAsia="fr-FR"/>
        </w:rPr>
        <w:t>v.</w:t>
      </w:r>
      <w:r w:rsidR="00E4559F" w:rsidRPr="00880065">
        <w:rPr>
          <w:i/>
          <w:lang w:val="en-GB" w:eastAsia="fr-FR"/>
        </w:rPr>
        <w:t> </w:t>
      </w:r>
      <w:r w:rsidRPr="00880065">
        <w:rPr>
          <w:i/>
          <w:lang w:val="en-GB" w:eastAsia="fr-FR"/>
        </w:rPr>
        <w:t>France</w:t>
      </w:r>
      <w:r w:rsidRPr="00880065">
        <w:rPr>
          <w:lang w:val="en-GB" w:eastAsia="fr-FR"/>
        </w:rPr>
        <w:t>, n</w:t>
      </w:r>
      <w:r w:rsidR="004B5B37" w:rsidRPr="00880065">
        <w:rPr>
          <w:lang w:val="en-GB" w:eastAsia="fr-FR"/>
        </w:rPr>
        <w:t>o.</w:t>
      </w:r>
      <w:r w:rsidRPr="00880065">
        <w:rPr>
          <w:snapToGrid w:val="0"/>
          <w:lang w:val="en-GB" w:eastAsia="fr-FR"/>
        </w:rPr>
        <w:t xml:space="preserve"> 36769/08, § 39, 10 </w:t>
      </w:r>
      <w:r w:rsidR="009C5882" w:rsidRPr="00880065">
        <w:rPr>
          <w:snapToGrid w:val="0"/>
          <w:lang w:val="en-GB" w:eastAsia="fr-FR"/>
        </w:rPr>
        <w:t>January</w:t>
      </w:r>
      <w:r w:rsidRPr="00880065">
        <w:rPr>
          <w:snapToGrid w:val="0"/>
          <w:lang w:val="en-GB" w:eastAsia="fr-FR"/>
        </w:rPr>
        <w:t xml:space="preserve"> 2013).</w:t>
      </w:r>
      <w:bookmarkEnd w:id="120"/>
      <w:r w:rsidRPr="00880065">
        <w:rPr>
          <w:snapToGrid w:val="0"/>
          <w:lang w:val="en-GB" w:eastAsia="fr-FR"/>
        </w:rPr>
        <w:t xml:space="preserve"> </w:t>
      </w:r>
      <w:bookmarkStart w:id="121" w:name="lt_pId244"/>
      <w:r w:rsidR="00525A14" w:rsidRPr="00880065">
        <w:rPr>
          <w:snapToGrid w:val="0"/>
          <w:lang w:val="en-GB" w:eastAsia="fr-FR"/>
        </w:rPr>
        <w:t>The</w:t>
      </w:r>
      <w:r w:rsidRPr="00880065">
        <w:rPr>
          <w:snapToGrid w:val="0"/>
          <w:lang w:val="en-GB" w:eastAsia="fr-FR"/>
        </w:rPr>
        <w:t xml:space="preserve"> </w:t>
      </w:r>
      <w:r w:rsidR="00FE6A66" w:rsidRPr="00880065">
        <w:rPr>
          <w:snapToGrid w:val="0"/>
          <w:lang w:val="en-GB" w:eastAsia="fr-FR"/>
        </w:rPr>
        <w:t>applicants</w:t>
      </w:r>
      <w:r w:rsidRPr="00880065">
        <w:rPr>
          <w:snapToGrid w:val="0"/>
          <w:lang w:val="en-GB" w:eastAsia="fr-FR"/>
        </w:rPr>
        <w:t xml:space="preserve"> </w:t>
      </w:r>
      <w:r w:rsidR="00525A14" w:rsidRPr="00880065">
        <w:rPr>
          <w:snapToGrid w:val="0"/>
          <w:lang w:val="en-GB" w:eastAsia="fr-FR"/>
        </w:rPr>
        <w:t>added that</w:t>
      </w:r>
      <w:r w:rsidRPr="00880065">
        <w:rPr>
          <w:snapToGrid w:val="0"/>
          <w:lang w:val="en-GB" w:eastAsia="fr-FR"/>
        </w:rPr>
        <w:t xml:space="preserve">, </w:t>
      </w:r>
      <w:r w:rsidR="00525A14" w:rsidRPr="00880065">
        <w:rPr>
          <w:snapToGrid w:val="0"/>
          <w:lang w:val="en-GB" w:eastAsia="fr-FR"/>
        </w:rPr>
        <w:t>as had been the case in</w:t>
      </w:r>
      <w:r w:rsidRPr="00880065">
        <w:rPr>
          <w:snapToGrid w:val="0"/>
          <w:lang w:val="en-GB" w:eastAsia="fr-FR"/>
        </w:rPr>
        <w:t xml:space="preserve"> </w:t>
      </w:r>
      <w:r w:rsidRPr="00880065">
        <w:rPr>
          <w:i/>
          <w:lang w:val="en-GB" w:eastAsia="fr-FR"/>
        </w:rPr>
        <w:t xml:space="preserve">Khurshid Mustafa </w:t>
      </w:r>
      <w:r w:rsidR="008F4604" w:rsidRPr="00880065">
        <w:rPr>
          <w:i/>
          <w:lang w:val="en-GB" w:eastAsia="fr-FR"/>
        </w:rPr>
        <w:t>and</w:t>
      </w:r>
      <w:r w:rsidRPr="00880065">
        <w:rPr>
          <w:i/>
          <w:lang w:val="en-GB" w:eastAsia="fr-FR"/>
        </w:rPr>
        <w:t xml:space="preserve"> Tarzibachi </w:t>
      </w:r>
      <w:r w:rsidR="008F4604" w:rsidRPr="00880065">
        <w:rPr>
          <w:i/>
          <w:lang w:val="en-GB" w:eastAsia="fr-FR"/>
        </w:rPr>
        <w:t>v.</w:t>
      </w:r>
      <w:r w:rsidRPr="00880065">
        <w:rPr>
          <w:i/>
          <w:lang w:val="en-GB" w:eastAsia="fr-FR"/>
        </w:rPr>
        <w:t xml:space="preserve"> </w:t>
      </w:r>
      <w:r w:rsidR="004B5B37" w:rsidRPr="00880065">
        <w:rPr>
          <w:i/>
          <w:lang w:val="en-GB" w:eastAsia="fr-FR"/>
        </w:rPr>
        <w:t>Sweden</w:t>
      </w:r>
      <w:r w:rsidRPr="00880065">
        <w:rPr>
          <w:lang w:val="en-GB" w:eastAsia="fr-FR"/>
        </w:rPr>
        <w:t xml:space="preserve"> (n</w:t>
      </w:r>
      <w:r w:rsidR="004B5B37" w:rsidRPr="00880065">
        <w:rPr>
          <w:lang w:val="en-GB" w:eastAsia="fr-FR"/>
        </w:rPr>
        <w:t>o.</w:t>
      </w:r>
      <w:r w:rsidR="00F51CE0" w:rsidRPr="00880065">
        <w:rPr>
          <w:lang w:val="en-GB" w:eastAsia="fr-FR"/>
        </w:rPr>
        <w:t> </w:t>
      </w:r>
      <w:r w:rsidR="00EC2459" w:rsidRPr="00880065">
        <w:rPr>
          <w:lang w:val="en-GB" w:eastAsia="fr-FR"/>
        </w:rPr>
        <w:t xml:space="preserve">23883/06, § </w:t>
      </w:r>
      <w:r w:rsidRPr="00880065">
        <w:rPr>
          <w:lang w:val="en-GB" w:eastAsia="fr-FR"/>
        </w:rPr>
        <w:t>44, 16</w:t>
      </w:r>
      <w:r w:rsidR="00EC2459" w:rsidRPr="00880065">
        <w:rPr>
          <w:lang w:val="en-GB" w:eastAsia="fr-FR"/>
        </w:rPr>
        <w:t xml:space="preserve"> </w:t>
      </w:r>
      <w:r w:rsidR="009C5882" w:rsidRPr="00880065">
        <w:rPr>
          <w:lang w:val="en-GB" w:eastAsia="fr-FR"/>
        </w:rPr>
        <w:t>December</w:t>
      </w:r>
      <w:r w:rsidRPr="00880065">
        <w:rPr>
          <w:lang w:val="en-GB" w:eastAsia="fr-FR"/>
        </w:rPr>
        <w:t xml:space="preserve"> 2008),</w:t>
      </w:r>
      <w:r w:rsidR="00525A14" w:rsidRPr="00880065">
        <w:rPr>
          <w:lang w:val="en-GB" w:eastAsia="fr-FR"/>
        </w:rPr>
        <w:t xml:space="preserve"> the </w:t>
      </w:r>
      <w:r w:rsidR="00525A14" w:rsidRPr="00880065">
        <w:rPr>
          <w:lang w:eastAsia="fr-FR"/>
        </w:rPr>
        <w:t xml:space="preserve">right at </w:t>
      </w:r>
      <w:r w:rsidR="00293162" w:rsidRPr="00880065">
        <w:rPr>
          <w:lang w:eastAsia="fr-FR"/>
        </w:rPr>
        <w:t>stake</w:t>
      </w:r>
      <w:r w:rsidR="00525A14" w:rsidRPr="00880065">
        <w:rPr>
          <w:lang w:eastAsia="fr-FR"/>
        </w:rPr>
        <w:t xml:space="preserve"> had been of particular importance to them</w:t>
      </w:r>
      <w:r w:rsidRPr="00880065">
        <w:rPr>
          <w:lang w:val="en-GB"/>
        </w:rPr>
        <w:t>.</w:t>
      </w:r>
      <w:bookmarkEnd w:id="121"/>
    </w:p>
    <w:p w:rsidR="002878EC" w:rsidRPr="00880065" w:rsidRDefault="002878EC" w:rsidP="00880065">
      <w:pPr>
        <w:pStyle w:val="ECHRPara"/>
        <w:rPr>
          <w:lang w:val="en-GB"/>
        </w:rPr>
      </w:pPr>
      <w:r w:rsidRPr="00880065">
        <w:rPr>
          <w:snapToGrid w:val="0"/>
          <w:lang w:val="en-GB" w:eastAsia="fr-FR"/>
        </w:rPr>
        <w:fldChar w:fldCharType="begin"/>
      </w:r>
      <w:r w:rsidRPr="00880065">
        <w:rPr>
          <w:snapToGrid w:val="0"/>
          <w:lang w:val="en-GB" w:eastAsia="fr-FR"/>
        </w:rPr>
        <w:instrText xml:space="preserve"> SEQ level0 \*arabic </w:instrText>
      </w:r>
      <w:r w:rsidRPr="00880065">
        <w:rPr>
          <w:snapToGrid w:val="0"/>
          <w:lang w:val="en-GB" w:eastAsia="fr-FR"/>
        </w:rPr>
        <w:fldChar w:fldCharType="separate"/>
      </w:r>
      <w:r w:rsidR="00880065">
        <w:rPr>
          <w:noProof/>
          <w:snapToGrid w:val="0"/>
          <w:lang w:val="en-GB" w:eastAsia="fr-FR"/>
        </w:rPr>
        <w:t>40</w:t>
      </w:r>
      <w:r w:rsidRPr="00880065">
        <w:rPr>
          <w:snapToGrid w:val="0"/>
          <w:lang w:val="en-GB" w:eastAsia="fr-FR"/>
        </w:rPr>
        <w:fldChar w:fldCharType="end"/>
      </w:r>
      <w:r w:rsidRPr="00880065">
        <w:rPr>
          <w:snapToGrid w:val="0"/>
          <w:lang w:val="en-GB" w:eastAsia="fr-FR"/>
        </w:rPr>
        <w:t>.  </w:t>
      </w:r>
      <w:bookmarkStart w:id="122" w:name="lt_pId246"/>
      <w:r w:rsidR="00525A14" w:rsidRPr="00880065">
        <w:rPr>
          <w:lang w:val="en-GB"/>
        </w:rPr>
        <w:t>More specifically</w:t>
      </w:r>
      <w:r w:rsidRPr="00880065">
        <w:rPr>
          <w:lang w:val="en-GB"/>
        </w:rPr>
        <w:t xml:space="preserve">, </w:t>
      </w:r>
      <w:r w:rsidR="00525A14" w:rsidRPr="00880065">
        <w:rPr>
          <w:lang w:val="en-GB"/>
        </w:rPr>
        <w:t>the second</w:t>
      </w:r>
      <w:r w:rsidRPr="00880065">
        <w:rPr>
          <w:lang w:val="en-GB"/>
        </w:rPr>
        <w:t xml:space="preserve"> </w:t>
      </w:r>
      <w:r w:rsidR="00FE6A66" w:rsidRPr="00880065">
        <w:rPr>
          <w:lang w:val="en-GB"/>
        </w:rPr>
        <w:t>applicant</w:t>
      </w:r>
      <w:r w:rsidR="00525A14" w:rsidRPr="00880065">
        <w:rPr>
          <w:lang w:val="en-GB"/>
        </w:rPr>
        <w:t xml:space="preserve"> explained that </w:t>
      </w:r>
      <w:r w:rsidR="00293162" w:rsidRPr="00880065">
        <w:rPr>
          <w:lang w:val="en-GB"/>
        </w:rPr>
        <w:t>as a law professor</w:t>
      </w:r>
      <w:r w:rsidR="00981B6F" w:rsidRPr="00880065">
        <w:rPr>
          <w:lang w:val="en-GB"/>
        </w:rPr>
        <w:t xml:space="preserve"> specialising in the field of freedom of expression</w:t>
      </w:r>
      <w:r w:rsidRPr="00880065">
        <w:rPr>
          <w:lang w:val="en-GB"/>
        </w:rPr>
        <w:t xml:space="preserve">, </w:t>
      </w:r>
      <w:r w:rsidR="00981B6F" w:rsidRPr="00880065">
        <w:rPr>
          <w:lang w:val="en-GB"/>
        </w:rPr>
        <w:t>he</w:t>
      </w:r>
      <w:r w:rsidR="0072288C" w:rsidRPr="00880065">
        <w:rPr>
          <w:lang w:val="en-GB"/>
        </w:rPr>
        <w:t xml:space="preserve"> uploaded a significant </w:t>
      </w:r>
      <w:r w:rsidR="00F51CE0" w:rsidRPr="00880065">
        <w:rPr>
          <w:lang w:val="en-GB"/>
        </w:rPr>
        <w:t>amount</w:t>
      </w:r>
      <w:r w:rsidR="0072288C" w:rsidRPr="00880065">
        <w:rPr>
          <w:lang w:val="en-GB"/>
        </w:rPr>
        <w:t xml:space="preserve"> of political </w:t>
      </w:r>
      <w:r w:rsidR="00F51CE0" w:rsidRPr="00880065">
        <w:rPr>
          <w:lang w:val="en-GB"/>
        </w:rPr>
        <w:t>material</w:t>
      </w:r>
      <w:r w:rsidR="0072288C" w:rsidRPr="00880065">
        <w:rPr>
          <w:lang w:val="en-GB"/>
        </w:rPr>
        <w:t xml:space="preserve"> about Internet law </w:t>
      </w:r>
      <w:r w:rsidR="004C6740" w:rsidRPr="00880065">
        <w:rPr>
          <w:lang w:val="en-GB"/>
        </w:rPr>
        <w:t>onto</w:t>
      </w:r>
      <w:r w:rsidRPr="00880065">
        <w:rPr>
          <w:lang w:val="en-GB"/>
        </w:rPr>
        <w:t xml:space="preserve"> YouTube.</w:t>
      </w:r>
      <w:bookmarkEnd w:id="122"/>
      <w:r w:rsidRPr="00880065">
        <w:rPr>
          <w:lang w:val="en-GB"/>
        </w:rPr>
        <w:t xml:space="preserve"> </w:t>
      </w:r>
      <w:bookmarkStart w:id="123" w:name="lt_pId247"/>
      <w:r w:rsidR="0072288C" w:rsidRPr="00880065">
        <w:rPr>
          <w:lang w:val="en-GB"/>
        </w:rPr>
        <w:t>The third</w:t>
      </w:r>
      <w:r w:rsidRPr="00880065">
        <w:rPr>
          <w:lang w:val="en-GB"/>
        </w:rPr>
        <w:t xml:space="preserve"> </w:t>
      </w:r>
      <w:r w:rsidR="00FE6A66" w:rsidRPr="00880065">
        <w:rPr>
          <w:lang w:val="en-GB"/>
        </w:rPr>
        <w:t>applicant</w:t>
      </w:r>
      <w:r w:rsidR="0072288C" w:rsidRPr="00880065">
        <w:rPr>
          <w:lang w:val="en-GB"/>
        </w:rPr>
        <w:t xml:space="preserve"> added that he was likewise a law professor and director of the Human Rights Centre at Ankara University</w:t>
      </w:r>
      <w:r w:rsidRPr="00880065">
        <w:rPr>
          <w:lang w:val="en-GB"/>
        </w:rPr>
        <w:t xml:space="preserve"> </w:t>
      </w:r>
      <w:r w:rsidR="008F4604" w:rsidRPr="00880065">
        <w:rPr>
          <w:lang w:val="en-GB"/>
        </w:rPr>
        <w:t>and</w:t>
      </w:r>
      <w:r w:rsidR="0072288C" w:rsidRPr="00880065">
        <w:rPr>
          <w:lang w:val="en-GB"/>
        </w:rPr>
        <w:t xml:space="preserve"> also accessed </w:t>
      </w:r>
      <w:r w:rsidR="00F62BF5" w:rsidRPr="00880065">
        <w:rPr>
          <w:lang w:val="en-GB"/>
        </w:rPr>
        <w:t>a large number of</w:t>
      </w:r>
      <w:r w:rsidRPr="00880065">
        <w:rPr>
          <w:lang w:val="en-GB"/>
        </w:rPr>
        <w:t xml:space="preserve"> </w:t>
      </w:r>
      <w:r w:rsidR="0072288C" w:rsidRPr="00880065">
        <w:rPr>
          <w:lang w:val="en-GB"/>
        </w:rPr>
        <w:t>videos</w:t>
      </w:r>
      <w:r w:rsidRPr="00880065">
        <w:rPr>
          <w:lang w:val="en-GB"/>
        </w:rPr>
        <w:t xml:space="preserve"> </w:t>
      </w:r>
      <w:r w:rsidR="0098440E" w:rsidRPr="00880065">
        <w:rPr>
          <w:lang w:val="en-GB"/>
        </w:rPr>
        <w:t>via</w:t>
      </w:r>
      <w:r w:rsidRPr="00880065">
        <w:rPr>
          <w:lang w:val="en-GB"/>
        </w:rPr>
        <w:t xml:space="preserve"> YouTube.</w:t>
      </w:r>
      <w:bookmarkEnd w:id="123"/>
      <w:r w:rsidRPr="00880065">
        <w:rPr>
          <w:lang w:val="en-GB"/>
        </w:rPr>
        <w:t xml:space="preserve"> </w:t>
      </w:r>
      <w:bookmarkStart w:id="124" w:name="lt_pId248"/>
      <w:r w:rsidR="0072288C" w:rsidRPr="00880065">
        <w:rPr>
          <w:lang w:val="en-GB"/>
        </w:rPr>
        <w:t>Several</w:t>
      </w:r>
      <w:r w:rsidRPr="00880065">
        <w:rPr>
          <w:lang w:val="en-GB"/>
        </w:rPr>
        <w:t xml:space="preserve"> </w:t>
      </w:r>
      <w:r w:rsidR="0072288C" w:rsidRPr="00880065">
        <w:rPr>
          <w:lang w:val="en-GB"/>
        </w:rPr>
        <w:t>conferences</w:t>
      </w:r>
      <w:r w:rsidRPr="00880065">
        <w:rPr>
          <w:lang w:val="en-GB"/>
        </w:rPr>
        <w:t xml:space="preserve"> </w:t>
      </w:r>
      <w:r w:rsidR="0072288C" w:rsidRPr="00880065">
        <w:rPr>
          <w:lang w:val="en-GB"/>
        </w:rPr>
        <w:t>organised by the</w:t>
      </w:r>
      <w:r w:rsidRPr="00880065">
        <w:rPr>
          <w:lang w:val="en-GB"/>
        </w:rPr>
        <w:t xml:space="preserve"> centre </w:t>
      </w:r>
      <w:r w:rsidR="0098440E" w:rsidRPr="00880065">
        <w:rPr>
          <w:lang w:val="en-GB"/>
        </w:rPr>
        <w:t>had been</w:t>
      </w:r>
      <w:r w:rsidR="0072288C" w:rsidRPr="00880065">
        <w:rPr>
          <w:lang w:val="en-GB"/>
        </w:rPr>
        <w:t xml:space="preserve"> made available </w:t>
      </w:r>
      <w:r w:rsidR="0098440E" w:rsidRPr="00880065">
        <w:rPr>
          <w:lang w:val="en-GB"/>
        </w:rPr>
        <w:t>through</w:t>
      </w:r>
      <w:r w:rsidR="0072288C" w:rsidRPr="00880065">
        <w:rPr>
          <w:lang w:val="en-GB"/>
        </w:rPr>
        <w:t xml:space="preserve"> the site. </w:t>
      </w:r>
      <w:bookmarkStart w:id="125" w:name="lt_pId249"/>
      <w:bookmarkEnd w:id="124"/>
      <w:r w:rsidR="001427A2" w:rsidRPr="00880065">
        <w:rPr>
          <w:lang w:val="en-GB"/>
        </w:rPr>
        <w:t xml:space="preserve">In addition, files containing speeches or recordings </w:t>
      </w:r>
      <w:r w:rsidR="0020042C" w:rsidRPr="00880065">
        <w:rPr>
          <w:lang w:val="en-GB"/>
        </w:rPr>
        <w:t>produced</w:t>
      </w:r>
      <w:r w:rsidR="001427A2" w:rsidRPr="00880065">
        <w:rPr>
          <w:lang w:val="en-GB"/>
        </w:rPr>
        <w:t xml:space="preserve"> by the centre or by himself had been uploaded by others</w:t>
      </w:r>
      <w:r w:rsidRPr="00880065">
        <w:rPr>
          <w:lang w:val="en-GB"/>
        </w:rPr>
        <w:t>.</w:t>
      </w:r>
      <w:bookmarkEnd w:id="125"/>
      <w:r w:rsidRPr="00880065">
        <w:rPr>
          <w:lang w:val="en-GB"/>
        </w:rPr>
        <w:t xml:space="preserve"> </w:t>
      </w:r>
      <w:bookmarkStart w:id="126" w:name="lt_pId250"/>
      <w:r w:rsidR="001427A2" w:rsidRPr="00880065">
        <w:rPr>
          <w:lang w:val="en-GB"/>
        </w:rPr>
        <w:t>The two</w:t>
      </w:r>
      <w:r w:rsidRPr="00880065">
        <w:rPr>
          <w:lang w:val="en-GB"/>
        </w:rPr>
        <w:t xml:space="preserve"> </w:t>
      </w:r>
      <w:r w:rsidR="00FE6A66" w:rsidRPr="00880065">
        <w:rPr>
          <w:lang w:val="en-GB"/>
        </w:rPr>
        <w:t>applicants</w:t>
      </w:r>
      <w:r w:rsidRPr="00880065">
        <w:rPr>
          <w:lang w:val="en-GB"/>
        </w:rPr>
        <w:t xml:space="preserve"> </w:t>
      </w:r>
      <w:r w:rsidR="001427A2" w:rsidRPr="00880065">
        <w:rPr>
          <w:lang w:val="en-GB"/>
        </w:rPr>
        <w:t>explained that</w:t>
      </w:r>
      <w:r w:rsidRPr="00880065">
        <w:rPr>
          <w:lang w:val="en-GB"/>
        </w:rPr>
        <w:t xml:space="preserve">, </w:t>
      </w:r>
      <w:r w:rsidR="00331D4D" w:rsidRPr="00880065">
        <w:rPr>
          <w:lang w:val="en-GB"/>
        </w:rPr>
        <w:t>to sum up</w:t>
      </w:r>
      <w:r w:rsidRPr="00880065">
        <w:rPr>
          <w:lang w:val="en-GB"/>
        </w:rPr>
        <w:t xml:space="preserve">, </w:t>
      </w:r>
      <w:r w:rsidR="001427A2" w:rsidRPr="00880065">
        <w:rPr>
          <w:lang w:val="en-GB"/>
        </w:rPr>
        <w:t>they used</w:t>
      </w:r>
      <w:r w:rsidRPr="00880065">
        <w:rPr>
          <w:lang w:val="en-GB"/>
        </w:rPr>
        <w:t xml:space="preserve"> YouTube </w:t>
      </w:r>
      <w:r w:rsidR="001427A2" w:rsidRPr="00880065">
        <w:rPr>
          <w:lang w:val="en-GB"/>
        </w:rPr>
        <w:t>not only to receive</w:t>
      </w:r>
      <w:r w:rsidRPr="00880065">
        <w:rPr>
          <w:lang w:val="en-GB"/>
        </w:rPr>
        <w:t xml:space="preserve"> </w:t>
      </w:r>
      <w:r w:rsidR="001427A2" w:rsidRPr="00880065">
        <w:rPr>
          <w:lang w:val="en-GB"/>
        </w:rPr>
        <w:t>information about academic topics or other matters of general interest</w:t>
      </w:r>
      <w:r w:rsidRPr="00880065">
        <w:rPr>
          <w:lang w:val="en-GB"/>
        </w:rPr>
        <w:t xml:space="preserve">, </w:t>
      </w:r>
      <w:r w:rsidR="001427A2" w:rsidRPr="00880065">
        <w:rPr>
          <w:lang w:val="en-GB"/>
        </w:rPr>
        <w:t>but also to impart information via their own</w:t>
      </w:r>
      <w:r w:rsidRPr="00880065">
        <w:rPr>
          <w:lang w:val="en-GB"/>
        </w:rPr>
        <w:t xml:space="preserve"> YouTube</w:t>
      </w:r>
      <w:r w:rsidR="001427A2" w:rsidRPr="00880065">
        <w:rPr>
          <w:lang w:val="en-GB"/>
        </w:rPr>
        <w:t xml:space="preserve"> accounts</w:t>
      </w:r>
      <w:r w:rsidRPr="00880065">
        <w:rPr>
          <w:lang w:val="en-GB"/>
        </w:rPr>
        <w:t>.</w:t>
      </w:r>
      <w:bookmarkEnd w:id="126"/>
      <w:r w:rsidRPr="00880065">
        <w:rPr>
          <w:lang w:val="en-GB"/>
        </w:rPr>
        <w:t xml:space="preserve"> </w:t>
      </w:r>
      <w:bookmarkStart w:id="127" w:name="lt_pId251"/>
      <w:r w:rsidR="001427A2" w:rsidRPr="00880065">
        <w:rPr>
          <w:lang w:val="en-GB"/>
        </w:rPr>
        <w:t>Accordingly, both the freedom to receive information and the freedom to impart it were at stake</w:t>
      </w:r>
      <w:r w:rsidRPr="00880065">
        <w:rPr>
          <w:lang w:val="en-GB"/>
        </w:rPr>
        <w:t>.</w:t>
      </w:r>
      <w:bookmarkEnd w:id="127"/>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41</w:t>
      </w:r>
      <w:r w:rsidRPr="00880065">
        <w:rPr>
          <w:lang w:val="en-GB"/>
        </w:rPr>
        <w:fldChar w:fldCharType="end"/>
      </w:r>
      <w:r w:rsidRPr="00880065">
        <w:rPr>
          <w:lang w:val="en-GB"/>
        </w:rPr>
        <w:t>.  </w:t>
      </w:r>
      <w:bookmarkStart w:id="128" w:name="lt_pId253"/>
      <w:r w:rsidR="00491255" w:rsidRPr="00880065">
        <w:rPr>
          <w:lang w:val="en-GB"/>
        </w:rPr>
        <w:t>T</w:t>
      </w:r>
      <w:r w:rsidR="00FE6A66" w:rsidRPr="00880065">
        <w:rPr>
          <w:lang w:val="en-GB"/>
        </w:rPr>
        <w:t>he second and third</w:t>
      </w:r>
      <w:r w:rsidRPr="00880065">
        <w:rPr>
          <w:lang w:val="en-GB"/>
        </w:rPr>
        <w:t xml:space="preserve"> </w:t>
      </w:r>
      <w:r w:rsidR="00FE6A66" w:rsidRPr="00880065">
        <w:rPr>
          <w:lang w:val="en-GB"/>
        </w:rPr>
        <w:t>applicants</w:t>
      </w:r>
      <w:r w:rsidRPr="00880065">
        <w:rPr>
          <w:lang w:val="en-GB"/>
        </w:rPr>
        <w:t xml:space="preserve"> </w:t>
      </w:r>
      <w:r w:rsidR="00491255" w:rsidRPr="00880065">
        <w:rPr>
          <w:lang w:val="en-GB"/>
        </w:rPr>
        <w:t xml:space="preserve">also </w:t>
      </w:r>
      <w:r w:rsidR="008C07D8" w:rsidRPr="00880065">
        <w:rPr>
          <w:lang w:val="en-GB"/>
        </w:rPr>
        <w:t xml:space="preserve">objected to the manner in which the domestic courts had ordered the blocking of access to </w:t>
      </w:r>
      <w:r w:rsidRPr="00880065">
        <w:rPr>
          <w:lang w:val="en-GB"/>
        </w:rPr>
        <w:t xml:space="preserve">YouTube </w:t>
      </w:r>
      <w:r w:rsidR="008F4604" w:rsidRPr="00880065">
        <w:rPr>
          <w:lang w:val="en-GB"/>
        </w:rPr>
        <w:t>and</w:t>
      </w:r>
      <w:r w:rsidRPr="00880065">
        <w:rPr>
          <w:lang w:val="en-GB"/>
        </w:rPr>
        <w:t xml:space="preserve"> </w:t>
      </w:r>
      <w:r w:rsidR="008C07D8" w:rsidRPr="00880065">
        <w:rPr>
          <w:lang w:val="en-GB"/>
        </w:rPr>
        <w:t>argued that the</w:t>
      </w:r>
      <w:r w:rsidR="00674AF2" w:rsidRPr="00880065">
        <w:rPr>
          <w:lang w:val="en-GB"/>
        </w:rPr>
        <w:t xml:space="preserve"> procedure had not afforded any </w:t>
      </w:r>
      <w:r w:rsidR="00674AF2" w:rsidRPr="00880065">
        <w:t>safeguards to ensure that a blocking order in respect of a specific site was not used as a means of blocking access in general</w:t>
      </w:r>
      <w:r w:rsidRPr="00880065">
        <w:rPr>
          <w:lang w:val="en-GB"/>
        </w:rPr>
        <w:t>.</w:t>
      </w:r>
      <w:bookmarkEnd w:id="128"/>
      <w:r w:rsidRPr="00880065">
        <w:rPr>
          <w:lang w:val="en-GB"/>
        </w:rPr>
        <w:t xml:space="preserve"> </w:t>
      </w:r>
      <w:bookmarkStart w:id="129" w:name="lt_pId254"/>
      <w:r w:rsidR="0020042C" w:rsidRPr="00880065">
        <w:rPr>
          <w:lang w:val="en-GB"/>
        </w:rPr>
        <w:t>They emphasised that i</w:t>
      </w:r>
      <w:r w:rsidR="00674AF2" w:rsidRPr="00880065">
        <w:rPr>
          <w:lang w:val="en-GB"/>
        </w:rPr>
        <w:t>n practice</w:t>
      </w:r>
      <w:r w:rsidRPr="00880065">
        <w:rPr>
          <w:lang w:val="en-GB"/>
        </w:rPr>
        <w:t xml:space="preserve">, </w:t>
      </w:r>
      <w:r w:rsidR="00674AF2" w:rsidRPr="00880065">
        <w:rPr>
          <w:lang w:val="en-GB"/>
        </w:rPr>
        <w:t>the blocking of access to a website was not envisaged solely as a last resort, given that access to more than</w:t>
      </w:r>
      <w:r w:rsidRPr="00880065">
        <w:rPr>
          <w:lang w:val="en-GB"/>
        </w:rPr>
        <w:t xml:space="preserve"> 60</w:t>
      </w:r>
      <w:r w:rsidR="00674AF2" w:rsidRPr="00880065">
        <w:rPr>
          <w:lang w:val="en-GB"/>
        </w:rPr>
        <w:t>,</w:t>
      </w:r>
      <w:r w:rsidRPr="00880065">
        <w:rPr>
          <w:lang w:val="en-GB"/>
        </w:rPr>
        <w:t xml:space="preserve">000 </w:t>
      </w:r>
      <w:r w:rsidR="00674AF2" w:rsidRPr="00880065">
        <w:rPr>
          <w:lang w:val="en-GB"/>
        </w:rPr>
        <w:t>web</w:t>
      </w:r>
      <w:r w:rsidRPr="00880065">
        <w:rPr>
          <w:lang w:val="en-GB"/>
        </w:rPr>
        <w:t xml:space="preserve">sites </w:t>
      </w:r>
      <w:r w:rsidR="00674AF2" w:rsidRPr="00880065">
        <w:rPr>
          <w:lang w:val="en-GB"/>
        </w:rPr>
        <w:t xml:space="preserve">had already been blocked, including 21,000 in </w:t>
      </w:r>
      <w:r w:rsidRPr="00880065">
        <w:rPr>
          <w:lang w:val="en-GB"/>
        </w:rPr>
        <w:t>2014.</w:t>
      </w:r>
      <w:bookmarkEnd w:id="129"/>
      <w:r w:rsidRPr="00880065">
        <w:rPr>
          <w:lang w:val="en-GB"/>
        </w:rPr>
        <w:t xml:space="preserve"> </w:t>
      </w:r>
      <w:bookmarkStart w:id="130" w:name="lt_pId255"/>
      <w:r w:rsidR="00674AF2" w:rsidRPr="00880065">
        <w:rPr>
          <w:lang w:val="en-GB"/>
        </w:rPr>
        <w:t>During that same year</w:t>
      </w:r>
      <w:r w:rsidRPr="00880065">
        <w:rPr>
          <w:lang w:val="en-GB"/>
        </w:rPr>
        <w:t xml:space="preserve">, </w:t>
      </w:r>
      <w:r w:rsidR="00331D4D" w:rsidRPr="00880065">
        <w:rPr>
          <w:lang w:val="en-GB"/>
        </w:rPr>
        <w:t>access to</w:t>
      </w:r>
      <w:r w:rsidR="0020042C" w:rsidRPr="00880065">
        <w:rPr>
          <w:lang w:val="en-GB"/>
        </w:rPr>
        <w:t xml:space="preserve"> </w:t>
      </w:r>
      <w:r w:rsidRPr="00880065">
        <w:rPr>
          <w:lang w:val="en-GB"/>
        </w:rPr>
        <w:t xml:space="preserve">twitter.com </w:t>
      </w:r>
      <w:r w:rsidR="008F4604" w:rsidRPr="00880065">
        <w:rPr>
          <w:lang w:val="en-GB"/>
        </w:rPr>
        <w:t>and</w:t>
      </w:r>
      <w:r w:rsidRPr="00880065">
        <w:rPr>
          <w:lang w:val="en-GB"/>
        </w:rPr>
        <w:t xml:space="preserve"> youtube.com </w:t>
      </w:r>
      <w:r w:rsidR="00674AF2" w:rsidRPr="00880065">
        <w:rPr>
          <w:lang w:val="en-GB"/>
        </w:rPr>
        <w:t xml:space="preserve">had been </w:t>
      </w:r>
      <w:r w:rsidR="00331D4D" w:rsidRPr="00880065">
        <w:rPr>
          <w:lang w:val="en-GB"/>
        </w:rPr>
        <w:t>blocked</w:t>
      </w:r>
      <w:r w:rsidR="00674AF2" w:rsidRPr="00880065">
        <w:rPr>
          <w:lang w:val="en-GB"/>
        </w:rPr>
        <w:t xml:space="preserve"> illegally, without any </w:t>
      </w:r>
      <w:r w:rsidR="00331D4D" w:rsidRPr="00880065">
        <w:rPr>
          <w:lang w:val="en-GB"/>
        </w:rPr>
        <w:t xml:space="preserve">consideration being given to </w:t>
      </w:r>
      <w:r w:rsidR="00674AF2" w:rsidRPr="00880065">
        <w:rPr>
          <w:lang w:val="en-GB"/>
        </w:rPr>
        <w:t xml:space="preserve">less severe measures. In both cases, </w:t>
      </w:r>
      <w:bookmarkStart w:id="131" w:name="lt_pId256"/>
      <w:bookmarkEnd w:id="130"/>
      <w:r w:rsidR="00FE6A66" w:rsidRPr="00880065">
        <w:rPr>
          <w:lang w:val="en-GB"/>
        </w:rPr>
        <w:t>the Constitutional Court</w:t>
      </w:r>
      <w:r w:rsidRPr="00880065">
        <w:rPr>
          <w:lang w:val="en-GB"/>
        </w:rPr>
        <w:t xml:space="preserve"> </w:t>
      </w:r>
      <w:r w:rsidR="00674AF2" w:rsidRPr="00880065">
        <w:rPr>
          <w:lang w:val="en-GB"/>
        </w:rPr>
        <w:t>had held that the blocking orders breached A</w:t>
      </w:r>
      <w:r w:rsidR="00FE6A66" w:rsidRPr="00880065">
        <w:rPr>
          <w:lang w:val="en-GB"/>
        </w:rPr>
        <w:t>rticle 2</w:t>
      </w:r>
      <w:r w:rsidRPr="00880065">
        <w:rPr>
          <w:lang w:val="en-GB"/>
        </w:rPr>
        <w:t xml:space="preserve">6 </w:t>
      </w:r>
      <w:r w:rsidR="00674AF2" w:rsidRPr="00880065">
        <w:rPr>
          <w:lang w:val="en-GB"/>
        </w:rPr>
        <w:t xml:space="preserve">of </w:t>
      </w:r>
      <w:r w:rsidR="006D2FF6" w:rsidRPr="00880065">
        <w:rPr>
          <w:lang w:val="en-GB"/>
        </w:rPr>
        <w:t xml:space="preserve">the </w:t>
      </w:r>
      <w:r w:rsidR="00674AF2" w:rsidRPr="00880065">
        <w:rPr>
          <w:lang w:val="en-GB"/>
        </w:rPr>
        <w:t>Constitution</w:t>
      </w:r>
      <w:r w:rsidRPr="00880065">
        <w:rPr>
          <w:lang w:val="en-GB"/>
        </w:rPr>
        <w:t xml:space="preserve"> </w:t>
      </w:r>
      <w:r w:rsidR="00674AF2" w:rsidRPr="00880065">
        <w:rPr>
          <w:lang w:val="en-GB"/>
        </w:rPr>
        <w:t xml:space="preserve">(guaranteeing the </w:t>
      </w:r>
      <w:r w:rsidR="006D2FF6" w:rsidRPr="00880065">
        <w:rPr>
          <w:lang w:val="en-GB"/>
        </w:rPr>
        <w:t xml:space="preserve">right to </w:t>
      </w:r>
      <w:r w:rsidR="00674AF2" w:rsidRPr="00880065">
        <w:rPr>
          <w:lang w:val="en-GB"/>
        </w:rPr>
        <w:t xml:space="preserve">freedom to receive </w:t>
      </w:r>
      <w:r w:rsidR="003255A4" w:rsidRPr="00880065">
        <w:rPr>
          <w:lang w:val="en-GB"/>
        </w:rPr>
        <w:t>and</w:t>
      </w:r>
      <w:r w:rsidR="00674AF2" w:rsidRPr="00880065">
        <w:rPr>
          <w:lang w:val="en-GB"/>
        </w:rPr>
        <w:t xml:space="preserve"> impart </w:t>
      </w:r>
      <w:r w:rsidR="006845C4" w:rsidRPr="00880065">
        <w:rPr>
          <w:lang w:val="en-GB"/>
        </w:rPr>
        <w:t>information and ideas</w:t>
      </w:r>
      <w:r w:rsidR="00674AF2" w:rsidRPr="00880065">
        <w:rPr>
          <w:lang w:val="en-GB"/>
        </w:rPr>
        <w:t>)</w:t>
      </w:r>
      <w:r w:rsidRPr="00880065">
        <w:rPr>
          <w:lang w:val="en-GB"/>
        </w:rPr>
        <w:t xml:space="preserve">, </w:t>
      </w:r>
      <w:r w:rsidR="00674AF2" w:rsidRPr="00880065">
        <w:rPr>
          <w:lang w:val="en-GB"/>
        </w:rPr>
        <w:t>finding that they entailed serious interfer</w:t>
      </w:r>
      <w:r w:rsidR="006D2FF6" w:rsidRPr="00880065">
        <w:rPr>
          <w:lang w:val="en-GB"/>
        </w:rPr>
        <w:t xml:space="preserve">ence with the exercise of that </w:t>
      </w:r>
      <w:r w:rsidR="00674AF2" w:rsidRPr="00880065">
        <w:rPr>
          <w:lang w:val="en-GB"/>
        </w:rPr>
        <w:t>right</w:t>
      </w:r>
      <w:r w:rsidRPr="00880065">
        <w:rPr>
          <w:lang w:val="en-GB"/>
        </w:rPr>
        <w:t>.</w:t>
      </w:r>
      <w:bookmarkEnd w:id="131"/>
    </w:p>
    <w:p w:rsidR="002878EC" w:rsidRPr="00880065" w:rsidRDefault="004D1215" w:rsidP="00880065">
      <w:pPr>
        <w:pStyle w:val="ECHRHeading4"/>
        <w:rPr>
          <w:lang w:val="en-GB"/>
        </w:rPr>
      </w:pPr>
      <w:bookmarkStart w:id="132" w:name="lt_pId257"/>
      <w:r w:rsidRPr="00880065">
        <w:rPr>
          <w:lang w:val="en-GB"/>
        </w:rPr>
        <w:t>(b)  </w:t>
      </w:r>
      <w:r w:rsidR="002878EC" w:rsidRPr="00880065">
        <w:rPr>
          <w:lang w:val="en-GB"/>
        </w:rPr>
        <w:t>The Government</w:t>
      </w:r>
      <w:bookmarkEnd w:id="132"/>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42</w:t>
      </w:r>
      <w:r w:rsidRPr="00880065">
        <w:rPr>
          <w:lang w:val="en-GB"/>
        </w:rPr>
        <w:fldChar w:fldCharType="end"/>
      </w:r>
      <w:r w:rsidRPr="00880065">
        <w:rPr>
          <w:lang w:val="en-GB"/>
        </w:rPr>
        <w:t>.  </w:t>
      </w:r>
      <w:bookmarkStart w:id="133" w:name="lt_pId259"/>
      <w:r w:rsidRPr="00880065">
        <w:rPr>
          <w:lang w:val="en-GB"/>
        </w:rPr>
        <w:t>The Government contested the applicants</w:t>
      </w:r>
      <w:r w:rsidR="00880065" w:rsidRPr="00880065">
        <w:rPr>
          <w:lang w:val="en-GB"/>
        </w:rPr>
        <w:t>’</w:t>
      </w:r>
      <w:r w:rsidRPr="00880065">
        <w:rPr>
          <w:lang w:val="en-GB"/>
        </w:rPr>
        <w:t xml:space="preserve"> arguments.</w:t>
      </w:r>
      <w:bookmarkEnd w:id="133"/>
      <w:r w:rsidRPr="00880065">
        <w:rPr>
          <w:lang w:val="en-GB"/>
        </w:rPr>
        <w:t xml:space="preserve"> </w:t>
      </w:r>
      <w:bookmarkStart w:id="134" w:name="lt_pId260"/>
      <w:r w:rsidRPr="00880065">
        <w:rPr>
          <w:lang w:val="en-GB"/>
        </w:rPr>
        <w:t>They reiterated their argument that the applicants</w:t>
      </w:r>
      <w:r w:rsidR="00880065" w:rsidRPr="00880065">
        <w:rPr>
          <w:lang w:val="en-GB"/>
        </w:rPr>
        <w:t>’</w:t>
      </w:r>
      <w:r w:rsidRPr="00880065">
        <w:rPr>
          <w:lang w:val="en-GB"/>
        </w:rPr>
        <w:t xml:space="preserve"> complaint was incompatible </w:t>
      </w:r>
      <w:r w:rsidRPr="00880065">
        <w:rPr>
          <w:i/>
          <w:lang w:val="en-GB"/>
        </w:rPr>
        <w:t xml:space="preserve">ratione materiae </w:t>
      </w:r>
      <w:r w:rsidRPr="00880065">
        <w:rPr>
          <w:lang w:val="en-GB"/>
        </w:rPr>
        <w:t>with the provisions of the Convention.</w:t>
      </w:r>
      <w:bookmarkEnd w:id="134"/>
      <w:r w:rsidRPr="00880065">
        <w:rPr>
          <w:lang w:val="en-GB"/>
        </w:rPr>
        <w:t xml:space="preserve"> </w:t>
      </w:r>
      <w:bookmarkStart w:id="135" w:name="lt_pId261"/>
      <w:r w:rsidR="00893EC3" w:rsidRPr="00880065">
        <w:rPr>
          <w:lang w:val="en-GB"/>
        </w:rPr>
        <w:t>In their submission</w:t>
      </w:r>
      <w:r w:rsidRPr="00880065">
        <w:rPr>
          <w:lang w:val="en-GB"/>
        </w:rPr>
        <w:t xml:space="preserve">, </w:t>
      </w:r>
      <w:r w:rsidR="00893EC3" w:rsidRPr="00880065">
        <w:rPr>
          <w:lang w:val="en-GB"/>
        </w:rPr>
        <w:lastRenderedPageBreak/>
        <w:t xml:space="preserve">the applicants could not be said to have been directly affected by the </w:t>
      </w:r>
      <w:r w:rsidR="006D2FF6" w:rsidRPr="00880065">
        <w:rPr>
          <w:lang w:val="en-GB"/>
        </w:rPr>
        <w:t>f</w:t>
      </w:r>
      <w:r w:rsidR="00893EC3" w:rsidRPr="00880065">
        <w:rPr>
          <w:lang w:val="en-GB"/>
        </w:rPr>
        <w:t xml:space="preserve">acts allegedly constituting the interference. In any event, they had not substantiated their </w:t>
      </w:r>
      <w:bookmarkStart w:id="136" w:name="lt_pId262"/>
      <w:bookmarkEnd w:id="135"/>
      <w:r w:rsidR="00893EC3" w:rsidRPr="00880065">
        <w:rPr>
          <w:lang w:val="en-GB"/>
        </w:rPr>
        <w:t>allegation of a</w:t>
      </w:r>
      <w:r w:rsidRPr="00880065">
        <w:rPr>
          <w:lang w:val="en-GB"/>
        </w:rPr>
        <w:t xml:space="preserve"> violation </w:t>
      </w:r>
      <w:r w:rsidR="00893EC3" w:rsidRPr="00880065">
        <w:rPr>
          <w:lang w:val="en-GB"/>
        </w:rPr>
        <w:t>of</w:t>
      </w:r>
      <w:r w:rsidRPr="00880065">
        <w:rPr>
          <w:lang w:val="en-GB"/>
        </w:rPr>
        <w:t xml:space="preserve"> </w:t>
      </w:r>
      <w:r w:rsidR="00B809CD" w:rsidRPr="00880065">
        <w:rPr>
          <w:lang w:val="en-GB"/>
        </w:rPr>
        <w:t>Article 10</w:t>
      </w:r>
      <w:r w:rsidRPr="00880065">
        <w:rPr>
          <w:lang w:val="en-GB"/>
        </w:rPr>
        <w:t xml:space="preserve"> </w:t>
      </w:r>
      <w:r w:rsidR="005D3723" w:rsidRPr="00880065">
        <w:rPr>
          <w:lang w:val="en-GB"/>
        </w:rPr>
        <w:t>of the Conve</w:t>
      </w:r>
      <w:r w:rsidRPr="00880065">
        <w:rPr>
          <w:lang w:val="en-GB"/>
        </w:rPr>
        <w:t>ntion.</w:t>
      </w:r>
      <w:bookmarkEnd w:id="136"/>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43</w:t>
      </w:r>
      <w:r w:rsidRPr="00880065">
        <w:rPr>
          <w:lang w:val="en-GB"/>
        </w:rPr>
        <w:fldChar w:fldCharType="end"/>
      </w:r>
      <w:r w:rsidRPr="00880065">
        <w:rPr>
          <w:lang w:val="en-GB"/>
        </w:rPr>
        <w:t>.  </w:t>
      </w:r>
      <w:bookmarkStart w:id="137" w:name="lt_pId264"/>
      <w:r w:rsidR="00893EC3" w:rsidRPr="00880065">
        <w:rPr>
          <w:lang w:val="en-GB"/>
        </w:rPr>
        <w:t>If, however,</w:t>
      </w:r>
      <w:r w:rsidRPr="00880065">
        <w:rPr>
          <w:lang w:val="en-GB"/>
        </w:rPr>
        <w:t xml:space="preserve"> </w:t>
      </w:r>
      <w:r w:rsidR="008F4604" w:rsidRPr="00880065">
        <w:rPr>
          <w:lang w:val="en-GB"/>
        </w:rPr>
        <w:t>the Court</w:t>
      </w:r>
      <w:r w:rsidRPr="00880065">
        <w:rPr>
          <w:lang w:val="en-GB"/>
        </w:rPr>
        <w:t xml:space="preserve"> </w:t>
      </w:r>
      <w:r w:rsidR="00893EC3" w:rsidRPr="00880065">
        <w:rPr>
          <w:lang w:val="en-GB"/>
        </w:rPr>
        <w:t>were to find that there had been an interference for the purposes of</w:t>
      </w:r>
      <w:r w:rsidRPr="00880065">
        <w:rPr>
          <w:lang w:val="en-GB"/>
        </w:rPr>
        <w:t xml:space="preserve"> </w:t>
      </w:r>
      <w:r w:rsidR="00B809CD" w:rsidRPr="00880065">
        <w:rPr>
          <w:lang w:val="en-GB"/>
        </w:rPr>
        <w:t>Article 10</w:t>
      </w:r>
      <w:r w:rsidRPr="00880065">
        <w:rPr>
          <w:lang w:val="en-GB"/>
        </w:rPr>
        <w:t xml:space="preserve"> </w:t>
      </w:r>
      <w:r w:rsidR="005D3723" w:rsidRPr="00880065">
        <w:rPr>
          <w:lang w:val="en-GB"/>
        </w:rPr>
        <w:t>of the Conve</w:t>
      </w:r>
      <w:r w:rsidRPr="00880065">
        <w:rPr>
          <w:lang w:val="en-GB"/>
        </w:rPr>
        <w:t xml:space="preserve">ntion, </w:t>
      </w:r>
      <w:r w:rsidR="00162D82" w:rsidRPr="00880065">
        <w:rPr>
          <w:lang w:val="en-GB"/>
        </w:rPr>
        <w:t>the Gov</w:t>
      </w:r>
      <w:r w:rsidR="00FE6A66" w:rsidRPr="00880065">
        <w:rPr>
          <w:lang w:val="en-GB"/>
        </w:rPr>
        <w:t>ernment</w:t>
      </w:r>
      <w:r w:rsidRPr="00880065">
        <w:rPr>
          <w:lang w:val="en-GB"/>
        </w:rPr>
        <w:t xml:space="preserve"> </w:t>
      </w:r>
      <w:r w:rsidR="00893EC3" w:rsidRPr="00880065">
        <w:rPr>
          <w:lang w:val="en-GB"/>
        </w:rPr>
        <w:t>maintained that the interfe</w:t>
      </w:r>
      <w:r w:rsidRPr="00880065">
        <w:rPr>
          <w:lang w:val="en-GB"/>
        </w:rPr>
        <w:t xml:space="preserve">rence </w:t>
      </w:r>
      <w:r w:rsidR="00893EC3" w:rsidRPr="00880065">
        <w:rPr>
          <w:lang w:val="en-GB"/>
        </w:rPr>
        <w:t>had been prescribed by law and had pursued the legitimate aims set out in</w:t>
      </w:r>
      <w:r w:rsidRPr="00880065">
        <w:rPr>
          <w:lang w:val="en-GB"/>
        </w:rPr>
        <w:t xml:space="preserve"> para</w:t>
      </w:r>
      <w:r w:rsidR="00FE6A66" w:rsidRPr="00880065">
        <w:rPr>
          <w:lang w:val="en-GB"/>
        </w:rPr>
        <w:t>graph</w:t>
      </w:r>
      <w:r w:rsidRPr="00880065">
        <w:rPr>
          <w:lang w:val="en-GB"/>
        </w:rPr>
        <w:t xml:space="preserve"> 2 </w:t>
      </w:r>
      <w:r w:rsidR="004B5B37" w:rsidRPr="00880065">
        <w:rPr>
          <w:lang w:val="en-GB"/>
        </w:rPr>
        <w:t>of that A</w:t>
      </w:r>
      <w:r w:rsidRPr="00880065">
        <w:rPr>
          <w:lang w:val="en-GB"/>
        </w:rPr>
        <w:t>rticle.</w:t>
      </w:r>
      <w:bookmarkEnd w:id="137"/>
      <w:r w:rsidRPr="00880065">
        <w:rPr>
          <w:lang w:val="en-GB"/>
        </w:rPr>
        <w:t xml:space="preserve"> </w:t>
      </w:r>
      <w:bookmarkStart w:id="138" w:name="lt_pId265"/>
      <w:r w:rsidR="00893EC3" w:rsidRPr="00880065">
        <w:rPr>
          <w:lang w:val="en-GB"/>
        </w:rPr>
        <w:t xml:space="preserve">As to whether the </w:t>
      </w:r>
      <w:r w:rsidRPr="00880065">
        <w:rPr>
          <w:lang w:val="en-GB"/>
        </w:rPr>
        <w:t>me</w:t>
      </w:r>
      <w:r w:rsidR="00893EC3" w:rsidRPr="00880065">
        <w:rPr>
          <w:lang w:val="en-GB"/>
        </w:rPr>
        <w:t>a</w:t>
      </w:r>
      <w:r w:rsidRPr="00880065">
        <w:rPr>
          <w:lang w:val="en-GB"/>
        </w:rPr>
        <w:t xml:space="preserve">sure </w:t>
      </w:r>
      <w:r w:rsidR="00893EC3" w:rsidRPr="00880065">
        <w:rPr>
          <w:lang w:val="en-GB"/>
        </w:rPr>
        <w:t xml:space="preserve">in question had been </w:t>
      </w:r>
      <w:r w:rsidR="00FE6A66" w:rsidRPr="00880065">
        <w:rPr>
          <w:lang w:val="en-GB"/>
        </w:rPr>
        <w:t>“</w:t>
      </w:r>
      <w:r w:rsidR="004B5B37" w:rsidRPr="00880065">
        <w:rPr>
          <w:lang w:val="en-GB"/>
        </w:rPr>
        <w:t>necessary</w:t>
      </w:r>
      <w:r w:rsidR="00FE6A66" w:rsidRPr="00880065">
        <w:rPr>
          <w:lang w:val="en-GB"/>
        </w:rPr>
        <w:t>”</w:t>
      </w:r>
      <w:r w:rsidRPr="00880065">
        <w:rPr>
          <w:lang w:val="en-GB"/>
        </w:rPr>
        <w:t xml:space="preserve"> </w:t>
      </w:r>
      <w:r w:rsidR="004B5B37" w:rsidRPr="00880065">
        <w:rPr>
          <w:lang w:val="en-GB"/>
        </w:rPr>
        <w:t>within the meaning of A</w:t>
      </w:r>
      <w:r w:rsidR="00FE6A66" w:rsidRPr="00880065">
        <w:rPr>
          <w:lang w:val="en-GB"/>
        </w:rPr>
        <w:t>rticle 1</w:t>
      </w:r>
      <w:r w:rsidRPr="00880065">
        <w:rPr>
          <w:lang w:val="en-GB"/>
        </w:rPr>
        <w:t xml:space="preserve">0, </w:t>
      </w:r>
      <w:r w:rsidR="00162D82" w:rsidRPr="00880065">
        <w:rPr>
          <w:lang w:val="en-GB"/>
        </w:rPr>
        <w:t>the Gov</w:t>
      </w:r>
      <w:r w:rsidR="00FE6A66" w:rsidRPr="00880065">
        <w:rPr>
          <w:lang w:val="en-GB"/>
        </w:rPr>
        <w:t>ernment</w:t>
      </w:r>
      <w:r w:rsidR="00893EC3" w:rsidRPr="00880065">
        <w:rPr>
          <w:lang w:val="en-GB"/>
        </w:rPr>
        <w:t xml:space="preserve"> submitted that a fair balance had been struck between the competing interests at stake.</w:t>
      </w:r>
      <w:bookmarkEnd w:id="138"/>
      <w:r w:rsidRPr="00880065">
        <w:rPr>
          <w:lang w:val="en-GB"/>
        </w:rPr>
        <w:t xml:space="preserve"> </w:t>
      </w:r>
      <w:bookmarkStart w:id="139" w:name="lt_pId266"/>
      <w:r w:rsidR="00893EC3" w:rsidRPr="00880065">
        <w:rPr>
          <w:lang w:val="en-GB"/>
        </w:rPr>
        <w:t xml:space="preserve">Furthermore, the proceedings had been fair at all levels, </w:t>
      </w:r>
      <w:r w:rsidR="006D2FF6" w:rsidRPr="00880065">
        <w:rPr>
          <w:lang w:val="en-GB"/>
        </w:rPr>
        <w:t>and</w:t>
      </w:r>
      <w:r w:rsidR="00893EC3" w:rsidRPr="00880065">
        <w:rPr>
          <w:lang w:val="en-GB"/>
        </w:rPr>
        <w:t xml:space="preserve"> </w:t>
      </w:r>
      <w:r w:rsidR="000D2094" w:rsidRPr="00880065">
        <w:rPr>
          <w:lang w:val="en-GB"/>
        </w:rPr>
        <w:t>both</w:t>
      </w:r>
      <w:r w:rsidR="006D2FF6" w:rsidRPr="00880065">
        <w:rPr>
          <w:lang w:val="en-GB"/>
        </w:rPr>
        <w:t xml:space="preserve"> of</w:t>
      </w:r>
      <w:r w:rsidR="000D2094" w:rsidRPr="00880065">
        <w:rPr>
          <w:lang w:val="en-GB"/>
        </w:rPr>
        <w:t xml:space="preserve"> the courts concerned had delivered decisions containing comprehensive and detailed reasons. </w:t>
      </w:r>
      <w:bookmarkStart w:id="140" w:name="lt_pId267"/>
      <w:bookmarkEnd w:id="139"/>
      <w:r w:rsidR="000D2094" w:rsidRPr="00880065">
        <w:rPr>
          <w:lang w:val="en-GB"/>
        </w:rPr>
        <w:t>Accordingly, and having regard to the margin of appreciation afforded to the authorities</w:t>
      </w:r>
      <w:r w:rsidRPr="00880065">
        <w:rPr>
          <w:lang w:val="en-GB"/>
        </w:rPr>
        <w:t>,</w:t>
      </w:r>
      <w:r w:rsidR="000D2094" w:rsidRPr="00880065">
        <w:rPr>
          <w:lang w:val="en-GB"/>
        </w:rPr>
        <w:t xml:space="preserve"> the alleged interference had been proportionat</w:t>
      </w:r>
      <w:r w:rsidRPr="00880065">
        <w:rPr>
          <w:lang w:val="en-GB"/>
        </w:rPr>
        <w:t xml:space="preserve">e </w:t>
      </w:r>
      <w:r w:rsidR="000D2094" w:rsidRPr="00880065">
        <w:rPr>
          <w:lang w:val="en-GB"/>
        </w:rPr>
        <w:t>to the legitimate aim</w:t>
      </w:r>
      <w:r w:rsidRPr="00880065">
        <w:rPr>
          <w:lang w:val="en-GB"/>
        </w:rPr>
        <w:t xml:space="preserve"> </w:t>
      </w:r>
      <w:r w:rsidR="000D2094" w:rsidRPr="00880065">
        <w:rPr>
          <w:lang w:val="en-GB"/>
        </w:rPr>
        <w:t>pursued</w:t>
      </w:r>
      <w:r w:rsidRPr="00880065">
        <w:rPr>
          <w:lang w:val="en-GB"/>
        </w:rPr>
        <w:t xml:space="preserve"> </w:t>
      </w:r>
      <w:r w:rsidR="008F4604" w:rsidRPr="00880065">
        <w:rPr>
          <w:lang w:val="en-GB"/>
        </w:rPr>
        <w:t>and</w:t>
      </w:r>
      <w:r w:rsidRPr="00880065">
        <w:rPr>
          <w:lang w:val="en-GB"/>
        </w:rPr>
        <w:t xml:space="preserve"> </w:t>
      </w:r>
      <w:r w:rsidR="00FE6A66" w:rsidRPr="00880065">
        <w:rPr>
          <w:lang w:val="en-GB"/>
        </w:rPr>
        <w:t>“</w:t>
      </w:r>
      <w:r w:rsidR="000D2094" w:rsidRPr="00880065">
        <w:rPr>
          <w:lang w:val="en-GB"/>
        </w:rPr>
        <w:t>necessary in a democratic society</w:t>
      </w:r>
      <w:r w:rsidR="00FE6A66" w:rsidRPr="00880065">
        <w:rPr>
          <w:lang w:val="en-GB"/>
        </w:rPr>
        <w:t>”</w:t>
      </w:r>
      <w:r w:rsidRPr="00880065">
        <w:rPr>
          <w:lang w:val="en-GB"/>
        </w:rPr>
        <w:t>.</w:t>
      </w:r>
      <w:bookmarkEnd w:id="140"/>
    </w:p>
    <w:p w:rsidR="008529B4" w:rsidRPr="00880065" w:rsidRDefault="002878EC" w:rsidP="00880065">
      <w:pPr>
        <w:pStyle w:val="ECHRPara"/>
        <w:rPr>
          <w:rFonts w:cs="Times New Roman"/>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44</w:t>
      </w:r>
      <w:r w:rsidRPr="00880065">
        <w:rPr>
          <w:lang w:val="en-GB"/>
        </w:rPr>
        <w:fldChar w:fldCharType="end"/>
      </w:r>
      <w:r w:rsidRPr="00880065">
        <w:rPr>
          <w:lang w:val="en-GB"/>
        </w:rPr>
        <w:t>.  </w:t>
      </w:r>
      <w:bookmarkStart w:id="141" w:name="lt_pId269"/>
      <w:r w:rsidR="00162D82" w:rsidRPr="00880065">
        <w:rPr>
          <w:lang w:val="en-GB"/>
        </w:rPr>
        <w:t>The Gov</w:t>
      </w:r>
      <w:r w:rsidR="00FE6A66" w:rsidRPr="00880065">
        <w:rPr>
          <w:lang w:val="en-GB"/>
        </w:rPr>
        <w:t>ernment</w:t>
      </w:r>
      <w:r w:rsidRPr="00880065">
        <w:rPr>
          <w:lang w:val="en-GB"/>
        </w:rPr>
        <w:t xml:space="preserve"> </w:t>
      </w:r>
      <w:r w:rsidR="008529B4" w:rsidRPr="00880065">
        <w:rPr>
          <w:rFonts w:cs="Times New Roman"/>
          <w:lang w:val="en-GB"/>
        </w:rPr>
        <w:t xml:space="preserve">stated more specifically that the Internet operators mentioned in section 2 of Law no. 5651 had been defined in </w:t>
      </w:r>
      <w:r w:rsidR="006D2FF6" w:rsidRPr="00880065">
        <w:rPr>
          <w:rFonts w:cs="Times New Roman"/>
          <w:lang w:val="en-GB"/>
        </w:rPr>
        <w:t>conformity</w:t>
      </w:r>
      <w:r w:rsidR="008529B4" w:rsidRPr="00880065">
        <w:rPr>
          <w:rFonts w:cs="Times New Roman"/>
          <w:lang w:val="en-GB"/>
        </w:rPr>
        <w:t xml:space="preserve"> with European Union standards and that the duties of those operators and the sanctions applicable to them were explicitly regulated by law. </w:t>
      </w:r>
      <w:r w:rsidR="00643840" w:rsidRPr="00880065">
        <w:rPr>
          <w:rFonts w:cs="Times New Roman"/>
          <w:lang w:val="en-GB"/>
        </w:rPr>
        <w:t>In addressing the need to introduce the relevant</w:t>
      </w:r>
      <w:r w:rsidR="008529B4" w:rsidRPr="00880065">
        <w:rPr>
          <w:rFonts w:cs="Times New Roman"/>
          <w:lang w:val="en-GB"/>
        </w:rPr>
        <w:t xml:space="preserve"> legal instruments, Turkey had </w:t>
      </w:r>
      <w:r w:rsidR="00643840" w:rsidRPr="00880065">
        <w:rPr>
          <w:rFonts w:cs="Times New Roman"/>
          <w:lang w:val="en-GB"/>
        </w:rPr>
        <w:t>achieved</w:t>
      </w:r>
      <w:r w:rsidR="008529B4" w:rsidRPr="00880065">
        <w:rPr>
          <w:rFonts w:cs="Times New Roman"/>
          <w:lang w:val="en-GB"/>
        </w:rPr>
        <w:t xml:space="preserve"> significant progress </w:t>
      </w:r>
      <w:r w:rsidR="00643840" w:rsidRPr="00880065">
        <w:rPr>
          <w:rFonts w:cs="Times New Roman"/>
          <w:lang w:val="en-GB"/>
        </w:rPr>
        <w:t>in terms of the</w:t>
      </w:r>
      <w:r w:rsidR="008529B4" w:rsidRPr="00880065">
        <w:rPr>
          <w:rFonts w:cs="Times New Roman"/>
          <w:lang w:val="en-GB"/>
        </w:rPr>
        <w:t xml:space="preserve"> setting </w:t>
      </w:r>
      <w:r w:rsidR="00643840" w:rsidRPr="00880065">
        <w:rPr>
          <w:rFonts w:cs="Times New Roman"/>
          <w:lang w:val="en-GB"/>
        </w:rPr>
        <w:t>of</w:t>
      </w:r>
      <w:r w:rsidR="008529B4" w:rsidRPr="00880065">
        <w:rPr>
          <w:rFonts w:cs="Times New Roman"/>
          <w:lang w:val="en-GB"/>
        </w:rPr>
        <w:t xml:space="preserve"> limits on </w:t>
      </w:r>
      <w:r w:rsidR="00643840" w:rsidRPr="00880065">
        <w:rPr>
          <w:rFonts w:cs="Times New Roman"/>
          <w:lang w:val="en-GB"/>
        </w:rPr>
        <w:t xml:space="preserve">fundamental </w:t>
      </w:r>
      <w:r w:rsidR="008529B4" w:rsidRPr="00880065">
        <w:rPr>
          <w:rFonts w:cs="Times New Roman"/>
          <w:lang w:val="en-GB"/>
        </w:rPr>
        <w:t xml:space="preserve">rights and freedoms </w:t>
      </w:r>
      <w:r w:rsidR="00643840" w:rsidRPr="00880065">
        <w:rPr>
          <w:rFonts w:cs="Times New Roman"/>
          <w:lang w:val="en-GB"/>
        </w:rPr>
        <w:t xml:space="preserve">by law </w:t>
      </w:r>
      <w:r w:rsidR="008529B4" w:rsidRPr="00880065">
        <w:rPr>
          <w:rFonts w:cs="Times New Roman"/>
          <w:lang w:val="en-GB"/>
        </w:rPr>
        <w:t xml:space="preserve">in accordance with national and international standards. To that end, the blocking of access to a website had been envisaged not as a first resort but as a last resort in </w:t>
      </w:r>
      <w:r w:rsidR="00643840" w:rsidRPr="00880065">
        <w:rPr>
          <w:rFonts w:cs="Times New Roman"/>
          <w:lang w:val="en-GB"/>
        </w:rPr>
        <w:t>c</w:t>
      </w:r>
      <w:r w:rsidR="00643840" w:rsidRPr="00880065">
        <w:rPr>
          <w:lang w:val="en-GB"/>
        </w:rPr>
        <w:t>urbing</w:t>
      </w:r>
      <w:r w:rsidR="008529B4" w:rsidRPr="00880065">
        <w:rPr>
          <w:rFonts w:cs="Times New Roman"/>
          <w:lang w:val="en-GB"/>
        </w:rPr>
        <w:t xml:space="preserve"> the dissemination of harmful content.</w:t>
      </w:r>
    </w:p>
    <w:p w:rsidR="008529B4" w:rsidRPr="00880065" w:rsidRDefault="008529B4"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45</w:t>
      </w:r>
      <w:r w:rsidRPr="00880065">
        <w:rPr>
          <w:lang w:val="en-GB"/>
        </w:rPr>
        <w:fldChar w:fldCharType="end"/>
      </w:r>
      <w:r w:rsidRPr="00880065">
        <w:rPr>
          <w:lang w:val="en-GB"/>
        </w:rPr>
        <w:t xml:space="preserve">.  The Government added that Law no. 5651 listed the types of </w:t>
      </w:r>
      <w:r w:rsidR="00344FF1" w:rsidRPr="00880065">
        <w:rPr>
          <w:lang w:val="en-GB"/>
        </w:rPr>
        <w:t>offences</w:t>
      </w:r>
      <w:r w:rsidRPr="00880065">
        <w:rPr>
          <w:lang w:val="en-GB"/>
        </w:rPr>
        <w:t xml:space="preserve"> that could give rise to a blocking order under the “notice and take down” procedure. This procedure </w:t>
      </w:r>
      <w:r w:rsidR="00344FF1" w:rsidRPr="00880065">
        <w:rPr>
          <w:lang w:val="en-GB"/>
        </w:rPr>
        <w:t>was aimed</w:t>
      </w:r>
      <w:r w:rsidRPr="00880065">
        <w:rPr>
          <w:lang w:val="en-GB"/>
        </w:rPr>
        <w:t xml:space="preserve"> in partic</w:t>
      </w:r>
      <w:r w:rsidR="003F77A7" w:rsidRPr="00880065">
        <w:rPr>
          <w:lang w:val="en-GB"/>
        </w:rPr>
        <w:t xml:space="preserve">ular </w:t>
      </w:r>
      <w:r w:rsidR="00344FF1" w:rsidRPr="00880065">
        <w:rPr>
          <w:lang w:val="en-GB"/>
        </w:rPr>
        <w:t>at</w:t>
      </w:r>
      <w:r w:rsidR="003F77A7" w:rsidRPr="00880065">
        <w:rPr>
          <w:lang w:val="en-GB"/>
        </w:rPr>
        <w:t xml:space="preserve"> avoid</w:t>
      </w:r>
      <w:r w:rsidR="00344FF1" w:rsidRPr="00880065">
        <w:rPr>
          <w:lang w:val="en-GB"/>
        </w:rPr>
        <w:t>ing</w:t>
      </w:r>
      <w:r w:rsidR="003F77A7" w:rsidRPr="00880065">
        <w:rPr>
          <w:lang w:val="en-GB"/>
        </w:rPr>
        <w:t xml:space="preserve"> the inconvenience</w:t>
      </w:r>
      <w:r w:rsidRPr="00880065">
        <w:rPr>
          <w:lang w:val="en-GB"/>
        </w:rPr>
        <w:t xml:space="preserve"> of blocking access to a</w:t>
      </w:r>
      <w:r w:rsidR="003F77A7" w:rsidRPr="00880065">
        <w:rPr>
          <w:lang w:val="en-GB"/>
        </w:rPr>
        <w:t>n entire</w:t>
      </w:r>
      <w:r w:rsidRPr="00880065">
        <w:rPr>
          <w:lang w:val="en-GB"/>
        </w:rPr>
        <w:t xml:space="preserve"> </w:t>
      </w:r>
      <w:r w:rsidR="00EE26A5" w:rsidRPr="00880065">
        <w:rPr>
          <w:lang w:val="en-GB"/>
        </w:rPr>
        <w:t>web</w:t>
      </w:r>
      <w:r w:rsidRPr="00880065">
        <w:rPr>
          <w:lang w:val="en-GB"/>
        </w:rPr>
        <w:t xml:space="preserve">site. Furthermore, </w:t>
      </w:r>
      <w:r w:rsidR="00344FF1" w:rsidRPr="00880065">
        <w:rPr>
          <w:lang w:val="en-GB"/>
        </w:rPr>
        <w:t>domestic and</w:t>
      </w:r>
      <w:r w:rsidRPr="00880065">
        <w:rPr>
          <w:szCs w:val="24"/>
          <w:lang w:val="en-GB"/>
        </w:rPr>
        <w:t xml:space="preserve"> foreign-based web</w:t>
      </w:r>
      <w:r w:rsidRPr="00880065">
        <w:rPr>
          <w:lang w:val="en-GB"/>
        </w:rPr>
        <w:t xml:space="preserve">sites hosting harmful content had been </w:t>
      </w:r>
      <w:r w:rsidR="00793932" w:rsidRPr="00880065">
        <w:rPr>
          <w:lang w:val="en-GB"/>
        </w:rPr>
        <w:t>eliminated</w:t>
      </w:r>
      <w:r w:rsidRPr="00880065">
        <w:rPr>
          <w:lang w:val="en-GB"/>
        </w:rPr>
        <w:t xml:space="preserve"> by means of </w:t>
      </w:r>
      <w:r w:rsidR="00EE26A5" w:rsidRPr="00880065">
        <w:rPr>
          <w:lang w:val="en-GB"/>
        </w:rPr>
        <w:t>this</w:t>
      </w:r>
      <w:r w:rsidRPr="00880065">
        <w:rPr>
          <w:lang w:val="en-GB"/>
        </w:rPr>
        <w:t xml:space="preserve"> procedure.</w:t>
      </w:r>
    </w:p>
    <w:p w:rsidR="002878EC" w:rsidRPr="00880065" w:rsidRDefault="008529B4"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46</w:t>
      </w:r>
      <w:r w:rsidRPr="00880065">
        <w:rPr>
          <w:lang w:val="en-GB"/>
        </w:rPr>
        <w:fldChar w:fldCharType="end"/>
      </w:r>
      <w:r w:rsidRPr="00880065">
        <w:rPr>
          <w:lang w:val="en-GB"/>
        </w:rPr>
        <w:t>.  The Government lastly noted that significant amendments had recently been made to Law no. 5651. However, URL filtering technology for foreign-based websites was not available in Turkey</w:t>
      </w:r>
      <w:bookmarkStart w:id="142" w:name="lt_pId278"/>
      <w:bookmarkEnd w:id="141"/>
      <w:r w:rsidR="002878EC" w:rsidRPr="00880065">
        <w:rPr>
          <w:lang w:val="en-GB"/>
        </w:rPr>
        <w:t>.</w:t>
      </w:r>
      <w:bookmarkEnd w:id="142"/>
    </w:p>
    <w:p w:rsidR="002878EC" w:rsidRPr="00880065" w:rsidRDefault="002878EC" w:rsidP="00880065">
      <w:pPr>
        <w:pStyle w:val="ECHRHeading3"/>
        <w:rPr>
          <w:lang w:val="en-GB"/>
        </w:rPr>
      </w:pPr>
      <w:r w:rsidRPr="00880065">
        <w:rPr>
          <w:lang w:val="en-GB"/>
        </w:rPr>
        <w:t>2.  </w:t>
      </w:r>
      <w:bookmarkStart w:id="143" w:name="lt_pId280"/>
      <w:r w:rsidRPr="00880065">
        <w:rPr>
          <w:lang w:val="en-GB"/>
        </w:rPr>
        <w:t>The Court</w:t>
      </w:r>
      <w:r w:rsidR="00880065" w:rsidRPr="00880065">
        <w:rPr>
          <w:lang w:val="en-GB"/>
        </w:rPr>
        <w:t>’</w:t>
      </w:r>
      <w:r w:rsidRPr="00880065">
        <w:rPr>
          <w:lang w:val="en-GB"/>
        </w:rPr>
        <w:t>s assessment</w:t>
      </w:r>
      <w:bookmarkEnd w:id="143"/>
    </w:p>
    <w:p w:rsidR="002878EC" w:rsidRPr="00880065" w:rsidRDefault="004D1215" w:rsidP="00880065">
      <w:pPr>
        <w:pStyle w:val="ECHRHeading4"/>
        <w:rPr>
          <w:lang w:val="en-GB"/>
        </w:rPr>
      </w:pPr>
      <w:bookmarkStart w:id="144" w:name="lt_pId281"/>
      <w:r w:rsidRPr="00880065">
        <w:rPr>
          <w:lang w:val="en-GB"/>
        </w:rPr>
        <w:t>(a)  </w:t>
      </w:r>
      <w:r w:rsidR="002878EC" w:rsidRPr="00880065">
        <w:rPr>
          <w:lang w:val="en-GB"/>
        </w:rPr>
        <w:t>Whether there was an interference</w:t>
      </w:r>
      <w:bookmarkEnd w:id="144"/>
    </w:p>
    <w:p w:rsidR="008529B4"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47</w:t>
      </w:r>
      <w:r w:rsidRPr="00880065">
        <w:rPr>
          <w:lang w:val="en-GB"/>
        </w:rPr>
        <w:fldChar w:fldCharType="end"/>
      </w:r>
      <w:r w:rsidRPr="00880065">
        <w:rPr>
          <w:lang w:val="en-GB"/>
        </w:rPr>
        <w:t>.  </w:t>
      </w:r>
      <w:bookmarkStart w:id="145" w:name="lt_pId283"/>
      <w:r w:rsidR="008F4604" w:rsidRPr="00880065">
        <w:rPr>
          <w:lang w:val="en-GB"/>
        </w:rPr>
        <w:t xml:space="preserve">The </w:t>
      </w:r>
      <w:r w:rsidR="008529B4" w:rsidRPr="00880065">
        <w:rPr>
          <w:lang w:val="en-GB"/>
        </w:rPr>
        <w:t xml:space="preserve">Court notes that in a decision adopted on 5 May 2008, the Ankara Criminal Court of First Instance ordered the blocking of access to YouTube under section 8(1)(b), (2), (3) and (9) of </w:t>
      </w:r>
      <w:r w:rsidR="008529B4" w:rsidRPr="00880065">
        <w:t xml:space="preserve">Law no. 5651 on the </w:t>
      </w:r>
      <w:r w:rsidR="008529B4" w:rsidRPr="00880065">
        <w:rPr>
          <w:lang w:val="en-GB"/>
        </w:rPr>
        <w:t>gro</w:t>
      </w:r>
      <w:r w:rsidR="008529B4" w:rsidRPr="00880065">
        <w:rPr>
          <w:szCs w:val="24"/>
          <w:lang w:val="en-GB"/>
        </w:rPr>
        <w:t xml:space="preserve">unds </w:t>
      </w:r>
      <w:r w:rsidR="008529B4" w:rsidRPr="00880065">
        <w:rPr>
          <w:lang w:val="en-GB"/>
        </w:rPr>
        <w:t xml:space="preserve">that the content of ten video files available on the website in question had infringed </w:t>
      </w:r>
      <w:r w:rsidR="008529B4" w:rsidRPr="00880065">
        <w:t>Law no. 5816 prohibiting insults to the memory of Atatürk.</w:t>
      </w:r>
      <w:r w:rsidR="008529B4" w:rsidRPr="00880065">
        <w:rPr>
          <w:lang w:val="en-GB"/>
        </w:rPr>
        <w:t xml:space="preserve"> The first applicant lodged an objection against the blocking order </w:t>
      </w:r>
      <w:r w:rsidR="008529B4" w:rsidRPr="00880065">
        <w:rPr>
          <w:lang w:val="en-GB"/>
        </w:rPr>
        <w:lastRenderedPageBreak/>
        <w:t>on 21 May 2010</w:t>
      </w:r>
      <w:r w:rsidR="00FA11AE" w:rsidRPr="00880065">
        <w:rPr>
          <w:lang w:val="en-GB"/>
        </w:rPr>
        <w:t>, seeking</w:t>
      </w:r>
      <w:r w:rsidR="008529B4" w:rsidRPr="00880065">
        <w:rPr>
          <w:lang w:val="en-GB"/>
        </w:rPr>
        <w:t xml:space="preserve"> to have it set aside, and the second and third applicants did likewise on 31 May 2010. In their </w:t>
      </w:r>
      <w:r w:rsidR="00237A7D" w:rsidRPr="00880065">
        <w:rPr>
          <w:lang w:val="en-GB"/>
        </w:rPr>
        <w:t>objections</w:t>
      </w:r>
      <w:r w:rsidR="008529B4" w:rsidRPr="00880065">
        <w:rPr>
          <w:lang w:val="en-GB"/>
        </w:rPr>
        <w:t xml:space="preserve"> they relied on the protection of their right to freedom to receive and impart information and ideas.</w:t>
      </w:r>
    </w:p>
    <w:p w:rsidR="008529B4" w:rsidRPr="00880065" w:rsidRDefault="008529B4"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48</w:t>
      </w:r>
      <w:r w:rsidRPr="00880065">
        <w:rPr>
          <w:lang w:val="en-GB"/>
        </w:rPr>
        <w:fldChar w:fldCharType="end"/>
      </w:r>
      <w:r w:rsidRPr="00880065">
        <w:rPr>
          <w:lang w:val="en-GB"/>
        </w:rPr>
        <w:t xml:space="preserve">.  On 9 June 2010 the Ankara Criminal Court of First Instance, finding that the applicants had not been parties to the case and thus did not have </w:t>
      </w:r>
      <w:r w:rsidRPr="00880065">
        <w:rPr>
          <w:i/>
          <w:lang w:val="en-GB"/>
        </w:rPr>
        <w:t>locus standi</w:t>
      </w:r>
      <w:r w:rsidRPr="00880065">
        <w:rPr>
          <w:lang w:val="en-GB"/>
        </w:rPr>
        <w:t xml:space="preserve"> to challenge such orders, dismissed their objection. In so doing, it noted, among other things, that the blocking order complied with the requirements of the relevant legislation. It also adopted a further decision on 17 June 2010. Attempts by two of the applicants to challenge that decision were to no avail.</w:t>
      </w:r>
    </w:p>
    <w:p w:rsidR="008529B4" w:rsidRPr="00880065" w:rsidRDefault="008529B4"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49</w:t>
      </w:r>
      <w:r w:rsidRPr="00880065">
        <w:rPr>
          <w:lang w:val="en-GB"/>
        </w:rPr>
        <w:fldChar w:fldCharType="end"/>
      </w:r>
      <w:r w:rsidRPr="00880065">
        <w:rPr>
          <w:lang w:val="en-GB"/>
        </w:rPr>
        <w:t>.  </w:t>
      </w:r>
      <w:r w:rsidRPr="00880065">
        <w:rPr>
          <w:rFonts w:ascii="Times New Roman" w:hAnsi="Times New Roman"/>
          <w:szCs w:val="24"/>
          <w:lang w:val="en-GB"/>
        </w:rPr>
        <w:t xml:space="preserve">The Court reiterates at the outset that the Convention does not allow an </w:t>
      </w:r>
      <w:r w:rsidRPr="00880065">
        <w:rPr>
          <w:rFonts w:ascii="Times New Roman" w:hAnsi="Times New Roman"/>
          <w:i/>
          <w:szCs w:val="24"/>
          <w:lang w:val="en-GB"/>
        </w:rPr>
        <w:t xml:space="preserve">actio popularis </w:t>
      </w:r>
      <w:r w:rsidRPr="00880065">
        <w:rPr>
          <w:rFonts w:ascii="Times New Roman" w:hAnsi="Times New Roman"/>
          <w:szCs w:val="24"/>
          <w:lang w:val="en-GB"/>
        </w:rPr>
        <w:t xml:space="preserve">but requires as a condition for the exercise of the right of individual petition that the applicant must be able to claim on arguable grounds that he himself has been a direct or indirect victim of a violation of the Convention resulting from an act or omission which can be attributed to a Contracting State. In </w:t>
      </w:r>
      <w:r w:rsidRPr="00880065">
        <w:rPr>
          <w:rFonts w:ascii="Times New Roman" w:hAnsi="Times New Roman"/>
          <w:i/>
          <w:iCs/>
          <w:szCs w:val="24"/>
          <w:lang w:val="en-GB"/>
        </w:rPr>
        <w:t>Tanrıkulu and Others</w:t>
      </w:r>
      <w:r w:rsidRPr="00880065">
        <w:rPr>
          <w:rFonts w:ascii="Times New Roman" w:hAnsi="Times New Roman"/>
          <w:szCs w:val="24"/>
          <w:lang w:val="en-GB"/>
        </w:rPr>
        <w:t xml:space="preserve"> (cited above) it fo</w:t>
      </w:r>
      <w:r w:rsidRPr="00880065">
        <w:rPr>
          <w:lang w:val="en-GB"/>
        </w:rPr>
        <w:t>und that readers of a newspaper whose distribution had been prohibited did not have victim status</w:t>
      </w:r>
      <w:r w:rsidRPr="00880065">
        <w:rPr>
          <w:rFonts w:ascii="Times New Roman" w:hAnsi="Times New Roman"/>
          <w:szCs w:val="24"/>
          <w:lang w:val="en-GB"/>
        </w:rPr>
        <w:t xml:space="preserve">. Similarly, in </w:t>
      </w:r>
      <w:r w:rsidRPr="00880065">
        <w:rPr>
          <w:rFonts w:ascii="Times New Roman" w:hAnsi="Times New Roman"/>
          <w:i/>
          <w:iCs/>
          <w:szCs w:val="24"/>
          <w:lang w:val="en-GB"/>
        </w:rPr>
        <w:t>Akdeniz</w:t>
      </w:r>
      <w:r w:rsidRPr="00880065">
        <w:rPr>
          <w:rFonts w:ascii="Times New Roman" w:hAnsi="Times New Roman"/>
          <w:szCs w:val="24"/>
          <w:lang w:val="en-GB"/>
        </w:rPr>
        <w:t xml:space="preserve"> (cited above, § 24) it held that the mere fact that Mr Akdeniz – like the other users of two music-streaming websites </w:t>
      </w:r>
      <w:r w:rsidR="006F79F0" w:rsidRPr="00880065">
        <w:rPr>
          <w:rFonts w:ascii="Times New Roman" w:hAnsi="Times New Roman"/>
          <w:szCs w:val="24"/>
          <w:lang w:val="en-GB"/>
        </w:rPr>
        <w:t xml:space="preserve">in Turkey </w:t>
      </w:r>
      <w:r w:rsidRPr="00880065">
        <w:rPr>
          <w:rFonts w:ascii="Times New Roman" w:hAnsi="Times New Roman"/>
          <w:szCs w:val="24"/>
          <w:lang w:val="en-GB"/>
        </w:rPr>
        <w:t xml:space="preserve">– was indirectly affected by a blocking order could not suffice for him to be </w:t>
      </w:r>
      <w:r w:rsidR="006F79F0" w:rsidRPr="00880065">
        <w:rPr>
          <w:rFonts w:ascii="Times New Roman" w:hAnsi="Times New Roman"/>
          <w:szCs w:val="24"/>
          <w:lang w:val="en-GB"/>
        </w:rPr>
        <w:t>acknowledged</w:t>
      </w:r>
      <w:r w:rsidRPr="00880065">
        <w:rPr>
          <w:rFonts w:ascii="Times New Roman" w:hAnsi="Times New Roman"/>
          <w:szCs w:val="24"/>
          <w:lang w:val="en-GB"/>
        </w:rPr>
        <w:t xml:space="preserve"> as a “victim” </w:t>
      </w:r>
      <w:r w:rsidR="006F79F0" w:rsidRPr="00880065">
        <w:rPr>
          <w:rFonts w:ascii="Times New Roman" w:hAnsi="Times New Roman"/>
          <w:szCs w:val="24"/>
          <w:lang w:val="en-GB"/>
        </w:rPr>
        <w:t>within the meaning of</w:t>
      </w:r>
      <w:r w:rsidRPr="00880065">
        <w:rPr>
          <w:rFonts w:ascii="Times New Roman" w:hAnsi="Times New Roman"/>
          <w:szCs w:val="24"/>
          <w:lang w:val="en-GB"/>
        </w:rPr>
        <w:t xml:space="preserve"> Article 34 of the Convention. In view of those considerations, the answer to the question whether an applicant can claim to be the victim of </w:t>
      </w:r>
      <w:r w:rsidR="006F79F0" w:rsidRPr="00880065">
        <w:rPr>
          <w:rFonts w:ascii="Times New Roman" w:hAnsi="Times New Roman"/>
          <w:szCs w:val="24"/>
          <w:lang w:val="en-GB"/>
        </w:rPr>
        <w:t>a measure</w:t>
      </w:r>
      <w:r w:rsidRPr="00880065">
        <w:rPr>
          <w:rFonts w:ascii="Times New Roman" w:hAnsi="Times New Roman"/>
          <w:szCs w:val="24"/>
          <w:lang w:val="en-GB"/>
        </w:rPr>
        <w:t xml:space="preserve"> blocking access to a website will therefore depend on an assessment of the circumstances of each case, in particular the way in which the person concerned uses the website and the </w:t>
      </w:r>
      <w:r w:rsidR="00946D41" w:rsidRPr="00880065">
        <w:rPr>
          <w:rFonts w:ascii="Times New Roman" w:hAnsi="Times New Roman"/>
          <w:szCs w:val="24"/>
          <w:lang w:val="en-GB"/>
        </w:rPr>
        <w:t>potential impact</w:t>
      </w:r>
      <w:r w:rsidRPr="00880065">
        <w:rPr>
          <w:rFonts w:ascii="Times New Roman" w:hAnsi="Times New Roman"/>
          <w:szCs w:val="24"/>
          <w:lang w:val="en-GB"/>
        </w:rPr>
        <w:t xml:space="preserve"> of the measure </w:t>
      </w:r>
      <w:r w:rsidR="00946D41" w:rsidRPr="00880065">
        <w:rPr>
          <w:rFonts w:ascii="Times New Roman" w:hAnsi="Times New Roman"/>
          <w:szCs w:val="24"/>
          <w:lang w:val="en-GB"/>
        </w:rPr>
        <w:t>on</w:t>
      </w:r>
      <w:r w:rsidRPr="00880065">
        <w:rPr>
          <w:rFonts w:ascii="Times New Roman" w:hAnsi="Times New Roman"/>
          <w:szCs w:val="24"/>
          <w:lang w:val="en-GB"/>
        </w:rPr>
        <w:t xml:space="preserve"> him. It is also relevant that the Internet has now become one of the principal means by which individuals exercise their right to freedom to receive </w:t>
      </w:r>
      <w:r w:rsidR="003255A4" w:rsidRPr="00880065">
        <w:rPr>
          <w:rFonts w:ascii="Times New Roman" w:hAnsi="Times New Roman"/>
          <w:szCs w:val="24"/>
          <w:lang w:val="en-GB"/>
        </w:rPr>
        <w:t>and</w:t>
      </w:r>
      <w:r w:rsidRPr="00880065">
        <w:rPr>
          <w:rFonts w:ascii="Times New Roman" w:hAnsi="Times New Roman"/>
          <w:szCs w:val="24"/>
          <w:lang w:val="en-GB"/>
        </w:rPr>
        <w:t xml:space="preserve"> impart information </w:t>
      </w:r>
      <w:r w:rsidR="003255A4" w:rsidRPr="00880065">
        <w:rPr>
          <w:rFonts w:ascii="Times New Roman" w:hAnsi="Times New Roman"/>
          <w:szCs w:val="24"/>
          <w:lang w:val="en-GB"/>
        </w:rPr>
        <w:t>and</w:t>
      </w:r>
      <w:r w:rsidRPr="00880065">
        <w:rPr>
          <w:rFonts w:ascii="Times New Roman" w:hAnsi="Times New Roman"/>
          <w:szCs w:val="24"/>
          <w:lang w:val="en-GB"/>
        </w:rPr>
        <w:t xml:space="preserve"> ideas, providing as it does essential tools for participation in activities and discussions concerning political issues and issues of general interest (see </w:t>
      </w:r>
      <w:r w:rsidRPr="00880065">
        <w:rPr>
          <w:rFonts w:ascii="Times New Roman" w:hAnsi="Times New Roman"/>
          <w:i/>
          <w:szCs w:val="24"/>
          <w:lang w:val="en-GB"/>
        </w:rPr>
        <w:t>Ahmet Yıldırım</w:t>
      </w:r>
      <w:r w:rsidRPr="00880065">
        <w:rPr>
          <w:rFonts w:ascii="Times New Roman" w:hAnsi="Times New Roman"/>
          <w:szCs w:val="24"/>
          <w:lang w:val="en-GB"/>
        </w:rPr>
        <w:t>, cited above, § 54).</w:t>
      </w:r>
    </w:p>
    <w:p w:rsidR="008529B4" w:rsidRPr="00880065" w:rsidRDefault="008529B4" w:rsidP="00880065">
      <w:pPr>
        <w:pStyle w:val="ECHRPara"/>
        <w:rPr>
          <w:rFonts w:ascii="Times New Roman" w:hAnsi="Times New Roman"/>
          <w:szCs w:val="24"/>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50</w:t>
      </w:r>
      <w:r w:rsidRPr="00880065">
        <w:rPr>
          <w:lang w:val="en-GB"/>
        </w:rPr>
        <w:fldChar w:fldCharType="end"/>
      </w:r>
      <w:r w:rsidRPr="00880065">
        <w:rPr>
          <w:lang w:val="en-GB"/>
        </w:rPr>
        <w:t>.  </w:t>
      </w:r>
      <w:r w:rsidRPr="00880065">
        <w:rPr>
          <w:rFonts w:ascii="Times New Roman" w:hAnsi="Times New Roman"/>
          <w:snapToGrid w:val="0"/>
          <w:szCs w:val="24"/>
          <w:lang w:val="en-GB"/>
        </w:rPr>
        <w:t>In the present case, the Court observes that the applicants lodged their applications with it as active users of YouTube</w:t>
      </w:r>
      <w:r w:rsidR="00A270C8" w:rsidRPr="00880065">
        <w:rPr>
          <w:rFonts w:ascii="Times New Roman" w:hAnsi="Times New Roman"/>
          <w:snapToGrid w:val="0"/>
          <w:szCs w:val="24"/>
          <w:lang w:val="en-GB"/>
        </w:rPr>
        <w:t>;</w:t>
      </w:r>
      <w:r w:rsidRPr="00880065">
        <w:rPr>
          <w:rFonts w:ascii="Times New Roman" w:hAnsi="Times New Roman"/>
          <w:snapToGrid w:val="0"/>
          <w:szCs w:val="24"/>
          <w:lang w:val="en-GB"/>
        </w:rPr>
        <w:t xml:space="preserve"> </w:t>
      </w:r>
      <w:r w:rsidR="008E0127" w:rsidRPr="00880065">
        <w:rPr>
          <w:rFonts w:ascii="Times New Roman" w:hAnsi="Times New Roman"/>
          <w:snapToGrid w:val="0"/>
          <w:szCs w:val="24"/>
          <w:lang w:val="en-GB"/>
        </w:rPr>
        <w:t>among other things, t</w:t>
      </w:r>
      <w:r w:rsidR="00A270C8" w:rsidRPr="00880065">
        <w:rPr>
          <w:rFonts w:ascii="Times New Roman" w:hAnsi="Times New Roman"/>
          <w:snapToGrid w:val="0"/>
          <w:szCs w:val="24"/>
          <w:lang w:val="en-GB"/>
        </w:rPr>
        <w:t xml:space="preserve">hey </w:t>
      </w:r>
      <w:r w:rsidR="008E0127" w:rsidRPr="00880065">
        <w:rPr>
          <w:rFonts w:ascii="Times New Roman" w:hAnsi="Times New Roman"/>
          <w:snapToGrid w:val="0"/>
          <w:szCs w:val="24"/>
          <w:lang w:val="en-GB"/>
        </w:rPr>
        <w:t>drew attention</w:t>
      </w:r>
      <w:r w:rsidR="00A270C8" w:rsidRPr="00880065">
        <w:rPr>
          <w:rFonts w:ascii="Times New Roman" w:hAnsi="Times New Roman"/>
          <w:snapToGrid w:val="0"/>
          <w:szCs w:val="24"/>
          <w:lang w:val="en-GB"/>
        </w:rPr>
        <w:t xml:space="preserve"> </w:t>
      </w:r>
      <w:r w:rsidR="008E0127" w:rsidRPr="00880065">
        <w:rPr>
          <w:rFonts w:ascii="Times New Roman" w:hAnsi="Times New Roman"/>
          <w:snapToGrid w:val="0"/>
          <w:szCs w:val="24"/>
          <w:lang w:val="en-GB"/>
        </w:rPr>
        <w:t xml:space="preserve">to </w:t>
      </w:r>
      <w:r w:rsidRPr="00880065">
        <w:rPr>
          <w:rFonts w:ascii="Times New Roman" w:hAnsi="Times New Roman"/>
          <w:snapToGrid w:val="0"/>
          <w:szCs w:val="24"/>
          <w:lang w:val="en-GB"/>
        </w:rPr>
        <w:t xml:space="preserve">the repercussions of the blocking order on their academic work and </w:t>
      </w:r>
      <w:r w:rsidR="008E0127" w:rsidRPr="00880065">
        <w:rPr>
          <w:rFonts w:ascii="Times New Roman" w:hAnsi="Times New Roman"/>
          <w:snapToGrid w:val="0"/>
          <w:szCs w:val="24"/>
          <w:lang w:val="en-GB"/>
        </w:rPr>
        <w:t xml:space="preserve">to </w:t>
      </w:r>
      <w:r w:rsidRPr="00880065">
        <w:rPr>
          <w:rFonts w:ascii="Times New Roman" w:hAnsi="Times New Roman"/>
          <w:snapToGrid w:val="0"/>
          <w:szCs w:val="24"/>
          <w:lang w:val="en-GB"/>
        </w:rPr>
        <w:t xml:space="preserve">the </w:t>
      </w:r>
      <w:r w:rsidR="008E0127" w:rsidRPr="00880065">
        <w:rPr>
          <w:rFonts w:ascii="Times New Roman" w:hAnsi="Times New Roman"/>
          <w:snapToGrid w:val="0"/>
          <w:szCs w:val="24"/>
          <w:lang w:val="en-GB"/>
        </w:rPr>
        <w:t>significant</w:t>
      </w:r>
      <w:r w:rsidRPr="00880065">
        <w:rPr>
          <w:rFonts w:ascii="Times New Roman" w:hAnsi="Times New Roman"/>
          <w:snapToGrid w:val="0"/>
          <w:szCs w:val="24"/>
          <w:lang w:val="en-GB"/>
        </w:rPr>
        <w:t xml:space="preserve"> features of the website in question. They stated, in particular, that </w:t>
      </w:r>
      <w:r w:rsidR="00DD26E1" w:rsidRPr="00880065">
        <w:rPr>
          <w:rFonts w:ascii="Times New Roman" w:hAnsi="Times New Roman"/>
          <w:snapToGrid w:val="0"/>
          <w:szCs w:val="24"/>
          <w:lang w:val="en-GB"/>
        </w:rPr>
        <w:t>through</w:t>
      </w:r>
      <w:r w:rsidRPr="00880065">
        <w:rPr>
          <w:rFonts w:ascii="Times New Roman" w:hAnsi="Times New Roman"/>
          <w:snapToGrid w:val="0"/>
          <w:szCs w:val="24"/>
          <w:lang w:val="en-GB"/>
        </w:rPr>
        <w:t xml:space="preserve"> their YouTube accounts they used the platform not only to access videos relating to the</w:t>
      </w:r>
      <w:r w:rsidR="00457B32" w:rsidRPr="00880065">
        <w:rPr>
          <w:rFonts w:ascii="Times New Roman" w:hAnsi="Times New Roman"/>
          <w:snapToGrid w:val="0"/>
          <w:szCs w:val="24"/>
          <w:lang w:val="en-GB"/>
        </w:rPr>
        <w:t>ir professional sphere, but also in an</w:t>
      </w:r>
      <w:r w:rsidRPr="00880065">
        <w:rPr>
          <w:rFonts w:ascii="Times New Roman" w:hAnsi="Times New Roman"/>
          <w:snapToGrid w:val="0"/>
          <w:szCs w:val="24"/>
          <w:lang w:val="en-GB"/>
        </w:rPr>
        <w:t xml:space="preserve"> active</w:t>
      </w:r>
      <w:r w:rsidR="00457B32" w:rsidRPr="00880065">
        <w:rPr>
          <w:rFonts w:ascii="Times New Roman" w:hAnsi="Times New Roman"/>
          <w:snapToGrid w:val="0"/>
          <w:szCs w:val="24"/>
          <w:lang w:val="en-GB"/>
        </w:rPr>
        <w:t xml:space="preserve"> manner</w:t>
      </w:r>
      <w:r w:rsidRPr="00880065">
        <w:rPr>
          <w:rFonts w:ascii="Times New Roman" w:hAnsi="Times New Roman"/>
          <w:snapToGrid w:val="0"/>
          <w:szCs w:val="24"/>
          <w:lang w:val="en-GB"/>
        </w:rPr>
        <w:t xml:space="preserve">, </w:t>
      </w:r>
      <w:r w:rsidR="00457B32" w:rsidRPr="00880065">
        <w:rPr>
          <w:rFonts w:ascii="Times New Roman" w:hAnsi="Times New Roman"/>
          <w:snapToGrid w:val="0"/>
          <w:szCs w:val="24"/>
          <w:lang w:val="en-GB"/>
        </w:rPr>
        <w:t>for the purpose of</w:t>
      </w:r>
      <w:r w:rsidRPr="00880065">
        <w:rPr>
          <w:rFonts w:ascii="Times New Roman" w:hAnsi="Times New Roman"/>
          <w:snapToGrid w:val="0"/>
          <w:szCs w:val="24"/>
          <w:lang w:val="en-GB"/>
        </w:rPr>
        <w:t xml:space="preserve"> upload</w:t>
      </w:r>
      <w:r w:rsidR="00457B32" w:rsidRPr="00880065">
        <w:rPr>
          <w:rFonts w:ascii="Times New Roman" w:hAnsi="Times New Roman"/>
          <w:snapToGrid w:val="0"/>
          <w:szCs w:val="24"/>
          <w:lang w:val="en-GB"/>
        </w:rPr>
        <w:t>ing and sharing</w:t>
      </w:r>
      <w:r w:rsidRPr="00880065">
        <w:rPr>
          <w:rFonts w:ascii="Times New Roman" w:hAnsi="Times New Roman"/>
          <w:snapToGrid w:val="0"/>
          <w:szCs w:val="24"/>
          <w:lang w:val="en-GB"/>
        </w:rPr>
        <w:t xml:space="preserve"> files of that nature. The second and third applicants also pointed out that they </w:t>
      </w:r>
      <w:r w:rsidR="008E0127" w:rsidRPr="00880065">
        <w:rPr>
          <w:rFonts w:ascii="Times New Roman" w:hAnsi="Times New Roman"/>
          <w:snapToGrid w:val="0"/>
          <w:szCs w:val="24"/>
          <w:lang w:val="en-GB"/>
        </w:rPr>
        <w:t xml:space="preserve">had </w:t>
      </w:r>
      <w:r w:rsidRPr="00880065">
        <w:rPr>
          <w:rFonts w:ascii="Times New Roman" w:hAnsi="Times New Roman"/>
          <w:snapToGrid w:val="0"/>
          <w:szCs w:val="24"/>
          <w:lang w:val="en-GB"/>
        </w:rPr>
        <w:t>published videos about their academic activities. In that respect, the case more closely resembles that of Mr Yıldırım</w:t>
      </w:r>
      <w:r w:rsidRPr="00880065">
        <w:rPr>
          <w:lang w:val="en-GB"/>
        </w:rPr>
        <w:t xml:space="preserve">, </w:t>
      </w:r>
      <w:r w:rsidRPr="00880065">
        <w:rPr>
          <w:rFonts w:ascii="Times New Roman" w:hAnsi="Times New Roman"/>
          <w:snapToGrid w:val="0"/>
          <w:szCs w:val="24"/>
          <w:lang w:val="en-GB"/>
        </w:rPr>
        <w:t xml:space="preserve">who stated that he published his academic work and his views on various topics on his own website </w:t>
      </w:r>
      <w:r w:rsidRPr="00880065">
        <w:rPr>
          <w:rFonts w:ascii="Times New Roman" w:hAnsi="Times New Roman"/>
          <w:snapToGrid w:val="0"/>
          <w:szCs w:val="24"/>
          <w:lang w:val="en-GB"/>
        </w:rPr>
        <w:lastRenderedPageBreak/>
        <w:t>(</w:t>
      </w:r>
      <w:r w:rsidRPr="00880065">
        <w:rPr>
          <w:lang w:val="en-GB"/>
        </w:rPr>
        <w:t>ibid.,</w:t>
      </w:r>
      <w:r w:rsidRPr="00880065">
        <w:rPr>
          <w:rFonts w:ascii="Times New Roman" w:hAnsi="Times New Roman"/>
          <w:snapToGrid w:val="0"/>
          <w:szCs w:val="24"/>
          <w:lang w:val="en-GB"/>
        </w:rPr>
        <w:t xml:space="preserve"> § 51), than that of Mr Akdeniz (see decision cited above), who was acting as a simple website user.</w:t>
      </w:r>
    </w:p>
    <w:p w:rsidR="008529B4" w:rsidRPr="00880065" w:rsidRDefault="008529B4" w:rsidP="00880065">
      <w:pPr>
        <w:pStyle w:val="ECHRPara"/>
        <w:rPr>
          <w:rFonts w:ascii="Times New Roman" w:hAnsi="Times New Roman"/>
          <w:szCs w:val="24"/>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51</w:t>
      </w:r>
      <w:r w:rsidRPr="00880065">
        <w:rPr>
          <w:lang w:val="en-GB"/>
        </w:rPr>
        <w:fldChar w:fldCharType="end"/>
      </w:r>
      <w:r w:rsidRPr="00880065">
        <w:rPr>
          <w:lang w:val="en-GB"/>
        </w:rPr>
        <w:t>.  </w:t>
      </w:r>
      <w:r w:rsidRPr="00880065">
        <w:rPr>
          <w:rFonts w:ascii="Times New Roman" w:hAnsi="Times New Roman"/>
          <w:szCs w:val="24"/>
          <w:lang w:val="en-GB"/>
        </w:rPr>
        <w:t xml:space="preserve">The present case also differs in another respect from that of </w:t>
      </w:r>
      <w:r w:rsidRPr="00880065">
        <w:rPr>
          <w:rFonts w:ascii="Times New Roman" w:hAnsi="Times New Roman"/>
          <w:i/>
          <w:iCs/>
          <w:szCs w:val="24"/>
          <w:lang w:val="en-GB"/>
        </w:rPr>
        <w:t>Akdeniz</w:t>
      </w:r>
      <w:r w:rsidRPr="00880065">
        <w:rPr>
          <w:rFonts w:ascii="Times New Roman" w:hAnsi="Times New Roman"/>
          <w:szCs w:val="24"/>
          <w:lang w:val="en-GB"/>
        </w:rPr>
        <w:t xml:space="preserve">, where the Court had regard, </w:t>
      </w:r>
      <w:r w:rsidRPr="00880065">
        <w:rPr>
          <w:rFonts w:ascii="Times New Roman" w:hAnsi="Times New Roman"/>
          <w:i/>
          <w:szCs w:val="24"/>
          <w:lang w:val="en-GB"/>
        </w:rPr>
        <w:t>inter alia</w:t>
      </w:r>
      <w:r w:rsidRPr="00880065">
        <w:rPr>
          <w:rFonts w:ascii="Times New Roman" w:hAnsi="Times New Roman"/>
          <w:szCs w:val="24"/>
          <w:lang w:val="en-GB"/>
        </w:rPr>
        <w:t xml:space="preserve">, to the fact that the applicant could easily have had access to a whole range of musical works by a variety of means without infringing copyright rules (ibid., § 25). YouTube, however, not only hosts artistic and musical works, but is also a very popular platform for political speeches and political and social activities. The files </w:t>
      </w:r>
      <w:r w:rsidR="00C129A1" w:rsidRPr="00880065">
        <w:rPr>
          <w:rFonts w:ascii="Times New Roman" w:hAnsi="Times New Roman"/>
          <w:szCs w:val="24"/>
          <w:lang w:val="en-GB"/>
        </w:rPr>
        <w:t>shared</w:t>
      </w:r>
      <w:r w:rsidRPr="00880065">
        <w:rPr>
          <w:rFonts w:ascii="Times New Roman" w:hAnsi="Times New Roman"/>
          <w:szCs w:val="24"/>
          <w:lang w:val="en-GB"/>
        </w:rPr>
        <w:t xml:space="preserve"> by YouTube </w:t>
      </w:r>
      <w:r w:rsidR="00C129A1" w:rsidRPr="00880065">
        <w:rPr>
          <w:rFonts w:ascii="Times New Roman" w:hAnsi="Times New Roman"/>
          <w:szCs w:val="24"/>
          <w:lang w:val="en-GB"/>
        </w:rPr>
        <w:t>contain</w:t>
      </w:r>
      <w:r w:rsidRPr="00880065">
        <w:rPr>
          <w:rFonts w:ascii="Times New Roman" w:hAnsi="Times New Roman"/>
          <w:szCs w:val="24"/>
          <w:lang w:val="en-GB"/>
        </w:rPr>
        <w:t xml:space="preserve"> information that could </w:t>
      </w:r>
      <w:r w:rsidR="001D434E" w:rsidRPr="00880065">
        <w:rPr>
          <w:rFonts w:ascii="Times New Roman" w:hAnsi="Times New Roman"/>
          <w:szCs w:val="24"/>
          <w:lang w:val="en-GB"/>
        </w:rPr>
        <w:t>be</w:t>
      </w:r>
      <w:r w:rsidRPr="00880065">
        <w:rPr>
          <w:rFonts w:ascii="Times New Roman" w:hAnsi="Times New Roman"/>
          <w:szCs w:val="24"/>
          <w:lang w:val="en-GB"/>
        </w:rPr>
        <w:t xml:space="preserve"> of particular interest </w:t>
      </w:r>
      <w:r w:rsidR="001E1A72" w:rsidRPr="00880065">
        <w:rPr>
          <w:rFonts w:ascii="Times New Roman" w:hAnsi="Times New Roman"/>
          <w:szCs w:val="24"/>
          <w:lang w:val="en-GB"/>
        </w:rPr>
        <w:t>to anyone</w:t>
      </w:r>
      <w:r w:rsidRPr="00880065">
        <w:rPr>
          <w:rFonts w:ascii="Times New Roman" w:hAnsi="Times New Roman"/>
          <w:szCs w:val="24"/>
          <w:lang w:val="en-GB"/>
        </w:rPr>
        <w:t xml:space="preserve"> (see, </w:t>
      </w:r>
      <w:r w:rsidRPr="00880065">
        <w:rPr>
          <w:rFonts w:ascii="Times New Roman" w:hAnsi="Times New Roman"/>
          <w:i/>
          <w:iCs/>
          <w:szCs w:val="24"/>
          <w:lang w:val="en-GB"/>
        </w:rPr>
        <w:t>mutatis mutandis</w:t>
      </w:r>
      <w:r w:rsidRPr="00880065">
        <w:rPr>
          <w:rFonts w:ascii="Times New Roman" w:hAnsi="Times New Roman"/>
          <w:szCs w:val="24"/>
          <w:lang w:val="en-GB"/>
        </w:rPr>
        <w:t xml:space="preserve">, </w:t>
      </w:r>
      <w:r w:rsidRPr="00880065">
        <w:rPr>
          <w:rFonts w:ascii="Times New Roman" w:hAnsi="Times New Roman"/>
          <w:i/>
          <w:iCs/>
          <w:szCs w:val="24"/>
          <w:lang w:val="en-GB"/>
        </w:rPr>
        <w:t>Khurshid Mustafa and Tarzibachi,</w:t>
      </w:r>
      <w:r w:rsidR="001D434E" w:rsidRPr="00880065">
        <w:rPr>
          <w:rFonts w:ascii="Times New Roman" w:hAnsi="Times New Roman"/>
          <w:szCs w:val="24"/>
          <w:lang w:val="en-GB"/>
        </w:rPr>
        <w:t xml:space="preserve"> cited above, § </w:t>
      </w:r>
      <w:r w:rsidRPr="00880065">
        <w:rPr>
          <w:rFonts w:ascii="Times New Roman" w:hAnsi="Times New Roman"/>
          <w:szCs w:val="24"/>
          <w:lang w:val="en-GB"/>
        </w:rPr>
        <w:t xml:space="preserve">44). Accordingly, the measure in issue blocked access to a website containing specific information of interest to the applicants that </w:t>
      </w:r>
      <w:r w:rsidR="005F414A" w:rsidRPr="00880065">
        <w:rPr>
          <w:rFonts w:ascii="Times New Roman" w:hAnsi="Times New Roman"/>
          <w:szCs w:val="24"/>
          <w:lang w:val="en-GB"/>
        </w:rPr>
        <w:t>is</w:t>
      </w:r>
      <w:r w:rsidRPr="00880065">
        <w:rPr>
          <w:rFonts w:ascii="Times New Roman" w:hAnsi="Times New Roman"/>
          <w:szCs w:val="24"/>
          <w:lang w:val="en-GB"/>
        </w:rPr>
        <w:t xml:space="preserve"> not easily accessible by other means. The website also constitute</w:t>
      </w:r>
      <w:r w:rsidR="00465A26" w:rsidRPr="00880065">
        <w:rPr>
          <w:rFonts w:ascii="Times New Roman" w:hAnsi="Times New Roman"/>
          <w:szCs w:val="24"/>
          <w:lang w:val="en-GB"/>
        </w:rPr>
        <w:t>s</w:t>
      </w:r>
      <w:r w:rsidRPr="00880065">
        <w:rPr>
          <w:rFonts w:ascii="Times New Roman" w:hAnsi="Times New Roman"/>
          <w:szCs w:val="24"/>
          <w:lang w:val="en-GB"/>
        </w:rPr>
        <w:t xml:space="preserve"> an important source of communication for the applicants.</w:t>
      </w:r>
    </w:p>
    <w:p w:rsidR="008529B4" w:rsidRPr="00880065" w:rsidRDefault="008529B4" w:rsidP="00880065">
      <w:pPr>
        <w:pStyle w:val="ECHRPara"/>
        <w:rPr>
          <w:b/>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52</w:t>
      </w:r>
      <w:r w:rsidRPr="00880065">
        <w:rPr>
          <w:lang w:val="en-GB"/>
        </w:rPr>
        <w:fldChar w:fldCharType="end"/>
      </w:r>
      <w:r w:rsidRPr="00880065">
        <w:rPr>
          <w:lang w:val="en-GB"/>
        </w:rPr>
        <w:t>.  Moreover, as to the importance of Internet sites in the exercise of freedom of expression, the Court reiterates that “in the light of its accessibility and its capacity to store and communicate vast amounts of information, the Internet plays an important role in enhancing the public</w:t>
      </w:r>
      <w:r w:rsidR="00880065" w:rsidRPr="00880065">
        <w:rPr>
          <w:lang w:val="en-GB"/>
        </w:rPr>
        <w:t>’</w:t>
      </w:r>
      <w:r w:rsidRPr="00880065">
        <w:rPr>
          <w:lang w:val="en-GB"/>
        </w:rPr>
        <w:t xml:space="preserve">s access to news and facilitating the dissemination of information in general” (see </w:t>
      </w:r>
      <w:r w:rsidRPr="00880065">
        <w:rPr>
          <w:i/>
          <w:lang w:val="en-GB"/>
        </w:rPr>
        <w:t>Times Newspapers Ltd v. the United Kingdom (nos. 1 and 2)</w:t>
      </w:r>
      <w:r w:rsidRPr="00880065">
        <w:rPr>
          <w:lang w:val="en-GB"/>
        </w:rPr>
        <w:t xml:space="preserve">, nos. 3002/03 and 23676/03, § 27, ECHR 2009). User-generated expressive activity on the Internet provides an unprecedented platform for the exercise of freedom of expression (see </w:t>
      </w:r>
      <w:r w:rsidRPr="00880065">
        <w:rPr>
          <w:i/>
          <w:lang w:val="en-GB"/>
        </w:rPr>
        <w:t>Delfi AS v. Estonia</w:t>
      </w:r>
      <w:r w:rsidRPr="00880065">
        <w:rPr>
          <w:lang w:val="en-GB"/>
        </w:rPr>
        <w:t xml:space="preserve"> [GC], no. 64569/09, § 110, ECHR 2015).</w:t>
      </w:r>
      <w:r w:rsidRPr="00880065">
        <w:rPr>
          <w:snapToGrid w:val="0"/>
          <w:lang w:val="en-GB" w:eastAsia="fr-FR"/>
        </w:rPr>
        <w:t xml:space="preserve"> </w:t>
      </w:r>
      <w:r w:rsidRPr="00880065">
        <w:rPr>
          <w:lang w:val="en-GB"/>
        </w:rPr>
        <w:t xml:space="preserve">In this connection, the Court observes that YouTube is a video-hosting website on which users can upload, view and share videos and is undoubtedly an important means of exercising </w:t>
      </w:r>
      <w:r w:rsidR="00E87BB6" w:rsidRPr="00880065">
        <w:rPr>
          <w:lang w:val="en-GB"/>
        </w:rPr>
        <w:t xml:space="preserve">the </w:t>
      </w:r>
      <w:r w:rsidRPr="00880065">
        <w:rPr>
          <w:lang w:val="en-GB"/>
        </w:rPr>
        <w:t xml:space="preserve">freedom to receive </w:t>
      </w:r>
      <w:r w:rsidR="003255A4" w:rsidRPr="00880065">
        <w:rPr>
          <w:lang w:val="en-GB"/>
        </w:rPr>
        <w:t>and</w:t>
      </w:r>
      <w:r w:rsidRPr="00880065">
        <w:rPr>
          <w:lang w:val="en-GB"/>
        </w:rPr>
        <w:t xml:space="preserve"> impart information and ideas. In particular, as the applicants rightly noted, political </w:t>
      </w:r>
      <w:r w:rsidR="00E87BB6" w:rsidRPr="00880065">
        <w:rPr>
          <w:lang w:val="en-GB"/>
        </w:rPr>
        <w:t>content</w:t>
      </w:r>
      <w:r w:rsidRPr="00880065">
        <w:rPr>
          <w:lang w:val="en-GB"/>
        </w:rPr>
        <w:t xml:space="preserve"> ignored by the traditional media is often </w:t>
      </w:r>
      <w:r w:rsidR="00E87BB6" w:rsidRPr="00880065">
        <w:rPr>
          <w:lang w:val="en-GB"/>
        </w:rPr>
        <w:t xml:space="preserve">shared via </w:t>
      </w:r>
      <w:r w:rsidRPr="00880065">
        <w:rPr>
          <w:lang w:val="en-GB"/>
        </w:rPr>
        <w:t xml:space="preserve">YouTube, thus fostering the emergence of citizen journalism. </w:t>
      </w:r>
      <w:r w:rsidR="00B555BA" w:rsidRPr="00880065">
        <w:rPr>
          <w:lang w:val="en-GB"/>
        </w:rPr>
        <w:t>From</w:t>
      </w:r>
      <w:r w:rsidRPr="00880065">
        <w:rPr>
          <w:lang w:val="en-GB"/>
        </w:rPr>
        <w:t xml:space="preserve"> that </w:t>
      </w:r>
      <w:r w:rsidR="00B555BA" w:rsidRPr="00880065">
        <w:rPr>
          <w:lang w:val="en-GB"/>
        </w:rPr>
        <w:t>perspective</w:t>
      </w:r>
      <w:r w:rsidRPr="00880065">
        <w:rPr>
          <w:lang w:val="en-GB"/>
        </w:rPr>
        <w:t xml:space="preserve"> the Court accepts that </w:t>
      </w:r>
      <w:r w:rsidR="00B555BA" w:rsidRPr="00880065">
        <w:rPr>
          <w:lang w:val="en-GB"/>
        </w:rPr>
        <w:t xml:space="preserve">YouTube is a unique platform on account of its characteristics, its accessibility and above all its potential impact, and that no alternatives were available to </w:t>
      </w:r>
      <w:r w:rsidRPr="00880065">
        <w:rPr>
          <w:lang w:val="en-GB"/>
        </w:rPr>
        <w:t>the applicants.</w:t>
      </w:r>
    </w:p>
    <w:p w:rsidR="008529B4" w:rsidRPr="00880065" w:rsidRDefault="008529B4"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53</w:t>
      </w:r>
      <w:r w:rsidRPr="00880065">
        <w:rPr>
          <w:lang w:val="en-GB"/>
        </w:rPr>
        <w:fldChar w:fldCharType="end"/>
      </w:r>
      <w:r w:rsidRPr="00880065">
        <w:rPr>
          <w:lang w:val="en-GB"/>
        </w:rPr>
        <w:t xml:space="preserve">.  Furthermore, the Court observes that after the applicants lodged their applications, the Constitutional Court examined whether active users of websites such as twitter.com and youtube.com could be regarded as victims. In particular, in the case concerning the administrative decision to block access to YouTube, it </w:t>
      </w:r>
      <w:r w:rsidR="00CB2443" w:rsidRPr="00880065">
        <w:rPr>
          <w:lang w:val="en-GB"/>
        </w:rPr>
        <w:t>granted victim status to</w:t>
      </w:r>
      <w:r w:rsidRPr="00880065">
        <w:rPr>
          <w:lang w:val="en-GB"/>
        </w:rPr>
        <w:t xml:space="preserve"> </w:t>
      </w:r>
      <w:r w:rsidR="00CB2443" w:rsidRPr="00880065">
        <w:rPr>
          <w:lang w:val="en-GB"/>
        </w:rPr>
        <w:t xml:space="preserve">certain </w:t>
      </w:r>
      <w:r w:rsidRPr="00880065">
        <w:rPr>
          <w:lang w:val="en-GB"/>
        </w:rPr>
        <w:t xml:space="preserve">active users of </w:t>
      </w:r>
      <w:r w:rsidR="00E60091" w:rsidRPr="00880065">
        <w:rPr>
          <w:lang w:val="en-GB"/>
        </w:rPr>
        <w:t>the site</w:t>
      </w:r>
      <w:r w:rsidRPr="00880065">
        <w:rPr>
          <w:lang w:val="en-GB"/>
        </w:rPr>
        <w:t xml:space="preserve">, </w:t>
      </w:r>
      <w:r w:rsidR="00CB2443" w:rsidRPr="00880065">
        <w:rPr>
          <w:lang w:val="en-GB"/>
        </w:rPr>
        <w:t>among them</w:t>
      </w:r>
      <w:r w:rsidRPr="00880065">
        <w:rPr>
          <w:lang w:val="en-GB"/>
        </w:rPr>
        <w:t xml:space="preserve"> the second and third applicants. In reaching that conclusion, it mainly had regard to the fact that the individuals concerned, who </w:t>
      </w:r>
      <w:r w:rsidR="00507DEE" w:rsidRPr="00880065">
        <w:rPr>
          <w:lang w:val="en-GB"/>
        </w:rPr>
        <w:t xml:space="preserve">all </w:t>
      </w:r>
      <w:r w:rsidRPr="00880065">
        <w:rPr>
          <w:lang w:val="en-GB"/>
        </w:rPr>
        <w:t xml:space="preserve">had a YouTube account, made active use of the site. In the case of the two applicants in question, it also took into consideration the fact that they taught at universities, carried out research in the </w:t>
      </w:r>
      <w:r w:rsidR="002F346B" w:rsidRPr="00880065">
        <w:rPr>
          <w:lang w:val="en-GB"/>
        </w:rPr>
        <w:t xml:space="preserve">field of </w:t>
      </w:r>
      <w:r w:rsidRPr="00880065">
        <w:rPr>
          <w:lang w:val="en-GB"/>
        </w:rPr>
        <w:t xml:space="preserve">human rights, used the </w:t>
      </w:r>
      <w:r w:rsidR="00A63EEC" w:rsidRPr="00880065">
        <w:rPr>
          <w:lang w:val="en-GB"/>
        </w:rPr>
        <w:t>web</w:t>
      </w:r>
      <w:r w:rsidRPr="00880065">
        <w:rPr>
          <w:lang w:val="en-GB"/>
        </w:rPr>
        <w:t xml:space="preserve">site to access a range of visual material and shared their </w:t>
      </w:r>
      <w:r w:rsidR="008D069D" w:rsidRPr="00880065">
        <w:rPr>
          <w:lang w:val="en-GB"/>
        </w:rPr>
        <w:t>research</w:t>
      </w:r>
      <w:r w:rsidRPr="00880065">
        <w:rPr>
          <w:lang w:val="en-GB"/>
        </w:rPr>
        <w:t xml:space="preserve"> via their YouTube accounts (see paragraphs 25-26 above).</w:t>
      </w:r>
    </w:p>
    <w:p w:rsidR="008529B4" w:rsidRPr="00880065" w:rsidRDefault="008529B4" w:rsidP="00880065">
      <w:pPr>
        <w:pStyle w:val="ECHRPara"/>
        <w:rPr>
          <w:lang w:val="en-GB"/>
        </w:rPr>
      </w:pPr>
      <w:r w:rsidRPr="00880065">
        <w:rPr>
          <w:lang w:val="en-GB"/>
        </w:rPr>
        <w:lastRenderedPageBreak/>
        <w:t>The Court endorses the Constitutional Court</w:t>
      </w:r>
      <w:r w:rsidR="00880065" w:rsidRPr="00880065">
        <w:rPr>
          <w:lang w:val="en-GB"/>
        </w:rPr>
        <w:t>’</w:t>
      </w:r>
      <w:r w:rsidRPr="00880065">
        <w:rPr>
          <w:lang w:val="en-GB"/>
        </w:rPr>
        <w:t>s conclusions about these applicants</w:t>
      </w:r>
      <w:r w:rsidR="00880065" w:rsidRPr="00880065">
        <w:rPr>
          <w:lang w:val="en-GB"/>
        </w:rPr>
        <w:t>’</w:t>
      </w:r>
      <w:r w:rsidRPr="00880065">
        <w:rPr>
          <w:lang w:val="en-GB"/>
        </w:rPr>
        <w:t xml:space="preserve"> victim status. In addition, it observes that the situation of the first applicant, </w:t>
      </w:r>
      <w:r w:rsidR="00441A7C" w:rsidRPr="00880065">
        <w:rPr>
          <w:lang w:val="en-GB"/>
        </w:rPr>
        <w:t>also</w:t>
      </w:r>
      <w:r w:rsidRPr="00880065">
        <w:rPr>
          <w:lang w:val="en-GB"/>
        </w:rPr>
        <w:t xml:space="preserve"> an active YouTube user, is no different from that of the other two applicants.</w:t>
      </w:r>
    </w:p>
    <w:p w:rsidR="008529B4" w:rsidRPr="00880065" w:rsidRDefault="008529B4"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54</w:t>
      </w:r>
      <w:r w:rsidRPr="00880065">
        <w:rPr>
          <w:lang w:val="en-GB"/>
        </w:rPr>
        <w:fldChar w:fldCharType="end"/>
      </w:r>
      <w:r w:rsidRPr="00880065">
        <w:rPr>
          <w:lang w:val="en-GB"/>
        </w:rPr>
        <w:t>.  To sum up, the Court observes that the applicants are essentially complaining of the collateral effect</w:t>
      </w:r>
      <w:r w:rsidR="00C07AF9" w:rsidRPr="00880065">
        <w:rPr>
          <w:lang w:val="en-GB"/>
        </w:rPr>
        <w:t>s</w:t>
      </w:r>
      <w:r w:rsidRPr="00880065">
        <w:rPr>
          <w:lang w:val="en-GB"/>
        </w:rPr>
        <w:t xml:space="preserve"> of the measure taken against YouTube </w:t>
      </w:r>
      <w:r w:rsidR="00677049" w:rsidRPr="00880065">
        <w:rPr>
          <w:lang w:val="en-GB"/>
        </w:rPr>
        <w:t>in the context of Internet</w:t>
      </w:r>
      <w:r w:rsidRPr="00880065">
        <w:rPr>
          <w:lang w:val="en-GB"/>
        </w:rPr>
        <w:t xml:space="preserve"> legislation. </w:t>
      </w:r>
      <w:r w:rsidR="00400228" w:rsidRPr="00880065">
        <w:rPr>
          <w:lang w:val="en-GB"/>
        </w:rPr>
        <w:t>Their contention is that</w:t>
      </w:r>
      <w:r w:rsidRPr="00880065">
        <w:rPr>
          <w:lang w:val="en-GB"/>
        </w:rPr>
        <w:t xml:space="preserve"> on account of the features of YouTube, the blocking order deprived them of a significant means of exercising their right to freedom to receive and impart information and ideas.</w:t>
      </w:r>
    </w:p>
    <w:p w:rsidR="008529B4" w:rsidRPr="00880065" w:rsidRDefault="008529B4" w:rsidP="00880065">
      <w:pPr>
        <w:pStyle w:val="ECHRPara"/>
        <w:rPr>
          <w:rFonts w:ascii="Times New Roman" w:hAnsi="Times New Roman"/>
          <w:szCs w:val="24"/>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55</w:t>
      </w:r>
      <w:r w:rsidRPr="00880065">
        <w:rPr>
          <w:lang w:val="en-GB"/>
        </w:rPr>
        <w:fldChar w:fldCharType="end"/>
      </w:r>
      <w:r w:rsidRPr="00880065">
        <w:rPr>
          <w:lang w:val="en-GB"/>
        </w:rPr>
        <w:t>.  </w:t>
      </w:r>
      <w:r w:rsidRPr="00880065">
        <w:rPr>
          <w:rFonts w:ascii="Times New Roman" w:hAnsi="Times New Roman"/>
          <w:szCs w:val="24"/>
          <w:lang w:val="en-GB"/>
        </w:rPr>
        <w:t>Having regard to the</w:t>
      </w:r>
      <w:r w:rsidR="001F4DF8" w:rsidRPr="00880065">
        <w:rPr>
          <w:rFonts w:ascii="Times New Roman" w:hAnsi="Times New Roman"/>
          <w:szCs w:val="24"/>
          <w:lang w:val="en-GB"/>
        </w:rPr>
        <w:t xml:space="preserve"> foregoing and to the need for</w:t>
      </w:r>
      <w:r w:rsidRPr="00880065">
        <w:rPr>
          <w:rFonts w:ascii="Times New Roman" w:hAnsi="Times New Roman"/>
          <w:szCs w:val="24"/>
          <w:lang w:val="en-GB"/>
        </w:rPr>
        <w:t xml:space="preserve"> flexible application of the criteria for acknowledging victim stat</w:t>
      </w:r>
      <w:r w:rsidRPr="00880065">
        <w:rPr>
          <w:lang w:val="en-GB"/>
        </w:rPr>
        <w:t>us,</w:t>
      </w:r>
      <w:r w:rsidRPr="00880065">
        <w:rPr>
          <w:rFonts w:ascii="Times New Roman" w:hAnsi="Times New Roman"/>
          <w:szCs w:val="24"/>
          <w:lang w:val="en-GB"/>
        </w:rPr>
        <w:t xml:space="preserve"> the Court accepts that in the partic</w:t>
      </w:r>
      <w:r w:rsidRPr="00880065">
        <w:rPr>
          <w:lang w:val="en-GB"/>
        </w:rPr>
        <w:t>ular</w:t>
      </w:r>
      <w:r w:rsidRPr="00880065">
        <w:rPr>
          <w:rFonts w:ascii="Times New Roman" w:hAnsi="Times New Roman"/>
          <w:szCs w:val="24"/>
          <w:lang w:val="en-GB"/>
        </w:rPr>
        <w:t xml:space="preserve"> circ</w:t>
      </w:r>
      <w:r w:rsidRPr="00880065">
        <w:rPr>
          <w:lang w:val="en-GB"/>
        </w:rPr>
        <w:t>um</w:t>
      </w:r>
      <w:r w:rsidRPr="00880065">
        <w:rPr>
          <w:rFonts w:ascii="Times New Roman" w:hAnsi="Times New Roman"/>
          <w:szCs w:val="24"/>
          <w:lang w:val="en-GB"/>
        </w:rPr>
        <w:t xml:space="preserve">stances of the case, the applicants </w:t>
      </w:r>
      <w:r w:rsidR="00C07AF9" w:rsidRPr="00880065">
        <w:rPr>
          <w:rFonts w:ascii="Times New Roman" w:hAnsi="Times New Roman"/>
          <w:szCs w:val="24"/>
          <w:lang w:val="en-GB"/>
        </w:rPr>
        <w:t>may</w:t>
      </w:r>
      <w:r w:rsidRPr="00880065">
        <w:rPr>
          <w:rFonts w:ascii="Times New Roman" w:hAnsi="Times New Roman"/>
          <w:szCs w:val="24"/>
          <w:lang w:val="en-GB"/>
        </w:rPr>
        <w:t xml:space="preserve"> legitimately claim that the </w:t>
      </w:r>
      <w:r w:rsidR="001F4DF8" w:rsidRPr="00880065">
        <w:rPr>
          <w:rFonts w:ascii="Times New Roman" w:hAnsi="Times New Roman"/>
          <w:szCs w:val="24"/>
          <w:lang w:val="en-GB"/>
        </w:rPr>
        <w:t>decision to block access to YouTube</w:t>
      </w:r>
      <w:r w:rsidRPr="00880065">
        <w:rPr>
          <w:rFonts w:ascii="Times New Roman" w:hAnsi="Times New Roman"/>
          <w:szCs w:val="24"/>
          <w:lang w:val="en-GB"/>
        </w:rPr>
        <w:t xml:space="preserve"> affected their </w:t>
      </w:r>
      <w:r w:rsidRPr="00880065">
        <w:rPr>
          <w:lang w:val="en-GB"/>
        </w:rPr>
        <w:t xml:space="preserve">right to receive and impart information </w:t>
      </w:r>
      <w:r w:rsidR="003255A4" w:rsidRPr="00880065">
        <w:rPr>
          <w:lang w:val="en-GB"/>
        </w:rPr>
        <w:t>and</w:t>
      </w:r>
      <w:r w:rsidRPr="00880065">
        <w:rPr>
          <w:lang w:val="en-GB"/>
        </w:rPr>
        <w:t xml:space="preserve"> idea</w:t>
      </w:r>
      <w:r w:rsidR="001F4DF8" w:rsidRPr="00880065">
        <w:rPr>
          <w:lang w:val="en-GB"/>
        </w:rPr>
        <w:t>s</w:t>
      </w:r>
      <w:r w:rsidRPr="00880065">
        <w:rPr>
          <w:rFonts w:ascii="Times New Roman" w:hAnsi="Times New Roman"/>
          <w:szCs w:val="24"/>
          <w:lang w:val="en-GB"/>
        </w:rPr>
        <w:t xml:space="preserve"> even though they were not directly targeted by it. </w:t>
      </w:r>
      <w:r w:rsidRPr="00880065">
        <w:rPr>
          <w:lang w:val="en-GB"/>
        </w:rPr>
        <w:t>It therefore dismisses the Government</w:t>
      </w:r>
      <w:r w:rsidR="00880065" w:rsidRPr="00880065">
        <w:rPr>
          <w:lang w:val="en-GB"/>
        </w:rPr>
        <w:t>’</w:t>
      </w:r>
      <w:r w:rsidRPr="00880065">
        <w:rPr>
          <w:lang w:val="en-GB"/>
        </w:rPr>
        <w:t>s preliminary objection as to victim status.</w:t>
      </w:r>
    </w:p>
    <w:p w:rsidR="008529B4" w:rsidRPr="00880065" w:rsidRDefault="008529B4"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56</w:t>
      </w:r>
      <w:r w:rsidRPr="00880065">
        <w:rPr>
          <w:lang w:val="en-GB"/>
        </w:rPr>
        <w:fldChar w:fldCharType="end"/>
      </w:r>
      <w:r w:rsidRPr="00880065">
        <w:rPr>
          <w:lang w:val="en-GB"/>
        </w:rPr>
        <w:t xml:space="preserve">.  Moreover, the Court reiterates that Article 10 of the Convention guarantees “everyone” the freedom to receive </w:t>
      </w:r>
      <w:r w:rsidR="003255A4" w:rsidRPr="00880065">
        <w:rPr>
          <w:lang w:val="en-GB"/>
        </w:rPr>
        <w:t>and</w:t>
      </w:r>
      <w:r w:rsidRPr="00880065">
        <w:rPr>
          <w:lang w:val="en-GB"/>
        </w:rPr>
        <w:t xml:space="preserve"> impart information and ideas and that no distinction is made according to the nature of the aim pursued or the role played by natural or legal persons in the exercise of that freedom. Article 10 applies not only to the content of information but also to the means of dissemination, since any restriction imposed on </w:t>
      </w:r>
      <w:r w:rsidR="001F4DF8" w:rsidRPr="00880065">
        <w:rPr>
          <w:lang w:val="en-GB"/>
        </w:rPr>
        <w:t>such means</w:t>
      </w:r>
      <w:r w:rsidRPr="00880065">
        <w:rPr>
          <w:lang w:val="en-GB"/>
        </w:rPr>
        <w:t xml:space="preserve"> necessarily interferes with the right to receive and impart information. Likewise, the Court reaffirms that Article 10 guarantees not only the right to impart information but also the right of the public to receive it (see </w:t>
      </w:r>
      <w:r w:rsidRPr="00880065">
        <w:rPr>
          <w:i/>
          <w:lang w:val="en-GB"/>
        </w:rPr>
        <w:t>Ahmet Yıldırım</w:t>
      </w:r>
      <w:r w:rsidRPr="00880065">
        <w:rPr>
          <w:lang w:val="en-GB"/>
        </w:rPr>
        <w:t>, cited above, § 50).</w:t>
      </w:r>
    </w:p>
    <w:p w:rsidR="008529B4" w:rsidRPr="00880065" w:rsidRDefault="008529B4"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57</w:t>
      </w:r>
      <w:r w:rsidRPr="00880065">
        <w:rPr>
          <w:lang w:val="en-GB"/>
        </w:rPr>
        <w:fldChar w:fldCharType="end"/>
      </w:r>
      <w:r w:rsidRPr="00880065">
        <w:rPr>
          <w:lang w:val="en-GB"/>
        </w:rPr>
        <w:t xml:space="preserve">.  In the </w:t>
      </w:r>
      <w:r w:rsidR="003F5D20" w:rsidRPr="00880065">
        <w:rPr>
          <w:lang w:val="en-GB"/>
        </w:rPr>
        <w:t>present</w:t>
      </w:r>
      <w:r w:rsidRPr="00880065">
        <w:rPr>
          <w:lang w:val="en-GB"/>
        </w:rPr>
        <w:t xml:space="preserve"> case the evidence </w:t>
      </w:r>
      <w:r w:rsidR="003F5D20" w:rsidRPr="00880065">
        <w:rPr>
          <w:lang w:val="en-GB"/>
        </w:rPr>
        <w:t>before the Court</w:t>
      </w:r>
      <w:r w:rsidRPr="00880065">
        <w:rPr>
          <w:lang w:val="en-GB"/>
        </w:rPr>
        <w:t xml:space="preserve"> indicates that as a result of a measure ordered by the Crimin</w:t>
      </w:r>
      <w:r w:rsidR="003F5D20" w:rsidRPr="00880065">
        <w:rPr>
          <w:lang w:val="en-GB"/>
        </w:rPr>
        <w:t>al Court of First Instance on 5 </w:t>
      </w:r>
      <w:r w:rsidRPr="00880065">
        <w:rPr>
          <w:lang w:val="en-GB"/>
        </w:rPr>
        <w:t xml:space="preserve">May 2008, the applicants </w:t>
      </w:r>
      <w:r w:rsidR="003F5D20" w:rsidRPr="00880065">
        <w:rPr>
          <w:lang w:val="en-GB"/>
        </w:rPr>
        <w:t xml:space="preserve">had no access to </w:t>
      </w:r>
      <w:r w:rsidRPr="00880065">
        <w:rPr>
          <w:lang w:val="en-GB"/>
        </w:rPr>
        <w:t>YouTube</w:t>
      </w:r>
      <w:r w:rsidR="003F5D20" w:rsidRPr="00880065">
        <w:rPr>
          <w:lang w:val="en-GB"/>
        </w:rPr>
        <w:t xml:space="preserve"> for a lengthy period</w:t>
      </w:r>
      <w:r w:rsidRPr="00880065">
        <w:rPr>
          <w:lang w:val="en-GB"/>
        </w:rPr>
        <w:t xml:space="preserve">. As active YouTube users, they can therefore legitimately claim that the measure in question affected their right to receive and impart information and ideas. The Court considers that, whatever its legal basis, such a measure was bound to have an influence on the accessibility of the Internet and, accordingly, engaged the responsibility of the respondent State under Article 10 (ibid., § 53). </w:t>
      </w:r>
      <w:r w:rsidR="008B03B5" w:rsidRPr="00880065">
        <w:rPr>
          <w:lang w:val="en-GB"/>
        </w:rPr>
        <w:t>T</w:t>
      </w:r>
      <w:r w:rsidRPr="00880065">
        <w:rPr>
          <w:lang w:val="en-GB"/>
        </w:rPr>
        <w:t xml:space="preserve">he measure in question </w:t>
      </w:r>
      <w:r w:rsidR="008B03B5" w:rsidRPr="00880065">
        <w:rPr>
          <w:lang w:val="en-GB"/>
        </w:rPr>
        <w:t xml:space="preserve">therefore </w:t>
      </w:r>
      <w:r w:rsidRPr="00880065">
        <w:rPr>
          <w:lang w:val="en-GB"/>
        </w:rPr>
        <w:t>amounted to “interference by public authority” with the exercise of the rights guaranteed by Article 10.</w:t>
      </w:r>
    </w:p>
    <w:p w:rsidR="002878EC" w:rsidRPr="00880065" w:rsidRDefault="008529B4"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58</w:t>
      </w:r>
      <w:r w:rsidRPr="00880065">
        <w:rPr>
          <w:lang w:val="en-GB"/>
        </w:rPr>
        <w:fldChar w:fldCharType="end"/>
      </w:r>
      <w:r w:rsidRPr="00880065">
        <w:rPr>
          <w:lang w:val="en-GB"/>
        </w:rPr>
        <w:t xml:space="preserve">.  The Court </w:t>
      </w:r>
      <w:r w:rsidR="008B03B5" w:rsidRPr="00880065">
        <w:rPr>
          <w:lang w:val="en-GB"/>
        </w:rPr>
        <w:t>reiterates</w:t>
      </w:r>
      <w:r w:rsidRPr="00880065">
        <w:rPr>
          <w:lang w:val="en-GB"/>
        </w:rPr>
        <w:t xml:space="preserve"> that such interference will constitute a breach of Article 10 unless it is “prescribed by law”, pursues one or more of the legitimate aims referred to in Article 10 § 2 and is “necessary in a democratic society” to achieve those aims. That is what it will seek to ascertain below</w:t>
      </w:r>
      <w:bookmarkStart w:id="146" w:name="lt_pId339"/>
      <w:bookmarkEnd w:id="145"/>
      <w:r w:rsidR="002878EC" w:rsidRPr="00880065">
        <w:rPr>
          <w:lang w:val="en-GB"/>
        </w:rPr>
        <w:t>.</w:t>
      </w:r>
      <w:bookmarkEnd w:id="146"/>
    </w:p>
    <w:p w:rsidR="002878EC" w:rsidRPr="00880065" w:rsidRDefault="002878EC" w:rsidP="00880065">
      <w:pPr>
        <w:pStyle w:val="ECHRHeading4"/>
        <w:rPr>
          <w:lang w:val="en-GB"/>
        </w:rPr>
      </w:pPr>
      <w:bookmarkStart w:id="147" w:name="lt_pId340"/>
      <w:r w:rsidRPr="00880065">
        <w:rPr>
          <w:lang w:val="en-GB"/>
        </w:rPr>
        <w:lastRenderedPageBreak/>
        <w:t>(b)</w:t>
      </w:r>
      <w:r w:rsidR="004F542A" w:rsidRPr="00880065">
        <w:rPr>
          <w:lang w:val="en-GB"/>
        </w:rPr>
        <w:t>  </w:t>
      </w:r>
      <w:r w:rsidRPr="00880065">
        <w:rPr>
          <w:lang w:val="en-GB"/>
        </w:rPr>
        <w:t>Whether the interference was justified</w:t>
      </w:r>
      <w:bookmarkEnd w:id="147"/>
    </w:p>
    <w:p w:rsidR="00CE6915"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59</w:t>
      </w:r>
      <w:r w:rsidRPr="00880065">
        <w:rPr>
          <w:lang w:val="en-GB"/>
        </w:rPr>
        <w:fldChar w:fldCharType="end"/>
      </w:r>
      <w:r w:rsidRPr="00880065">
        <w:rPr>
          <w:lang w:val="en-GB"/>
        </w:rPr>
        <w:t>.  </w:t>
      </w:r>
      <w:bookmarkStart w:id="148" w:name="lt_pId342"/>
      <w:r w:rsidRPr="00880065">
        <w:rPr>
          <w:lang w:val="en-GB"/>
        </w:rPr>
        <w:t xml:space="preserve">The </w:t>
      </w:r>
      <w:r w:rsidR="00CE6915" w:rsidRPr="00880065">
        <w:rPr>
          <w:lang w:val="en-GB"/>
        </w:rPr>
        <w:t xml:space="preserve">Court reiterates firstly that the expression “prescribed by law” in the second paragraph of Article 10 not only requires that the impugned measure should have a legal basis in domestic law, but also refers to the quality of the law in question, which should be accessible to the person concerned, foreseeable as to its effects and compatible with the rule of law (see, among many other authorities, </w:t>
      </w:r>
      <w:r w:rsidR="00CE6915" w:rsidRPr="00880065">
        <w:rPr>
          <w:i/>
          <w:lang w:val="en-GB"/>
        </w:rPr>
        <w:t>Dink</w:t>
      </w:r>
      <w:r w:rsidR="00CE6915" w:rsidRPr="00880065">
        <w:rPr>
          <w:lang w:val="en-GB"/>
        </w:rPr>
        <w:t>, cited above, § 114). According to the Court</w:t>
      </w:r>
      <w:r w:rsidR="00880065" w:rsidRPr="00880065">
        <w:rPr>
          <w:lang w:val="en-GB"/>
        </w:rPr>
        <w:t>’</w:t>
      </w:r>
      <w:r w:rsidR="00CE6915" w:rsidRPr="00880065">
        <w:rPr>
          <w:lang w:val="en-GB"/>
        </w:rPr>
        <w:t xml:space="preserve">s settled case-law, a rule is “foreseeable” if it is formulated with sufficient precision to enable any individual – if need be with appropriate advice – to regulate his conduct (see, among many other authorities, </w:t>
      </w:r>
      <w:r w:rsidR="00CE6915" w:rsidRPr="00880065">
        <w:rPr>
          <w:i/>
          <w:lang w:val="en-GB"/>
        </w:rPr>
        <w:t>RTBF v. Belgium</w:t>
      </w:r>
      <w:r w:rsidR="00CE6915" w:rsidRPr="00880065">
        <w:rPr>
          <w:lang w:val="en-GB"/>
        </w:rPr>
        <w:t xml:space="preserve">, no. 50084/06, § 103, ECHR 2011, and </w:t>
      </w:r>
      <w:r w:rsidR="00CE6915" w:rsidRPr="00880065">
        <w:rPr>
          <w:i/>
          <w:lang w:val="en-GB"/>
        </w:rPr>
        <w:t>Akçam v. Turkey</w:t>
      </w:r>
      <w:r w:rsidR="005A2B38" w:rsidRPr="00880065">
        <w:rPr>
          <w:lang w:val="en-GB"/>
        </w:rPr>
        <w:t>, no. </w:t>
      </w:r>
      <w:r w:rsidR="00CE6915" w:rsidRPr="00880065">
        <w:rPr>
          <w:lang w:val="en-GB"/>
        </w:rPr>
        <w:t>32964/96, § 87, 30 October 2001).</w:t>
      </w:r>
    </w:p>
    <w:p w:rsidR="00CE6915" w:rsidRPr="00880065" w:rsidRDefault="00CE6915"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60</w:t>
      </w:r>
      <w:r w:rsidRPr="00880065">
        <w:rPr>
          <w:lang w:val="en-GB"/>
        </w:rPr>
        <w:fldChar w:fldCharType="end"/>
      </w:r>
      <w:r w:rsidRPr="00880065">
        <w:rPr>
          <w:lang w:val="en-GB"/>
        </w:rPr>
        <w:t xml:space="preserve">.  In the instant case the Court observes that the blocking of access to </w:t>
      </w:r>
      <w:r w:rsidR="00A86159" w:rsidRPr="00880065">
        <w:rPr>
          <w:lang w:val="en-GB"/>
        </w:rPr>
        <w:t>a</w:t>
      </w:r>
      <w:r w:rsidRPr="00880065">
        <w:rPr>
          <w:lang w:val="en-GB"/>
        </w:rPr>
        <w:t xml:space="preserve"> website </w:t>
      </w:r>
      <w:r w:rsidR="00A86159" w:rsidRPr="00880065">
        <w:rPr>
          <w:lang w:val="en-GB"/>
        </w:rPr>
        <w:t xml:space="preserve">forming the subject of judicial proceedings </w:t>
      </w:r>
      <w:r w:rsidRPr="00880065">
        <w:rPr>
          <w:lang w:val="en-GB"/>
        </w:rPr>
        <w:t>had a basis</w:t>
      </w:r>
      <w:r w:rsidR="00A86159" w:rsidRPr="00880065">
        <w:rPr>
          <w:lang w:val="en-GB"/>
        </w:rPr>
        <w:t xml:space="preserve"> in law</w:t>
      </w:r>
      <w:r w:rsidRPr="00880065">
        <w:rPr>
          <w:lang w:val="en-GB"/>
        </w:rPr>
        <w:t xml:space="preserve">, namely section 8(1) of Law no. 5651. As to whether section 8(1) also satisfied the requirements of accessibility and foreseeability, the applicants submitted that this question should be answered in the negative, </w:t>
      </w:r>
      <w:r w:rsidR="00752110" w:rsidRPr="00880065">
        <w:rPr>
          <w:lang w:val="en-GB"/>
        </w:rPr>
        <w:t>since</w:t>
      </w:r>
      <w:r w:rsidRPr="00880065">
        <w:rPr>
          <w:lang w:val="en-GB"/>
        </w:rPr>
        <w:t xml:space="preserve"> the provision in question was too uncertain.</w:t>
      </w:r>
    </w:p>
    <w:p w:rsidR="00CE6915" w:rsidRPr="00880065" w:rsidRDefault="00CE6915"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61</w:t>
      </w:r>
      <w:r w:rsidRPr="00880065">
        <w:rPr>
          <w:lang w:val="en-GB"/>
        </w:rPr>
        <w:fldChar w:fldCharType="end"/>
      </w:r>
      <w:r w:rsidRPr="00880065">
        <w:rPr>
          <w:lang w:val="en-GB"/>
        </w:rPr>
        <w:t xml:space="preserve">.  The Court observes that in </w:t>
      </w:r>
      <w:r w:rsidRPr="00880065">
        <w:rPr>
          <w:i/>
          <w:lang w:val="en-GB"/>
        </w:rPr>
        <w:t>Ahmet Yıldırım</w:t>
      </w:r>
      <w:r w:rsidRPr="00880065">
        <w:rPr>
          <w:lang w:val="en-GB"/>
        </w:rPr>
        <w:t xml:space="preserve"> (cited above, §§ 61-62) it examined whether the interference had been “prescribed by law” and answered this question in the negative. In particular, it noted that Law no. 5651 did not allow the blocking of access to an entire website on the basis of the content of a single page hosted by it. Under section 8(1) of Law no. 5651, only the blocking of access to a specific publication could be ordered, </w:t>
      </w:r>
      <w:r w:rsidR="007D0647" w:rsidRPr="00880065">
        <w:rPr>
          <w:lang w:val="en-GB"/>
        </w:rPr>
        <w:t>provided that</w:t>
      </w:r>
      <w:r w:rsidRPr="00880065">
        <w:rPr>
          <w:lang w:val="en-GB"/>
        </w:rPr>
        <w:t xml:space="preserve"> there were sufficient grounds to suspect that its content was such as to amount to </w:t>
      </w:r>
      <w:r w:rsidR="007D0647" w:rsidRPr="00880065">
        <w:rPr>
          <w:lang w:val="en-GB"/>
        </w:rPr>
        <w:t xml:space="preserve">any of </w:t>
      </w:r>
      <w:r w:rsidRPr="00880065">
        <w:rPr>
          <w:lang w:val="en-GB"/>
        </w:rPr>
        <w:t>the offences specified in the Law. Moreover, the Court</w:t>
      </w:r>
      <w:r w:rsidR="00880065" w:rsidRPr="00880065">
        <w:rPr>
          <w:lang w:val="en-GB"/>
        </w:rPr>
        <w:t>’</w:t>
      </w:r>
      <w:r w:rsidRPr="00880065">
        <w:rPr>
          <w:lang w:val="en-GB"/>
        </w:rPr>
        <w:t xml:space="preserve">s conclusion in that case was followed by the Constitutional Court in its two decisions adopted after the delivery of the </w:t>
      </w:r>
      <w:r w:rsidRPr="00880065">
        <w:rPr>
          <w:i/>
          <w:lang w:val="en-GB"/>
        </w:rPr>
        <w:t>Ahmet Yıldırım</w:t>
      </w:r>
      <w:r w:rsidRPr="00880065">
        <w:rPr>
          <w:lang w:val="en-GB"/>
        </w:rPr>
        <w:t xml:space="preserve"> judgment (see paragraphs 25-26 above).</w:t>
      </w:r>
    </w:p>
    <w:p w:rsidR="00CE6915" w:rsidRPr="00880065" w:rsidRDefault="00CE6915"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62</w:t>
      </w:r>
      <w:r w:rsidRPr="00880065">
        <w:rPr>
          <w:lang w:val="en-GB"/>
        </w:rPr>
        <w:fldChar w:fldCharType="end"/>
      </w:r>
      <w:r w:rsidR="00CB0760" w:rsidRPr="00880065">
        <w:rPr>
          <w:lang w:val="en-GB"/>
        </w:rPr>
        <w:t>.  In that</w:t>
      </w:r>
      <w:r w:rsidRPr="00880065">
        <w:rPr>
          <w:lang w:val="en-GB"/>
        </w:rPr>
        <w:t xml:space="preserve"> connection the Court found, in particular, that such prior restraints were not incompatible with the Convention as a matter of principle but had to form part of a legal framework ensuring both tight control over the scope of </w:t>
      </w:r>
      <w:r w:rsidR="00CB0760" w:rsidRPr="00880065">
        <w:rPr>
          <w:lang w:val="en-GB"/>
        </w:rPr>
        <w:t>the</w:t>
      </w:r>
      <w:r w:rsidRPr="00880065">
        <w:rPr>
          <w:lang w:val="en-GB"/>
        </w:rPr>
        <w:t xml:space="preserve"> ba</w:t>
      </w:r>
      <w:r w:rsidR="00CB0760" w:rsidRPr="00880065">
        <w:rPr>
          <w:lang w:val="en-GB"/>
        </w:rPr>
        <w:t>n</w:t>
      </w:r>
      <w:r w:rsidRPr="00880065">
        <w:rPr>
          <w:lang w:val="en-GB"/>
        </w:rPr>
        <w:t xml:space="preserve"> and effective judicial review to prevent </w:t>
      </w:r>
      <w:r w:rsidR="00CB0760" w:rsidRPr="00880065">
        <w:rPr>
          <w:lang w:val="en-GB"/>
        </w:rPr>
        <w:t>any</w:t>
      </w:r>
      <w:r w:rsidRPr="00880065">
        <w:rPr>
          <w:lang w:val="en-GB"/>
        </w:rPr>
        <w:t xml:space="preserve"> abuses (ibid., § 64). </w:t>
      </w:r>
      <w:r w:rsidR="00B826B5" w:rsidRPr="00880065">
        <w:rPr>
          <w:lang w:val="en-GB"/>
        </w:rPr>
        <w:t>J</w:t>
      </w:r>
      <w:r w:rsidRPr="00880065">
        <w:rPr>
          <w:lang w:val="en-GB"/>
        </w:rPr>
        <w:t xml:space="preserve">udicial </w:t>
      </w:r>
      <w:r w:rsidR="00B826B5" w:rsidRPr="00880065">
        <w:rPr>
          <w:lang w:val="en-GB"/>
        </w:rPr>
        <w:t>scrutiny</w:t>
      </w:r>
      <w:r w:rsidRPr="00880065">
        <w:rPr>
          <w:lang w:val="en-GB"/>
        </w:rPr>
        <w:t xml:space="preserve"> of such a measure, based on the weighing-up of the competing interests at stake and designed to strike a balance between them, is inconceivable without a framework establishing precise and specific rules regarding the application of preventive restrictions on the freedom to receive and impart information and ideas.</w:t>
      </w:r>
    </w:p>
    <w:p w:rsidR="00CE6915" w:rsidRPr="00880065" w:rsidRDefault="00CE6915"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63</w:t>
      </w:r>
      <w:r w:rsidRPr="00880065">
        <w:rPr>
          <w:lang w:val="en-GB"/>
        </w:rPr>
        <w:fldChar w:fldCharType="end"/>
      </w:r>
      <w:r w:rsidRPr="00880065">
        <w:rPr>
          <w:lang w:val="en-GB"/>
        </w:rPr>
        <w:t>.  It should be noted in the present case, however, that when the Ankara Criminal Court of First Instance decided to block all access to YouTube, there was no statutory provision empowering it to do so.</w:t>
      </w:r>
    </w:p>
    <w:p w:rsidR="00CE6915" w:rsidRPr="00880065" w:rsidRDefault="00CE6915"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64</w:t>
      </w:r>
      <w:r w:rsidRPr="00880065">
        <w:rPr>
          <w:lang w:val="en-GB"/>
        </w:rPr>
        <w:fldChar w:fldCharType="end"/>
      </w:r>
      <w:r w:rsidRPr="00880065">
        <w:rPr>
          <w:lang w:val="en-GB"/>
        </w:rPr>
        <w:t>.  Indeed, as is apparent from the Government</w:t>
      </w:r>
      <w:r w:rsidR="00880065" w:rsidRPr="00880065">
        <w:rPr>
          <w:lang w:val="en-GB"/>
        </w:rPr>
        <w:t>’</w:t>
      </w:r>
      <w:r w:rsidRPr="00880065">
        <w:rPr>
          <w:lang w:val="en-GB"/>
        </w:rPr>
        <w:t xml:space="preserve">s observations and the practice of the Turkish authorities, URL filtering technology for </w:t>
      </w:r>
      <w:r w:rsidR="00760ADB" w:rsidRPr="00880065">
        <w:rPr>
          <w:lang w:val="en-GB"/>
        </w:rPr>
        <w:t xml:space="preserve">foreign-based </w:t>
      </w:r>
      <w:r w:rsidRPr="00880065">
        <w:rPr>
          <w:lang w:val="en-GB"/>
        </w:rPr>
        <w:t xml:space="preserve">websites </w:t>
      </w:r>
      <w:r w:rsidR="00C07AF9" w:rsidRPr="00880065">
        <w:rPr>
          <w:lang w:val="en-GB"/>
        </w:rPr>
        <w:t>is</w:t>
      </w:r>
      <w:r w:rsidRPr="00880065">
        <w:rPr>
          <w:lang w:val="en-GB"/>
        </w:rPr>
        <w:t xml:space="preserve"> not available in Turkey. </w:t>
      </w:r>
      <w:r w:rsidR="00DC420E" w:rsidRPr="00880065">
        <w:rPr>
          <w:lang w:val="en-GB"/>
        </w:rPr>
        <w:t>I</w:t>
      </w:r>
      <w:r w:rsidRPr="00880065">
        <w:rPr>
          <w:lang w:val="en-GB"/>
        </w:rPr>
        <w:t xml:space="preserve">n practice, </w:t>
      </w:r>
      <w:r w:rsidR="00DC420E" w:rsidRPr="00880065">
        <w:rPr>
          <w:lang w:val="en-GB"/>
        </w:rPr>
        <w:t>therefore,</w:t>
      </w:r>
      <w:r w:rsidRPr="00880065">
        <w:rPr>
          <w:lang w:val="en-GB"/>
        </w:rPr>
        <w:t xml:space="preserve"> to </w:t>
      </w:r>
      <w:r w:rsidRPr="00880065">
        <w:rPr>
          <w:lang w:val="en-GB"/>
        </w:rPr>
        <w:lastRenderedPageBreak/>
        <w:t>implement court decisions concerning specific conte</w:t>
      </w:r>
      <w:r w:rsidR="00C07AF9" w:rsidRPr="00880065">
        <w:rPr>
          <w:lang w:val="en-GB"/>
        </w:rPr>
        <w:t>nt, an administrative authority –</w:t>
      </w:r>
      <w:r w:rsidRPr="00880065">
        <w:rPr>
          <w:lang w:val="en-GB"/>
        </w:rPr>
        <w:t xml:space="preserve"> the TİB</w:t>
      </w:r>
      <w:r w:rsidR="00C07AF9" w:rsidRPr="00880065">
        <w:rPr>
          <w:lang w:val="en-GB"/>
        </w:rPr>
        <w:t xml:space="preserve"> –</w:t>
      </w:r>
      <w:r w:rsidRPr="00880065">
        <w:rPr>
          <w:lang w:val="en-GB"/>
        </w:rPr>
        <w:t xml:space="preserve"> decided to block all access to the entire website in question. As the Court has already held in </w:t>
      </w:r>
      <w:r w:rsidRPr="00880065">
        <w:rPr>
          <w:i/>
          <w:lang w:val="en-GB"/>
        </w:rPr>
        <w:t>Ahmet Yıldırım</w:t>
      </w:r>
      <w:r w:rsidRPr="00880065">
        <w:rPr>
          <w:lang w:val="en-GB"/>
        </w:rPr>
        <w:t xml:space="preserve"> </w:t>
      </w:r>
      <w:r w:rsidR="003334E1" w:rsidRPr="00880065">
        <w:rPr>
          <w:lang w:val="en-GB"/>
        </w:rPr>
        <w:t>(cited above, § </w:t>
      </w:r>
      <w:r w:rsidRPr="00880065">
        <w:rPr>
          <w:lang w:val="en-GB"/>
        </w:rPr>
        <w:t xml:space="preserve">66), the authorities should have taken into consideration, among other aspects, the fact that such a measure, by rendering large quantities of information inaccessible, was bound to substantially restrict the rights of Internet users and </w:t>
      </w:r>
      <w:r w:rsidR="0029638D" w:rsidRPr="00880065">
        <w:rPr>
          <w:lang w:val="en-GB"/>
        </w:rPr>
        <w:t xml:space="preserve">to </w:t>
      </w:r>
      <w:r w:rsidRPr="00880065">
        <w:rPr>
          <w:lang w:val="en-GB"/>
        </w:rPr>
        <w:t>have a significant collateral effect</w:t>
      </w:r>
      <w:r w:rsidRPr="00880065">
        <w:rPr>
          <w:color w:val="000000"/>
          <w:lang w:val="en-GB"/>
        </w:rPr>
        <w:t>.</w:t>
      </w:r>
    </w:p>
    <w:p w:rsidR="00CE6915" w:rsidRPr="00880065" w:rsidRDefault="00CE6915" w:rsidP="00880065">
      <w:pPr>
        <w:pStyle w:val="ECHRPara"/>
        <w:rPr>
          <w:szCs w:val="24"/>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65</w:t>
      </w:r>
      <w:r w:rsidRPr="00880065">
        <w:rPr>
          <w:lang w:val="en-GB"/>
        </w:rPr>
        <w:fldChar w:fldCharType="end"/>
      </w:r>
      <w:r w:rsidRPr="00880065">
        <w:rPr>
          <w:lang w:val="en-GB"/>
        </w:rPr>
        <w:t>.  In the light of these considerations and of its examination of the legislation in question as applied in the instant case, the Court concludes that the interference resulting from the appl</w:t>
      </w:r>
      <w:r w:rsidR="00A95935" w:rsidRPr="00880065">
        <w:rPr>
          <w:lang w:val="en-GB"/>
        </w:rPr>
        <w:t>ication of section 8 of Law no. </w:t>
      </w:r>
      <w:r w:rsidRPr="00880065">
        <w:rPr>
          <w:lang w:val="en-GB"/>
        </w:rPr>
        <w:t xml:space="preserve">5651 did not satisfy the requirement </w:t>
      </w:r>
      <w:r w:rsidR="00714D9B" w:rsidRPr="00880065">
        <w:rPr>
          <w:lang w:val="en-GB"/>
        </w:rPr>
        <w:t xml:space="preserve">of lawfulness </w:t>
      </w:r>
      <w:r w:rsidRPr="00880065">
        <w:rPr>
          <w:lang w:val="en-GB"/>
        </w:rPr>
        <w:t>under the Convention and did not afford the applicants the degree of protection to which they were entitled by the rule of law in a democratic society. Furthermore, the provision in question appears to conflict with the actual wording of paragraph 1 of Article 10 of the Convention, according to which the rights set forth in that Article are secured “regardless of frontiers” (ibid., § 67).</w:t>
      </w:r>
    </w:p>
    <w:p w:rsidR="00CE6915" w:rsidRPr="00880065" w:rsidRDefault="00CE6915"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66</w:t>
      </w:r>
      <w:r w:rsidRPr="00880065">
        <w:rPr>
          <w:lang w:val="en-GB"/>
        </w:rPr>
        <w:fldChar w:fldCharType="end"/>
      </w:r>
      <w:r w:rsidRPr="00880065">
        <w:rPr>
          <w:lang w:val="en-GB"/>
        </w:rPr>
        <w:t>.  There has therefore been a violation of Article 10 of the Convention.</w:t>
      </w:r>
    </w:p>
    <w:p w:rsidR="002878EC" w:rsidRPr="00880065" w:rsidRDefault="00CE6915"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67</w:t>
      </w:r>
      <w:r w:rsidRPr="00880065">
        <w:rPr>
          <w:lang w:val="en-GB"/>
        </w:rPr>
        <w:fldChar w:fldCharType="end"/>
      </w:r>
      <w:r w:rsidRPr="00880065">
        <w:rPr>
          <w:lang w:val="en-GB"/>
        </w:rPr>
        <w:t>.  In view of that conclusion, the Court does not consider it necessary in the instant case to examine whether the other requirements of paragraph 2 of Article 10 of the Convention have been met.</w:t>
      </w:r>
      <w:bookmarkEnd w:id="148"/>
    </w:p>
    <w:p w:rsidR="002878EC" w:rsidRPr="00880065" w:rsidRDefault="002878EC" w:rsidP="00880065">
      <w:pPr>
        <w:pStyle w:val="ECHRHeading1"/>
        <w:rPr>
          <w:lang w:val="en-GB"/>
        </w:rPr>
      </w:pPr>
      <w:bookmarkStart w:id="149" w:name="lt_pId369"/>
      <w:r w:rsidRPr="00880065">
        <w:rPr>
          <w:lang w:val="en-GB"/>
        </w:rPr>
        <w:t>III.</w:t>
      </w:r>
      <w:bookmarkEnd w:id="149"/>
      <w:r w:rsidRPr="00880065">
        <w:rPr>
          <w:lang w:val="en-GB"/>
        </w:rPr>
        <w:t>  </w:t>
      </w:r>
      <w:bookmarkStart w:id="150" w:name="lt_pId370"/>
      <w:r w:rsidRPr="00880065">
        <w:rPr>
          <w:lang w:val="en-GB"/>
        </w:rPr>
        <w:t xml:space="preserve">ALLEGED VIOLATION OF </w:t>
      </w:r>
      <w:r w:rsidR="00FE6A66" w:rsidRPr="00880065">
        <w:rPr>
          <w:lang w:val="en-GB"/>
        </w:rPr>
        <w:t>ARTICLE 6</w:t>
      </w:r>
      <w:r w:rsidRPr="00880065">
        <w:rPr>
          <w:lang w:val="en-GB"/>
        </w:rPr>
        <w:t xml:space="preserve"> OF THE CONVENTION</w:t>
      </w:r>
      <w:bookmarkEnd w:id="150"/>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68</w:t>
      </w:r>
      <w:r w:rsidRPr="00880065">
        <w:rPr>
          <w:lang w:val="en-GB"/>
        </w:rPr>
        <w:fldChar w:fldCharType="end"/>
      </w:r>
      <w:r w:rsidRPr="00880065">
        <w:rPr>
          <w:lang w:val="en-GB"/>
        </w:rPr>
        <w:t>.  </w:t>
      </w:r>
      <w:bookmarkStart w:id="151" w:name="lt_pId372"/>
      <w:r w:rsidRPr="00880065">
        <w:rPr>
          <w:lang w:val="en-GB"/>
        </w:rPr>
        <w:t xml:space="preserve">Relying on </w:t>
      </w:r>
      <w:r w:rsidR="00FE6A66" w:rsidRPr="00880065">
        <w:rPr>
          <w:lang w:val="en-GB"/>
        </w:rPr>
        <w:t>Article 6</w:t>
      </w:r>
      <w:r w:rsidRPr="00880065">
        <w:rPr>
          <w:lang w:val="en-GB"/>
        </w:rPr>
        <w:t xml:space="preserve"> of the Convention, Mr Cengiz complained that he had not had an effective remedy enabling him to have the impugned measure reviewed by the courts and </w:t>
      </w:r>
      <w:r w:rsidR="008D60EB" w:rsidRPr="00880065">
        <w:rPr>
          <w:lang w:val="en-GB"/>
        </w:rPr>
        <w:t xml:space="preserve">to </w:t>
      </w:r>
      <w:r w:rsidRPr="00880065">
        <w:rPr>
          <w:lang w:val="en-GB"/>
        </w:rPr>
        <w:t>have possible abuse by the authorities censured.</w:t>
      </w:r>
      <w:bookmarkEnd w:id="151"/>
    </w:p>
    <w:p w:rsidR="002878EC"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69</w:t>
      </w:r>
      <w:r w:rsidRPr="00880065">
        <w:rPr>
          <w:lang w:val="en-GB"/>
        </w:rPr>
        <w:fldChar w:fldCharType="end"/>
      </w:r>
      <w:r w:rsidRPr="00880065">
        <w:rPr>
          <w:lang w:val="en-GB"/>
        </w:rPr>
        <w:t>.  </w:t>
      </w:r>
      <w:bookmarkStart w:id="152" w:name="lt_pId374"/>
      <w:r w:rsidRPr="00880065">
        <w:rPr>
          <w:lang w:val="en-GB"/>
        </w:rPr>
        <w:t xml:space="preserve">In view of its finding of a violation under </w:t>
      </w:r>
      <w:r w:rsidR="00FE6A66" w:rsidRPr="00880065">
        <w:rPr>
          <w:lang w:val="en-GB"/>
        </w:rPr>
        <w:t>Article 1</w:t>
      </w:r>
      <w:r w:rsidRPr="00880065">
        <w:rPr>
          <w:lang w:val="en-GB"/>
        </w:rPr>
        <w:t xml:space="preserve">0 of </w:t>
      </w:r>
      <w:r w:rsidR="00A95935" w:rsidRPr="00880065">
        <w:rPr>
          <w:lang w:val="en-GB"/>
        </w:rPr>
        <w:t>the Convention (see paragraph 66</w:t>
      </w:r>
      <w:r w:rsidRPr="00880065">
        <w:rPr>
          <w:lang w:val="en-GB"/>
        </w:rPr>
        <w:t xml:space="preserve"> above), the Court considers that it has examined the main legal questions raised in the present case.</w:t>
      </w:r>
      <w:bookmarkEnd w:id="152"/>
      <w:r w:rsidRPr="00880065">
        <w:rPr>
          <w:lang w:val="en-GB"/>
        </w:rPr>
        <w:t xml:space="preserve"> </w:t>
      </w:r>
      <w:bookmarkStart w:id="153" w:name="lt_pId375"/>
      <w:r w:rsidRPr="00880065">
        <w:rPr>
          <w:lang w:val="en-GB"/>
        </w:rPr>
        <w:t xml:space="preserve">In the light of all the facts of the case, it deems it unnecessary to rule separately on either the admissibility or the merits of the complaint under </w:t>
      </w:r>
      <w:r w:rsidR="00FE6A66" w:rsidRPr="00880065">
        <w:rPr>
          <w:lang w:val="en-GB"/>
        </w:rPr>
        <w:t>Article 6</w:t>
      </w:r>
      <w:r w:rsidRPr="00880065">
        <w:rPr>
          <w:lang w:val="en-GB"/>
        </w:rPr>
        <w:t xml:space="preserve"> of the Convention (see, to similar effect, </w:t>
      </w:r>
      <w:r w:rsidRPr="00880065">
        <w:rPr>
          <w:i/>
          <w:lang w:val="en-GB"/>
        </w:rPr>
        <w:t>Ahmet Yıldırım</w:t>
      </w:r>
      <w:r w:rsidRPr="00880065">
        <w:rPr>
          <w:lang w:val="en-GB"/>
        </w:rPr>
        <w:t>, cited above, § 72).</w:t>
      </w:r>
      <w:bookmarkEnd w:id="153"/>
    </w:p>
    <w:p w:rsidR="002878EC" w:rsidRPr="00880065" w:rsidRDefault="002878EC" w:rsidP="00880065">
      <w:pPr>
        <w:pStyle w:val="ECHRHeading1"/>
        <w:rPr>
          <w:lang w:val="en-GB"/>
        </w:rPr>
      </w:pPr>
      <w:bookmarkStart w:id="154" w:name="lt_pId376"/>
      <w:r w:rsidRPr="00880065">
        <w:rPr>
          <w:lang w:val="en-GB"/>
        </w:rPr>
        <w:t>IV.</w:t>
      </w:r>
      <w:bookmarkEnd w:id="154"/>
      <w:r w:rsidRPr="00880065">
        <w:rPr>
          <w:lang w:val="en-GB"/>
        </w:rPr>
        <w:t>  </w:t>
      </w:r>
      <w:bookmarkStart w:id="155" w:name="lt_pId377"/>
      <w:r w:rsidRPr="00880065">
        <w:rPr>
          <w:lang w:val="en-GB"/>
        </w:rPr>
        <w:t>APPLICATION OF ARTICLES 41 AND 46 OF THE CONVENTION</w:t>
      </w:r>
      <w:bookmarkEnd w:id="155"/>
    </w:p>
    <w:p w:rsidR="00E44F02" w:rsidRPr="00880065" w:rsidRDefault="002878EC"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70</w:t>
      </w:r>
      <w:r w:rsidRPr="00880065">
        <w:rPr>
          <w:lang w:val="en-GB"/>
        </w:rPr>
        <w:fldChar w:fldCharType="end"/>
      </w:r>
      <w:r w:rsidRPr="00880065">
        <w:rPr>
          <w:lang w:val="en-GB"/>
        </w:rPr>
        <w:t>.  </w:t>
      </w:r>
      <w:bookmarkStart w:id="156" w:name="lt_pId379"/>
      <w:r w:rsidR="00E44F02" w:rsidRPr="00880065">
        <w:rPr>
          <w:lang w:val="en-GB"/>
        </w:rPr>
        <w:t xml:space="preserve">In their application form Mr Akdeniz and Mr Altıparmak each claimed 1,000 euros (EUR) in respect of non-pecuniary damage and the same amount in respect of costs and expenses. Mr Cengiz, </w:t>
      </w:r>
      <w:r w:rsidR="008D60EB" w:rsidRPr="00880065">
        <w:rPr>
          <w:lang w:val="en-GB"/>
        </w:rPr>
        <w:t>meanwhile</w:t>
      </w:r>
      <w:r w:rsidR="00E44F02" w:rsidRPr="00880065">
        <w:rPr>
          <w:lang w:val="en-GB"/>
        </w:rPr>
        <w:t>, did not submit any claims under this head, taking the view that the finding of a violation would in itself constitute just satisfaction.</w:t>
      </w:r>
    </w:p>
    <w:p w:rsidR="00E44F02" w:rsidRPr="00880065" w:rsidRDefault="00E44F02" w:rsidP="00880065">
      <w:pPr>
        <w:pStyle w:val="ECHRPara"/>
        <w:rPr>
          <w:lang w:val="en-GB"/>
        </w:rPr>
      </w:pPr>
      <w:r w:rsidRPr="00880065">
        <w:rPr>
          <w:lang w:val="en-GB"/>
        </w:rPr>
        <w:t>In addition, under Article 46 of the Convention, the applicants asked the Court to indicate to the respondent Government the general measures that could be taken to put an end to the situation complained of.</w:t>
      </w:r>
    </w:p>
    <w:p w:rsidR="00E44F02" w:rsidRPr="00880065" w:rsidRDefault="00E44F02" w:rsidP="00880065">
      <w:pPr>
        <w:pStyle w:val="ECHRPara"/>
        <w:rPr>
          <w:lang w:val="en-GB"/>
        </w:rPr>
      </w:pPr>
      <w:r w:rsidRPr="00880065">
        <w:rPr>
          <w:lang w:val="en-GB"/>
        </w:rPr>
        <w:lastRenderedPageBreak/>
        <w:fldChar w:fldCharType="begin"/>
      </w:r>
      <w:r w:rsidRPr="00880065">
        <w:rPr>
          <w:lang w:val="en-GB"/>
        </w:rPr>
        <w:instrText xml:space="preserve"> SEQ level0 \*arabic </w:instrText>
      </w:r>
      <w:r w:rsidRPr="00880065">
        <w:rPr>
          <w:lang w:val="en-GB"/>
        </w:rPr>
        <w:fldChar w:fldCharType="separate"/>
      </w:r>
      <w:r w:rsidR="00880065">
        <w:rPr>
          <w:noProof/>
          <w:lang w:val="en-GB"/>
        </w:rPr>
        <w:t>71</w:t>
      </w:r>
      <w:r w:rsidRPr="00880065">
        <w:rPr>
          <w:lang w:val="en-GB"/>
        </w:rPr>
        <w:fldChar w:fldCharType="end"/>
      </w:r>
      <w:r w:rsidRPr="00880065">
        <w:rPr>
          <w:lang w:val="en-GB"/>
        </w:rPr>
        <w:t>.  The Government stated that they were opposed to any award being made to the applicants. In the alternative, they contended that the finding of a violation would in itself constitute sufficient just satisfaction.</w:t>
      </w:r>
    </w:p>
    <w:p w:rsidR="00E44F02" w:rsidRPr="00880065" w:rsidRDefault="00E44F02"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72</w:t>
      </w:r>
      <w:r w:rsidRPr="00880065">
        <w:rPr>
          <w:lang w:val="en-GB"/>
        </w:rPr>
        <w:fldChar w:fldCharType="end"/>
      </w:r>
      <w:r w:rsidRPr="00880065">
        <w:rPr>
          <w:lang w:val="en-GB"/>
        </w:rPr>
        <w:t>.  The Court notes that Mr Akdeniz and Mr Altıparmak submitted their claims for just satisfaction in their application form only. Accordingly, they failed to comply with either Rule 60 §§ 2 and 3 of the Rules of Court or paragraph 5 of the Practice Direction on just satisfaction claims, which specifies that the Court will “reject claims set out on the application form but not resubmitted at the appropriate stage of the proceedings”. The</w:t>
      </w:r>
      <w:r w:rsidR="007A0F6E" w:rsidRPr="00880065">
        <w:rPr>
          <w:lang w:val="en-GB"/>
        </w:rPr>
        <w:t>ir</w:t>
      </w:r>
      <w:r w:rsidRPr="00880065">
        <w:rPr>
          <w:lang w:val="en-GB"/>
        </w:rPr>
        <w:t xml:space="preserve"> claims for just satisfaction must therefore be rejected (see, among other authorities, </w:t>
      </w:r>
      <w:r w:rsidRPr="00880065">
        <w:rPr>
          <w:i/>
          <w:lang w:val="en-GB" w:eastAsia="fr-FR"/>
        </w:rPr>
        <w:t>Anđelković v. Serbia</w:t>
      </w:r>
      <w:r w:rsidRPr="00880065">
        <w:rPr>
          <w:lang w:val="en-GB" w:eastAsia="fr-FR"/>
        </w:rPr>
        <w:t>, no.</w:t>
      </w:r>
      <w:r w:rsidRPr="00880065">
        <w:rPr>
          <w:snapToGrid w:val="0"/>
          <w:lang w:val="en-GB" w:eastAsia="fr-FR"/>
        </w:rPr>
        <w:t> 1401/08, § 33, 9 April 2013)</w:t>
      </w:r>
      <w:r w:rsidRPr="00880065">
        <w:rPr>
          <w:lang w:val="en-GB"/>
        </w:rPr>
        <w:t>.</w:t>
      </w:r>
    </w:p>
    <w:p w:rsidR="00E44F02" w:rsidRPr="00880065" w:rsidRDefault="00E44F02" w:rsidP="00880065">
      <w:pPr>
        <w:pStyle w:val="ECHRPara"/>
        <w:rPr>
          <w:lang w:val="en-GB"/>
        </w:rPr>
      </w:pPr>
      <w:r w:rsidRPr="00880065">
        <w:rPr>
          <w:lang w:val="en-GB"/>
        </w:rPr>
        <w:fldChar w:fldCharType="begin"/>
      </w:r>
      <w:r w:rsidRPr="00880065">
        <w:rPr>
          <w:lang w:val="en-GB"/>
        </w:rPr>
        <w:instrText xml:space="preserve"> SEQ level0 \*arabic </w:instrText>
      </w:r>
      <w:r w:rsidRPr="00880065">
        <w:rPr>
          <w:lang w:val="en-GB"/>
        </w:rPr>
        <w:fldChar w:fldCharType="separate"/>
      </w:r>
      <w:r w:rsidR="00880065">
        <w:rPr>
          <w:noProof/>
          <w:lang w:val="en-GB"/>
        </w:rPr>
        <w:t>73</w:t>
      </w:r>
      <w:r w:rsidRPr="00880065">
        <w:rPr>
          <w:lang w:val="en-GB"/>
        </w:rPr>
        <w:fldChar w:fldCharType="end"/>
      </w:r>
      <w:r w:rsidRPr="00880065">
        <w:rPr>
          <w:lang w:val="en-GB"/>
        </w:rPr>
        <w:t>.  Having regard to the foregoing and to Mr Cengiz</w:t>
      </w:r>
      <w:r w:rsidR="00880065" w:rsidRPr="00880065">
        <w:rPr>
          <w:lang w:val="en-GB"/>
        </w:rPr>
        <w:t>’</w:t>
      </w:r>
      <w:r w:rsidRPr="00880065">
        <w:rPr>
          <w:lang w:val="en-GB"/>
        </w:rPr>
        <w:t xml:space="preserve">s position in respect of Article 41 of the Convention, the Court considers that the finding of a violation constitutes in itself sufficient just satisfaction for any non-pecuniary damage </w:t>
      </w:r>
      <w:r w:rsidR="008D60EB" w:rsidRPr="00880065">
        <w:rPr>
          <w:lang w:val="en-GB"/>
        </w:rPr>
        <w:t>sustained by that applicant</w:t>
      </w:r>
      <w:r w:rsidRPr="00880065">
        <w:rPr>
          <w:lang w:val="en-GB"/>
        </w:rPr>
        <w:t>.</w:t>
      </w:r>
    </w:p>
    <w:p w:rsidR="00E44F02" w:rsidRPr="00880065" w:rsidRDefault="00E44F02" w:rsidP="00880065">
      <w:pPr>
        <w:pStyle w:val="ECHRPara"/>
        <w:rPr>
          <w:szCs w:val="24"/>
          <w:lang w:val="en-GB"/>
        </w:rPr>
      </w:pPr>
      <w:r w:rsidRPr="00880065">
        <w:rPr>
          <w:szCs w:val="24"/>
          <w:lang w:val="en-GB"/>
        </w:rPr>
        <w:fldChar w:fldCharType="begin"/>
      </w:r>
      <w:r w:rsidRPr="00880065">
        <w:rPr>
          <w:szCs w:val="24"/>
          <w:lang w:val="en-GB"/>
        </w:rPr>
        <w:instrText xml:space="preserve"> SEQ level0 \*arabic </w:instrText>
      </w:r>
      <w:r w:rsidRPr="00880065">
        <w:rPr>
          <w:szCs w:val="24"/>
          <w:lang w:val="en-GB"/>
        </w:rPr>
        <w:fldChar w:fldCharType="separate"/>
      </w:r>
      <w:r w:rsidR="00880065">
        <w:rPr>
          <w:noProof/>
          <w:szCs w:val="24"/>
          <w:lang w:val="en-GB"/>
        </w:rPr>
        <w:t>74</w:t>
      </w:r>
      <w:r w:rsidRPr="00880065">
        <w:rPr>
          <w:szCs w:val="24"/>
          <w:lang w:val="en-GB"/>
        </w:rPr>
        <w:fldChar w:fldCharType="end"/>
      </w:r>
      <w:r w:rsidRPr="00880065">
        <w:rPr>
          <w:szCs w:val="24"/>
          <w:lang w:val="en-GB"/>
        </w:rPr>
        <w:t>.  As to the applicants</w:t>
      </w:r>
      <w:r w:rsidR="00880065" w:rsidRPr="00880065">
        <w:rPr>
          <w:szCs w:val="24"/>
          <w:lang w:val="en-GB"/>
        </w:rPr>
        <w:t>’</w:t>
      </w:r>
      <w:r w:rsidRPr="00880065">
        <w:rPr>
          <w:szCs w:val="24"/>
          <w:lang w:val="en-GB"/>
        </w:rPr>
        <w:t xml:space="preserve"> claim </w:t>
      </w:r>
      <w:r w:rsidRPr="00880065">
        <w:rPr>
          <w:lang w:val="en-GB"/>
        </w:rPr>
        <w:t>under</w:t>
      </w:r>
      <w:r w:rsidRPr="00880065">
        <w:rPr>
          <w:szCs w:val="24"/>
          <w:lang w:val="en-GB"/>
        </w:rPr>
        <w:t xml:space="preserve"> Article 46 of the Convention, the Court notes that it has fo</w:t>
      </w:r>
      <w:r w:rsidRPr="00880065">
        <w:rPr>
          <w:lang w:val="en-GB"/>
        </w:rPr>
        <w:t>und a</w:t>
      </w:r>
      <w:r w:rsidRPr="00880065">
        <w:rPr>
          <w:szCs w:val="24"/>
          <w:lang w:val="en-GB"/>
        </w:rPr>
        <w:t xml:space="preserve"> violation of the Convention</w:t>
      </w:r>
      <w:r w:rsidR="007A0F6E" w:rsidRPr="00880065">
        <w:rPr>
          <w:szCs w:val="24"/>
          <w:lang w:val="en-GB"/>
        </w:rPr>
        <w:t xml:space="preserve"> because</w:t>
      </w:r>
      <w:r w:rsidRPr="00880065">
        <w:rPr>
          <w:szCs w:val="24"/>
          <w:lang w:val="en-GB"/>
        </w:rPr>
        <w:t xml:space="preserve">, </w:t>
      </w:r>
      <w:r w:rsidRPr="00880065">
        <w:rPr>
          <w:i/>
          <w:szCs w:val="24"/>
          <w:lang w:val="en-GB"/>
        </w:rPr>
        <w:t>inter alia</w:t>
      </w:r>
      <w:r w:rsidR="007A0F6E" w:rsidRPr="00880065">
        <w:rPr>
          <w:szCs w:val="24"/>
          <w:lang w:val="en-GB"/>
        </w:rPr>
        <w:t>,</w:t>
      </w:r>
      <w:r w:rsidRPr="00880065">
        <w:rPr>
          <w:szCs w:val="24"/>
          <w:lang w:val="en-GB"/>
        </w:rPr>
        <w:t xml:space="preserve"> the domestic court order blocking access to YouTube did not have a legal basis and the legislation, as in force at the material time, did not </w:t>
      </w:r>
      <w:r w:rsidR="0081541C" w:rsidRPr="00880065">
        <w:rPr>
          <w:szCs w:val="24"/>
          <w:lang w:val="en-GB"/>
        </w:rPr>
        <w:t xml:space="preserve">afford the applicants the degree of protection to which they were entitled by the rule of law in a democratic society </w:t>
      </w:r>
      <w:r w:rsidR="00A95935" w:rsidRPr="00880065">
        <w:rPr>
          <w:szCs w:val="24"/>
          <w:lang w:val="en-GB"/>
        </w:rPr>
        <w:t>(see paragraph 65</w:t>
      </w:r>
      <w:r w:rsidRPr="00880065">
        <w:rPr>
          <w:szCs w:val="24"/>
          <w:lang w:val="en-GB"/>
        </w:rPr>
        <w:t xml:space="preserve"> above). That conclusion implies that the violation of the applicants</w:t>
      </w:r>
      <w:r w:rsidR="00880065" w:rsidRPr="00880065">
        <w:rPr>
          <w:szCs w:val="24"/>
          <w:lang w:val="en-GB"/>
        </w:rPr>
        <w:t>’</w:t>
      </w:r>
      <w:r w:rsidRPr="00880065">
        <w:rPr>
          <w:szCs w:val="24"/>
          <w:lang w:val="en-GB"/>
        </w:rPr>
        <w:t xml:space="preserve"> right </w:t>
      </w:r>
      <w:r w:rsidR="0081541C" w:rsidRPr="00880065">
        <w:rPr>
          <w:szCs w:val="24"/>
          <w:lang w:val="en-GB"/>
        </w:rPr>
        <w:t>stemmed from</w:t>
      </w:r>
      <w:r w:rsidRPr="00880065">
        <w:rPr>
          <w:szCs w:val="24"/>
          <w:lang w:val="en-GB"/>
        </w:rPr>
        <w:t xml:space="preserve"> a structural problem.</w:t>
      </w:r>
    </w:p>
    <w:p w:rsidR="002878EC" w:rsidRPr="00880065" w:rsidRDefault="00E44F02" w:rsidP="00880065">
      <w:pPr>
        <w:pStyle w:val="ECHRPara"/>
        <w:rPr>
          <w:rFonts w:cs="Times New Roman"/>
          <w:szCs w:val="24"/>
          <w:lang w:val="en-GB"/>
        </w:rPr>
      </w:pPr>
      <w:r w:rsidRPr="00880065">
        <w:rPr>
          <w:rFonts w:cs="Times New Roman"/>
          <w:szCs w:val="24"/>
          <w:lang w:val="en-GB"/>
        </w:rPr>
        <w:fldChar w:fldCharType="begin"/>
      </w:r>
      <w:r w:rsidRPr="00880065">
        <w:rPr>
          <w:rFonts w:cs="Times New Roman"/>
          <w:szCs w:val="24"/>
          <w:lang w:val="en-GB"/>
        </w:rPr>
        <w:instrText xml:space="preserve"> SEQ level0 \*arabic </w:instrText>
      </w:r>
      <w:r w:rsidRPr="00880065">
        <w:rPr>
          <w:rFonts w:cs="Times New Roman"/>
          <w:szCs w:val="24"/>
          <w:lang w:val="en-GB"/>
        </w:rPr>
        <w:fldChar w:fldCharType="separate"/>
      </w:r>
      <w:r w:rsidR="00880065">
        <w:rPr>
          <w:rFonts w:cs="Times New Roman"/>
          <w:noProof/>
          <w:szCs w:val="24"/>
          <w:lang w:val="en-GB"/>
        </w:rPr>
        <w:t>75</w:t>
      </w:r>
      <w:r w:rsidRPr="00880065">
        <w:rPr>
          <w:rFonts w:cs="Times New Roman"/>
          <w:szCs w:val="24"/>
          <w:lang w:val="en-GB"/>
        </w:rPr>
        <w:fldChar w:fldCharType="end"/>
      </w:r>
      <w:r w:rsidRPr="00880065">
        <w:rPr>
          <w:rFonts w:ascii="Times New Roman" w:hAnsi="Times New Roman" w:cs="Times New Roman"/>
          <w:szCs w:val="24"/>
          <w:lang w:val="en-GB"/>
        </w:rPr>
        <w:t xml:space="preserve">.  The Court observes that after the application in the present case was lodged, Law no. 5651 was amended. </w:t>
      </w:r>
      <w:r w:rsidRPr="00880065">
        <w:rPr>
          <w:rFonts w:cs="Times New Roman"/>
          <w:szCs w:val="24"/>
          <w:lang w:val="en-GB"/>
        </w:rPr>
        <w:t xml:space="preserve">Under section </w:t>
      </w:r>
      <w:r w:rsidR="0081541C" w:rsidRPr="00880065">
        <w:rPr>
          <w:rFonts w:ascii="Times New Roman" w:hAnsi="Times New Roman" w:cs="Times New Roman"/>
          <w:szCs w:val="24"/>
          <w:lang w:val="en-GB"/>
        </w:rPr>
        <w:t>8</w:t>
      </w:r>
      <w:r w:rsidRPr="00880065">
        <w:rPr>
          <w:rFonts w:ascii="Times New Roman" w:hAnsi="Times New Roman" w:cs="Times New Roman"/>
          <w:szCs w:val="24"/>
          <w:lang w:val="en-GB"/>
        </w:rPr>
        <w:t>A(3), the blocking of access to an entire website can now be ordered if the vario</w:t>
      </w:r>
      <w:r w:rsidRPr="00880065">
        <w:rPr>
          <w:rFonts w:cs="Times New Roman"/>
          <w:szCs w:val="24"/>
          <w:lang w:val="en-GB"/>
        </w:rPr>
        <w:t xml:space="preserve">us </w:t>
      </w:r>
      <w:r w:rsidRPr="00880065">
        <w:rPr>
          <w:rFonts w:ascii="Times New Roman" w:hAnsi="Times New Roman" w:cs="Times New Roman"/>
          <w:szCs w:val="24"/>
          <w:lang w:val="en-GB"/>
        </w:rPr>
        <w:t>conditions laid down in that provision are satisfied (see paragraph 22 above). The Co</w:t>
      </w:r>
      <w:r w:rsidRPr="00880065">
        <w:rPr>
          <w:rFonts w:cs="Times New Roman"/>
          <w:szCs w:val="24"/>
          <w:lang w:val="en-GB"/>
        </w:rPr>
        <w:t xml:space="preserve">urt considers it useful to </w:t>
      </w:r>
      <w:r w:rsidR="00E4371C" w:rsidRPr="00880065">
        <w:rPr>
          <w:rFonts w:cs="Times New Roman"/>
          <w:szCs w:val="24"/>
          <w:lang w:val="en-GB"/>
        </w:rPr>
        <w:t>specify</w:t>
      </w:r>
      <w:r w:rsidRPr="00880065">
        <w:rPr>
          <w:rFonts w:cs="Times New Roman"/>
          <w:szCs w:val="24"/>
          <w:lang w:val="en-GB"/>
        </w:rPr>
        <w:t xml:space="preserve"> that</w:t>
      </w:r>
      <w:r w:rsidRPr="00880065">
        <w:rPr>
          <w:rFonts w:ascii="Times New Roman" w:hAnsi="Times New Roman" w:cs="Times New Roman"/>
          <w:szCs w:val="24"/>
          <w:vertAlign w:val="superscript"/>
          <w:lang w:val="en-GB"/>
        </w:rPr>
        <w:footnoteReference w:id="2"/>
      </w:r>
      <w:r w:rsidRPr="00880065">
        <w:rPr>
          <w:rFonts w:cs="Times New Roman"/>
          <w:szCs w:val="24"/>
          <w:lang w:val="en-GB"/>
        </w:rPr>
        <w:t xml:space="preserve"> </w:t>
      </w:r>
      <w:r w:rsidR="001429E5" w:rsidRPr="00880065">
        <w:rPr>
          <w:rFonts w:cs="Times New Roman"/>
          <w:szCs w:val="24"/>
          <w:lang w:val="en-GB"/>
        </w:rPr>
        <w:t>these</w:t>
      </w:r>
      <w:r w:rsidR="001429E5" w:rsidRPr="00880065">
        <w:rPr>
          <w:rFonts w:ascii="Times New Roman" w:hAnsi="Times New Roman" w:cs="Times New Roman"/>
          <w:szCs w:val="24"/>
          <w:lang w:val="en-GB"/>
        </w:rPr>
        <w:t xml:space="preserve"> amendments</w:t>
      </w:r>
      <w:r w:rsidR="001429E5" w:rsidRPr="00880065">
        <w:rPr>
          <w:rFonts w:cs="Times New Roman"/>
          <w:szCs w:val="24"/>
          <w:lang w:val="en-GB"/>
        </w:rPr>
        <w:t xml:space="preserve"> </w:t>
      </w:r>
      <w:r w:rsidRPr="00880065">
        <w:rPr>
          <w:rFonts w:cs="Times New Roman"/>
          <w:szCs w:val="24"/>
          <w:lang w:val="en-GB"/>
        </w:rPr>
        <w:t xml:space="preserve">were introduced after the domestic court had ordered the blocking of access to YouTube without any legal basis. In this connection, </w:t>
      </w:r>
      <w:r w:rsidR="00E4371C" w:rsidRPr="00880065">
        <w:rPr>
          <w:rFonts w:cs="Times New Roman"/>
          <w:szCs w:val="24"/>
          <w:lang w:val="en-GB"/>
        </w:rPr>
        <w:t>the Court</w:t>
      </w:r>
      <w:r w:rsidRPr="00880065">
        <w:rPr>
          <w:rFonts w:cs="Times New Roman"/>
          <w:szCs w:val="24"/>
          <w:lang w:val="en-GB"/>
        </w:rPr>
        <w:t xml:space="preserve"> points out that it is not </w:t>
      </w:r>
      <w:r w:rsidR="00E4371C" w:rsidRPr="00880065">
        <w:rPr>
          <w:rFonts w:cs="Times New Roman"/>
          <w:szCs w:val="24"/>
          <w:lang w:val="en-GB"/>
        </w:rPr>
        <w:t>its</w:t>
      </w:r>
      <w:r w:rsidRPr="00880065">
        <w:rPr>
          <w:rFonts w:cs="Times New Roman"/>
          <w:szCs w:val="24"/>
          <w:lang w:val="en-GB"/>
        </w:rPr>
        <w:t xml:space="preserve"> task to rule </w:t>
      </w:r>
      <w:r w:rsidRPr="00880065">
        <w:rPr>
          <w:rFonts w:cs="Times New Roman"/>
          <w:i/>
          <w:szCs w:val="24"/>
          <w:lang w:val="en-GB"/>
        </w:rPr>
        <w:t>in abstracto</w:t>
      </w:r>
      <w:r w:rsidRPr="00880065">
        <w:rPr>
          <w:rFonts w:cs="Times New Roman"/>
          <w:szCs w:val="24"/>
          <w:lang w:val="en-GB"/>
        </w:rPr>
        <w:t xml:space="preserve"> on the compatibility with the Convention of the legal provisions in force in Turkey at the material or the present time for blocking access to websites. On the contrary, it must assess </w:t>
      </w:r>
      <w:r w:rsidRPr="00880065">
        <w:rPr>
          <w:rFonts w:cs="Times New Roman"/>
          <w:i/>
          <w:szCs w:val="24"/>
          <w:lang w:val="en-GB"/>
        </w:rPr>
        <w:t>in concreto</w:t>
      </w:r>
      <w:r w:rsidRPr="00880065">
        <w:rPr>
          <w:rFonts w:cs="Times New Roman"/>
          <w:szCs w:val="24"/>
          <w:lang w:val="en-GB"/>
        </w:rPr>
        <w:t xml:space="preserve"> what effect the application </w:t>
      </w:r>
      <w:r w:rsidR="00E4371C" w:rsidRPr="00880065">
        <w:rPr>
          <w:rFonts w:cs="Times New Roman"/>
          <w:szCs w:val="24"/>
          <w:lang w:val="en-GB"/>
        </w:rPr>
        <w:t xml:space="preserve">of the relevant provisions </w:t>
      </w:r>
      <w:r w:rsidRPr="00880065">
        <w:rPr>
          <w:rFonts w:cs="Times New Roman"/>
          <w:szCs w:val="24"/>
          <w:lang w:val="en-GB"/>
        </w:rPr>
        <w:t>in the present case had on the applicants</w:t>
      </w:r>
      <w:r w:rsidR="00880065" w:rsidRPr="00880065">
        <w:rPr>
          <w:rFonts w:cs="Times New Roman"/>
          <w:szCs w:val="24"/>
          <w:lang w:val="en-GB"/>
        </w:rPr>
        <w:t>’</w:t>
      </w:r>
      <w:r w:rsidRPr="00880065">
        <w:rPr>
          <w:rFonts w:cs="Times New Roman"/>
          <w:szCs w:val="24"/>
          <w:lang w:val="en-GB"/>
        </w:rPr>
        <w:t xml:space="preserve"> right to freedom of expression under Article 10 of the Convention. It must therefore </w:t>
      </w:r>
      <w:r w:rsidR="00C830E5" w:rsidRPr="00880065">
        <w:rPr>
          <w:rFonts w:cs="Times New Roman"/>
          <w:szCs w:val="24"/>
          <w:lang w:val="en-GB"/>
        </w:rPr>
        <w:t>determine</w:t>
      </w:r>
      <w:r w:rsidRPr="00880065">
        <w:rPr>
          <w:rFonts w:cs="Times New Roman"/>
          <w:szCs w:val="24"/>
          <w:lang w:val="en-GB"/>
        </w:rPr>
        <w:t xml:space="preserve"> whether the </w:t>
      </w:r>
      <w:r w:rsidR="00C830E5" w:rsidRPr="00880065">
        <w:rPr>
          <w:rFonts w:cs="Times New Roman"/>
          <w:szCs w:val="24"/>
          <w:lang w:val="en-GB"/>
        </w:rPr>
        <w:t>application of th</w:t>
      </w:r>
      <w:r w:rsidRPr="00880065">
        <w:rPr>
          <w:rFonts w:cs="Times New Roman"/>
          <w:szCs w:val="24"/>
          <w:lang w:val="en-GB"/>
        </w:rPr>
        <w:t xml:space="preserve">e provisions </w:t>
      </w:r>
      <w:r w:rsidR="00C830E5" w:rsidRPr="00880065">
        <w:rPr>
          <w:rFonts w:cs="Times New Roman"/>
          <w:szCs w:val="24"/>
          <w:lang w:val="en-GB"/>
        </w:rPr>
        <w:t xml:space="preserve">in question </w:t>
      </w:r>
      <w:r w:rsidRPr="00880065">
        <w:rPr>
          <w:rFonts w:cs="Times New Roman"/>
          <w:szCs w:val="24"/>
          <w:lang w:val="en-GB"/>
        </w:rPr>
        <w:t xml:space="preserve">gave rise to a violation of </w:t>
      </w:r>
      <w:r w:rsidR="003F68E3" w:rsidRPr="00880065">
        <w:rPr>
          <w:rFonts w:cs="Times New Roman"/>
          <w:szCs w:val="24"/>
          <w:lang w:val="en-GB"/>
        </w:rPr>
        <w:t>Article 10</w:t>
      </w:r>
      <w:r w:rsidRPr="00880065">
        <w:rPr>
          <w:rFonts w:cs="Times New Roman"/>
          <w:szCs w:val="24"/>
          <w:lang w:val="en-GB"/>
        </w:rPr>
        <w:t xml:space="preserve"> in respect of the applicants (see </w:t>
      </w:r>
      <w:r w:rsidRPr="00880065">
        <w:rPr>
          <w:rFonts w:cs="Times New Roman"/>
          <w:i/>
          <w:lang w:val="en-GB"/>
        </w:rPr>
        <w:t>Nikolova v. Bulgaria</w:t>
      </w:r>
      <w:r w:rsidRPr="00880065">
        <w:rPr>
          <w:rFonts w:cs="Times New Roman"/>
          <w:lang w:val="en-GB"/>
        </w:rPr>
        <w:t xml:space="preserve"> [GC], no. 31195/96, § 60, ECHR 1999</w:t>
      </w:r>
      <w:r w:rsidRPr="00880065">
        <w:rPr>
          <w:rFonts w:ascii="Normal" w:eastAsia="Times New Roman" w:hAnsi="Normal" w:cs="Normal"/>
          <w:lang w:val="en-GB"/>
        </w:rPr>
        <w:t>-</w:t>
      </w:r>
      <w:r w:rsidRPr="00880065">
        <w:rPr>
          <w:rFonts w:cs="Times New Roman"/>
          <w:lang w:val="en-GB"/>
        </w:rPr>
        <w:t>II</w:t>
      </w:r>
      <w:r w:rsidRPr="00880065">
        <w:rPr>
          <w:rFonts w:cs="Times New Roman"/>
          <w:szCs w:val="24"/>
          <w:lang w:val="en-GB"/>
        </w:rPr>
        <w:t xml:space="preserve">). In the light of the foregoing, the Court does not consider it necessary, in the circumstances of the present case, to </w:t>
      </w:r>
      <w:r w:rsidR="00C830E5" w:rsidRPr="00880065">
        <w:rPr>
          <w:rFonts w:cs="Times New Roman"/>
          <w:szCs w:val="24"/>
          <w:lang w:val="en-GB"/>
        </w:rPr>
        <w:t>consider</w:t>
      </w:r>
      <w:r w:rsidRPr="00880065">
        <w:rPr>
          <w:rFonts w:cs="Times New Roman"/>
          <w:szCs w:val="24"/>
          <w:lang w:val="en-GB"/>
        </w:rPr>
        <w:t xml:space="preserve"> the applicants</w:t>
      </w:r>
      <w:r w:rsidR="00880065" w:rsidRPr="00880065">
        <w:rPr>
          <w:rFonts w:cs="Times New Roman"/>
          <w:szCs w:val="24"/>
          <w:lang w:val="en-GB"/>
        </w:rPr>
        <w:t>’</w:t>
      </w:r>
      <w:r w:rsidRPr="00880065">
        <w:rPr>
          <w:rFonts w:cs="Times New Roman"/>
          <w:szCs w:val="24"/>
          <w:lang w:val="en-GB"/>
        </w:rPr>
        <w:t xml:space="preserve"> request for an </w:t>
      </w:r>
      <w:r w:rsidR="0092274D" w:rsidRPr="00880065">
        <w:rPr>
          <w:rFonts w:cs="Times New Roman"/>
          <w:szCs w:val="24"/>
          <w:lang w:val="en-GB"/>
        </w:rPr>
        <w:t>order</w:t>
      </w:r>
      <w:r w:rsidRPr="00880065">
        <w:rPr>
          <w:rFonts w:cs="Times New Roman"/>
          <w:szCs w:val="24"/>
          <w:lang w:val="en-GB"/>
        </w:rPr>
        <w:t xml:space="preserve"> under Article 46 of the Convention.</w:t>
      </w:r>
      <w:bookmarkEnd w:id="156"/>
    </w:p>
    <w:p w:rsidR="00014566" w:rsidRPr="00880065" w:rsidRDefault="00BB5883" w:rsidP="00880065">
      <w:pPr>
        <w:pStyle w:val="ECHRTitle1"/>
        <w:rPr>
          <w:lang w:val="en-GB"/>
        </w:rPr>
      </w:pPr>
      <w:r w:rsidRPr="00880065">
        <w:rPr>
          <w:lang w:val="en-GB"/>
        </w:rPr>
        <w:lastRenderedPageBreak/>
        <w:t>FOR THESE REASONS, THE COURT</w:t>
      </w:r>
      <w:r w:rsidR="001404BA" w:rsidRPr="00880065">
        <w:rPr>
          <w:lang w:val="en-GB"/>
        </w:rPr>
        <w:t>, UNANIMOUSLY,</w:t>
      </w:r>
    </w:p>
    <w:p w:rsidR="008941A9" w:rsidRPr="00880065" w:rsidRDefault="008941A9" w:rsidP="00880065">
      <w:pPr>
        <w:pStyle w:val="JuList"/>
        <w:ind w:left="0" w:firstLine="0"/>
        <w:rPr>
          <w:lang w:val="en-GB"/>
        </w:rPr>
      </w:pPr>
      <w:r w:rsidRPr="00880065">
        <w:rPr>
          <w:lang w:val="en-GB"/>
        </w:rPr>
        <w:t>1.  </w:t>
      </w:r>
      <w:r w:rsidRPr="00880065">
        <w:rPr>
          <w:i/>
          <w:lang w:val="en-GB"/>
        </w:rPr>
        <w:t xml:space="preserve">Decides </w:t>
      </w:r>
      <w:r w:rsidRPr="00880065">
        <w:rPr>
          <w:lang w:val="en-GB"/>
        </w:rPr>
        <w:t>to join the applications;</w:t>
      </w:r>
    </w:p>
    <w:p w:rsidR="008941A9" w:rsidRPr="00880065" w:rsidRDefault="008941A9" w:rsidP="00880065">
      <w:pPr>
        <w:pStyle w:val="JuList"/>
        <w:rPr>
          <w:lang w:val="en-GB"/>
        </w:rPr>
      </w:pPr>
    </w:p>
    <w:p w:rsidR="008941A9" w:rsidRPr="00880065" w:rsidRDefault="008941A9" w:rsidP="00880065">
      <w:pPr>
        <w:pStyle w:val="JuList"/>
        <w:rPr>
          <w:lang w:val="en-GB"/>
        </w:rPr>
      </w:pPr>
      <w:r w:rsidRPr="00880065">
        <w:rPr>
          <w:lang w:val="en-GB"/>
        </w:rPr>
        <w:t>2.  </w:t>
      </w:r>
      <w:r w:rsidRPr="00880065">
        <w:rPr>
          <w:i/>
          <w:lang w:val="en-GB"/>
        </w:rPr>
        <w:t>Declares</w:t>
      </w:r>
      <w:r w:rsidRPr="00880065">
        <w:rPr>
          <w:lang w:val="en-GB"/>
        </w:rPr>
        <w:t xml:space="preserve"> the complaint under Article 10 of the Convention admissible;</w:t>
      </w:r>
    </w:p>
    <w:p w:rsidR="008941A9" w:rsidRPr="00880065" w:rsidRDefault="008941A9" w:rsidP="00880065">
      <w:pPr>
        <w:pStyle w:val="JuList"/>
        <w:rPr>
          <w:lang w:val="en-GB"/>
        </w:rPr>
      </w:pPr>
    </w:p>
    <w:p w:rsidR="008941A9" w:rsidRPr="00880065" w:rsidRDefault="008941A9" w:rsidP="00880065">
      <w:pPr>
        <w:pStyle w:val="JuList"/>
        <w:rPr>
          <w:lang w:val="en-GB"/>
        </w:rPr>
      </w:pPr>
      <w:r w:rsidRPr="00880065">
        <w:rPr>
          <w:lang w:val="en-GB"/>
        </w:rPr>
        <w:t>3.  </w:t>
      </w:r>
      <w:r w:rsidRPr="00880065">
        <w:rPr>
          <w:i/>
          <w:lang w:val="en-GB"/>
        </w:rPr>
        <w:t>Holds</w:t>
      </w:r>
      <w:r w:rsidRPr="00880065">
        <w:rPr>
          <w:lang w:val="en-GB"/>
        </w:rPr>
        <w:t xml:space="preserve"> that there has been a violation of Article 10 of the Convention;</w:t>
      </w:r>
    </w:p>
    <w:p w:rsidR="008941A9" w:rsidRPr="00880065" w:rsidRDefault="008941A9" w:rsidP="00880065">
      <w:pPr>
        <w:pStyle w:val="JuList"/>
        <w:rPr>
          <w:lang w:val="en-GB"/>
        </w:rPr>
      </w:pPr>
    </w:p>
    <w:p w:rsidR="008941A9" w:rsidRPr="00880065" w:rsidRDefault="008941A9" w:rsidP="00880065">
      <w:pPr>
        <w:pStyle w:val="JuList"/>
        <w:rPr>
          <w:lang w:val="en-GB"/>
        </w:rPr>
      </w:pPr>
      <w:r w:rsidRPr="00880065">
        <w:rPr>
          <w:lang w:val="en-GB"/>
        </w:rPr>
        <w:t>4.  </w:t>
      </w:r>
      <w:r w:rsidRPr="00880065">
        <w:rPr>
          <w:i/>
          <w:lang w:val="en-GB"/>
        </w:rPr>
        <w:t>Holds</w:t>
      </w:r>
      <w:r w:rsidRPr="00880065">
        <w:rPr>
          <w:lang w:val="en-GB"/>
        </w:rPr>
        <w:t xml:space="preserve"> that there is no need </w:t>
      </w:r>
      <w:r w:rsidR="00E65D82" w:rsidRPr="00880065">
        <w:rPr>
          <w:lang w:val="en-GB"/>
        </w:rPr>
        <w:t>to examine</w:t>
      </w:r>
      <w:r w:rsidRPr="00880065">
        <w:rPr>
          <w:lang w:val="en-GB"/>
        </w:rPr>
        <w:t xml:space="preserve"> separate</w:t>
      </w:r>
      <w:r w:rsidR="00E65D82" w:rsidRPr="00880065">
        <w:rPr>
          <w:lang w:val="en-GB"/>
        </w:rPr>
        <w:t>ly</w:t>
      </w:r>
      <w:r w:rsidRPr="00880065">
        <w:rPr>
          <w:lang w:val="en-GB"/>
        </w:rPr>
        <w:t xml:space="preserve"> the admissibility and merits of the complaint under Article 6 of the Convention;</w:t>
      </w:r>
    </w:p>
    <w:p w:rsidR="008941A9" w:rsidRPr="00880065" w:rsidRDefault="008941A9" w:rsidP="00880065">
      <w:pPr>
        <w:pStyle w:val="JuList"/>
        <w:rPr>
          <w:lang w:val="en-GB"/>
        </w:rPr>
      </w:pPr>
    </w:p>
    <w:p w:rsidR="008941A9" w:rsidRPr="00880065" w:rsidRDefault="008941A9" w:rsidP="00880065">
      <w:pPr>
        <w:pStyle w:val="JuList"/>
        <w:rPr>
          <w:lang w:val="en-GB"/>
        </w:rPr>
      </w:pPr>
      <w:r w:rsidRPr="00880065">
        <w:rPr>
          <w:lang w:val="en-GB"/>
        </w:rPr>
        <w:t>5.  </w:t>
      </w:r>
      <w:r w:rsidRPr="00880065">
        <w:rPr>
          <w:i/>
          <w:lang w:val="en-GB"/>
        </w:rPr>
        <w:t>Holds</w:t>
      </w:r>
      <w:r w:rsidRPr="00880065">
        <w:rPr>
          <w:lang w:val="en-GB"/>
        </w:rPr>
        <w:t xml:space="preserve"> that the finding of a violation constitutes in itself sufficient just satisfaction for the non-pecuniary damage sustained by Mr Cengiz;</w:t>
      </w:r>
    </w:p>
    <w:p w:rsidR="008941A9" w:rsidRPr="00880065" w:rsidRDefault="008941A9" w:rsidP="00880065">
      <w:pPr>
        <w:pStyle w:val="JuList"/>
        <w:rPr>
          <w:lang w:val="en-GB"/>
        </w:rPr>
      </w:pPr>
    </w:p>
    <w:p w:rsidR="008941A9" w:rsidRPr="00880065" w:rsidRDefault="008941A9" w:rsidP="00880065">
      <w:pPr>
        <w:pStyle w:val="JuList"/>
        <w:rPr>
          <w:lang w:val="en-GB"/>
        </w:rPr>
      </w:pPr>
      <w:r w:rsidRPr="00880065">
        <w:rPr>
          <w:lang w:val="en-GB"/>
        </w:rPr>
        <w:t>6.  </w:t>
      </w:r>
      <w:r w:rsidRPr="00880065">
        <w:rPr>
          <w:i/>
          <w:lang w:val="en-GB"/>
        </w:rPr>
        <w:t>Dismisses</w:t>
      </w:r>
      <w:r w:rsidRPr="00880065">
        <w:rPr>
          <w:lang w:val="en-GB"/>
        </w:rPr>
        <w:t xml:space="preserve"> the remainder of the applicants</w:t>
      </w:r>
      <w:r w:rsidR="00880065" w:rsidRPr="00880065">
        <w:rPr>
          <w:lang w:val="en-GB"/>
        </w:rPr>
        <w:t>’</w:t>
      </w:r>
      <w:r w:rsidRPr="00880065">
        <w:rPr>
          <w:lang w:val="en-GB"/>
        </w:rPr>
        <w:t xml:space="preserve"> claim for just satisfaction.</w:t>
      </w:r>
    </w:p>
    <w:p w:rsidR="008941A9" w:rsidRPr="00880065" w:rsidRDefault="008941A9" w:rsidP="00880065">
      <w:pPr>
        <w:pStyle w:val="JuParaLast"/>
        <w:rPr>
          <w:lang w:val="en-GB"/>
        </w:rPr>
      </w:pPr>
      <w:r w:rsidRPr="00880065">
        <w:rPr>
          <w:lang w:val="en-GB"/>
        </w:rPr>
        <w:t xml:space="preserve">Done in French, </w:t>
      </w:r>
      <w:r w:rsidR="00DE150C" w:rsidRPr="00880065">
        <w:rPr>
          <w:lang w:val="en-GB"/>
        </w:rPr>
        <w:t>a</w:t>
      </w:r>
      <w:r w:rsidRPr="00880065">
        <w:rPr>
          <w:lang w:val="en-GB"/>
        </w:rPr>
        <w:t>nd notified in writing on 1 December 2015, pursuant to Rule 77 §§ 2 and 3 of the Rules of Court.</w:t>
      </w:r>
    </w:p>
    <w:p w:rsidR="008941A9" w:rsidRPr="00880065" w:rsidRDefault="008941A9" w:rsidP="00880065">
      <w:pPr>
        <w:pStyle w:val="JuSigned"/>
        <w:rPr>
          <w:lang w:val="en-GB"/>
        </w:rPr>
      </w:pPr>
      <w:r w:rsidRPr="00880065">
        <w:rPr>
          <w:lang w:val="en-GB"/>
        </w:rPr>
        <w:tab/>
        <w:t>Stanley Naismith</w:t>
      </w:r>
      <w:r w:rsidRPr="00880065">
        <w:rPr>
          <w:lang w:val="en-GB"/>
        </w:rPr>
        <w:tab/>
      </w:r>
      <w:r w:rsidRPr="00880065">
        <w:rPr>
          <w:rFonts w:cs="Times New Roman"/>
          <w:szCs w:val="24"/>
          <w:lang w:val="en-GB"/>
        </w:rPr>
        <w:t>Pa</w:t>
      </w:r>
      <w:r w:rsidRPr="00880065">
        <w:rPr>
          <w:rFonts w:cs="Times New Roman"/>
          <w:lang w:val="en-GB"/>
        </w:rPr>
        <w:t>ul Lemmens</w:t>
      </w:r>
      <w:r w:rsidRPr="00880065">
        <w:rPr>
          <w:szCs w:val="24"/>
          <w:lang w:val="en-GB"/>
        </w:rPr>
        <w:br/>
      </w:r>
      <w:r w:rsidRPr="00880065">
        <w:rPr>
          <w:lang w:val="en-GB"/>
        </w:rPr>
        <w:tab/>
      </w:r>
      <w:r w:rsidRPr="00880065">
        <w:rPr>
          <w:iCs/>
          <w:lang w:val="en-GB"/>
        </w:rPr>
        <w:t>Registrar</w:t>
      </w:r>
      <w:r w:rsidRPr="00880065">
        <w:rPr>
          <w:lang w:val="en-GB"/>
        </w:rPr>
        <w:tab/>
        <w:t>President</w:t>
      </w:r>
    </w:p>
    <w:p w:rsidR="008941A9" w:rsidRPr="00880065" w:rsidRDefault="008941A9" w:rsidP="00880065">
      <w:pPr>
        <w:pStyle w:val="JuParaLast"/>
      </w:pPr>
      <w:r w:rsidRPr="00880065">
        <w:t>In accordance with Article 45 § 2 of the Convention and Rule 74 § 2 of the Rules of Court, the separate opinion of Judge Lemmens is annexed to this judgment.</w:t>
      </w:r>
    </w:p>
    <w:p w:rsidR="006640BE" w:rsidRPr="00880065" w:rsidRDefault="008941A9" w:rsidP="00880065">
      <w:pPr>
        <w:pStyle w:val="JuInitialled"/>
        <w:sectPr w:rsidR="006640BE" w:rsidRPr="00880065" w:rsidSect="001404BA">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r w:rsidRPr="00880065">
        <w:t>P.L.</w:t>
      </w:r>
      <w:r w:rsidRPr="00880065">
        <w:br/>
        <w:t>S.H.N.</w:t>
      </w:r>
    </w:p>
    <w:p w:rsidR="0072304A" w:rsidRPr="00880065" w:rsidRDefault="0072304A" w:rsidP="00880065">
      <w:pPr>
        <w:pStyle w:val="ECHRTitleCentre1"/>
        <w:rPr>
          <w:lang w:val="en-GB"/>
        </w:rPr>
      </w:pPr>
      <w:r w:rsidRPr="00880065">
        <w:rPr>
          <w:lang w:val="en-GB"/>
        </w:rPr>
        <w:lastRenderedPageBreak/>
        <w:t>CONCURRING OPINION OF JUDGE LEMMENS</w:t>
      </w:r>
    </w:p>
    <w:p w:rsidR="0072304A" w:rsidRPr="00880065" w:rsidRDefault="0072304A" w:rsidP="00880065">
      <w:pPr>
        <w:pStyle w:val="OpiTranslation"/>
        <w:rPr>
          <w:lang w:val="en-GB"/>
        </w:rPr>
      </w:pPr>
      <w:r w:rsidRPr="00880065">
        <w:rPr>
          <w:lang w:val="en-GB"/>
        </w:rPr>
        <w:t>(Translation)</w:t>
      </w:r>
    </w:p>
    <w:p w:rsidR="0072304A" w:rsidRPr="00880065" w:rsidRDefault="0072304A" w:rsidP="00880065">
      <w:pPr>
        <w:pStyle w:val="OpiPara"/>
        <w:rPr>
          <w:lang w:val="en-GB"/>
        </w:rPr>
      </w:pPr>
    </w:p>
    <w:p w:rsidR="0072304A" w:rsidRPr="00880065" w:rsidRDefault="0072304A" w:rsidP="00880065">
      <w:pPr>
        <w:pStyle w:val="OpiPara"/>
        <w:rPr>
          <w:lang w:val="en-GB"/>
        </w:rPr>
      </w:pPr>
      <w:r w:rsidRPr="00880065">
        <w:rPr>
          <w:lang w:val="en-GB"/>
        </w:rPr>
        <w:t>1.  I voted with the majority in favour of finding a violation of Article 10 of the Convention. However, I would have preferred this conclusion to have been based on different reasoning.</w:t>
      </w:r>
    </w:p>
    <w:p w:rsidR="0072304A" w:rsidRPr="00880065" w:rsidRDefault="0072304A" w:rsidP="00880065">
      <w:pPr>
        <w:pStyle w:val="OpiH1"/>
        <w:rPr>
          <w:b w:val="0"/>
          <w:i/>
          <w:lang w:val="en-GB"/>
        </w:rPr>
      </w:pPr>
      <w:r w:rsidRPr="00880065">
        <w:rPr>
          <w:b w:val="0"/>
          <w:i/>
          <w:lang w:val="en-GB"/>
        </w:rPr>
        <w:t>Legal basis for the blocking order</w:t>
      </w:r>
    </w:p>
    <w:p w:rsidR="0072304A" w:rsidRPr="00880065" w:rsidRDefault="0072304A" w:rsidP="00880065">
      <w:pPr>
        <w:pStyle w:val="OpiPara"/>
        <w:rPr>
          <w:bCs/>
          <w:lang w:val="en-GB"/>
        </w:rPr>
      </w:pPr>
      <w:r w:rsidRPr="00880065">
        <w:rPr>
          <w:bCs/>
          <w:lang w:val="en-GB"/>
        </w:rPr>
        <w:t>2.  After noting that the blocking of access to YouTube constit</w:t>
      </w:r>
      <w:r w:rsidRPr="00880065">
        <w:rPr>
          <w:lang w:val="en-GB"/>
        </w:rPr>
        <w:t>uted an interference with the exercise of the applicants</w:t>
      </w:r>
      <w:r w:rsidR="00880065" w:rsidRPr="00880065">
        <w:rPr>
          <w:lang w:val="en-GB"/>
        </w:rPr>
        <w:t>’</w:t>
      </w:r>
      <w:r w:rsidRPr="00880065">
        <w:rPr>
          <w:lang w:val="en-GB"/>
        </w:rPr>
        <w:t xml:space="preserve"> right to receive and impart </w:t>
      </w:r>
      <w:r w:rsidRPr="00880065">
        <w:rPr>
          <w:bCs/>
          <w:lang w:val="en-GB"/>
        </w:rPr>
        <w:t xml:space="preserve">information and ideas, a finding to which I </w:t>
      </w:r>
      <w:r w:rsidRPr="00880065">
        <w:rPr>
          <w:lang w:val="en-GB"/>
        </w:rPr>
        <w:t xml:space="preserve">unreservedly subscribe, the </w:t>
      </w:r>
      <w:r w:rsidRPr="00880065">
        <w:rPr>
          <w:bCs/>
          <w:lang w:val="en-GB"/>
        </w:rPr>
        <w:t>majority concluded that the interference had not been “prescribed by law” within the meaning of Article 10 § 2 of the Convention.</w:t>
      </w:r>
    </w:p>
    <w:p w:rsidR="0072304A" w:rsidRPr="00880065" w:rsidRDefault="0072304A" w:rsidP="00880065">
      <w:pPr>
        <w:pStyle w:val="OpiPara"/>
        <w:rPr>
          <w:bCs/>
          <w:lang w:val="en-GB"/>
        </w:rPr>
      </w:pPr>
      <w:r w:rsidRPr="00880065">
        <w:rPr>
          <w:bCs/>
          <w:lang w:val="en-GB"/>
        </w:rPr>
        <w:t>I nevertheless have some diffic</w:t>
      </w:r>
      <w:r w:rsidRPr="00880065">
        <w:rPr>
          <w:lang w:val="en-GB"/>
        </w:rPr>
        <w:t>ulty in understanding the precise reason that led the majority to reach that</w:t>
      </w:r>
      <w:r w:rsidRPr="00880065">
        <w:rPr>
          <w:bCs/>
          <w:lang w:val="en-GB"/>
        </w:rPr>
        <w:t xml:space="preserve"> conclusion. Was there no legal basis at all? Or did the meas</w:t>
      </w:r>
      <w:r w:rsidRPr="00880065">
        <w:rPr>
          <w:lang w:val="en-GB"/>
        </w:rPr>
        <w:t>ure that was ordered exceed the limits of the legal basis</w:t>
      </w:r>
      <w:r w:rsidRPr="00880065">
        <w:rPr>
          <w:bCs/>
          <w:lang w:val="en-GB"/>
        </w:rPr>
        <w:t xml:space="preserve"> (see paragraphs 61 and 63 of the j</w:t>
      </w:r>
      <w:r w:rsidRPr="00880065">
        <w:rPr>
          <w:lang w:val="en-GB"/>
        </w:rPr>
        <w:t>udgment</w:t>
      </w:r>
      <w:r w:rsidRPr="00880065">
        <w:rPr>
          <w:bCs/>
          <w:lang w:val="en-GB"/>
        </w:rPr>
        <w:t>)? Or was the stat</w:t>
      </w:r>
      <w:r w:rsidRPr="00880065">
        <w:rPr>
          <w:lang w:val="en-GB"/>
        </w:rPr>
        <w:t>utory provision on which the measure was based insufficiently precise</w:t>
      </w:r>
      <w:r w:rsidRPr="00880065">
        <w:rPr>
          <w:bCs/>
          <w:lang w:val="en-GB"/>
        </w:rPr>
        <w:t xml:space="preserve"> (see the applicants</w:t>
      </w:r>
      <w:r w:rsidR="00880065" w:rsidRPr="00880065">
        <w:rPr>
          <w:bCs/>
          <w:lang w:val="en-GB"/>
        </w:rPr>
        <w:t>’</w:t>
      </w:r>
      <w:r w:rsidRPr="00880065">
        <w:rPr>
          <w:bCs/>
          <w:lang w:val="en-GB"/>
        </w:rPr>
        <w:t xml:space="preserve"> arg</w:t>
      </w:r>
      <w:r w:rsidRPr="00880065">
        <w:rPr>
          <w:lang w:val="en-GB"/>
        </w:rPr>
        <w:t>ument as recapitulated in</w:t>
      </w:r>
      <w:r w:rsidRPr="00880065">
        <w:rPr>
          <w:bCs/>
          <w:lang w:val="en-GB"/>
        </w:rPr>
        <w:t xml:space="preserve"> paragraph 60 of the j</w:t>
      </w:r>
      <w:r w:rsidRPr="00880065">
        <w:rPr>
          <w:lang w:val="en-GB"/>
        </w:rPr>
        <w:t>udgment</w:t>
      </w:r>
      <w:r w:rsidRPr="00880065">
        <w:rPr>
          <w:bCs/>
          <w:lang w:val="en-GB"/>
        </w:rPr>
        <w:t>)? Or did this legal basis confer too broad a power on the competent authority (see paragraphs 62 and 65 of the j</w:t>
      </w:r>
      <w:r w:rsidRPr="00880065">
        <w:rPr>
          <w:lang w:val="en-GB"/>
        </w:rPr>
        <w:t>udgment</w:t>
      </w:r>
      <w:r w:rsidRPr="00880065">
        <w:rPr>
          <w:bCs/>
          <w:lang w:val="en-GB"/>
        </w:rPr>
        <w:t>)?</w:t>
      </w:r>
    </w:p>
    <w:p w:rsidR="0072304A" w:rsidRPr="00880065" w:rsidRDefault="0072304A" w:rsidP="00880065">
      <w:pPr>
        <w:pStyle w:val="OpiPara"/>
        <w:rPr>
          <w:bCs/>
          <w:lang w:val="en-GB"/>
        </w:rPr>
      </w:pPr>
      <w:r w:rsidRPr="00880065">
        <w:rPr>
          <w:bCs/>
          <w:lang w:val="en-GB"/>
        </w:rPr>
        <w:t xml:space="preserve">3.  My own view is that there was indeed a legal basis for blocking access to websites, namely section 8(1)(b) and (2) of Law no. 5651 of 4 May 2007. </w:t>
      </w:r>
      <w:r w:rsidRPr="00880065">
        <w:rPr>
          <w:lang w:val="en-GB"/>
        </w:rPr>
        <w:t>Under that provision</w:t>
      </w:r>
      <w:r w:rsidRPr="00880065">
        <w:rPr>
          <w:bCs/>
          <w:lang w:val="en-GB"/>
        </w:rPr>
        <w:t>, a blocking order in respect of Internet publications co</w:t>
      </w:r>
      <w:r w:rsidRPr="00880065">
        <w:rPr>
          <w:lang w:val="en-GB"/>
        </w:rPr>
        <w:t>uld be issued by a court</w:t>
      </w:r>
      <w:r w:rsidRPr="00880065">
        <w:rPr>
          <w:bCs/>
          <w:lang w:val="en-GB"/>
        </w:rPr>
        <w:t>. The provision in question</w:t>
      </w:r>
      <w:r w:rsidRPr="00880065">
        <w:rPr>
          <w:lang w:val="en-GB"/>
        </w:rPr>
        <w:t xml:space="preserve"> served as the foundation for the order made in the present case by the</w:t>
      </w:r>
      <w:r w:rsidRPr="00880065">
        <w:rPr>
          <w:bCs/>
          <w:lang w:val="en-GB"/>
        </w:rPr>
        <w:t xml:space="preserve"> Ankara Criminal Co</w:t>
      </w:r>
      <w:r w:rsidRPr="00880065">
        <w:rPr>
          <w:lang w:val="en-GB"/>
        </w:rPr>
        <w:t>urt of First Instance</w:t>
      </w:r>
      <w:r w:rsidRPr="00880065">
        <w:rPr>
          <w:bCs/>
          <w:lang w:val="en-GB"/>
        </w:rPr>
        <w:t>, and th</w:t>
      </w:r>
      <w:r w:rsidRPr="00880065">
        <w:rPr>
          <w:lang w:val="en-GB"/>
        </w:rPr>
        <w:t>us constituted the basis of the impugned measure in domestic law</w:t>
      </w:r>
      <w:r w:rsidRPr="00880065">
        <w:rPr>
          <w:bCs/>
          <w:lang w:val="en-GB"/>
        </w:rPr>
        <w:t>.</w:t>
      </w:r>
      <w:r w:rsidRPr="00880065">
        <w:rPr>
          <w:bCs/>
          <w:vertAlign w:val="superscript"/>
          <w:lang w:val="en-GB"/>
        </w:rPr>
        <w:footnoteReference w:id="3"/>
      </w:r>
    </w:p>
    <w:p w:rsidR="00880065" w:rsidRPr="00880065" w:rsidRDefault="0072304A" w:rsidP="00880065">
      <w:pPr>
        <w:pStyle w:val="OpiPara"/>
        <w:rPr>
          <w:lang w:val="en-GB"/>
        </w:rPr>
      </w:pPr>
      <w:r w:rsidRPr="00880065">
        <w:rPr>
          <w:lang w:val="en-GB"/>
        </w:rPr>
        <w:t xml:space="preserve">As to whether the measure in issue was compatible with the aforementioned statutory provision, it should be emphasised that it is first and foremost for the national authorities, and notably the courts, to interpret and apply domestic law (see, among many other authorities, </w:t>
      </w:r>
      <w:r w:rsidRPr="00880065">
        <w:rPr>
          <w:i/>
          <w:lang w:val="en-GB"/>
        </w:rPr>
        <w:t>Delfi AS</w:t>
      </w:r>
      <w:r w:rsidRPr="00880065">
        <w:rPr>
          <w:lang w:val="en-GB"/>
        </w:rPr>
        <w:t xml:space="preserve"> </w:t>
      </w:r>
      <w:r w:rsidRPr="00880065">
        <w:rPr>
          <w:i/>
          <w:lang w:val="en-GB"/>
        </w:rPr>
        <w:t xml:space="preserve">v. Estonia </w:t>
      </w:r>
      <w:r w:rsidRPr="00880065">
        <w:rPr>
          <w:lang w:val="en-GB"/>
        </w:rPr>
        <w:t xml:space="preserve">[GC], no. 64569/09, § 127, ECHR 2015, and </w:t>
      </w:r>
      <w:r w:rsidRPr="00880065">
        <w:rPr>
          <w:i/>
          <w:lang w:val="en-GB"/>
        </w:rPr>
        <w:t xml:space="preserve">Pentikäinen </w:t>
      </w:r>
      <w:r w:rsidRPr="00880065">
        <w:rPr>
          <w:i/>
          <w:lang w:val="en-GB"/>
        </w:rPr>
        <w:lastRenderedPageBreak/>
        <w:t xml:space="preserve">v. Finland </w:t>
      </w:r>
      <w:r w:rsidRPr="00880065">
        <w:rPr>
          <w:lang w:val="en-GB"/>
        </w:rPr>
        <w:t>[GC], no.</w:t>
      </w:r>
      <w:r w:rsidRPr="00880065">
        <w:rPr>
          <w:vertAlign w:val="superscript"/>
          <w:lang w:val="en-GB"/>
        </w:rPr>
        <w:t xml:space="preserve"> </w:t>
      </w:r>
      <w:r w:rsidRPr="00880065">
        <w:rPr>
          <w:lang w:val="en-GB"/>
        </w:rPr>
        <w:t>11882/10, § 85, ECHR 2015). It is now clear from the Constitutional Court</w:t>
      </w:r>
      <w:r w:rsidR="00880065" w:rsidRPr="00880065">
        <w:rPr>
          <w:lang w:val="en-GB"/>
        </w:rPr>
        <w:t>’</w:t>
      </w:r>
      <w:r w:rsidRPr="00880065">
        <w:rPr>
          <w:lang w:val="en-GB"/>
        </w:rPr>
        <w:t>s judgment of 29 May 2014 that the aforementioned provision did not allow the blocking of access to an entire website, but only to specified content on a website (section 8(1), introductory phrase, of the Law). It follows that the interference in issue could not validly have been grounded on the provision that was supposed to have formed its legal basis. That, to my mind, should have been the reason for concluding that the measure was not prescribed by law.</w:t>
      </w:r>
    </w:p>
    <w:p w:rsidR="0072304A" w:rsidRPr="00880065" w:rsidRDefault="0072304A" w:rsidP="00880065">
      <w:pPr>
        <w:pStyle w:val="OpiPara"/>
        <w:rPr>
          <w:bCs/>
          <w:lang w:val="en-GB"/>
        </w:rPr>
      </w:pPr>
      <w:r w:rsidRPr="00880065">
        <w:rPr>
          <w:lang w:val="en-GB"/>
        </w:rPr>
        <w:t>This conclusion should in my view have made it unnecessary for the Court to go on to examine the foreseeability of the law or the protection it afforded against arbitrary interferences with freedom of expression.</w:t>
      </w:r>
    </w:p>
    <w:p w:rsidR="0072304A" w:rsidRPr="00880065" w:rsidRDefault="0072304A" w:rsidP="00880065">
      <w:pPr>
        <w:pStyle w:val="OpiH1"/>
        <w:rPr>
          <w:b w:val="0"/>
          <w:i/>
          <w:lang w:val="en-GB"/>
        </w:rPr>
      </w:pPr>
      <w:r w:rsidRPr="00880065">
        <w:rPr>
          <w:b w:val="0"/>
          <w:i/>
          <w:lang w:val="en-GB"/>
        </w:rPr>
        <w:t>Purpose and necessity of the blocking order</w:t>
      </w:r>
    </w:p>
    <w:p w:rsidR="0072304A" w:rsidRPr="00880065" w:rsidRDefault="0072304A" w:rsidP="00880065">
      <w:pPr>
        <w:pStyle w:val="OpiPara"/>
        <w:rPr>
          <w:lang w:val="en-GB"/>
        </w:rPr>
      </w:pPr>
      <w:r w:rsidRPr="00880065">
        <w:rPr>
          <w:lang w:val="en-GB"/>
        </w:rPr>
        <w:t>4.  After concluding that the interference in issue did not satisfy the lawfulness requirement set forth in paragraph 2 of Article 10 of the Convention, the majority considered it unnecessary to determine whether the other requirements of that paragraph had been met (see paragraph 67 of the judgment).</w:t>
      </w:r>
    </w:p>
    <w:p w:rsidR="0072304A" w:rsidRPr="00880065" w:rsidRDefault="0072304A" w:rsidP="00880065">
      <w:pPr>
        <w:pStyle w:val="OpiPara"/>
        <w:rPr>
          <w:lang w:val="en-GB"/>
        </w:rPr>
      </w:pPr>
      <w:r w:rsidRPr="00880065">
        <w:rPr>
          <w:lang w:val="en-GB"/>
        </w:rPr>
        <w:t>In principle, such an approach is justified. However, in the circumstances of the present case, I feel that this is a missed opportunity.</w:t>
      </w:r>
    </w:p>
    <w:p w:rsidR="0072304A" w:rsidRPr="00880065" w:rsidRDefault="0072304A" w:rsidP="00880065">
      <w:pPr>
        <w:pStyle w:val="OpiPara"/>
        <w:rPr>
          <w:lang w:val="en-GB"/>
        </w:rPr>
      </w:pPr>
      <w:r w:rsidRPr="00880065">
        <w:rPr>
          <w:lang w:val="en-GB"/>
        </w:rPr>
        <w:t xml:space="preserve">The statutory provision on which the Court gave its ruling, namely section 8 of Law no. 5651, has in the meantime been supplemented by a provision – section 8A – which now expressly states that access to an entire website can be blocked (see paragraph 22 of the judgment). The judgment therefore addresses a situation which, to the extent that it concerns the legal basis for the impugned measure, largely belongs to the past. That being so, it would in my opinion have been desirable to examine whether, irrespective of the fact that the interference in issue was not prescribed by law, the measure pursued a legitimate aim and whether, particularly on account of its effects, it was proportionate to that aim (for a similar approach, see </w:t>
      </w:r>
      <w:r w:rsidRPr="00880065">
        <w:rPr>
          <w:i/>
          <w:lang w:val="en-GB"/>
        </w:rPr>
        <w:t>Kurić and Others v. Slovenia</w:t>
      </w:r>
      <w:r w:rsidRPr="00880065">
        <w:rPr>
          <w:lang w:val="en-GB"/>
        </w:rPr>
        <w:t xml:space="preserve"> [GC], no. 26828/06, § 350, ECHR 2012 (extracts)).</w:t>
      </w:r>
    </w:p>
    <w:p w:rsidR="004D15F3" w:rsidRPr="00880065" w:rsidRDefault="0072304A" w:rsidP="00880065">
      <w:pPr>
        <w:pStyle w:val="OpiPara"/>
        <w:rPr>
          <w:lang w:val="en-GB"/>
        </w:rPr>
      </w:pPr>
      <w:r w:rsidRPr="00880065">
        <w:rPr>
          <w:lang w:val="en-GB"/>
        </w:rPr>
        <w:t>Admittedly, it is not the Court</w:t>
      </w:r>
      <w:r w:rsidR="00880065" w:rsidRPr="00880065">
        <w:rPr>
          <w:lang w:val="en-GB"/>
        </w:rPr>
        <w:t>’</w:t>
      </w:r>
      <w:r w:rsidRPr="00880065">
        <w:rPr>
          <w:lang w:val="en-GB"/>
        </w:rPr>
        <w:t xml:space="preserve">s task to rule </w:t>
      </w:r>
      <w:r w:rsidRPr="00880065">
        <w:rPr>
          <w:i/>
          <w:lang w:val="en-GB"/>
        </w:rPr>
        <w:t>in abstracto</w:t>
      </w:r>
      <w:r w:rsidRPr="00880065">
        <w:rPr>
          <w:lang w:val="en-GB"/>
        </w:rPr>
        <w:t xml:space="preserve"> on the new section 8A (see paragraph 75 of the judgment). I nevertheless believe that had it examined, even by way of an </w:t>
      </w:r>
      <w:r w:rsidRPr="00880065">
        <w:rPr>
          <w:i/>
          <w:lang w:val="en-GB"/>
        </w:rPr>
        <w:t>obiter dictum</w:t>
      </w:r>
      <w:r w:rsidRPr="00880065">
        <w:rPr>
          <w:lang w:val="en-GB"/>
        </w:rPr>
        <w:t xml:space="preserve">, the purpose and necessity of the interference complained of, its judgment could have offered guidance to Turkish citizens and authorities as to the </w:t>
      </w:r>
      <w:r w:rsidRPr="00880065">
        <w:rPr>
          <w:i/>
          <w:lang w:val="en-GB"/>
        </w:rPr>
        <w:t>principles</w:t>
      </w:r>
      <w:r w:rsidRPr="00880065">
        <w:rPr>
          <w:lang w:val="en-GB"/>
        </w:rPr>
        <w:t xml:space="preserve"> that must be observed in the application of both section 8 and the new section 8A of Law no. 5651.</w:t>
      </w:r>
    </w:p>
    <w:sectPr w:rsidR="004D15F3" w:rsidRPr="00880065">
      <w:headerReference w:type="even" r:id="rId17"/>
      <w:headerReference w:type="default" r:id="rId18"/>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2C7" w:rsidRPr="00535BB8" w:rsidRDefault="006F42C7" w:rsidP="00014566">
      <w:pPr>
        <w:rPr>
          <w:lang w:val="en-GB"/>
        </w:rPr>
      </w:pPr>
      <w:r w:rsidRPr="00535BB8">
        <w:rPr>
          <w:lang w:val="en-GB"/>
        </w:rPr>
        <w:separator/>
      </w:r>
    </w:p>
  </w:endnote>
  <w:endnote w:type="continuationSeparator" w:id="0">
    <w:p w:rsidR="006F42C7" w:rsidRPr="00535BB8" w:rsidRDefault="006F42C7" w:rsidP="00014566">
      <w:pPr>
        <w:rPr>
          <w:lang w:val="en-GB"/>
        </w:rPr>
      </w:pPr>
      <w:r w:rsidRPr="00535BB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Normal">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FF6" w:rsidRPr="00150BFA" w:rsidRDefault="006D2FF6" w:rsidP="002878EC">
    <w:pPr>
      <w:jc w:val="center"/>
    </w:pPr>
    <w:r>
      <w:rPr>
        <w:noProof/>
        <w:lang w:val="pl-PL" w:eastAsia="pl-PL"/>
      </w:rPr>
      <w:drawing>
        <wp:inline distT="0" distB="0" distL="0" distR="0" wp14:anchorId="32774CBB" wp14:editId="25C77A8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D2FF6" w:rsidRDefault="006D2FF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2C7" w:rsidRPr="00535BB8" w:rsidRDefault="006F42C7" w:rsidP="00014566">
      <w:pPr>
        <w:rPr>
          <w:lang w:val="en-GB"/>
        </w:rPr>
      </w:pPr>
      <w:r w:rsidRPr="00535BB8">
        <w:rPr>
          <w:lang w:val="en-GB"/>
        </w:rPr>
        <w:separator/>
      </w:r>
    </w:p>
  </w:footnote>
  <w:footnote w:type="continuationSeparator" w:id="0">
    <w:p w:rsidR="006F42C7" w:rsidRPr="00535BB8" w:rsidRDefault="006F42C7" w:rsidP="00014566">
      <w:pPr>
        <w:rPr>
          <w:lang w:val="en-GB"/>
        </w:rPr>
      </w:pPr>
      <w:r w:rsidRPr="00535BB8">
        <w:rPr>
          <w:lang w:val="en-GB"/>
        </w:rPr>
        <w:continuationSeparator/>
      </w:r>
    </w:p>
  </w:footnote>
  <w:footnote w:id="1">
    <w:p w:rsidR="006D2FF6" w:rsidRPr="00E237DF" w:rsidRDefault="006D2FF6" w:rsidP="002878EC">
      <w:pPr>
        <w:pStyle w:val="Tekstprzypisudolnego"/>
        <w:rPr>
          <w:lang w:val="en-GB"/>
        </w:rPr>
      </w:pPr>
      <w:r w:rsidRPr="00E237DF">
        <w:rPr>
          <w:rStyle w:val="Odwoanieprzypisudolnego"/>
          <w:lang w:val="en-GB"/>
        </w:rPr>
        <w:footnoteRef/>
      </w:r>
      <w:r w:rsidRPr="00E237DF">
        <w:rPr>
          <w:lang w:val="en-GB"/>
        </w:rPr>
        <w:t xml:space="preserve"> </w:t>
      </w:r>
      <w:bookmarkStart w:id="57" w:name="lt_pId414"/>
      <w:r w:rsidR="00807C62">
        <w:rPr>
          <w:lang w:val="en-GB"/>
        </w:rPr>
        <w:t>R</w:t>
      </w:r>
      <w:r w:rsidRPr="00E237DF">
        <w:rPr>
          <w:lang w:val="en-GB"/>
        </w:rPr>
        <w:t>ectified on 29 March 2016</w:t>
      </w:r>
      <w:bookmarkStart w:id="58" w:name="lt_pId415"/>
      <w:bookmarkEnd w:id="57"/>
      <w:r w:rsidR="00807C62">
        <w:rPr>
          <w:lang w:val="en-GB"/>
        </w:rPr>
        <w:t xml:space="preserve"> (French text)</w:t>
      </w:r>
      <w:r w:rsidRPr="00E237DF">
        <w:rPr>
          <w:lang w:val="en-GB"/>
        </w:rPr>
        <w:t xml:space="preserve">. </w:t>
      </w:r>
      <w:r w:rsidR="00807C62">
        <w:rPr>
          <w:lang w:val="en-GB"/>
        </w:rPr>
        <w:t>The text</w:t>
      </w:r>
      <w:r w:rsidRPr="00E237DF">
        <w:rPr>
          <w:lang w:val="en-GB"/>
        </w:rPr>
        <w:t xml:space="preserve"> previously read: </w:t>
      </w:r>
      <w:r>
        <w:rPr>
          <w:lang w:val="en-GB"/>
        </w:rPr>
        <w:t>“</w:t>
      </w:r>
      <w:r w:rsidRPr="00E237DF">
        <w:rPr>
          <w:lang w:val="en-GB"/>
        </w:rPr>
        <w:t>The Government stated in particular that ...”</w:t>
      </w:r>
      <w:bookmarkEnd w:id="58"/>
      <w:r w:rsidRPr="00E237DF">
        <w:rPr>
          <w:lang w:val="en-GB"/>
        </w:rPr>
        <w:t>.</w:t>
      </w:r>
    </w:p>
  </w:footnote>
  <w:footnote w:id="2">
    <w:p w:rsidR="006D2FF6" w:rsidRDefault="006D2FF6" w:rsidP="00E44F02">
      <w:pPr>
        <w:pStyle w:val="Tekstprzypisudolnego"/>
      </w:pPr>
      <w:r w:rsidRPr="00E237DF">
        <w:rPr>
          <w:rStyle w:val="Odwoanieprzypisudolnego"/>
          <w:lang w:val="en-GB"/>
        </w:rPr>
        <w:footnoteRef/>
      </w:r>
      <w:r w:rsidRPr="00E237DF">
        <w:rPr>
          <w:lang w:val="en-GB"/>
        </w:rPr>
        <w:t xml:space="preserve"> </w:t>
      </w:r>
      <w:r w:rsidR="00626CE6">
        <w:rPr>
          <w:lang w:val="en-GB"/>
        </w:rPr>
        <w:t>R</w:t>
      </w:r>
      <w:r w:rsidRPr="00E237DF">
        <w:rPr>
          <w:lang w:val="en-GB"/>
        </w:rPr>
        <w:t>ectified on 29 March 2016</w:t>
      </w:r>
      <w:r w:rsidR="00626CE6" w:rsidRPr="00626CE6">
        <w:rPr>
          <w:lang w:val="en-GB"/>
        </w:rPr>
        <w:t xml:space="preserve"> </w:t>
      </w:r>
      <w:r w:rsidR="00626CE6">
        <w:rPr>
          <w:lang w:val="en-GB"/>
        </w:rPr>
        <w:t>(</w:t>
      </w:r>
      <w:r w:rsidR="00626CE6" w:rsidRPr="00E237DF">
        <w:rPr>
          <w:lang w:val="en-GB"/>
        </w:rPr>
        <w:t>French text</w:t>
      </w:r>
      <w:r w:rsidR="00626CE6">
        <w:rPr>
          <w:lang w:val="en-GB"/>
        </w:rPr>
        <w:t>)</w:t>
      </w:r>
      <w:r w:rsidRPr="00E237DF">
        <w:rPr>
          <w:lang w:val="en-GB"/>
        </w:rPr>
        <w:t xml:space="preserve">. </w:t>
      </w:r>
      <w:r w:rsidR="00626CE6">
        <w:rPr>
          <w:lang w:val="en-GB"/>
        </w:rPr>
        <w:t xml:space="preserve">The </w:t>
      </w:r>
      <w:r w:rsidR="00294F53">
        <w:rPr>
          <w:lang w:val="en-GB"/>
        </w:rPr>
        <w:t xml:space="preserve">following </w:t>
      </w:r>
      <w:r w:rsidR="00626CE6">
        <w:rPr>
          <w:lang w:val="en-GB"/>
        </w:rPr>
        <w:t>text</w:t>
      </w:r>
      <w:r w:rsidRPr="00E237DF">
        <w:rPr>
          <w:lang w:val="en-GB"/>
        </w:rPr>
        <w:t xml:space="preserve"> </w:t>
      </w:r>
      <w:r w:rsidR="00294F53">
        <w:rPr>
          <w:lang w:val="en-GB"/>
        </w:rPr>
        <w:t>was deleted</w:t>
      </w:r>
      <w:r w:rsidRPr="00E237DF">
        <w:rPr>
          <w:lang w:val="en-GB"/>
        </w:rPr>
        <w:t>: “although the parties provided detailed comments on them</w:t>
      </w:r>
      <w:r w:rsidR="00626CE6">
        <w:rPr>
          <w:lang w:val="en-GB"/>
        </w:rPr>
        <w:t xml:space="preserve"> in their observations,”.</w:t>
      </w:r>
    </w:p>
  </w:footnote>
  <w:footnote w:id="3">
    <w:p w:rsidR="0072304A" w:rsidRPr="00EC6B5D" w:rsidRDefault="0072304A" w:rsidP="0072304A">
      <w:pPr>
        <w:pStyle w:val="Tekstprzypisudolnego"/>
        <w:rPr>
          <w:lang w:val="en-GB"/>
        </w:rPr>
      </w:pPr>
      <w:r>
        <w:rPr>
          <w:lang w:val="en-GB"/>
        </w:rPr>
        <w:t>1</w:t>
      </w:r>
      <w:r w:rsidRPr="00EC6B5D">
        <w:rPr>
          <w:lang w:val="en-GB"/>
        </w:rPr>
        <w:t>.  </w:t>
      </w:r>
      <w:r w:rsidRPr="005B0E79">
        <w:rPr>
          <w:bCs/>
          <w:snapToGrid w:val="0"/>
        </w:rPr>
        <w:t>The</w:t>
      </w:r>
      <w:r>
        <w:rPr>
          <w:bCs/>
          <w:snapToGrid w:val="0"/>
        </w:rPr>
        <w:t xml:space="preserve"> situation in the</w:t>
      </w:r>
      <w:r w:rsidRPr="005B0E79">
        <w:rPr>
          <w:bCs/>
          <w:snapToGrid w:val="0"/>
        </w:rPr>
        <w:t xml:space="preserve"> present case </w:t>
      </w:r>
      <w:r>
        <w:rPr>
          <w:bCs/>
          <w:snapToGrid w:val="0"/>
        </w:rPr>
        <w:t>is not similar</w:t>
      </w:r>
      <w:r w:rsidRPr="005B0E79">
        <w:rPr>
          <w:bCs/>
          <w:snapToGrid w:val="0"/>
        </w:rPr>
        <w:t xml:space="preserve"> to those in the cases that gave rise to the</w:t>
      </w:r>
      <w:r w:rsidRPr="005B0E79">
        <w:rPr>
          <w:snapToGrid w:val="0"/>
          <w:lang w:val="en-GB"/>
        </w:rPr>
        <w:t xml:space="preserve"> Constitutional Court’s judgments of 2 April 2014 and 29 May 2014 (see paragraphs 25 and 26 of the judgment), in which the Telecommunications and Information Technology Directorate (“the TİB”) had blocked access to an entire website without a court order for </w:t>
      </w:r>
      <w:r>
        <w:rPr>
          <w:snapToGrid w:val="0"/>
          <w:lang w:val="en-GB"/>
        </w:rPr>
        <w:t>such an extensive</w:t>
      </w:r>
      <w:r w:rsidRPr="005B0E79">
        <w:rPr>
          <w:snapToGrid w:val="0"/>
          <w:lang w:val="en-GB"/>
        </w:rPr>
        <w:t xml:space="preserve"> measure. In addition, </w:t>
      </w:r>
      <w:r w:rsidRPr="005B0E79">
        <w:rPr>
          <w:bCs/>
          <w:snapToGrid w:val="0"/>
        </w:rPr>
        <w:t>in the case of</w:t>
      </w:r>
      <w:r w:rsidRPr="00EC6B5D">
        <w:rPr>
          <w:rStyle w:val="Pogrubienie"/>
          <w:lang w:val="en-GB"/>
        </w:rPr>
        <w:t xml:space="preserve"> </w:t>
      </w:r>
      <w:r>
        <w:rPr>
          <w:i/>
          <w:lang w:val="en-GB"/>
        </w:rPr>
        <w:t>Ahmet Yıldırım v</w:t>
      </w:r>
      <w:r w:rsidRPr="00EC6B5D">
        <w:rPr>
          <w:i/>
          <w:lang w:val="en-GB"/>
        </w:rPr>
        <w:t>. Tur</w:t>
      </w:r>
      <w:r>
        <w:rPr>
          <w:i/>
          <w:lang w:val="en-GB"/>
        </w:rPr>
        <w:t>key</w:t>
      </w:r>
      <w:r w:rsidRPr="00EC6B5D">
        <w:rPr>
          <w:lang w:val="en-GB"/>
        </w:rPr>
        <w:t xml:space="preserve"> (n</w:t>
      </w:r>
      <w:r>
        <w:rPr>
          <w:lang w:val="en-GB"/>
        </w:rPr>
        <w:t>o. </w:t>
      </w:r>
      <w:r w:rsidRPr="00EC6B5D">
        <w:rPr>
          <w:lang w:val="en-GB"/>
        </w:rPr>
        <w:t xml:space="preserve">3111/10, </w:t>
      </w:r>
      <w:r>
        <w:rPr>
          <w:snapToGrid w:val="0"/>
          <w:lang w:val="en-GB"/>
        </w:rPr>
        <w:t>ECHR 2012) the court had ordered the wholesale blocking of access to</w:t>
      </w:r>
      <w:r w:rsidRPr="00EC6B5D">
        <w:rPr>
          <w:snapToGrid w:val="0"/>
          <w:lang w:val="en-GB"/>
        </w:rPr>
        <w:t xml:space="preserve"> Google Sites </w:t>
      </w:r>
      <w:r>
        <w:rPr>
          <w:snapToGrid w:val="0"/>
          <w:lang w:val="en-GB"/>
        </w:rPr>
        <w:t>further to a request from the</w:t>
      </w:r>
      <w:r w:rsidRPr="00EC6B5D">
        <w:rPr>
          <w:snapToGrid w:val="0"/>
          <w:lang w:val="en-GB"/>
        </w:rPr>
        <w:t xml:space="preserve"> </w:t>
      </w:r>
      <w:r w:rsidRPr="0072206D">
        <w:rPr>
          <w:snapToGrid w:val="0"/>
          <w:lang w:val="en-GB"/>
        </w:rPr>
        <w:t>TİB</w:t>
      </w:r>
      <w:r w:rsidRPr="00EC6B5D">
        <w:rPr>
          <w:snapToGrid w:val="0"/>
          <w:lang w:val="en-GB"/>
        </w:rPr>
        <w:t xml:space="preserve">. </w:t>
      </w:r>
      <w:r>
        <w:rPr>
          <w:snapToGrid w:val="0"/>
          <w:lang w:val="en-GB"/>
        </w:rPr>
        <w:t xml:space="preserve">In the present case it was the court itself, on its own </w:t>
      </w:r>
      <w:r w:rsidRPr="00EC6B5D">
        <w:rPr>
          <w:snapToGrid w:val="0"/>
          <w:lang w:val="en-GB"/>
        </w:rPr>
        <w:t xml:space="preserve">initiative, </w:t>
      </w:r>
      <w:r>
        <w:rPr>
          <w:snapToGrid w:val="0"/>
          <w:lang w:val="en-GB"/>
        </w:rPr>
        <w:t xml:space="preserve">that ordered the blocking of all access to </w:t>
      </w:r>
      <w:r w:rsidRPr="00EC6B5D">
        <w:rPr>
          <w:snapToGrid w:val="0"/>
          <w:lang w:val="en-GB"/>
        </w:rPr>
        <w:t xml:space="preserve">YouTube, </w:t>
      </w:r>
      <w:r>
        <w:rPr>
          <w:snapToGrid w:val="0"/>
          <w:lang w:val="en-GB"/>
        </w:rPr>
        <w:t xml:space="preserve">and the </w:t>
      </w:r>
      <w:r w:rsidRPr="0072206D">
        <w:rPr>
          <w:snapToGrid w:val="0"/>
          <w:lang w:val="en-GB"/>
        </w:rPr>
        <w:t>TİB</w:t>
      </w:r>
      <w:r w:rsidRPr="00EC6B5D">
        <w:rPr>
          <w:snapToGrid w:val="0"/>
          <w:lang w:val="en-GB"/>
        </w:rPr>
        <w:t xml:space="preserve"> </w:t>
      </w:r>
      <w:r>
        <w:rPr>
          <w:snapToGrid w:val="0"/>
          <w:lang w:val="en-GB"/>
        </w:rPr>
        <w:t>simply exec</w:t>
      </w:r>
      <w:r>
        <w:rPr>
          <w:lang w:val="en-GB"/>
        </w:rPr>
        <w:t>uted that</w:t>
      </w:r>
      <w:r w:rsidRPr="00EC6B5D">
        <w:rPr>
          <w:snapToGrid w:val="0"/>
          <w:lang w:val="en-GB"/>
        </w:rPr>
        <w:t xml:space="preserve"> </w:t>
      </w:r>
      <w:r>
        <w:rPr>
          <w:snapToGrid w:val="0"/>
          <w:lang w:val="en-GB"/>
        </w:rPr>
        <w:t>decision</w:t>
      </w:r>
      <w:r w:rsidRPr="00EC6B5D">
        <w:rPr>
          <w:snapToGrid w:val="0"/>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FF6" w:rsidRPr="001404BA" w:rsidRDefault="006D2FF6" w:rsidP="001404BA">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FF6" w:rsidRPr="00A45145" w:rsidRDefault="006D2FF6" w:rsidP="002878EC">
    <w:pPr>
      <w:jc w:val="center"/>
    </w:pPr>
    <w:r>
      <w:rPr>
        <w:noProof/>
        <w:lang w:val="pl-PL" w:eastAsia="pl-PL"/>
      </w:rPr>
      <w:drawing>
        <wp:inline distT="0" distB="0" distL="0" distR="0" wp14:anchorId="30B2D440" wp14:editId="57855E16">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D2FF6" w:rsidRDefault="006D2FF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FF6" w:rsidRPr="00535BB8" w:rsidRDefault="006D2FF6"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05880">
      <w:rPr>
        <w:rStyle w:val="Numerstrony"/>
        <w:noProof/>
        <w:szCs w:val="18"/>
        <w:lang w:val="en-GB"/>
      </w:rPr>
      <w:t>18</w:t>
    </w:r>
    <w:r>
      <w:rPr>
        <w:rStyle w:val="Numerstrony"/>
        <w:szCs w:val="18"/>
        <w:lang w:val="en-GB"/>
      </w:rPr>
      <w:fldChar w:fldCharType="end"/>
    </w:r>
    <w:r w:rsidRPr="00535BB8">
      <w:rPr>
        <w:lang w:val="en-GB"/>
      </w:rPr>
      <w:tab/>
    </w:r>
    <w:r>
      <w:rPr>
        <w:lang w:val="en-GB"/>
      </w:rPr>
      <w:t>CENGİZ AND OTHERS v. TURKEY</w:t>
    </w:r>
    <w:r w:rsidRPr="00535BB8">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FF6" w:rsidRPr="00535BB8" w:rsidRDefault="006D2FF6" w:rsidP="00D60D87">
    <w:pPr>
      <w:pStyle w:val="ECHRHeader"/>
      <w:rPr>
        <w:lang w:val="en-GB"/>
      </w:rPr>
    </w:pPr>
    <w:r w:rsidRPr="00535BB8">
      <w:rPr>
        <w:lang w:val="en-GB"/>
      </w:rPr>
      <w:tab/>
    </w:r>
    <w:r>
      <w:rPr>
        <w:lang w:val="en-GB"/>
      </w:rPr>
      <w:t>CENGİZ AND OTHERS v. TURKEY</w:t>
    </w:r>
    <w:r w:rsidRPr="00535BB8">
      <w:rPr>
        <w:lang w:val="en-GB"/>
      </w:rPr>
      <w:t xml:space="preserve"> </w:t>
    </w:r>
    <w:r>
      <w:rPr>
        <w:lang w:val="en-GB"/>
      </w:rPr>
      <w:t>JUDGMENT</w:t>
    </w:r>
    <w:r w:rsidRPr="00535BB8">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05880">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Pr="002D599D" w:rsidRDefault="0072304A" w:rsidP="00641EC2">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005880">
      <w:rPr>
        <w:rStyle w:val="Numerstrony"/>
        <w:noProof/>
        <w:lang w:val="en-GB"/>
      </w:rPr>
      <w:t>20</w:t>
    </w:r>
    <w:r>
      <w:rPr>
        <w:rStyle w:val="Numerstrony"/>
        <w:lang w:val="en-GB"/>
      </w:rPr>
      <w:fldChar w:fldCharType="end"/>
    </w:r>
    <w:r w:rsidRPr="002D599D">
      <w:rPr>
        <w:lang w:val="en-GB"/>
      </w:rPr>
      <w:tab/>
    </w:r>
    <w:r>
      <w:rPr>
        <w:lang w:val="en-GB"/>
      </w:rPr>
      <w:t>CENG</w:t>
    </w:r>
    <w:r w:rsidRPr="00031F1D">
      <w:rPr>
        <w:lang w:val="en-GB"/>
      </w:rPr>
      <w:t>İ</w:t>
    </w:r>
    <w:r>
      <w:rPr>
        <w:lang w:val="en-GB"/>
      </w:rPr>
      <w:t>Z AND OTHERS v. TURKEY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Pr="002D599D" w:rsidRDefault="0072304A" w:rsidP="00BD3512">
    <w:pPr>
      <w:pStyle w:val="ECHRHeader"/>
      <w:rPr>
        <w:lang w:val="en-GB"/>
      </w:rPr>
    </w:pPr>
    <w:r w:rsidRPr="002D599D">
      <w:rPr>
        <w:lang w:val="en-GB"/>
      </w:rPr>
      <w:tab/>
    </w:r>
    <w:r>
      <w:rPr>
        <w:lang w:val="en-GB"/>
      </w:rPr>
      <w:t>CENG</w:t>
    </w:r>
    <w:r w:rsidRPr="00031F1D">
      <w:rPr>
        <w:lang w:val="en-GB"/>
      </w:rPr>
      <w:t>İ</w:t>
    </w:r>
    <w:r>
      <w:rPr>
        <w:lang w:val="en-GB"/>
      </w:rPr>
      <w:t>Z AND OTHERS v. TURKEY</w:t>
    </w:r>
    <w:r w:rsidRPr="002D599D">
      <w:rPr>
        <w:lang w:val="en-GB"/>
      </w:rPr>
      <w:t xml:space="preserve"> JUDGMENT</w:t>
    </w:r>
    <w:r>
      <w:rPr>
        <w:lang w:val="en-GB"/>
      </w:rPr>
      <w:t xml:space="preserve"> – SEPARATE OPINION</w:t>
    </w:r>
    <w:r w:rsidRPr="002D599D">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005880">
      <w:rPr>
        <w:rStyle w:val="Numerstrony"/>
        <w:noProof/>
        <w:lang w:val="en-GB"/>
      </w:rPr>
      <w:t>21</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404BA"/>
    <w:rsid w:val="00000067"/>
    <w:rsid w:val="00000472"/>
    <w:rsid w:val="000010ED"/>
    <w:rsid w:val="000041F8"/>
    <w:rsid w:val="0000423E"/>
    <w:rsid w:val="000042A8"/>
    <w:rsid w:val="00004308"/>
    <w:rsid w:val="00005880"/>
    <w:rsid w:val="00005BF0"/>
    <w:rsid w:val="00007154"/>
    <w:rsid w:val="000103AE"/>
    <w:rsid w:val="00011D69"/>
    <w:rsid w:val="00012AD3"/>
    <w:rsid w:val="00014566"/>
    <w:rsid w:val="00015C2D"/>
    <w:rsid w:val="00015F00"/>
    <w:rsid w:val="00020A80"/>
    <w:rsid w:val="00022C1D"/>
    <w:rsid w:val="000237BB"/>
    <w:rsid w:val="00033CAD"/>
    <w:rsid w:val="00034987"/>
    <w:rsid w:val="000350E3"/>
    <w:rsid w:val="000361C0"/>
    <w:rsid w:val="000458B0"/>
    <w:rsid w:val="00051D07"/>
    <w:rsid w:val="00057644"/>
    <w:rsid w:val="000602DF"/>
    <w:rsid w:val="00061B05"/>
    <w:rsid w:val="00062973"/>
    <w:rsid w:val="00062D5D"/>
    <w:rsid w:val="000632D5"/>
    <w:rsid w:val="000644EE"/>
    <w:rsid w:val="00071ABC"/>
    <w:rsid w:val="00072B71"/>
    <w:rsid w:val="000856D7"/>
    <w:rsid w:val="000925AD"/>
    <w:rsid w:val="000A24EB"/>
    <w:rsid w:val="000B6631"/>
    <w:rsid w:val="000B6923"/>
    <w:rsid w:val="000C033C"/>
    <w:rsid w:val="000C5F3C"/>
    <w:rsid w:val="000C6DCC"/>
    <w:rsid w:val="000D2094"/>
    <w:rsid w:val="000D47AA"/>
    <w:rsid w:val="000D5B68"/>
    <w:rsid w:val="000D721F"/>
    <w:rsid w:val="000E069B"/>
    <w:rsid w:val="000E0E82"/>
    <w:rsid w:val="000E1DC5"/>
    <w:rsid w:val="000E223F"/>
    <w:rsid w:val="000E35AC"/>
    <w:rsid w:val="000E7303"/>
    <w:rsid w:val="000E7D45"/>
    <w:rsid w:val="000F7851"/>
    <w:rsid w:val="00104E23"/>
    <w:rsid w:val="00111B0C"/>
    <w:rsid w:val="001134D7"/>
    <w:rsid w:val="00120D6C"/>
    <w:rsid w:val="001257EC"/>
    <w:rsid w:val="001325FC"/>
    <w:rsid w:val="00132C6A"/>
    <w:rsid w:val="00133D33"/>
    <w:rsid w:val="00134D64"/>
    <w:rsid w:val="00135A30"/>
    <w:rsid w:val="00135F58"/>
    <w:rsid w:val="0013612C"/>
    <w:rsid w:val="00137FF6"/>
    <w:rsid w:val="001404BA"/>
    <w:rsid w:val="00141650"/>
    <w:rsid w:val="001427A2"/>
    <w:rsid w:val="001429E5"/>
    <w:rsid w:val="00151831"/>
    <w:rsid w:val="00155269"/>
    <w:rsid w:val="00162A12"/>
    <w:rsid w:val="00162B4C"/>
    <w:rsid w:val="00162D82"/>
    <w:rsid w:val="00162DD4"/>
    <w:rsid w:val="00166530"/>
    <w:rsid w:val="001832BD"/>
    <w:rsid w:val="0018498E"/>
    <w:rsid w:val="00192214"/>
    <w:rsid w:val="001943B5"/>
    <w:rsid w:val="00195134"/>
    <w:rsid w:val="001A145B"/>
    <w:rsid w:val="001A674C"/>
    <w:rsid w:val="001B3B24"/>
    <w:rsid w:val="001C0F98"/>
    <w:rsid w:val="001C2A42"/>
    <w:rsid w:val="001D434E"/>
    <w:rsid w:val="001D63ED"/>
    <w:rsid w:val="001D7348"/>
    <w:rsid w:val="001D73E4"/>
    <w:rsid w:val="001D7475"/>
    <w:rsid w:val="001E035B"/>
    <w:rsid w:val="001E05DD"/>
    <w:rsid w:val="001E0961"/>
    <w:rsid w:val="001E1A72"/>
    <w:rsid w:val="001E3EAE"/>
    <w:rsid w:val="001E5348"/>
    <w:rsid w:val="001E6F32"/>
    <w:rsid w:val="001F2145"/>
    <w:rsid w:val="001F3A90"/>
    <w:rsid w:val="001F4DF8"/>
    <w:rsid w:val="001F6262"/>
    <w:rsid w:val="001F67B0"/>
    <w:rsid w:val="001F7B3D"/>
    <w:rsid w:val="0020042C"/>
    <w:rsid w:val="00205F9F"/>
    <w:rsid w:val="00210338"/>
    <w:rsid w:val="0021068F"/>
    <w:rsid w:val="002115FC"/>
    <w:rsid w:val="002133F8"/>
    <w:rsid w:val="0021423C"/>
    <w:rsid w:val="00230D00"/>
    <w:rsid w:val="00231DF7"/>
    <w:rsid w:val="00231FD1"/>
    <w:rsid w:val="002339E0"/>
    <w:rsid w:val="00233CF8"/>
    <w:rsid w:val="0023575D"/>
    <w:rsid w:val="00237148"/>
    <w:rsid w:val="00237A7D"/>
    <w:rsid w:val="0024222D"/>
    <w:rsid w:val="002438C7"/>
    <w:rsid w:val="00244B0E"/>
    <w:rsid w:val="00244F6C"/>
    <w:rsid w:val="00247622"/>
    <w:rsid w:val="002532C5"/>
    <w:rsid w:val="00256F7C"/>
    <w:rsid w:val="00260C03"/>
    <w:rsid w:val="0026540E"/>
    <w:rsid w:val="00266402"/>
    <w:rsid w:val="00271E5F"/>
    <w:rsid w:val="0027225C"/>
    <w:rsid w:val="00275123"/>
    <w:rsid w:val="00282240"/>
    <w:rsid w:val="0028572A"/>
    <w:rsid w:val="002878EC"/>
    <w:rsid w:val="00293162"/>
    <w:rsid w:val="002948AD"/>
    <w:rsid w:val="00294C05"/>
    <w:rsid w:val="00294C92"/>
    <w:rsid w:val="00294F53"/>
    <w:rsid w:val="0029638D"/>
    <w:rsid w:val="002A01CC"/>
    <w:rsid w:val="002A61B1"/>
    <w:rsid w:val="002A663C"/>
    <w:rsid w:val="002B1E6C"/>
    <w:rsid w:val="002B444B"/>
    <w:rsid w:val="002B5887"/>
    <w:rsid w:val="002B7457"/>
    <w:rsid w:val="002C0692"/>
    <w:rsid w:val="002C09A8"/>
    <w:rsid w:val="002C0E27"/>
    <w:rsid w:val="002C3040"/>
    <w:rsid w:val="002C4FE7"/>
    <w:rsid w:val="002D022D"/>
    <w:rsid w:val="002D24BB"/>
    <w:rsid w:val="002E2141"/>
    <w:rsid w:val="002F2AF7"/>
    <w:rsid w:val="002F346B"/>
    <w:rsid w:val="002F7E1C"/>
    <w:rsid w:val="00301A75"/>
    <w:rsid w:val="00302F70"/>
    <w:rsid w:val="0030336F"/>
    <w:rsid w:val="0030375E"/>
    <w:rsid w:val="003122D5"/>
    <w:rsid w:val="00312A30"/>
    <w:rsid w:val="003146E4"/>
    <w:rsid w:val="00320F72"/>
    <w:rsid w:val="0032379F"/>
    <w:rsid w:val="0032463E"/>
    <w:rsid w:val="003255A4"/>
    <w:rsid w:val="00326224"/>
    <w:rsid w:val="0032676F"/>
    <w:rsid w:val="003301B6"/>
    <w:rsid w:val="00331D4D"/>
    <w:rsid w:val="003334E1"/>
    <w:rsid w:val="00336216"/>
    <w:rsid w:val="00337EE4"/>
    <w:rsid w:val="00340FFD"/>
    <w:rsid w:val="00344FF1"/>
    <w:rsid w:val="003506B1"/>
    <w:rsid w:val="00356AC7"/>
    <w:rsid w:val="003609FA"/>
    <w:rsid w:val="00360EEB"/>
    <w:rsid w:val="003654FB"/>
    <w:rsid w:val="003710C8"/>
    <w:rsid w:val="003750BE"/>
    <w:rsid w:val="00385BA4"/>
    <w:rsid w:val="0038781C"/>
    <w:rsid w:val="00387B9D"/>
    <w:rsid w:val="0039215B"/>
    <w:rsid w:val="0039364F"/>
    <w:rsid w:val="00396686"/>
    <w:rsid w:val="0039778E"/>
    <w:rsid w:val="003A441D"/>
    <w:rsid w:val="003B4941"/>
    <w:rsid w:val="003C5714"/>
    <w:rsid w:val="003C6B9F"/>
    <w:rsid w:val="003C6E2A"/>
    <w:rsid w:val="003D0299"/>
    <w:rsid w:val="003E6837"/>
    <w:rsid w:val="003E6D80"/>
    <w:rsid w:val="003F05FA"/>
    <w:rsid w:val="003F244A"/>
    <w:rsid w:val="003F30B8"/>
    <w:rsid w:val="003F4C45"/>
    <w:rsid w:val="003F5D20"/>
    <w:rsid w:val="003F5F7B"/>
    <w:rsid w:val="003F68E3"/>
    <w:rsid w:val="003F77A7"/>
    <w:rsid w:val="003F7D64"/>
    <w:rsid w:val="00400228"/>
    <w:rsid w:val="00414300"/>
    <w:rsid w:val="00425C67"/>
    <w:rsid w:val="00426D2F"/>
    <w:rsid w:val="00427E7A"/>
    <w:rsid w:val="004359D7"/>
    <w:rsid w:val="00436307"/>
    <w:rsid w:val="00436C49"/>
    <w:rsid w:val="00441A7C"/>
    <w:rsid w:val="00442C3F"/>
    <w:rsid w:val="00445366"/>
    <w:rsid w:val="00447F5B"/>
    <w:rsid w:val="00457B32"/>
    <w:rsid w:val="00461DB0"/>
    <w:rsid w:val="00463926"/>
    <w:rsid w:val="004646E0"/>
    <w:rsid w:val="00464C9A"/>
    <w:rsid w:val="00465A26"/>
    <w:rsid w:val="00474F3D"/>
    <w:rsid w:val="00476679"/>
    <w:rsid w:val="00477E3A"/>
    <w:rsid w:val="00483E5F"/>
    <w:rsid w:val="00485FF9"/>
    <w:rsid w:val="004907F0"/>
    <w:rsid w:val="00491255"/>
    <w:rsid w:val="0049140B"/>
    <w:rsid w:val="00491DCB"/>
    <w:rsid w:val="004923A5"/>
    <w:rsid w:val="00496BFB"/>
    <w:rsid w:val="004A15C7"/>
    <w:rsid w:val="004B013B"/>
    <w:rsid w:val="004B112B"/>
    <w:rsid w:val="004B55BA"/>
    <w:rsid w:val="004B5B37"/>
    <w:rsid w:val="004C01E4"/>
    <w:rsid w:val="004C086C"/>
    <w:rsid w:val="004C1F56"/>
    <w:rsid w:val="004C27BC"/>
    <w:rsid w:val="004C619B"/>
    <w:rsid w:val="004C6740"/>
    <w:rsid w:val="004D1215"/>
    <w:rsid w:val="004D15F3"/>
    <w:rsid w:val="004D25F8"/>
    <w:rsid w:val="004D5311"/>
    <w:rsid w:val="004D5DCC"/>
    <w:rsid w:val="004E398D"/>
    <w:rsid w:val="004F10AF"/>
    <w:rsid w:val="004F11A4"/>
    <w:rsid w:val="004F2389"/>
    <w:rsid w:val="004F304D"/>
    <w:rsid w:val="004F542A"/>
    <w:rsid w:val="004F61BE"/>
    <w:rsid w:val="004F66B1"/>
    <w:rsid w:val="00507DEE"/>
    <w:rsid w:val="00511C07"/>
    <w:rsid w:val="005173A6"/>
    <w:rsid w:val="00520BAA"/>
    <w:rsid w:val="00525208"/>
    <w:rsid w:val="005257A5"/>
    <w:rsid w:val="00525A14"/>
    <w:rsid w:val="005264C0"/>
    <w:rsid w:val="00526A8A"/>
    <w:rsid w:val="0053111A"/>
    <w:rsid w:val="00531DF2"/>
    <w:rsid w:val="00534510"/>
    <w:rsid w:val="00535BB8"/>
    <w:rsid w:val="00540148"/>
    <w:rsid w:val="005442EE"/>
    <w:rsid w:val="00547353"/>
    <w:rsid w:val="005474E7"/>
    <w:rsid w:val="005512A3"/>
    <w:rsid w:val="00554F7A"/>
    <w:rsid w:val="005578CE"/>
    <w:rsid w:val="0056114C"/>
    <w:rsid w:val="00562781"/>
    <w:rsid w:val="00563E83"/>
    <w:rsid w:val="0057271C"/>
    <w:rsid w:val="00572845"/>
    <w:rsid w:val="00592772"/>
    <w:rsid w:val="0059574A"/>
    <w:rsid w:val="005A1B9B"/>
    <w:rsid w:val="005A27FD"/>
    <w:rsid w:val="005A2B38"/>
    <w:rsid w:val="005A6751"/>
    <w:rsid w:val="005B092E"/>
    <w:rsid w:val="005B152C"/>
    <w:rsid w:val="005B1EE0"/>
    <w:rsid w:val="005B2B24"/>
    <w:rsid w:val="005B4425"/>
    <w:rsid w:val="005B4B94"/>
    <w:rsid w:val="005B7596"/>
    <w:rsid w:val="005C223E"/>
    <w:rsid w:val="005C3EE8"/>
    <w:rsid w:val="005D34F9"/>
    <w:rsid w:val="005D3723"/>
    <w:rsid w:val="005D4190"/>
    <w:rsid w:val="005D67A3"/>
    <w:rsid w:val="005E2988"/>
    <w:rsid w:val="005E2A43"/>
    <w:rsid w:val="005E3085"/>
    <w:rsid w:val="005E438A"/>
    <w:rsid w:val="005F0311"/>
    <w:rsid w:val="005F414A"/>
    <w:rsid w:val="005F51E1"/>
    <w:rsid w:val="00611C80"/>
    <w:rsid w:val="00620692"/>
    <w:rsid w:val="006222D3"/>
    <w:rsid w:val="006242CA"/>
    <w:rsid w:val="00626CE6"/>
    <w:rsid w:val="00627507"/>
    <w:rsid w:val="00633717"/>
    <w:rsid w:val="00633E63"/>
    <w:rsid w:val="006344E1"/>
    <w:rsid w:val="0063472A"/>
    <w:rsid w:val="00643840"/>
    <w:rsid w:val="006545C4"/>
    <w:rsid w:val="00661971"/>
    <w:rsid w:val="00661CE8"/>
    <w:rsid w:val="006623D9"/>
    <w:rsid w:val="006640BE"/>
    <w:rsid w:val="0066550C"/>
    <w:rsid w:val="00665D24"/>
    <w:rsid w:val="006716F2"/>
    <w:rsid w:val="00674AF2"/>
    <w:rsid w:val="00677049"/>
    <w:rsid w:val="00682BF2"/>
    <w:rsid w:val="006845C4"/>
    <w:rsid w:val="006859CE"/>
    <w:rsid w:val="00691270"/>
    <w:rsid w:val="00693C0B"/>
    <w:rsid w:val="00694BA8"/>
    <w:rsid w:val="006A037C"/>
    <w:rsid w:val="006A36F4"/>
    <w:rsid w:val="006A406F"/>
    <w:rsid w:val="006A501C"/>
    <w:rsid w:val="006A5D3A"/>
    <w:rsid w:val="006B4ECD"/>
    <w:rsid w:val="006C23D4"/>
    <w:rsid w:val="006C2806"/>
    <w:rsid w:val="006C7BB0"/>
    <w:rsid w:val="006D17CB"/>
    <w:rsid w:val="006D2FF6"/>
    <w:rsid w:val="006D3237"/>
    <w:rsid w:val="006E144C"/>
    <w:rsid w:val="006E2E37"/>
    <w:rsid w:val="006E3CF1"/>
    <w:rsid w:val="006E40A9"/>
    <w:rsid w:val="006E7E80"/>
    <w:rsid w:val="006F1DF9"/>
    <w:rsid w:val="006F24DB"/>
    <w:rsid w:val="006F42C7"/>
    <w:rsid w:val="006F48CA"/>
    <w:rsid w:val="006F64DD"/>
    <w:rsid w:val="006F79F0"/>
    <w:rsid w:val="00704EDA"/>
    <w:rsid w:val="00714D9B"/>
    <w:rsid w:val="00715127"/>
    <w:rsid w:val="00715E8E"/>
    <w:rsid w:val="0072288C"/>
    <w:rsid w:val="0072304A"/>
    <w:rsid w:val="00723580"/>
    <w:rsid w:val="00723755"/>
    <w:rsid w:val="0073136C"/>
    <w:rsid w:val="00731F0F"/>
    <w:rsid w:val="00733250"/>
    <w:rsid w:val="00736E52"/>
    <w:rsid w:val="00741404"/>
    <w:rsid w:val="007449E5"/>
    <w:rsid w:val="00746C5A"/>
    <w:rsid w:val="00747FF0"/>
    <w:rsid w:val="00752110"/>
    <w:rsid w:val="00760ADB"/>
    <w:rsid w:val="0076217D"/>
    <w:rsid w:val="00764D4E"/>
    <w:rsid w:val="00765A1F"/>
    <w:rsid w:val="00766202"/>
    <w:rsid w:val="00767291"/>
    <w:rsid w:val="00775B6D"/>
    <w:rsid w:val="00776D68"/>
    <w:rsid w:val="00782D04"/>
    <w:rsid w:val="007850EE"/>
    <w:rsid w:val="00785B95"/>
    <w:rsid w:val="00790E96"/>
    <w:rsid w:val="00793366"/>
    <w:rsid w:val="00793932"/>
    <w:rsid w:val="00795D8D"/>
    <w:rsid w:val="007A0F6E"/>
    <w:rsid w:val="007A5F08"/>
    <w:rsid w:val="007A6EC8"/>
    <w:rsid w:val="007A716F"/>
    <w:rsid w:val="007B270A"/>
    <w:rsid w:val="007B67D6"/>
    <w:rsid w:val="007C0695"/>
    <w:rsid w:val="007C2A21"/>
    <w:rsid w:val="007C419A"/>
    <w:rsid w:val="007C4CC8"/>
    <w:rsid w:val="007C5426"/>
    <w:rsid w:val="007C5798"/>
    <w:rsid w:val="007D0647"/>
    <w:rsid w:val="007D3922"/>
    <w:rsid w:val="007D4832"/>
    <w:rsid w:val="007D71DA"/>
    <w:rsid w:val="007E21B2"/>
    <w:rsid w:val="007E2C4E"/>
    <w:rsid w:val="007E66E0"/>
    <w:rsid w:val="007F1905"/>
    <w:rsid w:val="007F2BD4"/>
    <w:rsid w:val="007F669D"/>
    <w:rsid w:val="0080048F"/>
    <w:rsid w:val="00801300"/>
    <w:rsid w:val="00802C64"/>
    <w:rsid w:val="00804573"/>
    <w:rsid w:val="00805E52"/>
    <w:rsid w:val="008061D0"/>
    <w:rsid w:val="00807C62"/>
    <w:rsid w:val="00810B38"/>
    <w:rsid w:val="00811C50"/>
    <w:rsid w:val="0081541C"/>
    <w:rsid w:val="008204C7"/>
    <w:rsid w:val="00820992"/>
    <w:rsid w:val="00823602"/>
    <w:rsid w:val="008255F5"/>
    <w:rsid w:val="0083014E"/>
    <w:rsid w:val="0083214A"/>
    <w:rsid w:val="00834220"/>
    <w:rsid w:val="00845723"/>
    <w:rsid w:val="00851EF9"/>
    <w:rsid w:val="008529B4"/>
    <w:rsid w:val="008577FD"/>
    <w:rsid w:val="0086041D"/>
    <w:rsid w:val="00860B03"/>
    <w:rsid w:val="0086497A"/>
    <w:rsid w:val="008713A1"/>
    <w:rsid w:val="008754AB"/>
    <w:rsid w:val="00880065"/>
    <w:rsid w:val="0088060C"/>
    <w:rsid w:val="0089222E"/>
    <w:rsid w:val="00893576"/>
    <w:rsid w:val="00893E73"/>
    <w:rsid w:val="00893EC3"/>
    <w:rsid w:val="008941A9"/>
    <w:rsid w:val="008A43C4"/>
    <w:rsid w:val="008B02DC"/>
    <w:rsid w:val="008B03B5"/>
    <w:rsid w:val="008B57CE"/>
    <w:rsid w:val="008B659F"/>
    <w:rsid w:val="008C07D8"/>
    <w:rsid w:val="008C26DE"/>
    <w:rsid w:val="008C2A48"/>
    <w:rsid w:val="008D069D"/>
    <w:rsid w:val="008D147C"/>
    <w:rsid w:val="008D1E66"/>
    <w:rsid w:val="008D2225"/>
    <w:rsid w:val="008D40F9"/>
    <w:rsid w:val="008D4752"/>
    <w:rsid w:val="008D552A"/>
    <w:rsid w:val="008D60EB"/>
    <w:rsid w:val="008D76D1"/>
    <w:rsid w:val="008E0127"/>
    <w:rsid w:val="008E271C"/>
    <w:rsid w:val="008E418E"/>
    <w:rsid w:val="008E500C"/>
    <w:rsid w:val="008E5BC6"/>
    <w:rsid w:val="008E6A25"/>
    <w:rsid w:val="008F1286"/>
    <w:rsid w:val="008F4604"/>
    <w:rsid w:val="008F5193"/>
    <w:rsid w:val="008F6834"/>
    <w:rsid w:val="009013A7"/>
    <w:rsid w:val="009017FB"/>
    <w:rsid w:val="009017FC"/>
    <w:rsid w:val="00903B43"/>
    <w:rsid w:val="0090506B"/>
    <w:rsid w:val="009050C9"/>
    <w:rsid w:val="009066FC"/>
    <w:rsid w:val="009140A3"/>
    <w:rsid w:val="009144A2"/>
    <w:rsid w:val="0091510C"/>
    <w:rsid w:val="00920EAE"/>
    <w:rsid w:val="0092274D"/>
    <w:rsid w:val="009259AC"/>
    <w:rsid w:val="00926F38"/>
    <w:rsid w:val="00934301"/>
    <w:rsid w:val="00936CD1"/>
    <w:rsid w:val="00941747"/>
    <w:rsid w:val="00941EFB"/>
    <w:rsid w:val="00946D41"/>
    <w:rsid w:val="00947AFB"/>
    <w:rsid w:val="00951D7D"/>
    <w:rsid w:val="00952C12"/>
    <w:rsid w:val="009630C7"/>
    <w:rsid w:val="00972B55"/>
    <w:rsid w:val="009743B7"/>
    <w:rsid w:val="00976F92"/>
    <w:rsid w:val="00981B6F"/>
    <w:rsid w:val="0098228B"/>
    <w:rsid w:val="009828DA"/>
    <w:rsid w:val="0098440E"/>
    <w:rsid w:val="00985BAB"/>
    <w:rsid w:val="00990387"/>
    <w:rsid w:val="00997243"/>
    <w:rsid w:val="00997F03"/>
    <w:rsid w:val="009A46DF"/>
    <w:rsid w:val="009A666F"/>
    <w:rsid w:val="009B1B5F"/>
    <w:rsid w:val="009B2EC2"/>
    <w:rsid w:val="009B6673"/>
    <w:rsid w:val="009C191B"/>
    <w:rsid w:val="009C2BD6"/>
    <w:rsid w:val="009C5882"/>
    <w:rsid w:val="009D1A09"/>
    <w:rsid w:val="009E1F32"/>
    <w:rsid w:val="009E5829"/>
    <w:rsid w:val="009E6C39"/>
    <w:rsid w:val="009E776C"/>
    <w:rsid w:val="009F7D14"/>
    <w:rsid w:val="00A1726E"/>
    <w:rsid w:val="00A204CF"/>
    <w:rsid w:val="00A23D49"/>
    <w:rsid w:val="00A27004"/>
    <w:rsid w:val="00A270C8"/>
    <w:rsid w:val="00A30C29"/>
    <w:rsid w:val="00A34964"/>
    <w:rsid w:val="00A34DD6"/>
    <w:rsid w:val="00A36819"/>
    <w:rsid w:val="00A36989"/>
    <w:rsid w:val="00A43628"/>
    <w:rsid w:val="00A4789D"/>
    <w:rsid w:val="00A54192"/>
    <w:rsid w:val="00A6035E"/>
    <w:rsid w:val="00A6144C"/>
    <w:rsid w:val="00A63EEC"/>
    <w:rsid w:val="00A66617"/>
    <w:rsid w:val="00A671F8"/>
    <w:rsid w:val="00A673A4"/>
    <w:rsid w:val="00A724AE"/>
    <w:rsid w:val="00A73329"/>
    <w:rsid w:val="00A82359"/>
    <w:rsid w:val="00A86159"/>
    <w:rsid w:val="00A865D2"/>
    <w:rsid w:val="00A86DDA"/>
    <w:rsid w:val="00A94C20"/>
    <w:rsid w:val="00A95935"/>
    <w:rsid w:val="00A96ED6"/>
    <w:rsid w:val="00A975C8"/>
    <w:rsid w:val="00AA07C3"/>
    <w:rsid w:val="00AA227F"/>
    <w:rsid w:val="00AA3BC7"/>
    <w:rsid w:val="00AA400B"/>
    <w:rsid w:val="00AA60F9"/>
    <w:rsid w:val="00AA754A"/>
    <w:rsid w:val="00AB099E"/>
    <w:rsid w:val="00AB4328"/>
    <w:rsid w:val="00AB5FA0"/>
    <w:rsid w:val="00AE0A2E"/>
    <w:rsid w:val="00AE354C"/>
    <w:rsid w:val="00AF4B07"/>
    <w:rsid w:val="00AF6186"/>
    <w:rsid w:val="00AF7A3A"/>
    <w:rsid w:val="00B160DB"/>
    <w:rsid w:val="00B1716A"/>
    <w:rsid w:val="00B20836"/>
    <w:rsid w:val="00B235BB"/>
    <w:rsid w:val="00B27A44"/>
    <w:rsid w:val="00B30BBF"/>
    <w:rsid w:val="00B33289"/>
    <w:rsid w:val="00B33C03"/>
    <w:rsid w:val="00B44E56"/>
    <w:rsid w:val="00B46543"/>
    <w:rsid w:val="00B47D33"/>
    <w:rsid w:val="00B52BE0"/>
    <w:rsid w:val="00B536D6"/>
    <w:rsid w:val="00B54133"/>
    <w:rsid w:val="00B555BA"/>
    <w:rsid w:val="00B637B9"/>
    <w:rsid w:val="00B67E55"/>
    <w:rsid w:val="00B701ED"/>
    <w:rsid w:val="00B8086C"/>
    <w:rsid w:val="00B809CD"/>
    <w:rsid w:val="00B826B5"/>
    <w:rsid w:val="00B861B4"/>
    <w:rsid w:val="00B86DFE"/>
    <w:rsid w:val="00B90990"/>
    <w:rsid w:val="00B922FF"/>
    <w:rsid w:val="00B9281E"/>
    <w:rsid w:val="00B93925"/>
    <w:rsid w:val="00B95187"/>
    <w:rsid w:val="00BA1B2C"/>
    <w:rsid w:val="00BA2D55"/>
    <w:rsid w:val="00BA71B1"/>
    <w:rsid w:val="00BB0637"/>
    <w:rsid w:val="00BB345F"/>
    <w:rsid w:val="00BB5883"/>
    <w:rsid w:val="00BB68EA"/>
    <w:rsid w:val="00BC1C27"/>
    <w:rsid w:val="00BC6BBF"/>
    <w:rsid w:val="00BD1572"/>
    <w:rsid w:val="00BE0227"/>
    <w:rsid w:val="00BE14E3"/>
    <w:rsid w:val="00BE3774"/>
    <w:rsid w:val="00BE41E5"/>
    <w:rsid w:val="00BE636A"/>
    <w:rsid w:val="00BF0BBB"/>
    <w:rsid w:val="00BF3812"/>
    <w:rsid w:val="00BF4109"/>
    <w:rsid w:val="00BF4CC3"/>
    <w:rsid w:val="00C009F9"/>
    <w:rsid w:val="00C01F12"/>
    <w:rsid w:val="00C054C7"/>
    <w:rsid w:val="00C057B5"/>
    <w:rsid w:val="00C06A1C"/>
    <w:rsid w:val="00C07AF9"/>
    <w:rsid w:val="00C129A1"/>
    <w:rsid w:val="00C17492"/>
    <w:rsid w:val="00C22687"/>
    <w:rsid w:val="00C32E4D"/>
    <w:rsid w:val="00C333A0"/>
    <w:rsid w:val="00C36513"/>
    <w:rsid w:val="00C36A81"/>
    <w:rsid w:val="00C41974"/>
    <w:rsid w:val="00C423DD"/>
    <w:rsid w:val="00C447AD"/>
    <w:rsid w:val="00C53F4A"/>
    <w:rsid w:val="00C54125"/>
    <w:rsid w:val="00C55B54"/>
    <w:rsid w:val="00C6098E"/>
    <w:rsid w:val="00C614CC"/>
    <w:rsid w:val="00C6152C"/>
    <w:rsid w:val="00C621C2"/>
    <w:rsid w:val="00C74810"/>
    <w:rsid w:val="00C830E5"/>
    <w:rsid w:val="00C86475"/>
    <w:rsid w:val="00C90D68"/>
    <w:rsid w:val="00C93476"/>
    <w:rsid w:val="00C939FE"/>
    <w:rsid w:val="00CA2B26"/>
    <w:rsid w:val="00CA4BDA"/>
    <w:rsid w:val="00CB0760"/>
    <w:rsid w:val="00CB1F66"/>
    <w:rsid w:val="00CB2443"/>
    <w:rsid w:val="00CB2951"/>
    <w:rsid w:val="00CB68DF"/>
    <w:rsid w:val="00CD282B"/>
    <w:rsid w:val="00CD38BD"/>
    <w:rsid w:val="00CD4C35"/>
    <w:rsid w:val="00CD7369"/>
    <w:rsid w:val="00CD7637"/>
    <w:rsid w:val="00CE0B0E"/>
    <w:rsid w:val="00CE3831"/>
    <w:rsid w:val="00CE6915"/>
    <w:rsid w:val="00CF0F8D"/>
    <w:rsid w:val="00CF5B17"/>
    <w:rsid w:val="00D00ABB"/>
    <w:rsid w:val="00D017B2"/>
    <w:rsid w:val="00D02EEC"/>
    <w:rsid w:val="00D03551"/>
    <w:rsid w:val="00D06A63"/>
    <w:rsid w:val="00D07E0E"/>
    <w:rsid w:val="00D11478"/>
    <w:rsid w:val="00D15ED0"/>
    <w:rsid w:val="00D21B3E"/>
    <w:rsid w:val="00D21FED"/>
    <w:rsid w:val="00D24251"/>
    <w:rsid w:val="00D343E2"/>
    <w:rsid w:val="00D361A2"/>
    <w:rsid w:val="00D4023F"/>
    <w:rsid w:val="00D44C2E"/>
    <w:rsid w:val="00D45414"/>
    <w:rsid w:val="00D50AB7"/>
    <w:rsid w:val="00D53C0F"/>
    <w:rsid w:val="00D566BD"/>
    <w:rsid w:val="00D57A4D"/>
    <w:rsid w:val="00D60AA7"/>
    <w:rsid w:val="00D60D87"/>
    <w:rsid w:val="00D6435F"/>
    <w:rsid w:val="00D75E28"/>
    <w:rsid w:val="00D772C2"/>
    <w:rsid w:val="00D8008E"/>
    <w:rsid w:val="00D80DD3"/>
    <w:rsid w:val="00D81A21"/>
    <w:rsid w:val="00D82C45"/>
    <w:rsid w:val="00D835EA"/>
    <w:rsid w:val="00D908A8"/>
    <w:rsid w:val="00D977B6"/>
    <w:rsid w:val="00DA3CDE"/>
    <w:rsid w:val="00DA4A31"/>
    <w:rsid w:val="00DA61F2"/>
    <w:rsid w:val="00DA7B04"/>
    <w:rsid w:val="00DB36C2"/>
    <w:rsid w:val="00DB7196"/>
    <w:rsid w:val="00DC169B"/>
    <w:rsid w:val="00DC2AB9"/>
    <w:rsid w:val="00DC420E"/>
    <w:rsid w:val="00DC5288"/>
    <w:rsid w:val="00DC63F0"/>
    <w:rsid w:val="00DC7FCD"/>
    <w:rsid w:val="00DD1AF4"/>
    <w:rsid w:val="00DD26E1"/>
    <w:rsid w:val="00DD6EE5"/>
    <w:rsid w:val="00DE150C"/>
    <w:rsid w:val="00DE1B8E"/>
    <w:rsid w:val="00DE386C"/>
    <w:rsid w:val="00DE4D35"/>
    <w:rsid w:val="00DF0549"/>
    <w:rsid w:val="00DF098B"/>
    <w:rsid w:val="00DF11C4"/>
    <w:rsid w:val="00DF210C"/>
    <w:rsid w:val="00DF24D3"/>
    <w:rsid w:val="00DF4B38"/>
    <w:rsid w:val="00DF4B6A"/>
    <w:rsid w:val="00E02C09"/>
    <w:rsid w:val="00E04D59"/>
    <w:rsid w:val="00E07DA1"/>
    <w:rsid w:val="00E123CB"/>
    <w:rsid w:val="00E1557C"/>
    <w:rsid w:val="00E20E13"/>
    <w:rsid w:val="00E21DBC"/>
    <w:rsid w:val="00E237DF"/>
    <w:rsid w:val="00E275D7"/>
    <w:rsid w:val="00E27DBE"/>
    <w:rsid w:val="00E32AB1"/>
    <w:rsid w:val="00E36C71"/>
    <w:rsid w:val="00E40404"/>
    <w:rsid w:val="00E4371C"/>
    <w:rsid w:val="00E44F02"/>
    <w:rsid w:val="00E4559F"/>
    <w:rsid w:val="00E459C6"/>
    <w:rsid w:val="00E47589"/>
    <w:rsid w:val="00E60091"/>
    <w:rsid w:val="00E64915"/>
    <w:rsid w:val="00E65D82"/>
    <w:rsid w:val="00E661D4"/>
    <w:rsid w:val="00E67804"/>
    <w:rsid w:val="00E70091"/>
    <w:rsid w:val="00E720F5"/>
    <w:rsid w:val="00E767B1"/>
    <w:rsid w:val="00E76D47"/>
    <w:rsid w:val="00E849F7"/>
    <w:rsid w:val="00E87BB6"/>
    <w:rsid w:val="00E90302"/>
    <w:rsid w:val="00E9597F"/>
    <w:rsid w:val="00E97396"/>
    <w:rsid w:val="00EA185E"/>
    <w:rsid w:val="00EA592A"/>
    <w:rsid w:val="00EB14E4"/>
    <w:rsid w:val="00EB3281"/>
    <w:rsid w:val="00EB32A5"/>
    <w:rsid w:val="00EB34ED"/>
    <w:rsid w:val="00EB53B8"/>
    <w:rsid w:val="00EB7BE0"/>
    <w:rsid w:val="00EC2459"/>
    <w:rsid w:val="00EC315E"/>
    <w:rsid w:val="00ED077C"/>
    <w:rsid w:val="00ED1190"/>
    <w:rsid w:val="00ED6544"/>
    <w:rsid w:val="00EE0277"/>
    <w:rsid w:val="00EE1582"/>
    <w:rsid w:val="00EE1DA9"/>
    <w:rsid w:val="00EE26A5"/>
    <w:rsid w:val="00EE3E00"/>
    <w:rsid w:val="00EE5DD2"/>
    <w:rsid w:val="00EF41F1"/>
    <w:rsid w:val="00EF4F08"/>
    <w:rsid w:val="00EF573B"/>
    <w:rsid w:val="00EF5AE7"/>
    <w:rsid w:val="00F00A79"/>
    <w:rsid w:val="00F00E86"/>
    <w:rsid w:val="00F00F8B"/>
    <w:rsid w:val="00F056C5"/>
    <w:rsid w:val="00F07C1E"/>
    <w:rsid w:val="00F105DB"/>
    <w:rsid w:val="00F132BC"/>
    <w:rsid w:val="00F13D80"/>
    <w:rsid w:val="00F16AAA"/>
    <w:rsid w:val="00F21161"/>
    <w:rsid w:val="00F218EF"/>
    <w:rsid w:val="00F21BC7"/>
    <w:rsid w:val="00F266A2"/>
    <w:rsid w:val="00F32269"/>
    <w:rsid w:val="00F41E5B"/>
    <w:rsid w:val="00F4457E"/>
    <w:rsid w:val="00F51CE0"/>
    <w:rsid w:val="00F56A6F"/>
    <w:rsid w:val="00F5709C"/>
    <w:rsid w:val="00F62BF5"/>
    <w:rsid w:val="00F64EF1"/>
    <w:rsid w:val="00F75BC6"/>
    <w:rsid w:val="00F8765F"/>
    <w:rsid w:val="00F90767"/>
    <w:rsid w:val="00FA11AE"/>
    <w:rsid w:val="00FA3B90"/>
    <w:rsid w:val="00FA48BC"/>
    <w:rsid w:val="00FA685B"/>
    <w:rsid w:val="00FB0C01"/>
    <w:rsid w:val="00FC18F2"/>
    <w:rsid w:val="00FC39E5"/>
    <w:rsid w:val="00FC3A78"/>
    <w:rsid w:val="00FC5FFE"/>
    <w:rsid w:val="00FC6EFB"/>
    <w:rsid w:val="00FD1005"/>
    <w:rsid w:val="00FD3180"/>
    <w:rsid w:val="00FD6C75"/>
    <w:rsid w:val="00FE6A66"/>
    <w:rsid w:val="00FE71B3"/>
    <w:rsid w:val="00FF14BE"/>
    <w:rsid w:val="00FF42C5"/>
    <w:rsid w:val="00FF69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0006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0006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00006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0006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000067"/>
    <w:rPr>
      <w:i/>
      <w:iCs/>
      <w:smallCaps/>
      <w:spacing w:val="5"/>
    </w:rPr>
  </w:style>
  <w:style w:type="paragraph" w:customStyle="1" w:styleId="ECHRHeader">
    <w:name w:val="ECHR_Header"/>
    <w:aliases w:val="Ju_Header"/>
    <w:basedOn w:val="Nagwek"/>
    <w:uiPriority w:val="4"/>
    <w:qFormat/>
    <w:rsid w:val="0000006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000067"/>
    <w:rPr>
      <w:b/>
      <w:bCs/>
    </w:rPr>
  </w:style>
  <w:style w:type="paragraph" w:styleId="Bezodstpw">
    <w:name w:val="No Spacing"/>
    <w:basedOn w:val="Normalny"/>
    <w:link w:val="BezodstpwZnak"/>
    <w:semiHidden/>
    <w:qFormat/>
    <w:rsid w:val="00000067"/>
  </w:style>
  <w:style w:type="character" w:customStyle="1" w:styleId="BezodstpwZnak">
    <w:name w:val="Bez odstępów Znak"/>
    <w:basedOn w:val="Domylnaczcionkaakapitu"/>
    <w:link w:val="Bezodstpw"/>
    <w:semiHidden/>
    <w:rsid w:val="00000067"/>
    <w:rPr>
      <w:rFonts w:eastAsiaTheme="minorEastAsia"/>
      <w:sz w:val="24"/>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000067"/>
    <w:pPr>
      <w:numPr>
        <w:numId w:val="15"/>
      </w:numPr>
      <w:jc w:val="left"/>
    </w:pPr>
    <w:rPr>
      <w:b/>
    </w:rPr>
  </w:style>
  <w:style w:type="paragraph" w:customStyle="1" w:styleId="OpiPara">
    <w:name w:val="Opi_Para"/>
    <w:basedOn w:val="ECHRPara"/>
    <w:uiPriority w:val="46"/>
    <w:qFormat/>
    <w:rsid w:val="00000067"/>
  </w:style>
  <w:style w:type="paragraph" w:customStyle="1" w:styleId="JuParaSub">
    <w:name w:val="Ju_Para_Sub"/>
    <w:basedOn w:val="ECHRPara"/>
    <w:uiPriority w:val="13"/>
    <w:unhideWhenUsed/>
    <w:qFormat/>
    <w:rsid w:val="00000067"/>
    <w:pPr>
      <w:ind w:left="284"/>
    </w:pPr>
  </w:style>
  <w:style w:type="paragraph" w:customStyle="1" w:styleId="ECHRTitleCentre3">
    <w:name w:val="ECHR_Title_Centre_3"/>
    <w:aliases w:val="Ju_H_Article"/>
    <w:basedOn w:val="Normalny"/>
    <w:next w:val="ECHRParaQuote"/>
    <w:link w:val="JuHArticleChar"/>
    <w:uiPriority w:val="27"/>
    <w:qFormat/>
    <w:rsid w:val="0000006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0006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000067"/>
  </w:style>
  <w:style w:type="paragraph" w:customStyle="1" w:styleId="OpiQuot">
    <w:name w:val="Opi_Quot"/>
    <w:basedOn w:val="ECHRParaQuote"/>
    <w:uiPriority w:val="48"/>
    <w:qFormat/>
    <w:rsid w:val="00000067"/>
  </w:style>
  <w:style w:type="paragraph" w:customStyle="1" w:styleId="OpiQuotSub">
    <w:name w:val="Opi_Quot_Sub"/>
    <w:basedOn w:val="JuQuotSub"/>
    <w:uiPriority w:val="49"/>
    <w:qFormat/>
    <w:rsid w:val="00000067"/>
  </w:style>
  <w:style w:type="paragraph" w:customStyle="1" w:styleId="ECHRTitleCentre2">
    <w:name w:val="ECHR_Title_Centre_2"/>
    <w:aliases w:val="Dec_H_Case"/>
    <w:basedOn w:val="Normalny"/>
    <w:next w:val="ECHRPara"/>
    <w:uiPriority w:val="8"/>
    <w:qFormat/>
    <w:rsid w:val="00000067"/>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00006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00006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0006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0006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00006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0006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0006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00067"/>
    <w:pPr>
      <w:keepNext/>
      <w:keepLines/>
      <w:spacing w:before="240" w:after="120"/>
      <w:ind w:left="1236"/>
    </w:pPr>
    <w:rPr>
      <w:sz w:val="20"/>
    </w:rPr>
  </w:style>
  <w:style w:type="paragraph" w:customStyle="1" w:styleId="JuQuotSub">
    <w:name w:val="Ju_Quot_Sub"/>
    <w:basedOn w:val="ECHRParaQuote"/>
    <w:uiPriority w:val="15"/>
    <w:qFormat/>
    <w:rsid w:val="00000067"/>
    <w:pPr>
      <w:ind w:left="567"/>
    </w:pPr>
  </w:style>
  <w:style w:type="paragraph" w:customStyle="1" w:styleId="JuInitialled">
    <w:name w:val="Ju_Initialled"/>
    <w:basedOn w:val="Normalny"/>
    <w:uiPriority w:val="31"/>
    <w:qFormat/>
    <w:rsid w:val="00000067"/>
    <w:pPr>
      <w:tabs>
        <w:tab w:val="center" w:pos="6407"/>
      </w:tabs>
      <w:spacing w:before="720"/>
      <w:jc w:val="right"/>
    </w:pPr>
  </w:style>
  <w:style w:type="paragraph" w:customStyle="1" w:styleId="OpiHA">
    <w:name w:val="Opi_H_A"/>
    <w:basedOn w:val="ECHRHeading1"/>
    <w:next w:val="OpiPara"/>
    <w:uiPriority w:val="41"/>
    <w:qFormat/>
    <w:rsid w:val="0000006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00006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link w:val="JuHAChar0"/>
    <w:uiPriority w:val="20"/>
    <w:qFormat/>
    <w:rsid w:val="0000006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00006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000067"/>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00006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000067"/>
    <w:pPr>
      <w:keepNext/>
      <w:keepLines/>
      <w:spacing w:before="720" w:after="240"/>
      <w:outlineLvl w:val="0"/>
    </w:pPr>
    <w:rPr>
      <w:rFonts w:asciiTheme="majorHAnsi" w:hAnsiTheme="majorHAnsi"/>
      <w:sz w:val="28"/>
    </w:rPr>
  </w:style>
  <w:style w:type="character" w:styleId="Uwydatnienie">
    <w:name w:val="Emphasis"/>
    <w:uiPriority w:val="99"/>
    <w:semiHidden/>
    <w:qFormat/>
    <w:rsid w:val="0000006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00067"/>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00006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0006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000067"/>
    <w:rPr>
      <w:color w:val="0072BC" w:themeColor="hyperlink"/>
      <w:u w:val="single"/>
    </w:rPr>
  </w:style>
  <w:style w:type="character" w:styleId="Wyrnienieintensywne">
    <w:name w:val="Intense Emphasis"/>
    <w:uiPriority w:val="99"/>
    <w:semiHidden/>
    <w:qFormat/>
    <w:rsid w:val="00000067"/>
    <w:rPr>
      <w:b/>
      <w:bCs/>
    </w:rPr>
  </w:style>
  <w:style w:type="paragraph" w:styleId="Cytatintensywny">
    <w:name w:val="Intense Quote"/>
    <w:basedOn w:val="Normalny"/>
    <w:next w:val="Normalny"/>
    <w:link w:val="CytatintensywnyZnak"/>
    <w:uiPriority w:val="99"/>
    <w:semiHidden/>
    <w:qFormat/>
    <w:rsid w:val="0000006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000067"/>
    <w:rPr>
      <w:rFonts w:eastAsiaTheme="minorEastAsia"/>
      <w:b/>
      <w:bCs/>
      <w:i/>
      <w:iCs/>
      <w:sz w:val="24"/>
      <w:lang w:bidi="en-US"/>
    </w:rPr>
  </w:style>
  <w:style w:type="character" w:styleId="Odwoanieintensywne">
    <w:name w:val="Intense Reference"/>
    <w:uiPriority w:val="99"/>
    <w:semiHidden/>
    <w:qFormat/>
    <w:rsid w:val="00000067"/>
    <w:rPr>
      <w:smallCaps/>
      <w:spacing w:val="5"/>
      <w:u w:val="single"/>
    </w:rPr>
  </w:style>
  <w:style w:type="paragraph" w:styleId="Akapitzlist">
    <w:name w:val="List Paragraph"/>
    <w:basedOn w:val="Normalny"/>
    <w:uiPriority w:val="99"/>
    <w:semiHidden/>
    <w:qFormat/>
    <w:rsid w:val="0000006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00067"/>
    <w:pPr>
      <w:spacing w:before="200"/>
      <w:ind w:left="360" w:right="360"/>
    </w:pPr>
    <w:rPr>
      <w:i/>
      <w:iCs/>
      <w:lang w:bidi="en-US"/>
    </w:rPr>
  </w:style>
  <w:style w:type="character" w:customStyle="1" w:styleId="CytatZnak">
    <w:name w:val="Cytat Znak"/>
    <w:basedOn w:val="Domylnaczcionkaakapitu"/>
    <w:link w:val="Cytat"/>
    <w:uiPriority w:val="99"/>
    <w:semiHidden/>
    <w:rsid w:val="00000067"/>
    <w:rPr>
      <w:rFonts w:eastAsiaTheme="minorEastAsia"/>
      <w:i/>
      <w:iCs/>
      <w:sz w:val="24"/>
      <w:lang w:bidi="en-US"/>
    </w:rPr>
  </w:style>
  <w:style w:type="character" w:styleId="Odwoaniedelikatne">
    <w:name w:val="Subtle Reference"/>
    <w:uiPriority w:val="99"/>
    <w:semiHidden/>
    <w:qFormat/>
    <w:rsid w:val="00000067"/>
    <w:rPr>
      <w:smallCaps/>
    </w:rPr>
  </w:style>
  <w:style w:type="table" w:styleId="Tabela-Siatka">
    <w:name w:val="Table Grid"/>
    <w:basedOn w:val="Standardowy"/>
    <w:uiPriority w:val="59"/>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0006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link w:val="JuQuotChar"/>
    <w:uiPriority w:val="14"/>
    <w:qFormat/>
    <w:rsid w:val="00000067"/>
    <w:pPr>
      <w:spacing w:before="120" w:after="120"/>
      <w:ind w:left="425" w:firstLine="142"/>
    </w:pPr>
    <w:rPr>
      <w:sz w:val="20"/>
    </w:rPr>
  </w:style>
  <w:style w:type="paragraph" w:customStyle="1" w:styleId="ECHRPara">
    <w:name w:val="ECHR_Para"/>
    <w:aliases w:val="Ju_Para"/>
    <w:basedOn w:val="Normalny"/>
    <w:link w:val="ECHRParaChar"/>
    <w:uiPriority w:val="12"/>
    <w:qFormat/>
    <w:rsid w:val="0000006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0006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00067"/>
    <w:pPr>
      <w:ind w:left="340" w:hanging="340"/>
    </w:pPr>
  </w:style>
  <w:style w:type="paragraph" w:customStyle="1" w:styleId="JuSigned">
    <w:name w:val="Ju_Signed"/>
    <w:basedOn w:val="Normalny"/>
    <w:next w:val="JuParaLast"/>
    <w:uiPriority w:val="32"/>
    <w:qFormat/>
    <w:rsid w:val="00000067"/>
    <w:pPr>
      <w:tabs>
        <w:tab w:val="center" w:pos="851"/>
        <w:tab w:val="center" w:pos="6407"/>
      </w:tabs>
      <w:spacing w:before="720"/>
      <w:jc w:val="left"/>
    </w:pPr>
  </w:style>
  <w:style w:type="paragraph" w:customStyle="1" w:styleId="JuParaLast">
    <w:name w:val="Ju_Para_Last"/>
    <w:basedOn w:val="Normalny"/>
    <w:next w:val="ECHRPara"/>
    <w:uiPriority w:val="30"/>
    <w:qFormat/>
    <w:rsid w:val="00000067"/>
    <w:pPr>
      <w:keepNext/>
      <w:keepLines/>
      <w:spacing w:before="240"/>
      <w:ind w:firstLine="284"/>
    </w:pPr>
  </w:style>
  <w:style w:type="paragraph" w:customStyle="1" w:styleId="JuCourt">
    <w:name w:val="Ju_Court"/>
    <w:basedOn w:val="Normalny"/>
    <w:next w:val="Normalny"/>
    <w:uiPriority w:val="16"/>
    <w:qFormat/>
    <w:rsid w:val="00000067"/>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000067"/>
    <w:pPr>
      <w:ind w:left="346" w:firstLine="0"/>
    </w:pPr>
  </w:style>
  <w:style w:type="paragraph" w:customStyle="1" w:styleId="JuListi">
    <w:name w:val="Ju_List_i"/>
    <w:basedOn w:val="Normalny"/>
    <w:next w:val="JuLista"/>
    <w:uiPriority w:val="28"/>
    <w:qFormat/>
    <w:rsid w:val="0000006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000067"/>
    <w:rPr>
      <w:vanish w:val="0"/>
      <w:color w:val="auto"/>
      <w:sz w:val="14"/>
    </w:rPr>
  </w:style>
  <w:style w:type="paragraph" w:styleId="Podtytu">
    <w:name w:val="Subtitle"/>
    <w:basedOn w:val="Normalny"/>
    <w:next w:val="Normalny"/>
    <w:link w:val="PodtytuZnak"/>
    <w:uiPriority w:val="99"/>
    <w:semiHidden/>
    <w:qFormat/>
    <w:rsid w:val="0000006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0006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000067"/>
    <w:pPr>
      <w:jc w:val="center"/>
      <w:outlineLvl w:val="0"/>
    </w:pPr>
    <w:rPr>
      <w:i/>
    </w:rPr>
  </w:style>
  <w:style w:type="paragraph" w:customStyle="1" w:styleId="DecHTitle">
    <w:name w:val="Dec_H_Title"/>
    <w:basedOn w:val="ECHRTitleCentre1"/>
    <w:uiPriority w:val="7"/>
    <w:qFormat/>
    <w:rsid w:val="00000067"/>
  </w:style>
  <w:style w:type="paragraph" w:customStyle="1" w:styleId="DecList">
    <w:name w:val="Dec_List"/>
    <w:basedOn w:val="Normalny"/>
    <w:uiPriority w:val="9"/>
    <w:qFormat/>
    <w:rsid w:val="00000067"/>
    <w:pPr>
      <w:spacing w:before="240"/>
      <w:ind w:left="284"/>
    </w:pPr>
  </w:style>
  <w:style w:type="paragraph" w:customStyle="1" w:styleId="OpiH1">
    <w:name w:val="Opi_H_1"/>
    <w:basedOn w:val="ECHRHeading2"/>
    <w:uiPriority w:val="42"/>
    <w:qFormat/>
    <w:rsid w:val="00000067"/>
    <w:pPr>
      <w:ind w:left="635" w:hanging="357"/>
      <w:outlineLvl w:val="2"/>
    </w:pPr>
  </w:style>
  <w:style w:type="paragraph" w:customStyle="1" w:styleId="OpiHa0">
    <w:name w:val="Opi_H_a"/>
    <w:basedOn w:val="ECHRHeading3"/>
    <w:uiPriority w:val="43"/>
    <w:qFormat/>
    <w:rsid w:val="00000067"/>
    <w:pPr>
      <w:ind w:left="833" w:hanging="357"/>
      <w:outlineLvl w:val="3"/>
    </w:pPr>
    <w:rPr>
      <w:b/>
      <w:i w:val="0"/>
      <w:sz w:val="20"/>
    </w:rPr>
  </w:style>
  <w:style w:type="paragraph" w:customStyle="1" w:styleId="OpiHi">
    <w:name w:val="Opi_H_i"/>
    <w:basedOn w:val="ECHRHeading4"/>
    <w:uiPriority w:val="44"/>
    <w:qFormat/>
    <w:rsid w:val="00000067"/>
    <w:pPr>
      <w:ind w:left="1037" w:hanging="357"/>
      <w:outlineLvl w:val="4"/>
    </w:pPr>
    <w:rPr>
      <w:b w:val="0"/>
      <w:i/>
    </w:rPr>
  </w:style>
  <w:style w:type="paragraph" w:customStyle="1" w:styleId="DummyStyle">
    <w:name w:val="Dummy_Style"/>
    <w:basedOn w:val="Normalny"/>
    <w:semiHidden/>
    <w:qFormat/>
    <w:rsid w:val="00000067"/>
    <w:rPr>
      <w:color w:val="00B050"/>
    </w:rPr>
  </w:style>
  <w:style w:type="paragraph" w:customStyle="1" w:styleId="JuHeaderLandscape">
    <w:name w:val="Ju_Header_Landscape"/>
    <w:basedOn w:val="ECHRHeader"/>
    <w:uiPriority w:val="4"/>
    <w:qFormat/>
    <w:rsid w:val="00000067"/>
    <w:pPr>
      <w:tabs>
        <w:tab w:val="clear" w:pos="3686"/>
        <w:tab w:val="clear" w:pos="7371"/>
        <w:tab w:val="center" w:pos="6146"/>
        <w:tab w:val="right" w:pos="12293"/>
      </w:tabs>
    </w:pPr>
  </w:style>
  <w:style w:type="character" w:customStyle="1" w:styleId="ECHRParaChar">
    <w:name w:val="ECHR_Para Char"/>
    <w:aliases w:val="Ju_Para Char"/>
    <w:basedOn w:val="BezodstpwZnak"/>
    <w:link w:val="ECHRPara"/>
    <w:uiPriority w:val="12"/>
    <w:rsid w:val="002878EC"/>
    <w:rPr>
      <w:rFonts w:eastAsiaTheme="minorEastAsia"/>
      <w:sz w:val="24"/>
    </w:rPr>
  </w:style>
  <w:style w:type="character" w:customStyle="1" w:styleId="JuHAChar0">
    <w:name w:val="Ju_H_A Char"/>
    <w:link w:val="ECHRHeading2"/>
    <w:uiPriority w:val="20"/>
    <w:rsid w:val="002878EC"/>
    <w:rPr>
      <w:rFonts w:asciiTheme="majorHAnsi" w:eastAsiaTheme="majorEastAsia" w:hAnsiTheme="majorHAnsi" w:cstheme="majorBidi"/>
      <w:b/>
      <w:bCs/>
      <w:sz w:val="24"/>
      <w:szCs w:val="26"/>
    </w:rPr>
  </w:style>
  <w:style w:type="character" w:customStyle="1" w:styleId="JuHArticleChar">
    <w:name w:val="Ju_H_Article Char"/>
    <w:link w:val="ECHRTitleCentre3"/>
    <w:uiPriority w:val="27"/>
    <w:rsid w:val="002878EC"/>
    <w:rPr>
      <w:rFonts w:asciiTheme="majorHAnsi" w:eastAsiaTheme="minorEastAsia" w:hAnsiTheme="majorHAnsi"/>
      <w:b/>
      <w:sz w:val="20"/>
      <w:lang w:bidi="en-US"/>
    </w:rPr>
  </w:style>
  <w:style w:type="character" w:customStyle="1" w:styleId="JuQuotChar">
    <w:name w:val="Ju_Quot Char"/>
    <w:basedOn w:val="Domylnaczcionkaakapitu"/>
    <w:link w:val="ECHRParaQuote"/>
    <w:uiPriority w:val="14"/>
    <w:rsid w:val="002878EC"/>
    <w:rPr>
      <w:rFonts w:eastAsiaTheme="minorEastAsia"/>
      <w:sz w:val="20"/>
    </w:rPr>
  </w:style>
  <w:style w:type="character" w:customStyle="1" w:styleId="JuHaChar">
    <w:name w:val="Ju_H_a Char"/>
    <w:basedOn w:val="Domylnaczcionkaakapitu"/>
    <w:link w:val="ECHRHeading4"/>
    <w:uiPriority w:val="22"/>
    <w:rsid w:val="002878EC"/>
    <w:rPr>
      <w:rFonts w:asciiTheme="majorHAnsi" w:eastAsiaTheme="majorEastAsia" w:hAnsiTheme="majorHAnsi" w:cstheme="majorBidi"/>
      <w:b/>
      <w:bCs/>
      <w:iCs/>
      <w:sz w:val="20"/>
    </w:rPr>
  </w:style>
  <w:style w:type="paragraph" w:customStyle="1" w:styleId="jupara">
    <w:name w:val="jupara"/>
    <w:basedOn w:val="Normalny"/>
    <w:rsid w:val="00AA07C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A07C3"/>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0006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0006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00006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0006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000067"/>
    <w:rPr>
      <w:i/>
      <w:iCs/>
      <w:smallCaps/>
      <w:spacing w:val="5"/>
    </w:rPr>
  </w:style>
  <w:style w:type="paragraph" w:customStyle="1" w:styleId="ECHRHeader">
    <w:name w:val="ECHR_Header"/>
    <w:aliases w:val="Ju_Header"/>
    <w:basedOn w:val="Nagwek"/>
    <w:uiPriority w:val="4"/>
    <w:qFormat/>
    <w:rsid w:val="0000006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000067"/>
    <w:rPr>
      <w:b/>
      <w:bCs/>
    </w:rPr>
  </w:style>
  <w:style w:type="paragraph" w:styleId="Bezodstpw">
    <w:name w:val="No Spacing"/>
    <w:basedOn w:val="Normalny"/>
    <w:link w:val="BezodstpwZnak"/>
    <w:semiHidden/>
    <w:qFormat/>
    <w:rsid w:val="00000067"/>
  </w:style>
  <w:style w:type="character" w:customStyle="1" w:styleId="BezodstpwZnak">
    <w:name w:val="Bez odstępów Znak"/>
    <w:basedOn w:val="Domylnaczcionkaakapitu"/>
    <w:link w:val="Bezodstpw"/>
    <w:semiHidden/>
    <w:rsid w:val="00000067"/>
    <w:rPr>
      <w:rFonts w:eastAsiaTheme="minorEastAsia"/>
      <w:sz w:val="24"/>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000067"/>
    <w:pPr>
      <w:numPr>
        <w:numId w:val="15"/>
      </w:numPr>
      <w:jc w:val="left"/>
    </w:pPr>
    <w:rPr>
      <w:b/>
    </w:rPr>
  </w:style>
  <w:style w:type="paragraph" w:customStyle="1" w:styleId="OpiPara">
    <w:name w:val="Opi_Para"/>
    <w:basedOn w:val="ECHRPara"/>
    <w:uiPriority w:val="46"/>
    <w:qFormat/>
    <w:rsid w:val="00000067"/>
  </w:style>
  <w:style w:type="paragraph" w:customStyle="1" w:styleId="JuParaSub">
    <w:name w:val="Ju_Para_Sub"/>
    <w:basedOn w:val="ECHRPara"/>
    <w:uiPriority w:val="13"/>
    <w:unhideWhenUsed/>
    <w:qFormat/>
    <w:rsid w:val="00000067"/>
    <w:pPr>
      <w:ind w:left="284"/>
    </w:pPr>
  </w:style>
  <w:style w:type="paragraph" w:customStyle="1" w:styleId="ECHRTitleCentre3">
    <w:name w:val="ECHR_Title_Centre_3"/>
    <w:aliases w:val="Ju_H_Article"/>
    <w:basedOn w:val="Normalny"/>
    <w:next w:val="ECHRParaQuote"/>
    <w:link w:val="JuHArticleChar"/>
    <w:uiPriority w:val="27"/>
    <w:qFormat/>
    <w:rsid w:val="0000006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0006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000067"/>
  </w:style>
  <w:style w:type="paragraph" w:customStyle="1" w:styleId="OpiQuot">
    <w:name w:val="Opi_Quot"/>
    <w:basedOn w:val="ECHRParaQuote"/>
    <w:uiPriority w:val="48"/>
    <w:qFormat/>
    <w:rsid w:val="00000067"/>
  </w:style>
  <w:style w:type="paragraph" w:customStyle="1" w:styleId="OpiQuotSub">
    <w:name w:val="Opi_Quot_Sub"/>
    <w:basedOn w:val="JuQuotSub"/>
    <w:uiPriority w:val="49"/>
    <w:qFormat/>
    <w:rsid w:val="00000067"/>
  </w:style>
  <w:style w:type="paragraph" w:customStyle="1" w:styleId="ECHRTitleCentre2">
    <w:name w:val="ECHR_Title_Centre_2"/>
    <w:aliases w:val="Dec_H_Case"/>
    <w:basedOn w:val="Normalny"/>
    <w:next w:val="ECHRPara"/>
    <w:uiPriority w:val="8"/>
    <w:qFormat/>
    <w:rsid w:val="00000067"/>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00006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00006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0006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0006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00006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0006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0006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00067"/>
    <w:pPr>
      <w:keepNext/>
      <w:keepLines/>
      <w:spacing w:before="240" w:after="120"/>
      <w:ind w:left="1236"/>
    </w:pPr>
    <w:rPr>
      <w:sz w:val="20"/>
    </w:rPr>
  </w:style>
  <w:style w:type="paragraph" w:customStyle="1" w:styleId="JuQuotSub">
    <w:name w:val="Ju_Quot_Sub"/>
    <w:basedOn w:val="ECHRParaQuote"/>
    <w:uiPriority w:val="15"/>
    <w:qFormat/>
    <w:rsid w:val="00000067"/>
    <w:pPr>
      <w:ind w:left="567"/>
    </w:pPr>
  </w:style>
  <w:style w:type="paragraph" w:customStyle="1" w:styleId="JuInitialled">
    <w:name w:val="Ju_Initialled"/>
    <w:basedOn w:val="Normalny"/>
    <w:uiPriority w:val="31"/>
    <w:qFormat/>
    <w:rsid w:val="00000067"/>
    <w:pPr>
      <w:tabs>
        <w:tab w:val="center" w:pos="6407"/>
      </w:tabs>
      <w:spacing w:before="720"/>
      <w:jc w:val="right"/>
    </w:pPr>
  </w:style>
  <w:style w:type="paragraph" w:customStyle="1" w:styleId="OpiHA">
    <w:name w:val="Opi_H_A"/>
    <w:basedOn w:val="ECHRHeading1"/>
    <w:next w:val="OpiPara"/>
    <w:uiPriority w:val="41"/>
    <w:qFormat/>
    <w:rsid w:val="0000006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00006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link w:val="JuHAChar0"/>
    <w:uiPriority w:val="20"/>
    <w:qFormat/>
    <w:rsid w:val="0000006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00006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000067"/>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00006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000067"/>
    <w:pPr>
      <w:keepNext/>
      <w:keepLines/>
      <w:spacing w:before="720" w:after="240"/>
      <w:outlineLvl w:val="0"/>
    </w:pPr>
    <w:rPr>
      <w:rFonts w:asciiTheme="majorHAnsi" w:hAnsiTheme="majorHAnsi"/>
      <w:sz w:val="28"/>
    </w:rPr>
  </w:style>
  <w:style w:type="character" w:styleId="Uwydatnienie">
    <w:name w:val="Emphasis"/>
    <w:uiPriority w:val="99"/>
    <w:semiHidden/>
    <w:qFormat/>
    <w:rsid w:val="0000006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00067"/>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00006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0006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000067"/>
    <w:rPr>
      <w:color w:val="0072BC" w:themeColor="hyperlink"/>
      <w:u w:val="single"/>
    </w:rPr>
  </w:style>
  <w:style w:type="character" w:styleId="Wyrnienieintensywne">
    <w:name w:val="Intense Emphasis"/>
    <w:uiPriority w:val="99"/>
    <w:semiHidden/>
    <w:qFormat/>
    <w:rsid w:val="00000067"/>
    <w:rPr>
      <w:b/>
      <w:bCs/>
    </w:rPr>
  </w:style>
  <w:style w:type="paragraph" w:styleId="Cytatintensywny">
    <w:name w:val="Intense Quote"/>
    <w:basedOn w:val="Normalny"/>
    <w:next w:val="Normalny"/>
    <w:link w:val="CytatintensywnyZnak"/>
    <w:uiPriority w:val="99"/>
    <w:semiHidden/>
    <w:qFormat/>
    <w:rsid w:val="0000006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000067"/>
    <w:rPr>
      <w:rFonts w:eastAsiaTheme="minorEastAsia"/>
      <w:b/>
      <w:bCs/>
      <w:i/>
      <w:iCs/>
      <w:sz w:val="24"/>
      <w:lang w:bidi="en-US"/>
    </w:rPr>
  </w:style>
  <w:style w:type="character" w:styleId="Odwoanieintensywne">
    <w:name w:val="Intense Reference"/>
    <w:uiPriority w:val="99"/>
    <w:semiHidden/>
    <w:qFormat/>
    <w:rsid w:val="00000067"/>
    <w:rPr>
      <w:smallCaps/>
      <w:spacing w:val="5"/>
      <w:u w:val="single"/>
    </w:rPr>
  </w:style>
  <w:style w:type="paragraph" w:styleId="Akapitzlist">
    <w:name w:val="List Paragraph"/>
    <w:basedOn w:val="Normalny"/>
    <w:uiPriority w:val="99"/>
    <w:semiHidden/>
    <w:qFormat/>
    <w:rsid w:val="0000006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00067"/>
    <w:pPr>
      <w:spacing w:before="200"/>
      <w:ind w:left="360" w:right="360"/>
    </w:pPr>
    <w:rPr>
      <w:i/>
      <w:iCs/>
      <w:lang w:bidi="en-US"/>
    </w:rPr>
  </w:style>
  <w:style w:type="character" w:customStyle="1" w:styleId="CytatZnak">
    <w:name w:val="Cytat Znak"/>
    <w:basedOn w:val="Domylnaczcionkaakapitu"/>
    <w:link w:val="Cytat"/>
    <w:uiPriority w:val="99"/>
    <w:semiHidden/>
    <w:rsid w:val="00000067"/>
    <w:rPr>
      <w:rFonts w:eastAsiaTheme="minorEastAsia"/>
      <w:i/>
      <w:iCs/>
      <w:sz w:val="24"/>
      <w:lang w:bidi="en-US"/>
    </w:rPr>
  </w:style>
  <w:style w:type="character" w:styleId="Odwoaniedelikatne">
    <w:name w:val="Subtle Reference"/>
    <w:uiPriority w:val="99"/>
    <w:semiHidden/>
    <w:qFormat/>
    <w:rsid w:val="00000067"/>
    <w:rPr>
      <w:smallCaps/>
    </w:rPr>
  </w:style>
  <w:style w:type="table" w:styleId="Tabela-Siatka">
    <w:name w:val="Table Grid"/>
    <w:basedOn w:val="Standardowy"/>
    <w:uiPriority w:val="59"/>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0006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link w:val="JuQuotChar"/>
    <w:uiPriority w:val="14"/>
    <w:qFormat/>
    <w:rsid w:val="00000067"/>
    <w:pPr>
      <w:spacing w:before="120" w:after="120"/>
      <w:ind w:left="425" w:firstLine="142"/>
    </w:pPr>
    <w:rPr>
      <w:sz w:val="20"/>
    </w:rPr>
  </w:style>
  <w:style w:type="paragraph" w:customStyle="1" w:styleId="ECHRPara">
    <w:name w:val="ECHR_Para"/>
    <w:aliases w:val="Ju_Para"/>
    <w:basedOn w:val="Normalny"/>
    <w:link w:val="ECHRParaChar"/>
    <w:uiPriority w:val="12"/>
    <w:qFormat/>
    <w:rsid w:val="0000006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0006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00067"/>
    <w:pPr>
      <w:ind w:left="340" w:hanging="340"/>
    </w:pPr>
  </w:style>
  <w:style w:type="paragraph" w:customStyle="1" w:styleId="JuSigned">
    <w:name w:val="Ju_Signed"/>
    <w:basedOn w:val="Normalny"/>
    <w:next w:val="JuParaLast"/>
    <w:uiPriority w:val="32"/>
    <w:qFormat/>
    <w:rsid w:val="00000067"/>
    <w:pPr>
      <w:tabs>
        <w:tab w:val="center" w:pos="851"/>
        <w:tab w:val="center" w:pos="6407"/>
      </w:tabs>
      <w:spacing w:before="720"/>
      <w:jc w:val="left"/>
    </w:pPr>
  </w:style>
  <w:style w:type="paragraph" w:customStyle="1" w:styleId="JuParaLast">
    <w:name w:val="Ju_Para_Last"/>
    <w:basedOn w:val="Normalny"/>
    <w:next w:val="ECHRPara"/>
    <w:uiPriority w:val="30"/>
    <w:qFormat/>
    <w:rsid w:val="00000067"/>
    <w:pPr>
      <w:keepNext/>
      <w:keepLines/>
      <w:spacing w:before="240"/>
      <w:ind w:firstLine="284"/>
    </w:pPr>
  </w:style>
  <w:style w:type="paragraph" w:customStyle="1" w:styleId="JuCourt">
    <w:name w:val="Ju_Court"/>
    <w:basedOn w:val="Normalny"/>
    <w:next w:val="Normalny"/>
    <w:uiPriority w:val="16"/>
    <w:qFormat/>
    <w:rsid w:val="00000067"/>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000067"/>
    <w:pPr>
      <w:ind w:left="346" w:firstLine="0"/>
    </w:pPr>
  </w:style>
  <w:style w:type="paragraph" w:customStyle="1" w:styleId="JuListi">
    <w:name w:val="Ju_List_i"/>
    <w:basedOn w:val="Normalny"/>
    <w:next w:val="JuLista"/>
    <w:uiPriority w:val="28"/>
    <w:qFormat/>
    <w:rsid w:val="0000006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000067"/>
    <w:rPr>
      <w:vanish w:val="0"/>
      <w:color w:val="auto"/>
      <w:sz w:val="14"/>
    </w:rPr>
  </w:style>
  <w:style w:type="paragraph" w:styleId="Podtytu">
    <w:name w:val="Subtitle"/>
    <w:basedOn w:val="Normalny"/>
    <w:next w:val="Normalny"/>
    <w:link w:val="PodtytuZnak"/>
    <w:uiPriority w:val="99"/>
    <w:semiHidden/>
    <w:qFormat/>
    <w:rsid w:val="0000006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0006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000067"/>
    <w:pPr>
      <w:jc w:val="center"/>
      <w:outlineLvl w:val="0"/>
    </w:pPr>
    <w:rPr>
      <w:i/>
    </w:rPr>
  </w:style>
  <w:style w:type="paragraph" w:customStyle="1" w:styleId="DecHTitle">
    <w:name w:val="Dec_H_Title"/>
    <w:basedOn w:val="ECHRTitleCentre1"/>
    <w:uiPriority w:val="7"/>
    <w:qFormat/>
    <w:rsid w:val="00000067"/>
  </w:style>
  <w:style w:type="paragraph" w:customStyle="1" w:styleId="DecList">
    <w:name w:val="Dec_List"/>
    <w:basedOn w:val="Normalny"/>
    <w:uiPriority w:val="9"/>
    <w:qFormat/>
    <w:rsid w:val="00000067"/>
    <w:pPr>
      <w:spacing w:before="240"/>
      <w:ind w:left="284"/>
    </w:pPr>
  </w:style>
  <w:style w:type="paragraph" w:customStyle="1" w:styleId="OpiH1">
    <w:name w:val="Opi_H_1"/>
    <w:basedOn w:val="ECHRHeading2"/>
    <w:uiPriority w:val="42"/>
    <w:qFormat/>
    <w:rsid w:val="00000067"/>
    <w:pPr>
      <w:ind w:left="635" w:hanging="357"/>
      <w:outlineLvl w:val="2"/>
    </w:pPr>
  </w:style>
  <w:style w:type="paragraph" w:customStyle="1" w:styleId="OpiHa0">
    <w:name w:val="Opi_H_a"/>
    <w:basedOn w:val="ECHRHeading3"/>
    <w:uiPriority w:val="43"/>
    <w:qFormat/>
    <w:rsid w:val="00000067"/>
    <w:pPr>
      <w:ind w:left="833" w:hanging="357"/>
      <w:outlineLvl w:val="3"/>
    </w:pPr>
    <w:rPr>
      <w:b/>
      <w:i w:val="0"/>
      <w:sz w:val="20"/>
    </w:rPr>
  </w:style>
  <w:style w:type="paragraph" w:customStyle="1" w:styleId="OpiHi">
    <w:name w:val="Opi_H_i"/>
    <w:basedOn w:val="ECHRHeading4"/>
    <w:uiPriority w:val="44"/>
    <w:qFormat/>
    <w:rsid w:val="00000067"/>
    <w:pPr>
      <w:ind w:left="1037" w:hanging="357"/>
      <w:outlineLvl w:val="4"/>
    </w:pPr>
    <w:rPr>
      <w:b w:val="0"/>
      <w:i/>
    </w:rPr>
  </w:style>
  <w:style w:type="paragraph" w:customStyle="1" w:styleId="DummyStyle">
    <w:name w:val="Dummy_Style"/>
    <w:basedOn w:val="Normalny"/>
    <w:semiHidden/>
    <w:qFormat/>
    <w:rsid w:val="00000067"/>
    <w:rPr>
      <w:color w:val="00B050"/>
    </w:rPr>
  </w:style>
  <w:style w:type="paragraph" w:customStyle="1" w:styleId="JuHeaderLandscape">
    <w:name w:val="Ju_Header_Landscape"/>
    <w:basedOn w:val="ECHRHeader"/>
    <w:uiPriority w:val="4"/>
    <w:qFormat/>
    <w:rsid w:val="00000067"/>
    <w:pPr>
      <w:tabs>
        <w:tab w:val="clear" w:pos="3686"/>
        <w:tab w:val="clear" w:pos="7371"/>
        <w:tab w:val="center" w:pos="6146"/>
        <w:tab w:val="right" w:pos="12293"/>
      </w:tabs>
    </w:pPr>
  </w:style>
  <w:style w:type="character" w:customStyle="1" w:styleId="ECHRParaChar">
    <w:name w:val="ECHR_Para Char"/>
    <w:aliases w:val="Ju_Para Char"/>
    <w:basedOn w:val="BezodstpwZnak"/>
    <w:link w:val="ECHRPara"/>
    <w:uiPriority w:val="12"/>
    <w:rsid w:val="002878EC"/>
    <w:rPr>
      <w:rFonts w:eastAsiaTheme="minorEastAsia"/>
      <w:sz w:val="24"/>
    </w:rPr>
  </w:style>
  <w:style w:type="character" w:customStyle="1" w:styleId="JuHAChar0">
    <w:name w:val="Ju_H_A Char"/>
    <w:link w:val="ECHRHeading2"/>
    <w:uiPriority w:val="20"/>
    <w:rsid w:val="002878EC"/>
    <w:rPr>
      <w:rFonts w:asciiTheme="majorHAnsi" w:eastAsiaTheme="majorEastAsia" w:hAnsiTheme="majorHAnsi" w:cstheme="majorBidi"/>
      <w:b/>
      <w:bCs/>
      <w:sz w:val="24"/>
      <w:szCs w:val="26"/>
    </w:rPr>
  </w:style>
  <w:style w:type="character" w:customStyle="1" w:styleId="JuHArticleChar">
    <w:name w:val="Ju_H_Article Char"/>
    <w:link w:val="ECHRTitleCentre3"/>
    <w:uiPriority w:val="27"/>
    <w:rsid w:val="002878EC"/>
    <w:rPr>
      <w:rFonts w:asciiTheme="majorHAnsi" w:eastAsiaTheme="minorEastAsia" w:hAnsiTheme="majorHAnsi"/>
      <w:b/>
      <w:sz w:val="20"/>
      <w:lang w:bidi="en-US"/>
    </w:rPr>
  </w:style>
  <w:style w:type="character" w:customStyle="1" w:styleId="JuQuotChar">
    <w:name w:val="Ju_Quot Char"/>
    <w:basedOn w:val="Domylnaczcionkaakapitu"/>
    <w:link w:val="ECHRParaQuote"/>
    <w:uiPriority w:val="14"/>
    <w:rsid w:val="002878EC"/>
    <w:rPr>
      <w:rFonts w:eastAsiaTheme="minorEastAsia"/>
      <w:sz w:val="20"/>
    </w:rPr>
  </w:style>
  <w:style w:type="character" w:customStyle="1" w:styleId="JuHaChar">
    <w:name w:val="Ju_H_a Char"/>
    <w:basedOn w:val="Domylnaczcionkaakapitu"/>
    <w:link w:val="ECHRHeading4"/>
    <w:uiPriority w:val="22"/>
    <w:rsid w:val="002878EC"/>
    <w:rPr>
      <w:rFonts w:asciiTheme="majorHAnsi" w:eastAsiaTheme="majorEastAsia" w:hAnsiTheme="majorHAnsi" w:cstheme="majorBidi"/>
      <w:b/>
      <w:bCs/>
      <w:iCs/>
      <w:sz w:val="20"/>
    </w:rPr>
  </w:style>
  <w:style w:type="paragraph" w:customStyle="1" w:styleId="jupara">
    <w:name w:val="jupara"/>
    <w:basedOn w:val="Normalny"/>
    <w:rsid w:val="00AA07C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A07C3"/>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528368182">
      <w:bodyDiv w:val="1"/>
      <w:marLeft w:val="0"/>
      <w:marRight w:val="0"/>
      <w:marTop w:val="0"/>
      <w:marBottom w:val="0"/>
      <w:divBdr>
        <w:top w:val="none" w:sz="0" w:space="0" w:color="auto"/>
        <w:left w:val="none" w:sz="0" w:space="0" w:color="auto"/>
        <w:bottom w:val="none" w:sz="0" w:space="0" w:color="auto"/>
        <w:right w:val="none" w:sz="0" w:space="0" w:color="auto"/>
      </w:divBdr>
      <w:divsChild>
        <w:div w:id="578902875">
          <w:marLeft w:val="0"/>
          <w:marRight w:val="0"/>
          <w:marTop w:val="0"/>
          <w:marBottom w:val="0"/>
          <w:divBdr>
            <w:top w:val="none" w:sz="0" w:space="0" w:color="auto"/>
            <w:left w:val="none" w:sz="0" w:space="0" w:color="auto"/>
            <w:bottom w:val="none" w:sz="0" w:space="0" w:color="auto"/>
            <w:right w:val="none" w:sz="0" w:space="0" w:color="auto"/>
          </w:divBdr>
          <w:divsChild>
            <w:div w:id="699739830">
              <w:marLeft w:val="0"/>
              <w:marRight w:val="0"/>
              <w:marTop w:val="0"/>
              <w:marBottom w:val="0"/>
              <w:divBdr>
                <w:top w:val="none" w:sz="0" w:space="0" w:color="auto"/>
                <w:left w:val="none" w:sz="0" w:space="0" w:color="auto"/>
                <w:bottom w:val="none" w:sz="0" w:space="0" w:color="auto"/>
                <w:right w:val="none" w:sz="0" w:space="0" w:color="auto"/>
              </w:divBdr>
              <w:divsChild>
                <w:div w:id="1730110632">
                  <w:marLeft w:val="0"/>
                  <w:marRight w:val="0"/>
                  <w:marTop w:val="0"/>
                  <w:marBottom w:val="0"/>
                  <w:divBdr>
                    <w:top w:val="none" w:sz="0" w:space="0" w:color="auto"/>
                    <w:left w:val="none" w:sz="0" w:space="0" w:color="auto"/>
                    <w:bottom w:val="none" w:sz="0" w:space="0" w:color="auto"/>
                    <w:right w:val="none" w:sz="0" w:space="0" w:color="auto"/>
                  </w:divBdr>
                  <w:divsChild>
                    <w:div w:id="464472642">
                      <w:marLeft w:val="0"/>
                      <w:marRight w:val="0"/>
                      <w:marTop w:val="0"/>
                      <w:marBottom w:val="0"/>
                      <w:divBdr>
                        <w:top w:val="none" w:sz="0" w:space="0" w:color="auto"/>
                        <w:left w:val="none" w:sz="0" w:space="0" w:color="auto"/>
                        <w:bottom w:val="none" w:sz="0" w:space="0" w:color="auto"/>
                        <w:right w:val="none" w:sz="0" w:space="0" w:color="auto"/>
                      </w:divBdr>
                      <w:divsChild>
                        <w:div w:id="767428406">
                          <w:marLeft w:val="0"/>
                          <w:marRight w:val="0"/>
                          <w:marTop w:val="0"/>
                          <w:marBottom w:val="0"/>
                          <w:divBdr>
                            <w:top w:val="none" w:sz="0" w:space="0" w:color="auto"/>
                            <w:left w:val="none" w:sz="0" w:space="0" w:color="auto"/>
                            <w:bottom w:val="none" w:sz="0" w:space="0" w:color="auto"/>
                            <w:right w:val="none" w:sz="0" w:space="0" w:color="auto"/>
                          </w:divBdr>
                          <w:divsChild>
                            <w:div w:id="16928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01560F-91C3-4777-82DC-7E87FE222C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2900B65-D681-4D12-9FDF-844E2D4D77E5}">
  <ds:schemaRefs>
    <ds:schemaRef ds:uri="http://schemas.microsoft.com/sharepoint/v3/contenttype/forms"/>
  </ds:schemaRefs>
</ds:datastoreItem>
</file>

<file path=customXml/itemProps3.xml><?xml version="1.0" encoding="utf-8"?>
<ds:datastoreItem xmlns:ds="http://schemas.openxmlformats.org/officeDocument/2006/customXml" ds:itemID="{12EC39FB-127F-40FB-A748-E726E44D16A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EFB0739-EAD0-4D8C-B0AA-CDDF89877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8126</Words>
  <Characters>48758</Characters>
  <Application>Microsoft Office Word</Application>
  <DocSecurity>0</DocSecurity>
  <Lines>406</Lines>
  <Paragraphs>113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56771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2017-03-28T10:38:00Z</dcterms:created>
  <dcterms:modified xsi:type="dcterms:W3CDTF">2017-03-28T10:38:00Z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