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B48" w:rsidRDefault="00483B48" w:rsidP="00483B48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11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483B48" w:rsidRDefault="00483B48" w:rsidP="00483B48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80945" w:rsidRPr="00E7239D" w:rsidRDefault="00483B48" w:rsidP="00483B48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492F73">
        <w:rPr>
          <w:lang w:val="pl-PL"/>
        </w:rPr>
        <w:t xml:space="preserve"> </w:t>
      </w:r>
      <w:r w:rsidR="004A365D" w:rsidRPr="00E7239D">
        <w:rPr>
          <w:lang w:val="pl-PL"/>
        </w:rPr>
        <w:t>209</w:t>
      </w:r>
    </w:p>
    <w:p w:rsidR="00580945" w:rsidRPr="00B122CF" w:rsidRDefault="00FF2754">
      <w:pPr>
        <w:pStyle w:val="ClinEditionMonth"/>
        <w:rPr>
          <w:lang w:val="pl-PL"/>
        </w:rPr>
      </w:pPr>
      <w:r>
        <w:rPr>
          <w:lang w:val="pl-PL"/>
        </w:rPr>
        <w:t>l</w:t>
      </w:r>
      <w:r w:rsidRPr="00B122CF">
        <w:rPr>
          <w:lang w:val="pl-PL"/>
        </w:rPr>
        <w:t xml:space="preserve">ipiec </w:t>
      </w:r>
      <w:r w:rsidR="004A365D" w:rsidRPr="00B122CF">
        <w:rPr>
          <w:lang w:val="pl-PL"/>
        </w:rPr>
        <w:t>2017</w:t>
      </w:r>
      <w:r w:rsidR="00E7239D" w:rsidRPr="00B122CF">
        <w:rPr>
          <w:lang w:val="pl-PL"/>
        </w:rPr>
        <w:t xml:space="preserve"> r.</w:t>
      </w:r>
    </w:p>
    <w:p w:rsidR="00580945" w:rsidRPr="00E7239D" w:rsidRDefault="004A365D">
      <w:pPr>
        <w:rPr>
          <w:lang w:val="pl-PL"/>
        </w:rPr>
      </w:pPr>
      <w:r w:rsidRPr="00E7239D">
        <w:rPr>
          <w:rStyle w:val="ClinCaseTitle"/>
          <w:lang w:val="pl-PL"/>
        </w:rPr>
        <w:t xml:space="preserve">Moohan </w:t>
      </w:r>
      <w:r w:rsidR="00E7239D" w:rsidRPr="00E7239D">
        <w:rPr>
          <w:rStyle w:val="ClinCaseTitle"/>
          <w:lang w:val="pl-PL"/>
        </w:rPr>
        <w:t>i</w:t>
      </w:r>
      <w:r w:rsidRPr="00E7239D">
        <w:rPr>
          <w:rStyle w:val="ClinCaseTitle"/>
          <w:lang w:val="pl-PL"/>
        </w:rPr>
        <w:t xml:space="preserve"> Gillon </w:t>
      </w:r>
      <w:r w:rsidR="00E7239D" w:rsidRPr="00E7239D">
        <w:rPr>
          <w:rStyle w:val="ClinCaseTitle"/>
          <w:lang w:val="pl-PL"/>
        </w:rPr>
        <w:t>p</w:t>
      </w:r>
      <w:r w:rsidRPr="00E7239D">
        <w:rPr>
          <w:rStyle w:val="ClinCaseTitle"/>
          <w:lang w:val="pl-PL"/>
        </w:rPr>
        <w:t xml:space="preserve">. </w:t>
      </w:r>
      <w:r w:rsidR="00E7239D" w:rsidRPr="00E7239D">
        <w:rPr>
          <w:rStyle w:val="ClinCaseTitle"/>
          <w:lang w:val="pl-PL"/>
        </w:rPr>
        <w:t xml:space="preserve">Zjednoczonemu Królestwu </w:t>
      </w:r>
      <w:r w:rsidRPr="00E7239D">
        <w:rPr>
          <w:rStyle w:val="ClinCaseTitle"/>
          <w:lang w:val="pl-PL"/>
        </w:rPr>
        <w:t>(dec</w:t>
      </w:r>
      <w:r w:rsidR="00E7239D" w:rsidRPr="00E7239D">
        <w:rPr>
          <w:rStyle w:val="ClinCaseTitle"/>
          <w:lang w:val="pl-PL"/>
        </w:rPr>
        <w:t>yzja</w:t>
      </w:r>
      <w:r w:rsidRPr="00E7239D">
        <w:rPr>
          <w:rStyle w:val="ClinCaseTitle"/>
          <w:lang w:val="pl-PL"/>
        </w:rPr>
        <w:t>)</w:t>
      </w:r>
      <w:r w:rsidRPr="00E7239D">
        <w:rPr>
          <w:rStyle w:val="ClinApplicationNumber"/>
          <w:lang w:val="pl-PL"/>
        </w:rPr>
        <w:t xml:space="preserve"> </w:t>
      </w:r>
      <w:r w:rsidR="001F52B3">
        <w:rPr>
          <w:rStyle w:val="ClinApplicationNumber"/>
          <w:lang w:val="pl-PL"/>
        </w:rPr>
        <w:br/>
      </w:r>
      <w:r w:rsidR="00E7239D" w:rsidRPr="00E7239D">
        <w:rPr>
          <w:rStyle w:val="ClinApplicationNumber"/>
          <w:lang w:val="pl-PL"/>
        </w:rPr>
        <w:t>–</w:t>
      </w:r>
      <w:r w:rsidRPr="00E7239D">
        <w:rPr>
          <w:rStyle w:val="ClinApplicationNumber"/>
          <w:lang w:val="pl-PL"/>
        </w:rPr>
        <w:t xml:space="preserve"> </w:t>
      </w:r>
      <w:r w:rsidR="00E7239D" w:rsidRPr="00E7239D">
        <w:rPr>
          <w:rStyle w:val="ClinApplicationNumber"/>
          <w:lang w:val="pl-PL"/>
        </w:rPr>
        <w:t>skarg</w:t>
      </w:r>
      <w:r w:rsidR="009D19E5">
        <w:rPr>
          <w:rStyle w:val="ClinApplicationNumber"/>
          <w:lang w:val="pl-PL"/>
        </w:rPr>
        <w:t>i</w:t>
      </w:r>
      <w:r w:rsidR="00E7239D" w:rsidRPr="00E7239D">
        <w:rPr>
          <w:rStyle w:val="ClinApplicationNumber"/>
          <w:lang w:val="pl-PL"/>
        </w:rPr>
        <w:t xml:space="preserve"> nr </w:t>
      </w:r>
      <w:r w:rsidRPr="00E7239D">
        <w:rPr>
          <w:rStyle w:val="ClinApplicationNumber"/>
          <w:lang w:val="pl-PL"/>
        </w:rPr>
        <w:t xml:space="preserve">22962/15 </w:t>
      </w:r>
      <w:r w:rsidR="00E7239D">
        <w:rPr>
          <w:rStyle w:val="ClinApplicationNumber"/>
          <w:lang w:val="pl-PL"/>
        </w:rPr>
        <w:t xml:space="preserve">i </w:t>
      </w:r>
      <w:r w:rsidRPr="00E7239D">
        <w:rPr>
          <w:rStyle w:val="ClinApplicationNumber"/>
          <w:lang w:val="pl-PL"/>
        </w:rPr>
        <w:t>23345/15</w:t>
      </w:r>
    </w:p>
    <w:p w:rsidR="00580945" w:rsidRPr="00E7239D" w:rsidRDefault="004A365D">
      <w:pPr>
        <w:rPr>
          <w:lang w:val="pl-PL"/>
        </w:rPr>
      </w:pPr>
      <w:r w:rsidRPr="00E7239D">
        <w:rPr>
          <w:rStyle w:val="ClinHudocDocumentTitle"/>
          <w:lang w:val="pl-PL"/>
        </w:rPr>
        <w:t>Dec</w:t>
      </w:r>
      <w:r w:rsidR="00E7239D" w:rsidRPr="00E7239D">
        <w:rPr>
          <w:rStyle w:val="ClinHudocDocumentTitle"/>
          <w:lang w:val="pl-PL"/>
        </w:rPr>
        <w:t xml:space="preserve">yzja z </w:t>
      </w:r>
      <w:r w:rsidRPr="00E7239D">
        <w:rPr>
          <w:rStyle w:val="ClinHudocDocumentTitle"/>
          <w:lang w:val="pl-PL"/>
        </w:rPr>
        <w:t>13.</w:t>
      </w:r>
      <w:r w:rsidR="00E7239D" w:rsidRPr="00E7239D">
        <w:rPr>
          <w:rStyle w:val="ClinHudocDocumentTitle"/>
          <w:lang w:val="pl-PL"/>
        </w:rPr>
        <w:t>0</w:t>
      </w:r>
      <w:r w:rsidRPr="00E7239D">
        <w:rPr>
          <w:rStyle w:val="ClinHudocDocumentTitle"/>
          <w:lang w:val="pl-PL"/>
        </w:rPr>
        <w:t>6.2017</w:t>
      </w:r>
      <w:r w:rsidR="00E7239D" w:rsidRPr="00E7239D">
        <w:rPr>
          <w:rStyle w:val="ClinHudocDocumentTitle"/>
          <w:lang w:val="pl-PL"/>
        </w:rPr>
        <w:t xml:space="preserve"> r.</w:t>
      </w:r>
      <w:r w:rsidRPr="00E7239D">
        <w:rPr>
          <w:rStyle w:val="ClinSectionName"/>
          <w:lang w:val="pl-PL"/>
        </w:rPr>
        <w:t xml:space="preserve"> [</w:t>
      </w:r>
      <w:r w:rsidR="00E7239D">
        <w:rPr>
          <w:rStyle w:val="ClinSectionName"/>
          <w:lang w:val="pl-PL"/>
        </w:rPr>
        <w:t xml:space="preserve">Pierwsza </w:t>
      </w:r>
      <w:r w:rsidRPr="00E7239D">
        <w:rPr>
          <w:rStyle w:val="ClinSectionName"/>
          <w:lang w:val="pl-PL"/>
        </w:rPr>
        <w:t>Se</w:t>
      </w:r>
      <w:r w:rsidR="00E7239D">
        <w:rPr>
          <w:rStyle w:val="ClinSectionName"/>
          <w:lang w:val="pl-PL"/>
        </w:rPr>
        <w:t>kcja</w:t>
      </w:r>
      <w:r w:rsidRPr="00E7239D">
        <w:rPr>
          <w:rStyle w:val="ClinSectionName"/>
          <w:lang w:val="pl-PL"/>
        </w:rPr>
        <w:t>]</w:t>
      </w:r>
    </w:p>
    <w:p w:rsidR="00580945" w:rsidRDefault="004A365D">
      <w:pPr>
        <w:pStyle w:val="ClinMainKeywordCode"/>
      </w:pPr>
      <w:r>
        <w:t>Art</w:t>
      </w:r>
      <w:r w:rsidR="00E7239D">
        <w:t>.</w:t>
      </w:r>
      <w:r>
        <w:t xml:space="preserve"> 35</w:t>
      </w:r>
    </w:p>
    <w:p w:rsidR="00580945" w:rsidRDefault="004A365D">
      <w:pPr>
        <w:pStyle w:val="ClinChildKeywordCode"/>
      </w:pPr>
      <w:r>
        <w:t>Art</w:t>
      </w:r>
      <w:r w:rsidR="00E7239D">
        <w:t>.</w:t>
      </w:r>
      <w:r>
        <w:t xml:space="preserve"> 35</w:t>
      </w:r>
      <w:r w:rsidR="00E7239D">
        <w:t xml:space="preserve"> ust. </w:t>
      </w:r>
      <w:r>
        <w:t>3</w:t>
      </w:r>
      <w:r w:rsidR="00E7239D">
        <w:t xml:space="preserve"> lit. </w:t>
      </w:r>
      <w:r>
        <w:t>a</w:t>
      </w:r>
    </w:p>
    <w:p w:rsidR="00580945" w:rsidRPr="00E7239D" w:rsidRDefault="004A365D">
      <w:pPr>
        <w:pStyle w:val="ClinKeyword"/>
        <w:rPr>
          <w:i/>
        </w:rPr>
      </w:pPr>
      <w:r w:rsidRPr="00E7239D">
        <w:rPr>
          <w:i/>
        </w:rPr>
        <w:t>Ratione materiae</w:t>
      </w:r>
    </w:p>
    <w:p w:rsidR="00E7239D" w:rsidRPr="00E7239D" w:rsidRDefault="00E7239D" w:rsidP="001F52B3">
      <w:pPr>
        <w:jc w:val="both"/>
        <w:rPr>
          <w:lang w:val="pl-PL"/>
        </w:rPr>
      </w:pPr>
      <w:r w:rsidRPr="00E7239D">
        <w:rPr>
          <w:rStyle w:val="ClinConclusions"/>
          <w:i w:val="0"/>
          <w:lang w:val="pl-PL"/>
        </w:rPr>
        <w:t xml:space="preserve">Referendum </w:t>
      </w:r>
      <w:r w:rsidR="00704600">
        <w:rPr>
          <w:rStyle w:val="ClinConclusions"/>
          <w:i w:val="0"/>
          <w:lang w:val="pl-PL"/>
        </w:rPr>
        <w:t>na temat</w:t>
      </w:r>
      <w:r w:rsidRPr="00E7239D">
        <w:rPr>
          <w:rStyle w:val="ClinConclusions"/>
          <w:i w:val="0"/>
          <w:lang w:val="pl-PL"/>
        </w:rPr>
        <w:t xml:space="preserve"> niepodległości Szkocji nie było objęte zakresem art. 3 Protokołu nr</w:t>
      </w:r>
      <w:r w:rsidR="00E24385">
        <w:rPr>
          <w:rStyle w:val="ClinConclusions"/>
          <w:i w:val="0"/>
          <w:lang w:val="pl-PL"/>
        </w:rPr>
        <w:t> </w:t>
      </w:r>
      <w:bookmarkStart w:id="0" w:name="_GoBack"/>
      <w:bookmarkEnd w:id="0"/>
      <w:r w:rsidRPr="00E7239D">
        <w:rPr>
          <w:rStyle w:val="ClinConclusions"/>
          <w:i w:val="0"/>
          <w:lang w:val="pl-PL"/>
        </w:rPr>
        <w:t xml:space="preserve">1: </w:t>
      </w:r>
      <w:r>
        <w:rPr>
          <w:rStyle w:val="ClinConclusions"/>
          <w:lang w:val="pl-PL"/>
        </w:rPr>
        <w:t>niedopuszczalność skargi</w:t>
      </w:r>
    </w:p>
    <w:p w:rsidR="00E7239D" w:rsidRPr="00E7239D" w:rsidRDefault="00E7239D">
      <w:pPr>
        <w:pStyle w:val="ClinContent"/>
        <w:rPr>
          <w:lang w:val="pl-PL"/>
        </w:rPr>
      </w:pPr>
      <w:r w:rsidRPr="00404C8B">
        <w:rPr>
          <w:i/>
          <w:lang w:val="pl-PL"/>
        </w:rPr>
        <w:t>Fakty</w:t>
      </w:r>
      <w:r w:rsidRPr="00E7239D">
        <w:rPr>
          <w:lang w:val="pl-PL"/>
        </w:rPr>
        <w:t xml:space="preserve"> – W październiku 2012 r. Rząd</w:t>
      </w:r>
      <w:r>
        <w:rPr>
          <w:lang w:val="pl-PL"/>
        </w:rPr>
        <w:t>y</w:t>
      </w:r>
      <w:r w:rsidRPr="00E7239D">
        <w:rPr>
          <w:lang w:val="pl-PL"/>
        </w:rPr>
        <w:t xml:space="preserve"> Szkocji i Zjednoczonego Królestwa </w:t>
      </w:r>
      <w:r>
        <w:rPr>
          <w:lang w:val="pl-PL"/>
        </w:rPr>
        <w:t xml:space="preserve">podpisały porozumienie w sprawie referendum na temat niepodległości Szkocji. Na podstawie </w:t>
      </w:r>
      <w:r w:rsidRPr="00E7239D">
        <w:rPr>
          <w:i/>
          <w:lang w:val="pl-PL"/>
        </w:rPr>
        <w:t xml:space="preserve">ustawy </w:t>
      </w:r>
      <w:r w:rsidRPr="00621D4E">
        <w:rPr>
          <w:i/>
          <w:lang w:val="pl-PL"/>
        </w:rPr>
        <w:t>o</w:t>
      </w:r>
      <w:r w:rsidR="00AA007B">
        <w:rPr>
          <w:i/>
          <w:lang w:val="pl-PL"/>
        </w:rPr>
        <w:t xml:space="preserve"> prawie do głosowania w</w:t>
      </w:r>
      <w:r w:rsidRPr="00621D4E">
        <w:rPr>
          <w:i/>
          <w:lang w:val="pl-PL"/>
        </w:rPr>
        <w:t xml:space="preserve"> referendum</w:t>
      </w:r>
      <w:r w:rsidR="00704600" w:rsidRPr="00621D4E">
        <w:rPr>
          <w:i/>
          <w:lang w:val="pl-PL"/>
        </w:rPr>
        <w:t xml:space="preserve"> na</w:t>
      </w:r>
      <w:r w:rsidR="00704600">
        <w:rPr>
          <w:i/>
          <w:lang w:val="pl-PL"/>
        </w:rPr>
        <w:t xml:space="preserve"> temat</w:t>
      </w:r>
      <w:r w:rsidRPr="00E7239D">
        <w:rPr>
          <w:i/>
          <w:lang w:val="pl-PL"/>
        </w:rPr>
        <w:t xml:space="preserve"> niepodległości Szkocji</w:t>
      </w:r>
      <w:r>
        <w:rPr>
          <w:i/>
          <w:lang w:val="pl-PL"/>
        </w:rPr>
        <w:t xml:space="preserve">, </w:t>
      </w:r>
      <w:r>
        <w:rPr>
          <w:lang w:val="pl-PL"/>
        </w:rPr>
        <w:t xml:space="preserve">skazani pozbawieni wolności nie mieli prawa do głosowania. </w:t>
      </w:r>
      <w:r w:rsidR="003E1B4C" w:rsidRPr="00E7239D">
        <w:rPr>
          <w:lang w:val="pl-PL"/>
        </w:rPr>
        <w:t xml:space="preserve">Skarżący, obywatele brytyjscy odbywający kary dożywotniego pozbawienia wolności za umyślne zabójstwo, </w:t>
      </w:r>
      <w:r w:rsidR="003E1B4C">
        <w:rPr>
          <w:lang w:val="pl-PL"/>
        </w:rPr>
        <w:t>wystąpili o</w:t>
      </w:r>
      <w:r w:rsidR="00E24385">
        <w:rPr>
          <w:lang w:val="pl-PL"/>
        </w:rPr>
        <w:t> </w:t>
      </w:r>
      <w:r w:rsidR="003E1B4C">
        <w:rPr>
          <w:lang w:val="pl-PL"/>
        </w:rPr>
        <w:t xml:space="preserve">kontrolę sądową </w:t>
      </w:r>
      <w:r w:rsidR="003E1B4C" w:rsidRPr="00621D4E">
        <w:rPr>
          <w:lang w:val="pl-PL"/>
        </w:rPr>
        <w:t>ustawy.</w:t>
      </w:r>
      <w:r w:rsidR="003E1B4C">
        <w:rPr>
          <w:lang w:val="pl-PL"/>
        </w:rPr>
        <w:t xml:space="preserve"> Wnioski zostały oddalone, a wniesienia apelacji odmówiono. Referendum na temat niepodległości odbyło się we wrześniu 2014 r.</w:t>
      </w:r>
    </w:p>
    <w:p w:rsidR="003E1B4C" w:rsidRPr="003E1B4C" w:rsidRDefault="003E1B4C">
      <w:pPr>
        <w:pStyle w:val="ClinContent"/>
        <w:rPr>
          <w:lang w:val="pl-PL"/>
        </w:rPr>
      </w:pPr>
      <w:r w:rsidRPr="003E1B4C">
        <w:rPr>
          <w:lang w:val="pl-PL"/>
        </w:rPr>
        <w:t xml:space="preserve">Przed Europejskim Trybunałem Praw Człowieka skarżący zarzucali na podstawie art. </w:t>
      </w:r>
      <w:r>
        <w:rPr>
          <w:lang w:val="pl-PL"/>
        </w:rPr>
        <w:t xml:space="preserve">10 Konwencji [o ochronie praw człowieka i podstawowych wolności] oraz </w:t>
      </w:r>
      <w:r w:rsidR="00B122CF">
        <w:rPr>
          <w:lang w:val="pl-PL"/>
        </w:rPr>
        <w:t xml:space="preserve">art. 3 </w:t>
      </w:r>
      <w:r>
        <w:rPr>
          <w:lang w:val="pl-PL"/>
        </w:rPr>
        <w:t>Protokołu nr</w:t>
      </w:r>
      <w:r w:rsidR="00E24385">
        <w:rPr>
          <w:lang w:val="pl-PL"/>
        </w:rPr>
        <w:t> </w:t>
      </w:r>
      <w:r>
        <w:rPr>
          <w:lang w:val="pl-PL"/>
        </w:rPr>
        <w:t>1</w:t>
      </w:r>
      <w:r w:rsidR="00621D4E">
        <w:rPr>
          <w:lang w:val="pl-PL"/>
        </w:rPr>
        <w:t xml:space="preserve"> do Konwencji</w:t>
      </w:r>
      <w:r>
        <w:rPr>
          <w:lang w:val="pl-PL"/>
        </w:rPr>
        <w:t>, że podlegali powszechnemu zakazowi głosowania w referendum na</w:t>
      </w:r>
      <w:r w:rsidR="00E24385">
        <w:rPr>
          <w:lang w:val="pl-PL"/>
        </w:rPr>
        <w:t> </w:t>
      </w:r>
      <w:r>
        <w:rPr>
          <w:lang w:val="pl-PL"/>
        </w:rPr>
        <w:t>temat niepodległości.</w:t>
      </w:r>
    </w:p>
    <w:p w:rsidR="00580945" w:rsidRPr="00F327BC" w:rsidRDefault="00F327BC">
      <w:pPr>
        <w:pStyle w:val="ClinContent"/>
        <w:rPr>
          <w:lang w:val="pl-PL"/>
        </w:rPr>
      </w:pPr>
      <w:r>
        <w:rPr>
          <w:i/>
          <w:lang w:val="pl-PL"/>
        </w:rPr>
        <w:t>Prawo</w:t>
      </w:r>
    </w:p>
    <w:p w:rsidR="00F327BC" w:rsidRPr="00F327BC" w:rsidRDefault="00F327BC">
      <w:pPr>
        <w:pStyle w:val="ClinContent"/>
        <w:rPr>
          <w:lang w:val="pl-PL"/>
        </w:rPr>
      </w:pPr>
      <w:r w:rsidRPr="00F327BC">
        <w:rPr>
          <w:lang w:val="pl-PL"/>
        </w:rPr>
        <w:t>Art. 3 Protokołu nr 1</w:t>
      </w:r>
      <w:r w:rsidR="009D19E5">
        <w:rPr>
          <w:lang w:val="pl-PL"/>
        </w:rPr>
        <w:t>:</w:t>
      </w:r>
      <w:r w:rsidRPr="00F327BC">
        <w:rPr>
          <w:lang w:val="pl-PL"/>
        </w:rPr>
        <w:t xml:space="preserve"> </w:t>
      </w:r>
      <w:r w:rsidR="000A6E78">
        <w:rPr>
          <w:lang w:val="pl-PL"/>
        </w:rPr>
        <w:t>Istota</w:t>
      </w:r>
      <w:r w:rsidRPr="00F327BC">
        <w:rPr>
          <w:lang w:val="pl-PL"/>
        </w:rPr>
        <w:t xml:space="preserve"> s</w:t>
      </w:r>
      <w:r>
        <w:rPr>
          <w:lang w:val="pl-PL"/>
        </w:rPr>
        <w:t>praw</w:t>
      </w:r>
      <w:r w:rsidR="000A6E78">
        <w:rPr>
          <w:lang w:val="pl-PL"/>
        </w:rPr>
        <w:t xml:space="preserve">y </w:t>
      </w:r>
      <w:r w:rsidR="00404C8B">
        <w:rPr>
          <w:lang w:val="pl-PL"/>
        </w:rPr>
        <w:t>dotyczyła tego</w:t>
      </w:r>
      <w:r>
        <w:rPr>
          <w:lang w:val="pl-PL"/>
        </w:rPr>
        <w:t xml:space="preserve">, czy można uznać, że referendum </w:t>
      </w:r>
      <w:r w:rsidR="00704600">
        <w:rPr>
          <w:lang w:val="pl-PL"/>
        </w:rPr>
        <w:t>na temat</w:t>
      </w:r>
      <w:r>
        <w:rPr>
          <w:lang w:val="pl-PL"/>
        </w:rPr>
        <w:t xml:space="preserve"> niepodległości jest objęte zakresem art. 3 Protokołu nr 1. Dotychczas Trybunał oraz funkcjonująca poprzednio Europejska Komisja Praw Człowieka jednomyślnie orzeka</w:t>
      </w:r>
      <w:r w:rsidR="00621D4E">
        <w:rPr>
          <w:lang w:val="pl-PL"/>
        </w:rPr>
        <w:t>li</w:t>
      </w:r>
      <w:r>
        <w:rPr>
          <w:lang w:val="pl-PL"/>
        </w:rPr>
        <w:t xml:space="preserve">, że art. 3 jest ograniczony do wyborów ciała ustawodawczego, a nie ma zastosowania do referendów. </w:t>
      </w:r>
      <w:r w:rsidR="000A6E78">
        <w:rPr>
          <w:lang w:val="pl-PL"/>
        </w:rPr>
        <w:t>Jak słusznie</w:t>
      </w:r>
      <w:r>
        <w:rPr>
          <w:lang w:val="pl-PL"/>
        </w:rPr>
        <w:t xml:space="preserve"> zauważono na poziomie krajowym, w</w:t>
      </w:r>
      <w:r w:rsidR="00E24385">
        <w:rPr>
          <w:lang w:val="pl-PL"/>
        </w:rPr>
        <w:t> </w:t>
      </w:r>
      <w:r>
        <w:rPr>
          <w:lang w:val="pl-PL"/>
        </w:rPr>
        <w:t xml:space="preserve">referendum </w:t>
      </w:r>
      <w:r w:rsidR="003E1B4C">
        <w:rPr>
          <w:lang w:val="pl-PL"/>
        </w:rPr>
        <w:t xml:space="preserve">na temat </w:t>
      </w:r>
      <w:r>
        <w:rPr>
          <w:lang w:val="pl-PL"/>
        </w:rPr>
        <w:t xml:space="preserve">niepodległości ludność Szkocji </w:t>
      </w:r>
      <w:r w:rsidR="00007582">
        <w:rPr>
          <w:lang w:val="pl-PL"/>
        </w:rPr>
        <w:t xml:space="preserve">głosowała </w:t>
      </w:r>
      <w:r>
        <w:rPr>
          <w:lang w:val="pl-PL"/>
        </w:rPr>
        <w:t>w istocie</w:t>
      </w:r>
      <w:r w:rsidR="00007582">
        <w:rPr>
          <w:lang w:val="pl-PL"/>
        </w:rPr>
        <w:t xml:space="preserve"> nad przyszłym</w:t>
      </w:r>
      <w:r>
        <w:rPr>
          <w:lang w:val="pl-PL"/>
        </w:rPr>
        <w:t xml:space="preserve"> rodzaj</w:t>
      </w:r>
      <w:r w:rsidR="00007582">
        <w:rPr>
          <w:lang w:val="pl-PL"/>
        </w:rPr>
        <w:t>em</w:t>
      </w:r>
      <w:r>
        <w:rPr>
          <w:lang w:val="pl-PL"/>
        </w:rPr>
        <w:t xml:space="preserve"> ciała ustawodawczego. </w:t>
      </w:r>
      <w:r w:rsidR="009D19E5">
        <w:rPr>
          <w:lang w:val="pl-PL"/>
        </w:rPr>
        <w:t>A zatem</w:t>
      </w:r>
      <w:r>
        <w:rPr>
          <w:lang w:val="pl-PL"/>
        </w:rPr>
        <w:t xml:space="preserve"> na pierwszy rzut oka mogłoby się wydawać, że</w:t>
      </w:r>
      <w:r w:rsidR="00E24385">
        <w:rPr>
          <w:lang w:val="pl-PL"/>
        </w:rPr>
        <w:t> </w:t>
      </w:r>
      <w:r>
        <w:rPr>
          <w:lang w:val="pl-PL"/>
        </w:rPr>
        <w:t xml:space="preserve">niewłaściwe jest, by takie referendum pozostawało poza sferą ochrony </w:t>
      </w:r>
      <w:r w:rsidR="00404C8B">
        <w:rPr>
          <w:lang w:val="pl-PL"/>
        </w:rPr>
        <w:t xml:space="preserve">przewidzianej </w:t>
      </w:r>
      <w:r>
        <w:rPr>
          <w:lang w:val="pl-PL"/>
        </w:rPr>
        <w:t>przez art. 3 Protokołu nr 1, podczas gdy „</w:t>
      </w:r>
      <w:r w:rsidRPr="009D19E5">
        <w:rPr>
          <w:i/>
          <w:lang w:val="pl-PL"/>
        </w:rPr>
        <w:t>wybór ciała ustawodawczego</w:t>
      </w:r>
      <w:r>
        <w:rPr>
          <w:lang w:val="pl-PL"/>
        </w:rPr>
        <w:t>” wchodzi w</w:t>
      </w:r>
      <w:r w:rsidR="00E24385">
        <w:rPr>
          <w:lang w:val="pl-PL"/>
        </w:rPr>
        <w:t> </w:t>
      </w:r>
      <w:r>
        <w:rPr>
          <w:lang w:val="pl-PL"/>
        </w:rPr>
        <w:t>zakres tej ochrony.</w:t>
      </w:r>
      <w:r w:rsidR="00007582">
        <w:rPr>
          <w:lang w:val="pl-PL"/>
        </w:rPr>
        <w:t xml:space="preserve"> </w:t>
      </w:r>
      <w:r w:rsidR="000814FF">
        <w:rPr>
          <w:lang w:val="pl-PL"/>
        </w:rPr>
        <w:t>Konkluzja taka</w:t>
      </w:r>
      <w:r w:rsidR="00007582">
        <w:rPr>
          <w:lang w:val="pl-PL"/>
        </w:rPr>
        <w:t xml:space="preserve"> </w:t>
      </w:r>
      <w:r w:rsidR="00322113">
        <w:rPr>
          <w:lang w:val="pl-PL"/>
        </w:rPr>
        <w:t>jest</w:t>
      </w:r>
      <w:r w:rsidR="000814FF">
        <w:rPr>
          <w:lang w:val="pl-PL"/>
        </w:rPr>
        <w:t xml:space="preserve"> jednak spójna</w:t>
      </w:r>
      <w:r w:rsidR="00007582">
        <w:rPr>
          <w:lang w:val="pl-PL"/>
        </w:rPr>
        <w:t xml:space="preserve"> z brzmieniem </w:t>
      </w:r>
      <w:r w:rsidR="009D19E5">
        <w:rPr>
          <w:lang w:val="pl-PL"/>
        </w:rPr>
        <w:t xml:space="preserve">tego </w:t>
      </w:r>
      <w:r w:rsidR="00007582">
        <w:rPr>
          <w:lang w:val="pl-PL"/>
        </w:rPr>
        <w:t>artykułu oraz</w:t>
      </w:r>
      <w:r w:rsidR="00E24385">
        <w:rPr>
          <w:lang w:val="pl-PL"/>
        </w:rPr>
        <w:t> </w:t>
      </w:r>
      <w:r w:rsidR="00007582">
        <w:rPr>
          <w:lang w:val="pl-PL"/>
        </w:rPr>
        <w:t xml:space="preserve">jego konsekwentną </w:t>
      </w:r>
      <w:r w:rsidR="009D19E5">
        <w:rPr>
          <w:lang w:val="pl-PL"/>
        </w:rPr>
        <w:t>wykładnią</w:t>
      </w:r>
      <w:r w:rsidR="00007582">
        <w:rPr>
          <w:lang w:val="pl-PL"/>
        </w:rPr>
        <w:t xml:space="preserve"> dokonywaną przez </w:t>
      </w:r>
      <w:r w:rsidR="00322113">
        <w:rPr>
          <w:lang w:val="pl-PL"/>
        </w:rPr>
        <w:t>organy konwencyjne.</w:t>
      </w:r>
      <w:r>
        <w:rPr>
          <w:lang w:val="pl-PL"/>
        </w:rPr>
        <w:t xml:space="preserve">   </w:t>
      </w:r>
    </w:p>
    <w:p w:rsidR="00F327BC" w:rsidRPr="00F327BC" w:rsidRDefault="00F327BC">
      <w:pPr>
        <w:pStyle w:val="ClinContent"/>
        <w:rPr>
          <w:lang w:val="pl-PL"/>
        </w:rPr>
      </w:pPr>
      <w:r w:rsidRPr="00205D53">
        <w:rPr>
          <w:lang w:val="pl-PL"/>
        </w:rPr>
        <w:t xml:space="preserve">Zważywszy, że </w:t>
      </w:r>
      <w:r w:rsidR="00322113">
        <w:rPr>
          <w:lang w:val="pl-PL"/>
        </w:rPr>
        <w:t>istnieje</w:t>
      </w:r>
      <w:r w:rsidRPr="00205D53">
        <w:rPr>
          <w:lang w:val="pl-PL"/>
        </w:rPr>
        <w:t xml:space="preserve"> wiele sposobów zorganizowania i funkcjonowania systemów wyborczych, </w:t>
      </w:r>
      <w:r w:rsidR="00D174E8" w:rsidRPr="00205D53">
        <w:rPr>
          <w:lang w:val="pl-PL"/>
        </w:rPr>
        <w:t>a do</w:t>
      </w:r>
      <w:r w:rsidR="00322113">
        <w:rPr>
          <w:lang w:val="pl-PL"/>
        </w:rPr>
        <w:t xml:space="preserve"> Układających się</w:t>
      </w:r>
      <w:r w:rsidR="00D174E8" w:rsidRPr="00205D53">
        <w:rPr>
          <w:lang w:val="pl-PL"/>
        </w:rPr>
        <w:t xml:space="preserve"> Państw należy</w:t>
      </w:r>
      <w:r w:rsidR="006363A8">
        <w:rPr>
          <w:lang w:val="pl-PL"/>
        </w:rPr>
        <w:t xml:space="preserve"> stworzenie własnej demokratycznej wizji na podstawie</w:t>
      </w:r>
      <w:r w:rsidR="00D174E8" w:rsidRPr="00205D53">
        <w:rPr>
          <w:lang w:val="pl-PL"/>
        </w:rPr>
        <w:t xml:space="preserve"> </w:t>
      </w:r>
      <w:r w:rsidR="00621D4E" w:rsidRPr="00205D53">
        <w:rPr>
          <w:lang w:val="pl-PL"/>
        </w:rPr>
        <w:t>boga</w:t>
      </w:r>
      <w:r w:rsidR="000536C0" w:rsidRPr="00205D53">
        <w:rPr>
          <w:lang w:val="pl-PL"/>
        </w:rPr>
        <w:t>tego</w:t>
      </w:r>
      <w:r w:rsidR="00621D4E" w:rsidRPr="00205D53">
        <w:rPr>
          <w:lang w:val="pl-PL"/>
        </w:rPr>
        <w:t xml:space="preserve"> </w:t>
      </w:r>
      <w:r w:rsidR="000536C0" w:rsidRPr="00205D53">
        <w:rPr>
          <w:lang w:val="pl-PL"/>
        </w:rPr>
        <w:t>zróżnicowania rozwoju historyczn</w:t>
      </w:r>
      <w:r w:rsidR="006363A8">
        <w:rPr>
          <w:lang w:val="pl-PL"/>
        </w:rPr>
        <w:t>ego,</w:t>
      </w:r>
      <w:r w:rsidR="000536C0" w:rsidRPr="00205D53">
        <w:rPr>
          <w:lang w:val="pl-PL"/>
        </w:rPr>
        <w:t xml:space="preserve"> </w:t>
      </w:r>
      <w:r w:rsidR="00621D4E" w:rsidRPr="00205D53">
        <w:rPr>
          <w:lang w:val="pl-PL"/>
        </w:rPr>
        <w:t xml:space="preserve">różnorodności </w:t>
      </w:r>
      <w:r w:rsidR="00621D4E" w:rsidRPr="00205D53">
        <w:rPr>
          <w:lang w:val="pl-PL"/>
        </w:rPr>
        <w:lastRenderedPageBreak/>
        <w:t>kulturowej i</w:t>
      </w:r>
      <w:r w:rsidR="006363A8">
        <w:rPr>
          <w:lang w:val="pl-PL"/>
        </w:rPr>
        <w:t xml:space="preserve"> myśli</w:t>
      </w:r>
      <w:r w:rsidR="00621D4E" w:rsidRPr="00205D53">
        <w:rPr>
          <w:lang w:val="pl-PL"/>
        </w:rPr>
        <w:t xml:space="preserve"> politycznej w Europe</w:t>
      </w:r>
      <w:r w:rsidR="00D174E8" w:rsidRPr="00205D53">
        <w:rPr>
          <w:lang w:val="pl-PL"/>
        </w:rPr>
        <w:t>, nie można wykluczyć, że proces demokratyczny opisany jako referendum przez Układające się Państwo może potencjalnie wchodzić w</w:t>
      </w:r>
      <w:r w:rsidR="00E24385">
        <w:rPr>
          <w:lang w:val="pl-PL"/>
        </w:rPr>
        <w:t> </w:t>
      </w:r>
      <w:r w:rsidR="00D174E8" w:rsidRPr="00205D53">
        <w:rPr>
          <w:lang w:val="pl-PL"/>
        </w:rPr>
        <w:t>zakres art. 3 Protokołu nr 1.</w:t>
      </w:r>
      <w:r w:rsidR="00D174E8">
        <w:rPr>
          <w:lang w:val="pl-PL"/>
        </w:rPr>
        <w:t xml:space="preserve"> </w:t>
      </w:r>
      <w:r w:rsidR="009D19E5">
        <w:rPr>
          <w:lang w:val="pl-PL"/>
        </w:rPr>
        <w:t>A</w:t>
      </w:r>
      <w:r w:rsidR="00D174E8">
        <w:rPr>
          <w:lang w:val="pl-PL"/>
        </w:rPr>
        <w:t xml:space="preserve">by tak było, proces ten musiałby </w:t>
      </w:r>
      <w:r w:rsidR="009D19E5">
        <w:rPr>
          <w:lang w:val="pl-PL"/>
        </w:rPr>
        <w:t xml:space="preserve">jednakże </w:t>
      </w:r>
      <w:r w:rsidR="00D174E8">
        <w:rPr>
          <w:lang w:val="pl-PL"/>
        </w:rPr>
        <w:t xml:space="preserve">odbywać się w rozsądnych odstępach czasu w drodze tajnego głosowania i na warunkach, które zapewniłyby </w:t>
      </w:r>
      <w:r w:rsidR="007E7A16">
        <w:rPr>
          <w:lang w:val="pl-PL"/>
        </w:rPr>
        <w:t xml:space="preserve">ludności </w:t>
      </w:r>
      <w:r w:rsidR="00D174E8">
        <w:rPr>
          <w:lang w:val="pl-PL"/>
        </w:rPr>
        <w:t xml:space="preserve">swobodę wyrażania opinii w wyborze ciała ustawodawczego. </w:t>
      </w:r>
    </w:p>
    <w:p w:rsidR="00D174E8" w:rsidRPr="00D174E8" w:rsidRDefault="00D174E8">
      <w:pPr>
        <w:pStyle w:val="ClinContent"/>
        <w:rPr>
          <w:lang w:val="pl-PL"/>
        </w:rPr>
      </w:pPr>
      <w:r w:rsidRPr="00404C8B">
        <w:rPr>
          <w:i/>
          <w:lang w:val="pl-PL"/>
        </w:rPr>
        <w:t>Rozstrzygnięcie</w:t>
      </w:r>
      <w:r w:rsidRPr="00D174E8">
        <w:rPr>
          <w:lang w:val="pl-PL"/>
        </w:rPr>
        <w:t>: s</w:t>
      </w:r>
      <w:r>
        <w:rPr>
          <w:lang w:val="pl-PL"/>
        </w:rPr>
        <w:t>karga</w:t>
      </w:r>
      <w:r w:rsidRPr="00D174E8">
        <w:rPr>
          <w:lang w:val="pl-PL"/>
        </w:rPr>
        <w:t xml:space="preserve"> niedopuszczalna (niezgodna z Konwencją </w:t>
      </w:r>
      <w:r w:rsidRPr="00D174E8">
        <w:rPr>
          <w:i/>
          <w:lang w:val="pl-PL"/>
        </w:rPr>
        <w:t>ratione materiae</w:t>
      </w:r>
      <w:r w:rsidRPr="00D174E8">
        <w:rPr>
          <w:lang w:val="pl-PL"/>
        </w:rPr>
        <w:t>)</w:t>
      </w:r>
    </w:p>
    <w:p w:rsidR="00D174E8" w:rsidRPr="00D174E8" w:rsidRDefault="00D174E8">
      <w:pPr>
        <w:pStyle w:val="ClinContent"/>
        <w:rPr>
          <w:lang w:val="pl-PL"/>
        </w:rPr>
      </w:pPr>
      <w:r w:rsidRPr="00D174E8">
        <w:rPr>
          <w:lang w:val="pl-PL"/>
        </w:rPr>
        <w:t xml:space="preserve">Art. 10 Konwencji: </w:t>
      </w:r>
      <w:r w:rsidR="009D19E5">
        <w:rPr>
          <w:lang w:val="pl-PL"/>
        </w:rPr>
        <w:t>O</w:t>
      </w:r>
      <w:r w:rsidR="009D19E5" w:rsidRPr="00D174E8">
        <w:rPr>
          <w:lang w:val="pl-PL"/>
        </w:rPr>
        <w:t xml:space="preserve">rgany </w:t>
      </w:r>
      <w:r w:rsidR="009D19E5">
        <w:rPr>
          <w:lang w:val="pl-PL"/>
        </w:rPr>
        <w:t>działające na podstawie K</w:t>
      </w:r>
      <w:r w:rsidR="00404C8B" w:rsidRPr="00D174E8">
        <w:rPr>
          <w:lang w:val="pl-PL"/>
        </w:rPr>
        <w:t>onwenc</w:t>
      </w:r>
      <w:r w:rsidR="009D19E5">
        <w:rPr>
          <w:lang w:val="pl-PL"/>
        </w:rPr>
        <w:t>ji</w:t>
      </w:r>
      <w:r w:rsidR="00404C8B" w:rsidRPr="00D174E8">
        <w:rPr>
          <w:lang w:val="pl-PL"/>
        </w:rPr>
        <w:t xml:space="preserve"> </w:t>
      </w:r>
      <w:r w:rsidRPr="00D174E8">
        <w:rPr>
          <w:lang w:val="pl-PL"/>
        </w:rPr>
        <w:t xml:space="preserve">wielokrotnie stwierdzały, że art. </w:t>
      </w:r>
      <w:r>
        <w:rPr>
          <w:lang w:val="pl-PL"/>
        </w:rPr>
        <w:t>10 nie chroni prawa do głosowania ani w wyborach, ani w referendum.</w:t>
      </w:r>
    </w:p>
    <w:p w:rsidR="00D174E8" w:rsidRPr="00D174E8" w:rsidRDefault="00D174E8">
      <w:pPr>
        <w:pStyle w:val="ClinContent"/>
        <w:rPr>
          <w:lang w:val="pl-PL"/>
        </w:rPr>
      </w:pPr>
      <w:r w:rsidRPr="00404C8B">
        <w:rPr>
          <w:i/>
          <w:lang w:val="pl-PL"/>
        </w:rPr>
        <w:t>Rozstrzygnięcie</w:t>
      </w:r>
      <w:r w:rsidRPr="00D174E8">
        <w:rPr>
          <w:lang w:val="pl-PL"/>
        </w:rPr>
        <w:t xml:space="preserve">: skarga niedopuszczalna (niezgodna z Konwencją </w:t>
      </w:r>
      <w:r w:rsidRPr="00D174E8">
        <w:rPr>
          <w:i/>
          <w:lang w:val="pl-PL"/>
        </w:rPr>
        <w:t>ratione materiae</w:t>
      </w:r>
      <w:r w:rsidRPr="00D174E8">
        <w:rPr>
          <w:lang w:val="pl-PL"/>
        </w:rPr>
        <w:t>)</w:t>
      </w:r>
    </w:p>
    <w:p w:rsidR="00580945" w:rsidRPr="00D174E8" w:rsidRDefault="004A365D">
      <w:pPr>
        <w:pStyle w:val="ClinContent"/>
        <w:rPr>
          <w:lang w:val="pl-PL"/>
        </w:rPr>
      </w:pPr>
      <w:r w:rsidRPr="00D174E8">
        <w:rPr>
          <w:lang w:val="pl-PL"/>
        </w:rPr>
        <w:t>(</w:t>
      </w:r>
      <w:r w:rsidR="00D174E8" w:rsidRPr="00D174E8">
        <w:rPr>
          <w:lang w:val="pl-PL"/>
        </w:rPr>
        <w:t xml:space="preserve">Zobacz </w:t>
      </w:r>
      <w:r w:rsidRPr="00D174E8">
        <w:rPr>
          <w:i/>
          <w:lang w:val="pl-PL"/>
        </w:rPr>
        <w:t xml:space="preserve">X </w:t>
      </w:r>
      <w:r w:rsidR="00D174E8" w:rsidRPr="00D174E8">
        <w:rPr>
          <w:i/>
          <w:lang w:val="pl-PL"/>
        </w:rPr>
        <w:t>p</w:t>
      </w:r>
      <w:r w:rsidRPr="00D174E8">
        <w:rPr>
          <w:i/>
          <w:lang w:val="pl-PL"/>
        </w:rPr>
        <w:t xml:space="preserve">. </w:t>
      </w:r>
      <w:r w:rsidR="00D174E8" w:rsidRPr="00D174E8">
        <w:rPr>
          <w:i/>
          <w:lang w:val="pl-PL"/>
        </w:rPr>
        <w:t xml:space="preserve">Zjednoczonemu </w:t>
      </w:r>
      <w:r w:rsidR="00D174E8">
        <w:rPr>
          <w:i/>
          <w:lang w:val="pl-PL"/>
        </w:rPr>
        <w:t xml:space="preserve">Królestwu </w:t>
      </w:r>
      <w:r w:rsidRPr="00D174E8">
        <w:rPr>
          <w:lang w:val="pl-PL"/>
        </w:rPr>
        <w:t>(dec</w:t>
      </w:r>
      <w:r w:rsidR="00D174E8">
        <w:rPr>
          <w:lang w:val="pl-PL"/>
        </w:rPr>
        <w:t>yzja</w:t>
      </w:r>
      <w:r w:rsidRPr="00D174E8">
        <w:rPr>
          <w:lang w:val="pl-PL"/>
        </w:rPr>
        <w:t xml:space="preserve">), </w:t>
      </w:r>
      <w:r w:rsidR="00D174E8">
        <w:rPr>
          <w:lang w:val="pl-PL"/>
        </w:rPr>
        <w:t xml:space="preserve">skarga nr </w:t>
      </w:r>
      <w:hyperlink r:id="rId12" w:history="1">
        <w:r w:rsidRPr="00D174E8">
          <w:rPr>
            <w:rStyle w:val="Hipercze"/>
            <w:lang w:val="pl-PL"/>
          </w:rPr>
          <w:t>7096/75</w:t>
        </w:r>
      </w:hyperlink>
      <w:r w:rsidRPr="00D174E8">
        <w:rPr>
          <w:lang w:val="pl-PL"/>
        </w:rPr>
        <w:t>, 3 </w:t>
      </w:r>
      <w:r w:rsidR="00D174E8">
        <w:rPr>
          <w:lang w:val="pl-PL"/>
        </w:rPr>
        <w:t>października</w:t>
      </w:r>
      <w:r w:rsidRPr="00D174E8">
        <w:rPr>
          <w:lang w:val="pl-PL"/>
        </w:rPr>
        <w:t xml:space="preserve"> 1975</w:t>
      </w:r>
      <w:r w:rsidR="00D174E8">
        <w:rPr>
          <w:lang w:val="pl-PL"/>
        </w:rPr>
        <w:t xml:space="preserve"> r.</w:t>
      </w:r>
      <w:r w:rsidRPr="00D174E8">
        <w:rPr>
          <w:lang w:val="pl-PL"/>
        </w:rPr>
        <w:t>)</w:t>
      </w:r>
    </w:p>
    <w:p w:rsidR="00580945" w:rsidRPr="00D174E8" w:rsidRDefault="00580945">
      <w:pPr>
        <w:pBdr>
          <w:bottom w:val="single" w:sz="8" w:space="1" w:color="auto"/>
        </w:pBdr>
        <w:rPr>
          <w:lang w:val="pl-PL"/>
        </w:rPr>
      </w:pPr>
    </w:p>
    <w:p w:rsidR="00483B48" w:rsidRDefault="004A365D" w:rsidP="00483B48">
      <w:pPr>
        <w:pStyle w:val="ClinFooter"/>
        <w:rPr>
          <w:lang w:val="pl-PL"/>
        </w:rPr>
      </w:pPr>
      <w:r w:rsidRPr="00E7239D">
        <w:rPr>
          <w:lang w:val="pl-PL"/>
        </w:rPr>
        <w:t>© Council of Europe/European Court of Human Rights</w:t>
      </w:r>
      <w:r w:rsidRPr="00E7239D">
        <w:rPr>
          <w:lang w:val="pl-PL"/>
        </w:rPr>
        <w:br/>
      </w:r>
      <w:r w:rsidR="00483B48" w:rsidRPr="00CD3E67">
        <w:rPr>
          <w:lang w:val="pl-PL"/>
        </w:rPr>
        <w:t>Niniejsze streszczenie prz</w:t>
      </w:r>
      <w:r w:rsidR="00483B48">
        <w:rPr>
          <w:lang w:val="pl-PL"/>
        </w:rPr>
        <w:t xml:space="preserve">ygotowane przez Kancelarię nie wiąże Trybunału.  </w:t>
      </w:r>
    </w:p>
    <w:p w:rsidR="00483B48" w:rsidRDefault="00483B48" w:rsidP="00483B48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:rsidR="00580945" w:rsidRPr="00E7239D" w:rsidRDefault="00580945" w:rsidP="00F66434">
      <w:pPr>
        <w:pStyle w:val="ClinFooter"/>
        <w:jc w:val="left"/>
        <w:rPr>
          <w:lang w:val="pl-PL"/>
        </w:rPr>
      </w:pPr>
    </w:p>
    <w:sectPr w:rsidR="00580945" w:rsidRPr="00E7239D" w:rsidSect="004A5B52">
      <w:head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35" w:rsidRDefault="00BE2B35" w:rsidP="00C63262">
      <w:r>
        <w:separator/>
      </w:r>
    </w:p>
  </w:endnote>
  <w:endnote w:type="continuationSeparator" w:id="0">
    <w:p w:rsidR="00BE2B35" w:rsidRDefault="00BE2B3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35" w:rsidRDefault="00BE2B35" w:rsidP="00C63262">
      <w:r>
        <w:separator/>
      </w:r>
    </w:p>
  </w:footnote>
  <w:footnote w:type="continuationSeparator" w:id="0">
    <w:p w:rsidR="00BE2B35" w:rsidRDefault="00BE2B35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2438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ytel Joanna">
    <w15:presenceInfo w15:providerId="AD" w15:userId="S-1-5-21-2054104177-981614777-456279356-42857"/>
  </w15:person>
  <w15:person w15:author="Sabat Zbigniew">
    <w15:presenceInfo w15:providerId="AD" w15:userId="S-1-5-21-2054104177-981614777-456279356-357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7582"/>
    <w:rsid w:val="00037CCC"/>
    <w:rsid w:val="000536C0"/>
    <w:rsid w:val="000814FF"/>
    <w:rsid w:val="00097888"/>
    <w:rsid w:val="000A6E78"/>
    <w:rsid w:val="000F13B5"/>
    <w:rsid w:val="00107377"/>
    <w:rsid w:val="00143602"/>
    <w:rsid w:val="001769E4"/>
    <w:rsid w:val="00186560"/>
    <w:rsid w:val="001F52B3"/>
    <w:rsid w:val="00205D53"/>
    <w:rsid w:val="00212E83"/>
    <w:rsid w:val="00247C0C"/>
    <w:rsid w:val="0027335C"/>
    <w:rsid w:val="002966E7"/>
    <w:rsid w:val="002A218D"/>
    <w:rsid w:val="002E088D"/>
    <w:rsid w:val="0030264F"/>
    <w:rsid w:val="00322113"/>
    <w:rsid w:val="003450B3"/>
    <w:rsid w:val="00386958"/>
    <w:rsid w:val="003A64A6"/>
    <w:rsid w:val="003B29E8"/>
    <w:rsid w:val="003D7BB3"/>
    <w:rsid w:val="003E1B4C"/>
    <w:rsid w:val="00404C8B"/>
    <w:rsid w:val="0046453F"/>
    <w:rsid w:val="00483B48"/>
    <w:rsid w:val="004A365D"/>
    <w:rsid w:val="004A5B52"/>
    <w:rsid w:val="004D568D"/>
    <w:rsid w:val="004E1037"/>
    <w:rsid w:val="0052092D"/>
    <w:rsid w:val="00540D75"/>
    <w:rsid w:val="005514E5"/>
    <w:rsid w:val="00555096"/>
    <w:rsid w:val="00580945"/>
    <w:rsid w:val="006028A1"/>
    <w:rsid w:val="00621D4E"/>
    <w:rsid w:val="00631A28"/>
    <w:rsid w:val="006363A8"/>
    <w:rsid w:val="006A36AD"/>
    <w:rsid w:val="006B4C25"/>
    <w:rsid w:val="006C1D96"/>
    <w:rsid w:val="00704600"/>
    <w:rsid w:val="0071773F"/>
    <w:rsid w:val="00774515"/>
    <w:rsid w:val="007E7A16"/>
    <w:rsid w:val="00864413"/>
    <w:rsid w:val="00895EF3"/>
    <w:rsid w:val="008C64D5"/>
    <w:rsid w:val="00903D38"/>
    <w:rsid w:val="009B3B2C"/>
    <w:rsid w:val="009D19E5"/>
    <w:rsid w:val="009E3EF0"/>
    <w:rsid w:val="00A01052"/>
    <w:rsid w:val="00A04D9C"/>
    <w:rsid w:val="00A258BB"/>
    <w:rsid w:val="00A33541"/>
    <w:rsid w:val="00A45616"/>
    <w:rsid w:val="00A47483"/>
    <w:rsid w:val="00AA007B"/>
    <w:rsid w:val="00AC7726"/>
    <w:rsid w:val="00AD437C"/>
    <w:rsid w:val="00B122CF"/>
    <w:rsid w:val="00B80CA0"/>
    <w:rsid w:val="00B85770"/>
    <w:rsid w:val="00BE2B35"/>
    <w:rsid w:val="00BF1CD9"/>
    <w:rsid w:val="00C37433"/>
    <w:rsid w:val="00C63262"/>
    <w:rsid w:val="00C72355"/>
    <w:rsid w:val="00C773BF"/>
    <w:rsid w:val="00C93CFB"/>
    <w:rsid w:val="00C97E3E"/>
    <w:rsid w:val="00CF7BA6"/>
    <w:rsid w:val="00D174E8"/>
    <w:rsid w:val="00D42086"/>
    <w:rsid w:val="00D425B3"/>
    <w:rsid w:val="00E24385"/>
    <w:rsid w:val="00E55491"/>
    <w:rsid w:val="00E64841"/>
    <w:rsid w:val="00E7239D"/>
    <w:rsid w:val="00E83DB6"/>
    <w:rsid w:val="00EA53E7"/>
    <w:rsid w:val="00F327BC"/>
    <w:rsid w:val="00F508C9"/>
    <w:rsid w:val="00F50CCD"/>
    <w:rsid w:val="00F5247C"/>
    <w:rsid w:val="00F66434"/>
    <w:rsid w:val="00FA29ED"/>
    <w:rsid w:val="00FE63D3"/>
    <w:rsid w:val="00FF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483B4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83B48"/>
  </w:style>
  <w:style w:type="character" w:customStyle="1" w:styleId="object">
    <w:name w:val="object"/>
    <w:basedOn w:val="Domylnaczcionkaakapitu"/>
    <w:rsid w:val="00483B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483B4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83B48"/>
  </w:style>
  <w:style w:type="character" w:customStyle="1" w:styleId="object">
    <w:name w:val="object"/>
    <w:basedOn w:val="Domylnaczcionkaakapitu"/>
    <w:rsid w:val="00483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hudoc.echr.coe.int/eng?i=001-7505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msz.gov.pl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646C2-17DC-4E8E-8D6C-33E2687866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699491-2C73-4792-94CE-CBBBBC2254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FAFFAA-652F-4B14-949A-D14B90B507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F2AB81-2B1F-4B75-B7EF-C64B88BD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509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Black</dc:creator>
  <cp:lastModifiedBy>Suchożebrska Eliza</cp:lastModifiedBy>
  <cp:revision>7</cp:revision>
  <dcterms:created xsi:type="dcterms:W3CDTF">2018-03-22T15:20:00Z</dcterms:created>
  <dcterms:modified xsi:type="dcterms:W3CDTF">2018-04-09T13:32:00Z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