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115C98" w:rsidRDefault="00014566" w:rsidP="00115C98">
      <w:pPr>
        <w:jc w:val="center"/>
        <w:rPr>
          <w:lang w:val="en-GB"/>
        </w:rPr>
      </w:pPr>
      <w:bookmarkStart w:id="0" w:name="_GoBack"/>
      <w:bookmarkEnd w:id="0"/>
    </w:p>
    <w:p w:rsidR="00881A09" w:rsidRPr="00115C98" w:rsidRDefault="00881A09" w:rsidP="00115C98">
      <w:pPr>
        <w:jc w:val="center"/>
        <w:rPr>
          <w:lang w:val="en-GB"/>
        </w:rPr>
      </w:pPr>
    </w:p>
    <w:p w:rsidR="00881A09" w:rsidRPr="00115C98" w:rsidRDefault="00881A09" w:rsidP="00115C98">
      <w:pPr>
        <w:jc w:val="center"/>
        <w:rPr>
          <w:lang w:val="en-GB"/>
        </w:rPr>
      </w:pPr>
    </w:p>
    <w:p w:rsidR="00014566" w:rsidRPr="00115C98" w:rsidRDefault="006F38BC" w:rsidP="00115C98">
      <w:pPr>
        <w:jc w:val="center"/>
        <w:rPr>
          <w:lang w:val="en-GB"/>
        </w:rPr>
      </w:pPr>
      <w:r w:rsidRPr="00115C98">
        <w:rPr>
          <w:lang w:val="en-GB"/>
        </w:rPr>
        <w:t>FIRST</w:t>
      </w:r>
      <w:r w:rsidR="00A65AAA" w:rsidRPr="00115C98">
        <w:rPr>
          <w:lang w:val="en-GB"/>
        </w:rPr>
        <w:t xml:space="preserve"> SECTION</w:t>
      </w:r>
    </w:p>
    <w:p w:rsidR="00014566" w:rsidRPr="00115C98" w:rsidRDefault="00014566" w:rsidP="00115C98">
      <w:pPr>
        <w:jc w:val="center"/>
        <w:rPr>
          <w:lang w:val="en-GB"/>
        </w:rPr>
      </w:pPr>
    </w:p>
    <w:p w:rsidR="00881A09" w:rsidRPr="00115C98" w:rsidRDefault="00881A09" w:rsidP="00115C98">
      <w:pPr>
        <w:jc w:val="center"/>
        <w:rPr>
          <w:lang w:val="en-GB"/>
        </w:rPr>
      </w:pPr>
    </w:p>
    <w:p w:rsidR="00881A09" w:rsidRPr="00115C98" w:rsidRDefault="00881A09" w:rsidP="00115C98">
      <w:pPr>
        <w:jc w:val="center"/>
        <w:rPr>
          <w:lang w:val="en-GB"/>
        </w:rPr>
      </w:pPr>
    </w:p>
    <w:p w:rsidR="00881A09" w:rsidRPr="00115C98" w:rsidRDefault="00881A09" w:rsidP="00115C98">
      <w:pPr>
        <w:jc w:val="center"/>
        <w:rPr>
          <w:lang w:val="en-GB"/>
        </w:rPr>
      </w:pPr>
    </w:p>
    <w:p w:rsidR="00881A09" w:rsidRPr="00115C98" w:rsidRDefault="00881A09" w:rsidP="00115C98">
      <w:pPr>
        <w:jc w:val="center"/>
        <w:rPr>
          <w:lang w:val="en-GB"/>
        </w:rPr>
      </w:pPr>
    </w:p>
    <w:p w:rsidR="00881A09" w:rsidRPr="00115C98" w:rsidRDefault="00881A09" w:rsidP="00115C98">
      <w:pPr>
        <w:jc w:val="center"/>
        <w:rPr>
          <w:lang w:val="en-GB"/>
        </w:rPr>
      </w:pPr>
    </w:p>
    <w:p w:rsidR="00014566" w:rsidRPr="00115C98" w:rsidRDefault="00014566" w:rsidP="00115C98">
      <w:pPr>
        <w:jc w:val="center"/>
        <w:rPr>
          <w:b/>
          <w:lang w:val="en-GB"/>
        </w:rPr>
      </w:pPr>
      <w:bookmarkStart w:id="1" w:name="To"/>
      <w:r w:rsidRPr="00115C98">
        <w:rPr>
          <w:b/>
          <w:lang w:val="en-GB"/>
        </w:rPr>
        <w:t xml:space="preserve">CASE OF </w:t>
      </w:r>
      <w:bookmarkEnd w:id="1"/>
      <w:r w:rsidR="00A65AAA" w:rsidRPr="00115C98">
        <w:rPr>
          <w:b/>
          <w:lang w:val="en-GB"/>
        </w:rPr>
        <w:t>WRONA v. POLAND</w:t>
      </w:r>
    </w:p>
    <w:p w:rsidR="00014566" w:rsidRPr="00115C98" w:rsidRDefault="00014566" w:rsidP="00115C98">
      <w:pPr>
        <w:jc w:val="center"/>
        <w:rPr>
          <w:lang w:val="en-GB"/>
        </w:rPr>
      </w:pPr>
    </w:p>
    <w:p w:rsidR="00014566" w:rsidRPr="00115C98" w:rsidRDefault="00014566" w:rsidP="00115C98">
      <w:pPr>
        <w:jc w:val="center"/>
        <w:rPr>
          <w:i/>
          <w:lang w:val="en-GB"/>
        </w:rPr>
      </w:pPr>
      <w:r w:rsidRPr="00115C98">
        <w:rPr>
          <w:i/>
          <w:lang w:val="en-GB"/>
        </w:rPr>
        <w:t>(</w:t>
      </w:r>
      <w:r w:rsidR="00A65AAA" w:rsidRPr="00115C98">
        <w:rPr>
          <w:i/>
          <w:lang w:val="en-GB"/>
        </w:rPr>
        <w:t>Application no. 74568/11</w:t>
      </w:r>
      <w:r w:rsidRPr="00115C98">
        <w:rPr>
          <w:i/>
          <w:lang w:val="en-GB"/>
        </w:rPr>
        <w:t>)</w:t>
      </w:r>
    </w:p>
    <w:p w:rsidR="00014566" w:rsidRPr="00115C98" w:rsidRDefault="00014566" w:rsidP="00115C98">
      <w:pPr>
        <w:jc w:val="center"/>
        <w:rPr>
          <w:lang w:val="en-GB"/>
        </w:rPr>
      </w:pPr>
    </w:p>
    <w:p w:rsidR="00014566" w:rsidRPr="00115C98" w:rsidRDefault="00014566" w:rsidP="00115C98">
      <w:pPr>
        <w:jc w:val="center"/>
        <w:rPr>
          <w:lang w:val="en-GB"/>
        </w:rPr>
      </w:pPr>
    </w:p>
    <w:p w:rsidR="00014566" w:rsidRPr="00115C98" w:rsidRDefault="00014566" w:rsidP="00115C98">
      <w:pPr>
        <w:jc w:val="center"/>
        <w:rPr>
          <w:lang w:val="en-GB"/>
        </w:rPr>
      </w:pPr>
    </w:p>
    <w:p w:rsidR="00115C98" w:rsidRPr="00115C98" w:rsidRDefault="00115C98" w:rsidP="00115C98">
      <w:pPr>
        <w:jc w:val="center"/>
        <w:rPr>
          <w:lang w:val="en-GB"/>
        </w:rPr>
      </w:pPr>
    </w:p>
    <w:p w:rsidR="00115C98" w:rsidRPr="00115C98" w:rsidRDefault="00115C98" w:rsidP="00115C98">
      <w:pPr>
        <w:jc w:val="center"/>
        <w:rPr>
          <w:lang w:val="en-GB"/>
        </w:rPr>
      </w:pPr>
    </w:p>
    <w:p w:rsidR="00115C98" w:rsidRPr="00115C98" w:rsidRDefault="00115C98" w:rsidP="00115C98">
      <w:pPr>
        <w:jc w:val="center"/>
        <w:rPr>
          <w:lang w:val="en-GB"/>
        </w:rPr>
      </w:pPr>
    </w:p>
    <w:p w:rsidR="00115C98" w:rsidRPr="00115C98" w:rsidRDefault="00115C98" w:rsidP="00115C98">
      <w:pPr>
        <w:jc w:val="center"/>
        <w:rPr>
          <w:lang w:val="en-GB"/>
        </w:rPr>
      </w:pPr>
    </w:p>
    <w:p w:rsidR="00115C98" w:rsidRPr="00115C98" w:rsidRDefault="00115C98" w:rsidP="00115C98">
      <w:pPr>
        <w:jc w:val="center"/>
        <w:rPr>
          <w:lang w:val="en-GB"/>
        </w:rPr>
      </w:pPr>
    </w:p>
    <w:p w:rsidR="00115C98" w:rsidRPr="00115C98" w:rsidRDefault="00115C98" w:rsidP="00115C98">
      <w:pPr>
        <w:jc w:val="center"/>
        <w:rPr>
          <w:lang w:val="en-GB"/>
        </w:rPr>
      </w:pPr>
    </w:p>
    <w:p w:rsidR="00115C98" w:rsidRPr="00115C98" w:rsidRDefault="00115C98" w:rsidP="00115C98">
      <w:pPr>
        <w:jc w:val="center"/>
        <w:rPr>
          <w:lang w:val="en-GB"/>
        </w:rPr>
      </w:pPr>
    </w:p>
    <w:p w:rsidR="00115C98" w:rsidRPr="00115C98" w:rsidRDefault="00115C98" w:rsidP="00115C98">
      <w:pPr>
        <w:jc w:val="center"/>
        <w:rPr>
          <w:lang w:val="en-GB"/>
        </w:rPr>
      </w:pPr>
    </w:p>
    <w:p w:rsidR="00881A09" w:rsidRPr="00115C98" w:rsidRDefault="00881A09" w:rsidP="00115C98">
      <w:pPr>
        <w:jc w:val="center"/>
        <w:rPr>
          <w:lang w:val="en-GB"/>
        </w:rPr>
      </w:pPr>
    </w:p>
    <w:p w:rsidR="00014566" w:rsidRPr="00115C98" w:rsidRDefault="00014566" w:rsidP="00115C98">
      <w:pPr>
        <w:jc w:val="center"/>
        <w:rPr>
          <w:lang w:val="en-GB"/>
        </w:rPr>
      </w:pPr>
    </w:p>
    <w:p w:rsidR="00AA5BEA" w:rsidRPr="00115C98" w:rsidRDefault="00881A09" w:rsidP="00115C98">
      <w:pPr>
        <w:jc w:val="center"/>
        <w:rPr>
          <w:lang w:val="en-GB"/>
        </w:rPr>
      </w:pPr>
      <w:r w:rsidRPr="00115C98">
        <w:rPr>
          <w:lang w:val="en-GB"/>
        </w:rPr>
        <w:t>JUDGMENT</w:t>
      </w:r>
    </w:p>
    <w:p w:rsidR="00023572" w:rsidRPr="00115C98" w:rsidRDefault="00023572" w:rsidP="00115C98">
      <w:pPr>
        <w:jc w:val="center"/>
        <w:rPr>
          <w:lang w:val="en-GB"/>
        </w:rPr>
      </w:pPr>
    </w:p>
    <w:p w:rsidR="00AA5BEA" w:rsidRPr="00115C98" w:rsidRDefault="00AA5BEA" w:rsidP="00115C98">
      <w:pPr>
        <w:jc w:val="center"/>
        <w:rPr>
          <w:lang w:val="en-GB"/>
        </w:rPr>
      </w:pPr>
    </w:p>
    <w:p w:rsidR="00881A09" w:rsidRPr="00115C98" w:rsidRDefault="00881A09" w:rsidP="00115C98">
      <w:pPr>
        <w:jc w:val="center"/>
        <w:rPr>
          <w:lang w:val="en-GB"/>
        </w:rPr>
      </w:pPr>
    </w:p>
    <w:p w:rsidR="00881A09" w:rsidRPr="00115C98" w:rsidRDefault="00881A09" w:rsidP="00115C98">
      <w:pPr>
        <w:jc w:val="center"/>
        <w:rPr>
          <w:lang w:val="en-GB"/>
        </w:rPr>
      </w:pPr>
    </w:p>
    <w:p w:rsidR="00881A09" w:rsidRPr="00115C98" w:rsidRDefault="00881A09" w:rsidP="00115C98">
      <w:pPr>
        <w:jc w:val="center"/>
        <w:rPr>
          <w:lang w:val="en-GB"/>
        </w:rPr>
      </w:pPr>
      <w:r w:rsidRPr="00115C98">
        <w:rPr>
          <w:lang w:val="en-GB"/>
        </w:rPr>
        <w:t>STRASBOURG</w:t>
      </w:r>
    </w:p>
    <w:p w:rsidR="00881A09" w:rsidRPr="00115C98" w:rsidRDefault="00881A09" w:rsidP="00115C98">
      <w:pPr>
        <w:jc w:val="center"/>
        <w:rPr>
          <w:lang w:val="en-GB"/>
        </w:rPr>
      </w:pPr>
    </w:p>
    <w:p w:rsidR="00881A09" w:rsidRPr="00115C98" w:rsidRDefault="00881A09" w:rsidP="00115C98">
      <w:pPr>
        <w:jc w:val="center"/>
        <w:rPr>
          <w:lang w:val="en-GB"/>
        </w:rPr>
      </w:pPr>
      <w:r w:rsidRPr="00115C98">
        <w:rPr>
          <w:lang w:val="en-GB"/>
        </w:rPr>
        <w:t>15 June 2017</w:t>
      </w:r>
    </w:p>
    <w:p w:rsidR="00881A09" w:rsidRPr="00115C98" w:rsidRDefault="00881A09" w:rsidP="00115C98">
      <w:pPr>
        <w:jc w:val="center"/>
        <w:rPr>
          <w:lang w:val="en-GB"/>
        </w:rPr>
      </w:pPr>
    </w:p>
    <w:p w:rsidR="00881A09" w:rsidRPr="00115C98" w:rsidRDefault="00881A09" w:rsidP="00115C98">
      <w:pPr>
        <w:jc w:val="center"/>
        <w:rPr>
          <w:lang w:val="en-GB"/>
        </w:rPr>
      </w:pPr>
    </w:p>
    <w:p w:rsidR="00881A09" w:rsidRPr="00115C98" w:rsidRDefault="00881A09" w:rsidP="00115C98">
      <w:pPr>
        <w:jc w:val="center"/>
        <w:rPr>
          <w:lang w:val="en-GB"/>
        </w:rPr>
      </w:pPr>
    </w:p>
    <w:p w:rsidR="00881A09" w:rsidRPr="00115C98" w:rsidRDefault="00881A09" w:rsidP="00115C98">
      <w:pPr>
        <w:jc w:val="left"/>
        <w:rPr>
          <w:i/>
          <w:sz w:val="22"/>
          <w:lang w:val="en-GB"/>
        </w:rPr>
      </w:pPr>
      <w:r w:rsidRPr="00115C98">
        <w:rPr>
          <w:i/>
          <w:sz w:val="22"/>
          <w:lang w:val="en-GB"/>
        </w:rPr>
        <w:t>This judgment is final but it may be</w:t>
      </w:r>
      <w:r w:rsidR="006F25AB" w:rsidRPr="00115C98">
        <w:rPr>
          <w:i/>
          <w:sz w:val="22"/>
          <w:lang w:val="en-GB"/>
        </w:rPr>
        <w:t xml:space="preserve"> subject to editorial revision.</w:t>
      </w:r>
    </w:p>
    <w:p w:rsidR="004868E9" w:rsidRPr="00115C98" w:rsidRDefault="004868E9" w:rsidP="00115C98">
      <w:pPr>
        <w:pStyle w:val="ECHRPara"/>
        <w:rPr>
          <w:lang w:val="en-GB"/>
        </w:rPr>
        <w:sectPr w:rsidR="004868E9" w:rsidRPr="00115C98" w:rsidSect="00881A09">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115C98" w:rsidRDefault="00014566" w:rsidP="00115C98">
      <w:pPr>
        <w:pStyle w:val="JuCase"/>
        <w:rPr>
          <w:bCs/>
          <w:lang w:val="en-GB"/>
        </w:rPr>
      </w:pPr>
      <w:r w:rsidRPr="00115C98">
        <w:rPr>
          <w:lang w:val="en-GB"/>
        </w:rPr>
        <w:lastRenderedPageBreak/>
        <w:t xml:space="preserve">In the case of </w:t>
      </w:r>
      <w:r w:rsidR="00A65AAA" w:rsidRPr="00115C98">
        <w:rPr>
          <w:lang w:val="en-GB"/>
        </w:rPr>
        <w:t>Wrona v. Poland</w:t>
      </w:r>
      <w:r w:rsidRPr="00115C98">
        <w:rPr>
          <w:lang w:val="en-GB"/>
        </w:rPr>
        <w:t>,</w:t>
      </w:r>
    </w:p>
    <w:p w:rsidR="00E32786" w:rsidRPr="00115C98" w:rsidRDefault="00E32786" w:rsidP="00115C98">
      <w:pPr>
        <w:pStyle w:val="ECHRPara"/>
        <w:rPr>
          <w:lang w:val="en-GB"/>
        </w:rPr>
      </w:pPr>
      <w:r w:rsidRPr="00115C98">
        <w:rPr>
          <w:lang w:val="en-GB"/>
        </w:rPr>
        <w:t>The European Court of Human Rights (F</w:t>
      </w:r>
      <w:r w:rsidR="001D787E" w:rsidRPr="00115C98">
        <w:rPr>
          <w:lang w:val="en-GB"/>
        </w:rPr>
        <w:t>irst</w:t>
      </w:r>
      <w:r w:rsidRPr="00115C98">
        <w:rPr>
          <w:lang w:val="en-GB"/>
        </w:rPr>
        <w:t xml:space="preserve"> Section), sitting as a Committee composed of:</w:t>
      </w:r>
    </w:p>
    <w:p w:rsidR="00E32786" w:rsidRPr="00115C98" w:rsidRDefault="00881A09" w:rsidP="00115C98">
      <w:pPr>
        <w:pStyle w:val="ECHRDecisionBody"/>
        <w:rPr>
          <w:lang w:val="en-GB"/>
        </w:rPr>
      </w:pPr>
      <w:r w:rsidRPr="00115C98">
        <w:tab/>
        <w:t>Aleš Pejchal,</w:t>
      </w:r>
      <w:r w:rsidRPr="00115C98">
        <w:rPr>
          <w:i/>
        </w:rPr>
        <w:t xml:space="preserve"> President,</w:t>
      </w:r>
      <w:r w:rsidRPr="00115C98">
        <w:rPr>
          <w:i/>
        </w:rPr>
        <w:br/>
      </w:r>
      <w:r w:rsidRPr="00115C98">
        <w:tab/>
        <w:t>Krzysztof Wojtyczek,</w:t>
      </w:r>
      <w:r w:rsidRPr="00115C98">
        <w:rPr>
          <w:i/>
        </w:rPr>
        <w:br/>
      </w:r>
      <w:r w:rsidRPr="00115C98">
        <w:tab/>
        <w:t>Jovan Ilievski,</w:t>
      </w:r>
      <w:r w:rsidRPr="00115C98">
        <w:rPr>
          <w:i/>
        </w:rPr>
        <w:t xml:space="preserve"> judges,</w:t>
      </w:r>
      <w:r w:rsidRPr="00115C98">
        <w:rPr>
          <w:i/>
          <w:lang w:val="en-GB"/>
        </w:rPr>
        <w:br/>
      </w:r>
      <w:r w:rsidR="00E32786" w:rsidRPr="00115C98">
        <w:rPr>
          <w:lang w:val="en-GB"/>
        </w:rPr>
        <w:t xml:space="preserve">and </w:t>
      </w:r>
      <w:r w:rsidR="006F38BC" w:rsidRPr="00115C98">
        <w:rPr>
          <w:lang w:val="en-GB"/>
        </w:rPr>
        <w:t>Renata Degener</w:t>
      </w:r>
      <w:r w:rsidR="00E32786" w:rsidRPr="00115C98">
        <w:rPr>
          <w:lang w:val="en-GB"/>
        </w:rPr>
        <w:t xml:space="preserve">, </w:t>
      </w:r>
      <w:r w:rsidR="00E32786" w:rsidRPr="00115C98">
        <w:rPr>
          <w:i/>
          <w:lang w:val="en-GB"/>
        </w:rPr>
        <w:t xml:space="preserve">Deputy Section </w:t>
      </w:r>
      <w:r w:rsidR="00E32786" w:rsidRPr="00115C98">
        <w:rPr>
          <w:i/>
          <w:iCs/>
          <w:lang w:val="en-GB"/>
        </w:rPr>
        <w:t>Registrar</w:t>
      </w:r>
      <w:r w:rsidR="00E32786" w:rsidRPr="00115C98">
        <w:rPr>
          <w:i/>
          <w:lang w:val="en-GB"/>
        </w:rPr>
        <w:t>,</w:t>
      </w:r>
    </w:p>
    <w:p w:rsidR="00E32786" w:rsidRPr="00115C98" w:rsidRDefault="00E32786" w:rsidP="00115C98">
      <w:pPr>
        <w:pStyle w:val="ECHRPara"/>
        <w:rPr>
          <w:lang w:val="en-GB"/>
        </w:rPr>
      </w:pPr>
      <w:r w:rsidRPr="00115C98">
        <w:rPr>
          <w:lang w:val="en-GB"/>
        </w:rPr>
        <w:t xml:space="preserve">Having deliberated in private on </w:t>
      </w:r>
      <w:r w:rsidR="00881A09" w:rsidRPr="00115C98">
        <w:rPr>
          <w:lang w:val="en-GB"/>
        </w:rPr>
        <w:t>23 May 2017</w:t>
      </w:r>
      <w:r w:rsidRPr="00115C98">
        <w:rPr>
          <w:lang w:val="en-GB"/>
        </w:rPr>
        <w:t>,</w:t>
      </w:r>
    </w:p>
    <w:p w:rsidR="00014566" w:rsidRPr="00115C98" w:rsidRDefault="00E32786" w:rsidP="00115C98">
      <w:pPr>
        <w:pStyle w:val="ECHRPara"/>
        <w:rPr>
          <w:lang w:val="en-GB"/>
        </w:rPr>
      </w:pPr>
      <w:r w:rsidRPr="00115C98">
        <w:rPr>
          <w:lang w:val="en-GB"/>
        </w:rPr>
        <w:t>Delivers the following judgment, which was adopted on that date</w:t>
      </w:r>
      <w:r w:rsidR="00014566" w:rsidRPr="00115C98">
        <w:rPr>
          <w:lang w:val="en-GB"/>
        </w:rPr>
        <w:t>:</w:t>
      </w:r>
    </w:p>
    <w:p w:rsidR="00014566" w:rsidRPr="00115C98" w:rsidRDefault="00014566" w:rsidP="00115C98">
      <w:pPr>
        <w:pStyle w:val="ECHRTitle1"/>
        <w:rPr>
          <w:lang w:val="en-GB"/>
        </w:rPr>
      </w:pPr>
      <w:r w:rsidRPr="00115C98">
        <w:rPr>
          <w:lang w:val="en-GB"/>
        </w:rPr>
        <w:t>PROCEDURE</w:t>
      </w:r>
    </w:p>
    <w:p w:rsidR="00A65AAA"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1</w:t>
      </w:r>
      <w:r w:rsidRPr="00115C98">
        <w:rPr>
          <w:lang w:val="en-GB"/>
        </w:rPr>
        <w:fldChar w:fldCharType="end"/>
      </w:r>
      <w:r w:rsidR="00014566" w:rsidRPr="00115C98">
        <w:rPr>
          <w:lang w:val="en-GB"/>
        </w:rPr>
        <w:t xml:space="preserve">.  The case originated in </w:t>
      </w:r>
      <w:r w:rsidRPr="00115C98">
        <w:rPr>
          <w:lang w:val="en-GB"/>
        </w:rPr>
        <w:t>an application (no. 74568/11)</w:t>
      </w:r>
      <w:r w:rsidR="00014566" w:rsidRPr="00115C98">
        <w:rPr>
          <w:lang w:val="en-GB"/>
        </w:rPr>
        <w:t xml:space="preserve"> against </w:t>
      </w:r>
      <w:r w:rsidRPr="00115C98">
        <w:rPr>
          <w:lang w:val="en-GB"/>
        </w:rPr>
        <w:t>the Republic of Poland</w:t>
      </w:r>
      <w:r w:rsidR="00014566" w:rsidRPr="00115C98">
        <w:rPr>
          <w:lang w:val="en-GB"/>
        </w:rPr>
        <w:t xml:space="preserve"> lodged with the </w:t>
      </w:r>
      <w:r w:rsidRPr="00115C98">
        <w:rPr>
          <w:lang w:val="en-GB"/>
        </w:rPr>
        <w:t>Court under Article 34</w:t>
      </w:r>
      <w:r w:rsidR="00014566" w:rsidRPr="00115C98">
        <w:rPr>
          <w:lang w:val="en-GB"/>
        </w:rPr>
        <w:t xml:space="preserve"> of the Convention for the Protection of Human Rights and Fundamental Freedoms (“the Convention”) by </w:t>
      </w:r>
      <w:r w:rsidRPr="00115C98">
        <w:rPr>
          <w:lang w:val="en-GB"/>
        </w:rPr>
        <w:t>a</w:t>
      </w:r>
      <w:r w:rsidR="00194470" w:rsidRPr="00115C98">
        <w:rPr>
          <w:lang w:val="en-GB"/>
        </w:rPr>
        <w:t xml:space="preserve"> </w:t>
      </w:r>
      <w:r w:rsidRPr="00115C98">
        <w:rPr>
          <w:lang w:val="en-GB"/>
        </w:rPr>
        <w:t>Polish national, Mr Arkadiusz Wrona (“the applicant”), on 30 November 2011</w:t>
      </w:r>
      <w:r w:rsidR="00014566" w:rsidRPr="00115C98">
        <w:rPr>
          <w:lang w:val="en-GB"/>
        </w:rPr>
        <w:t>.</w:t>
      </w:r>
    </w:p>
    <w:p w:rsidR="00115C98"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2</w:t>
      </w:r>
      <w:r w:rsidRPr="00115C98">
        <w:rPr>
          <w:lang w:val="en-GB"/>
        </w:rPr>
        <w:fldChar w:fldCharType="end"/>
      </w:r>
      <w:r w:rsidR="00014566" w:rsidRPr="00115C98">
        <w:rPr>
          <w:lang w:val="en-GB"/>
        </w:rPr>
        <w:t>.  </w:t>
      </w:r>
      <w:r w:rsidRPr="00115C98">
        <w:rPr>
          <w:lang w:val="en-GB"/>
        </w:rPr>
        <w:t xml:space="preserve">The applicant was represented by Ms </w:t>
      </w:r>
      <w:r w:rsidR="00194470" w:rsidRPr="00115C98">
        <w:rPr>
          <w:lang w:val="en-GB"/>
        </w:rPr>
        <w:t>W. </w:t>
      </w:r>
      <w:r w:rsidRPr="00115C98">
        <w:rPr>
          <w:lang w:val="en-GB"/>
        </w:rPr>
        <w:t xml:space="preserve">Pasik, a lawyer practising in </w:t>
      </w:r>
      <w:r w:rsidR="00896B97" w:rsidRPr="00115C98">
        <w:rPr>
          <w:lang w:val="en-GB"/>
        </w:rPr>
        <w:t>Warsaw</w:t>
      </w:r>
      <w:r w:rsidRPr="00115C98">
        <w:rPr>
          <w:lang w:val="en-GB"/>
        </w:rPr>
        <w:t xml:space="preserve">. </w:t>
      </w:r>
      <w:r w:rsidR="00014566" w:rsidRPr="00115C98">
        <w:rPr>
          <w:lang w:val="en-GB"/>
        </w:rPr>
        <w:t xml:space="preserve">The </w:t>
      </w:r>
      <w:r w:rsidRPr="00115C98">
        <w:rPr>
          <w:lang w:val="en-GB"/>
        </w:rPr>
        <w:t>Polish</w:t>
      </w:r>
      <w:r w:rsidR="00014566" w:rsidRPr="00115C98">
        <w:rPr>
          <w:lang w:val="en-GB"/>
        </w:rPr>
        <w:t xml:space="preserve"> Government (“the Government”) were represented by their Agent, Ms</w:t>
      </w:r>
      <w:r w:rsidR="00194470" w:rsidRPr="00115C98">
        <w:rPr>
          <w:lang w:val="en-GB"/>
        </w:rPr>
        <w:t xml:space="preserve"> J. Chrzanowska of the Ministry of Foreign Affairs.</w:t>
      </w:r>
    </w:p>
    <w:p w:rsidR="00115C98" w:rsidRPr="00115C98" w:rsidRDefault="00A65AAA" w:rsidP="00115C98">
      <w:pPr>
        <w:pStyle w:val="ECHRPara"/>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3</w:t>
      </w:r>
      <w:r w:rsidRPr="00115C98">
        <w:rPr>
          <w:lang w:val="en-GB"/>
        </w:rPr>
        <w:fldChar w:fldCharType="end"/>
      </w:r>
      <w:r w:rsidRPr="00115C98">
        <w:rPr>
          <w:lang w:val="en-GB"/>
        </w:rPr>
        <w:t xml:space="preserve">.  The applicant alleged, </w:t>
      </w:r>
      <w:r w:rsidR="004671AA" w:rsidRPr="00115C98">
        <w:t xml:space="preserve">that he had been deprived of his liberty in breach of Article 5 § 1 of the Convention. He further submitted that his detention on remand </w:t>
      </w:r>
      <w:r w:rsidR="00AA4847" w:rsidRPr="00115C98">
        <w:t xml:space="preserve">had </w:t>
      </w:r>
      <w:r w:rsidR="004671AA" w:rsidRPr="00115C98">
        <w:t>exceeded a “reasonable time” within the meaning of Article 5 § 3 of the Convention</w:t>
      </w:r>
      <w:r w:rsidR="00023572" w:rsidRPr="00115C98">
        <w:t xml:space="preserve"> and that, contrary to Article 5</w:t>
      </w:r>
      <w:r w:rsidR="00C9088D" w:rsidRPr="00115C98">
        <w:t xml:space="preserve"> </w:t>
      </w:r>
      <w:r w:rsidR="00023572" w:rsidRPr="00115C98">
        <w:rPr>
          <w:rFonts w:cstheme="minorHAnsi"/>
        </w:rPr>
        <w:t>§</w:t>
      </w:r>
      <w:r w:rsidR="00C9088D" w:rsidRPr="00115C98">
        <w:rPr>
          <w:rFonts w:cstheme="minorHAnsi"/>
        </w:rPr>
        <w:t xml:space="preserve"> </w:t>
      </w:r>
      <w:r w:rsidR="00023572" w:rsidRPr="00115C98">
        <w:t>5, he could not obtain compensation for his allegedly unjustified detention.</w:t>
      </w:r>
    </w:p>
    <w:p w:rsidR="00014566"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4</w:t>
      </w:r>
      <w:r w:rsidRPr="00115C98">
        <w:rPr>
          <w:lang w:val="en-GB"/>
        </w:rPr>
        <w:fldChar w:fldCharType="end"/>
      </w:r>
      <w:r w:rsidR="00014566" w:rsidRPr="00115C98">
        <w:rPr>
          <w:lang w:val="en-GB"/>
        </w:rPr>
        <w:t>.  </w:t>
      </w:r>
      <w:r w:rsidRPr="00115C98">
        <w:rPr>
          <w:lang w:val="en-GB"/>
        </w:rPr>
        <w:t xml:space="preserve">On </w:t>
      </w:r>
      <w:r w:rsidRPr="00115C98">
        <w:rPr>
          <w:szCs w:val="24"/>
          <w:lang w:val="en-GB"/>
        </w:rPr>
        <w:t>5 January 2016</w:t>
      </w:r>
      <w:r w:rsidR="00014566" w:rsidRPr="00115C98">
        <w:rPr>
          <w:lang w:val="en-GB"/>
        </w:rPr>
        <w:t xml:space="preserve"> the </w:t>
      </w:r>
      <w:r w:rsidRPr="00115C98">
        <w:rPr>
          <w:lang w:val="en-GB"/>
        </w:rPr>
        <w:t>complaints</w:t>
      </w:r>
      <w:r w:rsidR="00194470" w:rsidRPr="00115C98">
        <w:rPr>
          <w:lang w:val="en-GB"/>
        </w:rPr>
        <w:t xml:space="preserve"> under Articles 5</w:t>
      </w:r>
      <w:r w:rsidR="00AA4847" w:rsidRPr="00115C98">
        <w:rPr>
          <w:lang w:val="en-GB"/>
        </w:rPr>
        <w:t xml:space="preserve"> </w:t>
      </w:r>
      <w:r w:rsidR="00970E80" w:rsidRPr="00115C98">
        <w:rPr>
          <w:rFonts w:cstheme="minorHAnsi"/>
          <w:lang w:val="en-GB"/>
        </w:rPr>
        <w:t>§</w:t>
      </w:r>
      <w:r w:rsidR="00023572" w:rsidRPr="00115C98">
        <w:rPr>
          <w:rFonts w:cstheme="minorHAnsi"/>
          <w:lang w:val="en-GB"/>
        </w:rPr>
        <w:t>§</w:t>
      </w:r>
      <w:r w:rsidR="00194470" w:rsidRPr="00115C98">
        <w:rPr>
          <w:lang w:val="en-GB"/>
        </w:rPr>
        <w:t xml:space="preserve"> 1, 3 and 5 </w:t>
      </w:r>
      <w:r w:rsidRPr="00115C98">
        <w:rPr>
          <w:lang w:val="en-GB"/>
        </w:rPr>
        <w:t>were communicated to the Government and the remainder of the application was declared inadmissible</w:t>
      </w:r>
      <w:r w:rsidRPr="00115C98">
        <w:rPr>
          <w:szCs w:val="24"/>
          <w:lang w:val="en-GB"/>
        </w:rPr>
        <w:t xml:space="preserve"> </w:t>
      </w:r>
      <w:r w:rsidRPr="00115C98">
        <w:rPr>
          <w:lang w:val="en-GB"/>
        </w:rPr>
        <w:t>pursuant to Rule 54 § 3 of the Rules of Court</w:t>
      </w:r>
      <w:r w:rsidR="00014566" w:rsidRPr="00115C98">
        <w:rPr>
          <w:lang w:val="en-GB"/>
        </w:rPr>
        <w:t>.</w:t>
      </w:r>
    </w:p>
    <w:p w:rsidR="00014566" w:rsidRPr="00115C98" w:rsidRDefault="00014566" w:rsidP="00115C98">
      <w:pPr>
        <w:pStyle w:val="ECHRTitle1"/>
        <w:rPr>
          <w:lang w:val="en-GB"/>
        </w:rPr>
      </w:pPr>
      <w:r w:rsidRPr="00115C98">
        <w:rPr>
          <w:lang w:val="en-GB"/>
        </w:rPr>
        <w:t>THE FACTS</w:t>
      </w:r>
    </w:p>
    <w:p w:rsidR="00014566" w:rsidRPr="00115C98" w:rsidRDefault="00014566" w:rsidP="00115C98">
      <w:pPr>
        <w:pStyle w:val="ECHRHeading1"/>
        <w:rPr>
          <w:lang w:val="en-GB"/>
        </w:rPr>
      </w:pPr>
      <w:r w:rsidRPr="00115C98">
        <w:rPr>
          <w:lang w:val="en-GB"/>
        </w:rPr>
        <w:t>I.  THE CIRCUMSTANCES OF THE CASE</w:t>
      </w:r>
    </w:p>
    <w:p w:rsidR="00014566"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5</w:t>
      </w:r>
      <w:r w:rsidRPr="00115C98">
        <w:rPr>
          <w:lang w:val="en-GB"/>
        </w:rPr>
        <w:fldChar w:fldCharType="end"/>
      </w:r>
      <w:r w:rsidR="00014566" w:rsidRPr="00115C98">
        <w:rPr>
          <w:lang w:val="en-GB"/>
        </w:rPr>
        <w:t xml:space="preserve">.  The </w:t>
      </w:r>
      <w:r w:rsidRPr="00115C98">
        <w:rPr>
          <w:lang w:val="en-GB"/>
        </w:rPr>
        <w:t>applicant was born in 1979 and lives</w:t>
      </w:r>
      <w:r w:rsidR="00014566" w:rsidRPr="00115C98">
        <w:rPr>
          <w:lang w:val="en-GB"/>
        </w:rPr>
        <w:t xml:space="preserve"> in </w:t>
      </w:r>
      <w:r w:rsidRPr="00115C98">
        <w:rPr>
          <w:lang w:val="en-GB"/>
        </w:rPr>
        <w:t>Warsaw</w:t>
      </w:r>
      <w:r w:rsidR="00014566" w:rsidRPr="00115C98">
        <w:rPr>
          <w:lang w:val="en-GB"/>
        </w:rPr>
        <w:t>.</w:t>
      </w:r>
    </w:p>
    <w:p w:rsidR="002B5302" w:rsidRPr="00115C98" w:rsidRDefault="002B5302" w:rsidP="00115C98">
      <w:pPr>
        <w:pStyle w:val="ECHRHeading2"/>
        <w:rPr>
          <w:lang w:val="en-GB"/>
        </w:rPr>
      </w:pPr>
      <w:r w:rsidRPr="00115C98">
        <w:rPr>
          <w:lang w:val="en-GB"/>
        </w:rPr>
        <w:t>A.</w:t>
      </w:r>
      <w:r w:rsidR="005E625C" w:rsidRPr="00115C98">
        <w:rPr>
          <w:lang w:val="en-GB"/>
        </w:rPr>
        <w:t>  </w:t>
      </w:r>
      <w:r w:rsidRPr="00115C98">
        <w:rPr>
          <w:lang w:val="en-GB"/>
        </w:rPr>
        <w:t>Criminal proceedings against the applicant</w:t>
      </w:r>
    </w:p>
    <w:bookmarkStart w:id="2" w:name="First_charge"/>
    <w:p w:rsidR="00115C98" w:rsidRPr="00115C98" w:rsidRDefault="00DB7297" w:rsidP="00115C98">
      <w:pPr>
        <w:pStyle w:val="ECHRPara"/>
        <w:rPr>
          <w:rFonts w:eastAsiaTheme="minorHAnsi"/>
          <w:color w:val="000000"/>
        </w:rPr>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6</w:t>
      </w:r>
      <w:r w:rsidRPr="00115C98">
        <w:rPr>
          <w:rFonts w:eastAsiaTheme="minorHAnsi"/>
          <w:color w:val="000000"/>
        </w:rPr>
        <w:fldChar w:fldCharType="end"/>
      </w:r>
      <w:bookmarkEnd w:id="2"/>
      <w:r w:rsidRPr="00115C98">
        <w:rPr>
          <w:rFonts w:eastAsiaTheme="minorHAnsi"/>
          <w:color w:val="000000"/>
        </w:rPr>
        <w:t>.  </w:t>
      </w:r>
      <w:r w:rsidR="00E376AA" w:rsidRPr="00115C98">
        <w:rPr>
          <w:rFonts w:eastAsiaTheme="minorHAnsi"/>
          <w:color w:val="000000"/>
        </w:rPr>
        <w:t>On 11 February 2004 the applicant was charged with domestic violence.</w:t>
      </w:r>
    </w:p>
    <w:p w:rsidR="00115C98" w:rsidRPr="00115C98" w:rsidRDefault="00DB7297" w:rsidP="00115C98">
      <w:pPr>
        <w:pStyle w:val="ECHRPara"/>
        <w:rPr>
          <w:rFonts w:eastAsiaTheme="minorHAnsi"/>
          <w:color w:val="000000"/>
        </w:rPr>
      </w:pPr>
      <w:r w:rsidRPr="00115C98">
        <w:rPr>
          <w:rFonts w:eastAsiaTheme="minorHAnsi"/>
          <w:color w:val="000000"/>
        </w:rPr>
        <w:lastRenderedPageBreak/>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7</w:t>
      </w:r>
      <w:r w:rsidRPr="00115C98">
        <w:rPr>
          <w:rFonts w:eastAsiaTheme="minorHAnsi"/>
          <w:color w:val="000000"/>
        </w:rPr>
        <w:fldChar w:fldCharType="end"/>
      </w:r>
      <w:r w:rsidRPr="00115C98">
        <w:rPr>
          <w:rFonts w:eastAsiaTheme="minorHAnsi"/>
          <w:color w:val="000000"/>
        </w:rPr>
        <w:t>.  </w:t>
      </w:r>
      <w:r w:rsidR="00E376AA" w:rsidRPr="00115C98">
        <w:rPr>
          <w:rFonts w:eastAsiaTheme="minorHAnsi"/>
          <w:color w:val="000000"/>
        </w:rPr>
        <w:t>On 27 February 2004 a</w:t>
      </w:r>
      <w:r w:rsidR="00D74019" w:rsidRPr="00115C98">
        <w:rPr>
          <w:rFonts w:eastAsiaTheme="minorHAnsi"/>
          <w:color w:val="000000"/>
        </w:rPr>
        <w:t xml:space="preserve"> bill of</w:t>
      </w:r>
      <w:r w:rsidR="00E376AA" w:rsidRPr="00115C98">
        <w:rPr>
          <w:rFonts w:eastAsiaTheme="minorHAnsi"/>
          <w:color w:val="000000"/>
        </w:rPr>
        <w:t xml:space="preserve"> indictment</w:t>
      </w:r>
      <w:r w:rsidR="00896B97" w:rsidRPr="00115C98">
        <w:rPr>
          <w:rFonts w:eastAsiaTheme="minorHAnsi"/>
          <w:color w:val="000000"/>
        </w:rPr>
        <w:t xml:space="preserve"> in respect of the applicant</w:t>
      </w:r>
      <w:r w:rsidR="00E376AA" w:rsidRPr="00115C98">
        <w:rPr>
          <w:rFonts w:eastAsiaTheme="minorHAnsi"/>
          <w:color w:val="000000"/>
        </w:rPr>
        <w:t xml:space="preserve"> was </w:t>
      </w:r>
      <w:r w:rsidR="00AA4847" w:rsidRPr="00115C98">
        <w:rPr>
          <w:rFonts w:eastAsiaTheme="minorHAnsi"/>
          <w:color w:val="000000"/>
        </w:rPr>
        <w:t xml:space="preserve">lodged </w:t>
      </w:r>
      <w:r w:rsidR="00E376AA" w:rsidRPr="00115C98">
        <w:rPr>
          <w:rFonts w:eastAsiaTheme="minorHAnsi"/>
          <w:color w:val="000000"/>
        </w:rPr>
        <w:t xml:space="preserve">with the Warsaw District Court. Subsequently, on an unknown date the case was </w:t>
      </w:r>
      <w:r w:rsidR="00AA4847" w:rsidRPr="00115C98">
        <w:rPr>
          <w:rFonts w:eastAsiaTheme="minorHAnsi"/>
          <w:color w:val="000000"/>
        </w:rPr>
        <w:t xml:space="preserve">returned </w:t>
      </w:r>
      <w:r w:rsidR="00E376AA" w:rsidRPr="00115C98">
        <w:rPr>
          <w:rFonts w:eastAsiaTheme="minorHAnsi"/>
          <w:color w:val="000000"/>
        </w:rPr>
        <w:t>to the prosecution authorities in order to amend the charges.</w:t>
      </w:r>
    </w:p>
    <w:bookmarkStart w:id="3" w:name="order_to_undergo_observation"/>
    <w:p w:rsidR="00115C98" w:rsidRPr="00115C98" w:rsidRDefault="007E4903" w:rsidP="00115C98">
      <w:pPr>
        <w:pStyle w:val="ECHRPara"/>
        <w:rPr>
          <w:rFonts w:eastAsiaTheme="minorHAnsi"/>
          <w:color w:val="000000"/>
        </w:rPr>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8</w:t>
      </w:r>
      <w:r w:rsidRPr="00115C98">
        <w:rPr>
          <w:rFonts w:eastAsiaTheme="minorHAnsi"/>
          <w:color w:val="000000"/>
        </w:rPr>
        <w:fldChar w:fldCharType="end"/>
      </w:r>
      <w:bookmarkEnd w:id="3"/>
      <w:r w:rsidRPr="00115C98">
        <w:rPr>
          <w:rFonts w:eastAsiaTheme="minorHAnsi"/>
          <w:color w:val="000000"/>
        </w:rPr>
        <w:t>.  </w:t>
      </w:r>
      <w:r w:rsidR="00E376AA" w:rsidRPr="00115C98">
        <w:rPr>
          <w:rFonts w:eastAsiaTheme="minorHAnsi"/>
          <w:color w:val="000000"/>
        </w:rPr>
        <w:t>On 20 August 2004 the Warsaw District Court ordered the applicant to undergo a psychiatric assessment in a psychiatric hospital. The applicant did not lodge an interlocutory appeal against this decision.</w:t>
      </w:r>
    </w:p>
    <w:bookmarkStart w:id="4" w:name="paragraf_9"/>
    <w:p w:rsidR="00115C98" w:rsidRPr="00115C98" w:rsidRDefault="007E4903" w:rsidP="00115C98">
      <w:pPr>
        <w:pStyle w:val="ECHRPara"/>
        <w:rPr>
          <w:rFonts w:eastAsiaTheme="minorHAnsi"/>
          <w:color w:val="000000"/>
        </w:rPr>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9</w:t>
      </w:r>
      <w:r w:rsidRPr="00115C98">
        <w:rPr>
          <w:rFonts w:eastAsiaTheme="minorHAnsi"/>
          <w:color w:val="000000"/>
        </w:rPr>
        <w:fldChar w:fldCharType="end"/>
      </w:r>
      <w:bookmarkEnd w:id="4"/>
      <w:r w:rsidRPr="00115C98">
        <w:rPr>
          <w:rFonts w:eastAsiaTheme="minorHAnsi"/>
          <w:color w:val="000000"/>
        </w:rPr>
        <w:t>.  </w:t>
      </w:r>
      <w:r w:rsidR="00E376AA" w:rsidRPr="00115C98">
        <w:rPr>
          <w:rFonts w:eastAsiaTheme="minorHAnsi"/>
          <w:color w:val="000000"/>
        </w:rPr>
        <w:t xml:space="preserve">On 11 April 2005 the applicant was brought by the police to the Warsaw Psychiatric Hospital in order to undergo the psychiatric assessment. However, he refused to stay and left the waiting room. </w:t>
      </w:r>
      <w:r w:rsidR="00C76CC2" w:rsidRPr="00115C98">
        <w:rPr>
          <w:rFonts w:eastAsiaTheme="minorHAnsi"/>
          <w:color w:val="000000"/>
        </w:rPr>
        <w:t>On the same day h</w:t>
      </w:r>
      <w:r w:rsidR="00E376AA" w:rsidRPr="00115C98">
        <w:rPr>
          <w:rFonts w:eastAsiaTheme="minorHAnsi"/>
          <w:color w:val="000000"/>
        </w:rPr>
        <w:t>e was ordered to come to the hospital on 18 April 2005, on pain of detention on remand. On 18 April 2005 the applicant came to the hospital. However, he refused to stay for the assessment, explaining that he had many urgent matters to attend to.</w:t>
      </w:r>
    </w:p>
    <w:bookmarkStart w:id="5" w:name="order_detention_remand"/>
    <w:p w:rsidR="00115C98" w:rsidRPr="00115C98" w:rsidRDefault="007E4903" w:rsidP="00115C98">
      <w:pPr>
        <w:pStyle w:val="ECHRPara"/>
        <w:rPr>
          <w:rFonts w:eastAsiaTheme="minorHAnsi"/>
          <w:spacing w:val="-2"/>
        </w:rPr>
      </w:pPr>
      <w:r w:rsidRPr="00115C98">
        <w:rPr>
          <w:rFonts w:eastAsiaTheme="minorHAnsi"/>
          <w:spacing w:val="-2"/>
        </w:rPr>
        <w:fldChar w:fldCharType="begin"/>
      </w:r>
      <w:r w:rsidRPr="00115C98">
        <w:rPr>
          <w:rFonts w:eastAsiaTheme="minorHAnsi"/>
          <w:spacing w:val="-2"/>
        </w:rPr>
        <w:instrText xml:space="preserve"> SEQ level0 \*arabic </w:instrText>
      </w:r>
      <w:r w:rsidRPr="00115C98">
        <w:rPr>
          <w:rFonts w:eastAsiaTheme="minorHAnsi"/>
          <w:spacing w:val="-2"/>
        </w:rPr>
        <w:fldChar w:fldCharType="separate"/>
      </w:r>
      <w:r w:rsidR="00115C98" w:rsidRPr="00115C98">
        <w:rPr>
          <w:rFonts w:eastAsiaTheme="minorHAnsi"/>
          <w:noProof/>
          <w:spacing w:val="-2"/>
        </w:rPr>
        <w:t>10</w:t>
      </w:r>
      <w:r w:rsidRPr="00115C98">
        <w:rPr>
          <w:rFonts w:eastAsiaTheme="minorHAnsi"/>
          <w:spacing w:val="-2"/>
        </w:rPr>
        <w:fldChar w:fldCharType="end"/>
      </w:r>
      <w:bookmarkEnd w:id="5"/>
      <w:r w:rsidRPr="00115C98">
        <w:rPr>
          <w:rFonts w:eastAsiaTheme="minorHAnsi"/>
          <w:spacing w:val="-2"/>
        </w:rPr>
        <w:t>.  </w:t>
      </w:r>
      <w:r w:rsidR="00E376AA" w:rsidRPr="00115C98">
        <w:rPr>
          <w:rFonts w:eastAsiaTheme="minorHAnsi"/>
          <w:spacing w:val="-2"/>
        </w:rPr>
        <w:t>On 7 June 2005 the Warsaw District Court ordered the applicant</w:t>
      </w:r>
      <w:r w:rsidR="00115C98" w:rsidRPr="00115C98">
        <w:rPr>
          <w:rFonts w:eastAsiaTheme="minorHAnsi"/>
          <w:spacing w:val="-2"/>
        </w:rPr>
        <w:t>’</w:t>
      </w:r>
      <w:r w:rsidR="00E376AA" w:rsidRPr="00115C98">
        <w:rPr>
          <w:rFonts w:eastAsiaTheme="minorHAnsi"/>
          <w:spacing w:val="-2"/>
        </w:rPr>
        <w:t>s detention on remand</w:t>
      </w:r>
      <w:r w:rsidR="002B5302" w:rsidRPr="00115C98">
        <w:rPr>
          <w:rFonts w:eastAsiaTheme="minorHAnsi"/>
          <w:spacing w:val="-2"/>
        </w:rPr>
        <w:t xml:space="preserve"> </w:t>
      </w:r>
      <w:r w:rsidR="006610EF" w:rsidRPr="00115C98">
        <w:rPr>
          <w:rFonts w:eastAsiaTheme="minorHAnsi"/>
          <w:spacing w:val="-2"/>
        </w:rPr>
        <w:t>in accordance with</w:t>
      </w:r>
      <w:r w:rsidR="002B5302" w:rsidRPr="00115C98">
        <w:rPr>
          <w:rFonts w:eastAsiaTheme="minorHAnsi"/>
          <w:spacing w:val="-2"/>
        </w:rPr>
        <w:t xml:space="preserve"> Articles 249 </w:t>
      </w:r>
      <w:r w:rsidR="002B5302" w:rsidRPr="00115C98">
        <w:rPr>
          <w:rFonts w:eastAsiaTheme="minorHAnsi" w:cstheme="minorHAnsi"/>
          <w:spacing w:val="-2"/>
        </w:rPr>
        <w:t>§</w:t>
      </w:r>
      <w:r w:rsidR="002B5302" w:rsidRPr="00115C98">
        <w:rPr>
          <w:rFonts w:eastAsiaTheme="minorHAnsi"/>
          <w:spacing w:val="-2"/>
        </w:rPr>
        <w:t xml:space="preserve"> 1 and 258 </w:t>
      </w:r>
      <w:r w:rsidR="002B5302" w:rsidRPr="00115C98">
        <w:rPr>
          <w:rFonts w:eastAsiaTheme="minorHAnsi" w:cstheme="minorHAnsi"/>
          <w:spacing w:val="-2"/>
        </w:rPr>
        <w:t>§</w:t>
      </w:r>
      <w:r w:rsidR="002B5302" w:rsidRPr="00115C98">
        <w:rPr>
          <w:rFonts w:eastAsiaTheme="minorHAnsi"/>
          <w:spacing w:val="-2"/>
        </w:rPr>
        <w:t xml:space="preserve"> 1 </w:t>
      </w:r>
      <w:r w:rsidR="00896B97" w:rsidRPr="00115C98">
        <w:rPr>
          <w:rFonts w:eastAsiaTheme="minorHAnsi"/>
          <w:spacing w:val="-2"/>
        </w:rPr>
        <w:t>(</w:t>
      </w:r>
      <w:r w:rsidR="002B5302" w:rsidRPr="00115C98">
        <w:rPr>
          <w:rFonts w:eastAsiaTheme="minorHAnsi"/>
          <w:spacing w:val="-2"/>
        </w:rPr>
        <w:t>1</w:t>
      </w:r>
      <w:r w:rsidR="003C3C1E" w:rsidRPr="00115C98">
        <w:rPr>
          <w:rFonts w:eastAsiaTheme="minorHAnsi"/>
          <w:spacing w:val="-2"/>
        </w:rPr>
        <w:t>)</w:t>
      </w:r>
      <w:r w:rsidR="005E4714" w:rsidRPr="00115C98">
        <w:rPr>
          <w:rFonts w:eastAsiaTheme="minorHAnsi"/>
          <w:spacing w:val="-2"/>
        </w:rPr>
        <w:t xml:space="preserve"> and </w:t>
      </w:r>
      <w:r w:rsidR="003C3C1E" w:rsidRPr="00115C98">
        <w:rPr>
          <w:rFonts w:eastAsiaTheme="minorHAnsi"/>
          <w:spacing w:val="-2"/>
        </w:rPr>
        <w:t>(</w:t>
      </w:r>
      <w:r w:rsidR="002B5302" w:rsidRPr="00115C98">
        <w:rPr>
          <w:rFonts w:eastAsiaTheme="minorHAnsi"/>
          <w:spacing w:val="-2"/>
        </w:rPr>
        <w:t>2) of the Code of Criminal Procedure (“</w:t>
      </w:r>
      <w:r w:rsidR="006610EF" w:rsidRPr="00115C98">
        <w:rPr>
          <w:rFonts w:eastAsiaTheme="minorHAnsi"/>
          <w:spacing w:val="-2"/>
        </w:rPr>
        <w:t xml:space="preserve">the </w:t>
      </w:r>
      <w:r w:rsidR="002B5302" w:rsidRPr="00115C98">
        <w:rPr>
          <w:rFonts w:eastAsiaTheme="minorHAnsi"/>
          <w:spacing w:val="-2"/>
        </w:rPr>
        <w:t>CCP</w:t>
      </w:r>
      <w:r w:rsidR="006610EF" w:rsidRPr="00115C98">
        <w:rPr>
          <w:rFonts w:eastAsiaTheme="minorHAnsi"/>
          <w:spacing w:val="-2"/>
        </w:rPr>
        <w:t>”</w:t>
      </w:r>
      <w:r w:rsidR="002B5302" w:rsidRPr="00115C98">
        <w:rPr>
          <w:rFonts w:eastAsiaTheme="minorHAnsi"/>
          <w:spacing w:val="-2"/>
        </w:rPr>
        <w:t>) (</w:t>
      </w:r>
      <w:r w:rsidR="00115C98" w:rsidRPr="00115C98">
        <w:rPr>
          <w:rFonts w:eastAsiaTheme="minorHAnsi"/>
          <w:spacing w:val="-2"/>
        </w:rPr>
        <w:t xml:space="preserve">see </w:t>
      </w:r>
      <w:r w:rsidR="002B5302" w:rsidRPr="00115C98">
        <w:rPr>
          <w:rFonts w:eastAsiaTheme="minorHAnsi"/>
          <w:spacing w:val="-2"/>
        </w:rPr>
        <w:t xml:space="preserve">paragraphs </w:t>
      </w:r>
      <w:r w:rsidR="00023572" w:rsidRPr="00115C98">
        <w:rPr>
          <w:rFonts w:eastAsiaTheme="minorHAnsi"/>
          <w:spacing w:val="-2"/>
        </w:rPr>
        <w:fldChar w:fldCharType="begin"/>
      </w:r>
      <w:r w:rsidR="00023572" w:rsidRPr="00115C98">
        <w:rPr>
          <w:rFonts w:eastAsiaTheme="minorHAnsi"/>
          <w:spacing w:val="-2"/>
        </w:rPr>
        <w:instrText xml:space="preserve"> REF CCP_249 \h </w:instrText>
      </w:r>
      <w:r w:rsidR="005E4714" w:rsidRPr="00115C98">
        <w:rPr>
          <w:rFonts w:eastAsiaTheme="minorHAnsi"/>
          <w:spacing w:val="-2"/>
        </w:rPr>
        <w:instrText xml:space="preserve"> \* MERGEFORMAT </w:instrText>
      </w:r>
      <w:r w:rsidR="00023572" w:rsidRPr="00115C98">
        <w:rPr>
          <w:rFonts w:eastAsiaTheme="minorHAnsi"/>
          <w:spacing w:val="-2"/>
        </w:rPr>
      </w:r>
      <w:r w:rsidR="00023572" w:rsidRPr="00115C98">
        <w:rPr>
          <w:rFonts w:eastAsiaTheme="minorHAnsi"/>
          <w:spacing w:val="-2"/>
        </w:rPr>
        <w:fldChar w:fldCharType="separate"/>
      </w:r>
      <w:r w:rsidR="00115C98" w:rsidRPr="00115C98">
        <w:rPr>
          <w:rFonts w:eastAsia="Times New Roman"/>
          <w:noProof/>
          <w:spacing w:val="-2"/>
          <w:lang w:val="en-GB" w:eastAsia="fr-FR"/>
        </w:rPr>
        <w:t>25</w:t>
      </w:r>
      <w:r w:rsidR="00023572" w:rsidRPr="00115C98">
        <w:rPr>
          <w:rFonts w:eastAsiaTheme="minorHAnsi"/>
          <w:spacing w:val="-2"/>
        </w:rPr>
        <w:fldChar w:fldCharType="end"/>
      </w:r>
      <w:r w:rsidR="00023572" w:rsidRPr="00115C98">
        <w:rPr>
          <w:rFonts w:eastAsiaTheme="minorHAnsi"/>
          <w:spacing w:val="-2"/>
        </w:rPr>
        <w:t xml:space="preserve"> and </w:t>
      </w:r>
      <w:r w:rsidR="00023572" w:rsidRPr="00115C98">
        <w:rPr>
          <w:rFonts w:eastAsiaTheme="minorHAnsi"/>
          <w:spacing w:val="-2"/>
        </w:rPr>
        <w:fldChar w:fldCharType="begin"/>
      </w:r>
      <w:r w:rsidR="00023572" w:rsidRPr="00115C98">
        <w:rPr>
          <w:rFonts w:eastAsiaTheme="minorHAnsi"/>
          <w:spacing w:val="-2"/>
        </w:rPr>
        <w:instrText xml:space="preserve"> REF CCP_258 \h </w:instrText>
      </w:r>
      <w:r w:rsidR="005E4714" w:rsidRPr="00115C98">
        <w:rPr>
          <w:rFonts w:eastAsiaTheme="minorHAnsi"/>
          <w:spacing w:val="-2"/>
        </w:rPr>
        <w:instrText xml:space="preserve"> \* MERGEFORMAT </w:instrText>
      </w:r>
      <w:r w:rsidR="00023572" w:rsidRPr="00115C98">
        <w:rPr>
          <w:rFonts w:eastAsiaTheme="minorHAnsi"/>
          <w:spacing w:val="-2"/>
        </w:rPr>
      </w:r>
      <w:r w:rsidR="00023572" w:rsidRPr="00115C98">
        <w:rPr>
          <w:rFonts w:eastAsiaTheme="minorHAnsi"/>
          <w:spacing w:val="-2"/>
        </w:rPr>
        <w:fldChar w:fldCharType="separate"/>
      </w:r>
      <w:r w:rsidR="00115C98" w:rsidRPr="00115C98">
        <w:rPr>
          <w:rFonts w:eastAsia="Times New Roman"/>
          <w:noProof/>
          <w:spacing w:val="-2"/>
          <w:lang w:val="en-GB" w:eastAsia="fr-FR"/>
        </w:rPr>
        <w:t>26</w:t>
      </w:r>
      <w:r w:rsidR="00023572" w:rsidRPr="00115C98">
        <w:rPr>
          <w:rFonts w:eastAsiaTheme="minorHAnsi"/>
          <w:spacing w:val="-2"/>
        </w:rPr>
        <w:fldChar w:fldCharType="end"/>
      </w:r>
      <w:r w:rsidR="00597FD3" w:rsidRPr="00115C98">
        <w:rPr>
          <w:rFonts w:eastAsiaTheme="minorHAnsi"/>
          <w:spacing w:val="-2"/>
        </w:rPr>
        <w:t> </w:t>
      </w:r>
      <w:r w:rsidR="002B5302" w:rsidRPr="00115C98">
        <w:rPr>
          <w:rFonts w:eastAsiaTheme="minorHAnsi"/>
          <w:spacing w:val="-2"/>
        </w:rPr>
        <w:t>below)</w:t>
      </w:r>
      <w:r w:rsidR="00E376AA" w:rsidRPr="00115C98">
        <w:rPr>
          <w:rFonts w:eastAsiaTheme="minorHAnsi"/>
          <w:spacing w:val="-2"/>
        </w:rPr>
        <w:t xml:space="preserve">. The court </w:t>
      </w:r>
      <w:r w:rsidR="00C76CC2" w:rsidRPr="00115C98">
        <w:rPr>
          <w:rFonts w:eastAsiaTheme="minorHAnsi"/>
          <w:spacing w:val="-2"/>
        </w:rPr>
        <w:t>held that in view of the applicant</w:t>
      </w:r>
      <w:r w:rsidR="00115C98" w:rsidRPr="00115C98">
        <w:rPr>
          <w:rFonts w:eastAsiaTheme="minorHAnsi"/>
          <w:spacing w:val="-2"/>
        </w:rPr>
        <w:t>’</w:t>
      </w:r>
      <w:r w:rsidR="00C76CC2" w:rsidRPr="00115C98">
        <w:rPr>
          <w:rFonts w:eastAsiaTheme="minorHAnsi"/>
          <w:spacing w:val="-2"/>
        </w:rPr>
        <w:t>s parents</w:t>
      </w:r>
      <w:r w:rsidR="00115C98" w:rsidRPr="00115C98">
        <w:rPr>
          <w:rFonts w:eastAsiaTheme="minorHAnsi"/>
          <w:spacing w:val="-2"/>
        </w:rPr>
        <w:t>’</w:t>
      </w:r>
      <w:r w:rsidR="007F3DC8" w:rsidRPr="00115C98">
        <w:rPr>
          <w:rFonts w:eastAsiaTheme="minorHAnsi"/>
          <w:spacing w:val="-2"/>
        </w:rPr>
        <w:t xml:space="preserve"> and his sister</w:t>
      </w:r>
      <w:r w:rsidR="00115C98" w:rsidRPr="00115C98">
        <w:rPr>
          <w:rFonts w:eastAsiaTheme="minorHAnsi"/>
          <w:spacing w:val="-2"/>
        </w:rPr>
        <w:t>’</w:t>
      </w:r>
      <w:r w:rsidR="007F3DC8" w:rsidRPr="00115C98">
        <w:rPr>
          <w:rFonts w:eastAsiaTheme="minorHAnsi"/>
          <w:spacing w:val="-2"/>
        </w:rPr>
        <w:t>s</w:t>
      </w:r>
      <w:r w:rsidR="00115C98" w:rsidRPr="00115C98">
        <w:rPr>
          <w:rFonts w:eastAsiaTheme="minorHAnsi"/>
          <w:spacing w:val="-2"/>
        </w:rPr>
        <w:t xml:space="preserve"> </w:t>
      </w:r>
      <w:r w:rsidR="00C76CC2" w:rsidRPr="00115C98">
        <w:rPr>
          <w:rFonts w:eastAsiaTheme="minorHAnsi"/>
          <w:spacing w:val="-2"/>
        </w:rPr>
        <w:t xml:space="preserve"> testimonies there was a </w:t>
      </w:r>
      <w:r w:rsidR="00E376AA" w:rsidRPr="00115C98">
        <w:rPr>
          <w:spacing w:val="-2"/>
        </w:rPr>
        <w:t>reasonable suspicion that the applicant had committed the offences with which he was charged. In addition, there was a reasonable risk that the applicant would obstruct the proceedings or that he would go into hiding. The court noted that the applicant</w:t>
      </w:r>
      <w:r w:rsidR="00115C98" w:rsidRPr="00115C98">
        <w:rPr>
          <w:spacing w:val="-2"/>
        </w:rPr>
        <w:t>’</w:t>
      </w:r>
      <w:r w:rsidR="00E376AA" w:rsidRPr="00115C98">
        <w:rPr>
          <w:spacing w:val="-2"/>
        </w:rPr>
        <w:t xml:space="preserve">s mother had admitted that he had </w:t>
      </w:r>
      <w:r w:rsidR="002B5302" w:rsidRPr="00115C98">
        <w:rPr>
          <w:spacing w:val="-2"/>
        </w:rPr>
        <w:t xml:space="preserve">stayed irregularly at his home address: he had </w:t>
      </w:r>
      <w:r w:rsidR="00E376AA" w:rsidRPr="00115C98">
        <w:rPr>
          <w:spacing w:val="-2"/>
        </w:rPr>
        <w:t xml:space="preserve">been coming home late in the evening and leaving early in the morning. Furthermore, </w:t>
      </w:r>
      <w:r w:rsidR="00E376AA" w:rsidRPr="00115C98">
        <w:rPr>
          <w:rFonts w:eastAsiaTheme="minorHAnsi"/>
          <w:spacing w:val="-2"/>
        </w:rPr>
        <w:t>the applicant had failed to comply with the order of 20 August</w:t>
      </w:r>
      <w:r w:rsidR="00115C98" w:rsidRPr="00115C98">
        <w:rPr>
          <w:rFonts w:eastAsiaTheme="minorHAnsi"/>
          <w:spacing w:val="-2"/>
        </w:rPr>
        <w:t xml:space="preserve"> </w:t>
      </w:r>
      <w:r w:rsidR="00E376AA" w:rsidRPr="00115C98">
        <w:rPr>
          <w:rFonts w:eastAsiaTheme="minorHAnsi"/>
          <w:spacing w:val="-2"/>
        </w:rPr>
        <w:t>2004 to undergo a six</w:t>
      </w:r>
      <w:r w:rsidR="00E376AA" w:rsidRPr="00115C98">
        <w:rPr>
          <w:rFonts w:eastAsiaTheme="minorHAnsi"/>
          <w:spacing w:val="-2"/>
        </w:rPr>
        <w:noBreakHyphen/>
        <w:t>week psychiatric assessment</w:t>
      </w:r>
      <w:r w:rsidR="005E4714" w:rsidRPr="00115C98">
        <w:rPr>
          <w:rFonts w:eastAsiaTheme="minorHAnsi"/>
          <w:spacing w:val="-2"/>
        </w:rPr>
        <w:t xml:space="preserve"> (</w:t>
      </w:r>
      <w:r w:rsidR="00115C98" w:rsidRPr="00115C98">
        <w:rPr>
          <w:rFonts w:eastAsiaTheme="minorHAnsi"/>
          <w:spacing w:val="-2"/>
        </w:rPr>
        <w:t xml:space="preserve">see </w:t>
      </w:r>
      <w:r w:rsidR="005E4714" w:rsidRPr="00115C98">
        <w:rPr>
          <w:rFonts w:eastAsiaTheme="minorHAnsi"/>
          <w:spacing w:val="-2"/>
        </w:rPr>
        <w:t>paragraph </w:t>
      </w:r>
      <w:r w:rsidR="00023572" w:rsidRPr="00115C98">
        <w:rPr>
          <w:rFonts w:eastAsiaTheme="minorHAnsi"/>
          <w:spacing w:val="-2"/>
        </w:rPr>
        <w:fldChar w:fldCharType="begin"/>
      </w:r>
      <w:r w:rsidR="00023572" w:rsidRPr="00115C98">
        <w:rPr>
          <w:rFonts w:eastAsiaTheme="minorHAnsi"/>
          <w:spacing w:val="-2"/>
        </w:rPr>
        <w:instrText xml:space="preserve"> REF order_to_undergo_observation \h </w:instrText>
      </w:r>
      <w:r w:rsidR="00023572" w:rsidRPr="00115C98">
        <w:rPr>
          <w:rFonts w:eastAsiaTheme="minorHAnsi"/>
          <w:spacing w:val="-2"/>
        </w:rPr>
      </w:r>
      <w:r w:rsidR="00023572" w:rsidRPr="00115C98">
        <w:rPr>
          <w:rFonts w:eastAsiaTheme="minorHAnsi"/>
          <w:spacing w:val="-2"/>
        </w:rPr>
        <w:fldChar w:fldCharType="separate"/>
      </w:r>
      <w:r w:rsidR="00115C98" w:rsidRPr="00115C98">
        <w:rPr>
          <w:rFonts w:eastAsiaTheme="minorHAnsi"/>
          <w:noProof/>
          <w:color w:val="000000"/>
        </w:rPr>
        <w:t>8</w:t>
      </w:r>
      <w:r w:rsidR="00023572" w:rsidRPr="00115C98">
        <w:rPr>
          <w:rFonts w:eastAsiaTheme="minorHAnsi"/>
          <w:spacing w:val="-2"/>
        </w:rPr>
        <w:fldChar w:fldCharType="end"/>
      </w:r>
      <w:r w:rsidR="00023572" w:rsidRPr="00115C98">
        <w:rPr>
          <w:rFonts w:eastAsiaTheme="minorHAnsi"/>
          <w:spacing w:val="-2"/>
        </w:rPr>
        <w:t xml:space="preserve"> above)</w:t>
      </w:r>
      <w:r w:rsidR="00E376AA" w:rsidRPr="00115C98">
        <w:rPr>
          <w:rFonts w:eastAsiaTheme="minorHAnsi"/>
          <w:spacing w:val="-2"/>
        </w:rPr>
        <w:t>.</w:t>
      </w:r>
      <w:r w:rsidR="00E74B63" w:rsidRPr="00115C98">
        <w:rPr>
          <w:rFonts w:eastAsiaTheme="minorHAnsi"/>
          <w:spacing w:val="-2"/>
        </w:rPr>
        <w:t xml:space="preserve"> </w:t>
      </w:r>
      <w:r w:rsidR="00C76CC2" w:rsidRPr="00115C98">
        <w:rPr>
          <w:rFonts w:eastAsiaTheme="minorHAnsi"/>
          <w:spacing w:val="-2"/>
        </w:rPr>
        <w:t>The court noted the applicant</w:t>
      </w:r>
      <w:r w:rsidR="00115C98" w:rsidRPr="00115C98">
        <w:rPr>
          <w:rFonts w:eastAsiaTheme="minorHAnsi"/>
          <w:spacing w:val="-2"/>
        </w:rPr>
        <w:t>’</w:t>
      </w:r>
      <w:r w:rsidR="00C76CC2" w:rsidRPr="00115C98">
        <w:rPr>
          <w:rFonts w:eastAsiaTheme="minorHAnsi"/>
          <w:spacing w:val="-2"/>
        </w:rPr>
        <w:t>s parents</w:t>
      </w:r>
      <w:r w:rsidR="00115C98" w:rsidRPr="00115C98">
        <w:rPr>
          <w:rFonts w:eastAsiaTheme="minorHAnsi"/>
          <w:spacing w:val="-2"/>
        </w:rPr>
        <w:t>’</w:t>
      </w:r>
      <w:r w:rsidR="00C76CC2" w:rsidRPr="00115C98">
        <w:rPr>
          <w:rFonts w:eastAsiaTheme="minorHAnsi"/>
          <w:spacing w:val="-2"/>
        </w:rPr>
        <w:t xml:space="preserve"> submissions that his mental condition was bad, he was not able to function independently and he was in need of urgent medical assistance. </w:t>
      </w:r>
      <w:r w:rsidR="00E74B63" w:rsidRPr="00115C98">
        <w:rPr>
          <w:rFonts w:eastAsiaTheme="minorHAnsi"/>
          <w:spacing w:val="-2"/>
        </w:rPr>
        <w:t>The court also attached importance to the fact that the applicant had previously behaved in a similar manner. He had been admitted to a psychiatric hospital on 23 October 2001, however the next day he had left the hospital o</w:t>
      </w:r>
      <w:r w:rsidR="001D67FA" w:rsidRPr="00115C98">
        <w:rPr>
          <w:rFonts w:eastAsiaTheme="minorHAnsi"/>
          <w:spacing w:val="-2"/>
        </w:rPr>
        <w:t>n</w:t>
      </w:r>
      <w:r w:rsidR="00E74B63" w:rsidRPr="00115C98">
        <w:rPr>
          <w:rFonts w:eastAsiaTheme="minorHAnsi"/>
          <w:spacing w:val="-2"/>
        </w:rPr>
        <w:t xml:space="preserve"> his own initiative. Consequently, in the court</w:t>
      </w:r>
      <w:r w:rsidR="00115C98" w:rsidRPr="00115C98">
        <w:rPr>
          <w:rFonts w:eastAsiaTheme="minorHAnsi"/>
          <w:spacing w:val="-2"/>
        </w:rPr>
        <w:t>’</w:t>
      </w:r>
      <w:r w:rsidR="00E74B63" w:rsidRPr="00115C98">
        <w:rPr>
          <w:rFonts w:eastAsiaTheme="minorHAnsi"/>
          <w:spacing w:val="-2"/>
        </w:rPr>
        <w:t xml:space="preserve">s </w:t>
      </w:r>
      <w:r w:rsidR="002B5302" w:rsidRPr="00115C98">
        <w:rPr>
          <w:rFonts w:eastAsiaTheme="minorHAnsi"/>
          <w:spacing w:val="-2"/>
        </w:rPr>
        <w:t xml:space="preserve">view </w:t>
      </w:r>
      <w:r w:rsidR="00E74B63" w:rsidRPr="00115C98">
        <w:rPr>
          <w:rFonts w:eastAsiaTheme="minorHAnsi"/>
          <w:spacing w:val="-2"/>
        </w:rPr>
        <w:t>the applicant</w:t>
      </w:r>
      <w:r w:rsidR="00115C98" w:rsidRPr="00115C98">
        <w:rPr>
          <w:rFonts w:eastAsiaTheme="minorHAnsi"/>
          <w:spacing w:val="-2"/>
        </w:rPr>
        <w:t>’</w:t>
      </w:r>
      <w:r w:rsidR="00E74B63" w:rsidRPr="00115C98">
        <w:rPr>
          <w:rFonts w:eastAsiaTheme="minorHAnsi"/>
          <w:spacing w:val="-2"/>
        </w:rPr>
        <w:t>s submissions that he would comply with the order to undergo a psychiatric assessment were not convincing.</w:t>
      </w:r>
    </w:p>
    <w:bookmarkStart w:id="6" w:name="appeal_against_detention"/>
    <w:p w:rsidR="00115C98" w:rsidRPr="00115C98" w:rsidRDefault="007E4903" w:rsidP="00115C98">
      <w:pPr>
        <w:pStyle w:val="ECHRPara"/>
        <w:rPr>
          <w:rFonts w:eastAsiaTheme="minorHAnsi"/>
        </w:rPr>
      </w:pPr>
      <w:r w:rsidRPr="00115C98">
        <w:rPr>
          <w:rFonts w:eastAsiaTheme="minorHAnsi"/>
        </w:rPr>
        <w:fldChar w:fldCharType="begin"/>
      </w:r>
      <w:r w:rsidRPr="00115C98">
        <w:rPr>
          <w:rFonts w:eastAsiaTheme="minorHAnsi"/>
        </w:rPr>
        <w:instrText xml:space="preserve"> SEQ level0 \*arabic </w:instrText>
      </w:r>
      <w:r w:rsidRPr="00115C98">
        <w:rPr>
          <w:rFonts w:eastAsiaTheme="minorHAnsi"/>
        </w:rPr>
        <w:fldChar w:fldCharType="separate"/>
      </w:r>
      <w:r w:rsidR="00115C98" w:rsidRPr="00115C98">
        <w:rPr>
          <w:rFonts w:eastAsiaTheme="minorHAnsi"/>
          <w:noProof/>
        </w:rPr>
        <w:t>11</w:t>
      </w:r>
      <w:r w:rsidRPr="00115C98">
        <w:rPr>
          <w:rFonts w:eastAsiaTheme="minorHAnsi"/>
        </w:rPr>
        <w:fldChar w:fldCharType="end"/>
      </w:r>
      <w:bookmarkEnd w:id="6"/>
      <w:r w:rsidRPr="00115C98">
        <w:rPr>
          <w:rFonts w:eastAsiaTheme="minorHAnsi"/>
        </w:rPr>
        <w:t>.  </w:t>
      </w:r>
      <w:r w:rsidR="00E376AA" w:rsidRPr="00115C98">
        <w:rPr>
          <w:rFonts w:eastAsiaTheme="minorHAnsi"/>
        </w:rPr>
        <w:t xml:space="preserve">An appeal lodged by the applicant was dismissed by the Warsaw Regional Court on 20 September 2005. The court mainly referred to the fact that the applicant had still to undergo a psychiatric assessment. </w:t>
      </w:r>
      <w:r w:rsidR="007F3DC8" w:rsidRPr="00115C98">
        <w:rPr>
          <w:rFonts w:eastAsiaTheme="minorHAnsi"/>
        </w:rPr>
        <w:t>It also noted the fact that the applicant stayed irregularly at his home address, therefore once released he might go into hiding.</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12</w:t>
      </w:r>
      <w:r>
        <w:rPr>
          <w:noProof/>
        </w:rPr>
        <w:fldChar w:fldCharType="end"/>
      </w:r>
      <w:r w:rsidR="007E4903" w:rsidRPr="00115C98">
        <w:t>.  </w:t>
      </w:r>
      <w:r w:rsidR="00E376AA" w:rsidRPr="00115C98">
        <w:t>The applicant</w:t>
      </w:r>
      <w:r w:rsidR="00115C98" w:rsidRPr="00115C98">
        <w:t>’</w:t>
      </w:r>
      <w:r w:rsidR="00E376AA" w:rsidRPr="00115C98">
        <w:t>s detention was subsequently prolonged on th</w:t>
      </w:r>
      <w:r w:rsidR="00115C98" w:rsidRPr="00115C98">
        <w:t xml:space="preserve">e following dates: 28 September </w:t>
      </w:r>
      <w:r w:rsidR="00E376AA" w:rsidRPr="00115C98">
        <w:t>2005 (unt</w:t>
      </w:r>
      <w:r w:rsidR="00115C98" w:rsidRPr="00115C98">
        <w:t xml:space="preserve">il 4 January 2006), 27 December </w:t>
      </w:r>
      <w:r w:rsidR="00E376AA" w:rsidRPr="00115C98">
        <w:t>2005 (until 4 February 2006)</w:t>
      </w:r>
      <w:r w:rsidR="00B214AC" w:rsidRPr="00115C98">
        <w:t xml:space="preserve"> and</w:t>
      </w:r>
      <w:r w:rsidR="00115C98" w:rsidRPr="00115C98">
        <w:t xml:space="preserve"> 1 February </w:t>
      </w:r>
      <w:r w:rsidR="00E376AA" w:rsidRPr="00115C98">
        <w:t>2006 (until</w:t>
      </w:r>
      <w:r w:rsidR="00115C98" w:rsidRPr="00115C98">
        <w:t xml:space="preserve"> </w:t>
      </w:r>
      <w:r w:rsidR="00E376AA" w:rsidRPr="00115C98">
        <w:t>4</w:t>
      </w:r>
      <w:r w:rsidR="003C3C1E" w:rsidRPr="00115C98">
        <w:t> </w:t>
      </w:r>
      <w:r w:rsidR="00E376AA" w:rsidRPr="00115C98">
        <w:t xml:space="preserve">March 2006). The court relied on the grounds previously </w:t>
      </w:r>
      <w:r w:rsidR="000E6CCC" w:rsidRPr="00115C98">
        <w:t>given</w:t>
      </w:r>
      <w:r w:rsidR="00E376AA" w:rsidRPr="00115C98">
        <w:t>. The applicant unsuccessfully appealed against all those decisions.</w:t>
      </w:r>
    </w:p>
    <w:bookmarkStart w:id="7" w:name="psychiatric_assessment"/>
    <w:p w:rsidR="00E376AA" w:rsidRPr="00115C98" w:rsidRDefault="004E2B95" w:rsidP="00115C98">
      <w:pPr>
        <w:pStyle w:val="ECHRPara"/>
      </w:pPr>
      <w:r w:rsidRPr="00115C98">
        <w:lastRenderedPageBreak/>
        <w:fldChar w:fldCharType="begin"/>
      </w:r>
      <w:r w:rsidRPr="00115C98">
        <w:instrText xml:space="preserve"> SEQ level0 \*arabic </w:instrText>
      </w:r>
      <w:r w:rsidRPr="00115C98">
        <w:fldChar w:fldCharType="separate"/>
      </w:r>
      <w:r w:rsidR="00115C98" w:rsidRPr="00115C98">
        <w:rPr>
          <w:noProof/>
        </w:rPr>
        <w:t>13</w:t>
      </w:r>
      <w:r w:rsidRPr="00115C98">
        <w:rPr>
          <w:noProof/>
        </w:rPr>
        <w:fldChar w:fldCharType="end"/>
      </w:r>
      <w:bookmarkEnd w:id="7"/>
      <w:r w:rsidR="007E4903" w:rsidRPr="00115C98">
        <w:t>.  On 18 October 2005 the Warsaw District Court ordered that the applicant under</w:t>
      </w:r>
      <w:r w:rsidR="00D74019" w:rsidRPr="00115C98">
        <w:t>go</w:t>
      </w:r>
      <w:r w:rsidR="007E4903" w:rsidRPr="00115C98">
        <w:t xml:space="preserve"> a psychiatric assessment at the hospital </w:t>
      </w:r>
      <w:r w:rsidR="00D74019" w:rsidRPr="00115C98">
        <w:t xml:space="preserve">wing </w:t>
      </w:r>
      <w:r w:rsidR="007E4903" w:rsidRPr="00115C98">
        <w:t xml:space="preserve">of the Warsaw Detention Center. </w:t>
      </w:r>
      <w:r w:rsidR="00E376AA" w:rsidRPr="00115C98">
        <w:t xml:space="preserve">The applicant underwent </w:t>
      </w:r>
      <w:r w:rsidR="002B5302" w:rsidRPr="00115C98">
        <w:t>th</w:t>
      </w:r>
      <w:r w:rsidR="003C3C1E" w:rsidRPr="00115C98">
        <w:t>is</w:t>
      </w:r>
      <w:r w:rsidR="00E376AA" w:rsidRPr="00115C98">
        <w:t xml:space="preserve"> assessment between </w:t>
      </w:r>
      <w:r w:rsidR="007E4903" w:rsidRPr="00115C98">
        <w:t>21</w:t>
      </w:r>
      <w:r w:rsidR="00115C98" w:rsidRPr="00115C98">
        <w:t xml:space="preserve"> November </w:t>
      </w:r>
      <w:r w:rsidR="00E376AA" w:rsidRPr="00115C98">
        <w:t>2005 and 1 February 2006.</w:t>
      </w:r>
    </w:p>
    <w:bookmarkStart w:id="8" w:name="indictment"/>
    <w:p w:rsidR="00E376AA" w:rsidRPr="00115C98" w:rsidRDefault="007E4903" w:rsidP="00115C98">
      <w:pPr>
        <w:pStyle w:val="ECHRPara"/>
        <w:rPr>
          <w:rFonts w:eastAsiaTheme="minorHAnsi"/>
          <w:color w:val="000000"/>
        </w:rPr>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14</w:t>
      </w:r>
      <w:r w:rsidRPr="00115C98">
        <w:rPr>
          <w:rFonts w:eastAsiaTheme="minorHAnsi"/>
          <w:color w:val="000000"/>
        </w:rPr>
        <w:fldChar w:fldCharType="end"/>
      </w:r>
      <w:bookmarkEnd w:id="8"/>
      <w:r w:rsidRPr="00115C98">
        <w:rPr>
          <w:rFonts w:eastAsiaTheme="minorHAnsi"/>
          <w:color w:val="000000"/>
        </w:rPr>
        <w:t>.  </w:t>
      </w:r>
      <w:r w:rsidR="00E376AA" w:rsidRPr="00115C98">
        <w:rPr>
          <w:rFonts w:eastAsiaTheme="minorHAnsi"/>
          <w:color w:val="000000"/>
        </w:rPr>
        <w:t xml:space="preserve">On 3 February 2006 the </w:t>
      </w:r>
      <w:r w:rsidRPr="00115C98">
        <w:rPr>
          <w:rFonts w:eastAsiaTheme="minorHAnsi"/>
          <w:color w:val="000000"/>
        </w:rPr>
        <w:t xml:space="preserve">amended </w:t>
      </w:r>
      <w:r w:rsidR="00E376AA" w:rsidRPr="00115C98">
        <w:rPr>
          <w:rFonts w:eastAsiaTheme="minorHAnsi"/>
          <w:color w:val="000000"/>
        </w:rPr>
        <w:t>bill of indictment was lodged with the Warsaw District Court. The applicant was charged with domestic violence and possession of 1.15 grams of marijuana.</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15</w:t>
      </w:r>
      <w:r>
        <w:rPr>
          <w:noProof/>
        </w:rPr>
        <w:fldChar w:fldCharType="end"/>
      </w:r>
      <w:r w:rsidR="007E4903" w:rsidRPr="00115C98">
        <w:t>.  </w:t>
      </w:r>
      <w:r w:rsidR="00115C98" w:rsidRPr="00115C98">
        <w:t xml:space="preserve">On 16 February </w:t>
      </w:r>
      <w:r w:rsidR="00E376AA" w:rsidRPr="00115C98">
        <w:t>2006 the Warsaw District Court again extended the applicant</w:t>
      </w:r>
      <w:r w:rsidR="00115C98" w:rsidRPr="00115C98">
        <w:t>’</w:t>
      </w:r>
      <w:r w:rsidR="00E376AA" w:rsidRPr="00115C98">
        <w:t xml:space="preserve">s detention (until 4 May 2006). The court stressed that there was a reasonable risk that the applicant would obstruct the proceedings and that he would go into hiding. </w:t>
      </w:r>
      <w:r w:rsidR="007C7DFD" w:rsidRPr="00115C98">
        <w:t xml:space="preserve">This risk was particularly valid in view of </w:t>
      </w:r>
      <w:r w:rsidR="00E376AA" w:rsidRPr="00115C98">
        <w:t xml:space="preserve">the </w:t>
      </w:r>
      <w:r w:rsidR="002B5302" w:rsidRPr="00115C98">
        <w:t xml:space="preserve">difficulties </w:t>
      </w:r>
      <w:r w:rsidR="007C7DFD" w:rsidRPr="00115C98">
        <w:t xml:space="preserve">which the applicant had </w:t>
      </w:r>
      <w:r w:rsidR="00E376AA" w:rsidRPr="00115C98">
        <w:t xml:space="preserve">caused </w:t>
      </w:r>
      <w:r w:rsidR="00C76CC2" w:rsidRPr="00115C98">
        <w:t xml:space="preserve">in the past </w:t>
      </w:r>
      <w:r w:rsidR="00E376AA" w:rsidRPr="00115C98">
        <w:t xml:space="preserve">by </w:t>
      </w:r>
      <w:r w:rsidR="007C7DFD" w:rsidRPr="00115C98">
        <w:t xml:space="preserve">his </w:t>
      </w:r>
      <w:r w:rsidR="00E376AA" w:rsidRPr="00115C98">
        <w:t>repeated refusal to undergo a psychiatric assessment.</w:t>
      </w:r>
    </w:p>
    <w:bookmarkStart w:id="9" w:name="release_from_prison"/>
    <w:p w:rsidR="00E376AA" w:rsidRPr="00115C98" w:rsidRDefault="007E4903" w:rsidP="00115C98">
      <w:pPr>
        <w:pStyle w:val="ECHRPara"/>
        <w:rPr>
          <w:rFonts w:eastAsiaTheme="minorHAnsi"/>
          <w:color w:val="000000"/>
        </w:rPr>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16</w:t>
      </w:r>
      <w:r w:rsidRPr="00115C98">
        <w:rPr>
          <w:rFonts w:eastAsiaTheme="minorHAnsi"/>
          <w:color w:val="000000"/>
        </w:rPr>
        <w:fldChar w:fldCharType="end"/>
      </w:r>
      <w:bookmarkEnd w:id="9"/>
      <w:r w:rsidRPr="00115C98">
        <w:rPr>
          <w:rFonts w:eastAsiaTheme="minorHAnsi"/>
          <w:color w:val="000000"/>
        </w:rPr>
        <w:t>.  </w:t>
      </w:r>
      <w:r w:rsidR="00E376AA" w:rsidRPr="00115C98">
        <w:rPr>
          <w:rFonts w:eastAsiaTheme="minorHAnsi"/>
          <w:color w:val="000000"/>
        </w:rPr>
        <w:t>During a hearing held on 23 March 2006 the applicant</w:t>
      </w:r>
      <w:r w:rsidR="00115C98" w:rsidRPr="00115C98">
        <w:rPr>
          <w:rFonts w:eastAsiaTheme="minorHAnsi"/>
          <w:color w:val="000000"/>
        </w:rPr>
        <w:t>’</w:t>
      </w:r>
      <w:r w:rsidR="00E376AA" w:rsidRPr="00115C98">
        <w:rPr>
          <w:rFonts w:eastAsiaTheme="minorHAnsi"/>
          <w:color w:val="000000"/>
        </w:rPr>
        <w:t>s father and sister refused to testify. The applicant was released from detention on the same day. Subsequently, on 5 April 2006, the applicant</w:t>
      </w:r>
      <w:r w:rsidR="00115C98" w:rsidRPr="00115C98">
        <w:rPr>
          <w:rFonts w:eastAsiaTheme="minorHAnsi"/>
          <w:color w:val="000000"/>
        </w:rPr>
        <w:t>’</w:t>
      </w:r>
      <w:r w:rsidR="00E376AA" w:rsidRPr="00115C98">
        <w:rPr>
          <w:rFonts w:eastAsiaTheme="minorHAnsi"/>
          <w:color w:val="000000"/>
        </w:rPr>
        <w:t>s mother also refused to testify.</w:t>
      </w:r>
    </w:p>
    <w:p w:rsidR="00115C98" w:rsidRPr="00115C98" w:rsidRDefault="007E4903" w:rsidP="00115C98">
      <w:pPr>
        <w:pStyle w:val="ECHRPara"/>
        <w:rPr>
          <w:rFonts w:eastAsiaTheme="minorHAnsi"/>
          <w:color w:val="000000"/>
        </w:rPr>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17</w:t>
      </w:r>
      <w:r w:rsidRPr="00115C98">
        <w:rPr>
          <w:rFonts w:eastAsiaTheme="minorHAnsi"/>
          <w:color w:val="000000"/>
        </w:rPr>
        <w:fldChar w:fldCharType="end"/>
      </w:r>
      <w:r w:rsidRPr="00115C98">
        <w:rPr>
          <w:rFonts w:eastAsiaTheme="minorHAnsi"/>
          <w:color w:val="000000"/>
        </w:rPr>
        <w:t xml:space="preserve">.  The Warsaw District Court held further hearings on 27 April, 7 July </w:t>
      </w:r>
      <w:r w:rsidR="0094092A" w:rsidRPr="00115C98">
        <w:rPr>
          <w:rFonts w:eastAsiaTheme="minorHAnsi"/>
          <w:color w:val="000000"/>
        </w:rPr>
        <w:t>and</w:t>
      </w:r>
      <w:r w:rsidR="007C7DFD" w:rsidRPr="00115C98">
        <w:rPr>
          <w:rFonts w:eastAsiaTheme="minorHAnsi"/>
          <w:color w:val="000000"/>
        </w:rPr>
        <w:t xml:space="preserve"> </w:t>
      </w:r>
      <w:r w:rsidRPr="00115C98">
        <w:rPr>
          <w:rFonts w:eastAsiaTheme="minorHAnsi"/>
          <w:color w:val="000000"/>
        </w:rPr>
        <w:t xml:space="preserve">16 October 2006 and </w:t>
      </w:r>
      <w:r w:rsidR="007C7DFD" w:rsidRPr="00115C98">
        <w:rPr>
          <w:rFonts w:eastAsiaTheme="minorHAnsi"/>
          <w:color w:val="000000"/>
        </w:rPr>
        <w:t xml:space="preserve">on </w:t>
      </w:r>
      <w:r w:rsidRPr="00115C98">
        <w:rPr>
          <w:rFonts w:eastAsiaTheme="minorHAnsi"/>
          <w:color w:val="000000"/>
        </w:rPr>
        <w:t>24 January</w:t>
      </w:r>
      <w:r w:rsidR="0094092A" w:rsidRPr="00115C98">
        <w:rPr>
          <w:rFonts w:eastAsiaTheme="minorHAnsi"/>
          <w:color w:val="000000"/>
        </w:rPr>
        <w:t xml:space="preserve"> and </w:t>
      </w:r>
      <w:r w:rsidRPr="00115C98">
        <w:rPr>
          <w:rFonts w:eastAsiaTheme="minorHAnsi"/>
          <w:color w:val="000000"/>
        </w:rPr>
        <w:t>12 March 2007.</w:t>
      </w:r>
    </w:p>
    <w:p w:rsidR="00115C98" w:rsidRPr="00115C98" w:rsidRDefault="00443108" w:rsidP="00115C98">
      <w:pPr>
        <w:pStyle w:val="ECHRPara"/>
        <w:rPr>
          <w:rFonts w:eastAsiaTheme="minorHAnsi"/>
          <w:color w:val="000000"/>
        </w:rPr>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18</w:t>
      </w:r>
      <w:r w:rsidRPr="00115C98">
        <w:rPr>
          <w:rFonts w:eastAsiaTheme="minorHAnsi"/>
          <w:color w:val="000000"/>
        </w:rPr>
        <w:fldChar w:fldCharType="end"/>
      </w:r>
      <w:r w:rsidRPr="00115C98">
        <w:rPr>
          <w:rFonts w:eastAsiaTheme="minorHAnsi"/>
          <w:color w:val="000000"/>
        </w:rPr>
        <w:t>.  </w:t>
      </w:r>
      <w:r w:rsidR="00E376AA" w:rsidRPr="00115C98">
        <w:rPr>
          <w:rFonts w:eastAsiaTheme="minorHAnsi"/>
          <w:color w:val="000000"/>
        </w:rPr>
        <w:t>On 12 March 2007 the Warsaw District Court gave judgment</w:t>
      </w:r>
      <w:r w:rsidR="002B5302" w:rsidRPr="00115C98">
        <w:rPr>
          <w:rFonts w:eastAsiaTheme="minorHAnsi"/>
          <w:color w:val="000000"/>
        </w:rPr>
        <w:t xml:space="preserve">, </w:t>
      </w:r>
      <w:r w:rsidR="00E376AA" w:rsidRPr="00115C98">
        <w:rPr>
          <w:rFonts w:eastAsiaTheme="minorHAnsi"/>
          <w:color w:val="000000"/>
        </w:rPr>
        <w:t>acquitt</w:t>
      </w:r>
      <w:r w:rsidR="0094092A" w:rsidRPr="00115C98">
        <w:rPr>
          <w:rFonts w:eastAsiaTheme="minorHAnsi"/>
          <w:color w:val="000000"/>
        </w:rPr>
        <w:t>ing</w:t>
      </w:r>
      <w:r w:rsidR="00E376AA" w:rsidRPr="00115C98">
        <w:rPr>
          <w:rFonts w:eastAsiaTheme="minorHAnsi"/>
          <w:color w:val="000000"/>
        </w:rPr>
        <w:t xml:space="preserve"> the applicant on charges of domestic violence </w:t>
      </w:r>
      <w:r w:rsidR="002B5302" w:rsidRPr="00115C98">
        <w:rPr>
          <w:rFonts w:eastAsiaTheme="minorHAnsi"/>
          <w:color w:val="000000"/>
        </w:rPr>
        <w:t xml:space="preserve">and </w:t>
      </w:r>
      <w:r w:rsidR="00E376AA" w:rsidRPr="00115C98">
        <w:rPr>
          <w:rFonts w:eastAsiaTheme="minorHAnsi"/>
          <w:color w:val="000000"/>
        </w:rPr>
        <w:t>convict</w:t>
      </w:r>
      <w:r w:rsidR="0094092A" w:rsidRPr="00115C98">
        <w:rPr>
          <w:rFonts w:eastAsiaTheme="minorHAnsi"/>
          <w:color w:val="000000"/>
        </w:rPr>
        <w:t>ing</w:t>
      </w:r>
      <w:r w:rsidR="00E376AA" w:rsidRPr="00115C98">
        <w:rPr>
          <w:rFonts w:eastAsiaTheme="minorHAnsi"/>
          <w:color w:val="000000"/>
        </w:rPr>
        <w:t xml:space="preserve"> him of possession of </w:t>
      </w:r>
      <w:r w:rsidR="002B5302" w:rsidRPr="00115C98">
        <w:rPr>
          <w:rFonts w:eastAsiaTheme="minorHAnsi"/>
          <w:color w:val="000000"/>
        </w:rPr>
        <w:t xml:space="preserve">a small amount of </w:t>
      </w:r>
      <w:r w:rsidR="00E376AA" w:rsidRPr="00115C98">
        <w:rPr>
          <w:rFonts w:eastAsiaTheme="minorHAnsi"/>
          <w:color w:val="000000"/>
        </w:rPr>
        <w:t xml:space="preserve">marijuana. </w:t>
      </w:r>
      <w:r w:rsidR="007C7DFD" w:rsidRPr="00115C98">
        <w:rPr>
          <w:rFonts w:eastAsiaTheme="minorHAnsi"/>
          <w:color w:val="000000"/>
        </w:rPr>
        <w:t xml:space="preserve">The court sentenced the applicant to five </w:t>
      </w:r>
      <w:r w:rsidR="00C76CC2" w:rsidRPr="00115C98">
        <w:rPr>
          <w:rFonts w:eastAsiaTheme="minorHAnsi"/>
          <w:color w:val="000000"/>
        </w:rPr>
        <w:t>months</w:t>
      </w:r>
      <w:r w:rsidR="00115C98" w:rsidRPr="00115C98">
        <w:rPr>
          <w:rFonts w:eastAsiaTheme="minorHAnsi"/>
          <w:color w:val="000000"/>
        </w:rPr>
        <w:t>’</w:t>
      </w:r>
      <w:r w:rsidR="00C76CC2" w:rsidRPr="00115C98">
        <w:rPr>
          <w:rFonts w:eastAsiaTheme="minorHAnsi"/>
          <w:color w:val="000000"/>
        </w:rPr>
        <w:t xml:space="preserve"> imprisonment</w:t>
      </w:r>
      <w:r w:rsidR="007C7DFD" w:rsidRPr="00115C98">
        <w:rPr>
          <w:rFonts w:eastAsiaTheme="minorHAnsi"/>
          <w:color w:val="000000"/>
        </w:rPr>
        <w:t xml:space="preserve"> stayed for three years.</w:t>
      </w:r>
    </w:p>
    <w:p w:rsidR="00E376AA" w:rsidRPr="00115C98" w:rsidRDefault="00443108" w:rsidP="00115C98">
      <w:pPr>
        <w:pStyle w:val="ECHRPara"/>
      </w:pPr>
      <w:r w:rsidRPr="00115C98">
        <w:rPr>
          <w:rFonts w:eastAsiaTheme="minorHAnsi"/>
          <w:color w:val="000000"/>
        </w:rPr>
        <w:fldChar w:fldCharType="begin"/>
      </w:r>
      <w:r w:rsidRPr="00115C98">
        <w:rPr>
          <w:rFonts w:eastAsiaTheme="minorHAnsi"/>
          <w:color w:val="000000"/>
        </w:rPr>
        <w:instrText xml:space="preserve"> SEQ level0 \*arabic </w:instrText>
      </w:r>
      <w:r w:rsidRPr="00115C98">
        <w:rPr>
          <w:rFonts w:eastAsiaTheme="minorHAnsi"/>
          <w:color w:val="000000"/>
        </w:rPr>
        <w:fldChar w:fldCharType="separate"/>
      </w:r>
      <w:r w:rsidR="00115C98" w:rsidRPr="00115C98">
        <w:rPr>
          <w:rFonts w:eastAsiaTheme="minorHAnsi"/>
          <w:noProof/>
          <w:color w:val="000000"/>
        </w:rPr>
        <w:t>19</w:t>
      </w:r>
      <w:r w:rsidRPr="00115C98">
        <w:rPr>
          <w:rFonts w:eastAsiaTheme="minorHAnsi"/>
          <w:color w:val="000000"/>
        </w:rPr>
        <w:fldChar w:fldCharType="end"/>
      </w:r>
      <w:r w:rsidRPr="00115C98">
        <w:rPr>
          <w:rFonts w:eastAsiaTheme="minorHAnsi"/>
          <w:color w:val="000000"/>
        </w:rPr>
        <w:t>.  </w:t>
      </w:r>
      <w:r w:rsidR="00E376AA" w:rsidRPr="00115C98">
        <w:rPr>
          <w:rFonts w:eastAsiaTheme="minorHAnsi"/>
          <w:color w:val="000000"/>
        </w:rPr>
        <w:t xml:space="preserve">Following </w:t>
      </w:r>
      <w:r w:rsidR="00896B97" w:rsidRPr="00115C98">
        <w:rPr>
          <w:rFonts w:eastAsiaTheme="minorHAnsi"/>
          <w:color w:val="000000"/>
        </w:rPr>
        <w:t>an</w:t>
      </w:r>
      <w:r w:rsidR="00E376AA" w:rsidRPr="00115C98">
        <w:rPr>
          <w:rFonts w:eastAsiaTheme="minorHAnsi"/>
          <w:color w:val="000000"/>
        </w:rPr>
        <w:t xml:space="preserve"> appeal</w:t>
      </w:r>
      <w:r w:rsidR="00896B97" w:rsidRPr="00115C98">
        <w:rPr>
          <w:rFonts w:eastAsiaTheme="minorHAnsi"/>
          <w:color w:val="000000"/>
        </w:rPr>
        <w:t xml:space="preserve"> by the applicant</w:t>
      </w:r>
      <w:r w:rsidR="00E376AA" w:rsidRPr="00115C98">
        <w:rPr>
          <w:rFonts w:eastAsiaTheme="minorHAnsi"/>
          <w:color w:val="000000"/>
        </w:rPr>
        <w:t xml:space="preserve">, the judgment was quashed </w:t>
      </w:r>
      <w:r w:rsidR="002B5302" w:rsidRPr="00115C98">
        <w:rPr>
          <w:rFonts w:eastAsiaTheme="minorHAnsi"/>
          <w:color w:val="000000"/>
        </w:rPr>
        <w:t>(in</w:t>
      </w:r>
      <w:r w:rsidR="00115C98" w:rsidRPr="00115C98">
        <w:rPr>
          <w:rFonts w:eastAsiaTheme="minorHAnsi"/>
          <w:color w:val="000000"/>
        </w:rPr>
        <w:t xml:space="preserve"> </w:t>
      </w:r>
      <w:r w:rsidR="002B5302" w:rsidRPr="00115C98">
        <w:rPr>
          <w:rFonts w:eastAsiaTheme="minorHAnsi"/>
          <w:color w:val="000000"/>
        </w:rPr>
        <w:t>its part concerning possession of drugs) by the Warsaw Regional Court on 9 August 2007. T</w:t>
      </w:r>
      <w:r w:rsidR="00E376AA" w:rsidRPr="00115C98">
        <w:rPr>
          <w:rFonts w:eastAsiaTheme="minorHAnsi"/>
          <w:color w:val="000000"/>
        </w:rPr>
        <w:t xml:space="preserve">he proceedings were subsequently discontinued by the Warsaw District Court on 6 November 2007. The court found that the </w:t>
      </w:r>
      <w:r w:rsidR="00E376AA" w:rsidRPr="00115C98">
        <w:t>prohibited act committed by the applicant had not constituted an offence because of its insignificant social consequences (</w:t>
      </w:r>
      <w:r w:rsidR="00E376AA" w:rsidRPr="00115C98">
        <w:rPr>
          <w:i/>
        </w:rPr>
        <w:t>znikoma szkodliwość społeczna czynu</w:t>
      </w:r>
      <w:r w:rsidR="00E376AA" w:rsidRPr="00115C98">
        <w:t>).</w:t>
      </w:r>
    </w:p>
    <w:p w:rsidR="002B5302" w:rsidRPr="00115C98" w:rsidRDefault="002B5302" w:rsidP="00115C98">
      <w:pPr>
        <w:pStyle w:val="ECHRHeading2"/>
      </w:pPr>
      <w:r w:rsidRPr="00115C98">
        <w:t>B.</w:t>
      </w:r>
      <w:r w:rsidR="00F875E3" w:rsidRPr="00115C98">
        <w:t>  </w:t>
      </w:r>
      <w:r w:rsidRPr="00115C98">
        <w:t>Proceedings for compensation for unjustified detention</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20</w:t>
      </w:r>
      <w:r>
        <w:rPr>
          <w:noProof/>
        </w:rPr>
        <w:fldChar w:fldCharType="end"/>
      </w:r>
      <w:r w:rsidR="00443108" w:rsidRPr="00115C98">
        <w:t xml:space="preserve">.  On 5 November 2008 the </w:t>
      </w:r>
      <w:r w:rsidR="00E376AA" w:rsidRPr="00115C98">
        <w:t>applicant instituted proceedings for compensation for unjustified detention under Article 552 of the</w:t>
      </w:r>
      <w:r w:rsidR="002B5302" w:rsidRPr="00115C98">
        <w:t xml:space="preserve"> </w:t>
      </w:r>
      <w:r w:rsidR="00E376AA" w:rsidRPr="00115C98">
        <w:t>CCP</w:t>
      </w:r>
      <w:r w:rsidR="00443108" w:rsidRPr="00115C98">
        <w:t xml:space="preserve"> </w:t>
      </w:r>
      <w:r w:rsidR="003C3C1E" w:rsidRPr="00115C98">
        <w:t>(</w:t>
      </w:r>
      <w:r w:rsidR="00115C98" w:rsidRPr="00115C98">
        <w:t xml:space="preserve">see </w:t>
      </w:r>
      <w:r w:rsidR="003C3C1E" w:rsidRPr="00115C98">
        <w:t xml:space="preserve">paragraph </w:t>
      </w:r>
      <w:r w:rsidR="009A219E" w:rsidRPr="00115C98">
        <w:fldChar w:fldCharType="begin"/>
      </w:r>
      <w:r w:rsidR="009A219E" w:rsidRPr="00115C98">
        <w:instrText xml:space="preserve"> REF CCP_552 \h </w:instrText>
      </w:r>
      <w:r w:rsidR="009A219E" w:rsidRPr="00115C98">
        <w:fldChar w:fldCharType="separate"/>
      </w:r>
      <w:r w:rsidR="00115C98" w:rsidRPr="00115C98">
        <w:rPr>
          <w:noProof/>
          <w:lang w:val="en-GB"/>
        </w:rPr>
        <w:t>27</w:t>
      </w:r>
      <w:r w:rsidR="009A219E" w:rsidRPr="00115C98">
        <w:fldChar w:fldCharType="end"/>
      </w:r>
      <w:r w:rsidR="003C3C1E" w:rsidRPr="00115C98">
        <w:t xml:space="preserve"> below) </w:t>
      </w:r>
      <w:r w:rsidR="00443108" w:rsidRPr="00115C98">
        <w:t>before the Warsaw Regional Court.</w:t>
      </w:r>
      <w:r w:rsidR="00E376AA" w:rsidRPr="00115C98">
        <w:t xml:space="preserve"> He stated that while the main reason for his detention on remand had been a six-week psychiatric assessment, he had been kept in detention for nearly one year. Moreover, the assessment had begun only five months after his arrest. He also stressed that there had been no risk that he would have attempted to obstruct the proceedings.</w:t>
      </w:r>
    </w:p>
    <w:bookmarkStart w:id="10" w:name="Warsaw_regional_court"/>
    <w:p w:rsidR="00115C98" w:rsidRPr="00115C98" w:rsidRDefault="004E2B95" w:rsidP="00115C98">
      <w:pPr>
        <w:pStyle w:val="ECHRPara"/>
      </w:pPr>
      <w:r w:rsidRPr="00115C98">
        <w:fldChar w:fldCharType="begin"/>
      </w:r>
      <w:r w:rsidRPr="00115C98">
        <w:instrText xml:space="preserve"> SEQ level0 \*arabic </w:instrText>
      </w:r>
      <w:r w:rsidRPr="00115C98">
        <w:fldChar w:fldCharType="separate"/>
      </w:r>
      <w:r w:rsidR="00115C98" w:rsidRPr="00115C98">
        <w:rPr>
          <w:noProof/>
        </w:rPr>
        <w:t>21</w:t>
      </w:r>
      <w:r w:rsidRPr="00115C98">
        <w:rPr>
          <w:noProof/>
        </w:rPr>
        <w:fldChar w:fldCharType="end"/>
      </w:r>
      <w:bookmarkEnd w:id="10"/>
      <w:r w:rsidR="00443108" w:rsidRPr="00115C98">
        <w:t>.  </w:t>
      </w:r>
      <w:r w:rsidR="00E376AA" w:rsidRPr="00115C98">
        <w:t xml:space="preserve">His claim was dismissed by the Warsaw Regional Court on 18 March 2010. The court referred at the outset to the </w:t>
      </w:r>
      <w:r w:rsidR="00E376AA" w:rsidRPr="00115C98">
        <w:rPr>
          <w:lang w:val="en-GB"/>
        </w:rPr>
        <w:t>Supreme Court</w:t>
      </w:r>
      <w:r w:rsidR="00115C98" w:rsidRPr="00115C98">
        <w:rPr>
          <w:lang w:val="en-GB"/>
        </w:rPr>
        <w:t>’</w:t>
      </w:r>
      <w:r w:rsidR="00E376AA" w:rsidRPr="00115C98">
        <w:rPr>
          <w:lang w:val="en-GB"/>
        </w:rPr>
        <w:t>s Resolution of 15 September 1999</w:t>
      </w:r>
      <w:r w:rsidR="002B5302" w:rsidRPr="00115C98">
        <w:rPr>
          <w:lang w:val="en-GB"/>
        </w:rPr>
        <w:t xml:space="preserve"> (</w:t>
      </w:r>
      <w:r w:rsidR="00115C98" w:rsidRPr="00115C98">
        <w:rPr>
          <w:lang w:val="en-GB"/>
        </w:rPr>
        <w:t xml:space="preserve">see </w:t>
      </w:r>
      <w:r w:rsidR="002B5302" w:rsidRPr="00115C98">
        <w:rPr>
          <w:lang w:val="en-GB"/>
        </w:rPr>
        <w:t xml:space="preserve">paragraph </w:t>
      </w:r>
      <w:r w:rsidR="009A219E" w:rsidRPr="00115C98">
        <w:rPr>
          <w:lang w:val="en-GB"/>
        </w:rPr>
        <w:fldChar w:fldCharType="begin"/>
      </w:r>
      <w:r w:rsidR="009A219E" w:rsidRPr="00115C98">
        <w:rPr>
          <w:lang w:val="en-GB"/>
        </w:rPr>
        <w:instrText xml:space="preserve"> REF SUPREME_COURT_Resolution \h </w:instrText>
      </w:r>
      <w:r w:rsidR="009A219E" w:rsidRPr="00115C98">
        <w:rPr>
          <w:lang w:val="en-GB"/>
        </w:rPr>
      </w:r>
      <w:r w:rsidR="009A219E" w:rsidRPr="00115C98">
        <w:rPr>
          <w:lang w:val="en-GB"/>
        </w:rPr>
        <w:fldChar w:fldCharType="separate"/>
      </w:r>
      <w:r w:rsidR="00115C98" w:rsidRPr="00115C98">
        <w:rPr>
          <w:noProof/>
          <w:spacing w:val="-2"/>
          <w:lang w:val="en-GB"/>
        </w:rPr>
        <w:t>28</w:t>
      </w:r>
      <w:r w:rsidR="009A219E" w:rsidRPr="00115C98">
        <w:rPr>
          <w:lang w:val="en-GB"/>
        </w:rPr>
        <w:fldChar w:fldCharType="end"/>
      </w:r>
      <w:r w:rsidR="002B5302" w:rsidRPr="00115C98">
        <w:rPr>
          <w:lang w:val="en-GB"/>
        </w:rPr>
        <w:t xml:space="preserve"> below)</w:t>
      </w:r>
      <w:r w:rsidR="00E376AA" w:rsidRPr="00115C98">
        <w:rPr>
          <w:lang w:val="en-GB"/>
        </w:rPr>
        <w:t xml:space="preserve">. It further noted </w:t>
      </w:r>
      <w:r w:rsidR="00E376AA" w:rsidRPr="00115C98">
        <w:rPr>
          <w:lang w:val="en-GB"/>
        </w:rPr>
        <w:lastRenderedPageBreak/>
        <w:t xml:space="preserve">that in the present case there had been no breach of procedural provisions of the CCP since the detention on remand had been applied </w:t>
      </w:r>
      <w:r w:rsidR="003C3C1E" w:rsidRPr="00115C98">
        <w:rPr>
          <w:lang w:val="en-GB"/>
        </w:rPr>
        <w:t xml:space="preserve">mainly </w:t>
      </w:r>
      <w:r w:rsidR="00E376AA" w:rsidRPr="00115C98">
        <w:rPr>
          <w:lang w:val="en-GB"/>
        </w:rPr>
        <w:t>in view of the applicant</w:t>
      </w:r>
      <w:r w:rsidR="00115C98" w:rsidRPr="00115C98">
        <w:rPr>
          <w:lang w:val="en-GB"/>
        </w:rPr>
        <w:t>’</w:t>
      </w:r>
      <w:r w:rsidR="00E376AA" w:rsidRPr="00115C98">
        <w:rPr>
          <w:lang w:val="en-GB"/>
        </w:rPr>
        <w:t xml:space="preserve">s repeated </w:t>
      </w:r>
      <w:r w:rsidR="00E376AA" w:rsidRPr="00115C98">
        <w:t>refusal to</w:t>
      </w:r>
      <w:r w:rsidR="00F86D80" w:rsidRPr="00115C98">
        <w:t xml:space="preserve"> comply with the courts</w:t>
      </w:r>
      <w:r w:rsidR="00115C98" w:rsidRPr="00115C98">
        <w:t>’</w:t>
      </w:r>
      <w:r w:rsidR="00F86D80" w:rsidRPr="00115C98">
        <w:t xml:space="preserve"> orders</w:t>
      </w:r>
      <w:r w:rsidR="00E376AA" w:rsidRPr="00115C98">
        <w:t>. Consequently, the applicant</w:t>
      </w:r>
      <w:r w:rsidR="00115C98" w:rsidRPr="00115C98">
        <w:t>’</w:t>
      </w:r>
      <w:r w:rsidR="00E376AA" w:rsidRPr="00115C98">
        <w:t xml:space="preserve">s detention on remand had been undoubtedly justified, even though eventually he had </w:t>
      </w:r>
      <w:r w:rsidR="002B5302" w:rsidRPr="00115C98">
        <w:t>been acquitted</w:t>
      </w:r>
      <w:r w:rsidR="00E376AA" w:rsidRPr="00115C98">
        <w:t>.</w:t>
      </w:r>
    </w:p>
    <w:bookmarkStart w:id="11" w:name="Warsaw_court_ofappeal"/>
    <w:p w:rsidR="00115C98" w:rsidRPr="00115C98" w:rsidRDefault="004E2B95" w:rsidP="00115C98">
      <w:pPr>
        <w:pStyle w:val="ECHRPara"/>
      </w:pPr>
      <w:r w:rsidRPr="00115C98">
        <w:fldChar w:fldCharType="begin"/>
      </w:r>
      <w:r w:rsidRPr="00115C98">
        <w:instrText xml:space="preserve"> SEQ level0 \*arabic </w:instrText>
      </w:r>
      <w:r w:rsidRPr="00115C98">
        <w:fldChar w:fldCharType="separate"/>
      </w:r>
      <w:r w:rsidR="00115C98" w:rsidRPr="00115C98">
        <w:rPr>
          <w:noProof/>
        </w:rPr>
        <w:t>22</w:t>
      </w:r>
      <w:r w:rsidRPr="00115C98">
        <w:rPr>
          <w:noProof/>
        </w:rPr>
        <w:fldChar w:fldCharType="end"/>
      </w:r>
      <w:bookmarkEnd w:id="11"/>
      <w:r w:rsidR="00443108" w:rsidRPr="00115C98">
        <w:t>.  </w:t>
      </w:r>
      <w:r w:rsidR="00E376AA" w:rsidRPr="00115C98">
        <w:t>On 16 July 2010 the Warsaw Court of Appeal dismissed the applicant</w:t>
      </w:r>
      <w:r w:rsidR="00115C98" w:rsidRPr="00115C98">
        <w:t>’</w:t>
      </w:r>
      <w:r w:rsidR="00E376AA" w:rsidRPr="00115C98">
        <w:t>s appeal.</w:t>
      </w:r>
      <w:r w:rsidR="00115C98" w:rsidRPr="00115C98">
        <w:t xml:space="preserve"> </w:t>
      </w:r>
      <w:r w:rsidR="00E376AA" w:rsidRPr="00115C98">
        <w:t>The court repeated the reasons given by the Regional Court. It stressed that the applicant had clearly obstructed the proceedings by refusing to undergo a psychiatric assessment. Furthermore, there had been a risk that he could have gone into hiding. Lastly, the court noted that as soon as the applicant</w:t>
      </w:r>
      <w:r w:rsidR="00115C98" w:rsidRPr="00115C98">
        <w:t>’</w:t>
      </w:r>
      <w:r w:rsidR="00E376AA" w:rsidRPr="00115C98">
        <w:t>s parents and sister had refused to testify, the applicant had been released.</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23</w:t>
      </w:r>
      <w:r>
        <w:rPr>
          <w:noProof/>
        </w:rPr>
        <w:fldChar w:fldCharType="end"/>
      </w:r>
      <w:r w:rsidR="005D4033" w:rsidRPr="00115C98">
        <w:t>.  </w:t>
      </w:r>
      <w:r w:rsidR="00E376AA" w:rsidRPr="00115C98">
        <w:t xml:space="preserve">On 31 May 2011 </w:t>
      </w:r>
      <w:r w:rsidR="00443108" w:rsidRPr="00115C98">
        <w:t>the applicant</w:t>
      </w:r>
      <w:r w:rsidR="00115C98" w:rsidRPr="00115C98">
        <w:t>’</w:t>
      </w:r>
      <w:r w:rsidR="00443108" w:rsidRPr="00115C98">
        <w:t>s cassation appeal was dismissed as manifestly ill-founded by the Supreme Court.</w:t>
      </w:r>
    </w:p>
    <w:p w:rsidR="00014566" w:rsidRPr="00115C98" w:rsidRDefault="00014566" w:rsidP="00115C98">
      <w:pPr>
        <w:pStyle w:val="ECHRHeading1"/>
        <w:rPr>
          <w:lang w:val="en-GB"/>
        </w:rPr>
      </w:pPr>
      <w:r w:rsidRPr="00115C98">
        <w:rPr>
          <w:lang w:val="en-GB"/>
        </w:rPr>
        <w:t>II.</w:t>
      </w:r>
      <w:r w:rsidR="00F875E3" w:rsidRPr="00115C98">
        <w:rPr>
          <w:lang w:val="en-GB"/>
        </w:rPr>
        <w:t>  </w:t>
      </w:r>
      <w:r w:rsidRPr="00115C98">
        <w:rPr>
          <w:lang w:val="en-GB"/>
        </w:rPr>
        <w:t>RELEVANT DOMESTIC LAW AND PRACTICE</w:t>
      </w:r>
    </w:p>
    <w:p w:rsidR="00E74B63" w:rsidRPr="00115C98" w:rsidRDefault="00E74B63" w:rsidP="00115C98">
      <w:pPr>
        <w:pStyle w:val="ECHRHeading2"/>
        <w:rPr>
          <w:lang w:val="en-GB"/>
        </w:rPr>
      </w:pPr>
      <w:r w:rsidRPr="00115C98">
        <w:rPr>
          <w:lang w:val="en-GB"/>
        </w:rPr>
        <w:t>A.</w:t>
      </w:r>
      <w:r w:rsidR="00F875E3" w:rsidRPr="00115C98">
        <w:rPr>
          <w:lang w:val="en-GB"/>
        </w:rPr>
        <w:t>  </w:t>
      </w:r>
      <w:r w:rsidRPr="00115C98">
        <w:rPr>
          <w:lang w:val="en-GB"/>
        </w:rPr>
        <w:t>Preventive measures</w:t>
      </w:r>
    </w:p>
    <w:p w:rsidR="009E21E9" w:rsidRPr="00115C98" w:rsidRDefault="000532C2" w:rsidP="00115C98">
      <w:pPr>
        <w:pStyle w:val="ECHRPara"/>
        <w:rPr>
          <w:rFonts w:ascii="Times New Roman" w:eastAsia="Times New Roman" w:hAnsi="Times New Roman" w:cs="Times New Roman"/>
          <w:szCs w:val="20"/>
          <w:lang w:val="en-GB" w:eastAsia="fr-FR"/>
        </w:rPr>
      </w:pPr>
      <w:r>
        <w:fldChar w:fldCharType="begin"/>
      </w:r>
      <w:r>
        <w:instrText xml:space="preserve"> SEQ level0 \*arabic </w:instrText>
      </w:r>
      <w:r>
        <w:fldChar w:fldCharType="separate"/>
      </w:r>
      <w:r w:rsidR="00115C98" w:rsidRPr="00115C98">
        <w:rPr>
          <w:noProof/>
        </w:rPr>
        <w:t>24</w:t>
      </w:r>
      <w:r>
        <w:rPr>
          <w:noProof/>
        </w:rPr>
        <w:fldChar w:fldCharType="end"/>
      </w:r>
      <w:r w:rsidR="00E74B63" w:rsidRPr="00115C98">
        <w:t>.  </w:t>
      </w:r>
      <w:r w:rsidR="009E21E9" w:rsidRPr="00115C98">
        <w:t>The C</w:t>
      </w:r>
      <w:r w:rsidR="009A219E" w:rsidRPr="00115C98">
        <w:t xml:space="preserve">CP </w:t>
      </w:r>
      <w:r w:rsidR="009E21E9" w:rsidRPr="00115C98">
        <w:t>of 1997, which entered into force on 1 September 1998, defines pre</w:t>
      </w:r>
      <w:r w:rsidR="009E21E9" w:rsidRPr="00115C98">
        <w:noBreakHyphen/>
        <w:t>trial detention (</w:t>
      </w:r>
      <w:r w:rsidR="009E21E9" w:rsidRPr="00115C98">
        <w:rPr>
          <w:i/>
        </w:rPr>
        <w:t>tymczasowe aresztowanie</w:t>
      </w:r>
      <w:r w:rsidR="009E21E9" w:rsidRPr="00115C98">
        <w:t>)</w:t>
      </w:r>
      <w:r w:rsidR="00D803EF" w:rsidRPr="00115C98">
        <w:t xml:space="preserve"> as</w:t>
      </w:r>
      <w:r w:rsidR="009E21E9" w:rsidRPr="00115C98">
        <w:t xml:space="preserve"> one of the so</w:t>
      </w:r>
      <w:r w:rsidR="009E21E9" w:rsidRPr="00115C98">
        <w:noBreakHyphen/>
        <w:t>called “preventive measures” (</w:t>
      </w:r>
      <w:r w:rsidR="009E21E9" w:rsidRPr="00115C98">
        <w:rPr>
          <w:i/>
        </w:rPr>
        <w:t>środki zapobiegawcze</w:t>
      </w:r>
      <w:r w:rsidR="009E21E9" w:rsidRPr="00115C98">
        <w:t>)</w:t>
      </w:r>
      <w:r w:rsidR="009A219E" w:rsidRPr="00115C98">
        <w:t xml:space="preserve"> enumerated in Chapter 28</w:t>
      </w:r>
      <w:r w:rsidR="00115C98" w:rsidRPr="00115C98">
        <w:t>. The</w:t>
      </w:r>
      <w:r w:rsidR="009E21E9" w:rsidRPr="00115C98">
        <w:t>other measures are bail (</w:t>
      </w:r>
      <w:r w:rsidR="009E21E9" w:rsidRPr="00115C98">
        <w:rPr>
          <w:i/>
        </w:rPr>
        <w:t>poręczenie majątkowe</w:t>
      </w:r>
      <w:r w:rsidR="009E21E9" w:rsidRPr="00115C98">
        <w:t>), police supervision (</w:t>
      </w:r>
      <w:r w:rsidR="009E21E9" w:rsidRPr="00115C98">
        <w:rPr>
          <w:i/>
        </w:rPr>
        <w:t>dozór policji</w:t>
      </w:r>
      <w:r w:rsidR="009E21E9" w:rsidRPr="00115C98">
        <w:t xml:space="preserve">), </w:t>
      </w:r>
      <w:r w:rsidR="00D803EF" w:rsidRPr="00115C98">
        <w:t xml:space="preserve">a </w:t>
      </w:r>
      <w:r w:rsidR="009E21E9" w:rsidRPr="00115C98">
        <w:t>guarantee by a responsible person (</w:t>
      </w:r>
      <w:r w:rsidR="009E21E9" w:rsidRPr="00115C98">
        <w:rPr>
          <w:i/>
        </w:rPr>
        <w:t>poręczenie osoby godnej zaufania</w:t>
      </w:r>
      <w:r w:rsidR="009E21E9" w:rsidRPr="00115C98">
        <w:t xml:space="preserve">), </w:t>
      </w:r>
      <w:r w:rsidR="00D803EF" w:rsidRPr="00115C98">
        <w:t xml:space="preserve">a </w:t>
      </w:r>
      <w:r w:rsidR="009E21E9" w:rsidRPr="00115C98">
        <w:t>guarantee by a social entity (</w:t>
      </w:r>
      <w:r w:rsidR="009E21E9" w:rsidRPr="00115C98">
        <w:rPr>
          <w:i/>
        </w:rPr>
        <w:t>poręczenie społeczne</w:t>
      </w:r>
      <w:r w:rsidR="009E21E9" w:rsidRPr="00115C98">
        <w:t xml:space="preserve">), </w:t>
      </w:r>
      <w:r w:rsidR="00D803EF" w:rsidRPr="00115C98">
        <w:t xml:space="preserve">a </w:t>
      </w:r>
      <w:r w:rsidR="009E21E9" w:rsidRPr="00115C98">
        <w:t>temporary ban on engaging in a given activity (</w:t>
      </w:r>
      <w:r w:rsidR="009E21E9" w:rsidRPr="00115C98">
        <w:rPr>
          <w:i/>
        </w:rPr>
        <w:t>zawieszenie oskarżonego</w:t>
      </w:r>
      <w:r w:rsidR="009E21E9" w:rsidRPr="00115C98">
        <w:t xml:space="preserve"> </w:t>
      </w:r>
      <w:r w:rsidR="009E21E9" w:rsidRPr="00115C98">
        <w:rPr>
          <w:i/>
        </w:rPr>
        <w:t>w określonej</w:t>
      </w:r>
      <w:r w:rsidR="009E21E9" w:rsidRPr="00115C98">
        <w:t xml:space="preserve"> </w:t>
      </w:r>
      <w:r w:rsidR="009E21E9" w:rsidRPr="00115C98">
        <w:rPr>
          <w:i/>
        </w:rPr>
        <w:t>działalności</w:t>
      </w:r>
      <w:r w:rsidR="009E21E9" w:rsidRPr="00115C98">
        <w:t>) and prohibition on leaving the country (</w:t>
      </w:r>
      <w:r w:rsidR="009E21E9" w:rsidRPr="00115C98">
        <w:rPr>
          <w:i/>
        </w:rPr>
        <w:t>zakaz opuszczania</w:t>
      </w:r>
      <w:r w:rsidR="009E21E9" w:rsidRPr="00115C98">
        <w:t xml:space="preserve"> </w:t>
      </w:r>
      <w:r w:rsidR="009E21E9" w:rsidRPr="00115C98">
        <w:rPr>
          <w:i/>
        </w:rPr>
        <w:t>kraju</w:t>
      </w:r>
      <w:r w:rsidR="009E21E9" w:rsidRPr="00115C98">
        <w:t>).</w:t>
      </w:r>
    </w:p>
    <w:bookmarkStart w:id="12" w:name="CCP_249"/>
    <w:p w:rsidR="009E21E9" w:rsidRPr="00115C98" w:rsidRDefault="00E74B63" w:rsidP="00115C98">
      <w:pPr>
        <w:pStyle w:val="ECHRPara"/>
        <w:rPr>
          <w:rFonts w:eastAsia="Times New Roman"/>
          <w:lang w:val="en-GB" w:eastAsia="fr-FR"/>
        </w:rPr>
      </w:pPr>
      <w:r w:rsidRPr="00115C98">
        <w:rPr>
          <w:rFonts w:eastAsia="Times New Roman"/>
          <w:lang w:val="en-GB" w:eastAsia="fr-FR"/>
        </w:rPr>
        <w:fldChar w:fldCharType="begin"/>
      </w:r>
      <w:r w:rsidRPr="00115C98">
        <w:rPr>
          <w:rFonts w:eastAsia="Times New Roman"/>
          <w:lang w:val="en-GB" w:eastAsia="fr-FR"/>
        </w:rPr>
        <w:instrText xml:space="preserve"> SEQ level0 \*arabic </w:instrText>
      </w:r>
      <w:r w:rsidRPr="00115C98">
        <w:rPr>
          <w:rFonts w:eastAsia="Times New Roman"/>
          <w:lang w:val="en-GB" w:eastAsia="fr-FR"/>
        </w:rPr>
        <w:fldChar w:fldCharType="separate"/>
      </w:r>
      <w:r w:rsidR="00115C98" w:rsidRPr="00115C98">
        <w:rPr>
          <w:rFonts w:eastAsia="Times New Roman"/>
          <w:noProof/>
          <w:lang w:val="en-GB" w:eastAsia="fr-FR"/>
        </w:rPr>
        <w:t>25</w:t>
      </w:r>
      <w:r w:rsidRPr="00115C98">
        <w:rPr>
          <w:rFonts w:eastAsia="Times New Roman"/>
          <w:lang w:val="en-GB" w:eastAsia="fr-FR"/>
        </w:rPr>
        <w:fldChar w:fldCharType="end"/>
      </w:r>
      <w:bookmarkEnd w:id="12"/>
      <w:r w:rsidRPr="00115C98">
        <w:rPr>
          <w:rFonts w:eastAsia="Times New Roman"/>
          <w:lang w:val="en-GB" w:eastAsia="fr-FR"/>
        </w:rPr>
        <w:t>.  </w:t>
      </w:r>
      <w:r w:rsidR="00115C98" w:rsidRPr="00115C98">
        <w:rPr>
          <w:rFonts w:eastAsia="Times New Roman"/>
          <w:lang w:val="en-GB" w:eastAsia="fr-FR"/>
        </w:rPr>
        <w:t xml:space="preserve">Article </w:t>
      </w:r>
      <w:r w:rsidR="009E21E9" w:rsidRPr="00115C98">
        <w:rPr>
          <w:rFonts w:eastAsia="Times New Roman"/>
          <w:lang w:val="en-GB" w:eastAsia="fr-FR"/>
        </w:rPr>
        <w:t>249 § 1 sets out the general grounds for imposition of the preventive measures. That provision reads:</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t>“Preventive measures may be imposed in order to ensure the proper conduct of proceedings and</w:t>
      </w:r>
      <w:r w:rsidR="00896B97" w:rsidRPr="00115C98">
        <w:rPr>
          <w:rFonts w:eastAsia="Times New Roman"/>
          <w:lang w:val="en-GB" w:eastAsia="fr-FR"/>
        </w:rPr>
        <w:t xml:space="preserve"> also</w:t>
      </w:r>
      <w:r w:rsidRPr="00115C98">
        <w:rPr>
          <w:rFonts w:eastAsia="Times New Roman"/>
          <w:lang w:val="en-GB" w:eastAsia="fr-FR"/>
        </w:rPr>
        <w:t>, exceptionally, in order to prevent an accused</w:t>
      </w:r>
      <w:r w:rsidR="00D803EF" w:rsidRPr="00115C98">
        <w:rPr>
          <w:rFonts w:eastAsia="Times New Roman"/>
          <w:lang w:val="en-GB" w:eastAsia="fr-FR"/>
        </w:rPr>
        <w:t xml:space="preserve"> from</w:t>
      </w:r>
      <w:r w:rsidRPr="00115C98">
        <w:rPr>
          <w:rFonts w:eastAsia="Times New Roman"/>
          <w:lang w:val="en-GB" w:eastAsia="fr-FR"/>
        </w:rPr>
        <w:t xml:space="preserve"> committing another, serious offence; they may be imposed only if </w:t>
      </w:r>
      <w:r w:rsidR="00D803EF" w:rsidRPr="00115C98">
        <w:rPr>
          <w:rFonts w:eastAsia="Times New Roman"/>
          <w:lang w:val="en-GB" w:eastAsia="fr-FR"/>
        </w:rPr>
        <w:t xml:space="preserve">the </w:t>
      </w:r>
      <w:r w:rsidRPr="00115C98">
        <w:rPr>
          <w:rFonts w:eastAsia="Times New Roman"/>
          <w:lang w:val="en-GB" w:eastAsia="fr-FR"/>
        </w:rPr>
        <w:t>evidence gathered shows a significant probability that an accused has committed an offence.”</w:t>
      </w:r>
    </w:p>
    <w:bookmarkStart w:id="13" w:name="CCP_258"/>
    <w:p w:rsidR="009E21E9" w:rsidRPr="00115C98" w:rsidRDefault="000C09C4" w:rsidP="00115C98">
      <w:pPr>
        <w:pStyle w:val="ECHRPara"/>
        <w:rPr>
          <w:rFonts w:eastAsia="Times New Roman"/>
          <w:lang w:val="en-GB" w:eastAsia="fr-FR"/>
        </w:rPr>
      </w:pPr>
      <w:r w:rsidRPr="00115C98">
        <w:rPr>
          <w:rFonts w:eastAsia="Times New Roman"/>
          <w:lang w:val="en-GB" w:eastAsia="fr-FR"/>
        </w:rPr>
        <w:fldChar w:fldCharType="begin"/>
      </w:r>
      <w:r w:rsidRPr="00115C98">
        <w:rPr>
          <w:rFonts w:eastAsia="Times New Roman"/>
          <w:lang w:val="en-GB" w:eastAsia="fr-FR"/>
        </w:rPr>
        <w:instrText xml:space="preserve"> SEQ level0 \*arabic </w:instrText>
      </w:r>
      <w:r w:rsidRPr="00115C98">
        <w:rPr>
          <w:rFonts w:eastAsia="Times New Roman"/>
          <w:lang w:val="en-GB" w:eastAsia="fr-FR"/>
        </w:rPr>
        <w:fldChar w:fldCharType="separate"/>
      </w:r>
      <w:r w:rsidR="00115C98" w:rsidRPr="00115C98">
        <w:rPr>
          <w:rFonts w:eastAsia="Times New Roman"/>
          <w:noProof/>
          <w:lang w:val="en-GB" w:eastAsia="fr-FR"/>
        </w:rPr>
        <w:t>26</w:t>
      </w:r>
      <w:r w:rsidRPr="00115C98">
        <w:rPr>
          <w:rFonts w:eastAsia="Times New Roman"/>
          <w:lang w:val="en-GB" w:eastAsia="fr-FR"/>
        </w:rPr>
        <w:fldChar w:fldCharType="end"/>
      </w:r>
      <w:bookmarkEnd w:id="13"/>
      <w:r w:rsidRPr="00115C98">
        <w:rPr>
          <w:rFonts w:eastAsia="Times New Roman"/>
          <w:lang w:val="en-GB" w:eastAsia="fr-FR"/>
        </w:rPr>
        <w:t>.  </w:t>
      </w:r>
      <w:r w:rsidR="009E21E9" w:rsidRPr="00115C98">
        <w:rPr>
          <w:rFonts w:eastAsia="Times New Roman"/>
          <w:lang w:val="en-GB" w:eastAsia="fr-FR"/>
        </w:rPr>
        <w:t>The provisions on pre</w:t>
      </w:r>
      <w:r w:rsidR="009E21E9" w:rsidRPr="00115C98">
        <w:rPr>
          <w:rFonts w:eastAsia="Times New Roman"/>
          <w:lang w:val="en-GB" w:eastAsia="fr-FR"/>
        </w:rPr>
        <w:noBreakHyphen/>
        <w:t>trial detention are based on the precept that pre</w:t>
      </w:r>
      <w:r w:rsidR="009E21E9" w:rsidRPr="00115C98">
        <w:rPr>
          <w:rFonts w:eastAsia="Times New Roman"/>
          <w:lang w:val="en-GB" w:eastAsia="fr-FR"/>
        </w:rPr>
        <w:noBreakHyphen/>
        <w:t xml:space="preserve">trial detention, the most </w:t>
      </w:r>
      <w:r w:rsidR="00D803EF" w:rsidRPr="00115C98">
        <w:rPr>
          <w:rFonts w:eastAsia="Times New Roman"/>
          <w:lang w:val="en-GB" w:eastAsia="fr-FR"/>
        </w:rPr>
        <w:t xml:space="preserve">severe </w:t>
      </w:r>
      <w:r w:rsidR="009E21E9" w:rsidRPr="00115C98">
        <w:rPr>
          <w:rFonts w:eastAsia="Times New Roman"/>
          <w:lang w:val="en-GB" w:eastAsia="fr-FR"/>
        </w:rPr>
        <w:t>preventive measure</w:t>
      </w:r>
      <w:r w:rsidR="009A219E" w:rsidRPr="00115C98">
        <w:rPr>
          <w:rFonts w:eastAsia="Times New Roman"/>
          <w:lang w:val="en-GB" w:eastAsia="fr-FR"/>
        </w:rPr>
        <w:t>,</w:t>
      </w:r>
      <w:r w:rsidR="009E21E9" w:rsidRPr="00115C98">
        <w:rPr>
          <w:rFonts w:eastAsia="Times New Roman"/>
          <w:lang w:val="en-GB" w:eastAsia="fr-FR"/>
        </w:rPr>
        <w:t xml:space="preserve"> should not be imposed if more lenient measures are adequate.</w:t>
      </w:r>
    </w:p>
    <w:p w:rsidR="009E21E9" w:rsidRPr="00115C98" w:rsidRDefault="009E21E9" w:rsidP="00115C98">
      <w:pPr>
        <w:pStyle w:val="ECHRPara"/>
        <w:keepNext/>
        <w:keepLines/>
        <w:rPr>
          <w:rFonts w:eastAsia="Times New Roman"/>
          <w:lang w:val="en-GB" w:eastAsia="fr-FR"/>
        </w:rPr>
      </w:pPr>
      <w:r w:rsidRPr="00115C98">
        <w:rPr>
          <w:rFonts w:eastAsia="Times New Roman"/>
          <w:bCs/>
          <w:lang w:val="en-GB" w:eastAsia="fr-FR"/>
        </w:rPr>
        <w:t>Article 257</w:t>
      </w:r>
      <w:r w:rsidRPr="00115C98">
        <w:rPr>
          <w:rFonts w:eastAsia="Times New Roman"/>
          <w:lang w:val="en-GB" w:eastAsia="fr-FR"/>
        </w:rPr>
        <w:t xml:space="preserve"> reads, in so far as relevant:</w:t>
      </w:r>
    </w:p>
    <w:p w:rsidR="009E21E9" w:rsidRPr="00115C98" w:rsidRDefault="009E21E9" w:rsidP="00115C98">
      <w:pPr>
        <w:pStyle w:val="ECHRParaQuote"/>
        <w:keepNext/>
        <w:keepLines/>
        <w:rPr>
          <w:rFonts w:eastAsia="Times New Roman"/>
          <w:lang w:val="en-GB" w:eastAsia="fr-FR"/>
        </w:rPr>
      </w:pPr>
      <w:r w:rsidRPr="00115C98">
        <w:rPr>
          <w:rFonts w:eastAsia="Times New Roman"/>
          <w:lang w:val="en-GB" w:eastAsia="fr-FR"/>
        </w:rPr>
        <w:t>“1.  Pre-trial detention shall not be imposed if another preventive measure is sufficient.”</w:t>
      </w:r>
    </w:p>
    <w:p w:rsidR="009E21E9" w:rsidRPr="00115C98" w:rsidRDefault="000C09C4" w:rsidP="00115C98">
      <w:pPr>
        <w:pStyle w:val="ECHRPara"/>
        <w:keepNext/>
        <w:keepLines/>
        <w:rPr>
          <w:rFonts w:eastAsia="Times New Roman"/>
          <w:lang w:val="en-GB" w:eastAsia="fr-FR"/>
        </w:rPr>
      </w:pPr>
      <w:r w:rsidRPr="00115C98">
        <w:rPr>
          <w:rFonts w:eastAsia="Times New Roman"/>
          <w:lang w:val="en-GB" w:eastAsia="fr-FR"/>
        </w:rPr>
        <w:t>A</w:t>
      </w:r>
      <w:r w:rsidR="009E21E9" w:rsidRPr="00115C98">
        <w:rPr>
          <w:rFonts w:eastAsia="Times New Roman"/>
          <w:lang w:val="en-GB" w:eastAsia="fr-FR"/>
        </w:rPr>
        <w:t>rticle 258 lists grounds for pre</w:t>
      </w:r>
      <w:r w:rsidR="009E21E9" w:rsidRPr="00115C98">
        <w:rPr>
          <w:rFonts w:eastAsia="Times New Roman"/>
          <w:lang w:val="en-GB" w:eastAsia="fr-FR"/>
        </w:rPr>
        <w:noBreakHyphen/>
        <w:t>trial detention. It provides, in so far as relevant:</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t>“1.  Pre-trial detention may be imposed if:</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lastRenderedPageBreak/>
        <w:t>(1)  there is a reasonable risk that an accused will abscond or go into hiding, in particular when his</w:t>
      </w:r>
      <w:r w:rsidR="00D803EF" w:rsidRPr="00115C98">
        <w:rPr>
          <w:rFonts w:eastAsia="Times New Roman"/>
          <w:lang w:val="en-GB" w:eastAsia="fr-FR"/>
        </w:rPr>
        <w:t xml:space="preserve"> or her</w:t>
      </w:r>
      <w:r w:rsidRPr="00115C98">
        <w:rPr>
          <w:rFonts w:eastAsia="Times New Roman"/>
          <w:lang w:val="en-GB" w:eastAsia="fr-FR"/>
        </w:rPr>
        <w:t xml:space="preserve"> identity cannot be established or when he</w:t>
      </w:r>
      <w:r w:rsidR="00D803EF" w:rsidRPr="00115C98">
        <w:rPr>
          <w:rFonts w:eastAsia="Times New Roman"/>
          <w:lang w:val="en-GB" w:eastAsia="fr-FR"/>
        </w:rPr>
        <w:t xml:space="preserve"> or she</w:t>
      </w:r>
      <w:r w:rsidRPr="00115C98">
        <w:rPr>
          <w:rFonts w:eastAsia="Times New Roman"/>
          <w:lang w:val="en-GB" w:eastAsia="fr-FR"/>
        </w:rPr>
        <w:t xml:space="preserve"> has no permanent abode [in </w:t>
      </w:r>
      <w:r w:rsidRPr="00115C98">
        <w:rPr>
          <w:rFonts w:eastAsia="Times New Roman"/>
          <w:bCs/>
          <w:lang w:val="en-GB" w:eastAsia="fr-FR"/>
        </w:rPr>
        <w:t>Poland</w:t>
      </w:r>
      <w:r w:rsidRPr="00115C98">
        <w:rPr>
          <w:rFonts w:eastAsia="Times New Roman"/>
          <w:lang w:val="en-GB" w:eastAsia="fr-FR"/>
        </w:rPr>
        <w:t>];</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t>(2)  there is a reasonable risk that an accused will attempt to induce [witnesses or co</w:t>
      </w:r>
      <w:r w:rsidRPr="00115C98">
        <w:rPr>
          <w:rFonts w:eastAsia="Times New Roman"/>
          <w:lang w:val="en-GB" w:eastAsia="fr-FR"/>
        </w:rPr>
        <w:noBreakHyphen/>
        <w:t>defendants] to give false testimony or to obstruct the proper course of proceedings by any other unlawful means;</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t>If an accused has been charged with a serious offence or an offence for the commission of which he</w:t>
      </w:r>
      <w:r w:rsidR="00CE123C" w:rsidRPr="00115C98">
        <w:rPr>
          <w:rFonts w:eastAsia="Times New Roman"/>
          <w:lang w:val="en-GB" w:eastAsia="fr-FR"/>
        </w:rPr>
        <w:t xml:space="preserve"> or she</w:t>
      </w:r>
      <w:r w:rsidRPr="00115C98">
        <w:rPr>
          <w:rFonts w:eastAsia="Times New Roman"/>
          <w:lang w:val="en-GB" w:eastAsia="fr-FR"/>
        </w:rPr>
        <w:t xml:space="preserve"> may be liable to a statutory maximum sentence of at least </w:t>
      </w:r>
      <w:r w:rsidR="00CE123C" w:rsidRPr="00115C98">
        <w:rPr>
          <w:rFonts w:eastAsia="Times New Roman"/>
          <w:lang w:val="en-GB" w:eastAsia="fr-FR"/>
        </w:rPr>
        <w:t>eight </w:t>
      </w:r>
      <w:r w:rsidRPr="00115C98">
        <w:rPr>
          <w:rFonts w:eastAsia="Times New Roman"/>
          <w:lang w:val="en-GB" w:eastAsia="fr-FR"/>
        </w:rPr>
        <w:t>years</w:t>
      </w:r>
      <w:r w:rsidR="00115C98" w:rsidRPr="00115C98">
        <w:rPr>
          <w:rFonts w:eastAsia="Times New Roman"/>
          <w:lang w:val="en-GB" w:eastAsia="fr-FR"/>
        </w:rPr>
        <w:t>’</w:t>
      </w:r>
      <w:r w:rsidRPr="00115C98">
        <w:rPr>
          <w:rFonts w:eastAsia="Times New Roman"/>
          <w:lang w:val="en-GB" w:eastAsia="fr-FR"/>
        </w:rPr>
        <w:t xml:space="preserve"> imprisonment, or if a court of first instance has sentenced him</w:t>
      </w:r>
      <w:r w:rsidR="005302DD" w:rsidRPr="00115C98">
        <w:rPr>
          <w:rFonts w:eastAsia="Times New Roman"/>
          <w:lang w:val="en-GB" w:eastAsia="fr-FR"/>
        </w:rPr>
        <w:t xml:space="preserve"> or her</w:t>
      </w:r>
      <w:r w:rsidRPr="00115C98">
        <w:rPr>
          <w:rFonts w:eastAsia="Times New Roman"/>
          <w:lang w:val="en-GB" w:eastAsia="fr-FR"/>
        </w:rPr>
        <w:t xml:space="preserve"> to at least </w:t>
      </w:r>
      <w:r w:rsidR="00CE123C" w:rsidRPr="00115C98">
        <w:rPr>
          <w:rFonts w:eastAsia="Times New Roman"/>
          <w:lang w:val="en-GB" w:eastAsia="fr-FR"/>
        </w:rPr>
        <w:t>three </w:t>
      </w:r>
      <w:r w:rsidRPr="00115C98">
        <w:rPr>
          <w:rFonts w:eastAsia="Times New Roman"/>
          <w:lang w:val="en-GB" w:eastAsia="fr-FR"/>
        </w:rPr>
        <w:t>years</w:t>
      </w:r>
      <w:r w:rsidR="00115C98" w:rsidRPr="00115C98">
        <w:rPr>
          <w:rFonts w:eastAsia="Times New Roman"/>
          <w:lang w:val="en-GB" w:eastAsia="fr-FR"/>
        </w:rPr>
        <w:t>’</w:t>
      </w:r>
      <w:r w:rsidRPr="00115C98">
        <w:rPr>
          <w:rFonts w:eastAsia="Times New Roman"/>
          <w:lang w:val="en-GB" w:eastAsia="fr-FR"/>
        </w:rPr>
        <w:t xml:space="preserve"> imprisonment, the need to continue detention to ensure the proper conduct of proceedings may be based on the likelihood that a severe penalty will be imposed.”</w:t>
      </w:r>
    </w:p>
    <w:p w:rsidR="009E21E9" w:rsidRPr="00115C98" w:rsidRDefault="00115C98" w:rsidP="00115C98">
      <w:pPr>
        <w:pStyle w:val="ECHRPara"/>
        <w:rPr>
          <w:rFonts w:eastAsia="Times New Roman"/>
          <w:lang w:val="en-GB" w:eastAsia="fr-FR"/>
        </w:rPr>
      </w:pPr>
      <w:r w:rsidRPr="00115C98">
        <w:rPr>
          <w:rFonts w:eastAsia="Times New Roman"/>
          <w:lang w:val="en-GB" w:eastAsia="fr-FR"/>
        </w:rPr>
        <w:t xml:space="preserve">Article </w:t>
      </w:r>
      <w:r w:rsidR="009E21E9" w:rsidRPr="00115C98">
        <w:rPr>
          <w:rFonts w:eastAsia="Times New Roman"/>
          <w:lang w:val="en-GB" w:eastAsia="fr-FR"/>
        </w:rPr>
        <w:t>259 § 1 reads:</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t>“1.  If there are no special reasons to the contrary, pre-trial detention shall be lifted, in particular if depriving an accused of his liberty would:</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t>(1)  seriously jeopardise his</w:t>
      </w:r>
      <w:r w:rsidR="00CE123C" w:rsidRPr="00115C98">
        <w:rPr>
          <w:rFonts w:eastAsia="Times New Roman"/>
          <w:lang w:val="en-GB" w:eastAsia="fr-FR"/>
        </w:rPr>
        <w:t xml:space="preserve"> or her</w:t>
      </w:r>
      <w:r w:rsidRPr="00115C98">
        <w:rPr>
          <w:rFonts w:eastAsia="Times New Roman"/>
          <w:lang w:val="en-GB" w:eastAsia="fr-FR"/>
        </w:rPr>
        <w:t xml:space="preserve"> life or health; or</w:t>
      </w:r>
    </w:p>
    <w:p w:rsidR="009E21E9" w:rsidRPr="00115C98" w:rsidRDefault="009E21E9" w:rsidP="00115C98">
      <w:pPr>
        <w:pStyle w:val="ECHRParaQuote"/>
        <w:rPr>
          <w:rFonts w:eastAsia="Times New Roman"/>
          <w:lang w:val="en-GB" w:eastAsia="fr-FR"/>
        </w:rPr>
      </w:pPr>
      <w:r w:rsidRPr="00115C98">
        <w:rPr>
          <w:rFonts w:eastAsia="Times New Roman"/>
          <w:lang w:val="en-GB" w:eastAsia="fr-FR"/>
        </w:rPr>
        <w:t>(2)  entail excessively harsh consequences for the accused or his</w:t>
      </w:r>
      <w:r w:rsidR="00CE123C" w:rsidRPr="00115C98">
        <w:rPr>
          <w:rFonts w:eastAsia="Times New Roman"/>
          <w:lang w:val="en-GB" w:eastAsia="fr-FR"/>
        </w:rPr>
        <w:t xml:space="preserve"> or her</w:t>
      </w:r>
      <w:r w:rsidRPr="00115C98">
        <w:rPr>
          <w:rFonts w:eastAsia="Times New Roman"/>
          <w:lang w:val="en-GB" w:eastAsia="fr-FR"/>
        </w:rPr>
        <w:t xml:space="preserve"> family.”</w:t>
      </w:r>
    </w:p>
    <w:p w:rsidR="00115C98" w:rsidRPr="00115C98" w:rsidRDefault="000C09C4" w:rsidP="00115C98">
      <w:pPr>
        <w:pStyle w:val="ECHRHeading2"/>
        <w:rPr>
          <w:lang w:val="en-GB"/>
        </w:rPr>
      </w:pPr>
      <w:r w:rsidRPr="00115C98">
        <w:rPr>
          <w:lang w:val="en-GB"/>
        </w:rPr>
        <w:t>B</w:t>
      </w:r>
      <w:r w:rsidR="00443108" w:rsidRPr="00115C98">
        <w:rPr>
          <w:lang w:val="en-GB"/>
        </w:rPr>
        <w:t>.  C</w:t>
      </w:r>
      <w:r w:rsidRPr="00115C98">
        <w:rPr>
          <w:lang w:val="en-GB"/>
        </w:rPr>
        <w:t>ompensation for unjustified detention</w:t>
      </w:r>
    </w:p>
    <w:bookmarkStart w:id="14" w:name="CCP_552"/>
    <w:p w:rsidR="00443108" w:rsidRPr="00115C98" w:rsidRDefault="00443108"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27</w:t>
      </w:r>
      <w:r w:rsidRPr="00115C98">
        <w:rPr>
          <w:lang w:val="en-GB"/>
        </w:rPr>
        <w:fldChar w:fldCharType="end"/>
      </w:r>
      <w:bookmarkEnd w:id="14"/>
      <w:r w:rsidRPr="00115C98">
        <w:rPr>
          <w:lang w:val="en-GB"/>
        </w:rPr>
        <w:t>.  Article 552 of the C</w:t>
      </w:r>
      <w:r w:rsidR="009A219E" w:rsidRPr="00115C98">
        <w:rPr>
          <w:lang w:val="en-GB"/>
        </w:rPr>
        <w:t xml:space="preserve">CP </w:t>
      </w:r>
      <w:r w:rsidRPr="00115C98">
        <w:rPr>
          <w:lang w:val="en-GB"/>
        </w:rPr>
        <w:t>provides:</w:t>
      </w:r>
    </w:p>
    <w:p w:rsidR="00443108" w:rsidRPr="00115C98" w:rsidRDefault="00443108" w:rsidP="00115C98">
      <w:pPr>
        <w:pStyle w:val="ECHRParaQuote"/>
      </w:pPr>
      <w:r w:rsidRPr="00115C98">
        <w:t>“1</w:t>
      </w:r>
      <w:r w:rsidR="00F875E3" w:rsidRPr="00115C98">
        <w:t>. </w:t>
      </w:r>
      <w:r w:rsidRPr="00115C98">
        <w:t> An accused who, as a result of the reopening of proceedings or an appeal on points of law, has been acquitted or re</w:t>
      </w:r>
      <w:r w:rsidRPr="00115C98">
        <w:noBreakHyphen/>
        <w:t>sentenced under a more lenient provision, shall be entitled to receive from the State Treasury compensation for the pecuniary and non</w:t>
      </w:r>
      <w:r w:rsidRPr="00115C98">
        <w:noBreakHyphen/>
        <w:t>pecuniary damage which he</w:t>
      </w:r>
      <w:r w:rsidR="00396AE6" w:rsidRPr="00115C98">
        <w:t xml:space="preserve"> or </w:t>
      </w:r>
      <w:r w:rsidRPr="00115C98">
        <w:t>she has suffered as a result of having served all or part of the sentence unjustifiably imposed on him</w:t>
      </w:r>
      <w:r w:rsidR="00396AE6" w:rsidRPr="00115C98">
        <w:t xml:space="preserve"> or </w:t>
      </w:r>
      <w:r w:rsidRPr="00115C98">
        <w:t>her.</w:t>
      </w:r>
    </w:p>
    <w:p w:rsidR="00443108" w:rsidRPr="00115C98" w:rsidRDefault="00443108" w:rsidP="00115C98">
      <w:pPr>
        <w:pStyle w:val="ECHRParaQuote"/>
      </w:pPr>
      <w:r w:rsidRPr="00115C98">
        <w:t>2.  The provisions of paragraph 1 shall also be applicable if, after the sentencing judgment has been overturned or declared null and void, the proceedings have been discontinued by reason of material circumstances not duly considered in prior proceedings.</w:t>
      </w:r>
    </w:p>
    <w:p w:rsidR="00443108" w:rsidRPr="00115C98" w:rsidRDefault="00443108" w:rsidP="00115C98">
      <w:pPr>
        <w:pStyle w:val="ECHRParaQuote"/>
      </w:pPr>
      <w:r w:rsidRPr="00115C98">
        <w:t>3.</w:t>
      </w:r>
      <w:r w:rsidR="00F875E3" w:rsidRPr="00115C98">
        <w:t> </w:t>
      </w:r>
      <w:r w:rsidRPr="00115C98">
        <w:t> A right to compensation for pecuniary and non</w:t>
      </w:r>
      <w:r w:rsidRPr="00115C98">
        <w:noBreakHyphen/>
        <w:t>pecuniary damage shall also arise if a preventive measure has been applied under the conditions specified in paragraphs 1 and 2.</w:t>
      </w:r>
    </w:p>
    <w:p w:rsidR="00443108" w:rsidRPr="00115C98" w:rsidRDefault="00443108" w:rsidP="00115C98">
      <w:pPr>
        <w:pStyle w:val="ECHRParaQuote"/>
      </w:pPr>
      <w:r w:rsidRPr="00115C98">
        <w:t>4.</w:t>
      </w:r>
      <w:r w:rsidR="00F875E3" w:rsidRPr="00115C98">
        <w:t> </w:t>
      </w:r>
      <w:r w:rsidRPr="00115C98">
        <w:t> A right to compensation for pecuniary and non</w:t>
      </w:r>
      <w:r w:rsidRPr="00115C98">
        <w:noBreakHyphen/>
        <w:t>pecuniary damage shall also arise in the event of undoubtedly unjustified [</w:t>
      </w:r>
      <w:r w:rsidRPr="00115C98">
        <w:rPr>
          <w:i/>
        </w:rPr>
        <w:t>niewątpliwie niesłuszne</w:t>
      </w:r>
      <w:r w:rsidRPr="00115C98">
        <w:t>] pre</w:t>
      </w:r>
      <w:r w:rsidRPr="00115C98">
        <w:noBreakHyphen/>
        <w:t>trial detention or arrest.”</w:t>
      </w:r>
    </w:p>
    <w:bookmarkStart w:id="15" w:name="SUPREME_COURT_Resolution"/>
    <w:p w:rsidR="00115C98" w:rsidRPr="00115C98" w:rsidRDefault="00443108" w:rsidP="00115C98">
      <w:pPr>
        <w:pStyle w:val="ECHRPara"/>
        <w:rPr>
          <w:spacing w:val="-2"/>
          <w:lang w:val="en-GB"/>
        </w:rPr>
      </w:pPr>
      <w:r w:rsidRPr="00115C98">
        <w:rPr>
          <w:spacing w:val="-2"/>
          <w:lang w:val="en-GB"/>
        </w:rPr>
        <w:fldChar w:fldCharType="begin"/>
      </w:r>
      <w:r w:rsidRPr="00115C98">
        <w:rPr>
          <w:spacing w:val="-2"/>
          <w:lang w:val="en-GB"/>
        </w:rPr>
        <w:instrText xml:space="preserve"> SEQ level0 \*arabic </w:instrText>
      </w:r>
      <w:r w:rsidRPr="00115C98">
        <w:rPr>
          <w:spacing w:val="-2"/>
          <w:lang w:val="en-GB"/>
        </w:rPr>
        <w:fldChar w:fldCharType="separate"/>
      </w:r>
      <w:r w:rsidR="00115C98" w:rsidRPr="00115C98">
        <w:rPr>
          <w:noProof/>
          <w:spacing w:val="-2"/>
          <w:lang w:val="en-GB"/>
        </w:rPr>
        <w:t>28</w:t>
      </w:r>
      <w:r w:rsidRPr="00115C98">
        <w:rPr>
          <w:spacing w:val="-2"/>
          <w:lang w:val="en-GB"/>
        </w:rPr>
        <w:fldChar w:fldCharType="end"/>
      </w:r>
      <w:bookmarkEnd w:id="15"/>
      <w:r w:rsidRPr="00115C98">
        <w:rPr>
          <w:spacing w:val="-2"/>
          <w:lang w:val="en-GB"/>
        </w:rPr>
        <w:t>.  In accordance with the Supreme Court</w:t>
      </w:r>
      <w:r w:rsidR="00115C98" w:rsidRPr="00115C98">
        <w:rPr>
          <w:spacing w:val="-2"/>
          <w:lang w:val="en-GB"/>
        </w:rPr>
        <w:t>’</w:t>
      </w:r>
      <w:r w:rsidRPr="00115C98">
        <w:rPr>
          <w:spacing w:val="-2"/>
          <w:lang w:val="en-GB"/>
        </w:rPr>
        <w:t>s Resolution of 15 September 1999 (no. I KZP 27/99), “undoubtedly unjustified” pre</w:t>
      </w:r>
      <w:r w:rsidRPr="00115C98">
        <w:rPr>
          <w:spacing w:val="-2"/>
          <w:lang w:val="en-GB"/>
        </w:rPr>
        <w:noBreakHyphen/>
        <w:t xml:space="preserve">trial detention was detention effected in breach of the provisions of Chapter 28 of the </w:t>
      </w:r>
      <w:r w:rsidR="00C9088D" w:rsidRPr="00115C98">
        <w:rPr>
          <w:spacing w:val="-2"/>
          <w:lang w:val="en-GB"/>
        </w:rPr>
        <w:t>CCP</w:t>
      </w:r>
      <w:r w:rsidRPr="00115C98">
        <w:rPr>
          <w:spacing w:val="-2"/>
          <w:lang w:val="en-GB"/>
        </w:rPr>
        <w:t xml:space="preserve"> and which caused hardship which the defendant should not have suffered in the light of the totality of the circumstances established in the case and, in particular, of those established in the final ruling.</w:t>
      </w:r>
    </w:p>
    <w:p w:rsidR="00014566" w:rsidRPr="00115C98" w:rsidRDefault="00014566" w:rsidP="00115C98">
      <w:pPr>
        <w:pStyle w:val="ECHRTitle1"/>
        <w:rPr>
          <w:lang w:val="en-GB"/>
        </w:rPr>
      </w:pPr>
      <w:r w:rsidRPr="00115C98">
        <w:rPr>
          <w:lang w:val="en-GB"/>
        </w:rPr>
        <w:lastRenderedPageBreak/>
        <w:t>THE LAW</w:t>
      </w:r>
    </w:p>
    <w:p w:rsidR="00014566" w:rsidRPr="00115C98" w:rsidRDefault="00014566" w:rsidP="00115C98">
      <w:pPr>
        <w:pStyle w:val="ECHRHeading1"/>
        <w:rPr>
          <w:spacing w:val="-4"/>
          <w:lang w:val="en-GB"/>
        </w:rPr>
      </w:pPr>
      <w:r w:rsidRPr="00115C98">
        <w:rPr>
          <w:lang w:val="en-GB"/>
        </w:rPr>
        <w:t>I.  </w:t>
      </w:r>
      <w:r w:rsidRPr="00115C98">
        <w:rPr>
          <w:spacing w:val="-4"/>
          <w:lang w:val="en-GB"/>
        </w:rPr>
        <w:t xml:space="preserve">ALLEGED VIOLATION OF ARTICLE </w:t>
      </w:r>
      <w:r w:rsidR="00443108" w:rsidRPr="00115C98">
        <w:rPr>
          <w:spacing w:val="-4"/>
          <w:lang w:val="en-GB"/>
        </w:rPr>
        <w:t xml:space="preserve">5 </w:t>
      </w:r>
      <w:r w:rsidR="00443108" w:rsidRPr="00115C98">
        <w:rPr>
          <w:rFonts w:cstheme="majorHAnsi"/>
          <w:spacing w:val="-4"/>
          <w:lang w:val="en-GB"/>
        </w:rPr>
        <w:t>§</w:t>
      </w:r>
      <w:r w:rsidR="00443108" w:rsidRPr="00115C98">
        <w:rPr>
          <w:spacing w:val="-4"/>
          <w:lang w:val="en-GB"/>
        </w:rPr>
        <w:t xml:space="preserve"> 1 (c) </w:t>
      </w:r>
      <w:r w:rsidRPr="00115C98">
        <w:rPr>
          <w:spacing w:val="-4"/>
          <w:lang w:val="en-GB"/>
        </w:rPr>
        <w:t>OF THE CONVENTION</w:t>
      </w:r>
    </w:p>
    <w:p w:rsidR="00115C98"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29</w:t>
      </w:r>
      <w:r w:rsidRPr="00115C98">
        <w:rPr>
          <w:lang w:val="en-GB"/>
        </w:rPr>
        <w:fldChar w:fldCharType="end"/>
      </w:r>
      <w:r w:rsidR="00014566" w:rsidRPr="00115C98">
        <w:rPr>
          <w:lang w:val="en-GB"/>
        </w:rPr>
        <w:t xml:space="preserve">.  The applicant complained </w:t>
      </w:r>
      <w:r w:rsidR="00443108" w:rsidRPr="00115C98">
        <w:rPr>
          <w:lang w:val="en-GB"/>
        </w:rPr>
        <w:t xml:space="preserve">under Article 5 </w:t>
      </w:r>
      <w:r w:rsidR="00443108" w:rsidRPr="00115C98">
        <w:rPr>
          <w:rFonts w:cstheme="minorHAnsi"/>
          <w:lang w:val="en-GB"/>
        </w:rPr>
        <w:t>§</w:t>
      </w:r>
      <w:r w:rsidR="00443108" w:rsidRPr="00115C98">
        <w:rPr>
          <w:lang w:val="en-GB"/>
        </w:rPr>
        <w:t xml:space="preserve"> 1</w:t>
      </w:r>
      <w:r w:rsidR="002B5302" w:rsidRPr="00115C98">
        <w:rPr>
          <w:lang w:val="en-GB"/>
        </w:rPr>
        <w:t xml:space="preserve"> (c)</w:t>
      </w:r>
      <w:r w:rsidR="00443108" w:rsidRPr="00115C98">
        <w:rPr>
          <w:lang w:val="en-GB"/>
        </w:rPr>
        <w:t xml:space="preserve"> of the Convention </w:t>
      </w:r>
      <w:r w:rsidR="00913203" w:rsidRPr="00115C98">
        <w:rPr>
          <w:lang w:val="en-GB"/>
        </w:rPr>
        <w:t xml:space="preserve">that his detention on remand had been unlawful and arbitrary. </w:t>
      </w:r>
      <w:r w:rsidR="00443108" w:rsidRPr="00115C98">
        <w:rPr>
          <w:lang w:val="en-GB"/>
        </w:rPr>
        <w:t xml:space="preserve">This provision </w:t>
      </w:r>
      <w:r w:rsidR="00913203" w:rsidRPr="00115C98">
        <w:rPr>
          <w:lang w:val="en-GB"/>
        </w:rPr>
        <w:t xml:space="preserve">of the Convention </w:t>
      </w:r>
      <w:r w:rsidR="00443108" w:rsidRPr="00115C98">
        <w:rPr>
          <w:lang w:val="en-GB"/>
        </w:rPr>
        <w:t xml:space="preserve">reads </w:t>
      </w:r>
      <w:r w:rsidR="00913203" w:rsidRPr="00115C98">
        <w:rPr>
          <w:lang w:val="en-GB"/>
        </w:rPr>
        <w:t xml:space="preserve">in so far as relevant </w:t>
      </w:r>
      <w:r w:rsidR="00443108" w:rsidRPr="00115C98">
        <w:rPr>
          <w:lang w:val="en-GB"/>
        </w:rPr>
        <w:t>as follows:</w:t>
      </w:r>
    </w:p>
    <w:p w:rsidR="00443108" w:rsidRPr="00115C98" w:rsidRDefault="00443108" w:rsidP="00115C98">
      <w:pPr>
        <w:pStyle w:val="ECHRParaQuote"/>
      </w:pPr>
      <w:r w:rsidRPr="00115C98">
        <w:t>“1.  Everyone has the right to liberty and security of person. No one shall be deprived of his liberty save in the following cases and in accordance with a procedure prescribed by law:</w:t>
      </w:r>
    </w:p>
    <w:p w:rsidR="00443108" w:rsidRPr="00115C98" w:rsidRDefault="00881A09" w:rsidP="00115C98">
      <w:pPr>
        <w:pStyle w:val="ECHRParaQuote"/>
      </w:pPr>
      <w:r w:rsidRPr="00115C98">
        <w:t>...</w:t>
      </w:r>
    </w:p>
    <w:p w:rsidR="00443108" w:rsidRPr="00115C98" w:rsidRDefault="00443108" w:rsidP="00115C98">
      <w:pPr>
        <w:pStyle w:val="ECHRParaQuote"/>
      </w:pPr>
      <w:r w:rsidRPr="00115C98">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0625F6" w:rsidRPr="00115C98" w:rsidRDefault="00881A09" w:rsidP="00115C98">
      <w:pPr>
        <w:pStyle w:val="ECHRParaQuote"/>
      </w:pPr>
      <w:r w:rsidRPr="00115C98">
        <w:t>...</w:t>
      </w:r>
      <w:r w:rsidR="000625F6" w:rsidRPr="00115C98">
        <w:t>”</w:t>
      </w:r>
    </w:p>
    <w:p w:rsidR="00014566" w:rsidRPr="00115C98" w:rsidRDefault="00014566" w:rsidP="00115C98">
      <w:pPr>
        <w:pStyle w:val="ECHRHeading2"/>
        <w:rPr>
          <w:lang w:val="en-GB"/>
        </w:rPr>
      </w:pPr>
      <w:r w:rsidRPr="00115C98">
        <w:rPr>
          <w:lang w:val="en-GB"/>
        </w:rPr>
        <w:t>A.  Admissibility</w:t>
      </w:r>
    </w:p>
    <w:p w:rsidR="00014566"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30</w:t>
      </w:r>
      <w:r w:rsidRPr="00115C98">
        <w:rPr>
          <w:lang w:val="en-GB"/>
        </w:rPr>
        <w:fldChar w:fldCharType="end"/>
      </w:r>
      <w:r w:rsidR="00014566" w:rsidRPr="00115C98">
        <w:rPr>
          <w:lang w:val="en-GB"/>
        </w:rPr>
        <w:t>.  The Court notes that this complaint is not manifestly ill-founded within the meaning of Article 35 § 3 (a) of the Convention. It further notes that it is not inadmissible on any other grounds. It must therefore be declared admissible.</w:t>
      </w:r>
    </w:p>
    <w:p w:rsidR="00014566" w:rsidRPr="00115C98" w:rsidRDefault="00014566" w:rsidP="00115C98">
      <w:pPr>
        <w:pStyle w:val="ECHRHeading2"/>
        <w:rPr>
          <w:lang w:val="en-GB"/>
        </w:rPr>
      </w:pPr>
      <w:r w:rsidRPr="00115C98">
        <w:rPr>
          <w:lang w:val="en-GB"/>
        </w:rPr>
        <w:t>B.  Merits</w:t>
      </w:r>
    </w:p>
    <w:p w:rsidR="00913203" w:rsidRPr="00115C98" w:rsidRDefault="00913203" w:rsidP="00115C98">
      <w:pPr>
        <w:pStyle w:val="ECHRHeading3"/>
      </w:pPr>
      <w:r w:rsidRPr="00115C98">
        <w:t>1.</w:t>
      </w:r>
      <w:r w:rsidR="00F875E3" w:rsidRPr="00115C98">
        <w:t>  </w:t>
      </w:r>
      <w:r w:rsidRPr="00115C98">
        <w:t>The parties</w:t>
      </w:r>
      <w:r w:rsidR="00115C98" w:rsidRPr="00115C98">
        <w:t>’</w:t>
      </w:r>
      <w:r w:rsidRPr="00115C98">
        <w:t xml:space="preserve"> submissions</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31</w:t>
      </w:r>
      <w:r>
        <w:rPr>
          <w:noProof/>
        </w:rPr>
        <w:fldChar w:fldCharType="end"/>
      </w:r>
      <w:r w:rsidR="00C42508" w:rsidRPr="00115C98">
        <w:t>.  </w:t>
      </w:r>
      <w:r w:rsidR="009460AF" w:rsidRPr="00115C98">
        <w:t xml:space="preserve">The applicant submitted that his detention on remand </w:t>
      </w:r>
      <w:r w:rsidR="00AC018F" w:rsidRPr="00115C98">
        <w:t xml:space="preserve">had been </w:t>
      </w:r>
      <w:r w:rsidR="00C42508" w:rsidRPr="00115C98">
        <w:t xml:space="preserve">unlawful and </w:t>
      </w:r>
      <w:r w:rsidR="009460AF" w:rsidRPr="00115C98">
        <w:t xml:space="preserve">arbitrary. In particular, </w:t>
      </w:r>
      <w:r w:rsidR="000C09C4" w:rsidRPr="00115C98">
        <w:t xml:space="preserve">he relied on the fact that </w:t>
      </w:r>
      <w:r w:rsidR="002B5302" w:rsidRPr="00115C98">
        <w:t xml:space="preserve">while </w:t>
      </w:r>
      <w:r w:rsidR="008C7F26" w:rsidRPr="00115C98">
        <w:t xml:space="preserve">he had been charged with </w:t>
      </w:r>
      <w:r w:rsidR="000C09C4" w:rsidRPr="00115C98">
        <w:t>committing</w:t>
      </w:r>
      <w:r w:rsidR="008C7F26" w:rsidRPr="00115C98">
        <w:t xml:space="preserve"> the offences in question </w:t>
      </w:r>
      <w:r w:rsidR="005F5BE3" w:rsidRPr="00115C98">
        <w:t>on 11</w:t>
      </w:r>
      <w:r w:rsidR="003C3C1E" w:rsidRPr="00115C98">
        <w:t> </w:t>
      </w:r>
      <w:r w:rsidR="005F5BE3" w:rsidRPr="00115C98">
        <w:t>February</w:t>
      </w:r>
      <w:r w:rsidR="00115C98" w:rsidRPr="00115C98">
        <w:t xml:space="preserve"> </w:t>
      </w:r>
      <w:r w:rsidR="005F5BE3" w:rsidRPr="00115C98">
        <w:t>2004</w:t>
      </w:r>
      <w:r w:rsidR="00AC018F" w:rsidRPr="00115C98">
        <w:t>,</w:t>
      </w:r>
      <w:r w:rsidR="005F5BE3" w:rsidRPr="00115C98">
        <w:t xml:space="preserve"> the detention on remand </w:t>
      </w:r>
      <w:r w:rsidR="00AC018F" w:rsidRPr="00115C98">
        <w:t xml:space="preserve">had been </w:t>
      </w:r>
      <w:r w:rsidR="005F5BE3" w:rsidRPr="00115C98">
        <w:t xml:space="preserve">imposed on him only on 7 June 2005. </w:t>
      </w:r>
      <w:r w:rsidR="000C09C4" w:rsidRPr="00115C98">
        <w:t xml:space="preserve">Furthermore, there </w:t>
      </w:r>
      <w:r w:rsidR="00AC018F" w:rsidRPr="00115C98">
        <w:t xml:space="preserve">had been </w:t>
      </w:r>
      <w:r w:rsidR="000C09C4" w:rsidRPr="00115C98">
        <w:t xml:space="preserve">no reasonable grounds to believe that he would </w:t>
      </w:r>
      <w:r w:rsidR="002B5302" w:rsidRPr="00115C98">
        <w:t xml:space="preserve">have </w:t>
      </w:r>
      <w:r w:rsidR="000C09C4" w:rsidRPr="00115C98">
        <w:t>abscond</w:t>
      </w:r>
      <w:r w:rsidR="002B5302" w:rsidRPr="00115C98">
        <w:t>ed</w:t>
      </w:r>
      <w:r w:rsidR="003C3C1E" w:rsidRPr="00115C98">
        <w:t xml:space="preserve"> or otherwise obstructed the proceedings</w:t>
      </w:r>
      <w:r w:rsidR="000C09C4" w:rsidRPr="00115C98">
        <w:t>.</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32</w:t>
      </w:r>
      <w:r>
        <w:rPr>
          <w:noProof/>
        </w:rPr>
        <w:fldChar w:fldCharType="end"/>
      </w:r>
      <w:r w:rsidR="00C42508" w:rsidRPr="00115C98">
        <w:t>.  </w:t>
      </w:r>
      <w:r w:rsidR="009460AF" w:rsidRPr="00115C98">
        <w:t xml:space="preserve">The Government submitted that the applicant </w:t>
      </w:r>
      <w:r w:rsidR="001E3A51" w:rsidRPr="00115C98">
        <w:t xml:space="preserve">had been </w:t>
      </w:r>
      <w:r w:rsidR="009460AF" w:rsidRPr="00115C98">
        <w:t xml:space="preserve">deprived of his liberty </w:t>
      </w:r>
      <w:r w:rsidR="00E035FC" w:rsidRPr="00115C98">
        <w:t xml:space="preserve">between 7 June 2005 and 23 March 2006 </w:t>
      </w:r>
      <w:r w:rsidR="009460AF" w:rsidRPr="00115C98">
        <w:t>in accordance with Article 5 § 1 (c)</w:t>
      </w:r>
      <w:r w:rsidR="008D0B1D" w:rsidRPr="00115C98">
        <w:t xml:space="preserve"> of the Convention</w:t>
      </w:r>
      <w:r w:rsidR="009460AF" w:rsidRPr="00115C98">
        <w:t>. His detention on remand had been ordered by a court</w:t>
      </w:r>
      <w:r w:rsidR="000C09C4" w:rsidRPr="00115C98">
        <w:t xml:space="preserve"> decision</w:t>
      </w:r>
      <w:r w:rsidR="009460AF" w:rsidRPr="00115C98">
        <w:t>, issued in accordance with domestic law for the purpose of bringing him before a competent court. At the time of his arrest, the investigating authorities had gathered considerable evidentiary material. The witnesses</w:t>
      </w:r>
      <w:r w:rsidR="00115C98" w:rsidRPr="00115C98">
        <w:t>’</w:t>
      </w:r>
      <w:r w:rsidR="009460AF" w:rsidRPr="00115C98">
        <w:t xml:space="preserve"> testimonies </w:t>
      </w:r>
      <w:r w:rsidR="00031E77" w:rsidRPr="00115C98">
        <w:t xml:space="preserve">had </w:t>
      </w:r>
      <w:r w:rsidR="00F56FC6" w:rsidRPr="00115C98">
        <w:t>clearly</w:t>
      </w:r>
      <w:r w:rsidR="00031E77" w:rsidRPr="00115C98">
        <w:t xml:space="preserve"> stated</w:t>
      </w:r>
      <w:r w:rsidR="009460AF" w:rsidRPr="00115C98">
        <w:t xml:space="preserve"> that the applicant had been violent towards his parents. </w:t>
      </w:r>
      <w:r w:rsidR="000C09C4" w:rsidRPr="00115C98">
        <w:t>In the Government</w:t>
      </w:r>
      <w:r w:rsidR="00115C98" w:rsidRPr="00115C98">
        <w:t>’</w:t>
      </w:r>
      <w:r w:rsidR="000C09C4" w:rsidRPr="00115C98">
        <w:t xml:space="preserve">s view the authorities </w:t>
      </w:r>
      <w:r w:rsidR="00031E77" w:rsidRPr="00115C98">
        <w:t xml:space="preserve">had been </w:t>
      </w:r>
      <w:r w:rsidR="000C09C4" w:rsidRPr="00115C98">
        <w:t xml:space="preserve">under an obligation to ensure effective protection for victims of </w:t>
      </w:r>
      <w:r w:rsidR="000C09C4" w:rsidRPr="00115C98">
        <w:lastRenderedPageBreak/>
        <w:t xml:space="preserve">domestic violence. </w:t>
      </w:r>
      <w:r w:rsidR="009460AF" w:rsidRPr="00115C98">
        <w:t>It had also been established that the applicant had been in possession of marijuana.</w:t>
      </w:r>
    </w:p>
    <w:p w:rsidR="00913203" w:rsidRPr="00115C98" w:rsidRDefault="00913203" w:rsidP="00115C98">
      <w:pPr>
        <w:pStyle w:val="ECHRHeading3"/>
        <w:rPr>
          <w:lang w:val="en-GB"/>
        </w:rPr>
      </w:pPr>
      <w:r w:rsidRPr="00115C98">
        <w:rPr>
          <w:lang w:val="en-GB"/>
        </w:rPr>
        <w:t>2.</w:t>
      </w:r>
      <w:r w:rsidR="00F875E3" w:rsidRPr="00115C98">
        <w:rPr>
          <w:lang w:val="en-GB"/>
        </w:rPr>
        <w:t>  </w:t>
      </w:r>
      <w:r w:rsidRPr="00115C98">
        <w:rPr>
          <w:lang w:val="en-GB"/>
        </w:rPr>
        <w:t>The Court</w:t>
      </w:r>
      <w:r w:rsidR="00115C98" w:rsidRPr="00115C98">
        <w:rPr>
          <w:lang w:val="en-GB"/>
        </w:rPr>
        <w:t>’</w:t>
      </w:r>
      <w:r w:rsidRPr="00115C98">
        <w:rPr>
          <w:lang w:val="en-GB"/>
        </w:rPr>
        <w:t>s assessment</w:t>
      </w:r>
    </w:p>
    <w:p w:rsidR="009460AF" w:rsidRPr="00115C98" w:rsidRDefault="009B59E8" w:rsidP="00115C98">
      <w:pPr>
        <w:pStyle w:val="ECHRHeading4"/>
        <w:rPr>
          <w:lang w:val="en-GB"/>
        </w:rPr>
      </w:pPr>
      <w:r w:rsidRPr="00115C98">
        <w:rPr>
          <w:lang w:val="en-GB"/>
        </w:rPr>
        <w:t>(</w:t>
      </w:r>
      <w:r w:rsidR="009460AF" w:rsidRPr="00115C98">
        <w:rPr>
          <w:lang w:val="en-GB"/>
        </w:rPr>
        <w:t>a</w:t>
      </w:r>
      <w:r w:rsidRPr="00115C98">
        <w:rPr>
          <w:lang w:val="en-GB"/>
        </w:rPr>
        <w:t>)</w:t>
      </w:r>
      <w:r w:rsidR="00F875E3" w:rsidRPr="00115C98">
        <w:rPr>
          <w:lang w:val="en-GB"/>
        </w:rPr>
        <w:t>  </w:t>
      </w:r>
      <w:r w:rsidR="009460AF" w:rsidRPr="00115C98">
        <w:rPr>
          <w:lang w:val="en-GB"/>
        </w:rPr>
        <w:t>General principles</w:t>
      </w:r>
    </w:p>
    <w:p w:rsidR="0067687E" w:rsidRPr="00115C98" w:rsidRDefault="000532C2" w:rsidP="00115C98">
      <w:pPr>
        <w:pStyle w:val="ECHRPara"/>
        <w:rPr>
          <w:lang w:val="en-GB"/>
        </w:rPr>
      </w:pPr>
      <w:r>
        <w:fldChar w:fldCharType="begin"/>
      </w:r>
      <w:r>
        <w:instrText xml:space="preserve"> SEQ level0 \*arabic </w:instrText>
      </w:r>
      <w:r>
        <w:fldChar w:fldCharType="separate"/>
      </w:r>
      <w:r w:rsidR="00115C98" w:rsidRPr="00115C98">
        <w:rPr>
          <w:noProof/>
        </w:rPr>
        <w:t>33</w:t>
      </w:r>
      <w:r>
        <w:rPr>
          <w:noProof/>
        </w:rPr>
        <w:fldChar w:fldCharType="end"/>
      </w:r>
      <w:r w:rsidR="00FA146D" w:rsidRPr="00115C98">
        <w:t>.  </w:t>
      </w:r>
      <w:r w:rsidR="00577B9E" w:rsidRPr="00115C98">
        <w:t xml:space="preserve">The Court reiterates that in order to comply with Article 5 § 1, the detention </w:t>
      </w:r>
      <w:r w:rsidR="00031E77" w:rsidRPr="00115C98">
        <w:t xml:space="preserve">at </w:t>
      </w:r>
      <w:r w:rsidR="00577B9E" w:rsidRPr="00115C98">
        <w:t xml:space="preserve">issue must first of all be “lawful”, including the observance of a procedure prescribed by law; in this </w:t>
      </w:r>
      <w:r w:rsidR="00031E77" w:rsidRPr="00115C98">
        <w:t xml:space="preserve">connection </w:t>
      </w:r>
      <w:r w:rsidR="00577B9E" w:rsidRPr="00115C98">
        <w:t>the Convention refers back essentially to national law and lays down the obligation to conform to the substantive and procedural rules thereof. It requires in addition, however, that any deprivation of liberty should be consistent with the purpose of Article 5, namely to protect individuals from arbitrariness (</w:t>
      </w:r>
      <w:r w:rsidR="00115C98" w:rsidRPr="00115C98">
        <w:t xml:space="preserve">see </w:t>
      </w:r>
      <w:r w:rsidR="00577B9E" w:rsidRPr="00115C98">
        <w:rPr>
          <w:i/>
          <w:lang w:val="de-DE"/>
        </w:rPr>
        <w:t>Stanev v.</w:t>
      </w:r>
      <w:r w:rsidR="00F875E3" w:rsidRPr="00115C98">
        <w:rPr>
          <w:i/>
          <w:lang w:val="de-DE"/>
        </w:rPr>
        <w:t> </w:t>
      </w:r>
      <w:r w:rsidR="00577B9E" w:rsidRPr="00115C98">
        <w:rPr>
          <w:i/>
          <w:lang w:val="de-DE"/>
        </w:rPr>
        <w:t xml:space="preserve">Bulgaria </w:t>
      </w:r>
      <w:r w:rsidR="00577B9E" w:rsidRPr="00115C98">
        <w:rPr>
          <w:lang w:val="de-DE"/>
        </w:rPr>
        <w:t>[GC], no. 36760/06</w:t>
      </w:r>
      <w:r w:rsidR="00577B9E" w:rsidRPr="00115C98">
        <w:rPr>
          <w:snapToGrid w:val="0"/>
          <w:szCs w:val="24"/>
          <w:lang w:val="de-DE"/>
        </w:rPr>
        <w:t xml:space="preserve">, § 143, </w:t>
      </w:r>
      <w:r w:rsidR="00577B9E" w:rsidRPr="00115C98">
        <w:rPr>
          <w:snapToGrid w:val="0"/>
          <w:lang w:val="de-DE"/>
        </w:rPr>
        <w:t>ECHR 2012</w:t>
      </w:r>
      <w:r w:rsidR="00577B9E" w:rsidRPr="00115C98">
        <w:t>). Furthermore, the detention of an individual is such a serious measure that it is only justified where other, less severe measures have been considered and found to be insufficient to safeguard the individual or public interest which might require that the person concerned be detained. That means that it does not suffice that the deprivation of liberty is in conformity with national law; it must also be necessary in the circumstances (</w:t>
      </w:r>
      <w:r w:rsidR="00115C98" w:rsidRPr="00115C98">
        <w:t xml:space="preserve">see </w:t>
      </w:r>
      <w:r w:rsidR="00577B9E" w:rsidRPr="00115C98">
        <w:rPr>
          <w:i/>
          <w:iCs/>
        </w:rPr>
        <w:t>Witold Litwa v. Poland</w:t>
      </w:r>
      <w:r w:rsidR="00115C98" w:rsidRPr="00115C98">
        <w:t>, no. </w:t>
      </w:r>
      <w:r w:rsidR="00577B9E" w:rsidRPr="00115C98">
        <w:t>26629/95, § 78, ECHR 2000-III).</w:t>
      </w:r>
    </w:p>
    <w:p w:rsidR="00115C98" w:rsidRPr="00115C98" w:rsidRDefault="009B59E8" w:rsidP="00115C98">
      <w:pPr>
        <w:pStyle w:val="ECHRHeading4"/>
      </w:pPr>
      <w:r w:rsidRPr="00115C98">
        <w:t>(b)</w:t>
      </w:r>
      <w:r w:rsidR="00F875E3" w:rsidRPr="00115C98">
        <w:t>  </w:t>
      </w:r>
      <w:r w:rsidR="009460AF" w:rsidRPr="00115C98">
        <w:t>Application of the above principles to the present case</w:t>
      </w:r>
    </w:p>
    <w:p w:rsidR="009866F7" w:rsidRPr="00115C98" w:rsidRDefault="00A65AAA" w:rsidP="00115C98">
      <w:pPr>
        <w:pStyle w:val="ECHRPara"/>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34</w:t>
      </w:r>
      <w:r w:rsidRPr="00115C98">
        <w:rPr>
          <w:lang w:val="en-GB"/>
        </w:rPr>
        <w:fldChar w:fldCharType="end"/>
      </w:r>
      <w:r w:rsidR="00014566" w:rsidRPr="00115C98">
        <w:rPr>
          <w:lang w:val="en-GB"/>
        </w:rPr>
        <w:t>.</w:t>
      </w:r>
      <w:r w:rsidR="005E625C" w:rsidRPr="00115C98">
        <w:rPr>
          <w:lang w:val="en-GB"/>
        </w:rPr>
        <w:t> </w:t>
      </w:r>
      <w:r w:rsidR="00014566" w:rsidRPr="00115C98">
        <w:rPr>
          <w:lang w:val="en-GB"/>
        </w:rPr>
        <w:t> </w:t>
      </w:r>
      <w:r w:rsidR="0067687E" w:rsidRPr="00115C98">
        <w:rPr>
          <w:lang w:val="en-GB"/>
        </w:rPr>
        <w:t>Turning to the circumstances of the present case the</w:t>
      </w:r>
      <w:r w:rsidR="009E21E9" w:rsidRPr="00115C98">
        <w:rPr>
          <w:lang w:val="en-GB"/>
        </w:rPr>
        <w:t xml:space="preserve"> Court</w:t>
      </w:r>
      <w:r w:rsidR="00DC0F3E" w:rsidRPr="00115C98">
        <w:t xml:space="preserve"> notes that </w:t>
      </w:r>
      <w:r w:rsidR="00FA146D" w:rsidRPr="00115C98">
        <w:t>o</w:t>
      </w:r>
      <w:r w:rsidR="00DE6B56" w:rsidRPr="00115C98">
        <w:t xml:space="preserve">n </w:t>
      </w:r>
      <w:r w:rsidR="00FA146D" w:rsidRPr="00115C98">
        <w:t xml:space="preserve">27 </w:t>
      </w:r>
      <w:r w:rsidR="00DE6B56" w:rsidRPr="00115C98">
        <w:t xml:space="preserve">February 2004 </w:t>
      </w:r>
      <w:r w:rsidR="00B7111C" w:rsidRPr="00115C98">
        <w:t xml:space="preserve">the </w:t>
      </w:r>
      <w:r w:rsidR="00DC0F3E" w:rsidRPr="00115C98">
        <w:t>applicant was charged with domestic violence</w:t>
      </w:r>
      <w:r w:rsidR="00DE6B56" w:rsidRPr="00115C98">
        <w:t>. O</w:t>
      </w:r>
      <w:r w:rsidR="009E21E9" w:rsidRPr="00115C98">
        <w:t>n 7</w:t>
      </w:r>
      <w:r w:rsidR="00DE6B56" w:rsidRPr="00115C98">
        <w:t> </w:t>
      </w:r>
      <w:r w:rsidR="009E21E9" w:rsidRPr="00115C98">
        <w:t>June 2005 the Warsaw District Court ordered his detention on remand</w:t>
      </w:r>
      <w:r w:rsidR="00DE6B56" w:rsidRPr="00115C98">
        <w:t xml:space="preserve"> </w:t>
      </w:r>
      <w:r w:rsidR="008D0B1D" w:rsidRPr="00115C98">
        <w:t>in accordance with</w:t>
      </w:r>
      <w:r w:rsidR="00DE6B56" w:rsidRPr="00115C98">
        <w:t xml:space="preserve"> the relevant provisions of the CCP</w:t>
      </w:r>
      <w:r w:rsidR="005E4714" w:rsidRPr="00115C98">
        <w:t>, notably Articles </w:t>
      </w:r>
      <w:r w:rsidR="00115C98" w:rsidRPr="00115C98">
        <w:rPr>
          <w:rFonts w:eastAsiaTheme="minorHAnsi"/>
          <w:spacing w:val="-2"/>
        </w:rPr>
        <w:t xml:space="preserve">249 </w:t>
      </w:r>
      <w:r w:rsidR="00FA146D" w:rsidRPr="00115C98">
        <w:rPr>
          <w:rFonts w:eastAsiaTheme="minorHAnsi" w:cstheme="minorHAnsi"/>
          <w:spacing w:val="-2"/>
        </w:rPr>
        <w:t>§</w:t>
      </w:r>
      <w:r w:rsidR="00C9088D" w:rsidRPr="00115C98">
        <w:rPr>
          <w:rFonts w:eastAsiaTheme="minorHAnsi"/>
          <w:spacing w:val="-2"/>
        </w:rPr>
        <w:t> </w:t>
      </w:r>
      <w:r w:rsidR="00FA146D" w:rsidRPr="00115C98">
        <w:rPr>
          <w:rFonts w:eastAsiaTheme="minorHAnsi"/>
          <w:spacing w:val="-2"/>
        </w:rPr>
        <w:t xml:space="preserve">1 and 258 </w:t>
      </w:r>
      <w:r w:rsidR="00FA146D" w:rsidRPr="00115C98">
        <w:rPr>
          <w:rFonts w:eastAsiaTheme="minorHAnsi" w:cstheme="minorHAnsi"/>
          <w:spacing w:val="-2"/>
        </w:rPr>
        <w:t>§</w:t>
      </w:r>
      <w:r w:rsidR="00FA146D" w:rsidRPr="00115C98">
        <w:rPr>
          <w:rFonts w:eastAsiaTheme="minorHAnsi"/>
          <w:spacing w:val="-2"/>
        </w:rPr>
        <w:t xml:space="preserve"> 1 (1)</w:t>
      </w:r>
      <w:r w:rsidR="00DE6B56" w:rsidRPr="00115C98">
        <w:t xml:space="preserve"> (</w:t>
      </w:r>
      <w:r w:rsidR="00115C98" w:rsidRPr="00115C98">
        <w:t xml:space="preserve">see </w:t>
      </w:r>
      <w:r w:rsidR="00DE6B56" w:rsidRPr="00115C98">
        <w:t>paragraphs</w:t>
      </w:r>
      <w:r w:rsidR="00F56FC6" w:rsidRPr="00115C98">
        <w:t xml:space="preserve"> </w:t>
      </w:r>
      <w:r w:rsidR="00FA146D" w:rsidRPr="00115C98">
        <w:fldChar w:fldCharType="begin"/>
      </w:r>
      <w:r w:rsidR="00FA146D" w:rsidRPr="00115C98">
        <w:instrText xml:space="preserve"> REF First_charge \h </w:instrText>
      </w:r>
      <w:r w:rsidR="00FA146D" w:rsidRPr="00115C98">
        <w:fldChar w:fldCharType="separate"/>
      </w:r>
      <w:r w:rsidR="00115C98" w:rsidRPr="00115C98">
        <w:rPr>
          <w:rFonts w:eastAsiaTheme="minorHAnsi"/>
          <w:noProof/>
          <w:color w:val="000000"/>
        </w:rPr>
        <w:t>6</w:t>
      </w:r>
      <w:r w:rsidR="00FA146D" w:rsidRPr="00115C98">
        <w:fldChar w:fldCharType="end"/>
      </w:r>
      <w:r w:rsidR="003C3C1E" w:rsidRPr="00115C98">
        <w:t xml:space="preserve"> and </w:t>
      </w:r>
      <w:r w:rsidR="00FA146D" w:rsidRPr="00115C98">
        <w:fldChar w:fldCharType="begin"/>
      </w:r>
      <w:r w:rsidR="00FA146D" w:rsidRPr="00115C98">
        <w:instrText xml:space="preserve"> REF order_detention_remand \h </w:instrText>
      </w:r>
      <w:r w:rsidR="00FA146D" w:rsidRPr="00115C98">
        <w:fldChar w:fldCharType="separate"/>
      </w:r>
      <w:r w:rsidR="00115C98" w:rsidRPr="00115C98">
        <w:rPr>
          <w:rFonts w:eastAsiaTheme="minorHAnsi"/>
          <w:noProof/>
          <w:spacing w:val="-2"/>
        </w:rPr>
        <w:t>10</w:t>
      </w:r>
      <w:r w:rsidR="00FA146D" w:rsidRPr="00115C98">
        <w:fldChar w:fldCharType="end"/>
      </w:r>
      <w:r w:rsidR="00FA146D" w:rsidRPr="00115C98">
        <w:t xml:space="preserve"> </w:t>
      </w:r>
      <w:r w:rsidR="00DE6B56" w:rsidRPr="00115C98">
        <w:t>above)</w:t>
      </w:r>
      <w:r w:rsidR="009E21E9" w:rsidRPr="00115C98">
        <w:t>.</w:t>
      </w:r>
      <w:r w:rsidR="00DC0F3E" w:rsidRPr="00115C98">
        <w:t xml:space="preserve"> </w:t>
      </w:r>
      <w:r w:rsidR="00826A18" w:rsidRPr="00115C98">
        <w:t xml:space="preserve">It </w:t>
      </w:r>
      <w:r w:rsidR="009E21E9" w:rsidRPr="00115C98">
        <w:t>is no</w:t>
      </w:r>
      <w:r w:rsidR="00826A18" w:rsidRPr="00115C98">
        <w:t>t</w:t>
      </w:r>
      <w:r w:rsidR="009E21E9" w:rsidRPr="00115C98">
        <w:t xml:space="preserve"> </w:t>
      </w:r>
      <w:r w:rsidR="00826A18" w:rsidRPr="00115C98">
        <w:t xml:space="preserve">in </w:t>
      </w:r>
      <w:r w:rsidR="009E21E9" w:rsidRPr="00115C98">
        <w:t xml:space="preserve">dispute that the court followed the procedure provided for by </w:t>
      </w:r>
      <w:r w:rsidR="00826A18" w:rsidRPr="00115C98">
        <w:t xml:space="preserve">the </w:t>
      </w:r>
      <w:r w:rsidR="009E21E9" w:rsidRPr="00115C98">
        <w:t>C</w:t>
      </w:r>
      <w:r w:rsidR="00DE6B56" w:rsidRPr="00115C98">
        <w:t>CP</w:t>
      </w:r>
      <w:r w:rsidR="009E21E9" w:rsidRPr="00115C98">
        <w:t>. The Court therefore considers that the applicant</w:t>
      </w:r>
      <w:r w:rsidR="00115C98" w:rsidRPr="00115C98">
        <w:t>’</w:t>
      </w:r>
      <w:r w:rsidR="009E21E9" w:rsidRPr="00115C98">
        <w:t>s detention had a legal basis in Polish law.</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35</w:t>
      </w:r>
      <w:r>
        <w:rPr>
          <w:noProof/>
        </w:rPr>
        <w:fldChar w:fldCharType="end"/>
      </w:r>
      <w:r w:rsidR="009866F7" w:rsidRPr="00115C98">
        <w:t xml:space="preserve">.  The Court must now consider whether in the circumstances of the </w:t>
      </w:r>
      <w:r w:rsidR="000C09C4" w:rsidRPr="00115C98">
        <w:t>p</w:t>
      </w:r>
      <w:r w:rsidR="009866F7" w:rsidRPr="00115C98">
        <w:t>resent case, the applicant</w:t>
      </w:r>
      <w:r w:rsidR="00115C98" w:rsidRPr="00115C98">
        <w:t>’</w:t>
      </w:r>
      <w:r w:rsidR="009866F7" w:rsidRPr="00115C98">
        <w:t>s detention was “free from arbitrariness”.</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36</w:t>
      </w:r>
      <w:r>
        <w:rPr>
          <w:noProof/>
        </w:rPr>
        <w:fldChar w:fldCharType="end"/>
      </w:r>
      <w:r w:rsidR="009866F7" w:rsidRPr="00115C98">
        <w:t>.  </w:t>
      </w:r>
      <w:r w:rsidR="00117A95" w:rsidRPr="00115C98">
        <w:t xml:space="preserve">The Court </w:t>
      </w:r>
      <w:r w:rsidR="00AA3430" w:rsidRPr="00115C98">
        <w:t xml:space="preserve">observes </w:t>
      </w:r>
      <w:r w:rsidR="009866F7" w:rsidRPr="00115C98">
        <w:t xml:space="preserve">that the </w:t>
      </w:r>
      <w:r w:rsidR="00941135" w:rsidRPr="00115C98">
        <w:t xml:space="preserve">Warsaw </w:t>
      </w:r>
      <w:r w:rsidR="009866F7" w:rsidRPr="00115C98">
        <w:t>District Court order</w:t>
      </w:r>
      <w:r w:rsidR="00DE6B56" w:rsidRPr="00115C98">
        <w:t>ed</w:t>
      </w:r>
      <w:r w:rsidR="009866F7" w:rsidRPr="00115C98">
        <w:t xml:space="preserve"> the applicant</w:t>
      </w:r>
      <w:r w:rsidR="00115C98" w:rsidRPr="00115C98">
        <w:t>’</w:t>
      </w:r>
      <w:r w:rsidR="009866F7" w:rsidRPr="00115C98">
        <w:t>s detention on remand</w:t>
      </w:r>
      <w:r w:rsidR="00076707" w:rsidRPr="00115C98">
        <w:t>,</w:t>
      </w:r>
      <w:r w:rsidR="009866F7" w:rsidRPr="00115C98">
        <w:t xml:space="preserve"> </w:t>
      </w:r>
      <w:r w:rsidR="00DE6B56" w:rsidRPr="00115C98">
        <w:t xml:space="preserve">having regard to his </w:t>
      </w:r>
      <w:r w:rsidR="009866F7" w:rsidRPr="00115C98">
        <w:t xml:space="preserve">failure to comply with </w:t>
      </w:r>
      <w:r w:rsidR="000C09C4" w:rsidRPr="00115C98">
        <w:t xml:space="preserve">an </w:t>
      </w:r>
      <w:r w:rsidR="009866F7" w:rsidRPr="00115C98">
        <w:t xml:space="preserve">order to undergo a psychiatric assessment </w:t>
      </w:r>
      <w:r w:rsidR="00DE6B56" w:rsidRPr="00115C98">
        <w:t xml:space="preserve">and in view of the risk that he might go into hiding </w:t>
      </w:r>
      <w:r w:rsidR="009866F7" w:rsidRPr="00115C98">
        <w:t>(</w:t>
      </w:r>
      <w:r w:rsidR="00115C98" w:rsidRPr="00115C98">
        <w:t xml:space="preserve">see </w:t>
      </w:r>
      <w:r w:rsidR="009866F7" w:rsidRPr="00115C98">
        <w:t xml:space="preserve">paragraph </w:t>
      </w:r>
      <w:r w:rsidR="007F3DC8" w:rsidRPr="00115C98">
        <w:fldChar w:fldCharType="begin"/>
      </w:r>
      <w:r w:rsidR="007F3DC8" w:rsidRPr="00115C98">
        <w:instrText xml:space="preserve"> REF order_detention_remand \h </w:instrText>
      </w:r>
      <w:r w:rsidR="007F3DC8" w:rsidRPr="00115C98">
        <w:fldChar w:fldCharType="separate"/>
      </w:r>
      <w:r w:rsidR="00115C98" w:rsidRPr="00115C98">
        <w:rPr>
          <w:rFonts w:eastAsiaTheme="minorHAnsi"/>
          <w:noProof/>
          <w:spacing w:val="-2"/>
        </w:rPr>
        <w:t>10</w:t>
      </w:r>
      <w:r w:rsidR="007F3DC8" w:rsidRPr="00115C98">
        <w:fldChar w:fldCharType="end"/>
      </w:r>
      <w:r w:rsidR="000C09C4" w:rsidRPr="00115C98">
        <w:t xml:space="preserve"> </w:t>
      </w:r>
      <w:r w:rsidR="009866F7" w:rsidRPr="00115C98">
        <w:t>above</w:t>
      </w:r>
      <w:r w:rsidR="00117A95" w:rsidRPr="00115C98">
        <w:t>). The sufficiency and relevance of these grounds will be discussed below from the standpoint of Article 5 § 3 of the Convention (</w:t>
      </w:r>
      <w:r w:rsidR="00115C98" w:rsidRPr="00115C98">
        <w:t xml:space="preserve">see </w:t>
      </w:r>
      <w:r w:rsidR="00117A95" w:rsidRPr="00115C98">
        <w:t>paragraphs 4</w:t>
      </w:r>
      <w:r w:rsidR="00FA146D" w:rsidRPr="00115C98">
        <w:t>7</w:t>
      </w:r>
      <w:r w:rsidR="00117A95" w:rsidRPr="00115C98">
        <w:t>-5</w:t>
      </w:r>
      <w:r w:rsidR="00655524" w:rsidRPr="00115C98">
        <w:t>0</w:t>
      </w:r>
      <w:r w:rsidR="00117A95" w:rsidRPr="00115C98">
        <w:t xml:space="preserve"> below).</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37</w:t>
      </w:r>
      <w:r>
        <w:rPr>
          <w:noProof/>
        </w:rPr>
        <w:fldChar w:fldCharType="end"/>
      </w:r>
      <w:r w:rsidR="0080554F" w:rsidRPr="00115C98">
        <w:t>.  </w:t>
      </w:r>
      <w:r w:rsidR="00117A95" w:rsidRPr="00115C98">
        <w:t>The Court also attaches considerable importance to the findings of the Warsaw Regional Court and the Warsaw Court of Appeal (</w:t>
      </w:r>
      <w:r w:rsidR="00115C98" w:rsidRPr="00115C98">
        <w:t xml:space="preserve">see </w:t>
      </w:r>
      <w:r w:rsidR="00117A95" w:rsidRPr="00115C98">
        <w:t xml:space="preserve">paragraphs </w:t>
      </w:r>
      <w:r w:rsidR="00FA146D" w:rsidRPr="00115C98">
        <w:fldChar w:fldCharType="begin"/>
      </w:r>
      <w:r w:rsidR="00FA146D" w:rsidRPr="00115C98">
        <w:instrText xml:space="preserve"> REF Warsaw_regional_court \h </w:instrText>
      </w:r>
      <w:r w:rsidR="00FA146D" w:rsidRPr="00115C98">
        <w:fldChar w:fldCharType="separate"/>
      </w:r>
      <w:r w:rsidR="00115C98" w:rsidRPr="00115C98">
        <w:rPr>
          <w:noProof/>
        </w:rPr>
        <w:t>21</w:t>
      </w:r>
      <w:r w:rsidR="00FA146D" w:rsidRPr="00115C98">
        <w:fldChar w:fldCharType="end"/>
      </w:r>
      <w:r w:rsidR="00FA146D" w:rsidRPr="00115C98">
        <w:t xml:space="preserve"> and </w:t>
      </w:r>
      <w:r w:rsidR="00FA146D" w:rsidRPr="00115C98">
        <w:fldChar w:fldCharType="begin"/>
      </w:r>
      <w:r w:rsidR="00FA146D" w:rsidRPr="00115C98">
        <w:instrText xml:space="preserve"> REF Warsaw_court_ofappeal \h </w:instrText>
      </w:r>
      <w:r w:rsidR="00FA146D" w:rsidRPr="00115C98">
        <w:fldChar w:fldCharType="separate"/>
      </w:r>
      <w:r w:rsidR="00115C98" w:rsidRPr="00115C98">
        <w:rPr>
          <w:noProof/>
        </w:rPr>
        <w:t>22</w:t>
      </w:r>
      <w:r w:rsidR="00FA146D" w:rsidRPr="00115C98">
        <w:fldChar w:fldCharType="end"/>
      </w:r>
      <w:r w:rsidR="00117A95" w:rsidRPr="00115C98">
        <w:t xml:space="preserve"> above). When examining whether the applicant</w:t>
      </w:r>
      <w:r w:rsidR="00115C98" w:rsidRPr="00115C98">
        <w:t>’</w:t>
      </w:r>
      <w:r w:rsidR="00117A95" w:rsidRPr="00115C98">
        <w:t xml:space="preserve">s detention was justified, the courts held that the applicant had clearly </w:t>
      </w:r>
      <w:r w:rsidR="00117A95" w:rsidRPr="00115C98">
        <w:lastRenderedPageBreak/>
        <w:t xml:space="preserve">obstructed the proceedings and consequently his pre-trial detention </w:t>
      </w:r>
      <w:r w:rsidR="00594EC0" w:rsidRPr="00115C98">
        <w:t xml:space="preserve">had been </w:t>
      </w:r>
      <w:r w:rsidR="00117A95" w:rsidRPr="00115C98">
        <w:t>necessary to secure the proper conduct of the proceedings.</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38</w:t>
      </w:r>
      <w:r>
        <w:rPr>
          <w:noProof/>
        </w:rPr>
        <w:fldChar w:fldCharType="end"/>
      </w:r>
      <w:r w:rsidR="00117A95" w:rsidRPr="00115C98">
        <w:t>.  </w:t>
      </w:r>
      <w:r w:rsidR="0080554F" w:rsidRPr="00115C98">
        <w:t>The Court does not find that the domestic courts were arbitrary in their decisions regarding the applicant</w:t>
      </w:r>
      <w:r w:rsidR="00115C98" w:rsidRPr="00115C98">
        <w:t>’</w:t>
      </w:r>
      <w:r w:rsidR="0080554F" w:rsidRPr="00115C98">
        <w:t>s pre-trial detention. In the Court</w:t>
      </w:r>
      <w:r w:rsidR="00115C98" w:rsidRPr="00115C98">
        <w:t>’</w:t>
      </w:r>
      <w:r w:rsidR="0080554F" w:rsidRPr="00115C98">
        <w:t>s view the national courts carefully examined the circumstances of the applicant</w:t>
      </w:r>
      <w:r w:rsidR="00115C98" w:rsidRPr="00115C98">
        <w:t>’</w:t>
      </w:r>
      <w:r w:rsidR="0080554F" w:rsidRPr="00115C98">
        <w:t>s case. Their conclusion that the applicant was avoiding reporting for the psychiatric assessment does not in any respect appear arbitrary.</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39</w:t>
      </w:r>
      <w:r>
        <w:rPr>
          <w:noProof/>
        </w:rPr>
        <w:fldChar w:fldCharType="end"/>
      </w:r>
      <w:r w:rsidR="00117A95" w:rsidRPr="00115C98">
        <w:t>.  </w:t>
      </w:r>
      <w:r w:rsidR="00472526" w:rsidRPr="00115C98">
        <w:t>I</w:t>
      </w:r>
      <w:r w:rsidR="0080554F" w:rsidRPr="00115C98">
        <w:t xml:space="preserve">n view of the above the Court considers </w:t>
      </w:r>
      <w:r w:rsidR="00472526" w:rsidRPr="00115C98">
        <w:t xml:space="preserve">that </w:t>
      </w:r>
      <w:r w:rsidR="00973DB6" w:rsidRPr="00115C98">
        <w:t xml:space="preserve">in the circumstances of the present case </w:t>
      </w:r>
      <w:r w:rsidR="00472526" w:rsidRPr="00115C98">
        <w:t>the detention order imposed on the applicant could be considered a proportionate measure to achieve the stated aim of securing the proper conduct of</w:t>
      </w:r>
      <w:r w:rsidR="00594EC0" w:rsidRPr="00115C98">
        <w:t xml:space="preserve"> the</w:t>
      </w:r>
      <w:r w:rsidR="00472526" w:rsidRPr="00115C98">
        <w:t xml:space="preserve"> criminal proceedings</w:t>
      </w:r>
      <w:r w:rsidR="00941135" w:rsidRPr="00115C98">
        <w:t xml:space="preserve"> against him</w:t>
      </w:r>
      <w:r w:rsidR="00472526" w:rsidRPr="00115C98">
        <w:t>.</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40</w:t>
      </w:r>
      <w:r>
        <w:rPr>
          <w:noProof/>
        </w:rPr>
        <w:fldChar w:fldCharType="end"/>
      </w:r>
      <w:r w:rsidR="0080554F" w:rsidRPr="00115C98">
        <w:t>.  </w:t>
      </w:r>
      <w:r w:rsidR="00C01785" w:rsidRPr="00115C98">
        <w:t xml:space="preserve">The Court concludes that the </w:t>
      </w:r>
      <w:r w:rsidR="00472526" w:rsidRPr="00115C98">
        <w:t>applicant</w:t>
      </w:r>
      <w:r w:rsidR="00115C98" w:rsidRPr="00115C98">
        <w:t>’</w:t>
      </w:r>
      <w:r w:rsidR="00472526" w:rsidRPr="00115C98">
        <w:t xml:space="preserve">s detention was in accordance with Article 5 </w:t>
      </w:r>
      <w:r w:rsidR="00D92C2E" w:rsidRPr="00115C98">
        <w:rPr>
          <w:rFonts w:cstheme="minorHAnsi"/>
        </w:rPr>
        <w:t>§</w:t>
      </w:r>
      <w:r w:rsidR="00472526" w:rsidRPr="00115C98">
        <w:t xml:space="preserve"> 1</w:t>
      </w:r>
      <w:r w:rsidR="003C3C1E" w:rsidRPr="00115C98">
        <w:t xml:space="preserve"> (c)</w:t>
      </w:r>
      <w:r w:rsidR="005F37C4" w:rsidRPr="00115C98">
        <w:t xml:space="preserve"> of the Convention</w:t>
      </w:r>
      <w:r w:rsidR="003C3C1E" w:rsidRPr="00115C98">
        <w:t>.</w:t>
      </w:r>
      <w:r w:rsidR="005F37C4" w:rsidRPr="00115C98">
        <w:t xml:space="preserve"> There has therefore been no violation of this provision.</w:t>
      </w:r>
    </w:p>
    <w:p w:rsidR="00014566" w:rsidRPr="00115C98" w:rsidRDefault="00472526" w:rsidP="00115C98">
      <w:pPr>
        <w:pStyle w:val="ECHRHeading1"/>
        <w:rPr>
          <w:lang w:val="en-GB"/>
        </w:rPr>
      </w:pPr>
      <w:r w:rsidRPr="00115C98">
        <w:rPr>
          <w:lang w:val="en-GB"/>
        </w:rPr>
        <w:t>II</w:t>
      </w:r>
      <w:r w:rsidR="00014566" w:rsidRPr="00115C98">
        <w:rPr>
          <w:lang w:val="en-GB"/>
        </w:rPr>
        <w:t>. </w:t>
      </w:r>
      <w:r w:rsidR="00F875E3" w:rsidRPr="00115C98">
        <w:rPr>
          <w:lang w:val="en-GB"/>
        </w:rPr>
        <w:t> </w:t>
      </w:r>
      <w:r w:rsidR="00014566" w:rsidRPr="00115C98">
        <w:rPr>
          <w:lang w:val="en-GB"/>
        </w:rPr>
        <w:t xml:space="preserve">ALLEGED VIOLATION OF ARTICLE </w:t>
      </w:r>
      <w:r w:rsidRPr="00115C98">
        <w:rPr>
          <w:lang w:val="en-GB"/>
        </w:rPr>
        <w:t xml:space="preserve">5 </w:t>
      </w:r>
      <w:r w:rsidRPr="00115C98">
        <w:rPr>
          <w:rFonts w:cstheme="majorHAnsi"/>
          <w:lang w:val="en-GB"/>
        </w:rPr>
        <w:t>§</w:t>
      </w:r>
      <w:r w:rsidRPr="00115C98">
        <w:rPr>
          <w:lang w:val="en-GB"/>
        </w:rPr>
        <w:t xml:space="preserve"> 3</w:t>
      </w:r>
      <w:r w:rsidR="00014566" w:rsidRPr="00115C98">
        <w:rPr>
          <w:lang w:val="en-GB"/>
        </w:rPr>
        <w:t xml:space="preserve"> OF THE CONVENTION</w:t>
      </w:r>
    </w:p>
    <w:p w:rsidR="00D92C2E"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41</w:t>
      </w:r>
      <w:r w:rsidRPr="00115C98">
        <w:rPr>
          <w:lang w:val="en-GB"/>
        </w:rPr>
        <w:fldChar w:fldCharType="end"/>
      </w:r>
      <w:r w:rsidR="00014566" w:rsidRPr="00115C98">
        <w:rPr>
          <w:lang w:val="en-GB"/>
        </w:rPr>
        <w:t>.  </w:t>
      </w:r>
      <w:r w:rsidR="00D92C2E" w:rsidRPr="00115C98">
        <w:rPr>
          <w:lang w:val="en-GB"/>
        </w:rPr>
        <w:t>The applicant complained that the length of his detention on remand had been excessive. He relied on Article 5 § 3 of the Convention, which, in so far as relevant, reads as follows:</w:t>
      </w:r>
    </w:p>
    <w:p w:rsidR="00D92C2E" w:rsidRPr="00115C98" w:rsidRDefault="00826A18" w:rsidP="00115C98">
      <w:pPr>
        <w:pStyle w:val="ECHRParaQuote"/>
        <w:rPr>
          <w:lang w:val="en-GB"/>
        </w:rPr>
      </w:pPr>
      <w:r w:rsidRPr="00115C98">
        <w:rPr>
          <w:lang w:val="en-GB"/>
        </w:rPr>
        <w:t>“</w:t>
      </w:r>
      <w:r w:rsidR="00D92C2E" w:rsidRPr="00115C98">
        <w:rPr>
          <w:lang w:val="en-GB"/>
        </w:rPr>
        <w:t>Everyone arrested or detained in accordance with the provisions of paragraph 1 (c) of this Article shall be ... entitled to trial within a reasonable time or to release pending trial. Release may be conditioned by guarantees to appear for trial.”</w:t>
      </w:r>
    </w:p>
    <w:p w:rsidR="00D92C2E" w:rsidRPr="00115C98" w:rsidRDefault="00D92C2E" w:rsidP="00115C98">
      <w:pPr>
        <w:pStyle w:val="ECHRHeading2"/>
        <w:rPr>
          <w:lang w:val="en-GB"/>
        </w:rPr>
      </w:pPr>
      <w:r w:rsidRPr="00115C98">
        <w:rPr>
          <w:lang w:val="en-GB"/>
        </w:rPr>
        <w:t>A.  Admissibility</w:t>
      </w:r>
    </w:p>
    <w:p w:rsidR="00D92C2E" w:rsidRPr="00115C98" w:rsidRDefault="00D92C2E"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42</w:t>
      </w:r>
      <w:r w:rsidRPr="00115C98">
        <w:rPr>
          <w:lang w:val="en-GB"/>
        </w:rPr>
        <w:fldChar w:fldCharType="end"/>
      </w:r>
      <w:r w:rsidRPr="00115C98">
        <w:rPr>
          <w:lang w:val="en-GB"/>
        </w:rPr>
        <w:t>.  The Court notes that this complaint is not manifestly ill-founded within the meaning of Article 35 § 3 (a) of the Convention. It further notes that it is not inadmissible on any other grounds. It must therefore be declared admissible.</w:t>
      </w:r>
    </w:p>
    <w:p w:rsidR="00D92C2E" w:rsidRPr="00115C98" w:rsidRDefault="00D92C2E" w:rsidP="00115C98">
      <w:pPr>
        <w:pStyle w:val="ECHRHeading2"/>
        <w:rPr>
          <w:lang w:val="en-GB"/>
        </w:rPr>
      </w:pPr>
      <w:r w:rsidRPr="00115C98">
        <w:rPr>
          <w:lang w:val="en-GB"/>
        </w:rPr>
        <w:t>B.  Merits</w:t>
      </w:r>
    </w:p>
    <w:p w:rsidR="00D92C2E" w:rsidRPr="00115C98" w:rsidRDefault="00D92C2E" w:rsidP="00115C98">
      <w:pPr>
        <w:pStyle w:val="ECHRHeading3"/>
      </w:pPr>
      <w:r w:rsidRPr="00115C98">
        <w:t>1.  Period to be taken into consideration and scope of the case</w:t>
      </w:r>
    </w:p>
    <w:p w:rsidR="00115C98" w:rsidRPr="00115C98" w:rsidRDefault="000532C2" w:rsidP="00115C98">
      <w:pPr>
        <w:pStyle w:val="ECHRPara"/>
      </w:pPr>
      <w:r>
        <w:fldChar w:fldCharType="begin"/>
      </w:r>
      <w:r>
        <w:instrText xml:space="preserve"> SEQ level0 \*arabic</w:instrText>
      </w:r>
      <w:r>
        <w:instrText xml:space="preserve"> </w:instrText>
      </w:r>
      <w:r>
        <w:fldChar w:fldCharType="separate"/>
      </w:r>
      <w:r w:rsidR="00115C98" w:rsidRPr="00115C98">
        <w:rPr>
          <w:noProof/>
        </w:rPr>
        <w:t>43</w:t>
      </w:r>
      <w:r>
        <w:rPr>
          <w:noProof/>
        </w:rPr>
        <w:fldChar w:fldCharType="end"/>
      </w:r>
      <w:r w:rsidR="005F5BE3" w:rsidRPr="00115C98">
        <w:t>.  </w:t>
      </w:r>
      <w:r w:rsidR="005F5BE3" w:rsidRPr="00115C98">
        <w:rPr>
          <w:spacing w:val="-4"/>
        </w:rPr>
        <w:t>The applicant</w:t>
      </w:r>
      <w:r w:rsidR="00115C98" w:rsidRPr="00115C98">
        <w:rPr>
          <w:spacing w:val="-4"/>
        </w:rPr>
        <w:t>’</w:t>
      </w:r>
      <w:r w:rsidR="005F5BE3" w:rsidRPr="00115C98">
        <w:rPr>
          <w:spacing w:val="-4"/>
        </w:rPr>
        <w:t>s detention started on 7 June 2005, when he was placed</w:t>
      </w:r>
      <w:r w:rsidR="004E2711" w:rsidRPr="00115C98">
        <w:rPr>
          <w:spacing w:val="-4"/>
        </w:rPr>
        <w:t xml:space="preserve"> </w:t>
      </w:r>
      <w:r w:rsidR="005F5BE3" w:rsidRPr="00115C98">
        <w:rPr>
          <w:spacing w:val="-4"/>
        </w:rPr>
        <w:t>in pre-trial detention</w:t>
      </w:r>
      <w:r w:rsidR="005F37C4" w:rsidRPr="00115C98">
        <w:rPr>
          <w:spacing w:val="-4"/>
        </w:rPr>
        <w:t xml:space="preserve"> (</w:t>
      </w:r>
      <w:r w:rsidR="00115C98" w:rsidRPr="00115C98">
        <w:rPr>
          <w:spacing w:val="-4"/>
        </w:rPr>
        <w:t xml:space="preserve">see </w:t>
      </w:r>
      <w:r w:rsidR="005F37C4" w:rsidRPr="00115C98">
        <w:rPr>
          <w:spacing w:val="-4"/>
        </w:rPr>
        <w:t xml:space="preserve">paragraph </w:t>
      </w:r>
      <w:r w:rsidR="005F37C4" w:rsidRPr="00115C98">
        <w:rPr>
          <w:spacing w:val="-4"/>
        </w:rPr>
        <w:fldChar w:fldCharType="begin"/>
      </w:r>
      <w:r w:rsidR="005F37C4" w:rsidRPr="00115C98">
        <w:rPr>
          <w:spacing w:val="-4"/>
        </w:rPr>
        <w:instrText xml:space="preserve"> REF order_detention_remand \h </w:instrText>
      </w:r>
      <w:r w:rsidR="005F37C4" w:rsidRPr="00115C98">
        <w:rPr>
          <w:spacing w:val="-4"/>
        </w:rPr>
      </w:r>
      <w:r w:rsidR="005F37C4" w:rsidRPr="00115C98">
        <w:rPr>
          <w:spacing w:val="-4"/>
        </w:rPr>
        <w:fldChar w:fldCharType="separate"/>
      </w:r>
      <w:r w:rsidR="00115C98" w:rsidRPr="00115C98">
        <w:rPr>
          <w:rFonts w:eastAsiaTheme="minorHAnsi"/>
          <w:noProof/>
          <w:spacing w:val="-2"/>
        </w:rPr>
        <w:t>10</w:t>
      </w:r>
      <w:r w:rsidR="005F37C4" w:rsidRPr="00115C98">
        <w:rPr>
          <w:spacing w:val="-4"/>
        </w:rPr>
        <w:fldChar w:fldCharType="end"/>
      </w:r>
      <w:r w:rsidR="005F37C4" w:rsidRPr="00115C98">
        <w:rPr>
          <w:spacing w:val="-4"/>
        </w:rPr>
        <w:t xml:space="preserve"> above)</w:t>
      </w:r>
      <w:r w:rsidR="005F5BE3" w:rsidRPr="00115C98">
        <w:rPr>
          <w:spacing w:val="-4"/>
        </w:rPr>
        <w:t xml:space="preserve">. He was released </w:t>
      </w:r>
      <w:r w:rsidR="00DF1D87" w:rsidRPr="00115C98">
        <w:rPr>
          <w:spacing w:val="-4"/>
        </w:rPr>
        <w:t>on 23</w:t>
      </w:r>
      <w:r w:rsidR="00AA012F" w:rsidRPr="00115C98">
        <w:rPr>
          <w:spacing w:val="-4"/>
        </w:rPr>
        <w:t> </w:t>
      </w:r>
      <w:r w:rsidR="005F5BE3" w:rsidRPr="00115C98">
        <w:rPr>
          <w:spacing w:val="-4"/>
        </w:rPr>
        <w:t>March</w:t>
      </w:r>
      <w:r w:rsidR="00115C98" w:rsidRPr="00115C98">
        <w:rPr>
          <w:spacing w:val="-4"/>
        </w:rPr>
        <w:t xml:space="preserve"> </w:t>
      </w:r>
      <w:r w:rsidR="005F5BE3" w:rsidRPr="00115C98">
        <w:rPr>
          <w:spacing w:val="-4"/>
        </w:rPr>
        <w:t>2006</w:t>
      </w:r>
      <w:r w:rsidR="005F37C4" w:rsidRPr="00115C98">
        <w:rPr>
          <w:spacing w:val="-4"/>
        </w:rPr>
        <w:t xml:space="preserve"> (</w:t>
      </w:r>
      <w:r w:rsidR="00115C98" w:rsidRPr="00115C98">
        <w:rPr>
          <w:spacing w:val="-4"/>
        </w:rPr>
        <w:t xml:space="preserve">see </w:t>
      </w:r>
      <w:r w:rsidR="005F37C4" w:rsidRPr="00115C98">
        <w:rPr>
          <w:spacing w:val="-4"/>
        </w:rPr>
        <w:t xml:space="preserve">paragraph </w:t>
      </w:r>
      <w:r w:rsidR="005F37C4" w:rsidRPr="00115C98">
        <w:rPr>
          <w:spacing w:val="-4"/>
        </w:rPr>
        <w:fldChar w:fldCharType="begin"/>
      </w:r>
      <w:r w:rsidR="005F37C4" w:rsidRPr="00115C98">
        <w:rPr>
          <w:spacing w:val="-4"/>
        </w:rPr>
        <w:instrText xml:space="preserve"> REF release_from_prison \h </w:instrText>
      </w:r>
      <w:r w:rsidR="005F37C4" w:rsidRPr="00115C98">
        <w:rPr>
          <w:spacing w:val="-4"/>
        </w:rPr>
      </w:r>
      <w:r w:rsidR="005F37C4" w:rsidRPr="00115C98">
        <w:rPr>
          <w:spacing w:val="-4"/>
        </w:rPr>
        <w:fldChar w:fldCharType="separate"/>
      </w:r>
      <w:r w:rsidR="00115C98" w:rsidRPr="00115C98">
        <w:rPr>
          <w:rFonts w:eastAsiaTheme="minorHAnsi"/>
          <w:noProof/>
          <w:color w:val="000000"/>
        </w:rPr>
        <w:t>16</w:t>
      </w:r>
      <w:r w:rsidR="005F37C4" w:rsidRPr="00115C98">
        <w:rPr>
          <w:spacing w:val="-4"/>
        </w:rPr>
        <w:fldChar w:fldCharType="end"/>
      </w:r>
      <w:r w:rsidR="005F37C4" w:rsidRPr="00115C98">
        <w:rPr>
          <w:spacing w:val="-4"/>
        </w:rPr>
        <w:t xml:space="preserve"> above)</w:t>
      </w:r>
      <w:r w:rsidR="005F5BE3" w:rsidRPr="00115C98">
        <w:rPr>
          <w:spacing w:val="-4"/>
        </w:rPr>
        <w:t>.  Accordingly, the period to be taken into consideration amounts to nine months and two weeks.</w:t>
      </w:r>
    </w:p>
    <w:p w:rsidR="00D92C2E" w:rsidRPr="00115C98" w:rsidRDefault="00D92C2E" w:rsidP="00115C98">
      <w:pPr>
        <w:pStyle w:val="ECHRHeading3"/>
      </w:pPr>
      <w:r w:rsidRPr="00115C98">
        <w:lastRenderedPageBreak/>
        <w:t>2.  The parties</w:t>
      </w:r>
      <w:r w:rsidR="00115C98" w:rsidRPr="00115C98">
        <w:t>’</w:t>
      </w:r>
      <w:r w:rsidRPr="00115C98">
        <w:t xml:space="preserve"> submissions</w:t>
      </w:r>
    </w:p>
    <w:p w:rsidR="00D92C2E" w:rsidRPr="00115C98" w:rsidRDefault="00D92C2E" w:rsidP="00115C98">
      <w:pPr>
        <w:pStyle w:val="ECHRHeading4"/>
      </w:pPr>
      <w:r w:rsidRPr="00115C98">
        <w:t>(a)  The applicant</w:t>
      </w:r>
    </w:p>
    <w:p w:rsidR="00115C98" w:rsidRPr="00115C98" w:rsidRDefault="00D92C2E"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44</w:t>
      </w:r>
      <w:r w:rsidRPr="00115C98">
        <w:rPr>
          <w:lang w:val="en-GB"/>
        </w:rPr>
        <w:fldChar w:fldCharType="end"/>
      </w:r>
      <w:r w:rsidRPr="00115C98">
        <w:rPr>
          <w:lang w:val="en-GB"/>
        </w:rPr>
        <w:t>.  The applicant argued that the length of his detention had been unreasonable. In his opinion, the courts had not given “relevant” and “sufficient” reasons for keeping him in detention for the entire period.</w:t>
      </w:r>
      <w:r w:rsidR="004E2711" w:rsidRPr="00115C98">
        <w:rPr>
          <w:lang w:val="en-GB"/>
        </w:rPr>
        <w:t xml:space="preserve"> He submitted that while he </w:t>
      </w:r>
      <w:r w:rsidR="006C766B" w:rsidRPr="00115C98">
        <w:rPr>
          <w:lang w:val="en-GB"/>
        </w:rPr>
        <w:t xml:space="preserve">had been </w:t>
      </w:r>
      <w:r w:rsidR="004E2711" w:rsidRPr="00115C98">
        <w:rPr>
          <w:lang w:val="en-GB"/>
        </w:rPr>
        <w:t>detained on remand on 7 June 2005, his psychiatric assessment had been carried only between 11 November 2005 and 1 February 2006</w:t>
      </w:r>
      <w:r w:rsidR="005F37C4" w:rsidRPr="00115C98">
        <w:rPr>
          <w:lang w:val="en-GB"/>
        </w:rPr>
        <w:t xml:space="preserve"> (</w:t>
      </w:r>
      <w:r w:rsidR="00115C98" w:rsidRPr="00115C98">
        <w:rPr>
          <w:lang w:val="en-GB"/>
        </w:rPr>
        <w:t xml:space="preserve">see </w:t>
      </w:r>
      <w:r w:rsidR="005F37C4" w:rsidRPr="00115C98">
        <w:rPr>
          <w:lang w:val="en-GB"/>
        </w:rPr>
        <w:t xml:space="preserve">paragraph </w:t>
      </w:r>
      <w:r w:rsidR="005F37C4" w:rsidRPr="00115C98">
        <w:rPr>
          <w:lang w:val="en-GB"/>
        </w:rPr>
        <w:fldChar w:fldCharType="begin"/>
      </w:r>
      <w:r w:rsidR="005F37C4" w:rsidRPr="00115C98">
        <w:rPr>
          <w:lang w:val="en-GB"/>
        </w:rPr>
        <w:instrText xml:space="preserve"> REF psychiatric_assessment \h </w:instrText>
      </w:r>
      <w:r w:rsidR="005F37C4" w:rsidRPr="00115C98">
        <w:rPr>
          <w:lang w:val="en-GB"/>
        </w:rPr>
      </w:r>
      <w:r w:rsidR="005F37C4" w:rsidRPr="00115C98">
        <w:rPr>
          <w:lang w:val="en-GB"/>
        </w:rPr>
        <w:fldChar w:fldCharType="separate"/>
      </w:r>
      <w:r w:rsidR="00115C98" w:rsidRPr="00115C98">
        <w:rPr>
          <w:noProof/>
        </w:rPr>
        <w:t>13</w:t>
      </w:r>
      <w:r w:rsidR="005F37C4" w:rsidRPr="00115C98">
        <w:rPr>
          <w:lang w:val="en-GB"/>
        </w:rPr>
        <w:fldChar w:fldCharType="end"/>
      </w:r>
      <w:r w:rsidR="005F37C4" w:rsidRPr="00115C98">
        <w:rPr>
          <w:lang w:val="en-GB"/>
        </w:rPr>
        <w:t xml:space="preserve"> above)</w:t>
      </w:r>
      <w:r w:rsidR="004E2711" w:rsidRPr="00115C98">
        <w:rPr>
          <w:lang w:val="en-GB"/>
        </w:rPr>
        <w:t>.</w:t>
      </w:r>
    </w:p>
    <w:p w:rsidR="00D92C2E" w:rsidRPr="00115C98" w:rsidRDefault="00D92C2E" w:rsidP="00115C98">
      <w:pPr>
        <w:pStyle w:val="ECHRHeading4"/>
      </w:pPr>
      <w:r w:rsidRPr="00115C98">
        <w:t>(b)  The Government</w:t>
      </w:r>
    </w:p>
    <w:p w:rsidR="00115C98" w:rsidRPr="00115C98" w:rsidRDefault="00D92C2E"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45</w:t>
      </w:r>
      <w:r w:rsidRPr="00115C98">
        <w:rPr>
          <w:lang w:val="en-GB"/>
        </w:rPr>
        <w:fldChar w:fldCharType="end"/>
      </w:r>
      <w:r w:rsidRPr="00115C98">
        <w:rPr>
          <w:lang w:val="en-GB"/>
        </w:rPr>
        <w:t>.  The Government considered that the length of the applicant</w:t>
      </w:r>
      <w:r w:rsidR="00115C98" w:rsidRPr="00115C98">
        <w:rPr>
          <w:lang w:val="en-GB"/>
        </w:rPr>
        <w:t>’</w:t>
      </w:r>
      <w:r w:rsidRPr="00115C98">
        <w:rPr>
          <w:lang w:val="en-GB"/>
        </w:rPr>
        <w:t>s pre</w:t>
      </w:r>
      <w:r w:rsidRPr="00115C98">
        <w:rPr>
          <w:lang w:val="en-GB"/>
        </w:rPr>
        <w:noBreakHyphen/>
        <w:t xml:space="preserve">trial detention </w:t>
      </w:r>
      <w:r w:rsidR="00BF3BA3" w:rsidRPr="00115C98">
        <w:rPr>
          <w:lang w:val="en-GB"/>
        </w:rPr>
        <w:t xml:space="preserve">had been </w:t>
      </w:r>
      <w:r w:rsidRPr="00115C98">
        <w:rPr>
          <w:lang w:val="en-GB"/>
        </w:rPr>
        <w:t>compatible with the standards resu</w:t>
      </w:r>
      <w:r w:rsidR="00115C98" w:rsidRPr="00115C98">
        <w:rPr>
          <w:lang w:val="en-GB"/>
        </w:rPr>
        <w:t xml:space="preserve">lting from Article 5 </w:t>
      </w:r>
      <w:r w:rsidRPr="00115C98">
        <w:rPr>
          <w:rFonts w:cstheme="minorHAnsi"/>
          <w:lang w:val="en-GB"/>
        </w:rPr>
        <w:t>§</w:t>
      </w:r>
      <w:r w:rsidRPr="00115C98">
        <w:rPr>
          <w:lang w:val="en-GB"/>
        </w:rPr>
        <w:t xml:space="preserve"> 3 of the Convention. They argued that the grounds stated in the decisions of the domestic courts </w:t>
      </w:r>
      <w:r w:rsidR="00BF3BA3" w:rsidRPr="00115C98">
        <w:rPr>
          <w:lang w:val="en-GB"/>
        </w:rPr>
        <w:t xml:space="preserve">had been </w:t>
      </w:r>
      <w:r w:rsidRPr="00115C98">
        <w:rPr>
          <w:lang w:val="en-GB"/>
        </w:rPr>
        <w:t>“relevant” and “sufficient” to justify the entire period of the applicant</w:t>
      </w:r>
      <w:r w:rsidR="00115C98" w:rsidRPr="00115C98">
        <w:rPr>
          <w:lang w:val="en-GB"/>
        </w:rPr>
        <w:t>’</w:t>
      </w:r>
      <w:r w:rsidRPr="00115C98">
        <w:rPr>
          <w:lang w:val="en-GB"/>
        </w:rPr>
        <w:t>s detention.</w:t>
      </w:r>
    </w:p>
    <w:bookmarkStart w:id="16" w:name="Gov_observations"/>
    <w:p w:rsidR="00115C98" w:rsidRPr="00115C98" w:rsidRDefault="00D92C2E"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46</w:t>
      </w:r>
      <w:r w:rsidRPr="00115C98">
        <w:rPr>
          <w:lang w:val="en-GB"/>
        </w:rPr>
        <w:fldChar w:fldCharType="end"/>
      </w:r>
      <w:bookmarkEnd w:id="16"/>
      <w:r w:rsidRPr="00115C98">
        <w:rPr>
          <w:lang w:val="en-GB"/>
        </w:rPr>
        <w:t xml:space="preserve">.  They also argued that the domestic authorities had conducted the </w:t>
      </w:r>
      <w:r w:rsidRPr="00115C98">
        <w:t>proceedings with due diligence.</w:t>
      </w:r>
      <w:r w:rsidR="004E2711" w:rsidRPr="00115C98">
        <w:t xml:space="preserve"> The delay in conducting the psychiatric</w:t>
      </w:r>
      <w:r w:rsidR="004E2711" w:rsidRPr="00115C98">
        <w:rPr>
          <w:lang w:val="en-GB"/>
        </w:rPr>
        <w:t xml:space="preserve"> assessment </w:t>
      </w:r>
      <w:r w:rsidR="00DB188E" w:rsidRPr="00115C98">
        <w:rPr>
          <w:lang w:val="en-GB"/>
        </w:rPr>
        <w:t xml:space="preserve">had been </w:t>
      </w:r>
      <w:r w:rsidR="004E2711" w:rsidRPr="00115C98">
        <w:rPr>
          <w:lang w:val="en-GB"/>
        </w:rPr>
        <w:t xml:space="preserve">caused by the applicant himself since he had failed to undergo the examination </w:t>
      </w:r>
      <w:r w:rsidR="007D02D6" w:rsidRPr="00115C98">
        <w:rPr>
          <w:lang w:val="en-GB"/>
        </w:rPr>
        <w:t>on</w:t>
      </w:r>
      <w:r w:rsidR="004E2711" w:rsidRPr="00115C98">
        <w:rPr>
          <w:lang w:val="en-GB"/>
        </w:rPr>
        <w:t xml:space="preserve"> schedule. They also stressed that the nature of the offences that the applicant had been charged with</w:t>
      </w:r>
      <w:r w:rsidR="00783AF6" w:rsidRPr="00115C98">
        <w:rPr>
          <w:lang w:val="en-GB"/>
        </w:rPr>
        <w:t xml:space="preserve"> (domestic violence and drug</w:t>
      </w:r>
      <w:r w:rsidR="00DB188E" w:rsidRPr="00115C98">
        <w:rPr>
          <w:lang w:val="en-GB"/>
        </w:rPr>
        <w:t>-</w:t>
      </w:r>
      <w:r w:rsidR="00783AF6" w:rsidRPr="00115C98">
        <w:rPr>
          <w:lang w:val="en-GB"/>
        </w:rPr>
        <w:t>related offence)</w:t>
      </w:r>
      <w:r w:rsidR="004E2711" w:rsidRPr="00115C98">
        <w:rPr>
          <w:lang w:val="en-GB"/>
        </w:rPr>
        <w:t xml:space="preserve"> required his separation from the family and from </w:t>
      </w:r>
      <w:r w:rsidR="007D02D6" w:rsidRPr="00115C98">
        <w:rPr>
          <w:lang w:val="en-GB"/>
        </w:rPr>
        <w:t xml:space="preserve">his </w:t>
      </w:r>
      <w:r w:rsidR="004E2711" w:rsidRPr="00115C98">
        <w:rPr>
          <w:lang w:val="en-GB"/>
        </w:rPr>
        <w:t>drug dealers.</w:t>
      </w:r>
    </w:p>
    <w:p w:rsidR="00115C98" w:rsidRPr="00115C98" w:rsidRDefault="00D92C2E" w:rsidP="00115C98">
      <w:pPr>
        <w:pStyle w:val="ECHRHeading3"/>
      </w:pPr>
      <w:r w:rsidRPr="00115C98">
        <w:t>3.</w:t>
      </w:r>
      <w:r w:rsidR="00F875E3" w:rsidRPr="00115C98">
        <w:t>  </w:t>
      </w:r>
      <w:r w:rsidRPr="00115C98">
        <w:t>The Court</w:t>
      </w:r>
      <w:r w:rsidR="00115C98" w:rsidRPr="00115C98">
        <w:t>’</w:t>
      </w:r>
      <w:r w:rsidRPr="00115C98">
        <w:t>s assessment</w:t>
      </w:r>
    </w:p>
    <w:p w:rsidR="00D92C2E" w:rsidRPr="00115C98" w:rsidRDefault="00D92C2E" w:rsidP="00115C98">
      <w:pPr>
        <w:pStyle w:val="ECHRHeading4"/>
      </w:pPr>
      <w:r w:rsidRPr="00115C98">
        <w:t>(a)  General principles</w:t>
      </w:r>
    </w:p>
    <w:p w:rsidR="00115C98" w:rsidRPr="00115C98" w:rsidRDefault="005F37C4" w:rsidP="00115C98">
      <w:pPr>
        <w:pStyle w:val="ECHRPara"/>
        <w:rPr>
          <w:snapToGrid w:val="0"/>
        </w:rPr>
      </w:pPr>
      <w:r w:rsidRPr="00115C98">
        <w:rPr>
          <w:spacing w:val="-4"/>
          <w:lang w:val="en-GB"/>
        </w:rPr>
        <w:fldChar w:fldCharType="begin"/>
      </w:r>
      <w:r w:rsidRPr="00115C98">
        <w:rPr>
          <w:spacing w:val="-4"/>
          <w:lang w:val="en-GB"/>
        </w:rPr>
        <w:instrText xml:space="preserve"> SEQ level0 \*arabic </w:instrText>
      </w:r>
      <w:r w:rsidRPr="00115C98">
        <w:rPr>
          <w:spacing w:val="-4"/>
          <w:lang w:val="en-GB"/>
        </w:rPr>
        <w:fldChar w:fldCharType="separate"/>
      </w:r>
      <w:r w:rsidR="00115C98" w:rsidRPr="00115C98">
        <w:rPr>
          <w:noProof/>
          <w:spacing w:val="-4"/>
          <w:lang w:val="en-GB"/>
        </w:rPr>
        <w:t>47</w:t>
      </w:r>
      <w:r w:rsidRPr="00115C98">
        <w:rPr>
          <w:spacing w:val="-4"/>
          <w:lang w:val="en-GB"/>
        </w:rPr>
        <w:fldChar w:fldCharType="end"/>
      </w:r>
      <w:r w:rsidRPr="00115C98">
        <w:rPr>
          <w:spacing w:val="-4"/>
          <w:lang w:val="en-GB"/>
        </w:rPr>
        <w:t>.  </w:t>
      </w:r>
      <w:r w:rsidR="00D92C2E" w:rsidRPr="00115C98">
        <w:rPr>
          <w:spacing w:val="-4"/>
          <w:lang w:val="en-GB"/>
        </w:rPr>
        <w:t>The</w:t>
      </w:r>
      <w:r w:rsidR="00783AF6" w:rsidRPr="00115C98">
        <w:rPr>
          <w:spacing w:val="-4"/>
          <w:lang w:val="en-GB"/>
        </w:rPr>
        <w:t xml:space="preserve"> </w:t>
      </w:r>
      <w:r w:rsidR="00D92C2E" w:rsidRPr="00115C98">
        <w:rPr>
          <w:spacing w:val="-4"/>
          <w:lang w:val="en-GB"/>
        </w:rPr>
        <w:t xml:space="preserve">general principles regarding the right “to trial within a reasonable time or to release pending trial”, as guaranteed by Article 5 § 3 of the Convention, were </w:t>
      </w:r>
      <w:r w:rsidR="00212CB3" w:rsidRPr="00115C98">
        <w:rPr>
          <w:spacing w:val="-4"/>
          <w:lang w:val="en-GB"/>
        </w:rPr>
        <w:t xml:space="preserve">recently summarised in </w:t>
      </w:r>
      <w:r w:rsidR="00532D8D" w:rsidRPr="00115C98">
        <w:rPr>
          <w:spacing w:val="-4"/>
          <w:lang w:val="en-GB"/>
        </w:rPr>
        <w:t xml:space="preserve">the case of </w:t>
      </w:r>
      <w:r w:rsidR="00115C98" w:rsidRPr="00115C98">
        <w:rPr>
          <w:i/>
          <w:spacing w:val="-4"/>
          <w:lang w:val="en-GB"/>
        </w:rPr>
        <w:t>Buzadji v. t</w:t>
      </w:r>
      <w:r w:rsidR="00212CB3" w:rsidRPr="00115C98">
        <w:rPr>
          <w:i/>
          <w:spacing w:val="-4"/>
          <w:lang w:val="en-GB"/>
        </w:rPr>
        <w:t>he Republic of Moldova</w:t>
      </w:r>
      <w:r w:rsidR="00212CB3" w:rsidRPr="00115C98">
        <w:rPr>
          <w:spacing w:val="-4"/>
          <w:lang w:val="en-GB"/>
        </w:rPr>
        <w:t xml:space="preserve"> (</w:t>
      </w:r>
      <w:r w:rsidR="00115C98" w:rsidRPr="00115C98">
        <w:rPr>
          <w:spacing w:val="-4"/>
          <w:lang w:val="en-GB"/>
        </w:rPr>
        <w:t xml:space="preserve">see </w:t>
      </w:r>
      <w:r w:rsidR="00212CB3" w:rsidRPr="00115C98">
        <w:rPr>
          <w:i/>
          <w:spacing w:val="-4"/>
        </w:rPr>
        <w:t xml:space="preserve">Buzadji v. the Republic of Moldova </w:t>
      </w:r>
      <w:r w:rsidR="00212CB3" w:rsidRPr="00115C98">
        <w:rPr>
          <w:spacing w:val="-4"/>
        </w:rPr>
        <w:t>[GC], no. 23755/07</w:t>
      </w:r>
      <w:r w:rsidR="00212CB3" w:rsidRPr="00115C98">
        <w:rPr>
          <w:snapToGrid w:val="0"/>
          <w:spacing w:val="-4"/>
        </w:rPr>
        <w:t>, §§</w:t>
      </w:r>
      <w:r w:rsidR="00F875E3" w:rsidRPr="00115C98">
        <w:rPr>
          <w:snapToGrid w:val="0"/>
          <w:spacing w:val="-4"/>
        </w:rPr>
        <w:t> </w:t>
      </w:r>
      <w:r w:rsidRPr="00115C98">
        <w:rPr>
          <w:snapToGrid w:val="0"/>
          <w:spacing w:val="-4"/>
        </w:rPr>
        <w:t>84</w:t>
      </w:r>
      <w:r w:rsidR="00212CB3" w:rsidRPr="00115C98">
        <w:rPr>
          <w:snapToGrid w:val="0"/>
          <w:spacing w:val="-4"/>
        </w:rPr>
        <w:t>-</w:t>
      </w:r>
      <w:r w:rsidRPr="00115C98">
        <w:rPr>
          <w:snapToGrid w:val="0"/>
          <w:spacing w:val="-4"/>
        </w:rPr>
        <w:t>102</w:t>
      </w:r>
      <w:r w:rsidR="00212CB3" w:rsidRPr="00115C98">
        <w:rPr>
          <w:snapToGrid w:val="0"/>
          <w:spacing w:val="-4"/>
        </w:rPr>
        <w:t xml:space="preserve">, </w:t>
      </w:r>
      <w:r w:rsidR="00212CB3" w:rsidRPr="00115C98">
        <w:rPr>
          <w:spacing w:val="-4"/>
        </w:rPr>
        <w:t>5</w:t>
      </w:r>
      <w:r w:rsidR="00212CB3" w:rsidRPr="00115C98">
        <w:rPr>
          <w:snapToGrid w:val="0"/>
          <w:spacing w:val="-4"/>
        </w:rPr>
        <w:t xml:space="preserve"> Ju</w:t>
      </w:r>
      <w:r w:rsidR="00212CB3" w:rsidRPr="00115C98">
        <w:rPr>
          <w:spacing w:val="-4"/>
        </w:rPr>
        <w:t>ly</w:t>
      </w:r>
      <w:r w:rsidR="00212CB3" w:rsidRPr="00115C98">
        <w:rPr>
          <w:snapToGrid w:val="0"/>
          <w:spacing w:val="-4"/>
        </w:rPr>
        <w:t xml:space="preserve"> 2016).</w:t>
      </w:r>
    </w:p>
    <w:p w:rsidR="00D92C2E" w:rsidRPr="00115C98" w:rsidRDefault="00CE5B66" w:rsidP="00115C98">
      <w:pPr>
        <w:pStyle w:val="ECHRHeading4"/>
      </w:pPr>
      <w:r w:rsidRPr="00115C98">
        <w:t>(</w:t>
      </w:r>
      <w:r w:rsidR="00D92C2E" w:rsidRPr="00115C98">
        <w:t>b)  Application of the above principles in the present case</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48</w:t>
      </w:r>
      <w:r>
        <w:rPr>
          <w:noProof/>
        </w:rPr>
        <w:fldChar w:fldCharType="end"/>
      </w:r>
      <w:r w:rsidR="00383137" w:rsidRPr="00115C98">
        <w:t>.  </w:t>
      </w:r>
      <w:r w:rsidR="00816662" w:rsidRPr="00115C98">
        <w:t>It has not been disputed by the parties that the authorities, in their detention decisions, in addition to the reasonable suspicion against the applicant, relied generally on t</w:t>
      </w:r>
      <w:r w:rsidR="00383137" w:rsidRPr="00115C98">
        <w:t xml:space="preserve">wo </w:t>
      </w:r>
      <w:r w:rsidR="00816662" w:rsidRPr="00115C98">
        <w:t xml:space="preserve">grounds, </w:t>
      </w:r>
      <w:r w:rsidR="00F310C6" w:rsidRPr="00115C98">
        <w:t xml:space="preserve">specifically </w:t>
      </w:r>
      <w:r w:rsidR="00816662" w:rsidRPr="00115C98">
        <w:t>(1) the</w:t>
      </w:r>
      <w:r w:rsidR="00383137" w:rsidRPr="00115C98">
        <w:t xml:space="preserve"> risk that the applicant would obstruct the proceedings </w:t>
      </w:r>
      <w:r w:rsidR="00375A5F" w:rsidRPr="00115C98">
        <w:t>as he had refused to undergo a psychiatric assessment</w:t>
      </w:r>
      <w:r w:rsidR="007D02D6" w:rsidRPr="00115C98">
        <w:t>, and</w:t>
      </w:r>
      <w:r w:rsidR="00375A5F" w:rsidRPr="00115C98">
        <w:t xml:space="preserve"> (2) the risk that</w:t>
      </w:r>
      <w:r w:rsidR="00115C98" w:rsidRPr="00115C98">
        <w:t xml:space="preserve"> </w:t>
      </w:r>
      <w:r w:rsidR="00383137" w:rsidRPr="00115C98">
        <w:t>that he would abscond</w:t>
      </w:r>
      <w:r w:rsidR="00375A5F" w:rsidRPr="00115C98">
        <w:t>.</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49</w:t>
      </w:r>
      <w:r>
        <w:rPr>
          <w:noProof/>
        </w:rPr>
        <w:fldChar w:fldCharType="end"/>
      </w:r>
      <w:r w:rsidR="00532D8D" w:rsidRPr="00115C98">
        <w:t>.  </w:t>
      </w:r>
      <w:r w:rsidR="00212CB3" w:rsidRPr="00115C98">
        <w:t xml:space="preserve">The Court observes that the authorities justified the risk </w:t>
      </w:r>
      <w:r w:rsidR="00783AF6" w:rsidRPr="00115C98">
        <w:t xml:space="preserve">of obstruction of the proceedings by the fact that the applicant had twice failed to report for </w:t>
      </w:r>
      <w:r w:rsidR="007D02D6" w:rsidRPr="00115C98">
        <w:t xml:space="preserve">a </w:t>
      </w:r>
      <w:r w:rsidR="00783AF6" w:rsidRPr="00115C98">
        <w:t>psychiatric assessment (</w:t>
      </w:r>
      <w:r w:rsidR="00115C98" w:rsidRPr="00115C98">
        <w:t xml:space="preserve">see </w:t>
      </w:r>
      <w:r w:rsidR="00783AF6" w:rsidRPr="00115C98">
        <w:t xml:space="preserve">paragraph </w:t>
      </w:r>
      <w:r w:rsidR="000111EA" w:rsidRPr="00115C98">
        <w:fldChar w:fldCharType="begin"/>
      </w:r>
      <w:r w:rsidR="000111EA" w:rsidRPr="00115C98">
        <w:instrText xml:space="preserve"> REF order_detention_remand \h </w:instrText>
      </w:r>
      <w:r w:rsidR="000111EA" w:rsidRPr="00115C98">
        <w:fldChar w:fldCharType="separate"/>
      </w:r>
      <w:r w:rsidR="00115C98" w:rsidRPr="00115C98">
        <w:rPr>
          <w:rFonts w:eastAsiaTheme="minorHAnsi"/>
          <w:noProof/>
          <w:spacing w:val="-2"/>
        </w:rPr>
        <w:t>10</w:t>
      </w:r>
      <w:r w:rsidR="000111EA" w:rsidRPr="00115C98">
        <w:fldChar w:fldCharType="end"/>
      </w:r>
      <w:r w:rsidR="00783AF6" w:rsidRPr="00115C98">
        <w:t xml:space="preserve"> above). As regards the risk </w:t>
      </w:r>
      <w:r w:rsidR="00212CB3" w:rsidRPr="00115C98">
        <w:t>of the applicant</w:t>
      </w:r>
      <w:r w:rsidR="00115C98" w:rsidRPr="00115C98">
        <w:t>’</w:t>
      </w:r>
      <w:r w:rsidR="00212CB3" w:rsidRPr="00115C98">
        <w:t xml:space="preserve">s absconding </w:t>
      </w:r>
      <w:r w:rsidR="00783AF6" w:rsidRPr="00115C98">
        <w:t xml:space="preserve">they noted that </w:t>
      </w:r>
      <w:r w:rsidR="00212CB3" w:rsidRPr="00115C98">
        <w:t xml:space="preserve">he had been coming </w:t>
      </w:r>
      <w:r w:rsidR="00212CB3" w:rsidRPr="00115C98">
        <w:lastRenderedPageBreak/>
        <w:t xml:space="preserve">home late and leaving early in the morning and that he had </w:t>
      </w:r>
      <w:r w:rsidR="00F310C6" w:rsidRPr="00115C98">
        <w:t xml:space="preserve">been only </w:t>
      </w:r>
      <w:r w:rsidR="00212CB3" w:rsidRPr="00115C98">
        <w:t xml:space="preserve">occasionally </w:t>
      </w:r>
      <w:r w:rsidR="007D02D6" w:rsidRPr="00115C98">
        <w:t xml:space="preserve">sleeping </w:t>
      </w:r>
      <w:r w:rsidR="00783AF6" w:rsidRPr="00115C98">
        <w:t>a</w:t>
      </w:r>
      <w:r w:rsidR="00212CB3" w:rsidRPr="00115C98">
        <w:t>t his home address (</w:t>
      </w:r>
      <w:r w:rsidR="00115C98" w:rsidRPr="00115C98">
        <w:t xml:space="preserve">see </w:t>
      </w:r>
      <w:r w:rsidR="00212CB3" w:rsidRPr="00115C98">
        <w:t>paragraph</w:t>
      </w:r>
      <w:r w:rsidR="000111EA" w:rsidRPr="00115C98">
        <w:t>s</w:t>
      </w:r>
      <w:r w:rsidR="00532D8D" w:rsidRPr="00115C98">
        <w:t xml:space="preserve"> </w:t>
      </w:r>
      <w:r w:rsidR="005F37C4" w:rsidRPr="00115C98">
        <w:fldChar w:fldCharType="begin"/>
      </w:r>
      <w:r w:rsidR="005F37C4" w:rsidRPr="00115C98">
        <w:instrText xml:space="preserve"> REF order_detention_remand \h </w:instrText>
      </w:r>
      <w:r w:rsidR="005F37C4" w:rsidRPr="00115C98">
        <w:fldChar w:fldCharType="separate"/>
      </w:r>
      <w:r w:rsidR="00115C98" w:rsidRPr="00115C98">
        <w:rPr>
          <w:rFonts w:eastAsiaTheme="minorHAnsi"/>
          <w:noProof/>
          <w:spacing w:val="-2"/>
        </w:rPr>
        <w:t>10</w:t>
      </w:r>
      <w:r w:rsidR="005F37C4" w:rsidRPr="00115C98">
        <w:fldChar w:fldCharType="end"/>
      </w:r>
      <w:r w:rsidR="00532D8D" w:rsidRPr="00115C98">
        <w:t xml:space="preserve"> </w:t>
      </w:r>
      <w:r w:rsidR="000111EA" w:rsidRPr="00115C98">
        <w:t xml:space="preserve">and </w:t>
      </w:r>
      <w:r w:rsidR="000111EA" w:rsidRPr="00115C98">
        <w:fldChar w:fldCharType="begin"/>
      </w:r>
      <w:r w:rsidR="000111EA" w:rsidRPr="00115C98">
        <w:instrText xml:space="preserve"> REF appeal_against_detention \h </w:instrText>
      </w:r>
      <w:r w:rsidR="000111EA" w:rsidRPr="00115C98">
        <w:fldChar w:fldCharType="separate"/>
      </w:r>
      <w:r w:rsidR="00115C98" w:rsidRPr="00115C98">
        <w:rPr>
          <w:rFonts w:eastAsiaTheme="minorHAnsi"/>
          <w:noProof/>
        </w:rPr>
        <w:t>11</w:t>
      </w:r>
      <w:r w:rsidR="000111EA" w:rsidRPr="00115C98">
        <w:fldChar w:fldCharType="end"/>
      </w:r>
      <w:r w:rsidR="00212CB3" w:rsidRPr="00115C98">
        <w:t>above).</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50</w:t>
      </w:r>
      <w:r>
        <w:rPr>
          <w:noProof/>
        </w:rPr>
        <w:fldChar w:fldCharType="end"/>
      </w:r>
      <w:r w:rsidR="00783AF6" w:rsidRPr="00115C98">
        <w:t>. </w:t>
      </w:r>
      <w:r w:rsidR="006F38BC" w:rsidRPr="00115C98">
        <w:t> </w:t>
      </w:r>
      <w:r w:rsidR="00446BCC" w:rsidRPr="00115C98">
        <w:t>The Court considers that</w:t>
      </w:r>
      <w:r w:rsidR="00783AF6" w:rsidRPr="00115C98">
        <w:t>, t</w:t>
      </w:r>
      <w:r w:rsidR="00532D8D" w:rsidRPr="00115C98">
        <w:t xml:space="preserve">he reasons relied upon by the domestic courts cannot be said to have been stereotyped and abstract, nor can it be said that at any point they cited grounds for detention without showing how they applied to </w:t>
      </w:r>
      <w:r w:rsidR="00446BCC" w:rsidRPr="00115C98">
        <w:t xml:space="preserve">the </w:t>
      </w:r>
      <w:r w:rsidR="00532D8D" w:rsidRPr="00115C98">
        <w:t>specific circumstances of the applicant</w:t>
      </w:r>
      <w:r w:rsidR="00115C98" w:rsidRPr="00115C98">
        <w:t>’</w:t>
      </w:r>
      <w:r w:rsidR="00532D8D" w:rsidRPr="00115C98">
        <w:t xml:space="preserve">s case (see, </w:t>
      </w:r>
      <w:r w:rsidR="00F310C6" w:rsidRPr="00115C98">
        <w:t>in contrast</w:t>
      </w:r>
      <w:r w:rsidR="00532D8D" w:rsidRPr="00115C98">
        <w:t xml:space="preserve">, </w:t>
      </w:r>
      <w:r w:rsidR="00532D8D" w:rsidRPr="00115C98">
        <w:rPr>
          <w:i/>
        </w:rPr>
        <w:t>Buzadji</w:t>
      </w:r>
      <w:r w:rsidR="00532D8D" w:rsidRPr="00115C98">
        <w:t>, cited above</w:t>
      </w:r>
      <w:r w:rsidR="005F37C4" w:rsidRPr="00115C98">
        <w:t>,</w:t>
      </w:r>
      <w:r w:rsidR="00532D8D" w:rsidRPr="00115C98">
        <w:t xml:space="preserve"> </w:t>
      </w:r>
      <w:r w:rsidR="00532D8D" w:rsidRPr="00115C98">
        <w:rPr>
          <w:rFonts w:cstheme="minorHAnsi"/>
        </w:rPr>
        <w:t>§</w:t>
      </w:r>
      <w:r w:rsidR="00532D8D" w:rsidRPr="00115C98">
        <w:t xml:space="preserve"> </w:t>
      </w:r>
      <w:r w:rsidR="00783AF6" w:rsidRPr="00115C98">
        <w:t>122</w:t>
      </w:r>
      <w:r w:rsidR="00532D8D" w:rsidRPr="00115C98">
        <w:t>).</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51</w:t>
      </w:r>
      <w:r>
        <w:rPr>
          <w:noProof/>
        </w:rPr>
        <w:fldChar w:fldCharType="end"/>
      </w:r>
      <w:r w:rsidR="00446BCC" w:rsidRPr="00115C98">
        <w:t>.  </w:t>
      </w:r>
      <w:r w:rsidR="00375A5F" w:rsidRPr="00115C98">
        <w:t>The foregoing considerations are sufficient for the Court to conclude that the grounds given for the applicant</w:t>
      </w:r>
      <w:r w:rsidR="00115C98" w:rsidRPr="00115C98">
        <w:t>’</w:t>
      </w:r>
      <w:r w:rsidR="00375A5F" w:rsidRPr="00115C98">
        <w:t xml:space="preserve">s pre-trial detention were “relevant” and “sufficient” to justify holding him in custody for the entire </w:t>
      </w:r>
      <w:r w:rsidR="007D02D6" w:rsidRPr="00115C98">
        <w:t xml:space="preserve">impugned </w:t>
      </w:r>
      <w:r w:rsidR="00375A5F" w:rsidRPr="00115C98">
        <w:t>period, namely nine months and two weeks.</w:t>
      </w:r>
    </w:p>
    <w:p w:rsidR="00DB7297" w:rsidRPr="00115C98" w:rsidRDefault="000532C2" w:rsidP="00115C98">
      <w:pPr>
        <w:pStyle w:val="ECHRPara"/>
      </w:pPr>
      <w:r>
        <w:fldChar w:fldCharType="begin"/>
      </w:r>
      <w:r>
        <w:instrText xml:space="preserve"> SEQ level0 \*arabic </w:instrText>
      </w:r>
      <w:r>
        <w:fldChar w:fldCharType="separate"/>
      </w:r>
      <w:r w:rsidR="00115C98" w:rsidRPr="00115C98">
        <w:rPr>
          <w:noProof/>
        </w:rPr>
        <w:t>52</w:t>
      </w:r>
      <w:r>
        <w:rPr>
          <w:noProof/>
        </w:rPr>
        <w:fldChar w:fldCharType="end"/>
      </w:r>
      <w:r w:rsidR="00375A5F" w:rsidRPr="00115C98">
        <w:t>.  It therefore remains to be ascertained whether the national authorities displayed “special diligence” in the conduct of the proceedings.</w:t>
      </w:r>
    </w:p>
    <w:p w:rsidR="00212CB3" w:rsidRPr="00115C98" w:rsidRDefault="000532C2" w:rsidP="00115C98">
      <w:pPr>
        <w:pStyle w:val="ECHRPara"/>
        <w:outlineLvl w:val="0"/>
        <w:rPr>
          <w:i/>
          <w:lang w:val="en-GB"/>
        </w:rPr>
      </w:pPr>
      <w:r>
        <w:fldChar w:fldCharType="begin"/>
      </w:r>
      <w:r>
        <w:instrText xml:space="preserve"> </w:instrText>
      </w:r>
      <w:r>
        <w:instrText xml:space="preserve">SEQ level0 \*arabic </w:instrText>
      </w:r>
      <w:r>
        <w:fldChar w:fldCharType="separate"/>
      </w:r>
      <w:r w:rsidR="00115C98" w:rsidRPr="00115C98">
        <w:rPr>
          <w:noProof/>
        </w:rPr>
        <w:t>53</w:t>
      </w:r>
      <w:r>
        <w:rPr>
          <w:noProof/>
        </w:rPr>
        <w:fldChar w:fldCharType="end"/>
      </w:r>
      <w:r w:rsidR="00DB7297" w:rsidRPr="00115C98">
        <w:t>.  </w:t>
      </w:r>
      <w:r w:rsidR="00375A5F" w:rsidRPr="00115C98">
        <w:t xml:space="preserve">In this regard, the Court does not discern any significant periods of inactivity in the investigation or </w:t>
      </w:r>
      <w:r w:rsidR="00DB7297" w:rsidRPr="00115C98">
        <w:t xml:space="preserve">during </w:t>
      </w:r>
      <w:r w:rsidR="00375A5F" w:rsidRPr="00115C98">
        <w:t xml:space="preserve">the trial. </w:t>
      </w:r>
      <w:r w:rsidR="00962C42" w:rsidRPr="00115C98">
        <w:t>It further agrees with the Government that the applicant</w:t>
      </w:r>
      <w:r w:rsidR="00115C98" w:rsidRPr="00115C98">
        <w:t>’</w:t>
      </w:r>
      <w:r w:rsidR="00962C42" w:rsidRPr="00115C98">
        <w:t>s conduct contributed to the length of the proceedings since he had failed to undergo the psychiatric assessment on schedule</w:t>
      </w:r>
      <w:r w:rsidR="005F37C4" w:rsidRPr="00115C98">
        <w:t xml:space="preserve"> (</w:t>
      </w:r>
      <w:r w:rsidR="00115C98" w:rsidRPr="00115C98">
        <w:t xml:space="preserve">see </w:t>
      </w:r>
      <w:r w:rsidR="005F37C4" w:rsidRPr="00115C98">
        <w:t xml:space="preserve">paragraphs </w:t>
      </w:r>
      <w:r w:rsidR="005F37C4" w:rsidRPr="00115C98">
        <w:fldChar w:fldCharType="begin"/>
      </w:r>
      <w:r w:rsidR="005F37C4" w:rsidRPr="00115C98">
        <w:instrText xml:space="preserve"> REF paragraf_9 \h </w:instrText>
      </w:r>
      <w:r w:rsidR="005F37C4" w:rsidRPr="00115C98">
        <w:fldChar w:fldCharType="separate"/>
      </w:r>
      <w:r w:rsidR="00115C98" w:rsidRPr="00115C98">
        <w:rPr>
          <w:rFonts w:eastAsiaTheme="minorHAnsi"/>
          <w:noProof/>
          <w:color w:val="000000"/>
        </w:rPr>
        <w:t>9</w:t>
      </w:r>
      <w:r w:rsidR="005F37C4" w:rsidRPr="00115C98">
        <w:fldChar w:fldCharType="end"/>
      </w:r>
      <w:r w:rsidR="005F37C4" w:rsidRPr="00115C98">
        <w:t xml:space="preserve"> and </w:t>
      </w:r>
      <w:r w:rsidR="005F37C4" w:rsidRPr="00115C98">
        <w:fldChar w:fldCharType="begin"/>
      </w:r>
      <w:r w:rsidR="005F37C4" w:rsidRPr="00115C98">
        <w:instrText xml:space="preserve"> REF Gov_observations \h </w:instrText>
      </w:r>
      <w:r w:rsidR="005F37C4" w:rsidRPr="00115C98">
        <w:fldChar w:fldCharType="separate"/>
      </w:r>
      <w:r w:rsidR="00115C98" w:rsidRPr="00115C98">
        <w:rPr>
          <w:noProof/>
          <w:lang w:val="en-GB"/>
        </w:rPr>
        <w:t>46</w:t>
      </w:r>
      <w:r w:rsidR="005F37C4" w:rsidRPr="00115C98">
        <w:fldChar w:fldCharType="end"/>
      </w:r>
      <w:r w:rsidR="005F37C4" w:rsidRPr="00115C98">
        <w:t xml:space="preserve"> above)</w:t>
      </w:r>
      <w:r w:rsidR="00962C42" w:rsidRPr="00115C98">
        <w:t xml:space="preserve">. </w:t>
      </w:r>
      <w:r w:rsidR="003C3C1E" w:rsidRPr="00115C98">
        <w:t xml:space="preserve">The Court accepts that it would be unrealistic and too rigid an approach to expect the authorities to ensure that a place </w:t>
      </w:r>
      <w:r w:rsidR="00962C42" w:rsidRPr="00115C98">
        <w:t xml:space="preserve">is </w:t>
      </w:r>
      <w:r w:rsidR="003C3C1E" w:rsidRPr="00115C98">
        <w:t xml:space="preserve">immediately available in a </w:t>
      </w:r>
      <w:r w:rsidR="00962C42" w:rsidRPr="00115C98">
        <w:t xml:space="preserve">relevant </w:t>
      </w:r>
      <w:r w:rsidR="003C3C1E" w:rsidRPr="00115C98">
        <w:t xml:space="preserve">psychiatric </w:t>
      </w:r>
      <w:r w:rsidR="00962C42" w:rsidRPr="00115C98">
        <w:t>facility for the purpose of conducting a psychiatric assessment (see</w:t>
      </w:r>
      <w:r w:rsidR="005F37C4" w:rsidRPr="00115C98">
        <w:t>,</w:t>
      </w:r>
      <w:r w:rsidR="00962C42" w:rsidRPr="00115C98">
        <w:t xml:space="preserve"> </w:t>
      </w:r>
      <w:r w:rsidR="00962C42" w:rsidRPr="00115C98">
        <w:rPr>
          <w:i/>
        </w:rPr>
        <w:t>mutatis mutandis,</w:t>
      </w:r>
      <w:r w:rsidR="00962C42" w:rsidRPr="00115C98">
        <w:t xml:space="preserve"> </w:t>
      </w:r>
      <w:r w:rsidR="00962C42" w:rsidRPr="00115C98">
        <w:rPr>
          <w:i/>
          <w:snapToGrid w:val="0"/>
          <w:lang w:val="en-GB"/>
        </w:rPr>
        <w:t xml:space="preserve">Grzegorz </w:t>
      </w:r>
      <w:r w:rsidR="00962C42" w:rsidRPr="00115C98">
        <w:rPr>
          <w:i/>
          <w:lang w:val="en-GB"/>
        </w:rPr>
        <w:t>Jończyk v. Poland</w:t>
      </w:r>
      <w:r w:rsidR="00962C42" w:rsidRPr="00115C98">
        <w:rPr>
          <w:lang w:val="en-GB"/>
        </w:rPr>
        <w:t>, no. 19789/08</w:t>
      </w:r>
      <w:r w:rsidR="00962C42" w:rsidRPr="00115C98">
        <w:rPr>
          <w:snapToGrid w:val="0"/>
          <w:szCs w:val="24"/>
          <w:lang w:val="en-GB"/>
        </w:rPr>
        <w:t>, § 34, 30 November 2010). M</w:t>
      </w:r>
      <w:r w:rsidR="00900D4C" w:rsidRPr="00115C98">
        <w:t>oreover, as soon as</w:t>
      </w:r>
      <w:r w:rsidR="005F37C4" w:rsidRPr="00115C98">
        <w:t xml:space="preserve">, on 1 February 2006, </w:t>
      </w:r>
      <w:r w:rsidR="00900D4C" w:rsidRPr="00115C98">
        <w:t>the applicant</w:t>
      </w:r>
      <w:r w:rsidR="00115C98" w:rsidRPr="00115C98">
        <w:t>’</w:t>
      </w:r>
      <w:r w:rsidR="00900D4C" w:rsidRPr="00115C98">
        <w:t>s assessment ended the amended bill of indictment was lodged with the District Court (</w:t>
      </w:r>
      <w:r w:rsidR="00115C98" w:rsidRPr="00115C98">
        <w:t xml:space="preserve">see </w:t>
      </w:r>
      <w:r w:rsidR="00900D4C" w:rsidRPr="00115C98">
        <w:t>paragraph</w:t>
      </w:r>
      <w:r w:rsidR="00F310C6" w:rsidRPr="00115C98">
        <w:t>s</w:t>
      </w:r>
      <w:r w:rsidR="00783AF6" w:rsidRPr="00115C98">
        <w:t xml:space="preserve"> </w:t>
      </w:r>
      <w:r w:rsidR="006950EA" w:rsidRPr="00115C98">
        <w:fldChar w:fldCharType="begin"/>
      </w:r>
      <w:r w:rsidR="006950EA" w:rsidRPr="00115C98">
        <w:instrText xml:space="preserve"> REF psychiatric_assessment \h </w:instrText>
      </w:r>
      <w:r w:rsidR="006950EA" w:rsidRPr="00115C98">
        <w:fldChar w:fldCharType="separate"/>
      </w:r>
      <w:r w:rsidR="00115C98" w:rsidRPr="00115C98">
        <w:rPr>
          <w:noProof/>
        </w:rPr>
        <w:t>13</w:t>
      </w:r>
      <w:r w:rsidR="006950EA" w:rsidRPr="00115C98">
        <w:fldChar w:fldCharType="end"/>
      </w:r>
      <w:r w:rsidR="00F310C6" w:rsidRPr="00115C98">
        <w:t>-</w:t>
      </w:r>
      <w:r w:rsidR="006950EA" w:rsidRPr="00115C98">
        <w:fldChar w:fldCharType="begin"/>
      </w:r>
      <w:r w:rsidR="006950EA" w:rsidRPr="00115C98">
        <w:instrText xml:space="preserve"> REF indictment \h </w:instrText>
      </w:r>
      <w:r w:rsidR="006950EA" w:rsidRPr="00115C98">
        <w:fldChar w:fldCharType="separate"/>
      </w:r>
      <w:r w:rsidR="00115C98" w:rsidRPr="00115C98">
        <w:rPr>
          <w:rFonts w:eastAsiaTheme="minorHAnsi"/>
          <w:noProof/>
          <w:color w:val="000000"/>
        </w:rPr>
        <w:t>14</w:t>
      </w:r>
      <w:r w:rsidR="006950EA" w:rsidRPr="00115C98">
        <w:fldChar w:fldCharType="end"/>
      </w:r>
      <w:r w:rsidR="006E30DB" w:rsidRPr="00115C98">
        <w:t xml:space="preserve"> </w:t>
      </w:r>
      <w:r w:rsidR="00900D4C" w:rsidRPr="00115C98">
        <w:t xml:space="preserve">above). </w:t>
      </w:r>
      <w:r w:rsidR="00375A5F" w:rsidRPr="00115C98">
        <w:t>For these reasons, the Court considers that during the relevant period the domestic authorities handled the applicant</w:t>
      </w:r>
      <w:r w:rsidR="00115C98" w:rsidRPr="00115C98">
        <w:t>’</w:t>
      </w:r>
      <w:r w:rsidR="00375A5F" w:rsidRPr="00115C98">
        <w:t>s case with</w:t>
      </w:r>
      <w:r w:rsidR="00F310C6" w:rsidRPr="00115C98">
        <w:t xml:space="preserve"> the</w:t>
      </w:r>
      <w:r w:rsidR="00375A5F" w:rsidRPr="00115C98">
        <w:t xml:space="preserve"> necessary diligence.</w:t>
      </w:r>
    </w:p>
    <w:p w:rsidR="00375A5F" w:rsidRPr="00115C98" w:rsidRDefault="000532C2" w:rsidP="00115C98">
      <w:pPr>
        <w:pStyle w:val="ECHRPara"/>
      </w:pPr>
      <w:r>
        <w:fldChar w:fldCharType="begin"/>
      </w:r>
      <w:r>
        <w:instrText xml:space="preserve"> SEQ level0 \*arabic </w:instrText>
      </w:r>
      <w:r>
        <w:fldChar w:fldCharType="separate"/>
      </w:r>
      <w:r w:rsidR="00115C98" w:rsidRPr="00115C98">
        <w:rPr>
          <w:noProof/>
        </w:rPr>
        <w:t>54</w:t>
      </w:r>
      <w:r>
        <w:rPr>
          <w:noProof/>
        </w:rPr>
        <w:fldChar w:fldCharType="end"/>
      </w:r>
      <w:r w:rsidR="00DB7297" w:rsidRPr="00115C98">
        <w:t>.  </w:t>
      </w:r>
      <w:r w:rsidR="00375A5F" w:rsidRPr="00115C98">
        <w:t xml:space="preserve">Having regard to the foregoing, the Court finds that there has been </w:t>
      </w:r>
      <w:bookmarkStart w:id="17" w:name="_100000A"/>
      <w:bookmarkEnd w:id="17"/>
      <w:r w:rsidR="00375A5F" w:rsidRPr="00115C98">
        <w:t xml:space="preserve">no </w:t>
      </w:r>
      <w:bookmarkStart w:id="18" w:name="_100000B"/>
      <w:bookmarkEnd w:id="18"/>
      <w:r w:rsidR="00375A5F" w:rsidRPr="00115C98">
        <w:t>violation of Article 5 § 3 of the Convention</w:t>
      </w:r>
      <w:r w:rsidR="00D70FF2" w:rsidRPr="00115C98">
        <w:t>.</w:t>
      </w:r>
    </w:p>
    <w:p w:rsidR="00014566" w:rsidRPr="00115C98" w:rsidRDefault="00816662" w:rsidP="00115C98">
      <w:pPr>
        <w:pStyle w:val="ECHRHeading1"/>
        <w:rPr>
          <w:spacing w:val="-4"/>
          <w:lang w:val="en-GB"/>
        </w:rPr>
      </w:pPr>
      <w:r w:rsidRPr="00115C98">
        <w:rPr>
          <w:spacing w:val="-4"/>
          <w:lang w:val="en-GB"/>
        </w:rPr>
        <w:t>III.</w:t>
      </w:r>
      <w:r w:rsidR="00682943" w:rsidRPr="00115C98">
        <w:rPr>
          <w:spacing w:val="-4"/>
          <w:lang w:val="en-GB"/>
        </w:rPr>
        <w:t> </w:t>
      </w:r>
      <w:r w:rsidRPr="00115C98">
        <w:rPr>
          <w:spacing w:val="-4"/>
          <w:lang w:val="en-GB"/>
        </w:rPr>
        <w:t> </w:t>
      </w:r>
      <w:r w:rsidR="00014566" w:rsidRPr="00115C98">
        <w:rPr>
          <w:spacing w:val="-4"/>
          <w:lang w:val="en-GB"/>
        </w:rPr>
        <w:t>ALLEGED</w:t>
      </w:r>
      <w:r w:rsidR="00682943" w:rsidRPr="00115C98">
        <w:rPr>
          <w:spacing w:val="-4"/>
          <w:lang w:val="en-GB"/>
        </w:rPr>
        <w:t xml:space="preserve"> </w:t>
      </w:r>
      <w:r w:rsidR="00014566" w:rsidRPr="00115C98">
        <w:rPr>
          <w:spacing w:val="-4"/>
          <w:lang w:val="en-GB"/>
        </w:rPr>
        <w:t xml:space="preserve">VIOLATION OF ARTICLE </w:t>
      </w:r>
      <w:r w:rsidRPr="00115C98">
        <w:rPr>
          <w:spacing w:val="-4"/>
          <w:lang w:val="en-GB"/>
        </w:rPr>
        <w:t xml:space="preserve">5 </w:t>
      </w:r>
      <w:r w:rsidRPr="00115C98">
        <w:rPr>
          <w:rFonts w:cstheme="majorHAnsi"/>
          <w:spacing w:val="-4"/>
          <w:lang w:val="en-GB"/>
        </w:rPr>
        <w:t>§</w:t>
      </w:r>
      <w:r w:rsidRPr="00115C98">
        <w:rPr>
          <w:spacing w:val="-4"/>
          <w:lang w:val="en-GB"/>
        </w:rPr>
        <w:t xml:space="preserve"> 5</w:t>
      </w:r>
      <w:r w:rsidR="00014566" w:rsidRPr="00115C98">
        <w:rPr>
          <w:spacing w:val="-4"/>
          <w:lang w:val="en-GB"/>
        </w:rPr>
        <w:t xml:space="preserve"> OF THE CONVENTION</w:t>
      </w:r>
    </w:p>
    <w:p w:rsidR="00115C98" w:rsidRPr="00115C98" w:rsidRDefault="00A65AAA" w:rsidP="00115C98">
      <w:pPr>
        <w:pStyle w:val="ECHRPara"/>
        <w:rPr>
          <w:lang w:val="en-GB"/>
        </w:rPr>
      </w:pPr>
      <w:r w:rsidRPr="00115C98">
        <w:rPr>
          <w:lang w:val="en-GB"/>
        </w:rPr>
        <w:fldChar w:fldCharType="begin"/>
      </w:r>
      <w:r w:rsidRPr="00115C98">
        <w:rPr>
          <w:lang w:val="en-GB"/>
        </w:rPr>
        <w:instrText xml:space="preserve"> SEQ level0 \*arabic </w:instrText>
      </w:r>
      <w:r w:rsidRPr="00115C98">
        <w:rPr>
          <w:lang w:val="en-GB"/>
        </w:rPr>
        <w:fldChar w:fldCharType="separate"/>
      </w:r>
      <w:r w:rsidR="00115C98" w:rsidRPr="00115C98">
        <w:rPr>
          <w:noProof/>
          <w:lang w:val="en-GB"/>
        </w:rPr>
        <w:t>55</w:t>
      </w:r>
      <w:r w:rsidRPr="00115C98">
        <w:rPr>
          <w:lang w:val="en-GB"/>
        </w:rPr>
        <w:fldChar w:fldCharType="end"/>
      </w:r>
      <w:r w:rsidR="00014566" w:rsidRPr="00115C98">
        <w:rPr>
          <w:lang w:val="en-GB"/>
        </w:rPr>
        <w:t xml:space="preserve">.  The applicant further complained of the fact that </w:t>
      </w:r>
      <w:r w:rsidR="00CB63B2" w:rsidRPr="00115C98">
        <w:t>he could not have obtained compensation for his</w:t>
      </w:r>
      <w:r w:rsidR="006950EA" w:rsidRPr="00115C98">
        <w:t xml:space="preserve"> allegedly</w:t>
      </w:r>
      <w:r w:rsidR="00CB63B2" w:rsidRPr="00115C98">
        <w:t xml:space="preserve"> unjustified detention</w:t>
      </w:r>
      <w:r w:rsidR="00014566" w:rsidRPr="00115C98">
        <w:rPr>
          <w:lang w:val="en-GB"/>
        </w:rPr>
        <w:t xml:space="preserve">. </w:t>
      </w:r>
      <w:r w:rsidRPr="00115C98">
        <w:rPr>
          <w:lang w:val="en-GB"/>
        </w:rPr>
        <w:t>He</w:t>
      </w:r>
      <w:r w:rsidR="00014566" w:rsidRPr="00115C98">
        <w:rPr>
          <w:lang w:val="en-GB"/>
        </w:rPr>
        <w:t xml:space="preserve"> relied on Article </w:t>
      </w:r>
      <w:r w:rsidR="00CB63B2" w:rsidRPr="00115C98">
        <w:t>5 § 5</w:t>
      </w:r>
      <w:r w:rsidR="00014566" w:rsidRPr="00115C98">
        <w:rPr>
          <w:lang w:val="en-GB"/>
        </w:rPr>
        <w:t xml:space="preserve"> of the Convention</w:t>
      </w:r>
      <w:r w:rsidR="00194470" w:rsidRPr="00115C98">
        <w:rPr>
          <w:lang w:val="en-GB"/>
        </w:rPr>
        <w:t>, which provides as follows:</w:t>
      </w:r>
    </w:p>
    <w:p w:rsidR="00194470" w:rsidRPr="00115C98" w:rsidRDefault="00194470" w:rsidP="00115C98">
      <w:pPr>
        <w:pStyle w:val="ECHRParaQuote"/>
        <w:rPr>
          <w:lang w:val="en-GB"/>
        </w:rPr>
      </w:pPr>
      <w:r w:rsidRPr="00115C98">
        <w:t>“Everyone who has been the victim of arrest or detention in contravention of the provisions of this Article shall have an enforceable right to compensation.”</w:t>
      </w:r>
    </w:p>
    <w:p w:rsidR="00CB63B2" w:rsidRPr="00115C98" w:rsidRDefault="006950EA" w:rsidP="00115C98">
      <w:pPr>
        <w:pStyle w:val="ECHRHeading2"/>
        <w:rPr>
          <w:lang w:val="en-GB"/>
        </w:rPr>
      </w:pPr>
      <w:r w:rsidRPr="00115C98">
        <w:rPr>
          <w:lang w:val="en-GB"/>
        </w:rPr>
        <w:t>A</w:t>
      </w:r>
      <w:r w:rsidR="00CB63B2" w:rsidRPr="00115C98">
        <w:rPr>
          <w:lang w:val="en-GB"/>
        </w:rPr>
        <w:t>.</w:t>
      </w:r>
      <w:r w:rsidR="00682943" w:rsidRPr="00115C98">
        <w:rPr>
          <w:lang w:val="en-GB"/>
        </w:rPr>
        <w:t>  </w:t>
      </w:r>
      <w:r w:rsidR="00CB63B2" w:rsidRPr="00115C98">
        <w:rPr>
          <w:lang w:val="en-GB"/>
        </w:rPr>
        <w:t>The parties</w:t>
      </w:r>
      <w:r w:rsidR="00115C98" w:rsidRPr="00115C98">
        <w:rPr>
          <w:lang w:val="en-GB"/>
        </w:rPr>
        <w:t>’</w:t>
      </w:r>
      <w:r w:rsidR="00CB63B2" w:rsidRPr="00115C98">
        <w:rPr>
          <w:lang w:val="en-GB"/>
        </w:rPr>
        <w:t xml:space="preserve"> submissions</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56</w:t>
      </w:r>
      <w:r>
        <w:rPr>
          <w:noProof/>
        </w:rPr>
        <w:fldChar w:fldCharType="end"/>
      </w:r>
      <w:r w:rsidR="00816662" w:rsidRPr="00115C98">
        <w:t xml:space="preserve">.  The applicant maintained that </w:t>
      </w:r>
      <w:r w:rsidR="00900D4C" w:rsidRPr="00115C98">
        <w:t>despite the fact that his detention had been unjustified he could not have obtained any compensation.</w:t>
      </w:r>
    </w:p>
    <w:p w:rsidR="00115C98" w:rsidRPr="00115C98" w:rsidRDefault="000532C2" w:rsidP="00115C98">
      <w:pPr>
        <w:pStyle w:val="ECHRPara"/>
      </w:pPr>
      <w:r>
        <w:fldChar w:fldCharType="begin"/>
      </w:r>
      <w:r>
        <w:instrText xml:space="preserve"> SEQ level0 \*arabic </w:instrText>
      </w:r>
      <w:r>
        <w:fldChar w:fldCharType="separate"/>
      </w:r>
      <w:r w:rsidR="00115C98" w:rsidRPr="00115C98">
        <w:rPr>
          <w:noProof/>
        </w:rPr>
        <w:t>57</w:t>
      </w:r>
      <w:r>
        <w:rPr>
          <w:noProof/>
        </w:rPr>
        <w:fldChar w:fldCharType="end"/>
      </w:r>
      <w:r w:rsidR="00816662" w:rsidRPr="00115C98">
        <w:t xml:space="preserve">.  The Government </w:t>
      </w:r>
      <w:r w:rsidR="00987CAE" w:rsidRPr="00115C98">
        <w:t xml:space="preserve">asserted </w:t>
      </w:r>
      <w:r w:rsidR="006950EA" w:rsidRPr="00115C98">
        <w:t>that this complaint wa</w:t>
      </w:r>
      <w:r w:rsidR="00816662" w:rsidRPr="00115C98">
        <w:t xml:space="preserve">s </w:t>
      </w:r>
      <w:r w:rsidR="00194470" w:rsidRPr="00115C98">
        <w:t>inadmissible</w:t>
      </w:r>
      <w:r w:rsidR="00816662" w:rsidRPr="00115C98">
        <w:t xml:space="preserve"> for non</w:t>
      </w:r>
      <w:r w:rsidR="00682943" w:rsidRPr="00115C98">
        <w:noBreakHyphen/>
      </w:r>
      <w:r w:rsidR="00816662" w:rsidRPr="00115C98">
        <w:t>exhaustion</w:t>
      </w:r>
      <w:r w:rsidR="006950EA" w:rsidRPr="00115C98">
        <w:t xml:space="preserve"> of domestic remedies</w:t>
      </w:r>
      <w:r w:rsidR="00816662" w:rsidRPr="00115C98">
        <w:t xml:space="preserve">. </w:t>
      </w:r>
      <w:r w:rsidR="00783AF6" w:rsidRPr="00115C98">
        <w:t>In their view t</w:t>
      </w:r>
      <w:r w:rsidR="00816662" w:rsidRPr="00115C98">
        <w:t xml:space="preserve">he applicant should </w:t>
      </w:r>
      <w:r w:rsidR="00783AF6" w:rsidRPr="00115C98">
        <w:lastRenderedPageBreak/>
        <w:t xml:space="preserve">first </w:t>
      </w:r>
      <w:r w:rsidR="00816662" w:rsidRPr="00115C98">
        <w:t>have</w:t>
      </w:r>
      <w:r w:rsidR="00900D4C" w:rsidRPr="00115C98">
        <w:t xml:space="preserve"> </w:t>
      </w:r>
      <w:r w:rsidR="00987CAE" w:rsidRPr="00115C98">
        <w:t xml:space="preserve">lodged </w:t>
      </w:r>
      <w:r w:rsidR="00900D4C" w:rsidRPr="00115C98">
        <w:t>a constitutional complaint</w:t>
      </w:r>
      <w:r w:rsidR="006950EA" w:rsidRPr="00115C98">
        <w:t xml:space="preserve"> with the Constitutional Court challenging </w:t>
      </w:r>
      <w:r w:rsidR="00900D4C" w:rsidRPr="00115C98">
        <w:t xml:space="preserve">Article 552 </w:t>
      </w:r>
      <w:r w:rsidR="00900D4C" w:rsidRPr="00115C98">
        <w:rPr>
          <w:rFonts w:cstheme="minorHAnsi"/>
        </w:rPr>
        <w:t>§</w:t>
      </w:r>
      <w:r w:rsidR="00900D4C" w:rsidRPr="00115C98">
        <w:t xml:space="preserve"> 4 of the </w:t>
      </w:r>
      <w:r w:rsidR="00783AF6" w:rsidRPr="00115C98">
        <w:t>CCP</w:t>
      </w:r>
      <w:r w:rsidR="002D0CD8" w:rsidRPr="00115C98">
        <w:t xml:space="preserve"> (</w:t>
      </w:r>
      <w:r w:rsidR="00115C98" w:rsidRPr="00115C98">
        <w:t xml:space="preserve">see </w:t>
      </w:r>
      <w:r w:rsidR="002D0CD8" w:rsidRPr="00115C98">
        <w:t xml:space="preserve">paragraph </w:t>
      </w:r>
      <w:r w:rsidR="002D0CD8" w:rsidRPr="00115C98">
        <w:fldChar w:fldCharType="begin"/>
      </w:r>
      <w:r w:rsidR="002D0CD8" w:rsidRPr="00115C98">
        <w:instrText xml:space="preserve"> REF CCP_552 \h </w:instrText>
      </w:r>
      <w:r w:rsidR="002D0CD8" w:rsidRPr="00115C98">
        <w:fldChar w:fldCharType="separate"/>
      </w:r>
      <w:r w:rsidR="00115C98" w:rsidRPr="00115C98">
        <w:rPr>
          <w:noProof/>
          <w:lang w:val="en-GB"/>
        </w:rPr>
        <w:t>27</w:t>
      </w:r>
      <w:r w:rsidR="002D0CD8" w:rsidRPr="00115C98">
        <w:fldChar w:fldCharType="end"/>
      </w:r>
      <w:r w:rsidR="002D0CD8" w:rsidRPr="00115C98">
        <w:t xml:space="preserve"> above)</w:t>
      </w:r>
      <w:r w:rsidR="00900D4C" w:rsidRPr="00115C98">
        <w:t>.</w:t>
      </w:r>
    </w:p>
    <w:p w:rsidR="00CB63B2" w:rsidRPr="00115C98" w:rsidRDefault="006950EA" w:rsidP="00115C98">
      <w:pPr>
        <w:pStyle w:val="ECHRHeading2"/>
      </w:pPr>
      <w:r w:rsidRPr="00115C98">
        <w:t>B</w:t>
      </w:r>
      <w:r w:rsidR="00CB63B2" w:rsidRPr="00115C98">
        <w:t>.</w:t>
      </w:r>
      <w:r w:rsidR="00682943" w:rsidRPr="00115C98">
        <w:t>  </w:t>
      </w:r>
      <w:r w:rsidR="00CB63B2" w:rsidRPr="00115C98">
        <w:t>The Court</w:t>
      </w:r>
      <w:r w:rsidR="00115C98" w:rsidRPr="00115C98">
        <w:t>’</w:t>
      </w:r>
      <w:r w:rsidR="00CB63B2" w:rsidRPr="00115C98">
        <w:t>s assessment</w:t>
      </w:r>
    </w:p>
    <w:p w:rsidR="00115C98" w:rsidRPr="00115C98" w:rsidRDefault="000532C2" w:rsidP="00115C98">
      <w:pPr>
        <w:pStyle w:val="ECHRPara"/>
      </w:pPr>
      <w:r>
        <w:fldChar w:fldCharType="begin"/>
      </w:r>
      <w:r>
        <w:instrText xml:space="preserve"> SEQ level</w:instrText>
      </w:r>
      <w:r>
        <w:instrText xml:space="preserve">0 \*arabic </w:instrText>
      </w:r>
      <w:r>
        <w:fldChar w:fldCharType="separate"/>
      </w:r>
      <w:r w:rsidR="00115C98" w:rsidRPr="00115C98">
        <w:rPr>
          <w:noProof/>
        </w:rPr>
        <w:t>58</w:t>
      </w:r>
      <w:r>
        <w:rPr>
          <w:noProof/>
        </w:rPr>
        <w:fldChar w:fldCharType="end"/>
      </w:r>
      <w:r w:rsidR="00816662" w:rsidRPr="00115C98">
        <w:t>.</w:t>
      </w:r>
      <w:r w:rsidR="00682943" w:rsidRPr="00115C98">
        <w:t> </w:t>
      </w:r>
      <w:r w:rsidR="00816662" w:rsidRPr="00115C98">
        <w:t> </w:t>
      </w:r>
      <w:r w:rsidR="00DF3702" w:rsidRPr="00115C98">
        <w:t>The Court does not find it necessary to examine the Government</w:t>
      </w:r>
      <w:r w:rsidR="00115C98" w:rsidRPr="00115C98">
        <w:t>’</w:t>
      </w:r>
      <w:r w:rsidR="00DF3702" w:rsidRPr="00115C98">
        <w:t>s objection concerning the applicant</w:t>
      </w:r>
      <w:r w:rsidR="00115C98" w:rsidRPr="00115C98">
        <w:t>’</w:t>
      </w:r>
      <w:r w:rsidR="00DF3702" w:rsidRPr="00115C98">
        <w:t xml:space="preserve">s failure to exhaust domestic remedies, as the present complaint is in any </w:t>
      </w:r>
      <w:bookmarkStart w:id="19" w:name="_1000007"/>
      <w:bookmarkStart w:id="20" w:name="HIT8"/>
      <w:bookmarkEnd w:id="19"/>
      <w:bookmarkEnd w:id="20"/>
      <w:r w:rsidR="00DF3702" w:rsidRPr="00115C98">
        <w:t>event inadmissible for the reasons set out below</w:t>
      </w:r>
      <w:r w:rsidR="00816662" w:rsidRPr="00115C98">
        <w:t>.</w:t>
      </w:r>
    </w:p>
    <w:p w:rsidR="00115C98" w:rsidRPr="00115C98" w:rsidRDefault="000532C2" w:rsidP="00115C98">
      <w:pPr>
        <w:pStyle w:val="ECHRPara"/>
      </w:pPr>
      <w:r>
        <w:fldChar w:fldCharType="begin"/>
      </w:r>
      <w:r>
        <w:instrText xml:space="preserve"> SEQ level0 </w:instrText>
      </w:r>
      <w:r>
        <w:instrText xml:space="preserve">\*arabic </w:instrText>
      </w:r>
      <w:r>
        <w:fldChar w:fldCharType="separate"/>
      </w:r>
      <w:r w:rsidR="00115C98" w:rsidRPr="00115C98">
        <w:rPr>
          <w:noProof/>
        </w:rPr>
        <w:t>59</w:t>
      </w:r>
      <w:r>
        <w:rPr>
          <w:noProof/>
        </w:rPr>
        <w:fldChar w:fldCharType="end"/>
      </w:r>
      <w:r w:rsidR="00816662" w:rsidRPr="00115C98">
        <w:t>.</w:t>
      </w:r>
      <w:r w:rsidR="00682943" w:rsidRPr="00115C98">
        <w:t>  </w:t>
      </w:r>
      <w:r w:rsidR="00783AF6" w:rsidRPr="00115C98">
        <w:t>T</w:t>
      </w:r>
      <w:r w:rsidR="00816662" w:rsidRPr="00115C98">
        <w:t>he Court reiterates that Article 5 § 5 is complied with where it is possible to apply for compensation in respect of a deprivation of liberty effected in conditions contrary to paragraphs 1, 2, 3 or 4 (</w:t>
      </w:r>
      <w:r w:rsidR="00115C98" w:rsidRPr="00115C98">
        <w:t xml:space="preserve">see </w:t>
      </w:r>
      <w:r w:rsidR="00115C98" w:rsidRPr="00115C98">
        <w:rPr>
          <w:i/>
        </w:rPr>
        <w:t>Wassink v. the </w:t>
      </w:r>
      <w:r w:rsidR="00816662" w:rsidRPr="00115C98">
        <w:rPr>
          <w:i/>
        </w:rPr>
        <w:t>Netherlands</w:t>
      </w:r>
      <w:r w:rsidR="00816662" w:rsidRPr="00115C98">
        <w:t>, 27 Septemb</w:t>
      </w:r>
      <w:r w:rsidR="00FF0ACE" w:rsidRPr="00115C98">
        <w:t>er 1990, § 38, Series A no. 185-</w:t>
      </w:r>
      <w:r w:rsidR="00816662" w:rsidRPr="00115C98">
        <w:t>A</w:t>
      </w:r>
      <w:r w:rsidR="00E740D7" w:rsidRPr="00115C98">
        <w:t xml:space="preserve">; </w:t>
      </w:r>
      <w:r w:rsidR="00115C98" w:rsidRPr="00115C98">
        <w:rPr>
          <w:rStyle w:val="CLLItalic"/>
          <w:lang w:val="es-ES_tradnl"/>
        </w:rPr>
        <w:t>N.C. v. </w:t>
      </w:r>
      <w:r w:rsidR="00E740D7" w:rsidRPr="00115C98">
        <w:rPr>
          <w:rStyle w:val="CLLItalic"/>
          <w:lang w:val="es-ES_tradnl"/>
        </w:rPr>
        <w:t xml:space="preserve">Italy </w:t>
      </w:r>
      <w:r w:rsidR="00E740D7" w:rsidRPr="00115C98">
        <w:rPr>
          <w:lang w:val="es-ES"/>
        </w:rPr>
        <w:t>[GC], no. 24952/94, § 49, ECHR 2002</w:t>
      </w:r>
      <w:r w:rsidR="00E740D7" w:rsidRPr="00115C98">
        <w:rPr>
          <w:lang w:val="es-ES"/>
        </w:rPr>
        <w:noBreakHyphen/>
        <w:t>X</w:t>
      </w:r>
      <w:r w:rsidR="00816662" w:rsidRPr="00115C98">
        <w:t>). The right to compensation under paragraph 5 therefore presupposes that a violation of one of the other paragraphs has been established</w:t>
      </w:r>
      <w:r w:rsidR="00E740D7" w:rsidRPr="00115C98">
        <w:t xml:space="preserve"> either by </w:t>
      </w:r>
      <w:r w:rsidR="00816662" w:rsidRPr="00115C98">
        <w:t xml:space="preserve">a domestic authority or by the Convention institutions. </w:t>
      </w:r>
      <w:r w:rsidR="006E30DB" w:rsidRPr="00115C98">
        <w:t xml:space="preserve">However, </w:t>
      </w:r>
      <w:r w:rsidR="00E740D7" w:rsidRPr="00115C98">
        <w:t>in the present case</w:t>
      </w:r>
      <w:r w:rsidR="00816662" w:rsidRPr="00115C98">
        <w:t xml:space="preserve"> no breach of Arti</w:t>
      </w:r>
      <w:r w:rsidR="00395ADE" w:rsidRPr="00115C98">
        <w:t>cle </w:t>
      </w:r>
      <w:r w:rsidR="00816662" w:rsidRPr="00115C98">
        <w:t>5</w:t>
      </w:r>
      <w:r w:rsidR="00115C98" w:rsidRPr="00115C98">
        <w:t xml:space="preserve"> </w:t>
      </w:r>
      <w:r w:rsidR="00816662" w:rsidRPr="00115C98">
        <w:t xml:space="preserve">§§ 1 to 4 has been found </w:t>
      </w:r>
      <w:r w:rsidR="00E740D7" w:rsidRPr="00115C98">
        <w:t>either by the Polish tribunals or by the Court.</w:t>
      </w:r>
    </w:p>
    <w:p w:rsidR="00816662" w:rsidRPr="00115C98" w:rsidRDefault="000532C2" w:rsidP="00115C98">
      <w:pPr>
        <w:pStyle w:val="ECHRPara"/>
      </w:pPr>
      <w:r>
        <w:fldChar w:fldCharType="begin"/>
      </w:r>
      <w:r>
        <w:instrText xml:space="preserve"> SEQ level0 \*arabic </w:instrText>
      </w:r>
      <w:r>
        <w:fldChar w:fldCharType="separate"/>
      </w:r>
      <w:r w:rsidR="00115C98" w:rsidRPr="00115C98">
        <w:rPr>
          <w:noProof/>
        </w:rPr>
        <w:t>60</w:t>
      </w:r>
      <w:r>
        <w:rPr>
          <w:noProof/>
        </w:rPr>
        <w:fldChar w:fldCharType="end"/>
      </w:r>
      <w:r w:rsidR="00816662" w:rsidRPr="00115C98">
        <w:t>.  It follows that this part of the application is manifestly ill-founded and</w:t>
      </w:r>
      <w:r w:rsidR="008837AD" w:rsidRPr="00115C98">
        <w:t xml:space="preserve"> </w:t>
      </w:r>
      <w:r w:rsidR="00816662" w:rsidRPr="00115C98">
        <w:t>must be rejected pursuant to Article 35 §§ 3 (a) and 4 of the Convention.</w:t>
      </w:r>
    </w:p>
    <w:p w:rsidR="00014566" w:rsidRPr="00115C98" w:rsidRDefault="00BB5883" w:rsidP="00115C98">
      <w:pPr>
        <w:pStyle w:val="ECHRTitle1"/>
        <w:rPr>
          <w:lang w:val="en-GB"/>
        </w:rPr>
      </w:pPr>
      <w:r w:rsidRPr="00115C98">
        <w:rPr>
          <w:lang w:val="en-GB"/>
        </w:rPr>
        <w:t>FOR THESE REASONS, THE COURT</w:t>
      </w:r>
      <w:r w:rsidR="00E32786" w:rsidRPr="00115C98">
        <w:rPr>
          <w:lang w:val="en-GB"/>
        </w:rPr>
        <w:t xml:space="preserve">, </w:t>
      </w:r>
      <w:r w:rsidR="00A65AAA" w:rsidRPr="00115C98">
        <w:rPr>
          <w:lang w:val="en-GB"/>
        </w:rPr>
        <w:t>UNANIMOUSLY,</w:t>
      </w:r>
    </w:p>
    <w:p w:rsidR="00B637B9" w:rsidRPr="00115C98" w:rsidRDefault="00B637B9" w:rsidP="00115C98">
      <w:pPr>
        <w:pStyle w:val="JuList"/>
        <w:keepNext/>
        <w:keepLines/>
        <w:rPr>
          <w:lang w:val="en-GB"/>
        </w:rPr>
      </w:pPr>
      <w:r w:rsidRPr="00115C98">
        <w:rPr>
          <w:lang w:val="en-GB"/>
        </w:rPr>
        <w:t>1.  </w:t>
      </w:r>
      <w:r w:rsidRPr="00115C98">
        <w:rPr>
          <w:i/>
          <w:lang w:val="en-GB"/>
        </w:rPr>
        <w:t>Declares</w:t>
      </w:r>
      <w:r w:rsidR="00A65AAA" w:rsidRPr="00115C98">
        <w:rPr>
          <w:lang w:val="en-GB"/>
        </w:rPr>
        <w:t xml:space="preserve"> </w:t>
      </w:r>
      <w:r w:rsidRPr="00115C98">
        <w:rPr>
          <w:lang w:val="en-GB"/>
        </w:rPr>
        <w:t xml:space="preserve">the complaints </w:t>
      </w:r>
      <w:r w:rsidR="00816662" w:rsidRPr="00115C98">
        <w:rPr>
          <w:lang w:val="en-GB"/>
        </w:rPr>
        <w:t xml:space="preserve">under </w:t>
      </w:r>
      <w:r w:rsidR="00D168E8" w:rsidRPr="00115C98">
        <w:rPr>
          <w:lang w:val="en-GB"/>
        </w:rPr>
        <w:t xml:space="preserve">Article </w:t>
      </w:r>
      <w:r w:rsidR="00816662" w:rsidRPr="00115C98">
        <w:rPr>
          <w:lang w:val="en-GB"/>
        </w:rPr>
        <w:t xml:space="preserve">5 </w:t>
      </w:r>
      <w:r w:rsidR="00816662" w:rsidRPr="00115C98">
        <w:rPr>
          <w:rFonts w:cstheme="minorHAnsi"/>
          <w:lang w:val="en-GB"/>
        </w:rPr>
        <w:t>§</w:t>
      </w:r>
      <w:r w:rsidR="00D168E8" w:rsidRPr="00115C98">
        <w:rPr>
          <w:rFonts w:cstheme="minorHAnsi"/>
          <w:lang w:val="en-GB"/>
        </w:rPr>
        <w:t>§</w:t>
      </w:r>
      <w:r w:rsidR="00816662" w:rsidRPr="00115C98">
        <w:rPr>
          <w:lang w:val="en-GB"/>
        </w:rPr>
        <w:t xml:space="preserve"> 1 and 3</w:t>
      </w:r>
      <w:r w:rsidRPr="00115C98">
        <w:rPr>
          <w:lang w:val="en-GB"/>
        </w:rPr>
        <w:t xml:space="preserve"> admissible and the remainder of the </w:t>
      </w:r>
      <w:r w:rsidR="00A65AAA" w:rsidRPr="00115C98">
        <w:rPr>
          <w:lang w:val="en-GB"/>
        </w:rPr>
        <w:t>application</w:t>
      </w:r>
      <w:r w:rsidRPr="00115C98">
        <w:rPr>
          <w:lang w:val="en-GB"/>
        </w:rPr>
        <w:t xml:space="preserve"> inadmissible;</w:t>
      </w:r>
    </w:p>
    <w:p w:rsidR="00014566" w:rsidRPr="00115C98" w:rsidRDefault="00014566" w:rsidP="00115C98">
      <w:pPr>
        <w:pStyle w:val="JuList"/>
        <w:keepNext/>
        <w:keepLines/>
        <w:ind w:left="0" w:firstLine="0"/>
        <w:rPr>
          <w:lang w:val="en-GB"/>
        </w:rPr>
      </w:pPr>
    </w:p>
    <w:p w:rsidR="00014566" w:rsidRPr="00115C98" w:rsidRDefault="00816662" w:rsidP="00115C98">
      <w:pPr>
        <w:pStyle w:val="JuList"/>
        <w:keepNext/>
        <w:keepLines/>
        <w:rPr>
          <w:lang w:val="en-GB"/>
        </w:rPr>
      </w:pPr>
      <w:r w:rsidRPr="00115C98">
        <w:rPr>
          <w:lang w:val="en-GB"/>
        </w:rPr>
        <w:t>2</w:t>
      </w:r>
      <w:r w:rsidR="00014566" w:rsidRPr="00115C98">
        <w:rPr>
          <w:lang w:val="en-GB"/>
        </w:rPr>
        <w:t>.  </w:t>
      </w:r>
      <w:r w:rsidR="00014566" w:rsidRPr="00115C98">
        <w:rPr>
          <w:i/>
          <w:lang w:val="en-GB"/>
        </w:rPr>
        <w:t>Holds</w:t>
      </w:r>
      <w:r w:rsidR="00A65AAA" w:rsidRPr="00115C98">
        <w:rPr>
          <w:lang w:val="en-GB"/>
        </w:rPr>
        <w:t xml:space="preserve"> </w:t>
      </w:r>
      <w:r w:rsidR="00014566" w:rsidRPr="00115C98">
        <w:rPr>
          <w:lang w:val="en-GB"/>
        </w:rPr>
        <w:t xml:space="preserve">that there has been </w:t>
      </w:r>
      <w:r w:rsidRPr="00115C98">
        <w:rPr>
          <w:lang w:val="en-GB"/>
        </w:rPr>
        <w:t>no</w:t>
      </w:r>
      <w:r w:rsidR="00014566" w:rsidRPr="00115C98">
        <w:rPr>
          <w:lang w:val="en-GB"/>
        </w:rPr>
        <w:t xml:space="preserve"> violation of Article </w:t>
      </w:r>
      <w:r w:rsidRPr="00115C98">
        <w:rPr>
          <w:lang w:val="en-GB"/>
        </w:rPr>
        <w:t xml:space="preserve">5 </w:t>
      </w:r>
      <w:r w:rsidRPr="00115C98">
        <w:rPr>
          <w:rFonts w:cstheme="minorHAnsi"/>
          <w:lang w:val="en-GB"/>
        </w:rPr>
        <w:t>§</w:t>
      </w:r>
      <w:r w:rsidRPr="00115C98">
        <w:rPr>
          <w:lang w:val="en-GB"/>
        </w:rPr>
        <w:t xml:space="preserve"> 1</w:t>
      </w:r>
      <w:r w:rsidR="00014566" w:rsidRPr="00115C98">
        <w:rPr>
          <w:lang w:val="en-GB"/>
        </w:rPr>
        <w:t xml:space="preserve"> of the Convention;</w:t>
      </w:r>
    </w:p>
    <w:p w:rsidR="00816662" w:rsidRPr="00115C98" w:rsidRDefault="00816662" w:rsidP="00115C98">
      <w:pPr>
        <w:pStyle w:val="JuList"/>
        <w:rPr>
          <w:lang w:val="en-GB"/>
        </w:rPr>
      </w:pPr>
    </w:p>
    <w:p w:rsidR="00816662" w:rsidRPr="00115C98" w:rsidRDefault="00816662" w:rsidP="00115C98">
      <w:pPr>
        <w:pStyle w:val="JuList"/>
        <w:rPr>
          <w:lang w:val="en-GB"/>
        </w:rPr>
      </w:pPr>
      <w:r w:rsidRPr="00115C98">
        <w:rPr>
          <w:lang w:val="en-GB"/>
        </w:rPr>
        <w:t>3.  </w:t>
      </w:r>
      <w:r w:rsidRPr="00115C98">
        <w:rPr>
          <w:i/>
          <w:lang w:val="en-GB"/>
        </w:rPr>
        <w:t>Holds</w:t>
      </w:r>
      <w:r w:rsidRPr="00115C98">
        <w:rPr>
          <w:lang w:val="en-GB"/>
        </w:rPr>
        <w:t xml:space="preserve"> that there has been no violation of Article 5 </w:t>
      </w:r>
      <w:r w:rsidRPr="00115C98">
        <w:rPr>
          <w:rFonts w:cstheme="minorHAnsi"/>
          <w:lang w:val="en-GB"/>
        </w:rPr>
        <w:t>§</w:t>
      </w:r>
      <w:r w:rsidRPr="00115C98">
        <w:rPr>
          <w:lang w:val="en-GB"/>
        </w:rPr>
        <w:t xml:space="preserve"> 3</w:t>
      </w:r>
      <w:r w:rsidR="00CE5B66" w:rsidRPr="00115C98">
        <w:rPr>
          <w:lang w:val="en-GB"/>
        </w:rPr>
        <w:t xml:space="preserve"> of the Convention.</w:t>
      </w:r>
    </w:p>
    <w:p w:rsidR="00014566" w:rsidRPr="00115C98" w:rsidRDefault="00014566" w:rsidP="00115C98">
      <w:pPr>
        <w:pStyle w:val="JuParaLast"/>
        <w:rPr>
          <w:lang w:val="en-GB"/>
        </w:rPr>
      </w:pPr>
      <w:r w:rsidRPr="00115C98">
        <w:rPr>
          <w:lang w:val="en-GB"/>
        </w:rPr>
        <w:t xml:space="preserve">Done in English, and notified in writing on </w:t>
      </w:r>
      <w:r w:rsidR="00881A09" w:rsidRPr="00115C98">
        <w:rPr>
          <w:lang w:val="en-GB"/>
        </w:rPr>
        <w:t>15 June 2017</w:t>
      </w:r>
      <w:r w:rsidRPr="00115C98">
        <w:rPr>
          <w:lang w:val="en-GB"/>
        </w:rPr>
        <w:t>, pursuant to Rule 77 §§ 2 and 3 of the Rules of Court.</w:t>
      </w:r>
    </w:p>
    <w:p w:rsidR="004D15F3" w:rsidRPr="00115C98" w:rsidRDefault="00E32786" w:rsidP="00115C98">
      <w:pPr>
        <w:pStyle w:val="JuSigned"/>
        <w:rPr>
          <w:lang w:val="en-GB"/>
        </w:rPr>
      </w:pPr>
      <w:r w:rsidRPr="00115C98">
        <w:rPr>
          <w:lang w:val="en-GB"/>
        </w:rPr>
        <w:tab/>
      </w:r>
      <w:r w:rsidR="006F38BC" w:rsidRPr="00115C98">
        <w:rPr>
          <w:lang w:val="en-GB"/>
        </w:rPr>
        <w:t>Renata Degener</w:t>
      </w:r>
      <w:r w:rsidRPr="00115C98">
        <w:rPr>
          <w:lang w:val="en-GB"/>
        </w:rPr>
        <w:tab/>
      </w:r>
      <w:r w:rsidR="00881A09" w:rsidRPr="00115C98">
        <w:t>Aleš Pejchal</w:t>
      </w:r>
      <w:r w:rsidRPr="00115C98">
        <w:rPr>
          <w:szCs w:val="24"/>
          <w:lang w:val="en-GB"/>
        </w:rPr>
        <w:br/>
      </w:r>
      <w:r w:rsidRPr="00115C98">
        <w:rPr>
          <w:lang w:val="en-GB"/>
        </w:rPr>
        <w:tab/>
        <w:t xml:space="preserve">Deputy </w:t>
      </w:r>
      <w:r w:rsidRPr="00115C98">
        <w:rPr>
          <w:iCs/>
          <w:lang w:val="en-GB"/>
        </w:rPr>
        <w:t>Registrar</w:t>
      </w:r>
      <w:r w:rsidRPr="00115C98">
        <w:rPr>
          <w:lang w:val="en-GB"/>
        </w:rPr>
        <w:tab/>
        <w:t>President</w:t>
      </w:r>
    </w:p>
    <w:sectPr w:rsidR="004D15F3" w:rsidRPr="00115C98" w:rsidSect="00881A09">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2C2" w:rsidRPr="00535BB8" w:rsidRDefault="000532C2" w:rsidP="00014566">
      <w:pPr>
        <w:rPr>
          <w:lang w:val="en-GB"/>
        </w:rPr>
      </w:pPr>
      <w:r w:rsidRPr="00535BB8">
        <w:rPr>
          <w:lang w:val="en-GB"/>
        </w:rPr>
        <w:separator/>
      </w:r>
    </w:p>
  </w:endnote>
  <w:endnote w:type="continuationSeparator" w:id="0">
    <w:p w:rsidR="000532C2" w:rsidRPr="00535BB8" w:rsidRDefault="000532C2"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09" w:rsidRPr="00150BFA" w:rsidRDefault="00881A09" w:rsidP="0020718E">
    <w:pPr>
      <w:jc w:val="center"/>
    </w:pPr>
    <w:r>
      <w:rPr>
        <w:noProof/>
        <w:lang w:val="pl-PL" w:eastAsia="pl-PL"/>
      </w:rPr>
      <w:drawing>
        <wp:inline distT="0" distB="0" distL="0" distR="0" wp14:anchorId="6FC50EC2" wp14:editId="75D40E14">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81A09" w:rsidRDefault="00881A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2C2" w:rsidRPr="00535BB8" w:rsidRDefault="000532C2" w:rsidP="00014566">
      <w:pPr>
        <w:rPr>
          <w:lang w:val="en-GB"/>
        </w:rPr>
      </w:pPr>
      <w:r w:rsidRPr="00535BB8">
        <w:rPr>
          <w:lang w:val="en-GB"/>
        </w:rPr>
        <w:separator/>
      </w:r>
    </w:p>
  </w:footnote>
  <w:footnote w:type="continuationSeparator" w:id="0">
    <w:p w:rsidR="000532C2" w:rsidRPr="00535BB8" w:rsidRDefault="000532C2" w:rsidP="00014566">
      <w:pPr>
        <w:rPr>
          <w:lang w:val="en-GB"/>
        </w:rPr>
      </w:pPr>
      <w:r w:rsidRPr="00535BB8">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EA" w:rsidRPr="00881A09" w:rsidRDefault="006950EA" w:rsidP="00881A09">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09" w:rsidRPr="00A45145" w:rsidRDefault="00881A09" w:rsidP="00A45145">
    <w:pPr>
      <w:jc w:val="center"/>
    </w:pPr>
    <w:r>
      <w:rPr>
        <w:noProof/>
        <w:lang w:val="pl-PL" w:eastAsia="pl-PL"/>
      </w:rPr>
      <w:drawing>
        <wp:inline distT="0" distB="0" distL="0" distR="0" wp14:anchorId="6F8832FC" wp14:editId="5718DC37">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950EA" w:rsidRDefault="006950E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09" w:rsidRPr="00535BB8" w:rsidRDefault="00881A09"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35503">
      <w:rPr>
        <w:rStyle w:val="Numerstrony"/>
        <w:noProof/>
        <w:szCs w:val="18"/>
        <w:lang w:val="en-GB"/>
      </w:rPr>
      <w:t>10</w:t>
    </w:r>
    <w:r>
      <w:rPr>
        <w:rStyle w:val="Numerstrony"/>
        <w:szCs w:val="18"/>
        <w:lang w:val="en-GB"/>
      </w:rPr>
      <w:fldChar w:fldCharType="end"/>
    </w:r>
    <w:r w:rsidRPr="00535BB8">
      <w:rPr>
        <w:lang w:val="en-GB"/>
      </w:rPr>
      <w:tab/>
    </w:r>
    <w:r>
      <w:rPr>
        <w:lang w:val="en-GB"/>
      </w:rPr>
      <w:t>WRONA v. POLAND</w:t>
    </w:r>
    <w:r w:rsidRPr="00535BB8">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A09" w:rsidRPr="00535BB8" w:rsidRDefault="00881A09" w:rsidP="00D60D87">
    <w:pPr>
      <w:pStyle w:val="ECHRHeader"/>
      <w:rPr>
        <w:lang w:val="en-GB"/>
      </w:rPr>
    </w:pPr>
    <w:r w:rsidRPr="00535BB8">
      <w:rPr>
        <w:lang w:val="en-GB"/>
      </w:rPr>
      <w:tab/>
    </w:r>
    <w:r>
      <w:rPr>
        <w:lang w:val="en-GB"/>
      </w:rPr>
      <w:t>WRONA v. POLAND</w:t>
    </w:r>
    <w:r w:rsidRPr="00535BB8">
      <w:rPr>
        <w:lang w:val="en-GB"/>
      </w:rPr>
      <w:t xml:space="preserve"> </w:t>
    </w:r>
    <w:r>
      <w:rPr>
        <w:lang w:val="en-GB"/>
      </w:rPr>
      <w:t>JUDGMENT</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35503">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65AAA"/>
    <w:rsid w:val="00000067"/>
    <w:rsid w:val="000010ED"/>
    <w:rsid w:val="000041F8"/>
    <w:rsid w:val="000042A8"/>
    <w:rsid w:val="00004308"/>
    <w:rsid w:val="00005BF0"/>
    <w:rsid w:val="00007154"/>
    <w:rsid w:val="000103AE"/>
    <w:rsid w:val="000111EA"/>
    <w:rsid w:val="00011D69"/>
    <w:rsid w:val="00012AD3"/>
    <w:rsid w:val="00014566"/>
    <w:rsid w:val="00015C2D"/>
    <w:rsid w:val="00015F00"/>
    <w:rsid w:val="00022C1D"/>
    <w:rsid w:val="00023572"/>
    <w:rsid w:val="00025218"/>
    <w:rsid w:val="00031E77"/>
    <w:rsid w:val="00032205"/>
    <w:rsid w:val="00034987"/>
    <w:rsid w:val="000350E3"/>
    <w:rsid w:val="000532C2"/>
    <w:rsid w:val="00055831"/>
    <w:rsid w:val="000602DF"/>
    <w:rsid w:val="00061B05"/>
    <w:rsid w:val="000625F6"/>
    <w:rsid w:val="00062973"/>
    <w:rsid w:val="00062D5D"/>
    <w:rsid w:val="000632D5"/>
    <w:rsid w:val="000644EE"/>
    <w:rsid w:val="00071ABC"/>
    <w:rsid w:val="00076707"/>
    <w:rsid w:val="000856D7"/>
    <w:rsid w:val="000925AD"/>
    <w:rsid w:val="000A24EB"/>
    <w:rsid w:val="000B6923"/>
    <w:rsid w:val="000C033C"/>
    <w:rsid w:val="000C09C4"/>
    <w:rsid w:val="000C5F3C"/>
    <w:rsid w:val="000C6DCC"/>
    <w:rsid w:val="000D47AA"/>
    <w:rsid w:val="000D721F"/>
    <w:rsid w:val="000E069B"/>
    <w:rsid w:val="000E0E82"/>
    <w:rsid w:val="000E1DC5"/>
    <w:rsid w:val="000E223F"/>
    <w:rsid w:val="000E35AC"/>
    <w:rsid w:val="000E6CCC"/>
    <w:rsid w:val="000E7D45"/>
    <w:rsid w:val="000F7851"/>
    <w:rsid w:val="00104E23"/>
    <w:rsid w:val="00111B0C"/>
    <w:rsid w:val="00115C98"/>
    <w:rsid w:val="00117A95"/>
    <w:rsid w:val="00120D6C"/>
    <w:rsid w:val="001243E6"/>
    <w:rsid w:val="001257EC"/>
    <w:rsid w:val="00132C6A"/>
    <w:rsid w:val="00133D33"/>
    <w:rsid w:val="00134D64"/>
    <w:rsid w:val="00135A30"/>
    <w:rsid w:val="0013612C"/>
    <w:rsid w:val="00137FF6"/>
    <w:rsid w:val="00141650"/>
    <w:rsid w:val="00162A12"/>
    <w:rsid w:val="00164650"/>
    <w:rsid w:val="00166530"/>
    <w:rsid w:val="0017199E"/>
    <w:rsid w:val="001832BD"/>
    <w:rsid w:val="00184BA1"/>
    <w:rsid w:val="00185DD2"/>
    <w:rsid w:val="001943B5"/>
    <w:rsid w:val="00194470"/>
    <w:rsid w:val="00195134"/>
    <w:rsid w:val="001A145B"/>
    <w:rsid w:val="001A674C"/>
    <w:rsid w:val="001A7018"/>
    <w:rsid w:val="001B3B24"/>
    <w:rsid w:val="001C0F98"/>
    <w:rsid w:val="001C2A42"/>
    <w:rsid w:val="001D4453"/>
    <w:rsid w:val="001D63ED"/>
    <w:rsid w:val="001D67FA"/>
    <w:rsid w:val="001D7348"/>
    <w:rsid w:val="001D787E"/>
    <w:rsid w:val="001E035B"/>
    <w:rsid w:val="001E0961"/>
    <w:rsid w:val="001E1971"/>
    <w:rsid w:val="001E3A51"/>
    <w:rsid w:val="001E3EAE"/>
    <w:rsid w:val="001E5348"/>
    <w:rsid w:val="001E6F32"/>
    <w:rsid w:val="001F2145"/>
    <w:rsid w:val="001F5C1B"/>
    <w:rsid w:val="001F6262"/>
    <w:rsid w:val="001F67B0"/>
    <w:rsid w:val="001F7B3D"/>
    <w:rsid w:val="00205F9F"/>
    <w:rsid w:val="00210338"/>
    <w:rsid w:val="002115FC"/>
    <w:rsid w:val="00212CB3"/>
    <w:rsid w:val="002133F8"/>
    <w:rsid w:val="0021423C"/>
    <w:rsid w:val="00230D00"/>
    <w:rsid w:val="00231DF7"/>
    <w:rsid w:val="00231FD1"/>
    <w:rsid w:val="002339E0"/>
    <w:rsid w:val="00233CF8"/>
    <w:rsid w:val="0023575D"/>
    <w:rsid w:val="00237148"/>
    <w:rsid w:val="0024222D"/>
    <w:rsid w:val="00244B0E"/>
    <w:rsid w:val="00244F6C"/>
    <w:rsid w:val="00245C31"/>
    <w:rsid w:val="002532C5"/>
    <w:rsid w:val="00260C03"/>
    <w:rsid w:val="0026540E"/>
    <w:rsid w:val="0027225C"/>
    <w:rsid w:val="00275123"/>
    <w:rsid w:val="00282240"/>
    <w:rsid w:val="0028572A"/>
    <w:rsid w:val="002948AD"/>
    <w:rsid w:val="00294C05"/>
    <w:rsid w:val="00294C92"/>
    <w:rsid w:val="002A01CC"/>
    <w:rsid w:val="002A61B1"/>
    <w:rsid w:val="002A663C"/>
    <w:rsid w:val="002B1E6C"/>
    <w:rsid w:val="002B444B"/>
    <w:rsid w:val="002B5302"/>
    <w:rsid w:val="002B5887"/>
    <w:rsid w:val="002C0692"/>
    <w:rsid w:val="002C0E27"/>
    <w:rsid w:val="002C3040"/>
    <w:rsid w:val="002D022D"/>
    <w:rsid w:val="002D0CD8"/>
    <w:rsid w:val="002D24BB"/>
    <w:rsid w:val="002E304F"/>
    <w:rsid w:val="002F2AF7"/>
    <w:rsid w:val="002F7E1C"/>
    <w:rsid w:val="00301A75"/>
    <w:rsid w:val="00302F70"/>
    <w:rsid w:val="0030336F"/>
    <w:rsid w:val="0030375E"/>
    <w:rsid w:val="00312A30"/>
    <w:rsid w:val="00320F72"/>
    <w:rsid w:val="0032463E"/>
    <w:rsid w:val="00326224"/>
    <w:rsid w:val="0032676F"/>
    <w:rsid w:val="00335503"/>
    <w:rsid w:val="00337EE4"/>
    <w:rsid w:val="00340FFD"/>
    <w:rsid w:val="003506B1"/>
    <w:rsid w:val="003520E6"/>
    <w:rsid w:val="00356AC7"/>
    <w:rsid w:val="003609FA"/>
    <w:rsid w:val="003710C8"/>
    <w:rsid w:val="003750BE"/>
    <w:rsid w:val="00375A5F"/>
    <w:rsid w:val="00383137"/>
    <w:rsid w:val="00387B9D"/>
    <w:rsid w:val="0039364F"/>
    <w:rsid w:val="00395ADE"/>
    <w:rsid w:val="00396686"/>
    <w:rsid w:val="00396AE6"/>
    <w:rsid w:val="0039778E"/>
    <w:rsid w:val="003A441D"/>
    <w:rsid w:val="003B4941"/>
    <w:rsid w:val="003C3C1E"/>
    <w:rsid w:val="003C5714"/>
    <w:rsid w:val="003C6B9F"/>
    <w:rsid w:val="003C6E2A"/>
    <w:rsid w:val="003D0299"/>
    <w:rsid w:val="003E4CCC"/>
    <w:rsid w:val="003E6D80"/>
    <w:rsid w:val="003F05FA"/>
    <w:rsid w:val="003F244A"/>
    <w:rsid w:val="003F30B8"/>
    <w:rsid w:val="003F4C45"/>
    <w:rsid w:val="003F5F7B"/>
    <w:rsid w:val="003F7D64"/>
    <w:rsid w:val="00414300"/>
    <w:rsid w:val="004226A9"/>
    <w:rsid w:val="00425C67"/>
    <w:rsid w:val="00427E7A"/>
    <w:rsid w:val="00436307"/>
    <w:rsid w:val="00436C49"/>
    <w:rsid w:val="00443108"/>
    <w:rsid w:val="00445366"/>
    <w:rsid w:val="00446BCC"/>
    <w:rsid w:val="00447F5B"/>
    <w:rsid w:val="00452195"/>
    <w:rsid w:val="00461DB0"/>
    <w:rsid w:val="00463926"/>
    <w:rsid w:val="004646E0"/>
    <w:rsid w:val="00464C9A"/>
    <w:rsid w:val="004671AA"/>
    <w:rsid w:val="00472526"/>
    <w:rsid w:val="00474F3D"/>
    <w:rsid w:val="00477E3A"/>
    <w:rsid w:val="00483E5F"/>
    <w:rsid w:val="00485FF9"/>
    <w:rsid w:val="004868E9"/>
    <w:rsid w:val="004907F0"/>
    <w:rsid w:val="0049140B"/>
    <w:rsid w:val="004923A5"/>
    <w:rsid w:val="00496BFB"/>
    <w:rsid w:val="004A15C7"/>
    <w:rsid w:val="004B013B"/>
    <w:rsid w:val="004B112B"/>
    <w:rsid w:val="004C01E4"/>
    <w:rsid w:val="004C086C"/>
    <w:rsid w:val="004C1F56"/>
    <w:rsid w:val="004C27BC"/>
    <w:rsid w:val="004C2DD8"/>
    <w:rsid w:val="004D15F3"/>
    <w:rsid w:val="004D5311"/>
    <w:rsid w:val="004D5DCC"/>
    <w:rsid w:val="004E2711"/>
    <w:rsid w:val="004E2B95"/>
    <w:rsid w:val="004F10AF"/>
    <w:rsid w:val="004F11A4"/>
    <w:rsid w:val="004F2389"/>
    <w:rsid w:val="004F304D"/>
    <w:rsid w:val="004F61BE"/>
    <w:rsid w:val="004F66B1"/>
    <w:rsid w:val="00511C07"/>
    <w:rsid w:val="005173A6"/>
    <w:rsid w:val="00520BAA"/>
    <w:rsid w:val="00525208"/>
    <w:rsid w:val="005257A5"/>
    <w:rsid w:val="005264C0"/>
    <w:rsid w:val="00526A8A"/>
    <w:rsid w:val="005302DD"/>
    <w:rsid w:val="00531DF2"/>
    <w:rsid w:val="00532D8D"/>
    <w:rsid w:val="00535BB8"/>
    <w:rsid w:val="005442EE"/>
    <w:rsid w:val="00547353"/>
    <w:rsid w:val="005474E7"/>
    <w:rsid w:val="005512A3"/>
    <w:rsid w:val="00555149"/>
    <w:rsid w:val="005578CE"/>
    <w:rsid w:val="00562781"/>
    <w:rsid w:val="00563E83"/>
    <w:rsid w:val="0057271C"/>
    <w:rsid w:val="00572845"/>
    <w:rsid w:val="00577B9E"/>
    <w:rsid w:val="00592772"/>
    <w:rsid w:val="00594EC0"/>
    <w:rsid w:val="0059574A"/>
    <w:rsid w:val="00597FD3"/>
    <w:rsid w:val="005A1B9B"/>
    <w:rsid w:val="005A6751"/>
    <w:rsid w:val="005B092E"/>
    <w:rsid w:val="005B152C"/>
    <w:rsid w:val="005B1EE0"/>
    <w:rsid w:val="005B2B24"/>
    <w:rsid w:val="005B4425"/>
    <w:rsid w:val="005B4B94"/>
    <w:rsid w:val="005C3EE8"/>
    <w:rsid w:val="005D34F9"/>
    <w:rsid w:val="005D4033"/>
    <w:rsid w:val="005D4190"/>
    <w:rsid w:val="005D67A3"/>
    <w:rsid w:val="005E2988"/>
    <w:rsid w:val="005E2A43"/>
    <w:rsid w:val="005E3085"/>
    <w:rsid w:val="005E438A"/>
    <w:rsid w:val="005E4714"/>
    <w:rsid w:val="005E625C"/>
    <w:rsid w:val="005F37C4"/>
    <w:rsid w:val="005F51E1"/>
    <w:rsid w:val="005F5BE3"/>
    <w:rsid w:val="00611C80"/>
    <w:rsid w:val="00620692"/>
    <w:rsid w:val="00620C02"/>
    <w:rsid w:val="006242CA"/>
    <w:rsid w:val="00627507"/>
    <w:rsid w:val="00633717"/>
    <w:rsid w:val="006344E1"/>
    <w:rsid w:val="006545C4"/>
    <w:rsid w:val="00655524"/>
    <w:rsid w:val="006610EF"/>
    <w:rsid w:val="00661971"/>
    <w:rsid w:val="00661CE8"/>
    <w:rsid w:val="006623D9"/>
    <w:rsid w:val="0066550C"/>
    <w:rsid w:val="006716F2"/>
    <w:rsid w:val="0067687E"/>
    <w:rsid w:val="00682943"/>
    <w:rsid w:val="00682BF2"/>
    <w:rsid w:val="006859CE"/>
    <w:rsid w:val="00691270"/>
    <w:rsid w:val="00694710"/>
    <w:rsid w:val="00694BA8"/>
    <w:rsid w:val="006950EA"/>
    <w:rsid w:val="006A037C"/>
    <w:rsid w:val="006A36F4"/>
    <w:rsid w:val="006A406F"/>
    <w:rsid w:val="006A5D3A"/>
    <w:rsid w:val="006C23D4"/>
    <w:rsid w:val="006C766B"/>
    <w:rsid w:val="006C7BB0"/>
    <w:rsid w:val="006D3237"/>
    <w:rsid w:val="006E2E37"/>
    <w:rsid w:val="006E30DB"/>
    <w:rsid w:val="006E3CF1"/>
    <w:rsid w:val="006E7E80"/>
    <w:rsid w:val="006F1DF9"/>
    <w:rsid w:val="006F24DB"/>
    <w:rsid w:val="006F25AB"/>
    <w:rsid w:val="006F38BC"/>
    <w:rsid w:val="006F48CA"/>
    <w:rsid w:val="006F64DD"/>
    <w:rsid w:val="00715127"/>
    <w:rsid w:val="00715E8E"/>
    <w:rsid w:val="00723580"/>
    <w:rsid w:val="00723755"/>
    <w:rsid w:val="0073136C"/>
    <w:rsid w:val="00731F0F"/>
    <w:rsid w:val="00733250"/>
    <w:rsid w:val="00741404"/>
    <w:rsid w:val="007449E5"/>
    <w:rsid w:val="00746C5A"/>
    <w:rsid w:val="00747FF0"/>
    <w:rsid w:val="00764D4E"/>
    <w:rsid w:val="00765A1F"/>
    <w:rsid w:val="00775B6D"/>
    <w:rsid w:val="00776D68"/>
    <w:rsid w:val="00783AF6"/>
    <w:rsid w:val="007850EE"/>
    <w:rsid w:val="00785B95"/>
    <w:rsid w:val="00790E96"/>
    <w:rsid w:val="00793366"/>
    <w:rsid w:val="007970D0"/>
    <w:rsid w:val="007A716F"/>
    <w:rsid w:val="007B270A"/>
    <w:rsid w:val="007C0695"/>
    <w:rsid w:val="007C1C06"/>
    <w:rsid w:val="007C419A"/>
    <w:rsid w:val="007C4CC8"/>
    <w:rsid w:val="007C5426"/>
    <w:rsid w:val="007C5798"/>
    <w:rsid w:val="007C7DFD"/>
    <w:rsid w:val="007D02D6"/>
    <w:rsid w:val="007D4832"/>
    <w:rsid w:val="007D5F76"/>
    <w:rsid w:val="007E21B2"/>
    <w:rsid w:val="007E2C4E"/>
    <w:rsid w:val="007E4903"/>
    <w:rsid w:val="007F1905"/>
    <w:rsid w:val="007F3DC8"/>
    <w:rsid w:val="0080048F"/>
    <w:rsid w:val="00801300"/>
    <w:rsid w:val="00802C64"/>
    <w:rsid w:val="0080554F"/>
    <w:rsid w:val="00805E52"/>
    <w:rsid w:val="008061D0"/>
    <w:rsid w:val="00810B38"/>
    <w:rsid w:val="00816662"/>
    <w:rsid w:val="008204C7"/>
    <w:rsid w:val="00820992"/>
    <w:rsid w:val="00823602"/>
    <w:rsid w:val="008255F5"/>
    <w:rsid w:val="00826A18"/>
    <w:rsid w:val="0083014E"/>
    <w:rsid w:val="0083214A"/>
    <w:rsid w:val="00834220"/>
    <w:rsid w:val="00845723"/>
    <w:rsid w:val="00851EF9"/>
    <w:rsid w:val="008577FD"/>
    <w:rsid w:val="00860B03"/>
    <w:rsid w:val="0086497A"/>
    <w:rsid w:val="008713A1"/>
    <w:rsid w:val="008754AB"/>
    <w:rsid w:val="0088060C"/>
    <w:rsid w:val="00881A09"/>
    <w:rsid w:val="008837AD"/>
    <w:rsid w:val="00893576"/>
    <w:rsid w:val="00893E73"/>
    <w:rsid w:val="00896B97"/>
    <w:rsid w:val="008A43C4"/>
    <w:rsid w:val="008B02DC"/>
    <w:rsid w:val="008B57CE"/>
    <w:rsid w:val="008B659F"/>
    <w:rsid w:val="008C26DE"/>
    <w:rsid w:val="008C7F26"/>
    <w:rsid w:val="008D0B1D"/>
    <w:rsid w:val="008D2225"/>
    <w:rsid w:val="008D4752"/>
    <w:rsid w:val="008D552A"/>
    <w:rsid w:val="008E271C"/>
    <w:rsid w:val="008E418E"/>
    <w:rsid w:val="008E5BC6"/>
    <w:rsid w:val="008E6A25"/>
    <w:rsid w:val="008F5193"/>
    <w:rsid w:val="00900D4C"/>
    <w:rsid w:val="009013A7"/>
    <w:rsid w:val="009017FB"/>
    <w:rsid w:val="009017FC"/>
    <w:rsid w:val="00903B43"/>
    <w:rsid w:val="0090506B"/>
    <w:rsid w:val="009050C9"/>
    <w:rsid w:val="009066FC"/>
    <w:rsid w:val="00913203"/>
    <w:rsid w:val="009140A3"/>
    <w:rsid w:val="009144A2"/>
    <w:rsid w:val="0091510C"/>
    <w:rsid w:val="009259AC"/>
    <w:rsid w:val="00926F38"/>
    <w:rsid w:val="00934301"/>
    <w:rsid w:val="00936CD1"/>
    <w:rsid w:val="0094092A"/>
    <w:rsid w:val="00941135"/>
    <w:rsid w:val="00941747"/>
    <w:rsid w:val="00941EFB"/>
    <w:rsid w:val="009460AF"/>
    <w:rsid w:val="00947AFB"/>
    <w:rsid w:val="00951D7D"/>
    <w:rsid w:val="00952C12"/>
    <w:rsid w:val="00962C42"/>
    <w:rsid w:val="009630C7"/>
    <w:rsid w:val="00970E80"/>
    <w:rsid w:val="00972B55"/>
    <w:rsid w:val="00973DB6"/>
    <w:rsid w:val="009743B7"/>
    <w:rsid w:val="0098228B"/>
    <w:rsid w:val="009828DA"/>
    <w:rsid w:val="00985BAB"/>
    <w:rsid w:val="009866F7"/>
    <w:rsid w:val="00987CAE"/>
    <w:rsid w:val="00997F03"/>
    <w:rsid w:val="009A219E"/>
    <w:rsid w:val="009A46DF"/>
    <w:rsid w:val="009B1B5F"/>
    <w:rsid w:val="009B2EC2"/>
    <w:rsid w:val="009B59E8"/>
    <w:rsid w:val="009B6673"/>
    <w:rsid w:val="009C191B"/>
    <w:rsid w:val="009C2BD6"/>
    <w:rsid w:val="009E1F32"/>
    <w:rsid w:val="009E21E9"/>
    <w:rsid w:val="009E5829"/>
    <w:rsid w:val="009E776C"/>
    <w:rsid w:val="00A1726E"/>
    <w:rsid w:val="00A204CF"/>
    <w:rsid w:val="00A23D49"/>
    <w:rsid w:val="00A27004"/>
    <w:rsid w:val="00A30C29"/>
    <w:rsid w:val="00A34DD6"/>
    <w:rsid w:val="00A36819"/>
    <w:rsid w:val="00A36989"/>
    <w:rsid w:val="00A43628"/>
    <w:rsid w:val="00A54192"/>
    <w:rsid w:val="00A6035E"/>
    <w:rsid w:val="00A6144C"/>
    <w:rsid w:val="00A65AAA"/>
    <w:rsid w:val="00A66617"/>
    <w:rsid w:val="00A671F8"/>
    <w:rsid w:val="00A673A4"/>
    <w:rsid w:val="00A724AE"/>
    <w:rsid w:val="00A724CD"/>
    <w:rsid w:val="00A73329"/>
    <w:rsid w:val="00A82359"/>
    <w:rsid w:val="00A865D2"/>
    <w:rsid w:val="00A94C20"/>
    <w:rsid w:val="00A96ED6"/>
    <w:rsid w:val="00AA012F"/>
    <w:rsid w:val="00AA227F"/>
    <w:rsid w:val="00AA3430"/>
    <w:rsid w:val="00AA3BC7"/>
    <w:rsid w:val="00AA4847"/>
    <w:rsid w:val="00AA5BEA"/>
    <w:rsid w:val="00AA754A"/>
    <w:rsid w:val="00AB099E"/>
    <w:rsid w:val="00AB4328"/>
    <w:rsid w:val="00AB5FA0"/>
    <w:rsid w:val="00AC018F"/>
    <w:rsid w:val="00AD5565"/>
    <w:rsid w:val="00AE0A2E"/>
    <w:rsid w:val="00AE354C"/>
    <w:rsid w:val="00AF4B07"/>
    <w:rsid w:val="00AF6186"/>
    <w:rsid w:val="00AF75A3"/>
    <w:rsid w:val="00AF7A3A"/>
    <w:rsid w:val="00B05A01"/>
    <w:rsid w:val="00B160DB"/>
    <w:rsid w:val="00B20836"/>
    <w:rsid w:val="00B214AC"/>
    <w:rsid w:val="00B235BB"/>
    <w:rsid w:val="00B27A44"/>
    <w:rsid w:val="00B30072"/>
    <w:rsid w:val="00B30BBF"/>
    <w:rsid w:val="00B33C03"/>
    <w:rsid w:val="00B44E56"/>
    <w:rsid w:val="00B46543"/>
    <w:rsid w:val="00B47D33"/>
    <w:rsid w:val="00B52BE0"/>
    <w:rsid w:val="00B54133"/>
    <w:rsid w:val="00B637B9"/>
    <w:rsid w:val="00B701ED"/>
    <w:rsid w:val="00B7111C"/>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E14E3"/>
    <w:rsid w:val="00BE3774"/>
    <w:rsid w:val="00BE41E5"/>
    <w:rsid w:val="00BF0BBB"/>
    <w:rsid w:val="00BF3BA3"/>
    <w:rsid w:val="00BF4109"/>
    <w:rsid w:val="00BF4CC3"/>
    <w:rsid w:val="00C00B61"/>
    <w:rsid w:val="00C01785"/>
    <w:rsid w:val="00C054C7"/>
    <w:rsid w:val="00C057B5"/>
    <w:rsid w:val="00C22687"/>
    <w:rsid w:val="00C27318"/>
    <w:rsid w:val="00C32E4D"/>
    <w:rsid w:val="00C333A0"/>
    <w:rsid w:val="00C36A81"/>
    <w:rsid w:val="00C41974"/>
    <w:rsid w:val="00C42508"/>
    <w:rsid w:val="00C447AD"/>
    <w:rsid w:val="00C53F4A"/>
    <w:rsid w:val="00C54125"/>
    <w:rsid w:val="00C55B54"/>
    <w:rsid w:val="00C6098E"/>
    <w:rsid w:val="00C6152C"/>
    <w:rsid w:val="00C618FA"/>
    <w:rsid w:val="00C621C2"/>
    <w:rsid w:val="00C717A2"/>
    <w:rsid w:val="00C74810"/>
    <w:rsid w:val="00C76CC2"/>
    <w:rsid w:val="00C9088D"/>
    <w:rsid w:val="00C90D68"/>
    <w:rsid w:val="00C939FE"/>
    <w:rsid w:val="00CA0E1C"/>
    <w:rsid w:val="00CA4BDA"/>
    <w:rsid w:val="00CB1F66"/>
    <w:rsid w:val="00CB2951"/>
    <w:rsid w:val="00CB63B2"/>
    <w:rsid w:val="00CC48ED"/>
    <w:rsid w:val="00CD282B"/>
    <w:rsid w:val="00CD4C35"/>
    <w:rsid w:val="00CD7369"/>
    <w:rsid w:val="00CE0B0E"/>
    <w:rsid w:val="00CE123C"/>
    <w:rsid w:val="00CE3831"/>
    <w:rsid w:val="00CE53AE"/>
    <w:rsid w:val="00CE5B66"/>
    <w:rsid w:val="00D00ABB"/>
    <w:rsid w:val="00D02EEC"/>
    <w:rsid w:val="00D03551"/>
    <w:rsid w:val="00D06A63"/>
    <w:rsid w:val="00D07E0E"/>
    <w:rsid w:val="00D11478"/>
    <w:rsid w:val="00D15EB2"/>
    <w:rsid w:val="00D15ED0"/>
    <w:rsid w:val="00D168E8"/>
    <w:rsid w:val="00D21B3E"/>
    <w:rsid w:val="00D21FED"/>
    <w:rsid w:val="00D24251"/>
    <w:rsid w:val="00D343E2"/>
    <w:rsid w:val="00D361A2"/>
    <w:rsid w:val="00D44C2E"/>
    <w:rsid w:val="00D45414"/>
    <w:rsid w:val="00D53C0F"/>
    <w:rsid w:val="00D566BD"/>
    <w:rsid w:val="00D57A4D"/>
    <w:rsid w:val="00D60AA7"/>
    <w:rsid w:val="00D60D87"/>
    <w:rsid w:val="00D6435F"/>
    <w:rsid w:val="00D70FF2"/>
    <w:rsid w:val="00D74019"/>
    <w:rsid w:val="00D7560B"/>
    <w:rsid w:val="00D75E28"/>
    <w:rsid w:val="00D772C2"/>
    <w:rsid w:val="00D8008E"/>
    <w:rsid w:val="00D803EF"/>
    <w:rsid w:val="00D821BC"/>
    <w:rsid w:val="00D82C45"/>
    <w:rsid w:val="00D835EA"/>
    <w:rsid w:val="00D908A8"/>
    <w:rsid w:val="00D92C2E"/>
    <w:rsid w:val="00D977B6"/>
    <w:rsid w:val="00DA4A31"/>
    <w:rsid w:val="00DA61F2"/>
    <w:rsid w:val="00DA7B04"/>
    <w:rsid w:val="00DB188E"/>
    <w:rsid w:val="00DB36C2"/>
    <w:rsid w:val="00DB7196"/>
    <w:rsid w:val="00DB7297"/>
    <w:rsid w:val="00DC0F3E"/>
    <w:rsid w:val="00DC169B"/>
    <w:rsid w:val="00DC2AB9"/>
    <w:rsid w:val="00DC63F0"/>
    <w:rsid w:val="00DD6EE5"/>
    <w:rsid w:val="00DE1B8E"/>
    <w:rsid w:val="00DE386C"/>
    <w:rsid w:val="00DE4D35"/>
    <w:rsid w:val="00DE6B56"/>
    <w:rsid w:val="00DF0549"/>
    <w:rsid w:val="00DF098B"/>
    <w:rsid w:val="00DF11C4"/>
    <w:rsid w:val="00DF1D87"/>
    <w:rsid w:val="00DF210C"/>
    <w:rsid w:val="00DF3702"/>
    <w:rsid w:val="00DF4B6A"/>
    <w:rsid w:val="00E02C09"/>
    <w:rsid w:val="00E035FC"/>
    <w:rsid w:val="00E04D59"/>
    <w:rsid w:val="00E07DA1"/>
    <w:rsid w:val="00E123CB"/>
    <w:rsid w:val="00E1557C"/>
    <w:rsid w:val="00E20E13"/>
    <w:rsid w:val="00E21DBC"/>
    <w:rsid w:val="00E275D7"/>
    <w:rsid w:val="00E27DBE"/>
    <w:rsid w:val="00E32786"/>
    <w:rsid w:val="00E32AB1"/>
    <w:rsid w:val="00E36C71"/>
    <w:rsid w:val="00E376AA"/>
    <w:rsid w:val="00E40404"/>
    <w:rsid w:val="00E459C6"/>
    <w:rsid w:val="00E47589"/>
    <w:rsid w:val="00E529CA"/>
    <w:rsid w:val="00E64915"/>
    <w:rsid w:val="00E661D4"/>
    <w:rsid w:val="00E70091"/>
    <w:rsid w:val="00E720F5"/>
    <w:rsid w:val="00E740D7"/>
    <w:rsid w:val="00E74B63"/>
    <w:rsid w:val="00E76D47"/>
    <w:rsid w:val="00E81526"/>
    <w:rsid w:val="00E849F7"/>
    <w:rsid w:val="00E871CA"/>
    <w:rsid w:val="00E90302"/>
    <w:rsid w:val="00E9597F"/>
    <w:rsid w:val="00E97396"/>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EF573B"/>
    <w:rsid w:val="00F00A79"/>
    <w:rsid w:val="00F00E86"/>
    <w:rsid w:val="00F00F8B"/>
    <w:rsid w:val="00F04612"/>
    <w:rsid w:val="00F07C1E"/>
    <w:rsid w:val="00F105DB"/>
    <w:rsid w:val="00F132BC"/>
    <w:rsid w:val="00F13D80"/>
    <w:rsid w:val="00F16AAA"/>
    <w:rsid w:val="00F21161"/>
    <w:rsid w:val="00F218EF"/>
    <w:rsid w:val="00F21BC7"/>
    <w:rsid w:val="00F266A2"/>
    <w:rsid w:val="00F310C6"/>
    <w:rsid w:val="00F32269"/>
    <w:rsid w:val="00F4457E"/>
    <w:rsid w:val="00F56A6F"/>
    <w:rsid w:val="00F56FC6"/>
    <w:rsid w:val="00F5709C"/>
    <w:rsid w:val="00F64EF1"/>
    <w:rsid w:val="00F86D80"/>
    <w:rsid w:val="00F875E3"/>
    <w:rsid w:val="00F8765F"/>
    <w:rsid w:val="00F90767"/>
    <w:rsid w:val="00FA146D"/>
    <w:rsid w:val="00FA685B"/>
    <w:rsid w:val="00FB0331"/>
    <w:rsid w:val="00FB0C01"/>
    <w:rsid w:val="00FC18F2"/>
    <w:rsid w:val="00FC39E5"/>
    <w:rsid w:val="00FC3A78"/>
    <w:rsid w:val="00FC5FFE"/>
    <w:rsid w:val="00FD1005"/>
    <w:rsid w:val="00FD3180"/>
    <w:rsid w:val="00FD6C75"/>
    <w:rsid w:val="00FE71B3"/>
    <w:rsid w:val="00FF0ACE"/>
    <w:rsid w:val="00FF4125"/>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68E9"/>
    <w:pPr>
      <w:jc w:val="both"/>
    </w:pPr>
    <w:rPr>
      <w:rFonts w:eastAsiaTheme="minorEastAsia"/>
      <w:sz w:val="24"/>
    </w:rPr>
  </w:style>
  <w:style w:type="paragraph" w:styleId="Nagwek1">
    <w:name w:val="heading 1"/>
    <w:basedOn w:val="Normalny"/>
    <w:next w:val="Normalny"/>
    <w:link w:val="Nagwek1Znak"/>
    <w:uiPriority w:val="99"/>
    <w:semiHidden/>
    <w:rsid w:val="004868E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68E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68E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68E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68E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68E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68E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68E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68E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68E9"/>
    <w:rPr>
      <w:rFonts w:ascii="Tahoma" w:hAnsi="Tahoma" w:cs="Tahoma"/>
      <w:sz w:val="16"/>
      <w:szCs w:val="16"/>
    </w:rPr>
  </w:style>
  <w:style w:type="character" w:customStyle="1" w:styleId="TekstdymkaZnak">
    <w:name w:val="Tekst dymka Znak"/>
    <w:basedOn w:val="Domylnaczcionkaakapitu"/>
    <w:link w:val="Tekstdymka"/>
    <w:uiPriority w:val="99"/>
    <w:semiHidden/>
    <w:rsid w:val="004868E9"/>
    <w:rPr>
      <w:rFonts w:ascii="Tahoma" w:eastAsiaTheme="minorEastAsia" w:hAnsi="Tahoma" w:cs="Tahoma"/>
      <w:sz w:val="16"/>
      <w:szCs w:val="16"/>
    </w:rPr>
  </w:style>
  <w:style w:type="character" w:styleId="Tytuksiki">
    <w:name w:val="Book Title"/>
    <w:uiPriority w:val="99"/>
    <w:semiHidden/>
    <w:qFormat/>
    <w:rsid w:val="004868E9"/>
    <w:rPr>
      <w:i/>
      <w:iCs/>
      <w:smallCaps/>
      <w:spacing w:val="5"/>
    </w:rPr>
  </w:style>
  <w:style w:type="paragraph" w:customStyle="1" w:styleId="ECHRHeader">
    <w:name w:val="ECHR_Header"/>
    <w:aliases w:val="Ju_Header"/>
    <w:basedOn w:val="Nagwek"/>
    <w:uiPriority w:val="4"/>
    <w:qFormat/>
    <w:rsid w:val="004868E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68E9"/>
    <w:pPr>
      <w:jc w:val="left"/>
    </w:pPr>
    <w:rPr>
      <w:sz w:val="8"/>
    </w:rPr>
  </w:style>
  <w:style w:type="character" w:styleId="Pogrubienie">
    <w:name w:val="Strong"/>
    <w:uiPriority w:val="99"/>
    <w:semiHidden/>
    <w:qFormat/>
    <w:rsid w:val="004868E9"/>
    <w:rPr>
      <w:b/>
      <w:bCs/>
    </w:rPr>
  </w:style>
  <w:style w:type="paragraph" w:styleId="Bezodstpw">
    <w:name w:val="No Spacing"/>
    <w:basedOn w:val="Normalny"/>
    <w:link w:val="BezodstpwZnak"/>
    <w:semiHidden/>
    <w:qFormat/>
    <w:rsid w:val="004868E9"/>
    <w:rPr>
      <w:sz w:val="22"/>
    </w:rPr>
  </w:style>
  <w:style w:type="character" w:customStyle="1" w:styleId="BezodstpwZnak">
    <w:name w:val="Bez odstępów Znak"/>
    <w:basedOn w:val="Domylnaczcionkaakapitu"/>
    <w:link w:val="Bezodstpw"/>
    <w:semiHidden/>
    <w:rsid w:val="004868E9"/>
    <w:rPr>
      <w:rFonts w:eastAsiaTheme="minorEastAsia"/>
    </w:rPr>
  </w:style>
  <w:style w:type="paragraph" w:customStyle="1" w:styleId="ECHRFooterLine">
    <w:name w:val="ECHR_Footer_Line"/>
    <w:aliases w:val="Footer_Line"/>
    <w:basedOn w:val="Normalny"/>
    <w:next w:val="ECHRFooter"/>
    <w:uiPriority w:val="57"/>
    <w:semiHidden/>
    <w:rsid w:val="004868E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868E9"/>
  </w:style>
  <w:style w:type="paragraph" w:customStyle="1" w:styleId="DecList">
    <w:name w:val="Dec_List"/>
    <w:basedOn w:val="Normalny"/>
    <w:uiPriority w:val="9"/>
    <w:semiHidden/>
    <w:qFormat/>
    <w:rsid w:val="004868E9"/>
    <w:pPr>
      <w:spacing w:before="240"/>
      <w:ind w:left="284"/>
    </w:pPr>
  </w:style>
  <w:style w:type="paragraph" w:customStyle="1" w:styleId="DummyStyle">
    <w:name w:val="Dummy_Style"/>
    <w:basedOn w:val="Normalny"/>
    <w:semiHidden/>
    <w:qFormat/>
    <w:rsid w:val="004868E9"/>
    <w:rPr>
      <w:color w:val="00B050"/>
    </w:rPr>
  </w:style>
  <w:style w:type="paragraph" w:customStyle="1" w:styleId="ECHRTitleCentre3">
    <w:name w:val="ECHR_Title_Centre_3"/>
    <w:aliases w:val="Ju_H_Article"/>
    <w:basedOn w:val="Normalny"/>
    <w:next w:val="ECHRParaQuote"/>
    <w:uiPriority w:val="27"/>
    <w:qFormat/>
    <w:rsid w:val="004868E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68E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4868E9"/>
    <w:pPr>
      <w:numPr>
        <w:numId w:val="16"/>
      </w:numPr>
      <w:jc w:val="left"/>
    </w:pPr>
    <w:rPr>
      <w:b/>
    </w:rPr>
  </w:style>
  <w:style w:type="paragraph" w:customStyle="1" w:styleId="JuCourt">
    <w:name w:val="Ju_Court"/>
    <w:basedOn w:val="Normalny"/>
    <w:next w:val="Normalny"/>
    <w:uiPriority w:val="16"/>
    <w:qFormat/>
    <w:rsid w:val="004868E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4868E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4868E9"/>
    <w:pPr>
      <w:spacing w:after="240"/>
      <w:jc w:val="center"/>
      <w:outlineLvl w:val="0"/>
    </w:pPr>
    <w:rPr>
      <w:rFonts w:asciiTheme="majorHAnsi" w:hAnsiTheme="majorHAnsi"/>
    </w:rPr>
  </w:style>
  <w:style w:type="paragraph" w:customStyle="1" w:styleId="JuInitialled">
    <w:name w:val="Ju_Initialled"/>
    <w:basedOn w:val="Normalny"/>
    <w:uiPriority w:val="31"/>
    <w:qFormat/>
    <w:rsid w:val="004868E9"/>
    <w:pPr>
      <w:tabs>
        <w:tab w:val="center" w:pos="6407"/>
      </w:tabs>
      <w:spacing w:before="720"/>
      <w:jc w:val="right"/>
    </w:pPr>
  </w:style>
  <w:style w:type="paragraph" w:styleId="Tytu">
    <w:name w:val="Title"/>
    <w:basedOn w:val="Normalny"/>
    <w:next w:val="Normalny"/>
    <w:link w:val="TytuZnak"/>
    <w:uiPriority w:val="99"/>
    <w:semiHidden/>
    <w:qFormat/>
    <w:rsid w:val="004868E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68E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868E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868E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868E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68E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68E9"/>
    <w:pPr>
      <w:keepNext/>
      <w:keepLines/>
      <w:spacing w:before="240" w:after="120"/>
      <w:ind w:left="1236"/>
    </w:pPr>
    <w:rPr>
      <w:sz w:val="20"/>
    </w:rPr>
  </w:style>
  <w:style w:type="character" w:customStyle="1" w:styleId="JuITMark">
    <w:name w:val="Ju_ITMark"/>
    <w:basedOn w:val="Domylnaczcionkaakapitu"/>
    <w:uiPriority w:val="38"/>
    <w:qFormat/>
    <w:rsid w:val="004868E9"/>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868E9"/>
    <w:pPr>
      <w:ind w:left="346" w:firstLine="0"/>
    </w:pPr>
  </w:style>
  <w:style w:type="paragraph" w:customStyle="1" w:styleId="JuListi">
    <w:name w:val="Ju_List_i"/>
    <w:basedOn w:val="Normalny"/>
    <w:next w:val="JuLista"/>
    <w:uiPriority w:val="28"/>
    <w:qFormat/>
    <w:rsid w:val="004868E9"/>
    <w:pPr>
      <w:ind w:left="794"/>
    </w:pPr>
  </w:style>
  <w:style w:type="paragraph" w:styleId="Nagwek">
    <w:name w:val="header"/>
    <w:basedOn w:val="Normalny"/>
    <w:link w:val="NagwekZnak"/>
    <w:uiPriority w:val="57"/>
    <w:semiHidden/>
    <w:rsid w:val="004868E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868E9"/>
    <w:rPr>
      <w:sz w:val="24"/>
    </w:rPr>
  </w:style>
  <w:style w:type="character" w:customStyle="1" w:styleId="Nagwek1Znak">
    <w:name w:val="Nagłówek 1 Znak"/>
    <w:basedOn w:val="Domylnaczcionkaakapitu"/>
    <w:link w:val="Nagwek1"/>
    <w:uiPriority w:val="99"/>
    <w:semiHidden/>
    <w:rsid w:val="004868E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68E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4868E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68E9"/>
    <w:rPr>
      <w:rFonts w:asciiTheme="majorHAnsi" w:eastAsiaTheme="majorEastAsia" w:hAnsiTheme="majorHAnsi" w:cstheme="majorBidi"/>
      <w:b/>
      <w:bCs/>
      <w:color w:val="4D4D4D"/>
      <w:sz w:val="26"/>
      <w:szCs w:val="26"/>
    </w:rPr>
  </w:style>
  <w:style w:type="character" w:customStyle="1" w:styleId="JUNAMES">
    <w:name w:val="JU_NAMES"/>
    <w:uiPriority w:val="17"/>
    <w:qFormat/>
    <w:rsid w:val="004868E9"/>
    <w:rPr>
      <w:caps w:val="0"/>
      <w:smallCaps/>
    </w:rPr>
  </w:style>
  <w:style w:type="paragraph" w:customStyle="1" w:styleId="JuCase">
    <w:name w:val="Ju_Case"/>
    <w:basedOn w:val="Normalny"/>
    <w:next w:val="ECHRPara"/>
    <w:uiPriority w:val="10"/>
    <w:rsid w:val="004868E9"/>
    <w:pPr>
      <w:ind w:firstLine="284"/>
    </w:pPr>
    <w:rPr>
      <w:b/>
    </w:rPr>
  </w:style>
  <w:style w:type="character" w:customStyle="1" w:styleId="Nagwek3Znak">
    <w:name w:val="Nagłówek 3 Znak"/>
    <w:basedOn w:val="Domylnaczcionkaakapitu"/>
    <w:link w:val="Nagwek3"/>
    <w:uiPriority w:val="99"/>
    <w:semiHidden/>
    <w:rsid w:val="004868E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868E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868E9"/>
    <w:rPr>
      <w:rFonts w:asciiTheme="majorHAnsi" w:eastAsiaTheme="majorEastAsia" w:hAnsiTheme="majorHAnsi" w:cstheme="majorBidi"/>
      <w:b/>
      <w:bCs/>
      <w:color w:val="808080"/>
    </w:rPr>
  </w:style>
  <w:style w:type="character" w:styleId="Wyrnieniedelikatne">
    <w:name w:val="Subtle Emphasis"/>
    <w:uiPriority w:val="99"/>
    <w:semiHidden/>
    <w:qFormat/>
    <w:rsid w:val="004868E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68E9"/>
    <w:pPr>
      <w:keepNext/>
      <w:keepLines/>
      <w:spacing w:before="720" w:after="240"/>
      <w:outlineLvl w:val="0"/>
    </w:pPr>
    <w:rPr>
      <w:rFonts w:asciiTheme="majorHAnsi" w:hAnsiTheme="majorHAnsi"/>
      <w:sz w:val="28"/>
    </w:rPr>
  </w:style>
  <w:style w:type="character" w:styleId="Uwydatnienie">
    <w:name w:val="Emphasis"/>
    <w:uiPriority w:val="99"/>
    <w:semiHidden/>
    <w:qFormat/>
    <w:rsid w:val="004868E9"/>
    <w:rPr>
      <w:b/>
      <w:bCs/>
      <w:i/>
      <w:iCs/>
      <w:spacing w:val="10"/>
      <w:bdr w:val="none" w:sz="0" w:space="0" w:color="auto"/>
      <w:shd w:val="clear" w:color="auto" w:fill="auto"/>
    </w:rPr>
  </w:style>
  <w:style w:type="paragraph" w:styleId="Stopka">
    <w:name w:val="footer"/>
    <w:basedOn w:val="Normalny"/>
    <w:link w:val="StopkaZnak"/>
    <w:uiPriority w:val="57"/>
    <w:semiHidden/>
    <w:rsid w:val="004868E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68E9"/>
    <w:rPr>
      <w:sz w:val="24"/>
    </w:rPr>
  </w:style>
  <w:style w:type="character" w:styleId="Odwoanieprzypisudolnego">
    <w:name w:val="footnote reference"/>
    <w:basedOn w:val="Domylnaczcionkaakapitu"/>
    <w:uiPriority w:val="99"/>
    <w:semiHidden/>
    <w:rsid w:val="004868E9"/>
    <w:rPr>
      <w:vertAlign w:val="superscript"/>
    </w:rPr>
  </w:style>
  <w:style w:type="paragraph" w:styleId="Tekstprzypisudolnego">
    <w:name w:val="footnote text"/>
    <w:basedOn w:val="Normalny"/>
    <w:link w:val="TekstprzypisudolnegoZnak"/>
    <w:uiPriority w:val="99"/>
    <w:semiHidden/>
    <w:rsid w:val="004868E9"/>
    <w:rPr>
      <w:sz w:val="20"/>
      <w:szCs w:val="20"/>
    </w:rPr>
  </w:style>
  <w:style w:type="character" w:customStyle="1" w:styleId="TekstprzypisudolnegoZnak">
    <w:name w:val="Tekst przypisu dolnego Znak"/>
    <w:basedOn w:val="Domylnaczcionkaakapitu"/>
    <w:link w:val="Tekstprzypisudolnego"/>
    <w:uiPriority w:val="99"/>
    <w:semiHidden/>
    <w:rsid w:val="004868E9"/>
    <w:rPr>
      <w:rFonts w:eastAsiaTheme="minorEastAsia"/>
      <w:sz w:val="20"/>
      <w:szCs w:val="20"/>
    </w:rPr>
  </w:style>
  <w:style w:type="character" w:customStyle="1" w:styleId="Nagwek6Znak">
    <w:name w:val="Nagłówek 6 Znak"/>
    <w:basedOn w:val="Domylnaczcionkaakapitu"/>
    <w:link w:val="Nagwek6"/>
    <w:uiPriority w:val="99"/>
    <w:semiHidden/>
    <w:rsid w:val="004868E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68E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68E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68E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68E9"/>
    <w:rPr>
      <w:color w:val="0072BC" w:themeColor="hyperlink"/>
      <w:u w:val="single"/>
    </w:rPr>
  </w:style>
  <w:style w:type="character" w:styleId="Wyrnienieintensywne">
    <w:name w:val="Intense Emphasis"/>
    <w:uiPriority w:val="99"/>
    <w:semiHidden/>
    <w:qFormat/>
    <w:rsid w:val="004868E9"/>
    <w:rPr>
      <w:b/>
      <w:bCs/>
    </w:rPr>
  </w:style>
  <w:style w:type="paragraph" w:styleId="Cytatintensywny">
    <w:name w:val="Intense Quote"/>
    <w:basedOn w:val="Normalny"/>
    <w:next w:val="Normalny"/>
    <w:link w:val="CytatintensywnyZnak"/>
    <w:uiPriority w:val="99"/>
    <w:semiHidden/>
    <w:qFormat/>
    <w:rsid w:val="004868E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68E9"/>
    <w:rPr>
      <w:rFonts w:eastAsiaTheme="minorEastAsia"/>
      <w:b/>
      <w:bCs/>
      <w:i/>
      <w:iCs/>
      <w:lang w:bidi="en-US"/>
    </w:rPr>
  </w:style>
  <w:style w:type="character" w:styleId="Odwoanieintensywne">
    <w:name w:val="Intense Reference"/>
    <w:uiPriority w:val="99"/>
    <w:semiHidden/>
    <w:qFormat/>
    <w:rsid w:val="004868E9"/>
    <w:rPr>
      <w:smallCaps/>
      <w:spacing w:val="5"/>
      <w:u w:val="single"/>
    </w:rPr>
  </w:style>
  <w:style w:type="paragraph" w:styleId="Akapitzlist">
    <w:name w:val="List Paragraph"/>
    <w:basedOn w:val="Normalny"/>
    <w:uiPriority w:val="99"/>
    <w:semiHidden/>
    <w:qFormat/>
    <w:rsid w:val="004868E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868E9"/>
    <w:pPr>
      <w:spacing w:before="200"/>
      <w:ind w:left="360" w:right="360"/>
    </w:pPr>
    <w:rPr>
      <w:i/>
      <w:iCs/>
      <w:sz w:val="22"/>
      <w:lang w:bidi="en-US"/>
    </w:rPr>
  </w:style>
  <w:style w:type="character" w:customStyle="1" w:styleId="CytatZnak">
    <w:name w:val="Cytat Znak"/>
    <w:basedOn w:val="Domylnaczcionkaakapitu"/>
    <w:link w:val="Cytat"/>
    <w:uiPriority w:val="99"/>
    <w:semiHidden/>
    <w:rsid w:val="004868E9"/>
    <w:rPr>
      <w:rFonts w:eastAsiaTheme="minorEastAsia"/>
      <w:i/>
      <w:iCs/>
      <w:lang w:bidi="en-US"/>
    </w:rPr>
  </w:style>
  <w:style w:type="character" w:styleId="Odwoaniedelikatne">
    <w:name w:val="Subtle Reference"/>
    <w:uiPriority w:val="99"/>
    <w:semiHidden/>
    <w:qFormat/>
    <w:rsid w:val="004868E9"/>
    <w:rPr>
      <w:smallCaps/>
    </w:rPr>
  </w:style>
  <w:style w:type="table" w:styleId="Tabela-Siatka">
    <w:name w:val="Table Grid"/>
    <w:basedOn w:val="Standardowy"/>
    <w:uiPriority w:val="59"/>
    <w:semiHidden/>
    <w:rsid w:val="004868E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868E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868E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868E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868E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868E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868E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68E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868E9"/>
    <w:pPr>
      <w:spacing w:before="120" w:after="120"/>
      <w:ind w:left="425" w:firstLine="142"/>
    </w:pPr>
    <w:rPr>
      <w:sz w:val="20"/>
    </w:rPr>
  </w:style>
  <w:style w:type="paragraph" w:customStyle="1" w:styleId="ECHRPara">
    <w:name w:val="ECHR_Para"/>
    <w:aliases w:val="Ju_Para"/>
    <w:basedOn w:val="Normalny"/>
    <w:link w:val="ECHRParaChar"/>
    <w:uiPriority w:val="12"/>
    <w:qFormat/>
    <w:rsid w:val="004868E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68E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868E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868E9"/>
    <w:pPr>
      <w:ind w:left="340" w:hanging="340"/>
    </w:pPr>
  </w:style>
  <w:style w:type="paragraph" w:customStyle="1" w:styleId="JuSigned">
    <w:name w:val="Ju_Signed"/>
    <w:basedOn w:val="Normalny"/>
    <w:next w:val="JuParaLast"/>
    <w:uiPriority w:val="32"/>
    <w:qFormat/>
    <w:rsid w:val="004868E9"/>
    <w:pPr>
      <w:tabs>
        <w:tab w:val="center" w:pos="851"/>
        <w:tab w:val="center" w:pos="6407"/>
      </w:tabs>
      <w:spacing w:before="720"/>
      <w:jc w:val="left"/>
    </w:pPr>
  </w:style>
  <w:style w:type="paragraph" w:customStyle="1" w:styleId="JuParaLast">
    <w:name w:val="Ju_Para_Last"/>
    <w:basedOn w:val="Normalny"/>
    <w:next w:val="ECHRPara"/>
    <w:uiPriority w:val="30"/>
    <w:qFormat/>
    <w:rsid w:val="004868E9"/>
    <w:pPr>
      <w:keepNext/>
      <w:keepLines/>
      <w:spacing w:before="240"/>
      <w:ind w:firstLine="284"/>
    </w:pPr>
  </w:style>
  <w:style w:type="paragraph" w:customStyle="1" w:styleId="JuParaSub">
    <w:name w:val="Ju_Para_Sub"/>
    <w:basedOn w:val="ECHRPara"/>
    <w:uiPriority w:val="13"/>
    <w:qFormat/>
    <w:rsid w:val="004868E9"/>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4868E9"/>
    <w:pPr>
      <w:ind w:left="567"/>
    </w:pPr>
  </w:style>
  <w:style w:type="paragraph" w:customStyle="1" w:styleId="JuTitle">
    <w:name w:val="Ju_Title"/>
    <w:basedOn w:val="Normalny"/>
    <w:next w:val="ECHRPara"/>
    <w:uiPriority w:val="3"/>
    <w:semiHidden/>
    <w:qFormat/>
    <w:rsid w:val="004868E9"/>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4868E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4868E9"/>
    <w:pPr>
      <w:ind w:left="833" w:hanging="357"/>
      <w:outlineLvl w:val="3"/>
    </w:pPr>
    <w:rPr>
      <w:b/>
      <w:i w:val="0"/>
      <w:sz w:val="20"/>
    </w:rPr>
  </w:style>
  <w:style w:type="paragraph" w:styleId="Podtytu">
    <w:name w:val="Subtitle"/>
    <w:basedOn w:val="Normalny"/>
    <w:next w:val="Normalny"/>
    <w:link w:val="PodtytuZnak"/>
    <w:uiPriority w:val="99"/>
    <w:semiHidden/>
    <w:qFormat/>
    <w:rsid w:val="004868E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68E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4868E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868E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868E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4868E9"/>
    <w:pPr>
      <w:tabs>
        <w:tab w:val="clear" w:pos="357"/>
      </w:tabs>
      <w:outlineLvl w:val="1"/>
    </w:pPr>
    <w:rPr>
      <w:b/>
    </w:rPr>
  </w:style>
  <w:style w:type="paragraph" w:customStyle="1" w:styleId="OpiHi">
    <w:name w:val="Opi_H_i"/>
    <w:basedOn w:val="ECHRHeading4"/>
    <w:uiPriority w:val="44"/>
    <w:qFormat/>
    <w:rsid w:val="004868E9"/>
    <w:pPr>
      <w:ind w:left="1037" w:hanging="357"/>
      <w:outlineLvl w:val="4"/>
    </w:pPr>
    <w:rPr>
      <w:b w:val="0"/>
      <w:i/>
    </w:rPr>
  </w:style>
  <w:style w:type="paragraph" w:customStyle="1" w:styleId="OpiPara">
    <w:name w:val="Opi_Para"/>
    <w:basedOn w:val="ECHRPara"/>
    <w:uiPriority w:val="46"/>
    <w:qFormat/>
    <w:rsid w:val="004868E9"/>
  </w:style>
  <w:style w:type="paragraph" w:customStyle="1" w:styleId="OpiParaSub">
    <w:name w:val="Opi_Para_Sub"/>
    <w:basedOn w:val="JuParaSub"/>
    <w:uiPriority w:val="47"/>
    <w:qFormat/>
    <w:rsid w:val="004868E9"/>
  </w:style>
  <w:style w:type="paragraph" w:customStyle="1" w:styleId="OpiQuot">
    <w:name w:val="Opi_Quot"/>
    <w:basedOn w:val="ECHRParaQuote"/>
    <w:uiPriority w:val="48"/>
    <w:qFormat/>
    <w:rsid w:val="004868E9"/>
  </w:style>
  <w:style w:type="paragraph" w:customStyle="1" w:styleId="OpiQuotSub">
    <w:name w:val="Opi_Quot_Sub"/>
    <w:basedOn w:val="JuQuotSub"/>
    <w:uiPriority w:val="49"/>
    <w:qFormat/>
    <w:rsid w:val="004868E9"/>
  </w:style>
  <w:style w:type="paragraph" w:customStyle="1" w:styleId="OpiTranslation">
    <w:name w:val="Opi_Translation"/>
    <w:basedOn w:val="Normalny"/>
    <w:next w:val="OpiPara"/>
    <w:uiPriority w:val="40"/>
    <w:qFormat/>
    <w:rsid w:val="004868E9"/>
    <w:pPr>
      <w:jc w:val="center"/>
      <w:outlineLvl w:val="0"/>
    </w:pPr>
    <w:rPr>
      <w:i/>
    </w:rPr>
  </w:style>
  <w:style w:type="character" w:customStyle="1" w:styleId="ECHRParaChar">
    <w:name w:val="ECHR_Para Char"/>
    <w:aliases w:val="Ju_Para Char"/>
    <w:link w:val="ECHRPara"/>
    <w:uiPriority w:val="12"/>
    <w:rsid w:val="00E376AA"/>
    <w:rPr>
      <w:rFonts w:eastAsiaTheme="minorEastAsia"/>
      <w:sz w:val="24"/>
    </w:rPr>
  </w:style>
  <w:style w:type="character" w:customStyle="1" w:styleId="JuH1Char">
    <w:name w:val="Ju_H_1. Char"/>
    <w:link w:val="ECHRHeading3"/>
    <w:uiPriority w:val="21"/>
    <w:rsid w:val="00D92C2E"/>
    <w:rPr>
      <w:rFonts w:asciiTheme="majorHAnsi" w:eastAsiaTheme="majorEastAsia" w:hAnsiTheme="majorHAnsi" w:cstheme="majorBidi"/>
      <w:bCs/>
      <w:i/>
      <w:sz w:val="24"/>
    </w:rPr>
  </w:style>
  <w:style w:type="character" w:customStyle="1" w:styleId="JuHAChar">
    <w:name w:val="Ju_H_A Char"/>
    <w:basedOn w:val="Domylnaczcionkaakapitu"/>
    <w:link w:val="ECHRHeading2"/>
    <w:uiPriority w:val="20"/>
    <w:rsid w:val="009E21E9"/>
    <w:rPr>
      <w:rFonts w:asciiTheme="majorHAnsi" w:eastAsiaTheme="majorEastAsia" w:hAnsiTheme="majorHAnsi" w:cstheme="majorBidi"/>
      <w:b/>
      <w:bCs/>
      <w:sz w:val="24"/>
      <w:szCs w:val="26"/>
    </w:rPr>
  </w:style>
  <w:style w:type="paragraph" w:styleId="Poprawka">
    <w:name w:val="Revision"/>
    <w:hidden/>
    <w:uiPriority w:val="99"/>
    <w:semiHidden/>
    <w:rsid w:val="00076707"/>
    <w:rPr>
      <w:rFonts w:eastAsiaTheme="minorEastAsia"/>
      <w:sz w:val="24"/>
    </w:rPr>
  </w:style>
  <w:style w:type="character" w:customStyle="1" w:styleId="CLLItalic">
    <w:name w:val="CLL_Italic"/>
    <w:basedOn w:val="Domylnaczcionkaakapitu"/>
    <w:uiPriority w:val="1"/>
    <w:rsid w:val="00E740D7"/>
    <w:rPr>
      <w:i/>
      <w:iCs/>
      <w:color w:val="auto"/>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68E9"/>
    <w:pPr>
      <w:jc w:val="both"/>
    </w:pPr>
    <w:rPr>
      <w:rFonts w:eastAsiaTheme="minorEastAsia"/>
      <w:sz w:val="24"/>
    </w:rPr>
  </w:style>
  <w:style w:type="paragraph" w:styleId="Nagwek1">
    <w:name w:val="heading 1"/>
    <w:basedOn w:val="Normalny"/>
    <w:next w:val="Normalny"/>
    <w:link w:val="Nagwek1Znak"/>
    <w:uiPriority w:val="99"/>
    <w:semiHidden/>
    <w:rsid w:val="004868E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68E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68E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68E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68E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68E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68E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68E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68E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68E9"/>
    <w:rPr>
      <w:rFonts w:ascii="Tahoma" w:hAnsi="Tahoma" w:cs="Tahoma"/>
      <w:sz w:val="16"/>
      <w:szCs w:val="16"/>
    </w:rPr>
  </w:style>
  <w:style w:type="character" w:customStyle="1" w:styleId="TekstdymkaZnak">
    <w:name w:val="Tekst dymka Znak"/>
    <w:basedOn w:val="Domylnaczcionkaakapitu"/>
    <w:link w:val="Tekstdymka"/>
    <w:uiPriority w:val="99"/>
    <w:semiHidden/>
    <w:rsid w:val="004868E9"/>
    <w:rPr>
      <w:rFonts w:ascii="Tahoma" w:eastAsiaTheme="minorEastAsia" w:hAnsi="Tahoma" w:cs="Tahoma"/>
      <w:sz w:val="16"/>
      <w:szCs w:val="16"/>
    </w:rPr>
  </w:style>
  <w:style w:type="character" w:styleId="Tytuksiki">
    <w:name w:val="Book Title"/>
    <w:uiPriority w:val="99"/>
    <w:semiHidden/>
    <w:qFormat/>
    <w:rsid w:val="004868E9"/>
    <w:rPr>
      <w:i/>
      <w:iCs/>
      <w:smallCaps/>
      <w:spacing w:val="5"/>
    </w:rPr>
  </w:style>
  <w:style w:type="paragraph" w:customStyle="1" w:styleId="ECHRHeader">
    <w:name w:val="ECHR_Header"/>
    <w:aliases w:val="Ju_Header"/>
    <w:basedOn w:val="Nagwek"/>
    <w:uiPriority w:val="4"/>
    <w:qFormat/>
    <w:rsid w:val="004868E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68E9"/>
    <w:pPr>
      <w:jc w:val="left"/>
    </w:pPr>
    <w:rPr>
      <w:sz w:val="8"/>
    </w:rPr>
  </w:style>
  <w:style w:type="character" w:styleId="Pogrubienie">
    <w:name w:val="Strong"/>
    <w:uiPriority w:val="99"/>
    <w:semiHidden/>
    <w:qFormat/>
    <w:rsid w:val="004868E9"/>
    <w:rPr>
      <w:b/>
      <w:bCs/>
    </w:rPr>
  </w:style>
  <w:style w:type="paragraph" w:styleId="Bezodstpw">
    <w:name w:val="No Spacing"/>
    <w:basedOn w:val="Normalny"/>
    <w:link w:val="BezodstpwZnak"/>
    <w:semiHidden/>
    <w:qFormat/>
    <w:rsid w:val="004868E9"/>
    <w:rPr>
      <w:sz w:val="22"/>
    </w:rPr>
  </w:style>
  <w:style w:type="character" w:customStyle="1" w:styleId="BezodstpwZnak">
    <w:name w:val="Bez odstępów Znak"/>
    <w:basedOn w:val="Domylnaczcionkaakapitu"/>
    <w:link w:val="Bezodstpw"/>
    <w:semiHidden/>
    <w:rsid w:val="004868E9"/>
    <w:rPr>
      <w:rFonts w:eastAsiaTheme="minorEastAsia"/>
    </w:rPr>
  </w:style>
  <w:style w:type="paragraph" w:customStyle="1" w:styleId="ECHRFooterLine">
    <w:name w:val="ECHR_Footer_Line"/>
    <w:aliases w:val="Footer_Line"/>
    <w:basedOn w:val="Normalny"/>
    <w:next w:val="ECHRFooter"/>
    <w:uiPriority w:val="57"/>
    <w:semiHidden/>
    <w:rsid w:val="004868E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868E9"/>
  </w:style>
  <w:style w:type="paragraph" w:customStyle="1" w:styleId="DecList">
    <w:name w:val="Dec_List"/>
    <w:basedOn w:val="Normalny"/>
    <w:uiPriority w:val="9"/>
    <w:semiHidden/>
    <w:qFormat/>
    <w:rsid w:val="004868E9"/>
    <w:pPr>
      <w:spacing w:before="240"/>
      <w:ind w:left="284"/>
    </w:pPr>
  </w:style>
  <w:style w:type="paragraph" w:customStyle="1" w:styleId="DummyStyle">
    <w:name w:val="Dummy_Style"/>
    <w:basedOn w:val="Normalny"/>
    <w:semiHidden/>
    <w:qFormat/>
    <w:rsid w:val="004868E9"/>
    <w:rPr>
      <w:color w:val="00B050"/>
    </w:rPr>
  </w:style>
  <w:style w:type="paragraph" w:customStyle="1" w:styleId="ECHRTitleCentre3">
    <w:name w:val="ECHR_Title_Centre_3"/>
    <w:aliases w:val="Ju_H_Article"/>
    <w:basedOn w:val="Normalny"/>
    <w:next w:val="ECHRParaQuote"/>
    <w:uiPriority w:val="27"/>
    <w:qFormat/>
    <w:rsid w:val="004868E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68E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4868E9"/>
    <w:pPr>
      <w:numPr>
        <w:numId w:val="16"/>
      </w:numPr>
      <w:jc w:val="left"/>
    </w:pPr>
    <w:rPr>
      <w:b/>
    </w:rPr>
  </w:style>
  <w:style w:type="paragraph" w:customStyle="1" w:styleId="JuCourt">
    <w:name w:val="Ju_Court"/>
    <w:basedOn w:val="Normalny"/>
    <w:next w:val="Normalny"/>
    <w:uiPriority w:val="16"/>
    <w:qFormat/>
    <w:rsid w:val="004868E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4868E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4868E9"/>
    <w:pPr>
      <w:spacing w:after="240"/>
      <w:jc w:val="center"/>
      <w:outlineLvl w:val="0"/>
    </w:pPr>
    <w:rPr>
      <w:rFonts w:asciiTheme="majorHAnsi" w:hAnsiTheme="majorHAnsi"/>
    </w:rPr>
  </w:style>
  <w:style w:type="paragraph" w:customStyle="1" w:styleId="JuInitialled">
    <w:name w:val="Ju_Initialled"/>
    <w:basedOn w:val="Normalny"/>
    <w:uiPriority w:val="31"/>
    <w:qFormat/>
    <w:rsid w:val="004868E9"/>
    <w:pPr>
      <w:tabs>
        <w:tab w:val="center" w:pos="6407"/>
      </w:tabs>
      <w:spacing w:before="720"/>
      <w:jc w:val="right"/>
    </w:pPr>
  </w:style>
  <w:style w:type="paragraph" w:styleId="Tytu">
    <w:name w:val="Title"/>
    <w:basedOn w:val="Normalny"/>
    <w:next w:val="Normalny"/>
    <w:link w:val="TytuZnak"/>
    <w:uiPriority w:val="99"/>
    <w:semiHidden/>
    <w:qFormat/>
    <w:rsid w:val="004868E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68E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868E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868E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868E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68E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68E9"/>
    <w:pPr>
      <w:keepNext/>
      <w:keepLines/>
      <w:spacing w:before="240" w:after="120"/>
      <w:ind w:left="1236"/>
    </w:pPr>
    <w:rPr>
      <w:sz w:val="20"/>
    </w:rPr>
  </w:style>
  <w:style w:type="character" w:customStyle="1" w:styleId="JuITMark">
    <w:name w:val="Ju_ITMark"/>
    <w:basedOn w:val="Domylnaczcionkaakapitu"/>
    <w:uiPriority w:val="38"/>
    <w:qFormat/>
    <w:rsid w:val="004868E9"/>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868E9"/>
    <w:pPr>
      <w:ind w:left="346" w:firstLine="0"/>
    </w:pPr>
  </w:style>
  <w:style w:type="paragraph" w:customStyle="1" w:styleId="JuListi">
    <w:name w:val="Ju_List_i"/>
    <w:basedOn w:val="Normalny"/>
    <w:next w:val="JuLista"/>
    <w:uiPriority w:val="28"/>
    <w:qFormat/>
    <w:rsid w:val="004868E9"/>
    <w:pPr>
      <w:ind w:left="794"/>
    </w:pPr>
  </w:style>
  <w:style w:type="paragraph" w:styleId="Nagwek">
    <w:name w:val="header"/>
    <w:basedOn w:val="Normalny"/>
    <w:link w:val="NagwekZnak"/>
    <w:uiPriority w:val="57"/>
    <w:semiHidden/>
    <w:rsid w:val="004868E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868E9"/>
    <w:rPr>
      <w:sz w:val="24"/>
    </w:rPr>
  </w:style>
  <w:style w:type="character" w:customStyle="1" w:styleId="Nagwek1Znak">
    <w:name w:val="Nagłówek 1 Znak"/>
    <w:basedOn w:val="Domylnaczcionkaakapitu"/>
    <w:link w:val="Nagwek1"/>
    <w:uiPriority w:val="99"/>
    <w:semiHidden/>
    <w:rsid w:val="004868E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68E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4868E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68E9"/>
    <w:rPr>
      <w:rFonts w:asciiTheme="majorHAnsi" w:eastAsiaTheme="majorEastAsia" w:hAnsiTheme="majorHAnsi" w:cstheme="majorBidi"/>
      <w:b/>
      <w:bCs/>
      <w:color w:val="4D4D4D"/>
      <w:sz w:val="26"/>
      <w:szCs w:val="26"/>
    </w:rPr>
  </w:style>
  <w:style w:type="character" w:customStyle="1" w:styleId="JUNAMES">
    <w:name w:val="JU_NAMES"/>
    <w:uiPriority w:val="17"/>
    <w:qFormat/>
    <w:rsid w:val="004868E9"/>
    <w:rPr>
      <w:caps w:val="0"/>
      <w:smallCaps/>
    </w:rPr>
  </w:style>
  <w:style w:type="paragraph" w:customStyle="1" w:styleId="JuCase">
    <w:name w:val="Ju_Case"/>
    <w:basedOn w:val="Normalny"/>
    <w:next w:val="ECHRPara"/>
    <w:uiPriority w:val="10"/>
    <w:rsid w:val="004868E9"/>
    <w:pPr>
      <w:ind w:firstLine="284"/>
    </w:pPr>
    <w:rPr>
      <w:b/>
    </w:rPr>
  </w:style>
  <w:style w:type="character" w:customStyle="1" w:styleId="Nagwek3Znak">
    <w:name w:val="Nagłówek 3 Znak"/>
    <w:basedOn w:val="Domylnaczcionkaakapitu"/>
    <w:link w:val="Nagwek3"/>
    <w:uiPriority w:val="99"/>
    <w:semiHidden/>
    <w:rsid w:val="004868E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868E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868E9"/>
    <w:rPr>
      <w:rFonts w:asciiTheme="majorHAnsi" w:eastAsiaTheme="majorEastAsia" w:hAnsiTheme="majorHAnsi" w:cstheme="majorBidi"/>
      <w:b/>
      <w:bCs/>
      <w:color w:val="808080"/>
    </w:rPr>
  </w:style>
  <w:style w:type="character" w:styleId="Wyrnieniedelikatne">
    <w:name w:val="Subtle Emphasis"/>
    <w:uiPriority w:val="99"/>
    <w:semiHidden/>
    <w:qFormat/>
    <w:rsid w:val="004868E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68E9"/>
    <w:pPr>
      <w:keepNext/>
      <w:keepLines/>
      <w:spacing w:before="720" w:after="240"/>
      <w:outlineLvl w:val="0"/>
    </w:pPr>
    <w:rPr>
      <w:rFonts w:asciiTheme="majorHAnsi" w:hAnsiTheme="majorHAnsi"/>
      <w:sz w:val="28"/>
    </w:rPr>
  </w:style>
  <w:style w:type="character" w:styleId="Uwydatnienie">
    <w:name w:val="Emphasis"/>
    <w:uiPriority w:val="99"/>
    <w:semiHidden/>
    <w:qFormat/>
    <w:rsid w:val="004868E9"/>
    <w:rPr>
      <w:b/>
      <w:bCs/>
      <w:i/>
      <w:iCs/>
      <w:spacing w:val="10"/>
      <w:bdr w:val="none" w:sz="0" w:space="0" w:color="auto"/>
      <w:shd w:val="clear" w:color="auto" w:fill="auto"/>
    </w:rPr>
  </w:style>
  <w:style w:type="paragraph" w:styleId="Stopka">
    <w:name w:val="footer"/>
    <w:basedOn w:val="Normalny"/>
    <w:link w:val="StopkaZnak"/>
    <w:uiPriority w:val="57"/>
    <w:semiHidden/>
    <w:rsid w:val="004868E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68E9"/>
    <w:rPr>
      <w:sz w:val="24"/>
    </w:rPr>
  </w:style>
  <w:style w:type="character" w:styleId="Odwoanieprzypisudolnego">
    <w:name w:val="footnote reference"/>
    <w:basedOn w:val="Domylnaczcionkaakapitu"/>
    <w:uiPriority w:val="99"/>
    <w:semiHidden/>
    <w:rsid w:val="004868E9"/>
    <w:rPr>
      <w:vertAlign w:val="superscript"/>
    </w:rPr>
  </w:style>
  <w:style w:type="paragraph" w:styleId="Tekstprzypisudolnego">
    <w:name w:val="footnote text"/>
    <w:basedOn w:val="Normalny"/>
    <w:link w:val="TekstprzypisudolnegoZnak"/>
    <w:uiPriority w:val="99"/>
    <w:semiHidden/>
    <w:rsid w:val="004868E9"/>
    <w:rPr>
      <w:sz w:val="20"/>
      <w:szCs w:val="20"/>
    </w:rPr>
  </w:style>
  <w:style w:type="character" w:customStyle="1" w:styleId="TekstprzypisudolnegoZnak">
    <w:name w:val="Tekst przypisu dolnego Znak"/>
    <w:basedOn w:val="Domylnaczcionkaakapitu"/>
    <w:link w:val="Tekstprzypisudolnego"/>
    <w:uiPriority w:val="99"/>
    <w:semiHidden/>
    <w:rsid w:val="004868E9"/>
    <w:rPr>
      <w:rFonts w:eastAsiaTheme="minorEastAsia"/>
      <w:sz w:val="20"/>
      <w:szCs w:val="20"/>
    </w:rPr>
  </w:style>
  <w:style w:type="character" w:customStyle="1" w:styleId="Nagwek6Znak">
    <w:name w:val="Nagłówek 6 Znak"/>
    <w:basedOn w:val="Domylnaczcionkaakapitu"/>
    <w:link w:val="Nagwek6"/>
    <w:uiPriority w:val="99"/>
    <w:semiHidden/>
    <w:rsid w:val="004868E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68E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68E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68E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68E9"/>
    <w:rPr>
      <w:color w:val="0072BC" w:themeColor="hyperlink"/>
      <w:u w:val="single"/>
    </w:rPr>
  </w:style>
  <w:style w:type="character" w:styleId="Wyrnienieintensywne">
    <w:name w:val="Intense Emphasis"/>
    <w:uiPriority w:val="99"/>
    <w:semiHidden/>
    <w:qFormat/>
    <w:rsid w:val="004868E9"/>
    <w:rPr>
      <w:b/>
      <w:bCs/>
    </w:rPr>
  </w:style>
  <w:style w:type="paragraph" w:styleId="Cytatintensywny">
    <w:name w:val="Intense Quote"/>
    <w:basedOn w:val="Normalny"/>
    <w:next w:val="Normalny"/>
    <w:link w:val="CytatintensywnyZnak"/>
    <w:uiPriority w:val="99"/>
    <w:semiHidden/>
    <w:qFormat/>
    <w:rsid w:val="004868E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68E9"/>
    <w:rPr>
      <w:rFonts w:eastAsiaTheme="minorEastAsia"/>
      <w:b/>
      <w:bCs/>
      <w:i/>
      <w:iCs/>
      <w:lang w:bidi="en-US"/>
    </w:rPr>
  </w:style>
  <w:style w:type="character" w:styleId="Odwoanieintensywne">
    <w:name w:val="Intense Reference"/>
    <w:uiPriority w:val="99"/>
    <w:semiHidden/>
    <w:qFormat/>
    <w:rsid w:val="004868E9"/>
    <w:rPr>
      <w:smallCaps/>
      <w:spacing w:val="5"/>
      <w:u w:val="single"/>
    </w:rPr>
  </w:style>
  <w:style w:type="paragraph" w:styleId="Akapitzlist">
    <w:name w:val="List Paragraph"/>
    <w:basedOn w:val="Normalny"/>
    <w:uiPriority w:val="99"/>
    <w:semiHidden/>
    <w:qFormat/>
    <w:rsid w:val="004868E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868E9"/>
    <w:pPr>
      <w:spacing w:before="200"/>
      <w:ind w:left="360" w:right="360"/>
    </w:pPr>
    <w:rPr>
      <w:i/>
      <w:iCs/>
      <w:sz w:val="22"/>
      <w:lang w:bidi="en-US"/>
    </w:rPr>
  </w:style>
  <w:style w:type="character" w:customStyle="1" w:styleId="CytatZnak">
    <w:name w:val="Cytat Znak"/>
    <w:basedOn w:val="Domylnaczcionkaakapitu"/>
    <w:link w:val="Cytat"/>
    <w:uiPriority w:val="99"/>
    <w:semiHidden/>
    <w:rsid w:val="004868E9"/>
    <w:rPr>
      <w:rFonts w:eastAsiaTheme="minorEastAsia"/>
      <w:i/>
      <w:iCs/>
      <w:lang w:bidi="en-US"/>
    </w:rPr>
  </w:style>
  <w:style w:type="character" w:styleId="Odwoaniedelikatne">
    <w:name w:val="Subtle Reference"/>
    <w:uiPriority w:val="99"/>
    <w:semiHidden/>
    <w:qFormat/>
    <w:rsid w:val="004868E9"/>
    <w:rPr>
      <w:smallCaps/>
    </w:rPr>
  </w:style>
  <w:style w:type="table" w:styleId="Tabela-Siatka">
    <w:name w:val="Table Grid"/>
    <w:basedOn w:val="Standardowy"/>
    <w:uiPriority w:val="59"/>
    <w:semiHidden/>
    <w:rsid w:val="004868E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868E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868E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868E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868E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868E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868E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68E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868E9"/>
    <w:pPr>
      <w:spacing w:before="120" w:after="120"/>
      <w:ind w:left="425" w:firstLine="142"/>
    </w:pPr>
    <w:rPr>
      <w:sz w:val="20"/>
    </w:rPr>
  </w:style>
  <w:style w:type="paragraph" w:customStyle="1" w:styleId="ECHRPara">
    <w:name w:val="ECHR_Para"/>
    <w:aliases w:val="Ju_Para"/>
    <w:basedOn w:val="Normalny"/>
    <w:link w:val="ECHRParaChar"/>
    <w:uiPriority w:val="12"/>
    <w:qFormat/>
    <w:rsid w:val="004868E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68E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868E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868E9"/>
    <w:pPr>
      <w:ind w:left="340" w:hanging="340"/>
    </w:pPr>
  </w:style>
  <w:style w:type="paragraph" w:customStyle="1" w:styleId="JuSigned">
    <w:name w:val="Ju_Signed"/>
    <w:basedOn w:val="Normalny"/>
    <w:next w:val="JuParaLast"/>
    <w:uiPriority w:val="32"/>
    <w:qFormat/>
    <w:rsid w:val="004868E9"/>
    <w:pPr>
      <w:tabs>
        <w:tab w:val="center" w:pos="851"/>
        <w:tab w:val="center" w:pos="6407"/>
      </w:tabs>
      <w:spacing w:before="720"/>
      <w:jc w:val="left"/>
    </w:pPr>
  </w:style>
  <w:style w:type="paragraph" w:customStyle="1" w:styleId="JuParaLast">
    <w:name w:val="Ju_Para_Last"/>
    <w:basedOn w:val="Normalny"/>
    <w:next w:val="ECHRPara"/>
    <w:uiPriority w:val="30"/>
    <w:qFormat/>
    <w:rsid w:val="004868E9"/>
    <w:pPr>
      <w:keepNext/>
      <w:keepLines/>
      <w:spacing w:before="240"/>
      <w:ind w:firstLine="284"/>
    </w:pPr>
  </w:style>
  <w:style w:type="paragraph" w:customStyle="1" w:styleId="JuParaSub">
    <w:name w:val="Ju_Para_Sub"/>
    <w:basedOn w:val="ECHRPara"/>
    <w:uiPriority w:val="13"/>
    <w:qFormat/>
    <w:rsid w:val="004868E9"/>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4868E9"/>
    <w:pPr>
      <w:ind w:left="567"/>
    </w:pPr>
  </w:style>
  <w:style w:type="paragraph" w:customStyle="1" w:styleId="JuTitle">
    <w:name w:val="Ju_Title"/>
    <w:basedOn w:val="Normalny"/>
    <w:next w:val="ECHRPara"/>
    <w:uiPriority w:val="3"/>
    <w:semiHidden/>
    <w:qFormat/>
    <w:rsid w:val="004868E9"/>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4868E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4868E9"/>
    <w:pPr>
      <w:ind w:left="833" w:hanging="357"/>
      <w:outlineLvl w:val="3"/>
    </w:pPr>
    <w:rPr>
      <w:b/>
      <w:i w:val="0"/>
      <w:sz w:val="20"/>
    </w:rPr>
  </w:style>
  <w:style w:type="paragraph" w:styleId="Podtytu">
    <w:name w:val="Subtitle"/>
    <w:basedOn w:val="Normalny"/>
    <w:next w:val="Normalny"/>
    <w:link w:val="PodtytuZnak"/>
    <w:uiPriority w:val="99"/>
    <w:semiHidden/>
    <w:qFormat/>
    <w:rsid w:val="004868E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68E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4868E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868E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868E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4868E9"/>
    <w:pPr>
      <w:tabs>
        <w:tab w:val="clear" w:pos="357"/>
      </w:tabs>
      <w:outlineLvl w:val="1"/>
    </w:pPr>
    <w:rPr>
      <w:b/>
    </w:rPr>
  </w:style>
  <w:style w:type="paragraph" w:customStyle="1" w:styleId="OpiHi">
    <w:name w:val="Opi_H_i"/>
    <w:basedOn w:val="ECHRHeading4"/>
    <w:uiPriority w:val="44"/>
    <w:qFormat/>
    <w:rsid w:val="004868E9"/>
    <w:pPr>
      <w:ind w:left="1037" w:hanging="357"/>
      <w:outlineLvl w:val="4"/>
    </w:pPr>
    <w:rPr>
      <w:b w:val="0"/>
      <w:i/>
    </w:rPr>
  </w:style>
  <w:style w:type="paragraph" w:customStyle="1" w:styleId="OpiPara">
    <w:name w:val="Opi_Para"/>
    <w:basedOn w:val="ECHRPara"/>
    <w:uiPriority w:val="46"/>
    <w:qFormat/>
    <w:rsid w:val="004868E9"/>
  </w:style>
  <w:style w:type="paragraph" w:customStyle="1" w:styleId="OpiParaSub">
    <w:name w:val="Opi_Para_Sub"/>
    <w:basedOn w:val="JuParaSub"/>
    <w:uiPriority w:val="47"/>
    <w:qFormat/>
    <w:rsid w:val="004868E9"/>
  </w:style>
  <w:style w:type="paragraph" w:customStyle="1" w:styleId="OpiQuot">
    <w:name w:val="Opi_Quot"/>
    <w:basedOn w:val="ECHRParaQuote"/>
    <w:uiPriority w:val="48"/>
    <w:qFormat/>
    <w:rsid w:val="004868E9"/>
  </w:style>
  <w:style w:type="paragraph" w:customStyle="1" w:styleId="OpiQuotSub">
    <w:name w:val="Opi_Quot_Sub"/>
    <w:basedOn w:val="JuQuotSub"/>
    <w:uiPriority w:val="49"/>
    <w:qFormat/>
    <w:rsid w:val="004868E9"/>
  </w:style>
  <w:style w:type="paragraph" w:customStyle="1" w:styleId="OpiTranslation">
    <w:name w:val="Opi_Translation"/>
    <w:basedOn w:val="Normalny"/>
    <w:next w:val="OpiPara"/>
    <w:uiPriority w:val="40"/>
    <w:qFormat/>
    <w:rsid w:val="004868E9"/>
    <w:pPr>
      <w:jc w:val="center"/>
      <w:outlineLvl w:val="0"/>
    </w:pPr>
    <w:rPr>
      <w:i/>
    </w:rPr>
  </w:style>
  <w:style w:type="character" w:customStyle="1" w:styleId="ECHRParaChar">
    <w:name w:val="ECHR_Para Char"/>
    <w:aliases w:val="Ju_Para Char"/>
    <w:link w:val="ECHRPara"/>
    <w:uiPriority w:val="12"/>
    <w:rsid w:val="00E376AA"/>
    <w:rPr>
      <w:rFonts w:eastAsiaTheme="minorEastAsia"/>
      <w:sz w:val="24"/>
    </w:rPr>
  </w:style>
  <w:style w:type="character" w:customStyle="1" w:styleId="JuH1Char">
    <w:name w:val="Ju_H_1. Char"/>
    <w:link w:val="ECHRHeading3"/>
    <w:uiPriority w:val="21"/>
    <w:rsid w:val="00D92C2E"/>
    <w:rPr>
      <w:rFonts w:asciiTheme="majorHAnsi" w:eastAsiaTheme="majorEastAsia" w:hAnsiTheme="majorHAnsi" w:cstheme="majorBidi"/>
      <w:bCs/>
      <w:i/>
      <w:sz w:val="24"/>
    </w:rPr>
  </w:style>
  <w:style w:type="character" w:customStyle="1" w:styleId="JuHAChar">
    <w:name w:val="Ju_H_A Char"/>
    <w:basedOn w:val="Domylnaczcionkaakapitu"/>
    <w:link w:val="ECHRHeading2"/>
    <w:uiPriority w:val="20"/>
    <w:rsid w:val="009E21E9"/>
    <w:rPr>
      <w:rFonts w:asciiTheme="majorHAnsi" w:eastAsiaTheme="majorEastAsia" w:hAnsiTheme="majorHAnsi" w:cstheme="majorBidi"/>
      <w:b/>
      <w:bCs/>
      <w:sz w:val="24"/>
      <w:szCs w:val="26"/>
    </w:rPr>
  </w:style>
  <w:style w:type="paragraph" w:styleId="Poprawka">
    <w:name w:val="Revision"/>
    <w:hidden/>
    <w:uiPriority w:val="99"/>
    <w:semiHidden/>
    <w:rsid w:val="00076707"/>
    <w:rPr>
      <w:rFonts w:eastAsiaTheme="minorEastAsia"/>
      <w:sz w:val="24"/>
    </w:rPr>
  </w:style>
  <w:style w:type="character" w:customStyle="1" w:styleId="CLLItalic">
    <w:name w:val="CLL_Italic"/>
    <w:basedOn w:val="Domylnaczcionkaakapitu"/>
    <w:uiPriority w:val="1"/>
    <w:rsid w:val="00E740D7"/>
    <w:rPr>
      <w:i/>
      <w:iCs/>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01153">
      <w:bodyDiv w:val="1"/>
      <w:marLeft w:val="0"/>
      <w:marRight w:val="0"/>
      <w:marTop w:val="0"/>
      <w:marBottom w:val="0"/>
      <w:divBdr>
        <w:top w:val="none" w:sz="0" w:space="0" w:color="auto"/>
        <w:left w:val="none" w:sz="0" w:space="0" w:color="auto"/>
        <w:bottom w:val="none" w:sz="0" w:space="0" w:color="auto"/>
        <w:right w:val="none" w:sz="0" w:space="0" w:color="auto"/>
      </w:divBdr>
      <w:divsChild>
        <w:div w:id="1967738282">
          <w:marLeft w:val="0"/>
          <w:marRight w:val="0"/>
          <w:marTop w:val="0"/>
          <w:marBottom w:val="0"/>
          <w:divBdr>
            <w:top w:val="none" w:sz="0" w:space="0" w:color="auto"/>
            <w:left w:val="none" w:sz="0" w:space="0" w:color="auto"/>
            <w:bottom w:val="none" w:sz="0" w:space="0" w:color="auto"/>
            <w:right w:val="none" w:sz="0" w:space="0" w:color="auto"/>
          </w:divBdr>
          <w:divsChild>
            <w:div w:id="1137453799">
              <w:marLeft w:val="0"/>
              <w:marRight w:val="0"/>
              <w:marTop w:val="0"/>
              <w:marBottom w:val="0"/>
              <w:divBdr>
                <w:top w:val="none" w:sz="0" w:space="0" w:color="auto"/>
                <w:left w:val="none" w:sz="0" w:space="0" w:color="auto"/>
                <w:bottom w:val="none" w:sz="0" w:space="0" w:color="auto"/>
                <w:right w:val="none" w:sz="0" w:space="0" w:color="auto"/>
              </w:divBdr>
              <w:divsChild>
                <w:div w:id="1500924198">
                  <w:marLeft w:val="0"/>
                  <w:marRight w:val="0"/>
                  <w:marTop w:val="0"/>
                  <w:marBottom w:val="0"/>
                  <w:divBdr>
                    <w:top w:val="none" w:sz="0" w:space="0" w:color="auto"/>
                    <w:left w:val="none" w:sz="0" w:space="0" w:color="auto"/>
                    <w:bottom w:val="none" w:sz="0" w:space="0" w:color="auto"/>
                    <w:right w:val="none" w:sz="0" w:space="0" w:color="auto"/>
                  </w:divBdr>
                  <w:divsChild>
                    <w:div w:id="1722093525">
                      <w:marLeft w:val="0"/>
                      <w:marRight w:val="0"/>
                      <w:marTop w:val="0"/>
                      <w:marBottom w:val="0"/>
                      <w:divBdr>
                        <w:top w:val="none" w:sz="0" w:space="0" w:color="auto"/>
                        <w:left w:val="none" w:sz="0" w:space="0" w:color="auto"/>
                        <w:bottom w:val="none" w:sz="0" w:space="0" w:color="auto"/>
                        <w:right w:val="none" w:sz="0" w:space="0" w:color="auto"/>
                      </w:divBdr>
                      <w:divsChild>
                        <w:div w:id="66418392">
                          <w:marLeft w:val="0"/>
                          <w:marRight w:val="0"/>
                          <w:marTop w:val="0"/>
                          <w:marBottom w:val="0"/>
                          <w:divBdr>
                            <w:top w:val="none" w:sz="0" w:space="0" w:color="auto"/>
                            <w:left w:val="none" w:sz="0" w:space="0" w:color="auto"/>
                            <w:bottom w:val="none" w:sz="0" w:space="0" w:color="auto"/>
                            <w:right w:val="none" w:sz="0" w:space="0" w:color="auto"/>
                          </w:divBdr>
                          <w:divsChild>
                            <w:div w:id="127756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997709">
      <w:bodyDiv w:val="1"/>
      <w:marLeft w:val="0"/>
      <w:marRight w:val="0"/>
      <w:marTop w:val="0"/>
      <w:marBottom w:val="0"/>
      <w:divBdr>
        <w:top w:val="none" w:sz="0" w:space="0" w:color="auto"/>
        <w:left w:val="none" w:sz="0" w:space="0" w:color="auto"/>
        <w:bottom w:val="none" w:sz="0" w:space="0" w:color="auto"/>
        <w:right w:val="none" w:sz="0" w:space="0" w:color="auto"/>
      </w:divBdr>
      <w:divsChild>
        <w:div w:id="926038194">
          <w:marLeft w:val="0"/>
          <w:marRight w:val="0"/>
          <w:marTop w:val="0"/>
          <w:marBottom w:val="0"/>
          <w:divBdr>
            <w:top w:val="none" w:sz="0" w:space="0" w:color="auto"/>
            <w:left w:val="none" w:sz="0" w:space="0" w:color="auto"/>
            <w:bottom w:val="none" w:sz="0" w:space="0" w:color="auto"/>
            <w:right w:val="none" w:sz="0" w:space="0" w:color="auto"/>
          </w:divBdr>
          <w:divsChild>
            <w:div w:id="1808279222">
              <w:marLeft w:val="0"/>
              <w:marRight w:val="0"/>
              <w:marTop w:val="0"/>
              <w:marBottom w:val="0"/>
              <w:divBdr>
                <w:top w:val="none" w:sz="0" w:space="0" w:color="auto"/>
                <w:left w:val="none" w:sz="0" w:space="0" w:color="auto"/>
                <w:bottom w:val="none" w:sz="0" w:space="0" w:color="auto"/>
                <w:right w:val="none" w:sz="0" w:space="0" w:color="auto"/>
              </w:divBdr>
              <w:divsChild>
                <w:div w:id="960645985">
                  <w:marLeft w:val="0"/>
                  <w:marRight w:val="0"/>
                  <w:marTop w:val="0"/>
                  <w:marBottom w:val="0"/>
                  <w:divBdr>
                    <w:top w:val="none" w:sz="0" w:space="0" w:color="auto"/>
                    <w:left w:val="none" w:sz="0" w:space="0" w:color="auto"/>
                    <w:bottom w:val="none" w:sz="0" w:space="0" w:color="auto"/>
                    <w:right w:val="none" w:sz="0" w:space="0" w:color="auto"/>
                  </w:divBdr>
                  <w:divsChild>
                    <w:div w:id="374933966">
                      <w:marLeft w:val="0"/>
                      <w:marRight w:val="0"/>
                      <w:marTop w:val="0"/>
                      <w:marBottom w:val="0"/>
                      <w:divBdr>
                        <w:top w:val="none" w:sz="0" w:space="0" w:color="auto"/>
                        <w:left w:val="none" w:sz="0" w:space="0" w:color="auto"/>
                        <w:bottom w:val="none" w:sz="0" w:space="0" w:color="auto"/>
                        <w:right w:val="none" w:sz="0" w:space="0" w:color="auto"/>
                      </w:divBdr>
                      <w:divsChild>
                        <w:div w:id="113140647">
                          <w:marLeft w:val="0"/>
                          <w:marRight w:val="0"/>
                          <w:marTop w:val="0"/>
                          <w:marBottom w:val="0"/>
                          <w:divBdr>
                            <w:top w:val="none" w:sz="0" w:space="0" w:color="auto"/>
                            <w:left w:val="none" w:sz="0" w:space="0" w:color="auto"/>
                            <w:bottom w:val="none" w:sz="0" w:space="0" w:color="auto"/>
                            <w:right w:val="none" w:sz="0" w:space="0" w:color="auto"/>
                          </w:divBdr>
                          <w:divsChild>
                            <w:div w:id="1909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5526773">
      <w:bodyDiv w:val="1"/>
      <w:marLeft w:val="0"/>
      <w:marRight w:val="0"/>
      <w:marTop w:val="0"/>
      <w:marBottom w:val="0"/>
      <w:divBdr>
        <w:top w:val="none" w:sz="0" w:space="0" w:color="auto"/>
        <w:left w:val="none" w:sz="0" w:space="0" w:color="auto"/>
        <w:bottom w:val="none" w:sz="0" w:space="0" w:color="auto"/>
        <w:right w:val="none" w:sz="0" w:space="0" w:color="auto"/>
      </w:divBdr>
      <w:divsChild>
        <w:div w:id="381563632">
          <w:marLeft w:val="0"/>
          <w:marRight w:val="0"/>
          <w:marTop w:val="0"/>
          <w:marBottom w:val="0"/>
          <w:divBdr>
            <w:top w:val="none" w:sz="0" w:space="0" w:color="auto"/>
            <w:left w:val="none" w:sz="0" w:space="0" w:color="auto"/>
            <w:bottom w:val="none" w:sz="0" w:space="0" w:color="auto"/>
            <w:right w:val="none" w:sz="0" w:space="0" w:color="auto"/>
          </w:divBdr>
          <w:divsChild>
            <w:div w:id="999506389">
              <w:marLeft w:val="0"/>
              <w:marRight w:val="0"/>
              <w:marTop w:val="0"/>
              <w:marBottom w:val="0"/>
              <w:divBdr>
                <w:top w:val="none" w:sz="0" w:space="0" w:color="auto"/>
                <w:left w:val="none" w:sz="0" w:space="0" w:color="auto"/>
                <w:bottom w:val="none" w:sz="0" w:space="0" w:color="auto"/>
                <w:right w:val="none" w:sz="0" w:space="0" w:color="auto"/>
              </w:divBdr>
              <w:divsChild>
                <w:div w:id="1182087914">
                  <w:marLeft w:val="0"/>
                  <w:marRight w:val="0"/>
                  <w:marTop w:val="0"/>
                  <w:marBottom w:val="0"/>
                  <w:divBdr>
                    <w:top w:val="none" w:sz="0" w:space="0" w:color="auto"/>
                    <w:left w:val="none" w:sz="0" w:space="0" w:color="auto"/>
                    <w:bottom w:val="none" w:sz="0" w:space="0" w:color="auto"/>
                    <w:right w:val="none" w:sz="0" w:space="0" w:color="auto"/>
                  </w:divBdr>
                  <w:divsChild>
                    <w:div w:id="163135077">
                      <w:marLeft w:val="0"/>
                      <w:marRight w:val="0"/>
                      <w:marTop w:val="0"/>
                      <w:marBottom w:val="0"/>
                      <w:divBdr>
                        <w:top w:val="none" w:sz="0" w:space="0" w:color="auto"/>
                        <w:left w:val="none" w:sz="0" w:space="0" w:color="auto"/>
                        <w:bottom w:val="none" w:sz="0" w:space="0" w:color="auto"/>
                        <w:right w:val="none" w:sz="0" w:space="0" w:color="auto"/>
                      </w:divBdr>
                      <w:divsChild>
                        <w:div w:id="653215232">
                          <w:marLeft w:val="0"/>
                          <w:marRight w:val="0"/>
                          <w:marTop w:val="0"/>
                          <w:marBottom w:val="0"/>
                          <w:divBdr>
                            <w:top w:val="none" w:sz="0" w:space="0" w:color="auto"/>
                            <w:left w:val="none" w:sz="0" w:space="0" w:color="auto"/>
                            <w:bottom w:val="none" w:sz="0" w:space="0" w:color="auto"/>
                            <w:right w:val="none" w:sz="0" w:space="0" w:color="auto"/>
                          </w:divBdr>
                          <w:divsChild>
                            <w:div w:id="107088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575884">
      <w:bodyDiv w:val="1"/>
      <w:marLeft w:val="0"/>
      <w:marRight w:val="0"/>
      <w:marTop w:val="0"/>
      <w:marBottom w:val="0"/>
      <w:divBdr>
        <w:top w:val="none" w:sz="0" w:space="0" w:color="auto"/>
        <w:left w:val="none" w:sz="0" w:space="0" w:color="auto"/>
        <w:bottom w:val="none" w:sz="0" w:space="0" w:color="auto"/>
        <w:right w:val="none" w:sz="0" w:space="0" w:color="auto"/>
      </w:divBdr>
      <w:divsChild>
        <w:div w:id="1730109681">
          <w:marLeft w:val="0"/>
          <w:marRight w:val="0"/>
          <w:marTop w:val="0"/>
          <w:marBottom w:val="0"/>
          <w:divBdr>
            <w:top w:val="none" w:sz="0" w:space="0" w:color="auto"/>
            <w:left w:val="none" w:sz="0" w:space="0" w:color="auto"/>
            <w:bottom w:val="none" w:sz="0" w:space="0" w:color="auto"/>
            <w:right w:val="none" w:sz="0" w:space="0" w:color="auto"/>
          </w:divBdr>
          <w:divsChild>
            <w:div w:id="1251499944">
              <w:marLeft w:val="0"/>
              <w:marRight w:val="0"/>
              <w:marTop w:val="0"/>
              <w:marBottom w:val="0"/>
              <w:divBdr>
                <w:top w:val="none" w:sz="0" w:space="0" w:color="auto"/>
                <w:left w:val="none" w:sz="0" w:space="0" w:color="auto"/>
                <w:bottom w:val="none" w:sz="0" w:space="0" w:color="auto"/>
                <w:right w:val="none" w:sz="0" w:space="0" w:color="auto"/>
              </w:divBdr>
              <w:divsChild>
                <w:div w:id="273563037">
                  <w:marLeft w:val="0"/>
                  <w:marRight w:val="0"/>
                  <w:marTop w:val="0"/>
                  <w:marBottom w:val="0"/>
                  <w:divBdr>
                    <w:top w:val="none" w:sz="0" w:space="0" w:color="auto"/>
                    <w:left w:val="none" w:sz="0" w:space="0" w:color="auto"/>
                    <w:bottom w:val="none" w:sz="0" w:space="0" w:color="auto"/>
                    <w:right w:val="none" w:sz="0" w:space="0" w:color="auto"/>
                  </w:divBdr>
                  <w:divsChild>
                    <w:div w:id="750391204">
                      <w:marLeft w:val="0"/>
                      <w:marRight w:val="0"/>
                      <w:marTop w:val="0"/>
                      <w:marBottom w:val="0"/>
                      <w:divBdr>
                        <w:top w:val="none" w:sz="0" w:space="0" w:color="auto"/>
                        <w:left w:val="none" w:sz="0" w:space="0" w:color="auto"/>
                        <w:bottom w:val="none" w:sz="0" w:space="0" w:color="auto"/>
                        <w:right w:val="none" w:sz="0" w:space="0" w:color="auto"/>
                      </w:divBdr>
                      <w:divsChild>
                        <w:div w:id="611473258">
                          <w:marLeft w:val="0"/>
                          <w:marRight w:val="0"/>
                          <w:marTop w:val="0"/>
                          <w:marBottom w:val="0"/>
                          <w:divBdr>
                            <w:top w:val="none" w:sz="0" w:space="0" w:color="auto"/>
                            <w:left w:val="none" w:sz="0" w:space="0" w:color="auto"/>
                            <w:bottom w:val="none" w:sz="0" w:space="0" w:color="auto"/>
                            <w:right w:val="none" w:sz="0" w:space="0" w:color="auto"/>
                          </w:divBdr>
                          <w:divsChild>
                            <w:div w:id="102297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385374225">
      <w:bodyDiv w:val="1"/>
      <w:marLeft w:val="0"/>
      <w:marRight w:val="0"/>
      <w:marTop w:val="0"/>
      <w:marBottom w:val="0"/>
      <w:divBdr>
        <w:top w:val="none" w:sz="0" w:space="0" w:color="auto"/>
        <w:left w:val="none" w:sz="0" w:space="0" w:color="auto"/>
        <w:bottom w:val="none" w:sz="0" w:space="0" w:color="auto"/>
        <w:right w:val="none" w:sz="0" w:space="0" w:color="auto"/>
      </w:divBdr>
      <w:divsChild>
        <w:div w:id="1415930035">
          <w:marLeft w:val="0"/>
          <w:marRight w:val="0"/>
          <w:marTop w:val="0"/>
          <w:marBottom w:val="0"/>
          <w:divBdr>
            <w:top w:val="none" w:sz="0" w:space="0" w:color="auto"/>
            <w:left w:val="none" w:sz="0" w:space="0" w:color="auto"/>
            <w:bottom w:val="none" w:sz="0" w:space="0" w:color="auto"/>
            <w:right w:val="none" w:sz="0" w:space="0" w:color="auto"/>
          </w:divBdr>
          <w:divsChild>
            <w:div w:id="104278088">
              <w:marLeft w:val="0"/>
              <w:marRight w:val="0"/>
              <w:marTop w:val="0"/>
              <w:marBottom w:val="0"/>
              <w:divBdr>
                <w:top w:val="none" w:sz="0" w:space="0" w:color="auto"/>
                <w:left w:val="none" w:sz="0" w:space="0" w:color="auto"/>
                <w:bottom w:val="none" w:sz="0" w:space="0" w:color="auto"/>
                <w:right w:val="none" w:sz="0" w:space="0" w:color="auto"/>
              </w:divBdr>
              <w:divsChild>
                <w:div w:id="832532731">
                  <w:marLeft w:val="0"/>
                  <w:marRight w:val="0"/>
                  <w:marTop w:val="0"/>
                  <w:marBottom w:val="0"/>
                  <w:divBdr>
                    <w:top w:val="none" w:sz="0" w:space="0" w:color="auto"/>
                    <w:left w:val="none" w:sz="0" w:space="0" w:color="auto"/>
                    <w:bottom w:val="none" w:sz="0" w:space="0" w:color="auto"/>
                    <w:right w:val="none" w:sz="0" w:space="0" w:color="auto"/>
                  </w:divBdr>
                  <w:divsChild>
                    <w:div w:id="375399708">
                      <w:marLeft w:val="0"/>
                      <w:marRight w:val="0"/>
                      <w:marTop w:val="0"/>
                      <w:marBottom w:val="0"/>
                      <w:divBdr>
                        <w:top w:val="none" w:sz="0" w:space="0" w:color="auto"/>
                        <w:left w:val="none" w:sz="0" w:space="0" w:color="auto"/>
                        <w:bottom w:val="none" w:sz="0" w:space="0" w:color="auto"/>
                        <w:right w:val="none" w:sz="0" w:space="0" w:color="auto"/>
                      </w:divBdr>
                      <w:divsChild>
                        <w:div w:id="1219778793">
                          <w:marLeft w:val="0"/>
                          <w:marRight w:val="0"/>
                          <w:marTop w:val="0"/>
                          <w:marBottom w:val="0"/>
                          <w:divBdr>
                            <w:top w:val="none" w:sz="0" w:space="0" w:color="auto"/>
                            <w:left w:val="none" w:sz="0" w:space="0" w:color="auto"/>
                            <w:bottom w:val="none" w:sz="0" w:space="0" w:color="auto"/>
                            <w:right w:val="none" w:sz="0" w:space="0" w:color="auto"/>
                          </w:divBdr>
                          <w:divsChild>
                            <w:div w:id="18781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3915092">
      <w:bodyDiv w:val="1"/>
      <w:marLeft w:val="0"/>
      <w:marRight w:val="0"/>
      <w:marTop w:val="0"/>
      <w:marBottom w:val="0"/>
      <w:divBdr>
        <w:top w:val="none" w:sz="0" w:space="0" w:color="auto"/>
        <w:left w:val="none" w:sz="0" w:space="0" w:color="auto"/>
        <w:bottom w:val="none" w:sz="0" w:space="0" w:color="auto"/>
        <w:right w:val="none" w:sz="0" w:space="0" w:color="auto"/>
      </w:divBdr>
      <w:divsChild>
        <w:div w:id="454056822">
          <w:marLeft w:val="0"/>
          <w:marRight w:val="0"/>
          <w:marTop w:val="0"/>
          <w:marBottom w:val="0"/>
          <w:divBdr>
            <w:top w:val="none" w:sz="0" w:space="0" w:color="auto"/>
            <w:left w:val="none" w:sz="0" w:space="0" w:color="auto"/>
            <w:bottom w:val="none" w:sz="0" w:space="0" w:color="auto"/>
            <w:right w:val="none" w:sz="0" w:space="0" w:color="auto"/>
          </w:divBdr>
          <w:divsChild>
            <w:div w:id="1879780980">
              <w:marLeft w:val="0"/>
              <w:marRight w:val="0"/>
              <w:marTop w:val="0"/>
              <w:marBottom w:val="0"/>
              <w:divBdr>
                <w:top w:val="none" w:sz="0" w:space="0" w:color="auto"/>
                <w:left w:val="none" w:sz="0" w:space="0" w:color="auto"/>
                <w:bottom w:val="none" w:sz="0" w:space="0" w:color="auto"/>
                <w:right w:val="none" w:sz="0" w:space="0" w:color="auto"/>
              </w:divBdr>
              <w:divsChild>
                <w:div w:id="1945070756">
                  <w:marLeft w:val="0"/>
                  <w:marRight w:val="0"/>
                  <w:marTop w:val="0"/>
                  <w:marBottom w:val="0"/>
                  <w:divBdr>
                    <w:top w:val="none" w:sz="0" w:space="0" w:color="auto"/>
                    <w:left w:val="none" w:sz="0" w:space="0" w:color="auto"/>
                    <w:bottom w:val="none" w:sz="0" w:space="0" w:color="auto"/>
                    <w:right w:val="none" w:sz="0" w:space="0" w:color="auto"/>
                  </w:divBdr>
                  <w:divsChild>
                    <w:div w:id="1656298661">
                      <w:marLeft w:val="0"/>
                      <w:marRight w:val="0"/>
                      <w:marTop w:val="0"/>
                      <w:marBottom w:val="0"/>
                      <w:divBdr>
                        <w:top w:val="none" w:sz="0" w:space="0" w:color="auto"/>
                        <w:left w:val="none" w:sz="0" w:space="0" w:color="auto"/>
                        <w:bottom w:val="none" w:sz="0" w:space="0" w:color="auto"/>
                        <w:right w:val="none" w:sz="0" w:space="0" w:color="auto"/>
                      </w:divBdr>
                      <w:divsChild>
                        <w:div w:id="2092920312">
                          <w:marLeft w:val="0"/>
                          <w:marRight w:val="0"/>
                          <w:marTop w:val="0"/>
                          <w:marBottom w:val="0"/>
                          <w:divBdr>
                            <w:top w:val="none" w:sz="0" w:space="0" w:color="auto"/>
                            <w:left w:val="none" w:sz="0" w:space="0" w:color="auto"/>
                            <w:bottom w:val="none" w:sz="0" w:space="0" w:color="auto"/>
                            <w:right w:val="none" w:sz="0" w:space="0" w:color="auto"/>
                          </w:divBdr>
                          <w:divsChild>
                            <w:div w:id="190271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884494">
      <w:bodyDiv w:val="1"/>
      <w:marLeft w:val="0"/>
      <w:marRight w:val="0"/>
      <w:marTop w:val="0"/>
      <w:marBottom w:val="0"/>
      <w:divBdr>
        <w:top w:val="none" w:sz="0" w:space="0" w:color="auto"/>
        <w:left w:val="none" w:sz="0" w:space="0" w:color="auto"/>
        <w:bottom w:val="none" w:sz="0" w:space="0" w:color="auto"/>
        <w:right w:val="none" w:sz="0" w:space="0" w:color="auto"/>
      </w:divBdr>
      <w:divsChild>
        <w:div w:id="2020235206">
          <w:marLeft w:val="0"/>
          <w:marRight w:val="0"/>
          <w:marTop w:val="0"/>
          <w:marBottom w:val="0"/>
          <w:divBdr>
            <w:top w:val="none" w:sz="0" w:space="0" w:color="auto"/>
            <w:left w:val="none" w:sz="0" w:space="0" w:color="auto"/>
            <w:bottom w:val="none" w:sz="0" w:space="0" w:color="auto"/>
            <w:right w:val="none" w:sz="0" w:space="0" w:color="auto"/>
          </w:divBdr>
          <w:divsChild>
            <w:div w:id="957301864">
              <w:marLeft w:val="0"/>
              <w:marRight w:val="0"/>
              <w:marTop w:val="0"/>
              <w:marBottom w:val="0"/>
              <w:divBdr>
                <w:top w:val="none" w:sz="0" w:space="0" w:color="auto"/>
                <w:left w:val="none" w:sz="0" w:space="0" w:color="auto"/>
                <w:bottom w:val="none" w:sz="0" w:space="0" w:color="auto"/>
                <w:right w:val="none" w:sz="0" w:space="0" w:color="auto"/>
              </w:divBdr>
              <w:divsChild>
                <w:div w:id="1737044567">
                  <w:marLeft w:val="0"/>
                  <w:marRight w:val="0"/>
                  <w:marTop w:val="0"/>
                  <w:marBottom w:val="0"/>
                  <w:divBdr>
                    <w:top w:val="none" w:sz="0" w:space="0" w:color="auto"/>
                    <w:left w:val="none" w:sz="0" w:space="0" w:color="auto"/>
                    <w:bottom w:val="none" w:sz="0" w:space="0" w:color="auto"/>
                    <w:right w:val="none" w:sz="0" w:space="0" w:color="auto"/>
                  </w:divBdr>
                  <w:divsChild>
                    <w:div w:id="1816221378">
                      <w:marLeft w:val="0"/>
                      <w:marRight w:val="0"/>
                      <w:marTop w:val="0"/>
                      <w:marBottom w:val="0"/>
                      <w:divBdr>
                        <w:top w:val="none" w:sz="0" w:space="0" w:color="auto"/>
                        <w:left w:val="none" w:sz="0" w:space="0" w:color="auto"/>
                        <w:bottom w:val="none" w:sz="0" w:space="0" w:color="auto"/>
                        <w:right w:val="none" w:sz="0" w:space="0" w:color="auto"/>
                      </w:divBdr>
                      <w:divsChild>
                        <w:div w:id="342703608">
                          <w:marLeft w:val="0"/>
                          <w:marRight w:val="0"/>
                          <w:marTop w:val="0"/>
                          <w:marBottom w:val="0"/>
                          <w:divBdr>
                            <w:top w:val="none" w:sz="0" w:space="0" w:color="auto"/>
                            <w:left w:val="none" w:sz="0" w:space="0" w:color="auto"/>
                            <w:bottom w:val="none" w:sz="0" w:space="0" w:color="auto"/>
                            <w:right w:val="none" w:sz="0" w:space="0" w:color="auto"/>
                          </w:divBdr>
                          <w:divsChild>
                            <w:div w:id="49422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5328895">
      <w:bodyDiv w:val="1"/>
      <w:marLeft w:val="0"/>
      <w:marRight w:val="0"/>
      <w:marTop w:val="0"/>
      <w:marBottom w:val="0"/>
      <w:divBdr>
        <w:top w:val="none" w:sz="0" w:space="0" w:color="auto"/>
        <w:left w:val="none" w:sz="0" w:space="0" w:color="auto"/>
        <w:bottom w:val="none" w:sz="0" w:space="0" w:color="auto"/>
        <w:right w:val="none" w:sz="0" w:space="0" w:color="auto"/>
      </w:divBdr>
      <w:divsChild>
        <w:div w:id="1752312371">
          <w:marLeft w:val="0"/>
          <w:marRight w:val="0"/>
          <w:marTop w:val="0"/>
          <w:marBottom w:val="0"/>
          <w:divBdr>
            <w:top w:val="none" w:sz="0" w:space="0" w:color="auto"/>
            <w:left w:val="none" w:sz="0" w:space="0" w:color="auto"/>
            <w:bottom w:val="none" w:sz="0" w:space="0" w:color="auto"/>
            <w:right w:val="none" w:sz="0" w:space="0" w:color="auto"/>
          </w:divBdr>
          <w:divsChild>
            <w:div w:id="1892888712">
              <w:marLeft w:val="0"/>
              <w:marRight w:val="0"/>
              <w:marTop w:val="0"/>
              <w:marBottom w:val="0"/>
              <w:divBdr>
                <w:top w:val="none" w:sz="0" w:space="0" w:color="auto"/>
                <w:left w:val="none" w:sz="0" w:space="0" w:color="auto"/>
                <w:bottom w:val="none" w:sz="0" w:space="0" w:color="auto"/>
                <w:right w:val="none" w:sz="0" w:space="0" w:color="auto"/>
              </w:divBdr>
              <w:divsChild>
                <w:div w:id="711154450">
                  <w:marLeft w:val="0"/>
                  <w:marRight w:val="0"/>
                  <w:marTop w:val="0"/>
                  <w:marBottom w:val="0"/>
                  <w:divBdr>
                    <w:top w:val="none" w:sz="0" w:space="0" w:color="auto"/>
                    <w:left w:val="none" w:sz="0" w:space="0" w:color="auto"/>
                    <w:bottom w:val="none" w:sz="0" w:space="0" w:color="auto"/>
                    <w:right w:val="none" w:sz="0" w:space="0" w:color="auto"/>
                  </w:divBdr>
                  <w:divsChild>
                    <w:div w:id="2002812888">
                      <w:marLeft w:val="0"/>
                      <w:marRight w:val="0"/>
                      <w:marTop w:val="0"/>
                      <w:marBottom w:val="0"/>
                      <w:divBdr>
                        <w:top w:val="none" w:sz="0" w:space="0" w:color="auto"/>
                        <w:left w:val="none" w:sz="0" w:space="0" w:color="auto"/>
                        <w:bottom w:val="none" w:sz="0" w:space="0" w:color="auto"/>
                        <w:right w:val="none" w:sz="0" w:space="0" w:color="auto"/>
                      </w:divBdr>
                      <w:divsChild>
                        <w:div w:id="1491169825">
                          <w:marLeft w:val="0"/>
                          <w:marRight w:val="0"/>
                          <w:marTop w:val="0"/>
                          <w:marBottom w:val="0"/>
                          <w:divBdr>
                            <w:top w:val="none" w:sz="0" w:space="0" w:color="auto"/>
                            <w:left w:val="none" w:sz="0" w:space="0" w:color="auto"/>
                            <w:bottom w:val="none" w:sz="0" w:space="0" w:color="auto"/>
                            <w:right w:val="none" w:sz="0" w:space="0" w:color="auto"/>
                          </w:divBdr>
                          <w:divsChild>
                            <w:div w:id="192914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7367592">
      <w:bodyDiv w:val="1"/>
      <w:marLeft w:val="0"/>
      <w:marRight w:val="0"/>
      <w:marTop w:val="0"/>
      <w:marBottom w:val="0"/>
      <w:divBdr>
        <w:top w:val="none" w:sz="0" w:space="0" w:color="auto"/>
        <w:left w:val="none" w:sz="0" w:space="0" w:color="auto"/>
        <w:bottom w:val="none" w:sz="0" w:space="0" w:color="auto"/>
        <w:right w:val="none" w:sz="0" w:space="0" w:color="auto"/>
      </w:divBdr>
      <w:divsChild>
        <w:div w:id="841700531">
          <w:marLeft w:val="0"/>
          <w:marRight w:val="0"/>
          <w:marTop w:val="0"/>
          <w:marBottom w:val="0"/>
          <w:divBdr>
            <w:top w:val="none" w:sz="0" w:space="0" w:color="auto"/>
            <w:left w:val="none" w:sz="0" w:space="0" w:color="auto"/>
            <w:bottom w:val="none" w:sz="0" w:space="0" w:color="auto"/>
            <w:right w:val="none" w:sz="0" w:space="0" w:color="auto"/>
          </w:divBdr>
          <w:divsChild>
            <w:div w:id="2137403960">
              <w:marLeft w:val="0"/>
              <w:marRight w:val="0"/>
              <w:marTop w:val="0"/>
              <w:marBottom w:val="0"/>
              <w:divBdr>
                <w:top w:val="none" w:sz="0" w:space="0" w:color="auto"/>
                <w:left w:val="none" w:sz="0" w:space="0" w:color="auto"/>
                <w:bottom w:val="none" w:sz="0" w:space="0" w:color="auto"/>
                <w:right w:val="none" w:sz="0" w:space="0" w:color="auto"/>
              </w:divBdr>
              <w:divsChild>
                <w:div w:id="1946885699">
                  <w:marLeft w:val="0"/>
                  <w:marRight w:val="0"/>
                  <w:marTop w:val="0"/>
                  <w:marBottom w:val="0"/>
                  <w:divBdr>
                    <w:top w:val="none" w:sz="0" w:space="0" w:color="auto"/>
                    <w:left w:val="none" w:sz="0" w:space="0" w:color="auto"/>
                    <w:bottom w:val="none" w:sz="0" w:space="0" w:color="auto"/>
                    <w:right w:val="none" w:sz="0" w:space="0" w:color="auto"/>
                  </w:divBdr>
                  <w:divsChild>
                    <w:div w:id="319891358">
                      <w:marLeft w:val="0"/>
                      <w:marRight w:val="0"/>
                      <w:marTop w:val="0"/>
                      <w:marBottom w:val="0"/>
                      <w:divBdr>
                        <w:top w:val="none" w:sz="0" w:space="0" w:color="auto"/>
                        <w:left w:val="none" w:sz="0" w:space="0" w:color="auto"/>
                        <w:bottom w:val="none" w:sz="0" w:space="0" w:color="auto"/>
                        <w:right w:val="none" w:sz="0" w:space="0" w:color="auto"/>
                      </w:divBdr>
                      <w:divsChild>
                        <w:div w:id="1758861427">
                          <w:marLeft w:val="0"/>
                          <w:marRight w:val="0"/>
                          <w:marTop w:val="0"/>
                          <w:marBottom w:val="0"/>
                          <w:divBdr>
                            <w:top w:val="none" w:sz="0" w:space="0" w:color="auto"/>
                            <w:left w:val="none" w:sz="0" w:space="0" w:color="auto"/>
                            <w:bottom w:val="none" w:sz="0" w:space="0" w:color="auto"/>
                            <w:right w:val="none" w:sz="0" w:space="0" w:color="auto"/>
                          </w:divBdr>
                          <w:divsChild>
                            <w:div w:id="71200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0ECBE-514D-4933-8EBD-3BA60B9557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4099B5-5E08-4671-B272-3A5B751344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B13264B-6AE5-4B37-B254-8E9183867265}">
  <ds:schemaRefs>
    <ds:schemaRef ds:uri="http://schemas.microsoft.com/sharepoint/v3/contenttype/forms"/>
  </ds:schemaRefs>
</ds:datastoreItem>
</file>

<file path=customXml/itemProps4.xml><?xml version="1.0" encoding="utf-8"?>
<ds:datastoreItem xmlns:ds="http://schemas.openxmlformats.org/officeDocument/2006/customXml" ds:itemID="{9A88306F-F4B4-4792-B837-FF4A5C042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4078</Words>
  <Characters>24473</Characters>
  <Application>Microsoft Office Word</Application>
  <DocSecurity>0</DocSecurity>
  <Lines>203</Lines>
  <Paragraphs>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28495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2018-03-13T15:00:00Z</dcterms:created>
  <dcterms:modified xsi:type="dcterms:W3CDTF">2018-03-13T15:00:00Z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74568/11</vt:lpwstr>
  </property>
  <property fmtid="{D5CDD505-2E9C-101B-9397-08002B2CF9AE}" pid="4" name="CASEID">
    <vt:lpwstr>764156</vt:lpwstr>
  </property>
  <property fmtid="{D5CDD505-2E9C-101B-9397-08002B2CF9AE}" pid="5" name="ContentTypeId">
    <vt:lpwstr>0x010100558EB02BDB9E204AB350EDD385B68E10</vt:lpwstr>
  </property>
</Properties>
</file>