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4A6DD" w14:textId="77777777" w:rsidR="008561C7" w:rsidRDefault="008561C7" w:rsidP="008561C7">
      <w:pPr>
        <w:pStyle w:val="s6e50bd9a"/>
        <w:spacing w:after="120" w:afterAutospacing="0"/>
        <w:jc w:val="both"/>
        <w:rPr>
          <w:rFonts w:ascii="Arial" w:hAnsi="Arial" w:cs="Arial"/>
        </w:rPr>
      </w:pPr>
      <w:bookmarkStart w:id="0" w:name="_GoBack"/>
      <w:bookmarkEnd w:id="0"/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5E725123" w14:textId="77777777" w:rsidR="008561C7" w:rsidRDefault="008561C7" w:rsidP="008561C7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629F9849" w14:textId="77777777" w:rsidR="00E86725" w:rsidRDefault="008561C7" w:rsidP="008561C7">
      <w:pPr>
        <w:rPr>
          <w:lang w:val="pl-PL"/>
        </w:rPr>
      </w:pPr>
      <w:r>
        <w:rPr>
          <w:lang w:val="pl-PL"/>
        </w:rPr>
        <w:t>Nota informacyjna nt. orzecznictwa Trybunału nr</w:t>
      </w:r>
      <w:r w:rsidR="00B459DC" w:rsidRPr="008561C7">
        <w:rPr>
          <w:lang w:val="pl-PL"/>
        </w:rPr>
        <w:t xml:space="preserve"> 203</w:t>
      </w:r>
    </w:p>
    <w:p w14:paraId="747D91FF" w14:textId="77777777" w:rsidR="00082AE9" w:rsidRPr="008561C7" w:rsidRDefault="00082AE9" w:rsidP="008561C7">
      <w:pPr>
        <w:rPr>
          <w:lang w:val="pl-PL"/>
        </w:rPr>
      </w:pPr>
    </w:p>
    <w:p w14:paraId="1FA209EE" w14:textId="77777777" w:rsidR="00E86725" w:rsidRPr="00F63171" w:rsidRDefault="008561C7">
      <w:pPr>
        <w:pStyle w:val="ClinEditionMonth"/>
        <w:rPr>
          <w:lang w:val="pl-PL"/>
        </w:rPr>
      </w:pPr>
      <w:r w:rsidRPr="00F63171">
        <w:rPr>
          <w:lang w:val="pl-PL"/>
        </w:rPr>
        <w:t xml:space="preserve">Styczeń </w:t>
      </w:r>
      <w:r w:rsidR="00B459DC" w:rsidRPr="00F63171">
        <w:rPr>
          <w:lang w:val="pl-PL"/>
        </w:rPr>
        <w:t>2017</w:t>
      </w:r>
      <w:r w:rsidRPr="00F63171">
        <w:rPr>
          <w:lang w:val="pl-PL"/>
        </w:rPr>
        <w:t xml:space="preserve"> r.</w:t>
      </w:r>
    </w:p>
    <w:p w14:paraId="2663A809" w14:textId="06BD8071" w:rsidR="00E86725" w:rsidRPr="00F70294" w:rsidRDefault="00B459DC">
      <w:pPr>
        <w:rPr>
          <w:lang w:val="pl-PL"/>
        </w:rPr>
      </w:pPr>
      <w:r w:rsidRPr="00F70294">
        <w:rPr>
          <w:rStyle w:val="ClinCaseTitle"/>
          <w:lang w:val="pl-PL"/>
        </w:rPr>
        <w:t xml:space="preserve">Hutchinson </w:t>
      </w:r>
      <w:r w:rsidR="00F70294" w:rsidRPr="00F70294">
        <w:rPr>
          <w:rStyle w:val="ClinCaseTitle"/>
          <w:lang w:val="pl-PL"/>
        </w:rPr>
        <w:t>p</w:t>
      </w:r>
      <w:r w:rsidRPr="00F70294">
        <w:rPr>
          <w:rStyle w:val="ClinCaseTitle"/>
          <w:lang w:val="pl-PL"/>
        </w:rPr>
        <w:t xml:space="preserve">. </w:t>
      </w:r>
      <w:r w:rsidR="00F70294" w:rsidRPr="00F70294">
        <w:rPr>
          <w:rStyle w:val="ClinCaseTitle"/>
          <w:lang w:val="pl-PL"/>
        </w:rPr>
        <w:t xml:space="preserve">Zjednoczonemu Królestwu </w:t>
      </w:r>
      <w:r w:rsidRPr="00F70294">
        <w:rPr>
          <w:rStyle w:val="ClinCaseTitle"/>
          <w:lang w:val="pl-PL"/>
        </w:rPr>
        <w:t>[</w:t>
      </w:r>
      <w:r w:rsidR="00F70294" w:rsidRPr="00F70294">
        <w:rPr>
          <w:rStyle w:val="ClinCaseTitle"/>
          <w:lang w:val="pl-PL"/>
        </w:rPr>
        <w:t>Wielka Izba</w:t>
      </w:r>
      <w:r w:rsidRPr="00F70294">
        <w:rPr>
          <w:rStyle w:val="ClinCaseTitle"/>
          <w:lang w:val="pl-PL"/>
        </w:rPr>
        <w:t>]</w:t>
      </w:r>
      <w:r w:rsidRPr="00F70294">
        <w:rPr>
          <w:rStyle w:val="ClinApplicationNumber"/>
          <w:lang w:val="pl-PL"/>
        </w:rPr>
        <w:t xml:space="preserve"> </w:t>
      </w:r>
      <w:r w:rsidR="005C44B4">
        <w:rPr>
          <w:rStyle w:val="ClinApplicationNumber"/>
          <w:lang w:val="pl-PL"/>
        </w:rPr>
        <w:br/>
      </w:r>
      <w:r w:rsidR="00F70294" w:rsidRPr="00F70294">
        <w:rPr>
          <w:rStyle w:val="ClinApplicationNumber"/>
          <w:lang w:val="pl-PL"/>
        </w:rPr>
        <w:t>–</w:t>
      </w:r>
      <w:r w:rsidRPr="00F70294">
        <w:rPr>
          <w:rStyle w:val="ClinApplicationNumber"/>
          <w:lang w:val="pl-PL"/>
        </w:rPr>
        <w:t xml:space="preserve"> </w:t>
      </w:r>
      <w:r w:rsidR="00F70294" w:rsidRPr="00F70294">
        <w:rPr>
          <w:rStyle w:val="ClinApplicationNumber"/>
          <w:lang w:val="pl-PL"/>
        </w:rPr>
        <w:t xml:space="preserve">skarga nr </w:t>
      </w:r>
      <w:r w:rsidRPr="00F70294">
        <w:rPr>
          <w:rStyle w:val="ClinApplicationNumber"/>
          <w:lang w:val="pl-PL"/>
        </w:rPr>
        <w:t>57592/08</w:t>
      </w:r>
    </w:p>
    <w:p w14:paraId="58321A10" w14:textId="77777777" w:rsidR="00E86725" w:rsidRPr="00F70294" w:rsidRDefault="00F70294">
      <w:pPr>
        <w:rPr>
          <w:lang w:val="pl-PL"/>
        </w:rPr>
      </w:pPr>
      <w:r w:rsidRPr="00F70294">
        <w:rPr>
          <w:rStyle w:val="ClinHudocDocumentTitle"/>
          <w:lang w:val="pl-PL"/>
        </w:rPr>
        <w:t xml:space="preserve">Wyrok z </w:t>
      </w:r>
      <w:r w:rsidR="00B459DC" w:rsidRPr="00F70294">
        <w:rPr>
          <w:rStyle w:val="ClinHudocDocumentTitle"/>
          <w:lang w:val="pl-PL"/>
        </w:rPr>
        <w:t>17.</w:t>
      </w:r>
      <w:r w:rsidRPr="00F70294">
        <w:rPr>
          <w:rStyle w:val="ClinHudocDocumentTitle"/>
          <w:lang w:val="pl-PL"/>
        </w:rPr>
        <w:t>0</w:t>
      </w:r>
      <w:r w:rsidR="00B459DC" w:rsidRPr="00F70294">
        <w:rPr>
          <w:rStyle w:val="ClinHudocDocumentTitle"/>
          <w:lang w:val="pl-PL"/>
        </w:rPr>
        <w:t>1.2017</w:t>
      </w:r>
      <w:r w:rsidR="003101E3">
        <w:rPr>
          <w:rStyle w:val="ClinHudocDocumentTitle"/>
          <w:lang w:val="pl-PL"/>
        </w:rPr>
        <w:t xml:space="preserve"> r.</w:t>
      </w:r>
      <w:r w:rsidR="00B459DC" w:rsidRPr="00F70294">
        <w:rPr>
          <w:rStyle w:val="ClinSectionName"/>
          <w:lang w:val="pl-PL"/>
        </w:rPr>
        <w:t xml:space="preserve"> [</w:t>
      </w:r>
      <w:r w:rsidRPr="00F70294">
        <w:rPr>
          <w:rStyle w:val="ClinSectionName"/>
          <w:lang w:val="pl-PL"/>
        </w:rPr>
        <w:t>Wielka Izba</w:t>
      </w:r>
      <w:r w:rsidR="00B459DC" w:rsidRPr="00F70294">
        <w:rPr>
          <w:rStyle w:val="ClinSectionName"/>
          <w:lang w:val="pl-PL"/>
        </w:rPr>
        <w:t>]</w:t>
      </w:r>
    </w:p>
    <w:p w14:paraId="151ECBE1" w14:textId="77777777" w:rsidR="00E86725" w:rsidRPr="00F70294" w:rsidRDefault="00B459DC">
      <w:pPr>
        <w:pStyle w:val="ClinMainKeywordCode"/>
        <w:rPr>
          <w:lang w:val="pl-PL"/>
        </w:rPr>
      </w:pPr>
      <w:r w:rsidRPr="00F70294">
        <w:rPr>
          <w:lang w:val="pl-PL"/>
        </w:rPr>
        <w:t>Art</w:t>
      </w:r>
      <w:r w:rsidR="00F70294" w:rsidRPr="00F70294">
        <w:rPr>
          <w:lang w:val="pl-PL"/>
        </w:rPr>
        <w:t>.</w:t>
      </w:r>
      <w:r w:rsidRPr="00F70294">
        <w:rPr>
          <w:lang w:val="pl-PL"/>
        </w:rPr>
        <w:t xml:space="preserve"> 3</w:t>
      </w:r>
    </w:p>
    <w:p w14:paraId="59803813" w14:textId="77777777" w:rsidR="00E86725" w:rsidRPr="007A2230" w:rsidRDefault="00F70294">
      <w:pPr>
        <w:pStyle w:val="ClinKeyword"/>
        <w:rPr>
          <w:lang w:val="pl-PL"/>
        </w:rPr>
      </w:pPr>
      <w:r w:rsidRPr="007A2230">
        <w:rPr>
          <w:lang w:val="pl-PL"/>
        </w:rPr>
        <w:t>Poniżające karanie</w:t>
      </w:r>
    </w:p>
    <w:p w14:paraId="26F419BB" w14:textId="77777777" w:rsidR="00E86725" w:rsidRPr="007A2230" w:rsidRDefault="00F70294">
      <w:pPr>
        <w:pStyle w:val="ClinKeyword"/>
        <w:rPr>
          <w:lang w:val="pl-PL"/>
        </w:rPr>
      </w:pPr>
      <w:r w:rsidRPr="007A2230">
        <w:rPr>
          <w:lang w:val="pl-PL"/>
        </w:rPr>
        <w:t xml:space="preserve">Nieludzkie karanie </w:t>
      </w:r>
    </w:p>
    <w:p w14:paraId="7D8BD2D4" w14:textId="720CC78D" w:rsidR="00F70294" w:rsidRPr="00F70294" w:rsidRDefault="0056678B" w:rsidP="00082AE9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>Utrzymywanie pozbawienia</w:t>
      </w:r>
      <w:r w:rsidR="00F70294" w:rsidRPr="00F70294">
        <w:rPr>
          <w:rStyle w:val="ClinConclusions"/>
          <w:i w:val="0"/>
          <w:lang w:val="pl-PL"/>
        </w:rPr>
        <w:t xml:space="preserve"> wolności w </w:t>
      </w:r>
      <w:r w:rsidR="00F70294" w:rsidRPr="0056678B">
        <w:rPr>
          <w:rStyle w:val="ClinConclusions"/>
          <w:i w:val="0"/>
          <w:lang w:val="pl-PL"/>
        </w:rPr>
        <w:t>ramach kary</w:t>
      </w:r>
      <w:r w:rsidR="00F70294" w:rsidRPr="00F70294">
        <w:rPr>
          <w:rStyle w:val="ClinConclusions"/>
          <w:i w:val="0"/>
          <w:lang w:val="pl-PL"/>
        </w:rPr>
        <w:t xml:space="preserve"> dożywotniego pozbawienia wolności po wyjaśnieniu uprawnień Sekretarza Stanu do zarządzenia zwolnienia</w:t>
      </w:r>
      <w:r w:rsidR="00F70294">
        <w:rPr>
          <w:rStyle w:val="ClinConclusions"/>
          <w:lang w:val="pl-PL"/>
        </w:rPr>
        <w:t>: brak naruszenia</w:t>
      </w:r>
    </w:p>
    <w:p w14:paraId="7823FC2F" w14:textId="04BE6C6D" w:rsidR="00F70294" w:rsidRPr="0090032B" w:rsidRDefault="00F70294">
      <w:pPr>
        <w:pStyle w:val="ClinContent"/>
        <w:rPr>
          <w:lang w:val="pl-PL"/>
        </w:rPr>
      </w:pPr>
      <w:r w:rsidRPr="00F70294">
        <w:rPr>
          <w:i/>
          <w:lang w:val="pl-PL"/>
        </w:rPr>
        <w:t xml:space="preserve">Fakty – </w:t>
      </w:r>
      <w:r w:rsidRPr="00F70294">
        <w:rPr>
          <w:lang w:val="pl-PL"/>
        </w:rPr>
        <w:t xml:space="preserve">W sprawie </w:t>
      </w:r>
      <w:r w:rsidRPr="00F70294">
        <w:rPr>
          <w:i/>
          <w:lang w:val="pl-PL"/>
        </w:rPr>
        <w:t>Vinter i Inni p. Zjednoczonemu Królestwu</w:t>
      </w:r>
      <w:r>
        <w:rPr>
          <w:lang w:val="pl-PL"/>
        </w:rPr>
        <w:t xml:space="preserve"> Europejski Trybunał Praw Człowieka orzekł, że prawo </w:t>
      </w:r>
      <w:r w:rsidR="0056678B">
        <w:rPr>
          <w:lang w:val="pl-PL"/>
        </w:rPr>
        <w:t xml:space="preserve">krajowe </w:t>
      </w:r>
      <w:r>
        <w:rPr>
          <w:lang w:val="pl-PL"/>
        </w:rPr>
        <w:t xml:space="preserve">dotyczące perspektyw zwolnienia osób odbywających karę dożywotniego pozbawienia wolności w Anglii i Walii było niejasne. </w:t>
      </w:r>
      <w:r w:rsidRPr="00F70294">
        <w:rPr>
          <w:lang w:val="pl-PL"/>
        </w:rPr>
        <w:t xml:space="preserve">Chociaż art. 30 ustawy karnej (ws. kar) z 1997 r. przyznawał </w:t>
      </w:r>
      <w:r w:rsidR="0056678B" w:rsidRPr="0090032B">
        <w:rPr>
          <w:lang w:val="pl-PL"/>
        </w:rPr>
        <w:t xml:space="preserve">Sekretarzowi Stanu </w:t>
      </w:r>
      <w:r w:rsidRPr="0090032B">
        <w:rPr>
          <w:lang w:val="pl-PL"/>
        </w:rPr>
        <w:t xml:space="preserve">uprawnienie do zwolnienia jakiegokolwiek więźnia, w tym odbywającego karę dożywotniego pozbawienia wolności, rozdział 12 </w:t>
      </w:r>
      <w:r w:rsidRPr="004A125F">
        <w:rPr>
          <w:i/>
          <w:lang w:val="pl-PL"/>
        </w:rPr>
        <w:t xml:space="preserve">Podręcznika ws. </w:t>
      </w:r>
      <w:r w:rsidR="0056678B" w:rsidRPr="004A125F">
        <w:rPr>
          <w:i/>
          <w:lang w:val="pl-PL"/>
        </w:rPr>
        <w:t xml:space="preserve">kar o </w:t>
      </w:r>
      <w:r w:rsidRPr="004A125F">
        <w:rPr>
          <w:i/>
          <w:lang w:val="pl-PL"/>
        </w:rPr>
        <w:t xml:space="preserve">nieokreślonej </w:t>
      </w:r>
      <w:r w:rsidR="0056678B" w:rsidRPr="004A125F">
        <w:rPr>
          <w:i/>
          <w:lang w:val="pl-PL"/>
        </w:rPr>
        <w:t>długości</w:t>
      </w:r>
      <w:r w:rsidRPr="0090032B">
        <w:rPr>
          <w:lang w:val="pl-PL"/>
        </w:rPr>
        <w:t xml:space="preserve"> (</w:t>
      </w:r>
      <w:r w:rsidR="004457CC" w:rsidRPr="0090032B">
        <w:rPr>
          <w:lang w:val="pl-PL"/>
        </w:rPr>
        <w:t xml:space="preserve">tzw. </w:t>
      </w:r>
      <w:r w:rsidRPr="0090032B">
        <w:rPr>
          <w:lang w:val="pl-PL"/>
        </w:rPr>
        <w:t>„</w:t>
      </w:r>
      <w:r w:rsidR="0056678B" w:rsidRPr="0090032B">
        <w:rPr>
          <w:i/>
          <w:lang w:val="pl-PL"/>
        </w:rPr>
        <w:t>Lifer Manual</w:t>
      </w:r>
      <w:r w:rsidR="0056678B" w:rsidRPr="0090032B">
        <w:rPr>
          <w:lang w:val="pl-PL"/>
        </w:rPr>
        <w:t>”</w:t>
      </w:r>
      <w:r w:rsidR="00A1478A" w:rsidRPr="0090032B">
        <w:rPr>
          <w:lang w:val="pl-PL"/>
        </w:rPr>
        <w:t>)* przewidywał, że zwolnienie może być zarządzone</w:t>
      </w:r>
      <w:r w:rsidR="0056678B" w:rsidRPr="0090032B">
        <w:rPr>
          <w:lang w:val="pl-PL"/>
        </w:rPr>
        <w:t xml:space="preserve"> tylko</w:t>
      </w:r>
      <w:r w:rsidR="00A1478A" w:rsidRPr="0090032B">
        <w:rPr>
          <w:lang w:val="pl-PL"/>
        </w:rPr>
        <w:t>, jeśli więzień</w:t>
      </w:r>
      <w:r w:rsidR="00FF41EB">
        <w:rPr>
          <w:lang w:val="pl-PL"/>
        </w:rPr>
        <w:t xml:space="preserve"> </w:t>
      </w:r>
      <w:r w:rsidR="00FF41EB" w:rsidRPr="004A125F">
        <w:rPr>
          <w:lang w:val="pl-PL"/>
        </w:rPr>
        <w:t>jest</w:t>
      </w:r>
      <w:r w:rsidR="00A1478A" w:rsidRPr="004A125F">
        <w:rPr>
          <w:lang w:val="pl-PL"/>
        </w:rPr>
        <w:t xml:space="preserve"> </w:t>
      </w:r>
      <w:r w:rsidR="004A125F" w:rsidRPr="004A125F">
        <w:rPr>
          <w:lang w:val="pl-PL"/>
        </w:rPr>
        <w:t>terminalnie</w:t>
      </w:r>
      <w:r w:rsidR="00860A3E" w:rsidRPr="004A125F">
        <w:rPr>
          <w:lang w:val="pl-PL"/>
        </w:rPr>
        <w:t xml:space="preserve"> </w:t>
      </w:r>
      <w:r w:rsidR="0056678B" w:rsidRPr="004A125F">
        <w:rPr>
          <w:lang w:val="pl-PL"/>
        </w:rPr>
        <w:t>chory</w:t>
      </w:r>
      <w:r w:rsidR="00A1478A" w:rsidRPr="0090032B">
        <w:rPr>
          <w:lang w:val="pl-PL"/>
        </w:rPr>
        <w:t xml:space="preserve"> lub fizycznie niepełnosprawny. Były to warunki </w:t>
      </w:r>
      <w:r w:rsidR="00082AE9">
        <w:rPr>
          <w:lang w:val="pl-PL"/>
        </w:rPr>
        <w:t>bardzo</w:t>
      </w:r>
      <w:r w:rsidR="0056678B" w:rsidRPr="0090032B">
        <w:rPr>
          <w:lang w:val="pl-PL"/>
        </w:rPr>
        <w:t xml:space="preserve"> </w:t>
      </w:r>
      <w:r w:rsidR="00082AE9">
        <w:rPr>
          <w:lang w:val="pl-PL"/>
        </w:rPr>
        <w:t>restrykcyjn</w:t>
      </w:r>
      <w:r w:rsidR="00A1478A" w:rsidRPr="0090032B">
        <w:rPr>
          <w:lang w:val="pl-PL"/>
        </w:rPr>
        <w:t>e i w opinii Trybunału nie dawały „perspektyw</w:t>
      </w:r>
      <w:r w:rsidR="0056678B" w:rsidRPr="0090032B">
        <w:rPr>
          <w:lang w:val="pl-PL"/>
        </w:rPr>
        <w:t>y</w:t>
      </w:r>
      <w:r w:rsidR="00A1478A" w:rsidRPr="0090032B">
        <w:rPr>
          <w:lang w:val="pl-PL"/>
        </w:rPr>
        <w:t xml:space="preserve"> zwolnieni</w:t>
      </w:r>
      <w:r w:rsidR="0056678B" w:rsidRPr="0090032B">
        <w:rPr>
          <w:lang w:val="pl-PL"/>
        </w:rPr>
        <w:t>a</w:t>
      </w:r>
      <w:r w:rsidR="00A1478A" w:rsidRPr="0090032B">
        <w:rPr>
          <w:lang w:val="pl-PL"/>
        </w:rPr>
        <w:t>”</w:t>
      </w:r>
      <w:r w:rsidR="0056678B" w:rsidRPr="0090032B">
        <w:rPr>
          <w:lang w:val="pl-PL"/>
        </w:rPr>
        <w:t xml:space="preserve"> </w:t>
      </w:r>
      <w:r w:rsidR="00FD71CF">
        <w:rPr>
          <w:lang w:val="pl-PL"/>
        </w:rPr>
        <w:t>wymaganej</w:t>
      </w:r>
      <w:r w:rsidR="0056678B" w:rsidRPr="0090032B">
        <w:rPr>
          <w:lang w:val="pl-PL"/>
        </w:rPr>
        <w:t xml:space="preserve"> przez</w:t>
      </w:r>
      <w:r w:rsidR="00C20E64">
        <w:rPr>
          <w:lang w:val="pl-PL"/>
        </w:rPr>
        <w:t> </w:t>
      </w:r>
      <w:r w:rsidR="0056678B" w:rsidRPr="0090032B">
        <w:rPr>
          <w:lang w:val="pl-PL"/>
        </w:rPr>
        <w:t xml:space="preserve">orzecznictwo Trybunału, by </w:t>
      </w:r>
      <w:r w:rsidR="00A1478A" w:rsidRPr="0090032B">
        <w:rPr>
          <w:lang w:val="pl-PL"/>
        </w:rPr>
        <w:t xml:space="preserve">kara dożywotniego pozbawienia wolności mogła być uzna za </w:t>
      </w:r>
      <w:r w:rsidR="00FD71CF">
        <w:rPr>
          <w:lang w:val="pl-PL"/>
        </w:rPr>
        <w:t xml:space="preserve">podlegającą </w:t>
      </w:r>
      <w:r w:rsidR="00A1478A" w:rsidRPr="0090032B">
        <w:rPr>
          <w:lang w:val="pl-PL"/>
        </w:rPr>
        <w:t>mo</w:t>
      </w:r>
      <w:r w:rsidR="00FD71CF">
        <w:rPr>
          <w:lang w:val="pl-PL"/>
        </w:rPr>
        <w:t>żliwości</w:t>
      </w:r>
      <w:r w:rsidR="00A1478A" w:rsidRPr="0090032B">
        <w:rPr>
          <w:lang w:val="pl-PL"/>
        </w:rPr>
        <w:t xml:space="preserve"> </w:t>
      </w:r>
      <w:r w:rsidR="0056678B" w:rsidRPr="0090032B">
        <w:rPr>
          <w:lang w:val="pl-PL"/>
        </w:rPr>
        <w:t xml:space="preserve">skrócenia </w:t>
      </w:r>
      <w:r w:rsidR="00C95055">
        <w:rPr>
          <w:lang w:val="pl-PL"/>
        </w:rPr>
        <w:t xml:space="preserve">na potrzeby </w:t>
      </w:r>
      <w:r w:rsidR="00A1478A" w:rsidRPr="0090032B">
        <w:rPr>
          <w:lang w:val="pl-PL"/>
        </w:rPr>
        <w:t>art. 3 Konwencji</w:t>
      </w:r>
      <w:r w:rsidR="00054D6A">
        <w:rPr>
          <w:lang w:val="pl-PL"/>
        </w:rPr>
        <w:t xml:space="preserve"> [o ochronie praw człowieka i podstawowych wolności]</w:t>
      </w:r>
      <w:r w:rsidR="00A1478A" w:rsidRPr="0090032B">
        <w:rPr>
          <w:lang w:val="pl-PL"/>
        </w:rPr>
        <w:t xml:space="preserve">.  </w:t>
      </w:r>
    </w:p>
    <w:p w14:paraId="178E89F1" w14:textId="0A1890AA" w:rsidR="00A1478A" w:rsidRPr="00A1478A" w:rsidRDefault="00A1478A">
      <w:pPr>
        <w:pStyle w:val="ClinContent"/>
        <w:rPr>
          <w:lang w:val="pl-PL"/>
        </w:rPr>
      </w:pPr>
      <w:r w:rsidRPr="00A1478A">
        <w:rPr>
          <w:lang w:val="pl-PL"/>
        </w:rPr>
        <w:t>Następnie, Sąd Apelacyjny Anglii i Wali</w:t>
      </w:r>
      <w:r w:rsidR="00054D6A">
        <w:rPr>
          <w:lang w:val="pl-PL"/>
        </w:rPr>
        <w:t>i</w:t>
      </w:r>
      <w:r w:rsidRPr="00A1478A">
        <w:rPr>
          <w:lang w:val="pl-PL"/>
        </w:rPr>
        <w:t xml:space="preserve"> rozważył </w:t>
      </w:r>
      <w:r w:rsidR="0056678B">
        <w:rPr>
          <w:lang w:val="pl-PL"/>
        </w:rPr>
        <w:t>prawo angielskie</w:t>
      </w:r>
      <w:r w:rsidRPr="00A1478A">
        <w:rPr>
          <w:lang w:val="pl-PL"/>
        </w:rPr>
        <w:t xml:space="preserve"> w świetle wyroku w</w:t>
      </w:r>
      <w:r w:rsidR="00C20E64">
        <w:rPr>
          <w:lang w:val="pl-PL"/>
        </w:rPr>
        <w:t> </w:t>
      </w:r>
      <w:r w:rsidRPr="00A1478A">
        <w:rPr>
          <w:lang w:val="pl-PL"/>
        </w:rPr>
        <w:t xml:space="preserve">sprawie </w:t>
      </w:r>
      <w:r>
        <w:rPr>
          <w:i/>
          <w:lang w:val="pl-PL"/>
        </w:rPr>
        <w:t xml:space="preserve">Vinter i Inni. </w:t>
      </w:r>
      <w:r>
        <w:rPr>
          <w:lang w:val="pl-PL"/>
        </w:rPr>
        <w:t xml:space="preserve">W sprawie </w:t>
      </w:r>
      <w:r w:rsidRPr="00A1478A">
        <w:rPr>
          <w:i/>
          <w:lang w:val="pl-PL"/>
        </w:rPr>
        <w:t>McLoughlin</w:t>
      </w:r>
      <w:r w:rsidRPr="00A1478A">
        <w:rPr>
          <w:lang w:val="pl-PL"/>
        </w:rPr>
        <w:t xml:space="preserve">** orzekł, że </w:t>
      </w:r>
      <w:r w:rsidRPr="004A125F">
        <w:rPr>
          <w:i/>
          <w:lang w:val="pl-PL"/>
        </w:rPr>
        <w:t xml:space="preserve">Podręcznik ws. </w:t>
      </w:r>
      <w:r w:rsidR="0056678B" w:rsidRPr="004A125F">
        <w:rPr>
          <w:i/>
          <w:lang w:val="pl-PL"/>
        </w:rPr>
        <w:t>kar o</w:t>
      </w:r>
      <w:r w:rsidR="00C20E64">
        <w:rPr>
          <w:i/>
          <w:lang w:val="pl-PL"/>
        </w:rPr>
        <w:t> </w:t>
      </w:r>
      <w:r w:rsidR="0056678B" w:rsidRPr="004A125F">
        <w:rPr>
          <w:i/>
          <w:lang w:val="pl-PL"/>
        </w:rPr>
        <w:t>nieokreślonej długości</w:t>
      </w:r>
      <w:r w:rsidRPr="004A125F">
        <w:rPr>
          <w:i/>
          <w:lang w:val="pl-PL"/>
        </w:rPr>
        <w:t xml:space="preserve"> </w:t>
      </w:r>
      <w:r>
        <w:rPr>
          <w:lang w:val="pl-PL"/>
        </w:rPr>
        <w:t xml:space="preserve">nie może ograniczyć obowiązku Sekretarza Stanu rozważenia wszystkich okoliczności istotnych dla zwolnienia </w:t>
      </w:r>
      <w:r w:rsidR="002C1C6E">
        <w:rPr>
          <w:lang w:val="pl-PL"/>
        </w:rPr>
        <w:t>„</w:t>
      </w:r>
      <w:r>
        <w:rPr>
          <w:lang w:val="pl-PL"/>
        </w:rPr>
        <w:t>ze względów</w:t>
      </w:r>
      <w:r w:rsidR="002C1C6E">
        <w:rPr>
          <w:lang w:val="pl-PL"/>
        </w:rPr>
        <w:t xml:space="preserve"> współczucia” oraz</w:t>
      </w:r>
      <w:r w:rsidR="00C20E64">
        <w:rPr>
          <w:lang w:val="pl-PL"/>
        </w:rPr>
        <w:t> </w:t>
      </w:r>
      <w:r w:rsidR="002C1C6E">
        <w:rPr>
          <w:lang w:val="pl-PL"/>
        </w:rPr>
        <w:t>że</w:t>
      </w:r>
      <w:r w:rsidR="00C20E64">
        <w:rPr>
          <w:lang w:val="pl-PL"/>
        </w:rPr>
        <w:t> </w:t>
      </w:r>
      <w:r w:rsidR="002C1C6E">
        <w:rPr>
          <w:lang w:val="pl-PL"/>
        </w:rPr>
        <w:t xml:space="preserve">termin ten, który powinien być </w:t>
      </w:r>
      <w:r w:rsidR="000336D5">
        <w:rPr>
          <w:lang w:val="pl-PL"/>
        </w:rPr>
        <w:t>interpretowany</w:t>
      </w:r>
      <w:r w:rsidR="002C1C6E">
        <w:rPr>
          <w:lang w:val="pl-PL"/>
        </w:rPr>
        <w:t xml:space="preserve"> w sposób zgodny z art. 3, nie jest ograniczony jedynie do </w:t>
      </w:r>
      <w:r w:rsidR="000336D5">
        <w:rPr>
          <w:lang w:val="pl-PL"/>
        </w:rPr>
        <w:t>względów wyrażonych</w:t>
      </w:r>
      <w:r w:rsidR="002C1C6E">
        <w:rPr>
          <w:lang w:val="pl-PL"/>
        </w:rPr>
        <w:t xml:space="preserve"> w </w:t>
      </w:r>
      <w:r w:rsidR="0056678B" w:rsidRPr="004A125F">
        <w:rPr>
          <w:i/>
          <w:lang w:val="pl-PL"/>
        </w:rPr>
        <w:t>Podręczniku ws. kar o nieokreślonej długości</w:t>
      </w:r>
      <w:r w:rsidR="002C1C6E">
        <w:rPr>
          <w:lang w:val="pl-PL"/>
        </w:rPr>
        <w:t xml:space="preserve">, ale ma szersze znaczenie, które może być wyjaśniane w poszczególnych sprawach. Ponadto, decyzja Sekretarza Stanu musi </w:t>
      </w:r>
      <w:r w:rsidR="00054D6A">
        <w:rPr>
          <w:lang w:val="pl-PL"/>
        </w:rPr>
        <w:t>zawierać uzasadnienie</w:t>
      </w:r>
      <w:r w:rsidR="002C1C6E">
        <w:rPr>
          <w:lang w:val="pl-PL"/>
        </w:rPr>
        <w:t xml:space="preserve"> i podlega kontroli sądowej. W opinii Sądu Apelacyjnego, prawo Anglii i Walii zapewnia zatem osobom odbywającym karę pozbawienia wolnoś</w:t>
      </w:r>
      <w:r w:rsidR="009A0ED1">
        <w:rPr>
          <w:lang w:val="pl-PL"/>
        </w:rPr>
        <w:t>ci</w:t>
      </w:r>
      <w:r w:rsidR="002C1C6E">
        <w:rPr>
          <w:lang w:val="pl-PL"/>
        </w:rPr>
        <w:t xml:space="preserve"> możliwość zwolnienia w wyjątkowych okolicznościach. </w:t>
      </w:r>
    </w:p>
    <w:p w14:paraId="524EA78F" w14:textId="55221BDB" w:rsidR="002C1C6E" w:rsidRPr="002C1C6E" w:rsidRDefault="002C1C6E">
      <w:pPr>
        <w:pStyle w:val="ClinContent"/>
        <w:rPr>
          <w:lang w:val="pl-PL"/>
        </w:rPr>
      </w:pPr>
      <w:r>
        <w:rPr>
          <w:lang w:val="pl-PL"/>
        </w:rPr>
        <w:t>Skarżący w obecnej spraw</w:t>
      </w:r>
      <w:r w:rsidRPr="002C1C6E">
        <w:rPr>
          <w:lang w:val="pl-PL"/>
        </w:rPr>
        <w:t>i</w:t>
      </w:r>
      <w:r>
        <w:rPr>
          <w:lang w:val="pl-PL"/>
        </w:rPr>
        <w:t>e</w:t>
      </w:r>
      <w:r w:rsidRPr="002C1C6E">
        <w:rPr>
          <w:lang w:val="pl-PL"/>
        </w:rPr>
        <w:t xml:space="preserve"> został skazany we wrześniu 1984 r. </w:t>
      </w:r>
      <w:r>
        <w:rPr>
          <w:lang w:val="pl-PL"/>
        </w:rPr>
        <w:t xml:space="preserve">za kwalifikowaną kradzież z włamaniem, gwałt oraz trzy zarzuty umyślnego zabójstwa i skazany na karę dożywotniego pozbawienia wolności z zalecanym minimalnym okresem </w:t>
      </w:r>
      <w:r w:rsidR="000336D5">
        <w:rPr>
          <w:lang w:val="pl-PL"/>
        </w:rPr>
        <w:t>(</w:t>
      </w:r>
      <w:r w:rsidR="000336D5" w:rsidRPr="000336D5">
        <w:rPr>
          <w:i/>
          <w:lang w:val="pl-PL"/>
        </w:rPr>
        <w:t>tariff</w:t>
      </w:r>
      <w:r w:rsidR="000336D5">
        <w:rPr>
          <w:lang w:val="pl-PL"/>
        </w:rPr>
        <w:t xml:space="preserve">) </w:t>
      </w:r>
      <w:r>
        <w:rPr>
          <w:lang w:val="pl-PL"/>
        </w:rPr>
        <w:t>18 lat. W</w:t>
      </w:r>
      <w:r w:rsidR="00C20E64">
        <w:rPr>
          <w:lang w:val="pl-PL"/>
        </w:rPr>
        <w:t> </w:t>
      </w:r>
      <w:r>
        <w:rPr>
          <w:lang w:val="pl-PL"/>
        </w:rPr>
        <w:t xml:space="preserve">grudniu 1994 r. Sekretarz Stanu poinformował </w:t>
      </w:r>
      <w:r w:rsidR="000336D5">
        <w:rPr>
          <w:lang w:val="pl-PL"/>
        </w:rPr>
        <w:t>skarżące</w:t>
      </w:r>
      <w:r>
        <w:rPr>
          <w:lang w:val="pl-PL"/>
        </w:rPr>
        <w:t xml:space="preserve">go, że postanowił zastosować </w:t>
      </w:r>
      <w:r w:rsidR="00C86E03">
        <w:rPr>
          <w:lang w:val="pl-PL"/>
        </w:rPr>
        <w:t>dożywotni okres pozbawienia</w:t>
      </w:r>
      <w:r>
        <w:rPr>
          <w:lang w:val="pl-PL"/>
        </w:rPr>
        <w:t xml:space="preserve"> wolności. Po wejściu w życie ustawy o wymiarze </w:t>
      </w:r>
      <w:r>
        <w:rPr>
          <w:lang w:val="pl-PL"/>
        </w:rPr>
        <w:lastRenderedPageBreak/>
        <w:t xml:space="preserve">sprawiedliwości w sprawach karnych z 2003 r. skarżący wnioskował o przeprowadzenie ponownej oceny minimalnego okresu </w:t>
      </w:r>
      <w:r w:rsidR="000336D5">
        <w:rPr>
          <w:lang w:val="pl-PL"/>
        </w:rPr>
        <w:t xml:space="preserve">jego kary </w:t>
      </w:r>
      <w:r>
        <w:rPr>
          <w:lang w:val="pl-PL"/>
        </w:rPr>
        <w:t xml:space="preserve">pozbawienia wolności. W maju 2008 r. </w:t>
      </w:r>
      <w:r w:rsidRPr="00C75031">
        <w:rPr>
          <w:lang w:val="pl-PL"/>
        </w:rPr>
        <w:t xml:space="preserve">Wysoki </w:t>
      </w:r>
      <w:r w:rsidR="00C75031" w:rsidRPr="00C75031">
        <w:rPr>
          <w:lang w:val="pl-PL"/>
        </w:rPr>
        <w:t>Trybunał</w:t>
      </w:r>
      <w:r w:rsidRPr="00C75031">
        <w:rPr>
          <w:lang w:val="pl-PL"/>
        </w:rPr>
        <w:t xml:space="preserve"> </w:t>
      </w:r>
      <w:r w:rsidR="00C86E03" w:rsidRPr="00C75031">
        <w:rPr>
          <w:lang w:val="pl-PL"/>
        </w:rPr>
        <w:t>(</w:t>
      </w:r>
      <w:r w:rsidR="00C86E03" w:rsidRPr="00C75031">
        <w:rPr>
          <w:i/>
          <w:lang w:val="pl-PL"/>
        </w:rPr>
        <w:t>High Court</w:t>
      </w:r>
      <w:r w:rsidR="00C86E03" w:rsidRPr="00C75031">
        <w:rPr>
          <w:lang w:val="pl-PL"/>
        </w:rPr>
        <w:t xml:space="preserve">) </w:t>
      </w:r>
      <w:r w:rsidR="00554DF6" w:rsidRPr="00C75031">
        <w:rPr>
          <w:lang w:val="pl-PL"/>
        </w:rPr>
        <w:t>orzekł</w:t>
      </w:r>
      <w:r w:rsidR="00554DF6">
        <w:rPr>
          <w:lang w:val="pl-PL"/>
        </w:rPr>
        <w:t xml:space="preserve">, że </w:t>
      </w:r>
      <w:r w:rsidR="000336D5">
        <w:rPr>
          <w:lang w:val="pl-PL"/>
        </w:rPr>
        <w:t xml:space="preserve">zważywszy na powagę przestępstw </w:t>
      </w:r>
      <w:r w:rsidR="00554DF6">
        <w:rPr>
          <w:lang w:val="pl-PL"/>
        </w:rPr>
        <w:t>brak jest powodów do odstąpienia od decyzji Sekretarza Stanu</w:t>
      </w:r>
      <w:r w:rsidR="00554DF6" w:rsidRPr="004457CC">
        <w:rPr>
          <w:lang w:val="pl-PL"/>
        </w:rPr>
        <w:t>. Apelacja</w:t>
      </w:r>
      <w:r w:rsidR="00554DF6">
        <w:rPr>
          <w:lang w:val="pl-PL"/>
        </w:rPr>
        <w:t xml:space="preserve"> skarżącego została oddalona przez Sąd Apelacyjny w październiku 2008 r. W skardze do Europejskiego Trybunału Praw Człowiek</w:t>
      </w:r>
      <w:r w:rsidR="00C86E03">
        <w:rPr>
          <w:lang w:val="pl-PL"/>
        </w:rPr>
        <w:t>a skarżący zarzucał, że nie ma</w:t>
      </w:r>
      <w:r w:rsidR="00554DF6">
        <w:rPr>
          <w:lang w:val="pl-PL"/>
        </w:rPr>
        <w:t xml:space="preserve"> </w:t>
      </w:r>
      <w:r w:rsidR="000336D5">
        <w:rPr>
          <w:lang w:val="pl-PL"/>
        </w:rPr>
        <w:t xml:space="preserve">żadnej </w:t>
      </w:r>
      <w:r w:rsidR="00554DF6">
        <w:rPr>
          <w:lang w:val="pl-PL"/>
        </w:rPr>
        <w:t>perspektywy zwolnienia z</w:t>
      </w:r>
      <w:r w:rsidR="00C20E64">
        <w:rPr>
          <w:lang w:val="pl-PL"/>
        </w:rPr>
        <w:t> </w:t>
      </w:r>
      <w:r w:rsidR="00554DF6">
        <w:rPr>
          <w:lang w:val="pl-PL"/>
        </w:rPr>
        <w:t>kary dożywotniego po</w:t>
      </w:r>
      <w:r w:rsidR="00C86E03">
        <w:rPr>
          <w:lang w:val="pl-PL"/>
        </w:rPr>
        <w:t>zbawienia wolności, co narusza</w:t>
      </w:r>
      <w:r w:rsidR="00054D6A">
        <w:rPr>
          <w:lang w:val="pl-PL"/>
        </w:rPr>
        <w:t xml:space="preserve"> art. 3 Konwencji</w:t>
      </w:r>
      <w:r w:rsidR="00554DF6">
        <w:rPr>
          <w:lang w:val="pl-PL"/>
        </w:rPr>
        <w:t>.</w:t>
      </w:r>
    </w:p>
    <w:p w14:paraId="2E7EFDF4" w14:textId="317FDFDA" w:rsidR="00554DF6" w:rsidRPr="00554DF6" w:rsidRDefault="00554DF6">
      <w:pPr>
        <w:pStyle w:val="ClinContent"/>
        <w:rPr>
          <w:lang w:val="pl-PL"/>
        </w:rPr>
      </w:pPr>
      <w:r w:rsidRPr="00554DF6">
        <w:rPr>
          <w:lang w:val="pl-PL"/>
        </w:rPr>
        <w:t xml:space="preserve">Wyrokiem z </w:t>
      </w:r>
      <w:r w:rsidR="00C86E03">
        <w:rPr>
          <w:lang w:val="pl-PL"/>
        </w:rPr>
        <w:t xml:space="preserve">dnia </w:t>
      </w:r>
      <w:r w:rsidRPr="00554DF6">
        <w:rPr>
          <w:lang w:val="pl-PL"/>
        </w:rPr>
        <w:t xml:space="preserve">3 lutego 2015 r. (zobacz </w:t>
      </w:r>
      <w:hyperlink r:id="rId9" w:history="1">
        <w:r w:rsidRPr="00554DF6">
          <w:rPr>
            <w:rStyle w:val="Hipercze"/>
            <w:lang w:val="pl-PL"/>
          </w:rPr>
          <w:t>Nota informacyjna nt. orzecznictwa nr 182</w:t>
        </w:r>
      </w:hyperlink>
      <w:r>
        <w:rPr>
          <w:lang w:val="pl-PL"/>
        </w:rPr>
        <w:t>) Izba Trybunału orzekła sześcioma głosami do jednego, że nie doszło do naruszenia art.</w:t>
      </w:r>
      <w:r w:rsidR="00C20E64">
        <w:rPr>
          <w:lang w:val="pl-PL"/>
        </w:rPr>
        <w:t> </w:t>
      </w:r>
      <w:r>
        <w:rPr>
          <w:lang w:val="pl-PL"/>
        </w:rPr>
        <w:t>3. W dniu 1 czerwca 2015 r. sprawa została przekazana na wniosek skarżącego do</w:t>
      </w:r>
      <w:r w:rsidR="00C20E64">
        <w:rPr>
          <w:lang w:val="pl-PL"/>
        </w:rPr>
        <w:t> </w:t>
      </w:r>
      <w:r>
        <w:rPr>
          <w:lang w:val="pl-PL"/>
        </w:rPr>
        <w:t xml:space="preserve">Wielkiej Izby. </w:t>
      </w:r>
    </w:p>
    <w:p w14:paraId="58E14DC9" w14:textId="11A8D925" w:rsidR="00554DF6" w:rsidRPr="00554DF6" w:rsidRDefault="00554DF6">
      <w:pPr>
        <w:pStyle w:val="ClinContent"/>
        <w:rPr>
          <w:i/>
          <w:lang w:val="pl-PL"/>
        </w:rPr>
      </w:pPr>
      <w:r w:rsidRPr="00554DF6">
        <w:rPr>
          <w:i/>
          <w:lang w:val="pl-PL"/>
        </w:rPr>
        <w:t xml:space="preserve">Prawo – </w:t>
      </w:r>
      <w:r w:rsidRPr="00554DF6">
        <w:rPr>
          <w:lang w:val="pl-PL"/>
        </w:rPr>
        <w:t>Art. 3</w:t>
      </w:r>
      <w:r w:rsidR="006E2785">
        <w:rPr>
          <w:lang w:val="pl-PL"/>
        </w:rPr>
        <w:t xml:space="preserve">: </w:t>
      </w:r>
      <w:r w:rsidR="000336D5" w:rsidRPr="00554DF6">
        <w:rPr>
          <w:lang w:val="pl-PL"/>
        </w:rPr>
        <w:t xml:space="preserve">W </w:t>
      </w:r>
      <w:r w:rsidR="00C86E03">
        <w:rPr>
          <w:lang w:val="pl-PL"/>
        </w:rPr>
        <w:t xml:space="preserve">orzeczeniu </w:t>
      </w:r>
      <w:r>
        <w:rPr>
          <w:lang w:val="pl-PL"/>
        </w:rPr>
        <w:t xml:space="preserve">w sprawie </w:t>
      </w:r>
      <w:r w:rsidRPr="00554DF6">
        <w:rPr>
          <w:i/>
          <w:lang w:val="pl-PL"/>
        </w:rPr>
        <w:t>McLoughlin</w:t>
      </w:r>
      <w:r>
        <w:rPr>
          <w:i/>
          <w:lang w:val="pl-PL"/>
        </w:rPr>
        <w:t xml:space="preserve"> </w:t>
      </w:r>
      <w:r w:rsidRPr="00554DF6">
        <w:rPr>
          <w:lang w:val="pl-PL"/>
        </w:rPr>
        <w:t>Sąd Apelacyjny</w:t>
      </w:r>
      <w:r>
        <w:rPr>
          <w:lang w:val="pl-PL"/>
        </w:rPr>
        <w:t xml:space="preserve"> wyraźnie odpowiedział na krytykę płynącą z wyroku w sprawie </w:t>
      </w:r>
      <w:r>
        <w:rPr>
          <w:i/>
          <w:lang w:val="pl-PL"/>
        </w:rPr>
        <w:t xml:space="preserve">Vinter. </w:t>
      </w:r>
      <w:r w:rsidRPr="00554DF6">
        <w:rPr>
          <w:lang w:val="pl-PL"/>
        </w:rPr>
        <w:t>Potwierdził</w:t>
      </w:r>
      <w:r>
        <w:rPr>
          <w:lang w:val="pl-PL"/>
        </w:rPr>
        <w:t xml:space="preserve"> ustawowy obowiązek Sekretarza Stanu wykonywania uprawnienia do zwolnienia w sposób zgodny z</w:t>
      </w:r>
      <w:r w:rsidR="00C20E64">
        <w:rPr>
          <w:lang w:val="pl-PL"/>
        </w:rPr>
        <w:t> </w:t>
      </w:r>
      <w:r>
        <w:rPr>
          <w:lang w:val="pl-PL"/>
        </w:rPr>
        <w:t xml:space="preserve">art. 3 Konwencji i wyjaśnił, że </w:t>
      </w:r>
      <w:r w:rsidRPr="004A125F">
        <w:rPr>
          <w:i/>
          <w:lang w:val="pl-PL"/>
        </w:rPr>
        <w:t xml:space="preserve">Podręcznik ws. </w:t>
      </w:r>
      <w:r w:rsidR="0056678B" w:rsidRPr="004A125F">
        <w:rPr>
          <w:i/>
          <w:lang w:val="pl-PL"/>
        </w:rPr>
        <w:t>kar o nieokreślonej długości</w:t>
      </w:r>
      <w:r w:rsidR="0056678B">
        <w:rPr>
          <w:lang w:val="pl-PL"/>
        </w:rPr>
        <w:t xml:space="preserve"> </w:t>
      </w:r>
      <w:r>
        <w:rPr>
          <w:lang w:val="pl-PL"/>
        </w:rPr>
        <w:t>nie może ograniczać obowiązku Sekretarza Stanu rozważenia wszystkich istotnych dla zwolnienia okoli</w:t>
      </w:r>
      <w:r w:rsidR="00C86E03">
        <w:rPr>
          <w:lang w:val="pl-PL"/>
        </w:rPr>
        <w:t>czności lub zawężać jego swobody</w:t>
      </w:r>
      <w:r>
        <w:rPr>
          <w:lang w:val="pl-PL"/>
        </w:rPr>
        <w:t xml:space="preserve"> uznania </w:t>
      </w:r>
      <w:r w:rsidR="0010522C">
        <w:rPr>
          <w:lang w:val="pl-PL"/>
        </w:rPr>
        <w:t xml:space="preserve">poprzez </w:t>
      </w:r>
      <w:r>
        <w:rPr>
          <w:lang w:val="pl-PL"/>
        </w:rPr>
        <w:t>uwzględniani</w:t>
      </w:r>
      <w:r w:rsidR="0010522C">
        <w:rPr>
          <w:lang w:val="pl-PL"/>
        </w:rPr>
        <w:t>e</w:t>
      </w:r>
      <w:r>
        <w:rPr>
          <w:lang w:val="pl-PL"/>
        </w:rPr>
        <w:t xml:space="preserve"> jedynie </w:t>
      </w:r>
      <w:r w:rsidR="00C86E03">
        <w:rPr>
          <w:lang w:val="pl-PL"/>
        </w:rPr>
        <w:t>kwestii</w:t>
      </w:r>
      <w:r w:rsidR="0010522C">
        <w:rPr>
          <w:lang w:val="pl-PL"/>
        </w:rPr>
        <w:t xml:space="preserve"> </w:t>
      </w:r>
      <w:r>
        <w:rPr>
          <w:lang w:val="pl-PL"/>
        </w:rPr>
        <w:t xml:space="preserve">wymienionych w </w:t>
      </w:r>
      <w:r w:rsidRPr="004A125F">
        <w:rPr>
          <w:i/>
          <w:lang w:val="pl-PL"/>
        </w:rPr>
        <w:t xml:space="preserve">Podręczniku ws. </w:t>
      </w:r>
      <w:r w:rsidR="0056678B" w:rsidRPr="004A125F">
        <w:rPr>
          <w:i/>
          <w:lang w:val="pl-PL"/>
        </w:rPr>
        <w:t>kar o nieokreślonej długości</w:t>
      </w:r>
      <w:r>
        <w:rPr>
          <w:lang w:val="pl-PL"/>
        </w:rPr>
        <w:t>. Sąd Apelacyjny wyjaśnił zatem treść właściwego prawa krajowego, rozwiązując problem rozbieżności, któr</w:t>
      </w:r>
      <w:r w:rsidR="00725DC4">
        <w:rPr>
          <w:lang w:val="pl-PL"/>
        </w:rPr>
        <w:t>a</w:t>
      </w:r>
      <w:r w:rsidR="00C20E64">
        <w:rPr>
          <w:lang w:val="pl-PL"/>
        </w:rPr>
        <w:t> </w:t>
      </w:r>
      <w:r>
        <w:rPr>
          <w:lang w:val="pl-PL"/>
        </w:rPr>
        <w:t>został</w:t>
      </w:r>
      <w:r w:rsidR="00725DC4">
        <w:rPr>
          <w:lang w:val="pl-PL"/>
        </w:rPr>
        <w:t>a</w:t>
      </w:r>
      <w:r>
        <w:rPr>
          <w:lang w:val="pl-PL"/>
        </w:rPr>
        <w:t xml:space="preserve"> zidentyfikowan</w:t>
      </w:r>
      <w:r w:rsidR="00725DC4">
        <w:rPr>
          <w:lang w:val="pl-PL"/>
        </w:rPr>
        <w:t>a</w:t>
      </w:r>
      <w:r>
        <w:rPr>
          <w:lang w:val="pl-PL"/>
        </w:rPr>
        <w:t xml:space="preserve"> w sprawie </w:t>
      </w:r>
      <w:r w:rsidRPr="00554DF6">
        <w:rPr>
          <w:i/>
          <w:lang w:val="pl-PL"/>
        </w:rPr>
        <w:t>Vinter</w:t>
      </w:r>
      <w:r>
        <w:rPr>
          <w:lang w:val="pl-PL"/>
        </w:rPr>
        <w:t xml:space="preserve">. </w:t>
      </w:r>
    </w:p>
    <w:p w14:paraId="5671F12F" w14:textId="09935136" w:rsidR="00725DC4" w:rsidRPr="00725DC4" w:rsidRDefault="00725DC4">
      <w:pPr>
        <w:pStyle w:val="ClinContent"/>
        <w:rPr>
          <w:lang w:val="pl-PL"/>
        </w:rPr>
      </w:pPr>
      <w:r w:rsidRPr="00725DC4">
        <w:rPr>
          <w:lang w:val="pl-PL"/>
        </w:rPr>
        <w:t xml:space="preserve">Po ustaleniu, że </w:t>
      </w:r>
      <w:r>
        <w:rPr>
          <w:lang w:val="pl-PL"/>
        </w:rPr>
        <w:t>nie</w:t>
      </w:r>
      <w:r w:rsidRPr="00725DC4">
        <w:rPr>
          <w:lang w:val="pl-PL"/>
        </w:rPr>
        <w:t>jasności</w:t>
      </w:r>
      <w:r>
        <w:rPr>
          <w:lang w:val="pl-PL"/>
        </w:rPr>
        <w:t xml:space="preserve"> prawa krajowego zidentyfikowane</w:t>
      </w:r>
      <w:r w:rsidRPr="00725DC4">
        <w:rPr>
          <w:lang w:val="pl-PL"/>
        </w:rPr>
        <w:t xml:space="preserve"> w sprawie </w:t>
      </w:r>
      <w:r>
        <w:rPr>
          <w:i/>
          <w:lang w:val="pl-PL"/>
        </w:rPr>
        <w:t xml:space="preserve">Vinter </w:t>
      </w:r>
      <w:r>
        <w:rPr>
          <w:lang w:val="pl-PL"/>
        </w:rPr>
        <w:t>zostały roz</w:t>
      </w:r>
      <w:r w:rsidR="0010522C">
        <w:rPr>
          <w:lang w:val="pl-PL"/>
        </w:rPr>
        <w:t>wiane</w:t>
      </w:r>
      <w:r>
        <w:rPr>
          <w:lang w:val="pl-PL"/>
        </w:rPr>
        <w:t xml:space="preserve">, Wielka Izba przystąpiła do rozważania, czy – w świetle </w:t>
      </w:r>
      <w:r w:rsidR="0010522C">
        <w:rPr>
          <w:lang w:val="pl-PL"/>
        </w:rPr>
        <w:t xml:space="preserve">swego </w:t>
      </w:r>
      <w:r>
        <w:rPr>
          <w:lang w:val="pl-PL"/>
        </w:rPr>
        <w:t>charakteru</w:t>
      </w:r>
      <w:r w:rsidR="0010522C">
        <w:rPr>
          <w:lang w:val="pl-PL"/>
        </w:rPr>
        <w:t>,</w:t>
      </w:r>
      <w:r>
        <w:rPr>
          <w:lang w:val="pl-PL"/>
        </w:rPr>
        <w:t xml:space="preserve"> </w:t>
      </w:r>
      <w:r w:rsidR="0010522C">
        <w:rPr>
          <w:lang w:val="pl-PL"/>
        </w:rPr>
        <w:t>zakresu, warunków i kryteriów, a także ram</w:t>
      </w:r>
      <w:r>
        <w:rPr>
          <w:lang w:val="pl-PL"/>
        </w:rPr>
        <w:t xml:space="preserve"> czas</w:t>
      </w:r>
      <w:r w:rsidR="0010522C">
        <w:rPr>
          <w:lang w:val="pl-PL"/>
        </w:rPr>
        <w:t>owych – procedura</w:t>
      </w:r>
      <w:r>
        <w:rPr>
          <w:lang w:val="pl-PL"/>
        </w:rPr>
        <w:t xml:space="preserve"> </w:t>
      </w:r>
      <w:r w:rsidR="004457CC">
        <w:rPr>
          <w:lang w:val="pl-PL"/>
        </w:rPr>
        <w:t>ponownej oceny</w:t>
      </w:r>
      <w:r w:rsidR="0010522C">
        <w:rPr>
          <w:lang w:val="pl-PL"/>
        </w:rPr>
        <w:t xml:space="preserve"> </w:t>
      </w:r>
      <w:r>
        <w:rPr>
          <w:lang w:val="pl-PL"/>
        </w:rPr>
        <w:t>kar dożywotniego pozbawienia wolności w Anglii i Walii spełnia wymogi art. 3</w:t>
      </w:r>
      <w:r w:rsidR="006E2785">
        <w:rPr>
          <w:lang w:val="pl-PL"/>
        </w:rPr>
        <w:t>.</w:t>
      </w:r>
    </w:p>
    <w:p w14:paraId="6C3E77C1" w14:textId="37321666" w:rsidR="00725DC4" w:rsidRPr="00725DC4" w:rsidRDefault="00725DC4">
      <w:pPr>
        <w:pStyle w:val="ClinContent"/>
        <w:rPr>
          <w:lang w:val="pl-PL"/>
        </w:rPr>
      </w:pPr>
      <w:r w:rsidRPr="00725DC4">
        <w:rPr>
          <w:lang w:val="pl-PL"/>
        </w:rPr>
        <w:t xml:space="preserve">(i) </w:t>
      </w:r>
      <w:r w:rsidRPr="00416A65">
        <w:rPr>
          <w:i/>
          <w:lang w:val="pl-PL"/>
        </w:rPr>
        <w:t>Charakter</w:t>
      </w:r>
      <w:r w:rsidR="0010522C" w:rsidRPr="00416A65">
        <w:rPr>
          <w:i/>
          <w:lang w:val="pl-PL"/>
        </w:rPr>
        <w:t xml:space="preserve"> ponowne</w:t>
      </w:r>
      <w:r w:rsidR="004457CC" w:rsidRPr="00416A65">
        <w:rPr>
          <w:i/>
          <w:lang w:val="pl-PL"/>
        </w:rPr>
        <w:t>j oceny</w:t>
      </w:r>
      <w:r w:rsidRPr="00725DC4">
        <w:rPr>
          <w:lang w:val="pl-PL"/>
        </w:rPr>
        <w:t xml:space="preserve"> – Trybunał nie widzi</w:t>
      </w:r>
      <w:r w:rsidR="0010522C">
        <w:rPr>
          <w:lang w:val="pl-PL"/>
        </w:rPr>
        <w:t>ał</w:t>
      </w:r>
      <w:r w:rsidRPr="00725DC4">
        <w:rPr>
          <w:lang w:val="pl-PL"/>
        </w:rPr>
        <w:t xml:space="preserve"> powodów</w:t>
      </w:r>
      <w:r>
        <w:rPr>
          <w:lang w:val="pl-PL"/>
        </w:rPr>
        <w:t xml:space="preserve"> do odejścia od swego wcześniejszego orzecznictwa, </w:t>
      </w:r>
      <w:r w:rsidR="0010522C">
        <w:rPr>
          <w:lang w:val="pl-PL"/>
        </w:rPr>
        <w:t>w świetle którego</w:t>
      </w:r>
      <w:r>
        <w:rPr>
          <w:lang w:val="pl-PL"/>
        </w:rPr>
        <w:t xml:space="preserve"> fakt, że władza wykonawcza (a</w:t>
      </w:r>
      <w:r w:rsidR="00C20E64">
        <w:rPr>
          <w:lang w:val="pl-PL"/>
        </w:rPr>
        <w:t> </w:t>
      </w:r>
      <w:r>
        <w:rPr>
          <w:lang w:val="pl-PL"/>
        </w:rPr>
        <w:t>nie</w:t>
      </w:r>
      <w:r w:rsidR="00C20E64">
        <w:rPr>
          <w:lang w:val="pl-PL"/>
        </w:rPr>
        <w:t> </w:t>
      </w:r>
      <w:r>
        <w:rPr>
          <w:lang w:val="pl-PL"/>
        </w:rPr>
        <w:t>sądowa) dokonuje</w:t>
      </w:r>
      <w:r w:rsidR="0010522C">
        <w:rPr>
          <w:lang w:val="pl-PL"/>
        </w:rPr>
        <w:t xml:space="preserve"> ponowne</w:t>
      </w:r>
      <w:r w:rsidR="004457CC">
        <w:rPr>
          <w:lang w:val="pl-PL"/>
        </w:rPr>
        <w:t>j oceny kary</w:t>
      </w:r>
      <w:r>
        <w:rPr>
          <w:lang w:val="pl-PL"/>
        </w:rPr>
        <w:t>, sam w sobie nie jest sprzeczny z</w:t>
      </w:r>
      <w:r w:rsidR="00C20E64">
        <w:rPr>
          <w:lang w:val="pl-PL"/>
        </w:rPr>
        <w:t> </w:t>
      </w:r>
      <w:r>
        <w:rPr>
          <w:lang w:val="pl-PL"/>
        </w:rPr>
        <w:t xml:space="preserve">wymogami art. 3. W tym względzie odnotował, że Sekretarz Stanu jest zobowiązany wykonywać uprawnienie do zwolnienia w sposób zgodny z prawami konwencyjnymi, </w:t>
      </w:r>
      <w:r w:rsidR="0010522C">
        <w:rPr>
          <w:lang w:val="pl-PL"/>
        </w:rPr>
        <w:t>że</w:t>
      </w:r>
      <w:r w:rsidR="00C20E64">
        <w:rPr>
          <w:lang w:val="pl-PL"/>
        </w:rPr>
        <w:t> </w:t>
      </w:r>
      <w:r w:rsidR="0010522C">
        <w:rPr>
          <w:lang w:val="pl-PL"/>
        </w:rPr>
        <w:t xml:space="preserve">powinien </w:t>
      </w:r>
      <w:r>
        <w:rPr>
          <w:lang w:val="pl-PL"/>
        </w:rPr>
        <w:t xml:space="preserve">mieć na względzie właściwe orzecznictwo Trybunału i przedstawić uzasadnienie każdej decyzji. Ponadto, decyzje Sekretarza Stanu podlegają kontroli sądów krajowych, a </w:t>
      </w:r>
      <w:r w:rsidR="0000766C">
        <w:rPr>
          <w:lang w:val="pl-PL"/>
        </w:rPr>
        <w:t xml:space="preserve">Rząd </w:t>
      </w:r>
      <w:r>
        <w:rPr>
          <w:lang w:val="pl-PL"/>
        </w:rPr>
        <w:t xml:space="preserve">oświadczył, że taka </w:t>
      </w:r>
      <w:r w:rsidR="00C86E03">
        <w:rPr>
          <w:lang w:val="pl-PL"/>
        </w:rPr>
        <w:t xml:space="preserve">kontrola </w:t>
      </w:r>
      <w:r>
        <w:rPr>
          <w:lang w:val="pl-PL"/>
        </w:rPr>
        <w:t xml:space="preserve">nie jest ograniczona do kwestii formalnych lub proceduralnych, ale obejmuje również badanie </w:t>
      </w:r>
      <w:r w:rsidR="007B43E1">
        <w:rPr>
          <w:lang w:val="pl-PL"/>
        </w:rPr>
        <w:t xml:space="preserve">meritum </w:t>
      </w:r>
      <w:r>
        <w:rPr>
          <w:lang w:val="pl-PL"/>
        </w:rPr>
        <w:t xml:space="preserve">sprawy. </w:t>
      </w:r>
    </w:p>
    <w:p w14:paraId="33852598" w14:textId="423EFBA5" w:rsidR="00725DC4" w:rsidRPr="00725DC4" w:rsidRDefault="00725DC4">
      <w:pPr>
        <w:pStyle w:val="ClinContent"/>
        <w:rPr>
          <w:lang w:val="pl-PL"/>
        </w:rPr>
      </w:pPr>
      <w:r w:rsidRPr="00725DC4">
        <w:rPr>
          <w:lang w:val="pl-PL"/>
        </w:rPr>
        <w:t xml:space="preserve">(ii) </w:t>
      </w:r>
      <w:r w:rsidRPr="00416A65">
        <w:rPr>
          <w:i/>
          <w:lang w:val="pl-PL"/>
        </w:rPr>
        <w:t xml:space="preserve">Zakres </w:t>
      </w:r>
      <w:r w:rsidR="0010522C" w:rsidRPr="00416A65">
        <w:rPr>
          <w:i/>
          <w:lang w:val="pl-PL"/>
        </w:rPr>
        <w:t>ponowne</w:t>
      </w:r>
      <w:r w:rsidR="004457CC" w:rsidRPr="00416A65">
        <w:rPr>
          <w:i/>
          <w:lang w:val="pl-PL"/>
        </w:rPr>
        <w:t>j oceny</w:t>
      </w:r>
      <w:r w:rsidRPr="00725DC4">
        <w:rPr>
          <w:lang w:val="pl-PL"/>
        </w:rPr>
        <w:t xml:space="preserve"> – Sąd Apelacyjny dokonał kluczowego </w:t>
      </w:r>
      <w:r w:rsidR="007B43E1">
        <w:rPr>
          <w:lang w:val="pl-PL"/>
        </w:rPr>
        <w:t>doprecyzowania</w:t>
      </w:r>
      <w:r w:rsidRPr="00725DC4">
        <w:rPr>
          <w:lang w:val="pl-PL"/>
        </w:rPr>
        <w:t xml:space="preserve"> w</w:t>
      </w:r>
      <w:r w:rsidR="00C20E64">
        <w:rPr>
          <w:lang w:val="pl-PL"/>
        </w:rPr>
        <w:t> </w:t>
      </w:r>
      <w:r w:rsidRPr="00725DC4">
        <w:rPr>
          <w:lang w:val="pl-PL"/>
        </w:rPr>
        <w:t xml:space="preserve">sprawie </w:t>
      </w:r>
      <w:r w:rsidRPr="00725DC4">
        <w:rPr>
          <w:i/>
          <w:lang w:val="pl-PL"/>
        </w:rPr>
        <w:t>McLoughlin</w:t>
      </w:r>
      <w:r w:rsidRPr="00725DC4">
        <w:rPr>
          <w:lang w:val="pl-PL"/>
        </w:rPr>
        <w:t>, że „wyjątkowe okoliczności”</w:t>
      </w:r>
      <w:r>
        <w:rPr>
          <w:lang w:val="pl-PL"/>
        </w:rPr>
        <w:t>, o których mowa w art. 30, nie mogą z prawnego punktu widzenia zostać ograniczone jedynie do sytuacji końca życia, jak</w:t>
      </w:r>
      <w:r w:rsidR="00C20E64">
        <w:rPr>
          <w:lang w:val="pl-PL"/>
        </w:rPr>
        <w:t> </w:t>
      </w:r>
      <w:r>
        <w:rPr>
          <w:lang w:val="pl-PL"/>
        </w:rPr>
        <w:t>to</w:t>
      </w:r>
      <w:r w:rsidR="00C20E64">
        <w:rPr>
          <w:lang w:val="pl-PL"/>
        </w:rPr>
        <w:t> </w:t>
      </w:r>
      <w:r w:rsidR="007B43E1">
        <w:rPr>
          <w:lang w:val="pl-PL"/>
        </w:rPr>
        <w:t>przewidziano</w:t>
      </w:r>
      <w:r>
        <w:rPr>
          <w:lang w:val="pl-PL"/>
        </w:rPr>
        <w:t xml:space="preserve"> w </w:t>
      </w:r>
      <w:r w:rsidRPr="004A125F">
        <w:rPr>
          <w:i/>
          <w:lang w:val="pl-PL"/>
        </w:rPr>
        <w:t xml:space="preserve">Podręczniku w sprawie </w:t>
      </w:r>
      <w:r w:rsidR="0056678B" w:rsidRPr="004A125F">
        <w:rPr>
          <w:i/>
          <w:lang w:val="pl-PL"/>
        </w:rPr>
        <w:t>kar o nieokreślonej długości</w:t>
      </w:r>
      <w:r>
        <w:rPr>
          <w:lang w:val="pl-PL"/>
        </w:rPr>
        <w:t>, ale muszą obejmować wszystkie wyjątkowe okoliczności istotne dla zwolnienia ze względów współczucia. Chociaż Sąd Apelacyjny powstrzymał się od dalszego</w:t>
      </w:r>
      <w:r w:rsidR="007B43E1">
        <w:rPr>
          <w:lang w:val="pl-PL"/>
        </w:rPr>
        <w:t xml:space="preserve"> doprecyzowania</w:t>
      </w:r>
      <w:r>
        <w:rPr>
          <w:lang w:val="pl-PL"/>
        </w:rPr>
        <w:t xml:space="preserve"> znaczenia</w:t>
      </w:r>
      <w:r w:rsidR="00C86E03">
        <w:rPr>
          <w:lang w:val="pl-PL"/>
        </w:rPr>
        <w:t xml:space="preserve"> zwrotu</w:t>
      </w:r>
      <w:r>
        <w:rPr>
          <w:lang w:val="pl-PL"/>
        </w:rPr>
        <w:t xml:space="preserve"> „wyjątkowe okoliczności” w tym kontekście </w:t>
      </w:r>
      <w:r w:rsidR="007B43E1">
        <w:rPr>
          <w:lang w:val="pl-PL"/>
        </w:rPr>
        <w:t xml:space="preserve">bądź </w:t>
      </w:r>
      <w:r>
        <w:rPr>
          <w:lang w:val="pl-PL"/>
        </w:rPr>
        <w:t>od wypracowania kryteriów, przypomniał wcześniejsze orzecznictwo krajowe przewidujące, że</w:t>
      </w:r>
      <w:r w:rsidR="00907529">
        <w:rPr>
          <w:lang w:val="pl-PL"/>
        </w:rPr>
        <w:t xml:space="preserve"> należy uwzględnić </w:t>
      </w:r>
      <w:r>
        <w:rPr>
          <w:lang w:val="pl-PL"/>
        </w:rPr>
        <w:t xml:space="preserve">wyjątkowy postęp </w:t>
      </w:r>
      <w:r w:rsidR="007B43E1">
        <w:rPr>
          <w:lang w:val="pl-PL"/>
        </w:rPr>
        <w:t xml:space="preserve">osiągnięty </w:t>
      </w:r>
      <w:r>
        <w:rPr>
          <w:lang w:val="pl-PL"/>
        </w:rPr>
        <w:t xml:space="preserve">przez więźnia </w:t>
      </w:r>
      <w:r w:rsidR="007B43E1">
        <w:rPr>
          <w:lang w:val="pl-PL"/>
        </w:rPr>
        <w:t>w czasie osadzenia. Jest zatem oczywiste, że wyjątkowy postęp w kierunku resocjalizacji w</w:t>
      </w:r>
      <w:r>
        <w:rPr>
          <w:lang w:val="pl-PL"/>
        </w:rPr>
        <w:t xml:space="preserve">chodzi </w:t>
      </w:r>
      <w:r w:rsidR="007B43E1">
        <w:rPr>
          <w:lang w:val="pl-PL"/>
        </w:rPr>
        <w:t>w zakres znaczeniowy</w:t>
      </w:r>
      <w:r>
        <w:rPr>
          <w:lang w:val="pl-PL"/>
        </w:rPr>
        <w:t xml:space="preserve"> terminologii ustawowej. Podobnie, zawężające podejście </w:t>
      </w:r>
      <w:r w:rsidR="007B43E1">
        <w:rPr>
          <w:lang w:val="pl-PL"/>
        </w:rPr>
        <w:t>nadane wyrażeniu</w:t>
      </w:r>
      <w:r>
        <w:rPr>
          <w:lang w:val="pl-PL"/>
        </w:rPr>
        <w:t xml:space="preserve"> „względy współczucia” w </w:t>
      </w:r>
      <w:r w:rsidRPr="004A125F">
        <w:rPr>
          <w:i/>
          <w:lang w:val="pl-PL"/>
        </w:rPr>
        <w:t xml:space="preserve">Podręczniku ws. </w:t>
      </w:r>
      <w:r w:rsidR="0056678B" w:rsidRPr="004A125F">
        <w:rPr>
          <w:i/>
          <w:lang w:val="pl-PL"/>
        </w:rPr>
        <w:t>kar o nieokreślonej długości</w:t>
      </w:r>
      <w:r w:rsidR="0056678B">
        <w:rPr>
          <w:lang w:val="pl-PL"/>
        </w:rPr>
        <w:t xml:space="preserve"> </w:t>
      </w:r>
      <w:r>
        <w:rPr>
          <w:lang w:val="pl-PL"/>
        </w:rPr>
        <w:t>zostało poprawione wyrokiem Sądu Apelacyjnego, który potwierdził, że nie jest ono ograniczone do</w:t>
      </w:r>
      <w:r w:rsidR="00C20E64">
        <w:rPr>
          <w:lang w:val="pl-PL"/>
        </w:rPr>
        <w:t> </w:t>
      </w:r>
      <w:r>
        <w:rPr>
          <w:lang w:val="pl-PL"/>
        </w:rPr>
        <w:t xml:space="preserve">względów humanitarnych, ale ma szersze znaczenie, tak by było ono zgodne z art. 3. </w:t>
      </w:r>
    </w:p>
    <w:p w14:paraId="16000313" w14:textId="1EF70F32" w:rsidR="00725DC4" w:rsidRPr="00725DC4" w:rsidRDefault="00725DC4">
      <w:pPr>
        <w:pStyle w:val="ClinContent"/>
        <w:rPr>
          <w:lang w:val="pl-PL"/>
        </w:rPr>
      </w:pPr>
      <w:r w:rsidRPr="00725DC4">
        <w:rPr>
          <w:lang w:val="pl-PL"/>
        </w:rPr>
        <w:t xml:space="preserve">(iii) </w:t>
      </w:r>
      <w:r w:rsidRPr="00480E02">
        <w:rPr>
          <w:i/>
          <w:lang w:val="pl-PL"/>
        </w:rPr>
        <w:t xml:space="preserve">Kryteria i warunki </w:t>
      </w:r>
      <w:r w:rsidR="0010522C" w:rsidRPr="00C86E03">
        <w:rPr>
          <w:i/>
          <w:lang w:val="pl-PL"/>
        </w:rPr>
        <w:t>ponowne</w:t>
      </w:r>
      <w:r w:rsidR="004457CC" w:rsidRPr="00C86E03">
        <w:rPr>
          <w:i/>
          <w:lang w:val="pl-PL"/>
        </w:rPr>
        <w:t>j oceny</w:t>
      </w:r>
      <w:r w:rsidR="0010522C" w:rsidRPr="00725DC4">
        <w:rPr>
          <w:lang w:val="pl-PL"/>
        </w:rPr>
        <w:t xml:space="preserve"> </w:t>
      </w:r>
      <w:r w:rsidRPr="00725DC4">
        <w:rPr>
          <w:lang w:val="pl-PL"/>
        </w:rPr>
        <w:t xml:space="preserve">– Trybunał potwierdził ponownie, że istotną kwestią jest, czy osoby odbywające karę dożywotniego pozbawienia wolności w systemie krajowym </w:t>
      </w:r>
      <w:r w:rsidR="00C86E03">
        <w:rPr>
          <w:lang w:val="pl-PL"/>
        </w:rPr>
        <w:t xml:space="preserve">mogą </w:t>
      </w:r>
      <w:r>
        <w:rPr>
          <w:lang w:val="pl-PL"/>
        </w:rPr>
        <w:t>wiedz</w:t>
      </w:r>
      <w:r w:rsidR="00C86E03">
        <w:rPr>
          <w:lang w:val="pl-PL"/>
        </w:rPr>
        <w:t>ieć</w:t>
      </w:r>
      <w:r>
        <w:rPr>
          <w:lang w:val="pl-PL"/>
        </w:rPr>
        <w:t>, co muszą zrobić, by być uwzględni</w:t>
      </w:r>
      <w:r w:rsidR="007B43E1">
        <w:rPr>
          <w:lang w:val="pl-PL"/>
        </w:rPr>
        <w:t>one</w:t>
      </w:r>
      <w:r>
        <w:rPr>
          <w:lang w:val="pl-PL"/>
        </w:rPr>
        <w:t xml:space="preserve"> do zwolnienia, i</w:t>
      </w:r>
      <w:r w:rsidR="00C20E64">
        <w:rPr>
          <w:lang w:val="pl-PL"/>
        </w:rPr>
        <w:t> </w:t>
      </w:r>
      <w:r>
        <w:rPr>
          <w:lang w:val="pl-PL"/>
        </w:rPr>
        <w:t>pod</w:t>
      </w:r>
      <w:r w:rsidR="00C20E64">
        <w:rPr>
          <w:lang w:val="pl-PL"/>
        </w:rPr>
        <w:t> </w:t>
      </w:r>
      <w:r>
        <w:rPr>
          <w:lang w:val="pl-PL"/>
        </w:rPr>
        <w:t xml:space="preserve">jakimi warunkami </w:t>
      </w:r>
      <w:r w:rsidR="00C86E03">
        <w:rPr>
          <w:lang w:val="pl-PL"/>
        </w:rPr>
        <w:t>może zostać przeprowadzona</w:t>
      </w:r>
      <w:r w:rsidR="007B43E1">
        <w:rPr>
          <w:lang w:val="pl-PL"/>
        </w:rPr>
        <w:t xml:space="preserve"> ponown</w:t>
      </w:r>
      <w:r w:rsidR="004457CC">
        <w:rPr>
          <w:lang w:val="pl-PL"/>
        </w:rPr>
        <w:t>a</w:t>
      </w:r>
      <w:r w:rsidR="007B43E1">
        <w:rPr>
          <w:lang w:val="pl-PL"/>
        </w:rPr>
        <w:t xml:space="preserve"> </w:t>
      </w:r>
      <w:r w:rsidR="004457CC">
        <w:rPr>
          <w:lang w:val="pl-PL"/>
        </w:rPr>
        <w:t>ocena</w:t>
      </w:r>
      <w:r w:rsidR="007B43E1">
        <w:rPr>
          <w:lang w:val="pl-PL"/>
        </w:rPr>
        <w:t xml:space="preserve"> kary</w:t>
      </w:r>
      <w:r>
        <w:rPr>
          <w:lang w:val="pl-PL"/>
        </w:rPr>
        <w:t>.</w:t>
      </w:r>
      <w:r w:rsidR="007B43E1">
        <w:rPr>
          <w:lang w:val="pl-PL"/>
        </w:rPr>
        <w:t xml:space="preserve"> </w:t>
      </w:r>
      <w:r>
        <w:rPr>
          <w:lang w:val="pl-PL"/>
        </w:rPr>
        <w:lastRenderedPageBreak/>
        <w:t>W</w:t>
      </w:r>
      <w:r w:rsidR="00C20E64">
        <w:rPr>
          <w:lang w:val="pl-PL"/>
        </w:rPr>
        <w:t> </w:t>
      </w:r>
      <w:r>
        <w:rPr>
          <w:lang w:val="pl-PL"/>
        </w:rPr>
        <w:t>tym</w:t>
      </w:r>
      <w:r w:rsidR="00C20E64">
        <w:rPr>
          <w:lang w:val="pl-PL"/>
        </w:rPr>
        <w:t> </w:t>
      </w:r>
      <w:r>
        <w:rPr>
          <w:lang w:val="pl-PL"/>
        </w:rPr>
        <w:t>względzie,</w:t>
      </w:r>
      <w:r w:rsidR="007B43E1">
        <w:rPr>
          <w:lang w:val="pl-PL"/>
        </w:rPr>
        <w:t xml:space="preserve"> można uznać, że</w:t>
      </w:r>
      <w:r>
        <w:rPr>
          <w:lang w:val="pl-PL"/>
        </w:rPr>
        <w:t xml:space="preserve"> system krajowy </w:t>
      </w:r>
      <w:r w:rsidR="007B43E1">
        <w:rPr>
          <w:lang w:val="pl-PL"/>
        </w:rPr>
        <w:t>zapewnia</w:t>
      </w:r>
      <w:r>
        <w:rPr>
          <w:lang w:val="pl-PL"/>
        </w:rPr>
        <w:t xml:space="preserve"> wystarczający stopień szczegółowości i precyzji, ponieważ, po pierwsze, wykonywanie uprawnienia z art. 30 </w:t>
      </w:r>
      <w:r w:rsidR="007B43E1">
        <w:rPr>
          <w:lang w:val="pl-PL"/>
        </w:rPr>
        <w:t xml:space="preserve">powinno </w:t>
      </w:r>
      <w:r w:rsidR="00480E02">
        <w:rPr>
          <w:lang w:val="pl-PL"/>
        </w:rPr>
        <w:t>się kierować całym właściwym orzecznictwem Trybunału, zarówno obecnym, jak</w:t>
      </w:r>
      <w:r w:rsidR="00C20E64">
        <w:rPr>
          <w:lang w:val="pl-PL"/>
        </w:rPr>
        <w:t> </w:t>
      </w:r>
      <w:r w:rsidR="00480E02">
        <w:rPr>
          <w:lang w:val="pl-PL"/>
        </w:rPr>
        <w:t xml:space="preserve">i przyszłym, a także, po drugie, </w:t>
      </w:r>
      <w:r w:rsidR="0007547F">
        <w:rPr>
          <w:lang w:val="pl-PL"/>
        </w:rPr>
        <w:t xml:space="preserve">ponieważ </w:t>
      </w:r>
      <w:r w:rsidR="00480E02">
        <w:rPr>
          <w:lang w:val="pl-PL"/>
        </w:rPr>
        <w:t xml:space="preserve">konkretne znaczenie terminów używanych w art. 30 będzie w dalszym ciągu rozwijane w praktyce. W tym kontekście, obowiązek uzasadnienia każdej </w:t>
      </w:r>
      <w:r w:rsidR="0007547F">
        <w:rPr>
          <w:lang w:val="pl-PL"/>
        </w:rPr>
        <w:t xml:space="preserve">swej </w:t>
      </w:r>
      <w:r w:rsidR="00480E02">
        <w:rPr>
          <w:lang w:val="pl-PL"/>
        </w:rPr>
        <w:t xml:space="preserve">decyzji przez Sekretarza Stanu, podlegający kontroli sądowej, </w:t>
      </w:r>
      <w:r w:rsidR="0007547F">
        <w:rPr>
          <w:lang w:val="pl-PL"/>
        </w:rPr>
        <w:t>stanowi gwarancję</w:t>
      </w:r>
      <w:r w:rsidR="00480E02">
        <w:rPr>
          <w:lang w:val="pl-PL"/>
        </w:rPr>
        <w:t xml:space="preserve"> spójnego i przejrzystego wykonywania uprawnienia do zwolnienia. </w:t>
      </w:r>
    </w:p>
    <w:p w14:paraId="1982B4FD" w14:textId="0548C495" w:rsidR="00480E02" w:rsidRDefault="00480E02">
      <w:pPr>
        <w:pStyle w:val="ClinContent"/>
        <w:rPr>
          <w:lang w:val="pl-PL"/>
        </w:rPr>
      </w:pPr>
      <w:r w:rsidRPr="00480E02">
        <w:rPr>
          <w:lang w:val="pl-PL"/>
        </w:rPr>
        <w:t xml:space="preserve">(iv) </w:t>
      </w:r>
      <w:r w:rsidRPr="00480E02">
        <w:rPr>
          <w:i/>
          <w:lang w:val="pl-PL"/>
        </w:rPr>
        <w:t xml:space="preserve">Ramy czasowe </w:t>
      </w:r>
      <w:r w:rsidR="00F63171">
        <w:rPr>
          <w:i/>
          <w:lang w:val="pl-PL"/>
        </w:rPr>
        <w:t xml:space="preserve">– </w:t>
      </w:r>
      <w:r w:rsidR="00F63171">
        <w:rPr>
          <w:lang w:val="pl-PL"/>
        </w:rPr>
        <w:t>W</w:t>
      </w:r>
      <w:r w:rsidRPr="00480E02">
        <w:rPr>
          <w:lang w:val="pl-PL"/>
        </w:rPr>
        <w:t xml:space="preserve"> sp</w:t>
      </w:r>
      <w:r w:rsidRPr="00694AB7">
        <w:rPr>
          <w:lang w:val="pl-PL"/>
        </w:rPr>
        <w:t xml:space="preserve">rawie </w:t>
      </w:r>
      <w:r w:rsidRPr="00694AB7">
        <w:rPr>
          <w:i/>
          <w:lang w:val="pl-PL"/>
        </w:rPr>
        <w:t xml:space="preserve">Vinter </w:t>
      </w:r>
      <w:r w:rsidR="00F63171" w:rsidRPr="00694AB7">
        <w:rPr>
          <w:lang w:val="pl-PL"/>
        </w:rPr>
        <w:t xml:space="preserve">wyrażone zostały obawy </w:t>
      </w:r>
      <w:r w:rsidR="00694AB7" w:rsidRPr="00694AB7">
        <w:rPr>
          <w:lang w:val="pl-PL"/>
        </w:rPr>
        <w:t xml:space="preserve">odnośnie do </w:t>
      </w:r>
      <w:r w:rsidRPr="00694AB7">
        <w:rPr>
          <w:lang w:val="pl-PL"/>
        </w:rPr>
        <w:t>braku określenia ram czasowych –</w:t>
      </w:r>
      <w:r>
        <w:rPr>
          <w:lang w:val="pl-PL"/>
        </w:rPr>
        <w:t xml:space="preserve"> więzień nie powinien być zobowiązany do czekania</w:t>
      </w:r>
      <w:r w:rsidR="007A2230">
        <w:rPr>
          <w:lang w:val="pl-PL"/>
        </w:rPr>
        <w:t>,</w:t>
      </w:r>
      <w:r>
        <w:rPr>
          <w:lang w:val="pl-PL"/>
        </w:rPr>
        <w:t xml:space="preserve"> </w:t>
      </w:r>
      <w:r w:rsidR="00694AB7">
        <w:rPr>
          <w:lang w:val="pl-PL"/>
        </w:rPr>
        <w:t>aż</w:t>
      </w:r>
      <w:r w:rsidR="00C20E64">
        <w:rPr>
          <w:lang w:val="pl-PL"/>
        </w:rPr>
        <w:t> </w:t>
      </w:r>
      <w:r w:rsidR="00694AB7">
        <w:rPr>
          <w:lang w:val="pl-PL"/>
        </w:rPr>
        <w:t>odbędzie nieokreśloną liczbę</w:t>
      </w:r>
      <w:r>
        <w:rPr>
          <w:lang w:val="pl-PL"/>
        </w:rPr>
        <w:t xml:space="preserve"> lat kary, zanim </w:t>
      </w:r>
      <w:r w:rsidR="00694AB7">
        <w:rPr>
          <w:lang w:val="pl-PL"/>
        </w:rPr>
        <w:t xml:space="preserve">może </w:t>
      </w:r>
      <w:r>
        <w:rPr>
          <w:lang w:val="pl-PL"/>
        </w:rPr>
        <w:t>podnieść zarzut na podstawie art. 3 –</w:t>
      </w:r>
      <w:r w:rsidR="00090F01">
        <w:rPr>
          <w:lang w:val="pl-PL"/>
        </w:rPr>
        <w:t xml:space="preserve"> </w:t>
      </w:r>
      <w:r w:rsidR="006B7A89">
        <w:rPr>
          <w:lang w:val="pl-PL"/>
        </w:rPr>
        <w:t xml:space="preserve">ale </w:t>
      </w:r>
      <w:r w:rsidR="00694AB7">
        <w:rPr>
          <w:lang w:val="pl-PL"/>
        </w:rPr>
        <w:t xml:space="preserve">nie można stwierdzić, że </w:t>
      </w:r>
      <w:r>
        <w:rPr>
          <w:lang w:val="pl-PL"/>
        </w:rPr>
        <w:t>następstw</w:t>
      </w:r>
      <w:r w:rsidR="00694AB7">
        <w:rPr>
          <w:lang w:val="pl-PL"/>
        </w:rPr>
        <w:t>a</w:t>
      </w:r>
      <w:r>
        <w:rPr>
          <w:lang w:val="pl-PL"/>
        </w:rPr>
        <w:t xml:space="preserve"> </w:t>
      </w:r>
      <w:r w:rsidR="00694AB7">
        <w:rPr>
          <w:lang w:val="pl-PL"/>
        </w:rPr>
        <w:t xml:space="preserve">takiej sytuacji </w:t>
      </w:r>
      <w:r>
        <w:rPr>
          <w:lang w:val="pl-PL"/>
        </w:rPr>
        <w:t>dla więźnia skazanego na karę dożywotniego pozbawienia wolności</w:t>
      </w:r>
      <w:r w:rsidR="00694AB7">
        <w:rPr>
          <w:lang w:val="pl-PL"/>
        </w:rPr>
        <w:t xml:space="preserve"> mogły już wystąpić w odniesieniu do skarżącego</w:t>
      </w:r>
      <w:r>
        <w:rPr>
          <w:lang w:val="pl-PL"/>
        </w:rPr>
        <w:t>. Proce</w:t>
      </w:r>
      <w:r w:rsidR="006B7A89">
        <w:rPr>
          <w:lang w:val="pl-PL"/>
        </w:rPr>
        <w:t>dura</w:t>
      </w:r>
      <w:r>
        <w:rPr>
          <w:lang w:val="pl-PL"/>
        </w:rPr>
        <w:t xml:space="preserve"> </w:t>
      </w:r>
      <w:r w:rsidR="004457CC">
        <w:rPr>
          <w:lang w:val="pl-PL"/>
        </w:rPr>
        <w:t xml:space="preserve">ponownej oceny </w:t>
      </w:r>
      <w:r>
        <w:rPr>
          <w:lang w:val="pl-PL"/>
        </w:rPr>
        <w:t xml:space="preserve">na podstawie art. 30 może być </w:t>
      </w:r>
      <w:r w:rsidR="00726F3B">
        <w:rPr>
          <w:lang w:val="pl-PL"/>
        </w:rPr>
        <w:t xml:space="preserve">w każdym czasie </w:t>
      </w:r>
      <w:r w:rsidR="006B7A89">
        <w:rPr>
          <w:lang w:val="pl-PL"/>
        </w:rPr>
        <w:t>zainicjowana</w:t>
      </w:r>
      <w:r>
        <w:rPr>
          <w:lang w:val="pl-PL"/>
        </w:rPr>
        <w:t xml:space="preserve"> przez osadzonego, a skarżący nie twierdził, że uniemożliwiono mu lub </w:t>
      </w:r>
      <w:r w:rsidR="00C5766C">
        <w:rPr>
          <w:lang w:val="pl-PL"/>
        </w:rPr>
        <w:t xml:space="preserve">powstrzymywano go od </w:t>
      </w:r>
      <w:r w:rsidR="006B7A89">
        <w:rPr>
          <w:lang w:val="pl-PL"/>
        </w:rPr>
        <w:t>złożenia</w:t>
      </w:r>
      <w:r w:rsidR="00C5766C">
        <w:rPr>
          <w:lang w:val="pl-PL"/>
        </w:rPr>
        <w:t xml:space="preserve"> </w:t>
      </w:r>
      <w:r w:rsidR="006B7A89">
        <w:rPr>
          <w:lang w:val="pl-PL"/>
        </w:rPr>
        <w:t xml:space="preserve">w dowolnym czasie wniosku </w:t>
      </w:r>
      <w:r w:rsidR="00C5766C">
        <w:rPr>
          <w:lang w:val="pl-PL"/>
        </w:rPr>
        <w:t>do Sekretarza Stanu o rozważenie jego</w:t>
      </w:r>
      <w:r w:rsidR="00C20E64">
        <w:rPr>
          <w:lang w:val="pl-PL"/>
        </w:rPr>
        <w:t> </w:t>
      </w:r>
      <w:r w:rsidR="00C5766C">
        <w:rPr>
          <w:lang w:val="pl-PL"/>
        </w:rPr>
        <w:t xml:space="preserve">zwolnienia. </w:t>
      </w:r>
    </w:p>
    <w:p w14:paraId="46661385" w14:textId="77777777" w:rsidR="00E86725" w:rsidRPr="00B244C0" w:rsidRDefault="00B459DC">
      <w:pPr>
        <w:pStyle w:val="ClinContent"/>
        <w:rPr>
          <w:lang w:val="pl-PL"/>
        </w:rPr>
      </w:pPr>
      <w:r w:rsidRPr="00B244C0">
        <w:rPr>
          <w:lang w:val="pl-PL"/>
        </w:rPr>
        <w:t>***</w:t>
      </w:r>
    </w:p>
    <w:p w14:paraId="5507A557" w14:textId="1AEDBE95" w:rsidR="00C5766C" w:rsidRPr="00C5766C" w:rsidRDefault="00C5766C">
      <w:pPr>
        <w:pStyle w:val="ClinContent"/>
        <w:rPr>
          <w:lang w:val="pl-PL"/>
        </w:rPr>
      </w:pPr>
      <w:r>
        <w:rPr>
          <w:lang w:val="pl-PL"/>
        </w:rPr>
        <w:t>Konkludując</w:t>
      </w:r>
      <w:r w:rsidRPr="00C5766C">
        <w:rPr>
          <w:lang w:val="pl-PL"/>
        </w:rPr>
        <w:t xml:space="preserve">, </w:t>
      </w:r>
      <w:r w:rsidR="00726F3B">
        <w:rPr>
          <w:lang w:val="pl-PL"/>
        </w:rPr>
        <w:t>rozstrzygnięcie</w:t>
      </w:r>
      <w:r w:rsidRPr="00C5766C">
        <w:rPr>
          <w:lang w:val="pl-PL"/>
        </w:rPr>
        <w:t xml:space="preserve"> w sprawie </w:t>
      </w:r>
      <w:r w:rsidRPr="00C5766C">
        <w:rPr>
          <w:i/>
          <w:lang w:val="pl-PL"/>
        </w:rPr>
        <w:t>McLoughlin</w:t>
      </w:r>
      <w:r w:rsidR="00726F3B">
        <w:rPr>
          <w:i/>
          <w:lang w:val="pl-PL"/>
        </w:rPr>
        <w:t xml:space="preserve"> </w:t>
      </w:r>
      <w:r w:rsidR="00726F3B" w:rsidRPr="00726F3B">
        <w:rPr>
          <w:lang w:val="pl-PL"/>
        </w:rPr>
        <w:t>pozwoliło</w:t>
      </w:r>
      <w:r>
        <w:rPr>
          <w:i/>
          <w:lang w:val="pl-PL"/>
        </w:rPr>
        <w:t xml:space="preserve"> </w:t>
      </w:r>
      <w:r w:rsidR="00726F3B">
        <w:rPr>
          <w:lang w:val="pl-PL"/>
        </w:rPr>
        <w:t>rozproszyć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niejasności zidentyfikowane w sprawie </w:t>
      </w:r>
      <w:r>
        <w:rPr>
          <w:i/>
          <w:lang w:val="pl-PL"/>
        </w:rPr>
        <w:t xml:space="preserve">Vinter </w:t>
      </w:r>
      <w:r>
        <w:rPr>
          <w:lang w:val="pl-PL"/>
        </w:rPr>
        <w:t>wynikające z rozbieżności w ramach systemu krajowego między mającą zastosowanie ustawą a opublikowanym dokumentem urzędowym dotyczącym</w:t>
      </w:r>
      <w:r w:rsidR="00726F3B">
        <w:rPr>
          <w:lang w:val="pl-PL"/>
        </w:rPr>
        <w:t xml:space="preserve"> stosowanej</w:t>
      </w:r>
      <w:r>
        <w:rPr>
          <w:lang w:val="pl-PL"/>
        </w:rPr>
        <w:t xml:space="preserve"> </w:t>
      </w:r>
      <w:r w:rsidRPr="00726F3B">
        <w:rPr>
          <w:lang w:val="pl-PL"/>
        </w:rPr>
        <w:t>polityki</w:t>
      </w:r>
      <w:r>
        <w:rPr>
          <w:lang w:val="pl-PL"/>
        </w:rPr>
        <w:t xml:space="preserve">. </w:t>
      </w:r>
      <w:r w:rsidR="004457CC">
        <w:rPr>
          <w:lang w:val="pl-PL"/>
        </w:rPr>
        <w:t>Ponadto</w:t>
      </w:r>
      <w:r>
        <w:rPr>
          <w:lang w:val="pl-PL"/>
        </w:rPr>
        <w:t>, Sąd Apelacyjny wyjaśnił zakres oraz podstawy</w:t>
      </w:r>
      <w:r w:rsidR="00C86E03">
        <w:rPr>
          <w:lang w:val="pl-PL"/>
        </w:rPr>
        <w:t xml:space="preserve"> ponownej oceny kary oraz </w:t>
      </w:r>
      <w:r w:rsidR="00726F3B">
        <w:rPr>
          <w:lang w:val="pl-PL"/>
        </w:rPr>
        <w:t xml:space="preserve">sposób </w:t>
      </w:r>
      <w:r w:rsidR="00C86E03">
        <w:rPr>
          <w:lang w:val="pl-PL"/>
        </w:rPr>
        <w:t xml:space="preserve">jej </w:t>
      </w:r>
      <w:r w:rsidR="00726F3B">
        <w:rPr>
          <w:lang w:val="pl-PL"/>
        </w:rPr>
        <w:t>przeprowadzania</w:t>
      </w:r>
      <w:r>
        <w:rPr>
          <w:lang w:val="pl-PL"/>
        </w:rPr>
        <w:t xml:space="preserve"> przez Sekretarza Stanu, a także </w:t>
      </w:r>
      <w:r w:rsidR="00726F3B">
        <w:rPr>
          <w:lang w:val="pl-PL"/>
        </w:rPr>
        <w:t xml:space="preserve">jego </w:t>
      </w:r>
      <w:r>
        <w:rPr>
          <w:lang w:val="pl-PL"/>
        </w:rPr>
        <w:t>obowiązek zwolnienia osoby odbywającej karę dożywotniego pozbawienia wolności, gdy dalsze pozbawienie wolności nie może być już uzasadnione uprawnionymi względami penologicznymi. Dalsze uszczegółowienie okoliczności, w</w:t>
      </w:r>
      <w:r w:rsidR="00C20E64">
        <w:rPr>
          <w:lang w:val="pl-PL"/>
        </w:rPr>
        <w:t> </w:t>
      </w:r>
      <w:r>
        <w:rPr>
          <w:lang w:val="pl-PL"/>
        </w:rPr>
        <w:t xml:space="preserve">których osoba odbywająca karę dożywotniego pozbawienia wolności może się ubiegać o zwolnienie z odwołaniem do uprawnionych względów penologicznych </w:t>
      </w:r>
      <w:r w:rsidR="00726F3B">
        <w:rPr>
          <w:lang w:val="pl-PL"/>
        </w:rPr>
        <w:t>uzasadniających pozbawienie</w:t>
      </w:r>
      <w:r>
        <w:rPr>
          <w:lang w:val="pl-PL"/>
        </w:rPr>
        <w:t xml:space="preserve"> wolności, może nastąpić poprzez praktykę krajową. Ustawowy obowiązek sądów krajowych uwzględnienia orzecznictwa </w:t>
      </w:r>
      <w:r w:rsidR="00C75031">
        <w:rPr>
          <w:lang w:val="pl-PL"/>
        </w:rPr>
        <w:t>na gruncie</w:t>
      </w:r>
      <w:r w:rsidR="00726F3B">
        <w:rPr>
          <w:lang w:val="pl-PL"/>
        </w:rPr>
        <w:t xml:space="preserve"> </w:t>
      </w:r>
      <w:r>
        <w:rPr>
          <w:lang w:val="pl-PL"/>
        </w:rPr>
        <w:t xml:space="preserve">art. 3 w formie, w jakiej może się ono rozwinąć w przyszłości, stanowi dodatkową istotną gwarancję.  </w:t>
      </w:r>
    </w:p>
    <w:p w14:paraId="215ED426" w14:textId="77777777" w:rsidR="00C5766C" w:rsidRPr="00C5766C" w:rsidRDefault="00C5766C">
      <w:pPr>
        <w:pStyle w:val="ClinContent"/>
        <w:rPr>
          <w:lang w:val="pl-PL"/>
        </w:rPr>
      </w:pPr>
      <w:r w:rsidRPr="00C5766C">
        <w:rPr>
          <w:lang w:val="pl-PL"/>
        </w:rPr>
        <w:t xml:space="preserve">W świetle powyższego, kara dożywotniego pozbawienia wolności może być obecnie uznana za </w:t>
      </w:r>
      <w:r w:rsidR="004457CC">
        <w:rPr>
          <w:lang w:val="pl-PL"/>
        </w:rPr>
        <w:t xml:space="preserve">podlegającą możliwości </w:t>
      </w:r>
      <w:r w:rsidR="00726F3B">
        <w:rPr>
          <w:lang w:val="pl-PL"/>
        </w:rPr>
        <w:t>skrócenia</w:t>
      </w:r>
      <w:r w:rsidRPr="00C5766C">
        <w:rPr>
          <w:lang w:val="pl-PL"/>
        </w:rPr>
        <w:t xml:space="preserve">, zgodnie z art. </w:t>
      </w:r>
      <w:r>
        <w:rPr>
          <w:lang w:val="pl-PL"/>
        </w:rPr>
        <w:t>3 Konwencji. ***</w:t>
      </w:r>
    </w:p>
    <w:p w14:paraId="4DFD6B9A" w14:textId="77777777" w:rsidR="00C5766C" w:rsidRPr="00C5766C" w:rsidRDefault="00C5766C">
      <w:pPr>
        <w:pStyle w:val="ClinContent"/>
        <w:rPr>
          <w:lang w:val="pl-PL"/>
        </w:rPr>
      </w:pPr>
      <w:r w:rsidRPr="00C5766C">
        <w:rPr>
          <w:i/>
          <w:lang w:val="pl-PL"/>
        </w:rPr>
        <w:t>Rozstrzygnięcie</w:t>
      </w:r>
      <w:r w:rsidRPr="00C5766C">
        <w:rPr>
          <w:lang w:val="pl-PL"/>
        </w:rPr>
        <w:t>: brak naruszenia (czternastoma głosami do trzech).</w:t>
      </w:r>
    </w:p>
    <w:p w14:paraId="0E15DCD3" w14:textId="185A43F8" w:rsidR="00C5766C" w:rsidRPr="00C5766C" w:rsidRDefault="00C5766C" w:rsidP="00C5766C">
      <w:pPr>
        <w:pStyle w:val="ClinContent"/>
        <w:rPr>
          <w:lang w:val="pl-PL"/>
        </w:rPr>
      </w:pPr>
      <w:r w:rsidRPr="00C5766C">
        <w:rPr>
          <w:lang w:val="pl-PL"/>
        </w:rPr>
        <w:t xml:space="preserve">(Zobacz również </w:t>
      </w:r>
      <w:r w:rsidRPr="00C5766C">
        <w:rPr>
          <w:i/>
          <w:lang w:val="pl-PL"/>
        </w:rPr>
        <w:t>Kafkaris p. Cyprowi</w:t>
      </w:r>
      <w:r w:rsidRPr="00C5766C">
        <w:rPr>
          <w:lang w:val="pl-PL"/>
        </w:rPr>
        <w:t xml:space="preserve"> [Wielka Izba], nr 21906/04, 12 lutego 2008 r., </w:t>
      </w:r>
      <w:hyperlink r:id="rId10" w:history="1">
        <w:r w:rsidRPr="00C5766C">
          <w:rPr>
            <w:rStyle w:val="Hipercze"/>
            <w:lang w:val="pl-PL"/>
          </w:rPr>
          <w:t>Nota informacyjna nt. orzecznictwa nr 105</w:t>
        </w:r>
      </w:hyperlink>
      <w:r w:rsidRPr="00C5766C">
        <w:rPr>
          <w:lang w:val="pl-PL"/>
        </w:rPr>
        <w:t xml:space="preserve">; </w:t>
      </w:r>
      <w:r w:rsidRPr="00C5766C">
        <w:rPr>
          <w:i/>
          <w:lang w:val="pl-PL"/>
        </w:rPr>
        <w:t xml:space="preserve">Vinter i Inni p. Zjednoczonemu Królestwu </w:t>
      </w:r>
      <w:r w:rsidRPr="00C5766C">
        <w:rPr>
          <w:lang w:val="pl-PL"/>
        </w:rPr>
        <w:t xml:space="preserve">[Wielka Izba], nr 66069/09 </w:t>
      </w:r>
      <w:r w:rsidRPr="00C5766C">
        <w:rPr>
          <w:i/>
          <w:lang w:val="pl-PL"/>
        </w:rPr>
        <w:t>et al.</w:t>
      </w:r>
      <w:r w:rsidRPr="00C5766C">
        <w:rPr>
          <w:lang w:val="pl-PL"/>
        </w:rPr>
        <w:t xml:space="preserve">, 9 lipca 2013 r., </w:t>
      </w:r>
      <w:hyperlink r:id="rId11" w:history="1">
        <w:r w:rsidRPr="00C5766C">
          <w:rPr>
            <w:rStyle w:val="Hipercze"/>
            <w:lang w:val="pl-PL"/>
          </w:rPr>
          <w:t>Nota informacyjna nt. orzecznictwa nr 165</w:t>
        </w:r>
      </w:hyperlink>
      <w:r w:rsidR="00263FA6">
        <w:rPr>
          <w:rStyle w:val="Odwoanieprzypisudolnego"/>
          <w:color w:val="0069D6"/>
          <w:lang w:val="pl-PL"/>
        </w:rPr>
        <w:footnoteReference w:id="1"/>
      </w:r>
      <w:r w:rsidRPr="00C5766C">
        <w:rPr>
          <w:lang w:val="pl-PL"/>
        </w:rPr>
        <w:t xml:space="preserve">; oraz </w:t>
      </w:r>
      <w:r w:rsidRPr="00C5766C">
        <w:rPr>
          <w:i/>
          <w:lang w:val="pl-PL"/>
        </w:rPr>
        <w:t>Murray p. Holandii</w:t>
      </w:r>
      <w:r w:rsidRPr="00C5766C">
        <w:rPr>
          <w:lang w:val="pl-PL"/>
        </w:rPr>
        <w:t xml:space="preserve"> [Wielka Izba], nr 10511/10, 25 kwietnia 2016 r., </w:t>
      </w:r>
      <w:hyperlink r:id="rId12" w:history="1">
        <w:r w:rsidRPr="00C5766C">
          <w:rPr>
            <w:rStyle w:val="Hipercze"/>
            <w:lang w:val="pl-PL"/>
          </w:rPr>
          <w:t>Nota</w:t>
        </w:r>
        <w:r w:rsidR="00C20E64">
          <w:rPr>
            <w:rStyle w:val="Hipercze"/>
            <w:lang w:val="pl-PL"/>
          </w:rPr>
          <w:t> </w:t>
        </w:r>
        <w:r w:rsidRPr="00C5766C">
          <w:rPr>
            <w:rStyle w:val="Hipercze"/>
            <w:lang w:val="pl-PL"/>
          </w:rPr>
          <w:t>informacyjna nt. orzecznictwa nr 195</w:t>
        </w:r>
      </w:hyperlink>
      <w:r w:rsidRPr="00C5766C">
        <w:rPr>
          <w:lang w:val="pl-PL"/>
        </w:rPr>
        <w:t xml:space="preserve">; a także, bardziej ogólnie, Zestawienie tematyczne </w:t>
      </w:r>
      <w:r w:rsidR="00C75031">
        <w:rPr>
          <w:lang w:val="pl-PL"/>
        </w:rPr>
        <w:t>p</w:t>
      </w:r>
      <w:r w:rsidRPr="00C5766C">
        <w:rPr>
          <w:lang w:val="pl-PL"/>
        </w:rPr>
        <w:t xml:space="preserve">t. </w:t>
      </w:r>
      <w:hyperlink r:id="rId13" w:history="1">
        <w:r>
          <w:rPr>
            <w:rStyle w:val="Hipercze"/>
            <w:lang w:val="pl-PL"/>
          </w:rPr>
          <w:t>Kar</w:t>
        </w:r>
        <w:r w:rsidR="00C75031">
          <w:rPr>
            <w:rStyle w:val="Hipercze"/>
            <w:lang w:val="pl-PL"/>
          </w:rPr>
          <w:t>a</w:t>
        </w:r>
        <w:r>
          <w:rPr>
            <w:rStyle w:val="Hipercze"/>
            <w:lang w:val="pl-PL"/>
          </w:rPr>
          <w:t xml:space="preserve"> dożywotniego pozbawienia wolności</w:t>
        </w:r>
      </w:hyperlink>
      <w:r w:rsidRPr="00C5766C">
        <w:rPr>
          <w:lang w:val="pl-PL"/>
        </w:rPr>
        <w:t>)</w:t>
      </w:r>
    </w:p>
    <w:p w14:paraId="77C53103" w14:textId="77777777" w:rsidR="00574D21" w:rsidRPr="00574D21" w:rsidRDefault="00574D21" w:rsidP="00B244C0">
      <w:pPr>
        <w:pStyle w:val="ClinContent"/>
        <w:spacing w:before="120"/>
        <w:rPr>
          <w:lang w:val="pl-PL"/>
        </w:rPr>
      </w:pPr>
      <w:r w:rsidRPr="00574D21">
        <w:rPr>
          <w:lang w:val="pl-PL"/>
        </w:rPr>
        <w:t>* Wydany jako Zarządzenie Służby Więziennej nr 4700.</w:t>
      </w:r>
    </w:p>
    <w:p w14:paraId="62F6404A" w14:textId="77777777" w:rsidR="00574D21" w:rsidRDefault="00574D21" w:rsidP="00B244C0">
      <w:pPr>
        <w:pStyle w:val="ClinContent"/>
        <w:spacing w:before="120"/>
      </w:pPr>
      <w:r>
        <w:t>** R v. Newell; R v. McLoughlin [2014] EWCA Crim 188.</w:t>
      </w:r>
    </w:p>
    <w:p w14:paraId="1C0D4EFF" w14:textId="42713C4D" w:rsidR="00E86725" w:rsidRDefault="00574D21" w:rsidP="00B244C0">
      <w:pPr>
        <w:pBdr>
          <w:bottom w:val="single" w:sz="8" w:space="1" w:color="auto"/>
        </w:pBdr>
        <w:spacing w:before="120" w:after="120"/>
        <w:jc w:val="both"/>
        <w:rPr>
          <w:lang w:val="pl-PL"/>
        </w:rPr>
      </w:pPr>
      <w:r w:rsidRPr="00574D21">
        <w:rPr>
          <w:lang w:val="pl-PL"/>
        </w:rPr>
        <w:t xml:space="preserve">*** Ponieważ oświadczenia stron były ograniczone do kwestii, czy w świetle orzeczenia w sprawie </w:t>
      </w:r>
      <w:r w:rsidRPr="00574D21">
        <w:rPr>
          <w:i/>
          <w:lang w:val="pl-PL"/>
        </w:rPr>
        <w:t>McLoughlin</w:t>
      </w:r>
      <w:r w:rsidRPr="00574D21">
        <w:rPr>
          <w:lang w:val="pl-PL"/>
        </w:rPr>
        <w:t xml:space="preserve">, sytuacja skarżącego w odniesieniu do jego kary dożywotniego pozbawienia wolności pozostaje w zgodzie z wymogami art. 3 określonymi w sprawie </w:t>
      </w:r>
      <w:r w:rsidRPr="00574D21">
        <w:rPr>
          <w:i/>
          <w:lang w:val="pl-PL"/>
        </w:rPr>
        <w:t>Vinter</w:t>
      </w:r>
      <w:r>
        <w:rPr>
          <w:i/>
          <w:lang w:val="pl-PL"/>
        </w:rPr>
        <w:t xml:space="preserve">, </w:t>
      </w:r>
      <w:r>
        <w:rPr>
          <w:lang w:val="pl-PL"/>
        </w:rPr>
        <w:t xml:space="preserve">Trybunał nie badał, czy miało miejsce naruszenie art. 3 w okresie pozbawienia </w:t>
      </w:r>
      <w:r>
        <w:rPr>
          <w:lang w:val="pl-PL"/>
        </w:rPr>
        <w:lastRenderedPageBreak/>
        <w:t xml:space="preserve">wolności skarżącego przed </w:t>
      </w:r>
      <w:r w:rsidR="00B244C0">
        <w:rPr>
          <w:lang w:val="pl-PL"/>
        </w:rPr>
        <w:t xml:space="preserve">orzeczeniem </w:t>
      </w:r>
      <w:r>
        <w:rPr>
          <w:lang w:val="pl-PL"/>
        </w:rPr>
        <w:t xml:space="preserve">w sprawie </w:t>
      </w:r>
      <w:r w:rsidRPr="00574D21">
        <w:rPr>
          <w:i/>
          <w:lang w:val="pl-PL"/>
        </w:rPr>
        <w:t>McLoughlin</w:t>
      </w:r>
      <w:r>
        <w:rPr>
          <w:i/>
          <w:lang w:val="pl-PL"/>
        </w:rPr>
        <w:t xml:space="preserve">. </w:t>
      </w:r>
      <w:r w:rsidRPr="00574D21">
        <w:rPr>
          <w:lang w:val="pl-PL"/>
        </w:rPr>
        <w:t xml:space="preserve">Odnotował jednakże, </w:t>
      </w:r>
      <w:r w:rsidR="00F5280B">
        <w:rPr>
          <w:lang w:val="pl-PL"/>
        </w:rPr>
        <w:t xml:space="preserve">okoliczności </w:t>
      </w:r>
      <w:r w:rsidR="00A229E0" w:rsidRPr="00574D21">
        <w:rPr>
          <w:lang w:val="pl-PL"/>
        </w:rPr>
        <w:t>że</w:t>
      </w:r>
      <w:r w:rsidR="00A229E0">
        <w:rPr>
          <w:i/>
          <w:lang w:val="pl-PL"/>
        </w:rPr>
        <w:t> </w:t>
      </w:r>
      <w:r w:rsidR="00A229E0">
        <w:rPr>
          <w:lang w:val="pl-PL"/>
        </w:rPr>
        <w:t xml:space="preserve">faktyczne </w:t>
      </w:r>
      <w:r w:rsidR="00F5280B">
        <w:rPr>
          <w:lang w:val="pl-PL"/>
        </w:rPr>
        <w:t xml:space="preserve">obu spraw nie różniły się. </w:t>
      </w:r>
    </w:p>
    <w:p w14:paraId="459C46A2" w14:textId="77777777" w:rsidR="008561C7" w:rsidRDefault="008561C7" w:rsidP="008561C7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174E7EF5" w14:textId="77777777" w:rsidR="008561C7" w:rsidRDefault="008561C7" w:rsidP="008561C7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4" w:history="1">
        <w:r>
          <w:rPr>
            <w:rStyle w:val="Hipercze"/>
            <w:lang w:val="pl-PL"/>
          </w:rPr>
          <w:t>Not informacyjnych nt. orzecznictwa</w:t>
        </w:r>
      </w:hyperlink>
    </w:p>
    <w:p w14:paraId="39694922" w14:textId="67DFE9F9" w:rsidR="00E86725" w:rsidRPr="008561C7" w:rsidRDefault="00E86725" w:rsidP="008F427A">
      <w:pPr>
        <w:pStyle w:val="ClinFooter"/>
        <w:jc w:val="left"/>
        <w:rPr>
          <w:lang w:val="pl-PL"/>
        </w:rPr>
      </w:pPr>
    </w:p>
    <w:sectPr w:rsidR="00E86725" w:rsidRPr="008561C7" w:rsidSect="004A5B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B4B288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95D265" w14:textId="77777777" w:rsidR="009F5E83" w:rsidRDefault="009F5E83" w:rsidP="00C63262">
      <w:r>
        <w:separator/>
      </w:r>
    </w:p>
  </w:endnote>
  <w:endnote w:type="continuationSeparator" w:id="0">
    <w:p w14:paraId="52FADA18" w14:textId="77777777" w:rsidR="009F5E83" w:rsidRDefault="009F5E83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F5A9B9" w14:textId="77777777" w:rsidR="00D551AD" w:rsidRDefault="00D551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A3E8CA" w14:textId="77777777" w:rsidR="00D551AD" w:rsidRDefault="00D551A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6AA8CF" w14:textId="77777777" w:rsidR="0071773F" w:rsidRPr="0071773F" w:rsidRDefault="0071773F" w:rsidP="0071773F"/>
  <w:p w14:paraId="07DAC181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75A4149" wp14:editId="6C876AA7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7D788D" w14:textId="77777777" w:rsidR="009F5E83" w:rsidRDefault="009F5E83" w:rsidP="00C63262">
      <w:r>
        <w:separator/>
      </w:r>
    </w:p>
  </w:footnote>
  <w:footnote w:type="continuationSeparator" w:id="0">
    <w:p w14:paraId="0438F565" w14:textId="77777777" w:rsidR="009F5E83" w:rsidRDefault="009F5E83" w:rsidP="00C63262">
      <w:r>
        <w:continuationSeparator/>
      </w:r>
    </w:p>
  </w:footnote>
  <w:footnote w:id="1">
    <w:p w14:paraId="22138068" w14:textId="1F2EC691" w:rsidR="00263FA6" w:rsidRPr="00090F01" w:rsidRDefault="00263FA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263FA6">
        <w:rPr>
          <w:lang w:val="pl-PL"/>
        </w:rPr>
        <w:t xml:space="preserve"> </w:t>
      </w:r>
      <w:r>
        <w:rPr>
          <w:lang w:val="pl-PL"/>
        </w:rPr>
        <w:t xml:space="preserve">Zobacz również tłumaczenie na język polski wyroku ws. </w:t>
      </w:r>
      <w:hyperlink r:id="rId1" w:history="1">
        <w:r>
          <w:rPr>
            <w:rStyle w:val="Hipercze"/>
            <w:i/>
            <w:lang w:val="pl-PL"/>
          </w:rPr>
          <w:t>Vinter i Inni p. Zjednoczonemu Królestwu</w:t>
        </w:r>
      </w:hyperlink>
      <w:r w:rsidR="00090F01" w:rsidRPr="00090F01">
        <w:rPr>
          <w:rStyle w:val="Hipercze"/>
          <w:i/>
          <w:u w:val="none"/>
          <w:lang w:val="pl-PL"/>
        </w:rPr>
        <w:t xml:space="preserve"> </w:t>
      </w:r>
      <w:r w:rsidR="00090F01">
        <w:rPr>
          <w:lang w:val="pl-PL"/>
        </w:rPr>
        <w:t>[przyp.</w:t>
      </w:r>
      <w:r w:rsidR="00090F01" w:rsidRPr="00090F01">
        <w:rPr>
          <w:lang w:val="pl-PL"/>
        </w:rPr>
        <w:t xml:space="preserve"> </w:t>
      </w:r>
      <w:r w:rsidR="00090F01">
        <w:rPr>
          <w:lang w:val="pl-PL"/>
        </w:rPr>
        <w:t>tłum.]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3530" w14:textId="77777777" w:rsidR="00D551AD" w:rsidRDefault="00D551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477E0F40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DE0144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C5629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D89935" wp14:editId="7A7A77FE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kowski Dominik [BAZI]">
    <w15:presenceInfo w15:providerId="AD" w15:userId="S-1-5-21-2054104177-981614777-456279356-47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766C"/>
    <w:rsid w:val="0001777B"/>
    <w:rsid w:val="000336D5"/>
    <w:rsid w:val="00037CCC"/>
    <w:rsid w:val="00054D6A"/>
    <w:rsid w:val="0007547F"/>
    <w:rsid w:val="00082AE9"/>
    <w:rsid w:val="00090F01"/>
    <w:rsid w:val="00097888"/>
    <w:rsid w:val="000F13B5"/>
    <w:rsid w:val="0010522C"/>
    <w:rsid w:val="00107377"/>
    <w:rsid w:val="00126E16"/>
    <w:rsid w:val="00143602"/>
    <w:rsid w:val="001769E4"/>
    <w:rsid w:val="00186560"/>
    <w:rsid w:val="00212E83"/>
    <w:rsid w:val="00263FA6"/>
    <w:rsid w:val="002966E7"/>
    <w:rsid w:val="002C1C6E"/>
    <w:rsid w:val="002E088D"/>
    <w:rsid w:val="0030264F"/>
    <w:rsid w:val="003101E3"/>
    <w:rsid w:val="003450B3"/>
    <w:rsid w:val="003674CE"/>
    <w:rsid w:val="003742EB"/>
    <w:rsid w:val="00386958"/>
    <w:rsid w:val="003A64A6"/>
    <w:rsid w:val="003D7BB3"/>
    <w:rsid w:val="00416A65"/>
    <w:rsid w:val="004457CC"/>
    <w:rsid w:val="0046453F"/>
    <w:rsid w:val="00480E02"/>
    <w:rsid w:val="004A125F"/>
    <w:rsid w:val="004A5B52"/>
    <w:rsid w:val="004B424D"/>
    <w:rsid w:val="004D568D"/>
    <w:rsid w:val="004E1037"/>
    <w:rsid w:val="005070D8"/>
    <w:rsid w:val="0052092D"/>
    <w:rsid w:val="00534CEB"/>
    <w:rsid w:val="00540D75"/>
    <w:rsid w:val="005514E5"/>
    <w:rsid w:val="00554DF6"/>
    <w:rsid w:val="00564717"/>
    <w:rsid w:val="0056678B"/>
    <w:rsid w:val="00574D21"/>
    <w:rsid w:val="005C44B4"/>
    <w:rsid w:val="005C56A1"/>
    <w:rsid w:val="006028A1"/>
    <w:rsid w:val="00631A28"/>
    <w:rsid w:val="00694AB7"/>
    <w:rsid w:val="006A36AD"/>
    <w:rsid w:val="006B7A89"/>
    <w:rsid w:val="006C1D96"/>
    <w:rsid w:val="006E2785"/>
    <w:rsid w:val="0071773F"/>
    <w:rsid w:val="00725DC4"/>
    <w:rsid w:val="00726F3B"/>
    <w:rsid w:val="007358DF"/>
    <w:rsid w:val="00741CE4"/>
    <w:rsid w:val="00774515"/>
    <w:rsid w:val="007A2230"/>
    <w:rsid w:val="007B43E1"/>
    <w:rsid w:val="008561C7"/>
    <w:rsid w:val="00860A3E"/>
    <w:rsid w:val="00895EF3"/>
    <w:rsid w:val="008C64D5"/>
    <w:rsid w:val="008F427A"/>
    <w:rsid w:val="0090032B"/>
    <w:rsid w:val="00903D38"/>
    <w:rsid w:val="00907529"/>
    <w:rsid w:val="009A0ED1"/>
    <w:rsid w:val="009B3B2C"/>
    <w:rsid w:val="009E3EF0"/>
    <w:rsid w:val="009E5B33"/>
    <w:rsid w:val="009F5E83"/>
    <w:rsid w:val="00A01052"/>
    <w:rsid w:val="00A04D9C"/>
    <w:rsid w:val="00A1478A"/>
    <w:rsid w:val="00A229E0"/>
    <w:rsid w:val="00A230E5"/>
    <w:rsid w:val="00A258BB"/>
    <w:rsid w:val="00A33541"/>
    <w:rsid w:val="00A45616"/>
    <w:rsid w:val="00AC7726"/>
    <w:rsid w:val="00B244C0"/>
    <w:rsid w:val="00B459DC"/>
    <w:rsid w:val="00B80CA0"/>
    <w:rsid w:val="00B85770"/>
    <w:rsid w:val="00BF1CD9"/>
    <w:rsid w:val="00C10FD9"/>
    <w:rsid w:val="00C20E64"/>
    <w:rsid w:val="00C37433"/>
    <w:rsid w:val="00C5766C"/>
    <w:rsid w:val="00C63262"/>
    <w:rsid w:val="00C72355"/>
    <w:rsid w:val="00C75031"/>
    <w:rsid w:val="00C86E03"/>
    <w:rsid w:val="00C93CFB"/>
    <w:rsid w:val="00C95055"/>
    <w:rsid w:val="00CF7BA6"/>
    <w:rsid w:val="00D42086"/>
    <w:rsid w:val="00D425B3"/>
    <w:rsid w:val="00D551AD"/>
    <w:rsid w:val="00D8275A"/>
    <w:rsid w:val="00DA167A"/>
    <w:rsid w:val="00DC42F4"/>
    <w:rsid w:val="00DE0144"/>
    <w:rsid w:val="00E55491"/>
    <w:rsid w:val="00E83DB6"/>
    <w:rsid w:val="00E86725"/>
    <w:rsid w:val="00EA53E7"/>
    <w:rsid w:val="00EB044E"/>
    <w:rsid w:val="00F508C9"/>
    <w:rsid w:val="00F50CCD"/>
    <w:rsid w:val="00F5247C"/>
    <w:rsid w:val="00F5280B"/>
    <w:rsid w:val="00F63171"/>
    <w:rsid w:val="00F70294"/>
    <w:rsid w:val="00FA29ED"/>
    <w:rsid w:val="00FD71CF"/>
    <w:rsid w:val="00FF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278C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561C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561C7"/>
  </w:style>
  <w:style w:type="character" w:customStyle="1" w:styleId="object">
    <w:name w:val="object"/>
    <w:basedOn w:val="Domylnaczcionkaakapitu"/>
    <w:rsid w:val="008561C7"/>
  </w:style>
  <w:style w:type="character" w:styleId="UyteHipercze">
    <w:name w:val="FollowedHyperlink"/>
    <w:basedOn w:val="Domylnaczcionkaakapitu"/>
    <w:semiHidden/>
    <w:unhideWhenUsed/>
    <w:rsid w:val="00263FA6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9A0E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A0ED1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0ED1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A0E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A0ED1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9A0ED1"/>
    <w:rPr>
      <w:rFonts w:ascii="Verdana" w:hAnsi="Verdan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8561C7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8561C7"/>
  </w:style>
  <w:style w:type="character" w:customStyle="1" w:styleId="object">
    <w:name w:val="object"/>
    <w:basedOn w:val="Domylnaczcionkaakapitu"/>
    <w:rsid w:val="008561C7"/>
  </w:style>
  <w:style w:type="character" w:styleId="UyteHipercze">
    <w:name w:val="FollowedHyperlink"/>
    <w:basedOn w:val="Domylnaczcionkaakapitu"/>
    <w:semiHidden/>
    <w:unhideWhenUsed/>
    <w:rsid w:val="00263FA6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9A0ED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A0ED1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0ED1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A0E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A0ED1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9A0ED1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Documents/FS_Life_sentences_ENG.pdf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10993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765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11/relationships/commentsExtended" Target="commentsExtended.xml"/><Relationship Id="rId10" Type="http://schemas.openxmlformats.org/officeDocument/2006/relationships/hyperlink" Target="http://hudoc.echr.coe.int/eng?i=002-2237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358" TargetMode="External"/><Relationship Id="rId14" Type="http://schemas.openxmlformats.org/officeDocument/2006/relationships/hyperlink" Target="http://www.echr.coe.int/NoteInformation/en" TargetMode="External"/><Relationship Id="rId22" Type="http://schemas.openxmlformats.org/officeDocument/2006/relationships/theme" Target="theme/theme1.xml"/><Relationship Id="rId27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p.ms.gov.pl/pl/prawa-czlowieka/europejski-trybunal-praw-czlowieka/orzecznictwo-europejskiego-trybunalu-praw-czlowieka/download,616,0.htm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94DE0-104B-4F80-9F85-BD5CF16ED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1544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2018-03-07T10:57:00Z</dcterms:created>
  <dcterms:modified xsi:type="dcterms:W3CDTF">2018-03-07T10:57:00Z</dcterms:modified>
</cp:coreProperties>
</file>