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08DD6E" w14:textId="77777777" w:rsidR="001A4FC3" w:rsidRDefault="001A4FC3" w:rsidP="00DB1B06">
      <w:pPr>
        <w:pStyle w:val="s6e50bd9a"/>
        <w:spacing w:after="120" w:afterAutospacing="0"/>
        <w:jc w:val="both"/>
        <w:rPr>
          <w:rFonts w:ascii="Arial" w:hAnsi="Arial" w:cs="Arial"/>
        </w:rPr>
      </w:pPr>
      <w:bookmarkStart w:id="0" w:name="_GoBack"/>
      <w:bookmarkEnd w:id="0"/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8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14:paraId="6B239CA0" w14:textId="77777777" w:rsidR="001A4FC3" w:rsidRDefault="001A4FC3" w:rsidP="001A4FC3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503C93E5" w14:textId="77777777" w:rsidR="00FB2634" w:rsidRPr="001A4FC3" w:rsidRDefault="001A4FC3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="00A45F26" w:rsidRPr="001A4FC3">
        <w:rPr>
          <w:lang w:val="pl-PL"/>
        </w:rPr>
        <w:t xml:space="preserve"> 211</w:t>
      </w:r>
    </w:p>
    <w:p w14:paraId="3F029614" w14:textId="77777777" w:rsidR="00FB2634" w:rsidRPr="00DB1B06" w:rsidRDefault="001A4FC3">
      <w:pPr>
        <w:pStyle w:val="ClinEditionMonth"/>
        <w:rPr>
          <w:lang w:val="pl-PL"/>
        </w:rPr>
      </w:pPr>
      <w:r w:rsidRPr="00DB1B06">
        <w:rPr>
          <w:lang w:val="pl-PL"/>
        </w:rPr>
        <w:t xml:space="preserve">Październik </w:t>
      </w:r>
      <w:r w:rsidR="00A45F26" w:rsidRPr="00DB1B06">
        <w:rPr>
          <w:lang w:val="pl-PL"/>
        </w:rPr>
        <w:t>2017</w:t>
      </w:r>
      <w:r w:rsidR="00DB1B06">
        <w:rPr>
          <w:lang w:val="pl-PL"/>
        </w:rPr>
        <w:t xml:space="preserve"> r.</w:t>
      </w:r>
    </w:p>
    <w:p w14:paraId="61444798" w14:textId="77777777" w:rsidR="00FB2634" w:rsidRPr="00AC0AE4" w:rsidRDefault="00A45F26">
      <w:pPr>
        <w:rPr>
          <w:lang w:val="pl-PL"/>
        </w:rPr>
      </w:pPr>
      <w:proofErr w:type="spellStart"/>
      <w:r w:rsidRPr="00AC0AE4">
        <w:rPr>
          <w:rStyle w:val="ClinCaseTitle"/>
          <w:lang w:val="pl-PL"/>
        </w:rPr>
        <w:t>Adyan</w:t>
      </w:r>
      <w:proofErr w:type="spellEnd"/>
      <w:r w:rsidRPr="00AC0AE4">
        <w:rPr>
          <w:rStyle w:val="ClinCaseTitle"/>
          <w:lang w:val="pl-PL"/>
        </w:rPr>
        <w:t xml:space="preserve"> </w:t>
      </w:r>
      <w:r w:rsidR="00AC0AE4" w:rsidRPr="00AC0AE4">
        <w:rPr>
          <w:rStyle w:val="ClinCaseTitle"/>
          <w:lang w:val="pl-PL"/>
        </w:rPr>
        <w:t xml:space="preserve">i Inni p. Armenii </w:t>
      </w:r>
      <w:r w:rsidR="00AC0AE4" w:rsidRPr="00AC0AE4">
        <w:rPr>
          <w:rStyle w:val="ClinApplicationNumber"/>
          <w:lang w:val="pl-PL"/>
        </w:rPr>
        <w:t>–</w:t>
      </w:r>
      <w:r w:rsidRPr="00AC0AE4">
        <w:rPr>
          <w:rStyle w:val="ClinApplicationNumber"/>
          <w:lang w:val="pl-PL"/>
        </w:rPr>
        <w:t xml:space="preserve"> </w:t>
      </w:r>
      <w:r w:rsidR="00AC0AE4" w:rsidRPr="00AC0AE4">
        <w:rPr>
          <w:rStyle w:val="ClinApplicationNumber"/>
          <w:lang w:val="pl-PL"/>
        </w:rPr>
        <w:t xml:space="preserve">skarga nr </w:t>
      </w:r>
      <w:r w:rsidRPr="00AC0AE4">
        <w:rPr>
          <w:rStyle w:val="ClinApplicationNumber"/>
          <w:lang w:val="pl-PL"/>
        </w:rPr>
        <w:t>75604/11</w:t>
      </w:r>
    </w:p>
    <w:p w14:paraId="137B7341" w14:textId="77777777" w:rsidR="00FB2634" w:rsidRPr="00AC0AE4" w:rsidRDefault="00AC0AE4">
      <w:pPr>
        <w:rPr>
          <w:lang w:val="pl-PL"/>
        </w:rPr>
      </w:pPr>
      <w:r w:rsidRPr="00AC0AE4">
        <w:rPr>
          <w:rStyle w:val="ClinHudocDocumentTitle"/>
          <w:lang w:val="pl-PL"/>
        </w:rPr>
        <w:t xml:space="preserve">Wyrok z </w:t>
      </w:r>
      <w:r w:rsidR="00A45F26" w:rsidRPr="00AC0AE4">
        <w:rPr>
          <w:rStyle w:val="ClinHudocDocumentTitle"/>
          <w:lang w:val="pl-PL"/>
        </w:rPr>
        <w:t>12.10.2017</w:t>
      </w:r>
      <w:r w:rsidR="00A45F26" w:rsidRPr="00AC0AE4">
        <w:rPr>
          <w:rStyle w:val="ClinSectionName"/>
          <w:lang w:val="pl-PL"/>
        </w:rPr>
        <w:t xml:space="preserve"> </w:t>
      </w:r>
      <w:r>
        <w:rPr>
          <w:rStyle w:val="ClinSectionName"/>
          <w:lang w:val="pl-PL"/>
        </w:rPr>
        <w:t xml:space="preserve">r. </w:t>
      </w:r>
      <w:r w:rsidR="00A45F26" w:rsidRPr="00AC0AE4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>Pierwsza Sekcja</w:t>
      </w:r>
      <w:r w:rsidR="00A45F26" w:rsidRPr="00AC0AE4">
        <w:rPr>
          <w:rStyle w:val="ClinSectionName"/>
          <w:lang w:val="pl-PL"/>
        </w:rPr>
        <w:t>]</w:t>
      </w:r>
    </w:p>
    <w:p w14:paraId="020140B6" w14:textId="77777777" w:rsidR="00FB2634" w:rsidRPr="00DB1B06" w:rsidRDefault="00A45F26">
      <w:pPr>
        <w:pStyle w:val="ClinMainKeywordCode"/>
        <w:rPr>
          <w:lang w:val="pl-PL"/>
        </w:rPr>
      </w:pPr>
      <w:r w:rsidRPr="00DB1B06">
        <w:rPr>
          <w:lang w:val="pl-PL"/>
        </w:rPr>
        <w:t>Art</w:t>
      </w:r>
      <w:r w:rsidR="00AC0AE4" w:rsidRPr="00DB1B06">
        <w:rPr>
          <w:lang w:val="pl-PL"/>
        </w:rPr>
        <w:t>.</w:t>
      </w:r>
      <w:r w:rsidRPr="00DB1B06">
        <w:rPr>
          <w:lang w:val="pl-PL"/>
        </w:rPr>
        <w:t xml:space="preserve"> 9</w:t>
      </w:r>
    </w:p>
    <w:p w14:paraId="051C2D29" w14:textId="77777777" w:rsidR="00FB2634" w:rsidRPr="00DB1B06" w:rsidRDefault="00A45F26">
      <w:pPr>
        <w:pStyle w:val="ClinChildKeywordCode"/>
        <w:rPr>
          <w:lang w:val="pl-PL"/>
        </w:rPr>
      </w:pPr>
      <w:r w:rsidRPr="00DB1B06">
        <w:rPr>
          <w:lang w:val="pl-PL"/>
        </w:rPr>
        <w:t>Art</w:t>
      </w:r>
      <w:r w:rsidR="00AC0AE4" w:rsidRPr="00DB1B06">
        <w:rPr>
          <w:lang w:val="pl-PL"/>
        </w:rPr>
        <w:t>.</w:t>
      </w:r>
      <w:r w:rsidRPr="00DB1B06">
        <w:rPr>
          <w:lang w:val="pl-PL"/>
        </w:rPr>
        <w:t xml:space="preserve"> 9</w:t>
      </w:r>
      <w:r w:rsidR="00AC0AE4" w:rsidRPr="00DB1B06">
        <w:rPr>
          <w:lang w:val="pl-PL"/>
        </w:rPr>
        <w:t xml:space="preserve"> ust. </w:t>
      </w:r>
      <w:r w:rsidRPr="00DB1B06">
        <w:rPr>
          <w:lang w:val="pl-PL"/>
        </w:rPr>
        <w:t>1</w:t>
      </w:r>
    </w:p>
    <w:p w14:paraId="24FD235D" w14:textId="77777777" w:rsidR="00FB2634" w:rsidRPr="00AC0AE4" w:rsidRDefault="00AC0AE4">
      <w:pPr>
        <w:pStyle w:val="ClinKeyword"/>
        <w:rPr>
          <w:lang w:val="pl-PL"/>
        </w:rPr>
      </w:pPr>
      <w:r w:rsidRPr="00AC0AE4">
        <w:rPr>
          <w:lang w:val="pl-PL"/>
        </w:rPr>
        <w:t xml:space="preserve">Wolność sumienia </w:t>
      </w:r>
    </w:p>
    <w:p w14:paraId="1E426A5D" w14:textId="11B2C66B" w:rsidR="00FB2634" w:rsidRPr="00AC0AE4" w:rsidRDefault="0067581C">
      <w:pPr>
        <w:pStyle w:val="ClinKeyword"/>
        <w:rPr>
          <w:lang w:val="pl-PL"/>
        </w:rPr>
      </w:pPr>
      <w:r>
        <w:rPr>
          <w:lang w:val="pl-PL"/>
        </w:rPr>
        <w:t>Wolność wyznania</w:t>
      </w:r>
    </w:p>
    <w:p w14:paraId="74F7363B" w14:textId="77777777" w:rsidR="00FB2634" w:rsidRPr="00797C37" w:rsidRDefault="00AC0AE4">
      <w:pPr>
        <w:pStyle w:val="ClinKeyword"/>
        <w:rPr>
          <w:lang w:val="pl-PL"/>
        </w:rPr>
      </w:pPr>
      <w:r w:rsidRPr="00556B2D">
        <w:rPr>
          <w:lang w:val="pl-PL"/>
        </w:rPr>
        <w:t>Uzewnętrznianie</w:t>
      </w:r>
      <w:r w:rsidRPr="00797C37">
        <w:rPr>
          <w:lang w:val="pl-PL"/>
        </w:rPr>
        <w:t xml:space="preserve"> </w:t>
      </w:r>
      <w:r w:rsidRPr="00556B2D">
        <w:rPr>
          <w:lang w:val="pl-PL"/>
        </w:rPr>
        <w:t>wyznania</w:t>
      </w:r>
      <w:r w:rsidRPr="00797C37">
        <w:rPr>
          <w:lang w:val="pl-PL"/>
        </w:rPr>
        <w:t xml:space="preserve"> </w:t>
      </w:r>
      <w:r w:rsidRPr="00556B2D">
        <w:rPr>
          <w:lang w:val="pl-PL"/>
        </w:rPr>
        <w:t>lub</w:t>
      </w:r>
      <w:r w:rsidRPr="00797C37">
        <w:rPr>
          <w:lang w:val="pl-PL"/>
        </w:rPr>
        <w:t xml:space="preserve"> </w:t>
      </w:r>
      <w:r w:rsidRPr="00556B2D">
        <w:rPr>
          <w:lang w:val="pl-PL"/>
        </w:rPr>
        <w:t>przekonań</w:t>
      </w:r>
      <w:r w:rsidRPr="00797C37">
        <w:rPr>
          <w:lang w:val="pl-PL"/>
        </w:rPr>
        <w:t xml:space="preserve"> </w:t>
      </w:r>
    </w:p>
    <w:p w14:paraId="4AE85FB8" w14:textId="77777777" w:rsidR="00AC0AE4" w:rsidRPr="00AC0AE4" w:rsidRDefault="00AC0AE4">
      <w:pPr>
        <w:rPr>
          <w:lang w:val="pl-PL"/>
        </w:rPr>
      </w:pPr>
      <w:r w:rsidRPr="00AC0AE4">
        <w:rPr>
          <w:rStyle w:val="ClinConclusions"/>
          <w:i w:val="0"/>
          <w:lang w:val="pl-PL"/>
        </w:rPr>
        <w:t>Skazanie osób</w:t>
      </w:r>
      <w:r w:rsidR="00DB1B06">
        <w:rPr>
          <w:rStyle w:val="ClinConclusions"/>
          <w:i w:val="0"/>
          <w:lang w:val="pl-PL"/>
        </w:rPr>
        <w:t xml:space="preserve"> powołujących się na przekonania za odmowę </w:t>
      </w:r>
      <w:r w:rsidRPr="00AC0AE4">
        <w:rPr>
          <w:rStyle w:val="ClinConclusions"/>
          <w:i w:val="0"/>
          <w:lang w:val="pl-PL"/>
        </w:rPr>
        <w:t>służby wojskowej lub służby zastępczej:</w:t>
      </w:r>
      <w:r w:rsidRPr="00AC0AE4">
        <w:rPr>
          <w:rStyle w:val="ClinConclusions"/>
          <w:lang w:val="pl-PL"/>
        </w:rPr>
        <w:t xml:space="preserve"> naruszenie</w:t>
      </w:r>
    </w:p>
    <w:p w14:paraId="4FACF5D4" w14:textId="56A72B5A" w:rsidR="00AC0AE4" w:rsidRPr="00AC0AE4" w:rsidRDefault="00AC0AE4">
      <w:pPr>
        <w:pStyle w:val="ClinContent"/>
        <w:rPr>
          <w:lang w:val="pl-PL"/>
        </w:rPr>
      </w:pPr>
      <w:r w:rsidRPr="00AC0AE4">
        <w:rPr>
          <w:i/>
          <w:lang w:val="pl-PL"/>
        </w:rPr>
        <w:t>Fakty</w:t>
      </w:r>
      <w:r w:rsidRPr="00AC0AE4">
        <w:rPr>
          <w:lang w:val="pl-PL"/>
        </w:rPr>
        <w:t xml:space="preserve"> – Czterej skarżący </w:t>
      </w:r>
      <w:r w:rsidRPr="00556B2D">
        <w:rPr>
          <w:lang w:val="pl-PL"/>
        </w:rPr>
        <w:t>są Świadkami Jehowy oraz osobami, które odmówiły służby wojskowej ze w</w:t>
      </w:r>
      <w:r w:rsidRPr="00556B2D">
        <w:rPr>
          <w:rStyle w:val="ClinConclusions"/>
          <w:i w:val="0"/>
          <w:lang w:val="pl-PL"/>
        </w:rPr>
        <w:t>zględu na przekonania</w:t>
      </w:r>
      <w:r w:rsidRPr="00556B2D">
        <w:rPr>
          <w:lang w:val="pl-PL"/>
        </w:rPr>
        <w:t xml:space="preserve">. W lipcu 2011 r. zostali skazani za unikanie poboru do wojska </w:t>
      </w:r>
      <w:r w:rsidR="0067581C">
        <w:rPr>
          <w:lang w:val="pl-PL"/>
        </w:rPr>
        <w:t>i</w:t>
      </w:r>
      <w:r w:rsidRPr="00556B2D">
        <w:rPr>
          <w:lang w:val="pl-PL"/>
        </w:rPr>
        <w:t xml:space="preserve"> do służby zastępczej i wymierzono im kary dwóch i pół roku pozbawienia wolności. Na</w:t>
      </w:r>
      <w:r>
        <w:rPr>
          <w:lang w:val="pl-PL"/>
        </w:rPr>
        <w:t xml:space="preserve"> swą obronę powoływali się na fakt, że służba zastępcza przewidziana prawem krajowym nie miała prawdziwie cywilnego charakteru,</w:t>
      </w:r>
      <w:r w:rsidR="00DB1B06">
        <w:rPr>
          <w:lang w:val="pl-PL"/>
        </w:rPr>
        <w:t xml:space="preserve"> jako że</w:t>
      </w:r>
      <w:r>
        <w:rPr>
          <w:lang w:val="pl-PL"/>
        </w:rPr>
        <w:t xml:space="preserve"> była nadzorowana przez władze wojskowe i w swej istocie miała charakter represyjny, trwał</w:t>
      </w:r>
      <w:r w:rsidR="00DB1B06">
        <w:rPr>
          <w:lang w:val="pl-PL"/>
        </w:rPr>
        <w:t>a</w:t>
      </w:r>
      <w:r>
        <w:rPr>
          <w:lang w:val="pl-PL"/>
        </w:rPr>
        <w:t xml:space="preserve"> bowiem 42 miesiące</w:t>
      </w:r>
      <w:r w:rsidR="00556B2D">
        <w:rPr>
          <w:lang w:val="pl-PL"/>
        </w:rPr>
        <w:t>,</w:t>
      </w:r>
      <w:r>
        <w:rPr>
          <w:lang w:val="pl-PL"/>
        </w:rPr>
        <w:t xml:space="preserve"> podczas gdy służba wojskowa – 24 miesiące. </w:t>
      </w:r>
    </w:p>
    <w:p w14:paraId="395F93A4" w14:textId="590A9ADC" w:rsidR="00AC0AE4" w:rsidRPr="00AC0AE4" w:rsidRDefault="00AC0AE4">
      <w:pPr>
        <w:pStyle w:val="ClinContent"/>
        <w:rPr>
          <w:lang w:val="pl-PL"/>
        </w:rPr>
      </w:pPr>
      <w:r w:rsidRPr="00AC0AE4">
        <w:rPr>
          <w:lang w:val="pl-PL"/>
        </w:rPr>
        <w:t>W postępowaniu prowadzonym na podstawie Konwencji [o ochronie praw człowieka i</w:t>
      </w:r>
      <w:r w:rsidR="00A4494E">
        <w:rPr>
          <w:lang w:val="pl-PL"/>
        </w:rPr>
        <w:t> </w:t>
      </w:r>
      <w:r w:rsidRPr="00AC0AE4">
        <w:rPr>
          <w:lang w:val="pl-PL"/>
        </w:rPr>
        <w:t>podstawowych wolności</w:t>
      </w:r>
      <w:r w:rsidR="00FF51B6">
        <w:rPr>
          <w:lang w:val="pl-PL"/>
        </w:rPr>
        <w:t>]</w:t>
      </w:r>
      <w:r w:rsidRPr="00AC0AE4">
        <w:rPr>
          <w:lang w:val="pl-PL"/>
        </w:rPr>
        <w:t xml:space="preserve"> skarżący zarzucali naruszenie ich praw gwarantowanych przez art. </w:t>
      </w:r>
      <w:r>
        <w:rPr>
          <w:lang w:val="pl-PL"/>
        </w:rPr>
        <w:t xml:space="preserve">9 (wolność myśli, sumienia i wyznania). </w:t>
      </w:r>
    </w:p>
    <w:p w14:paraId="22AFDB50" w14:textId="77777777" w:rsidR="00AC0AE4" w:rsidRPr="00AC0AE4" w:rsidRDefault="00AC0AE4">
      <w:pPr>
        <w:pStyle w:val="ClinContent"/>
        <w:rPr>
          <w:lang w:val="pl-PL"/>
        </w:rPr>
      </w:pPr>
      <w:r w:rsidRPr="00AC0AE4">
        <w:rPr>
          <w:i/>
          <w:lang w:val="pl-PL"/>
        </w:rPr>
        <w:t xml:space="preserve">Prawo – </w:t>
      </w:r>
      <w:r w:rsidRPr="00AC0AE4">
        <w:rPr>
          <w:lang w:val="pl-PL"/>
        </w:rPr>
        <w:t>Art. 9: Odmowa skarżących powołania do wojska i służby za</w:t>
      </w:r>
      <w:r w:rsidR="00EE6142">
        <w:rPr>
          <w:lang w:val="pl-PL"/>
        </w:rPr>
        <w:t>s</w:t>
      </w:r>
      <w:r w:rsidRPr="00AC0AE4">
        <w:rPr>
          <w:lang w:val="pl-PL"/>
        </w:rPr>
        <w:t xml:space="preserve">tępczej stanowiła uzewnętrznienie ich przekonań </w:t>
      </w:r>
      <w:r w:rsidR="00EE6142">
        <w:rPr>
          <w:lang w:val="pl-PL"/>
        </w:rPr>
        <w:t xml:space="preserve">religijnych, a ich skazanie za unikanie poboru stanowiło zatem ingerencję w ich wolność uzewnętrzniania wyznania. </w:t>
      </w:r>
    </w:p>
    <w:p w14:paraId="4F7D52A5" w14:textId="7391E33B" w:rsidR="00EE6142" w:rsidRPr="00EE6142" w:rsidRDefault="00EE6142">
      <w:pPr>
        <w:pStyle w:val="ClinContent"/>
        <w:rPr>
          <w:lang w:val="pl-PL"/>
        </w:rPr>
      </w:pPr>
      <w:r w:rsidRPr="00EE6142">
        <w:rPr>
          <w:lang w:val="pl-PL"/>
        </w:rPr>
        <w:t xml:space="preserve">Odmiennie niż w </w:t>
      </w:r>
      <w:r>
        <w:rPr>
          <w:lang w:val="pl-PL"/>
        </w:rPr>
        <w:t>s</w:t>
      </w:r>
      <w:r w:rsidR="00FF51B6">
        <w:rPr>
          <w:lang w:val="pl-PL"/>
        </w:rPr>
        <w:t>ytuacji</w:t>
      </w:r>
      <w:r w:rsidRPr="00EE6142">
        <w:rPr>
          <w:lang w:val="pl-PL"/>
        </w:rPr>
        <w:t xml:space="preserve"> w sprawie </w:t>
      </w:r>
      <w:proofErr w:type="spellStart"/>
      <w:r>
        <w:rPr>
          <w:i/>
          <w:lang w:val="pl-PL"/>
        </w:rPr>
        <w:t>Bayatyan</w:t>
      </w:r>
      <w:proofErr w:type="spellEnd"/>
      <w:r>
        <w:rPr>
          <w:i/>
          <w:lang w:val="pl-PL"/>
        </w:rPr>
        <w:t xml:space="preserve">, </w:t>
      </w:r>
      <w:r>
        <w:rPr>
          <w:lang w:val="pl-PL"/>
        </w:rPr>
        <w:t>skarżący w obecnej sprawie mieli możliwość odmowy obowiązkowej służby wojskowej ze względów sumienia i</w:t>
      </w:r>
      <w:r w:rsidR="00A4494E">
        <w:rPr>
          <w:lang w:val="pl-PL"/>
        </w:rPr>
        <w:t> </w:t>
      </w:r>
      <w:r>
        <w:rPr>
          <w:lang w:val="pl-PL"/>
        </w:rPr>
        <w:t>wykonywania zamiast niej „zastępczej służby pracy”, zgodnie z art. 2 i 3 ustawy o</w:t>
      </w:r>
      <w:r w:rsidR="00A4494E">
        <w:rPr>
          <w:lang w:val="pl-PL"/>
        </w:rPr>
        <w:t> </w:t>
      </w:r>
      <w:r>
        <w:rPr>
          <w:lang w:val="pl-PL"/>
        </w:rPr>
        <w:t>służbie zastępczej, ponieważ służba taka została wprowadzona w Armenii od 2004 r. i</w:t>
      </w:r>
      <w:r w:rsidR="00A4494E">
        <w:rPr>
          <w:lang w:val="pl-PL"/>
        </w:rPr>
        <w:t> </w:t>
      </w:r>
      <w:r>
        <w:rPr>
          <w:lang w:val="pl-PL"/>
        </w:rPr>
        <w:t xml:space="preserve">była realizowana poza siłami zbrojnymi Armenii. Jednakże sama ta okoliczność nie jest wystarczająca do uznania, że władze wypełniły swe obowiązki na podstawie art. 9 Konwencji. Trybunał musi </w:t>
      </w:r>
      <w:r w:rsidR="00FF51B6">
        <w:rPr>
          <w:lang w:val="pl-PL"/>
        </w:rPr>
        <w:t xml:space="preserve">również </w:t>
      </w:r>
      <w:r>
        <w:rPr>
          <w:lang w:val="pl-PL"/>
        </w:rPr>
        <w:t xml:space="preserve">zweryfikować, czy </w:t>
      </w:r>
      <w:r w:rsidR="004639CB">
        <w:rPr>
          <w:lang w:val="pl-PL"/>
        </w:rPr>
        <w:t>odpowiednio uwzględniono wymogi odnoszące</w:t>
      </w:r>
      <w:r>
        <w:rPr>
          <w:lang w:val="pl-PL"/>
        </w:rPr>
        <w:t xml:space="preserve"> się do sumienia i przekonań jednostki. Chociaż Państwom przysługuje pewien margines oceny w odniesieniu do sposobu zorganizowania i wdrażania systemów służby zastępczej, prawo do sprzeciwu sumienia gwarantowane przez art. 9 byłoby iluzoryczne, jeśliby państwu zezwolić </w:t>
      </w:r>
      <w:r w:rsidR="00FF51B6">
        <w:rPr>
          <w:lang w:val="pl-PL"/>
        </w:rPr>
        <w:t>na zorganizowanie i wdrażanie</w:t>
      </w:r>
      <w:r>
        <w:rPr>
          <w:lang w:val="pl-PL"/>
        </w:rPr>
        <w:t xml:space="preserve"> sw</w:t>
      </w:r>
      <w:r w:rsidR="00FF51B6">
        <w:rPr>
          <w:lang w:val="pl-PL"/>
        </w:rPr>
        <w:t>ojego</w:t>
      </w:r>
      <w:r>
        <w:rPr>
          <w:lang w:val="pl-PL"/>
        </w:rPr>
        <w:t xml:space="preserve"> system</w:t>
      </w:r>
      <w:r w:rsidR="00FF51B6">
        <w:rPr>
          <w:lang w:val="pl-PL"/>
        </w:rPr>
        <w:t>u</w:t>
      </w:r>
      <w:r>
        <w:rPr>
          <w:lang w:val="pl-PL"/>
        </w:rPr>
        <w:t xml:space="preserve"> służby </w:t>
      </w:r>
      <w:r>
        <w:rPr>
          <w:lang w:val="pl-PL"/>
        </w:rPr>
        <w:lastRenderedPageBreak/>
        <w:t>zastępczej w taki sposób, że nie oferowałby on – czy to na gruncie prawa</w:t>
      </w:r>
      <w:r w:rsidR="00FF51B6">
        <w:rPr>
          <w:lang w:val="pl-PL"/>
        </w:rPr>
        <w:t>,</w:t>
      </w:r>
      <w:r>
        <w:rPr>
          <w:lang w:val="pl-PL"/>
        </w:rPr>
        <w:t xml:space="preserve"> czy praktyki</w:t>
      </w:r>
      <w:r w:rsidR="00FF51B6">
        <w:rPr>
          <w:lang w:val="pl-PL"/>
        </w:rPr>
        <w:t xml:space="preserve"> </w:t>
      </w:r>
      <w:r>
        <w:rPr>
          <w:lang w:val="pl-PL"/>
        </w:rPr>
        <w:t>– alternatywy wobec służby wojskowej mającej prawdziwie cywilny charakter i</w:t>
      </w:r>
      <w:r w:rsidR="00A4494E">
        <w:rPr>
          <w:lang w:val="pl-PL"/>
        </w:rPr>
        <w:t> </w:t>
      </w:r>
      <w:r>
        <w:rPr>
          <w:lang w:val="pl-PL"/>
        </w:rPr>
        <w:t xml:space="preserve">pozbawionej charakteru odstraszającego lub represyjnego.  </w:t>
      </w:r>
    </w:p>
    <w:p w14:paraId="15D861D4" w14:textId="5636AD30" w:rsidR="00EE6142" w:rsidRPr="00EE6142" w:rsidRDefault="00EE6142">
      <w:pPr>
        <w:pStyle w:val="ClinContent"/>
        <w:rPr>
          <w:lang w:val="pl-PL"/>
        </w:rPr>
      </w:pPr>
      <w:r w:rsidRPr="00EE6142">
        <w:rPr>
          <w:lang w:val="pl-PL"/>
        </w:rPr>
        <w:t xml:space="preserve">(a) </w:t>
      </w:r>
      <w:r w:rsidRPr="00EE6142">
        <w:rPr>
          <w:i/>
          <w:lang w:val="pl-PL"/>
        </w:rPr>
        <w:t xml:space="preserve">Czy służba miała </w:t>
      </w:r>
      <w:r>
        <w:rPr>
          <w:i/>
          <w:lang w:val="pl-PL"/>
        </w:rPr>
        <w:t xml:space="preserve">prawdziwie </w:t>
      </w:r>
      <w:r w:rsidRPr="00EE6142">
        <w:rPr>
          <w:i/>
          <w:lang w:val="pl-PL"/>
        </w:rPr>
        <w:t>cywilny chara</w:t>
      </w:r>
      <w:r>
        <w:rPr>
          <w:i/>
          <w:lang w:val="pl-PL"/>
        </w:rPr>
        <w:t>k</w:t>
      </w:r>
      <w:r w:rsidRPr="00EE6142">
        <w:rPr>
          <w:i/>
          <w:lang w:val="pl-PL"/>
        </w:rPr>
        <w:t xml:space="preserve">ter </w:t>
      </w:r>
      <w:r>
        <w:rPr>
          <w:lang w:val="pl-PL"/>
        </w:rPr>
        <w:t xml:space="preserve">– Trybunał uznał, że </w:t>
      </w:r>
      <w:r w:rsidR="0067581C">
        <w:rPr>
          <w:lang w:val="pl-PL"/>
        </w:rPr>
        <w:t>zastępcza</w:t>
      </w:r>
      <w:r>
        <w:rPr>
          <w:lang w:val="pl-PL"/>
        </w:rPr>
        <w:t xml:space="preserve"> służba pracy, dostępna dla skarżących w przedmiotowym czasie, nie miała charakteru prawdziwie cywilnego. Chociaż nie kwestionowano, że miała ona charakter cywilny (osoby wykonujące służbę by</w:t>
      </w:r>
      <w:r w:rsidR="004F164B">
        <w:rPr>
          <w:lang w:val="pl-PL"/>
        </w:rPr>
        <w:t>ły</w:t>
      </w:r>
      <w:r>
        <w:rPr>
          <w:lang w:val="pl-PL"/>
        </w:rPr>
        <w:t xml:space="preserve"> przydzielane jako </w:t>
      </w:r>
      <w:r w:rsidR="00556B2D" w:rsidRPr="00987DD9">
        <w:rPr>
          <w:lang w:val="pl-PL"/>
        </w:rPr>
        <w:t>pomocnicy</w:t>
      </w:r>
      <w:r>
        <w:rPr>
          <w:lang w:val="pl-PL"/>
        </w:rPr>
        <w:t xml:space="preserve"> do różnych </w:t>
      </w:r>
      <w:r w:rsidR="00954599">
        <w:rPr>
          <w:lang w:val="pl-PL"/>
        </w:rPr>
        <w:t xml:space="preserve">instytucji </w:t>
      </w:r>
      <w:r w:rsidR="00DF2347">
        <w:rPr>
          <w:lang w:val="pl-PL"/>
        </w:rPr>
        <w:t>cywilnych</w:t>
      </w:r>
      <w:r>
        <w:rPr>
          <w:lang w:val="pl-PL"/>
        </w:rPr>
        <w:t xml:space="preserve">, takich jak sierocińce czy domy spokojnej starości), </w:t>
      </w:r>
      <w:r w:rsidR="00DF2347">
        <w:rPr>
          <w:lang w:val="pl-PL"/>
        </w:rPr>
        <w:t>przy rozstrzyganiu, czy</w:t>
      </w:r>
      <w:r w:rsidR="00A4494E">
        <w:rPr>
          <w:lang w:val="pl-PL"/>
        </w:rPr>
        <w:t> </w:t>
      </w:r>
      <w:r w:rsidR="00DF2347">
        <w:rPr>
          <w:lang w:val="pl-PL"/>
        </w:rPr>
        <w:t>służba zastępcza miała prawdziwie cywilny charakter</w:t>
      </w:r>
      <w:r w:rsidR="001079D9">
        <w:rPr>
          <w:lang w:val="pl-PL"/>
        </w:rPr>
        <w:t>,</w:t>
      </w:r>
      <w:r w:rsidR="00DF2347">
        <w:rPr>
          <w:lang w:val="pl-PL"/>
        </w:rPr>
        <w:t xml:space="preserve"> należy wziąć pod uwagę </w:t>
      </w:r>
      <w:r>
        <w:rPr>
          <w:lang w:val="pl-PL"/>
        </w:rPr>
        <w:t xml:space="preserve">inne czynniki – takie jak </w:t>
      </w:r>
      <w:r w:rsidRPr="004F164B">
        <w:rPr>
          <w:lang w:val="pl-PL"/>
        </w:rPr>
        <w:t>władza, kon</w:t>
      </w:r>
      <w:r w:rsidR="00DF2347" w:rsidRPr="004F164B">
        <w:rPr>
          <w:lang w:val="pl-PL"/>
        </w:rPr>
        <w:t>trola, mające zastosowanie reguł</w:t>
      </w:r>
      <w:r w:rsidRPr="004F164B">
        <w:rPr>
          <w:lang w:val="pl-PL"/>
        </w:rPr>
        <w:t>y oraz</w:t>
      </w:r>
      <w:r w:rsidR="0090550C" w:rsidRPr="004F164B">
        <w:rPr>
          <w:lang w:val="pl-PL"/>
        </w:rPr>
        <w:t xml:space="preserve"> </w:t>
      </w:r>
      <w:r w:rsidR="004F164B">
        <w:rPr>
          <w:lang w:val="pl-PL"/>
        </w:rPr>
        <w:t>kwestia</w:t>
      </w:r>
      <w:r w:rsidR="00DF2347" w:rsidRPr="004F164B">
        <w:rPr>
          <w:lang w:val="pl-PL"/>
        </w:rPr>
        <w:t xml:space="preserve"> postrzegan</w:t>
      </w:r>
      <w:r w:rsidR="001079D9">
        <w:rPr>
          <w:lang w:val="pl-PL"/>
        </w:rPr>
        <w:t>i</w:t>
      </w:r>
      <w:r w:rsidR="00DF2347" w:rsidRPr="004F164B">
        <w:rPr>
          <w:lang w:val="pl-PL"/>
        </w:rPr>
        <w:t>a</w:t>
      </w:r>
      <w:r w:rsidR="0090550C" w:rsidRPr="004F164B">
        <w:rPr>
          <w:lang w:val="pl-PL"/>
        </w:rPr>
        <w:t>.</w:t>
      </w:r>
      <w:r w:rsidR="0090550C">
        <w:rPr>
          <w:lang w:val="pl-PL"/>
        </w:rPr>
        <w:t xml:space="preserve"> W sprawie skarżących Trybunał zauważył, że władze wojskowe były aktywnie włączone do nadzorowania ich służby oraz </w:t>
      </w:r>
      <w:r w:rsidR="00675A49">
        <w:rPr>
          <w:lang w:val="pl-PL"/>
        </w:rPr>
        <w:t>były</w:t>
      </w:r>
      <w:r w:rsidR="0090550C">
        <w:rPr>
          <w:lang w:val="pl-PL"/>
        </w:rPr>
        <w:t xml:space="preserve"> uprawni</w:t>
      </w:r>
      <w:r w:rsidR="00675A49">
        <w:rPr>
          <w:lang w:val="pl-PL"/>
        </w:rPr>
        <w:t>o</w:t>
      </w:r>
      <w:r w:rsidR="0090550C">
        <w:rPr>
          <w:lang w:val="pl-PL"/>
        </w:rPr>
        <w:t>ne do wpływania na</w:t>
      </w:r>
      <w:r w:rsidR="00A4494E">
        <w:rPr>
          <w:lang w:val="pl-PL"/>
        </w:rPr>
        <w:t> </w:t>
      </w:r>
      <w:r w:rsidR="0090550C">
        <w:rPr>
          <w:lang w:val="pl-PL"/>
        </w:rPr>
        <w:t xml:space="preserve">ich służbę poprzez </w:t>
      </w:r>
      <w:r w:rsidR="001079D9">
        <w:rPr>
          <w:lang w:val="pl-PL"/>
        </w:rPr>
        <w:t>nakazywanie</w:t>
      </w:r>
      <w:r w:rsidR="0090550C">
        <w:rPr>
          <w:lang w:val="pl-PL"/>
        </w:rPr>
        <w:t xml:space="preserve"> przeniesienia ich do innej instytucji lub miejsca służby; pewne aspekty zastępczej służby pracy były zorganizowane zgodnie z regu</w:t>
      </w:r>
      <w:r w:rsidR="00066D3B">
        <w:rPr>
          <w:lang w:val="pl-PL"/>
        </w:rPr>
        <w:t>łami</w:t>
      </w:r>
      <w:r w:rsidR="0090550C">
        <w:rPr>
          <w:lang w:val="pl-PL"/>
        </w:rPr>
        <w:t xml:space="preserve"> wojskowymi; </w:t>
      </w:r>
      <w:r w:rsidR="00066D3B">
        <w:rPr>
          <w:lang w:val="pl-PL"/>
        </w:rPr>
        <w:t xml:space="preserve">w przedmiotowym czasie </w:t>
      </w:r>
      <w:r w:rsidR="0090550C">
        <w:rPr>
          <w:lang w:val="pl-PL"/>
        </w:rPr>
        <w:t xml:space="preserve">służba zastępcza nie była wystarczająco wyodrębniona hierarchicznie i instytucjonalnie z systemu wojskowego; </w:t>
      </w:r>
      <w:r w:rsidR="00066D3B">
        <w:rPr>
          <w:lang w:val="pl-PL"/>
        </w:rPr>
        <w:t>oraz</w:t>
      </w:r>
      <w:r w:rsidR="0090550C">
        <w:rPr>
          <w:lang w:val="pl-PL"/>
        </w:rPr>
        <w:t>, wreszcie, w</w:t>
      </w:r>
      <w:r w:rsidR="00A4494E">
        <w:rPr>
          <w:lang w:val="pl-PL"/>
        </w:rPr>
        <w:t> </w:t>
      </w:r>
      <w:r w:rsidR="0090550C">
        <w:rPr>
          <w:lang w:val="pl-PL"/>
        </w:rPr>
        <w:t xml:space="preserve">odniesieniu do </w:t>
      </w:r>
      <w:r w:rsidR="004F164B">
        <w:rPr>
          <w:lang w:val="pl-PL"/>
        </w:rPr>
        <w:t xml:space="preserve">kwestii </w:t>
      </w:r>
      <w:r w:rsidR="0090550C">
        <w:rPr>
          <w:lang w:val="pl-PL"/>
        </w:rPr>
        <w:t>postrzegania</w:t>
      </w:r>
      <w:r w:rsidR="001079D9">
        <w:rPr>
          <w:lang w:val="pl-PL"/>
        </w:rPr>
        <w:t xml:space="preserve"> –</w:t>
      </w:r>
      <w:r w:rsidR="0090550C">
        <w:rPr>
          <w:lang w:val="pl-PL"/>
        </w:rPr>
        <w:t xml:space="preserve"> osoby wykonujące służbę zastępczą były zobowiązane do noszenia munduru i pozostawania w miejscu </w:t>
      </w:r>
      <w:r w:rsidR="001079D9">
        <w:rPr>
          <w:lang w:val="pl-PL"/>
        </w:rPr>
        <w:t>swej</w:t>
      </w:r>
      <w:r w:rsidR="0090550C">
        <w:rPr>
          <w:lang w:val="pl-PL"/>
        </w:rPr>
        <w:t xml:space="preserve"> służby.</w:t>
      </w:r>
    </w:p>
    <w:p w14:paraId="292DCC59" w14:textId="3958A8DD" w:rsidR="0090550C" w:rsidRPr="0090550C" w:rsidRDefault="0090550C">
      <w:pPr>
        <w:pStyle w:val="ClinContent"/>
        <w:rPr>
          <w:lang w:val="pl-PL"/>
        </w:rPr>
      </w:pPr>
      <w:r w:rsidRPr="0090550C">
        <w:rPr>
          <w:lang w:val="pl-PL"/>
        </w:rPr>
        <w:t xml:space="preserve">(b) </w:t>
      </w:r>
      <w:r w:rsidRPr="0090550C">
        <w:rPr>
          <w:i/>
          <w:lang w:val="pl-PL"/>
        </w:rPr>
        <w:t xml:space="preserve">Czy zastępcza służba pracy mogła być postrzegana jako mająca </w:t>
      </w:r>
      <w:r>
        <w:rPr>
          <w:i/>
          <w:lang w:val="pl-PL"/>
        </w:rPr>
        <w:t>charak</w:t>
      </w:r>
      <w:r w:rsidRPr="0090550C">
        <w:rPr>
          <w:i/>
          <w:lang w:val="pl-PL"/>
        </w:rPr>
        <w:t xml:space="preserve">ter odstraszający </w:t>
      </w:r>
      <w:r w:rsidR="004F164B">
        <w:rPr>
          <w:i/>
          <w:lang w:val="pl-PL"/>
        </w:rPr>
        <w:t>lub</w:t>
      </w:r>
      <w:r w:rsidRPr="0090550C">
        <w:rPr>
          <w:i/>
          <w:lang w:val="pl-PL"/>
        </w:rPr>
        <w:t xml:space="preserve"> represyjny?</w:t>
      </w:r>
      <w:r w:rsidRPr="0090550C">
        <w:rPr>
          <w:lang w:val="pl-PL"/>
        </w:rPr>
        <w:t xml:space="preserve"> </w:t>
      </w:r>
      <w:r>
        <w:rPr>
          <w:lang w:val="pl-PL"/>
        </w:rPr>
        <w:t>– Zastępcza służba pracy mogła była trwać 42 miesiące w</w:t>
      </w:r>
      <w:r w:rsidR="00A4494E">
        <w:rPr>
          <w:lang w:val="pl-PL"/>
        </w:rPr>
        <w:t> </w:t>
      </w:r>
      <w:r>
        <w:rPr>
          <w:lang w:val="pl-PL"/>
        </w:rPr>
        <w:t xml:space="preserve">porównaniu do 24 miesięcy służby wojskowej. Długość zastępczej służby pracy była zatem dużo dłuższa niż określony przez Europejski Komitet Praw Społecznych maksymalny okres stanowiący </w:t>
      </w:r>
      <w:r w:rsidRPr="003234D2">
        <w:rPr>
          <w:lang w:val="pl-PL"/>
        </w:rPr>
        <w:t xml:space="preserve">półtorakrotność </w:t>
      </w:r>
      <w:r>
        <w:rPr>
          <w:lang w:val="pl-PL"/>
        </w:rPr>
        <w:t>długości służby wojskowej</w:t>
      </w:r>
      <w:r w:rsidRPr="0090550C">
        <w:rPr>
          <w:lang w:val="pl-PL"/>
        </w:rPr>
        <w:t>*</w:t>
      </w:r>
      <w:r>
        <w:rPr>
          <w:lang w:val="pl-PL"/>
        </w:rPr>
        <w:t>. Tak</w:t>
      </w:r>
      <w:r w:rsidR="00A4494E">
        <w:rPr>
          <w:lang w:val="pl-PL"/>
        </w:rPr>
        <w:t> </w:t>
      </w:r>
      <w:r>
        <w:rPr>
          <w:lang w:val="pl-PL"/>
        </w:rPr>
        <w:t>znacząca różnica w długości trwania służby musiała wywierać skutek odstraszający i</w:t>
      </w:r>
      <w:r w:rsidR="00A4494E">
        <w:rPr>
          <w:lang w:val="pl-PL"/>
        </w:rPr>
        <w:t> </w:t>
      </w:r>
      <w:r>
        <w:rPr>
          <w:lang w:val="pl-PL"/>
        </w:rPr>
        <w:t xml:space="preserve">można stwierdzić, że zawierała w sobie element represyjny. </w:t>
      </w:r>
    </w:p>
    <w:p w14:paraId="5D052D00" w14:textId="77777777" w:rsidR="00FB2634" w:rsidRPr="00797C37" w:rsidRDefault="00A45F26">
      <w:pPr>
        <w:pStyle w:val="ClinContent"/>
        <w:rPr>
          <w:lang w:val="pl-PL"/>
        </w:rPr>
      </w:pPr>
      <w:r w:rsidRPr="00797C37">
        <w:rPr>
          <w:lang w:val="pl-PL"/>
        </w:rPr>
        <w:t>***</w:t>
      </w:r>
    </w:p>
    <w:p w14:paraId="2A9C3B75" w14:textId="20201341" w:rsidR="0090550C" w:rsidRPr="0090550C" w:rsidRDefault="0090550C">
      <w:pPr>
        <w:pStyle w:val="ClinContent"/>
        <w:rPr>
          <w:lang w:val="pl-PL"/>
        </w:rPr>
      </w:pPr>
      <w:r w:rsidRPr="0090550C">
        <w:rPr>
          <w:lang w:val="pl-PL"/>
        </w:rPr>
        <w:t xml:space="preserve">Podsumowując, w przedmiotowym czasie władze </w:t>
      </w:r>
      <w:r w:rsidR="003234D2">
        <w:rPr>
          <w:lang w:val="pl-PL"/>
        </w:rPr>
        <w:t xml:space="preserve">nie </w:t>
      </w:r>
      <w:r w:rsidR="004639CB">
        <w:rPr>
          <w:lang w:val="pl-PL"/>
        </w:rPr>
        <w:t xml:space="preserve">uwzględniły </w:t>
      </w:r>
      <w:r w:rsidR="003234D2">
        <w:rPr>
          <w:lang w:val="pl-PL"/>
        </w:rPr>
        <w:t>odpowiednio wymogów</w:t>
      </w:r>
      <w:r w:rsidR="004639CB">
        <w:rPr>
          <w:lang w:val="pl-PL"/>
        </w:rPr>
        <w:t xml:space="preserve"> </w:t>
      </w:r>
      <w:r w:rsidR="003234D2">
        <w:rPr>
          <w:lang w:val="pl-PL"/>
        </w:rPr>
        <w:t xml:space="preserve">dotyczących </w:t>
      </w:r>
      <w:r>
        <w:rPr>
          <w:lang w:val="pl-PL"/>
        </w:rPr>
        <w:t xml:space="preserve">sumienia i </w:t>
      </w:r>
      <w:r w:rsidR="004F164B">
        <w:rPr>
          <w:lang w:val="pl-PL"/>
        </w:rPr>
        <w:t xml:space="preserve">przekonań </w:t>
      </w:r>
      <w:r>
        <w:rPr>
          <w:lang w:val="pl-PL"/>
        </w:rPr>
        <w:t xml:space="preserve">skarżących i nie zagwarantowały systemu służby zastępczej, który </w:t>
      </w:r>
      <w:r w:rsidR="00A74DB9">
        <w:rPr>
          <w:lang w:val="pl-PL"/>
        </w:rPr>
        <w:t>zachowałby sprawiedliwą</w:t>
      </w:r>
      <w:r>
        <w:rPr>
          <w:lang w:val="pl-PL"/>
        </w:rPr>
        <w:t xml:space="preserve"> równowa</w:t>
      </w:r>
      <w:r w:rsidR="00A74DB9">
        <w:rPr>
          <w:lang w:val="pl-PL"/>
        </w:rPr>
        <w:t>gę</w:t>
      </w:r>
      <w:r>
        <w:rPr>
          <w:lang w:val="pl-PL"/>
        </w:rPr>
        <w:t xml:space="preserve"> między interesami całego społeczeństwa a interesami skarżących. </w:t>
      </w:r>
    </w:p>
    <w:p w14:paraId="46A1C4E8" w14:textId="77777777" w:rsidR="0090550C" w:rsidRPr="0090550C" w:rsidRDefault="0090550C">
      <w:pPr>
        <w:pStyle w:val="ClinContent"/>
        <w:rPr>
          <w:lang w:val="pl-PL"/>
        </w:rPr>
      </w:pPr>
      <w:r w:rsidRPr="0090550C">
        <w:rPr>
          <w:lang w:val="pl-PL"/>
        </w:rPr>
        <w:t>Rozstrzygnięcie: naruszenie (jednomyślnie).</w:t>
      </w:r>
    </w:p>
    <w:p w14:paraId="470BC41C" w14:textId="450292CF" w:rsidR="00FB2634" w:rsidRPr="0090550C" w:rsidRDefault="00A45F26">
      <w:pPr>
        <w:pStyle w:val="ClinContent"/>
        <w:rPr>
          <w:lang w:val="pl-PL"/>
        </w:rPr>
      </w:pPr>
      <w:r w:rsidRPr="0090550C">
        <w:rPr>
          <w:lang w:val="pl-PL"/>
        </w:rPr>
        <w:t>Art</w:t>
      </w:r>
      <w:r w:rsidR="0090550C" w:rsidRPr="0090550C">
        <w:rPr>
          <w:lang w:val="pl-PL"/>
        </w:rPr>
        <w:t>.</w:t>
      </w:r>
      <w:r w:rsidRPr="0090550C">
        <w:rPr>
          <w:lang w:val="pl-PL"/>
        </w:rPr>
        <w:t xml:space="preserve"> 41: </w:t>
      </w:r>
      <w:r w:rsidR="0090550C">
        <w:rPr>
          <w:lang w:val="pl-PL"/>
        </w:rPr>
        <w:t>12</w:t>
      </w:r>
      <w:r w:rsidR="00A74DB9">
        <w:rPr>
          <w:lang w:val="pl-PL"/>
        </w:rPr>
        <w:t xml:space="preserve"> </w:t>
      </w:r>
      <w:r w:rsidR="0090550C">
        <w:rPr>
          <w:lang w:val="pl-PL"/>
        </w:rPr>
        <w:t xml:space="preserve">000 </w:t>
      </w:r>
      <w:r w:rsidRPr="0090550C">
        <w:rPr>
          <w:lang w:val="pl-PL"/>
        </w:rPr>
        <w:t xml:space="preserve">EUR </w:t>
      </w:r>
      <w:r w:rsidR="0090550C">
        <w:rPr>
          <w:lang w:val="pl-PL"/>
        </w:rPr>
        <w:t xml:space="preserve">dla każdego skarżącego tytułem szkody niemajątkowej.  </w:t>
      </w:r>
    </w:p>
    <w:p w14:paraId="296F391F" w14:textId="53AD49DD" w:rsidR="00FB2634" w:rsidRPr="0090550C" w:rsidRDefault="00A45F26">
      <w:pPr>
        <w:pStyle w:val="ClinContent"/>
        <w:rPr>
          <w:lang w:val="pl-PL"/>
        </w:rPr>
      </w:pPr>
      <w:r w:rsidRPr="0090550C">
        <w:rPr>
          <w:lang w:val="pl-PL"/>
        </w:rPr>
        <w:t>(</w:t>
      </w:r>
      <w:r w:rsidR="0090550C" w:rsidRPr="0090550C">
        <w:rPr>
          <w:lang w:val="pl-PL"/>
        </w:rPr>
        <w:t xml:space="preserve">Zob. </w:t>
      </w:r>
      <w:r w:rsidR="00004A0D">
        <w:rPr>
          <w:lang w:val="pl-PL"/>
        </w:rPr>
        <w:t>r</w:t>
      </w:r>
      <w:r w:rsidR="0090550C" w:rsidRPr="0090550C">
        <w:rPr>
          <w:lang w:val="pl-PL"/>
        </w:rPr>
        <w:t xml:space="preserve">ównież </w:t>
      </w:r>
      <w:proofErr w:type="spellStart"/>
      <w:r w:rsidRPr="0090550C">
        <w:rPr>
          <w:i/>
          <w:lang w:val="pl-PL"/>
        </w:rPr>
        <w:t>Bayatyan</w:t>
      </w:r>
      <w:proofErr w:type="spellEnd"/>
      <w:r w:rsidRPr="0090550C">
        <w:rPr>
          <w:i/>
          <w:lang w:val="pl-PL"/>
        </w:rPr>
        <w:t xml:space="preserve"> </w:t>
      </w:r>
      <w:r w:rsidR="0090550C" w:rsidRPr="0090550C">
        <w:rPr>
          <w:i/>
          <w:lang w:val="pl-PL"/>
        </w:rPr>
        <w:t>p</w:t>
      </w:r>
      <w:r w:rsidRPr="0090550C">
        <w:rPr>
          <w:i/>
          <w:lang w:val="pl-PL"/>
        </w:rPr>
        <w:t>. Armeni</w:t>
      </w:r>
      <w:r w:rsidR="0090550C" w:rsidRPr="0090550C">
        <w:rPr>
          <w:i/>
          <w:lang w:val="pl-PL"/>
        </w:rPr>
        <w:t>i</w:t>
      </w:r>
      <w:r w:rsidRPr="0090550C">
        <w:rPr>
          <w:lang w:val="pl-PL"/>
        </w:rPr>
        <w:t xml:space="preserve"> [</w:t>
      </w:r>
      <w:r w:rsidR="0090550C" w:rsidRPr="0090550C">
        <w:rPr>
          <w:lang w:val="pl-PL"/>
        </w:rPr>
        <w:t>Wielka Izba</w:t>
      </w:r>
      <w:r w:rsidRPr="0090550C">
        <w:rPr>
          <w:lang w:val="pl-PL"/>
        </w:rPr>
        <w:t xml:space="preserve">], </w:t>
      </w:r>
      <w:r w:rsidR="0090550C">
        <w:rPr>
          <w:lang w:val="pl-PL"/>
        </w:rPr>
        <w:t xml:space="preserve">skarga nr </w:t>
      </w:r>
      <w:r w:rsidRPr="0090550C">
        <w:rPr>
          <w:lang w:val="pl-PL"/>
        </w:rPr>
        <w:t xml:space="preserve">23459/03, 7 </w:t>
      </w:r>
      <w:r w:rsidR="0090550C">
        <w:rPr>
          <w:lang w:val="pl-PL"/>
        </w:rPr>
        <w:t xml:space="preserve">lipca </w:t>
      </w:r>
      <w:r w:rsidRPr="0090550C">
        <w:rPr>
          <w:lang w:val="pl-PL"/>
        </w:rPr>
        <w:t>2011</w:t>
      </w:r>
      <w:r w:rsidR="0090550C">
        <w:rPr>
          <w:lang w:val="pl-PL"/>
        </w:rPr>
        <w:t xml:space="preserve"> r.</w:t>
      </w:r>
      <w:r w:rsidRPr="0090550C">
        <w:rPr>
          <w:lang w:val="pl-PL"/>
        </w:rPr>
        <w:t xml:space="preserve">, </w:t>
      </w:r>
      <w:hyperlink r:id="rId9" w:history="1">
        <w:r w:rsidR="0090550C">
          <w:rPr>
            <w:rStyle w:val="Hipercze"/>
            <w:lang w:val="pl-PL"/>
          </w:rPr>
          <w:t>Nota informacyjna</w:t>
        </w:r>
        <w:r w:rsidR="00926AAA">
          <w:rPr>
            <w:rStyle w:val="Hipercze"/>
            <w:lang w:val="pl-PL"/>
          </w:rPr>
          <w:t xml:space="preserve"> nt. orzecznictwa</w:t>
        </w:r>
        <w:r w:rsidR="0090550C">
          <w:rPr>
            <w:rStyle w:val="Hipercze"/>
            <w:lang w:val="pl-PL"/>
          </w:rPr>
          <w:t xml:space="preserve"> nr </w:t>
        </w:r>
        <w:r w:rsidRPr="0090550C">
          <w:rPr>
            <w:rStyle w:val="Hipercze"/>
            <w:lang w:val="pl-PL"/>
          </w:rPr>
          <w:t>143</w:t>
        </w:r>
      </w:hyperlink>
      <w:r w:rsidRPr="0090550C">
        <w:rPr>
          <w:lang w:val="pl-PL"/>
        </w:rPr>
        <w:t>)</w:t>
      </w:r>
      <w:r w:rsidR="0090550C">
        <w:rPr>
          <w:rStyle w:val="Odwoanieprzypisudolnego"/>
          <w:lang w:val="pl-PL"/>
        </w:rPr>
        <w:footnoteReference w:id="1"/>
      </w:r>
      <w:r w:rsidRPr="0090550C">
        <w:rPr>
          <w:lang w:val="pl-PL"/>
        </w:rPr>
        <w:t>.</w:t>
      </w:r>
    </w:p>
    <w:p w14:paraId="2AEF10A9" w14:textId="01E0DF8C" w:rsidR="00AB20D9" w:rsidRDefault="00AB20D9">
      <w:pPr>
        <w:pStyle w:val="ClinContent"/>
        <w:rPr>
          <w:lang w:val="pl-PL"/>
        </w:rPr>
      </w:pPr>
      <w:r w:rsidRPr="00AB20D9">
        <w:rPr>
          <w:lang w:val="pl-PL"/>
        </w:rPr>
        <w:t xml:space="preserve">* </w:t>
      </w:r>
      <w:r w:rsidR="00556B2D">
        <w:rPr>
          <w:lang w:val="pl-PL"/>
        </w:rPr>
        <w:t xml:space="preserve">Konkluzje </w:t>
      </w:r>
      <w:r w:rsidRPr="00AB20D9">
        <w:rPr>
          <w:lang w:val="pl-PL"/>
        </w:rPr>
        <w:t xml:space="preserve">XIX-1 z dnia 24 października 2008 r. </w:t>
      </w:r>
      <w:r>
        <w:rPr>
          <w:lang w:val="pl-PL"/>
        </w:rPr>
        <w:t xml:space="preserve">dotyczące </w:t>
      </w:r>
      <w:r w:rsidR="00556B2D">
        <w:rPr>
          <w:lang w:val="pl-PL"/>
        </w:rPr>
        <w:t xml:space="preserve">przestrzegania przez </w:t>
      </w:r>
      <w:r w:rsidR="003234D2">
        <w:rPr>
          <w:lang w:val="pl-PL"/>
        </w:rPr>
        <w:t xml:space="preserve">Grecję </w:t>
      </w:r>
      <w:r>
        <w:rPr>
          <w:lang w:val="pl-PL"/>
        </w:rPr>
        <w:t xml:space="preserve">art. 1 ust. 2 Europejskiej Karty Społecznej (prawo do pracy: skuteczna ochrona prawa pracownika do zarabiania na życie poprzez pracę swobodnie wybraną). </w:t>
      </w:r>
    </w:p>
    <w:p w14:paraId="305EF84A" w14:textId="77777777" w:rsidR="00FB2634" w:rsidRPr="00AB20D9" w:rsidRDefault="00FB2634">
      <w:pPr>
        <w:pBdr>
          <w:bottom w:val="single" w:sz="8" w:space="1" w:color="auto"/>
        </w:pBdr>
        <w:rPr>
          <w:lang w:val="pl-PL"/>
        </w:rPr>
      </w:pPr>
    </w:p>
    <w:p w14:paraId="46680101" w14:textId="77777777" w:rsidR="001A4FC3" w:rsidRDefault="001A4FC3" w:rsidP="001A4FC3">
      <w:pPr>
        <w:pStyle w:val="ClinFooter"/>
        <w:rPr>
          <w:lang w:val="pl-PL"/>
        </w:rPr>
      </w:pPr>
      <w:r>
        <w:rPr>
          <w:lang w:val="pl-PL"/>
        </w:rPr>
        <w:t xml:space="preserve">© </w:t>
      </w:r>
      <w:proofErr w:type="spellStart"/>
      <w:r>
        <w:rPr>
          <w:lang w:val="pl-PL"/>
        </w:rPr>
        <w:t>Council</w:t>
      </w:r>
      <w:proofErr w:type="spellEnd"/>
      <w:r>
        <w:rPr>
          <w:lang w:val="pl-PL"/>
        </w:rPr>
        <w:t xml:space="preserve"> of Europe/</w:t>
      </w:r>
      <w:proofErr w:type="spellStart"/>
      <w:r>
        <w:rPr>
          <w:lang w:val="pl-PL"/>
        </w:rPr>
        <w:t>European</w:t>
      </w:r>
      <w:proofErr w:type="spellEnd"/>
      <w:r>
        <w:rPr>
          <w:lang w:val="pl-PL"/>
        </w:rPr>
        <w:t xml:space="preserve"> Court of Human </w:t>
      </w:r>
      <w:proofErr w:type="spellStart"/>
      <w:r>
        <w:rPr>
          <w:lang w:val="pl-PL"/>
        </w:rPr>
        <w:t>Rights</w:t>
      </w:r>
      <w:proofErr w:type="spellEnd"/>
      <w:r>
        <w:rPr>
          <w:lang w:val="pl-PL"/>
        </w:rPr>
        <w:br/>
        <w:t xml:space="preserve">Niniejsze streszczenie przygotowane przez Kancelarię nie wiąże Trybunału.  </w:t>
      </w:r>
    </w:p>
    <w:p w14:paraId="1EFB6034" w14:textId="77777777" w:rsidR="001A4FC3" w:rsidRDefault="001A4FC3" w:rsidP="001A4FC3">
      <w:pPr>
        <w:pStyle w:val="ClinFooter"/>
        <w:rPr>
          <w:lang w:val="pl-PL"/>
        </w:rPr>
      </w:pPr>
      <w:r>
        <w:rPr>
          <w:lang w:val="pl-PL"/>
        </w:rPr>
        <w:t xml:space="preserve">Link do </w:t>
      </w:r>
      <w:hyperlink r:id="rId10" w:history="1">
        <w:r>
          <w:rPr>
            <w:rStyle w:val="Hipercze"/>
            <w:lang w:val="pl-PL"/>
          </w:rPr>
          <w:t>Not informacyjnych nt. orzecznictwa</w:t>
        </w:r>
      </w:hyperlink>
    </w:p>
    <w:sectPr w:rsidR="001A4FC3" w:rsidSect="004A5B5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7ACF8E9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784797" w14:textId="77777777" w:rsidR="004E71E7" w:rsidRDefault="004E71E7" w:rsidP="00C63262">
      <w:r>
        <w:separator/>
      </w:r>
    </w:p>
  </w:endnote>
  <w:endnote w:type="continuationSeparator" w:id="0">
    <w:p w14:paraId="07D2E372" w14:textId="77777777" w:rsidR="004E71E7" w:rsidRDefault="004E71E7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AA26E4" w14:textId="77777777" w:rsidR="006A5C79" w:rsidRDefault="006A5C7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707335" w14:textId="77777777" w:rsidR="006A5C79" w:rsidRDefault="006A5C7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AE8D6A" w14:textId="77777777" w:rsidR="0071773F" w:rsidRPr="0071773F" w:rsidRDefault="0071773F" w:rsidP="0071773F"/>
  <w:p w14:paraId="7773F246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624D0D70" wp14:editId="41095EF9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D8AE65" w14:textId="77777777" w:rsidR="004E71E7" w:rsidRDefault="004E71E7" w:rsidP="00C63262">
      <w:r>
        <w:separator/>
      </w:r>
    </w:p>
  </w:footnote>
  <w:footnote w:type="continuationSeparator" w:id="0">
    <w:p w14:paraId="0C987C1F" w14:textId="77777777" w:rsidR="004E71E7" w:rsidRDefault="004E71E7" w:rsidP="00C63262">
      <w:r>
        <w:continuationSeparator/>
      </w:r>
    </w:p>
  </w:footnote>
  <w:footnote w:id="1">
    <w:p w14:paraId="1F8D55C5" w14:textId="3E772D26" w:rsidR="0090550C" w:rsidRPr="0090550C" w:rsidRDefault="0090550C" w:rsidP="00BD1276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 w:rsidRPr="0090550C">
        <w:rPr>
          <w:lang w:val="pl-PL"/>
        </w:rPr>
        <w:t xml:space="preserve"> </w:t>
      </w:r>
      <w:r>
        <w:rPr>
          <w:lang w:val="pl-PL"/>
        </w:rPr>
        <w:t xml:space="preserve">Zob. również tłumaczenie wyroku w sprawie </w:t>
      </w:r>
      <w:hyperlink r:id="rId1" w:history="1">
        <w:proofErr w:type="spellStart"/>
        <w:r w:rsidRPr="00AB20D9">
          <w:rPr>
            <w:rStyle w:val="Hipercze"/>
            <w:lang w:val="pl-PL"/>
          </w:rPr>
          <w:t>Bayatyan</w:t>
        </w:r>
        <w:proofErr w:type="spellEnd"/>
        <w:r w:rsidRPr="00AB20D9">
          <w:rPr>
            <w:rStyle w:val="Hipercze"/>
            <w:lang w:val="pl-PL"/>
          </w:rPr>
          <w:t xml:space="preserve"> p. Armenii</w:t>
        </w:r>
      </w:hyperlink>
      <w:r w:rsidR="00AB20D9">
        <w:rPr>
          <w:lang w:val="pl-PL"/>
        </w:rPr>
        <w:t xml:space="preserve"> na język polski</w:t>
      </w:r>
      <w:r w:rsidR="00BD1276">
        <w:rPr>
          <w:lang w:val="pl-PL"/>
        </w:rPr>
        <w:t xml:space="preserve"> [przyp. tłum]</w:t>
      </w:r>
      <w:r w:rsidR="00AB20D9">
        <w:rPr>
          <w:lang w:val="pl-PL"/>
        </w:rPr>
        <w:t>.</w:t>
      </w:r>
      <w:r>
        <w:rPr>
          <w:lang w:val="pl-PL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3D1DE2" w14:textId="77777777" w:rsidR="006A5C79" w:rsidRDefault="006A5C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14:paraId="1F1723A1" w14:textId="77777777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A43752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E277E2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204395E6" wp14:editId="5BDA571E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Jankowski Dominik [BAZI]">
    <w15:presenceInfo w15:providerId="AD" w15:userId="S-1-5-21-2054104177-981614777-456279356-4775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04A0D"/>
    <w:rsid w:val="00037CCC"/>
    <w:rsid w:val="00066D3B"/>
    <w:rsid w:val="00097888"/>
    <w:rsid w:val="000A3F57"/>
    <w:rsid w:val="000F13B5"/>
    <w:rsid w:val="00107377"/>
    <w:rsid w:val="001079D9"/>
    <w:rsid w:val="001159F6"/>
    <w:rsid w:val="00143602"/>
    <w:rsid w:val="001769E4"/>
    <w:rsid w:val="00186560"/>
    <w:rsid w:val="001A4FC3"/>
    <w:rsid w:val="00212E83"/>
    <w:rsid w:val="002512A4"/>
    <w:rsid w:val="002966E7"/>
    <w:rsid w:val="002E088D"/>
    <w:rsid w:val="0030264F"/>
    <w:rsid w:val="003234D2"/>
    <w:rsid w:val="003450B3"/>
    <w:rsid w:val="00386958"/>
    <w:rsid w:val="003A64A6"/>
    <w:rsid w:val="003D7BB3"/>
    <w:rsid w:val="004639CB"/>
    <w:rsid w:val="0046453F"/>
    <w:rsid w:val="004A5B52"/>
    <w:rsid w:val="004D568D"/>
    <w:rsid w:val="004E1037"/>
    <w:rsid w:val="004E71E7"/>
    <w:rsid w:val="004F164B"/>
    <w:rsid w:val="0052092D"/>
    <w:rsid w:val="00540D75"/>
    <w:rsid w:val="005514E5"/>
    <w:rsid w:val="00556B2D"/>
    <w:rsid w:val="006028A1"/>
    <w:rsid w:val="00631A28"/>
    <w:rsid w:val="0067581C"/>
    <w:rsid w:val="00675A49"/>
    <w:rsid w:val="006A36AD"/>
    <w:rsid w:val="006A5C79"/>
    <w:rsid w:val="006C1D96"/>
    <w:rsid w:val="0071773F"/>
    <w:rsid w:val="00774515"/>
    <w:rsid w:val="00796BE8"/>
    <w:rsid w:val="00797C37"/>
    <w:rsid w:val="007E5260"/>
    <w:rsid w:val="007F5CB0"/>
    <w:rsid w:val="00895EF3"/>
    <w:rsid w:val="008C64D5"/>
    <w:rsid w:val="00903D38"/>
    <w:rsid w:val="0090550C"/>
    <w:rsid w:val="00926AAA"/>
    <w:rsid w:val="00954599"/>
    <w:rsid w:val="00987DD9"/>
    <w:rsid w:val="009915E0"/>
    <w:rsid w:val="009B3B2C"/>
    <w:rsid w:val="009E3EF0"/>
    <w:rsid w:val="00A01052"/>
    <w:rsid w:val="00A04D9C"/>
    <w:rsid w:val="00A258BB"/>
    <w:rsid w:val="00A33541"/>
    <w:rsid w:val="00A43752"/>
    <w:rsid w:val="00A4494E"/>
    <w:rsid w:val="00A45616"/>
    <w:rsid w:val="00A45F26"/>
    <w:rsid w:val="00A74DB9"/>
    <w:rsid w:val="00A829CB"/>
    <w:rsid w:val="00AB20D9"/>
    <w:rsid w:val="00AC0AE4"/>
    <w:rsid w:val="00AC7726"/>
    <w:rsid w:val="00B80CA0"/>
    <w:rsid w:val="00B85770"/>
    <w:rsid w:val="00BC30F0"/>
    <w:rsid w:val="00BD1276"/>
    <w:rsid w:val="00BF1CD9"/>
    <w:rsid w:val="00C37433"/>
    <w:rsid w:val="00C63262"/>
    <w:rsid w:val="00C72355"/>
    <w:rsid w:val="00C93CFB"/>
    <w:rsid w:val="00CF7BA6"/>
    <w:rsid w:val="00D15BC5"/>
    <w:rsid w:val="00D15FAC"/>
    <w:rsid w:val="00D42086"/>
    <w:rsid w:val="00D425B3"/>
    <w:rsid w:val="00D57401"/>
    <w:rsid w:val="00D87C77"/>
    <w:rsid w:val="00DB117B"/>
    <w:rsid w:val="00DB1B06"/>
    <w:rsid w:val="00DB31D1"/>
    <w:rsid w:val="00DF2347"/>
    <w:rsid w:val="00E55491"/>
    <w:rsid w:val="00E56FF9"/>
    <w:rsid w:val="00E620CC"/>
    <w:rsid w:val="00E83DB6"/>
    <w:rsid w:val="00EA53E7"/>
    <w:rsid w:val="00EE6142"/>
    <w:rsid w:val="00F1523D"/>
    <w:rsid w:val="00F508C9"/>
    <w:rsid w:val="00F50CCD"/>
    <w:rsid w:val="00F5247C"/>
    <w:rsid w:val="00FA0006"/>
    <w:rsid w:val="00FA29ED"/>
    <w:rsid w:val="00FB2634"/>
    <w:rsid w:val="00FC3390"/>
    <w:rsid w:val="00FF51B6"/>
    <w:rsid w:val="00FF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A120B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1A4FC3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1A4FC3"/>
  </w:style>
  <w:style w:type="character" w:customStyle="1" w:styleId="object">
    <w:name w:val="object"/>
    <w:basedOn w:val="Domylnaczcionkaakapitu"/>
    <w:rsid w:val="001A4FC3"/>
  </w:style>
  <w:style w:type="character" w:styleId="UyteHipercze">
    <w:name w:val="FollowedHyperlink"/>
    <w:basedOn w:val="Domylnaczcionkaakapitu"/>
    <w:semiHidden/>
    <w:unhideWhenUsed/>
    <w:rsid w:val="00FC3390"/>
    <w:rPr>
      <w:color w:val="7030A0" w:themeColor="followed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FA0006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A0006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A0006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FA00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FA0006"/>
    <w:rPr>
      <w:rFonts w:ascii="Verdana" w:hAnsi="Verdana"/>
      <w:b/>
      <w:bCs/>
    </w:rPr>
  </w:style>
  <w:style w:type="paragraph" w:styleId="Poprawka">
    <w:name w:val="Revision"/>
    <w:hidden/>
    <w:uiPriority w:val="99"/>
    <w:semiHidden/>
    <w:rsid w:val="00FA0006"/>
    <w:rPr>
      <w:rFonts w:ascii="Verdana" w:hAnsi="Verdan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1A4FC3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1A4FC3"/>
  </w:style>
  <w:style w:type="character" w:customStyle="1" w:styleId="object">
    <w:name w:val="object"/>
    <w:basedOn w:val="Domylnaczcionkaakapitu"/>
    <w:rsid w:val="001A4FC3"/>
  </w:style>
  <w:style w:type="character" w:styleId="UyteHipercze">
    <w:name w:val="FollowedHyperlink"/>
    <w:basedOn w:val="Domylnaczcionkaakapitu"/>
    <w:semiHidden/>
    <w:unhideWhenUsed/>
    <w:rsid w:val="00FC3390"/>
    <w:rPr>
      <w:color w:val="7030A0" w:themeColor="followed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FA0006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A0006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A0006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FA00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FA0006"/>
    <w:rPr>
      <w:rFonts w:ascii="Verdana" w:hAnsi="Verdana"/>
      <w:b/>
      <w:bCs/>
    </w:rPr>
  </w:style>
  <w:style w:type="paragraph" w:styleId="Poprawka">
    <w:name w:val="Revision"/>
    <w:hidden/>
    <w:uiPriority w:val="99"/>
    <w:semiHidden/>
    <w:rsid w:val="00FA0006"/>
    <w:rPr>
      <w:rFonts w:ascii="Verdana" w:hAnsi="Verdan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1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z.gov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echr.coe.int/NoteInformation/en" TargetMode="External"/><Relationship Id="rId19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hyperlink" Target="http://hudoc.echr.coe.int/eng?i=002-440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bip.ms.gov.pl/pl/prawa-czlowieka/europejski-trybunal-praw-czlowieka/orzecznictwo-europejskiego-trybunalu-praw-czlowieka/download,528,0.html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E2CF0-D8C8-4A26-ABA5-233D9CF0D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771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2018-03-07T10:56:00Z</dcterms:created>
  <dcterms:modified xsi:type="dcterms:W3CDTF">2018-03-07T10:56:00Z</dcterms:modified>
</cp:coreProperties>
</file>