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C99" w:rsidRPr="00CA13C6" w:rsidRDefault="002D2C99" w:rsidP="00CA13C6">
      <w:pPr>
        <w:jc w:val="center"/>
        <w:rPr>
          <w:lang w:val="fr-FR"/>
        </w:rPr>
      </w:pPr>
      <w:bookmarkStart w:id="0" w:name="_GoBack"/>
      <w:bookmarkEnd w:id="0"/>
    </w:p>
    <w:p w:rsidR="00BB4760" w:rsidRPr="00CA13C6" w:rsidRDefault="00BB4760" w:rsidP="00CA13C6">
      <w:pPr>
        <w:jc w:val="center"/>
        <w:rPr>
          <w:lang w:val="fr-FR"/>
        </w:rPr>
      </w:pPr>
    </w:p>
    <w:p w:rsidR="00BB4760" w:rsidRPr="00CA13C6" w:rsidRDefault="00BB4760" w:rsidP="00CA13C6">
      <w:pPr>
        <w:jc w:val="center"/>
        <w:rPr>
          <w:lang w:val="fr-FR"/>
        </w:rPr>
      </w:pPr>
    </w:p>
    <w:p w:rsidR="002D2C99" w:rsidRPr="00CA13C6" w:rsidRDefault="00A31117" w:rsidP="00CA13C6">
      <w:pPr>
        <w:tabs>
          <w:tab w:val="left" w:pos="5529"/>
        </w:tabs>
        <w:jc w:val="center"/>
        <w:rPr>
          <w:lang w:val="fr-FR"/>
        </w:rPr>
      </w:pPr>
      <w:r w:rsidRPr="00CA13C6">
        <w:rPr>
          <w:lang w:val="fr-FR"/>
        </w:rPr>
        <w:t>PREMIÈRE SECTION</w:t>
      </w: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outlineLvl w:val="0"/>
        <w:rPr>
          <w:b/>
          <w:lang w:val="fr-FR"/>
        </w:rPr>
      </w:pPr>
      <w:r w:rsidRPr="00CA13C6">
        <w:rPr>
          <w:b/>
          <w:lang w:val="fr-FR"/>
        </w:rPr>
        <w:t xml:space="preserve">AFFAIRE </w:t>
      </w:r>
      <w:r w:rsidR="00A31117" w:rsidRPr="00CA13C6">
        <w:rPr>
          <w:b/>
          <w:lang w:val="fr-FR"/>
        </w:rPr>
        <w:t>MAŁEK c. POLOGNE</w:t>
      </w:r>
    </w:p>
    <w:p w:rsidR="002D2C99" w:rsidRPr="00CA13C6" w:rsidRDefault="002D2C99" w:rsidP="00CA13C6">
      <w:pPr>
        <w:jc w:val="center"/>
        <w:rPr>
          <w:lang w:val="fr-FR"/>
        </w:rPr>
      </w:pPr>
    </w:p>
    <w:p w:rsidR="002D2C99" w:rsidRPr="00CA13C6" w:rsidRDefault="002D2C99" w:rsidP="00CA13C6">
      <w:pPr>
        <w:jc w:val="center"/>
        <w:rPr>
          <w:i/>
          <w:lang w:val="fr-FR"/>
        </w:rPr>
      </w:pPr>
      <w:r w:rsidRPr="00CA13C6">
        <w:rPr>
          <w:i/>
          <w:lang w:val="fr-FR"/>
        </w:rPr>
        <w:t>(Requête n</w:t>
      </w:r>
      <w:r w:rsidRPr="00CA13C6">
        <w:rPr>
          <w:i/>
          <w:vertAlign w:val="superscript"/>
          <w:lang w:val="fr-FR"/>
        </w:rPr>
        <w:t>o</w:t>
      </w:r>
      <w:r w:rsidRPr="00CA13C6">
        <w:rPr>
          <w:i/>
          <w:lang w:val="fr-FR"/>
        </w:rPr>
        <w:t xml:space="preserve"> </w:t>
      </w:r>
      <w:r w:rsidR="00A31117" w:rsidRPr="00CA13C6">
        <w:rPr>
          <w:i/>
          <w:lang w:val="fr-FR"/>
        </w:rPr>
        <w:t>9919/11</w:t>
      </w:r>
      <w:r w:rsidRPr="00CA13C6">
        <w:rPr>
          <w:i/>
          <w:lang w:val="fr-FR"/>
        </w:rPr>
        <w:t>)</w:t>
      </w: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center"/>
        <w:rPr>
          <w:lang w:val="fr-FR"/>
        </w:rPr>
      </w:pPr>
    </w:p>
    <w:p w:rsidR="005A2F0C" w:rsidRPr="00CA13C6" w:rsidRDefault="005A2F0C" w:rsidP="00CA13C6">
      <w:pPr>
        <w:jc w:val="center"/>
        <w:rPr>
          <w:lang w:val="fr-FR"/>
        </w:rPr>
      </w:pPr>
    </w:p>
    <w:p w:rsidR="005A2F0C" w:rsidRPr="00CA13C6" w:rsidRDefault="005A2F0C" w:rsidP="00CA13C6">
      <w:pPr>
        <w:jc w:val="center"/>
        <w:rPr>
          <w:lang w:val="fr-FR"/>
        </w:rPr>
      </w:pPr>
    </w:p>
    <w:p w:rsidR="005A2F0C" w:rsidRPr="00CA13C6" w:rsidRDefault="005A2F0C" w:rsidP="00CA13C6">
      <w:pPr>
        <w:jc w:val="center"/>
        <w:rPr>
          <w:lang w:val="fr-FR"/>
        </w:rPr>
      </w:pPr>
    </w:p>
    <w:p w:rsidR="002D2C99" w:rsidRPr="00CA13C6" w:rsidRDefault="002D2C99" w:rsidP="00CA13C6">
      <w:pPr>
        <w:rPr>
          <w:lang w:val="fr-FR"/>
        </w:rPr>
      </w:pPr>
    </w:p>
    <w:p w:rsidR="002D2C99" w:rsidRPr="00CA13C6" w:rsidRDefault="002D2C99" w:rsidP="00CA13C6">
      <w:pPr>
        <w:jc w:val="center"/>
        <w:rPr>
          <w:lang w:val="fr-FR"/>
        </w:rPr>
      </w:pPr>
    </w:p>
    <w:p w:rsidR="002D2C99" w:rsidRPr="00CA13C6" w:rsidRDefault="002D2C99" w:rsidP="00CA13C6">
      <w:pPr>
        <w:jc w:val="center"/>
        <w:outlineLvl w:val="0"/>
        <w:rPr>
          <w:lang w:val="fr-FR"/>
        </w:rPr>
      </w:pPr>
      <w:r w:rsidRPr="00CA13C6">
        <w:rPr>
          <w:lang w:val="fr-FR"/>
        </w:rPr>
        <w:t>ARRÊT</w:t>
      </w:r>
    </w:p>
    <w:p w:rsidR="002D2C99" w:rsidRPr="00CA13C6" w:rsidRDefault="002D2C99" w:rsidP="00CA13C6">
      <w:pPr>
        <w:jc w:val="center"/>
        <w:rPr>
          <w:i/>
          <w:lang w:val="fr-FR"/>
        </w:rPr>
      </w:pPr>
    </w:p>
    <w:p w:rsidR="005A2F0C" w:rsidRPr="00CA13C6" w:rsidRDefault="005A2F0C" w:rsidP="00CA13C6">
      <w:pPr>
        <w:jc w:val="center"/>
        <w:rPr>
          <w:i/>
          <w:lang w:val="fr-FR"/>
        </w:rPr>
      </w:pPr>
    </w:p>
    <w:p w:rsidR="005A2F0C" w:rsidRPr="00CA13C6" w:rsidRDefault="005A2F0C" w:rsidP="00CA13C6">
      <w:pPr>
        <w:jc w:val="center"/>
        <w:rPr>
          <w:i/>
          <w:lang w:val="fr-FR"/>
        </w:rPr>
      </w:pPr>
    </w:p>
    <w:p w:rsidR="002D2C99" w:rsidRPr="00CA13C6" w:rsidRDefault="002D2C99" w:rsidP="00CA13C6">
      <w:pPr>
        <w:jc w:val="center"/>
        <w:rPr>
          <w:lang w:val="fr-FR"/>
        </w:rPr>
      </w:pPr>
    </w:p>
    <w:p w:rsidR="002D2C99" w:rsidRPr="00CA13C6" w:rsidRDefault="002D2C99" w:rsidP="00CA13C6">
      <w:pPr>
        <w:jc w:val="center"/>
        <w:outlineLvl w:val="0"/>
        <w:rPr>
          <w:lang w:val="fr-FR"/>
        </w:rPr>
      </w:pPr>
      <w:r w:rsidRPr="00CA13C6">
        <w:rPr>
          <w:lang w:val="fr-FR"/>
        </w:rPr>
        <w:t>STRASBOURG</w:t>
      </w:r>
    </w:p>
    <w:p w:rsidR="002D2C99" w:rsidRPr="00CA13C6" w:rsidRDefault="002D2C99" w:rsidP="00CA13C6">
      <w:pPr>
        <w:jc w:val="center"/>
        <w:rPr>
          <w:lang w:val="fr-FR"/>
        </w:rPr>
      </w:pPr>
    </w:p>
    <w:p w:rsidR="002D2C99" w:rsidRPr="00CA13C6" w:rsidRDefault="00A31117" w:rsidP="00CA13C6">
      <w:pPr>
        <w:jc w:val="center"/>
        <w:rPr>
          <w:lang w:val="fr-FR"/>
        </w:rPr>
      </w:pPr>
      <w:r w:rsidRPr="00CA13C6">
        <w:rPr>
          <w:lang w:val="fr-FR"/>
        </w:rPr>
        <w:t>11 janvier 2018</w:t>
      </w:r>
    </w:p>
    <w:p w:rsidR="002D2C99" w:rsidRPr="00CA13C6" w:rsidRDefault="002D2C99" w:rsidP="00CA13C6">
      <w:pPr>
        <w:jc w:val="center"/>
        <w:rPr>
          <w:lang w:val="fr-FR"/>
        </w:rPr>
      </w:pPr>
    </w:p>
    <w:p w:rsidR="002D2C99" w:rsidRPr="00CA13C6" w:rsidRDefault="002D2C99" w:rsidP="00CA13C6">
      <w:pPr>
        <w:jc w:val="center"/>
        <w:rPr>
          <w:lang w:val="fr-FR"/>
        </w:rPr>
      </w:pPr>
    </w:p>
    <w:p w:rsidR="002D2C99" w:rsidRPr="00CA13C6" w:rsidRDefault="002D2C99" w:rsidP="00CA13C6">
      <w:pPr>
        <w:jc w:val="left"/>
        <w:rPr>
          <w:i/>
          <w:lang w:val="fr-FR"/>
        </w:rPr>
      </w:pPr>
      <w:r w:rsidRPr="00CA13C6">
        <w:rPr>
          <w:i/>
          <w:sz w:val="22"/>
          <w:lang w:val="fr-FR"/>
        </w:rPr>
        <w:t xml:space="preserve">Cet arrêt </w:t>
      </w:r>
      <w:r w:rsidR="00A31117" w:rsidRPr="00CA13C6">
        <w:rPr>
          <w:i/>
          <w:sz w:val="22"/>
          <w:lang w:val="fr-FR"/>
        </w:rPr>
        <w:t>est définitif</w:t>
      </w:r>
      <w:r w:rsidRPr="00CA13C6">
        <w:rPr>
          <w:i/>
          <w:sz w:val="22"/>
          <w:lang w:val="fr-FR"/>
        </w:rPr>
        <w:t>. Il peut subir des retouches de forme.</w:t>
      </w:r>
    </w:p>
    <w:p w:rsidR="002D2C99" w:rsidRPr="00CA13C6" w:rsidRDefault="002D2C99" w:rsidP="00CA13C6">
      <w:pPr>
        <w:rPr>
          <w:lang w:val="fr-FR"/>
        </w:rPr>
        <w:sectPr w:rsidR="002D2C99" w:rsidRPr="00CA13C6" w:rsidSect="00F5432B">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2D2C99" w:rsidRPr="00CA13C6" w:rsidRDefault="002D2C99" w:rsidP="00CA13C6">
      <w:pPr>
        <w:pStyle w:val="JuCase"/>
        <w:rPr>
          <w:lang w:val="fr-FR"/>
        </w:rPr>
      </w:pPr>
      <w:r w:rsidRPr="00CA13C6">
        <w:rPr>
          <w:lang w:val="fr-FR"/>
        </w:rPr>
        <w:lastRenderedPageBreak/>
        <w:t>En l</w:t>
      </w:r>
      <w:r w:rsidR="00CA13C6" w:rsidRPr="00CA13C6">
        <w:rPr>
          <w:lang w:val="fr-FR"/>
        </w:rPr>
        <w:t>’</w:t>
      </w:r>
      <w:r w:rsidRPr="00CA13C6">
        <w:rPr>
          <w:lang w:val="fr-FR"/>
        </w:rPr>
        <w:t xml:space="preserve">affaire </w:t>
      </w:r>
      <w:r w:rsidR="00A31117" w:rsidRPr="00CA13C6">
        <w:rPr>
          <w:lang w:val="fr-FR"/>
        </w:rPr>
        <w:t>Małek c. Pologne</w:t>
      </w:r>
      <w:r w:rsidRPr="00CA13C6">
        <w:rPr>
          <w:lang w:val="fr-FR"/>
        </w:rPr>
        <w:t>,</w:t>
      </w:r>
    </w:p>
    <w:p w:rsidR="00A31117" w:rsidRPr="00CA13C6" w:rsidRDefault="00A31117" w:rsidP="00CA13C6">
      <w:pPr>
        <w:pStyle w:val="ECHRPara"/>
        <w:rPr>
          <w:lang w:val="fr-FR"/>
        </w:rPr>
      </w:pPr>
      <w:r w:rsidRPr="00CA13C6">
        <w:rPr>
          <w:lang w:val="fr-FR"/>
        </w:rPr>
        <w:t>La Cour européenne des droits de l</w:t>
      </w:r>
      <w:r w:rsidR="00CA13C6" w:rsidRPr="00CA13C6">
        <w:rPr>
          <w:lang w:val="fr-FR"/>
        </w:rPr>
        <w:t>’</w:t>
      </w:r>
      <w:r w:rsidRPr="00CA13C6">
        <w:rPr>
          <w:lang w:val="fr-FR"/>
        </w:rPr>
        <w:t>homme (première section), siégeant en un comité composé de :</w:t>
      </w:r>
    </w:p>
    <w:p w:rsidR="00A31117" w:rsidRPr="00CA13C6" w:rsidRDefault="00A31117" w:rsidP="00CA13C6">
      <w:pPr>
        <w:pStyle w:val="ECHRDecisionBody"/>
        <w:rPr>
          <w:lang w:val="fr-FR"/>
        </w:rPr>
      </w:pPr>
      <w:r w:rsidRPr="00CA13C6">
        <w:rPr>
          <w:lang w:val="fr-FR"/>
        </w:rPr>
        <w:tab/>
        <w:t>Aleš Pejchal,</w:t>
      </w:r>
      <w:r w:rsidRPr="00CA13C6">
        <w:rPr>
          <w:i/>
          <w:lang w:val="fr-FR"/>
        </w:rPr>
        <w:t xml:space="preserve"> président,</w:t>
      </w:r>
      <w:r w:rsidRPr="00CA13C6">
        <w:rPr>
          <w:i/>
          <w:lang w:val="fr-FR"/>
        </w:rPr>
        <w:br/>
      </w:r>
      <w:r w:rsidRPr="00CA13C6">
        <w:rPr>
          <w:lang w:val="fr-FR"/>
        </w:rPr>
        <w:tab/>
        <w:t>Krzysztof Wojtyczek,</w:t>
      </w:r>
      <w:r w:rsidRPr="00CA13C6">
        <w:rPr>
          <w:i/>
          <w:lang w:val="fr-FR"/>
        </w:rPr>
        <w:br/>
      </w:r>
      <w:r w:rsidRPr="00CA13C6">
        <w:rPr>
          <w:lang w:val="fr-FR"/>
        </w:rPr>
        <w:tab/>
        <w:t>Jovan Ilievski,</w:t>
      </w:r>
      <w:r w:rsidRPr="00CA13C6">
        <w:rPr>
          <w:i/>
          <w:lang w:val="fr-FR"/>
        </w:rPr>
        <w:t xml:space="preserve"> juges,</w:t>
      </w:r>
      <w:r w:rsidRPr="00CA13C6">
        <w:rPr>
          <w:lang w:val="fr-FR"/>
        </w:rPr>
        <w:br/>
        <w:t xml:space="preserve">et de Renata Degener, </w:t>
      </w:r>
      <w:r w:rsidRPr="00CA13C6">
        <w:rPr>
          <w:i/>
          <w:lang w:val="fr-FR"/>
        </w:rPr>
        <w:t>greffière adjointe</w:t>
      </w:r>
      <w:r w:rsidRPr="00CA13C6">
        <w:rPr>
          <w:iCs/>
          <w:lang w:val="fr-FR"/>
        </w:rPr>
        <w:t xml:space="preserve"> </w:t>
      </w:r>
      <w:r w:rsidRPr="00CA13C6">
        <w:rPr>
          <w:i/>
          <w:iCs/>
          <w:lang w:val="fr-FR"/>
        </w:rPr>
        <w:t>d</w:t>
      </w:r>
      <w:r w:rsidRPr="00CA13C6">
        <w:rPr>
          <w:i/>
          <w:lang w:val="fr-FR"/>
        </w:rPr>
        <w:t>e section</w:t>
      </w:r>
      <w:r w:rsidRPr="00CA13C6">
        <w:rPr>
          <w:lang w:val="fr-FR"/>
        </w:rPr>
        <w:t>,</w:t>
      </w:r>
    </w:p>
    <w:p w:rsidR="00A31117" w:rsidRPr="00CA13C6" w:rsidRDefault="00A31117" w:rsidP="00CA13C6">
      <w:pPr>
        <w:pStyle w:val="ECHRPara"/>
        <w:rPr>
          <w:lang w:val="fr-FR"/>
        </w:rPr>
      </w:pPr>
      <w:r w:rsidRPr="00CA13C6">
        <w:rPr>
          <w:lang w:val="fr-FR"/>
        </w:rPr>
        <w:t>Après en avoir délibéré en chambre du conseil le 12 décembre 2017,</w:t>
      </w:r>
    </w:p>
    <w:p w:rsidR="00A31117" w:rsidRPr="00CA13C6" w:rsidRDefault="00A31117" w:rsidP="00CA13C6">
      <w:pPr>
        <w:pStyle w:val="ECHRPara"/>
        <w:rPr>
          <w:lang w:val="fr-FR"/>
        </w:rPr>
      </w:pPr>
      <w:r w:rsidRPr="00CA13C6">
        <w:rPr>
          <w:lang w:val="fr-FR"/>
        </w:rPr>
        <w:t>Rend l</w:t>
      </w:r>
      <w:r w:rsidR="00CA13C6" w:rsidRPr="00CA13C6">
        <w:rPr>
          <w:lang w:val="fr-FR"/>
        </w:rPr>
        <w:t>’</w:t>
      </w:r>
      <w:r w:rsidRPr="00CA13C6">
        <w:rPr>
          <w:lang w:val="fr-FR"/>
        </w:rPr>
        <w:t>arrêt que voici, adopté à cette date :</w:t>
      </w:r>
    </w:p>
    <w:p w:rsidR="00A31117" w:rsidRPr="00CA13C6" w:rsidRDefault="00A31117" w:rsidP="00CA13C6">
      <w:pPr>
        <w:pStyle w:val="ECHRTitle1"/>
        <w:rPr>
          <w:lang w:val="fr-FR"/>
        </w:rPr>
      </w:pPr>
      <w:r w:rsidRPr="00CA13C6">
        <w:rPr>
          <w:lang w:val="fr-FR"/>
        </w:rPr>
        <w:t>PROCÉDURE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w:t>
      </w:r>
      <w:r w:rsidRPr="00CA13C6">
        <w:rPr>
          <w:lang w:val="fr-FR"/>
        </w:rPr>
        <w:fldChar w:fldCharType="end"/>
      </w:r>
      <w:r w:rsidRPr="00CA13C6">
        <w:rPr>
          <w:lang w:val="fr-FR"/>
        </w:rPr>
        <w:t>.  À l</w:t>
      </w:r>
      <w:r w:rsidR="00CA13C6" w:rsidRPr="00CA13C6">
        <w:rPr>
          <w:lang w:val="fr-FR"/>
        </w:rPr>
        <w:t>’</w:t>
      </w:r>
      <w:r w:rsidRPr="00CA13C6">
        <w:rPr>
          <w:lang w:val="fr-FR"/>
        </w:rPr>
        <w:t>origine de l</w:t>
      </w:r>
      <w:r w:rsidR="00CA13C6" w:rsidRPr="00CA13C6">
        <w:rPr>
          <w:lang w:val="fr-FR"/>
        </w:rPr>
        <w:t>’</w:t>
      </w:r>
      <w:r w:rsidRPr="00CA13C6">
        <w:rPr>
          <w:lang w:val="fr-FR"/>
        </w:rPr>
        <w:t>affaire se trouve une requête (n</w:t>
      </w:r>
      <w:r w:rsidRPr="00CA13C6">
        <w:rPr>
          <w:vertAlign w:val="superscript"/>
          <w:lang w:val="fr-FR"/>
        </w:rPr>
        <w:t>o</w:t>
      </w:r>
      <w:r w:rsidRPr="00CA13C6">
        <w:rPr>
          <w:lang w:val="fr-FR"/>
        </w:rPr>
        <w:t xml:space="preserve"> 9919/11) dirigée contre la République de Pologne et dont un ressortissant de cet État, M. Wojciech Michał Małek (« le requérant »), a saisi la Cour le </w:t>
      </w:r>
      <w:r w:rsidR="008B68A7" w:rsidRPr="00CA13C6">
        <w:rPr>
          <w:lang w:val="fr-FR"/>
        </w:rPr>
        <w:t>23 </w:t>
      </w:r>
      <w:r w:rsidRPr="00CA13C6">
        <w:rPr>
          <w:lang w:val="fr-FR"/>
        </w:rPr>
        <w:t>août 2011 en vertu de l</w:t>
      </w:r>
      <w:r w:rsidR="00CA13C6" w:rsidRPr="00CA13C6">
        <w:rPr>
          <w:lang w:val="fr-FR"/>
        </w:rPr>
        <w:t>’</w:t>
      </w:r>
      <w:r w:rsidRPr="00CA13C6">
        <w:rPr>
          <w:lang w:val="fr-FR"/>
        </w:rPr>
        <w:t>article 34 de la Convention de sauvegarde des droits de l</w:t>
      </w:r>
      <w:r w:rsidR="00CA13C6" w:rsidRPr="00CA13C6">
        <w:rPr>
          <w:lang w:val="fr-FR"/>
        </w:rPr>
        <w:t>’</w:t>
      </w:r>
      <w:r w:rsidRPr="00CA13C6">
        <w:rPr>
          <w:lang w:val="fr-FR"/>
        </w:rPr>
        <w:t>homme et des libertés fondamentales (« la Convention »).</w:t>
      </w:r>
    </w:p>
    <w:p w:rsidR="00A31117" w:rsidRPr="00CA13C6" w:rsidRDefault="00A31117" w:rsidP="00CA13C6">
      <w:pPr>
        <w:pStyle w:val="ECHRPara"/>
        <w:rPr>
          <w:lang w:val="fr-FR"/>
        </w:rPr>
      </w:pPr>
      <w:r w:rsidRPr="00CA13C6">
        <w:rPr>
          <w:lang w:val="pt-BR"/>
        </w:rPr>
        <w:fldChar w:fldCharType="begin"/>
      </w:r>
      <w:r w:rsidRPr="00CA13C6">
        <w:rPr>
          <w:lang w:val="pt-BR"/>
        </w:rPr>
        <w:instrText xml:space="preserve"> SEQ level0 \*arabic </w:instrText>
      </w:r>
      <w:r w:rsidRPr="00CA13C6">
        <w:rPr>
          <w:lang w:val="pt-BR"/>
        </w:rPr>
        <w:fldChar w:fldCharType="separate"/>
      </w:r>
      <w:r w:rsidR="00575F29">
        <w:rPr>
          <w:noProof/>
          <w:lang w:val="pt-BR"/>
        </w:rPr>
        <w:t>2</w:t>
      </w:r>
      <w:r w:rsidRPr="00CA13C6">
        <w:rPr>
          <w:lang w:val="pt-BR"/>
        </w:rPr>
        <w:fldChar w:fldCharType="end"/>
      </w:r>
      <w:r w:rsidRPr="00CA13C6">
        <w:rPr>
          <w:lang w:val="pt-BR"/>
        </w:rPr>
        <w:t xml:space="preserve">.  Le requérant a été représenté par </w:t>
      </w:r>
      <w:r w:rsidRPr="00CA13C6">
        <w:rPr>
          <w:lang w:val="fr-FR"/>
        </w:rPr>
        <w:t>M</w:t>
      </w:r>
      <w:r w:rsidRPr="00CA13C6">
        <w:rPr>
          <w:vertAlign w:val="superscript"/>
          <w:lang w:val="fr-FR"/>
        </w:rPr>
        <w:t>e</w:t>
      </w:r>
      <w:r w:rsidRPr="00CA13C6">
        <w:rPr>
          <w:lang w:val="pt-BR"/>
        </w:rPr>
        <w:t> A. Maleszyk, avocat</w:t>
      </w:r>
      <w:r w:rsidRPr="00CA13C6">
        <w:rPr>
          <w:lang w:val="fr-FR"/>
        </w:rPr>
        <w:t xml:space="preserve"> à Lublin. Le gouvernement polonais (« le Gouvernement ») a été représenté par son agente, M</w:t>
      </w:r>
      <w:r w:rsidRPr="00CA13C6">
        <w:rPr>
          <w:vertAlign w:val="superscript"/>
          <w:lang w:val="fr-FR"/>
        </w:rPr>
        <w:t>me</w:t>
      </w:r>
      <w:r w:rsidRPr="00CA13C6">
        <w:rPr>
          <w:lang w:val="fr-FR"/>
        </w:rPr>
        <w:t xml:space="preserve"> J. Chrzanowska, du ministère des Affaires étrangères.</w:t>
      </w:r>
    </w:p>
    <w:p w:rsidR="00A31117" w:rsidRPr="00CA13C6" w:rsidRDefault="00A31117" w:rsidP="00CA13C6">
      <w:pPr>
        <w:pStyle w:val="ECHRPara"/>
        <w:rPr>
          <w:szCs w:val="24"/>
          <w:lang w:val="fr-FR" w:eastAsia="en-GB"/>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3</w:t>
      </w:r>
      <w:r w:rsidRPr="00CA13C6">
        <w:rPr>
          <w:lang w:val="fr-FR"/>
        </w:rPr>
        <w:fldChar w:fldCharType="end"/>
      </w:r>
      <w:r w:rsidRPr="00CA13C6">
        <w:rPr>
          <w:lang w:val="fr-FR"/>
        </w:rPr>
        <w:t xml:space="preserve">.  Le </w:t>
      </w:r>
      <w:r w:rsidRPr="00CA13C6">
        <w:rPr>
          <w:szCs w:val="24"/>
          <w:lang w:val="fr-FR"/>
        </w:rPr>
        <w:t>24 septembre 2012</w:t>
      </w:r>
      <w:r w:rsidRPr="00CA13C6">
        <w:rPr>
          <w:lang w:val="fr-FR"/>
        </w:rPr>
        <w:t>, la requête a été communiquée au Gouvernement.</w:t>
      </w:r>
    </w:p>
    <w:p w:rsidR="00A31117" w:rsidRPr="00CA13C6" w:rsidRDefault="00A31117" w:rsidP="00CA13C6">
      <w:pPr>
        <w:pStyle w:val="ECHRTitle1"/>
        <w:tabs>
          <w:tab w:val="left" w:pos="5387"/>
        </w:tabs>
        <w:rPr>
          <w:lang w:val="fr-FR"/>
        </w:rPr>
      </w:pPr>
      <w:r w:rsidRPr="00CA13C6">
        <w:rPr>
          <w:lang w:val="fr-FR"/>
        </w:rPr>
        <w:t>EN FAIT</w:t>
      </w:r>
    </w:p>
    <w:p w:rsidR="00A31117" w:rsidRPr="00CA13C6" w:rsidRDefault="00A31117" w:rsidP="00CA13C6">
      <w:pPr>
        <w:pStyle w:val="ECHRHeading1"/>
        <w:rPr>
          <w:lang w:val="fr-FR"/>
        </w:rPr>
      </w:pPr>
      <w:r w:rsidRPr="00CA13C6">
        <w:rPr>
          <w:lang w:val="fr-FR"/>
        </w:rPr>
        <w:t>LES CIRCONSTANCES DE L</w:t>
      </w:r>
      <w:r w:rsidR="00CA13C6" w:rsidRPr="00CA13C6">
        <w:rPr>
          <w:lang w:val="fr-FR"/>
        </w:rPr>
        <w:t>’</w:t>
      </w:r>
      <w:r w:rsidRPr="00CA13C6">
        <w:rPr>
          <w:lang w:val="fr-FR"/>
        </w:rPr>
        <w:t>ESPÈCE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4</w:t>
      </w:r>
      <w:r w:rsidRPr="00CA13C6">
        <w:rPr>
          <w:lang w:val="fr-FR"/>
        </w:rPr>
        <w:fldChar w:fldCharType="end"/>
      </w:r>
      <w:r w:rsidRPr="00CA13C6">
        <w:rPr>
          <w:lang w:val="fr-FR"/>
        </w:rPr>
        <w:t>.  Le requérant est né en 1981 et réside à Niemce.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5</w:t>
      </w:r>
      <w:r w:rsidRPr="00CA13C6">
        <w:rPr>
          <w:lang w:val="fr-FR"/>
        </w:rPr>
        <w:fldChar w:fldCharType="end"/>
      </w:r>
      <w:r w:rsidRPr="00CA13C6">
        <w:rPr>
          <w:lang w:val="fr-FR"/>
        </w:rPr>
        <w:t>.  Le 31 mai 2010, le requérant, inculpé de trafic de stupéfiants et de brigandage, fut placé en détention provisoire.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6</w:t>
      </w:r>
      <w:r w:rsidRPr="00CA13C6">
        <w:rPr>
          <w:lang w:val="fr-FR"/>
        </w:rPr>
        <w:fldChar w:fldCharType="end"/>
      </w:r>
      <w:r w:rsidRPr="00CA13C6">
        <w:rPr>
          <w:lang w:val="fr-FR"/>
        </w:rPr>
        <w:t>.  Cette mesure fut reconduite à plusieurs occasions, entre autres le 22 février 2011 en application d</w:t>
      </w:r>
      <w:r w:rsidR="00CA13C6" w:rsidRPr="00CA13C6">
        <w:rPr>
          <w:lang w:val="fr-FR"/>
        </w:rPr>
        <w:t>’</w:t>
      </w:r>
      <w:r w:rsidRPr="00CA13C6">
        <w:rPr>
          <w:lang w:val="fr-FR"/>
        </w:rPr>
        <w:t>une décision du tribunal régional de Lublin.</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7</w:t>
      </w:r>
      <w:r w:rsidRPr="00CA13C6">
        <w:rPr>
          <w:lang w:val="fr-FR"/>
        </w:rPr>
        <w:fldChar w:fldCharType="end"/>
      </w:r>
      <w:r w:rsidRPr="00CA13C6">
        <w:rPr>
          <w:lang w:val="fr-FR"/>
        </w:rPr>
        <w:t>.  Le 16 mars 2011, la cour d</w:t>
      </w:r>
      <w:r w:rsidR="00CA13C6" w:rsidRPr="00CA13C6">
        <w:rPr>
          <w:lang w:val="fr-FR"/>
        </w:rPr>
        <w:t>’</w:t>
      </w:r>
      <w:r w:rsidRPr="00CA13C6">
        <w:rPr>
          <w:lang w:val="fr-FR"/>
        </w:rPr>
        <w:t>appel de Lublin, statuant sur un recours que le requérant avait interjeté à l</w:t>
      </w:r>
      <w:r w:rsidR="00CA13C6" w:rsidRPr="00CA13C6">
        <w:rPr>
          <w:lang w:val="fr-FR"/>
        </w:rPr>
        <w:t>’</w:t>
      </w:r>
      <w:r w:rsidRPr="00CA13C6">
        <w:rPr>
          <w:lang w:val="fr-FR"/>
        </w:rPr>
        <w:t>encontre de la décision susmentionnée, confirma celle-ci pour l</w:t>
      </w:r>
      <w:r w:rsidR="00CA13C6" w:rsidRPr="00CA13C6">
        <w:rPr>
          <w:lang w:val="fr-FR"/>
        </w:rPr>
        <w:t>’</w:t>
      </w:r>
      <w:r w:rsidRPr="00CA13C6">
        <w:rPr>
          <w:lang w:val="fr-FR"/>
        </w:rPr>
        <w:t>essentiel mais abrégea la période pendant laquelle l</w:t>
      </w:r>
      <w:r w:rsidR="00CA13C6" w:rsidRPr="00CA13C6">
        <w:rPr>
          <w:lang w:val="fr-FR"/>
        </w:rPr>
        <w:t>’</w:t>
      </w:r>
      <w:r w:rsidRPr="00CA13C6">
        <w:rPr>
          <w:lang w:val="fr-FR"/>
        </w:rPr>
        <w:t>intéressé devait être détenu. Prenant en compte, notamment, la multiplicité des infractions reprochées et la sévérité de la peine encourue en cas de condamnation, la cour d</w:t>
      </w:r>
      <w:r w:rsidR="00CA13C6" w:rsidRPr="00CA13C6">
        <w:rPr>
          <w:lang w:val="fr-FR"/>
        </w:rPr>
        <w:t>’</w:t>
      </w:r>
      <w:r w:rsidRPr="00CA13C6">
        <w:rPr>
          <w:lang w:val="fr-FR"/>
        </w:rPr>
        <w:t>appel considéra que la détention du requérant était toujours nécessaire. Elle déclara notamment ce qui suit :</w:t>
      </w:r>
    </w:p>
    <w:p w:rsidR="00A31117" w:rsidRPr="00CA13C6" w:rsidRDefault="00A31117" w:rsidP="00CA13C6">
      <w:pPr>
        <w:pStyle w:val="ECHRParaQuote"/>
        <w:rPr>
          <w:lang w:val="fr-FR"/>
        </w:rPr>
      </w:pPr>
      <w:r w:rsidRPr="00CA13C6">
        <w:rPr>
          <w:lang w:val="fr-FR"/>
        </w:rPr>
        <w:lastRenderedPageBreak/>
        <w:t>« (...) la réalité de la punition [de l</w:t>
      </w:r>
      <w:r w:rsidR="00CA13C6" w:rsidRPr="00CA13C6">
        <w:rPr>
          <w:lang w:val="fr-FR"/>
        </w:rPr>
        <w:t>’</w:t>
      </w:r>
      <w:r w:rsidRPr="00CA13C6">
        <w:rPr>
          <w:lang w:val="fr-FR"/>
        </w:rPr>
        <w:t>inculpé] par une peine sévère est en l</w:t>
      </w:r>
      <w:r w:rsidR="00CA13C6" w:rsidRPr="00CA13C6">
        <w:rPr>
          <w:lang w:val="fr-FR"/>
        </w:rPr>
        <w:t>’</w:t>
      </w:r>
      <w:r w:rsidRPr="00CA13C6">
        <w:rPr>
          <w:lang w:val="fr-FR"/>
        </w:rPr>
        <w:t>espèce étayée par des circonstances [ayant entouré] la commission des deux premières infractions reprochées, en particulier par le fait que [l</w:t>
      </w:r>
      <w:r w:rsidR="00CA13C6" w:rsidRPr="00CA13C6">
        <w:rPr>
          <w:lang w:val="fr-FR"/>
        </w:rPr>
        <w:t>’</w:t>
      </w:r>
      <w:r w:rsidRPr="00CA13C6">
        <w:rPr>
          <w:lang w:val="fr-FR"/>
        </w:rPr>
        <w:t>intéressé] les avait commises (dopuścił się ich popełnienia) dans le cadre d</w:t>
      </w:r>
      <w:r w:rsidR="00CA13C6" w:rsidRPr="00CA13C6">
        <w:rPr>
          <w:lang w:val="fr-FR"/>
        </w:rPr>
        <w:t>’</w:t>
      </w:r>
      <w:r w:rsidRPr="00CA13C6">
        <w:rPr>
          <w:lang w:val="fr-FR"/>
        </w:rPr>
        <w:t>une action concertée avec les autres individus, selon un plan établi et dans le but de se p</w:t>
      </w:r>
      <w:r w:rsidR="005A2F0C" w:rsidRPr="00CA13C6">
        <w:rPr>
          <w:lang w:val="fr-FR"/>
        </w:rPr>
        <w:t>rocurer un avantage financier. »</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8</w:t>
      </w:r>
      <w:r w:rsidRPr="00CA13C6">
        <w:rPr>
          <w:lang w:val="fr-FR"/>
        </w:rPr>
        <w:fldChar w:fldCharType="end"/>
      </w:r>
      <w:r w:rsidRPr="00CA13C6">
        <w:rPr>
          <w:lang w:val="fr-FR"/>
        </w:rPr>
        <w:t>.  Le 30 mai 2011, le requérant se plaignit au président de la cour d</w:t>
      </w:r>
      <w:r w:rsidR="00CA13C6" w:rsidRPr="00CA13C6">
        <w:rPr>
          <w:lang w:val="fr-FR"/>
        </w:rPr>
        <w:t>’</w:t>
      </w:r>
      <w:r w:rsidRPr="00CA13C6">
        <w:rPr>
          <w:lang w:val="fr-FR"/>
        </w:rPr>
        <w:t>appel de Lublin des déclarations effectuées par cette juridiction dans les motifs de sa décision du 16 mars 2011. En retour, par un courrier daté du 20 juin 2011, il fut informé que ladite décision était insusceptible de recours.</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9</w:t>
      </w:r>
      <w:r w:rsidRPr="00CA13C6">
        <w:rPr>
          <w:lang w:val="fr-FR"/>
        </w:rPr>
        <w:fldChar w:fldCharType="end"/>
      </w:r>
      <w:r w:rsidRPr="00CA13C6">
        <w:rPr>
          <w:lang w:val="fr-FR"/>
        </w:rPr>
        <w:t>.  La Cour n</w:t>
      </w:r>
      <w:r w:rsidR="00CA13C6" w:rsidRPr="00CA13C6">
        <w:rPr>
          <w:lang w:val="fr-FR"/>
        </w:rPr>
        <w:t>’</w:t>
      </w:r>
      <w:r w:rsidRPr="00CA13C6">
        <w:rPr>
          <w:lang w:val="fr-FR"/>
        </w:rPr>
        <w:t>a pas été informée de l</w:t>
      </w:r>
      <w:r w:rsidR="00CA13C6" w:rsidRPr="00CA13C6">
        <w:rPr>
          <w:lang w:val="fr-FR"/>
        </w:rPr>
        <w:t>’</w:t>
      </w:r>
      <w:r w:rsidRPr="00CA13C6">
        <w:rPr>
          <w:lang w:val="fr-FR"/>
        </w:rPr>
        <w:t>issue de la procédure pénale dirigée contre le requérant.</w:t>
      </w:r>
    </w:p>
    <w:p w:rsidR="00A31117" w:rsidRPr="00CA13C6" w:rsidRDefault="00A31117" w:rsidP="00CA13C6">
      <w:pPr>
        <w:pStyle w:val="ECHRTitle1"/>
        <w:rPr>
          <w:lang w:val="fr-FR"/>
        </w:rPr>
      </w:pPr>
      <w:r w:rsidRPr="00CA13C6">
        <w:rPr>
          <w:lang w:val="fr-FR"/>
        </w:rPr>
        <w:t>GRIEFS</w:t>
      </w:r>
    </w:p>
    <w:p w:rsidR="00A31117" w:rsidRPr="00CA13C6" w:rsidRDefault="00A31117" w:rsidP="00CA13C6">
      <w:pPr>
        <w:pStyle w:val="ECHRPara"/>
        <w:rPr>
          <w:bCs/>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10</w:t>
      </w:r>
      <w:r w:rsidRPr="00CA13C6">
        <w:rPr>
          <w:lang w:val="fr-FR"/>
        </w:rPr>
        <w:fldChar w:fldCharType="end"/>
      </w:r>
      <w:r w:rsidRPr="00CA13C6">
        <w:rPr>
          <w:lang w:val="fr-FR"/>
        </w:rPr>
        <w:t>.  Citant l</w:t>
      </w:r>
      <w:r w:rsidR="00CA13C6" w:rsidRPr="00CA13C6">
        <w:rPr>
          <w:lang w:val="fr-FR"/>
        </w:rPr>
        <w:t>’</w:t>
      </w:r>
      <w:r w:rsidRPr="00CA13C6">
        <w:rPr>
          <w:lang w:val="fr-FR"/>
        </w:rPr>
        <w:t>article 6 § 2 de la Convention, le requérant se plaint d</w:t>
      </w:r>
      <w:r w:rsidR="00CA13C6" w:rsidRPr="00CA13C6">
        <w:rPr>
          <w:lang w:val="fr-FR"/>
        </w:rPr>
        <w:t>’</w:t>
      </w:r>
      <w:r w:rsidRPr="00CA13C6">
        <w:rPr>
          <w:lang w:val="fr-FR"/>
        </w:rPr>
        <w:t>une violation de son droit à la présomption d</w:t>
      </w:r>
      <w:r w:rsidR="00CA13C6" w:rsidRPr="00CA13C6">
        <w:rPr>
          <w:lang w:val="fr-FR"/>
        </w:rPr>
        <w:t>’</w:t>
      </w:r>
      <w:r w:rsidRPr="00CA13C6">
        <w:rPr>
          <w:lang w:val="fr-FR"/>
        </w:rPr>
        <w:t>innocence en raison des déclarations faites par la cour d</w:t>
      </w:r>
      <w:r w:rsidR="00CA13C6" w:rsidRPr="00CA13C6">
        <w:rPr>
          <w:lang w:val="fr-FR"/>
        </w:rPr>
        <w:t>’</w:t>
      </w:r>
      <w:r w:rsidRPr="00CA13C6">
        <w:rPr>
          <w:lang w:val="fr-FR"/>
        </w:rPr>
        <w:t>appel de Lublin dans les motifs de sa décision du 16 mars 2011.</w:t>
      </w:r>
    </w:p>
    <w:p w:rsidR="00A31117" w:rsidRPr="00CA13C6" w:rsidRDefault="00A31117" w:rsidP="00CA13C6">
      <w:pPr>
        <w:pStyle w:val="ECHRTitle1"/>
        <w:rPr>
          <w:lang w:val="fr-FR"/>
        </w:rPr>
      </w:pPr>
      <w:r w:rsidRPr="00CA13C6">
        <w:rPr>
          <w:lang w:val="fr-FR"/>
        </w:rPr>
        <w:t>EN DROIT</w:t>
      </w:r>
    </w:p>
    <w:p w:rsidR="00A31117" w:rsidRPr="00CA13C6" w:rsidRDefault="00772035" w:rsidP="00CA13C6">
      <w:pPr>
        <w:pStyle w:val="ECHRHeading1"/>
        <w:rPr>
          <w:lang w:val="fr-FR"/>
        </w:rPr>
      </w:pPr>
      <w:r w:rsidRPr="00CA13C6">
        <w:rPr>
          <w:lang w:val="fr-FR"/>
        </w:rPr>
        <w:t>I.  </w:t>
      </w:r>
      <w:r w:rsidR="00A31117" w:rsidRPr="00CA13C6">
        <w:rPr>
          <w:lang w:val="fr-FR"/>
        </w:rPr>
        <w:t>SUR LA VIOLATION ALLÉGUÉE DE L</w:t>
      </w:r>
      <w:r w:rsidR="00CA13C6" w:rsidRPr="00CA13C6">
        <w:rPr>
          <w:lang w:val="fr-FR"/>
        </w:rPr>
        <w:t>’</w:t>
      </w:r>
      <w:r w:rsidR="00A31117" w:rsidRPr="00CA13C6">
        <w:rPr>
          <w:lang w:val="fr-FR"/>
        </w:rPr>
        <w:t>ARTICLE 6 § 2 DE LA CONVENTION</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11</w:t>
      </w:r>
      <w:r w:rsidRPr="00CA13C6">
        <w:rPr>
          <w:lang w:val="fr-FR"/>
        </w:rPr>
        <w:fldChar w:fldCharType="end"/>
      </w:r>
      <w:r w:rsidRPr="00CA13C6">
        <w:rPr>
          <w:lang w:val="fr-FR"/>
        </w:rPr>
        <w:t>.  Le requérant se plaint que les déclarations faites par la cour d</w:t>
      </w:r>
      <w:r w:rsidR="00CA13C6" w:rsidRPr="00CA13C6">
        <w:rPr>
          <w:lang w:val="fr-FR"/>
        </w:rPr>
        <w:t>’</w:t>
      </w:r>
      <w:r w:rsidRPr="00CA13C6">
        <w:rPr>
          <w:lang w:val="fr-FR"/>
        </w:rPr>
        <w:t>appel de Lublin dans les motifs de sa décision du 16 mars 2011 aient porté atteinte à son droit à la présomption d</w:t>
      </w:r>
      <w:r w:rsidR="00CA13C6" w:rsidRPr="00CA13C6">
        <w:rPr>
          <w:lang w:val="fr-FR"/>
        </w:rPr>
        <w:t>’</w:t>
      </w:r>
      <w:r w:rsidRPr="00CA13C6">
        <w:rPr>
          <w:lang w:val="fr-FR"/>
        </w:rPr>
        <w:t>innocence. Il invoque l</w:t>
      </w:r>
      <w:r w:rsidR="00CA13C6" w:rsidRPr="00CA13C6">
        <w:rPr>
          <w:lang w:val="fr-FR"/>
        </w:rPr>
        <w:t>’</w:t>
      </w:r>
      <w:r w:rsidRPr="00CA13C6">
        <w:rPr>
          <w:lang w:val="fr-FR"/>
        </w:rPr>
        <w:t>article 6 § 2 de la Convention, ainsi libellé :</w:t>
      </w:r>
    </w:p>
    <w:p w:rsidR="00A31117" w:rsidRPr="00CA13C6" w:rsidRDefault="00A31117" w:rsidP="00CA13C6">
      <w:pPr>
        <w:pStyle w:val="ECHRParaQuote"/>
        <w:rPr>
          <w:lang w:val="fr-FR"/>
        </w:rPr>
      </w:pPr>
      <w:r w:rsidRPr="00CA13C6">
        <w:rPr>
          <w:lang w:val="fr-FR"/>
        </w:rPr>
        <w:t>« (...)</w:t>
      </w:r>
    </w:p>
    <w:p w:rsidR="00A31117" w:rsidRPr="00CA13C6" w:rsidRDefault="00A31117" w:rsidP="00CA13C6">
      <w:pPr>
        <w:pStyle w:val="ECHRParaQuote"/>
        <w:rPr>
          <w:lang w:val="fr-FR"/>
        </w:rPr>
      </w:pPr>
      <w:r w:rsidRPr="00CA13C6">
        <w:rPr>
          <w:lang w:val="fr-FR"/>
        </w:rPr>
        <w:t>2.  Toute personne accusée d</w:t>
      </w:r>
      <w:r w:rsidR="00CA13C6" w:rsidRPr="00CA13C6">
        <w:rPr>
          <w:lang w:val="fr-FR"/>
        </w:rPr>
        <w:t>’</w:t>
      </w:r>
      <w:r w:rsidRPr="00CA13C6">
        <w:rPr>
          <w:lang w:val="fr-FR"/>
        </w:rPr>
        <w:t>une infraction est présumée innocente jusqu</w:t>
      </w:r>
      <w:r w:rsidR="00CA13C6" w:rsidRPr="00CA13C6">
        <w:rPr>
          <w:lang w:val="fr-FR"/>
        </w:rPr>
        <w:t>’</w:t>
      </w:r>
      <w:r w:rsidRPr="00CA13C6">
        <w:rPr>
          <w:lang w:val="fr-FR"/>
        </w:rPr>
        <w:t>à ce que sa culpabilité ait été légalement établie.</w:t>
      </w:r>
    </w:p>
    <w:p w:rsidR="00A31117" w:rsidRPr="00CA13C6" w:rsidRDefault="00772035" w:rsidP="00CA13C6">
      <w:pPr>
        <w:pStyle w:val="ECHRParaQuote"/>
        <w:rPr>
          <w:lang w:val="fr-FR"/>
        </w:rPr>
      </w:pPr>
      <w:r w:rsidRPr="00CA13C6">
        <w:rPr>
          <w:lang w:val="fr-FR"/>
        </w:rPr>
        <w:t>(...) </w:t>
      </w:r>
      <w:r w:rsidR="00A31117" w:rsidRPr="00CA13C6">
        <w:rPr>
          <w:lang w:val="fr-FR"/>
        </w:rPr>
        <w:t>»</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12</w:t>
      </w:r>
      <w:r w:rsidRPr="00CA13C6">
        <w:rPr>
          <w:lang w:val="fr-FR"/>
        </w:rPr>
        <w:fldChar w:fldCharType="end"/>
      </w:r>
      <w:r w:rsidRPr="00CA13C6">
        <w:rPr>
          <w:lang w:val="fr-FR"/>
        </w:rPr>
        <w:t>.  Le Gouvernement conteste cette thèse.</w:t>
      </w:r>
    </w:p>
    <w:p w:rsidR="00A31117" w:rsidRPr="00CA13C6" w:rsidRDefault="00A31117" w:rsidP="00CA13C6">
      <w:pPr>
        <w:pStyle w:val="ECHRHeading2"/>
        <w:rPr>
          <w:lang w:val="fr-FR"/>
        </w:rPr>
      </w:pPr>
      <w:r w:rsidRPr="00CA13C6">
        <w:rPr>
          <w:lang w:val="fr-FR"/>
        </w:rPr>
        <w:t>A.  Sur la recevabilité</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13</w:t>
      </w:r>
      <w:r w:rsidRPr="00CA13C6">
        <w:rPr>
          <w:lang w:val="fr-FR"/>
        </w:rPr>
        <w:fldChar w:fldCharType="end"/>
      </w:r>
      <w:r w:rsidRPr="00CA13C6">
        <w:rPr>
          <w:lang w:val="fr-FR"/>
        </w:rPr>
        <w:t>.  Le Gouvernent soutient que le requérant n</w:t>
      </w:r>
      <w:r w:rsidR="00CA13C6" w:rsidRPr="00CA13C6">
        <w:rPr>
          <w:lang w:val="fr-FR"/>
        </w:rPr>
        <w:t>’</w:t>
      </w:r>
      <w:r w:rsidRPr="00CA13C6">
        <w:rPr>
          <w:lang w:val="fr-FR"/>
        </w:rPr>
        <w:t>a subi aucun préjudice important du fait de la décision incriminée ; il estime au contraire que celle</w:t>
      </w:r>
      <w:r w:rsidRPr="00CA13C6">
        <w:rPr>
          <w:lang w:val="fr-FR"/>
        </w:rPr>
        <w:noBreakHyphen/>
        <w:t xml:space="preserve">ci lui a été favorable dès lors que la durée de sa détention provisoire </w:t>
      </w:r>
      <w:r w:rsidRPr="00CA13C6">
        <w:rPr>
          <w:lang w:val="fr-FR"/>
        </w:rPr>
        <w:lastRenderedPageBreak/>
        <w:t>aurait été abrégée. Il indique en outre que les déclarations critiquées par l</w:t>
      </w:r>
      <w:r w:rsidR="00CA13C6" w:rsidRPr="00CA13C6">
        <w:rPr>
          <w:lang w:val="fr-FR"/>
        </w:rPr>
        <w:t>’</w:t>
      </w:r>
      <w:r w:rsidRPr="00CA13C6">
        <w:rPr>
          <w:lang w:val="fr-FR"/>
        </w:rPr>
        <w:t>intéressé ont été effectuées par des magistrats autres que ceux appelés à statuer sur la culpabilité de celui-ci. Enfin, la décision en cause aurait figuré parmi de nombreuses autres décisions analogues prononcées à l</w:t>
      </w:r>
      <w:r w:rsidR="00CA13C6" w:rsidRPr="00CA13C6">
        <w:rPr>
          <w:lang w:val="fr-FR"/>
        </w:rPr>
        <w:t>’</w:t>
      </w:r>
      <w:r w:rsidRPr="00CA13C6">
        <w:rPr>
          <w:lang w:val="fr-FR"/>
        </w:rPr>
        <w:t>encontre du requérant.</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14</w:t>
      </w:r>
      <w:r w:rsidRPr="00CA13C6">
        <w:rPr>
          <w:lang w:val="fr-FR"/>
        </w:rPr>
        <w:fldChar w:fldCharType="end"/>
      </w:r>
      <w:r w:rsidRPr="00CA13C6">
        <w:rPr>
          <w:lang w:val="fr-FR"/>
        </w:rPr>
        <w:t>.  Le Gouvernement est d</w:t>
      </w:r>
      <w:r w:rsidR="00CA13C6" w:rsidRPr="00CA13C6">
        <w:rPr>
          <w:lang w:val="fr-FR"/>
        </w:rPr>
        <w:t>’</w:t>
      </w:r>
      <w:r w:rsidRPr="00CA13C6">
        <w:rPr>
          <w:lang w:val="fr-FR"/>
        </w:rPr>
        <w:t>avis que la présente affaire ne fait appara</w:t>
      </w:r>
      <w:r w:rsidRPr="00CA13C6">
        <w:rPr>
          <w:rFonts w:cstheme="minorHAnsi"/>
          <w:lang w:val="fr-FR"/>
        </w:rPr>
        <w:t>î</w:t>
      </w:r>
      <w:r w:rsidRPr="00CA13C6">
        <w:rPr>
          <w:lang w:val="fr-FR"/>
        </w:rPr>
        <w:t>tre aucune nécessité pour la Cour de clarifier les obligations incombant aux États contractants en vertu de la Convention et qu</w:t>
      </w:r>
      <w:r w:rsidR="00CA13C6" w:rsidRPr="00CA13C6">
        <w:rPr>
          <w:lang w:val="fr-FR"/>
        </w:rPr>
        <w:t>’</w:t>
      </w:r>
      <w:r w:rsidRPr="00CA13C6">
        <w:rPr>
          <w:lang w:val="fr-FR"/>
        </w:rPr>
        <w:t>elle n</w:t>
      </w:r>
      <w:r w:rsidR="00CA13C6" w:rsidRPr="00CA13C6">
        <w:rPr>
          <w:lang w:val="fr-FR"/>
        </w:rPr>
        <w:t>’</w:t>
      </w:r>
      <w:r w:rsidRPr="00CA13C6">
        <w:rPr>
          <w:lang w:val="fr-FR"/>
        </w:rPr>
        <w:t>implique pas non plus d</w:t>
      </w:r>
      <w:r w:rsidR="00CA13C6" w:rsidRPr="00CA13C6">
        <w:rPr>
          <w:lang w:val="fr-FR"/>
        </w:rPr>
        <w:t>’</w:t>
      </w:r>
      <w:r w:rsidRPr="00CA13C6">
        <w:rPr>
          <w:lang w:val="fr-FR"/>
        </w:rPr>
        <w:t>obligation pour l</w:t>
      </w:r>
      <w:r w:rsidR="00CA13C6" w:rsidRPr="00CA13C6">
        <w:rPr>
          <w:lang w:val="fr-FR"/>
        </w:rPr>
        <w:t>’</w:t>
      </w:r>
      <w:r w:rsidRPr="00CA13C6">
        <w:rPr>
          <w:lang w:val="fr-FR"/>
        </w:rPr>
        <w:t>État défendeur de résoudre d</w:t>
      </w:r>
      <w:r w:rsidR="00CA13C6" w:rsidRPr="00CA13C6">
        <w:rPr>
          <w:lang w:val="fr-FR"/>
        </w:rPr>
        <w:t>’</w:t>
      </w:r>
      <w:r w:rsidRPr="00CA13C6">
        <w:rPr>
          <w:lang w:val="fr-FR"/>
        </w:rPr>
        <w:t>éventuels problèmes dans son propre ordre juridique susceptibles de toucher d</w:t>
      </w:r>
      <w:r w:rsidR="00CA13C6" w:rsidRPr="00CA13C6">
        <w:rPr>
          <w:lang w:val="fr-FR"/>
        </w:rPr>
        <w:t>’</w:t>
      </w:r>
      <w:r w:rsidRPr="00CA13C6">
        <w:rPr>
          <w:lang w:val="fr-FR"/>
        </w:rPr>
        <w:t>autres personnes se trouvant dans une situation analogue à celle du requérant.</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15</w:t>
      </w:r>
      <w:r w:rsidRPr="00CA13C6">
        <w:rPr>
          <w:lang w:val="fr-FR"/>
        </w:rPr>
        <w:fldChar w:fldCharType="end"/>
      </w:r>
      <w:r w:rsidRPr="00CA13C6">
        <w:rPr>
          <w:lang w:val="fr-FR"/>
        </w:rPr>
        <w:t>.  La Cour observe que, d</w:t>
      </w:r>
      <w:r w:rsidR="00CA13C6" w:rsidRPr="00CA13C6">
        <w:rPr>
          <w:lang w:val="fr-FR"/>
        </w:rPr>
        <w:t>’</w:t>
      </w:r>
      <w:r w:rsidRPr="00CA13C6">
        <w:rPr>
          <w:lang w:val="fr-FR"/>
        </w:rPr>
        <w:t>après l</w:t>
      </w:r>
      <w:r w:rsidR="00CA13C6" w:rsidRPr="00CA13C6">
        <w:rPr>
          <w:lang w:val="fr-FR"/>
        </w:rPr>
        <w:t>’</w:t>
      </w:r>
      <w:r w:rsidRPr="00CA13C6">
        <w:rPr>
          <w:lang w:val="fr-FR"/>
        </w:rPr>
        <w:t>article 35 § 3 b) de la Convention, une affaire n</w:t>
      </w:r>
      <w:r w:rsidR="00CA13C6" w:rsidRPr="00CA13C6">
        <w:rPr>
          <w:lang w:val="fr-FR"/>
        </w:rPr>
        <w:t>’</w:t>
      </w:r>
      <w:r w:rsidRPr="00CA13C6">
        <w:rPr>
          <w:lang w:val="fr-FR"/>
        </w:rPr>
        <w:t>ayant pas été dûment examinée par un tribunal interne ne peut être rejetée au motif de l</w:t>
      </w:r>
      <w:r w:rsidR="00CA13C6" w:rsidRPr="00CA13C6">
        <w:rPr>
          <w:lang w:val="fr-FR"/>
        </w:rPr>
        <w:t>’</w:t>
      </w:r>
      <w:r w:rsidRPr="00CA13C6">
        <w:rPr>
          <w:lang w:val="fr-FR"/>
        </w:rPr>
        <w:t>absence de préjudice important subi par le requérant (</w:t>
      </w:r>
      <w:r w:rsidRPr="00CA13C6">
        <w:rPr>
          <w:i/>
          <w:lang w:val="fr-FR"/>
        </w:rPr>
        <w:t>Dudek c. Allemagne</w:t>
      </w:r>
      <w:r w:rsidRPr="00CA13C6">
        <w:rPr>
          <w:lang w:val="fr-FR"/>
        </w:rPr>
        <w:t xml:space="preserve"> (déc.), n</w:t>
      </w:r>
      <w:r w:rsidRPr="00CA13C6">
        <w:rPr>
          <w:vertAlign w:val="superscript"/>
          <w:lang w:val="fr-FR"/>
        </w:rPr>
        <w:t>o</w:t>
      </w:r>
      <w:r w:rsidRPr="00CA13C6">
        <w:rPr>
          <w:lang w:val="fr-FR"/>
        </w:rPr>
        <w:t xml:space="preserve"> 129777/09 et suiv., 23 novembre 2010, et </w:t>
      </w:r>
      <w:r w:rsidRPr="00CA13C6">
        <w:rPr>
          <w:i/>
          <w:lang w:val="fr-FR"/>
        </w:rPr>
        <w:t xml:space="preserve">Rinck c. France </w:t>
      </w:r>
      <w:r w:rsidRPr="00CA13C6">
        <w:rPr>
          <w:lang w:val="fr-FR"/>
        </w:rPr>
        <w:t>(déc.), n</w:t>
      </w:r>
      <w:r w:rsidRPr="00CA13C6">
        <w:rPr>
          <w:vertAlign w:val="superscript"/>
          <w:lang w:val="fr-FR"/>
        </w:rPr>
        <w:t>o</w:t>
      </w:r>
      <w:r w:rsidRPr="00CA13C6">
        <w:rPr>
          <w:lang w:val="fr-FR"/>
        </w:rPr>
        <w:t xml:space="preserve"> 18774/09, 19 octobre 2010). En l</w:t>
      </w:r>
      <w:r w:rsidR="00CA13C6" w:rsidRPr="00CA13C6">
        <w:rPr>
          <w:lang w:val="fr-FR"/>
        </w:rPr>
        <w:t>’</w:t>
      </w:r>
      <w:r w:rsidRPr="00CA13C6">
        <w:rPr>
          <w:lang w:val="fr-FR"/>
        </w:rPr>
        <w:t>espèce, il n</w:t>
      </w:r>
      <w:r w:rsidR="00CA13C6" w:rsidRPr="00CA13C6">
        <w:rPr>
          <w:lang w:val="fr-FR"/>
        </w:rPr>
        <w:t>’</w:t>
      </w:r>
      <w:r w:rsidRPr="00CA13C6">
        <w:rPr>
          <w:lang w:val="fr-FR"/>
        </w:rPr>
        <w:t>appara</w:t>
      </w:r>
      <w:r w:rsidRPr="00CA13C6">
        <w:rPr>
          <w:rFonts w:cstheme="minorHAnsi"/>
          <w:lang w:val="fr-FR"/>
        </w:rPr>
        <w:t>î</w:t>
      </w:r>
      <w:r w:rsidRPr="00CA13C6">
        <w:rPr>
          <w:lang w:val="fr-FR"/>
        </w:rPr>
        <w:t>t pas que le requérant ait eu à sa disposition un quelconque recours lui permettant de se plaindre de la violation alléguée de la Convention devant les autorités nationales (paragraphe 8 ci-dessus).</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16</w:t>
      </w:r>
      <w:r w:rsidRPr="00CA13C6">
        <w:rPr>
          <w:lang w:val="fr-FR"/>
        </w:rPr>
        <w:fldChar w:fldCharType="end"/>
      </w:r>
      <w:r w:rsidRPr="00CA13C6">
        <w:rPr>
          <w:lang w:val="fr-FR"/>
        </w:rPr>
        <w:t>.  Partant, la Cour rejette l</w:t>
      </w:r>
      <w:r w:rsidR="00CA13C6" w:rsidRPr="00CA13C6">
        <w:rPr>
          <w:lang w:val="fr-FR"/>
        </w:rPr>
        <w:t>’</w:t>
      </w:r>
      <w:r w:rsidRPr="00CA13C6">
        <w:rPr>
          <w:lang w:val="fr-FR"/>
        </w:rPr>
        <w:t>exception tirée de l</w:t>
      </w:r>
      <w:r w:rsidR="00CA13C6" w:rsidRPr="00CA13C6">
        <w:rPr>
          <w:lang w:val="fr-FR"/>
        </w:rPr>
        <w:t>’</w:t>
      </w:r>
      <w:r w:rsidRPr="00CA13C6">
        <w:rPr>
          <w:lang w:val="fr-FR"/>
        </w:rPr>
        <w:t>absence de préjudice important subi par le requérant.</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17</w:t>
      </w:r>
      <w:r w:rsidRPr="00CA13C6">
        <w:rPr>
          <w:lang w:val="fr-FR"/>
        </w:rPr>
        <w:fldChar w:fldCharType="end"/>
      </w:r>
      <w:r w:rsidRPr="00CA13C6">
        <w:rPr>
          <w:lang w:val="fr-FR"/>
        </w:rPr>
        <w:t>.  Constatant que la requête n</w:t>
      </w:r>
      <w:r w:rsidR="00CA13C6" w:rsidRPr="00CA13C6">
        <w:rPr>
          <w:lang w:val="fr-FR"/>
        </w:rPr>
        <w:t>’</w:t>
      </w:r>
      <w:r w:rsidRPr="00CA13C6">
        <w:rPr>
          <w:lang w:val="fr-FR"/>
        </w:rPr>
        <w:t>est pas manifestement mal fondée au sens de l</w:t>
      </w:r>
      <w:r w:rsidR="00CA13C6" w:rsidRPr="00CA13C6">
        <w:rPr>
          <w:lang w:val="fr-FR"/>
        </w:rPr>
        <w:t>’</w:t>
      </w:r>
      <w:r w:rsidRPr="00CA13C6">
        <w:rPr>
          <w:lang w:val="fr-FR"/>
        </w:rPr>
        <w:t>article 35 § 3 a) de la Convention et qu</w:t>
      </w:r>
      <w:r w:rsidR="00CA13C6" w:rsidRPr="00CA13C6">
        <w:rPr>
          <w:lang w:val="fr-FR"/>
        </w:rPr>
        <w:t>’</w:t>
      </w:r>
      <w:r w:rsidRPr="00CA13C6">
        <w:rPr>
          <w:lang w:val="fr-FR"/>
        </w:rPr>
        <w:t>elle ne se heurte par ailleurs à aucun autre motif d</w:t>
      </w:r>
      <w:r w:rsidR="00CA13C6" w:rsidRPr="00CA13C6">
        <w:rPr>
          <w:lang w:val="fr-FR"/>
        </w:rPr>
        <w:t>’</w:t>
      </w:r>
      <w:r w:rsidRPr="00CA13C6">
        <w:rPr>
          <w:lang w:val="fr-FR"/>
        </w:rPr>
        <w:t>irrecevabilité, la Cour la déclare recevable.</w:t>
      </w:r>
    </w:p>
    <w:p w:rsidR="00A31117" w:rsidRPr="00CA13C6" w:rsidRDefault="00A31117" w:rsidP="00CA13C6">
      <w:pPr>
        <w:pStyle w:val="ECHRHeading2"/>
        <w:rPr>
          <w:lang w:val="fr-FR"/>
        </w:rPr>
      </w:pPr>
      <w:r w:rsidRPr="00CA13C6">
        <w:rPr>
          <w:lang w:val="fr-FR"/>
        </w:rPr>
        <w:t>B.  Sur le fond</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18</w:t>
      </w:r>
      <w:r w:rsidRPr="00CA13C6">
        <w:rPr>
          <w:lang w:val="fr-FR"/>
        </w:rPr>
        <w:fldChar w:fldCharType="end"/>
      </w:r>
      <w:r w:rsidRPr="00CA13C6">
        <w:rPr>
          <w:lang w:val="fr-FR"/>
        </w:rPr>
        <w:t>.  Le requérant soutient que la cour d</w:t>
      </w:r>
      <w:r w:rsidR="00CA13C6" w:rsidRPr="00CA13C6">
        <w:rPr>
          <w:lang w:val="fr-FR"/>
        </w:rPr>
        <w:t>’</w:t>
      </w:r>
      <w:r w:rsidRPr="00CA13C6">
        <w:rPr>
          <w:lang w:val="fr-FR"/>
        </w:rPr>
        <w:t>appel de Lublin a employé des termes laissant entendre qu</w:t>
      </w:r>
      <w:r w:rsidR="00CA13C6" w:rsidRPr="00CA13C6">
        <w:rPr>
          <w:lang w:val="fr-FR"/>
        </w:rPr>
        <w:t>’</w:t>
      </w:r>
      <w:r w:rsidRPr="00CA13C6">
        <w:rPr>
          <w:lang w:val="fr-FR"/>
        </w:rPr>
        <w:t>il avait commis les faits reprochés. Il ajoute que ces propos ont été tenus au stade préliminaire de l</w:t>
      </w:r>
      <w:r w:rsidR="00CA13C6" w:rsidRPr="00CA13C6">
        <w:rPr>
          <w:lang w:val="fr-FR"/>
        </w:rPr>
        <w:t>’</w:t>
      </w:r>
      <w:r w:rsidRPr="00CA13C6">
        <w:rPr>
          <w:lang w:val="fr-FR"/>
        </w:rPr>
        <w:t>instruction.</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19</w:t>
      </w:r>
      <w:r w:rsidRPr="00CA13C6">
        <w:rPr>
          <w:lang w:val="fr-FR"/>
        </w:rPr>
        <w:fldChar w:fldCharType="end"/>
      </w:r>
      <w:r w:rsidRPr="00CA13C6">
        <w:rPr>
          <w:lang w:val="fr-FR"/>
        </w:rPr>
        <w:t>.  Le Gouvernement estime que l</w:t>
      </w:r>
      <w:r w:rsidR="00CA13C6" w:rsidRPr="00CA13C6">
        <w:rPr>
          <w:lang w:val="fr-FR"/>
        </w:rPr>
        <w:t>’</w:t>
      </w:r>
      <w:r w:rsidRPr="00CA13C6">
        <w:rPr>
          <w:lang w:val="fr-FR"/>
        </w:rPr>
        <w:t>article 6 § 2 de la Convention n</w:t>
      </w:r>
      <w:r w:rsidR="00CA13C6" w:rsidRPr="00CA13C6">
        <w:rPr>
          <w:lang w:val="fr-FR"/>
        </w:rPr>
        <w:t>’</w:t>
      </w:r>
      <w:r w:rsidRPr="00CA13C6">
        <w:rPr>
          <w:lang w:val="fr-FR"/>
        </w:rPr>
        <w:t>a pas été violé en l</w:t>
      </w:r>
      <w:r w:rsidR="00CA13C6" w:rsidRPr="00CA13C6">
        <w:rPr>
          <w:lang w:val="fr-FR"/>
        </w:rPr>
        <w:t>’</w:t>
      </w:r>
      <w:r w:rsidRPr="00CA13C6">
        <w:rPr>
          <w:lang w:val="fr-FR"/>
        </w:rPr>
        <w:t>espèce. Selon lui, l</w:t>
      </w:r>
      <w:r w:rsidR="00CA13C6" w:rsidRPr="00CA13C6">
        <w:rPr>
          <w:lang w:val="fr-FR"/>
        </w:rPr>
        <w:t>’</w:t>
      </w:r>
      <w:r w:rsidRPr="00CA13C6">
        <w:rPr>
          <w:lang w:val="fr-FR"/>
        </w:rPr>
        <w:t>analyse de la formulation de la phrase incriminée à la lumière de la décision attaquée dans son ensemble fait appara</w:t>
      </w:r>
      <w:r w:rsidRPr="00CA13C6">
        <w:rPr>
          <w:rFonts w:cstheme="minorHAnsi"/>
          <w:lang w:val="fr-FR"/>
        </w:rPr>
        <w:t>î</w:t>
      </w:r>
      <w:r w:rsidRPr="00CA13C6">
        <w:rPr>
          <w:lang w:val="fr-FR"/>
        </w:rPr>
        <w:t>tre que la première était une erreur glissée dans la deuxième et qu</w:t>
      </w:r>
      <w:r w:rsidR="00CA13C6" w:rsidRPr="00CA13C6">
        <w:rPr>
          <w:lang w:val="fr-FR"/>
        </w:rPr>
        <w:t>’</w:t>
      </w:r>
      <w:r w:rsidRPr="00CA13C6">
        <w:rPr>
          <w:lang w:val="fr-FR"/>
        </w:rPr>
        <w:t>elle n</w:t>
      </w:r>
      <w:r w:rsidR="00CA13C6" w:rsidRPr="00CA13C6">
        <w:rPr>
          <w:lang w:val="fr-FR"/>
        </w:rPr>
        <w:t>’</w:t>
      </w:r>
      <w:r w:rsidRPr="00CA13C6">
        <w:rPr>
          <w:lang w:val="fr-FR"/>
        </w:rPr>
        <w:t>était pas l</w:t>
      </w:r>
      <w:r w:rsidR="00CA13C6" w:rsidRPr="00CA13C6">
        <w:rPr>
          <w:lang w:val="fr-FR"/>
        </w:rPr>
        <w:t>’</w:t>
      </w:r>
      <w:r w:rsidRPr="00CA13C6">
        <w:rPr>
          <w:lang w:val="fr-FR"/>
        </w:rPr>
        <w:t>opinion des magistrats quant à la culpabilité de l</w:t>
      </w:r>
      <w:r w:rsidR="00CA13C6" w:rsidRPr="00CA13C6">
        <w:rPr>
          <w:lang w:val="fr-FR"/>
        </w:rPr>
        <w:t>’</w:t>
      </w:r>
      <w:r w:rsidRPr="00CA13C6">
        <w:rPr>
          <w:lang w:val="fr-FR"/>
        </w:rPr>
        <w:t>intéressé. Le Gouvernement indique, dans ce contexte, que, dans les motifs de sa décision, la cour d</w:t>
      </w:r>
      <w:r w:rsidR="00CA13C6" w:rsidRPr="00CA13C6">
        <w:rPr>
          <w:lang w:val="fr-FR"/>
        </w:rPr>
        <w:t>’</w:t>
      </w:r>
      <w:r w:rsidRPr="00CA13C6">
        <w:rPr>
          <w:lang w:val="fr-FR"/>
        </w:rPr>
        <w:t>appel s</w:t>
      </w:r>
      <w:r w:rsidR="00CA13C6" w:rsidRPr="00CA13C6">
        <w:rPr>
          <w:lang w:val="fr-FR"/>
        </w:rPr>
        <w:t>’</w:t>
      </w:r>
      <w:r w:rsidRPr="00CA13C6">
        <w:rPr>
          <w:lang w:val="fr-FR"/>
        </w:rPr>
        <w:t>est référée au requérant en tant que « suspect » à dix occasions et qu</w:t>
      </w:r>
      <w:r w:rsidR="00CA13C6" w:rsidRPr="00CA13C6">
        <w:rPr>
          <w:lang w:val="fr-FR"/>
        </w:rPr>
        <w:t>’</w:t>
      </w:r>
      <w:r w:rsidRPr="00CA13C6">
        <w:rPr>
          <w:lang w:val="fr-FR"/>
        </w:rPr>
        <w:t>elle a fait notamment la déclaration suivante : « (...) il suffit que les preuves recueillies permettent [à une juridiction] de conclure qu</w:t>
      </w:r>
      <w:r w:rsidR="00CA13C6" w:rsidRPr="00CA13C6">
        <w:rPr>
          <w:lang w:val="fr-FR"/>
        </w:rPr>
        <w:t>’</w:t>
      </w:r>
      <w:r w:rsidRPr="00CA13C6">
        <w:rPr>
          <w:lang w:val="fr-FR"/>
        </w:rPr>
        <w:t>il est très probable que les suspects aient commis les infractions reprochées, et que cette condition soit remplie en l</w:t>
      </w:r>
      <w:r w:rsidR="00CA13C6" w:rsidRPr="00CA13C6">
        <w:rPr>
          <w:lang w:val="fr-FR"/>
        </w:rPr>
        <w:t>’</w:t>
      </w:r>
      <w:r w:rsidRPr="00CA13C6">
        <w:rPr>
          <w:lang w:val="fr-FR"/>
        </w:rPr>
        <w:t>espèce, ce qui de toute évidence ne signifie pas que la culpabilité des suspects aurait été établie ». Selon le Gouvernement, les déclarations susmentionnées prouvent que la cour d</w:t>
      </w:r>
      <w:r w:rsidR="00CA13C6" w:rsidRPr="00CA13C6">
        <w:rPr>
          <w:lang w:val="fr-FR"/>
        </w:rPr>
        <w:t>’</w:t>
      </w:r>
      <w:r w:rsidRPr="00CA13C6">
        <w:rPr>
          <w:lang w:val="fr-FR"/>
        </w:rPr>
        <w:t xml:space="preserve">appel a considéré le requérant comme suspect et non </w:t>
      </w:r>
      <w:r w:rsidRPr="00CA13C6">
        <w:rPr>
          <w:lang w:val="fr-FR"/>
        </w:rPr>
        <w:lastRenderedPageBreak/>
        <w:t>pas comme coupable. Toujours selon lui, si la cour d</w:t>
      </w:r>
      <w:r w:rsidR="00CA13C6" w:rsidRPr="00CA13C6">
        <w:rPr>
          <w:lang w:val="fr-FR"/>
        </w:rPr>
        <w:t>’</w:t>
      </w:r>
      <w:r w:rsidRPr="00CA13C6">
        <w:rPr>
          <w:lang w:val="fr-FR"/>
        </w:rPr>
        <w:t>appel avait été convaincue de la culpabilité du requérant, elle ne se serait pas prononcée en ces termes.</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20</w:t>
      </w:r>
      <w:r w:rsidRPr="00CA13C6">
        <w:rPr>
          <w:lang w:val="fr-FR"/>
        </w:rPr>
        <w:fldChar w:fldCharType="end"/>
      </w:r>
      <w:r w:rsidRPr="00CA13C6">
        <w:rPr>
          <w:lang w:val="fr-FR"/>
        </w:rPr>
        <w:t>.  Le Gouvernement insiste pour dire que la présente espèce se distingue de l</w:t>
      </w:r>
      <w:r w:rsidR="00CA13C6" w:rsidRPr="00CA13C6">
        <w:rPr>
          <w:lang w:val="fr-FR"/>
        </w:rPr>
        <w:t>’</w:t>
      </w:r>
      <w:r w:rsidRPr="00CA13C6">
        <w:rPr>
          <w:lang w:val="fr-FR"/>
        </w:rPr>
        <w:t xml:space="preserve">affaire </w:t>
      </w:r>
      <w:r w:rsidRPr="00CA13C6">
        <w:rPr>
          <w:i/>
          <w:lang w:val="fr-FR"/>
        </w:rPr>
        <w:t xml:space="preserve">Garycki c. Pologne </w:t>
      </w:r>
      <w:r w:rsidRPr="00CA13C6">
        <w:rPr>
          <w:lang w:val="fr-FR"/>
        </w:rPr>
        <w:t>(n</w:t>
      </w:r>
      <w:r w:rsidRPr="00CA13C6">
        <w:rPr>
          <w:vertAlign w:val="superscript"/>
          <w:lang w:val="fr-FR"/>
        </w:rPr>
        <w:t>o</w:t>
      </w:r>
      <w:r w:rsidRPr="00CA13C6">
        <w:rPr>
          <w:i/>
          <w:lang w:val="fr-FR"/>
        </w:rPr>
        <w:t xml:space="preserve"> </w:t>
      </w:r>
      <w:r w:rsidRPr="00CA13C6">
        <w:rPr>
          <w:lang w:val="fr-FR"/>
        </w:rPr>
        <w:t>14348/02, 6 février 2007), dans laquelle la violation de l</w:t>
      </w:r>
      <w:r w:rsidR="00CA13C6" w:rsidRPr="00CA13C6">
        <w:rPr>
          <w:lang w:val="fr-FR"/>
        </w:rPr>
        <w:t>’</w:t>
      </w:r>
      <w:r w:rsidRPr="00CA13C6">
        <w:rPr>
          <w:lang w:val="fr-FR"/>
        </w:rPr>
        <w:t>article 6 § 2 de la Convention aurait été constatée en raison des déclarations effectuées à plusieurs occasions en des termes non équivoques dans les motifs d</w:t>
      </w:r>
      <w:r w:rsidR="00CA13C6" w:rsidRPr="00CA13C6">
        <w:rPr>
          <w:lang w:val="fr-FR"/>
        </w:rPr>
        <w:t>’</w:t>
      </w:r>
      <w:r w:rsidRPr="00CA13C6">
        <w:rPr>
          <w:lang w:val="fr-FR"/>
        </w:rPr>
        <w:t>une décision juridictionnelle comptant plus de dix-sept pages, en ce que, en l</w:t>
      </w:r>
      <w:r w:rsidR="00CA13C6" w:rsidRPr="00CA13C6">
        <w:rPr>
          <w:lang w:val="fr-FR"/>
        </w:rPr>
        <w:t>’</w:t>
      </w:r>
      <w:r w:rsidRPr="00CA13C6">
        <w:rPr>
          <w:lang w:val="fr-FR"/>
        </w:rPr>
        <w:t>occurrence, dans les motifs, très succincts, de sa décision, la cour d</w:t>
      </w:r>
      <w:r w:rsidR="00CA13C6" w:rsidRPr="00CA13C6">
        <w:rPr>
          <w:lang w:val="fr-FR"/>
        </w:rPr>
        <w:t>’</w:t>
      </w:r>
      <w:r w:rsidRPr="00CA13C6">
        <w:rPr>
          <w:lang w:val="fr-FR"/>
        </w:rPr>
        <w:t>appel aurait fait une seule déclaration controversée.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21</w:t>
      </w:r>
      <w:r w:rsidRPr="00CA13C6">
        <w:rPr>
          <w:lang w:val="fr-FR"/>
        </w:rPr>
        <w:fldChar w:fldCharType="end"/>
      </w:r>
      <w:r w:rsidRPr="00CA13C6">
        <w:rPr>
          <w:lang w:val="fr-FR"/>
        </w:rPr>
        <w:t>.  La Cour rappelle que la présomption d</w:t>
      </w:r>
      <w:r w:rsidR="00CA13C6" w:rsidRPr="00CA13C6">
        <w:rPr>
          <w:lang w:val="fr-FR"/>
        </w:rPr>
        <w:t>’</w:t>
      </w:r>
      <w:r w:rsidRPr="00CA13C6">
        <w:rPr>
          <w:lang w:val="fr-FR"/>
        </w:rPr>
        <w:t>innocence se trouve méconnue si une décision judiciaire concernant un prévenu reflète le sentiment que celui-ci est coupable alors que sa culpabilité n</w:t>
      </w:r>
      <w:r w:rsidR="00CA13C6" w:rsidRPr="00CA13C6">
        <w:rPr>
          <w:lang w:val="fr-FR"/>
        </w:rPr>
        <w:t>’</w:t>
      </w:r>
      <w:r w:rsidRPr="00CA13C6">
        <w:rPr>
          <w:lang w:val="fr-FR"/>
        </w:rPr>
        <w:t>a pas été légalement établie au préalable. Il suffit, même en l</w:t>
      </w:r>
      <w:r w:rsidR="00CA13C6" w:rsidRPr="00CA13C6">
        <w:rPr>
          <w:lang w:val="fr-FR"/>
        </w:rPr>
        <w:t>’</w:t>
      </w:r>
      <w:r w:rsidRPr="00CA13C6">
        <w:rPr>
          <w:lang w:val="fr-FR"/>
        </w:rPr>
        <w:t>absence de constat formel, d</w:t>
      </w:r>
      <w:r w:rsidR="00CA13C6" w:rsidRPr="00CA13C6">
        <w:rPr>
          <w:lang w:val="fr-FR"/>
        </w:rPr>
        <w:t>’</w:t>
      </w:r>
      <w:r w:rsidRPr="00CA13C6">
        <w:rPr>
          <w:lang w:val="fr-FR"/>
        </w:rPr>
        <w:t>une motivation donnant à penser que le juge considère l</w:t>
      </w:r>
      <w:r w:rsidR="00CA13C6" w:rsidRPr="00CA13C6">
        <w:rPr>
          <w:lang w:val="fr-FR"/>
        </w:rPr>
        <w:t>’</w:t>
      </w:r>
      <w:r w:rsidRPr="00CA13C6">
        <w:rPr>
          <w:lang w:val="fr-FR"/>
        </w:rPr>
        <w:t>intéressé comme coupable (voir, parmi beaucoup d</w:t>
      </w:r>
      <w:r w:rsidR="00CA13C6" w:rsidRPr="00CA13C6">
        <w:rPr>
          <w:lang w:val="fr-FR"/>
        </w:rPr>
        <w:t>’</w:t>
      </w:r>
      <w:r w:rsidRPr="00CA13C6">
        <w:rPr>
          <w:lang w:val="fr-FR"/>
        </w:rPr>
        <w:t xml:space="preserve">autres, </w:t>
      </w:r>
      <w:r w:rsidRPr="00CA13C6">
        <w:rPr>
          <w:i/>
          <w:lang w:val="fr-FR"/>
        </w:rPr>
        <w:t>Puig Panella c. Espagne</w:t>
      </w:r>
      <w:r w:rsidRPr="00CA13C6">
        <w:rPr>
          <w:lang w:val="fr-FR"/>
        </w:rPr>
        <w:t>, n</w:t>
      </w:r>
      <w:r w:rsidRPr="00CA13C6">
        <w:rPr>
          <w:vertAlign w:val="superscript"/>
          <w:lang w:val="fr-FR"/>
        </w:rPr>
        <w:t>o</w:t>
      </w:r>
      <w:r w:rsidRPr="00CA13C6">
        <w:rPr>
          <w:lang w:val="fr-FR"/>
        </w:rPr>
        <w:t> 1483/02, § 51, 25 avril 2006). À cet égard, la Cour souligne l</w:t>
      </w:r>
      <w:r w:rsidR="00CA13C6" w:rsidRPr="00CA13C6">
        <w:rPr>
          <w:lang w:val="fr-FR"/>
        </w:rPr>
        <w:t>’</w:t>
      </w:r>
      <w:r w:rsidRPr="00CA13C6">
        <w:rPr>
          <w:lang w:val="fr-FR"/>
        </w:rPr>
        <w:t>importance du choix des termes par les agents de l</w:t>
      </w:r>
      <w:r w:rsidR="00CA13C6" w:rsidRPr="00CA13C6">
        <w:rPr>
          <w:lang w:val="fr-FR"/>
        </w:rPr>
        <w:t>’</w:t>
      </w:r>
      <w:r w:rsidRPr="00CA13C6">
        <w:rPr>
          <w:lang w:val="fr-FR"/>
        </w:rPr>
        <w:t>État dans les déclarations qu</w:t>
      </w:r>
      <w:r w:rsidR="00CA13C6" w:rsidRPr="00CA13C6">
        <w:rPr>
          <w:lang w:val="fr-FR"/>
        </w:rPr>
        <w:t>’</w:t>
      </w:r>
      <w:r w:rsidRPr="00CA13C6">
        <w:rPr>
          <w:lang w:val="fr-FR"/>
        </w:rPr>
        <w:t>ils formulent avant qu</w:t>
      </w:r>
      <w:r w:rsidR="00CA13C6" w:rsidRPr="00CA13C6">
        <w:rPr>
          <w:lang w:val="fr-FR"/>
        </w:rPr>
        <w:t>’</w:t>
      </w:r>
      <w:r w:rsidRPr="00CA13C6">
        <w:rPr>
          <w:lang w:val="fr-FR"/>
        </w:rPr>
        <w:t>une personne n</w:t>
      </w:r>
      <w:r w:rsidR="00CA13C6" w:rsidRPr="00CA13C6">
        <w:rPr>
          <w:lang w:val="fr-FR"/>
        </w:rPr>
        <w:t>’</w:t>
      </w:r>
      <w:r w:rsidRPr="00CA13C6">
        <w:rPr>
          <w:lang w:val="fr-FR"/>
        </w:rPr>
        <w:t>ait été jugée et reconnue coupable d</w:t>
      </w:r>
      <w:r w:rsidR="00CA13C6" w:rsidRPr="00CA13C6">
        <w:rPr>
          <w:lang w:val="fr-FR"/>
        </w:rPr>
        <w:t>’</w:t>
      </w:r>
      <w:r w:rsidRPr="00CA13C6">
        <w:rPr>
          <w:lang w:val="fr-FR"/>
        </w:rPr>
        <w:t>une infraction (</w:t>
      </w:r>
      <w:r w:rsidRPr="00CA13C6">
        <w:rPr>
          <w:i/>
          <w:lang w:val="fr-FR"/>
        </w:rPr>
        <w:t>Daktaras c. Lituanie</w:t>
      </w:r>
      <w:r w:rsidRPr="00CA13C6">
        <w:rPr>
          <w:lang w:val="fr-FR"/>
        </w:rPr>
        <w:t>, n</w:t>
      </w:r>
      <w:r w:rsidRPr="00CA13C6">
        <w:rPr>
          <w:vertAlign w:val="superscript"/>
          <w:lang w:val="fr-FR"/>
        </w:rPr>
        <w:t>o</w:t>
      </w:r>
      <w:r w:rsidRPr="00CA13C6">
        <w:rPr>
          <w:lang w:val="fr-FR"/>
        </w:rPr>
        <w:t xml:space="preserve"> 42095/98, § 44, CEDH 2000-X).</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22</w:t>
      </w:r>
      <w:r w:rsidRPr="00CA13C6">
        <w:rPr>
          <w:lang w:val="fr-FR"/>
        </w:rPr>
        <w:fldChar w:fldCharType="end"/>
      </w:r>
      <w:r w:rsidRPr="00CA13C6">
        <w:rPr>
          <w:lang w:val="fr-FR"/>
        </w:rPr>
        <w:t>.  La Cour rappelle encore que le point de savoir si les propos d</w:t>
      </w:r>
      <w:r w:rsidR="00CA13C6" w:rsidRPr="00CA13C6">
        <w:rPr>
          <w:lang w:val="fr-FR"/>
        </w:rPr>
        <w:t>’</w:t>
      </w:r>
      <w:r w:rsidRPr="00CA13C6">
        <w:rPr>
          <w:lang w:val="fr-FR"/>
        </w:rPr>
        <w:t>un juge d</w:t>
      </w:r>
      <w:r w:rsidR="00CA13C6" w:rsidRPr="00CA13C6">
        <w:rPr>
          <w:lang w:val="fr-FR"/>
        </w:rPr>
        <w:t>’</w:t>
      </w:r>
      <w:r w:rsidRPr="00CA13C6">
        <w:rPr>
          <w:lang w:val="fr-FR"/>
        </w:rPr>
        <w:t>instruction, membre du pouvoir judiciaire, constituent une violation du principe de la présomption d</w:t>
      </w:r>
      <w:r w:rsidR="00CA13C6" w:rsidRPr="00CA13C6">
        <w:rPr>
          <w:lang w:val="fr-FR"/>
        </w:rPr>
        <w:t>’</w:t>
      </w:r>
      <w:r w:rsidRPr="00CA13C6">
        <w:rPr>
          <w:lang w:val="fr-FR"/>
        </w:rPr>
        <w:t>innocence doit être tranché dans le contexte des circonstances particulières dans lesquelles ceux-ci ont été formulés, en tenant compte du fait que les déclarations des juges font l</w:t>
      </w:r>
      <w:r w:rsidR="00CA13C6" w:rsidRPr="00CA13C6">
        <w:rPr>
          <w:lang w:val="fr-FR"/>
        </w:rPr>
        <w:t>’</w:t>
      </w:r>
      <w:r w:rsidRPr="00CA13C6">
        <w:rPr>
          <w:lang w:val="fr-FR"/>
        </w:rPr>
        <w:t>objet d</w:t>
      </w:r>
      <w:r w:rsidR="00CA13C6" w:rsidRPr="00CA13C6">
        <w:rPr>
          <w:lang w:val="fr-FR"/>
        </w:rPr>
        <w:t>’</w:t>
      </w:r>
      <w:r w:rsidRPr="00CA13C6">
        <w:rPr>
          <w:lang w:val="fr-FR"/>
        </w:rPr>
        <w:t>un examen plus approfondi que celles qui concernent les autorités d</w:t>
      </w:r>
      <w:r w:rsidR="00CA13C6" w:rsidRPr="00CA13C6">
        <w:rPr>
          <w:lang w:val="fr-FR"/>
        </w:rPr>
        <w:t>’</w:t>
      </w:r>
      <w:r w:rsidRPr="00CA13C6">
        <w:rPr>
          <w:lang w:val="fr-FR"/>
        </w:rPr>
        <w:t>investigation comme la police et le parquet (</w:t>
      </w:r>
      <w:r w:rsidRPr="00CA13C6">
        <w:rPr>
          <w:i/>
          <w:lang w:val="fr-FR"/>
        </w:rPr>
        <w:t>Pandy c. Belgique</w:t>
      </w:r>
      <w:r w:rsidRPr="00CA13C6">
        <w:rPr>
          <w:lang w:val="fr-FR"/>
        </w:rPr>
        <w:t>, n</w:t>
      </w:r>
      <w:r w:rsidRPr="00CA13C6">
        <w:rPr>
          <w:vertAlign w:val="superscript"/>
          <w:lang w:val="fr-FR"/>
        </w:rPr>
        <w:t>o</w:t>
      </w:r>
      <w:r w:rsidRPr="00CA13C6">
        <w:rPr>
          <w:lang w:val="fr-FR"/>
        </w:rPr>
        <w:t> 13583/02, § 43, 21 septembre 2006).</w:t>
      </w:r>
    </w:p>
    <w:p w:rsidR="00A31117" w:rsidRPr="00CA13C6" w:rsidRDefault="00A31117" w:rsidP="00CA13C6">
      <w:pPr>
        <w:pStyle w:val="ECHRPara"/>
        <w:rPr>
          <w:szCs w:val="24"/>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23</w:t>
      </w:r>
      <w:r w:rsidRPr="00CA13C6">
        <w:rPr>
          <w:lang w:val="fr-FR"/>
        </w:rPr>
        <w:fldChar w:fldCharType="end"/>
      </w:r>
      <w:r w:rsidRPr="00CA13C6">
        <w:rPr>
          <w:lang w:val="fr-FR"/>
        </w:rPr>
        <w:t>.  En l</w:t>
      </w:r>
      <w:r w:rsidR="00CA13C6" w:rsidRPr="00CA13C6">
        <w:rPr>
          <w:lang w:val="fr-FR"/>
        </w:rPr>
        <w:t>’</w:t>
      </w:r>
      <w:r w:rsidRPr="00CA13C6">
        <w:rPr>
          <w:lang w:val="fr-FR"/>
        </w:rPr>
        <w:t>espèce, la Cour relève que les propos incriminés ont été tenus par les magistrats de la cour d</w:t>
      </w:r>
      <w:r w:rsidR="00CA13C6" w:rsidRPr="00CA13C6">
        <w:rPr>
          <w:lang w:val="fr-FR"/>
        </w:rPr>
        <w:t>’</w:t>
      </w:r>
      <w:r w:rsidRPr="00CA13C6">
        <w:rPr>
          <w:lang w:val="fr-FR"/>
        </w:rPr>
        <w:t>appel de Lublin dans le cadre d</w:t>
      </w:r>
      <w:r w:rsidR="00CA13C6" w:rsidRPr="00CA13C6">
        <w:rPr>
          <w:lang w:val="fr-FR"/>
        </w:rPr>
        <w:t>’</w:t>
      </w:r>
      <w:r w:rsidRPr="00CA13C6">
        <w:rPr>
          <w:lang w:val="fr-FR"/>
        </w:rPr>
        <w:t>une décision motivée, rendue au stade préliminaire de la procédure pénale engagée à l</w:t>
      </w:r>
      <w:r w:rsidR="00CA13C6" w:rsidRPr="00CA13C6">
        <w:rPr>
          <w:lang w:val="fr-FR"/>
        </w:rPr>
        <w:t>’</w:t>
      </w:r>
      <w:r w:rsidRPr="00CA13C6">
        <w:rPr>
          <w:lang w:val="fr-FR"/>
        </w:rPr>
        <w:t>encontre du requérant et portant rejet du recours formé par l</w:t>
      </w:r>
      <w:r w:rsidR="00CA13C6" w:rsidRPr="00CA13C6">
        <w:rPr>
          <w:lang w:val="fr-FR"/>
        </w:rPr>
        <w:t>’</w:t>
      </w:r>
      <w:r w:rsidRPr="00CA13C6">
        <w:rPr>
          <w:lang w:val="fr-FR"/>
        </w:rPr>
        <w:t xml:space="preserve">intéressé contre la décision de prolongation de sa détention provisoire. Elle estime que, compte tenu de leur formulation et du contexte dans lequel ils ont été prononcés, les propos litigieux, en particulier le passage aux termes duquel </w:t>
      </w:r>
      <w:r w:rsidRPr="00CA13C6">
        <w:rPr>
          <w:szCs w:val="24"/>
          <w:lang w:val="fr-FR"/>
        </w:rPr>
        <w:t>« la réalité de la punition [de l</w:t>
      </w:r>
      <w:r w:rsidR="00CA13C6" w:rsidRPr="00CA13C6">
        <w:rPr>
          <w:szCs w:val="24"/>
          <w:lang w:val="fr-FR"/>
        </w:rPr>
        <w:t>’</w:t>
      </w:r>
      <w:r w:rsidRPr="00CA13C6">
        <w:rPr>
          <w:szCs w:val="24"/>
          <w:lang w:val="fr-FR"/>
        </w:rPr>
        <w:t>inculpé] par une peine sévère [était] (...) étayée par (...) le fait que [l</w:t>
      </w:r>
      <w:r w:rsidR="00CA13C6" w:rsidRPr="00CA13C6">
        <w:rPr>
          <w:szCs w:val="24"/>
          <w:lang w:val="fr-FR"/>
        </w:rPr>
        <w:t>’</w:t>
      </w:r>
      <w:r w:rsidRPr="00CA13C6">
        <w:rPr>
          <w:szCs w:val="24"/>
          <w:lang w:val="fr-FR"/>
        </w:rPr>
        <w:t>intéressé] (...) avait [commis] (</w:t>
      </w:r>
      <w:r w:rsidRPr="00CA13C6">
        <w:rPr>
          <w:i/>
          <w:szCs w:val="24"/>
          <w:lang w:val="fr-FR"/>
        </w:rPr>
        <w:t>dopuścił się popełnienia</w:t>
      </w:r>
      <w:r w:rsidRPr="00CA13C6">
        <w:rPr>
          <w:szCs w:val="24"/>
          <w:lang w:val="fr-FR"/>
        </w:rPr>
        <w:t>) [les infractions reprochées] dans le cadre d</w:t>
      </w:r>
      <w:r w:rsidR="00CA13C6" w:rsidRPr="00CA13C6">
        <w:rPr>
          <w:szCs w:val="24"/>
          <w:lang w:val="fr-FR"/>
        </w:rPr>
        <w:t>’</w:t>
      </w:r>
      <w:r w:rsidRPr="00CA13C6">
        <w:rPr>
          <w:szCs w:val="24"/>
          <w:lang w:val="fr-FR"/>
        </w:rPr>
        <w:t xml:space="preserve">une action concertée avec les autres individus, selon un plan établi et dans le but de se procurer un avantage financier », </w:t>
      </w:r>
      <w:r w:rsidRPr="00CA13C6">
        <w:rPr>
          <w:lang w:val="fr-FR"/>
        </w:rPr>
        <w:t>peuvent, dans les circonstances de l</w:t>
      </w:r>
      <w:r w:rsidR="00CA13C6" w:rsidRPr="00CA13C6">
        <w:rPr>
          <w:lang w:val="fr-FR"/>
        </w:rPr>
        <w:t>’</w:t>
      </w:r>
      <w:r w:rsidRPr="00CA13C6">
        <w:rPr>
          <w:lang w:val="fr-FR"/>
        </w:rPr>
        <w:t>espèce, être assimilés à une déclaration laissant entendre, en l</w:t>
      </w:r>
      <w:r w:rsidR="00CA13C6" w:rsidRPr="00CA13C6">
        <w:rPr>
          <w:lang w:val="fr-FR"/>
        </w:rPr>
        <w:t>’</w:t>
      </w:r>
      <w:r w:rsidRPr="00CA13C6">
        <w:rPr>
          <w:lang w:val="fr-FR"/>
        </w:rPr>
        <w:t>absence de condamnation définitive, que l</w:t>
      </w:r>
      <w:r w:rsidR="00CA13C6" w:rsidRPr="00CA13C6">
        <w:rPr>
          <w:lang w:val="fr-FR"/>
        </w:rPr>
        <w:t>’</w:t>
      </w:r>
      <w:r w:rsidRPr="00CA13C6">
        <w:rPr>
          <w:lang w:val="fr-FR"/>
        </w:rPr>
        <w:t>intéressé avait commis l</w:t>
      </w:r>
      <w:r w:rsidR="00CA13C6" w:rsidRPr="00CA13C6">
        <w:rPr>
          <w:lang w:val="fr-FR"/>
        </w:rPr>
        <w:t>’</w:t>
      </w:r>
      <w:r w:rsidRPr="00CA13C6">
        <w:rPr>
          <w:lang w:val="fr-FR"/>
        </w:rPr>
        <w:t>infraction pénale pour laquelle il avait été inculpé (</w:t>
      </w:r>
      <w:r w:rsidRPr="00CA13C6">
        <w:rPr>
          <w:i/>
          <w:lang w:val="fr-FR"/>
        </w:rPr>
        <w:t>Finster</w:t>
      </w:r>
      <w:r w:rsidRPr="00CA13C6">
        <w:rPr>
          <w:lang w:val="fr-FR"/>
        </w:rPr>
        <w:t xml:space="preserve">, précité, § 54, </w:t>
      </w:r>
      <w:r w:rsidRPr="00CA13C6">
        <w:rPr>
          <w:i/>
          <w:lang w:val="fr-FR"/>
        </w:rPr>
        <w:t xml:space="preserve">Wojciechowski </w:t>
      </w:r>
      <w:r w:rsidRPr="00CA13C6">
        <w:rPr>
          <w:i/>
          <w:lang w:val="fr-FR"/>
        </w:rPr>
        <w:lastRenderedPageBreak/>
        <w:t>c. Pologne</w:t>
      </w:r>
      <w:r w:rsidRPr="00CA13C6">
        <w:rPr>
          <w:lang w:val="fr-FR"/>
        </w:rPr>
        <w:t>, n</w:t>
      </w:r>
      <w:r w:rsidRPr="00CA13C6">
        <w:rPr>
          <w:vertAlign w:val="superscript"/>
          <w:lang w:val="fr-FR"/>
        </w:rPr>
        <w:t>o</w:t>
      </w:r>
      <w:r w:rsidRPr="00CA13C6">
        <w:rPr>
          <w:lang w:val="fr-FR"/>
        </w:rPr>
        <w:t xml:space="preserve"> 5422/04, § 54, 9 décembre 2008, et </w:t>
      </w:r>
      <w:r w:rsidRPr="00CA13C6">
        <w:rPr>
          <w:i/>
          <w:lang w:val="fr-FR"/>
        </w:rPr>
        <w:t>Chojnacki c. Pologne</w:t>
      </w:r>
      <w:r w:rsidRPr="00CA13C6">
        <w:rPr>
          <w:lang w:val="fr-FR"/>
        </w:rPr>
        <w:t>, n</w:t>
      </w:r>
      <w:r w:rsidRPr="00CA13C6">
        <w:rPr>
          <w:vertAlign w:val="superscript"/>
          <w:lang w:val="fr-FR"/>
        </w:rPr>
        <w:t>o</w:t>
      </w:r>
      <w:r w:rsidRPr="00CA13C6">
        <w:rPr>
          <w:lang w:val="fr-FR"/>
        </w:rPr>
        <w:t> 62076/11, § 38, 20 juillet 2017). La Cour rappelle dans ce contexte sa jurisprudence constante selon laquelle une distinction fondamentale doit être établie entre, d</w:t>
      </w:r>
      <w:r w:rsidR="00CA13C6" w:rsidRPr="00CA13C6">
        <w:rPr>
          <w:lang w:val="fr-FR"/>
        </w:rPr>
        <w:t>’</w:t>
      </w:r>
      <w:r w:rsidRPr="00CA13C6">
        <w:rPr>
          <w:lang w:val="fr-FR"/>
        </w:rPr>
        <w:t>une part, une déclaration indiquant qu</w:t>
      </w:r>
      <w:r w:rsidR="00CA13C6" w:rsidRPr="00CA13C6">
        <w:rPr>
          <w:lang w:val="fr-FR"/>
        </w:rPr>
        <w:t>’</w:t>
      </w:r>
      <w:r w:rsidRPr="00CA13C6">
        <w:rPr>
          <w:lang w:val="fr-FR"/>
        </w:rPr>
        <w:t>une personne est simplement soupçonnée d</w:t>
      </w:r>
      <w:r w:rsidR="00CA13C6" w:rsidRPr="00CA13C6">
        <w:rPr>
          <w:lang w:val="fr-FR"/>
        </w:rPr>
        <w:t>’</w:t>
      </w:r>
      <w:r w:rsidRPr="00CA13C6">
        <w:rPr>
          <w:lang w:val="fr-FR"/>
        </w:rPr>
        <w:t>avoir commis une infraction et, d</w:t>
      </w:r>
      <w:r w:rsidR="00CA13C6" w:rsidRPr="00CA13C6">
        <w:rPr>
          <w:lang w:val="fr-FR"/>
        </w:rPr>
        <w:t>’</w:t>
      </w:r>
      <w:r w:rsidRPr="00CA13C6">
        <w:rPr>
          <w:lang w:val="fr-FR"/>
        </w:rPr>
        <w:t>autre part, une déclaration claire, faite en l</w:t>
      </w:r>
      <w:r w:rsidR="00CA13C6" w:rsidRPr="00CA13C6">
        <w:rPr>
          <w:lang w:val="fr-FR"/>
        </w:rPr>
        <w:t>’</w:t>
      </w:r>
      <w:r w:rsidRPr="00CA13C6">
        <w:rPr>
          <w:lang w:val="fr-FR"/>
        </w:rPr>
        <w:t>absence de condamnation définitive, laissant entendre que la personne a commis l</w:t>
      </w:r>
      <w:r w:rsidR="00CA13C6" w:rsidRPr="00CA13C6">
        <w:rPr>
          <w:lang w:val="fr-FR"/>
        </w:rPr>
        <w:t>’</w:t>
      </w:r>
      <w:r w:rsidRPr="00CA13C6">
        <w:rPr>
          <w:lang w:val="fr-FR"/>
        </w:rPr>
        <w:t>infraction en question. La Cour insiste sur l</w:t>
      </w:r>
      <w:r w:rsidR="00CA13C6" w:rsidRPr="00CA13C6">
        <w:rPr>
          <w:lang w:val="fr-FR"/>
        </w:rPr>
        <w:t>’</w:t>
      </w:r>
      <w:r w:rsidRPr="00CA13C6">
        <w:rPr>
          <w:lang w:val="fr-FR"/>
        </w:rPr>
        <w:t>importance du choix des mots utilisés par les agents de l</w:t>
      </w:r>
      <w:r w:rsidR="00CA13C6" w:rsidRPr="00CA13C6">
        <w:rPr>
          <w:lang w:val="fr-FR"/>
        </w:rPr>
        <w:t>’</w:t>
      </w:r>
      <w:r w:rsidRPr="00CA13C6">
        <w:rPr>
          <w:lang w:val="fr-FR"/>
        </w:rPr>
        <w:t>État dans leurs déclarations relatives à une personne qui n</w:t>
      </w:r>
      <w:r w:rsidR="00CA13C6" w:rsidRPr="00CA13C6">
        <w:rPr>
          <w:lang w:val="fr-FR"/>
        </w:rPr>
        <w:t>’</w:t>
      </w:r>
      <w:r w:rsidRPr="00CA13C6">
        <w:rPr>
          <w:lang w:val="fr-FR"/>
        </w:rPr>
        <w:t>a pas encore été jugée et reconnue coupable d</w:t>
      </w:r>
      <w:r w:rsidR="00CA13C6" w:rsidRPr="00CA13C6">
        <w:rPr>
          <w:lang w:val="fr-FR"/>
        </w:rPr>
        <w:t>’</w:t>
      </w:r>
      <w:r w:rsidRPr="00CA13C6">
        <w:rPr>
          <w:lang w:val="fr-FR"/>
        </w:rPr>
        <w:t>une infraction pénale donnée (</w:t>
      </w:r>
      <w:r w:rsidRPr="00CA13C6">
        <w:rPr>
          <w:i/>
          <w:lang w:val="fr-FR"/>
        </w:rPr>
        <w:t>Böhmer c. Allemagne</w:t>
      </w:r>
      <w:r w:rsidRPr="00CA13C6">
        <w:rPr>
          <w:lang w:val="fr-FR"/>
        </w:rPr>
        <w:t>, n</w:t>
      </w:r>
      <w:r w:rsidRPr="00CA13C6">
        <w:rPr>
          <w:vertAlign w:val="superscript"/>
          <w:lang w:val="fr-FR"/>
        </w:rPr>
        <w:t>o</w:t>
      </w:r>
      <w:r w:rsidR="005A2F0C" w:rsidRPr="00CA13C6">
        <w:rPr>
          <w:lang w:val="fr-FR"/>
        </w:rPr>
        <w:t> 37568/97, §§ 54 et </w:t>
      </w:r>
      <w:r w:rsidRPr="00CA13C6">
        <w:rPr>
          <w:lang w:val="fr-FR"/>
        </w:rPr>
        <w:t xml:space="preserve">56, 3 octobre 2002, et </w:t>
      </w:r>
      <w:r w:rsidRPr="00CA13C6">
        <w:rPr>
          <w:i/>
          <w:szCs w:val="24"/>
          <w:lang w:val="fr-FR"/>
        </w:rPr>
        <w:t>Nešťák c. Slovaquie</w:t>
      </w:r>
      <w:r w:rsidRPr="00CA13C6">
        <w:rPr>
          <w:szCs w:val="24"/>
          <w:lang w:val="fr-FR"/>
        </w:rPr>
        <w:t>, n</w:t>
      </w:r>
      <w:r w:rsidRPr="00CA13C6">
        <w:rPr>
          <w:szCs w:val="24"/>
          <w:vertAlign w:val="superscript"/>
          <w:lang w:val="fr-FR"/>
        </w:rPr>
        <w:t>o</w:t>
      </w:r>
      <w:r w:rsidRPr="00CA13C6">
        <w:rPr>
          <w:szCs w:val="24"/>
          <w:lang w:val="fr-FR"/>
        </w:rPr>
        <w:t> 65559/01, §§ 88 et 89, 27 février 2007</w:t>
      </w:r>
      <w:r w:rsidRPr="00CA13C6">
        <w:rPr>
          <w:lang w:val="fr-FR"/>
        </w:rPr>
        <w:t>). En l</w:t>
      </w:r>
      <w:r w:rsidR="00CA13C6" w:rsidRPr="00CA13C6">
        <w:rPr>
          <w:lang w:val="fr-FR"/>
        </w:rPr>
        <w:t>’</w:t>
      </w:r>
      <w:r w:rsidRPr="00CA13C6">
        <w:rPr>
          <w:lang w:val="fr-FR"/>
        </w:rPr>
        <w:t>espèce, elle estime que les propos litigieux, prononcés au stade préliminaire de la procédure pénale dirigée contre le requérant, sont inadmissibles de la part de magistrats auxquels il est demandé de porter une attention particulière aux termes qu</w:t>
      </w:r>
      <w:r w:rsidR="00CA13C6" w:rsidRPr="00CA13C6">
        <w:rPr>
          <w:lang w:val="fr-FR"/>
        </w:rPr>
        <w:t>’</w:t>
      </w:r>
      <w:r w:rsidRPr="00CA13C6">
        <w:rPr>
          <w:lang w:val="fr-FR"/>
        </w:rPr>
        <w:t>ils utilisent dans leurs décisions.</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24</w:t>
      </w:r>
      <w:r w:rsidRPr="00CA13C6">
        <w:rPr>
          <w:lang w:val="fr-FR"/>
        </w:rPr>
        <w:fldChar w:fldCharType="end"/>
      </w:r>
      <w:r w:rsidRPr="00CA13C6">
        <w:rPr>
          <w:lang w:val="fr-FR"/>
        </w:rPr>
        <w:t>.  Ces éléments suffisent à la Cour pour conclure qu</w:t>
      </w:r>
      <w:r w:rsidR="00CA13C6" w:rsidRPr="00CA13C6">
        <w:rPr>
          <w:lang w:val="fr-FR"/>
        </w:rPr>
        <w:t>’</w:t>
      </w:r>
      <w:r w:rsidRPr="00CA13C6">
        <w:rPr>
          <w:lang w:val="fr-FR"/>
        </w:rPr>
        <w:t>il y a eu violation de l</w:t>
      </w:r>
      <w:r w:rsidR="00CA13C6" w:rsidRPr="00CA13C6">
        <w:rPr>
          <w:lang w:val="fr-FR"/>
        </w:rPr>
        <w:t>’</w:t>
      </w:r>
      <w:r w:rsidRPr="00CA13C6">
        <w:rPr>
          <w:lang w:val="fr-FR"/>
        </w:rPr>
        <w:t>article 6 § 2 de la Convention.</w:t>
      </w:r>
    </w:p>
    <w:p w:rsidR="00A31117" w:rsidRPr="00CA13C6" w:rsidRDefault="00A31117" w:rsidP="00CA13C6">
      <w:pPr>
        <w:pStyle w:val="ECHRHeading1"/>
        <w:rPr>
          <w:lang w:val="fr-FR"/>
        </w:rPr>
      </w:pPr>
      <w:r w:rsidRPr="00CA13C6">
        <w:rPr>
          <w:lang w:val="pt-BR"/>
        </w:rPr>
        <w:t>II.  </w:t>
      </w:r>
      <w:r w:rsidRPr="00CA13C6">
        <w:rPr>
          <w:lang w:val="fr-FR"/>
        </w:rPr>
        <w:t>SUR L</w:t>
      </w:r>
      <w:r w:rsidR="00CA13C6" w:rsidRPr="00CA13C6">
        <w:rPr>
          <w:lang w:val="fr-FR"/>
        </w:rPr>
        <w:t>’</w:t>
      </w:r>
      <w:r w:rsidRPr="00CA13C6">
        <w:rPr>
          <w:lang w:val="fr-FR"/>
        </w:rPr>
        <w:t>APPLICATION DE L</w:t>
      </w:r>
      <w:r w:rsidR="00CA13C6" w:rsidRPr="00CA13C6">
        <w:rPr>
          <w:lang w:val="fr-FR"/>
        </w:rPr>
        <w:t>’</w:t>
      </w:r>
      <w:r w:rsidRPr="00CA13C6">
        <w:rPr>
          <w:lang w:val="fr-FR"/>
        </w:rPr>
        <w:t>ARTICLE 41 DE LA CONVENTION</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25</w:t>
      </w:r>
      <w:r w:rsidRPr="00CA13C6">
        <w:rPr>
          <w:lang w:val="fr-FR"/>
        </w:rPr>
        <w:fldChar w:fldCharType="end"/>
      </w:r>
      <w:r w:rsidRPr="00CA13C6">
        <w:rPr>
          <w:lang w:val="fr-FR"/>
        </w:rPr>
        <w:t>.  Aux termes de l</w:t>
      </w:r>
      <w:r w:rsidR="00CA13C6" w:rsidRPr="00CA13C6">
        <w:rPr>
          <w:lang w:val="fr-FR"/>
        </w:rPr>
        <w:t>’</w:t>
      </w:r>
      <w:r w:rsidRPr="00CA13C6">
        <w:rPr>
          <w:lang w:val="fr-FR"/>
        </w:rPr>
        <w:t>article 41 de la Convention,</w:t>
      </w:r>
    </w:p>
    <w:p w:rsidR="00A31117" w:rsidRPr="00CA13C6" w:rsidRDefault="00A31117" w:rsidP="00CA13C6">
      <w:pPr>
        <w:pStyle w:val="ECHRParaQuote"/>
        <w:rPr>
          <w:lang w:val="fr-FR"/>
        </w:rPr>
      </w:pPr>
      <w:r w:rsidRPr="00CA13C6">
        <w:rPr>
          <w:lang w:val="fr-FR"/>
        </w:rPr>
        <w:t>« Si la Cour déclare qu</w:t>
      </w:r>
      <w:r w:rsidR="00CA13C6" w:rsidRPr="00CA13C6">
        <w:rPr>
          <w:lang w:val="fr-FR"/>
        </w:rPr>
        <w:t>’</w:t>
      </w:r>
      <w:r w:rsidRPr="00CA13C6">
        <w:rPr>
          <w:lang w:val="fr-FR"/>
        </w:rPr>
        <w:t>il y a eu violation de la Convention ou de ses Protocoles, et si le droit interne de la Haute Partie contractante ne permet d</w:t>
      </w:r>
      <w:r w:rsidR="00CA13C6" w:rsidRPr="00CA13C6">
        <w:rPr>
          <w:lang w:val="fr-FR"/>
        </w:rPr>
        <w:t>’</w:t>
      </w:r>
      <w:r w:rsidRPr="00CA13C6">
        <w:rPr>
          <w:lang w:val="fr-FR"/>
        </w:rPr>
        <w:t>effacer qu</w:t>
      </w:r>
      <w:r w:rsidR="00CA13C6" w:rsidRPr="00CA13C6">
        <w:rPr>
          <w:lang w:val="fr-FR"/>
        </w:rPr>
        <w:t>’</w:t>
      </w:r>
      <w:r w:rsidRPr="00CA13C6">
        <w:rPr>
          <w:lang w:val="fr-FR"/>
        </w:rPr>
        <w:t>imparfaitement les conséquences de cette violation, la Cour accorde à la partie lésée, s</w:t>
      </w:r>
      <w:r w:rsidR="00CA13C6" w:rsidRPr="00CA13C6">
        <w:rPr>
          <w:lang w:val="fr-FR"/>
        </w:rPr>
        <w:t>’</w:t>
      </w:r>
      <w:r w:rsidRPr="00CA13C6">
        <w:rPr>
          <w:lang w:val="fr-FR"/>
        </w:rPr>
        <w:t>il y a lieu, une satisfaction équitable. »</w:t>
      </w:r>
    </w:p>
    <w:p w:rsidR="00A31117" w:rsidRPr="00CA13C6" w:rsidRDefault="00A31117" w:rsidP="00CA13C6">
      <w:pPr>
        <w:pStyle w:val="ECHRHeading2"/>
        <w:rPr>
          <w:lang w:val="fr-FR"/>
        </w:rPr>
      </w:pPr>
      <w:r w:rsidRPr="00CA13C6">
        <w:rPr>
          <w:lang w:val="fr-FR"/>
        </w:rPr>
        <w:t>A.  Dommage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26</w:t>
      </w:r>
      <w:r w:rsidRPr="00CA13C6">
        <w:rPr>
          <w:lang w:val="fr-FR"/>
        </w:rPr>
        <w:fldChar w:fldCharType="end"/>
      </w:r>
      <w:r w:rsidR="00772035" w:rsidRPr="00CA13C6">
        <w:rPr>
          <w:lang w:val="fr-FR"/>
        </w:rPr>
        <w:t>.  Le requérant réclame 4 </w:t>
      </w:r>
      <w:r w:rsidRPr="00CA13C6">
        <w:rPr>
          <w:lang w:val="fr-FR"/>
        </w:rPr>
        <w:t>000 euros (EUR) au titre du préjudice moral qu</w:t>
      </w:r>
      <w:r w:rsidR="00CA13C6" w:rsidRPr="00CA13C6">
        <w:rPr>
          <w:lang w:val="fr-FR"/>
        </w:rPr>
        <w:t>’</w:t>
      </w:r>
      <w:r w:rsidRPr="00CA13C6">
        <w:rPr>
          <w:lang w:val="fr-FR"/>
        </w:rPr>
        <w:t>il estime avoir subi.</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27</w:t>
      </w:r>
      <w:r w:rsidRPr="00CA13C6">
        <w:rPr>
          <w:lang w:val="fr-FR"/>
        </w:rPr>
        <w:fldChar w:fldCharType="end"/>
      </w:r>
      <w:r w:rsidRPr="00CA13C6">
        <w:rPr>
          <w:lang w:val="fr-FR"/>
        </w:rPr>
        <w:t>.  Le Gouvernement juge cette prétention excessive et infondée.</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28</w:t>
      </w:r>
      <w:r w:rsidRPr="00CA13C6">
        <w:rPr>
          <w:lang w:val="fr-FR"/>
        </w:rPr>
        <w:fldChar w:fldCharType="end"/>
      </w:r>
      <w:r w:rsidRPr="00CA13C6">
        <w:rPr>
          <w:lang w:val="fr-FR"/>
        </w:rPr>
        <w:t>.  La Cour estime que, eu égard aux circonstances de l</w:t>
      </w:r>
      <w:r w:rsidR="00CA13C6" w:rsidRPr="00CA13C6">
        <w:rPr>
          <w:lang w:val="fr-FR"/>
        </w:rPr>
        <w:t>’</w:t>
      </w:r>
      <w:r w:rsidRPr="00CA13C6">
        <w:rPr>
          <w:lang w:val="fr-FR"/>
        </w:rPr>
        <w:t>espèce, le dommage moral subi par le requérant est suffisamment réparé par le constat de violation de l</w:t>
      </w:r>
      <w:r w:rsidR="00CA13C6" w:rsidRPr="00CA13C6">
        <w:rPr>
          <w:lang w:val="fr-FR"/>
        </w:rPr>
        <w:t>’</w:t>
      </w:r>
      <w:r w:rsidRPr="00CA13C6">
        <w:rPr>
          <w:lang w:val="fr-FR"/>
        </w:rPr>
        <w:t>article 6 § 2 de la Convention auquel elle est parvenue (</w:t>
      </w:r>
      <w:r w:rsidRPr="00CA13C6">
        <w:rPr>
          <w:i/>
          <w:lang w:val="fr-FR"/>
        </w:rPr>
        <w:t>Kampanellis c. Grèce</w:t>
      </w:r>
      <w:r w:rsidRPr="00CA13C6">
        <w:rPr>
          <w:lang w:val="fr-FR"/>
        </w:rPr>
        <w:t>, n</w:t>
      </w:r>
      <w:r w:rsidRPr="00CA13C6">
        <w:rPr>
          <w:vertAlign w:val="superscript"/>
          <w:lang w:val="fr-FR"/>
        </w:rPr>
        <w:t>o</w:t>
      </w:r>
      <w:r w:rsidRPr="00CA13C6">
        <w:rPr>
          <w:lang w:val="fr-FR"/>
        </w:rPr>
        <w:t xml:space="preserve"> 9029/05, § 33, 21 juin 2007, et </w:t>
      </w:r>
      <w:r w:rsidRPr="00CA13C6">
        <w:rPr>
          <w:i/>
          <w:lang w:val="fr-FR"/>
        </w:rPr>
        <w:t>Chojnacki</w:t>
      </w:r>
      <w:r w:rsidRPr="00CA13C6">
        <w:rPr>
          <w:lang w:val="fr-FR"/>
        </w:rPr>
        <w:t>,</w:t>
      </w:r>
      <w:r w:rsidRPr="00CA13C6">
        <w:rPr>
          <w:i/>
          <w:lang w:val="fr-FR"/>
        </w:rPr>
        <w:t xml:space="preserve"> </w:t>
      </w:r>
      <w:r w:rsidRPr="00CA13C6">
        <w:rPr>
          <w:lang w:val="fr-FR"/>
        </w:rPr>
        <w:t>précité, § 49).</w:t>
      </w:r>
    </w:p>
    <w:p w:rsidR="00A31117" w:rsidRPr="00CA13C6" w:rsidRDefault="00A31117" w:rsidP="00CA13C6">
      <w:pPr>
        <w:pStyle w:val="ECHRHeading2"/>
        <w:rPr>
          <w:lang w:val="fr-FR"/>
        </w:rPr>
      </w:pPr>
      <w:r w:rsidRPr="00CA13C6">
        <w:rPr>
          <w:lang w:val="fr-FR"/>
        </w:rPr>
        <w:t>B.  Frais et dépens</w:t>
      </w:r>
    </w:p>
    <w:p w:rsidR="00A31117" w:rsidRPr="00CA13C6" w:rsidRDefault="00A31117" w:rsidP="00CA13C6">
      <w:pPr>
        <w:pStyle w:val="ECHRPara"/>
        <w:rPr>
          <w:lang w:val="fr-FR"/>
        </w:rPr>
      </w:pPr>
      <w:r w:rsidRPr="00CA13C6">
        <w:rPr>
          <w:lang w:val="fr-FR"/>
        </w:rPr>
        <w:fldChar w:fldCharType="begin"/>
      </w:r>
      <w:r w:rsidRPr="00CA13C6">
        <w:rPr>
          <w:lang w:val="fr-FR"/>
        </w:rPr>
        <w:instrText xml:space="preserve"> SEQ level0 \*arabic </w:instrText>
      </w:r>
      <w:r w:rsidRPr="00CA13C6">
        <w:rPr>
          <w:lang w:val="fr-FR"/>
        </w:rPr>
        <w:fldChar w:fldCharType="separate"/>
      </w:r>
      <w:r w:rsidR="00575F29">
        <w:rPr>
          <w:noProof/>
          <w:lang w:val="fr-FR"/>
        </w:rPr>
        <w:t>29</w:t>
      </w:r>
      <w:r w:rsidRPr="00CA13C6">
        <w:rPr>
          <w:lang w:val="fr-FR"/>
        </w:rPr>
        <w:fldChar w:fldCharType="end"/>
      </w:r>
      <w:r w:rsidRPr="00CA13C6">
        <w:rPr>
          <w:lang w:val="fr-FR"/>
        </w:rPr>
        <w:t>.  Le requérant n</w:t>
      </w:r>
      <w:r w:rsidR="00CA13C6" w:rsidRPr="00CA13C6">
        <w:rPr>
          <w:lang w:val="fr-FR"/>
        </w:rPr>
        <w:t>’</w:t>
      </w:r>
      <w:r w:rsidRPr="00CA13C6">
        <w:rPr>
          <w:lang w:val="fr-FR"/>
        </w:rPr>
        <w:t>a présenté aucune demande au titre des frais et dépens.</w:t>
      </w:r>
    </w:p>
    <w:p w:rsidR="00A31117" w:rsidRPr="00CA13C6" w:rsidRDefault="00A31117" w:rsidP="00CA13C6">
      <w:pPr>
        <w:pStyle w:val="ECHRTitle1"/>
        <w:rPr>
          <w:lang w:val="fr-FR"/>
        </w:rPr>
      </w:pPr>
      <w:r w:rsidRPr="00CA13C6">
        <w:rPr>
          <w:lang w:val="fr-FR"/>
        </w:rPr>
        <w:lastRenderedPageBreak/>
        <w:t>PAR CES MOTIFS, LA COUR, À L</w:t>
      </w:r>
      <w:r w:rsidR="00CA13C6" w:rsidRPr="00CA13C6">
        <w:rPr>
          <w:lang w:val="fr-FR"/>
        </w:rPr>
        <w:t>’</w:t>
      </w:r>
      <w:r w:rsidRPr="00CA13C6">
        <w:rPr>
          <w:lang w:val="fr-FR"/>
        </w:rPr>
        <w:t>UNANIMITÉ,</w:t>
      </w:r>
    </w:p>
    <w:p w:rsidR="00A31117" w:rsidRPr="00CA13C6" w:rsidRDefault="00A31117" w:rsidP="00CA13C6">
      <w:pPr>
        <w:pStyle w:val="JuList"/>
        <w:rPr>
          <w:lang w:val="fr-FR"/>
        </w:rPr>
      </w:pPr>
      <w:r w:rsidRPr="00CA13C6">
        <w:rPr>
          <w:lang w:val="fr-FR"/>
        </w:rPr>
        <w:t>1.  </w:t>
      </w:r>
      <w:r w:rsidRPr="00CA13C6">
        <w:rPr>
          <w:i/>
          <w:lang w:val="fr-FR"/>
        </w:rPr>
        <w:t>Rejette</w:t>
      </w:r>
      <w:r w:rsidRPr="00CA13C6">
        <w:rPr>
          <w:lang w:val="fr-FR"/>
        </w:rPr>
        <w:t xml:space="preserve"> l</w:t>
      </w:r>
      <w:r w:rsidR="00CA13C6" w:rsidRPr="00CA13C6">
        <w:rPr>
          <w:lang w:val="fr-FR"/>
        </w:rPr>
        <w:t>’</w:t>
      </w:r>
      <w:r w:rsidRPr="00CA13C6">
        <w:rPr>
          <w:lang w:val="fr-FR"/>
        </w:rPr>
        <w:t>exception du Gouvernement tirée de l</w:t>
      </w:r>
      <w:r w:rsidR="00CA13C6" w:rsidRPr="00CA13C6">
        <w:rPr>
          <w:lang w:val="fr-FR"/>
        </w:rPr>
        <w:t>’</w:t>
      </w:r>
      <w:r w:rsidRPr="00CA13C6">
        <w:rPr>
          <w:lang w:val="fr-FR"/>
        </w:rPr>
        <w:t>absence de préjudice important du requérant ;</w:t>
      </w:r>
    </w:p>
    <w:p w:rsidR="00A31117" w:rsidRPr="00CA13C6" w:rsidRDefault="00A31117" w:rsidP="00CA13C6">
      <w:pPr>
        <w:pStyle w:val="JuList"/>
        <w:rPr>
          <w:lang w:val="fr-FR"/>
        </w:rPr>
      </w:pPr>
    </w:p>
    <w:p w:rsidR="00A31117" w:rsidRPr="00CA13C6" w:rsidRDefault="00A31117" w:rsidP="00CA13C6">
      <w:pPr>
        <w:pStyle w:val="JuList"/>
        <w:rPr>
          <w:lang w:val="fr-FR"/>
        </w:rPr>
      </w:pPr>
      <w:r w:rsidRPr="00CA13C6">
        <w:rPr>
          <w:lang w:val="fr-FR"/>
        </w:rPr>
        <w:t>2.  </w:t>
      </w:r>
      <w:r w:rsidRPr="00CA13C6">
        <w:rPr>
          <w:i/>
          <w:lang w:val="fr-FR"/>
        </w:rPr>
        <w:t>Déclare</w:t>
      </w:r>
      <w:r w:rsidRPr="00CA13C6">
        <w:rPr>
          <w:lang w:val="fr-FR"/>
        </w:rPr>
        <w:t xml:space="preserve"> la requête recevable ;</w:t>
      </w:r>
    </w:p>
    <w:p w:rsidR="00A31117" w:rsidRPr="00CA13C6" w:rsidRDefault="00A31117" w:rsidP="00CA13C6">
      <w:pPr>
        <w:pStyle w:val="JuList"/>
        <w:rPr>
          <w:lang w:val="fr-FR"/>
        </w:rPr>
      </w:pPr>
    </w:p>
    <w:p w:rsidR="00A31117" w:rsidRPr="00CA13C6" w:rsidRDefault="00A31117" w:rsidP="00CA13C6">
      <w:pPr>
        <w:pStyle w:val="JuList"/>
        <w:rPr>
          <w:lang w:val="fr-FR"/>
        </w:rPr>
      </w:pPr>
      <w:r w:rsidRPr="00CA13C6">
        <w:rPr>
          <w:lang w:val="fr-FR"/>
        </w:rPr>
        <w:t>3.  </w:t>
      </w:r>
      <w:r w:rsidRPr="00CA13C6">
        <w:rPr>
          <w:i/>
          <w:lang w:val="fr-FR"/>
        </w:rPr>
        <w:t>Dit</w:t>
      </w:r>
      <w:r w:rsidRPr="00CA13C6">
        <w:rPr>
          <w:lang w:val="fr-FR"/>
        </w:rPr>
        <w:t xml:space="preserve"> qu</w:t>
      </w:r>
      <w:r w:rsidR="00CA13C6" w:rsidRPr="00CA13C6">
        <w:rPr>
          <w:lang w:val="fr-FR"/>
        </w:rPr>
        <w:t>’</w:t>
      </w:r>
      <w:r w:rsidRPr="00CA13C6">
        <w:rPr>
          <w:lang w:val="fr-FR"/>
        </w:rPr>
        <w:t>il y a eu violation de l</w:t>
      </w:r>
      <w:r w:rsidR="00CA13C6" w:rsidRPr="00CA13C6">
        <w:rPr>
          <w:lang w:val="fr-FR"/>
        </w:rPr>
        <w:t>’</w:t>
      </w:r>
      <w:r w:rsidRPr="00CA13C6">
        <w:rPr>
          <w:lang w:val="fr-FR"/>
        </w:rPr>
        <w:t>article 6 § 2 de la Convention ;</w:t>
      </w:r>
    </w:p>
    <w:p w:rsidR="00A31117" w:rsidRPr="00CA13C6" w:rsidRDefault="00A31117" w:rsidP="00CA13C6">
      <w:pPr>
        <w:pStyle w:val="JuList"/>
        <w:rPr>
          <w:lang w:val="fr-FR"/>
        </w:rPr>
      </w:pPr>
    </w:p>
    <w:p w:rsidR="00A31117" w:rsidRPr="00CA13C6" w:rsidRDefault="00A31117" w:rsidP="00CA13C6">
      <w:pPr>
        <w:pStyle w:val="JuList"/>
        <w:rPr>
          <w:lang w:val="fr-FR"/>
        </w:rPr>
      </w:pPr>
      <w:r w:rsidRPr="00CA13C6">
        <w:rPr>
          <w:lang w:val="fr-FR"/>
        </w:rPr>
        <w:t>4.  </w:t>
      </w:r>
      <w:r w:rsidRPr="00CA13C6">
        <w:rPr>
          <w:i/>
          <w:lang w:val="fr-FR"/>
        </w:rPr>
        <w:t>Dit</w:t>
      </w:r>
      <w:r w:rsidRPr="00CA13C6">
        <w:rPr>
          <w:lang w:val="fr-FR"/>
        </w:rPr>
        <w:t xml:space="preserve"> que le constat d</w:t>
      </w:r>
      <w:r w:rsidR="00CA13C6" w:rsidRPr="00CA13C6">
        <w:rPr>
          <w:lang w:val="fr-FR"/>
        </w:rPr>
        <w:t>’</w:t>
      </w:r>
      <w:r w:rsidRPr="00CA13C6">
        <w:rPr>
          <w:lang w:val="fr-FR"/>
        </w:rPr>
        <w:t>une violation fournit en soi une satisfaction équitable suffisante pour le dommage moral subi par le requérant ;</w:t>
      </w:r>
    </w:p>
    <w:p w:rsidR="00A31117" w:rsidRPr="00CA13C6" w:rsidRDefault="00A31117" w:rsidP="00CA13C6">
      <w:pPr>
        <w:pStyle w:val="JuLista"/>
        <w:ind w:left="0"/>
        <w:rPr>
          <w:lang w:val="fr-FR"/>
        </w:rPr>
      </w:pPr>
    </w:p>
    <w:p w:rsidR="00A31117" w:rsidRPr="00CA13C6" w:rsidRDefault="00A31117" w:rsidP="00CA13C6">
      <w:pPr>
        <w:pStyle w:val="JuList"/>
        <w:rPr>
          <w:lang w:val="fr-FR"/>
        </w:rPr>
      </w:pPr>
      <w:r w:rsidRPr="00CA13C6">
        <w:rPr>
          <w:lang w:val="fr-FR"/>
        </w:rPr>
        <w:t>5.  </w:t>
      </w:r>
      <w:r w:rsidRPr="00CA13C6">
        <w:rPr>
          <w:i/>
          <w:lang w:val="fr-FR"/>
        </w:rPr>
        <w:t>Rejette</w:t>
      </w:r>
      <w:r w:rsidRPr="00CA13C6">
        <w:rPr>
          <w:lang w:val="fr-FR"/>
        </w:rPr>
        <w:t xml:space="preserve"> la demande de satisfaction équitable pour le surplus.</w:t>
      </w:r>
    </w:p>
    <w:p w:rsidR="00A31117" w:rsidRPr="00CA13C6" w:rsidRDefault="00A31117" w:rsidP="00CA13C6">
      <w:pPr>
        <w:pStyle w:val="JuParaLast"/>
        <w:rPr>
          <w:lang w:val="fr-FR"/>
        </w:rPr>
      </w:pPr>
      <w:r w:rsidRPr="00CA13C6">
        <w:rPr>
          <w:lang w:val="fr-FR"/>
        </w:rPr>
        <w:t>Fait en français, puis communiqué par écrit le </w:t>
      </w:r>
      <w:r w:rsidR="00F06409" w:rsidRPr="00CA13C6">
        <w:rPr>
          <w:lang w:val="fr-FR"/>
        </w:rPr>
        <w:t>11 janvier 2018</w:t>
      </w:r>
      <w:r w:rsidRPr="00CA13C6">
        <w:rPr>
          <w:lang w:val="fr-FR"/>
        </w:rPr>
        <w:t>, en application de l</w:t>
      </w:r>
      <w:r w:rsidR="00CA13C6" w:rsidRPr="00CA13C6">
        <w:rPr>
          <w:lang w:val="fr-FR"/>
        </w:rPr>
        <w:t>’</w:t>
      </w:r>
      <w:r w:rsidRPr="00CA13C6">
        <w:rPr>
          <w:lang w:val="fr-FR"/>
        </w:rPr>
        <w:t>article 77 §§ 2 et 3 du règlement de la Cour.</w:t>
      </w:r>
    </w:p>
    <w:p w:rsidR="004D15F3" w:rsidRPr="00CA13C6" w:rsidRDefault="00A31117" w:rsidP="00CA13C6">
      <w:pPr>
        <w:pStyle w:val="JuSigned"/>
        <w:rPr>
          <w:lang w:val="fr-FR"/>
        </w:rPr>
      </w:pPr>
      <w:r w:rsidRPr="00CA13C6">
        <w:rPr>
          <w:lang w:val="fr-FR"/>
        </w:rPr>
        <w:tab/>
        <w:t>Renata Degener</w:t>
      </w:r>
      <w:r w:rsidRPr="00CA13C6">
        <w:rPr>
          <w:lang w:val="fr-FR"/>
        </w:rPr>
        <w:tab/>
      </w:r>
      <w:r w:rsidR="00F06409" w:rsidRPr="00CA13C6">
        <w:rPr>
          <w:lang w:val="fr-FR"/>
        </w:rPr>
        <w:t>Aleš Pejchal</w:t>
      </w:r>
      <w:r w:rsidR="00CA13C6" w:rsidRPr="00CA13C6">
        <w:rPr>
          <w:lang w:val="fr-FR"/>
        </w:rPr>
        <w:br/>
      </w:r>
      <w:r w:rsidRPr="00CA13C6">
        <w:rPr>
          <w:lang w:val="fr-FR"/>
        </w:rPr>
        <w:tab/>
        <w:t>Greffière adjointe</w:t>
      </w:r>
      <w:r w:rsidRPr="00CA13C6">
        <w:rPr>
          <w:lang w:val="fr-FR"/>
        </w:rPr>
        <w:tab/>
      </w:r>
      <w:r w:rsidRPr="00CA13C6">
        <w:rPr>
          <w:szCs w:val="24"/>
          <w:lang w:val="fr-FR"/>
        </w:rPr>
        <w:t>Président</w:t>
      </w:r>
    </w:p>
    <w:sectPr w:rsidR="004D15F3" w:rsidRPr="00CA13C6">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C75" w:rsidRPr="00EA4BD7" w:rsidRDefault="00310C75" w:rsidP="002D2C99">
      <w:pPr>
        <w:rPr>
          <w:lang w:val="fr-FR"/>
        </w:rPr>
      </w:pPr>
      <w:r w:rsidRPr="00EA4BD7">
        <w:rPr>
          <w:lang w:val="fr-FR"/>
        </w:rPr>
        <w:separator/>
      </w:r>
    </w:p>
  </w:endnote>
  <w:endnote w:type="continuationSeparator" w:id="0">
    <w:p w:rsidR="00310C75" w:rsidRPr="00EA4BD7" w:rsidRDefault="00310C75" w:rsidP="002D2C99">
      <w:pPr>
        <w:rPr>
          <w:lang w:val="fr-FR"/>
        </w:rPr>
      </w:pPr>
      <w:r w:rsidRPr="00EA4BD7">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17" w:rsidRPr="00150BFA" w:rsidRDefault="00A31117" w:rsidP="0020718E">
    <w:pPr>
      <w:jc w:val="center"/>
    </w:pPr>
    <w:r>
      <w:rPr>
        <w:noProof/>
        <w:lang w:val="pl-PL" w:eastAsia="pl-PL"/>
      </w:rPr>
      <w:drawing>
        <wp:inline distT="0" distB="0" distL="0" distR="0" wp14:anchorId="73B554B8" wp14:editId="0E800E9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D2C99" w:rsidRPr="00EA4BD7" w:rsidRDefault="002D2C99" w:rsidP="005072EA">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Default="00310C75" w:rsidP="005072E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Default="00310C75" w:rsidP="005072E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C75" w:rsidRPr="00EA4BD7" w:rsidRDefault="00310C75" w:rsidP="002D2C99">
      <w:pPr>
        <w:rPr>
          <w:lang w:val="fr-FR"/>
        </w:rPr>
      </w:pPr>
      <w:r w:rsidRPr="00EA4BD7">
        <w:rPr>
          <w:lang w:val="fr-FR"/>
        </w:rPr>
        <w:separator/>
      </w:r>
    </w:p>
  </w:footnote>
  <w:footnote w:type="continuationSeparator" w:id="0">
    <w:p w:rsidR="00310C75" w:rsidRPr="00EA4BD7" w:rsidRDefault="00310C75" w:rsidP="002D2C99">
      <w:pPr>
        <w:rPr>
          <w:lang w:val="fr-FR"/>
        </w:rPr>
      </w:pPr>
      <w:r w:rsidRPr="00EA4BD7">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17" w:rsidRPr="00A45145" w:rsidRDefault="00A31117" w:rsidP="00A45145">
    <w:pPr>
      <w:jc w:val="center"/>
    </w:pPr>
    <w:r>
      <w:rPr>
        <w:noProof/>
        <w:lang w:val="pl-PL" w:eastAsia="pl-PL"/>
      </w:rPr>
      <w:drawing>
        <wp:inline distT="0" distB="0" distL="0" distR="0" wp14:anchorId="52D9B6F7" wp14:editId="054CF08F">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D2C99" w:rsidRPr="00EA4BD7" w:rsidRDefault="002D2C99"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Pr="00F5432B" w:rsidRDefault="00A31117" w:rsidP="00F5432B">
    <w:pPr>
      <w:pStyle w:val="ECHRHeader"/>
      <w:rPr>
        <w:lang w:val="fr-FR"/>
      </w:rPr>
    </w:pPr>
    <w:r>
      <w:rPr>
        <w:rStyle w:val="Numerstrony"/>
      </w:rPr>
      <w:fldChar w:fldCharType="begin"/>
    </w:r>
    <w:r w:rsidRPr="00A31117">
      <w:rPr>
        <w:rStyle w:val="Numerstrony"/>
        <w:lang w:val="fr-FR"/>
      </w:rPr>
      <w:instrText xml:space="preserve"> PAGE </w:instrText>
    </w:r>
    <w:r>
      <w:rPr>
        <w:rStyle w:val="Numerstrony"/>
      </w:rPr>
      <w:fldChar w:fldCharType="separate"/>
    </w:r>
    <w:r w:rsidR="00575F29">
      <w:rPr>
        <w:rStyle w:val="Numerstrony"/>
        <w:noProof/>
        <w:lang w:val="fr-FR"/>
      </w:rPr>
      <w:t>2</w:t>
    </w:r>
    <w:r>
      <w:rPr>
        <w:rStyle w:val="Numerstrony"/>
      </w:rPr>
      <w:fldChar w:fldCharType="end"/>
    </w:r>
    <w:r w:rsidR="00420F04" w:rsidRPr="00A31117">
      <w:rPr>
        <w:lang w:val="fr-FR"/>
      </w:rPr>
      <w:tab/>
    </w:r>
    <w:r w:rsidR="00420F04" w:rsidRPr="00A31117">
      <w:rPr>
        <w:lang w:val="fr-FR"/>
      </w:rPr>
      <w:t xml:space="preserve">ARRÊT </w:t>
    </w:r>
    <w:r w:rsidRPr="00A31117">
      <w:rPr>
        <w:lang w:val="fr-FR"/>
      </w:rPr>
      <w:t>MAŁEK c. POLOGNE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Pr="007100AD" w:rsidRDefault="00420F04" w:rsidP="00420F04">
    <w:pPr>
      <w:pStyle w:val="ECHRHeader"/>
    </w:pPr>
    <w:r>
      <w:tab/>
    </w:r>
    <w:r w:rsidRPr="00A7574A">
      <w:t xml:space="preserve">ARRÊT </w:t>
    </w:r>
    <w:r w:rsidR="00A31117">
      <w:t>MAŁEK c. POLOGNE</w:t>
    </w:r>
    <w:r w:rsidRPr="007100AD">
      <w:tab/>
    </w:r>
    <w:r w:rsidR="00A31117">
      <w:rPr>
        <w:rStyle w:val="Numerstrony"/>
      </w:rPr>
      <w:fldChar w:fldCharType="begin"/>
    </w:r>
    <w:r w:rsidR="00A31117">
      <w:rPr>
        <w:rStyle w:val="Numerstrony"/>
      </w:rPr>
      <w:instrText xml:space="preserve"> PAGE </w:instrText>
    </w:r>
    <w:r w:rsidR="00A31117">
      <w:rPr>
        <w:rStyle w:val="Numerstrony"/>
      </w:rPr>
      <w:fldChar w:fldCharType="separate"/>
    </w:r>
    <w:r w:rsidR="00575F29">
      <w:rPr>
        <w:rStyle w:val="Numerstrony"/>
        <w:noProof/>
      </w:rPr>
      <w:t>1</w:t>
    </w:r>
    <w:r w:rsidR="00A31117">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08B0C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2AA4F5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5"/>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A31117"/>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128"/>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75E"/>
    <w:rsid w:val="0030515D"/>
    <w:rsid w:val="00310C75"/>
    <w:rsid w:val="00312A30"/>
    <w:rsid w:val="00320F72"/>
    <w:rsid w:val="0032463E"/>
    <w:rsid w:val="00326224"/>
    <w:rsid w:val="00336456"/>
    <w:rsid w:val="00337EE4"/>
    <w:rsid w:val="00340FFD"/>
    <w:rsid w:val="003506B1"/>
    <w:rsid w:val="00356AC7"/>
    <w:rsid w:val="003609FA"/>
    <w:rsid w:val="003710C8"/>
    <w:rsid w:val="003750BE"/>
    <w:rsid w:val="00387B9D"/>
    <w:rsid w:val="00390CF4"/>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077CB"/>
    <w:rsid w:val="00511C07"/>
    <w:rsid w:val="005173A6"/>
    <w:rsid w:val="00520BAA"/>
    <w:rsid w:val="005236D5"/>
    <w:rsid w:val="0052437D"/>
    <w:rsid w:val="00525208"/>
    <w:rsid w:val="005257A5"/>
    <w:rsid w:val="005264C0"/>
    <w:rsid w:val="00526A8A"/>
    <w:rsid w:val="00531DF2"/>
    <w:rsid w:val="005442EE"/>
    <w:rsid w:val="00547353"/>
    <w:rsid w:val="005474E7"/>
    <w:rsid w:val="005512A3"/>
    <w:rsid w:val="005578CE"/>
    <w:rsid w:val="00562781"/>
    <w:rsid w:val="0057271C"/>
    <w:rsid w:val="00572845"/>
    <w:rsid w:val="00575F29"/>
    <w:rsid w:val="00592772"/>
    <w:rsid w:val="0059574A"/>
    <w:rsid w:val="005A1B9B"/>
    <w:rsid w:val="005A2F0C"/>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2035"/>
    <w:rsid w:val="00775B6D"/>
    <w:rsid w:val="00776D68"/>
    <w:rsid w:val="00784A7D"/>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2A9"/>
    <w:rsid w:val="0088060C"/>
    <w:rsid w:val="00893576"/>
    <w:rsid w:val="00893E73"/>
    <w:rsid w:val="008B02DC"/>
    <w:rsid w:val="008B57CE"/>
    <w:rsid w:val="008B68A7"/>
    <w:rsid w:val="008C26DE"/>
    <w:rsid w:val="008D2225"/>
    <w:rsid w:val="008D475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A7058"/>
    <w:rsid w:val="009B1B5F"/>
    <w:rsid w:val="009B6673"/>
    <w:rsid w:val="009C191B"/>
    <w:rsid w:val="009C2BD6"/>
    <w:rsid w:val="009E1F32"/>
    <w:rsid w:val="009E776C"/>
    <w:rsid w:val="009F65DC"/>
    <w:rsid w:val="00A1726E"/>
    <w:rsid w:val="00A204CF"/>
    <w:rsid w:val="00A23D49"/>
    <w:rsid w:val="00A242AC"/>
    <w:rsid w:val="00A27004"/>
    <w:rsid w:val="00A30C29"/>
    <w:rsid w:val="00A31117"/>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364"/>
    <w:rsid w:val="00BA2D55"/>
    <w:rsid w:val="00BA71B1"/>
    <w:rsid w:val="00BB0637"/>
    <w:rsid w:val="00BB345F"/>
    <w:rsid w:val="00BB4760"/>
    <w:rsid w:val="00BB68EA"/>
    <w:rsid w:val="00BC1C27"/>
    <w:rsid w:val="00BC6BBF"/>
    <w:rsid w:val="00BD1572"/>
    <w:rsid w:val="00BE14E3"/>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0FAA"/>
    <w:rsid w:val="00C535F5"/>
    <w:rsid w:val="00C53F4A"/>
    <w:rsid w:val="00C54125"/>
    <w:rsid w:val="00C55B54"/>
    <w:rsid w:val="00C6098E"/>
    <w:rsid w:val="00C6152C"/>
    <w:rsid w:val="00C74810"/>
    <w:rsid w:val="00C90D68"/>
    <w:rsid w:val="00C939FE"/>
    <w:rsid w:val="00CA13C6"/>
    <w:rsid w:val="00CA4BDA"/>
    <w:rsid w:val="00CB1F66"/>
    <w:rsid w:val="00CB25E5"/>
    <w:rsid w:val="00CB2951"/>
    <w:rsid w:val="00CD282B"/>
    <w:rsid w:val="00CD4C35"/>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F00A79"/>
    <w:rsid w:val="00F00E86"/>
    <w:rsid w:val="00F06409"/>
    <w:rsid w:val="00F07C1E"/>
    <w:rsid w:val="00F105DB"/>
    <w:rsid w:val="00F132BC"/>
    <w:rsid w:val="00F13D80"/>
    <w:rsid w:val="00F16AAA"/>
    <w:rsid w:val="00F21161"/>
    <w:rsid w:val="00F218EF"/>
    <w:rsid w:val="00F21BC7"/>
    <w:rsid w:val="00F266A2"/>
    <w:rsid w:val="00F32269"/>
    <w:rsid w:val="00F5432B"/>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20A92"/>
    <w:pPr>
      <w:jc w:val="both"/>
    </w:pPr>
    <w:rPr>
      <w:rFonts w:eastAsiaTheme="minorEastAsia"/>
      <w:sz w:val="24"/>
    </w:rPr>
  </w:style>
  <w:style w:type="paragraph" w:styleId="Nagwek1">
    <w:name w:val="heading 1"/>
    <w:basedOn w:val="Normalny"/>
    <w:next w:val="Normalny"/>
    <w:link w:val="Nagwek1Znak"/>
    <w:uiPriority w:val="99"/>
    <w:semiHidden/>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0A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77C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77C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77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77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0A92"/>
    <w:rPr>
      <w:rFonts w:ascii="Tahoma" w:hAnsi="Tahoma" w:cs="Tahoma"/>
      <w:sz w:val="16"/>
      <w:szCs w:val="16"/>
    </w:rPr>
  </w:style>
  <w:style w:type="character" w:customStyle="1" w:styleId="TekstdymkaZnak">
    <w:name w:val="Tekst dymka Znak"/>
    <w:basedOn w:val="Domylnaczcionkaakapitu"/>
    <w:link w:val="Tekstdymka"/>
    <w:uiPriority w:val="99"/>
    <w:semiHidden/>
    <w:rsid w:val="00D20A92"/>
    <w:rPr>
      <w:rFonts w:ascii="Tahoma" w:eastAsiaTheme="minorEastAsia" w:hAnsi="Tahoma" w:cs="Tahoma"/>
      <w:sz w:val="16"/>
      <w:szCs w:val="16"/>
    </w:rPr>
  </w:style>
  <w:style w:type="character" w:styleId="Tytuksiki">
    <w:name w:val="Book Title"/>
    <w:uiPriority w:val="99"/>
    <w:semiHidden/>
    <w:qFormat/>
    <w:rsid w:val="005077CB"/>
    <w:rPr>
      <w:i/>
      <w:iCs/>
      <w:smallCaps/>
      <w:spacing w:val="5"/>
    </w:rPr>
  </w:style>
  <w:style w:type="paragraph" w:customStyle="1" w:styleId="ECHRHeader">
    <w:name w:val="ECHR_Header"/>
    <w:aliases w:val="Ju_Header"/>
    <w:basedOn w:val="Nagwek"/>
    <w:uiPriority w:val="4"/>
    <w:qFormat/>
    <w:rsid w:val="005077CB"/>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5077CB"/>
    <w:pPr>
      <w:numPr>
        <w:numId w:val="28"/>
      </w:numPr>
      <w:jc w:val="left"/>
    </w:pPr>
    <w:rPr>
      <w:b/>
      <w:lang w:val="en-GB"/>
    </w:rPr>
  </w:style>
  <w:style w:type="character" w:styleId="Pogrubienie">
    <w:name w:val="Strong"/>
    <w:uiPriority w:val="99"/>
    <w:semiHidden/>
    <w:qFormat/>
    <w:rsid w:val="005077CB"/>
    <w:rPr>
      <w:b/>
      <w:bCs/>
    </w:rPr>
  </w:style>
  <w:style w:type="paragraph" w:styleId="Bezodstpw">
    <w:name w:val="No Spacing"/>
    <w:basedOn w:val="Normalny"/>
    <w:link w:val="BezodstpwZnak"/>
    <w:semiHidden/>
    <w:qFormat/>
    <w:rsid w:val="005077CB"/>
    <w:rPr>
      <w:sz w:val="22"/>
    </w:rPr>
  </w:style>
  <w:style w:type="character" w:customStyle="1" w:styleId="BezodstpwZnak">
    <w:name w:val="Bez odstępów Znak"/>
    <w:basedOn w:val="Domylnaczcionkaakapitu"/>
    <w:link w:val="Bezodstpw"/>
    <w:semiHidden/>
    <w:rsid w:val="005077CB"/>
    <w:rPr>
      <w:rFonts w:eastAsiaTheme="minorEastAsia"/>
    </w:rPr>
  </w:style>
  <w:style w:type="paragraph" w:customStyle="1" w:styleId="ECHRParaQuote">
    <w:name w:val="ECHR_Para_Quote"/>
    <w:aliases w:val="Ju_Quot"/>
    <w:basedOn w:val="Normalny"/>
    <w:uiPriority w:val="14"/>
    <w:qFormat/>
    <w:rsid w:val="005077CB"/>
    <w:pPr>
      <w:spacing w:before="120" w:after="120"/>
      <w:ind w:left="425" w:firstLine="142"/>
    </w:pPr>
    <w:rPr>
      <w:sz w:val="20"/>
      <w:lang w:val="en-GB"/>
    </w:rPr>
  </w:style>
  <w:style w:type="paragraph" w:customStyle="1" w:styleId="OpiPara">
    <w:name w:val="Opi_Para"/>
    <w:basedOn w:val="ECHRPara"/>
    <w:uiPriority w:val="46"/>
    <w:qFormat/>
    <w:rsid w:val="005077CB"/>
  </w:style>
  <w:style w:type="paragraph" w:customStyle="1" w:styleId="JuParaSub">
    <w:name w:val="Ju_Para_Sub"/>
    <w:basedOn w:val="ECHRPara"/>
    <w:uiPriority w:val="13"/>
    <w:qFormat/>
    <w:rsid w:val="005077CB"/>
    <w:pPr>
      <w:ind w:left="284"/>
    </w:pPr>
  </w:style>
  <w:style w:type="paragraph" w:customStyle="1" w:styleId="OpiParaSub">
    <w:name w:val="Opi_Para_Sub"/>
    <w:basedOn w:val="JuParaSub"/>
    <w:uiPriority w:val="47"/>
    <w:qFormat/>
    <w:rsid w:val="005077CB"/>
  </w:style>
  <w:style w:type="paragraph" w:customStyle="1" w:styleId="OpiQuot">
    <w:name w:val="Opi_Quot"/>
    <w:basedOn w:val="ECHRParaQuote"/>
    <w:uiPriority w:val="48"/>
    <w:qFormat/>
    <w:rsid w:val="005077CB"/>
  </w:style>
  <w:style w:type="paragraph" w:customStyle="1" w:styleId="ECHRTitleCentre3">
    <w:name w:val="ECHR_Title_Centre_3"/>
    <w:aliases w:val="Ju_H_Article"/>
    <w:basedOn w:val="Normalny"/>
    <w:next w:val="ECHRParaQuote"/>
    <w:uiPriority w:val="27"/>
    <w:qFormat/>
    <w:rsid w:val="005077CB"/>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5077CB"/>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5077CB"/>
  </w:style>
  <w:style w:type="paragraph" w:customStyle="1" w:styleId="ECHRTitle1">
    <w:name w:val="ECHR_Title_1"/>
    <w:aliases w:val="Ju_H_Head"/>
    <w:basedOn w:val="Normalny"/>
    <w:next w:val="ECHRPara"/>
    <w:link w:val="JuHHeadChar"/>
    <w:uiPriority w:val="18"/>
    <w:qFormat/>
    <w:rsid w:val="005077CB"/>
    <w:pPr>
      <w:keepNext/>
      <w:keepLines/>
      <w:spacing w:before="720" w:after="240"/>
      <w:outlineLvl w:val="0"/>
    </w:pPr>
    <w:rPr>
      <w:rFonts w:asciiTheme="majorHAnsi" w:hAnsiTheme="majorHAnsi"/>
      <w:sz w:val="28"/>
      <w:lang w:val="en-GB"/>
    </w:rPr>
  </w:style>
  <w:style w:type="paragraph" w:customStyle="1" w:styleId="JuTitle">
    <w:name w:val="Ju_Title"/>
    <w:basedOn w:val="Normalny"/>
    <w:next w:val="ECHRPara"/>
    <w:uiPriority w:val="3"/>
    <w:semiHidden/>
    <w:qFormat/>
    <w:rsid w:val="005077CB"/>
    <w:pPr>
      <w:spacing w:before="720" w:after="240"/>
      <w:jc w:val="center"/>
      <w:outlineLvl w:val="0"/>
    </w:pPr>
    <w:rPr>
      <w:rFonts w:asciiTheme="majorHAnsi" w:hAnsiTheme="majorHAnsi"/>
      <w:b/>
      <w:caps/>
      <w:lang w:val="en-GB"/>
    </w:rPr>
  </w:style>
  <w:style w:type="paragraph" w:customStyle="1" w:styleId="JuSigned">
    <w:name w:val="Ju_Signed"/>
    <w:basedOn w:val="Normalny"/>
    <w:next w:val="JuParaLast"/>
    <w:uiPriority w:val="32"/>
    <w:qFormat/>
    <w:rsid w:val="005077CB"/>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5077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77CB"/>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5077CB"/>
    <w:pPr>
      <w:ind w:left="567"/>
    </w:pPr>
  </w:style>
  <w:style w:type="paragraph" w:customStyle="1" w:styleId="JuInitialled">
    <w:name w:val="Ju_Initialled"/>
    <w:basedOn w:val="Normalny"/>
    <w:uiPriority w:val="31"/>
    <w:qFormat/>
    <w:rsid w:val="005077CB"/>
    <w:pPr>
      <w:tabs>
        <w:tab w:val="center" w:pos="6407"/>
      </w:tabs>
      <w:spacing w:before="720"/>
      <w:jc w:val="right"/>
    </w:pPr>
    <w:rPr>
      <w:lang w:val="en-GB"/>
    </w:rPr>
  </w:style>
  <w:style w:type="paragraph" w:customStyle="1" w:styleId="OpiHA">
    <w:name w:val="Opi_H_A"/>
    <w:basedOn w:val="ECHRHeading1"/>
    <w:next w:val="OpiPara"/>
    <w:uiPriority w:val="41"/>
    <w:qFormat/>
    <w:rsid w:val="005077CB"/>
    <w:pPr>
      <w:tabs>
        <w:tab w:val="clear" w:pos="357"/>
      </w:tabs>
      <w:outlineLvl w:val="1"/>
    </w:pPr>
    <w:rPr>
      <w:b/>
    </w:rPr>
  </w:style>
  <w:style w:type="character" w:customStyle="1" w:styleId="JUNAMES">
    <w:name w:val="JU_NAMES"/>
    <w:uiPriority w:val="17"/>
    <w:qFormat/>
    <w:rsid w:val="005077CB"/>
    <w:rPr>
      <w:caps w:val="0"/>
      <w:smallCaps/>
    </w:rPr>
  </w:style>
  <w:style w:type="character" w:customStyle="1" w:styleId="JuITMark">
    <w:name w:val="Ju_ITMark"/>
    <w:basedOn w:val="Domylnaczcionkaakapitu"/>
    <w:uiPriority w:val="38"/>
    <w:qFormat/>
    <w:rsid w:val="005077CB"/>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link w:val="JuHIRomanChar1"/>
    <w:uiPriority w:val="19"/>
    <w:qFormat/>
    <w:rsid w:val="005077CB"/>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5077CB"/>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link w:val="JuH1Char"/>
    <w:uiPriority w:val="21"/>
    <w:qFormat/>
    <w:rsid w:val="005077CB"/>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D20A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20A92"/>
    <w:rPr>
      <w:sz w:val="24"/>
    </w:rPr>
  </w:style>
  <w:style w:type="character" w:customStyle="1" w:styleId="Nagwek1Znak">
    <w:name w:val="Nagłówek 1 Znak"/>
    <w:basedOn w:val="Domylnaczcionkaakapitu"/>
    <w:link w:val="Nagwek1"/>
    <w:uiPriority w:val="99"/>
    <w:semiHidden/>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5077CB"/>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5077CB"/>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5077CB"/>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5077CB"/>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5077CB"/>
    <w:pPr>
      <w:keepNext/>
      <w:keepLines/>
      <w:spacing w:before="240"/>
      <w:ind w:firstLine="284"/>
    </w:pPr>
    <w:rPr>
      <w:lang w:val="en-GB"/>
    </w:rPr>
  </w:style>
  <w:style w:type="paragraph" w:customStyle="1" w:styleId="JuList">
    <w:name w:val="Ju_List"/>
    <w:basedOn w:val="Normalny"/>
    <w:uiPriority w:val="28"/>
    <w:qFormat/>
    <w:rsid w:val="005077CB"/>
    <w:pPr>
      <w:ind w:left="340" w:hanging="340"/>
    </w:pPr>
    <w:rPr>
      <w:lang w:val="en-GB"/>
    </w:rPr>
  </w:style>
  <w:style w:type="character" w:customStyle="1" w:styleId="Nagwek4Znak">
    <w:name w:val="Nagłówek 4 Znak"/>
    <w:basedOn w:val="Domylnaczcionkaakapitu"/>
    <w:link w:val="Nagwek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5077CB"/>
    <w:pPr>
      <w:ind w:left="346" w:firstLine="0"/>
    </w:pPr>
  </w:style>
  <w:style w:type="character" w:customStyle="1" w:styleId="Nagwek5Znak">
    <w:name w:val="Nagłówek 5 Znak"/>
    <w:basedOn w:val="Domylnaczcionkaakapitu"/>
    <w:link w:val="Nagwek5"/>
    <w:uiPriority w:val="99"/>
    <w:semiHidden/>
    <w:rsid w:val="005077CB"/>
    <w:rPr>
      <w:rFonts w:asciiTheme="majorHAnsi" w:eastAsiaTheme="majorEastAsia" w:hAnsiTheme="majorHAnsi" w:cstheme="majorBidi"/>
      <w:b/>
      <w:bCs/>
      <w:color w:val="808080"/>
    </w:rPr>
  </w:style>
  <w:style w:type="paragraph" w:customStyle="1" w:styleId="OpiTranslation">
    <w:name w:val="Opi_Translation"/>
    <w:basedOn w:val="Normalny"/>
    <w:next w:val="OpiPara"/>
    <w:uiPriority w:val="40"/>
    <w:qFormat/>
    <w:rsid w:val="005077CB"/>
    <w:pPr>
      <w:jc w:val="center"/>
      <w:outlineLvl w:val="0"/>
    </w:pPr>
    <w:rPr>
      <w:i/>
      <w:lang w:val="en-GB"/>
    </w:rPr>
  </w:style>
  <w:style w:type="paragraph" w:customStyle="1" w:styleId="DecHTitle">
    <w:name w:val="Dec_H_Title"/>
    <w:basedOn w:val="ECHRTitleCentre1"/>
    <w:uiPriority w:val="7"/>
    <w:semiHidden/>
    <w:qFormat/>
    <w:rsid w:val="005077CB"/>
  </w:style>
  <w:style w:type="character" w:styleId="Wyrnieniedelikatne">
    <w:name w:val="Subtle Emphasis"/>
    <w:uiPriority w:val="99"/>
    <w:semiHidden/>
    <w:qFormat/>
    <w:rsid w:val="005077CB"/>
    <w:rPr>
      <w:i/>
      <w:iCs/>
    </w:rPr>
  </w:style>
  <w:style w:type="paragraph" w:customStyle="1" w:styleId="JuCourt">
    <w:name w:val="Ju_Court"/>
    <w:basedOn w:val="Normalny"/>
    <w:next w:val="Normalny"/>
    <w:uiPriority w:val="16"/>
    <w:qFormat/>
    <w:rsid w:val="005077CB"/>
    <w:pPr>
      <w:tabs>
        <w:tab w:val="left" w:pos="907"/>
        <w:tab w:val="left" w:pos="1701"/>
        <w:tab w:val="right" w:pos="7371"/>
      </w:tabs>
      <w:spacing w:before="240"/>
      <w:ind w:left="397" w:hanging="397"/>
      <w:jc w:val="left"/>
    </w:pPr>
    <w:rPr>
      <w:lang w:val="en-GB"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5077CB"/>
    <w:pPr>
      <w:spacing w:before="240"/>
      <w:ind w:left="284"/>
    </w:pPr>
    <w:rPr>
      <w:lang w:val="en-GB"/>
    </w:rPr>
  </w:style>
  <w:style w:type="paragraph" w:customStyle="1" w:styleId="JuListi">
    <w:name w:val="Ju_List_i"/>
    <w:basedOn w:val="Normalny"/>
    <w:next w:val="JuLista"/>
    <w:uiPriority w:val="28"/>
    <w:qFormat/>
    <w:rsid w:val="005077CB"/>
    <w:pPr>
      <w:ind w:left="794"/>
    </w:pPr>
    <w:rPr>
      <w:lang w:val="en-GB"/>
    </w:rPr>
  </w:style>
  <w:style w:type="paragraph" w:styleId="Podtytu">
    <w:name w:val="Subtitle"/>
    <w:basedOn w:val="Normalny"/>
    <w:next w:val="Normalny"/>
    <w:link w:val="PodtytuZnak"/>
    <w:uiPriority w:val="99"/>
    <w:semiHidden/>
    <w:qFormat/>
    <w:rsid w:val="005077CB"/>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5077CB"/>
    <w:rPr>
      <w:b/>
      <w:bCs/>
      <w:i/>
      <w:iCs/>
      <w:spacing w:val="10"/>
      <w:bdr w:val="none" w:sz="0" w:space="0" w:color="auto"/>
      <w:shd w:val="clear" w:color="auto" w:fill="auto"/>
    </w:rPr>
  </w:style>
  <w:style w:type="paragraph" w:styleId="Stopka">
    <w:name w:val="footer"/>
    <w:basedOn w:val="Normalny"/>
    <w:link w:val="StopkaZnak"/>
    <w:uiPriority w:val="57"/>
    <w:semiHidden/>
    <w:rsid w:val="00D20A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0A92"/>
    <w:rPr>
      <w:sz w:val="24"/>
    </w:rPr>
  </w:style>
  <w:style w:type="character" w:styleId="Odwoanieprzypisudolnego">
    <w:name w:val="footnote reference"/>
    <w:basedOn w:val="Domylnaczcionkaakapitu"/>
    <w:uiPriority w:val="99"/>
    <w:semiHidden/>
    <w:rsid w:val="00D20A92"/>
    <w:rPr>
      <w:vertAlign w:val="superscript"/>
    </w:rPr>
  </w:style>
  <w:style w:type="paragraph" w:styleId="Tekstprzypisudolnego">
    <w:name w:val="footnote text"/>
    <w:basedOn w:val="Normalny"/>
    <w:link w:val="TekstprzypisudolnegoZnak"/>
    <w:uiPriority w:val="99"/>
    <w:semiHidden/>
    <w:rsid w:val="00D20A92"/>
    <w:rPr>
      <w:sz w:val="20"/>
      <w:szCs w:val="20"/>
    </w:rPr>
  </w:style>
  <w:style w:type="character" w:customStyle="1" w:styleId="TekstprzypisudolnegoZnak">
    <w:name w:val="Tekst przypisu dolnego Znak"/>
    <w:basedOn w:val="Domylnaczcionkaakapitu"/>
    <w:link w:val="Tekstprzypisudolnego"/>
    <w:uiPriority w:val="99"/>
    <w:semiHidden/>
    <w:rsid w:val="00D20A92"/>
    <w:rPr>
      <w:rFonts w:eastAsiaTheme="minorEastAsia"/>
      <w:sz w:val="20"/>
      <w:szCs w:val="20"/>
    </w:rPr>
  </w:style>
  <w:style w:type="character" w:customStyle="1" w:styleId="Nagwek6Znak">
    <w:name w:val="Nagłówek 6 Znak"/>
    <w:basedOn w:val="Domylnaczcionkaakapitu"/>
    <w:link w:val="Nagwek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77C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77C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77C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0A92"/>
    <w:rPr>
      <w:color w:val="0072BC" w:themeColor="hyperlink"/>
      <w:u w:val="single"/>
    </w:rPr>
  </w:style>
  <w:style w:type="character" w:styleId="Wyrnienieintensywne">
    <w:name w:val="Intense Emphasis"/>
    <w:uiPriority w:val="99"/>
    <w:semiHidden/>
    <w:qFormat/>
    <w:rsid w:val="005077CB"/>
    <w:rPr>
      <w:b/>
      <w:bCs/>
    </w:rPr>
  </w:style>
  <w:style w:type="paragraph" w:styleId="Cytatintensywny">
    <w:name w:val="Intense Quote"/>
    <w:basedOn w:val="Normalny"/>
    <w:next w:val="Normalny"/>
    <w:link w:val="CytatintensywnyZnak"/>
    <w:uiPriority w:val="99"/>
    <w:semiHidden/>
    <w:qFormat/>
    <w:rsid w:val="005077C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77CB"/>
    <w:rPr>
      <w:rFonts w:eastAsiaTheme="minorEastAsia"/>
      <w:b/>
      <w:bCs/>
      <w:i/>
      <w:iCs/>
      <w:lang w:bidi="en-US"/>
    </w:rPr>
  </w:style>
  <w:style w:type="character" w:styleId="Odwoanieintensywne">
    <w:name w:val="Intense Reference"/>
    <w:uiPriority w:val="99"/>
    <w:semiHidden/>
    <w:qFormat/>
    <w:rsid w:val="005077CB"/>
    <w:rPr>
      <w:smallCaps/>
      <w:spacing w:val="5"/>
      <w:u w:val="single"/>
    </w:rPr>
  </w:style>
  <w:style w:type="paragraph" w:styleId="Akapitzlist">
    <w:name w:val="List Paragraph"/>
    <w:basedOn w:val="Normalny"/>
    <w:uiPriority w:val="99"/>
    <w:semiHidden/>
    <w:qFormat/>
    <w:rsid w:val="005077CB"/>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077CB"/>
    <w:pPr>
      <w:spacing w:before="200"/>
      <w:ind w:left="360" w:right="360"/>
    </w:pPr>
    <w:rPr>
      <w:i/>
      <w:iCs/>
      <w:sz w:val="22"/>
      <w:lang w:bidi="en-US"/>
    </w:rPr>
  </w:style>
  <w:style w:type="character" w:customStyle="1" w:styleId="CytatZnak">
    <w:name w:val="Cytat Znak"/>
    <w:basedOn w:val="Domylnaczcionkaakapitu"/>
    <w:link w:val="Cytat"/>
    <w:uiPriority w:val="99"/>
    <w:semiHidden/>
    <w:rsid w:val="005077CB"/>
    <w:rPr>
      <w:rFonts w:eastAsiaTheme="minorEastAsia"/>
      <w:i/>
      <w:iCs/>
      <w:lang w:bidi="en-US"/>
    </w:rPr>
  </w:style>
  <w:style w:type="character" w:styleId="Odwoaniedelikatne">
    <w:name w:val="Subtle Reference"/>
    <w:uiPriority w:val="99"/>
    <w:semiHidden/>
    <w:qFormat/>
    <w:rsid w:val="005077CB"/>
    <w:rPr>
      <w:smallCaps/>
    </w:rPr>
  </w:style>
  <w:style w:type="table" w:styleId="Tabela-Siatka">
    <w:name w:val="Table Grid"/>
    <w:basedOn w:val="Standardowy"/>
    <w:uiPriority w:val="59"/>
    <w:semiHidden/>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0A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0A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0A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0A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077CB"/>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5077C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
    <w:basedOn w:val="Normalny"/>
    <w:link w:val="ECHRParaChar"/>
    <w:uiPriority w:val="12"/>
    <w:qFormat/>
    <w:rsid w:val="005077CB"/>
    <w:pPr>
      <w:ind w:firstLine="284"/>
    </w:pPr>
    <w:rPr>
      <w:lang w:val="en-GB"/>
    </w:r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77CB"/>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0A92"/>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70"/>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62"/>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67"/>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20A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W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0A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0A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H1">
    <w:name w:val="Opi_H_1"/>
    <w:basedOn w:val="ECHRHeading2"/>
    <w:uiPriority w:val="42"/>
    <w:qFormat/>
    <w:rsid w:val="005077CB"/>
    <w:pPr>
      <w:ind w:left="635" w:hanging="357"/>
      <w:outlineLvl w:val="2"/>
    </w:pPr>
  </w:style>
  <w:style w:type="paragraph" w:customStyle="1" w:styleId="OpiHa0">
    <w:name w:val="Opi_H_a"/>
    <w:basedOn w:val="ECHRHeading3"/>
    <w:uiPriority w:val="43"/>
    <w:qFormat/>
    <w:rsid w:val="005077CB"/>
    <w:pPr>
      <w:ind w:left="833" w:hanging="357"/>
      <w:outlineLvl w:val="3"/>
    </w:pPr>
    <w:rPr>
      <w:b/>
      <w:i w:val="0"/>
      <w:sz w:val="20"/>
    </w:rPr>
  </w:style>
  <w:style w:type="paragraph" w:customStyle="1" w:styleId="ECHRFooter">
    <w:name w:val="ECHR_Footer"/>
    <w:aliases w:val="Footer_ECHR"/>
    <w:basedOn w:val="Stopka"/>
    <w:uiPriority w:val="57"/>
    <w:semiHidden/>
    <w:rsid w:val="00D20A92"/>
    <w:pPr>
      <w:jc w:val="left"/>
    </w:pPr>
    <w:rPr>
      <w:sz w:val="8"/>
    </w:rPr>
  </w:style>
  <w:style w:type="paragraph" w:customStyle="1" w:styleId="ECHRFooterLine">
    <w:name w:val="ECHR_Footer_Line"/>
    <w:aliases w:val="Footer_Line"/>
    <w:basedOn w:val="Normalny"/>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5077CB"/>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5077CB"/>
    <w:pPr>
      <w:ind w:left="1037" w:hanging="357"/>
      <w:outlineLvl w:val="4"/>
    </w:pPr>
    <w:rPr>
      <w:b w:val="0"/>
      <w:i/>
    </w:rPr>
  </w:style>
  <w:style w:type="paragraph" w:customStyle="1" w:styleId="DummyStyle">
    <w:name w:val="Dummy_Style"/>
    <w:basedOn w:val="Normalny"/>
    <w:semiHidden/>
    <w:qFormat/>
    <w:rsid w:val="005077CB"/>
    <w:rPr>
      <w:color w:val="00B050"/>
      <w:lang w:val="en-GB"/>
    </w:rPr>
  </w:style>
  <w:style w:type="paragraph" w:customStyle="1" w:styleId="JuHeaderLandscape">
    <w:name w:val="Ju_Header_Landscape"/>
    <w:basedOn w:val="ECHRHeader"/>
    <w:uiPriority w:val="4"/>
    <w:qFormat/>
    <w:rsid w:val="005077CB"/>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A31117"/>
    <w:rPr>
      <w:rFonts w:eastAsiaTheme="minorEastAsia"/>
      <w:sz w:val="24"/>
      <w:lang w:val="en-GB"/>
    </w:rPr>
  </w:style>
  <w:style w:type="character" w:customStyle="1" w:styleId="JuH1Char">
    <w:name w:val="Ju_H_1. Char"/>
    <w:basedOn w:val="Domylnaczcionkaakapitu"/>
    <w:link w:val="ECHRHeading3"/>
    <w:uiPriority w:val="21"/>
    <w:rsid w:val="00A31117"/>
    <w:rPr>
      <w:rFonts w:asciiTheme="majorHAnsi" w:eastAsiaTheme="majorEastAsia" w:hAnsiTheme="majorHAnsi" w:cstheme="majorBidi"/>
      <w:bCs/>
      <w:i/>
      <w:sz w:val="24"/>
      <w:lang w:val="en-GB"/>
    </w:rPr>
  </w:style>
  <w:style w:type="character" w:customStyle="1" w:styleId="JuHHeadChar">
    <w:name w:val="Ju_H_Head Char"/>
    <w:link w:val="ECHRTitle1"/>
    <w:uiPriority w:val="18"/>
    <w:rsid w:val="00A31117"/>
    <w:rPr>
      <w:rFonts w:asciiTheme="majorHAnsi" w:eastAsiaTheme="minorEastAsia" w:hAnsiTheme="majorHAnsi"/>
      <w:sz w:val="28"/>
      <w:lang w:val="en-GB"/>
    </w:rPr>
  </w:style>
  <w:style w:type="character" w:customStyle="1" w:styleId="JuHIRomanChar1">
    <w:name w:val="Ju_H_I_Roman Char1"/>
    <w:link w:val="ECHRHeading1"/>
    <w:uiPriority w:val="19"/>
    <w:rsid w:val="00A31117"/>
    <w:rPr>
      <w:rFonts w:asciiTheme="majorHAnsi" w:eastAsiaTheme="majorEastAsia" w:hAnsiTheme="majorHAnsi" w:cstheme="majorBidi"/>
      <w:bCs/>
      <w:sz w:val="24"/>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20A92"/>
    <w:pPr>
      <w:jc w:val="both"/>
    </w:pPr>
    <w:rPr>
      <w:rFonts w:eastAsiaTheme="minorEastAsia"/>
      <w:sz w:val="24"/>
    </w:rPr>
  </w:style>
  <w:style w:type="paragraph" w:styleId="Nagwek1">
    <w:name w:val="heading 1"/>
    <w:basedOn w:val="Normalny"/>
    <w:next w:val="Normalny"/>
    <w:link w:val="Nagwek1Znak"/>
    <w:uiPriority w:val="99"/>
    <w:semiHidden/>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20A9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77C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77C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77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77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20A92"/>
    <w:rPr>
      <w:rFonts w:ascii="Tahoma" w:hAnsi="Tahoma" w:cs="Tahoma"/>
      <w:sz w:val="16"/>
      <w:szCs w:val="16"/>
    </w:rPr>
  </w:style>
  <w:style w:type="character" w:customStyle="1" w:styleId="TekstdymkaZnak">
    <w:name w:val="Tekst dymka Znak"/>
    <w:basedOn w:val="Domylnaczcionkaakapitu"/>
    <w:link w:val="Tekstdymka"/>
    <w:uiPriority w:val="99"/>
    <w:semiHidden/>
    <w:rsid w:val="00D20A92"/>
    <w:rPr>
      <w:rFonts w:ascii="Tahoma" w:eastAsiaTheme="minorEastAsia" w:hAnsi="Tahoma" w:cs="Tahoma"/>
      <w:sz w:val="16"/>
      <w:szCs w:val="16"/>
    </w:rPr>
  </w:style>
  <w:style w:type="character" w:styleId="Tytuksiki">
    <w:name w:val="Book Title"/>
    <w:uiPriority w:val="99"/>
    <w:semiHidden/>
    <w:qFormat/>
    <w:rsid w:val="005077CB"/>
    <w:rPr>
      <w:i/>
      <w:iCs/>
      <w:smallCaps/>
      <w:spacing w:val="5"/>
    </w:rPr>
  </w:style>
  <w:style w:type="paragraph" w:customStyle="1" w:styleId="ECHRHeader">
    <w:name w:val="ECHR_Header"/>
    <w:aliases w:val="Ju_Header"/>
    <w:basedOn w:val="Nagwek"/>
    <w:uiPriority w:val="4"/>
    <w:qFormat/>
    <w:rsid w:val="005077CB"/>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5077CB"/>
    <w:pPr>
      <w:numPr>
        <w:numId w:val="28"/>
      </w:numPr>
      <w:jc w:val="left"/>
    </w:pPr>
    <w:rPr>
      <w:b/>
      <w:lang w:val="en-GB"/>
    </w:rPr>
  </w:style>
  <w:style w:type="character" w:styleId="Pogrubienie">
    <w:name w:val="Strong"/>
    <w:uiPriority w:val="99"/>
    <w:semiHidden/>
    <w:qFormat/>
    <w:rsid w:val="005077CB"/>
    <w:rPr>
      <w:b/>
      <w:bCs/>
    </w:rPr>
  </w:style>
  <w:style w:type="paragraph" w:styleId="Bezodstpw">
    <w:name w:val="No Spacing"/>
    <w:basedOn w:val="Normalny"/>
    <w:link w:val="BezodstpwZnak"/>
    <w:semiHidden/>
    <w:qFormat/>
    <w:rsid w:val="005077CB"/>
    <w:rPr>
      <w:sz w:val="22"/>
    </w:rPr>
  </w:style>
  <w:style w:type="character" w:customStyle="1" w:styleId="BezodstpwZnak">
    <w:name w:val="Bez odstępów Znak"/>
    <w:basedOn w:val="Domylnaczcionkaakapitu"/>
    <w:link w:val="Bezodstpw"/>
    <w:semiHidden/>
    <w:rsid w:val="005077CB"/>
    <w:rPr>
      <w:rFonts w:eastAsiaTheme="minorEastAsia"/>
    </w:rPr>
  </w:style>
  <w:style w:type="paragraph" w:customStyle="1" w:styleId="ECHRParaQuote">
    <w:name w:val="ECHR_Para_Quote"/>
    <w:aliases w:val="Ju_Quot"/>
    <w:basedOn w:val="Normalny"/>
    <w:uiPriority w:val="14"/>
    <w:qFormat/>
    <w:rsid w:val="005077CB"/>
    <w:pPr>
      <w:spacing w:before="120" w:after="120"/>
      <w:ind w:left="425" w:firstLine="142"/>
    </w:pPr>
    <w:rPr>
      <w:sz w:val="20"/>
      <w:lang w:val="en-GB"/>
    </w:rPr>
  </w:style>
  <w:style w:type="paragraph" w:customStyle="1" w:styleId="OpiPara">
    <w:name w:val="Opi_Para"/>
    <w:basedOn w:val="ECHRPara"/>
    <w:uiPriority w:val="46"/>
    <w:qFormat/>
    <w:rsid w:val="005077CB"/>
  </w:style>
  <w:style w:type="paragraph" w:customStyle="1" w:styleId="JuParaSub">
    <w:name w:val="Ju_Para_Sub"/>
    <w:basedOn w:val="ECHRPara"/>
    <w:uiPriority w:val="13"/>
    <w:qFormat/>
    <w:rsid w:val="005077CB"/>
    <w:pPr>
      <w:ind w:left="284"/>
    </w:pPr>
  </w:style>
  <w:style w:type="paragraph" w:customStyle="1" w:styleId="OpiParaSub">
    <w:name w:val="Opi_Para_Sub"/>
    <w:basedOn w:val="JuParaSub"/>
    <w:uiPriority w:val="47"/>
    <w:qFormat/>
    <w:rsid w:val="005077CB"/>
  </w:style>
  <w:style w:type="paragraph" w:customStyle="1" w:styleId="OpiQuot">
    <w:name w:val="Opi_Quot"/>
    <w:basedOn w:val="ECHRParaQuote"/>
    <w:uiPriority w:val="48"/>
    <w:qFormat/>
    <w:rsid w:val="005077CB"/>
  </w:style>
  <w:style w:type="paragraph" w:customStyle="1" w:styleId="ECHRTitleCentre3">
    <w:name w:val="ECHR_Title_Centre_3"/>
    <w:aliases w:val="Ju_H_Article"/>
    <w:basedOn w:val="Normalny"/>
    <w:next w:val="ECHRParaQuote"/>
    <w:uiPriority w:val="27"/>
    <w:qFormat/>
    <w:rsid w:val="005077CB"/>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5077CB"/>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5077CB"/>
  </w:style>
  <w:style w:type="paragraph" w:customStyle="1" w:styleId="ECHRTitle1">
    <w:name w:val="ECHR_Title_1"/>
    <w:aliases w:val="Ju_H_Head"/>
    <w:basedOn w:val="Normalny"/>
    <w:next w:val="ECHRPara"/>
    <w:link w:val="JuHHeadChar"/>
    <w:uiPriority w:val="18"/>
    <w:qFormat/>
    <w:rsid w:val="005077CB"/>
    <w:pPr>
      <w:keepNext/>
      <w:keepLines/>
      <w:spacing w:before="720" w:after="240"/>
      <w:outlineLvl w:val="0"/>
    </w:pPr>
    <w:rPr>
      <w:rFonts w:asciiTheme="majorHAnsi" w:hAnsiTheme="majorHAnsi"/>
      <w:sz w:val="28"/>
      <w:lang w:val="en-GB"/>
    </w:rPr>
  </w:style>
  <w:style w:type="paragraph" w:customStyle="1" w:styleId="JuTitle">
    <w:name w:val="Ju_Title"/>
    <w:basedOn w:val="Normalny"/>
    <w:next w:val="ECHRPara"/>
    <w:uiPriority w:val="3"/>
    <w:semiHidden/>
    <w:qFormat/>
    <w:rsid w:val="005077CB"/>
    <w:pPr>
      <w:spacing w:before="720" w:after="240"/>
      <w:jc w:val="center"/>
      <w:outlineLvl w:val="0"/>
    </w:pPr>
    <w:rPr>
      <w:rFonts w:asciiTheme="majorHAnsi" w:hAnsiTheme="majorHAnsi"/>
      <w:b/>
      <w:caps/>
      <w:lang w:val="en-GB"/>
    </w:rPr>
  </w:style>
  <w:style w:type="paragraph" w:customStyle="1" w:styleId="JuSigned">
    <w:name w:val="Ju_Signed"/>
    <w:basedOn w:val="Normalny"/>
    <w:next w:val="JuParaLast"/>
    <w:uiPriority w:val="32"/>
    <w:qFormat/>
    <w:rsid w:val="005077CB"/>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5077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77CB"/>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5077CB"/>
    <w:pPr>
      <w:ind w:left="567"/>
    </w:pPr>
  </w:style>
  <w:style w:type="paragraph" w:customStyle="1" w:styleId="JuInitialled">
    <w:name w:val="Ju_Initialled"/>
    <w:basedOn w:val="Normalny"/>
    <w:uiPriority w:val="31"/>
    <w:qFormat/>
    <w:rsid w:val="005077CB"/>
    <w:pPr>
      <w:tabs>
        <w:tab w:val="center" w:pos="6407"/>
      </w:tabs>
      <w:spacing w:before="720"/>
      <w:jc w:val="right"/>
    </w:pPr>
    <w:rPr>
      <w:lang w:val="en-GB"/>
    </w:rPr>
  </w:style>
  <w:style w:type="paragraph" w:customStyle="1" w:styleId="OpiHA">
    <w:name w:val="Opi_H_A"/>
    <w:basedOn w:val="ECHRHeading1"/>
    <w:next w:val="OpiPara"/>
    <w:uiPriority w:val="41"/>
    <w:qFormat/>
    <w:rsid w:val="005077CB"/>
    <w:pPr>
      <w:tabs>
        <w:tab w:val="clear" w:pos="357"/>
      </w:tabs>
      <w:outlineLvl w:val="1"/>
    </w:pPr>
    <w:rPr>
      <w:b/>
    </w:rPr>
  </w:style>
  <w:style w:type="character" w:customStyle="1" w:styleId="JUNAMES">
    <w:name w:val="JU_NAMES"/>
    <w:uiPriority w:val="17"/>
    <w:qFormat/>
    <w:rsid w:val="005077CB"/>
    <w:rPr>
      <w:caps w:val="0"/>
      <w:smallCaps/>
    </w:rPr>
  </w:style>
  <w:style w:type="character" w:customStyle="1" w:styleId="JuITMark">
    <w:name w:val="Ju_ITMark"/>
    <w:basedOn w:val="Domylnaczcionkaakapitu"/>
    <w:uiPriority w:val="38"/>
    <w:qFormat/>
    <w:rsid w:val="005077CB"/>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link w:val="JuHIRomanChar1"/>
    <w:uiPriority w:val="19"/>
    <w:qFormat/>
    <w:rsid w:val="005077CB"/>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5077CB"/>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link w:val="JuH1Char"/>
    <w:uiPriority w:val="21"/>
    <w:qFormat/>
    <w:rsid w:val="005077CB"/>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D20A9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20A92"/>
    <w:rPr>
      <w:sz w:val="24"/>
    </w:rPr>
  </w:style>
  <w:style w:type="character" w:customStyle="1" w:styleId="Nagwek1Znak">
    <w:name w:val="Nagłówek 1 Znak"/>
    <w:basedOn w:val="Domylnaczcionkaakapitu"/>
    <w:link w:val="Nagwek1"/>
    <w:uiPriority w:val="99"/>
    <w:semiHidden/>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5077CB"/>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5077CB"/>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5077CB"/>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5077CB"/>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5077CB"/>
    <w:pPr>
      <w:keepNext/>
      <w:keepLines/>
      <w:spacing w:before="240"/>
      <w:ind w:firstLine="284"/>
    </w:pPr>
    <w:rPr>
      <w:lang w:val="en-GB"/>
    </w:rPr>
  </w:style>
  <w:style w:type="paragraph" w:customStyle="1" w:styleId="JuList">
    <w:name w:val="Ju_List"/>
    <w:basedOn w:val="Normalny"/>
    <w:uiPriority w:val="28"/>
    <w:qFormat/>
    <w:rsid w:val="005077CB"/>
    <w:pPr>
      <w:ind w:left="340" w:hanging="340"/>
    </w:pPr>
    <w:rPr>
      <w:lang w:val="en-GB"/>
    </w:rPr>
  </w:style>
  <w:style w:type="character" w:customStyle="1" w:styleId="Nagwek4Znak">
    <w:name w:val="Nagłówek 4 Znak"/>
    <w:basedOn w:val="Domylnaczcionkaakapitu"/>
    <w:link w:val="Nagwek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5077CB"/>
    <w:pPr>
      <w:ind w:left="346" w:firstLine="0"/>
    </w:pPr>
  </w:style>
  <w:style w:type="character" w:customStyle="1" w:styleId="Nagwek5Znak">
    <w:name w:val="Nagłówek 5 Znak"/>
    <w:basedOn w:val="Domylnaczcionkaakapitu"/>
    <w:link w:val="Nagwek5"/>
    <w:uiPriority w:val="99"/>
    <w:semiHidden/>
    <w:rsid w:val="005077CB"/>
    <w:rPr>
      <w:rFonts w:asciiTheme="majorHAnsi" w:eastAsiaTheme="majorEastAsia" w:hAnsiTheme="majorHAnsi" w:cstheme="majorBidi"/>
      <w:b/>
      <w:bCs/>
      <w:color w:val="808080"/>
    </w:rPr>
  </w:style>
  <w:style w:type="paragraph" w:customStyle="1" w:styleId="OpiTranslation">
    <w:name w:val="Opi_Translation"/>
    <w:basedOn w:val="Normalny"/>
    <w:next w:val="OpiPara"/>
    <w:uiPriority w:val="40"/>
    <w:qFormat/>
    <w:rsid w:val="005077CB"/>
    <w:pPr>
      <w:jc w:val="center"/>
      <w:outlineLvl w:val="0"/>
    </w:pPr>
    <w:rPr>
      <w:i/>
      <w:lang w:val="en-GB"/>
    </w:rPr>
  </w:style>
  <w:style w:type="paragraph" w:customStyle="1" w:styleId="DecHTitle">
    <w:name w:val="Dec_H_Title"/>
    <w:basedOn w:val="ECHRTitleCentre1"/>
    <w:uiPriority w:val="7"/>
    <w:semiHidden/>
    <w:qFormat/>
    <w:rsid w:val="005077CB"/>
  </w:style>
  <w:style w:type="character" w:styleId="Wyrnieniedelikatne">
    <w:name w:val="Subtle Emphasis"/>
    <w:uiPriority w:val="99"/>
    <w:semiHidden/>
    <w:qFormat/>
    <w:rsid w:val="005077CB"/>
    <w:rPr>
      <w:i/>
      <w:iCs/>
    </w:rPr>
  </w:style>
  <w:style w:type="paragraph" w:customStyle="1" w:styleId="JuCourt">
    <w:name w:val="Ju_Court"/>
    <w:basedOn w:val="Normalny"/>
    <w:next w:val="Normalny"/>
    <w:uiPriority w:val="16"/>
    <w:qFormat/>
    <w:rsid w:val="005077CB"/>
    <w:pPr>
      <w:tabs>
        <w:tab w:val="left" w:pos="907"/>
        <w:tab w:val="left" w:pos="1701"/>
        <w:tab w:val="right" w:pos="7371"/>
      </w:tabs>
      <w:spacing w:before="240"/>
      <w:ind w:left="397" w:hanging="397"/>
      <w:jc w:val="left"/>
    </w:pPr>
    <w:rPr>
      <w:lang w:val="en-GB"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5077CB"/>
    <w:pPr>
      <w:spacing w:before="240"/>
      <w:ind w:left="284"/>
    </w:pPr>
    <w:rPr>
      <w:lang w:val="en-GB"/>
    </w:rPr>
  </w:style>
  <w:style w:type="paragraph" w:customStyle="1" w:styleId="JuListi">
    <w:name w:val="Ju_List_i"/>
    <w:basedOn w:val="Normalny"/>
    <w:next w:val="JuLista"/>
    <w:uiPriority w:val="28"/>
    <w:qFormat/>
    <w:rsid w:val="005077CB"/>
    <w:pPr>
      <w:ind w:left="794"/>
    </w:pPr>
    <w:rPr>
      <w:lang w:val="en-GB"/>
    </w:rPr>
  </w:style>
  <w:style w:type="paragraph" w:styleId="Podtytu">
    <w:name w:val="Subtitle"/>
    <w:basedOn w:val="Normalny"/>
    <w:next w:val="Normalny"/>
    <w:link w:val="PodtytuZnak"/>
    <w:uiPriority w:val="99"/>
    <w:semiHidden/>
    <w:qFormat/>
    <w:rsid w:val="005077CB"/>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5077CB"/>
    <w:rPr>
      <w:b/>
      <w:bCs/>
      <w:i/>
      <w:iCs/>
      <w:spacing w:val="10"/>
      <w:bdr w:val="none" w:sz="0" w:space="0" w:color="auto"/>
      <w:shd w:val="clear" w:color="auto" w:fill="auto"/>
    </w:rPr>
  </w:style>
  <w:style w:type="paragraph" w:styleId="Stopka">
    <w:name w:val="footer"/>
    <w:basedOn w:val="Normalny"/>
    <w:link w:val="StopkaZnak"/>
    <w:uiPriority w:val="57"/>
    <w:semiHidden/>
    <w:rsid w:val="00D20A9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20A92"/>
    <w:rPr>
      <w:sz w:val="24"/>
    </w:rPr>
  </w:style>
  <w:style w:type="character" w:styleId="Odwoanieprzypisudolnego">
    <w:name w:val="footnote reference"/>
    <w:basedOn w:val="Domylnaczcionkaakapitu"/>
    <w:uiPriority w:val="99"/>
    <w:semiHidden/>
    <w:rsid w:val="00D20A92"/>
    <w:rPr>
      <w:vertAlign w:val="superscript"/>
    </w:rPr>
  </w:style>
  <w:style w:type="paragraph" w:styleId="Tekstprzypisudolnego">
    <w:name w:val="footnote text"/>
    <w:basedOn w:val="Normalny"/>
    <w:link w:val="TekstprzypisudolnegoZnak"/>
    <w:uiPriority w:val="99"/>
    <w:semiHidden/>
    <w:rsid w:val="00D20A92"/>
    <w:rPr>
      <w:sz w:val="20"/>
      <w:szCs w:val="20"/>
    </w:rPr>
  </w:style>
  <w:style w:type="character" w:customStyle="1" w:styleId="TekstprzypisudolnegoZnak">
    <w:name w:val="Tekst przypisu dolnego Znak"/>
    <w:basedOn w:val="Domylnaczcionkaakapitu"/>
    <w:link w:val="Tekstprzypisudolnego"/>
    <w:uiPriority w:val="99"/>
    <w:semiHidden/>
    <w:rsid w:val="00D20A92"/>
    <w:rPr>
      <w:rFonts w:eastAsiaTheme="minorEastAsia"/>
      <w:sz w:val="20"/>
      <w:szCs w:val="20"/>
    </w:rPr>
  </w:style>
  <w:style w:type="character" w:customStyle="1" w:styleId="Nagwek6Znak">
    <w:name w:val="Nagłówek 6 Znak"/>
    <w:basedOn w:val="Domylnaczcionkaakapitu"/>
    <w:link w:val="Nagwek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77C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77C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77C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20A92"/>
    <w:rPr>
      <w:color w:val="0072BC" w:themeColor="hyperlink"/>
      <w:u w:val="single"/>
    </w:rPr>
  </w:style>
  <w:style w:type="character" w:styleId="Wyrnienieintensywne">
    <w:name w:val="Intense Emphasis"/>
    <w:uiPriority w:val="99"/>
    <w:semiHidden/>
    <w:qFormat/>
    <w:rsid w:val="005077CB"/>
    <w:rPr>
      <w:b/>
      <w:bCs/>
    </w:rPr>
  </w:style>
  <w:style w:type="paragraph" w:styleId="Cytatintensywny">
    <w:name w:val="Intense Quote"/>
    <w:basedOn w:val="Normalny"/>
    <w:next w:val="Normalny"/>
    <w:link w:val="CytatintensywnyZnak"/>
    <w:uiPriority w:val="99"/>
    <w:semiHidden/>
    <w:qFormat/>
    <w:rsid w:val="005077C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77CB"/>
    <w:rPr>
      <w:rFonts w:eastAsiaTheme="minorEastAsia"/>
      <w:b/>
      <w:bCs/>
      <w:i/>
      <w:iCs/>
      <w:lang w:bidi="en-US"/>
    </w:rPr>
  </w:style>
  <w:style w:type="character" w:styleId="Odwoanieintensywne">
    <w:name w:val="Intense Reference"/>
    <w:uiPriority w:val="99"/>
    <w:semiHidden/>
    <w:qFormat/>
    <w:rsid w:val="005077CB"/>
    <w:rPr>
      <w:smallCaps/>
      <w:spacing w:val="5"/>
      <w:u w:val="single"/>
    </w:rPr>
  </w:style>
  <w:style w:type="paragraph" w:styleId="Akapitzlist">
    <w:name w:val="List Paragraph"/>
    <w:basedOn w:val="Normalny"/>
    <w:uiPriority w:val="99"/>
    <w:semiHidden/>
    <w:qFormat/>
    <w:rsid w:val="005077CB"/>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077CB"/>
    <w:pPr>
      <w:spacing w:before="200"/>
      <w:ind w:left="360" w:right="360"/>
    </w:pPr>
    <w:rPr>
      <w:i/>
      <w:iCs/>
      <w:sz w:val="22"/>
      <w:lang w:bidi="en-US"/>
    </w:rPr>
  </w:style>
  <w:style w:type="character" w:customStyle="1" w:styleId="CytatZnak">
    <w:name w:val="Cytat Znak"/>
    <w:basedOn w:val="Domylnaczcionkaakapitu"/>
    <w:link w:val="Cytat"/>
    <w:uiPriority w:val="99"/>
    <w:semiHidden/>
    <w:rsid w:val="005077CB"/>
    <w:rPr>
      <w:rFonts w:eastAsiaTheme="minorEastAsia"/>
      <w:i/>
      <w:iCs/>
      <w:lang w:bidi="en-US"/>
    </w:rPr>
  </w:style>
  <w:style w:type="character" w:styleId="Odwoaniedelikatne">
    <w:name w:val="Subtle Reference"/>
    <w:uiPriority w:val="99"/>
    <w:semiHidden/>
    <w:qFormat/>
    <w:rsid w:val="005077CB"/>
    <w:rPr>
      <w:smallCaps/>
    </w:rPr>
  </w:style>
  <w:style w:type="table" w:styleId="Tabela-Siatka">
    <w:name w:val="Table Grid"/>
    <w:basedOn w:val="Standardowy"/>
    <w:uiPriority w:val="59"/>
    <w:semiHidden/>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20A9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20A9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20A9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20A9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077CB"/>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5077C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2D2C99"/>
    <w:pPr>
      <w:numPr>
        <w:numId w:val="9"/>
      </w:numPr>
    </w:pPr>
  </w:style>
  <w:style w:type="numbering" w:styleId="1ai">
    <w:name w:val="Outline List 1"/>
    <w:basedOn w:val="Bezlisty"/>
    <w:uiPriority w:val="99"/>
    <w:semiHidden/>
    <w:unhideWhenUsed/>
    <w:rsid w:val="002D2C99"/>
    <w:pPr>
      <w:numPr>
        <w:numId w:val="10"/>
      </w:numPr>
    </w:pPr>
  </w:style>
  <w:style w:type="paragraph" w:customStyle="1" w:styleId="ECHRPara">
    <w:name w:val="ECHR_Para"/>
    <w:aliases w:val="Ju_Para"/>
    <w:basedOn w:val="Normalny"/>
    <w:link w:val="ECHRParaChar"/>
    <w:uiPriority w:val="12"/>
    <w:qFormat/>
    <w:rsid w:val="005077CB"/>
    <w:pPr>
      <w:ind w:firstLine="284"/>
    </w:pPr>
    <w:rPr>
      <w:lang w:val="en-GB"/>
    </w:rPr>
  </w:style>
  <w:style w:type="numbering" w:styleId="Artykusekcja">
    <w:name w:val="Outline List 3"/>
    <w:basedOn w:val="Bezlisty"/>
    <w:uiPriority w:val="99"/>
    <w:semiHidden/>
    <w:unhideWhenUsed/>
    <w:rsid w:val="002D2C99"/>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2D2C99"/>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Tekstpodstawowy">
    <w:name w:val="Body Text"/>
    <w:basedOn w:val="Normalny"/>
    <w:link w:val="TekstpodstawowyZnak"/>
    <w:uiPriority w:val="99"/>
    <w:semiHidden/>
    <w:rsid w:val="002D2C99"/>
    <w:pPr>
      <w:spacing w:after="120"/>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2D2C99"/>
    <w:rPr>
      <w:rFonts w:eastAsiaTheme="minorEastAsia"/>
      <w:sz w:val="24"/>
    </w:rPr>
  </w:style>
  <w:style w:type="paragraph" w:styleId="Tekstpodstawowy2">
    <w:name w:val="Body Text 2"/>
    <w:basedOn w:val="Normalny"/>
    <w:link w:val="Tekstpodstawowy2Znak"/>
    <w:uiPriority w:val="99"/>
    <w:semiHidden/>
    <w:rsid w:val="002D2C99"/>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77CB"/>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20A92"/>
    <w:pPr>
      <w:ind w:firstLine="284"/>
    </w:pPr>
    <w:rPr>
      <w:b/>
    </w:rPr>
  </w:style>
  <w:style w:type="character" w:styleId="Numerstrony">
    <w:name w:val="page number"/>
    <w:uiPriority w:val="99"/>
    <w:semiHidden/>
    <w:rsid w:val="002D2C99"/>
    <w:rPr>
      <w:rFonts w:ascii="Times New Roman" w:hAnsi="Times New Roman" w:cs="Times New Roman"/>
      <w:sz w:val="18"/>
    </w:rPr>
  </w:style>
  <w:style w:type="paragraph" w:styleId="Listapunktowana2">
    <w:name w:val="List Bullet 2"/>
    <w:basedOn w:val="Normalny"/>
    <w:uiPriority w:val="99"/>
    <w:semiHidden/>
    <w:rsid w:val="002D2C99"/>
    <w:pPr>
      <w:numPr>
        <w:numId w:val="8"/>
      </w:numPr>
      <w:contextualSpacing/>
    </w:pPr>
  </w:style>
  <w:style w:type="character" w:customStyle="1" w:styleId="Tekstpodstawowy2Znak">
    <w:name w:val="Tekst podstawowy 2 Znak"/>
    <w:basedOn w:val="Domylnaczcionkaakapitu"/>
    <w:link w:val="Tekstpodstawowy2"/>
    <w:uiPriority w:val="99"/>
    <w:semiHidden/>
    <w:rsid w:val="002D2C99"/>
    <w:rPr>
      <w:rFonts w:eastAsiaTheme="minorEastAsia"/>
      <w:sz w:val="24"/>
    </w:r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rsid w:val="002D2C99"/>
    <w:rPr>
      <w:rFonts w:eastAsiaTheme="minorEastAsia"/>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D2C99"/>
    <w:rPr>
      <w:rFonts w:eastAsiaTheme="minorEastAsia"/>
      <w:sz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rsid w:val="002D2C99"/>
    <w:rPr>
      <w:rFonts w:eastAsiaTheme="minorEastAsia"/>
      <w:sz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D2C99"/>
    <w:rPr>
      <w:rFonts w:eastAsiaTheme="minorEastAsia"/>
      <w:sz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D2C99"/>
    <w:rPr>
      <w:rFonts w:eastAsiaTheme="minorEastAsia"/>
      <w:sz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D2C99"/>
    <w:rPr>
      <w:rFonts w:eastAsiaTheme="minorEastAsia"/>
      <w:sz w:val="16"/>
      <w:szCs w:val="16"/>
    </w:rPr>
  </w:style>
  <w:style w:type="paragraph" w:styleId="Legenda">
    <w:name w:val="caption"/>
    <w:basedOn w:val="Normalny"/>
    <w:next w:val="Normalny"/>
    <w:uiPriority w:val="99"/>
    <w:semiHidden/>
    <w:qFormat/>
    <w:rsid w:val="002D2C99"/>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rsid w:val="002D2C99"/>
    <w:rPr>
      <w:rFonts w:eastAsiaTheme="minorEastAsia"/>
      <w:sz w:val="24"/>
    </w:rPr>
  </w:style>
  <w:style w:type="table" w:styleId="Kolorowasiatka">
    <w:name w:val="Colorful Grid"/>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basedOn w:val="Domylnaczcionkaakapitu"/>
    <w:link w:val="Tekstkomentarza"/>
    <w:uiPriority w:val="99"/>
    <w:semiHidden/>
    <w:rsid w:val="002D2C99"/>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rsid w:val="002D2C99"/>
    <w:rPr>
      <w:rFonts w:eastAsiaTheme="minorEastAsia"/>
      <w:b/>
      <w:bCs/>
      <w:sz w:val="20"/>
      <w:szCs w:val="20"/>
    </w:rPr>
  </w:style>
  <w:style w:type="table" w:styleId="Ciemnalista">
    <w:name w:val="Dark List"/>
    <w:basedOn w:val="Standardowy"/>
    <w:uiPriority w:val="70"/>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rsid w:val="002D2C99"/>
    <w:rPr>
      <w:rFonts w:eastAsiaTheme="minorEastAsia"/>
      <w:sz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2D2C99"/>
    <w:rPr>
      <w:rFonts w:ascii="Tahoma" w:eastAsiaTheme="minorEastAsi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rsid w:val="002D2C99"/>
    <w:rPr>
      <w:rFonts w:eastAsiaTheme="minorEastAsia"/>
      <w:sz w:val="24"/>
    </w:rPr>
  </w:style>
  <w:style w:type="character" w:styleId="Odwoanieprzypisukocowego">
    <w:name w:val="endnote reference"/>
    <w:basedOn w:val="Domylnaczcionkaakapitu"/>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basedOn w:val="Domylnaczcionkaakapitu"/>
    <w:link w:val="Tekstprzypisukocowego"/>
    <w:uiPriority w:val="99"/>
    <w:semiHidden/>
    <w:rsid w:val="002D2C99"/>
    <w:rPr>
      <w:rFonts w:eastAsiaTheme="minorEastAsia"/>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D2C99"/>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2D2C99"/>
    <w:rPr>
      <w:color w:val="7030A0" w:themeColor="followedHyperlink"/>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rsid w:val="002D2C99"/>
    <w:rPr>
      <w:rFonts w:eastAsiaTheme="minorEastAsia"/>
      <w:i/>
      <w:iCs/>
      <w:sz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D2C99"/>
    <w:rPr>
      <w:rFonts w:ascii="Consolas" w:eastAsiaTheme="minorEastAsia"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asciiTheme="majorHAnsi" w:eastAsiaTheme="majorEastAsia" w:hAnsiTheme="majorHAnsi" w:cstheme="majorBidi"/>
      <w:b/>
      <w:bCs/>
    </w:rPr>
  </w:style>
  <w:style w:type="table" w:styleId="Jasnasiatka">
    <w:name w:val="Light Grid"/>
    <w:basedOn w:val="Standardowy"/>
    <w:uiPriority w:val="62"/>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contextualSpacing/>
    </w:pPr>
  </w:style>
  <w:style w:type="paragraph" w:styleId="Lista2">
    <w:name w:val="List 2"/>
    <w:basedOn w:val="Normalny"/>
    <w:uiPriority w:val="99"/>
    <w:semiHidden/>
    <w:rsid w:val="002D2C99"/>
    <w:pPr>
      <w:ind w:left="566" w:hanging="283"/>
      <w:contextualSpacing/>
    </w:pPr>
  </w:style>
  <w:style w:type="paragraph" w:styleId="Lista3">
    <w:name w:val="List 3"/>
    <w:basedOn w:val="Normalny"/>
    <w:uiPriority w:val="99"/>
    <w:semiHidden/>
    <w:rsid w:val="002D2C99"/>
    <w:pPr>
      <w:ind w:left="849" w:hanging="283"/>
      <w:contextualSpacing/>
    </w:pPr>
  </w:style>
  <w:style w:type="paragraph" w:styleId="Lista4">
    <w:name w:val="List 4"/>
    <w:basedOn w:val="Normalny"/>
    <w:uiPriority w:val="99"/>
    <w:semiHidden/>
    <w:rsid w:val="002D2C99"/>
    <w:pPr>
      <w:ind w:left="1132" w:hanging="283"/>
      <w:contextualSpacing/>
    </w:pPr>
  </w:style>
  <w:style w:type="paragraph" w:styleId="Lista5">
    <w:name w:val="List 5"/>
    <w:basedOn w:val="Normalny"/>
    <w:uiPriority w:val="99"/>
    <w:semiHidden/>
    <w:rsid w:val="002D2C99"/>
    <w:pPr>
      <w:ind w:left="1415" w:hanging="283"/>
      <w:contextualSpacing/>
    </w:pPr>
  </w:style>
  <w:style w:type="paragraph" w:styleId="Listapunktowana">
    <w:name w:val="List Bullet"/>
    <w:basedOn w:val="Normalny"/>
    <w:uiPriority w:val="99"/>
    <w:semiHidden/>
    <w:rsid w:val="002D2C99"/>
    <w:pPr>
      <w:numPr>
        <w:numId w:val="12"/>
      </w:numPr>
      <w:contextualSpacing/>
    </w:pPr>
  </w:style>
  <w:style w:type="paragraph" w:styleId="Listapunktowana3">
    <w:name w:val="List Bullet 3"/>
    <w:basedOn w:val="Normalny"/>
    <w:uiPriority w:val="99"/>
    <w:semiHidden/>
    <w:rsid w:val="002D2C99"/>
    <w:pPr>
      <w:numPr>
        <w:numId w:val="13"/>
      </w:numPr>
      <w:contextualSpacing/>
    </w:pPr>
  </w:style>
  <w:style w:type="paragraph" w:styleId="Listapunktowana4">
    <w:name w:val="List Bullet 4"/>
    <w:basedOn w:val="Normalny"/>
    <w:uiPriority w:val="99"/>
    <w:semiHidden/>
    <w:rsid w:val="002D2C99"/>
    <w:pPr>
      <w:numPr>
        <w:numId w:val="14"/>
      </w:numPr>
      <w:contextualSpacing/>
    </w:pPr>
  </w:style>
  <w:style w:type="paragraph" w:styleId="Listapunktowana5">
    <w:name w:val="List Bullet 5"/>
    <w:basedOn w:val="Normalny"/>
    <w:uiPriority w:val="99"/>
    <w:semiHidden/>
    <w:rsid w:val="002D2C99"/>
    <w:pPr>
      <w:numPr>
        <w:numId w:val="15"/>
      </w:numPr>
      <w:contextualSpacing/>
    </w:pPr>
  </w:style>
  <w:style w:type="paragraph" w:styleId="Lista-kontynuacja">
    <w:name w:val="List Continue"/>
    <w:basedOn w:val="Normalny"/>
    <w:uiPriority w:val="99"/>
    <w:semiHidden/>
    <w:rsid w:val="002D2C99"/>
    <w:pPr>
      <w:spacing w:after="120"/>
      <w:ind w:left="283"/>
      <w:contextualSpacing/>
    </w:pPr>
  </w:style>
  <w:style w:type="paragraph" w:styleId="Lista-kontynuacja2">
    <w:name w:val="List Continue 2"/>
    <w:basedOn w:val="Normalny"/>
    <w:uiPriority w:val="99"/>
    <w:semiHidden/>
    <w:rsid w:val="002D2C99"/>
    <w:pPr>
      <w:spacing w:after="120"/>
      <w:ind w:left="566"/>
      <w:contextualSpacing/>
    </w:pPr>
  </w:style>
  <w:style w:type="paragraph" w:styleId="Lista-kontynuacja3">
    <w:name w:val="List Continue 3"/>
    <w:basedOn w:val="Normalny"/>
    <w:uiPriority w:val="99"/>
    <w:semiHidden/>
    <w:rsid w:val="002D2C99"/>
    <w:pPr>
      <w:spacing w:after="120"/>
      <w:ind w:left="849"/>
      <w:contextualSpacing/>
    </w:pPr>
  </w:style>
  <w:style w:type="paragraph" w:styleId="Lista-kontynuacja4">
    <w:name w:val="List Continue 4"/>
    <w:basedOn w:val="Normalny"/>
    <w:uiPriority w:val="99"/>
    <w:semiHidden/>
    <w:rsid w:val="002D2C99"/>
    <w:pPr>
      <w:spacing w:after="120"/>
      <w:ind w:left="1132"/>
      <w:contextualSpacing/>
    </w:pPr>
  </w:style>
  <w:style w:type="paragraph" w:styleId="Lista-kontynuacja5">
    <w:name w:val="List Continue 5"/>
    <w:basedOn w:val="Normalny"/>
    <w:uiPriority w:val="99"/>
    <w:semiHidden/>
    <w:rsid w:val="002D2C99"/>
    <w:pPr>
      <w:spacing w:after="120"/>
      <w:ind w:left="1415"/>
      <w:contextualSpacing/>
    </w:pPr>
  </w:style>
  <w:style w:type="paragraph" w:styleId="Listanumerowana">
    <w:name w:val="List Number"/>
    <w:basedOn w:val="Normalny"/>
    <w:uiPriority w:val="99"/>
    <w:semiHidden/>
    <w:rsid w:val="002D2C99"/>
    <w:pPr>
      <w:numPr>
        <w:numId w:val="16"/>
      </w:numPr>
      <w:contextualSpacing/>
    </w:pPr>
  </w:style>
  <w:style w:type="paragraph" w:styleId="Listanumerowana2">
    <w:name w:val="List Number 2"/>
    <w:basedOn w:val="Normalny"/>
    <w:uiPriority w:val="99"/>
    <w:semiHidden/>
    <w:rsid w:val="002D2C99"/>
    <w:pPr>
      <w:numPr>
        <w:numId w:val="17"/>
      </w:numPr>
      <w:contextualSpacing/>
    </w:pPr>
  </w:style>
  <w:style w:type="paragraph" w:styleId="Listanumerowana3">
    <w:name w:val="List Number 3"/>
    <w:basedOn w:val="Normalny"/>
    <w:uiPriority w:val="99"/>
    <w:semiHidden/>
    <w:rsid w:val="002D2C99"/>
    <w:pPr>
      <w:numPr>
        <w:numId w:val="18"/>
      </w:numPr>
      <w:contextualSpacing/>
    </w:pPr>
  </w:style>
  <w:style w:type="paragraph" w:styleId="Listanumerowana4">
    <w:name w:val="List Number 4"/>
    <w:basedOn w:val="Normalny"/>
    <w:uiPriority w:val="99"/>
    <w:semiHidden/>
    <w:rsid w:val="002D2C99"/>
    <w:pPr>
      <w:numPr>
        <w:numId w:val="19"/>
      </w:numPr>
      <w:contextualSpacing/>
    </w:pPr>
  </w:style>
  <w:style w:type="paragraph" w:styleId="Listanumerowana5">
    <w:name w:val="List Number 5"/>
    <w:basedOn w:val="Normalny"/>
    <w:uiPriority w:val="99"/>
    <w:semiHidden/>
    <w:rsid w:val="002D2C99"/>
    <w:pPr>
      <w:numPr>
        <w:numId w:val="20"/>
      </w:numPr>
      <w:contextualSpacing/>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D2C99"/>
    <w:rPr>
      <w:rFonts w:ascii="Consolas" w:eastAsiaTheme="minorEastAsia" w:hAnsi="Consolas" w:cs="Consolas"/>
      <w:sz w:val="20"/>
      <w:szCs w:val="20"/>
    </w:rPr>
  </w:style>
  <w:style w:type="table" w:styleId="redniasiatka1">
    <w:name w:val="Medium Grid 1"/>
    <w:basedOn w:val="Standardowy"/>
    <w:uiPriority w:val="67"/>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D2C99"/>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D2C99"/>
    <w:rPr>
      <w:rFonts w:ascii="Times New Roman" w:hAnsi="Times New Roman" w:cs="Times New Roman"/>
      <w:szCs w:val="24"/>
    </w:rPr>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rsid w:val="002D2C99"/>
    <w:rPr>
      <w:rFonts w:eastAsiaTheme="minorEastAsia"/>
      <w:sz w:val="24"/>
    </w:rPr>
  </w:style>
  <w:style w:type="character" w:styleId="Tekstzastpczy">
    <w:name w:val="Placeholder Text"/>
    <w:basedOn w:val="Domylnaczcionkaakapitu"/>
    <w:uiPriority w:val="99"/>
    <w:semiHidden/>
    <w:rsid w:val="00D20A9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D2C99"/>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rsid w:val="002D2C99"/>
    <w:rPr>
      <w:rFonts w:eastAsiaTheme="minorEastAsia"/>
      <w:sz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rsid w:val="002D2C99"/>
    <w:rPr>
      <w:rFonts w:eastAsiaTheme="minorEastAsia"/>
      <w:sz w:val="24"/>
    </w:rPr>
  </w:style>
  <w:style w:type="table" w:styleId="Tabela-Efekty3W1">
    <w:name w:val="Table 3D effects 1"/>
    <w:basedOn w:val="Standardowy"/>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20A9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20A9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H1">
    <w:name w:val="Opi_H_1"/>
    <w:basedOn w:val="ECHRHeading2"/>
    <w:uiPriority w:val="42"/>
    <w:qFormat/>
    <w:rsid w:val="005077CB"/>
    <w:pPr>
      <w:ind w:left="635" w:hanging="357"/>
      <w:outlineLvl w:val="2"/>
    </w:pPr>
  </w:style>
  <w:style w:type="paragraph" w:customStyle="1" w:styleId="OpiHa0">
    <w:name w:val="Opi_H_a"/>
    <w:basedOn w:val="ECHRHeading3"/>
    <w:uiPriority w:val="43"/>
    <w:qFormat/>
    <w:rsid w:val="005077CB"/>
    <w:pPr>
      <w:ind w:left="833" w:hanging="357"/>
      <w:outlineLvl w:val="3"/>
    </w:pPr>
    <w:rPr>
      <w:b/>
      <w:i w:val="0"/>
      <w:sz w:val="20"/>
    </w:rPr>
  </w:style>
  <w:style w:type="paragraph" w:customStyle="1" w:styleId="ECHRFooter">
    <w:name w:val="ECHR_Footer"/>
    <w:aliases w:val="Footer_ECHR"/>
    <w:basedOn w:val="Stopka"/>
    <w:uiPriority w:val="57"/>
    <w:semiHidden/>
    <w:rsid w:val="00D20A92"/>
    <w:pPr>
      <w:jc w:val="left"/>
    </w:pPr>
    <w:rPr>
      <w:sz w:val="8"/>
    </w:rPr>
  </w:style>
  <w:style w:type="paragraph" w:customStyle="1" w:styleId="ECHRFooterLine">
    <w:name w:val="ECHR_Footer_Line"/>
    <w:aliases w:val="Footer_Line"/>
    <w:basedOn w:val="Normalny"/>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5077CB"/>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5077CB"/>
    <w:pPr>
      <w:ind w:left="1037" w:hanging="357"/>
      <w:outlineLvl w:val="4"/>
    </w:pPr>
    <w:rPr>
      <w:b w:val="0"/>
      <w:i/>
    </w:rPr>
  </w:style>
  <w:style w:type="paragraph" w:customStyle="1" w:styleId="DummyStyle">
    <w:name w:val="Dummy_Style"/>
    <w:basedOn w:val="Normalny"/>
    <w:semiHidden/>
    <w:qFormat/>
    <w:rsid w:val="005077CB"/>
    <w:rPr>
      <w:color w:val="00B050"/>
      <w:lang w:val="en-GB"/>
    </w:rPr>
  </w:style>
  <w:style w:type="paragraph" w:customStyle="1" w:styleId="JuHeaderLandscape">
    <w:name w:val="Ju_Header_Landscape"/>
    <w:basedOn w:val="ECHRHeader"/>
    <w:uiPriority w:val="4"/>
    <w:qFormat/>
    <w:rsid w:val="005077CB"/>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A31117"/>
    <w:rPr>
      <w:rFonts w:eastAsiaTheme="minorEastAsia"/>
      <w:sz w:val="24"/>
      <w:lang w:val="en-GB"/>
    </w:rPr>
  </w:style>
  <w:style w:type="character" w:customStyle="1" w:styleId="JuH1Char">
    <w:name w:val="Ju_H_1. Char"/>
    <w:basedOn w:val="Domylnaczcionkaakapitu"/>
    <w:link w:val="ECHRHeading3"/>
    <w:uiPriority w:val="21"/>
    <w:rsid w:val="00A31117"/>
    <w:rPr>
      <w:rFonts w:asciiTheme="majorHAnsi" w:eastAsiaTheme="majorEastAsia" w:hAnsiTheme="majorHAnsi" w:cstheme="majorBidi"/>
      <w:bCs/>
      <w:i/>
      <w:sz w:val="24"/>
      <w:lang w:val="en-GB"/>
    </w:rPr>
  </w:style>
  <w:style w:type="character" w:customStyle="1" w:styleId="JuHHeadChar">
    <w:name w:val="Ju_H_Head Char"/>
    <w:link w:val="ECHRTitle1"/>
    <w:uiPriority w:val="18"/>
    <w:rsid w:val="00A31117"/>
    <w:rPr>
      <w:rFonts w:asciiTheme="majorHAnsi" w:eastAsiaTheme="minorEastAsia" w:hAnsiTheme="majorHAnsi"/>
      <w:sz w:val="28"/>
      <w:lang w:val="en-GB"/>
    </w:rPr>
  </w:style>
  <w:style w:type="character" w:customStyle="1" w:styleId="JuHIRomanChar1">
    <w:name w:val="Ju_H_I_Roman Char1"/>
    <w:link w:val="ECHRHeading1"/>
    <w:uiPriority w:val="19"/>
    <w:rsid w:val="00A31117"/>
    <w:rPr>
      <w:rFonts w:asciiTheme="majorHAnsi" w:eastAsiaTheme="majorEastAsia" w:hAnsiTheme="majorHAnsi" w:cstheme="majorBidi"/>
      <w:bCs/>
      <w:sz w:val="24"/>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BED92-D206-48A7-B851-E9D56CA290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85357C-A400-4841-B31E-F7163C85D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9C665E-696C-4756-AE5F-1B215023A45D}">
  <ds:schemaRefs>
    <ds:schemaRef ds:uri="http://schemas.microsoft.com/sharepoint/v3/contenttype/forms"/>
  </ds:schemaRefs>
</ds:datastoreItem>
</file>

<file path=customXml/itemProps4.xml><?xml version="1.0" encoding="utf-8"?>
<ds:datastoreItem xmlns:ds="http://schemas.openxmlformats.org/officeDocument/2006/customXml" ds:itemID="{12CD56DC-8B19-4F01-87FA-BD8C6DA96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1921</Words>
  <Characters>11528</Characters>
  <Application>Microsoft Office Word</Application>
  <DocSecurity>0</DocSecurity>
  <Lines>96</Lines>
  <Paragraphs>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DF2.0a</vt:lpstr>
    </vt:vector>
  </TitlesOfParts>
  <LinksUpToDate>false</LinksUpToDate>
  <CharactersWithSpaces>13423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2017-12-13T13:42:00Z</cp:lastPrinted>
  <dcterms:created xsi:type="dcterms:W3CDTF">2018-02-06T08:45:00Z</dcterms:created>
  <dcterms:modified xsi:type="dcterms:W3CDTF">2018-02-06T08:45:00Z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9919/11</vt:lpwstr>
  </property>
  <property fmtid="{D5CDD505-2E9C-101B-9397-08002B2CF9AE}" pid="4" name="CASEID">
    <vt:lpwstr>699517</vt:lpwstr>
  </property>
  <property fmtid="{D5CDD505-2E9C-101B-9397-08002B2CF9AE}" pid="5" name="ContentTypeId">
    <vt:lpwstr>0x010100558EB02BDB9E204AB350EDD385B68E10</vt:lpwstr>
  </property>
</Properties>
</file>