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7310D3" w14:textId="77777777" w:rsidR="00F35CE9" w:rsidRDefault="00F35CE9" w:rsidP="0077395E">
      <w:pPr>
        <w:pStyle w:val="s6e50bd9a"/>
        <w:spacing w:before="240" w:beforeAutospacing="0" w:after="36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7A591EC1" w14:textId="77777777" w:rsidR="00F35CE9" w:rsidRDefault="00F35CE9" w:rsidP="00F35CE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47FDC37B" w14:textId="77777777" w:rsidR="00BB0178" w:rsidRPr="00F35CE9" w:rsidRDefault="00F35CE9" w:rsidP="00F35CE9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1A4FC3">
        <w:rPr>
          <w:lang w:val="pl-PL"/>
        </w:rPr>
        <w:t xml:space="preserve"> </w:t>
      </w:r>
      <w:r w:rsidR="00FB028E" w:rsidRPr="00F35CE9">
        <w:rPr>
          <w:lang w:val="pl-PL"/>
        </w:rPr>
        <w:t>210</w:t>
      </w:r>
    </w:p>
    <w:p w14:paraId="6D4118C7" w14:textId="77777777" w:rsidR="00BB0178" w:rsidRPr="000E71F9" w:rsidRDefault="00F35CE9" w:rsidP="0077395E">
      <w:pPr>
        <w:pStyle w:val="ClinEditionMonth"/>
        <w:spacing w:before="360"/>
        <w:rPr>
          <w:lang w:val="pl-PL"/>
        </w:rPr>
      </w:pPr>
      <w:r w:rsidRPr="000E71F9">
        <w:rPr>
          <w:lang w:val="pl-PL"/>
        </w:rPr>
        <w:t xml:space="preserve">Sierpień – Wrzesień </w:t>
      </w:r>
      <w:r w:rsidR="00FB028E" w:rsidRPr="000E71F9">
        <w:rPr>
          <w:lang w:val="pl-PL"/>
        </w:rPr>
        <w:t>2017</w:t>
      </w:r>
      <w:r w:rsidRPr="000E71F9">
        <w:rPr>
          <w:lang w:val="pl-PL"/>
        </w:rPr>
        <w:t xml:space="preserve"> r.</w:t>
      </w:r>
    </w:p>
    <w:p w14:paraId="756074FD" w14:textId="77777777" w:rsidR="00BB0178" w:rsidRPr="000E71F9" w:rsidRDefault="000E71F9">
      <w:pPr>
        <w:rPr>
          <w:lang w:val="pl-PL"/>
        </w:rPr>
      </w:pPr>
      <w:proofErr w:type="spellStart"/>
      <w:r w:rsidRPr="000E71F9">
        <w:rPr>
          <w:rStyle w:val="ClinCaseTitle"/>
          <w:lang w:val="pl-PL"/>
        </w:rPr>
        <w:t>Fábián</w:t>
      </w:r>
      <w:proofErr w:type="spellEnd"/>
      <w:r w:rsidRPr="000E71F9">
        <w:rPr>
          <w:rStyle w:val="ClinCaseTitle"/>
          <w:lang w:val="pl-PL"/>
        </w:rPr>
        <w:t xml:space="preserve"> p</w:t>
      </w:r>
      <w:r w:rsidR="00FB028E" w:rsidRPr="000E71F9">
        <w:rPr>
          <w:rStyle w:val="ClinCaseTitle"/>
          <w:lang w:val="pl-PL"/>
        </w:rPr>
        <w:t xml:space="preserve">. </w:t>
      </w:r>
      <w:r>
        <w:rPr>
          <w:rStyle w:val="ClinCaseTitle"/>
          <w:lang w:val="pl-PL"/>
        </w:rPr>
        <w:t>Węgrom</w:t>
      </w:r>
      <w:r w:rsidR="00FB028E" w:rsidRPr="000E71F9">
        <w:rPr>
          <w:rStyle w:val="ClinCaseTitle"/>
          <w:lang w:val="pl-PL"/>
        </w:rPr>
        <w:t xml:space="preserve"> [</w:t>
      </w:r>
      <w:r>
        <w:rPr>
          <w:rStyle w:val="ClinCaseTitle"/>
          <w:lang w:val="pl-PL"/>
        </w:rPr>
        <w:t>Wielka Izba</w:t>
      </w:r>
      <w:r w:rsidR="00FB028E" w:rsidRPr="000E71F9">
        <w:rPr>
          <w:rStyle w:val="ClinCaseTitle"/>
          <w:lang w:val="pl-PL"/>
        </w:rPr>
        <w:t>]</w:t>
      </w:r>
      <w:r w:rsidR="00FB028E" w:rsidRPr="000E71F9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>–</w:t>
      </w:r>
      <w:r w:rsidR="00FB028E" w:rsidRPr="000E71F9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 xml:space="preserve">skarga nr </w:t>
      </w:r>
      <w:r w:rsidR="00FB028E" w:rsidRPr="000E71F9">
        <w:rPr>
          <w:rStyle w:val="ClinApplicationNumber"/>
          <w:lang w:val="pl-PL"/>
        </w:rPr>
        <w:t>78117/13</w:t>
      </w:r>
    </w:p>
    <w:p w14:paraId="107500EE" w14:textId="77777777" w:rsidR="00BB0178" w:rsidRPr="000E71F9" w:rsidRDefault="000E71F9">
      <w:pPr>
        <w:rPr>
          <w:lang w:val="pl-PL"/>
        </w:rPr>
      </w:pPr>
      <w:r w:rsidRPr="000E71F9">
        <w:rPr>
          <w:rStyle w:val="ClinHudocDocumentTitle"/>
          <w:lang w:val="pl-PL"/>
        </w:rPr>
        <w:t>Wyrok z 0</w:t>
      </w:r>
      <w:r w:rsidR="00FB028E" w:rsidRPr="000E71F9">
        <w:rPr>
          <w:rStyle w:val="ClinHudocDocumentTitle"/>
          <w:lang w:val="pl-PL"/>
        </w:rPr>
        <w:t>5.</w:t>
      </w:r>
      <w:r w:rsidRPr="000E71F9">
        <w:rPr>
          <w:rStyle w:val="ClinHudocDocumentTitle"/>
          <w:lang w:val="pl-PL"/>
        </w:rPr>
        <w:t>0</w:t>
      </w:r>
      <w:r w:rsidR="00FB028E" w:rsidRPr="000E71F9">
        <w:rPr>
          <w:rStyle w:val="ClinHudocDocumentTitle"/>
          <w:lang w:val="pl-PL"/>
        </w:rPr>
        <w:t>9.2017</w:t>
      </w:r>
      <w:r w:rsidR="00FB028E" w:rsidRPr="000E71F9">
        <w:rPr>
          <w:rStyle w:val="ClinSectionName"/>
          <w:lang w:val="pl-PL"/>
        </w:rPr>
        <w:t xml:space="preserve"> </w:t>
      </w:r>
      <w:r w:rsidRPr="000E71F9">
        <w:rPr>
          <w:rStyle w:val="ClinSectionName"/>
          <w:lang w:val="pl-PL"/>
        </w:rPr>
        <w:t xml:space="preserve">r. </w:t>
      </w:r>
      <w:r w:rsidR="00FB028E" w:rsidRPr="000E71F9">
        <w:rPr>
          <w:rStyle w:val="ClinSectionName"/>
          <w:lang w:val="pl-PL"/>
        </w:rPr>
        <w:t>[</w:t>
      </w:r>
      <w:r w:rsidRPr="000E71F9">
        <w:rPr>
          <w:rStyle w:val="ClinSectionName"/>
          <w:lang w:val="pl-PL"/>
        </w:rPr>
        <w:t>Wielka Izba</w:t>
      </w:r>
      <w:r w:rsidR="00FB028E" w:rsidRPr="000E71F9">
        <w:rPr>
          <w:rStyle w:val="ClinSectionName"/>
          <w:lang w:val="pl-PL"/>
        </w:rPr>
        <w:t>]</w:t>
      </w:r>
    </w:p>
    <w:p w14:paraId="73B1570A" w14:textId="77777777" w:rsidR="00BB0178" w:rsidRPr="00B63951" w:rsidRDefault="00FB028E">
      <w:pPr>
        <w:pStyle w:val="ClinMainKeywordCode"/>
        <w:rPr>
          <w:lang w:val="pl-PL"/>
        </w:rPr>
      </w:pPr>
      <w:r w:rsidRPr="00B63951">
        <w:rPr>
          <w:lang w:val="pl-PL"/>
        </w:rPr>
        <w:t>Art</w:t>
      </w:r>
      <w:r w:rsidR="000E71F9" w:rsidRPr="00B63951">
        <w:rPr>
          <w:lang w:val="pl-PL"/>
        </w:rPr>
        <w:t>.</w:t>
      </w:r>
      <w:r w:rsidRPr="00B63951">
        <w:rPr>
          <w:lang w:val="pl-PL"/>
        </w:rPr>
        <w:t xml:space="preserve"> 1 </w:t>
      </w:r>
      <w:r w:rsidR="000E71F9" w:rsidRPr="004470A4">
        <w:rPr>
          <w:lang w:val="pl-PL"/>
        </w:rPr>
        <w:t>Protokołu</w:t>
      </w:r>
      <w:r w:rsidR="000E71F9" w:rsidRPr="00B63951">
        <w:rPr>
          <w:lang w:val="pl-PL"/>
        </w:rPr>
        <w:t xml:space="preserve"> nr </w:t>
      </w:r>
      <w:r w:rsidRPr="00B63951">
        <w:rPr>
          <w:lang w:val="pl-PL"/>
        </w:rPr>
        <w:t>1</w:t>
      </w:r>
    </w:p>
    <w:p w14:paraId="75651DC1" w14:textId="5DA570FC" w:rsidR="00BB0178" w:rsidRPr="000E71F9" w:rsidRDefault="000E71F9">
      <w:pPr>
        <w:pStyle w:val="ClinChildKeywordCode"/>
        <w:rPr>
          <w:lang w:val="pl-PL"/>
        </w:rPr>
      </w:pPr>
      <w:r w:rsidRPr="000E71F9">
        <w:rPr>
          <w:lang w:val="pl-PL"/>
        </w:rPr>
        <w:t xml:space="preserve">Art. </w:t>
      </w:r>
      <w:r w:rsidR="00FB028E" w:rsidRPr="000E71F9">
        <w:rPr>
          <w:lang w:val="pl-PL"/>
        </w:rPr>
        <w:t xml:space="preserve">1 </w:t>
      </w:r>
      <w:r w:rsidR="00DA194F">
        <w:rPr>
          <w:lang w:val="pl-PL"/>
        </w:rPr>
        <w:t>ust. 1</w:t>
      </w:r>
      <w:r w:rsidRPr="00E651DD">
        <w:rPr>
          <w:lang w:val="pl-PL"/>
        </w:rPr>
        <w:t xml:space="preserve"> </w:t>
      </w:r>
      <w:r w:rsidR="00FB028E" w:rsidRPr="00E651DD">
        <w:rPr>
          <w:lang w:val="pl-PL"/>
        </w:rPr>
        <w:t>P</w:t>
      </w:r>
      <w:r w:rsidR="00FB028E" w:rsidRPr="000E71F9">
        <w:rPr>
          <w:lang w:val="pl-PL"/>
        </w:rPr>
        <w:t>rot</w:t>
      </w:r>
      <w:r w:rsidRPr="000E71F9">
        <w:rPr>
          <w:lang w:val="pl-PL"/>
        </w:rPr>
        <w:t>okołu nr</w:t>
      </w:r>
      <w:r w:rsidR="00FB028E" w:rsidRPr="000E71F9">
        <w:rPr>
          <w:lang w:val="pl-PL"/>
        </w:rPr>
        <w:t xml:space="preserve"> 1</w:t>
      </w:r>
    </w:p>
    <w:p w14:paraId="43337085" w14:textId="77777777" w:rsidR="00BB0178" w:rsidRPr="000C5B72" w:rsidRDefault="000E71F9">
      <w:pPr>
        <w:pStyle w:val="ClinKeyword"/>
        <w:rPr>
          <w:lang w:val="pl-PL"/>
        </w:rPr>
      </w:pPr>
      <w:r w:rsidRPr="000C5B72">
        <w:rPr>
          <w:lang w:val="pl-PL"/>
        </w:rPr>
        <w:t xml:space="preserve">Poszanowanie mienia </w:t>
      </w:r>
    </w:p>
    <w:p w14:paraId="27707E74" w14:textId="77777777" w:rsidR="000E71F9" w:rsidRPr="000E71F9" w:rsidRDefault="000E71F9" w:rsidP="00244D94">
      <w:pPr>
        <w:jc w:val="both"/>
        <w:rPr>
          <w:lang w:val="pl-PL"/>
        </w:rPr>
      </w:pPr>
      <w:r w:rsidRPr="000E71F9">
        <w:rPr>
          <w:rStyle w:val="ClinConclusions"/>
          <w:i w:val="0"/>
          <w:lang w:val="pl-PL"/>
        </w:rPr>
        <w:t xml:space="preserve">Zawieszenie emerytury państwowej </w:t>
      </w:r>
      <w:r w:rsidR="00D775B7">
        <w:rPr>
          <w:rStyle w:val="ClinConclusions"/>
          <w:i w:val="0"/>
          <w:lang w:val="pl-PL"/>
        </w:rPr>
        <w:t>wobec</w:t>
      </w:r>
      <w:r w:rsidRPr="000E71F9">
        <w:rPr>
          <w:rStyle w:val="ClinConclusions"/>
          <w:i w:val="0"/>
          <w:lang w:val="pl-PL"/>
        </w:rPr>
        <w:t xml:space="preserve"> </w:t>
      </w:r>
      <w:r>
        <w:rPr>
          <w:rStyle w:val="ClinConclusions"/>
          <w:i w:val="0"/>
          <w:lang w:val="pl-PL"/>
        </w:rPr>
        <w:t>emery</w:t>
      </w:r>
      <w:r w:rsidRPr="000E71F9">
        <w:rPr>
          <w:rStyle w:val="ClinConclusions"/>
          <w:i w:val="0"/>
          <w:lang w:val="pl-PL"/>
        </w:rPr>
        <w:t>ta zatrudnionego w służbie cywilnej:</w:t>
      </w:r>
      <w:r w:rsidRPr="000E71F9">
        <w:rPr>
          <w:rStyle w:val="ClinConclusions"/>
          <w:lang w:val="pl-PL"/>
        </w:rPr>
        <w:t xml:space="preserve"> brak naruszenia</w:t>
      </w:r>
    </w:p>
    <w:p w14:paraId="21AFDD58" w14:textId="77777777" w:rsidR="00BB0178" w:rsidRPr="00B63951" w:rsidRDefault="00FB028E">
      <w:pPr>
        <w:pStyle w:val="ClinMainKeywordCode"/>
        <w:rPr>
          <w:lang w:val="pl-PL"/>
        </w:rPr>
      </w:pPr>
      <w:r w:rsidRPr="00B63951">
        <w:rPr>
          <w:lang w:val="pl-PL"/>
        </w:rPr>
        <w:t>Art</w:t>
      </w:r>
      <w:r w:rsidR="000E71F9" w:rsidRPr="00B63951">
        <w:rPr>
          <w:lang w:val="pl-PL"/>
        </w:rPr>
        <w:t>.</w:t>
      </w:r>
      <w:r w:rsidRPr="00B63951">
        <w:rPr>
          <w:lang w:val="pl-PL"/>
        </w:rPr>
        <w:t xml:space="preserve"> 14</w:t>
      </w:r>
    </w:p>
    <w:p w14:paraId="72CB2B18" w14:textId="77777777" w:rsidR="00BB0178" w:rsidRPr="00B63951" w:rsidRDefault="000E71F9">
      <w:pPr>
        <w:pStyle w:val="ClinKeyword"/>
        <w:rPr>
          <w:lang w:val="pl-PL"/>
        </w:rPr>
      </w:pPr>
      <w:r w:rsidRPr="00B63951">
        <w:rPr>
          <w:lang w:val="pl-PL"/>
        </w:rPr>
        <w:t>Dyskryminacja</w:t>
      </w:r>
    </w:p>
    <w:p w14:paraId="77412569" w14:textId="0BBC9411" w:rsidR="000E71F9" w:rsidRPr="000E71F9" w:rsidRDefault="00DA194F" w:rsidP="00244D94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 xml:space="preserve">Zróżnicowanie </w:t>
      </w:r>
      <w:r w:rsidR="005550B2">
        <w:rPr>
          <w:rStyle w:val="ClinConclusions"/>
          <w:i w:val="0"/>
          <w:lang w:val="pl-PL"/>
        </w:rPr>
        <w:t>między</w:t>
      </w:r>
      <w:r w:rsidR="005550B2" w:rsidRPr="000E71F9">
        <w:rPr>
          <w:rStyle w:val="ClinConclusions"/>
          <w:i w:val="0"/>
          <w:lang w:val="pl-PL"/>
        </w:rPr>
        <w:t xml:space="preserve"> </w:t>
      </w:r>
      <w:r w:rsidR="005550B2">
        <w:rPr>
          <w:rStyle w:val="ClinConclusions"/>
          <w:i w:val="0"/>
          <w:lang w:val="pl-PL"/>
        </w:rPr>
        <w:t>emerytami zatrudnionymi</w:t>
      </w:r>
      <w:r w:rsidR="005550B2" w:rsidRPr="000E71F9">
        <w:rPr>
          <w:rStyle w:val="ClinConclusions"/>
          <w:i w:val="0"/>
          <w:lang w:val="pl-PL"/>
        </w:rPr>
        <w:t xml:space="preserve"> w służbie cywilnej </w:t>
      </w:r>
      <w:r w:rsidR="005550B2">
        <w:rPr>
          <w:rStyle w:val="ClinConclusions"/>
          <w:i w:val="0"/>
          <w:lang w:val="pl-PL"/>
        </w:rPr>
        <w:t>a emerytami zatrudnionymi</w:t>
      </w:r>
      <w:r w:rsidR="005550B2" w:rsidRPr="000E71F9">
        <w:rPr>
          <w:rStyle w:val="ClinConclusions"/>
          <w:i w:val="0"/>
          <w:lang w:val="pl-PL"/>
        </w:rPr>
        <w:t xml:space="preserve"> w sektorze prywatnym</w:t>
      </w:r>
      <w:r w:rsidR="005550B2">
        <w:rPr>
          <w:rStyle w:val="ClinConclusions"/>
          <w:i w:val="0"/>
          <w:lang w:val="pl-PL"/>
        </w:rPr>
        <w:t xml:space="preserve"> </w:t>
      </w:r>
      <w:r w:rsidR="00163719">
        <w:rPr>
          <w:rStyle w:val="ClinConclusions"/>
          <w:i w:val="0"/>
          <w:lang w:val="pl-PL"/>
        </w:rPr>
        <w:t>w odniesieniu do</w:t>
      </w:r>
      <w:r>
        <w:rPr>
          <w:rStyle w:val="ClinConclusions"/>
          <w:i w:val="0"/>
          <w:lang w:val="pl-PL"/>
        </w:rPr>
        <w:t xml:space="preserve"> </w:t>
      </w:r>
      <w:r w:rsidR="00D775B7">
        <w:rPr>
          <w:rStyle w:val="ClinConclusions"/>
          <w:i w:val="0"/>
          <w:lang w:val="pl-PL"/>
        </w:rPr>
        <w:t>uprawnienia</w:t>
      </w:r>
      <w:r w:rsidR="000E71F9" w:rsidRPr="000E71F9">
        <w:rPr>
          <w:rStyle w:val="ClinConclusions"/>
          <w:i w:val="0"/>
          <w:lang w:val="pl-PL"/>
        </w:rPr>
        <w:t xml:space="preserve"> do dalszego wypłacania emerytury państwowej: </w:t>
      </w:r>
      <w:r w:rsidR="000E71F9" w:rsidRPr="000E71F9">
        <w:rPr>
          <w:rStyle w:val="ClinConclusions"/>
          <w:lang w:val="pl-PL"/>
        </w:rPr>
        <w:t>brak naruszenia</w:t>
      </w:r>
    </w:p>
    <w:p w14:paraId="19452A5A" w14:textId="54621773" w:rsidR="000E71F9" w:rsidRPr="000E71F9" w:rsidRDefault="000E71F9">
      <w:pPr>
        <w:pStyle w:val="ClinContent"/>
        <w:rPr>
          <w:lang w:val="pl-PL"/>
        </w:rPr>
      </w:pPr>
      <w:r w:rsidRPr="000E71F9">
        <w:rPr>
          <w:i/>
          <w:lang w:val="pl-PL"/>
        </w:rPr>
        <w:t xml:space="preserve">Fakty – </w:t>
      </w:r>
      <w:r w:rsidRPr="000E71F9">
        <w:rPr>
          <w:lang w:val="pl-PL"/>
        </w:rPr>
        <w:t xml:space="preserve">W 2012 r. skarżący, który już otrzymywał emeryturę, </w:t>
      </w:r>
      <w:r>
        <w:rPr>
          <w:lang w:val="pl-PL"/>
        </w:rPr>
        <w:t xml:space="preserve">podjął zatrudnienie jako urzędnik cywilny. W 2013 r. weszła w życie nowelizacja ustawy </w:t>
      </w:r>
      <w:r w:rsidR="00D0466F">
        <w:rPr>
          <w:lang w:val="pl-PL"/>
        </w:rPr>
        <w:t>o emeryturach</w:t>
      </w:r>
      <w:r>
        <w:rPr>
          <w:lang w:val="pl-PL"/>
        </w:rPr>
        <w:t xml:space="preserve"> z 1997 r., zawieszając wypłatę emerytur osobom jednocześnie zatrudnionym na niektórych kategoriach stanowisk w sektorze publicznym. Nowelizacja nie miała zastosowania do</w:t>
      </w:r>
      <w:r w:rsidR="005550B2">
        <w:rPr>
          <w:lang w:val="pl-PL"/>
        </w:rPr>
        <w:t> </w:t>
      </w:r>
      <w:r>
        <w:rPr>
          <w:lang w:val="pl-PL"/>
        </w:rPr>
        <w:t>osób pracujących w sektorze prywatnym. W rezultacie, wypłacanie emerytury skarżącego zostało zawieszone. Jego odwołanie od tej decyzji nie przyniosło powodzenia. W postępowaniu prowadzonym na podstawie Konwencji [o ochronie praw człowieka i</w:t>
      </w:r>
      <w:r w:rsidR="005550B2">
        <w:rPr>
          <w:lang w:val="pl-PL"/>
        </w:rPr>
        <w:t> </w:t>
      </w:r>
      <w:r>
        <w:rPr>
          <w:lang w:val="pl-PL"/>
        </w:rPr>
        <w:t>podstawowych wolności] skarżący zarzucał, że doszło do nieuzasadnionej i</w:t>
      </w:r>
      <w:r w:rsidR="005550B2">
        <w:rPr>
          <w:lang w:val="pl-PL"/>
        </w:rPr>
        <w:t> </w:t>
      </w:r>
      <w:r>
        <w:rPr>
          <w:lang w:val="pl-PL"/>
        </w:rPr>
        <w:t xml:space="preserve">dyskryminacyjnej ingerencji w jego prawa majątkowe.  </w:t>
      </w:r>
    </w:p>
    <w:p w14:paraId="0D768641" w14:textId="1E14CF17" w:rsidR="00902683" w:rsidRPr="00902683" w:rsidRDefault="00902683">
      <w:pPr>
        <w:pStyle w:val="ClinContent"/>
        <w:rPr>
          <w:lang w:val="pl-PL"/>
        </w:rPr>
      </w:pPr>
      <w:r w:rsidRPr="00902683">
        <w:rPr>
          <w:lang w:val="pl-PL"/>
        </w:rPr>
        <w:t xml:space="preserve">Wyrokiem z dnia 15 grudnia 2015 r. </w:t>
      </w:r>
      <w:r>
        <w:rPr>
          <w:lang w:val="pl-PL"/>
        </w:rPr>
        <w:t xml:space="preserve">(zob. </w:t>
      </w:r>
      <w:hyperlink r:id="rId9" w:history="1">
        <w:r w:rsidRPr="00902683">
          <w:rPr>
            <w:rStyle w:val="Hipercze"/>
            <w:lang w:val="pl-PL"/>
          </w:rPr>
          <w:t>Nota informacyjna nt. orzecznictwa nr 191</w:t>
        </w:r>
      </w:hyperlink>
      <w:r>
        <w:rPr>
          <w:lang w:val="pl-PL"/>
        </w:rPr>
        <w:t>) Izba Trybunału orzekła jednomyślnie, że doszło do naruszenia art. 14 Konwencji w</w:t>
      </w:r>
      <w:r w:rsidR="005550B2">
        <w:rPr>
          <w:lang w:val="pl-PL"/>
        </w:rPr>
        <w:t> </w:t>
      </w:r>
      <w:r>
        <w:rPr>
          <w:lang w:val="pl-PL"/>
        </w:rPr>
        <w:t>związku z art. 1 Protokołu nr 1 (</w:t>
      </w:r>
      <w:r w:rsidR="000C5B72">
        <w:rPr>
          <w:lang w:val="pl-PL"/>
        </w:rPr>
        <w:t xml:space="preserve">oraz, </w:t>
      </w:r>
      <w:r>
        <w:rPr>
          <w:lang w:val="pl-PL"/>
        </w:rPr>
        <w:t xml:space="preserve">że </w:t>
      </w:r>
      <w:r w:rsidR="0077395E">
        <w:rPr>
          <w:lang w:val="pl-PL"/>
        </w:rPr>
        <w:t xml:space="preserve">zatem </w:t>
      </w:r>
      <w:r>
        <w:rPr>
          <w:lang w:val="pl-PL"/>
        </w:rPr>
        <w:t>nie było konieczne zbadanie skargi na</w:t>
      </w:r>
      <w:r w:rsidR="005550B2">
        <w:rPr>
          <w:lang w:val="pl-PL"/>
        </w:rPr>
        <w:t> </w:t>
      </w:r>
      <w:r>
        <w:rPr>
          <w:lang w:val="pl-PL"/>
        </w:rPr>
        <w:t xml:space="preserve">podstawie art. 1 Protokołu nr 1 rozpatrywanego samodzielnie). W szczególności Izba uznała, że argumenty </w:t>
      </w:r>
      <w:r w:rsidR="00274DE0">
        <w:rPr>
          <w:lang w:val="pl-PL"/>
        </w:rPr>
        <w:t xml:space="preserve">Rządu </w:t>
      </w:r>
      <w:r>
        <w:rPr>
          <w:lang w:val="pl-PL"/>
        </w:rPr>
        <w:t xml:space="preserve">powołane na uzasadnienie różnego traktowania </w:t>
      </w:r>
      <w:r w:rsidR="00D775B7">
        <w:rPr>
          <w:lang w:val="pl-PL"/>
        </w:rPr>
        <w:t>emerytów zatrudnionych</w:t>
      </w:r>
      <w:r>
        <w:rPr>
          <w:lang w:val="pl-PL"/>
        </w:rPr>
        <w:t xml:space="preserve"> w sektorze publicznym i prywatnym były nieprzekonywające i nie były oparte na jakimkolwiek „obiektywnym i rozsądnym uzasadnieniu”. </w:t>
      </w:r>
    </w:p>
    <w:p w14:paraId="17093100" w14:textId="24E80A5C" w:rsidR="005C5776" w:rsidRPr="005C5776" w:rsidRDefault="005C5776" w:rsidP="0077395E">
      <w:pPr>
        <w:pStyle w:val="ClinContent"/>
        <w:spacing w:after="480"/>
        <w:rPr>
          <w:lang w:val="pl-PL"/>
        </w:rPr>
      </w:pPr>
      <w:r w:rsidRPr="005C5776">
        <w:rPr>
          <w:lang w:val="pl-PL"/>
        </w:rPr>
        <w:t xml:space="preserve">W dniu 2 maja 2016 r. sprawa została </w:t>
      </w:r>
      <w:r w:rsidR="00D775B7" w:rsidRPr="005C5776">
        <w:rPr>
          <w:lang w:val="pl-PL"/>
        </w:rPr>
        <w:t xml:space="preserve">na wniosek </w:t>
      </w:r>
      <w:r w:rsidR="00274DE0" w:rsidRPr="005C5776">
        <w:rPr>
          <w:lang w:val="pl-PL"/>
        </w:rPr>
        <w:t xml:space="preserve">Rządu </w:t>
      </w:r>
      <w:r w:rsidRPr="005C5776">
        <w:rPr>
          <w:lang w:val="pl-PL"/>
        </w:rPr>
        <w:t xml:space="preserve">przekazana do Wielkiej Izby. </w:t>
      </w:r>
    </w:p>
    <w:p w14:paraId="56A9881E" w14:textId="77777777" w:rsidR="00BB0178" w:rsidRPr="00B63951" w:rsidRDefault="002B052D">
      <w:pPr>
        <w:pStyle w:val="ClinContent"/>
        <w:rPr>
          <w:i/>
          <w:lang w:val="pl-PL"/>
        </w:rPr>
      </w:pPr>
      <w:r w:rsidRPr="00B63951">
        <w:rPr>
          <w:i/>
          <w:lang w:val="pl-PL"/>
        </w:rPr>
        <w:lastRenderedPageBreak/>
        <w:t>Prawo</w:t>
      </w:r>
    </w:p>
    <w:p w14:paraId="40D7CCCD" w14:textId="706BB98A" w:rsidR="00236C69" w:rsidRPr="00FA7F79" w:rsidRDefault="00236C69">
      <w:pPr>
        <w:pStyle w:val="ClinContent"/>
        <w:rPr>
          <w:lang w:val="pl-PL"/>
        </w:rPr>
      </w:pPr>
      <w:r w:rsidRPr="00FA7F79">
        <w:rPr>
          <w:lang w:val="pl-PL"/>
        </w:rPr>
        <w:t xml:space="preserve">Art. 1 Protokołu nr 1: </w:t>
      </w:r>
      <w:r w:rsidR="00FA7F79" w:rsidRPr="00FA7F79">
        <w:rPr>
          <w:lang w:val="pl-PL"/>
        </w:rPr>
        <w:t xml:space="preserve">Zgodność </w:t>
      </w:r>
      <w:r w:rsidR="00FA7F79">
        <w:rPr>
          <w:lang w:val="pl-PL"/>
        </w:rPr>
        <w:t>z prawem ingerencji nie była przedmiotem sporu, a</w:t>
      </w:r>
      <w:r w:rsidR="005550B2">
        <w:rPr>
          <w:lang w:val="pl-PL"/>
        </w:rPr>
        <w:t> </w:t>
      </w:r>
      <w:r w:rsidR="00FA7F79">
        <w:rPr>
          <w:lang w:val="pl-PL"/>
        </w:rPr>
        <w:t xml:space="preserve">Trybunał nie znalazł powodów, by powątpiewać, że zakaz </w:t>
      </w:r>
      <w:r w:rsidR="00D775B7">
        <w:rPr>
          <w:lang w:val="pl-PL"/>
        </w:rPr>
        <w:t xml:space="preserve">jednoczesnego </w:t>
      </w:r>
      <w:r w:rsidR="00FA7F79">
        <w:rPr>
          <w:lang w:val="pl-PL"/>
        </w:rPr>
        <w:t xml:space="preserve">wypłacania wynagrodzeń i emerytur, któremu podlegał skarżący, służył </w:t>
      </w:r>
      <w:r w:rsidR="00D775B7">
        <w:rPr>
          <w:lang w:val="pl-PL"/>
        </w:rPr>
        <w:t xml:space="preserve">powszechnemu </w:t>
      </w:r>
      <w:r w:rsidR="00FA7F79">
        <w:rPr>
          <w:lang w:val="pl-PL"/>
        </w:rPr>
        <w:t xml:space="preserve">interesowi ochrony finansów publicznych. Kwestią w sprawie </w:t>
      </w:r>
      <w:r w:rsidR="004057F9">
        <w:rPr>
          <w:lang w:val="pl-PL"/>
        </w:rPr>
        <w:t xml:space="preserve">było </w:t>
      </w:r>
      <w:r w:rsidR="00FA7F79">
        <w:rPr>
          <w:lang w:val="pl-PL"/>
        </w:rPr>
        <w:t xml:space="preserve">to, czy ingerencja zachowała </w:t>
      </w:r>
      <w:r w:rsidR="00C81C6A">
        <w:rPr>
          <w:lang w:val="pl-PL"/>
        </w:rPr>
        <w:t xml:space="preserve">sprawiedliwą </w:t>
      </w:r>
      <w:r w:rsidR="00FA7F79">
        <w:rPr>
          <w:lang w:val="pl-PL"/>
        </w:rPr>
        <w:t xml:space="preserve">równowagę między </w:t>
      </w:r>
      <w:r w:rsidR="00C81C6A" w:rsidRPr="00C81C6A">
        <w:rPr>
          <w:lang w:val="pl-PL"/>
        </w:rPr>
        <w:t>potrzebami ogólnego interesu społeczeństwa a</w:t>
      </w:r>
      <w:r w:rsidR="005550B2">
        <w:rPr>
          <w:lang w:val="pl-PL"/>
        </w:rPr>
        <w:t> </w:t>
      </w:r>
      <w:r w:rsidR="00C81C6A" w:rsidRPr="00C81C6A">
        <w:rPr>
          <w:lang w:val="pl-PL"/>
        </w:rPr>
        <w:t>wymogami ochrony praw podstawowych jednostki</w:t>
      </w:r>
      <w:r w:rsidR="00FA7F79">
        <w:rPr>
          <w:lang w:val="pl-PL"/>
        </w:rPr>
        <w:t>.</w:t>
      </w:r>
    </w:p>
    <w:p w14:paraId="31D8AF83" w14:textId="5F9BAA51" w:rsidR="00FA7F79" w:rsidRPr="00FA7F79" w:rsidRDefault="00FA7F79">
      <w:pPr>
        <w:pStyle w:val="ClinContent"/>
        <w:rPr>
          <w:lang w:val="pl-PL"/>
        </w:rPr>
      </w:pPr>
      <w:r w:rsidRPr="00FA7F79">
        <w:rPr>
          <w:lang w:val="pl-PL"/>
        </w:rPr>
        <w:t>Przy badaniu, czy władze krajowe działały w ramach przysługującego im marginesu oceny, Trybunał musi mie</w:t>
      </w:r>
      <w:r w:rsidR="00D775B7">
        <w:rPr>
          <w:lang w:val="pl-PL"/>
        </w:rPr>
        <w:t>ć szczególny wzgląd na czynniki uznane za istotne w jego orzecznictwie dotyczącym</w:t>
      </w:r>
      <w:r w:rsidRPr="00FA7F79">
        <w:rPr>
          <w:lang w:val="pl-PL"/>
        </w:rPr>
        <w:t xml:space="preserve"> obniżania, zawieszania lub </w:t>
      </w:r>
      <w:r>
        <w:rPr>
          <w:lang w:val="pl-PL"/>
        </w:rPr>
        <w:t xml:space="preserve">zaprzestania </w:t>
      </w:r>
      <w:r w:rsidR="00D775B7">
        <w:rPr>
          <w:lang w:val="pl-PL"/>
        </w:rPr>
        <w:t xml:space="preserve">wypłacania </w:t>
      </w:r>
      <w:r>
        <w:rPr>
          <w:lang w:val="pl-PL"/>
        </w:rPr>
        <w:t xml:space="preserve">emerytur </w:t>
      </w:r>
      <w:r w:rsidRPr="00FA7F79">
        <w:rPr>
          <w:lang w:val="pl-PL"/>
        </w:rPr>
        <w:t xml:space="preserve">w ramach systemu </w:t>
      </w:r>
      <w:r w:rsidR="00D775B7">
        <w:rPr>
          <w:lang w:val="pl-PL"/>
        </w:rPr>
        <w:t>u</w:t>
      </w:r>
      <w:r w:rsidRPr="00FA7F79">
        <w:rPr>
          <w:lang w:val="pl-PL"/>
        </w:rPr>
        <w:t>bezpieczeń społecznych</w:t>
      </w:r>
      <w:r>
        <w:rPr>
          <w:lang w:val="pl-PL"/>
        </w:rPr>
        <w:t xml:space="preserve">, a mianowicie zakres utraty świadczeń, </w:t>
      </w:r>
      <w:r w:rsidR="00E46BE4">
        <w:rPr>
          <w:lang w:val="pl-PL"/>
        </w:rPr>
        <w:t xml:space="preserve">kwestię, </w:t>
      </w:r>
      <w:r>
        <w:rPr>
          <w:lang w:val="pl-PL"/>
        </w:rPr>
        <w:t>czy przewidziany był element wyboru</w:t>
      </w:r>
      <w:r w:rsidR="00D775B7">
        <w:rPr>
          <w:lang w:val="pl-PL"/>
        </w:rPr>
        <w:t>, a także</w:t>
      </w:r>
      <w:r>
        <w:rPr>
          <w:lang w:val="pl-PL"/>
        </w:rPr>
        <w:t xml:space="preserve"> zakres utraty środków utrzymania. </w:t>
      </w:r>
    </w:p>
    <w:p w14:paraId="60D202AA" w14:textId="48C09282" w:rsidR="00FA7F79" w:rsidRPr="00FA7F79" w:rsidRDefault="00FA7F79">
      <w:pPr>
        <w:pStyle w:val="ClinContent"/>
        <w:rPr>
          <w:lang w:val="pl-PL"/>
        </w:rPr>
      </w:pPr>
      <w:r w:rsidRPr="00FA7F79">
        <w:rPr>
          <w:lang w:val="pl-PL"/>
        </w:rPr>
        <w:t>Rozpatrywana sprawa nie dotyczy</w:t>
      </w:r>
      <w:r>
        <w:rPr>
          <w:lang w:val="pl-PL"/>
        </w:rPr>
        <w:t>ł</w:t>
      </w:r>
      <w:r w:rsidRPr="00FA7F79">
        <w:rPr>
          <w:lang w:val="pl-PL"/>
        </w:rPr>
        <w:t xml:space="preserve">a stałej i całkowitej utraty uprawnień emerytalnych skarżącego, ale raczej zawieszenia miesięcznych wypłat jego emerytury. </w:t>
      </w:r>
      <w:r>
        <w:rPr>
          <w:lang w:val="pl-PL"/>
        </w:rPr>
        <w:t xml:space="preserve">Zawieszenie </w:t>
      </w:r>
      <w:r w:rsidR="00D775B7">
        <w:rPr>
          <w:lang w:val="pl-PL"/>
        </w:rPr>
        <w:t>to</w:t>
      </w:r>
      <w:r w:rsidR="005550B2">
        <w:rPr>
          <w:lang w:val="pl-PL"/>
        </w:rPr>
        <w:t> </w:t>
      </w:r>
      <w:r>
        <w:rPr>
          <w:lang w:val="pl-PL"/>
        </w:rPr>
        <w:t xml:space="preserve">miało charakter tymczasowy i </w:t>
      </w:r>
      <w:r w:rsidR="004057F9">
        <w:rPr>
          <w:lang w:val="pl-PL"/>
        </w:rPr>
        <w:t>zostały one</w:t>
      </w:r>
      <w:r>
        <w:rPr>
          <w:lang w:val="pl-PL"/>
        </w:rPr>
        <w:t xml:space="preserve"> podjęte na nowo, gdy skarżący zakończył zatrudnienie</w:t>
      </w:r>
      <w:r w:rsidR="00D775B7">
        <w:rPr>
          <w:lang w:val="pl-PL"/>
        </w:rPr>
        <w:t xml:space="preserve"> publiczne</w:t>
      </w:r>
      <w:r>
        <w:rPr>
          <w:lang w:val="pl-PL"/>
        </w:rPr>
        <w:t xml:space="preserve">. Nie uderzyło ono zatem w samą istotę jego prawa i nie naruszyło istoty tego prawa. </w:t>
      </w:r>
      <w:r w:rsidR="004C7243">
        <w:rPr>
          <w:lang w:val="pl-PL"/>
        </w:rPr>
        <w:t xml:space="preserve">Gdy przedmiotowa ustawa weszła w życie, skarżący miał możliwość wyboru między zakończeniem </w:t>
      </w:r>
      <w:r w:rsidR="00244D94">
        <w:rPr>
          <w:lang w:val="pl-PL"/>
        </w:rPr>
        <w:t>swo</w:t>
      </w:r>
      <w:r w:rsidR="004C7243">
        <w:rPr>
          <w:lang w:val="pl-PL"/>
        </w:rPr>
        <w:t xml:space="preserve">jego zatrudnienia w służbie cywilnej </w:t>
      </w:r>
      <w:r w:rsidR="00244D94">
        <w:rPr>
          <w:lang w:val="pl-PL"/>
        </w:rPr>
        <w:t>i</w:t>
      </w:r>
      <w:r w:rsidR="004C7243">
        <w:rPr>
          <w:lang w:val="pl-PL"/>
        </w:rPr>
        <w:t xml:space="preserve"> </w:t>
      </w:r>
      <w:r w:rsidR="004057F9">
        <w:rPr>
          <w:lang w:val="pl-PL"/>
        </w:rPr>
        <w:t>dalszym otrzymywaniem emerytury</w:t>
      </w:r>
      <w:r w:rsidR="004C7243">
        <w:rPr>
          <w:lang w:val="pl-PL"/>
        </w:rPr>
        <w:t xml:space="preserve"> a pozostaniem w tym zatrudnieniu i zawieszeniem wypłat jego emerytury. </w:t>
      </w:r>
      <w:r w:rsidR="00A51AC3">
        <w:rPr>
          <w:lang w:val="pl-PL"/>
        </w:rPr>
        <w:t>Wybrał tę drugą opcję. Było</w:t>
      </w:r>
      <w:r w:rsidR="004C7243">
        <w:rPr>
          <w:lang w:val="pl-PL"/>
        </w:rPr>
        <w:t xml:space="preserve"> jasne, że w czasie, gdy zawieszone zostały wypłaty jego emerytury, w dalszym ciągu otrzymywał wynagrodzenie. Zawieszenie wypłat </w:t>
      </w:r>
      <w:r w:rsidR="00A51AC3">
        <w:rPr>
          <w:lang w:val="pl-PL"/>
        </w:rPr>
        <w:t xml:space="preserve">jego </w:t>
      </w:r>
      <w:r w:rsidR="004C7243">
        <w:rPr>
          <w:lang w:val="pl-PL"/>
        </w:rPr>
        <w:t>emerytur</w:t>
      </w:r>
      <w:r w:rsidR="00A51AC3">
        <w:rPr>
          <w:lang w:val="pl-PL"/>
        </w:rPr>
        <w:t>y w żaden sposób nie pozostawiło</w:t>
      </w:r>
      <w:r w:rsidR="004C7243">
        <w:rPr>
          <w:lang w:val="pl-PL"/>
        </w:rPr>
        <w:t xml:space="preserve"> go bez </w:t>
      </w:r>
      <w:r w:rsidR="00244D94">
        <w:rPr>
          <w:lang w:val="pl-PL"/>
        </w:rPr>
        <w:t>jakichkolwiek</w:t>
      </w:r>
      <w:r w:rsidR="004057F9">
        <w:rPr>
          <w:lang w:val="pl-PL"/>
        </w:rPr>
        <w:t xml:space="preserve"> </w:t>
      </w:r>
      <w:r w:rsidR="004C7243">
        <w:rPr>
          <w:lang w:val="pl-PL"/>
        </w:rPr>
        <w:t xml:space="preserve">środków utrzymania. </w:t>
      </w:r>
    </w:p>
    <w:p w14:paraId="73BD17EF" w14:textId="7E1AC1CE" w:rsidR="004C7243" w:rsidRPr="004C7243" w:rsidRDefault="00C81C6A">
      <w:pPr>
        <w:pStyle w:val="ClinContent"/>
        <w:rPr>
          <w:lang w:val="pl-PL"/>
        </w:rPr>
      </w:pPr>
      <w:r>
        <w:rPr>
          <w:lang w:val="pl-PL"/>
        </w:rPr>
        <w:t>Zachowano</w:t>
      </w:r>
      <w:r w:rsidRPr="004C7243">
        <w:rPr>
          <w:lang w:val="pl-PL"/>
        </w:rPr>
        <w:t xml:space="preserve"> </w:t>
      </w:r>
      <w:r w:rsidR="004C7243" w:rsidRPr="004C7243">
        <w:rPr>
          <w:lang w:val="pl-PL"/>
        </w:rPr>
        <w:t xml:space="preserve">zatem </w:t>
      </w:r>
      <w:r w:rsidRPr="00C81C6A">
        <w:rPr>
          <w:lang w:val="pl-PL"/>
        </w:rPr>
        <w:t xml:space="preserve">sprawiedliwą równowagę między potrzebami ogólnego interesu społeczeństwa a wymogami ochrony praw podstawowych </w:t>
      </w:r>
      <w:r w:rsidR="004C7243" w:rsidRPr="004C7243">
        <w:rPr>
          <w:lang w:val="pl-PL"/>
        </w:rPr>
        <w:t xml:space="preserve">skarżącego i nie </w:t>
      </w:r>
      <w:r w:rsidR="004C7243">
        <w:rPr>
          <w:lang w:val="pl-PL"/>
        </w:rPr>
        <w:t>zmuszono go</w:t>
      </w:r>
      <w:r w:rsidR="005550B2">
        <w:rPr>
          <w:lang w:val="pl-PL"/>
        </w:rPr>
        <w:t> </w:t>
      </w:r>
      <w:r w:rsidR="004C7243">
        <w:rPr>
          <w:lang w:val="pl-PL"/>
        </w:rPr>
        <w:t xml:space="preserve">do </w:t>
      </w:r>
      <w:r w:rsidR="004C7243" w:rsidRPr="004C7243">
        <w:rPr>
          <w:lang w:val="pl-PL"/>
        </w:rPr>
        <w:t xml:space="preserve">poniesienia nadmiernego indywidualnego obciążenia.  </w:t>
      </w:r>
    </w:p>
    <w:p w14:paraId="384C2668" w14:textId="77777777" w:rsidR="004C7243" w:rsidRPr="004057F9" w:rsidRDefault="004C7243">
      <w:pPr>
        <w:pStyle w:val="ClinContent"/>
        <w:rPr>
          <w:lang w:val="pl-PL"/>
        </w:rPr>
      </w:pPr>
      <w:r w:rsidRPr="004057F9">
        <w:rPr>
          <w:i/>
          <w:lang w:val="pl-PL"/>
        </w:rPr>
        <w:t>Rozstrzygnięcie</w:t>
      </w:r>
      <w:r w:rsidRPr="004057F9">
        <w:rPr>
          <w:lang w:val="pl-PL"/>
        </w:rPr>
        <w:t>: brak naruszenia (jednomyślnie)</w:t>
      </w:r>
    </w:p>
    <w:p w14:paraId="5C6A43EA" w14:textId="40C78FAC" w:rsidR="004C7243" w:rsidRPr="004C7243" w:rsidRDefault="004C7243">
      <w:pPr>
        <w:pStyle w:val="ClinContent"/>
        <w:rPr>
          <w:lang w:val="pl-PL"/>
        </w:rPr>
      </w:pPr>
      <w:r w:rsidRPr="004C7243">
        <w:rPr>
          <w:lang w:val="pl-PL"/>
        </w:rPr>
        <w:t xml:space="preserve">Art. 14 Konwencji w związku z art. </w:t>
      </w:r>
      <w:r>
        <w:rPr>
          <w:lang w:val="pl-PL"/>
        </w:rPr>
        <w:t>1 Protokołu nr 1: Pierwszą kwestią</w:t>
      </w:r>
      <w:r w:rsidR="00A51AC3">
        <w:rPr>
          <w:lang w:val="pl-PL"/>
        </w:rPr>
        <w:t xml:space="preserve"> do zbadania </w:t>
      </w:r>
      <w:r>
        <w:rPr>
          <w:lang w:val="pl-PL"/>
        </w:rPr>
        <w:t xml:space="preserve">jest to, czy skarżący, jako osoba otrzymująca emeryturę a następnie zatrudniona w służbie cywilnej, znajdował się w analogicznej lub </w:t>
      </w:r>
      <w:r w:rsidR="0010502B">
        <w:rPr>
          <w:lang w:val="pl-PL"/>
        </w:rPr>
        <w:t>istotnie</w:t>
      </w:r>
      <w:r>
        <w:rPr>
          <w:lang w:val="pl-PL"/>
        </w:rPr>
        <w:t xml:space="preserve"> podobnej sytuacji w porównaniu do</w:t>
      </w:r>
      <w:r w:rsidR="005550B2">
        <w:rPr>
          <w:lang w:val="pl-PL"/>
        </w:rPr>
        <w:t> </w:t>
      </w:r>
      <w:r>
        <w:rPr>
          <w:lang w:val="pl-PL"/>
        </w:rPr>
        <w:t>osób otrzymujących emeryturę a następnie zatrudnionych w sektorze prywatnym. Elementy, które charakteryz</w:t>
      </w:r>
      <w:r w:rsidR="00A51AC3">
        <w:rPr>
          <w:lang w:val="pl-PL"/>
        </w:rPr>
        <w:t>ują</w:t>
      </w:r>
      <w:r>
        <w:rPr>
          <w:lang w:val="pl-PL"/>
        </w:rPr>
        <w:t xml:space="preserve"> różne sytuacje i</w:t>
      </w:r>
      <w:r w:rsidR="00A51AC3">
        <w:rPr>
          <w:lang w:val="pl-PL"/>
        </w:rPr>
        <w:t xml:space="preserve"> determinują</w:t>
      </w:r>
      <w:r>
        <w:rPr>
          <w:lang w:val="pl-PL"/>
        </w:rPr>
        <w:t xml:space="preserve"> ich porównywalność, należy oceniać w świetle przedmiotu sprawy i celu środka, który </w:t>
      </w:r>
      <w:r w:rsidR="00A51AC3">
        <w:rPr>
          <w:lang w:val="pl-PL"/>
        </w:rPr>
        <w:t xml:space="preserve">powoduje </w:t>
      </w:r>
      <w:r>
        <w:rPr>
          <w:lang w:val="pl-PL"/>
        </w:rPr>
        <w:t xml:space="preserve">przedmiotowe rozróżnienie. </w:t>
      </w:r>
    </w:p>
    <w:p w14:paraId="73BC4391" w14:textId="3618751F" w:rsidR="004C7243" w:rsidRPr="004C7243" w:rsidRDefault="004C7243">
      <w:pPr>
        <w:pStyle w:val="ClinContent"/>
        <w:rPr>
          <w:lang w:val="pl-PL"/>
        </w:rPr>
      </w:pPr>
      <w:r w:rsidRPr="004C7243">
        <w:rPr>
          <w:lang w:val="pl-PL"/>
        </w:rPr>
        <w:t>Trzy element</w:t>
      </w:r>
      <w:r w:rsidR="00401345">
        <w:rPr>
          <w:lang w:val="pl-PL"/>
        </w:rPr>
        <w:t>y</w:t>
      </w:r>
      <w:r w:rsidRPr="004C7243">
        <w:rPr>
          <w:lang w:val="pl-PL"/>
        </w:rPr>
        <w:t xml:space="preserve">, które należy uwzględnić, </w:t>
      </w:r>
      <w:r w:rsidR="00401345">
        <w:rPr>
          <w:lang w:val="pl-PL"/>
        </w:rPr>
        <w:t xml:space="preserve">są </w:t>
      </w:r>
      <w:r>
        <w:rPr>
          <w:lang w:val="pl-PL"/>
        </w:rPr>
        <w:t xml:space="preserve">szeroko odzwierciedlone w utrwalonym </w:t>
      </w:r>
      <w:r w:rsidR="00A51AC3">
        <w:rPr>
          <w:lang w:val="pl-PL"/>
        </w:rPr>
        <w:t>od</w:t>
      </w:r>
      <w:r w:rsidR="005550B2">
        <w:rPr>
          <w:lang w:val="pl-PL"/>
        </w:rPr>
        <w:t> </w:t>
      </w:r>
      <w:r w:rsidR="00A51AC3">
        <w:rPr>
          <w:lang w:val="pl-PL"/>
        </w:rPr>
        <w:t xml:space="preserve">dawna </w:t>
      </w:r>
      <w:r>
        <w:rPr>
          <w:lang w:val="pl-PL"/>
        </w:rPr>
        <w:t xml:space="preserve">orzecznictwie Trybunału uznającym rozróżnienie między urzędnikami cywilnymi a osobami zatrudnionymi prywatnie.* Po pierwsze, Układające się Strony </w:t>
      </w:r>
      <w:r w:rsidR="00A51AC3">
        <w:rPr>
          <w:lang w:val="pl-PL"/>
        </w:rPr>
        <w:t>– z</w:t>
      </w:r>
      <w:r w:rsidR="005550B2">
        <w:rPr>
          <w:lang w:val="pl-PL"/>
        </w:rPr>
        <w:t> </w:t>
      </w:r>
      <w:r w:rsidR="00A51AC3">
        <w:rPr>
          <w:lang w:val="pl-PL"/>
        </w:rPr>
        <w:t xml:space="preserve">konieczności – </w:t>
      </w:r>
      <w:r>
        <w:rPr>
          <w:lang w:val="pl-PL"/>
        </w:rPr>
        <w:t>korzystają z szerokie</w:t>
      </w:r>
      <w:r w:rsidR="004057F9">
        <w:rPr>
          <w:lang w:val="pl-PL"/>
        </w:rPr>
        <w:t>j swobody</w:t>
      </w:r>
      <w:r>
        <w:rPr>
          <w:lang w:val="pl-PL"/>
        </w:rPr>
        <w:t xml:space="preserve"> przy organizowaniu funkcji państwowych i służb publicznych, w tym w </w:t>
      </w:r>
      <w:r w:rsidR="004057F9">
        <w:rPr>
          <w:lang w:val="pl-PL"/>
        </w:rPr>
        <w:t xml:space="preserve">takich </w:t>
      </w:r>
      <w:r>
        <w:rPr>
          <w:lang w:val="pl-PL"/>
        </w:rPr>
        <w:t>sprawach jak regulowanie dostępu do zatrudnienia w</w:t>
      </w:r>
      <w:r w:rsidR="005550B2">
        <w:rPr>
          <w:lang w:val="pl-PL"/>
        </w:rPr>
        <w:t> </w:t>
      </w:r>
      <w:r>
        <w:rPr>
          <w:lang w:val="pl-PL"/>
        </w:rPr>
        <w:t>sektorze publicznym oraz zasad i warunków regulujących takie zatrudnienie. Po</w:t>
      </w:r>
      <w:r w:rsidR="005550B2">
        <w:rPr>
          <w:lang w:val="pl-PL"/>
        </w:rPr>
        <w:t> </w:t>
      </w:r>
      <w:r>
        <w:rPr>
          <w:lang w:val="pl-PL"/>
        </w:rPr>
        <w:t>drugie, ze względów instytucjonalnych i funkcjonalnych zatrudnienie w sektorze publ</w:t>
      </w:r>
      <w:r w:rsidR="00401345">
        <w:rPr>
          <w:lang w:val="pl-PL"/>
        </w:rPr>
        <w:t xml:space="preserve">icznym i sektorze prywatnym </w:t>
      </w:r>
      <w:r w:rsidR="004057F9">
        <w:rPr>
          <w:lang w:val="pl-PL"/>
        </w:rPr>
        <w:t xml:space="preserve">są zazwyczaj </w:t>
      </w:r>
      <w:r w:rsidR="00401345">
        <w:rPr>
          <w:lang w:val="pl-PL"/>
        </w:rPr>
        <w:t>poddane znacz</w:t>
      </w:r>
      <w:r w:rsidR="004057F9">
        <w:rPr>
          <w:lang w:val="pl-PL"/>
        </w:rPr>
        <w:t>nym</w:t>
      </w:r>
      <w:r w:rsidR="00401345">
        <w:rPr>
          <w:lang w:val="pl-PL"/>
        </w:rPr>
        <w:t xml:space="preserve"> różnicom prawnym i</w:t>
      </w:r>
      <w:r w:rsidR="005550B2">
        <w:rPr>
          <w:lang w:val="pl-PL"/>
        </w:rPr>
        <w:t> </w:t>
      </w:r>
      <w:r w:rsidR="00401345">
        <w:rPr>
          <w:lang w:val="pl-PL"/>
        </w:rPr>
        <w:t xml:space="preserve">faktycznym, </w:t>
      </w:r>
      <w:r w:rsidR="00A51AC3" w:rsidRPr="00244D94">
        <w:rPr>
          <w:lang w:val="pl-PL"/>
        </w:rPr>
        <w:t>szczególnie</w:t>
      </w:r>
      <w:r w:rsidR="00401345">
        <w:rPr>
          <w:lang w:val="pl-PL"/>
        </w:rPr>
        <w:t xml:space="preserve"> w obszarach związanych z wykonywaniem suwerennych uprawnień </w:t>
      </w:r>
      <w:r w:rsidR="007037CA">
        <w:rPr>
          <w:lang w:val="pl-PL"/>
        </w:rPr>
        <w:t xml:space="preserve">państwa </w:t>
      </w:r>
      <w:r w:rsidR="00401345">
        <w:rPr>
          <w:lang w:val="pl-PL"/>
        </w:rPr>
        <w:t>oraz zapewnianiem kluczowych usług publicznych. Po</w:t>
      </w:r>
      <w:r w:rsidR="008004F4">
        <w:rPr>
          <w:lang w:val="pl-PL"/>
        </w:rPr>
        <w:t> </w:t>
      </w:r>
      <w:r w:rsidR="00401345">
        <w:rPr>
          <w:lang w:val="pl-PL"/>
        </w:rPr>
        <w:t>trzecie,</w:t>
      </w:r>
      <w:r w:rsidR="008004F4">
        <w:rPr>
          <w:lang w:val="pl-PL"/>
        </w:rPr>
        <w:t> </w:t>
      </w:r>
      <w:r w:rsidR="00401345">
        <w:rPr>
          <w:lang w:val="pl-PL"/>
        </w:rPr>
        <w:t>nie</w:t>
      </w:r>
      <w:r w:rsidR="005550B2">
        <w:rPr>
          <w:lang w:val="pl-PL"/>
        </w:rPr>
        <w:t> </w:t>
      </w:r>
      <w:r w:rsidR="00401345">
        <w:rPr>
          <w:lang w:val="pl-PL"/>
        </w:rPr>
        <w:t>można zakładać, że zasady i warunki zatrudnienia, w tym finansowe, lub</w:t>
      </w:r>
      <w:r w:rsidR="005550B2">
        <w:rPr>
          <w:lang w:val="pl-PL"/>
        </w:rPr>
        <w:t> </w:t>
      </w:r>
      <w:r w:rsidR="00401345">
        <w:rPr>
          <w:lang w:val="pl-PL"/>
        </w:rPr>
        <w:t xml:space="preserve">kwalifikowania się do świadczeń społecznych powiązanych z zatrudnieniem, będą takie same w służbie cywilnej i </w:t>
      </w:r>
      <w:r w:rsidR="00E46BE4">
        <w:rPr>
          <w:lang w:val="pl-PL"/>
        </w:rPr>
        <w:t xml:space="preserve">w </w:t>
      </w:r>
      <w:r w:rsidR="00401345">
        <w:rPr>
          <w:lang w:val="pl-PL"/>
        </w:rPr>
        <w:t xml:space="preserve">sektorze prywatnym, </w:t>
      </w:r>
      <w:r w:rsidR="004057F9">
        <w:rPr>
          <w:lang w:val="pl-PL"/>
        </w:rPr>
        <w:t>an</w:t>
      </w:r>
      <w:r w:rsidR="00401345">
        <w:rPr>
          <w:lang w:val="pl-PL"/>
        </w:rPr>
        <w:t xml:space="preserve">i </w:t>
      </w:r>
      <w:r w:rsidR="0077395E">
        <w:rPr>
          <w:lang w:val="pl-PL"/>
        </w:rPr>
        <w:t xml:space="preserve">zatem </w:t>
      </w:r>
      <w:r w:rsidR="00401345">
        <w:rPr>
          <w:lang w:val="pl-PL"/>
        </w:rPr>
        <w:t>nie można zakładać, że</w:t>
      </w:r>
      <w:r w:rsidR="005550B2">
        <w:rPr>
          <w:lang w:val="pl-PL"/>
        </w:rPr>
        <w:t> </w:t>
      </w:r>
      <w:r w:rsidR="00401345">
        <w:rPr>
          <w:lang w:val="pl-PL"/>
        </w:rPr>
        <w:t xml:space="preserve">te kategorie osób znajdują się w tym względzie w </w:t>
      </w:r>
      <w:r w:rsidR="00E651DD">
        <w:rPr>
          <w:lang w:val="pl-PL"/>
        </w:rPr>
        <w:t xml:space="preserve">istotnie podobnych </w:t>
      </w:r>
      <w:r w:rsidR="00401345">
        <w:rPr>
          <w:lang w:val="pl-PL"/>
        </w:rPr>
        <w:t xml:space="preserve">sytuacjach. Sprawa skarżącego ujawnia konieczność wzięcia pod uwagę czwartego czynnika, </w:t>
      </w:r>
      <w:r w:rsidR="00401345">
        <w:rPr>
          <w:lang w:val="pl-PL"/>
        </w:rPr>
        <w:lastRenderedPageBreak/>
        <w:t>a</w:t>
      </w:r>
      <w:r w:rsidR="005550B2">
        <w:rPr>
          <w:lang w:val="pl-PL"/>
        </w:rPr>
        <w:t> </w:t>
      </w:r>
      <w:r w:rsidR="00401345">
        <w:rPr>
          <w:lang w:val="pl-PL"/>
        </w:rPr>
        <w:t xml:space="preserve">mianowicie roli </w:t>
      </w:r>
      <w:r w:rsidR="007037CA">
        <w:rPr>
          <w:lang w:val="pl-PL"/>
        </w:rPr>
        <w:t>państwa</w:t>
      </w:r>
      <w:r w:rsidR="00401345">
        <w:rPr>
          <w:lang w:val="pl-PL"/>
        </w:rPr>
        <w:t xml:space="preserve">, gdy działa ono </w:t>
      </w:r>
      <w:r w:rsidR="00A51AC3">
        <w:rPr>
          <w:lang w:val="pl-PL"/>
        </w:rPr>
        <w:t xml:space="preserve">jako </w:t>
      </w:r>
      <w:r w:rsidR="00401345">
        <w:rPr>
          <w:lang w:val="pl-PL"/>
        </w:rPr>
        <w:t>pracodaw</w:t>
      </w:r>
      <w:r w:rsidR="00A51AC3">
        <w:rPr>
          <w:lang w:val="pl-PL"/>
        </w:rPr>
        <w:t>ca</w:t>
      </w:r>
      <w:r w:rsidR="00401345">
        <w:rPr>
          <w:lang w:val="pl-PL"/>
        </w:rPr>
        <w:t>. W szczególności, jako</w:t>
      </w:r>
      <w:r w:rsidR="005550B2">
        <w:rPr>
          <w:lang w:val="pl-PL"/>
        </w:rPr>
        <w:t> </w:t>
      </w:r>
      <w:r w:rsidR="00401345">
        <w:rPr>
          <w:lang w:val="pl-PL"/>
        </w:rPr>
        <w:t>pracodawcy</w:t>
      </w:r>
      <w:r w:rsidR="0077395E">
        <w:rPr>
          <w:lang w:val="pl-PL"/>
        </w:rPr>
        <w:t xml:space="preserve"> –</w:t>
      </w:r>
      <w:r w:rsidR="00401345">
        <w:rPr>
          <w:lang w:val="pl-PL"/>
        </w:rPr>
        <w:t xml:space="preserve"> </w:t>
      </w:r>
      <w:r w:rsidR="007037CA">
        <w:rPr>
          <w:lang w:val="pl-PL"/>
        </w:rPr>
        <w:t xml:space="preserve">państwo </w:t>
      </w:r>
      <w:r w:rsidR="00401345">
        <w:rPr>
          <w:lang w:val="pl-PL"/>
        </w:rPr>
        <w:t xml:space="preserve">i jego organy nie </w:t>
      </w:r>
      <w:r w:rsidR="00A51AC3">
        <w:rPr>
          <w:lang w:val="pl-PL"/>
        </w:rPr>
        <w:t xml:space="preserve">znajdują się w sytuacji </w:t>
      </w:r>
      <w:r w:rsidR="00401345">
        <w:rPr>
          <w:lang w:val="pl-PL"/>
        </w:rPr>
        <w:t>porównywalnej do</w:t>
      </w:r>
      <w:r w:rsidR="005550B2">
        <w:rPr>
          <w:lang w:val="pl-PL"/>
        </w:rPr>
        <w:t> </w:t>
      </w:r>
      <w:r w:rsidR="00401345">
        <w:rPr>
          <w:lang w:val="pl-PL"/>
        </w:rPr>
        <w:t xml:space="preserve">podmiotów sektora prywatnego </w:t>
      </w:r>
      <w:r w:rsidR="00E46BE4">
        <w:rPr>
          <w:lang w:val="pl-PL"/>
        </w:rPr>
        <w:t xml:space="preserve">– </w:t>
      </w:r>
      <w:r w:rsidR="00401345">
        <w:rPr>
          <w:lang w:val="pl-PL"/>
        </w:rPr>
        <w:t xml:space="preserve">ani z </w:t>
      </w:r>
      <w:r w:rsidR="00A51AC3">
        <w:rPr>
          <w:lang w:val="pl-PL"/>
        </w:rPr>
        <w:t xml:space="preserve">punktu widzenia </w:t>
      </w:r>
      <w:r w:rsidR="00401345">
        <w:rPr>
          <w:lang w:val="pl-PL"/>
        </w:rPr>
        <w:t>ram instytucjonalnych, w</w:t>
      </w:r>
      <w:r w:rsidR="005550B2">
        <w:rPr>
          <w:lang w:val="pl-PL"/>
        </w:rPr>
        <w:t> </w:t>
      </w:r>
      <w:r w:rsidR="00401345">
        <w:rPr>
          <w:lang w:val="pl-PL"/>
        </w:rPr>
        <w:t xml:space="preserve">których funkcjonują, ani też </w:t>
      </w:r>
      <w:r w:rsidR="00A51AC3">
        <w:rPr>
          <w:lang w:val="pl-PL"/>
        </w:rPr>
        <w:t xml:space="preserve">z punktu widzenia </w:t>
      </w:r>
      <w:r w:rsidR="00401345">
        <w:rPr>
          <w:lang w:val="pl-PL"/>
        </w:rPr>
        <w:t xml:space="preserve">podstaw finansowych i gospodarczych ich działalności: </w:t>
      </w:r>
      <w:r w:rsidR="00D0466F">
        <w:rPr>
          <w:lang w:val="pl-PL"/>
        </w:rPr>
        <w:t>podstawy ich finansowania różnią się diametralnie, podobnie jak</w:t>
      </w:r>
      <w:r w:rsidR="005550B2">
        <w:rPr>
          <w:lang w:val="pl-PL"/>
        </w:rPr>
        <w:t> </w:t>
      </w:r>
      <w:r w:rsidR="00D0466F">
        <w:rPr>
          <w:lang w:val="pl-PL"/>
        </w:rPr>
        <w:t xml:space="preserve">dostępne możliwości podejmowania środków w celu </w:t>
      </w:r>
      <w:r w:rsidR="00A51AC3">
        <w:rPr>
          <w:lang w:val="pl-PL"/>
        </w:rPr>
        <w:t>rozwiązania trudności i kryzysów finansowych</w:t>
      </w:r>
      <w:r w:rsidR="00D0466F">
        <w:rPr>
          <w:lang w:val="pl-PL"/>
        </w:rPr>
        <w:t xml:space="preserve">. </w:t>
      </w:r>
    </w:p>
    <w:p w14:paraId="18791088" w14:textId="420CC08B" w:rsidR="00D0466F" w:rsidRPr="00D0466F" w:rsidRDefault="00D0466F">
      <w:pPr>
        <w:pStyle w:val="ClinContent"/>
        <w:rPr>
          <w:lang w:val="pl-PL"/>
        </w:rPr>
      </w:pPr>
      <w:r w:rsidRPr="00D0466F">
        <w:rPr>
          <w:lang w:val="pl-PL"/>
        </w:rPr>
        <w:t>Zarówno praco</w:t>
      </w:r>
      <w:r w:rsidR="00F96729">
        <w:rPr>
          <w:lang w:val="pl-PL"/>
        </w:rPr>
        <w:t>wnicy</w:t>
      </w:r>
      <w:r w:rsidRPr="00D0466F">
        <w:rPr>
          <w:lang w:val="pl-PL"/>
        </w:rPr>
        <w:t xml:space="preserve"> </w:t>
      </w:r>
      <w:r w:rsidR="00F96729">
        <w:rPr>
          <w:lang w:val="pl-PL"/>
        </w:rPr>
        <w:t xml:space="preserve">sektora </w:t>
      </w:r>
      <w:r w:rsidRPr="00D0466F">
        <w:rPr>
          <w:lang w:val="pl-PL"/>
        </w:rPr>
        <w:t>państwow</w:t>
      </w:r>
      <w:r w:rsidR="00F96729">
        <w:rPr>
          <w:lang w:val="pl-PL"/>
        </w:rPr>
        <w:t>ego</w:t>
      </w:r>
      <w:r w:rsidRPr="00D0466F">
        <w:rPr>
          <w:lang w:val="pl-PL"/>
        </w:rPr>
        <w:t>, jak i prywatn</w:t>
      </w:r>
      <w:r>
        <w:rPr>
          <w:lang w:val="pl-PL"/>
        </w:rPr>
        <w:t xml:space="preserve">ego zostali objęci obowiązkowym systemem emerytalnego ubezpieczenia społecznego, do którego </w:t>
      </w:r>
      <w:r w:rsidR="00F96729">
        <w:rPr>
          <w:lang w:val="pl-PL"/>
        </w:rPr>
        <w:t>odprowadzano i</w:t>
      </w:r>
      <w:r w:rsidR="006878DD">
        <w:rPr>
          <w:lang w:val="pl-PL"/>
        </w:rPr>
        <w:t>ch</w:t>
      </w:r>
      <w:r w:rsidR="00F96729">
        <w:rPr>
          <w:lang w:val="pl-PL"/>
        </w:rPr>
        <w:t xml:space="preserve"> składki </w:t>
      </w:r>
      <w:r>
        <w:rPr>
          <w:lang w:val="pl-PL"/>
        </w:rPr>
        <w:t xml:space="preserve">w ten sam sposób i w tym samym zakresie. Tym niemniej, sama ta okoliczność nie jest wystarczająca do ustalenia, że znajdowali się oni w </w:t>
      </w:r>
      <w:r w:rsidR="00E651DD">
        <w:rPr>
          <w:lang w:val="pl-PL"/>
        </w:rPr>
        <w:t xml:space="preserve">istotnie podobnych </w:t>
      </w:r>
      <w:r>
        <w:rPr>
          <w:lang w:val="pl-PL"/>
        </w:rPr>
        <w:t xml:space="preserve">sytuacjach. </w:t>
      </w:r>
      <w:r w:rsidRPr="00D0466F">
        <w:rPr>
          <w:lang w:val="pl-PL"/>
        </w:rPr>
        <w:t>Po nowelizacji ustawy o emeryturach z 1997 r. to zatrudnienie skarżącego podjęte po przejś</w:t>
      </w:r>
      <w:r>
        <w:rPr>
          <w:lang w:val="pl-PL"/>
        </w:rPr>
        <w:t>c</w:t>
      </w:r>
      <w:r w:rsidRPr="00D0466F">
        <w:rPr>
          <w:lang w:val="pl-PL"/>
        </w:rPr>
        <w:t>iu na emeryturę pocią</w:t>
      </w:r>
      <w:r w:rsidR="00381DBD">
        <w:rPr>
          <w:lang w:val="pl-PL"/>
        </w:rPr>
        <w:t>gało za sobą zawieszenie wypłat</w:t>
      </w:r>
      <w:r w:rsidRPr="00D0466F">
        <w:rPr>
          <w:lang w:val="pl-PL"/>
        </w:rPr>
        <w:t xml:space="preserve"> </w:t>
      </w:r>
      <w:r>
        <w:rPr>
          <w:lang w:val="pl-PL"/>
        </w:rPr>
        <w:t xml:space="preserve">jego </w:t>
      </w:r>
      <w:r w:rsidRPr="00D0466F">
        <w:rPr>
          <w:lang w:val="pl-PL"/>
        </w:rPr>
        <w:t>emeryt</w:t>
      </w:r>
      <w:r>
        <w:rPr>
          <w:lang w:val="pl-PL"/>
        </w:rPr>
        <w:t>ury. To właśnie fakt, że jako urzędnik cywilny otrzymywał wynagrodzenie od</w:t>
      </w:r>
      <w:r w:rsidR="005550B2">
        <w:rPr>
          <w:lang w:val="pl-PL"/>
        </w:rPr>
        <w:t> </w:t>
      </w:r>
      <w:r w:rsidR="007037CA">
        <w:rPr>
          <w:lang w:val="pl-PL"/>
        </w:rPr>
        <w:t>państwa</w:t>
      </w:r>
      <w:r>
        <w:rPr>
          <w:lang w:val="pl-PL"/>
        </w:rPr>
        <w:t>, był nie</w:t>
      </w:r>
      <w:r w:rsidR="000C5B72">
        <w:rPr>
          <w:lang w:val="pl-PL"/>
        </w:rPr>
        <w:t xml:space="preserve"> do pogodzenia </w:t>
      </w:r>
      <w:r>
        <w:rPr>
          <w:lang w:val="pl-PL"/>
        </w:rPr>
        <w:t xml:space="preserve">z jednoczesnym wypłacaniem emerytury </w:t>
      </w:r>
      <w:r w:rsidR="000C5B72">
        <w:rPr>
          <w:lang w:val="pl-PL"/>
        </w:rPr>
        <w:t xml:space="preserve">finansowanej </w:t>
      </w:r>
      <w:r>
        <w:rPr>
          <w:lang w:val="pl-PL"/>
        </w:rPr>
        <w:t>z tego samego źródła. W ramach polityki finansowej, społecznej i</w:t>
      </w:r>
      <w:r w:rsidR="005550B2">
        <w:rPr>
          <w:lang w:val="pl-PL"/>
        </w:rPr>
        <w:t> </w:t>
      </w:r>
      <w:r>
        <w:rPr>
          <w:lang w:val="pl-PL"/>
        </w:rPr>
        <w:t xml:space="preserve">zatrudnienia zaskarżony </w:t>
      </w:r>
      <w:r w:rsidR="000C5B72">
        <w:rPr>
          <w:lang w:val="pl-PL"/>
        </w:rPr>
        <w:t xml:space="preserve">zakaz </w:t>
      </w:r>
      <w:r>
        <w:rPr>
          <w:lang w:val="pl-PL"/>
        </w:rPr>
        <w:t>jednoczesne</w:t>
      </w:r>
      <w:r w:rsidR="000C5B72">
        <w:rPr>
          <w:lang w:val="pl-PL"/>
        </w:rPr>
        <w:t>go</w:t>
      </w:r>
      <w:r>
        <w:rPr>
          <w:lang w:val="pl-PL"/>
        </w:rPr>
        <w:t xml:space="preserve"> </w:t>
      </w:r>
      <w:r w:rsidR="000C5B72">
        <w:rPr>
          <w:lang w:val="pl-PL"/>
        </w:rPr>
        <w:t>łączenia</w:t>
      </w:r>
      <w:r>
        <w:rPr>
          <w:lang w:val="pl-PL"/>
        </w:rPr>
        <w:t xml:space="preserve"> emerytury i wynagrodzenia z</w:t>
      </w:r>
      <w:r w:rsidR="005550B2">
        <w:rPr>
          <w:lang w:val="pl-PL"/>
        </w:rPr>
        <w:t> </w:t>
      </w:r>
      <w:r>
        <w:rPr>
          <w:lang w:val="pl-PL"/>
        </w:rPr>
        <w:t xml:space="preserve">budżetu </w:t>
      </w:r>
      <w:r w:rsidR="007037CA">
        <w:rPr>
          <w:lang w:val="pl-PL"/>
        </w:rPr>
        <w:t xml:space="preserve">państwa </w:t>
      </w:r>
      <w:r w:rsidR="000C5B72">
        <w:rPr>
          <w:lang w:val="pl-PL"/>
        </w:rPr>
        <w:t xml:space="preserve">został wprowadzony </w:t>
      </w:r>
      <w:r w:rsidR="0010502B">
        <w:rPr>
          <w:lang w:val="pl-PL"/>
        </w:rPr>
        <w:t xml:space="preserve">jako część działań ustawowych mających na celu skorygowanie niezrównoważonych pod względem finansowym cech systemu emerytalnego pozwanego Państwa. </w:t>
      </w:r>
      <w:r w:rsidR="00BB4A15">
        <w:rPr>
          <w:lang w:val="pl-PL"/>
        </w:rPr>
        <w:t>N</w:t>
      </w:r>
      <w:r w:rsidR="0010502B">
        <w:rPr>
          <w:lang w:val="pl-PL"/>
        </w:rPr>
        <w:t xml:space="preserve">ie wykluczało </w:t>
      </w:r>
      <w:r w:rsidR="00BB4A15">
        <w:rPr>
          <w:lang w:val="pl-PL"/>
        </w:rPr>
        <w:t xml:space="preserve">to </w:t>
      </w:r>
      <w:r w:rsidR="000C5B72">
        <w:rPr>
          <w:lang w:val="pl-PL"/>
        </w:rPr>
        <w:t>łączenia</w:t>
      </w:r>
      <w:r w:rsidR="0010502B">
        <w:rPr>
          <w:lang w:val="pl-PL"/>
        </w:rPr>
        <w:t xml:space="preserve"> emerytury i</w:t>
      </w:r>
      <w:r w:rsidR="005550B2">
        <w:rPr>
          <w:lang w:val="pl-PL"/>
        </w:rPr>
        <w:t> </w:t>
      </w:r>
      <w:r w:rsidR="0010502B">
        <w:rPr>
          <w:lang w:val="pl-PL"/>
        </w:rPr>
        <w:t xml:space="preserve">wynagrodzenia </w:t>
      </w:r>
      <w:r w:rsidR="000C5B72">
        <w:rPr>
          <w:lang w:val="pl-PL"/>
        </w:rPr>
        <w:t>w przypadku</w:t>
      </w:r>
      <w:r w:rsidR="0010502B">
        <w:rPr>
          <w:lang w:val="pl-PL"/>
        </w:rPr>
        <w:t xml:space="preserve"> osób zatrudnionych w sektorze prywatnym, których wynagrodzenia, odmiennie niż w przypadku osób zatrudnionych w służbie cywilnej, nie</w:t>
      </w:r>
      <w:r w:rsidR="005550B2">
        <w:rPr>
          <w:lang w:val="pl-PL"/>
        </w:rPr>
        <w:t> </w:t>
      </w:r>
      <w:r w:rsidR="0010502B">
        <w:rPr>
          <w:lang w:val="pl-PL"/>
        </w:rPr>
        <w:t xml:space="preserve">były finansowane przez </w:t>
      </w:r>
      <w:r w:rsidR="007037CA">
        <w:rPr>
          <w:lang w:val="pl-PL"/>
        </w:rPr>
        <w:t>państwo</w:t>
      </w:r>
      <w:r w:rsidR="0010502B">
        <w:rPr>
          <w:lang w:val="pl-PL"/>
        </w:rPr>
        <w:t>, a z prywatnych środków będących poza</w:t>
      </w:r>
      <w:r w:rsidR="005550B2">
        <w:rPr>
          <w:lang w:val="pl-PL"/>
        </w:rPr>
        <w:t> </w:t>
      </w:r>
      <w:r w:rsidR="00381DBD">
        <w:rPr>
          <w:lang w:val="pl-PL"/>
        </w:rPr>
        <w:t xml:space="preserve">bezpośrednią </w:t>
      </w:r>
      <w:r w:rsidR="0010502B">
        <w:rPr>
          <w:lang w:val="pl-PL"/>
        </w:rPr>
        <w:t xml:space="preserve">kontrolą </w:t>
      </w:r>
      <w:r w:rsidR="007037CA">
        <w:rPr>
          <w:lang w:val="pl-PL"/>
        </w:rPr>
        <w:t>państwa</w:t>
      </w:r>
      <w:r w:rsidR="0010502B">
        <w:rPr>
          <w:lang w:val="pl-PL"/>
        </w:rPr>
        <w:t xml:space="preserve">. </w:t>
      </w:r>
      <w:r>
        <w:rPr>
          <w:lang w:val="pl-PL"/>
        </w:rPr>
        <w:t xml:space="preserve"> </w:t>
      </w:r>
      <w:r w:rsidRPr="00D0466F">
        <w:rPr>
          <w:lang w:val="pl-PL"/>
        </w:rPr>
        <w:t xml:space="preserve"> </w:t>
      </w:r>
    </w:p>
    <w:p w14:paraId="777BF8CF" w14:textId="2C80ADDC" w:rsidR="0010502B" w:rsidRPr="0010502B" w:rsidRDefault="0010502B">
      <w:pPr>
        <w:pStyle w:val="ClinContent"/>
        <w:rPr>
          <w:lang w:val="pl-PL"/>
        </w:rPr>
      </w:pPr>
      <w:r w:rsidRPr="0010502B">
        <w:rPr>
          <w:lang w:val="pl-PL"/>
        </w:rPr>
        <w:t xml:space="preserve">Skarżący nie wykazał, że jako członek służby cywilnej, której </w:t>
      </w:r>
      <w:r w:rsidR="004470A4" w:rsidRPr="0010502B">
        <w:rPr>
          <w:lang w:val="pl-PL"/>
        </w:rPr>
        <w:t>zatrudnienie</w:t>
      </w:r>
      <w:r w:rsidRPr="0010502B">
        <w:rPr>
          <w:lang w:val="pl-PL"/>
        </w:rPr>
        <w:t xml:space="preserve">, wynagrodzenie i świadczenia społeczne uzależnione były od budżetu </w:t>
      </w:r>
      <w:r w:rsidR="007037CA" w:rsidRPr="0010502B">
        <w:rPr>
          <w:lang w:val="pl-PL"/>
        </w:rPr>
        <w:t>państwa</w:t>
      </w:r>
      <w:r w:rsidRPr="0010502B">
        <w:rPr>
          <w:lang w:val="pl-PL"/>
        </w:rPr>
        <w:t xml:space="preserve">, znajdował się w sytuacji </w:t>
      </w:r>
      <w:r w:rsidR="00E651DD">
        <w:rPr>
          <w:lang w:val="pl-PL"/>
        </w:rPr>
        <w:t>istotnie</w:t>
      </w:r>
      <w:r w:rsidR="00E651DD" w:rsidRPr="0010502B">
        <w:rPr>
          <w:lang w:val="pl-PL"/>
        </w:rPr>
        <w:t xml:space="preserve"> podobnej </w:t>
      </w:r>
      <w:r w:rsidRPr="0010502B">
        <w:rPr>
          <w:lang w:val="pl-PL"/>
        </w:rPr>
        <w:t xml:space="preserve">do sytuacji emerytów zatrudnionych w sektorze prywatnym. </w:t>
      </w:r>
    </w:p>
    <w:p w14:paraId="6A05215F" w14:textId="1F789248" w:rsidR="00E651DD" w:rsidRDefault="00E651DD">
      <w:pPr>
        <w:pStyle w:val="ClinContent"/>
        <w:rPr>
          <w:lang w:val="pl-PL"/>
        </w:rPr>
      </w:pPr>
      <w:r w:rsidRPr="00E651DD">
        <w:rPr>
          <w:i/>
          <w:lang w:val="pl-PL"/>
        </w:rPr>
        <w:t>Rozstrzygnięcie</w:t>
      </w:r>
      <w:r w:rsidRPr="00E651DD">
        <w:rPr>
          <w:lang w:val="pl-PL"/>
        </w:rPr>
        <w:t>: brak naruszenia (jedenastoma głosami do sześciu)</w:t>
      </w:r>
      <w:r w:rsidR="001542E4">
        <w:rPr>
          <w:lang w:val="pl-PL"/>
        </w:rPr>
        <w:t>.</w:t>
      </w:r>
      <w:r w:rsidRPr="00E651DD">
        <w:rPr>
          <w:lang w:val="pl-PL"/>
        </w:rPr>
        <w:t xml:space="preserve"> </w:t>
      </w:r>
    </w:p>
    <w:p w14:paraId="450D9FFB" w14:textId="77777777" w:rsidR="00584D06" w:rsidRPr="00E651DD" w:rsidRDefault="00584D06" w:rsidP="00584D06">
      <w:pPr>
        <w:pStyle w:val="ClinContent"/>
        <w:rPr>
          <w:lang w:val="pl-PL"/>
        </w:rPr>
      </w:pPr>
      <w:r w:rsidRPr="00E651DD">
        <w:rPr>
          <w:lang w:val="pl-PL"/>
        </w:rPr>
        <w:t>(Zob</w:t>
      </w:r>
      <w:r>
        <w:rPr>
          <w:lang w:val="pl-PL"/>
        </w:rPr>
        <w:t>acz</w:t>
      </w:r>
      <w:r w:rsidRPr="006878DD">
        <w:rPr>
          <w:rStyle w:val="Odwoaniedokomentarza"/>
          <w:lang w:val="pl-PL"/>
        </w:rPr>
        <w:t xml:space="preserve"> </w:t>
      </w:r>
      <w:r>
        <w:rPr>
          <w:lang w:val="pl-PL"/>
        </w:rPr>
        <w:t>r</w:t>
      </w:r>
      <w:r w:rsidRPr="00E651DD">
        <w:rPr>
          <w:lang w:val="pl-PL"/>
        </w:rPr>
        <w:t xml:space="preserve">ównież </w:t>
      </w:r>
      <w:proofErr w:type="spellStart"/>
      <w:r w:rsidRPr="00E651DD">
        <w:rPr>
          <w:i/>
          <w:lang w:val="pl-PL"/>
        </w:rPr>
        <w:t>Béláné</w:t>
      </w:r>
      <w:proofErr w:type="spellEnd"/>
      <w:r w:rsidRPr="00E651DD">
        <w:rPr>
          <w:i/>
          <w:lang w:val="pl-PL"/>
        </w:rPr>
        <w:t xml:space="preserve"> </w:t>
      </w:r>
      <w:proofErr w:type="spellStart"/>
      <w:r w:rsidRPr="00E651DD">
        <w:rPr>
          <w:i/>
          <w:lang w:val="pl-PL"/>
        </w:rPr>
        <w:t>Nagy</w:t>
      </w:r>
      <w:proofErr w:type="spellEnd"/>
      <w:r w:rsidRPr="00E651DD">
        <w:rPr>
          <w:i/>
          <w:lang w:val="pl-PL"/>
        </w:rPr>
        <w:t xml:space="preserve"> p. </w:t>
      </w:r>
      <w:r>
        <w:rPr>
          <w:i/>
          <w:lang w:val="pl-PL"/>
        </w:rPr>
        <w:t xml:space="preserve">Węgrom </w:t>
      </w:r>
      <w:r w:rsidRPr="00E651DD">
        <w:rPr>
          <w:lang w:val="pl-PL"/>
        </w:rPr>
        <w:t>[</w:t>
      </w:r>
      <w:r>
        <w:rPr>
          <w:lang w:val="pl-PL"/>
        </w:rPr>
        <w:t>Wielka Izba</w:t>
      </w:r>
      <w:r w:rsidRPr="00E651DD">
        <w:rPr>
          <w:lang w:val="pl-PL"/>
        </w:rPr>
        <w:t xml:space="preserve">], </w:t>
      </w:r>
      <w:r>
        <w:rPr>
          <w:lang w:val="pl-PL"/>
        </w:rPr>
        <w:t xml:space="preserve">nr </w:t>
      </w:r>
      <w:r w:rsidRPr="00E651DD">
        <w:rPr>
          <w:lang w:val="pl-PL"/>
        </w:rPr>
        <w:t>53080/13, 13 </w:t>
      </w:r>
      <w:r>
        <w:rPr>
          <w:lang w:val="pl-PL"/>
        </w:rPr>
        <w:t xml:space="preserve">grudnia </w:t>
      </w:r>
      <w:r w:rsidRPr="00E651DD">
        <w:rPr>
          <w:lang w:val="pl-PL"/>
        </w:rPr>
        <w:t>2016</w:t>
      </w:r>
      <w:r>
        <w:rPr>
          <w:lang w:val="pl-PL"/>
        </w:rPr>
        <w:t xml:space="preserve"> r.</w:t>
      </w:r>
      <w:r w:rsidRPr="00E651DD">
        <w:rPr>
          <w:lang w:val="pl-PL"/>
        </w:rPr>
        <w:t xml:space="preserve">, </w:t>
      </w:r>
      <w:hyperlink r:id="rId10" w:history="1">
        <w:r w:rsidRPr="00DB3469">
          <w:rPr>
            <w:rStyle w:val="Hipercze"/>
            <w:lang w:val="pl-PL"/>
          </w:rPr>
          <w:t>Nota informacyjna nt. orzecznictwa nr 202</w:t>
        </w:r>
      </w:hyperlink>
      <w:r w:rsidRPr="00E651DD">
        <w:rPr>
          <w:lang w:val="pl-PL"/>
        </w:rPr>
        <w:t xml:space="preserve">; </w:t>
      </w:r>
      <w:proofErr w:type="spellStart"/>
      <w:r w:rsidRPr="00E651DD">
        <w:rPr>
          <w:i/>
          <w:lang w:val="pl-PL"/>
        </w:rPr>
        <w:t>Valkov</w:t>
      </w:r>
      <w:proofErr w:type="spellEnd"/>
      <w:r w:rsidRPr="00E651DD">
        <w:rPr>
          <w:i/>
          <w:lang w:val="pl-PL"/>
        </w:rPr>
        <w:t xml:space="preserve"> </w:t>
      </w:r>
      <w:r>
        <w:rPr>
          <w:i/>
          <w:lang w:val="pl-PL"/>
        </w:rPr>
        <w:t>i Inni p</w:t>
      </w:r>
      <w:r w:rsidRPr="00E651DD">
        <w:rPr>
          <w:i/>
          <w:lang w:val="pl-PL"/>
        </w:rPr>
        <w:t>. Bu</w:t>
      </w:r>
      <w:r>
        <w:rPr>
          <w:i/>
          <w:lang w:val="pl-PL"/>
        </w:rPr>
        <w:t>łgarii</w:t>
      </w:r>
      <w:r w:rsidRPr="00E651DD">
        <w:rPr>
          <w:lang w:val="pl-PL"/>
        </w:rPr>
        <w:t xml:space="preserve">, </w:t>
      </w:r>
      <w:r>
        <w:rPr>
          <w:lang w:val="pl-PL"/>
        </w:rPr>
        <w:t xml:space="preserve">nr </w:t>
      </w:r>
      <w:r w:rsidRPr="00E651DD">
        <w:rPr>
          <w:lang w:val="pl-PL"/>
        </w:rPr>
        <w:t>2033/04, 25 </w:t>
      </w:r>
      <w:r>
        <w:rPr>
          <w:lang w:val="pl-PL"/>
        </w:rPr>
        <w:t>października</w:t>
      </w:r>
      <w:r w:rsidRPr="00E651DD">
        <w:rPr>
          <w:lang w:val="pl-PL"/>
        </w:rPr>
        <w:t xml:space="preserve"> 2011</w:t>
      </w:r>
      <w:r>
        <w:rPr>
          <w:lang w:val="pl-PL"/>
        </w:rPr>
        <w:t xml:space="preserve"> r.</w:t>
      </w:r>
      <w:r w:rsidRPr="00E651DD">
        <w:rPr>
          <w:lang w:val="pl-PL"/>
        </w:rPr>
        <w:t xml:space="preserve">, </w:t>
      </w:r>
      <w:hyperlink r:id="rId11" w:history="1">
        <w:r>
          <w:rPr>
            <w:rStyle w:val="Hipercze"/>
            <w:lang w:val="pl-PL"/>
          </w:rPr>
          <w:t>Nota informacyjna nt. orzecznictwa nr</w:t>
        </w:r>
        <w:r w:rsidRPr="00E651DD">
          <w:rPr>
            <w:rStyle w:val="Hipercze"/>
            <w:lang w:val="pl-PL"/>
          </w:rPr>
          <w:t> 145</w:t>
        </w:r>
      </w:hyperlink>
      <w:r w:rsidRPr="00E651DD">
        <w:rPr>
          <w:lang w:val="pl-PL"/>
        </w:rPr>
        <w:t xml:space="preserve">; </w:t>
      </w:r>
      <w:proofErr w:type="spellStart"/>
      <w:r w:rsidRPr="00E651DD">
        <w:rPr>
          <w:i/>
          <w:lang w:val="pl-PL"/>
        </w:rPr>
        <w:t>Khamtokhu</w:t>
      </w:r>
      <w:proofErr w:type="spellEnd"/>
      <w:r w:rsidRPr="00E651DD">
        <w:rPr>
          <w:i/>
          <w:lang w:val="pl-PL"/>
        </w:rPr>
        <w:t xml:space="preserve"> </w:t>
      </w:r>
      <w:r>
        <w:rPr>
          <w:i/>
          <w:lang w:val="pl-PL"/>
        </w:rPr>
        <w:t>i </w:t>
      </w:r>
      <w:proofErr w:type="spellStart"/>
      <w:r w:rsidRPr="00E651DD">
        <w:rPr>
          <w:i/>
          <w:lang w:val="pl-PL"/>
        </w:rPr>
        <w:t>Aksenchik</w:t>
      </w:r>
      <w:proofErr w:type="spellEnd"/>
      <w:r w:rsidRPr="00E651DD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Pr="00E651DD">
        <w:rPr>
          <w:i/>
          <w:lang w:val="pl-PL"/>
        </w:rPr>
        <w:t>. </w:t>
      </w:r>
      <w:r>
        <w:rPr>
          <w:i/>
          <w:lang w:val="pl-PL"/>
        </w:rPr>
        <w:t>Rosji</w:t>
      </w:r>
      <w:r w:rsidRPr="00E651DD">
        <w:rPr>
          <w:i/>
          <w:lang w:val="pl-PL"/>
        </w:rPr>
        <w:t xml:space="preserve"> </w:t>
      </w:r>
      <w:r w:rsidRPr="00E651DD">
        <w:rPr>
          <w:lang w:val="pl-PL"/>
        </w:rPr>
        <w:t>[</w:t>
      </w:r>
      <w:r>
        <w:rPr>
          <w:lang w:val="pl-PL"/>
        </w:rPr>
        <w:t>Wielka Izba</w:t>
      </w:r>
      <w:r w:rsidRPr="00E651DD">
        <w:rPr>
          <w:lang w:val="pl-PL"/>
        </w:rPr>
        <w:t xml:space="preserve">], </w:t>
      </w:r>
      <w:r>
        <w:rPr>
          <w:lang w:val="pl-PL"/>
        </w:rPr>
        <w:t xml:space="preserve">nr </w:t>
      </w:r>
      <w:r w:rsidRPr="00E651DD">
        <w:rPr>
          <w:lang w:val="pl-PL"/>
        </w:rPr>
        <w:t xml:space="preserve">60367/08 </w:t>
      </w:r>
      <w:r>
        <w:rPr>
          <w:lang w:val="pl-PL"/>
        </w:rPr>
        <w:t xml:space="preserve">i </w:t>
      </w:r>
      <w:r w:rsidRPr="00E651DD">
        <w:rPr>
          <w:lang w:val="pl-PL"/>
        </w:rPr>
        <w:t>961/11, 24 </w:t>
      </w:r>
      <w:r>
        <w:rPr>
          <w:lang w:val="pl-PL"/>
        </w:rPr>
        <w:t>stycznia</w:t>
      </w:r>
      <w:r w:rsidRPr="00E651DD">
        <w:rPr>
          <w:lang w:val="pl-PL"/>
        </w:rPr>
        <w:t xml:space="preserve"> 2017</w:t>
      </w:r>
      <w:r>
        <w:rPr>
          <w:lang w:val="pl-PL"/>
        </w:rPr>
        <w:t xml:space="preserve"> r.</w:t>
      </w:r>
      <w:r w:rsidRPr="00E651DD">
        <w:rPr>
          <w:lang w:val="pl-PL"/>
        </w:rPr>
        <w:t xml:space="preserve">, </w:t>
      </w:r>
      <w:hyperlink r:id="rId12" w:history="1">
        <w:r w:rsidRPr="00E651DD">
          <w:rPr>
            <w:rStyle w:val="Hipercze"/>
            <w:lang w:val="pl-PL"/>
          </w:rPr>
          <w:t>Not</w:t>
        </w:r>
        <w:r>
          <w:rPr>
            <w:rStyle w:val="Hipercze"/>
            <w:lang w:val="pl-PL"/>
          </w:rPr>
          <w:t>a informacyjna nt. orzecznictwa nr</w:t>
        </w:r>
        <w:r w:rsidRPr="00E651DD">
          <w:rPr>
            <w:rStyle w:val="Hipercze"/>
            <w:lang w:val="pl-PL"/>
          </w:rPr>
          <w:t> 203</w:t>
        </w:r>
      </w:hyperlink>
      <w:r w:rsidRPr="00E651DD">
        <w:rPr>
          <w:lang w:val="pl-PL"/>
        </w:rPr>
        <w:t xml:space="preserve">; </w:t>
      </w:r>
      <w:r w:rsidRPr="00E651DD">
        <w:rPr>
          <w:i/>
          <w:lang w:val="pl-PL"/>
        </w:rPr>
        <w:t xml:space="preserve">Panfile </w:t>
      </w:r>
      <w:r>
        <w:rPr>
          <w:i/>
          <w:lang w:val="pl-PL"/>
        </w:rPr>
        <w:t>p</w:t>
      </w:r>
      <w:r w:rsidRPr="00E651DD">
        <w:rPr>
          <w:i/>
          <w:lang w:val="pl-PL"/>
        </w:rPr>
        <w:t>. R</w:t>
      </w:r>
      <w:r>
        <w:rPr>
          <w:i/>
          <w:lang w:val="pl-PL"/>
        </w:rPr>
        <w:t>umunii</w:t>
      </w:r>
      <w:r w:rsidRPr="00E651DD">
        <w:rPr>
          <w:i/>
          <w:lang w:val="pl-PL"/>
        </w:rPr>
        <w:t xml:space="preserve"> </w:t>
      </w:r>
      <w:r w:rsidRPr="00E651DD">
        <w:rPr>
          <w:lang w:val="pl-PL"/>
        </w:rPr>
        <w:t>(</w:t>
      </w:r>
      <w:proofErr w:type="spellStart"/>
      <w:r w:rsidRPr="00E651DD">
        <w:rPr>
          <w:lang w:val="pl-PL"/>
        </w:rPr>
        <w:t>dec</w:t>
      </w:r>
      <w:proofErr w:type="spellEnd"/>
      <w:r w:rsidRPr="00E651DD">
        <w:rPr>
          <w:lang w:val="pl-PL"/>
        </w:rPr>
        <w:t xml:space="preserve">.), </w:t>
      </w:r>
      <w:r>
        <w:rPr>
          <w:lang w:val="pl-PL"/>
        </w:rPr>
        <w:t xml:space="preserve">nr </w:t>
      </w:r>
      <w:hyperlink r:id="rId13" w:history="1">
        <w:r w:rsidRPr="00E651DD">
          <w:rPr>
            <w:rStyle w:val="Hipercze"/>
            <w:lang w:val="pl-PL"/>
          </w:rPr>
          <w:t>13902/11</w:t>
        </w:r>
      </w:hyperlink>
      <w:r w:rsidRPr="00E651DD">
        <w:rPr>
          <w:lang w:val="pl-PL"/>
        </w:rPr>
        <w:t>, 20 </w:t>
      </w:r>
      <w:r>
        <w:rPr>
          <w:lang w:val="pl-PL"/>
        </w:rPr>
        <w:t xml:space="preserve">marca </w:t>
      </w:r>
      <w:r w:rsidRPr="00E651DD">
        <w:rPr>
          <w:lang w:val="pl-PL"/>
        </w:rPr>
        <w:t>2012</w:t>
      </w:r>
      <w:r>
        <w:rPr>
          <w:lang w:val="pl-PL"/>
        </w:rPr>
        <w:t xml:space="preserve"> r.</w:t>
      </w:r>
      <w:r w:rsidRPr="00E651DD">
        <w:rPr>
          <w:lang w:val="pl-PL"/>
        </w:rPr>
        <w:t>)</w:t>
      </w:r>
    </w:p>
    <w:p w14:paraId="36BF2951" w14:textId="77777777" w:rsidR="00584D06" w:rsidRPr="00E651DD" w:rsidRDefault="00584D06" w:rsidP="00584D06">
      <w:pPr>
        <w:pStyle w:val="ClinContent"/>
        <w:rPr>
          <w:lang w:val="pl-PL"/>
        </w:rPr>
      </w:pPr>
      <w:r w:rsidRPr="00E651DD">
        <w:rPr>
          <w:lang w:val="pl-PL"/>
        </w:rPr>
        <w:t xml:space="preserve">* Zobacz, na przykład, </w:t>
      </w:r>
      <w:proofErr w:type="spellStart"/>
      <w:r w:rsidRPr="00E651DD">
        <w:rPr>
          <w:i/>
          <w:lang w:val="pl-PL"/>
        </w:rPr>
        <w:t>Valkov</w:t>
      </w:r>
      <w:proofErr w:type="spellEnd"/>
      <w:r w:rsidRPr="00E651DD">
        <w:rPr>
          <w:i/>
          <w:lang w:val="pl-PL"/>
        </w:rPr>
        <w:t xml:space="preserve"> i Inni p. Bułgarii</w:t>
      </w:r>
      <w:r w:rsidRPr="00E651DD">
        <w:rPr>
          <w:lang w:val="pl-PL"/>
        </w:rPr>
        <w:t xml:space="preserve">, nr 2033/04, 25 października 2011 r., </w:t>
      </w:r>
      <w:hyperlink r:id="rId14" w:history="1">
        <w:r w:rsidRPr="00E651DD">
          <w:rPr>
            <w:rStyle w:val="Hipercze"/>
            <w:lang w:val="pl-PL"/>
          </w:rPr>
          <w:t>Nota informacyjna nt. orzecznictwa nr 145</w:t>
        </w:r>
      </w:hyperlink>
      <w:r w:rsidRPr="00E651DD">
        <w:rPr>
          <w:lang w:val="pl-PL"/>
        </w:rPr>
        <w:t xml:space="preserve">; </w:t>
      </w:r>
      <w:proofErr w:type="spellStart"/>
      <w:r w:rsidRPr="00E651DD">
        <w:rPr>
          <w:i/>
          <w:lang w:val="pl-PL"/>
        </w:rPr>
        <w:t>Heinisch</w:t>
      </w:r>
      <w:proofErr w:type="spellEnd"/>
      <w:r w:rsidRPr="00E651DD">
        <w:rPr>
          <w:i/>
          <w:lang w:val="pl-PL"/>
        </w:rPr>
        <w:t xml:space="preserve"> p. Niemcom</w:t>
      </w:r>
      <w:r w:rsidRPr="00E651DD">
        <w:rPr>
          <w:lang w:val="pl-PL"/>
        </w:rPr>
        <w:t xml:space="preserve">, nr 28274/08, 21 lipca 2011 r., </w:t>
      </w:r>
      <w:hyperlink r:id="rId15" w:history="1">
        <w:r w:rsidRPr="00E651DD">
          <w:rPr>
            <w:rStyle w:val="Hipercze"/>
            <w:lang w:val="pl-PL"/>
          </w:rPr>
          <w:t>Nota informacyjna nt. orzecznictwa nr 143</w:t>
        </w:r>
      </w:hyperlink>
      <w:r w:rsidRPr="00E651DD">
        <w:rPr>
          <w:lang w:val="pl-PL"/>
        </w:rPr>
        <w:t xml:space="preserve">; </w:t>
      </w:r>
      <w:r>
        <w:rPr>
          <w:lang w:val="pl-PL"/>
        </w:rPr>
        <w:t xml:space="preserve">oraz </w:t>
      </w:r>
      <w:proofErr w:type="spellStart"/>
      <w:r w:rsidRPr="00E651DD">
        <w:rPr>
          <w:i/>
          <w:lang w:val="pl-PL"/>
        </w:rPr>
        <w:t>Vilho</w:t>
      </w:r>
      <w:proofErr w:type="spellEnd"/>
      <w:r w:rsidRPr="00E651DD">
        <w:rPr>
          <w:i/>
          <w:lang w:val="pl-PL"/>
        </w:rPr>
        <w:t xml:space="preserve"> </w:t>
      </w:r>
      <w:proofErr w:type="spellStart"/>
      <w:r w:rsidRPr="00E651DD">
        <w:rPr>
          <w:i/>
          <w:lang w:val="pl-PL"/>
        </w:rPr>
        <w:t>Eskelinen</w:t>
      </w:r>
      <w:proofErr w:type="spellEnd"/>
      <w:r w:rsidRPr="00E651DD">
        <w:rPr>
          <w:i/>
          <w:lang w:val="pl-PL"/>
        </w:rPr>
        <w:t xml:space="preserve"> </w:t>
      </w:r>
      <w:r>
        <w:rPr>
          <w:i/>
          <w:lang w:val="pl-PL"/>
        </w:rPr>
        <w:t>i Inni p</w:t>
      </w:r>
      <w:r w:rsidRPr="00E651DD">
        <w:rPr>
          <w:i/>
          <w:lang w:val="pl-PL"/>
        </w:rPr>
        <w:t>. Finland</w:t>
      </w:r>
      <w:r>
        <w:rPr>
          <w:i/>
          <w:lang w:val="pl-PL"/>
        </w:rPr>
        <w:t>ii</w:t>
      </w:r>
      <w:r w:rsidRPr="00E651DD">
        <w:rPr>
          <w:lang w:val="pl-PL"/>
        </w:rPr>
        <w:t xml:space="preserve"> [</w:t>
      </w:r>
      <w:r>
        <w:rPr>
          <w:lang w:val="pl-PL"/>
        </w:rPr>
        <w:t>Wielka Izba</w:t>
      </w:r>
      <w:r w:rsidRPr="00E651DD">
        <w:rPr>
          <w:lang w:val="pl-PL"/>
        </w:rPr>
        <w:t xml:space="preserve">], </w:t>
      </w:r>
      <w:r>
        <w:rPr>
          <w:lang w:val="pl-PL"/>
        </w:rPr>
        <w:t xml:space="preserve">nr </w:t>
      </w:r>
      <w:r w:rsidRPr="00E651DD">
        <w:rPr>
          <w:lang w:val="pl-PL"/>
        </w:rPr>
        <w:t>63235/00, 19 </w:t>
      </w:r>
      <w:r>
        <w:rPr>
          <w:lang w:val="pl-PL"/>
        </w:rPr>
        <w:t>kwietnia</w:t>
      </w:r>
      <w:r w:rsidRPr="00E651DD">
        <w:rPr>
          <w:lang w:val="pl-PL"/>
        </w:rPr>
        <w:t xml:space="preserve"> 2007</w:t>
      </w:r>
      <w:r>
        <w:rPr>
          <w:lang w:val="pl-PL"/>
        </w:rPr>
        <w:t xml:space="preserve"> r.</w:t>
      </w:r>
      <w:r w:rsidRPr="00E651DD">
        <w:rPr>
          <w:lang w:val="pl-PL"/>
        </w:rPr>
        <w:t xml:space="preserve">, </w:t>
      </w:r>
      <w:hyperlink r:id="rId16" w:history="1">
        <w:r>
          <w:rPr>
            <w:rStyle w:val="Hipercze"/>
            <w:lang w:val="pl-PL"/>
          </w:rPr>
          <w:t>Nota informacyjna nt. orzecznictwa nr</w:t>
        </w:r>
        <w:r w:rsidRPr="00E651DD">
          <w:rPr>
            <w:rStyle w:val="Hipercze"/>
            <w:lang w:val="pl-PL"/>
          </w:rPr>
          <w:t> 96</w:t>
        </w:r>
      </w:hyperlink>
      <w:r w:rsidRPr="00E651DD">
        <w:rPr>
          <w:lang w:val="pl-PL"/>
        </w:rPr>
        <w:t>.</w:t>
      </w:r>
    </w:p>
    <w:p w14:paraId="25F0E15C" w14:textId="77777777" w:rsidR="00BB0178" w:rsidRPr="00E651DD" w:rsidRDefault="00BB0178">
      <w:pPr>
        <w:pBdr>
          <w:bottom w:val="single" w:sz="8" w:space="1" w:color="auto"/>
        </w:pBdr>
        <w:rPr>
          <w:lang w:val="pl-PL"/>
        </w:rPr>
      </w:pPr>
    </w:p>
    <w:p w14:paraId="25025759" w14:textId="77777777" w:rsidR="00F35CE9" w:rsidRDefault="00F35CE9" w:rsidP="00F35CE9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65DDAB66" w14:textId="77777777" w:rsidR="00F35CE9" w:rsidRDefault="00F35CE9" w:rsidP="00F35CE9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7" w:history="1">
        <w:r>
          <w:rPr>
            <w:rStyle w:val="Hipercze"/>
            <w:lang w:val="pl-PL"/>
          </w:rPr>
          <w:t>Not informacyjnych nt. orzecznictwa</w:t>
        </w:r>
      </w:hyperlink>
    </w:p>
    <w:p w14:paraId="04055F7F" w14:textId="59C85444" w:rsidR="00BB0178" w:rsidRPr="00F35CE9" w:rsidRDefault="00B63951" w:rsidP="00B63951">
      <w:pPr>
        <w:pStyle w:val="ClinFooter"/>
        <w:jc w:val="left"/>
        <w:rPr>
          <w:lang w:val="pl-PL"/>
        </w:rPr>
      </w:pPr>
      <w:r>
        <w:rPr>
          <w:lang w:val="pl-PL"/>
        </w:rPr>
        <w:t xml:space="preserve">    </w:t>
      </w:r>
    </w:p>
    <w:sectPr w:rsidR="00BB0178" w:rsidRPr="00F35CE9" w:rsidSect="004A5B5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6E8C6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7598CF" w14:textId="77777777" w:rsidR="00D57F42" w:rsidRDefault="00D57F42" w:rsidP="00C63262">
      <w:r>
        <w:separator/>
      </w:r>
    </w:p>
  </w:endnote>
  <w:endnote w:type="continuationSeparator" w:id="0">
    <w:p w14:paraId="3C9E958B" w14:textId="77777777" w:rsidR="00D57F42" w:rsidRDefault="00D57F4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EDA65" w14:textId="77777777" w:rsidR="006026BE" w:rsidRDefault="006026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AAF13E" w14:textId="77777777" w:rsidR="006026BE" w:rsidRDefault="006026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51557" w14:textId="77777777" w:rsidR="0071773F" w:rsidRPr="0071773F" w:rsidRDefault="0071773F" w:rsidP="0071773F"/>
  <w:p w14:paraId="0BF07EFA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E9D365F" wp14:editId="503BCC1A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5CE21B" w14:textId="77777777" w:rsidR="00D57F42" w:rsidRDefault="00D57F42" w:rsidP="00C63262">
      <w:r>
        <w:separator/>
      </w:r>
    </w:p>
  </w:footnote>
  <w:footnote w:type="continuationSeparator" w:id="0">
    <w:p w14:paraId="4D1CDFD7" w14:textId="77777777" w:rsidR="00D57F42" w:rsidRDefault="00D57F4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F8EBC" w14:textId="77777777" w:rsidR="006026BE" w:rsidRDefault="006026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22E2F4CE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2A79C5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D932E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0A8C0307" wp14:editId="385CE3D5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kowski Dominik [BAZI]">
    <w15:presenceInfo w15:providerId="AD" w15:userId="S-1-5-21-2054104177-981614777-456279356-477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C5B72"/>
    <w:rsid w:val="000E71F9"/>
    <w:rsid w:val="000F13B5"/>
    <w:rsid w:val="0010502B"/>
    <w:rsid w:val="00107377"/>
    <w:rsid w:val="00116983"/>
    <w:rsid w:val="00143602"/>
    <w:rsid w:val="001542E4"/>
    <w:rsid w:val="00163719"/>
    <w:rsid w:val="001769E4"/>
    <w:rsid w:val="001855FD"/>
    <w:rsid w:val="00186560"/>
    <w:rsid w:val="001C7D3C"/>
    <w:rsid w:val="00212E83"/>
    <w:rsid w:val="00236C69"/>
    <w:rsid w:val="00244D94"/>
    <w:rsid w:val="00274DE0"/>
    <w:rsid w:val="00296425"/>
    <w:rsid w:val="002966E7"/>
    <w:rsid w:val="002A79C5"/>
    <w:rsid w:val="002B052D"/>
    <w:rsid w:val="002E088D"/>
    <w:rsid w:val="0030264F"/>
    <w:rsid w:val="003450B3"/>
    <w:rsid w:val="00381DBD"/>
    <w:rsid w:val="00386958"/>
    <w:rsid w:val="003A64A6"/>
    <w:rsid w:val="003D7BB3"/>
    <w:rsid w:val="00401345"/>
    <w:rsid w:val="004057F9"/>
    <w:rsid w:val="00440AA7"/>
    <w:rsid w:val="004470A4"/>
    <w:rsid w:val="0046453F"/>
    <w:rsid w:val="004A5B52"/>
    <w:rsid w:val="004C7243"/>
    <w:rsid w:val="004D568D"/>
    <w:rsid w:val="004E1037"/>
    <w:rsid w:val="0050383F"/>
    <w:rsid w:val="0052092D"/>
    <w:rsid w:val="00540D75"/>
    <w:rsid w:val="005514E5"/>
    <w:rsid w:val="005550B2"/>
    <w:rsid w:val="00584D06"/>
    <w:rsid w:val="005C5776"/>
    <w:rsid w:val="006026BE"/>
    <w:rsid w:val="006028A1"/>
    <w:rsid w:val="00631A28"/>
    <w:rsid w:val="00640600"/>
    <w:rsid w:val="006878DD"/>
    <w:rsid w:val="006A36AD"/>
    <w:rsid w:val="006C1D96"/>
    <w:rsid w:val="007037CA"/>
    <w:rsid w:val="0071773F"/>
    <w:rsid w:val="0077395E"/>
    <w:rsid w:val="00774515"/>
    <w:rsid w:val="007E04F5"/>
    <w:rsid w:val="008004F4"/>
    <w:rsid w:val="008406CF"/>
    <w:rsid w:val="00895EF3"/>
    <w:rsid w:val="008C64D5"/>
    <w:rsid w:val="00902683"/>
    <w:rsid w:val="00903D38"/>
    <w:rsid w:val="009B3B2C"/>
    <w:rsid w:val="009E3923"/>
    <w:rsid w:val="009E3EF0"/>
    <w:rsid w:val="00A01052"/>
    <w:rsid w:val="00A04D9C"/>
    <w:rsid w:val="00A258BB"/>
    <w:rsid w:val="00A33541"/>
    <w:rsid w:val="00A45616"/>
    <w:rsid w:val="00A51AC3"/>
    <w:rsid w:val="00AC7726"/>
    <w:rsid w:val="00B57B3C"/>
    <w:rsid w:val="00B63951"/>
    <w:rsid w:val="00B80CA0"/>
    <w:rsid w:val="00B85770"/>
    <w:rsid w:val="00BA55C0"/>
    <w:rsid w:val="00BB0178"/>
    <w:rsid w:val="00BB4A15"/>
    <w:rsid w:val="00BF1CD9"/>
    <w:rsid w:val="00C37433"/>
    <w:rsid w:val="00C63262"/>
    <w:rsid w:val="00C72355"/>
    <w:rsid w:val="00C81C6A"/>
    <w:rsid w:val="00C93CFB"/>
    <w:rsid w:val="00CF7BA6"/>
    <w:rsid w:val="00D0466F"/>
    <w:rsid w:val="00D42086"/>
    <w:rsid w:val="00D425B3"/>
    <w:rsid w:val="00D57F42"/>
    <w:rsid w:val="00D775B7"/>
    <w:rsid w:val="00DA194F"/>
    <w:rsid w:val="00E367D7"/>
    <w:rsid w:val="00E46BE4"/>
    <w:rsid w:val="00E55491"/>
    <w:rsid w:val="00E60A40"/>
    <w:rsid w:val="00E651DD"/>
    <w:rsid w:val="00E83DB6"/>
    <w:rsid w:val="00E9284C"/>
    <w:rsid w:val="00EA53E7"/>
    <w:rsid w:val="00F35CE9"/>
    <w:rsid w:val="00F43E5C"/>
    <w:rsid w:val="00F508C9"/>
    <w:rsid w:val="00F50CCD"/>
    <w:rsid w:val="00F5247C"/>
    <w:rsid w:val="00F848D5"/>
    <w:rsid w:val="00F96729"/>
    <w:rsid w:val="00FA29ED"/>
    <w:rsid w:val="00FA7F79"/>
    <w:rsid w:val="00FB028E"/>
    <w:rsid w:val="00FC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0D72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F35CE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35CE9"/>
  </w:style>
  <w:style w:type="character" w:customStyle="1" w:styleId="object">
    <w:name w:val="object"/>
    <w:basedOn w:val="Domylnaczcionkaakapitu"/>
    <w:rsid w:val="00F35CE9"/>
  </w:style>
  <w:style w:type="paragraph" w:styleId="Tekstprzypisukocowego">
    <w:name w:val="endnote text"/>
    <w:basedOn w:val="Normalny"/>
    <w:link w:val="TekstprzypisukocowegoZnak"/>
    <w:semiHidden/>
    <w:unhideWhenUsed/>
    <w:rsid w:val="00D0466F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D0466F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D0466F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E651DD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BB4A1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B4A15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4A15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B4A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B4A15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BB4A15"/>
    <w:rPr>
      <w:rFonts w:ascii="Verdana" w:hAnsi="Verdan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F35CE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35CE9"/>
  </w:style>
  <w:style w:type="character" w:customStyle="1" w:styleId="object">
    <w:name w:val="object"/>
    <w:basedOn w:val="Domylnaczcionkaakapitu"/>
    <w:rsid w:val="00F35CE9"/>
  </w:style>
  <w:style w:type="paragraph" w:styleId="Tekstprzypisukocowego">
    <w:name w:val="endnote text"/>
    <w:basedOn w:val="Normalny"/>
    <w:link w:val="TekstprzypisukocowegoZnak"/>
    <w:semiHidden/>
    <w:unhideWhenUsed/>
    <w:rsid w:val="00D0466F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D0466F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D0466F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E651DD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BB4A1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B4A15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4A15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B4A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B4A15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BB4A15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hudoc.echr.coe.int/eng?i=001-110242" TargetMode="External"/><Relationship Id="rId18" Type="http://schemas.openxmlformats.org/officeDocument/2006/relationships/header" Target="header1.xml"/><Relationship Id="rId26" Type="http://schemas.microsoft.com/office/2011/relationships/commentsExtended" Target="commentsExtended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1-181660" TargetMode="External"/><Relationship Id="rId17" Type="http://schemas.openxmlformats.org/officeDocument/2006/relationships/hyperlink" Target="http://www.echr.coe.int/NoteInformation/en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hudoc.echr.coe.int/eng?i=002-2753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371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hudoc.echr.coe.int/eng?i=002-446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bip.ms.gov.pl/pl/prawa-czlowieka/europejski-trybunal-praw-czlowieka/orzecznictwo-europejskiego-trybunalu-praw-czlowieka/download,843,0.htm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0797" TargetMode="External"/><Relationship Id="rId14" Type="http://schemas.openxmlformats.org/officeDocument/2006/relationships/hyperlink" Target="http://hudoc.echr.coe.int/eng?i=002-371" TargetMode="External"/><Relationship Id="rId22" Type="http://schemas.openxmlformats.org/officeDocument/2006/relationships/header" Target="header3.xml"/><Relationship Id="rId30" Type="http://schemas.microsoft.com/office/2011/relationships/people" Target="peop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86B69-B858-48D8-A2A6-1EDAC58D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1341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2018-03-06T09:26:00Z</dcterms:created>
  <dcterms:modified xsi:type="dcterms:W3CDTF">2018-03-06T09:26:00Z</dcterms:modified>
</cp:coreProperties>
</file>