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25AB" w:rsidRDefault="005925AB" w:rsidP="005925AB">
      <w:pPr>
        <w:pStyle w:val="s6e50bd9a"/>
        <w:spacing w:after="120" w:afterAutospacing="0"/>
        <w:jc w:val="both"/>
        <w:rPr>
          <w:rFonts w:ascii="Arial" w:hAnsi="Arial" w:cs="Arial"/>
        </w:rPr>
      </w:pPr>
      <w:r>
        <w:rPr>
          <w:rStyle w:val="s4f807e54"/>
          <w:rFonts w:ascii="Arial" w:hAnsi="Arial" w:cs="Arial"/>
          <w:color w:val="000000"/>
          <w:sz w:val="20"/>
          <w:szCs w:val="20"/>
        </w:rPr>
        <w:t>©</w:t>
      </w:r>
      <w:r>
        <w:rPr>
          <w:rStyle w:val="s4f807e54"/>
          <w:rFonts w:ascii="Arial" w:hAnsi="Arial" w:cs="Arial"/>
          <w:color w:val="1F497D"/>
          <w:sz w:val="20"/>
          <w:szCs w:val="20"/>
        </w:rPr>
        <w:t xml:space="preserve"> </w:t>
      </w:r>
      <w:r>
        <w:rPr>
          <w:rStyle w:val="s4f807e54"/>
          <w:rFonts w:ascii="Arial" w:eastAsia="MS Mincho" w:hAnsi="Arial" w:cs="Arial"/>
          <w:sz w:val="20"/>
          <w:szCs w:val="20"/>
        </w:rPr>
        <w:t>Ministerstwo Spraw Zagranicznych</w:t>
      </w:r>
      <w:r>
        <w:rPr>
          <w:rStyle w:val="s4f807e54"/>
          <w:rFonts w:ascii="Arial" w:hAnsi="Arial" w:cs="Arial"/>
          <w:color w:val="000000"/>
          <w:sz w:val="20"/>
          <w:szCs w:val="20"/>
        </w:rPr>
        <w:t xml:space="preserve">, </w:t>
      </w:r>
      <w:hyperlink r:id="rId11" w:history="1">
        <w:r>
          <w:rPr>
            <w:rStyle w:val="Hipercze"/>
            <w:rFonts w:ascii="Arial" w:hAnsi="Arial" w:cs="Arial"/>
            <w:sz w:val="20"/>
            <w:szCs w:val="20"/>
          </w:rPr>
          <w:t>www.msz.gov.pl</w:t>
        </w:r>
      </w:hyperlink>
      <w:r>
        <w:rPr>
          <w:rStyle w:val="object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s4f807e54"/>
          <w:rFonts w:ascii="Arial" w:hAnsi="Arial" w:cs="Arial"/>
          <w:color w:val="000000"/>
          <w:sz w:val="20"/>
          <w:szCs w:val="20"/>
        </w:rPr>
        <w:t xml:space="preserve">   </w:t>
      </w:r>
    </w:p>
    <w:p w:rsidR="005925AB" w:rsidRDefault="005925AB" w:rsidP="005925AB">
      <w:pPr>
        <w:pStyle w:val="ClinEditionNumber"/>
        <w:jc w:val="center"/>
        <w:rPr>
          <w:lang w:val="pl-PL"/>
        </w:rPr>
      </w:pPr>
      <w:r>
        <w:rPr>
          <w:lang w:val="pl-PL"/>
        </w:rPr>
        <w:t>EUROPEJSKI TRYBUNAŁ PRAW CZŁOWIEKA</w:t>
      </w:r>
    </w:p>
    <w:p w:rsidR="00A653AD" w:rsidRPr="009D5462" w:rsidRDefault="005925AB" w:rsidP="005925AB">
      <w:pPr>
        <w:pStyle w:val="ClinEditionNumber"/>
        <w:rPr>
          <w:lang w:val="pl-PL"/>
        </w:rPr>
      </w:pPr>
      <w:r>
        <w:rPr>
          <w:lang w:val="pl-PL"/>
        </w:rPr>
        <w:t>Nota informacyjna nt. orzecznictwa Trybunału nr</w:t>
      </w:r>
      <w:r w:rsidRPr="001A4FC3">
        <w:rPr>
          <w:lang w:val="pl-PL"/>
        </w:rPr>
        <w:t xml:space="preserve"> </w:t>
      </w:r>
      <w:r w:rsidR="00F41860" w:rsidRPr="009D5462">
        <w:rPr>
          <w:lang w:val="pl-PL"/>
        </w:rPr>
        <w:t>214</w:t>
      </w:r>
    </w:p>
    <w:p w:rsidR="00A653AD" w:rsidRPr="009D5462" w:rsidRDefault="009D5462">
      <w:pPr>
        <w:pStyle w:val="ClinEditionMonth"/>
        <w:rPr>
          <w:lang w:val="pl-PL"/>
        </w:rPr>
      </w:pPr>
      <w:r w:rsidRPr="009D5462">
        <w:rPr>
          <w:lang w:val="pl-PL"/>
        </w:rPr>
        <w:t xml:space="preserve">Styczeń </w:t>
      </w:r>
      <w:r w:rsidR="00F41860" w:rsidRPr="009D5462">
        <w:rPr>
          <w:lang w:val="pl-PL"/>
        </w:rPr>
        <w:t>2018</w:t>
      </w:r>
      <w:r w:rsidRPr="009D5462">
        <w:rPr>
          <w:lang w:val="pl-PL"/>
        </w:rPr>
        <w:t xml:space="preserve"> r.</w:t>
      </w:r>
    </w:p>
    <w:p w:rsidR="00A653AD" w:rsidRPr="009D5462" w:rsidRDefault="00F41860">
      <w:pPr>
        <w:rPr>
          <w:lang w:val="pl-PL"/>
        </w:rPr>
      </w:pPr>
      <w:r w:rsidRPr="009D5462">
        <w:rPr>
          <w:rStyle w:val="ClinCaseTitle"/>
          <w:lang w:val="pl-PL"/>
        </w:rPr>
        <w:t xml:space="preserve">Enver </w:t>
      </w:r>
      <w:proofErr w:type="spellStart"/>
      <w:r w:rsidRPr="009D5462">
        <w:rPr>
          <w:rStyle w:val="ClinCaseTitle"/>
          <w:lang w:val="pl-PL"/>
        </w:rPr>
        <w:t>Şahin</w:t>
      </w:r>
      <w:proofErr w:type="spellEnd"/>
      <w:r w:rsidRPr="009D5462">
        <w:rPr>
          <w:rStyle w:val="ClinCaseTitle"/>
          <w:lang w:val="pl-PL"/>
        </w:rPr>
        <w:t xml:space="preserve"> </w:t>
      </w:r>
      <w:r w:rsidR="009D5462" w:rsidRPr="009D5462">
        <w:rPr>
          <w:rStyle w:val="ClinCaseTitle"/>
          <w:lang w:val="pl-PL"/>
        </w:rPr>
        <w:t>p</w:t>
      </w:r>
      <w:r w:rsidRPr="009D5462">
        <w:rPr>
          <w:rStyle w:val="ClinCaseTitle"/>
          <w:lang w:val="pl-PL"/>
        </w:rPr>
        <w:t>. Tur</w:t>
      </w:r>
      <w:r w:rsidR="009D5462" w:rsidRPr="009D5462">
        <w:rPr>
          <w:rStyle w:val="ClinCaseTitle"/>
          <w:lang w:val="pl-PL"/>
        </w:rPr>
        <w:t>cji</w:t>
      </w:r>
      <w:r w:rsidRPr="009D5462">
        <w:rPr>
          <w:rStyle w:val="ClinApplicationNumber"/>
          <w:lang w:val="pl-PL"/>
        </w:rPr>
        <w:t xml:space="preserve"> </w:t>
      </w:r>
      <w:r w:rsidR="009D5462" w:rsidRPr="009D5462">
        <w:rPr>
          <w:rStyle w:val="ClinApplicationNumber"/>
          <w:lang w:val="pl-PL"/>
        </w:rPr>
        <w:t>–</w:t>
      </w:r>
      <w:r w:rsidRPr="009D5462">
        <w:rPr>
          <w:rStyle w:val="ClinApplicationNumber"/>
          <w:lang w:val="pl-PL"/>
        </w:rPr>
        <w:t xml:space="preserve"> </w:t>
      </w:r>
      <w:r w:rsidR="009D5462" w:rsidRPr="009D5462">
        <w:rPr>
          <w:rStyle w:val="ClinApplicationNumber"/>
          <w:lang w:val="pl-PL"/>
        </w:rPr>
        <w:t xml:space="preserve">skarga nr </w:t>
      </w:r>
      <w:r w:rsidRPr="009D5462">
        <w:rPr>
          <w:rStyle w:val="ClinApplicationNumber"/>
          <w:lang w:val="pl-PL"/>
        </w:rPr>
        <w:t>23065/12</w:t>
      </w:r>
    </w:p>
    <w:p w:rsidR="00A653AD" w:rsidRPr="009D5462" w:rsidRDefault="009D5462">
      <w:pPr>
        <w:rPr>
          <w:lang w:val="pl-PL"/>
        </w:rPr>
      </w:pPr>
      <w:r w:rsidRPr="009D5462">
        <w:rPr>
          <w:rStyle w:val="ClinHudocDocumentTitle"/>
          <w:lang w:val="pl-PL"/>
        </w:rPr>
        <w:t xml:space="preserve">Wyrok z </w:t>
      </w:r>
      <w:r w:rsidR="00F41860" w:rsidRPr="009D5462">
        <w:rPr>
          <w:rStyle w:val="ClinHudocDocumentTitle"/>
          <w:lang w:val="pl-PL"/>
        </w:rPr>
        <w:t>30.</w:t>
      </w:r>
      <w:r w:rsidRPr="009D5462">
        <w:rPr>
          <w:rStyle w:val="ClinHudocDocumentTitle"/>
          <w:lang w:val="pl-PL"/>
        </w:rPr>
        <w:t>0</w:t>
      </w:r>
      <w:r w:rsidR="00F41860" w:rsidRPr="009D5462">
        <w:rPr>
          <w:rStyle w:val="ClinHudocDocumentTitle"/>
          <w:lang w:val="pl-PL"/>
        </w:rPr>
        <w:t>1.2018</w:t>
      </w:r>
      <w:r w:rsidR="00F41860" w:rsidRPr="009D5462">
        <w:rPr>
          <w:rStyle w:val="ClinSectionName"/>
          <w:lang w:val="pl-PL"/>
        </w:rPr>
        <w:t xml:space="preserve"> </w:t>
      </w:r>
      <w:r w:rsidRPr="009D5462">
        <w:rPr>
          <w:rStyle w:val="ClinSectionName"/>
          <w:lang w:val="pl-PL"/>
        </w:rPr>
        <w:t>r.</w:t>
      </w:r>
      <w:r>
        <w:rPr>
          <w:rStyle w:val="ClinSectionName"/>
          <w:lang w:val="pl-PL"/>
        </w:rPr>
        <w:t xml:space="preserve"> </w:t>
      </w:r>
      <w:r w:rsidR="00F41860" w:rsidRPr="009D5462">
        <w:rPr>
          <w:rStyle w:val="ClinSectionName"/>
          <w:lang w:val="pl-PL"/>
        </w:rPr>
        <w:t>[</w:t>
      </w:r>
      <w:r>
        <w:rPr>
          <w:rStyle w:val="ClinSectionName"/>
          <w:lang w:val="pl-PL"/>
        </w:rPr>
        <w:t>Druga Sekcja</w:t>
      </w:r>
      <w:r w:rsidR="00F41860" w:rsidRPr="009D5462">
        <w:rPr>
          <w:rStyle w:val="ClinSectionName"/>
          <w:lang w:val="pl-PL"/>
        </w:rPr>
        <w:t>]</w:t>
      </w:r>
    </w:p>
    <w:p w:rsidR="00A653AD" w:rsidRPr="00E3664A" w:rsidRDefault="00F41860">
      <w:pPr>
        <w:pStyle w:val="ClinMainKeywordCode"/>
        <w:rPr>
          <w:lang w:val="pl-PL"/>
        </w:rPr>
      </w:pPr>
      <w:r w:rsidRPr="00E3664A">
        <w:rPr>
          <w:lang w:val="pl-PL"/>
        </w:rPr>
        <w:t>Art</w:t>
      </w:r>
      <w:r w:rsidR="009D5462" w:rsidRPr="00E3664A">
        <w:rPr>
          <w:lang w:val="pl-PL"/>
        </w:rPr>
        <w:t>.</w:t>
      </w:r>
      <w:r w:rsidRPr="00E3664A">
        <w:rPr>
          <w:lang w:val="pl-PL"/>
        </w:rPr>
        <w:t xml:space="preserve"> 14</w:t>
      </w:r>
    </w:p>
    <w:p w:rsidR="00A653AD" w:rsidRPr="00E3664A" w:rsidRDefault="009D5462">
      <w:pPr>
        <w:pStyle w:val="ClinKeyword"/>
        <w:rPr>
          <w:lang w:val="pl-PL"/>
        </w:rPr>
      </w:pPr>
      <w:r w:rsidRPr="00E3664A">
        <w:rPr>
          <w:lang w:val="pl-PL"/>
        </w:rPr>
        <w:t>Dyskryminacja</w:t>
      </w:r>
    </w:p>
    <w:p w:rsidR="009D5462" w:rsidRPr="009D5462" w:rsidRDefault="009D5462" w:rsidP="00E3664A">
      <w:pPr>
        <w:jc w:val="both"/>
        <w:rPr>
          <w:lang w:val="pl-PL"/>
        </w:rPr>
      </w:pPr>
      <w:r w:rsidRPr="009D5462">
        <w:rPr>
          <w:rStyle w:val="ClinConclusions"/>
          <w:i w:val="0"/>
          <w:lang w:val="pl-PL"/>
        </w:rPr>
        <w:t>Brak skonkretyzowanej i zindywidualizowanej oceny potrzeb niepełnosprawnego studenta w celu zagwarantowania dostępności pomieszczeń uniwersyteckich:</w:t>
      </w:r>
      <w:r w:rsidRPr="009D5462">
        <w:rPr>
          <w:rStyle w:val="ClinConclusions"/>
          <w:lang w:val="pl-PL"/>
        </w:rPr>
        <w:t xml:space="preserve"> naruszenie</w:t>
      </w:r>
    </w:p>
    <w:p w:rsidR="009D5462" w:rsidRPr="009D5462" w:rsidRDefault="009D5462">
      <w:pPr>
        <w:pStyle w:val="ClinContent"/>
        <w:rPr>
          <w:lang w:val="pl-PL"/>
        </w:rPr>
      </w:pPr>
      <w:r w:rsidRPr="009D5462">
        <w:rPr>
          <w:i/>
          <w:lang w:val="pl-PL"/>
        </w:rPr>
        <w:t xml:space="preserve">Fakty – </w:t>
      </w:r>
      <w:r w:rsidRPr="009D5462">
        <w:rPr>
          <w:lang w:val="pl-PL"/>
        </w:rPr>
        <w:t>W trakcie studiów skarżący miał wypadek, który spowodował paraliż jego nóg.</w:t>
      </w:r>
      <w:r>
        <w:rPr>
          <w:lang w:val="pl-PL"/>
        </w:rPr>
        <w:t xml:space="preserve"> </w:t>
      </w:r>
      <w:r w:rsidRPr="009D5462">
        <w:rPr>
          <w:lang w:val="pl-PL"/>
        </w:rPr>
        <w:t xml:space="preserve">W 2007 r. wezwał uniwersytet do przeprowadzenia </w:t>
      </w:r>
      <w:r w:rsidR="00111C92" w:rsidRPr="009D5462">
        <w:rPr>
          <w:lang w:val="pl-PL"/>
        </w:rPr>
        <w:t xml:space="preserve">niezbędnych </w:t>
      </w:r>
      <w:r w:rsidRPr="009D5462">
        <w:rPr>
          <w:lang w:val="pl-PL"/>
        </w:rPr>
        <w:t>dostosowań i prac, tak by pomie</w:t>
      </w:r>
      <w:r>
        <w:rPr>
          <w:lang w:val="pl-PL"/>
        </w:rPr>
        <w:t>szczenia</w:t>
      </w:r>
      <w:r w:rsidR="00657362">
        <w:rPr>
          <w:lang w:val="pl-PL"/>
        </w:rPr>
        <w:t>, w których nauczano,</w:t>
      </w:r>
      <w:r>
        <w:rPr>
          <w:lang w:val="pl-PL"/>
        </w:rPr>
        <w:t xml:space="preserve"> stały się dla niego dostępne. Uniwersytet odpowiedział, że nie dysponuje niezbędnymi funduszami, by zrealizować takie prace w krótkim terminie, i zaproponował mu pomoc osoby towarzyszącej. W 2010 r. trybunał administracyjny oddalił skargę skarżącego </w:t>
      </w:r>
      <w:r w:rsidR="00111C92">
        <w:rPr>
          <w:lang w:val="pl-PL"/>
        </w:rPr>
        <w:t xml:space="preserve">z tego zwłaszcza </w:t>
      </w:r>
      <w:r>
        <w:rPr>
          <w:lang w:val="pl-PL"/>
        </w:rPr>
        <w:t>powodu, że przedmiotowy budynek został zbudowany przed wejściem w życie dyrektyw technicznych przyjętych na rzecz osób niepełnosprawnych, a także, że środki architektoniczne zostaną podjęte „w zależności od możliwości budżetowych” (</w:t>
      </w:r>
      <w:r w:rsidR="00B9554D">
        <w:rPr>
          <w:lang w:val="pl-PL"/>
        </w:rPr>
        <w:t>chociaż</w:t>
      </w:r>
      <w:r>
        <w:rPr>
          <w:lang w:val="pl-PL"/>
        </w:rPr>
        <w:t xml:space="preserve"> nie było wówczas żadnej konkretnej propozycji w tym </w:t>
      </w:r>
      <w:r w:rsidR="00B9554D">
        <w:rPr>
          <w:lang w:val="pl-PL"/>
        </w:rPr>
        <w:t xml:space="preserve">zakresie). </w:t>
      </w:r>
    </w:p>
    <w:p w:rsidR="00B9554D" w:rsidRPr="00B9554D" w:rsidRDefault="00B9554D">
      <w:pPr>
        <w:pStyle w:val="ClinContent"/>
        <w:rPr>
          <w:lang w:val="pl-PL"/>
        </w:rPr>
      </w:pPr>
      <w:r w:rsidRPr="00B9554D">
        <w:rPr>
          <w:i/>
          <w:lang w:val="pl-PL"/>
        </w:rPr>
        <w:t>Prawo</w:t>
      </w:r>
      <w:r w:rsidRPr="00B9554D">
        <w:rPr>
          <w:lang w:val="pl-PL"/>
        </w:rPr>
        <w:t xml:space="preserve"> – Art. 14 w związku z art. </w:t>
      </w:r>
      <w:r>
        <w:rPr>
          <w:lang w:val="pl-PL"/>
        </w:rPr>
        <w:t xml:space="preserve">2 Protokołu nr 1: </w:t>
      </w:r>
      <w:r w:rsidR="00713D81">
        <w:rPr>
          <w:lang w:val="pl-PL"/>
        </w:rPr>
        <w:t>Pomimo</w:t>
      </w:r>
      <w:r>
        <w:rPr>
          <w:lang w:val="pl-PL"/>
        </w:rPr>
        <w:t xml:space="preserve"> marginesu oceny władz nie </w:t>
      </w:r>
      <w:r w:rsidR="00713D81">
        <w:rPr>
          <w:lang w:val="pl-PL"/>
        </w:rPr>
        <w:t xml:space="preserve">można </w:t>
      </w:r>
      <w:r>
        <w:rPr>
          <w:lang w:val="pl-PL"/>
        </w:rPr>
        <w:t xml:space="preserve">uznać, że kwestia dostępności pomieszczeń uniwersytetu dla skarżącego może być pozostawiona w zawieszeniu aż do </w:t>
      </w:r>
      <w:r w:rsidR="00713D81">
        <w:rPr>
          <w:lang w:val="pl-PL"/>
        </w:rPr>
        <w:t>uzyskania</w:t>
      </w:r>
      <w:r>
        <w:rPr>
          <w:lang w:val="pl-PL"/>
        </w:rPr>
        <w:t xml:space="preserve"> wszystkich funduszy niezbędnych dla przeprowadzenia </w:t>
      </w:r>
      <w:r w:rsidR="00657362">
        <w:rPr>
          <w:lang w:val="pl-PL"/>
        </w:rPr>
        <w:t>całości</w:t>
      </w:r>
      <w:r w:rsidR="00713D81">
        <w:rPr>
          <w:lang w:val="pl-PL"/>
        </w:rPr>
        <w:t xml:space="preserve"> </w:t>
      </w:r>
      <w:r>
        <w:rPr>
          <w:lang w:val="pl-PL"/>
        </w:rPr>
        <w:t>d</w:t>
      </w:r>
      <w:r w:rsidR="00713D81">
        <w:rPr>
          <w:lang w:val="pl-PL"/>
        </w:rPr>
        <w:t>aleko idących</w:t>
      </w:r>
      <w:r>
        <w:rPr>
          <w:lang w:val="pl-PL"/>
        </w:rPr>
        <w:t xml:space="preserve"> prac dostosowawczych </w:t>
      </w:r>
      <w:r w:rsidR="00657362">
        <w:rPr>
          <w:lang w:val="pl-PL"/>
        </w:rPr>
        <w:t xml:space="preserve">nakazanych </w:t>
      </w:r>
      <w:r>
        <w:rPr>
          <w:lang w:val="pl-PL"/>
        </w:rPr>
        <w:t xml:space="preserve">przez prawo: gdy realizacja obowiązku podjętego na podstawie Konwencji wymaga działań pozytywnych państwa, nie może się ono ograniczyć do bierności. </w:t>
      </w:r>
    </w:p>
    <w:p w:rsidR="00BD4E1B" w:rsidRPr="00BD4E1B" w:rsidRDefault="00B9554D" w:rsidP="00BD4E1B">
      <w:pPr>
        <w:pStyle w:val="ClinContent"/>
        <w:rPr>
          <w:rFonts w:cs="Verdana"/>
          <w:lang w:val="pl-PL"/>
        </w:rPr>
      </w:pPr>
      <w:r w:rsidRPr="00B9554D">
        <w:rPr>
          <w:lang w:val="pl-PL"/>
        </w:rPr>
        <w:t xml:space="preserve">Art. 14 Konwencji powinien być odczytywany w </w:t>
      </w:r>
      <w:r w:rsidRPr="00C26905">
        <w:rPr>
          <w:lang w:val="pl-PL"/>
        </w:rPr>
        <w:t xml:space="preserve">świetle </w:t>
      </w:r>
      <w:hyperlink r:id="rId12" w:history="1">
        <w:r w:rsidRPr="00C26905">
          <w:rPr>
            <w:rStyle w:val="Hipercze"/>
            <w:lang w:val="pl-PL"/>
          </w:rPr>
          <w:t>Konwencji o prawach osób niepełnosprawnych</w:t>
        </w:r>
      </w:hyperlink>
      <w:r w:rsidR="00BD4E1B" w:rsidRPr="00C26905">
        <w:rPr>
          <w:lang w:val="pl-PL"/>
        </w:rPr>
        <w:t>, zgodnie z którą dysk</w:t>
      </w:r>
      <w:r w:rsidR="00BD4E1B">
        <w:rPr>
          <w:lang w:val="pl-PL"/>
        </w:rPr>
        <w:t>ryminacja ze względu na niepełnosprawność obejmuje wszystkie formy dyskryminacji, w tym „odmowę racjonalnego usprawnienia” (racjonalne usprawnienia są zaś zdefiniowane jako  „</w:t>
      </w:r>
      <w:r w:rsidR="00BD4E1B" w:rsidRPr="00BD4E1B">
        <w:rPr>
          <w:rFonts w:cs="Verdana"/>
          <w:lang w:val="pl-PL"/>
        </w:rPr>
        <w:t>konieczne i odpowiednie zmiany i dostosowania, nie nakładające nieproporcjonalnego lub nadmiernego obciążenia, jeśli jest to potrzebne w konkretnym przypadku, w celu zapewnienia osobom niepełnosprawnym możliwości korzystania z wszelkich praw człowieka i podstawowych wolności oraz ich wykonywania na zasadzie równości z innymi osobami</w:t>
      </w:r>
      <w:r w:rsidR="00BD4E1B">
        <w:rPr>
          <w:rFonts w:cs="Verdana"/>
          <w:lang w:val="pl-PL"/>
        </w:rPr>
        <w:t>”)</w:t>
      </w:r>
      <w:r w:rsidR="00BD4E1B" w:rsidRPr="00BD4E1B">
        <w:rPr>
          <w:rFonts w:cs="Verdana"/>
          <w:lang w:val="pl-PL"/>
        </w:rPr>
        <w:t>.</w:t>
      </w:r>
    </w:p>
    <w:p w:rsidR="00BD4E1B" w:rsidRPr="00BD4E1B" w:rsidRDefault="00BD4E1B">
      <w:pPr>
        <w:pStyle w:val="ClinContent"/>
        <w:rPr>
          <w:lang w:val="pl-PL"/>
        </w:rPr>
      </w:pPr>
      <w:r w:rsidRPr="00BD4E1B">
        <w:rPr>
          <w:lang w:val="pl-PL"/>
        </w:rPr>
        <w:t xml:space="preserve">Choć nie należy, oczywiście, do Trybunału, określanie tych </w:t>
      </w:r>
      <w:r>
        <w:rPr>
          <w:lang w:val="pl-PL"/>
        </w:rPr>
        <w:t>„racjonalnych usprawnień”</w:t>
      </w:r>
      <w:r w:rsidR="00713D81">
        <w:rPr>
          <w:lang w:val="pl-PL"/>
        </w:rPr>
        <w:t xml:space="preserve"> </w:t>
      </w:r>
      <w:r w:rsidR="006B4DAE">
        <w:rPr>
          <w:lang w:val="pl-PL"/>
        </w:rPr>
        <w:t>–</w:t>
      </w:r>
      <w:r>
        <w:rPr>
          <w:lang w:val="pl-PL"/>
        </w:rPr>
        <w:t xml:space="preserve"> które mogą przyjmować różne formy</w:t>
      </w:r>
      <w:r w:rsidR="00713D81">
        <w:rPr>
          <w:lang w:val="pl-PL"/>
        </w:rPr>
        <w:t xml:space="preserve">, </w:t>
      </w:r>
      <w:r>
        <w:rPr>
          <w:lang w:val="pl-PL"/>
        </w:rPr>
        <w:t>zarówno mate</w:t>
      </w:r>
      <w:bookmarkStart w:id="0" w:name="_GoBack"/>
      <w:bookmarkEnd w:id="0"/>
      <w:r>
        <w:rPr>
          <w:lang w:val="pl-PL"/>
        </w:rPr>
        <w:t>rialne, jak i niematerialne</w:t>
      </w:r>
      <w:r w:rsidR="00713D81">
        <w:rPr>
          <w:lang w:val="pl-PL"/>
        </w:rPr>
        <w:t xml:space="preserve"> –</w:t>
      </w:r>
      <w:r>
        <w:rPr>
          <w:lang w:val="pl-PL"/>
        </w:rPr>
        <w:t xml:space="preserve"> istotne jest jednak, by władze krajowe były szczególnie uważne przy dokonywaniu </w:t>
      </w:r>
      <w:r w:rsidR="00713D81">
        <w:rPr>
          <w:lang w:val="pl-PL"/>
        </w:rPr>
        <w:t xml:space="preserve">swych </w:t>
      </w:r>
      <w:r>
        <w:rPr>
          <w:lang w:val="pl-PL"/>
        </w:rPr>
        <w:t xml:space="preserve">wyborów w tym obszarze, </w:t>
      </w:r>
      <w:r w:rsidR="00713D81">
        <w:rPr>
          <w:lang w:val="pl-PL"/>
        </w:rPr>
        <w:t xml:space="preserve">zważywszy na </w:t>
      </w:r>
      <w:r>
        <w:rPr>
          <w:lang w:val="pl-PL"/>
        </w:rPr>
        <w:t xml:space="preserve">szczególną wrażliwość osób, których to dotyczy. </w:t>
      </w:r>
    </w:p>
    <w:p w:rsidR="00001036" w:rsidRPr="00001036" w:rsidRDefault="00BD4E1B" w:rsidP="00001036">
      <w:pPr>
        <w:pStyle w:val="ClinContent"/>
        <w:rPr>
          <w:rFonts w:cs="Verdana"/>
          <w:lang w:val="pl-PL"/>
        </w:rPr>
      </w:pPr>
      <w:r w:rsidRPr="00BD4E1B">
        <w:rPr>
          <w:lang w:val="pl-PL"/>
        </w:rPr>
        <w:lastRenderedPageBreak/>
        <w:t xml:space="preserve">Oczywiście, </w:t>
      </w:r>
      <w:r w:rsidR="00347F73">
        <w:rPr>
          <w:lang w:val="pl-PL"/>
        </w:rPr>
        <w:t>w odpowiedzi na wnioski</w:t>
      </w:r>
      <w:r w:rsidR="00347F73" w:rsidRPr="00BD4E1B">
        <w:rPr>
          <w:lang w:val="pl-PL"/>
        </w:rPr>
        <w:t xml:space="preserve"> </w:t>
      </w:r>
      <w:r w:rsidR="00657362">
        <w:rPr>
          <w:lang w:val="pl-PL"/>
        </w:rPr>
        <w:t xml:space="preserve">skarżącego </w:t>
      </w:r>
      <w:r w:rsidRPr="00BD4E1B">
        <w:rPr>
          <w:lang w:val="pl-PL"/>
        </w:rPr>
        <w:t xml:space="preserve">uniwersytet nie </w:t>
      </w:r>
      <w:r w:rsidR="00347F73">
        <w:rPr>
          <w:lang w:val="pl-PL"/>
        </w:rPr>
        <w:t xml:space="preserve">udzielił </w:t>
      </w:r>
      <w:r w:rsidR="00657362">
        <w:rPr>
          <w:lang w:val="pl-PL"/>
        </w:rPr>
        <w:t xml:space="preserve">mu </w:t>
      </w:r>
      <w:r w:rsidR="00347F73">
        <w:rPr>
          <w:lang w:val="pl-PL"/>
        </w:rPr>
        <w:t>tylko i po prostu</w:t>
      </w:r>
      <w:r w:rsidRPr="00BD4E1B">
        <w:rPr>
          <w:lang w:val="pl-PL"/>
        </w:rPr>
        <w:t xml:space="preserve"> </w:t>
      </w:r>
      <w:r w:rsidR="00001036">
        <w:rPr>
          <w:lang w:val="pl-PL"/>
        </w:rPr>
        <w:t xml:space="preserve">odmowy: zaoferował mu pomoc osoby towarzyszącej. Jednakże, </w:t>
      </w:r>
      <w:r w:rsidR="00001036" w:rsidRPr="00067C43">
        <w:rPr>
          <w:lang w:val="pl-PL"/>
        </w:rPr>
        <w:t xml:space="preserve">choć </w:t>
      </w:r>
      <w:r w:rsidR="00111C92" w:rsidRPr="00067C43">
        <w:rPr>
          <w:lang w:val="pl-PL"/>
        </w:rPr>
        <w:t xml:space="preserve">istotnie </w:t>
      </w:r>
      <w:r w:rsidR="00001036" w:rsidRPr="00067C43">
        <w:rPr>
          <w:lang w:val="pl-PL"/>
        </w:rPr>
        <w:t>dokumenty prawa międzynarodowego uznają, że udostępnienie form pomocy ze</w:t>
      </w:r>
      <w:r w:rsidR="00001036" w:rsidRPr="00657362">
        <w:rPr>
          <w:lang w:val="pl-PL"/>
        </w:rPr>
        <w:t xml:space="preserve"> strony innej osoby</w:t>
      </w:r>
      <w:r w:rsidR="00001036">
        <w:rPr>
          <w:lang w:val="pl-PL"/>
        </w:rPr>
        <w:t xml:space="preserve"> jest jednym ze środków do rozważenia, propozycja uniwersytetu nie wpisuje się w te ramy, gdyż </w:t>
      </w:r>
      <w:r w:rsidR="00347F73">
        <w:rPr>
          <w:lang w:val="pl-PL"/>
        </w:rPr>
        <w:t>w</w:t>
      </w:r>
      <w:r w:rsidR="00001036">
        <w:rPr>
          <w:lang w:val="pl-PL"/>
        </w:rPr>
        <w:t xml:space="preserve"> akt</w:t>
      </w:r>
      <w:r w:rsidR="00347F73">
        <w:rPr>
          <w:lang w:val="pl-PL"/>
        </w:rPr>
        <w:t>ach</w:t>
      </w:r>
      <w:r w:rsidR="00001036">
        <w:rPr>
          <w:lang w:val="pl-PL"/>
        </w:rPr>
        <w:t xml:space="preserve"> sprawy nic nie wskazuje, </w:t>
      </w:r>
      <w:r w:rsidR="00657362">
        <w:rPr>
          <w:lang w:val="pl-PL"/>
        </w:rPr>
        <w:t>by</w:t>
      </w:r>
      <w:r w:rsidR="00001036">
        <w:rPr>
          <w:lang w:val="pl-PL"/>
        </w:rPr>
        <w:t xml:space="preserve"> </w:t>
      </w:r>
      <w:r w:rsidR="00347F73">
        <w:rPr>
          <w:lang w:val="pl-PL"/>
        </w:rPr>
        <w:t>była ona poprzedzona</w:t>
      </w:r>
      <w:r w:rsidR="00001036">
        <w:rPr>
          <w:lang w:val="pl-PL"/>
        </w:rPr>
        <w:t xml:space="preserve"> rzeczywistą oceną potrzeb skarżącego i rzetelnym rozważeniem jej potencjalnych skutków dla jego bezpieczeństwa, godności i autonomii. Mimo że skarżący nie ucierpiał z powodu takich skutków, władze zignorowały kluczowe znaczenie zagwarantowania osobom cierpiącym z powodu niepełnosprawności możliwości życia w sposób autonomiczny i </w:t>
      </w:r>
      <w:r w:rsidR="00001036" w:rsidRPr="00001036">
        <w:rPr>
          <w:rFonts w:cs="Verdana"/>
          <w:lang w:val="pl-PL"/>
        </w:rPr>
        <w:t>pełnego rozwoju poczucia godności i własnej wartości</w:t>
      </w:r>
      <w:r w:rsidR="007B4240">
        <w:rPr>
          <w:rFonts w:cs="Verdana"/>
          <w:lang w:val="pl-PL"/>
        </w:rPr>
        <w:t xml:space="preserve"> (pojęcia te znajdują się w samym centrum </w:t>
      </w:r>
      <w:r w:rsidR="007B4240" w:rsidRPr="007B4240">
        <w:rPr>
          <w:rFonts w:cs="Verdana"/>
          <w:lang w:val="pl-PL"/>
        </w:rPr>
        <w:t>Konwencji o prawach osób niepełnosprawnych</w:t>
      </w:r>
      <w:r w:rsidR="007B4240">
        <w:rPr>
          <w:rFonts w:cs="Verdana"/>
          <w:lang w:val="pl-PL"/>
        </w:rPr>
        <w:t xml:space="preserve"> oraz zaleceń Rady Europy; godność i autonomia osobista zajmują również ważne miejsce w orzecznictwie Trybunału, w szczególności na podstawie art. 8, z którym powiązany jest art. 2 Protokołu nr 1). </w:t>
      </w:r>
    </w:p>
    <w:p w:rsidR="007B4240" w:rsidRPr="007B4240" w:rsidRDefault="007B4240">
      <w:pPr>
        <w:pStyle w:val="ClinContent"/>
        <w:rPr>
          <w:lang w:val="pl-PL"/>
        </w:rPr>
      </w:pPr>
      <w:r w:rsidRPr="007B4240">
        <w:rPr>
          <w:lang w:val="pl-PL"/>
        </w:rPr>
        <w:t>Trybunał administracyjny, który również nie wypowiedział się w tych kwestiach, nie rozważył w sposób wystarczający kwestii słusznej równowagi</w:t>
      </w:r>
      <w:r w:rsidR="00A51A29">
        <w:rPr>
          <w:lang w:val="pl-PL"/>
        </w:rPr>
        <w:t>, którą należy zapewnić</w:t>
      </w:r>
      <w:r w:rsidRPr="007B4240">
        <w:rPr>
          <w:lang w:val="pl-PL"/>
        </w:rPr>
        <w:t xml:space="preserve"> między interesem skarżącego a wszelkimi </w:t>
      </w:r>
      <w:r w:rsidR="00347F73">
        <w:rPr>
          <w:lang w:val="pl-PL"/>
        </w:rPr>
        <w:t xml:space="preserve">innymi </w:t>
      </w:r>
      <w:r w:rsidRPr="007B4240">
        <w:rPr>
          <w:lang w:val="pl-PL"/>
        </w:rPr>
        <w:t xml:space="preserve">konkurencyjnymi interesami. </w:t>
      </w:r>
    </w:p>
    <w:p w:rsidR="00A51A29" w:rsidRPr="00A51A29" w:rsidRDefault="00A51A29">
      <w:pPr>
        <w:pStyle w:val="ClinContent"/>
        <w:rPr>
          <w:lang w:val="pl-PL"/>
        </w:rPr>
      </w:pPr>
      <w:r w:rsidRPr="00A51A29">
        <w:rPr>
          <w:i/>
          <w:lang w:val="pl-PL"/>
        </w:rPr>
        <w:t xml:space="preserve">Rozstrzygnięcie: </w:t>
      </w:r>
      <w:r w:rsidRPr="00A51A29">
        <w:rPr>
          <w:lang w:val="pl-PL"/>
        </w:rPr>
        <w:t>naruszenie (sześcioma głosami do jednego)</w:t>
      </w:r>
    </w:p>
    <w:p w:rsidR="00A653AD" w:rsidRPr="00A51A29" w:rsidRDefault="00F41860">
      <w:pPr>
        <w:pStyle w:val="ClinContent"/>
        <w:rPr>
          <w:lang w:val="pl-PL"/>
        </w:rPr>
      </w:pPr>
      <w:r w:rsidRPr="00A51A29">
        <w:rPr>
          <w:lang w:val="pl-PL"/>
        </w:rPr>
        <w:t>Art</w:t>
      </w:r>
      <w:r w:rsidR="00A51A29" w:rsidRPr="00A51A29">
        <w:rPr>
          <w:lang w:val="pl-PL"/>
        </w:rPr>
        <w:t>. 41</w:t>
      </w:r>
      <w:r w:rsidRPr="00A51A29">
        <w:rPr>
          <w:lang w:val="pl-PL"/>
        </w:rPr>
        <w:t>: 10</w:t>
      </w:r>
      <w:r w:rsidR="00A51A29" w:rsidRPr="00A51A29">
        <w:rPr>
          <w:lang w:val="pl-PL"/>
        </w:rPr>
        <w:t>.</w:t>
      </w:r>
      <w:r w:rsidRPr="00A51A29">
        <w:rPr>
          <w:lang w:val="pl-PL"/>
        </w:rPr>
        <w:t xml:space="preserve">000 EUR </w:t>
      </w:r>
      <w:r w:rsidR="00A51A29" w:rsidRPr="00A51A29">
        <w:rPr>
          <w:lang w:val="pl-PL"/>
        </w:rPr>
        <w:t>z tytułu szkody moralnej</w:t>
      </w:r>
      <w:r w:rsidRPr="00A51A29">
        <w:rPr>
          <w:lang w:val="pl-PL"/>
        </w:rPr>
        <w:t>.</w:t>
      </w:r>
    </w:p>
    <w:p w:rsidR="00A51A29" w:rsidRPr="00A51A29" w:rsidRDefault="00A51A29">
      <w:pPr>
        <w:pStyle w:val="ClinContent"/>
        <w:rPr>
          <w:lang w:val="pl-PL"/>
        </w:rPr>
      </w:pPr>
      <w:r w:rsidRPr="00A51A29">
        <w:rPr>
          <w:lang w:val="pl-PL"/>
        </w:rPr>
        <w:t xml:space="preserve">(Zobacz również </w:t>
      </w:r>
      <w:proofErr w:type="spellStart"/>
      <w:r w:rsidRPr="00A51A29">
        <w:rPr>
          <w:i/>
          <w:lang w:val="pl-PL"/>
        </w:rPr>
        <w:t>Çam</w:t>
      </w:r>
      <w:proofErr w:type="spellEnd"/>
      <w:r w:rsidRPr="00A51A29">
        <w:rPr>
          <w:i/>
          <w:lang w:val="pl-PL"/>
        </w:rPr>
        <w:t xml:space="preserve"> </w:t>
      </w:r>
      <w:r>
        <w:rPr>
          <w:i/>
          <w:lang w:val="pl-PL"/>
        </w:rPr>
        <w:t>p</w:t>
      </w:r>
      <w:r w:rsidRPr="00A51A29">
        <w:rPr>
          <w:i/>
          <w:lang w:val="pl-PL"/>
        </w:rPr>
        <w:t>. Tur</w:t>
      </w:r>
      <w:r>
        <w:rPr>
          <w:i/>
          <w:lang w:val="pl-PL"/>
        </w:rPr>
        <w:t>cji</w:t>
      </w:r>
      <w:r w:rsidRPr="00A51A29">
        <w:rPr>
          <w:lang w:val="pl-PL"/>
        </w:rPr>
        <w:t xml:space="preserve">, </w:t>
      </w:r>
      <w:r>
        <w:rPr>
          <w:lang w:val="pl-PL"/>
        </w:rPr>
        <w:t xml:space="preserve">nr </w:t>
      </w:r>
      <w:r w:rsidRPr="00A51A29">
        <w:rPr>
          <w:lang w:val="pl-PL"/>
        </w:rPr>
        <w:t>51500/08, 23</w:t>
      </w:r>
      <w:r>
        <w:rPr>
          <w:lang w:val="pl-PL"/>
        </w:rPr>
        <w:t xml:space="preserve"> lutego 2016 r., </w:t>
      </w:r>
      <w:hyperlink r:id="rId13" w:history="1">
        <w:r w:rsidRPr="00347F73">
          <w:rPr>
            <w:rStyle w:val="Hipercze"/>
            <w:lang w:val="pl-PL"/>
          </w:rPr>
          <w:t>Nota informa</w:t>
        </w:r>
        <w:r w:rsidRPr="00347F73">
          <w:rPr>
            <w:rStyle w:val="Hipercze"/>
            <w:lang w:val="pl-PL"/>
          </w:rPr>
          <w:t>c</w:t>
        </w:r>
        <w:r w:rsidRPr="00347F73">
          <w:rPr>
            <w:rStyle w:val="Hipercze"/>
            <w:lang w:val="pl-PL"/>
          </w:rPr>
          <w:t>yjna nt. orzecznictwa nr 193</w:t>
        </w:r>
      </w:hyperlink>
      <w:r>
        <w:rPr>
          <w:lang w:val="pl-PL"/>
        </w:rPr>
        <w:t xml:space="preserve">, jak też zestawienie tematyczne </w:t>
      </w:r>
      <w:hyperlink r:id="rId14" w:history="1">
        <w:r w:rsidRPr="00A51A29">
          <w:rPr>
            <w:rStyle w:val="Hipercze"/>
            <w:lang w:val="pl-PL"/>
          </w:rPr>
          <w:t>Osoby niepełnosprawne a Konwencja o ochronie praw człowieka i podstawowych wolnoś</w:t>
        </w:r>
        <w:r>
          <w:rPr>
            <w:rStyle w:val="Hipercze"/>
            <w:lang w:val="pl-PL"/>
          </w:rPr>
          <w:t>ci</w:t>
        </w:r>
      </w:hyperlink>
      <w:r>
        <w:rPr>
          <w:lang w:val="pl-PL"/>
        </w:rPr>
        <w:t xml:space="preserve">). </w:t>
      </w:r>
    </w:p>
    <w:p w:rsidR="00A653AD" w:rsidRPr="00A51A29" w:rsidRDefault="00A653AD">
      <w:pPr>
        <w:pBdr>
          <w:bottom w:val="single" w:sz="8" w:space="1" w:color="auto"/>
        </w:pBdr>
        <w:rPr>
          <w:lang w:val="pl-PL"/>
        </w:rPr>
      </w:pPr>
    </w:p>
    <w:p w:rsidR="005925AB" w:rsidRDefault="005925AB" w:rsidP="005925AB">
      <w:pPr>
        <w:pStyle w:val="ClinFooter"/>
        <w:rPr>
          <w:lang w:val="pl-PL"/>
        </w:rPr>
      </w:pPr>
      <w:r>
        <w:rPr>
          <w:lang w:val="pl-PL"/>
        </w:rPr>
        <w:t xml:space="preserve">© </w:t>
      </w:r>
      <w:proofErr w:type="spellStart"/>
      <w:r>
        <w:rPr>
          <w:lang w:val="pl-PL"/>
        </w:rPr>
        <w:t>Council</w:t>
      </w:r>
      <w:proofErr w:type="spellEnd"/>
      <w:r>
        <w:rPr>
          <w:lang w:val="pl-PL"/>
        </w:rPr>
        <w:t xml:space="preserve"> of Europe/</w:t>
      </w:r>
      <w:proofErr w:type="spellStart"/>
      <w:r>
        <w:rPr>
          <w:lang w:val="pl-PL"/>
        </w:rPr>
        <w:t>European</w:t>
      </w:r>
      <w:proofErr w:type="spellEnd"/>
      <w:r>
        <w:rPr>
          <w:lang w:val="pl-PL"/>
        </w:rPr>
        <w:t xml:space="preserve"> Court of Human </w:t>
      </w:r>
      <w:proofErr w:type="spellStart"/>
      <w:r>
        <w:rPr>
          <w:lang w:val="pl-PL"/>
        </w:rPr>
        <w:t>Rights</w:t>
      </w:r>
      <w:proofErr w:type="spellEnd"/>
      <w:r>
        <w:rPr>
          <w:lang w:val="pl-PL"/>
        </w:rPr>
        <w:br/>
        <w:t xml:space="preserve">Niniejsze streszczenie przygotowane przez Kancelarię nie wiąże Trybunału.  </w:t>
      </w:r>
    </w:p>
    <w:p w:rsidR="004447EA" w:rsidRDefault="005925AB" w:rsidP="005925AB">
      <w:pPr>
        <w:pStyle w:val="ClinFooter"/>
        <w:rPr>
          <w:rStyle w:val="Hipercze"/>
          <w:lang w:val="pl-PL"/>
        </w:rPr>
      </w:pPr>
      <w:r>
        <w:rPr>
          <w:lang w:val="pl-PL"/>
        </w:rPr>
        <w:t xml:space="preserve">Link do </w:t>
      </w:r>
      <w:hyperlink r:id="rId15" w:history="1">
        <w:r>
          <w:rPr>
            <w:rStyle w:val="Hipercze"/>
            <w:lang w:val="pl-PL"/>
          </w:rPr>
          <w:t>Not informacyjnych nt. orzecznictwa</w:t>
        </w:r>
      </w:hyperlink>
    </w:p>
    <w:p w:rsidR="00A653AD" w:rsidRPr="009D5462" w:rsidRDefault="00A653AD" w:rsidP="004447EA">
      <w:pPr>
        <w:pStyle w:val="ClinFooter"/>
        <w:jc w:val="left"/>
        <w:rPr>
          <w:lang w:val="pl-PL"/>
        </w:rPr>
      </w:pPr>
    </w:p>
    <w:sectPr w:rsidR="00A653AD" w:rsidRPr="009D5462" w:rsidSect="004A5B52">
      <w:headerReference w:type="default" r:id="rId16"/>
      <w:headerReference w:type="first" r:id="rId17"/>
      <w:footerReference w:type="first" r:id="rId18"/>
      <w:pgSz w:w="11906" w:h="16838"/>
      <w:pgMar w:top="1440" w:right="1440" w:bottom="1440" w:left="1440" w:header="454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17A4" w:rsidRDefault="00B517A4" w:rsidP="00C63262">
      <w:r>
        <w:separator/>
      </w:r>
    </w:p>
  </w:endnote>
  <w:endnote w:type="continuationSeparator" w:id="0">
    <w:p w:rsidR="00B517A4" w:rsidRDefault="00B517A4" w:rsidP="00C63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773F" w:rsidRPr="0071773F" w:rsidRDefault="0071773F" w:rsidP="0071773F"/>
  <w:p w:rsidR="0071773F" w:rsidRDefault="0071773F" w:rsidP="0071773F">
    <w:pPr>
      <w:pStyle w:val="ECHRFooter"/>
    </w:pPr>
    <w:r>
      <w:tab/>
    </w:r>
    <w:r>
      <w:rPr>
        <w:noProof/>
        <w:lang w:val="pl-PL" w:eastAsia="pl-PL"/>
      </w:rPr>
      <w:drawing>
        <wp:inline distT="0" distB="0" distL="0" distR="0" wp14:anchorId="430B0BDB" wp14:editId="19D2ADEC">
          <wp:extent cx="765175" cy="609600"/>
          <wp:effectExtent l="0" t="0" r="0" b="0"/>
          <wp:docPr id="3" name="Picture 3" descr="R:\1_Graphics&amp;Web\Court_Graphic_Charter\2013\ECHR_Stationery\Documents\Internal_Correspondence\Internal_CS6_COE_Foot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\Internal_Correspondence\Internal_CS6_COE_Footer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5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17A4" w:rsidRDefault="00B517A4" w:rsidP="00C63262">
      <w:r>
        <w:separator/>
      </w:r>
    </w:p>
  </w:footnote>
  <w:footnote w:type="continuationSeparator" w:id="0">
    <w:p w:rsidR="00B517A4" w:rsidRDefault="00B517A4" w:rsidP="00C632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29312215"/>
      <w:docPartObj>
        <w:docPartGallery w:val="Page Numbers (Top of Page)"/>
        <w:docPartUnique/>
      </w:docPartObj>
    </w:sdtPr>
    <w:sdtEndPr/>
    <w:sdtContent>
      <w:p w:rsidR="0071773F" w:rsidRDefault="0071773F" w:rsidP="00370754">
        <w:pPr>
          <w:pStyle w:val="Nagwek"/>
        </w:pPr>
        <w:r>
          <w:tab/>
        </w:r>
        <w:r>
          <w:sym w:font="Symbol" w:char="F02D"/>
        </w:r>
        <w:r>
          <w:t xml:space="preserve"> </w:t>
        </w:r>
        <w:r>
          <w:rPr>
            <w:lang w:val="fr-FR"/>
          </w:rPr>
          <w:fldChar w:fldCharType="begin"/>
        </w:r>
        <w:r w:rsidRPr="00F921AB">
          <w:instrText xml:space="preserve"> PAGE </w:instrText>
        </w:r>
        <w:r>
          <w:rPr>
            <w:lang w:val="fr-FR"/>
          </w:rPr>
          <w:fldChar w:fldCharType="separate"/>
        </w:r>
        <w:r w:rsidR="00CD4F06">
          <w:rPr>
            <w:noProof/>
          </w:rPr>
          <w:t>2</w:t>
        </w:r>
        <w:r>
          <w:rPr>
            <w:lang w:val="fr-FR"/>
          </w:rPr>
          <w:fldChar w:fldCharType="end"/>
        </w:r>
        <w:r>
          <w:t xml:space="preserve"> </w:t>
        </w:r>
        <w:r>
          <w:sym w:font="Symbol" w:char="F02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773F" w:rsidRDefault="004A5B52" w:rsidP="004A5B52">
    <w:pPr>
      <w:pStyle w:val="Nagwek"/>
    </w:pPr>
    <w:r>
      <w:tab/>
    </w:r>
    <w:r w:rsidR="0071773F">
      <w:rPr>
        <w:noProof/>
        <w:lang w:val="pl-PL" w:eastAsia="pl-PL"/>
      </w:rPr>
      <w:drawing>
        <wp:inline distT="0" distB="0" distL="0" distR="0" wp14:anchorId="727397E0" wp14:editId="57965ECA">
          <wp:extent cx="2962275" cy="1219200"/>
          <wp:effectExtent l="0" t="0" r="9525" b="0"/>
          <wp:docPr id="17" name="Picture 17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3EF0"/>
    <w:rsid w:val="00001036"/>
    <w:rsid w:val="00037CCC"/>
    <w:rsid w:val="00067C43"/>
    <w:rsid w:val="00097888"/>
    <w:rsid w:val="000F13B5"/>
    <w:rsid w:val="00107377"/>
    <w:rsid w:val="00111C92"/>
    <w:rsid w:val="00143602"/>
    <w:rsid w:val="001769E4"/>
    <w:rsid w:val="00186560"/>
    <w:rsid w:val="00212E83"/>
    <w:rsid w:val="002966E7"/>
    <w:rsid w:val="002E088D"/>
    <w:rsid w:val="0030264F"/>
    <w:rsid w:val="003450B3"/>
    <w:rsid w:val="00347F73"/>
    <w:rsid w:val="00384E32"/>
    <w:rsid w:val="00386958"/>
    <w:rsid w:val="003A64A6"/>
    <w:rsid w:val="003D7BB3"/>
    <w:rsid w:val="004447EA"/>
    <w:rsid w:val="0046453F"/>
    <w:rsid w:val="004A5B52"/>
    <w:rsid w:val="004D568D"/>
    <w:rsid w:val="004E1037"/>
    <w:rsid w:val="0052092D"/>
    <w:rsid w:val="00540D75"/>
    <w:rsid w:val="005514E5"/>
    <w:rsid w:val="005925AB"/>
    <w:rsid w:val="006028A1"/>
    <w:rsid w:val="00605E86"/>
    <w:rsid w:val="00631A28"/>
    <w:rsid w:val="0065240C"/>
    <w:rsid w:val="00657362"/>
    <w:rsid w:val="00697638"/>
    <w:rsid w:val="006A36AD"/>
    <w:rsid w:val="006B4DAE"/>
    <w:rsid w:val="006C1D96"/>
    <w:rsid w:val="00713D81"/>
    <w:rsid w:val="0071773F"/>
    <w:rsid w:val="00774515"/>
    <w:rsid w:val="007B4240"/>
    <w:rsid w:val="00895EF3"/>
    <w:rsid w:val="008C64D5"/>
    <w:rsid w:val="00903D38"/>
    <w:rsid w:val="009B3B2C"/>
    <w:rsid w:val="009D5462"/>
    <w:rsid w:val="009E3EF0"/>
    <w:rsid w:val="00A01052"/>
    <w:rsid w:val="00A04D9C"/>
    <w:rsid w:val="00A258BB"/>
    <w:rsid w:val="00A33541"/>
    <w:rsid w:val="00A45616"/>
    <w:rsid w:val="00A51A29"/>
    <w:rsid w:val="00A653AD"/>
    <w:rsid w:val="00AB65B1"/>
    <w:rsid w:val="00AC7726"/>
    <w:rsid w:val="00B517A4"/>
    <w:rsid w:val="00B80CA0"/>
    <w:rsid w:val="00B85770"/>
    <w:rsid w:val="00B9554D"/>
    <w:rsid w:val="00BD4E1B"/>
    <w:rsid w:val="00BF1CD9"/>
    <w:rsid w:val="00C26905"/>
    <w:rsid w:val="00C37433"/>
    <w:rsid w:val="00C63262"/>
    <w:rsid w:val="00C72355"/>
    <w:rsid w:val="00C93CFB"/>
    <w:rsid w:val="00CD4F06"/>
    <w:rsid w:val="00CF7BA6"/>
    <w:rsid w:val="00D42086"/>
    <w:rsid w:val="00D425B3"/>
    <w:rsid w:val="00E3664A"/>
    <w:rsid w:val="00E55491"/>
    <w:rsid w:val="00E83DB6"/>
    <w:rsid w:val="00EA53E7"/>
    <w:rsid w:val="00F41860"/>
    <w:rsid w:val="00F508C9"/>
    <w:rsid w:val="00F50CCD"/>
    <w:rsid w:val="00F5247C"/>
    <w:rsid w:val="00FA29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nhideWhenUsed="0" w:qFormat="1"/>
    <w:lsdException w:name="heading 3" w:unhideWhenUsed="0" w:qFormat="1"/>
    <w:lsdException w:name="heading 4" w:unhideWhenUsed="0" w:qFormat="1"/>
    <w:lsdException w:name="heading 5" w:unhideWhenUsed="0" w:qFormat="1"/>
    <w:lsdException w:name="heading 6" w:unhideWhenUsed="0" w:qFormat="1"/>
    <w:lsdException w:name="heading 7" w:qFormat="1"/>
    <w:lsdException w:name="heading 8" w:qFormat="1"/>
    <w:lsdException w:name="heading 9" w:qFormat="1"/>
    <w:lsdException w:name="header" w:uiPriority="48"/>
    <w:lsdException w:name="footer" w:uiPriority="49"/>
    <w:lsdException w:name="caption" w:qFormat="1"/>
    <w:lsdException w:name="List Number" w:unhideWhenUsed="0"/>
    <w:lsdException w:name="List 4" w:unhideWhenUsed="0"/>
    <w:lsdException w:name="List 5" w:unhideWhenUsed="0"/>
    <w:lsdException w:name="Title" w:unhideWhenUsed="0" w:qFormat="1"/>
    <w:lsdException w:name="Subtitle" w:unhideWhenUsed="0" w:qFormat="1"/>
    <w:lsdException w:name="Salutation" w:unhideWhenUsed="0"/>
    <w:lsdException w:name="Date" w:unhideWhenUsed="0"/>
    <w:lsdException w:name="Body Text First Indent" w:unhideWhenUsed="0"/>
    <w:lsdException w:name="Hyperlink" w:qFormat="1"/>
    <w:lsdException w:name="Strong" w:unhideWhenUsed="0" w:qFormat="1"/>
    <w:lsdException w:name="Emphasis" w:unhideWhenUsed="0" w:qFormat="1"/>
    <w:lsdException w:name="Table Grid" w:semiHidden="0" w:unhideWhenUsed="0"/>
    <w:lsdException w:name="Placeholder Text" w:uiPriority="99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semiHidden/>
    <w:qFormat/>
    <w:rsid w:val="004E1037"/>
    <w:rPr>
      <w:rFonts w:ascii="Verdana" w:hAnsi="Verdana"/>
      <w:szCs w:val="24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paragraph" w:customStyle="1" w:styleId="s6e50bd9a">
    <w:name w:val="s6e50bd9a"/>
    <w:basedOn w:val="Normalny"/>
    <w:rsid w:val="005925AB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character" w:customStyle="1" w:styleId="s4f807e54">
    <w:name w:val="s4f807e54"/>
    <w:basedOn w:val="Domylnaczcionkaakapitu"/>
    <w:rsid w:val="005925AB"/>
  </w:style>
  <w:style w:type="character" w:customStyle="1" w:styleId="object">
    <w:name w:val="object"/>
    <w:basedOn w:val="Domylnaczcionkaakapitu"/>
    <w:rsid w:val="005925AB"/>
  </w:style>
  <w:style w:type="character" w:styleId="UyteHipercze">
    <w:name w:val="FollowedHyperlink"/>
    <w:basedOn w:val="Domylnaczcionkaakapitu"/>
    <w:semiHidden/>
    <w:unhideWhenUsed/>
    <w:rsid w:val="00001036"/>
    <w:rPr>
      <w:color w:val="7030A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nhideWhenUsed="0" w:qFormat="1"/>
    <w:lsdException w:name="heading 3" w:unhideWhenUsed="0" w:qFormat="1"/>
    <w:lsdException w:name="heading 4" w:unhideWhenUsed="0" w:qFormat="1"/>
    <w:lsdException w:name="heading 5" w:unhideWhenUsed="0" w:qFormat="1"/>
    <w:lsdException w:name="heading 6" w:unhideWhenUsed="0" w:qFormat="1"/>
    <w:lsdException w:name="heading 7" w:qFormat="1"/>
    <w:lsdException w:name="heading 8" w:qFormat="1"/>
    <w:lsdException w:name="heading 9" w:qFormat="1"/>
    <w:lsdException w:name="header" w:uiPriority="48"/>
    <w:lsdException w:name="footer" w:uiPriority="49"/>
    <w:lsdException w:name="caption" w:qFormat="1"/>
    <w:lsdException w:name="List Number" w:unhideWhenUsed="0"/>
    <w:lsdException w:name="List 4" w:unhideWhenUsed="0"/>
    <w:lsdException w:name="List 5" w:unhideWhenUsed="0"/>
    <w:lsdException w:name="Title" w:unhideWhenUsed="0" w:qFormat="1"/>
    <w:lsdException w:name="Subtitle" w:unhideWhenUsed="0" w:qFormat="1"/>
    <w:lsdException w:name="Salutation" w:unhideWhenUsed="0"/>
    <w:lsdException w:name="Date" w:unhideWhenUsed="0"/>
    <w:lsdException w:name="Body Text First Indent" w:unhideWhenUsed="0"/>
    <w:lsdException w:name="Hyperlink" w:qFormat="1"/>
    <w:lsdException w:name="Strong" w:unhideWhenUsed="0" w:qFormat="1"/>
    <w:lsdException w:name="Emphasis" w:unhideWhenUsed="0" w:qFormat="1"/>
    <w:lsdException w:name="Table Grid" w:semiHidden="0" w:unhideWhenUsed="0"/>
    <w:lsdException w:name="Placeholder Text" w:uiPriority="99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semiHidden/>
    <w:qFormat/>
    <w:rsid w:val="004E1037"/>
    <w:rPr>
      <w:rFonts w:ascii="Verdana" w:hAnsi="Verdana"/>
      <w:szCs w:val="24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paragraph" w:customStyle="1" w:styleId="s6e50bd9a">
    <w:name w:val="s6e50bd9a"/>
    <w:basedOn w:val="Normalny"/>
    <w:rsid w:val="005925AB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character" w:customStyle="1" w:styleId="s4f807e54">
    <w:name w:val="s4f807e54"/>
    <w:basedOn w:val="Domylnaczcionkaakapitu"/>
    <w:rsid w:val="005925AB"/>
  </w:style>
  <w:style w:type="character" w:customStyle="1" w:styleId="object">
    <w:name w:val="object"/>
    <w:basedOn w:val="Domylnaczcionkaakapitu"/>
    <w:rsid w:val="005925AB"/>
  </w:style>
  <w:style w:type="character" w:styleId="UyteHipercze">
    <w:name w:val="FollowedHyperlink"/>
    <w:basedOn w:val="Domylnaczcionkaakapitu"/>
    <w:semiHidden/>
    <w:unhideWhenUsed/>
    <w:rsid w:val="00001036"/>
    <w:rPr>
      <w:color w:val="7030A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466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bip.ms.gov.pl/pl/prawa-czlowieka/europejski-trybunal-praw-czlowieka/orzecznictwo-europejskiego-trybunalu-praw-czlowieka/download,848,1.html" TargetMode="External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prawo.sejm.gov.pl/isap.nsf/DocDetails.xsp?id=WDU20120001169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yperlink" Target="http://www.msz.gov.pl" TargetMode="External"/><Relationship Id="rId5" Type="http://schemas.openxmlformats.org/officeDocument/2006/relationships/styles" Target="styles.xml"/><Relationship Id="rId15" Type="http://schemas.openxmlformats.org/officeDocument/2006/relationships/hyperlink" Target="http://www.echr.coe.int/NoteInformation/en" TargetMode="Externa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echr.coe.int/Documents/FS_Disabled_ENG.pdf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GREY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 document fonts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58EB02BDB9E204AB350EDD385B68E10" ma:contentTypeVersion="0" ma:contentTypeDescription="Create a new document." ma:contentTypeScope="" ma:versionID="4c0f801ee557d5c8fba2c83aceb7a3a2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66a9e0779a85d62bb2248c31b91edb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A98F42-F653-4914-8A7B-5E6181C2D4A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867599C-483C-44B8-9196-E60FA7B3BA6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2B8895C-F4C0-44B1-9427-E8A285997E1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264CCE7-D65F-4C4B-9FED-9CEE1D12E9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209</TotalTime>
  <Pages>2</Pages>
  <Words>694</Words>
  <Characters>4168</Characters>
  <Application>Microsoft Office Word</Application>
  <DocSecurity>0</DocSecurity>
  <Lines>34</Lines>
  <Paragraphs>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 </Company>
  <LinksUpToDate>false</LinksUpToDate>
  <CharactersWithSpaces>4853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 Black</dc:creator>
  <cp:lastModifiedBy>Suchożebrska Eliza</cp:lastModifiedBy>
  <cp:revision>18</cp:revision>
  <dcterms:created xsi:type="dcterms:W3CDTF">2018-01-30T09:10:00Z</dcterms:created>
  <dcterms:modified xsi:type="dcterms:W3CDTF">2018-02-21T11:28:00Z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0x010100558EB02BDB9E204AB350EDD385B68E10</vt:lpwstr>
  </property>
</Properties>
</file>