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542" w:rsidRPr="0051003F" w:rsidRDefault="00003542" w:rsidP="00A7252F">
      <w:pPr>
        <w:tabs>
          <w:tab w:val="right" w:pos="7371"/>
        </w:tabs>
        <w:rPr>
          <w:lang w:val="pl-PL"/>
        </w:rPr>
      </w:pPr>
      <w:bookmarkStart w:id="0" w:name="_GoBack"/>
    </w:p>
    <w:p w:rsidR="00014566" w:rsidRPr="0051003F" w:rsidRDefault="00014566" w:rsidP="00A7252F">
      <w:pPr>
        <w:pStyle w:val="ECHRDecisionBody"/>
        <w:rPr>
          <w:lang w:val="pl-PL"/>
        </w:rPr>
      </w:pPr>
    </w:p>
    <w:p w:rsidR="00014566" w:rsidRPr="0051003F" w:rsidRDefault="001B14A9" w:rsidP="00A7252F">
      <w:pPr>
        <w:jc w:val="center"/>
        <w:rPr>
          <w:lang w:val="pl-PL"/>
        </w:rPr>
      </w:pPr>
      <w:r w:rsidRPr="0051003F">
        <w:rPr>
          <w:lang w:val="pl-PL"/>
        </w:rPr>
        <w:t>WIELKA IZBA</w:t>
      </w:r>
    </w:p>
    <w:p w:rsidR="00014566" w:rsidRPr="0051003F" w:rsidRDefault="00014566" w:rsidP="00A7252F">
      <w:pPr>
        <w:jc w:val="center"/>
        <w:rPr>
          <w:lang w:val="pl-PL"/>
        </w:rPr>
      </w:pPr>
    </w:p>
    <w:p w:rsidR="00634D4C" w:rsidRPr="0051003F" w:rsidRDefault="00634D4C" w:rsidP="00A7252F">
      <w:pPr>
        <w:jc w:val="center"/>
        <w:rPr>
          <w:lang w:val="pl-PL"/>
        </w:rPr>
      </w:pPr>
    </w:p>
    <w:p w:rsidR="00634D4C" w:rsidRPr="0051003F" w:rsidRDefault="00634D4C" w:rsidP="00A7252F">
      <w:pPr>
        <w:jc w:val="center"/>
        <w:rPr>
          <w:lang w:val="pl-PL"/>
        </w:rPr>
      </w:pPr>
    </w:p>
    <w:p w:rsidR="00634D4C" w:rsidRPr="0051003F" w:rsidRDefault="00634D4C" w:rsidP="00A7252F">
      <w:pPr>
        <w:jc w:val="center"/>
        <w:rPr>
          <w:lang w:val="pl-PL"/>
        </w:rPr>
      </w:pPr>
    </w:p>
    <w:p w:rsidR="00634D4C" w:rsidRPr="0051003F" w:rsidRDefault="00634D4C" w:rsidP="00A7252F">
      <w:pPr>
        <w:jc w:val="center"/>
        <w:rPr>
          <w:lang w:val="pl-PL"/>
        </w:rPr>
      </w:pPr>
    </w:p>
    <w:p w:rsidR="00014566" w:rsidRPr="0051003F" w:rsidRDefault="00014566" w:rsidP="00A7252F">
      <w:pPr>
        <w:jc w:val="center"/>
        <w:rPr>
          <w:lang w:val="pl-PL"/>
        </w:rPr>
      </w:pPr>
    </w:p>
    <w:p w:rsidR="00014566" w:rsidRPr="0051003F" w:rsidRDefault="00014566" w:rsidP="00A7252F">
      <w:pPr>
        <w:jc w:val="center"/>
        <w:rPr>
          <w:lang w:val="pl-PL"/>
        </w:rPr>
      </w:pPr>
    </w:p>
    <w:p w:rsidR="00014566" w:rsidRPr="0051003F" w:rsidRDefault="001B14A9" w:rsidP="00A7252F">
      <w:pPr>
        <w:jc w:val="center"/>
        <w:rPr>
          <w:b/>
          <w:lang w:val="pl-PL"/>
        </w:rPr>
      </w:pPr>
      <w:bookmarkStart w:id="1" w:name="To"/>
      <w:r w:rsidRPr="0051003F">
        <w:rPr>
          <w:b/>
          <w:lang w:val="pl-PL"/>
        </w:rPr>
        <w:t>SPRAWA</w:t>
      </w:r>
      <w:r w:rsidR="00014566" w:rsidRPr="0051003F">
        <w:rPr>
          <w:b/>
          <w:lang w:val="pl-PL"/>
        </w:rPr>
        <w:t xml:space="preserve"> </w:t>
      </w:r>
      <w:bookmarkEnd w:id="1"/>
      <w:r w:rsidRPr="0051003F">
        <w:rPr>
          <w:b/>
          <w:lang w:val="pl-PL"/>
        </w:rPr>
        <w:t>A I B PRZECIWKO NORWEGII</w:t>
      </w:r>
    </w:p>
    <w:p w:rsidR="00014566" w:rsidRPr="0051003F" w:rsidRDefault="00014566" w:rsidP="00A7252F">
      <w:pPr>
        <w:jc w:val="center"/>
        <w:rPr>
          <w:lang w:val="pl-PL"/>
        </w:rPr>
      </w:pPr>
    </w:p>
    <w:p w:rsidR="00014566" w:rsidRPr="0051003F" w:rsidRDefault="00014566" w:rsidP="00A7252F">
      <w:pPr>
        <w:jc w:val="center"/>
        <w:rPr>
          <w:i/>
          <w:lang w:val="pl-PL"/>
        </w:rPr>
      </w:pPr>
      <w:r w:rsidRPr="0051003F">
        <w:rPr>
          <w:i/>
          <w:lang w:val="pl-PL"/>
        </w:rPr>
        <w:t>(</w:t>
      </w:r>
      <w:r w:rsidR="001B14A9" w:rsidRPr="0051003F">
        <w:rPr>
          <w:i/>
          <w:lang w:val="pl-PL"/>
        </w:rPr>
        <w:t>Skargi: nr 24130/11 i nr</w:t>
      </w:r>
      <w:r w:rsidR="0002775E" w:rsidRPr="0051003F">
        <w:rPr>
          <w:i/>
          <w:lang w:val="pl-PL"/>
        </w:rPr>
        <w:t xml:space="preserve"> 29758/</w:t>
      </w:r>
      <w:r w:rsidR="00E97440" w:rsidRPr="0051003F">
        <w:rPr>
          <w:i/>
          <w:lang w:val="pl-PL"/>
        </w:rPr>
        <w:t>11</w:t>
      </w:r>
      <w:r w:rsidRPr="0051003F">
        <w:rPr>
          <w:i/>
          <w:lang w:val="pl-PL"/>
        </w:rPr>
        <w:t>)</w:t>
      </w:r>
    </w:p>
    <w:p w:rsidR="00014566" w:rsidRPr="0051003F" w:rsidRDefault="00014566" w:rsidP="00A7252F">
      <w:pPr>
        <w:jc w:val="center"/>
        <w:rPr>
          <w:lang w:val="pl-PL"/>
        </w:rPr>
      </w:pPr>
    </w:p>
    <w:p w:rsidR="00B948F1" w:rsidRPr="0051003F" w:rsidRDefault="00B948F1" w:rsidP="00A7252F">
      <w:pPr>
        <w:jc w:val="center"/>
        <w:rPr>
          <w:lang w:val="pl-PL"/>
        </w:rPr>
      </w:pPr>
    </w:p>
    <w:p w:rsidR="00B948F1" w:rsidRPr="0051003F" w:rsidRDefault="00B948F1" w:rsidP="00A7252F">
      <w:pPr>
        <w:jc w:val="center"/>
        <w:rPr>
          <w:lang w:val="pl-PL"/>
        </w:rPr>
      </w:pPr>
    </w:p>
    <w:p w:rsidR="00B948F1" w:rsidRPr="0051003F" w:rsidRDefault="00B948F1" w:rsidP="00A7252F">
      <w:pPr>
        <w:jc w:val="center"/>
        <w:rPr>
          <w:lang w:val="pl-PL"/>
        </w:rPr>
      </w:pPr>
    </w:p>
    <w:p w:rsidR="00B948F1" w:rsidRPr="0051003F" w:rsidRDefault="00B948F1" w:rsidP="00A7252F">
      <w:pPr>
        <w:jc w:val="center"/>
        <w:rPr>
          <w:lang w:val="pl-PL"/>
        </w:rPr>
      </w:pPr>
    </w:p>
    <w:p w:rsidR="00B948F1" w:rsidRPr="0051003F" w:rsidRDefault="00B948F1" w:rsidP="00A7252F">
      <w:pPr>
        <w:jc w:val="center"/>
        <w:rPr>
          <w:lang w:val="pl-PL"/>
        </w:rPr>
      </w:pPr>
    </w:p>
    <w:p w:rsidR="00B948F1" w:rsidRPr="0051003F" w:rsidRDefault="00B948F1" w:rsidP="00A7252F">
      <w:pPr>
        <w:jc w:val="center"/>
        <w:rPr>
          <w:lang w:val="pl-PL"/>
        </w:rPr>
      </w:pPr>
    </w:p>
    <w:p w:rsidR="00B948F1" w:rsidRPr="0051003F" w:rsidRDefault="00B948F1" w:rsidP="00A7252F">
      <w:pPr>
        <w:jc w:val="center"/>
        <w:rPr>
          <w:lang w:val="pl-PL"/>
        </w:rPr>
      </w:pPr>
    </w:p>
    <w:p w:rsidR="00014566" w:rsidRPr="0051003F" w:rsidRDefault="00014566" w:rsidP="00A7252F">
      <w:pPr>
        <w:jc w:val="center"/>
        <w:rPr>
          <w:lang w:val="pl-PL"/>
        </w:rPr>
      </w:pPr>
    </w:p>
    <w:p w:rsidR="00014566" w:rsidRPr="0051003F" w:rsidRDefault="001B14A9" w:rsidP="00A7252F">
      <w:pPr>
        <w:jc w:val="center"/>
        <w:rPr>
          <w:szCs w:val="24"/>
          <w:lang w:val="pl-PL"/>
        </w:rPr>
      </w:pPr>
      <w:r w:rsidRPr="0051003F">
        <w:rPr>
          <w:szCs w:val="24"/>
          <w:lang w:val="pl-PL"/>
        </w:rPr>
        <w:t>WYROK</w:t>
      </w:r>
    </w:p>
    <w:p w:rsidR="00003542" w:rsidRPr="0051003F" w:rsidRDefault="00003542" w:rsidP="00A7252F">
      <w:pPr>
        <w:jc w:val="center"/>
        <w:rPr>
          <w:lang w:val="pl-PL"/>
        </w:rPr>
      </w:pPr>
    </w:p>
    <w:p w:rsidR="00003542" w:rsidRPr="0051003F" w:rsidRDefault="00003542" w:rsidP="00A7252F">
      <w:pPr>
        <w:jc w:val="center"/>
        <w:rPr>
          <w:lang w:val="pl-PL"/>
        </w:rPr>
      </w:pPr>
    </w:p>
    <w:p w:rsidR="00003542" w:rsidRPr="0051003F" w:rsidRDefault="0051003F" w:rsidP="00A7252F">
      <w:pPr>
        <w:jc w:val="center"/>
        <w:rPr>
          <w:lang w:val="pl-PL"/>
        </w:rPr>
      </w:pPr>
      <w:r w:rsidRPr="0051003F">
        <w:rPr>
          <w:lang w:val="pl-PL"/>
        </w:rPr>
        <w:t>STRASB</w:t>
      </w:r>
      <w:r w:rsidR="00003542" w:rsidRPr="0051003F">
        <w:rPr>
          <w:lang w:val="pl-PL"/>
        </w:rPr>
        <w:t>URG</w:t>
      </w:r>
    </w:p>
    <w:p w:rsidR="00003542" w:rsidRPr="0051003F" w:rsidRDefault="00003542" w:rsidP="00A7252F">
      <w:pPr>
        <w:jc w:val="center"/>
        <w:rPr>
          <w:lang w:val="pl-PL"/>
        </w:rPr>
      </w:pPr>
    </w:p>
    <w:p w:rsidR="00003542" w:rsidRPr="0051003F" w:rsidRDefault="00033BF1" w:rsidP="00A7252F">
      <w:pPr>
        <w:jc w:val="center"/>
        <w:rPr>
          <w:lang w:val="pl-PL"/>
        </w:rPr>
      </w:pPr>
      <w:r w:rsidRPr="0051003F">
        <w:rPr>
          <w:lang w:val="pl-PL"/>
        </w:rPr>
        <w:t xml:space="preserve">15 </w:t>
      </w:r>
      <w:r w:rsidR="001B14A9" w:rsidRPr="0051003F">
        <w:rPr>
          <w:lang w:val="pl-PL"/>
        </w:rPr>
        <w:t>listopada</w:t>
      </w:r>
      <w:r w:rsidRPr="0051003F">
        <w:rPr>
          <w:lang w:val="pl-PL"/>
        </w:rPr>
        <w:t xml:space="preserve"> 2016</w:t>
      </w:r>
    </w:p>
    <w:p w:rsidR="00003542" w:rsidRPr="0051003F" w:rsidRDefault="00003542" w:rsidP="00A7252F">
      <w:pPr>
        <w:jc w:val="center"/>
        <w:rPr>
          <w:lang w:val="pl-PL"/>
        </w:rPr>
      </w:pPr>
    </w:p>
    <w:p w:rsidR="00395D2B" w:rsidRPr="0051003F" w:rsidRDefault="00395D2B" w:rsidP="00A7252F">
      <w:pPr>
        <w:jc w:val="center"/>
        <w:rPr>
          <w:lang w:val="pl-PL"/>
        </w:rPr>
      </w:pPr>
    </w:p>
    <w:p w:rsidR="00395D2B" w:rsidRPr="0051003F" w:rsidRDefault="00395D2B" w:rsidP="00A7252F">
      <w:pPr>
        <w:jc w:val="center"/>
        <w:rPr>
          <w:lang w:val="pl-PL"/>
        </w:rPr>
      </w:pPr>
    </w:p>
    <w:p w:rsidR="00395D2B" w:rsidRPr="0051003F" w:rsidRDefault="00395D2B" w:rsidP="00A7252F">
      <w:pPr>
        <w:jc w:val="center"/>
        <w:rPr>
          <w:lang w:val="pl-PL"/>
        </w:rPr>
      </w:pPr>
    </w:p>
    <w:p w:rsidR="00003542" w:rsidRPr="0051003F" w:rsidRDefault="00003542" w:rsidP="00A7252F">
      <w:pPr>
        <w:jc w:val="center"/>
        <w:rPr>
          <w:lang w:val="pl-PL"/>
        </w:rPr>
      </w:pPr>
    </w:p>
    <w:p w:rsidR="00003542" w:rsidRPr="0051003F" w:rsidRDefault="001B14A9" w:rsidP="000B0FBF">
      <w:pPr>
        <w:jc w:val="center"/>
        <w:rPr>
          <w:i/>
          <w:sz w:val="22"/>
          <w:lang w:val="pl-PL"/>
        </w:rPr>
      </w:pPr>
      <w:r w:rsidRPr="0051003F">
        <w:rPr>
          <w:i/>
          <w:sz w:val="22"/>
          <w:lang w:val="pl-PL"/>
        </w:rPr>
        <w:t xml:space="preserve">Wyrok jest ostateczny, </w:t>
      </w:r>
      <w:r w:rsidR="00CB5C03">
        <w:rPr>
          <w:i/>
          <w:sz w:val="22"/>
          <w:lang w:val="pl-PL"/>
        </w:rPr>
        <w:t>jednakże</w:t>
      </w:r>
      <w:r w:rsidR="00CB5C03" w:rsidRPr="0051003F">
        <w:rPr>
          <w:i/>
          <w:sz w:val="22"/>
          <w:lang w:val="pl-PL"/>
        </w:rPr>
        <w:t xml:space="preserve"> </w:t>
      </w:r>
      <w:r w:rsidRPr="0051003F">
        <w:rPr>
          <w:i/>
          <w:sz w:val="22"/>
          <w:lang w:val="pl-PL"/>
        </w:rPr>
        <w:t xml:space="preserve">może podlegać </w:t>
      </w:r>
      <w:r w:rsidR="00CB5C03">
        <w:rPr>
          <w:i/>
          <w:sz w:val="22"/>
          <w:lang w:val="pl-PL"/>
        </w:rPr>
        <w:t>zmianom redakcyjnym</w:t>
      </w:r>
      <w:r w:rsidRPr="0051003F">
        <w:rPr>
          <w:i/>
          <w:sz w:val="22"/>
          <w:lang w:val="pl-PL"/>
        </w:rPr>
        <w:t>.</w:t>
      </w:r>
    </w:p>
    <w:p w:rsidR="00003542" w:rsidRPr="0051003F" w:rsidRDefault="00003542" w:rsidP="00A7252F">
      <w:pPr>
        <w:rPr>
          <w:lang w:val="pl-PL"/>
        </w:rPr>
      </w:pPr>
      <w:r w:rsidRPr="0051003F">
        <w:rPr>
          <w:lang w:val="pl-PL"/>
        </w:rPr>
        <w:br w:type="page"/>
      </w:r>
    </w:p>
    <w:p w:rsidR="00003542" w:rsidRPr="0051003F" w:rsidRDefault="00003542" w:rsidP="00A7252F">
      <w:pPr>
        <w:jc w:val="left"/>
        <w:rPr>
          <w:lang w:val="pl-PL"/>
        </w:rPr>
        <w:sectPr w:rsidR="00003542" w:rsidRPr="0051003F" w:rsidSect="00003542">
          <w:headerReference w:type="default" r:id="rId12"/>
          <w:footerReference w:type="even" r:id="rId13"/>
          <w:headerReference w:type="first" r:id="rId14"/>
          <w:footerReference w:type="first" r:id="rId15"/>
          <w:footnotePr>
            <w:numRestart w:val="eachSect"/>
          </w:footnotePr>
          <w:pgSz w:w="11906" w:h="16838" w:code="9"/>
          <w:pgMar w:top="2274" w:right="2274" w:bottom="2274" w:left="2274" w:header="1701" w:footer="720" w:gutter="0"/>
          <w:pgNumType w:start="1"/>
          <w:cols w:space="720"/>
          <w:titlePg/>
          <w:docGrid w:linePitch="326"/>
        </w:sectPr>
      </w:pPr>
    </w:p>
    <w:p w:rsidR="00014566" w:rsidRPr="0051003F" w:rsidRDefault="001B14A9" w:rsidP="00A7252F">
      <w:pPr>
        <w:pStyle w:val="JuCase"/>
        <w:rPr>
          <w:bCs/>
          <w:lang w:val="pl-PL"/>
        </w:rPr>
      </w:pPr>
      <w:r w:rsidRPr="0051003F">
        <w:rPr>
          <w:lang w:val="pl-PL"/>
        </w:rPr>
        <w:lastRenderedPageBreak/>
        <w:t>W sprawie A i B przeciwko Norwegii</w:t>
      </w:r>
      <w:r w:rsidR="00014566" w:rsidRPr="0051003F">
        <w:rPr>
          <w:lang w:val="pl-PL"/>
        </w:rPr>
        <w:t>,</w:t>
      </w:r>
    </w:p>
    <w:p w:rsidR="00014566" w:rsidRPr="0051003F" w:rsidRDefault="001B14A9" w:rsidP="00A7252F">
      <w:pPr>
        <w:pStyle w:val="ECHRPara"/>
        <w:rPr>
          <w:lang w:val="pl-PL"/>
        </w:rPr>
      </w:pPr>
      <w:r w:rsidRPr="0051003F">
        <w:rPr>
          <w:lang w:val="pl-PL"/>
        </w:rPr>
        <w:t>Europejski Trybunał Praw Człowieka, zasiadając jako Wielka Izba w składzie:</w:t>
      </w:r>
    </w:p>
    <w:p w:rsidR="00014566" w:rsidRPr="0051003F" w:rsidRDefault="00003542" w:rsidP="00A7252F">
      <w:pPr>
        <w:pStyle w:val="ECHRDecisionBody"/>
        <w:rPr>
          <w:lang w:val="pl-PL"/>
        </w:rPr>
      </w:pPr>
      <w:r w:rsidRPr="0051003F">
        <w:rPr>
          <w:lang w:val="pl-PL"/>
        </w:rPr>
        <w:tab/>
        <w:t xml:space="preserve">Guido </w:t>
      </w:r>
      <w:proofErr w:type="spellStart"/>
      <w:r w:rsidRPr="0051003F">
        <w:rPr>
          <w:lang w:val="pl-PL"/>
        </w:rPr>
        <w:t>Raimondi</w:t>
      </w:r>
      <w:proofErr w:type="spellEnd"/>
      <w:r w:rsidRPr="0051003F">
        <w:rPr>
          <w:lang w:val="pl-PL"/>
        </w:rPr>
        <w:t>,</w:t>
      </w:r>
      <w:r w:rsidRPr="0051003F">
        <w:rPr>
          <w:i/>
          <w:lang w:val="pl-PL"/>
        </w:rPr>
        <w:t xml:space="preserve"> P</w:t>
      </w:r>
      <w:r w:rsidR="001B14A9" w:rsidRPr="0051003F">
        <w:rPr>
          <w:i/>
          <w:lang w:val="pl-PL"/>
        </w:rPr>
        <w:t>rzewodniczący</w:t>
      </w:r>
      <w:r w:rsidRPr="0051003F">
        <w:rPr>
          <w:i/>
          <w:lang w:val="pl-PL"/>
        </w:rPr>
        <w:t>,</w:t>
      </w:r>
      <w:r w:rsidRPr="0051003F">
        <w:rPr>
          <w:i/>
          <w:lang w:val="pl-PL"/>
        </w:rPr>
        <w:br/>
      </w:r>
      <w:r w:rsidRPr="0051003F">
        <w:rPr>
          <w:lang w:val="pl-PL"/>
        </w:rPr>
        <w:tab/>
      </w:r>
      <w:proofErr w:type="spellStart"/>
      <w:r w:rsidRPr="0051003F">
        <w:rPr>
          <w:lang w:val="pl-PL"/>
        </w:rPr>
        <w:t>Işıl</w:t>
      </w:r>
      <w:proofErr w:type="spellEnd"/>
      <w:r w:rsidRPr="0051003F">
        <w:rPr>
          <w:lang w:val="pl-PL"/>
        </w:rPr>
        <w:t xml:space="preserve"> </w:t>
      </w:r>
      <w:proofErr w:type="spellStart"/>
      <w:r w:rsidRPr="0051003F">
        <w:rPr>
          <w:lang w:val="pl-PL"/>
        </w:rPr>
        <w:t>Karakaş</w:t>
      </w:r>
      <w:proofErr w:type="spellEnd"/>
      <w:r w:rsidRPr="0051003F">
        <w:rPr>
          <w:lang w:val="pl-PL"/>
        </w:rPr>
        <w:t>,</w:t>
      </w:r>
      <w:r w:rsidRPr="0051003F">
        <w:rPr>
          <w:i/>
          <w:lang w:val="pl-PL"/>
        </w:rPr>
        <w:br/>
      </w:r>
      <w:r w:rsidRPr="0051003F">
        <w:rPr>
          <w:lang w:val="pl-PL"/>
        </w:rPr>
        <w:tab/>
        <w:t xml:space="preserve">Luis </w:t>
      </w:r>
      <w:proofErr w:type="spellStart"/>
      <w:r w:rsidRPr="0051003F">
        <w:rPr>
          <w:lang w:val="pl-PL"/>
        </w:rPr>
        <w:t>López</w:t>
      </w:r>
      <w:proofErr w:type="spellEnd"/>
      <w:r w:rsidRPr="0051003F">
        <w:rPr>
          <w:lang w:val="pl-PL"/>
        </w:rPr>
        <w:t xml:space="preserve"> </w:t>
      </w:r>
      <w:proofErr w:type="spellStart"/>
      <w:r w:rsidRPr="0051003F">
        <w:rPr>
          <w:lang w:val="pl-PL"/>
        </w:rPr>
        <w:t>Guerra</w:t>
      </w:r>
      <w:proofErr w:type="spellEnd"/>
      <w:r w:rsidRPr="0051003F">
        <w:rPr>
          <w:lang w:val="pl-PL"/>
        </w:rPr>
        <w:t>,</w:t>
      </w:r>
      <w:r w:rsidRPr="0051003F">
        <w:rPr>
          <w:i/>
          <w:lang w:val="pl-PL"/>
        </w:rPr>
        <w:br/>
      </w:r>
      <w:r w:rsidRPr="0051003F">
        <w:rPr>
          <w:lang w:val="pl-PL"/>
        </w:rPr>
        <w:tab/>
      </w:r>
      <w:proofErr w:type="spellStart"/>
      <w:r w:rsidRPr="0051003F">
        <w:rPr>
          <w:lang w:val="pl-PL"/>
        </w:rPr>
        <w:t>Mirjana</w:t>
      </w:r>
      <w:proofErr w:type="spellEnd"/>
      <w:r w:rsidRPr="0051003F">
        <w:rPr>
          <w:lang w:val="pl-PL"/>
        </w:rPr>
        <w:t xml:space="preserve"> </w:t>
      </w:r>
      <w:proofErr w:type="spellStart"/>
      <w:r w:rsidRPr="0051003F">
        <w:rPr>
          <w:lang w:val="pl-PL"/>
        </w:rPr>
        <w:t>Lazarova</w:t>
      </w:r>
      <w:proofErr w:type="spellEnd"/>
      <w:r w:rsidRPr="0051003F">
        <w:rPr>
          <w:lang w:val="pl-PL"/>
        </w:rPr>
        <w:t xml:space="preserve"> </w:t>
      </w:r>
      <w:proofErr w:type="spellStart"/>
      <w:r w:rsidRPr="0051003F">
        <w:rPr>
          <w:lang w:val="pl-PL"/>
        </w:rPr>
        <w:t>Trajkovska</w:t>
      </w:r>
      <w:proofErr w:type="spellEnd"/>
      <w:r w:rsidRPr="0051003F">
        <w:rPr>
          <w:lang w:val="pl-PL"/>
        </w:rPr>
        <w:t>,</w:t>
      </w:r>
      <w:r w:rsidRPr="0051003F">
        <w:rPr>
          <w:i/>
          <w:lang w:val="pl-PL"/>
        </w:rPr>
        <w:br/>
      </w:r>
      <w:r w:rsidRPr="0051003F">
        <w:rPr>
          <w:lang w:val="pl-PL"/>
        </w:rPr>
        <w:tab/>
        <w:t xml:space="preserve">Angelika </w:t>
      </w:r>
      <w:proofErr w:type="spellStart"/>
      <w:r w:rsidRPr="0051003F">
        <w:rPr>
          <w:lang w:val="pl-PL"/>
        </w:rPr>
        <w:t>Nußberger</w:t>
      </w:r>
      <w:proofErr w:type="spellEnd"/>
      <w:r w:rsidRPr="0051003F">
        <w:rPr>
          <w:lang w:val="pl-PL"/>
        </w:rPr>
        <w:t>,</w:t>
      </w:r>
      <w:r w:rsidRPr="0051003F">
        <w:rPr>
          <w:i/>
          <w:lang w:val="pl-PL"/>
        </w:rPr>
        <w:br/>
      </w:r>
      <w:r w:rsidRPr="0051003F">
        <w:rPr>
          <w:lang w:val="pl-PL"/>
        </w:rPr>
        <w:tab/>
      </w:r>
      <w:proofErr w:type="spellStart"/>
      <w:r w:rsidRPr="0051003F">
        <w:rPr>
          <w:lang w:val="pl-PL"/>
        </w:rPr>
        <w:t>Boštjan</w:t>
      </w:r>
      <w:proofErr w:type="spellEnd"/>
      <w:r w:rsidRPr="0051003F">
        <w:rPr>
          <w:lang w:val="pl-PL"/>
        </w:rPr>
        <w:t xml:space="preserve"> M. </w:t>
      </w:r>
      <w:proofErr w:type="spellStart"/>
      <w:r w:rsidRPr="0051003F">
        <w:rPr>
          <w:lang w:val="pl-PL"/>
        </w:rPr>
        <w:t>Zupančič</w:t>
      </w:r>
      <w:proofErr w:type="spellEnd"/>
      <w:r w:rsidRPr="0051003F">
        <w:rPr>
          <w:lang w:val="pl-PL"/>
        </w:rPr>
        <w:t>,</w:t>
      </w:r>
      <w:r w:rsidRPr="0051003F">
        <w:rPr>
          <w:i/>
          <w:lang w:val="pl-PL"/>
        </w:rPr>
        <w:br/>
      </w:r>
      <w:r w:rsidRPr="0051003F">
        <w:rPr>
          <w:lang w:val="pl-PL"/>
        </w:rPr>
        <w:tab/>
      </w:r>
      <w:proofErr w:type="spellStart"/>
      <w:r w:rsidRPr="0051003F">
        <w:rPr>
          <w:lang w:val="pl-PL"/>
        </w:rPr>
        <w:t>Khanlar</w:t>
      </w:r>
      <w:proofErr w:type="spellEnd"/>
      <w:r w:rsidRPr="0051003F">
        <w:rPr>
          <w:lang w:val="pl-PL"/>
        </w:rPr>
        <w:t xml:space="preserve"> </w:t>
      </w:r>
      <w:proofErr w:type="spellStart"/>
      <w:r w:rsidRPr="0051003F">
        <w:rPr>
          <w:lang w:val="pl-PL"/>
        </w:rPr>
        <w:t>Hajiyev</w:t>
      </w:r>
      <w:proofErr w:type="spellEnd"/>
      <w:r w:rsidRPr="0051003F">
        <w:rPr>
          <w:lang w:val="pl-PL"/>
        </w:rPr>
        <w:t>,</w:t>
      </w:r>
      <w:r w:rsidRPr="0051003F">
        <w:rPr>
          <w:i/>
          <w:lang w:val="pl-PL"/>
        </w:rPr>
        <w:br/>
      </w:r>
      <w:r w:rsidRPr="0051003F">
        <w:rPr>
          <w:lang w:val="pl-PL"/>
        </w:rPr>
        <w:tab/>
      </w:r>
      <w:proofErr w:type="spellStart"/>
      <w:r w:rsidRPr="0051003F">
        <w:rPr>
          <w:lang w:val="pl-PL"/>
        </w:rPr>
        <w:t>Kristina</w:t>
      </w:r>
      <w:proofErr w:type="spellEnd"/>
      <w:r w:rsidRPr="0051003F">
        <w:rPr>
          <w:lang w:val="pl-PL"/>
        </w:rPr>
        <w:t xml:space="preserve"> </w:t>
      </w:r>
      <w:proofErr w:type="spellStart"/>
      <w:r w:rsidRPr="0051003F">
        <w:rPr>
          <w:lang w:val="pl-PL"/>
        </w:rPr>
        <w:t>Pardalos</w:t>
      </w:r>
      <w:proofErr w:type="spellEnd"/>
      <w:r w:rsidRPr="0051003F">
        <w:rPr>
          <w:lang w:val="pl-PL"/>
        </w:rPr>
        <w:t>,</w:t>
      </w:r>
      <w:r w:rsidRPr="0051003F">
        <w:rPr>
          <w:i/>
          <w:lang w:val="pl-PL"/>
        </w:rPr>
        <w:br/>
      </w:r>
      <w:r w:rsidRPr="0051003F">
        <w:rPr>
          <w:lang w:val="pl-PL"/>
        </w:rPr>
        <w:tab/>
        <w:t xml:space="preserve">Julia </w:t>
      </w:r>
      <w:proofErr w:type="spellStart"/>
      <w:r w:rsidRPr="0051003F">
        <w:rPr>
          <w:lang w:val="pl-PL"/>
        </w:rPr>
        <w:t>Laffranque</w:t>
      </w:r>
      <w:proofErr w:type="spellEnd"/>
      <w:r w:rsidRPr="0051003F">
        <w:rPr>
          <w:lang w:val="pl-PL"/>
        </w:rPr>
        <w:t>,</w:t>
      </w:r>
      <w:r w:rsidRPr="0051003F">
        <w:rPr>
          <w:i/>
          <w:lang w:val="pl-PL"/>
        </w:rPr>
        <w:br/>
      </w:r>
      <w:r w:rsidRPr="0051003F">
        <w:rPr>
          <w:lang w:val="pl-PL"/>
        </w:rPr>
        <w:tab/>
        <w:t xml:space="preserve">Paulo </w:t>
      </w:r>
      <w:proofErr w:type="spellStart"/>
      <w:r w:rsidRPr="0051003F">
        <w:rPr>
          <w:lang w:val="pl-PL"/>
        </w:rPr>
        <w:t>Pinto</w:t>
      </w:r>
      <w:proofErr w:type="spellEnd"/>
      <w:r w:rsidRPr="0051003F">
        <w:rPr>
          <w:lang w:val="pl-PL"/>
        </w:rPr>
        <w:t xml:space="preserve"> de Albuquerque,</w:t>
      </w:r>
      <w:r w:rsidRPr="0051003F">
        <w:rPr>
          <w:i/>
          <w:lang w:val="pl-PL"/>
        </w:rPr>
        <w:br/>
      </w:r>
      <w:r w:rsidRPr="0051003F">
        <w:rPr>
          <w:lang w:val="pl-PL"/>
        </w:rPr>
        <w:tab/>
      </w:r>
      <w:proofErr w:type="spellStart"/>
      <w:r w:rsidRPr="0051003F">
        <w:rPr>
          <w:lang w:val="pl-PL"/>
        </w:rPr>
        <w:t>Linos-Alexandre</w:t>
      </w:r>
      <w:proofErr w:type="spellEnd"/>
      <w:r w:rsidRPr="0051003F">
        <w:rPr>
          <w:lang w:val="pl-PL"/>
        </w:rPr>
        <w:t xml:space="preserve"> </w:t>
      </w:r>
      <w:proofErr w:type="spellStart"/>
      <w:r w:rsidRPr="0051003F">
        <w:rPr>
          <w:lang w:val="pl-PL"/>
        </w:rPr>
        <w:t>Sicilianos</w:t>
      </w:r>
      <w:proofErr w:type="spellEnd"/>
      <w:r w:rsidRPr="0051003F">
        <w:rPr>
          <w:lang w:val="pl-PL"/>
        </w:rPr>
        <w:t>,</w:t>
      </w:r>
      <w:r w:rsidRPr="0051003F">
        <w:rPr>
          <w:i/>
          <w:lang w:val="pl-PL"/>
        </w:rPr>
        <w:br/>
      </w:r>
      <w:r w:rsidRPr="0051003F">
        <w:rPr>
          <w:lang w:val="pl-PL"/>
        </w:rPr>
        <w:tab/>
        <w:t xml:space="preserve">Paul </w:t>
      </w:r>
      <w:proofErr w:type="spellStart"/>
      <w:r w:rsidRPr="0051003F">
        <w:rPr>
          <w:lang w:val="pl-PL"/>
        </w:rPr>
        <w:t>Lemmens</w:t>
      </w:r>
      <w:proofErr w:type="spellEnd"/>
      <w:r w:rsidRPr="0051003F">
        <w:rPr>
          <w:lang w:val="pl-PL"/>
        </w:rPr>
        <w:t>,</w:t>
      </w:r>
      <w:r w:rsidRPr="0051003F">
        <w:rPr>
          <w:i/>
          <w:lang w:val="pl-PL"/>
        </w:rPr>
        <w:br/>
      </w:r>
      <w:r w:rsidRPr="0051003F">
        <w:rPr>
          <w:lang w:val="pl-PL"/>
        </w:rPr>
        <w:tab/>
        <w:t xml:space="preserve">Paul </w:t>
      </w:r>
      <w:proofErr w:type="spellStart"/>
      <w:r w:rsidRPr="0051003F">
        <w:rPr>
          <w:lang w:val="pl-PL"/>
        </w:rPr>
        <w:t>Mahoney</w:t>
      </w:r>
      <w:proofErr w:type="spellEnd"/>
      <w:r w:rsidRPr="0051003F">
        <w:rPr>
          <w:lang w:val="pl-PL"/>
        </w:rPr>
        <w:t>,</w:t>
      </w:r>
      <w:r w:rsidRPr="0051003F">
        <w:rPr>
          <w:i/>
          <w:lang w:val="pl-PL"/>
        </w:rPr>
        <w:br/>
      </w:r>
      <w:r w:rsidRPr="0051003F">
        <w:rPr>
          <w:lang w:val="pl-PL"/>
        </w:rPr>
        <w:tab/>
      </w:r>
      <w:proofErr w:type="spellStart"/>
      <w:r w:rsidRPr="0051003F">
        <w:rPr>
          <w:lang w:val="pl-PL"/>
        </w:rPr>
        <w:t>Yonko</w:t>
      </w:r>
      <w:proofErr w:type="spellEnd"/>
      <w:r w:rsidRPr="0051003F">
        <w:rPr>
          <w:lang w:val="pl-PL"/>
        </w:rPr>
        <w:t xml:space="preserve"> </w:t>
      </w:r>
      <w:proofErr w:type="spellStart"/>
      <w:r w:rsidRPr="0051003F">
        <w:rPr>
          <w:lang w:val="pl-PL"/>
        </w:rPr>
        <w:t>Grozev</w:t>
      </w:r>
      <w:proofErr w:type="spellEnd"/>
      <w:r w:rsidRPr="0051003F">
        <w:rPr>
          <w:lang w:val="pl-PL"/>
        </w:rPr>
        <w:t>,</w:t>
      </w:r>
      <w:r w:rsidRPr="0051003F">
        <w:rPr>
          <w:i/>
          <w:lang w:val="pl-PL"/>
        </w:rPr>
        <w:br/>
      </w:r>
      <w:r w:rsidRPr="0051003F">
        <w:rPr>
          <w:lang w:val="pl-PL"/>
        </w:rPr>
        <w:tab/>
      </w:r>
      <w:proofErr w:type="spellStart"/>
      <w:r w:rsidRPr="0051003F">
        <w:rPr>
          <w:lang w:val="pl-PL"/>
        </w:rPr>
        <w:t>Armen</w:t>
      </w:r>
      <w:proofErr w:type="spellEnd"/>
      <w:r w:rsidRPr="0051003F">
        <w:rPr>
          <w:lang w:val="pl-PL"/>
        </w:rPr>
        <w:t xml:space="preserve"> </w:t>
      </w:r>
      <w:proofErr w:type="spellStart"/>
      <w:r w:rsidRPr="0051003F">
        <w:rPr>
          <w:lang w:val="pl-PL"/>
        </w:rPr>
        <w:t>Harutyunyan</w:t>
      </w:r>
      <w:proofErr w:type="spellEnd"/>
      <w:r w:rsidRPr="0051003F">
        <w:rPr>
          <w:lang w:val="pl-PL"/>
        </w:rPr>
        <w:t>,</w:t>
      </w:r>
      <w:r w:rsidRPr="0051003F">
        <w:rPr>
          <w:i/>
          <w:lang w:val="pl-PL"/>
        </w:rPr>
        <w:br/>
      </w:r>
      <w:r w:rsidRPr="0051003F">
        <w:rPr>
          <w:lang w:val="pl-PL"/>
        </w:rPr>
        <w:tab/>
        <w:t xml:space="preserve">Gabriele </w:t>
      </w:r>
      <w:proofErr w:type="spellStart"/>
      <w:r w:rsidRPr="0051003F">
        <w:rPr>
          <w:lang w:val="pl-PL"/>
        </w:rPr>
        <w:t>Kucsko-Stadlmayer</w:t>
      </w:r>
      <w:proofErr w:type="spellEnd"/>
      <w:r w:rsidRPr="0051003F">
        <w:rPr>
          <w:lang w:val="pl-PL"/>
        </w:rPr>
        <w:t>,</w:t>
      </w:r>
      <w:r w:rsidRPr="0051003F">
        <w:rPr>
          <w:i/>
          <w:lang w:val="pl-PL"/>
        </w:rPr>
        <w:t xml:space="preserve"> </w:t>
      </w:r>
      <w:r w:rsidR="001B14A9" w:rsidRPr="0051003F">
        <w:rPr>
          <w:i/>
          <w:lang w:val="pl-PL"/>
        </w:rPr>
        <w:t>sędziowie</w:t>
      </w:r>
      <w:r w:rsidRPr="0051003F">
        <w:rPr>
          <w:i/>
          <w:lang w:val="pl-PL"/>
        </w:rPr>
        <w:t>,</w:t>
      </w:r>
      <w:r w:rsidRPr="0051003F">
        <w:rPr>
          <w:i/>
          <w:lang w:val="pl-PL"/>
        </w:rPr>
        <w:br/>
      </w:r>
      <w:r w:rsidRPr="0051003F">
        <w:rPr>
          <w:lang w:val="pl-PL"/>
        </w:rPr>
        <w:tab/>
        <w:t xml:space="preserve">Dag </w:t>
      </w:r>
      <w:proofErr w:type="spellStart"/>
      <w:r w:rsidRPr="0051003F">
        <w:rPr>
          <w:lang w:val="pl-PL"/>
        </w:rPr>
        <w:t>Bugge</w:t>
      </w:r>
      <w:proofErr w:type="spellEnd"/>
      <w:r w:rsidRPr="0051003F">
        <w:rPr>
          <w:lang w:val="pl-PL"/>
        </w:rPr>
        <w:t xml:space="preserve"> </w:t>
      </w:r>
      <w:proofErr w:type="spellStart"/>
      <w:r w:rsidRPr="0051003F">
        <w:rPr>
          <w:lang w:val="pl-PL"/>
        </w:rPr>
        <w:t>Nordén</w:t>
      </w:r>
      <w:proofErr w:type="spellEnd"/>
      <w:r w:rsidRPr="0051003F">
        <w:rPr>
          <w:lang w:val="pl-PL"/>
        </w:rPr>
        <w:t>,</w:t>
      </w:r>
      <w:r w:rsidRPr="0051003F">
        <w:rPr>
          <w:i/>
          <w:lang w:val="pl-PL"/>
        </w:rPr>
        <w:t xml:space="preserve"> </w:t>
      </w:r>
      <w:r w:rsidR="001B14A9" w:rsidRPr="0051003F">
        <w:rPr>
          <w:i/>
          <w:lang w:val="pl-PL"/>
        </w:rPr>
        <w:t xml:space="preserve">sędzia </w:t>
      </w:r>
      <w:r w:rsidRPr="0051003F">
        <w:rPr>
          <w:lang w:val="pl-PL"/>
        </w:rPr>
        <w:t>ad hoc</w:t>
      </w:r>
      <w:r w:rsidRPr="0051003F">
        <w:rPr>
          <w:i/>
          <w:lang w:val="pl-PL"/>
        </w:rPr>
        <w:t xml:space="preserve"> ,</w:t>
      </w:r>
      <w:r w:rsidRPr="0051003F">
        <w:rPr>
          <w:i/>
          <w:lang w:val="pl-PL"/>
        </w:rPr>
        <w:br/>
      </w:r>
      <w:r w:rsidR="001B14A9" w:rsidRPr="0051003F">
        <w:rPr>
          <w:lang w:val="pl-PL"/>
        </w:rPr>
        <w:t xml:space="preserve">oraz </w:t>
      </w:r>
      <w:r w:rsidR="00B01E1B" w:rsidRPr="0051003F">
        <w:rPr>
          <w:lang w:val="pl-PL"/>
        </w:rPr>
        <w:t xml:space="preserve">Lawrence </w:t>
      </w:r>
      <w:proofErr w:type="spellStart"/>
      <w:r w:rsidR="00B01E1B" w:rsidRPr="0051003F">
        <w:rPr>
          <w:lang w:val="pl-PL"/>
        </w:rPr>
        <w:t>Early</w:t>
      </w:r>
      <w:proofErr w:type="spellEnd"/>
      <w:r w:rsidR="001B14A9" w:rsidRPr="0051003F">
        <w:rPr>
          <w:lang w:val="pl-PL"/>
        </w:rPr>
        <w:t>,</w:t>
      </w:r>
      <w:r w:rsidR="001B14A9" w:rsidRPr="0051003F">
        <w:rPr>
          <w:i/>
          <w:lang w:val="pl-PL"/>
        </w:rPr>
        <w:t xml:space="preserve"> </w:t>
      </w:r>
      <w:r w:rsidR="002C43D3" w:rsidRPr="0051003F">
        <w:rPr>
          <w:i/>
          <w:lang w:val="pl-PL"/>
        </w:rPr>
        <w:t>konsultant</w:t>
      </w:r>
      <w:r w:rsidR="001B14A9" w:rsidRPr="0051003F">
        <w:rPr>
          <w:i/>
          <w:lang w:val="pl-PL"/>
        </w:rPr>
        <w:t xml:space="preserve"> prawny</w:t>
      </w:r>
      <w:r w:rsidR="00014566" w:rsidRPr="0051003F">
        <w:rPr>
          <w:i/>
          <w:lang w:val="pl-PL"/>
        </w:rPr>
        <w:t>,</w:t>
      </w:r>
    </w:p>
    <w:p w:rsidR="002E6FFD" w:rsidRPr="0051003F" w:rsidRDefault="001B14A9" w:rsidP="00A7252F">
      <w:pPr>
        <w:pStyle w:val="ECHRPara"/>
        <w:rPr>
          <w:lang w:val="pl-PL"/>
        </w:rPr>
      </w:pPr>
      <w:r w:rsidRPr="0051003F">
        <w:rPr>
          <w:lang w:val="pl-PL"/>
        </w:rPr>
        <w:t>Obradując na posiedzeniu niejawnym w dniach: 13 stycznia i 12 września 2016 r</w:t>
      </w:r>
      <w:r w:rsidR="00CB5C03">
        <w:rPr>
          <w:lang w:val="pl-PL"/>
        </w:rPr>
        <w:t>oku</w:t>
      </w:r>
      <w:r w:rsidRPr="0051003F">
        <w:rPr>
          <w:lang w:val="pl-PL"/>
        </w:rPr>
        <w:t>,</w:t>
      </w:r>
    </w:p>
    <w:p w:rsidR="00014566" w:rsidRPr="0051003F" w:rsidRDefault="001B14A9" w:rsidP="00A7252F">
      <w:pPr>
        <w:pStyle w:val="ECHRPara"/>
        <w:rPr>
          <w:lang w:val="pl-PL"/>
        </w:rPr>
      </w:pPr>
      <w:r w:rsidRPr="0051003F">
        <w:rPr>
          <w:lang w:val="pl-PL"/>
        </w:rPr>
        <w:t>Wydaje następujący wyrok, przyjęty w tym dniu</w:t>
      </w:r>
      <w:r w:rsidR="00014566" w:rsidRPr="0051003F">
        <w:rPr>
          <w:lang w:val="pl-PL"/>
        </w:rPr>
        <w:t>:</w:t>
      </w:r>
    </w:p>
    <w:p w:rsidR="00014566" w:rsidRPr="0051003F" w:rsidRDefault="001B14A9" w:rsidP="00A7252F">
      <w:pPr>
        <w:pStyle w:val="ECHRTitle1"/>
        <w:rPr>
          <w:lang w:val="pl-PL"/>
        </w:rPr>
      </w:pPr>
      <w:r w:rsidRPr="0051003F">
        <w:rPr>
          <w:lang w:val="pl-PL"/>
        </w:rPr>
        <w:t>POSTĘPOWANIE</w:t>
      </w:r>
    </w:p>
    <w:p w:rsidR="00014566" w:rsidRPr="0051003F" w:rsidRDefault="003745E5" w:rsidP="00A7252F">
      <w:pPr>
        <w:pStyle w:val="ECHRPara"/>
        <w:rPr>
          <w:lang w:val="pl-PL"/>
        </w:rPr>
      </w:pPr>
      <w:r w:rsidRPr="0051003F">
        <w:rPr>
          <w:lang w:val="pl-PL"/>
        </w:rPr>
        <w:fldChar w:fldCharType="begin"/>
      </w:r>
      <w:r w:rsidR="00E97440" w:rsidRPr="0051003F">
        <w:rPr>
          <w:lang w:val="pl-PL"/>
        </w:rPr>
        <w:instrText xml:space="preserve"> SEQ level0 \*arabic </w:instrText>
      </w:r>
      <w:r w:rsidRPr="0051003F">
        <w:rPr>
          <w:lang w:val="pl-PL"/>
        </w:rPr>
        <w:fldChar w:fldCharType="separate"/>
      </w:r>
      <w:r w:rsidR="009F11DD" w:rsidRPr="0051003F">
        <w:rPr>
          <w:noProof/>
          <w:lang w:val="pl-PL"/>
        </w:rPr>
        <w:t>1</w:t>
      </w:r>
      <w:r w:rsidRPr="0051003F">
        <w:rPr>
          <w:lang w:val="pl-PL"/>
        </w:rPr>
        <w:fldChar w:fldCharType="end"/>
      </w:r>
      <w:r w:rsidR="00014566" w:rsidRPr="0051003F">
        <w:rPr>
          <w:lang w:val="pl-PL"/>
        </w:rPr>
        <w:t>.  </w:t>
      </w:r>
      <w:r w:rsidR="001B14A9" w:rsidRPr="0051003F">
        <w:rPr>
          <w:lang w:val="pl-PL"/>
        </w:rPr>
        <w:t>Sprawa wywodzi się z dwóch skarg (</w:t>
      </w:r>
      <w:r w:rsidR="00C50018" w:rsidRPr="0051003F">
        <w:rPr>
          <w:lang w:val="pl-PL"/>
        </w:rPr>
        <w:t xml:space="preserve">skargi </w:t>
      </w:r>
      <w:r w:rsidR="001B14A9" w:rsidRPr="0051003F">
        <w:rPr>
          <w:lang w:val="pl-PL"/>
        </w:rPr>
        <w:t>nr</w:t>
      </w:r>
      <w:r w:rsidR="00F615DC" w:rsidRPr="0051003F">
        <w:rPr>
          <w:lang w:val="pl-PL"/>
        </w:rPr>
        <w:t> </w:t>
      </w:r>
      <w:r w:rsidR="00E97440" w:rsidRPr="0051003F">
        <w:rPr>
          <w:lang w:val="pl-PL"/>
        </w:rPr>
        <w:t>24130/11</w:t>
      </w:r>
      <w:r w:rsidR="001B14A9" w:rsidRPr="0051003F">
        <w:rPr>
          <w:lang w:val="pl-PL"/>
        </w:rPr>
        <w:t xml:space="preserve"> oraz nr </w:t>
      </w:r>
      <w:r w:rsidR="00F92B14" w:rsidRPr="0051003F">
        <w:rPr>
          <w:lang w:val="pl-PL"/>
        </w:rPr>
        <w:t>29758/11</w:t>
      </w:r>
      <w:r w:rsidR="00E97440" w:rsidRPr="0051003F">
        <w:rPr>
          <w:lang w:val="pl-PL"/>
        </w:rPr>
        <w:t>)</w:t>
      </w:r>
      <w:r w:rsidR="00014566" w:rsidRPr="0051003F">
        <w:rPr>
          <w:lang w:val="pl-PL"/>
        </w:rPr>
        <w:t xml:space="preserve"> </w:t>
      </w:r>
      <w:r w:rsidR="00163451" w:rsidRPr="0051003F">
        <w:rPr>
          <w:lang w:val="pl-PL"/>
        </w:rPr>
        <w:t>wniesionych</w:t>
      </w:r>
      <w:r w:rsidR="001B14A9" w:rsidRPr="0051003F">
        <w:rPr>
          <w:lang w:val="pl-PL"/>
        </w:rPr>
        <w:t xml:space="preserve"> do Trybunału przeciwko Królestwu Norwegii, na podstawie artykułu </w:t>
      </w:r>
      <w:r w:rsidR="00E97440" w:rsidRPr="0051003F">
        <w:rPr>
          <w:lang w:val="pl-PL"/>
        </w:rPr>
        <w:t>34</w:t>
      </w:r>
      <w:r w:rsidR="00014566" w:rsidRPr="0051003F">
        <w:rPr>
          <w:lang w:val="pl-PL"/>
        </w:rPr>
        <w:t xml:space="preserve"> </w:t>
      </w:r>
      <w:r w:rsidR="001B14A9" w:rsidRPr="0051003F">
        <w:rPr>
          <w:lang w:val="pl-PL"/>
        </w:rPr>
        <w:t>Konwencji o ochronie praw człowieka i podstawowych wo</w:t>
      </w:r>
      <w:r w:rsidR="00163451" w:rsidRPr="0051003F">
        <w:rPr>
          <w:lang w:val="pl-PL"/>
        </w:rPr>
        <w:t>l</w:t>
      </w:r>
      <w:r w:rsidR="001B14A9" w:rsidRPr="0051003F">
        <w:rPr>
          <w:lang w:val="pl-PL"/>
        </w:rPr>
        <w:t>ności</w:t>
      </w:r>
      <w:r w:rsidR="00163451" w:rsidRPr="0051003F">
        <w:rPr>
          <w:lang w:val="pl-PL"/>
        </w:rPr>
        <w:t xml:space="preserve"> („Konwencja”), w dniu 28 marca 2011 r</w:t>
      </w:r>
      <w:r w:rsidR="009606CB">
        <w:rPr>
          <w:lang w:val="pl-PL"/>
        </w:rPr>
        <w:t>oku</w:t>
      </w:r>
      <w:r w:rsidR="00163451" w:rsidRPr="0051003F">
        <w:rPr>
          <w:lang w:val="pl-PL"/>
        </w:rPr>
        <w:t xml:space="preserve"> ora</w:t>
      </w:r>
      <w:r w:rsidR="00C50018" w:rsidRPr="0051003F">
        <w:rPr>
          <w:lang w:val="pl-PL"/>
        </w:rPr>
        <w:t>z w dniu 26 kwietnia 2011 roku</w:t>
      </w:r>
      <w:r w:rsidR="00163451" w:rsidRPr="0051003F">
        <w:rPr>
          <w:lang w:val="pl-PL"/>
        </w:rPr>
        <w:t xml:space="preserve">, przez dwóch obywateli norweskich, </w:t>
      </w:r>
      <w:r w:rsidR="00C50018" w:rsidRPr="0051003F">
        <w:rPr>
          <w:lang w:val="pl-PL"/>
        </w:rPr>
        <w:t xml:space="preserve">odpowiednio, </w:t>
      </w:r>
      <w:r w:rsidR="00163451" w:rsidRPr="0051003F">
        <w:rPr>
          <w:lang w:val="pl-PL"/>
        </w:rPr>
        <w:t xml:space="preserve">Pana A oraz Pana B („skarżący”). Przewodniczący Wielkiej Izby przychylił się do wniosku </w:t>
      </w:r>
      <w:r w:rsidR="006477C8" w:rsidRPr="0051003F">
        <w:rPr>
          <w:lang w:val="pl-PL"/>
        </w:rPr>
        <w:t>skarżących, co</w:t>
      </w:r>
      <w:r w:rsidR="00163451" w:rsidRPr="0051003F">
        <w:rPr>
          <w:lang w:val="pl-PL"/>
        </w:rPr>
        <w:t xml:space="preserve"> do nieujawniania ich tożsamości</w:t>
      </w:r>
      <w:r w:rsidR="0051003F">
        <w:rPr>
          <w:lang w:val="pl-PL"/>
        </w:rPr>
        <w:t xml:space="preserve"> (R</w:t>
      </w:r>
      <w:r w:rsidR="00163451" w:rsidRPr="0051003F">
        <w:rPr>
          <w:lang w:val="pl-PL"/>
        </w:rPr>
        <w:t>eguła</w:t>
      </w:r>
      <w:r w:rsidR="00E97440" w:rsidRPr="0051003F">
        <w:rPr>
          <w:lang w:val="pl-PL"/>
        </w:rPr>
        <w:t xml:space="preserve"> 47 § 4 </w:t>
      </w:r>
      <w:r w:rsidR="00163451" w:rsidRPr="0051003F">
        <w:rPr>
          <w:lang w:val="pl-PL"/>
        </w:rPr>
        <w:t>Regulaminu Trybunału</w:t>
      </w:r>
      <w:r w:rsidR="00E97440" w:rsidRPr="0051003F">
        <w:rPr>
          <w:lang w:val="pl-PL"/>
        </w:rPr>
        <w:t>).</w:t>
      </w:r>
    </w:p>
    <w:p w:rsidR="00E97440" w:rsidRPr="0051003F" w:rsidRDefault="003745E5" w:rsidP="00A7252F">
      <w:pPr>
        <w:pStyle w:val="ECHRPara"/>
        <w:rPr>
          <w:lang w:val="pl-PL"/>
        </w:rPr>
      </w:pPr>
      <w:r w:rsidRPr="0051003F">
        <w:rPr>
          <w:lang w:val="pl-PL"/>
        </w:rPr>
        <w:fldChar w:fldCharType="begin"/>
      </w:r>
      <w:r w:rsidR="00E97440" w:rsidRPr="0051003F">
        <w:rPr>
          <w:lang w:val="pl-PL"/>
        </w:rPr>
        <w:instrText xml:space="preserve"> SEQ level0 \*arabic </w:instrText>
      </w:r>
      <w:r w:rsidRPr="0051003F">
        <w:rPr>
          <w:lang w:val="pl-PL"/>
        </w:rPr>
        <w:fldChar w:fldCharType="separate"/>
      </w:r>
      <w:r w:rsidR="009F11DD" w:rsidRPr="0051003F">
        <w:rPr>
          <w:noProof/>
          <w:lang w:val="pl-PL"/>
        </w:rPr>
        <w:t>2</w:t>
      </w:r>
      <w:r w:rsidRPr="0051003F">
        <w:rPr>
          <w:lang w:val="pl-PL"/>
        </w:rPr>
        <w:fldChar w:fldCharType="end"/>
      </w:r>
      <w:r w:rsidR="00014566" w:rsidRPr="0051003F">
        <w:rPr>
          <w:lang w:val="pl-PL"/>
        </w:rPr>
        <w:t>.  </w:t>
      </w:r>
      <w:r w:rsidR="00163451" w:rsidRPr="0051003F">
        <w:rPr>
          <w:lang w:val="pl-PL"/>
        </w:rPr>
        <w:t xml:space="preserve">Skarżący byli reprezentowani przez Pana </w:t>
      </w:r>
      <w:r w:rsidR="00F92B14" w:rsidRPr="0051003F">
        <w:rPr>
          <w:lang w:val="pl-PL"/>
        </w:rPr>
        <w:t>R.</w:t>
      </w:r>
      <w:r w:rsidR="00E97440" w:rsidRPr="0051003F">
        <w:rPr>
          <w:lang w:val="pl-PL"/>
        </w:rPr>
        <w:t xml:space="preserve"> </w:t>
      </w:r>
      <w:proofErr w:type="spellStart"/>
      <w:r w:rsidR="00E97440" w:rsidRPr="0051003F">
        <w:rPr>
          <w:lang w:val="pl-PL"/>
        </w:rPr>
        <w:t>Kjeldahl</w:t>
      </w:r>
      <w:proofErr w:type="spellEnd"/>
      <w:r w:rsidR="00E97440" w:rsidRPr="0051003F">
        <w:rPr>
          <w:lang w:val="pl-PL"/>
        </w:rPr>
        <w:t xml:space="preserve">, </w:t>
      </w:r>
      <w:r w:rsidR="00163451" w:rsidRPr="0051003F">
        <w:rPr>
          <w:lang w:val="pl-PL"/>
        </w:rPr>
        <w:t xml:space="preserve">prawnika prowadzącego praktykę w Oslo. Rząd norweski („Rząd”) był reprezentowany przez, </w:t>
      </w:r>
      <w:r w:rsidR="00262493">
        <w:rPr>
          <w:lang w:val="pl-PL"/>
        </w:rPr>
        <w:t>kolejno</w:t>
      </w:r>
      <w:r w:rsidR="00163451" w:rsidRPr="0051003F">
        <w:rPr>
          <w:lang w:val="pl-PL"/>
        </w:rPr>
        <w:t xml:space="preserve">, Pana </w:t>
      </w:r>
      <w:r w:rsidR="00163451" w:rsidRPr="0051003F">
        <w:rPr>
          <w:rFonts w:cs="Times New Roman"/>
          <w:lang w:val="pl-PL"/>
        </w:rPr>
        <w:t xml:space="preserve">M. </w:t>
      </w:r>
      <w:proofErr w:type="spellStart"/>
      <w:r w:rsidR="00163451" w:rsidRPr="0051003F">
        <w:rPr>
          <w:rFonts w:cs="Times New Roman"/>
          <w:lang w:val="pl-PL"/>
        </w:rPr>
        <w:t>Emberland</w:t>
      </w:r>
      <w:proofErr w:type="spellEnd"/>
      <w:r w:rsidR="00163451" w:rsidRPr="0051003F">
        <w:rPr>
          <w:rFonts w:cs="Times New Roman"/>
          <w:lang w:val="pl-PL"/>
        </w:rPr>
        <w:t>, Pana</w:t>
      </w:r>
      <w:r w:rsidR="00DE1B55" w:rsidRPr="0051003F">
        <w:rPr>
          <w:rFonts w:cs="Times New Roman"/>
          <w:lang w:val="pl-PL"/>
        </w:rPr>
        <w:t xml:space="preserve"> C. </w:t>
      </w:r>
      <w:proofErr w:type="spellStart"/>
      <w:r w:rsidR="00DE1B55" w:rsidRPr="0051003F">
        <w:rPr>
          <w:rFonts w:cs="Times New Roman"/>
          <w:lang w:val="pl-PL"/>
        </w:rPr>
        <w:t>Reusch</w:t>
      </w:r>
      <w:proofErr w:type="spellEnd"/>
      <w:r w:rsidR="00DE1B55" w:rsidRPr="0051003F">
        <w:rPr>
          <w:rFonts w:cs="Times New Roman"/>
          <w:lang w:val="pl-PL"/>
        </w:rPr>
        <w:t xml:space="preserve"> </w:t>
      </w:r>
      <w:r w:rsidR="00163451" w:rsidRPr="0051003F">
        <w:rPr>
          <w:rFonts w:cs="Times New Roman"/>
          <w:lang w:val="pl-PL"/>
        </w:rPr>
        <w:t xml:space="preserve">oraz </w:t>
      </w:r>
      <w:r w:rsidR="00262493">
        <w:rPr>
          <w:rFonts w:cs="Times New Roman"/>
          <w:lang w:val="pl-PL"/>
        </w:rPr>
        <w:t>ponownie</w:t>
      </w:r>
      <w:r w:rsidR="00262493" w:rsidRPr="0051003F">
        <w:rPr>
          <w:rFonts w:cs="Times New Roman"/>
          <w:lang w:val="pl-PL"/>
        </w:rPr>
        <w:t xml:space="preserve"> </w:t>
      </w:r>
      <w:r w:rsidR="00163451" w:rsidRPr="0051003F">
        <w:rPr>
          <w:rFonts w:cs="Times New Roman"/>
          <w:lang w:val="pl-PL"/>
        </w:rPr>
        <w:t xml:space="preserve">przez Pana </w:t>
      </w:r>
      <w:proofErr w:type="spellStart"/>
      <w:r w:rsidR="00DE1B55" w:rsidRPr="0051003F">
        <w:rPr>
          <w:rFonts w:cs="Times New Roman"/>
          <w:lang w:val="pl-PL"/>
        </w:rPr>
        <w:t>Emberland</w:t>
      </w:r>
      <w:proofErr w:type="spellEnd"/>
      <w:r w:rsidR="00DE1B55" w:rsidRPr="0051003F">
        <w:rPr>
          <w:rFonts w:cs="Times New Roman"/>
          <w:lang w:val="pl-PL"/>
        </w:rPr>
        <w:t xml:space="preserve">, </w:t>
      </w:r>
      <w:r w:rsidR="00163451" w:rsidRPr="0051003F">
        <w:rPr>
          <w:rFonts w:cs="Times New Roman"/>
          <w:lang w:val="pl-PL"/>
        </w:rPr>
        <w:t>z Biura Prokuratora Generalnego</w:t>
      </w:r>
      <w:r w:rsidR="00DE1B55" w:rsidRPr="0051003F">
        <w:rPr>
          <w:rFonts w:cs="Times New Roman"/>
          <w:lang w:val="pl-PL"/>
        </w:rPr>
        <w:t xml:space="preserve"> (</w:t>
      </w:r>
      <w:r w:rsidR="00163451" w:rsidRPr="0051003F">
        <w:rPr>
          <w:rFonts w:cs="Times New Roman"/>
          <w:lang w:val="pl-PL"/>
        </w:rPr>
        <w:t>sprawy cywilne</w:t>
      </w:r>
      <w:r w:rsidR="00DE1B55" w:rsidRPr="0051003F">
        <w:rPr>
          <w:rFonts w:cs="Times New Roman"/>
          <w:lang w:val="pl-PL"/>
        </w:rPr>
        <w:t>),</w:t>
      </w:r>
      <w:r w:rsidR="00163451" w:rsidRPr="0051003F">
        <w:rPr>
          <w:rFonts w:cs="Times New Roman"/>
          <w:lang w:val="pl-PL"/>
        </w:rPr>
        <w:t xml:space="preserve"> jako swoich pełnomocników</w:t>
      </w:r>
      <w:r w:rsidR="00DE1B55" w:rsidRPr="0051003F">
        <w:rPr>
          <w:rFonts w:cs="Times New Roman"/>
          <w:lang w:val="pl-PL"/>
        </w:rPr>
        <w:t>.</w:t>
      </w:r>
    </w:p>
    <w:p w:rsidR="00E97440" w:rsidRPr="0051003F" w:rsidRDefault="003745E5" w:rsidP="00A7252F">
      <w:pPr>
        <w:pStyle w:val="ECHRPara"/>
        <w:rPr>
          <w:lang w:val="pl-PL"/>
        </w:rPr>
      </w:pPr>
      <w:r w:rsidRPr="0051003F">
        <w:rPr>
          <w:lang w:val="pl-PL"/>
        </w:rPr>
        <w:fldChar w:fldCharType="begin"/>
      </w:r>
      <w:r w:rsidR="00E97440" w:rsidRPr="0051003F">
        <w:rPr>
          <w:lang w:val="pl-PL"/>
        </w:rPr>
        <w:instrText xml:space="preserve"> SEQ level0 \*arabic </w:instrText>
      </w:r>
      <w:r w:rsidRPr="0051003F">
        <w:rPr>
          <w:lang w:val="pl-PL"/>
        </w:rPr>
        <w:fldChar w:fldCharType="separate"/>
      </w:r>
      <w:r w:rsidR="009F11DD" w:rsidRPr="0051003F">
        <w:rPr>
          <w:noProof/>
          <w:lang w:val="pl-PL"/>
        </w:rPr>
        <w:t>3</w:t>
      </w:r>
      <w:r w:rsidRPr="0051003F">
        <w:rPr>
          <w:lang w:val="pl-PL"/>
        </w:rPr>
        <w:fldChar w:fldCharType="end"/>
      </w:r>
      <w:r w:rsidR="00E97440" w:rsidRPr="0051003F">
        <w:rPr>
          <w:lang w:val="pl-PL"/>
        </w:rPr>
        <w:t>.</w:t>
      </w:r>
      <w:r w:rsidR="00E97440" w:rsidRPr="0051003F">
        <w:rPr>
          <w:rFonts w:ascii="Times New (W1)" w:hAnsi="Times New (W1)"/>
          <w:lang w:val="pl-PL"/>
        </w:rPr>
        <w:t>  </w:t>
      </w:r>
      <w:r w:rsidR="00163451" w:rsidRPr="0051003F">
        <w:rPr>
          <w:rFonts w:ascii="Times New (W1)" w:hAnsi="Times New (W1)"/>
          <w:lang w:val="pl-PL"/>
        </w:rPr>
        <w:t>Pan</w:t>
      </w:r>
      <w:r w:rsidR="00F92B14" w:rsidRPr="0051003F">
        <w:rPr>
          <w:rFonts w:ascii="Times New (W1)" w:hAnsi="Times New (W1)"/>
          <w:lang w:val="pl-PL"/>
        </w:rPr>
        <w:t xml:space="preserve"> Erik </w:t>
      </w:r>
      <w:proofErr w:type="spellStart"/>
      <w:r w:rsidR="00F92B14" w:rsidRPr="0051003F">
        <w:rPr>
          <w:rFonts w:ascii="Times New (W1)" w:hAnsi="Times New (W1)"/>
          <w:lang w:val="pl-PL"/>
        </w:rPr>
        <w:t>Møse</w:t>
      </w:r>
      <w:proofErr w:type="spellEnd"/>
      <w:r w:rsidR="00E97440" w:rsidRPr="0051003F">
        <w:rPr>
          <w:lang w:val="pl-PL"/>
        </w:rPr>
        <w:t xml:space="preserve">, </w:t>
      </w:r>
      <w:r w:rsidR="00C50018" w:rsidRPr="0051003F">
        <w:rPr>
          <w:lang w:val="pl-PL"/>
        </w:rPr>
        <w:t>pełniący funkcję sędziego z ramienia Norwegii nie mógł uczestniczyć w rozpatrywaniu sprawy</w:t>
      </w:r>
      <w:r w:rsidR="00F92B14" w:rsidRPr="0051003F">
        <w:rPr>
          <w:lang w:val="pl-PL"/>
        </w:rPr>
        <w:t xml:space="preserve"> </w:t>
      </w:r>
      <w:r w:rsidR="0051003F">
        <w:rPr>
          <w:lang w:val="pl-PL"/>
        </w:rPr>
        <w:t>(R</w:t>
      </w:r>
      <w:r w:rsidR="00C50018" w:rsidRPr="0051003F">
        <w:rPr>
          <w:lang w:val="pl-PL"/>
        </w:rPr>
        <w:t>eguła</w:t>
      </w:r>
      <w:r w:rsidR="00E97440" w:rsidRPr="0051003F">
        <w:rPr>
          <w:lang w:val="pl-PL"/>
        </w:rPr>
        <w:t xml:space="preserve"> 28). </w:t>
      </w:r>
      <w:r w:rsidR="00C50018" w:rsidRPr="0051003F">
        <w:rPr>
          <w:lang w:val="pl-PL"/>
        </w:rPr>
        <w:t xml:space="preserve">W dniu 20 lutego </w:t>
      </w:r>
      <w:r w:rsidR="00C50018" w:rsidRPr="0051003F">
        <w:rPr>
          <w:lang w:val="pl-PL"/>
        </w:rPr>
        <w:lastRenderedPageBreak/>
        <w:t>2015 r</w:t>
      </w:r>
      <w:r w:rsidR="00262493">
        <w:rPr>
          <w:lang w:val="pl-PL"/>
        </w:rPr>
        <w:t>oku</w:t>
      </w:r>
      <w:r w:rsidR="00C50018" w:rsidRPr="0051003F">
        <w:rPr>
          <w:lang w:val="pl-PL"/>
        </w:rPr>
        <w:t xml:space="preserve">, Przewodniczący Izby mianował Pana </w:t>
      </w:r>
      <w:r w:rsidR="00722B62" w:rsidRPr="0051003F">
        <w:rPr>
          <w:lang w:val="pl-PL"/>
        </w:rPr>
        <w:t>Dag</w:t>
      </w:r>
      <w:r w:rsidR="00C50018" w:rsidRPr="0051003F">
        <w:rPr>
          <w:lang w:val="pl-PL"/>
        </w:rPr>
        <w:t>a</w:t>
      </w:r>
      <w:r w:rsidR="00722B62" w:rsidRPr="0051003F">
        <w:rPr>
          <w:lang w:val="pl-PL"/>
        </w:rPr>
        <w:t xml:space="preserve"> </w:t>
      </w:r>
      <w:proofErr w:type="spellStart"/>
      <w:r w:rsidR="00722B62" w:rsidRPr="0051003F">
        <w:rPr>
          <w:lang w:val="pl-PL"/>
        </w:rPr>
        <w:t>Bugge</w:t>
      </w:r>
      <w:proofErr w:type="spellEnd"/>
      <w:r w:rsidR="00722B62" w:rsidRPr="0051003F">
        <w:rPr>
          <w:lang w:val="pl-PL"/>
        </w:rPr>
        <w:t xml:space="preserve"> </w:t>
      </w:r>
      <w:proofErr w:type="spellStart"/>
      <w:r w:rsidR="00722B62" w:rsidRPr="0051003F">
        <w:rPr>
          <w:lang w:val="pl-PL"/>
        </w:rPr>
        <w:t>Nordén</w:t>
      </w:r>
      <w:r w:rsidR="00C50018" w:rsidRPr="0051003F">
        <w:rPr>
          <w:lang w:val="pl-PL"/>
        </w:rPr>
        <w:t>a</w:t>
      </w:r>
      <w:proofErr w:type="spellEnd"/>
      <w:r w:rsidR="00C50018" w:rsidRPr="0051003F">
        <w:rPr>
          <w:lang w:val="pl-PL"/>
        </w:rPr>
        <w:t xml:space="preserve">, aby </w:t>
      </w:r>
      <w:r w:rsidR="00262493">
        <w:rPr>
          <w:lang w:val="pl-PL"/>
        </w:rPr>
        <w:t>zajął</w:t>
      </w:r>
      <w:r w:rsidR="00C50018" w:rsidRPr="0051003F">
        <w:rPr>
          <w:lang w:val="pl-PL"/>
        </w:rPr>
        <w:t xml:space="preserve"> jego miejsce, jako sędzia </w:t>
      </w:r>
      <w:r w:rsidR="00C50018" w:rsidRPr="0051003F">
        <w:rPr>
          <w:i/>
          <w:lang w:val="pl-PL"/>
        </w:rPr>
        <w:t>ad hoc</w:t>
      </w:r>
      <w:r w:rsidR="00262493">
        <w:rPr>
          <w:i/>
          <w:lang w:val="pl-PL"/>
        </w:rPr>
        <w:t xml:space="preserve"> </w:t>
      </w:r>
      <w:r w:rsidR="00E97440" w:rsidRPr="0051003F">
        <w:rPr>
          <w:color w:val="000000"/>
          <w:lang w:val="pl-PL"/>
        </w:rPr>
        <w:t>(</w:t>
      </w:r>
      <w:r w:rsidR="00C03ACD">
        <w:rPr>
          <w:lang w:val="pl-PL"/>
        </w:rPr>
        <w:t>art.</w:t>
      </w:r>
      <w:r w:rsidR="00C03ACD" w:rsidRPr="0051003F">
        <w:rPr>
          <w:lang w:val="pl-PL"/>
        </w:rPr>
        <w:t xml:space="preserve"> </w:t>
      </w:r>
      <w:r w:rsidR="003A22D1" w:rsidRPr="0051003F">
        <w:rPr>
          <w:lang w:val="pl-PL"/>
        </w:rPr>
        <w:t>26 ust.</w:t>
      </w:r>
      <w:r w:rsidR="00722B62" w:rsidRPr="0051003F">
        <w:rPr>
          <w:lang w:val="pl-PL"/>
        </w:rPr>
        <w:t xml:space="preserve"> 4 </w:t>
      </w:r>
      <w:r w:rsidR="0051003F">
        <w:rPr>
          <w:lang w:val="pl-PL"/>
        </w:rPr>
        <w:t>Konwencji oraz R</w:t>
      </w:r>
      <w:r w:rsidR="003A22D1" w:rsidRPr="0051003F">
        <w:rPr>
          <w:lang w:val="pl-PL"/>
        </w:rPr>
        <w:t>eguła</w:t>
      </w:r>
      <w:r w:rsidR="00E97440" w:rsidRPr="0051003F">
        <w:rPr>
          <w:color w:val="000000"/>
          <w:lang w:val="pl-PL"/>
        </w:rPr>
        <w:t xml:space="preserve"> 29)</w:t>
      </w:r>
      <w:r w:rsidR="00722B62" w:rsidRPr="0051003F">
        <w:rPr>
          <w:color w:val="000000"/>
          <w:lang w:val="pl-PL"/>
        </w:rPr>
        <w:t>.</w:t>
      </w:r>
    </w:p>
    <w:p w:rsidR="00ED7842" w:rsidRPr="0051003F" w:rsidRDefault="003745E5" w:rsidP="00A7252F">
      <w:pPr>
        <w:pStyle w:val="ECHRPara"/>
        <w:rPr>
          <w:lang w:val="pl-PL"/>
        </w:rPr>
      </w:pPr>
      <w:r w:rsidRPr="0051003F">
        <w:rPr>
          <w:lang w:val="pl-PL"/>
        </w:rPr>
        <w:fldChar w:fldCharType="begin"/>
      </w:r>
      <w:r w:rsidR="00E97440" w:rsidRPr="0051003F">
        <w:rPr>
          <w:lang w:val="pl-PL"/>
        </w:rPr>
        <w:instrText xml:space="preserve"> SEQ level0 \*arabic </w:instrText>
      </w:r>
      <w:r w:rsidRPr="0051003F">
        <w:rPr>
          <w:lang w:val="pl-PL"/>
        </w:rPr>
        <w:fldChar w:fldCharType="separate"/>
      </w:r>
      <w:r w:rsidR="009F11DD" w:rsidRPr="0051003F">
        <w:rPr>
          <w:noProof/>
          <w:lang w:val="pl-PL"/>
        </w:rPr>
        <w:t>4</w:t>
      </w:r>
      <w:r w:rsidRPr="0051003F">
        <w:rPr>
          <w:lang w:val="pl-PL"/>
        </w:rPr>
        <w:fldChar w:fldCharType="end"/>
      </w:r>
      <w:r w:rsidR="00E97440" w:rsidRPr="0051003F">
        <w:rPr>
          <w:lang w:val="pl-PL"/>
        </w:rPr>
        <w:t>.  </w:t>
      </w:r>
      <w:r w:rsidR="003A22D1" w:rsidRPr="0051003F">
        <w:rPr>
          <w:lang w:val="pl-PL"/>
        </w:rPr>
        <w:t>Skarżący</w:t>
      </w:r>
      <w:r w:rsidR="00C50018" w:rsidRPr="0051003F">
        <w:rPr>
          <w:lang w:val="pl-PL"/>
        </w:rPr>
        <w:t xml:space="preserve"> zarzucali, w szczególności, że </w:t>
      </w:r>
      <w:r w:rsidR="007D32D4" w:rsidRPr="0051003F">
        <w:rPr>
          <w:lang w:val="pl-PL"/>
        </w:rPr>
        <w:t xml:space="preserve">niezgodnie z </w:t>
      </w:r>
      <w:r w:rsidR="0051003F">
        <w:rPr>
          <w:lang w:val="pl-PL"/>
        </w:rPr>
        <w:t>art.</w:t>
      </w:r>
      <w:r w:rsidR="007D32D4" w:rsidRPr="0051003F">
        <w:rPr>
          <w:lang w:val="pl-PL"/>
        </w:rPr>
        <w:t xml:space="preserve"> 4 Protokołu</w:t>
      </w:r>
      <w:r w:rsidR="00262493">
        <w:rPr>
          <w:lang w:val="pl-PL"/>
        </w:rPr>
        <w:t xml:space="preserve"> nr</w:t>
      </w:r>
      <w:r w:rsidR="007D32D4" w:rsidRPr="0051003F">
        <w:rPr>
          <w:lang w:val="pl-PL"/>
        </w:rPr>
        <w:t xml:space="preserve"> 7, w </w:t>
      </w:r>
      <w:r w:rsidR="003A22D1" w:rsidRPr="0051003F">
        <w:rPr>
          <w:lang w:val="pl-PL"/>
        </w:rPr>
        <w:t>stosunku</w:t>
      </w:r>
      <w:r w:rsidR="007D32D4" w:rsidRPr="0051003F">
        <w:rPr>
          <w:lang w:val="pl-PL"/>
        </w:rPr>
        <w:t xml:space="preserve"> do obydwu z nich toczyły się postępowania karne</w:t>
      </w:r>
      <w:r w:rsidR="005765D2">
        <w:rPr>
          <w:lang w:val="pl-PL"/>
        </w:rPr>
        <w:t xml:space="preserve">, </w:t>
      </w:r>
      <w:r w:rsidR="007D32D4" w:rsidRPr="0051003F">
        <w:rPr>
          <w:lang w:val="pl-PL"/>
        </w:rPr>
        <w:t>za które zostali dwa razy skazani za to samo przestępstwo podatkowe.</w:t>
      </w:r>
    </w:p>
    <w:p w:rsidR="00E97440" w:rsidRPr="0051003F" w:rsidRDefault="003745E5" w:rsidP="00A7252F">
      <w:pPr>
        <w:pStyle w:val="ECHRPara"/>
        <w:rPr>
          <w:lang w:val="pl-PL"/>
        </w:rPr>
      </w:pPr>
      <w:r w:rsidRPr="0051003F">
        <w:rPr>
          <w:lang w:val="pl-PL"/>
        </w:rPr>
        <w:fldChar w:fldCharType="begin"/>
      </w:r>
      <w:r w:rsidR="00E97440" w:rsidRPr="0051003F">
        <w:rPr>
          <w:lang w:val="pl-PL"/>
        </w:rPr>
        <w:instrText xml:space="preserve"> SEQ level0 \*arabic </w:instrText>
      </w:r>
      <w:r w:rsidRPr="0051003F">
        <w:rPr>
          <w:lang w:val="pl-PL"/>
        </w:rPr>
        <w:fldChar w:fldCharType="separate"/>
      </w:r>
      <w:r w:rsidR="009F11DD" w:rsidRPr="0051003F">
        <w:rPr>
          <w:noProof/>
          <w:lang w:val="pl-PL"/>
        </w:rPr>
        <w:t>5</w:t>
      </w:r>
      <w:r w:rsidRPr="0051003F">
        <w:rPr>
          <w:lang w:val="pl-PL"/>
        </w:rPr>
        <w:fldChar w:fldCharType="end"/>
      </w:r>
      <w:r w:rsidR="00014566" w:rsidRPr="0051003F">
        <w:rPr>
          <w:lang w:val="pl-PL"/>
        </w:rPr>
        <w:t>.  </w:t>
      </w:r>
      <w:r w:rsidR="007D32D4" w:rsidRPr="0051003F">
        <w:rPr>
          <w:lang w:val="pl-PL"/>
        </w:rPr>
        <w:t>W dniu 26 listopada 2013 r</w:t>
      </w:r>
      <w:r w:rsidR="005765D2">
        <w:rPr>
          <w:lang w:val="pl-PL"/>
        </w:rPr>
        <w:t>oku</w:t>
      </w:r>
      <w:r w:rsidR="007D32D4" w:rsidRPr="0051003F">
        <w:rPr>
          <w:lang w:val="pl-PL"/>
        </w:rPr>
        <w:t xml:space="preserve">. Izba zdecydowała o połączeniu obydwu skarg skarżących </w:t>
      </w:r>
      <w:r w:rsidR="005765D2">
        <w:rPr>
          <w:lang w:val="pl-PL"/>
        </w:rPr>
        <w:t>o czym zakomunikowano Rządowi.</w:t>
      </w:r>
      <w:r w:rsidR="007D32D4" w:rsidRPr="0051003F">
        <w:rPr>
          <w:lang w:val="pl-PL"/>
        </w:rPr>
        <w:t xml:space="preserve"> </w:t>
      </w:r>
    </w:p>
    <w:p w:rsidR="00393776" w:rsidRPr="0051003F" w:rsidRDefault="003745E5" w:rsidP="00A7252F">
      <w:pPr>
        <w:pStyle w:val="ECHRPara"/>
        <w:rPr>
          <w:lang w:val="pl-PL"/>
        </w:rPr>
      </w:pPr>
      <w:r w:rsidRPr="0051003F">
        <w:rPr>
          <w:lang w:val="pl-PL"/>
        </w:rPr>
        <w:fldChar w:fldCharType="begin"/>
      </w:r>
      <w:r w:rsidR="007715BB" w:rsidRPr="0051003F">
        <w:rPr>
          <w:lang w:val="pl-PL"/>
        </w:rPr>
        <w:instrText xml:space="preserve"> SEQ level0 \*arabic </w:instrText>
      </w:r>
      <w:r w:rsidRPr="0051003F">
        <w:rPr>
          <w:lang w:val="pl-PL"/>
        </w:rPr>
        <w:fldChar w:fldCharType="separate"/>
      </w:r>
      <w:r w:rsidR="009F11DD" w:rsidRPr="0051003F">
        <w:rPr>
          <w:noProof/>
          <w:lang w:val="pl-PL"/>
        </w:rPr>
        <w:t>6</w:t>
      </w:r>
      <w:r w:rsidRPr="0051003F">
        <w:rPr>
          <w:lang w:val="pl-PL"/>
        </w:rPr>
        <w:fldChar w:fldCharType="end"/>
      </w:r>
      <w:r w:rsidR="007715BB" w:rsidRPr="0051003F">
        <w:rPr>
          <w:lang w:val="pl-PL"/>
        </w:rPr>
        <w:t>.  </w:t>
      </w:r>
      <w:r w:rsidR="007D32D4" w:rsidRPr="0051003F">
        <w:rPr>
          <w:lang w:val="pl-PL"/>
        </w:rPr>
        <w:t>Dnia</w:t>
      </w:r>
      <w:r w:rsidR="00393776" w:rsidRPr="0051003F">
        <w:rPr>
          <w:lang w:val="pl-PL"/>
        </w:rPr>
        <w:t xml:space="preserve"> 7</w:t>
      </w:r>
      <w:r w:rsidR="007D32D4" w:rsidRPr="0051003F">
        <w:rPr>
          <w:lang w:val="pl-PL"/>
        </w:rPr>
        <w:t xml:space="preserve"> lipca</w:t>
      </w:r>
      <w:r w:rsidR="00393776" w:rsidRPr="0051003F">
        <w:rPr>
          <w:lang w:val="pl-PL"/>
        </w:rPr>
        <w:t xml:space="preserve"> 2015</w:t>
      </w:r>
      <w:r w:rsidR="007D32D4" w:rsidRPr="0051003F">
        <w:rPr>
          <w:lang w:val="pl-PL"/>
        </w:rPr>
        <w:t xml:space="preserve"> r.</w:t>
      </w:r>
      <w:r w:rsidR="00393776" w:rsidRPr="0051003F">
        <w:rPr>
          <w:lang w:val="pl-PL"/>
        </w:rPr>
        <w:t xml:space="preserve"> </w:t>
      </w:r>
      <w:r w:rsidR="007D32D4" w:rsidRPr="0051003F">
        <w:rPr>
          <w:lang w:val="pl-PL"/>
        </w:rPr>
        <w:t>Sekcja</w:t>
      </w:r>
      <w:r w:rsidR="00C03ACD">
        <w:rPr>
          <w:lang w:val="pl-PL"/>
        </w:rPr>
        <w:t xml:space="preserve"> Pierwsza</w:t>
      </w:r>
      <w:r w:rsidR="007D32D4" w:rsidRPr="0051003F">
        <w:rPr>
          <w:lang w:val="pl-PL"/>
        </w:rPr>
        <w:t xml:space="preserve">, zasiadając jako Izba, w składzie: </w:t>
      </w:r>
      <w:r w:rsidR="00044E98" w:rsidRPr="0051003F">
        <w:rPr>
          <w:lang w:val="pl-PL"/>
        </w:rPr>
        <w:t xml:space="preserve">Isabelle </w:t>
      </w:r>
      <w:proofErr w:type="spellStart"/>
      <w:r w:rsidR="00044E98" w:rsidRPr="0051003F">
        <w:rPr>
          <w:lang w:val="pl-PL"/>
        </w:rPr>
        <w:t>Berro</w:t>
      </w:r>
      <w:proofErr w:type="spellEnd"/>
      <w:r w:rsidR="00044E98" w:rsidRPr="0051003F">
        <w:rPr>
          <w:lang w:val="pl-PL"/>
        </w:rPr>
        <w:t>, P</w:t>
      </w:r>
      <w:r w:rsidR="007D32D4" w:rsidRPr="0051003F">
        <w:rPr>
          <w:lang w:val="pl-PL"/>
        </w:rPr>
        <w:t>rzewodnicząca</w:t>
      </w:r>
      <w:r w:rsidR="00044E98" w:rsidRPr="0051003F">
        <w:rPr>
          <w:lang w:val="pl-PL"/>
        </w:rPr>
        <w:t xml:space="preserve">, </w:t>
      </w:r>
      <w:proofErr w:type="spellStart"/>
      <w:r w:rsidR="00044E98" w:rsidRPr="0051003F">
        <w:rPr>
          <w:lang w:val="pl-PL"/>
        </w:rPr>
        <w:t>Khanlar</w:t>
      </w:r>
      <w:proofErr w:type="spellEnd"/>
      <w:r w:rsidR="00044E98" w:rsidRPr="0051003F">
        <w:rPr>
          <w:lang w:val="pl-PL"/>
        </w:rPr>
        <w:t xml:space="preserve"> </w:t>
      </w:r>
      <w:proofErr w:type="spellStart"/>
      <w:r w:rsidR="00044E98" w:rsidRPr="0051003F">
        <w:rPr>
          <w:lang w:val="pl-PL"/>
        </w:rPr>
        <w:t>Hajiyev</w:t>
      </w:r>
      <w:proofErr w:type="spellEnd"/>
      <w:r w:rsidR="00044E98" w:rsidRPr="0051003F">
        <w:rPr>
          <w:lang w:val="pl-PL"/>
        </w:rPr>
        <w:t xml:space="preserve">, </w:t>
      </w:r>
      <w:proofErr w:type="spellStart"/>
      <w:r w:rsidR="00044E98" w:rsidRPr="0051003F">
        <w:rPr>
          <w:lang w:val="pl-PL"/>
        </w:rPr>
        <w:t>Mirjana</w:t>
      </w:r>
      <w:proofErr w:type="spellEnd"/>
      <w:r w:rsidR="00044E98" w:rsidRPr="0051003F">
        <w:rPr>
          <w:lang w:val="pl-PL"/>
        </w:rPr>
        <w:t xml:space="preserve"> </w:t>
      </w:r>
      <w:proofErr w:type="spellStart"/>
      <w:r w:rsidR="00044E98" w:rsidRPr="0051003F">
        <w:rPr>
          <w:lang w:val="pl-PL"/>
        </w:rPr>
        <w:t>Lazarova</w:t>
      </w:r>
      <w:proofErr w:type="spellEnd"/>
      <w:r w:rsidR="00044E98" w:rsidRPr="0051003F">
        <w:rPr>
          <w:lang w:val="pl-PL"/>
        </w:rPr>
        <w:t xml:space="preserve"> </w:t>
      </w:r>
      <w:proofErr w:type="spellStart"/>
      <w:r w:rsidR="00044E98" w:rsidRPr="0051003F">
        <w:rPr>
          <w:lang w:val="pl-PL"/>
        </w:rPr>
        <w:t>Trajkovska</w:t>
      </w:r>
      <w:proofErr w:type="spellEnd"/>
      <w:r w:rsidR="00044E98" w:rsidRPr="0051003F">
        <w:rPr>
          <w:lang w:val="pl-PL"/>
        </w:rPr>
        <w:t xml:space="preserve">, Julia </w:t>
      </w:r>
      <w:proofErr w:type="spellStart"/>
      <w:r w:rsidR="00044E98" w:rsidRPr="0051003F">
        <w:rPr>
          <w:lang w:val="pl-PL"/>
        </w:rPr>
        <w:t>Laffranque</w:t>
      </w:r>
      <w:proofErr w:type="spellEnd"/>
      <w:r w:rsidR="00044E98" w:rsidRPr="0051003F">
        <w:rPr>
          <w:lang w:val="pl-PL"/>
        </w:rPr>
        <w:t xml:space="preserve">, Paulo </w:t>
      </w:r>
      <w:proofErr w:type="spellStart"/>
      <w:r w:rsidR="00044E98" w:rsidRPr="0051003F">
        <w:rPr>
          <w:lang w:val="pl-PL"/>
        </w:rPr>
        <w:t>Pinto</w:t>
      </w:r>
      <w:proofErr w:type="spellEnd"/>
      <w:r w:rsidR="00044E98" w:rsidRPr="0051003F">
        <w:rPr>
          <w:lang w:val="pl-PL"/>
        </w:rPr>
        <w:t xml:space="preserve"> de Albuquerque, </w:t>
      </w:r>
      <w:proofErr w:type="spellStart"/>
      <w:r w:rsidR="00044E98" w:rsidRPr="0051003F">
        <w:rPr>
          <w:lang w:val="pl-PL"/>
        </w:rPr>
        <w:t>Linos-Alexandre</w:t>
      </w:r>
      <w:proofErr w:type="spellEnd"/>
      <w:r w:rsidR="00044E98" w:rsidRPr="0051003F">
        <w:rPr>
          <w:lang w:val="pl-PL"/>
        </w:rPr>
        <w:t xml:space="preserve"> </w:t>
      </w:r>
      <w:proofErr w:type="spellStart"/>
      <w:r w:rsidR="00044E98" w:rsidRPr="0051003F">
        <w:rPr>
          <w:lang w:val="pl-PL"/>
        </w:rPr>
        <w:t>Sicilianos</w:t>
      </w:r>
      <w:proofErr w:type="spellEnd"/>
      <w:r w:rsidR="007715BB" w:rsidRPr="0051003F">
        <w:rPr>
          <w:lang w:val="pl-PL"/>
        </w:rPr>
        <w:t xml:space="preserve"> and </w:t>
      </w:r>
      <w:proofErr w:type="spellStart"/>
      <w:r w:rsidR="00044E98" w:rsidRPr="0051003F">
        <w:rPr>
          <w:lang w:val="pl-PL"/>
        </w:rPr>
        <w:t>Ksenija</w:t>
      </w:r>
      <w:proofErr w:type="spellEnd"/>
      <w:r w:rsidR="00044E98" w:rsidRPr="0051003F">
        <w:rPr>
          <w:lang w:val="pl-PL"/>
        </w:rPr>
        <w:t xml:space="preserve"> </w:t>
      </w:r>
      <w:proofErr w:type="spellStart"/>
      <w:r w:rsidR="00044E98" w:rsidRPr="0051003F">
        <w:rPr>
          <w:lang w:val="pl-PL"/>
        </w:rPr>
        <w:t>Turković</w:t>
      </w:r>
      <w:proofErr w:type="spellEnd"/>
      <w:r w:rsidR="00044E98" w:rsidRPr="0051003F">
        <w:rPr>
          <w:lang w:val="pl-PL"/>
        </w:rPr>
        <w:t xml:space="preserve">, </w:t>
      </w:r>
      <w:r w:rsidR="007D32D4" w:rsidRPr="0051003F">
        <w:rPr>
          <w:lang w:val="pl-PL"/>
        </w:rPr>
        <w:t>sędziowie</w:t>
      </w:r>
      <w:r w:rsidR="00044E98" w:rsidRPr="0051003F">
        <w:rPr>
          <w:lang w:val="pl-PL"/>
        </w:rPr>
        <w:t>,</w:t>
      </w:r>
      <w:r w:rsidR="00393776" w:rsidRPr="0051003F">
        <w:rPr>
          <w:lang w:val="pl-PL"/>
        </w:rPr>
        <w:t xml:space="preserve"> and</w:t>
      </w:r>
      <w:r w:rsidR="00393776" w:rsidRPr="0051003F">
        <w:rPr>
          <w:szCs w:val="24"/>
          <w:lang w:val="pl-PL"/>
        </w:rPr>
        <w:t xml:space="preserve"> </w:t>
      </w:r>
      <w:proofErr w:type="spellStart"/>
      <w:r w:rsidR="00393776" w:rsidRPr="0051003F">
        <w:rPr>
          <w:szCs w:val="24"/>
          <w:lang w:val="pl-PL"/>
        </w:rPr>
        <w:t>Søren</w:t>
      </w:r>
      <w:proofErr w:type="spellEnd"/>
      <w:r w:rsidR="00393776" w:rsidRPr="0051003F">
        <w:rPr>
          <w:szCs w:val="24"/>
          <w:lang w:val="pl-PL"/>
        </w:rPr>
        <w:t xml:space="preserve"> Nielsen</w:t>
      </w:r>
      <w:r w:rsidR="00393776" w:rsidRPr="0051003F">
        <w:rPr>
          <w:lang w:val="pl-PL"/>
        </w:rPr>
        <w:t xml:space="preserve">, </w:t>
      </w:r>
      <w:r w:rsidR="007D32D4" w:rsidRPr="0051003F">
        <w:rPr>
          <w:lang w:val="pl-PL"/>
        </w:rPr>
        <w:t>kanclerz sekcji</w:t>
      </w:r>
      <w:r w:rsidR="00393776" w:rsidRPr="0051003F">
        <w:rPr>
          <w:lang w:val="pl-PL"/>
        </w:rPr>
        <w:t>,</w:t>
      </w:r>
      <w:r w:rsidR="007D32D4" w:rsidRPr="0051003F">
        <w:rPr>
          <w:lang w:val="pl-PL"/>
        </w:rPr>
        <w:t xml:space="preserve"> przekazała sprawę pod jurysdykcję Wielkiej Izby, żadna ze stron nie wniosła </w:t>
      </w:r>
      <w:r w:rsidR="00C03ACD">
        <w:rPr>
          <w:lang w:val="pl-PL"/>
        </w:rPr>
        <w:t xml:space="preserve">co do tego </w:t>
      </w:r>
      <w:r w:rsidR="0051003F" w:rsidRPr="0051003F">
        <w:rPr>
          <w:lang w:val="pl-PL"/>
        </w:rPr>
        <w:t>sprzeciwu</w:t>
      </w:r>
      <w:r w:rsidR="007D32D4" w:rsidRPr="0051003F">
        <w:rPr>
          <w:lang w:val="pl-PL"/>
        </w:rPr>
        <w:t xml:space="preserve"> </w:t>
      </w:r>
      <w:r w:rsidR="00393776" w:rsidRPr="0051003F">
        <w:rPr>
          <w:lang w:val="pl-PL"/>
        </w:rPr>
        <w:t>(</w:t>
      </w:r>
      <w:r w:rsidR="00C03ACD">
        <w:rPr>
          <w:lang w:val="pl-PL"/>
        </w:rPr>
        <w:t xml:space="preserve">art. </w:t>
      </w:r>
      <w:r w:rsidR="0051003F">
        <w:rPr>
          <w:lang w:val="pl-PL"/>
        </w:rPr>
        <w:t>30 Konwencji i R</w:t>
      </w:r>
      <w:r w:rsidR="007D32D4" w:rsidRPr="0051003F">
        <w:rPr>
          <w:lang w:val="pl-PL"/>
        </w:rPr>
        <w:t>eguła</w:t>
      </w:r>
      <w:r w:rsidR="00393776" w:rsidRPr="0051003F">
        <w:rPr>
          <w:lang w:val="pl-PL"/>
        </w:rPr>
        <w:t xml:space="preserve"> 72).</w:t>
      </w:r>
    </w:p>
    <w:p w:rsidR="004F74E6" w:rsidRPr="0051003F" w:rsidRDefault="003745E5" w:rsidP="00A7252F">
      <w:pPr>
        <w:pStyle w:val="ECHRPara"/>
        <w:rPr>
          <w:lang w:val="pl-PL"/>
        </w:rPr>
      </w:pPr>
      <w:r w:rsidRPr="0051003F">
        <w:rPr>
          <w:lang w:val="pl-PL"/>
        </w:rPr>
        <w:fldChar w:fldCharType="begin"/>
      </w:r>
      <w:r w:rsidR="0003046E" w:rsidRPr="0051003F">
        <w:rPr>
          <w:lang w:val="pl-PL"/>
        </w:rPr>
        <w:instrText xml:space="preserve"> SEQ level0 \*arabic </w:instrText>
      </w:r>
      <w:r w:rsidRPr="0051003F">
        <w:rPr>
          <w:lang w:val="pl-PL"/>
        </w:rPr>
        <w:fldChar w:fldCharType="separate"/>
      </w:r>
      <w:r w:rsidR="009F11DD" w:rsidRPr="0051003F">
        <w:rPr>
          <w:noProof/>
          <w:lang w:val="pl-PL"/>
        </w:rPr>
        <w:t>7</w:t>
      </w:r>
      <w:r w:rsidRPr="0051003F">
        <w:rPr>
          <w:noProof/>
          <w:lang w:val="pl-PL"/>
        </w:rPr>
        <w:fldChar w:fldCharType="end"/>
      </w:r>
      <w:r w:rsidR="00393776" w:rsidRPr="0051003F">
        <w:rPr>
          <w:lang w:val="pl-PL"/>
        </w:rPr>
        <w:t>.  </w:t>
      </w:r>
      <w:r w:rsidR="00191C6B" w:rsidRPr="0051003F">
        <w:rPr>
          <w:lang w:val="pl-PL"/>
        </w:rPr>
        <w:t>Skład Wielki</w:t>
      </w:r>
      <w:r w:rsidR="00861A31" w:rsidRPr="0051003F">
        <w:rPr>
          <w:lang w:val="pl-PL"/>
        </w:rPr>
        <w:t>e</w:t>
      </w:r>
      <w:r w:rsidR="00191C6B" w:rsidRPr="0051003F">
        <w:rPr>
          <w:lang w:val="pl-PL"/>
        </w:rPr>
        <w:t xml:space="preserve">j Izby </w:t>
      </w:r>
      <w:r w:rsidR="00861A31" w:rsidRPr="0051003F">
        <w:rPr>
          <w:lang w:val="pl-PL"/>
        </w:rPr>
        <w:t>został powołany zgodnie</w:t>
      </w:r>
      <w:r w:rsidR="00344C18" w:rsidRPr="0051003F">
        <w:rPr>
          <w:lang w:val="pl-PL"/>
        </w:rPr>
        <w:t xml:space="preserve"> z </w:t>
      </w:r>
      <w:r w:rsidR="00C03ACD">
        <w:rPr>
          <w:lang w:val="pl-PL"/>
        </w:rPr>
        <w:t>art.</w:t>
      </w:r>
      <w:r w:rsidR="00C03ACD" w:rsidRPr="0051003F">
        <w:rPr>
          <w:lang w:val="pl-PL"/>
        </w:rPr>
        <w:t xml:space="preserve"> </w:t>
      </w:r>
      <w:r w:rsidR="00344C18" w:rsidRPr="0051003F">
        <w:rPr>
          <w:lang w:val="pl-PL"/>
        </w:rPr>
        <w:t>26 ust.</w:t>
      </w:r>
      <w:r w:rsidR="00393776" w:rsidRPr="0051003F">
        <w:rPr>
          <w:lang w:val="pl-PL"/>
        </w:rPr>
        <w:t xml:space="preserve"> 4 </w:t>
      </w:r>
      <w:r w:rsidR="00344C18" w:rsidRPr="0051003F">
        <w:rPr>
          <w:lang w:val="pl-PL"/>
        </w:rPr>
        <w:t xml:space="preserve">i ust. 5 Konwencji oraz </w:t>
      </w:r>
      <w:r w:rsidR="00C03ACD">
        <w:rPr>
          <w:lang w:val="pl-PL"/>
        </w:rPr>
        <w:t>R</w:t>
      </w:r>
      <w:r w:rsidR="00344C18" w:rsidRPr="0051003F">
        <w:rPr>
          <w:lang w:val="pl-PL"/>
        </w:rPr>
        <w:t>egułą</w:t>
      </w:r>
      <w:r w:rsidR="00393776" w:rsidRPr="0051003F">
        <w:rPr>
          <w:lang w:val="pl-PL"/>
        </w:rPr>
        <w:t xml:space="preserve"> 24.</w:t>
      </w:r>
      <w:r w:rsidR="00F64168" w:rsidRPr="0051003F">
        <w:rPr>
          <w:lang w:val="pl-PL"/>
        </w:rPr>
        <w:t xml:space="preserve"> </w:t>
      </w:r>
      <w:proofErr w:type="spellStart"/>
      <w:r w:rsidR="00B76D2F" w:rsidRPr="0051003F">
        <w:rPr>
          <w:lang w:val="pl-PL"/>
        </w:rPr>
        <w:t>Andr</w:t>
      </w:r>
      <w:r w:rsidR="00B76D2F" w:rsidRPr="0051003F">
        <w:rPr>
          <w:rFonts w:cstheme="minorHAnsi"/>
          <w:lang w:val="pl-PL"/>
        </w:rPr>
        <w:t>ás</w:t>
      </w:r>
      <w:proofErr w:type="spellEnd"/>
      <w:r w:rsidR="00B76D2F" w:rsidRPr="0051003F">
        <w:rPr>
          <w:rFonts w:cstheme="minorHAnsi"/>
          <w:lang w:val="pl-PL"/>
        </w:rPr>
        <w:t> </w:t>
      </w:r>
      <w:proofErr w:type="spellStart"/>
      <w:r w:rsidR="00B76D2F" w:rsidRPr="0051003F">
        <w:rPr>
          <w:rFonts w:cstheme="minorHAnsi"/>
          <w:lang w:val="pl-PL"/>
        </w:rPr>
        <w:t>Sajó</w:t>
      </w:r>
      <w:proofErr w:type="spellEnd"/>
      <w:r w:rsidR="00B76D2F" w:rsidRPr="0051003F">
        <w:rPr>
          <w:lang w:val="pl-PL"/>
        </w:rPr>
        <w:t xml:space="preserve"> </w:t>
      </w:r>
      <w:r w:rsidR="00344C18" w:rsidRPr="0051003F">
        <w:rPr>
          <w:lang w:val="pl-PL"/>
        </w:rPr>
        <w:t>oraz</w:t>
      </w:r>
      <w:r w:rsidR="004F74E6" w:rsidRPr="0051003F">
        <w:rPr>
          <w:lang w:val="pl-PL"/>
        </w:rPr>
        <w:t xml:space="preserve"> Nona </w:t>
      </w:r>
      <w:proofErr w:type="spellStart"/>
      <w:r w:rsidR="004F74E6" w:rsidRPr="0051003F">
        <w:rPr>
          <w:lang w:val="pl-PL"/>
        </w:rPr>
        <w:t>Tso</w:t>
      </w:r>
      <w:r w:rsidR="00B24CC2" w:rsidRPr="0051003F">
        <w:rPr>
          <w:lang w:val="pl-PL"/>
        </w:rPr>
        <w:t>t</w:t>
      </w:r>
      <w:r w:rsidR="004F74E6" w:rsidRPr="0051003F">
        <w:rPr>
          <w:lang w:val="pl-PL"/>
        </w:rPr>
        <w:t>soria</w:t>
      </w:r>
      <w:proofErr w:type="spellEnd"/>
      <w:r w:rsidR="004F74E6" w:rsidRPr="0051003F">
        <w:rPr>
          <w:lang w:val="pl-PL"/>
        </w:rPr>
        <w:t xml:space="preserve">, </w:t>
      </w:r>
      <w:r w:rsidR="00861A31" w:rsidRPr="0051003F">
        <w:rPr>
          <w:lang w:val="pl-PL"/>
        </w:rPr>
        <w:t xml:space="preserve">którzy w niniejszej sprawie nie mogli zasiadać w składzie </w:t>
      </w:r>
      <w:r w:rsidR="003A22D1" w:rsidRPr="0051003F">
        <w:rPr>
          <w:lang w:val="pl-PL"/>
        </w:rPr>
        <w:t>orzekającym</w:t>
      </w:r>
      <w:r w:rsidR="00861A31" w:rsidRPr="0051003F">
        <w:rPr>
          <w:lang w:val="pl-PL"/>
        </w:rPr>
        <w:t xml:space="preserve">, zostali zastąpieni przez </w:t>
      </w:r>
      <w:proofErr w:type="spellStart"/>
      <w:r w:rsidR="00861A31" w:rsidRPr="0051003F">
        <w:rPr>
          <w:lang w:val="pl-PL"/>
        </w:rPr>
        <w:t>Kristinę</w:t>
      </w:r>
      <w:proofErr w:type="spellEnd"/>
      <w:r w:rsidR="00861A31" w:rsidRPr="0051003F">
        <w:rPr>
          <w:lang w:val="pl-PL"/>
        </w:rPr>
        <w:t xml:space="preserve"> </w:t>
      </w:r>
      <w:proofErr w:type="spellStart"/>
      <w:r w:rsidR="00861A31" w:rsidRPr="0051003F">
        <w:rPr>
          <w:lang w:val="pl-PL"/>
        </w:rPr>
        <w:t>Pardalos</w:t>
      </w:r>
      <w:proofErr w:type="spellEnd"/>
      <w:r w:rsidR="00861A31" w:rsidRPr="0051003F">
        <w:rPr>
          <w:lang w:val="pl-PL"/>
        </w:rPr>
        <w:t xml:space="preserve"> i</w:t>
      </w:r>
      <w:r w:rsidR="004F74E6" w:rsidRPr="0051003F">
        <w:rPr>
          <w:lang w:val="pl-PL"/>
        </w:rPr>
        <w:t xml:space="preserve"> </w:t>
      </w:r>
      <w:proofErr w:type="spellStart"/>
      <w:r w:rsidR="004F74E6" w:rsidRPr="0051003F">
        <w:rPr>
          <w:lang w:val="pl-PL"/>
        </w:rPr>
        <w:t>Armen</w:t>
      </w:r>
      <w:proofErr w:type="spellEnd"/>
      <w:r w:rsidR="004F74E6" w:rsidRPr="0051003F">
        <w:rPr>
          <w:lang w:val="pl-PL"/>
        </w:rPr>
        <w:t xml:space="preserve"> </w:t>
      </w:r>
      <w:proofErr w:type="spellStart"/>
      <w:r w:rsidR="004F74E6" w:rsidRPr="0051003F">
        <w:rPr>
          <w:lang w:val="pl-PL"/>
        </w:rPr>
        <w:t>Harutyunyan</w:t>
      </w:r>
      <w:proofErr w:type="spellEnd"/>
      <w:r w:rsidR="004F74E6" w:rsidRPr="0051003F">
        <w:rPr>
          <w:lang w:val="pl-PL"/>
        </w:rPr>
        <w:t xml:space="preserve">, </w:t>
      </w:r>
      <w:r w:rsidR="00861A31" w:rsidRPr="0051003F">
        <w:rPr>
          <w:lang w:val="pl-PL"/>
        </w:rPr>
        <w:t xml:space="preserve">pierwszego </w:t>
      </w:r>
      <w:r w:rsidR="00131B59">
        <w:rPr>
          <w:lang w:val="pl-PL"/>
        </w:rPr>
        <w:t>i</w:t>
      </w:r>
      <w:r w:rsidR="00861A31" w:rsidRPr="0051003F">
        <w:rPr>
          <w:lang w:val="pl-PL"/>
        </w:rPr>
        <w:t xml:space="preserve"> </w:t>
      </w:r>
      <w:r w:rsidR="0051003F">
        <w:rPr>
          <w:lang w:val="pl-PL"/>
        </w:rPr>
        <w:t>drugiego sędziego zastępczego (R</w:t>
      </w:r>
      <w:r w:rsidR="00861A31" w:rsidRPr="0051003F">
        <w:rPr>
          <w:lang w:val="pl-PL"/>
        </w:rPr>
        <w:t>eguła</w:t>
      </w:r>
      <w:r w:rsidR="002E6FFD" w:rsidRPr="0051003F">
        <w:rPr>
          <w:lang w:val="pl-PL"/>
        </w:rPr>
        <w:t> </w:t>
      </w:r>
      <w:r w:rsidR="004F74E6" w:rsidRPr="0051003F">
        <w:rPr>
          <w:lang w:val="pl-PL"/>
        </w:rPr>
        <w:t>24 § 3).</w:t>
      </w:r>
    </w:p>
    <w:p w:rsidR="00393776" w:rsidRPr="0051003F" w:rsidRDefault="003745E5" w:rsidP="00A7252F">
      <w:pPr>
        <w:pStyle w:val="ECHRPara"/>
        <w:rPr>
          <w:lang w:val="pl-PL"/>
        </w:rPr>
      </w:pPr>
      <w:r w:rsidRPr="0051003F">
        <w:rPr>
          <w:lang w:val="pl-PL"/>
        </w:rPr>
        <w:fldChar w:fldCharType="begin"/>
      </w:r>
      <w:r w:rsidR="00393776" w:rsidRPr="0051003F">
        <w:rPr>
          <w:lang w:val="pl-PL"/>
        </w:rPr>
        <w:instrText xml:space="preserve"> SEQ level0 \*arabic </w:instrText>
      </w:r>
      <w:r w:rsidRPr="0051003F">
        <w:rPr>
          <w:lang w:val="pl-PL"/>
        </w:rPr>
        <w:fldChar w:fldCharType="separate"/>
      </w:r>
      <w:r w:rsidR="009F11DD" w:rsidRPr="0051003F">
        <w:rPr>
          <w:noProof/>
          <w:lang w:val="pl-PL"/>
        </w:rPr>
        <w:t>8</w:t>
      </w:r>
      <w:r w:rsidRPr="0051003F">
        <w:rPr>
          <w:lang w:val="pl-PL"/>
        </w:rPr>
        <w:fldChar w:fldCharType="end"/>
      </w:r>
      <w:r w:rsidR="00393776" w:rsidRPr="0051003F">
        <w:rPr>
          <w:lang w:val="pl-PL"/>
        </w:rPr>
        <w:t>.  </w:t>
      </w:r>
      <w:r w:rsidR="00861A31" w:rsidRPr="0051003F">
        <w:rPr>
          <w:lang w:val="pl-PL"/>
        </w:rPr>
        <w:t xml:space="preserve">Zarówno </w:t>
      </w:r>
      <w:r w:rsidR="003A22D1" w:rsidRPr="0051003F">
        <w:rPr>
          <w:lang w:val="pl-PL"/>
        </w:rPr>
        <w:t>skarżący</w:t>
      </w:r>
      <w:r w:rsidR="00861A31" w:rsidRPr="0051003F">
        <w:rPr>
          <w:lang w:val="pl-PL"/>
        </w:rPr>
        <w:t xml:space="preserve"> jak i Rząd przedłożyli swoje uwagi odnośnie </w:t>
      </w:r>
      <w:r w:rsidR="003A22D1" w:rsidRPr="0051003F">
        <w:rPr>
          <w:lang w:val="pl-PL"/>
        </w:rPr>
        <w:t>dopuszczalności</w:t>
      </w:r>
      <w:r w:rsidR="00861A31" w:rsidRPr="0051003F">
        <w:rPr>
          <w:lang w:val="pl-PL"/>
        </w:rPr>
        <w:t xml:space="preserve"> i przedmiotu wniesionej skargi.</w:t>
      </w:r>
    </w:p>
    <w:p w:rsidR="00874ED1" w:rsidRPr="0051003F" w:rsidRDefault="003745E5" w:rsidP="00A7252F">
      <w:pPr>
        <w:pStyle w:val="ECHRPara"/>
        <w:rPr>
          <w:lang w:val="pl-PL"/>
        </w:rPr>
      </w:pPr>
      <w:r w:rsidRPr="0051003F">
        <w:rPr>
          <w:lang w:val="pl-PL"/>
        </w:rPr>
        <w:fldChar w:fldCharType="begin"/>
      </w:r>
      <w:r w:rsidR="00C4582E" w:rsidRPr="0051003F">
        <w:rPr>
          <w:lang w:val="pl-PL"/>
        </w:rPr>
        <w:instrText xml:space="preserve"> SEQ level0 \*arabic </w:instrText>
      </w:r>
      <w:r w:rsidRPr="0051003F">
        <w:rPr>
          <w:lang w:val="pl-PL"/>
        </w:rPr>
        <w:fldChar w:fldCharType="separate"/>
      </w:r>
      <w:r w:rsidR="009F11DD" w:rsidRPr="0051003F">
        <w:rPr>
          <w:noProof/>
          <w:lang w:val="pl-PL"/>
        </w:rPr>
        <w:t>9</w:t>
      </w:r>
      <w:r w:rsidRPr="0051003F">
        <w:rPr>
          <w:lang w:val="pl-PL"/>
        </w:rPr>
        <w:fldChar w:fldCharType="end"/>
      </w:r>
      <w:r w:rsidR="00C4582E" w:rsidRPr="0051003F">
        <w:rPr>
          <w:lang w:val="pl-PL"/>
        </w:rPr>
        <w:t>.  </w:t>
      </w:r>
      <w:r w:rsidR="00680AE0" w:rsidRPr="0051003F">
        <w:rPr>
          <w:lang w:val="pl-PL"/>
        </w:rPr>
        <w:t xml:space="preserve">Dodatkowo od </w:t>
      </w:r>
      <w:r w:rsidR="00FE12A7">
        <w:rPr>
          <w:lang w:val="pl-PL"/>
        </w:rPr>
        <w:t>stron</w:t>
      </w:r>
      <w:r w:rsidR="00FE12A7" w:rsidRPr="0051003F">
        <w:rPr>
          <w:lang w:val="pl-PL"/>
        </w:rPr>
        <w:t xml:space="preserve"> </w:t>
      </w:r>
      <w:r w:rsidR="00680AE0" w:rsidRPr="0051003F">
        <w:rPr>
          <w:lang w:val="pl-PL"/>
        </w:rPr>
        <w:t xml:space="preserve">trzecich: rządów </w:t>
      </w:r>
      <w:r w:rsidR="003A22D1" w:rsidRPr="0051003F">
        <w:rPr>
          <w:lang w:val="pl-PL"/>
        </w:rPr>
        <w:t>Bułgarii</w:t>
      </w:r>
      <w:r w:rsidR="00680AE0" w:rsidRPr="0051003F">
        <w:rPr>
          <w:lang w:val="pl-PL"/>
        </w:rPr>
        <w:t xml:space="preserve">, </w:t>
      </w:r>
      <w:r w:rsidR="003A22D1" w:rsidRPr="0051003F">
        <w:rPr>
          <w:lang w:val="pl-PL"/>
        </w:rPr>
        <w:t>Republiki</w:t>
      </w:r>
      <w:r w:rsidR="00680AE0" w:rsidRPr="0051003F">
        <w:rPr>
          <w:lang w:val="pl-PL"/>
        </w:rPr>
        <w:t xml:space="preserve"> Czeskiej, Grecji, Francji, Mołdawii i </w:t>
      </w:r>
      <w:r w:rsidR="003A22D1" w:rsidRPr="0051003F">
        <w:rPr>
          <w:lang w:val="pl-PL"/>
        </w:rPr>
        <w:t>Szwajcarii</w:t>
      </w:r>
      <w:r w:rsidR="00680AE0" w:rsidRPr="0051003F">
        <w:rPr>
          <w:lang w:val="pl-PL"/>
        </w:rPr>
        <w:t xml:space="preserve">, którym przyznano prawo do przedstawienia pisemnych uwag w postępowaniu, </w:t>
      </w:r>
      <w:r w:rsidR="003A22D1" w:rsidRPr="0051003F">
        <w:rPr>
          <w:lang w:val="pl-PL"/>
        </w:rPr>
        <w:t>zostały</w:t>
      </w:r>
      <w:r w:rsidR="00680AE0" w:rsidRPr="0051003F">
        <w:rPr>
          <w:lang w:val="pl-PL"/>
        </w:rPr>
        <w:t xml:space="preserve"> doręczone ich uwagi </w:t>
      </w:r>
      <w:r w:rsidR="00874ED1" w:rsidRPr="0051003F">
        <w:rPr>
          <w:lang w:val="pl-PL"/>
        </w:rPr>
        <w:t>(</w:t>
      </w:r>
      <w:r w:rsidR="00131B59">
        <w:rPr>
          <w:lang w:val="pl-PL"/>
        </w:rPr>
        <w:t>art.</w:t>
      </w:r>
      <w:r w:rsidR="00131B59" w:rsidRPr="0051003F">
        <w:rPr>
          <w:lang w:val="pl-PL"/>
        </w:rPr>
        <w:t xml:space="preserve"> </w:t>
      </w:r>
      <w:r w:rsidR="00680AE0" w:rsidRPr="0051003F">
        <w:rPr>
          <w:lang w:val="pl-PL"/>
        </w:rPr>
        <w:t>36 ust.</w:t>
      </w:r>
      <w:r w:rsidR="00874ED1" w:rsidRPr="0051003F">
        <w:rPr>
          <w:lang w:val="pl-PL"/>
        </w:rPr>
        <w:t xml:space="preserve"> 2 </w:t>
      </w:r>
      <w:r w:rsidR="0051003F">
        <w:rPr>
          <w:lang w:val="pl-PL"/>
        </w:rPr>
        <w:t>Konwencji i R</w:t>
      </w:r>
      <w:r w:rsidR="00680AE0" w:rsidRPr="0051003F">
        <w:rPr>
          <w:lang w:val="pl-PL"/>
        </w:rPr>
        <w:t>eguła</w:t>
      </w:r>
      <w:r w:rsidR="00874ED1" w:rsidRPr="0051003F">
        <w:rPr>
          <w:lang w:val="pl-PL"/>
        </w:rPr>
        <w:t xml:space="preserve"> 44 § 3).</w:t>
      </w:r>
    </w:p>
    <w:p w:rsidR="00E97440" w:rsidRPr="0051003F" w:rsidRDefault="003745E5" w:rsidP="00A7252F">
      <w:pPr>
        <w:pStyle w:val="ECHRPara"/>
        <w:rPr>
          <w:lang w:val="pl-PL"/>
        </w:rPr>
      </w:pPr>
      <w:r w:rsidRPr="0051003F">
        <w:rPr>
          <w:lang w:val="pl-PL"/>
        </w:rPr>
        <w:fldChar w:fldCharType="begin"/>
      </w:r>
      <w:r w:rsidR="00E97440" w:rsidRPr="0051003F">
        <w:rPr>
          <w:lang w:val="pl-PL"/>
        </w:rPr>
        <w:instrText xml:space="preserve"> SEQ level0 \*arabic </w:instrText>
      </w:r>
      <w:r w:rsidRPr="0051003F">
        <w:rPr>
          <w:lang w:val="pl-PL"/>
        </w:rPr>
        <w:fldChar w:fldCharType="separate"/>
      </w:r>
      <w:r w:rsidR="009F11DD" w:rsidRPr="0051003F">
        <w:rPr>
          <w:noProof/>
          <w:lang w:val="pl-PL"/>
        </w:rPr>
        <w:t>10</w:t>
      </w:r>
      <w:r w:rsidRPr="0051003F">
        <w:rPr>
          <w:lang w:val="pl-PL"/>
        </w:rPr>
        <w:fldChar w:fldCharType="end"/>
      </w:r>
      <w:r w:rsidR="00E97440" w:rsidRPr="0051003F">
        <w:rPr>
          <w:lang w:val="pl-PL"/>
        </w:rPr>
        <w:t>.  </w:t>
      </w:r>
      <w:r w:rsidR="00680AE0" w:rsidRPr="0051003F">
        <w:rPr>
          <w:lang w:val="pl-PL"/>
        </w:rPr>
        <w:t xml:space="preserve">Rozprawa miała miejsce w </w:t>
      </w:r>
      <w:r w:rsidR="00FE12A7">
        <w:rPr>
          <w:lang w:val="pl-PL"/>
        </w:rPr>
        <w:t>gmachu głównym</w:t>
      </w:r>
      <w:r w:rsidR="00FE12A7" w:rsidRPr="0051003F">
        <w:rPr>
          <w:lang w:val="pl-PL"/>
        </w:rPr>
        <w:t xml:space="preserve"> </w:t>
      </w:r>
      <w:r w:rsidR="007A63F6" w:rsidRPr="0051003F">
        <w:rPr>
          <w:lang w:val="pl-PL"/>
        </w:rPr>
        <w:t xml:space="preserve">Europejskiego </w:t>
      </w:r>
      <w:r w:rsidR="003A22D1" w:rsidRPr="0051003F">
        <w:rPr>
          <w:lang w:val="pl-PL"/>
        </w:rPr>
        <w:t>Trybunału</w:t>
      </w:r>
      <w:r w:rsidR="007A63F6" w:rsidRPr="0051003F">
        <w:rPr>
          <w:lang w:val="pl-PL"/>
        </w:rPr>
        <w:t xml:space="preserve"> </w:t>
      </w:r>
      <w:r w:rsidR="003A22D1" w:rsidRPr="0051003F">
        <w:rPr>
          <w:lang w:val="pl-PL"/>
        </w:rPr>
        <w:t>Praw</w:t>
      </w:r>
      <w:r w:rsidR="007A63F6" w:rsidRPr="0051003F">
        <w:rPr>
          <w:lang w:val="pl-PL"/>
        </w:rPr>
        <w:t xml:space="preserve"> Człowieka, w Strasburgu, dnia 13 stycznia </w:t>
      </w:r>
      <w:r w:rsidR="00E97440" w:rsidRPr="0051003F">
        <w:rPr>
          <w:lang w:val="pl-PL"/>
        </w:rPr>
        <w:t>2016</w:t>
      </w:r>
      <w:r w:rsidR="0051003F">
        <w:rPr>
          <w:lang w:val="pl-PL"/>
        </w:rPr>
        <w:t xml:space="preserve"> r. (R</w:t>
      </w:r>
      <w:r w:rsidR="007A63F6" w:rsidRPr="0051003F">
        <w:rPr>
          <w:lang w:val="pl-PL"/>
        </w:rPr>
        <w:t>eguła</w:t>
      </w:r>
      <w:r w:rsidR="00E97440" w:rsidRPr="0051003F">
        <w:rPr>
          <w:lang w:val="pl-PL"/>
        </w:rPr>
        <w:t xml:space="preserve"> 59 § 3).</w:t>
      </w:r>
    </w:p>
    <w:p w:rsidR="0001665D" w:rsidRPr="0051003F" w:rsidRDefault="0001665D" w:rsidP="00A7252F">
      <w:pPr>
        <w:pStyle w:val="ECHRPara"/>
        <w:rPr>
          <w:lang w:val="pl-PL"/>
        </w:rPr>
      </w:pPr>
    </w:p>
    <w:p w:rsidR="00E97440" w:rsidRPr="0051003F" w:rsidRDefault="003A22D1" w:rsidP="00A7252F">
      <w:pPr>
        <w:pStyle w:val="ECHRPara"/>
        <w:rPr>
          <w:lang w:val="pl-PL"/>
        </w:rPr>
      </w:pPr>
      <w:r w:rsidRPr="0051003F">
        <w:rPr>
          <w:lang w:val="pl-PL"/>
        </w:rPr>
        <w:t>Przed</w:t>
      </w:r>
      <w:r w:rsidR="007A63F6" w:rsidRPr="0051003F">
        <w:rPr>
          <w:lang w:val="pl-PL"/>
        </w:rPr>
        <w:t xml:space="preserve"> Trybunałem stawili się</w:t>
      </w:r>
      <w:r w:rsidR="00E97440" w:rsidRPr="0051003F">
        <w:rPr>
          <w:lang w:val="pl-PL"/>
        </w:rPr>
        <w:t>:</w:t>
      </w:r>
    </w:p>
    <w:p w:rsidR="00B84C09" w:rsidRPr="0051003F" w:rsidRDefault="00E97440" w:rsidP="00A7252F">
      <w:pPr>
        <w:pStyle w:val="JuCourt"/>
        <w:rPr>
          <w:lang w:val="pl-PL"/>
        </w:rPr>
      </w:pPr>
      <w:r w:rsidRPr="0051003F">
        <w:rPr>
          <w:lang w:val="pl-PL"/>
        </w:rPr>
        <w:t>(a)  </w:t>
      </w:r>
      <w:r w:rsidR="007A63F6" w:rsidRPr="0051003F">
        <w:rPr>
          <w:i/>
          <w:lang w:val="pl-PL"/>
        </w:rPr>
        <w:t>ze strony Rządu</w:t>
      </w:r>
      <w:r w:rsidRPr="0051003F">
        <w:rPr>
          <w:lang w:val="pl-PL"/>
        </w:rPr>
        <w:br/>
      </w:r>
      <w:r w:rsidR="00012743" w:rsidRPr="0051003F">
        <w:rPr>
          <w:lang w:val="pl-PL"/>
        </w:rPr>
        <w:t>Pan</w:t>
      </w:r>
      <w:r w:rsidRPr="0051003F">
        <w:rPr>
          <w:rStyle w:val="JuNames0"/>
          <w:lang w:val="pl-PL"/>
        </w:rPr>
        <w:tab/>
      </w:r>
      <w:r w:rsidR="00BA0717" w:rsidRPr="0051003F">
        <w:rPr>
          <w:rStyle w:val="JuNames0"/>
          <w:lang w:val="pl-PL"/>
        </w:rPr>
        <w:t xml:space="preserve">M. </w:t>
      </w:r>
      <w:proofErr w:type="spellStart"/>
      <w:r w:rsidR="00BA0717" w:rsidRPr="0051003F">
        <w:rPr>
          <w:rStyle w:val="JuNames0"/>
          <w:lang w:val="pl-PL"/>
        </w:rPr>
        <w:t>Emberland</w:t>
      </w:r>
      <w:proofErr w:type="spellEnd"/>
      <w:r w:rsidRPr="0051003F">
        <w:rPr>
          <w:rStyle w:val="JuNames0"/>
          <w:lang w:val="pl-PL"/>
        </w:rPr>
        <w:t xml:space="preserve">, </w:t>
      </w:r>
      <w:r w:rsidR="007A63F6" w:rsidRPr="0051003F">
        <w:rPr>
          <w:lang w:val="pl-PL"/>
        </w:rPr>
        <w:t>Adwokat</w:t>
      </w:r>
      <w:r w:rsidRPr="0051003F">
        <w:rPr>
          <w:lang w:val="pl-PL"/>
        </w:rPr>
        <w:t>,</w:t>
      </w:r>
      <w:r w:rsidR="00365196" w:rsidRPr="0051003F">
        <w:rPr>
          <w:lang w:val="pl-PL"/>
        </w:rPr>
        <w:t xml:space="preserve"> </w:t>
      </w:r>
      <w:r w:rsidR="007A63F6" w:rsidRPr="0051003F">
        <w:rPr>
          <w:lang w:val="pl-PL"/>
        </w:rPr>
        <w:t xml:space="preserve">Biuro Prokuratora </w:t>
      </w:r>
      <w:r w:rsidR="003A22D1" w:rsidRPr="0051003F">
        <w:rPr>
          <w:lang w:val="pl-PL"/>
        </w:rPr>
        <w:t>Generalnego</w:t>
      </w:r>
      <w:r w:rsidR="007A63F6" w:rsidRPr="0051003F">
        <w:rPr>
          <w:lang w:val="pl-PL"/>
        </w:rPr>
        <w:t xml:space="preserve"> </w:t>
      </w:r>
      <w:r w:rsidR="00B87D80" w:rsidRPr="0051003F">
        <w:rPr>
          <w:lang w:val="pl-PL"/>
        </w:rPr>
        <w:br/>
      </w:r>
      <w:r w:rsidR="00122941" w:rsidRPr="0051003F">
        <w:rPr>
          <w:lang w:val="pl-PL"/>
        </w:rPr>
        <w:tab/>
      </w:r>
      <w:r w:rsidR="00365196" w:rsidRPr="0051003F">
        <w:rPr>
          <w:lang w:val="pl-PL"/>
        </w:rPr>
        <w:t>(</w:t>
      </w:r>
      <w:r w:rsidR="007A63F6" w:rsidRPr="0051003F">
        <w:rPr>
          <w:lang w:val="pl-PL"/>
        </w:rPr>
        <w:t>sprawy cywilne</w:t>
      </w:r>
      <w:r w:rsidR="0021676C" w:rsidRPr="0051003F">
        <w:rPr>
          <w:lang w:val="pl-PL"/>
        </w:rPr>
        <w:t>)</w:t>
      </w:r>
      <w:r w:rsidR="00365196" w:rsidRPr="0051003F">
        <w:rPr>
          <w:lang w:val="pl-PL"/>
        </w:rPr>
        <w:tab/>
      </w:r>
      <w:r w:rsidR="007A63F6" w:rsidRPr="0051003F">
        <w:rPr>
          <w:i/>
          <w:lang w:val="pl-PL"/>
        </w:rPr>
        <w:t>Pełnomocnik</w:t>
      </w:r>
      <w:r w:rsidRPr="0051003F">
        <w:rPr>
          <w:rStyle w:val="JuNames0"/>
          <w:lang w:val="pl-PL"/>
        </w:rPr>
        <w:t>,</w:t>
      </w:r>
      <w:r w:rsidRPr="0051003F">
        <w:rPr>
          <w:rStyle w:val="JuNames0"/>
          <w:lang w:val="pl-PL"/>
        </w:rPr>
        <w:br/>
      </w:r>
      <w:r w:rsidR="00012743" w:rsidRPr="0051003F">
        <w:rPr>
          <w:lang w:val="pl-PL"/>
        </w:rPr>
        <w:t>Pani</w:t>
      </w:r>
      <w:r w:rsidRPr="0051003F">
        <w:rPr>
          <w:lang w:val="pl-PL"/>
        </w:rPr>
        <w:tab/>
      </w:r>
      <w:r w:rsidR="00BA0717" w:rsidRPr="0051003F">
        <w:rPr>
          <w:rStyle w:val="JuNames0"/>
          <w:lang w:val="pl-PL"/>
        </w:rPr>
        <w:t xml:space="preserve">J. </w:t>
      </w:r>
      <w:proofErr w:type="spellStart"/>
      <w:r w:rsidR="00BA0717" w:rsidRPr="0051003F">
        <w:rPr>
          <w:rStyle w:val="JuNames0"/>
          <w:lang w:val="pl-PL"/>
        </w:rPr>
        <w:t>Sandvig</w:t>
      </w:r>
      <w:proofErr w:type="spellEnd"/>
      <w:r w:rsidRPr="0051003F">
        <w:rPr>
          <w:lang w:val="pl-PL"/>
        </w:rPr>
        <w:t xml:space="preserve">, </w:t>
      </w:r>
      <w:r w:rsidR="00BA0717" w:rsidRPr="0051003F">
        <w:rPr>
          <w:lang w:val="pl-PL"/>
        </w:rPr>
        <w:t>A</w:t>
      </w:r>
      <w:r w:rsidR="007A63F6" w:rsidRPr="0051003F">
        <w:rPr>
          <w:lang w:val="pl-PL"/>
        </w:rPr>
        <w:t>dwokat</w:t>
      </w:r>
      <w:r w:rsidRPr="0051003F">
        <w:rPr>
          <w:lang w:val="pl-PL"/>
        </w:rPr>
        <w:t>,</w:t>
      </w:r>
      <w:r w:rsidR="007A63F6" w:rsidRPr="0051003F">
        <w:rPr>
          <w:color w:val="000000"/>
          <w:lang w:val="pl-PL"/>
        </w:rPr>
        <w:t xml:space="preserve"> Biuro Prokuratora Generalnego</w:t>
      </w:r>
      <w:r w:rsidR="00365196" w:rsidRPr="0051003F">
        <w:rPr>
          <w:color w:val="000000"/>
          <w:lang w:val="pl-PL"/>
        </w:rPr>
        <w:t xml:space="preserve"> (</w:t>
      </w:r>
      <w:r w:rsidR="007A63F6" w:rsidRPr="0051003F">
        <w:rPr>
          <w:color w:val="000000"/>
          <w:lang w:val="pl-PL"/>
        </w:rPr>
        <w:t>sprawy cywilne</w:t>
      </w:r>
      <w:r w:rsidR="0021676C" w:rsidRPr="0051003F">
        <w:rPr>
          <w:color w:val="000000"/>
          <w:lang w:val="pl-PL"/>
        </w:rPr>
        <w:t>)</w:t>
      </w:r>
      <w:r w:rsidR="00B87D80" w:rsidRPr="0051003F">
        <w:rPr>
          <w:lang w:val="pl-PL"/>
        </w:rPr>
        <w:t xml:space="preserve"> </w:t>
      </w:r>
      <w:r w:rsidR="00012743" w:rsidRPr="0051003F">
        <w:rPr>
          <w:lang w:val="pl-PL"/>
        </w:rPr>
        <w:br/>
        <w:t>Pan</w:t>
      </w:r>
      <w:r w:rsidRPr="0051003F">
        <w:rPr>
          <w:lang w:val="pl-PL"/>
        </w:rPr>
        <w:tab/>
      </w:r>
      <w:r w:rsidR="00BA0717" w:rsidRPr="0051003F">
        <w:rPr>
          <w:rStyle w:val="JuNames0"/>
          <w:lang w:val="pl-PL"/>
        </w:rPr>
        <w:t xml:space="preserve">C. </w:t>
      </w:r>
      <w:proofErr w:type="spellStart"/>
      <w:r w:rsidR="00BA0717" w:rsidRPr="0051003F">
        <w:rPr>
          <w:rStyle w:val="JuNames0"/>
          <w:lang w:val="pl-PL"/>
        </w:rPr>
        <w:t>Reusch</w:t>
      </w:r>
      <w:proofErr w:type="spellEnd"/>
      <w:r w:rsidRPr="0051003F">
        <w:rPr>
          <w:lang w:val="pl-PL"/>
        </w:rPr>
        <w:t xml:space="preserve">, </w:t>
      </w:r>
      <w:r w:rsidR="00BA0717" w:rsidRPr="0051003F">
        <w:rPr>
          <w:lang w:val="pl-PL"/>
        </w:rPr>
        <w:t>A</w:t>
      </w:r>
      <w:r w:rsidR="007A63F6" w:rsidRPr="0051003F">
        <w:rPr>
          <w:lang w:val="pl-PL"/>
        </w:rPr>
        <w:t>dwokat</w:t>
      </w:r>
      <w:r w:rsidRPr="0051003F">
        <w:rPr>
          <w:lang w:val="pl-PL"/>
        </w:rPr>
        <w:t>,</w:t>
      </w:r>
      <w:r w:rsidR="00365196" w:rsidRPr="0051003F">
        <w:rPr>
          <w:color w:val="000000"/>
          <w:lang w:val="pl-PL"/>
        </w:rPr>
        <w:t xml:space="preserve"> </w:t>
      </w:r>
      <w:r w:rsidR="007A63F6" w:rsidRPr="0051003F">
        <w:rPr>
          <w:color w:val="000000"/>
          <w:lang w:val="pl-PL"/>
        </w:rPr>
        <w:t>Biuro Prokuratora Generalnego</w:t>
      </w:r>
      <w:r w:rsidR="00B87D80" w:rsidRPr="0051003F">
        <w:rPr>
          <w:color w:val="000000"/>
          <w:lang w:val="pl-PL"/>
        </w:rPr>
        <w:br/>
      </w:r>
      <w:r w:rsidR="00122941" w:rsidRPr="0051003F">
        <w:rPr>
          <w:color w:val="000000"/>
          <w:lang w:val="pl-PL"/>
        </w:rPr>
        <w:tab/>
      </w:r>
      <w:r w:rsidR="00365196" w:rsidRPr="0051003F">
        <w:rPr>
          <w:color w:val="000000"/>
          <w:lang w:val="pl-PL"/>
        </w:rPr>
        <w:t>(</w:t>
      </w:r>
      <w:r w:rsidR="007A63F6" w:rsidRPr="0051003F">
        <w:rPr>
          <w:color w:val="000000"/>
          <w:lang w:val="pl-PL"/>
        </w:rPr>
        <w:t>sprawy cywilne</w:t>
      </w:r>
      <w:r w:rsidR="0021676C" w:rsidRPr="0051003F">
        <w:rPr>
          <w:color w:val="000000"/>
          <w:lang w:val="pl-PL"/>
        </w:rPr>
        <w:t>)</w:t>
      </w:r>
      <w:r w:rsidR="00B87D80" w:rsidRPr="0051003F">
        <w:rPr>
          <w:color w:val="000000"/>
          <w:lang w:val="pl-PL"/>
        </w:rPr>
        <w:tab/>
      </w:r>
      <w:r w:rsidR="007A63F6" w:rsidRPr="0051003F">
        <w:rPr>
          <w:i/>
          <w:lang w:val="pl-PL"/>
        </w:rPr>
        <w:t>Doradca</w:t>
      </w:r>
      <w:r w:rsidR="00B87D80" w:rsidRPr="0051003F">
        <w:rPr>
          <w:i/>
          <w:lang w:val="pl-PL"/>
        </w:rPr>
        <w:t>,</w:t>
      </w:r>
      <w:r w:rsidR="00B87D80" w:rsidRPr="0051003F">
        <w:rPr>
          <w:i/>
          <w:lang w:val="pl-PL"/>
        </w:rPr>
        <w:br/>
      </w:r>
      <w:r w:rsidR="00012743" w:rsidRPr="0051003F">
        <w:rPr>
          <w:lang w:val="pl-PL"/>
        </w:rPr>
        <w:t>Pan</w:t>
      </w:r>
      <w:r w:rsidR="00B87D80" w:rsidRPr="0051003F">
        <w:rPr>
          <w:lang w:val="pl-PL"/>
        </w:rPr>
        <w:tab/>
      </w:r>
      <w:r w:rsidR="00B87D80" w:rsidRPr="0051003F">
        <w:rPr>
          <w:rStyle w:val="JUNAMES"/>
          <w:lang w:val="pl-PL"/>
        </w:rPr>
        <w:t xml:space="preserve">A. </w:t>
      </w:r>
      <w:proofErr w:type="spellStart"/>
      <w:r w:rsidR="00B87D80" w:rsidRPr="0051003F">
        <w:rPr>
          <w:rStyle w:val="JUNAMES"/>
          <w:lang w:val="pl-PL"/>
        </w:rPr>
        <w:t>Tverberg</w:t>
      </w:r>
      <w:proofErr w:type="spellEnd"/>
      <w:r w:rsidR="00B87D80" w:rsidRPr="0051003F">
        <w:rPr>
          <w:rStyle w:val="JUNAMES"/>
          <w:lang w:val="pl-PL"/>
        </w:rPr>
        <w:t xml:space="preserve">, </w:t>
      </w:r>
      <w:r w:rsidR="007A63F6" w:rsidRPr="0051003F">
        <w:rPr>
          <w:lang w:val="pl-PL"/>
        </w:rPr>
        <w:t xml:space="preserve">Zastępca Prokuratora </w:t>
      </w:r>
      <w:proofErr w:type="spellStart"/>
      <w:r w:rsidR="007A63F6" w:rsidRPr="0051003F">
        <w:rPr>
          <w:lang w:val="pl-PL"/>
        </w:rPr>
        <w:t>Genralengo</w:t>
      </w:r>
      <w:proofErr w:type="spellEnd"/>
      <w:r w:rsidR="007A63F6" w:rsidRPr="0051003F">
        <w:rPr>
          <w:lang w:val="pl-PL"/>
        </w:rPr>
        <w:t>, Wydział Legislacji</w:t>
      </w:r>
      <w:r w:rsidR="00B87D80" w:rsidRPr="0051003F">
        <w:rPr>
          <w:lang w:val="pl-PL"/>
        </w:rPr>
        <w:br/>
      </w:r>
      <w:r w:rsidR="00122941" w:rsidRPr="0051003F">
        <w:rPr>
          <w:lang w:val="pl-PL"/>
        </w:rPr>
        <w:tab/>
      </w:r>
      <w:r w:rsidR="007A63F6" w:rsidRPr="0051003F">
        <w:rPr>
          <w:lang w:val="pl-PL"/>
        </w:rPr>
        <w:t xml:space="preserve">Ministerstwo Sprawiedliwości i Bezpieczeństwa </w:t>
      </w:r>
      <w:proofErr w:type="spellStart"/>
      <w:r w:rsidR="007A63F6" w:rsidRPr="0051003F">
        <w:rPr>
          <w:lang w:val="pl-PL"/>
        </w:rPr>
        <w:t>PubliczneKrólestwa</w:t>
      </w:r>
      <w:proofErr w:type="spellEnd"/>
      <w:r w:rsidR="007A63F6" w:rsidRPr="0051003F">
        <w:rPr>
          <w:lang w:val="pl-PL"/>
        </w:rPr>
        <w:t xml:space="preserve"> Norwegii</w:t>
      </w:r>
      <w:r w:rsidR="00012743" w:rsidRPr="0051003F">
        <w:rPr>
          <w:lang w:val="pl-PL"/>
        </w:rPr>
        <w:br/>
        <w:t>Pan</w:t>
      </w:r>
      <w:r w:rsidR="00B87D80" w:rsidRPr="0051003F">
        <w:rPr>
          <w:lang w:val="pl-PL"/>
        </w:rPr>
        <w:tab/>
      </w:r>
      <w:r w:rsidR="00B87D80" w:rsidRPr="0051003F">
        <w:rPr>
          <w:rStyle w:val="JUNAMES"/>
          <w:lang w:val="pl-PL"/>
        </w:rPr>
        <w:t xml:space="preserve">L. </w:t>
      </w:r>
      <w:proofErr w:type="spellStart"/>
      <w:r w:rsidR="00B87D80" w:rsidRPr="0051003F">
        <w:rPr>
          <w:rStyle w:val="JUNAMES"/>
          <w:lang w:val="pl-PL"/>
        </w:rPr>
        <w:t>Stoltenberg</w:t>
      </w:r>
      <w:proofErr w:type="spellEnd"/>
      <w:r w:rsidR="00B87D80" w:rsidRPr="0051003F">
        <w:rPr>
          <w:lang w:val="pl-PL"/>
        </w:rPr>
        <w:t xml:space="preserve">, </w:t>
      </w:r>
      <w:r w:rsidR="00B84C09" w:rsidRPr="0051003F">
        <w:rPr>
          <w:lang w:val="pl-PL"/>
        </w:rPr>
        <w:t>Starszy Prokurator</w:t>
      </w:r>
      <w:r w:rsidR="00B87D80" w:rsidRPr="0051003F">
        <w:rPr>
          <w:lang w:val="pl-PL"/>
        </w:rPr>
        <w:t>, Na</w:t>
      </w:r>
      <w:r w:rsidR="00B84C09" w:rsidRPr="0051003F">
        <w:rPr>
          <w:lang w:val="pl-PL"/>
        </w:rPr>
        <w:t xml:space="preserve">rodowa </w:t>
      </w:r>
      <w:r w:rsidR="0051003F" w:rsidRPr="0051003F">
        <w:rPr>
          <w:lang w:val="pl-PL"/>
        </w:rPr>
        <w:t>Agencja</w:t>
      </w:r>
      <w:r w:rsidR="00B84C09" w:rsidRPr="0051003F">
        <w:rPr>
          <w:lang w:val="pl-PL"/>
        </w:rPr>
        <w:t xml:space="preserve"> </w:t>
      </w:r>
    </w:p>
    <w:p w:rsidR="00E97440" w:rsidRPr="0051003F" w:rsidRDefault="00B84C09" w:rsidP="00A7252F">
      <w:pPr>
        <w:pStyle w:val="JuCourt"/>
        <w:rPr>
          <w:lang w:val="pl-PL"/>
        </w:rPr>
      </w:pPr>
      <w:r w:rsidRPr="0051003F">
        <w:rPr>
          <w:lang w:val="pl-PL"/>
        </w:rPr>
        <w:lastRenderedPageBreak/>
        <w:t xml:space="preserve">Dochodzenia i Ścigania Przestępstw Gospodarczych i Przestępstw przeciwko Środowisku </w:t>
      </w:r>
      <w:r w:rsidR="00012743" w:rsidRPr="0051003F">
        <w:rPr>
          <w:lang w:val="pl-PL"/>
        </w:rPr>
        <w:br/>
        <w:t>Pan</w:t>
      </w:r>
      <w:r w:rsidR="00B87D80" w:rsidRPr="0051003F">
        <w:rPr>
          <w:lang w:val="pl-PL"/>
        </w:rPr>
        <w:tab/>
      </w:r>
      <w:r w:rsidR="00B87D80" w:rsidRPr="0051003F">
        <w:rPr>
          <w:rStyle w:val="JUNAMES"/>
          <w:lang w:val="pl-PL"/>
        </w:rPr>
        <w:t xml:space="preserve">D.E. </w:t>
      </w:r>
      <w:proofErr w:type="spellStart"/>
      <w:r w:rsidR="00B87D80" w:rsidRPr="0051003F">
        <w:rPr>
          <w:rStyle w:val="JUNAMES"/>
          <w:lang w:val="pl-PL"/>
        </w:rPr>
        <w:t>Eilertsen</w:t>
      </w:r>
      <w:proofErr w:type="spellEnd"/>
      <w:r w:rsidR="00B87D80" w:rsidRPr="0051003F">
        <w:rPr>
          <w:lang w:val="pl-PL"/>
        </w:rPr>
        <w:t xml:space="preserve">, </w:t>
      </w:r>
      <w:r w:rsidRPr="0051003F">
        <w:rPr>
          <w:lang w:val="pl-PL"/>
        </w:rPr>
        <w:t>Starszy Audytor Podatkowy</w:t>
      </w:r>
      <w:r w:rsidR="00B87D80" w:rsidRPr="0051003F">
        <w:rPr>
          <w:lang w:val="pl-PL"/>
        </w:rPr>
        <w:t xml:space="preserve">, </w:t>
      </w:r>
      <w:r w:rsidRPr="0051003F">
        <w:rPr>
          <w:lang w:val="pl-PL"/>
        </w:rPr>
        <w:t>urząd podatkowy wschodniej Norwegii Doradcy</w:t>
      </w:r>
      <w:r w:rsidR="00E97440" w:rsidRPr="0051003F">
        <w:rPr>
          <w:lang w:val="pl-PL"/>
        </w:rPr>
        <w:t>;</w:t>
      </w:r>
    </w:p>
    <w:p w:rsidR="00E97440" w:rsidRPr="0051003F" w:rsidRDefault="00E97440" w:rsidP="00A7252F">
      <w:pPr>
        <w:pStyle w:val="JuCourt"/>
        <w:rPr>
          <w:lang w:val="pl-PL"/>
        </w:rPr>
      </w:pPr>
      <w:r w:rsidRPr="0051003F">
        <w:rPr>
          <w:lang w:val="pl-PL"/>
        </w:rPr>
        <w:t>(b)  </w:t>
      </w:r>
      <w:r w:rsidR="00B84C09" w:rsidRPr="0051003F">
        <w:rPr>
          <w:i/>
          <w:lang w:val="pl-PL"/>
        </w:rPr>
        <w:t>ze strony skarżących</w:t>
      </w:r>
      <w:r w:rsidR="00012743" w:rsidRPr="0051003F">
        <w:rPr>
          <w:lang w:val="pl-PL"/>
        </w:rPr>
        <w:br/>
        <w:t>Pan</w:t>
      </w:r>
      <w:r w:rsidRPr="0051003F">
        <w:rPr>
          <w:lang w:val="pl-PL"/>
        </w:rPr>
        <w:tab/>
      </w:r>
      <w:r w:rsidR="00BA0717" w:rsidRPr="0051003F">
        <w:rPr>
          <w:rStyle w:val="JuNames0"/>
          <w:lang w:val="pl-PL"/>
        </w:rPr>
        <w:t xml:space="preserve">R. </w:t>
      </w:r>
      <w:proofErr w:type="spellStart"/>
      <w:r w:rsidR="00BA0717" w:rsidRPr="0051003F">
        <w:rPr>
          <w:rStyle w:val="JuNames0"/>
          <w:lang w:val="pl-PL"/>
        </w:rPr>
        <w:t>Kjeldahl</w:t>
      </w:r>
      <w:proofErr w:type="spellEnd"/>
      <w:r w:rsidRPr="0051003F">
        <w:rPr>
          <w:lang w:val="pl-PL"/>
        </w:rPr>
        <w:t xml:space="preserve">, </w:t>
      </w:r>
      <w:r w:rsidR="00B84C09" w:rsidRPr="0051003F">
        <w:rPr>
          <w:lang w:val="pl-PL"/>
        </w:rPr>
        <w:t>Adwokat</w:t>
      </w:r>
      <w:r w:rsidRPr="0051003F">
        <w:rPr>
          <w:lang w:val="pl-PL"/>
        </w:rPr>
        <w:t>,</w:t>
      </w:r>
      <w:r w:rsidRPr="0051003F">
        <w:rPr>
          <w:lang w:val="pl-PL"/>
        </w:rPr>
        <w:tab/>
      </w:r>
      <w:r w:rsidR="00B84C09" w:rsidRPr="0051003F">
        <w:rPr>
          <w:i/>
          <w:lang w:val="pl-PL"/>
        </w:rPr>
        <w:t>Doradca</w:t>
      </w:r>
      <w:r w:rsidRPr="0051003F">
        <w:rPr>
          <w:lang w:val="pl-PL"/>
        </w:rPr>
        <w:t>.</w:t>
      </w:r>
      <w:r w:rsidRPr="0051003F">
        <w:rPr>
          <w:lang w:val="pl-PL"/>
        </w:rPr>
        <w:br/>
      </w:r>
    </w:p>
    <w:p w:rsidR="00014566" w:rsidRPr="0051003F" w:rsidRDefault="00012743" w:rsidP="00A7252F">
      <w:pPr>
        <w:pStyle w:val="ECHRPara"/>
        <w:rPr>
          <w:lang w:val="pl-PL"/>
        </w:rPr>
      </w:pPr>
      <w:r w:rsidRPr="0051003F">
        <w:rPr>
          <w:lang w:val="pl-PL"/>
        </w:rPr>
        <w:t>Trybunał wysłuchał wystąpień Pana</w:t>
      </w:r>
      <w:r w:rsidR="00E97440" w:rsidRPr="0051003F">
        <w:rPr>
          <w:lang w:val="pl-PL"/>
        </w:rPr>
        <w:t xml:space="preserve"> </w:t>
      </w:r>
      <w:proofErr w:type="spellStart"/>
      <w:r w:rsidRPr="0051003F">
        <w:rPr>
          <w:lang w:val="pl-PL"/>
        </w:rPr>
        <w:t>Kjeldahl</w:t>
      </w:r>
      <w:proofErr w:type="spellEnd"/>
      <w:r w:rsidRPr="0051003F">
        <w:rPr>
          <w:lang w:val="pl-PL"/>
        </w:rPr>
        <w:t xml:space="preserve"> i Pana</w:t>
      </w:r>
      <w:r w:rsidR="00BA0717" w:rsidRPr="0051003F">
        <w:rPr>
          <w:lang w:val="pl-PL"/>
        </w:rPr>
        <w:t xml:space="preserve"> </w:t>
      </w:r>
      <w:proofErr w:type="spellStart"/>
      <w:r w:rsidR="00BA0717" w:rsidRPr="0051003F">
        <w:rPr>
          <w:lang w:val="pl-PL"/>
        </w:rPr>
        <w:t>Sandvig</w:t>
      </w:r>
      <w:proofErr w:type="spellEnd"/>
      <w:r w:rsidR="0051003F">
        <w:rPr>
          <w:lang w:val="pl-PL"/>
        </w:rPr>
        <w:t xml:space="preserve"> oraz</w:t>
      </w:r>
      <w:r w:rsidR="00A849DB" w:rsidRPr="0051003F">
        <w:rPr>
          <w:lang w:val="pl-PL"/>
        </w:rPr>
        <w:t xml:space="preserve"> </w:t>
      </w:r>
      <w:r w:rsidR="0051003F" w:rsidRPr="00413748">
        <w:rPr>
          <w:lang w:val="pl-PL"/>
        </w:rPr>
        <w:t>ich odpowiedzi na pytania Trybunału.</w:t>
      </w:r>
    </w:p>
    <w:p w:rsidR="00014566" w:rsidRPr="0051003F" w:rsidRDefault="00610AFA" w:rsidP="00A7252F">
      <w:pPr>
        <w:pStyle w:val="ECHRTitle1"/>
        <w:rPr>
          <w:lang w:val="pl-PL"/>
        </w:rPr>
      </w:pPr>
      <w:r w:rsidRPr="0051003F">
        <w:rPr>
          <w:lang w:val="pl-PL"/>
        </w:rPr>
        <w:t>FAKTY</w:t>
      </w:r>
    </w:p>
    <w:p w:rsidR="00014566" w:rsidRPr="0051003F" w:rsidRDefault="00014566" w:rsidP="00A7252F">
      <w:pPr>
        <w:pStyle w:val="ECHRHeading1"/>
        <w:rPr>
          <w:lang w:val="pl-PL"/>
        </w:rPr>
      </w:pPr>
      <w:bookmarkStart w:id="2" w:name="_Toc466904296"/>
      <w:bookmarkStart w:id="3" w:name="_Toc466972315"/>
      <w:bookmarkStart w:id="4" w:name="_Toc466972826"/>
      <w:bookmarkStart w:id="5" w:name="_Toc466974242"/>
      <w:bookmarkStart w:id="6" w:name="_Toc473801877"/>
      <w:r w:rsidRPr="0051003F">
        <w:rPr>
          <w:lang w:val="pl-PL"/>
        </w:rPr>
        <w:t>I.  </w:t>
      </w:r>
      <w:bookmarkEnd w:id="2"/>
      <w:bookmarkEnd w:id="3"/>
      <w:bookmarkEnd w:id="4"/>
      <w:bookmarkEnd w:id="5"/>
      <w:bookmarkEnd w:id="6"/>
      <w:r w:rsidR="00610AFA" w:rsidRPr="0051003F">
        <w:rPr>
          <w:lang w:val="pl-PL"/>
        </w:rPr>
        <w:t>OKOLICZNOŚCI SPRAWY</w:t>
      </w:r>
    </w:p>
    <w:p w:rsidR="0014136F" w:rsidRPr="0051003F" w:rsidRDefault="003745E5" w:rsidP="00A7252F">
      <w:pPr>
        <w:pStyle w:val="ECHRPara"/>
        <w:rPr>
          <w:rFonts w:cs="Times New Roman"/>
          <w:lang w:val="pl-PL"/>
        </w:rPr>
      </w:pPr>
      <w:r w:rsidRPr="0051003F">
        <w:rPr>
          <w:rFonts w:cs="Times New Roman"/>
          <w:lang w:val="pl-PL"/>
        </w:rPr>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11</w:t>
      </w:r>
      <w:r w:rsidRPr="0051003F">
        <w:rPr>
          <w:rFonts w:cs="Times New Roman"/>
          <w:lang w:val="pl-PL"/>
        </w:rPr>
        <w:fldChar w:fldCharType="end"/>
      </w:r>
      <w:r w:rsidR="00703159" w:rsidRPr="0051003F">
        <w:rPr>
          <w:rFonts w:cs="Times New Roman"/>
          <w:lang w:val="pl-PL"/>
        </w:rPr>
        <w:t>.  </w:t>
      </w:r>
      <w:r w:rsidR="00610AFA" w:rsidRPr="0051003F">
        <w:rPr>
          <w:rFonts w:cs="Times New Roman"/>
          <w:lang w:val="pl-PL"/>
        </w:rPr>
        <w:t xml:space="preserve">Pierwszy </w:t>
      </w:r>
      <w:r w:rsidR="0051003F" w:rsidRPr="0051003F">
        <w:rPr>
          <w:rFonts w:cs="Times New Roman"/>
          <w:lang w:val="pl-PL"/>
        </w:rPr>
        <w:t>skarżący</w:t>
      </w:r>
      <w:r w:rsidR="00610AFA" w:rsidRPr="0051003F">
        <w:rPr>
          <w:rFonts w:cs="Times New Roman"/>
          <w:lang w:val="pl-PL"/>
        </w:rPr>
        <w:t>, Pan A, urodził się w 1960 r</w:t>
      </w:r>
      <w:r w:rsidR="0025188B">
        <w:rPr>
          <w:rFonts w:cs="Times New Roman"/>
          <w:lang w:val="pl-PL"/>
        </w:rPr>
        <w:t>oku</w:t>
      </w:r>
      <w:r w:rsidR="00610AFA" w:rsidRPr="0051003F">
        <w:rPr>
          <w:rFonts w:cs="Times New Roman"/>
          <w:lang w:val="pl-PL"/>
        </w:rPr>
        <w:t xml:space="preserve"> i mieszka w Norwegii. Drugi skarżący, Pan B., urodził się w 1965 r</w:t>
      </w:r>
      <w:r w:rsidR="0025188B">
        <w:rPr>
          <w:rFonts w:cs="Times New Roman"/>
          <w:lang w:val="pl-PL"/>
        </w:rPr>
        <w:t>oku</w:t>
      </w:r>
      <w:r w:rsidR="00610AFA" w:rsidRPr="0051003F">
        <w:rPr>
          <w:rFonts w:cs="Times New Roman"/>
          <w:lang w:val="pl-PL"/>
        </w:rPr>
        <w:t xml:space="preserve"> i mieszka na Florydzie, w Stanach Zjednoczonych Ameryki.</w:t>
      </w:r>
    </w:p>
    <w:p w:rsidR="003E4761" w:rsidRPr="0051003F" w:rsidRDefault="003745E5" w:rsidP="00A7252F">
      <w:pPr>
        <w:pStyle w:val="ECHRPara"/>
        <w:rPr>
          <w:rFonts w:cs="Times New Roman"/>
          <w:lang w:val="pl-PL"/>
        </w:rPr>
      </w:pPr>
      <w:r w:rsidRPr="0051003F">
        <w:rPr>
          <w:rFonts w:cs="Times New Roman"/>
          <w:lang w:val="pl-PL"/>
        </w:rPr>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12</w:t>
      </w:r>
      <w:r w:rsidRPr="0051003F">
        <w:rPr>
          <w:rFonts w:cs="Times New Roman"/>
          <w:lang w:val="pl-PL"/>
        </w:rPr>
        <w:fldChar w:fldCharType="end"/>
      </w:r>
      <w:r w:rsidR="00703159" w:rsidRPr="0051003F">
        <w:rPr>
          <w:rFonts w:cs="Times New Roman"/>
          <w:lang w:val="pl-PL"/>
        </w:rPr>
        <w:t>.  </w:t>
      </w:r>
      <w:r w:rsidR="00610AFA" w:rsidRPr="0051003F">
        <w:rPr>
          <w:rFonts w:cs="Times New Roman"/>
          <w:lang w:val="pl-PL"/>
        </w:rPr>
        <w:t>Skarżący i Pan</w:t>
      </w:r>
      <w:r w:rsidR="00703159" w:rsidRPr="0051003F">
        <w:rPr>
          <w:rFonts w:cs="Times New Roman"/>
          <w:lang w:val="pl-PL"/>
        </w:rPr>
        <w:t xml:space="preserve"> E.K. </w:t>
      </w:r>
      <w:r w:rsidR="004D2A61" w:rsidRPr="0051003F">
        <w:rPr>
          <w:rFonts w:cs="Times New Roman"/>
          <w:lang w:val="pl-PL"/>
        </w:rPr>
        <w:t xml:space="preserve">byli właścicielami spółki z ograniczoną odpowiedzialnością </w:t>
      </w:r>
      <w:proofErr w:type="spellStart"/>
      <w:r w:rsidR="004D2A61" w:rsidRPr="0051003F">
        <w:rPr>
          <w:rFonts w:cs="Times New Roman"/>
          <w:lang w:val="pl-PL"/>
        </w:rPr>
        <w:t>Est</w:t>
      </w:r>
      <w:r w:rsidR="00610AFA" w:rsidRPr="0051003F">
        <w:rPr>
          <w:rFonts w:cs="Times New Roman"/>
          <w:lang w:val="pl-PL"/>
        </w:rPr>
        <w:t>o</w:t>
      </w:r>
      <w:r w:rsidR="004D2A61" w:rsidRPr="0051003F">
        <w:rPr>
          <w:rFonts w:cs="Times New Roman"/>
          <w:lang w:val="pl-PL"/>
        </w:rPr>
        <w:t>ra</w:t>
      </w:r>
      <w:proofErr w:type="spellEnd"/>
      <w:r w:rsidR="004D2A61" w:rsidRPr="0051003F">
        <w:rPr>
          <w:rFonts w:cs="Times New Roman"/>
          <w:lang w:val="pl-PL"/>
        </w:rPr>
        <w:t xml:space="preserve"> Investment </w:t>
      </w:r>
      <w:r w:rsidR="00E37DB5" w:rsidRPr="0051003F">
        <w:rPr>
          <w:rFonts w:cs="Times New Roman"/>
          <w:lang w:val="pl-PL"/>
        </w:rPr>
        <w:t xml:space="preserve">Ltd. </w:t>
      </w:r>
      <w:r w:rsidR="004D2A61" w:rsidRPr="0051003F">
        <w:rPr>
          <w:rFonts w:cs="Times New Roman"/>
          <w:lang w:val="pl-PL"/>
        </w:rPr>
        <w:t>(„</w:t>
      </w:r>
      <w:proofErr w:type="spellStart"/>
      <w:r w:rsidR="004D2A61" w:rsidRPr="0051003F">
        <w:rPr>
          <w:rFonts w:cs="Times New Roman"/>
          <w:lang w:val="pl-PL"/>
        </w:rPr>
        <w:t>Estora</w:t>
      </w:r>
      <w:proofErr w:type="spellEnd"/>
      <w:r w:rsidR="004D2A61" w:rsidRPr="0051003F">
        <w:rPr>
          <w:rFonts w:cs="Times New Roman"/>
          <w:lang w:val="pl-PL"/>
        </w:rPr>
        <w:t xml:space="preserve">”), zarejestrowaną na Gibraltarze. </w:t>
      </w:r>
      <w:r w:rsidR="00E37DB5" w:rsidRPr="0051003F">
        <w:rPr>
          <w:rFonts w:cs="Times New Roman"/>
          <w:lang w:val="pl-PL"/>
        </w:rPr>
        <w:t>Pan T.F i Pan G.A. byli właścicielami</w:t>
      </w:r>
      <w:r w:rsidR="00EF2E67" w:rsidRPr="0051003F">
        <w:rPr>
          <w:rFonts w:cs="Times New Roman"/>
          <w:lang w:val="pl-PL"/>
        </w:rPr>
        <w:t xml:space="preserve"> </w:t>
      </w:r>
      <w:r w:rsidR="00E37DB5" w:rsidRPr="0051003F">
        <w:rPr>
          <w:rFonts w:cs="Times New Roman"/>
          <w:lang w:val="pl-PL"/>
        </w:rPr>
        <w:t xml:space="preserve"> </w:t>
      </w:r>
      <w:r w:rsidR="00EF2E67" w:rsidRPr="0051003F">
        <w:rPr>
          <w:rFonts w:cs="Times New Roman"/>
          <w:lang w:val="pl-PL"/>
        </w:rPr>
        <w:t xml:space="preserve">Strategic Investment AS (“Strategic”), </w:t>
      </w:r>
      <w:r w:rsidR="00E37DB5" w:rsidRPr="0051003F">
        <w:rPr>
          <w:rFonts w:cs="Times New Roman"/>
          <w:lang w:val="pl-PL"/>
        </w:rPr>
        <w:t>spółki zarejestrowanej w Samoa/Luxemburgu</w:t>
      </w:r>
      <w:r w:rsidR="00703159" w:rsidRPr="0051003F">
        <w:rPr>
          <w:rFonts w:cs="Times New Roman"/>
          <w:lang w:val="pl-PL"/>
        </w:rPr>
        <w:t xml:space="preserve"> </w:t>
      </w:r>
      <w:r w:rsidR="00EF2E67" w:rsidRPr="0051003F">
        <w:rPr>
          <w:rFonts w:cs="Times New Roman"/>
          <w:lang w:val="pl-PL"/>
        </w:rPr>
        <w:t>W czerwcu</w:t>
      </w:r>
      <w:r w:rsidR="00703159" w:rsidRPr="0051003F">
        <w:rPr>
          <w:rFonts w:cs="Times New Roman"/>
          <w:lang w:val="pl-PL"/>
        </w:rPr>
        <w:t xml:space="preserve"> 2001</w:t>
      </w:r>
      <w:r w:rsidR="00EF2E67" w:rsidRPr="0051003F">
        <w:rPr>
          <w:rFonts w:cs="Times New Roman"/>
          <w:lang w:val="pl-PL"/>
        </w:rPr>
        <w:t xml:space="preserve"> r</w:t>
      </w:r>
      <w:r w:rsidR="0025188B">
        <w:rPr>
          <w:rFonts w:cs="Times New Roman"/>
          <w:lang w:val="pl-PL"/>
        </w:rPr>
        <w:t>oku</w:t>
      </w:r>
      <w:r w:rsidR="00703159" w:rsidRPr="0051003F">
        <w:rPr>
          <w:rFonts w:cs="Times New Roman"/>
          <w:lang w:val="pl-PL"/>
        </w:rPr>
        <w:t xml:space="preserve"> </w:t>
      </w:r>
      <w:proofErr w:type="spellStart"/>
      <w:r w:rsidR="00703159" w:rsidRPr="0051003F">
        <w:rPr>
          <w:rFonts w:cs="Times New Roman"/>
          <w:lang w:val="pl-PL"/>
        </w:rPr>
        <w:t>Estora</w:t>
      </w:r>
      <w:proofErr w:type="spellEnd"/>
      <w:r w:rsidR="00703159" w:rsidRPr="0051003F">
        <w:rPr>
          <w:rFonts w:cs="Times New Roman"/>
          <w:lang w:val="pl-PL"/>
        </w:rPr>
        <w:t xml:space="preserve"> </w:t>
      </w:r>
      <w:r w:rsidR="00EF2E67" w:rsidRPr="0051003F">
        <w:rPr>
          <w:rFonts w:cs="Times New Roman"/>
          <w:lang w:val="pl-PL"/>
        </w:rPr>
        <w:t xml:space="preserve">przejęła </w:t>
      </w:r>
      <w:r w:rsidR="00703159" w:rsidRPr="0051003F">
        <w:rPr>
          <w:rFonts w:cs="Times New Roman"/>
          <w:lang w:val="pl-PL"/>
        </w:rPr>
        <w:t xml:space="preserve">24% </w:t>
      </w:r>
      <w:r w:rsidR="00EF2E67" w:rsidRPr="0051003F">
        <w:rPr>
          <w:rFonts w:cs="Times New Roman"/>
          <w:lang w:val="pl-PL"/>
        </w:rPr>
        <w:t>udziałów w</w:t>
      </w:r>
      <w:r w:rsidR="00703159" w:rsidRPr="0051003F">
        <w:rPr>
          <w:rFonts w:cs="Times New Roman"/>
          <w:lang w:val="pl-PL"/>
        </w:rPr>
        <w:t xml:space="preserve"> Wnet AS. Strategic </w:t>
      </w:r>
      <w:r w:rsidR="00F46CAD" w:rsidRPr="0051003F">
        <w:rPr>
          <w:rFonts w:cs="Times New Roman"/>
          <w:lang w:val="pl-PL"/>
        </w:rPr>
        <w:t>przejął</w:t>
      </w:r>
      <w:r w:rsidR="00703159" w:rsidRPr="0051003F">
        <w:rPr>
          <w:rFonts w:cs="Times New Roman"/>
          <w:lang w:val="pl-PL"/>
        </w:rPr>
        <w:t xml:space="preserve"> 46% </w:t>
      </w:r>
      <w:r w:rsidR="00F46CAD" w:rsidRPr="0051003F">
        <w:rPr>
          <w:rFonts w:cs="Times New Roman"/>
          <w:lang w:val="pl-PL"/>
        </w:rPr>
        <w:t>udziałów w</w:t>
      </w:r>
      <w:r w:rsidR="00703159" w:rsidRPr="0051003F">
        <w:rPr>
          <w:rFonts w:cs="Times New Roman"/>
          <w:lang w:val="pl-PL"/>
        </w:rPr>
        <w:t xml:space="preserve"> Wnet AS. </w:t>
      </w:r>
      <w:r w:rsidR="00F46CAD" w:rsidRPr="0051003F">
        <w:rPr>
          <w:rFonts w:cs="Times New Roman"/>
          <w:lang w:val="pl-PL"/>
        </w:rPr>
        <w:t>W sierpniu</w:t>
      </w:r>
      <w:r w:rsidR="00703159" w:rsidRPr="0051003F">
        <w:rPr>
          <w:rFonts w:cs="Times New Roman"/>
          <w:lang w:val="pl-PL"/>
        </w:rPr>
        <w:t xml:space="preserve"> 2001</w:t>
      </w:r>
      <w:r w:rsidR="00F46CAD" w:rsidRPr="0051003F">
        <w:rPr>
          <w:rFonts w:cs="Times New Roman"/>
          <w:lang w:val="pl-PL"/>
        </w:rPr>
        <w:t xml:space="preserve"> r</w:t>
      </w:r>
      <w:r w:rsidR="00C20D61">
        <w:rPr>
          <w:rFonts w:cs="Times New Roman"/>
          <w:lang w:val="pl-PL"/>
        </w:rPr>
        <w:t>oku</w:t>
      </w:r>
      <w:r w:rsidR="00F46CAD" w:rsidRPr="0051003F">
        <w:rPr>
          <w:rFonts w:cs="Times New Roman"/>
          <w:lang w:val="pl-PL"/>
        </w:rPr>
        <w:t xml:space="preserve"> </w:t>
      </w:r>
      <w:r w:rsidR="003A22D1" w:rsidRPr="0051003F">
        <w:rPr>
          <w:rFonts w:cs="Times New Roman"/>
          <w:lang w:val="pl-PL"/>
        </w:rPr>
        <w:t>wszystkie</w:t>
      </w:r>
      <w:r w:rsidR="00F46CAD" w:rsidRPr="0051003F">
        <w:rPr>
          <w:rFonts w:cs="Times New Roman"/>
          <w:lang w:val="pl-PL"/>
        </w:rPr>
        <w:t xml:space="preserve"> udziały</w:t>
      </w:r>
      <w:r w:rsidR="00703159" w:rsidRPr="0051003F">
        <w:rPr>
          <w:rFonts w:cs="Times New Roman"/>
          <w:lang w:val="pl-PL"/>
        </w:rPr>
        <w:t xml:space="preserve"> Wnet AS </w:t>
      </w:r>
      <w:r w:rsidR="00F46CAD" w:rsidRPr="0051003F">
        <w:rPr>
          <w:rFonts w:cs="Times New Roman"/>
          <w:lang w:val="pl-PL"/>
        </w:rPr>
        <w:t xml:space="preserve">zostały następnie sprzedane po wyższej cenie </w:t>
      </w:r>
      <w:r w:rsidR="005247C2" w:rsidRPr="0051003F">
        <w:rPr>
          <w:rFonts w:cs="Times New Roman"/>
          <w:lang w:val="pl-PL"/>
        </w:rPr>
        <w:t xml:space="preserve">Software </w:t>
      </w:r>
      <w:proofErr w:type="spellStart"/>
      <w:r w:rsidR="005247C2" w:rsidRPr="0051003F">
        <w:rPr>
          <w:rFonts w:cs="Times New Roman"/>
          <w:lang w:val="pl-PL"/>
        </w:rPr>
        <w:t>Innovation</w:t>
      </w:r>
      <w:proofErr w:type="spellEnd"/>
      <w:r w:rsidR="005247C2" w:rsidRPr="0051003F">
        <w:rPr>
          <w:rFonts w:cs="Times New Roman"/>
          <w:lang w:val="pl-PL"/>
        </w:rPr>
        <w:t xml:space="preserve"> AS. Cena sprzedaży udziałów pierwszego skarżącego wynosiła </w:t>
      </w:r>
      <w:r w:rsidR="00703159" w:rsidRPr="0051003F">
        <w:rPr>
          <w:rFonts w:cs="Times New Roman"/>
          <w:lang w:val="pl-PL"/>
        </w:rPr>
        <w:t>3,259,341</w:t>
      </w:r>
      <w:r w:rsidR="00AC6757" w:rsidRPr="0051003F">
        <w:rPr>
          <w:rFonts w:cs="Times New Roman"/>
          <w:lang w:val="pl-PL"/>
        </w:rPr>
        <w:t> </w:t>
      </w:r>
      <w:r w:rsidR="004E10BD" w:rsidRPr="0051003F">
        <w:rPr>
          <w:rFonts w:cs="Times New Roman"/>
          <w:lang w:val="pl-PL"/>
        </w:rPr>
        <w:t xml:space="preserve"> norweskich </w:t>
      </w:r>
      <w:r w:rsidR="00703159" w:rsidRPr="0051003F">
        <w:rPr>
          <w:rFonts w:cs="Times New Roman"/>
          <w:i/>
          <w:iCs/>
          <w:lang w:val="pl-PL"/>
        </w:rPr>
        <w:t>k</w:t>
      </w:r>
      <w:r w:rsidR="004E10BD" w:rsidRPr="0051003F">
        <w:rPr>
          <w:rFonts w:cs="Times New Roman"/>
          <w:i/>
          <w:iCs/>
          <w:lang w:val="pl-PL"/>
        </w:rPr>
        <w:t>oron</w:t>
      </w:r>
      <w:r w:rsidR="00703159" w:rsidRPr="0051003F">
        <w:rPr>
          <w:rFonts w:cs="Times New Roman"/>
          <w:lang w:val="pl-PL"/>
        </w:rPr>
        <w:t xml:space="preserve"> (NOK) (</w:t>
      </w:r>
      <w:r w:rsidR="00BD1072" w:rsidRPr="0051003F">
        <w:rPr>
          <w:rFonts w:cs="Times New Roman"/>
          <w:lang w:val="pl-PL"/>
        </w:rPr>
        <w:t xml:space="preserve">około </w:t>
      </w:r>
      <w:r w:rsidR="00703159" w:rsidRPr="0051003F">
        <w:rPr>
          <w:rFonts w:cs="Times New Roman"/>
          <w:lang w:val="pl-PL"/>
        </w:rPr>
        <w:t>360,000</w:t>
      </w:r>
      <w:r w:rsidR="00BD1072" w:rsidRPr="0051003F">
        <w:rPr>
          <w:rFonts w:cs="Times New Roman"/>
          <w:lang w:val="pl-PL"/>
        </w:rPr>
        <w:t xml:space="preserve"> euro</w:t>
      </w:r>
      <w:r w:rsidR="00883BF2" w:rsidRPr="0051003F">
        <w:rPr>
          <w:rFonts w:cs="Times New Roman"/>
          <w:lang w:val="pl-PL"/>
        </w:rPr>
        <w:t xml:space="preserve"> (EUR)</w:t>
      </w:r>
      <w:r w:rsidR="00703159" w:rsidRPr="0051003F">
        <w:rPr>
          <w:rFonts w:cs="Times New Roman"/>
          <w:lang w:val="pl-PL"/>
        </w:rPr>
        <w:t xml:space="preserve">). </w:t>
      </w:r>
      <w:r w:rsidR="00BD1072" w:rsidRPr="0051003F">
        <w:rPr>
          <w:rFonts w:cs="Times New Roman"/>
          <w:lang w:val="pl-PL"/>
        </w:rPr>
        <w:t>Przekazał on te udziały spółce z ograniczoną odpowiedzialnością</w:t>
      </w:r>
      <w:r w:rsidR="00703159" w:rsidRPr="0051003F">
        <w:rPr>
          <w:rFonts w:cs="Times New Roman"/>
          <w:lang w:val="pl-PL"/>
        </w:rPr>
        <w:t xml:space="preserve"> </w:t>
      </w:r>
      <w:proofErr w:type="spellStart"/>
      <w:r w:rsidR="00703159" w:rsidRPr="0051003F">
        <w:rPr>
          <w:rFonts w:cs="Times New Roman"/>
          <w:lang w:val="pl-PL"/>
        </w:rPr>
        <w:t>Banista</w:t>
      </w:r>
      <w:proofErr w:type="spellEnd"/>
      <w:r w:rsidR="00703159" w:rsidRPr="0051003F">
        <w:rPr>
          <w:rFonts w:cs="Times New Roman"/>
          <w:lang w:val="pl-PL"/>
        </w:rPr>
        <w:t xml:space="preserve"> Holding Ltd.,</w:t>
      </w:r>
      <w:r w:rsidR="00BD1072" w:rsidRPr="0051003F">
        <w:rPr>
          <w:rFonts w:cs="Times New Roman"/>
          <w:lang w:val="pl-PL"/>
        </w:rPr>
        <w:t xml:space="preserve"> </w:t>
      </w:r>
      <w:r w:rsidR="00C20D61" w:rsidRPr="0051003F">
        <w:rPr>
          <w:rFonts w:cs="Times New Roman"/>
          <w:lang w:val="pl-PL"/>
        </w:rPr>
        <w:t>zarejestrowan</w:t>
      </w:r>
      <w:r w:rsidR="00C20D61">
        <w:rPr>
          <w:rFonts w:cs="Times New Roman"/>
          <w:lang w:val="pl-PL"/>
        </w:rPr>
        <w:t>ej</w:t>
      </w:r>
      <w:r w:rsidR="00C20D61" w:rsidRPr="0051003F">
        <w:rPr>
          <w:rFonts w:cs="Times New Roman"/>
          <w:lang w:val="pl-PL"/>
        </w:rPr>
        <w:t xml:space="preserve"> </w:t>
      </w:r>
      <w:r w:rsidR="00BD1072" w:rsidRPr="0051003F">
        <w:rPr>
          <w:rFonts w:cs="Times New Roman"/>
          <w:lang w:val="pl-PL"/>
        </w:rPr>
        <w:t xml:space="preserve">na Gibraltarze, której był jedynym udziałowcem. Cena sprzedaży udziałów drugiego </w:t>
      </w:r>
      <w:r w:rsidR="003A22D1" w:rsidRPr="0051003F">
        <w:rPr>
          <w:rFonts w:cs="Times New Roman"/>
          <w:lang w:val="pl-PL"/>
        </w:rPr>
        <w:t>skarżącego</w:t>
      </w:r>
      <w:r w:rsidR="00BD1072" w:rsidRPr="0051003F">
        <w:rPr>
          <w:rFonts w:cs="Times New Roman"/>
          <w:lang w:val="pl-PL"/>
        </w:rPr>
        <w:t xml:space="preserve"> wynosiła </w:t>
      </w:r>
      <w:r w:rsidR="00C20D61">
        <w:rPr>
          <w:rFonts w:cs="Times New Roman"/>
          <w:lang w:val="pl-PL"/>
        </w:rPr>
        <w:t>(</w:t>
      </w:r>
      <w:r w:rsidR="00703159" w:rsidRPr="0051003F">
        <w:rPr>
          <w:rFonts w:cs="Times New Roman"/>
          <w:lang w:val="pl-PL"/>
        </w:rPr>
        <w:t>NOK</w:t>
      </w:r>
      <w:r w:rsidR="00C20D61">
        <w:rPr>
          <w:rFonts w:cs="Times New Roman"/>
          <w:lang w:val="pl-PL"/>
        </w:rPr>
        <w:t>)</w:t>
      </w:r>
      <w:r w:rsidR="00BA0717" w:rsidRPr="0051003F">
        <w:rPr>
          <w:rFonts w:cs="Times New Roman"/>
          <w:lang w:val="pl-PL"/>
        </w:rPr>
        <w:t> </w:t>
      </w:r>
      <w:r w:rsidR="00703159" w:rsidRPr="0051003F">
        <w:rPr>
          <w:rFonts w:cs="Times New Roman"/>
          <w:lang w:val="pl-PL"/>
        </w:rPr>
        <w:t>4,651,881 (</w:t>
      </w:r>
      <w:r w:rsidR="00BD1072" w:rsidRPr="0051003F">
        <w:rPr>
          <w:rFonts w:cs="Times New Roman"/>
          <w:lang w:val="pl-PL"/>
        </w:rPr>
        <w:t>około</w:t>
      </w:r>
      <w:r w:rsidR="00887E84" w:rsidRPr="0051003F">
        <w:rPr>
          <w:rFonts w:cs="Times New Roman"/>
          <w:lang w:val="pl-PL"/>
        </w:rPr>
        <w:t> </w:t>
      </w:r>
      <w:r w:rsidR="00703159" w:rsidRPr="0051003F">
        <w:rPr>
          <w:rFonts w:cs="Times New Roman"/>
          <w:lang w:val="pl-PL"/>
        </w:rPr>
        <w:t>500,000</w:t>
      </w:r>
      <w:r w:rsidR="00C20D61">
        <w:rPr>
          <w:rFonts w:cs="Times New Roman"/>
          <w:lang w:val="pl-PL"/>
        </w:rPr>
        <w:t xml:space="preserve"> euro (EUR)</w:t>
      </w:r>
      <w:r w:rsidR="00703159" w:rsidRPr="0051003F">
        <w:rPr>
          <w:rFonts w:cs="Times New Roman"/>
          <w:lang w:val="pl-PL"/>
        </w:rPr>
        <w:t xml:space="preserve">). </w:t>
      </w:r>
      <w:r w:rsidR="00BD1072" w:rsidRPr="0051003F">
        <w:rPr>
          <w:rFonts w:cs="Times New Roman"/>
          <w:lang w:val="pl-PL"/>
        </w:rPr>
        <w:t xml:space="preserve">Przekazał on te udziały spółce z ograniczoną </w:t>
      </w:r>
      <w:r w:rsidR="003A22D1" w:rsidRPr="0051003F">
        <w:rPr>
          <w:rFonts w:cs="Times New Roman"/>
          <w:lang w:val="pl-PL"/>
        </w:rPr>
        <w:t>odpowiedzialnością</w:t>
      </w:r>
      <w:r w:rsidR="00BD1072" w:rsidRPr="0051003F">
        <w:rPr>
          <w:rFonts w:cs="Times New Roman"/>
          <w:lang w:val="pl-PL"/>
        </w:rPr>
        <w:t xml:space="preserve"> </w:t>
      </w:r>
      <w:proofErr w:type="spellStart"/>
      <w:r w:rsidR="00703159" w:rsidRPr="0051003F">
        <w:rPr>
          <w:rFonts w:cs="Times New Roman"/>
          <w:lang w:val="pl-PL"/>
        </w:rPr>
        <w:t>Fardan</w:t>
      </w:r>
      <w:proofErr w:type="spellEnd"/>
      <w:r w:rsidR="00703159" w:rsidRPr="0051003F">
        <w:rPr>
          <w:rFonts w:cs="Times New Roman"/>
          <w:lang w:val="pl-PL"/>
        </w:rPr>
        <w:t xml:space="preserve"> Investment Ltd., </w:t>
      </w:r>
      <w:r w:rsidR="00BD1072" w:rsidRPr="0051003F">
        <w:rPr>
          <w:rFonts w:cs="Times New Roman"/>
          <w:lang w:val="pl-PL"/>
        </w:rPr>
        <w:t>której był jedynym udziałowcem.</w:t>
      </w:r>
    </w:p>
    <w:p w:rsidR="003E4761" w:rsidRPr="0051003F" w:rsidRDefault="00A31273" w:rsidP="00A7252F">
      <w:pPr>
        <w:pStyle w:val="ECHRPara"/>
        <w:rPr>
          <w:rFonts w:cs="Times New Roman"/>
          <w:lang w:val="pl-PL"/>
        </w:rPr>
      </w:pPr>
      <w:r w:rsidRPr="0051003F">
        <w:rPr>
          <w:rFonts w:cs="Times New Roman"/>
          <w:lang w:val="pl-PL"/>
        </w:rPr>
        <w:t>Pan E.K., Pan G.A. i Pan</w:t>
      </w:r>
      <w:r w:rsidR="00703159" w:rsidRPr="0051003F">
        <w:rPr>
          <w:rFonts w:cs="Times New Roman"/>
          <w:lang w:val="pl-PL"/>
        </w:rPr>
        <w:t xml:space="preserve"> T.F.</w:t>
      </w:r>
      <w:r w:rsidRPr="0051003F">
        <w:rPr>
          <w:rFonts w:cs="Times New Roman"/>
          <w:lang w:val="pl-PL"/>
        </w:rPr>
        <w:t xml:space="preserve"> osiągnęli zyski z podobnych transakcji, podczas gdy Pan B.L., Pan K.B. i Pan</w:t>
      </w:r>
      <w:r w:rsidR="00703159" w:rsidRPr="0051003F">
        <w:rPr>
          <w:rFonts w:cs="Times New Roman"/>
          <w:lang w:val="pl-PL"/>
        </w:rPr>
        <w:t xml:space="preserve"> G.N. </w:t>
      </w:r>
      <w:r w:rsidRPr="0051003F">
        <w:rPr>
          <w:rFonts w:cs="Times New Roman"/>
          <w:lang w:val="pl-PL"/>
        </w:rPr>
        <w:t xml:space="preserve">byli zaangażowani w inne podatkowo niezadeklarowane transakcje z </w:t>
      </w:r>
      <w:r w:rsidR="00703159" w:rsidRPr="0051003F">
        <w:rPr>
          <w:rFonts w:cs="Times New Roman"/>
          <w:lang w:val="pl-PL"/>
        </w:rPr>
        <w:t xml:space="preserve">Software </w:t>
      </w:r>
      <w:proofErr w:type="spellStart"/>
      <w:r w:rsidR="00703159" w:rsidRPr="0051003F">
        <w:rPr>
          <w:rFonts w:cs="Times New Roman"/>
          <w:lang w:val="pl-PL"/>
        </w:rPr>
        <w:t>Innovation</w:t>
      </w:r>
      <w:proofErr w:type="spellEnd"/>
      <w:r w:rsidR="00703159" w:rsidRPr="0051003F">
        <w:rPr>
          <w:rFonts w:cs="Times New Roman"/>
          <w:lang w:val="pl-PL"/>
        </w:rPr>
        <w:t xml:space="preserve"> AS.</w:t>
      </w:r>
    </w:p>
    <w:p w:rsidR="00703159" w:rsidRPr="0051003F" w:rsidRDefault="00A31273" w:rsidP="00A7252F">
      <w:pPr>
        <w:pStyle w:val="ECHRPara"/>
        <w:rPr>
          <w:rFonts w:cs="Times New Roman"/>
          <w:lang w:val="pl-PL"/>
        </w:rPr>
      </w:pPr>
      <w:r w:rsidRPr="0051003F">
        <w:rPr>
          <w:rFonts w:cs="Times New Roman"/>
          <w:lang w:val="pl-PL"/>
        </w:rPr>
        <w:t>Przychód z tych transakcji</w:t>
      </w:r>
      <w:r w:rsidR="00505674" w:rsidRPr="0051003F">
        <w:rPr>
          <w:rFonts w:cs="Times New Roman"/>
          <w:lang w:val="pl-PL"/>
        </w:rPr>
        <w:t>,</w:t>
      </w:r>
      <w:r w:rsidRPr="0051003F">
        <w:rPr>
          <w:rFonts w:cs="Times New Roman"/>
          <w:lang w:val="pl-PL"/>
        </w:rPr>
        <w:t xml:space="preserve"> wynoszący około </w:t>
      </w:r>
      <w:r w:rsidR="00505674" w:rsidRPr="0051003F">
        <w:rPr>
          <w:rFonts w:cs="Times New Roman"/>
          <w:lang w:val="pl-PL"/>
        </w:rPr>
        <w:t>114.5 mi</w:t>
      </w:r>
      <w:r w:rsidR="00703159" w:rsidRPr="0051003F">
        <w:rPr>
          <w:rFonts w:cs="Times New Roman"/>
          <w:lang w:val="pl-PL"/>
        </w:rPr>
        <w:t>lion</w:t>
      </w:r>
      <w:r w:rsidR="00505674" w:rsidRPr="0051003F">
        <w:rPr>
          <w:rFonts w:cs="Times New Roman"/>
          <w:lang w:val="pl-PL"/>
        </w:rPr>
        <w:t xml:space="preserve">ów </w:t>
      </w:r>
      <w:r w:rsidR="009174C0">
        <w:rPr>
          <w:rFonts w:cs="Times New Roman"/>
          <w:lang w:val="pl-PL"/>
        </w:rPr>
        <w:t xml:space="preserve">(NOK) </w:t>
      </w:r>
      <w:r w:rsidR="00703159" w:rsidRPr="0051003F">
        <w:rPr>
          <w:rFonts w:cs="Times New Roman"/>
          <w:lang w:val="pl-PL"/>
        </w:rPr>
        <w:t>(</w:t>
      </w:r>
      <w:r w:rsidR="00505674" w:rsidRPr="0051003F">
        <w:rPr>
          <w:rFonts w:cs="Times New Roman"/>
          <w:lang w:val="pl-PL"/>
        </w:rPr>
        <w:t>w przybliżeniu</w:t>
      </w:r>
      <w:r w:rsidR="001F41CD" w:rsidRPr="0051003F">
        <w:rPr>
          <w:rFonts w:cs="Times New Roman"/>
          <w:lang w:val="pl-PL"/>
        </w:rPr>
        <w:t xml:space="preserve"> </w:t>
      </w:r>
      <w:r w:rsidR="00505674" w:rsidRPr="0051003F">
        <w:rPr>
          <w:rFonts w:cs="Times New Roman"/>
          <w:lang w:val="pl-PL"/>
        </w:rPr>
        <w:t>12.6 mil</w:t>
      </w:r>
      <w:r w:rsidR="00703159" w:rsidRPr="0051003F">
        <w:rPr>
          <w:rFonts w:cs="Times New Roman"/>
          <w:lang w:val="pl-PL"/>
        </w:rPr>
        <w:t>io</w:t>
      </w:r>
      <w:r w:rsidR="00505674" w:rsidRPr="0051003F">
        <w:rPr>
          <w:rFonts w:cs="Times New Roman"/>
          <w:lang w:val="pl-PL"/>
        </w:rPr>
        <w:t>nów euro</w:t>
      </w:r>
      <w:r w:rsidR="009174C0">
        <w:rPr>
          <w:rFonts w:cs="Times New Roman"/>
          <w:lang w:val="pl-PL"/>
        </w:rPr>
        <w:t xml:space="preserve"> (EUR)</w:t>
      </w:r>
      <w:r w:rsidR="00505674" w:rsidRPr="0051003F">
        <w:rPr>
          <w:rFonts w:cs="Times New Roman"/>
          <w:lang w:val="pl-PL"/>
        </w:rPr>
        <w:t xml:space="preserve"> </w:t>
      </w:r>
      <w:r w:rsidR="00703159" w:rsidRPr="0051003F">
        <w:rPr>
          <w:rFonts w:cs="Times New Roman"/>
          <w:lang w:val="pl-PL"/>
        </w:rPr>
        <w:t xml:space="preserve">), </w:t>
      </w:r>
      <w:r w:rsidR="00505674" w:rsidRPr="0051003F">
        <w:rPr>
          <w:rFonts w:cs="Times New Roman"/>
          <w:lang w:val="pl-PL"/>
        </w:rPr>
        <w:t xml:space="preserve">nie został zadeklarowany </w:t>
      </w:r>
      <w:r w:rsidR="003A22D1" w:rsidRPr="0051003F">
        <w:rPr>
          <w:rFonts w:cs="Times New Roman"/>
          <w:lang w:val="pl-PL"/>
        </w:rPr>
        <w:t>norweskim</w:t>
      </w:r>
      <w:r w:rsidR="00505674" w:rsidRPr="0051003F">
        <w:rPr>
          <w:rFonts w:cs="Times New Roman"/>
          <w:lang w:val="pl-PL"/>
        </w:rPr>
        <w:t xml:space="preserve"> organom podatkowym, co w rezultacie stanowiło w sumie około </w:t>
      </w:r>
      <w:r w:rsidR="00AC6757" w:rsidRPr="0051003F">
        <w:rPr>
          <w:rFonts w:cs="Times New Roman"/>
          <w:lang w:val="pl-PL"/>
        </w:rPr>
        <w:t> 32.5 </w:t>
      </w:r>
      <w:r w:rsidR="00505674" w:rsidRPr="0051003F">
        <w:rPr>
          <w:rFonts w:cs="Times New Roman"/>
          <w:lang w:val="pl-PL"/>
        </w:rPr>
        <w:t>milionów</w:t>
      </w:r>
      <w:r w:rsidR="009174C0">
        <w:rPr>
          <w:rFonts w:cs="Times New Roman"/>
          <w:lang w:val="pl-PL"/>
        </w:rPr>
        <w:t xml:space="preserve"> (NOK)</w:t>
      </w:r>
      <w:r w:rsidR="00505674" w:rsidRPr="0051003F">
        <w:rPr>
          <w:rFonts w:cs="Times New Roman"/>
          <w:lang w:val="pl-PL"/>
        </w:rPr>
        <w:t xml:space="preserve"> niezapłaconego podatku </w:t>
      </w:r>
      <w:r w:rsidR="00703159" w:rsidRPr="0051003F">
        <w:rPr>
          <w:rFonts w:cs="Times New Roman"/>
          <w:lang w:val="pl-PL"/>
        </w:rPr>
        <w:t>(</w:t>
      </w:r>
      <w:r w:rsidR="00505674" w:rsidRPr="0051003F">
        <w:rPr>
          <w:rFonts w:cs="Times New Roman"/>
          <w:lang w:val="pl-PL"/>
        </w:rPr>
        <w:t>w przybliżeniu 3.6 milinów euro</w:t>
      </w:r>
      <w:r w:rsidR="009174C0">
        <w:rPr>
          <w:rFonts w:cs="Times New Roman"/>
          <w:lang w:val="pl-PL"/>
        </w:rPr>
        <w:t xml:space="preserve"> (EUR)</w:t>
      </w:r>
      <w:r w:rsidR="00703159" w:rsidRPr="0051003F">
        <w:rPr>
          <w:rFonts w:cs="Times New Roman"/>
          <w:lang w:val="pl-PL"/>
        </w:rPr>
        <w:t>).</w:t>
      </w:r>
    </w:p>
    <w:p w:rsidR="00AE71EB" w:rsidRPr="0051003F" w:rsidRDefault="003745E5" w:rsidP="00AE71EB">
      <w:pPr>
        <w:pStyle w:val="ECHRPara"/>
        <w:rPr>
          <w:rFonts w:cs="Times New Roman"/>
          <w:lang w:val="pl-PL"/>
        </w:rPr>
      </w:pPr>
      <w:r w:rsidRPr="0051003F">
        <w:rPr>
          <w:rFonts w:cs="Times New Roman"/>
          <w:lang w:val="pl-PL"/>
        </w:rPr>
        <w:lastRenderedPageBreak/>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13</w:t>
      </w:r>
      <w:r w:rsidRPr="0051003F">
        <w:rPr>
          <w:rFonts w:cs="Times New Roman"/>
          <w:lang w:val="pl-PL"/>
        </w:rPr>
        <w:fldChar w:fldCharType="end"/>
      </w:r>
      <w:r w:rsidR="00703159" w:rsidRPr="0051003F">
        <w:rPr>
          <w:rFonts w:cs="Times New Roman"/>
          <w:lang w:val="pl-PL"/>
        </w:rPr>
        <w:t>.  </w:t>
      </w:r>
      <w:r w:rsidR="00505674" w:rsidRPr="0051003F">
        <w:rPr>
          <w:rFonts w:cs="Times New Roman"/>
          <w:lang w:val="pl-PL"/>
        </w:rPr>
        <w:t>W 2005</w:t>
      </w:r>
      <w:r w:rsidR="0095267E">
        <w:rPr>
          <w:rFonts w:cs="Times New Roman"/>
          <w:lang w:val="pl-PL"/>
        </w:rPr>
        <w:t xml:space="preserve"> roku</w:t>
      </w:r>
      <w:r w:rsidR="00505674" w:rsidRPr="0051003F">
        <w:rPr>
          <w:rFonts w:cs="Times New Roman"/>
          <w:lang w:val="pl-PL"/>
        </w:rPr>
        <w:t xml:space="preserve"> organy podatkowe rozpoczęły </w:t>
      </w:r>
      <w:r w:rsidR="0095267E" w:rsidRPr="0051003F">
        <w:rPr>
          <w:rFonts w:cs="Times New Roman"/>
          <w:lang w:val="pl-PL"/>
        </w:rPr>
        <w:t>audyt</w:t>
      </w:r>
      <w:r w:rsidR="00505674" w:rsidRPr="0051003F">
        <w:rPr>
          <w:rFonts w:cs="Times New Roman"/>
          <w:lang w:val="pl-PL"/>
        </w:rPr>
        <w:t xml:space="preserve"> podatkowy spółki </w:t>
      </w:r>
      <w:r w:rsidR="00703159" w:rsidRPr="0051003F">
        <w:rPr>
          <w:rFonts w:cs="Times New Roman"/>
          <w:lang w:val="pl-PL"/>
        </w:rPr>
        <w:t xml:space="preserve">Software </w:t>
      </w:r>
      <w:proofErr w:type="spellStart"/>
      <w:r w:rsidR="00703159" w:rsidRPr="0051003F">
        <w:rPr>
          <w:rFonts w:cs="Times New Roman"/>
          <w:lang w:val="pl-PL"/>
        </w:rPr>
        <w:t>Innovation</w:t>
      </w:r>
      <w:proofErr w:type="spellEnd"/>
      <w:r w:rsidR="00703159" w:rsidRPr="0051003F">
        <w:rPr>
          <w:rFonts w:cs="Times New Roman"/>
          <w:lang w:val="pl-PL"/>
        </w:rPr>
        <w:t xml:space="preserve"> AS </w:t>
      </w:r>
      <w:r w:rsidR="003A22D1" w:rsidRPr="0051003F">
        <w:rPr>
          <w:rFonts w:cs="Times New Roman"/>
          <w:lang w:val="pl-PL"/>
        </w:rPr>
        <w:t>i przyjrzały się właś</w:t>
      </w:r>
      <w:r w:rsidR="00505674" w:rsidRPr="0051003F">
        <w:rPr>
          <w:rFonts w:cs="Times New Roman"/>
          <w:lang w:val="pl-PL"/>
        </w:rPr>
        <w:t>ci</w:t>
      </w:r>
      <w:r w:rsidR="003A22D1" w:rsidRPr="0051003F">
        <w:rPr>
          <w:rFonts w:cs="Times New Roman"/>
          <w:lang w:val="pl-PL"/>
        </w:rPr>
        <w:t>ci</w:t>
      </w:r>
      <w:r w:rsidR="00505674" w:rsidRPr="0051003F">
        <w:rPr>
          <w:rFonts w:cs="Times New Roman"/>
          <w:lang w:val="pl-PL"/>
        </w:rPr>
        <w:t xml:space="preserve">elom </w:t>
      </w:r>
      <w:r w:rsidR="008E29DE" w:rsidRPr="0051003F">
        <w:rPr>
          <w:rFonts w:cs="Times New Roman"/>
          <w:lang w:val="pl-PL"/>
        </w:rPr>
        <w:t>spółki</w:t>
      </w:r>
      <w:r w:rsidR="00703159" w:rsidRPr="0051003F">
        <w:rPr>
          <w:rFonts w:cs="Times New Roman"/>
          <w:lang w:val="pl-PL"/>
        </w:rPr>
        <w:t xml:space="preserve"> Wnet AS. </w:t>
      </w:r>
      <w:r w:rsidR="00AE71EB" w:rsidRPr="0051003F">
        <w:rPr>
          <w:rFonts w:cs="Times New Roman"/>
          <w:lang w:val="pl-PL"/>
        </w:rPr>
        <w:t>W dniu 25 października 2007 r</w:t>
      </w:r>
      <w:r w:rsidR="0095267E">
        <w:rPr>
          <w:rFonts w:cs="Times New Roman"/>
          <w:lang w:val="pl-PL"/>
        </w:rPr>
        <w:t>oku</w:t>
      </w:r>
      <w:r w:rsidR="00AE71EB" w:rsidRPr="0051003F">
        <w:rPr>
          <w:rFonts w:cs="Times New Roman"/>
          <w:lang w:val="pl-PL"/>
        </w:rPr>
        <w:t xml:space="preserve"> złożyli oni skargę karną na T. F. z </w:t>
      </w:r>
      <w:proofErr w:type="spellStart"/>
      <w:r w:rsidR="00AE71EB" w:rsidRPr="0051003F">
        <w:rPr>
          <w:rFonts w:cs="Times New Roman"/>
          <w:lang w:val="pl-PL"/>
        </w:rPr>
        <w:t>Økokrimem</w:t>
      </w:r>
      <w:proofErr w:type="spellEnd"/>
      <w:r w:rsidR="00AE71EB" w:rsidRPr="0051003F">
        <w:rPr>
          <w:rFonts w:cs="Times New Roman"/>
          <w:lang w:val="pl-PL"/>
        </w:rPr>
        <w:t xml:space="preserve"> (Norweski Krajowy Urząd Śledczy i Ścigania Przestępczości Gospodarczej i Ekologicznej) w odniesieniu do spraw, które następnie doprowadziły do postawienia w stan oskarżenia pierwsze</w:t>
      </w:r>
      <w:r w:rsidR="00096689">
        <w:rPr>
          <w:rFonts w:cs="Times New Roman"/>
          <w:lang w:val="pl-PL"/>
        </w:rPr>
        <w:t>go</w:t>
      </w:r>
      <w:r w:rsidR="00AE71EB" w:rsidRPr="0051003F">
        <w:rPr>
          <w:rFonts w:cs="Times New Roman"/>
          <w:lang w:val="pl-PL"/>
        </w:rPr>
        <w:t xml:space="preserve"> ze skarżących, wraz z innymi osobami wymienionymi powyżej i </w:t>
      </w:r>
      <w:r w:rsidR="00096689" w:rsidRPr="0051003F">
        <w:rPr>
          <w:rFonts w:cs="Times New Roman"/>
          <w:lang w:val="pl-PL"/>
        </w:rPr>
        <w:t>drug</w:t>
      </w:r>
      <w:r w:rsidR="00096689">
        <w:rPr>
          <w:rFonts w:cs="Times New Roman"/>
          <w:lang w:val="pl-PL"/>
        </w:rPr>
        <w:t>iego</w:t>
      </w:r>
      <w:r w:rsidR="00096689" w:rsidRPr="0051003F">
        <w:rPr>
          <w:rFonts w:cs="Times New Roman"/>
          <w:lang w:val="pl-PL"/>
        </w:rPr>
        <w:t xml:space="preserve"> </w:t>
      </w:r>
      <w:r w:rsidR="00AE71EB" w:rsidRPr="0051003F">
        <w:rPr>
          <w:rFonts w:cs="Times New Roman"/>
          <w:lang w:val="pl-PL"/>
        </w:rPr>
        <w:t>z nich, w związku ze zwiększonymi oszustwami podatkowymi.</w:t>
      </w:r>
    </w:p>
    <w:p w:rsidR="0013480F" w:rsidRPr="0051003F" w:rsidRDefault="008E29DE" w:rsidP="00A7252F">
      <w:pPr>
        <w:pStyle w:val="ECHRPara"/>
        <w:rPr>
          <w:rFonts w:cs="Times New Roman"/>
          <w:lang w:val="pl-PL"/>
        </w:rPr>
      </w:pPr>
      <w:r w:rsidRPr="0051003F">
        <w:rPr>
          <w:rFonts w:cs="Times New Roman"/>
          <w:lang w:val="pl-PL"/>
        </w:rPr>
        <w:t>Osobom wymienion</w:t>
      </w:r>
      <w:r w:rsidR="00E140C0" w:rsidRPr="0051003F">
        <w:rPr>
          <w:rFonts w:cs="Times New Roman"/>
          <w:lang w:val="pl-PL"/>
        </w:rPr>
        <w:t xml:space="preserve">ym w paragrafie 12 powyżej zostały następnie przedstawione zarzuty popełnia przestępstwa, zostały one oskarżone i skazane w postępowaniu karnym na karę pozbawienia </w:t>
      </w:r>
      <w:r w:rsidR="000728AC" w:rsidRPr="0051003F">
        <w:rPr>
          <w:rFonts w:cs="Times New Roman"/>
          <w:lang w:val="pl-PL"/>
        </w:rPr>
        <w:t>wolności</w:t>
      </w:r>
      <w:r w:rsidR="00E140C0" w:rsidRPr="0051003F">
        <w:rPr>
          <w:rFonts w:cs="Times New Roman"/>
          <w:lang w:val="pl-PL"/>
        </w:rPr>
        <w:t xml:space="preserve"> za  oszustwa podatkowe.</w:t>
      </w:r>
      <w:r w:rsidRPr="0051003F">
        <w:rPr>
          <w:rFonts w:cs="Times New Roman"/>
          <w:lang w:val="pl-PL"/>
        </w:rPr>
        <w:t xml:space="preserve"> </w:t>
      </w:r>
      <w:r w:rsidR="009454C3" w:rsidRPr="0051003F">
        <w:rPr>
          <w:rFonts w:cs="Times New Roman"/>
          <w:lang w:val="pl-PL"/>
        </w:rPr>
        <w:t>Należy również odnotować, że:</w:t>
      </w:r>
    </w:p>
    <w:p w:rsidR="0013480F" w:rsidRPr="0051003F" w:rsidRDefault="002E6FFD" w:rsidP="00A7252F">
      <w:pPr>
        <w:pStyle w:val="ECHRPara"/>
        <w:rPr>
          <w:rFonts w:cs="Times New Roman"/>
          <w:lang w:val="pl-PL"/>
        </w:rPr>
      </w:pPr>
      <w:r w:rsidRPr="0051003F">
        <w:rPr>
          <w:rFonts w:cs="Times New Roman"/>
          <w:lang w:val="pl-PL"/>
        </w:rPr>
        <w:t>-  </w:t>
      </w:r>
      <w:r w:rsidR="009454C3" w:rsidRPr="0051003F">
        <w:rPr>
          <w:rFonts w:cs="Times New Roman"/>
          <w:lang w:val="pl-PL"/>
        </w:rPr>
        <w:t xml:space="preserve">kara pozbawienia wolności, na którą został skazany Pan </w:t>
      </w:r>
      <w:r w:rsidR="002B496A" w:rsidRPr="0051003F">
        <w:rPr>
          <w:rFonts w:cs="Times New Roman"/>
          <w:lang w:val="pl-PL"/>
        </w:rPr>
        <w:t xml:space="preserve">E.K. </w:t>
      </w:r>
      <w:r w:rsidR="009454C3" w:rsidRPr="0051003F">
        <w:rPr>
          <w:rFonts w:cs="Times New Roman"/>
          <w:lang w:val="pl-PL"/>
        </w:rPr>
        <w:t xml:space="preserve">w postępowaniu </w:t>
      </w:r>
      <w:proofErr w:type="spellStart"/>
      <w:r w:rsidR="000728AC" w:rsidRPr="0051003F">
        <w:rPr>
          <w:rFonts w:cs="Times New Roman"/>
          <w:lang w:val="pl-PL"/>
        </w:rPr>
        <w:t>pierwszoinstancyjnym</w:t>
      </w:r>
      <w:proofErr w:type="spellEnd"/>
      <w:r w:rsidR="009454C3" w:rsidRPr="0051003F">
        <w:rPr>
          <w:rFonts w:cs="Times New Roman"/>
          <w:lang w:val="pl-PL"/>
        </w:rPr>
        <w:t xml:space="preserve">, została następnie podtrzymana przed sąd drugiej instancji, pomimo że sąd </w:t>
      </w:r>
      <w:proofErr w:type="spellStart"/>
      <w:r w:rsidR="000728AC" w:rsidRPr="0051003F">
        <w:rPr>
          <w:rFonts w:cs="Times New Roman"/>
          <w:lang w:val="pl-PL"/>
        </w:rPr>
        <w:t>drugoinstancyjny</w:t>
      </w:r>
      <w:proofErr w:type="spellEnd"/>
      <w:r w:rsidR="009454C3" w:rsidRPr="0051003F">
        <w:rPr>
          <w:rFonts w:cs="Times New Roman"/>
          <w:lang w:val="pl-PL"/>
        </w:rPr>
        <w:t xml:space="preserve"> orzekł, że była ona dość łagodna, w międzyczasie na Pana E.K.</w:t>
      </w:r>
      <w:r w:rsidR="000728AC" w:rsidRPr="0051003F">
        <w:rPr>
          <w:rFonts w:cs="Times New Roman"/>
          <w:lang w:val="pl-PL"/>
        </w:rPr>
        <w:t xml:space="preserve"> </w:t>
      </w:r>
      <w:r w:rsidR="0037077F" w:rsidRPr="0051003F">
        <w:rPr>
          <w:rFonts w:cs="Times New Roman"/>
          <w:lang w:val="pl-PL"/>
        </w:rPr>
        <w:t>została nałożona 30% kara</w:t>
      </w:r>
      <w:r w:rsidR="009454C3" w:rsidRPr="0051003F">
        <w:rPr>
          <w:rFonts w:cs="Times New Roman"/>
          <w:lang w:val="pl-PL"/>
        </w:rPr>
        <w:t xml:space="preserve"> </w:t>
      </w:r>
      <w:r w:rsidR="0037077F" w:rsidRPr="0051003F">
        <w:rPr>
          <w:rFonts w:cs="Times New Roman"/>
          <w:lang w:val="pl-PL"/>
        </w:rPr>
        <w:t>podatkowa;</w:t>
      </w:r>
      <w:r w:rsidR="009454C3" w:rsidRPr="0051003F">
        <w:rPr>
          <w:rFonts w:cs="Times New Roman"/>
          <w:lang w:val="pl-PL"/>
        </w:rPr>
        <w:t xml:space="preserve"> </w:t>
      </w:r>
    </w:p>
    <w:p w:rsidR="0013480F" w:rsidRPr="0051003F" w:rsidRDefault="002E6FFD" w:rsidP="00A7252F">
      <w:pPr>
        <w:pStyle w:val="ECHRPara"/>
        <w:rPr>
          <w:rFonts w:cs="Times New Roman"/>
          <w:lang w:val="pl-PL"/>
        </w:rPr>
      </w:pPr>
      <w:r w:rsidRPr="0051003F">
        <w:rPr>
          <w:rFonts w:cs="Times New Roman"/>
          <w:lang w:val="pl-PL"/>
        </w:rPr>
        <w:t>-  </w:t>
      </w:r>
      <w:r w:rsidR="0037077F" w:rsidRPr="0051003F">
        <w:rPr>
          <w:rFonts w:cs="Times New Roman"/>
          <w:lang w:val="pl-PL"/>
        </w:rPr>
        <w:t xml:space="preserve">długość kary pozbawienia wolności Pana </w:t>
      </w:r>
      <w:r w:rsidR="00330B6E" w:rsidRPr="0051003F">
        <w:rPr>
          <w:rFonts w:cs="Times New Roman"/>
          <w:lang w:val="pl-PL"/>
        </w:rPr>
        <w:t>B.L.</w:t>
      </w:r>
      <w:r w:rsidR="000728AC" w:rsidRPr="0051003F">
        <w:rPr>
          <w:rFonts w:cs="Times New Roman"/>
          <w:lang w:val="pl-PL"/>
        </w:rPr>
        <w:t xml:space="preserve"> </w:t>
      </w:r>
      <w:r w:rsidR="0037077F" w:rsidRPr="0051003F">
        <w:rPr>
          <w:rFonts w:cs="Times New Roman"/>
          <w:lang w:val="pl-PL"/>
        </w:rPr>
        <w:t xml:space="preserve">została określona </w:t>
      </w:r>
      <w:r w:rsidR="005323C1">
        <w:rPr>
          <w:rFonts w:cs="Times New Roman"/>
          <w:lang w:val="pl-PL"/>
        </w:rPr>
        <w:t>z uwagi</w:t>
      </w:r>
      <w:r w:rsidR="0037077F" w:rsidRPr="0051003F">
        <w:rPr>
          <w:rFonts w:cs="Times New Roman"/>
          <w:lang w:val="pl-PL"/>
        </w:rPr>
        <w:t xml:space="preserve"> </w:t>
      </w:r>
      <w:r w:rsidR="00330B6E" w:rsidRPr="0051003F">
        <w:rPr>
          <w:rFonts w:cs="Times New Roman"/>
          <w:lang w:val="pl-PL"/>
        </w:rPr>
        <w:t xml:space="preserve">na </w:t>
      </w:r>
      <w:r w:rsidR="0037077F" w:rsidRPr="0051003F">
        <w:rPr>
          <w:rFonts w:cs="Times New Roman"/>
          <w:lang w:val="pl-PL"/>
        </w:rPr>
        <w:t>uprzednio nało</w:t>
      </w:r>
      <w:r w:rsidR="00330B6E" w:rsidRPr="0051003F">
        <w:rPr>
          <w:rFonts w:cs="Times New Roman"/>
          <w:lang w:val="pl-PL"/>
        </w:rPr>
        <w:t>żoną na niego 30% karę podatkową</w:t>
      </w:r>
      <w:r w:rsidR="0037077F" w:rsidRPr="0051003F">
        <w:rPr>
          <w:rFonts w:cs="Times New Roman"/>
          <w:lang w:val="pl-PL"/>
        </w:rPr>
        <w:t xml:space="preserve">; </w:t>
      </w:r>
    </w:p>
    <w:p w:rsidR="00C14275" w:rsidRPr="0051003F" w:rsidRDefault="002E6FFD" w:rsidP="00A7252F">
      <w:pPr>
        <w:pStyle w:val="ECHRPara"/>
        <w:rPr>
          <w:rFonts w:cs="Times New Roman"/>
          <w:lang w:val="pl-PL"/>
        </w:rPr>
      </w:pPr>
      <w:r w:rsidRPr="0051003F">
        <w:rPr>
          <w:rFonts w:cs="Times New Roman"/>
          <w:lang w:val="pl-PL"/>
        </w:rPr>
        <w:t>-  </w:t>
      </w:r>
      <w:r w:rsidR="00330B6E" w:rsidRPr="0051003F">
        <w:rPr>
          <w:rFonts w:cs="Times New Roman"/>
          <w:lang w:val="pl-PL"/>
        </w:rPr>
        <w:t>Pan</w:t>
      </w:r>
      <w:r w:rsidR="002B496A" w:rsidRPr="0051003F">
        <w:rPr>
          <w:rFonts w:cs="Times New Roman"/>
          <w:lang w:val="pl-PL"/>
        </w:rPr>
        <w:t xml:space="preserve"> G.A. </w:t>
      </w:r>
      <w:r w:rsidR="00330B6E" w:rsidRPr="0051003F">
        <w:rPr>
          <w:rFonts w:cs="Times New Roman"/>
          <w:lang w:val="pl-PL"/>
        </w:rPr>
        <w:t>nie został skazany</w:t>
      </w:r>
      <w:r w:rsidR="005323C1">
        <w:rPr>
          <w:rFonts w:cs="Times New Roman"/>
          <w:lang w:val="pl-PL"/>
        </w:rPr>
        <w:t xml:space="preserve"> ani</w:t>
      </w:r>
      <w:r w:rsidR="00330B6E" w:rsidRPr="0051003F">
        <w:rPr>
          <w:rFonts w:cs="Times New Roman"/>
          <w:lang w:val="pl-PL"/>
        </w:rPr>
        <w:t xml:space="preserve"> na karę grzywny, ani też nie została nałożona na niego 30% kara podatkowa;</w:t>
      </w:r>
    </w:p>
    <w:p w:rsidR="006322A0" w:rsidRPr="0051003F" w:rsidRDefault="002E6FFD" w:rsidP="00A7252F">
      <w:pPr>
        <w:pStyle w:val="ECHRPara"/>
        <w:rPr>
          <w:rFonts w:cs="Times New Roman"/>
          <w:lang w:val="pl-PL"/>
        </w:rPr>
      </w:pPr>
      <w:r w:rsidRPr="0051003F">
        <w:rPr>
          <w:rFonts w:cs="Times New Roman"/>
          <w:lang w:val="pl-PL"/>
        </w:rPr>
        <w:t>-  </w:t>
      </w:r>
      <w:r w:rsidR="002D17F5" w:rsidRPr="0051003F">
        <w:rPr>
          <w:rFonts w:cs="Times New Roman"/>
          <w:lang w:val="pl-PL"/>
        </w:rPr>
        <w:t>Pan</w:t>
      </w:r>
      <w:r w:rsidR="0013480F" w:rsidRPr="0051003F">
        <w:rPr>
          <w:rFonts w:cs="Times New Roman"/>
          <w:lang w:val="pl-PL"/>
        </w:rPr>
        <w:t xml:space="preserve"> T.F. </w:t>
      </w:r>
      <w:r w:rsidR="002D17F5" w:rsidRPr="0051003F">
        <w:rPr>
          <w:rFonts w:cs="Times New Roman"/>
          <w:lang w:val="pl-PL"/>
        </w:rPr>
        <w:t>został dodatkowo skazany na karę pozbawienia wolności korespondującą z poziomem 30% kary podatkowej;</w:t>
      </w:r>
    </w:p>
    <w:p w:rsidR="006322A0" w:rsidRPr="0051003F" w:rsidRDefault="002E6FFD" w:rsidP="00A7252F">
      <w:pPr>
        <w:pStyle w:val="ECHRPara"/>
        <w:rPr>
          <w:rFonts w:cs="Times New Roman"/>
          <w:lang w:val="pl-PL"/>
        </w:rPr>
      </w:pPr>
      <w:r w:rsidRPr="0051003F">
        <w:rPr>
          <w:rFonts w:cs="Times New Roman"/>
          <w:lang w:val="pl-PL"/>
        </w:rPr>
        <w:t>-  </w:t>
      </w:r>
      <w:r w:rsidR="002D17F5" w:rsidRPr="0051003F">
        <w:rPr>
          <w:rFonts w:cs="Times New Roman"/>
          <w:lang w:val="pl-PL"/>
        </w:rPr>
        <w:t>Pan</w:t>
      </w:r>
      <w:r w:rsidR="00C14275" w:rsidRPr="0051003F">
        <w:rPr>
          <w:rFonts w:cs="Times New Roman"/>
          <w:lang w:val="pl-PL"/>
        </w:rPr>
        <w:t xml:space="preserve"> </w:t>
      </w:r>
      <w:r w:rsidR="006322A0" w:rsidRPr="0051003F">
        <w:rPr>
          <w:rFonts w:cs="Times New Roman"/>
          <w:lang w:val="pl-PL"/>
        </w:rPr>
        <w:t>K.</w:t>
      </w:r>
      <w:r w:rsidR="00C14275" w:rsidRPr="0051003F">
        <w:rPr>
          <w:rFonts w:cs="Times New Roman"/>
          <w:lang w:val="pl-PL"/>
        </w:rPr>
        <w:t>B.</w:t>
      </w:r>
      <w:r w:rsidR="002D17F5" w:rsidRPr="0051003F">
        <w:rPr>
          <w:rFonts w:cs="Times New Roman"/>
          <w:lang w:val="pl-PL"/>
        </w:rPr>
        <w:t xml:space="preserve"> oraz Pan</w:t>
      </w:r>
      <w:r w:rsidR="006322A0" w:rsidRPr="0051003F">
        <w:rPr>
          <w:rFonts w:cs="Times New Roman"/>
          <w:lang w:val="pl-PL"/>
        </w:rPr>
        <w:t xml:space="preserve"> G.N. </w:t>
      </w:r>
      <w:r w:rsidR="002D17F5" w:rsidRPr="0051003F">
        <w:rPr>
          <w:rFonts w:cs="Times New Roman"/>
          <w:lang w:val="pl-PL"/>
        </w:rPr>
        <w:t xml:space="preserve">zostali skazani na karę grzywny w związku z podejściem wyrażonym przez Sąd Najwyższy w orzeczeniu </w:t>
      </w:r>
      <w:proofErr w:type="spellStart"/>
      <w:r w:rsidR="00250EC1" w:rsidRPr="0051003F">
        <w:rPr>
          <w:rFonts w:cs="Times New Roman"/>
          <w:i/>
          <w:lang w:val="pl-PL"/>
        </w:rPr>
        <w:t>Rt</w:t>
      </w:r>
      <w:proofErr w:type="spellEnd"/>
      <w:r w:rsidR="002D17F5" w:rsidRPr="0051003F">
        <w:rPr>
          <w:rFonts w:cs="Times New Roman"/>
          <w:lang w:val="pl-PL"/>
        </w:rPr>
        <w:t>. 2011 s.</w:t>
      </w:r>
      <w:r w:rsidR="00F615DC" w:rsidRPr="0051003F">
        <w:rPr>
          <w:rFonts w:cs="Times New Roman"/>
          <w:lang w:val="pl-PL"/>
        </w:rPr>
        <w:t> </w:t>
      </w:r>
      <w:r w:rsidR="002D17F5" w:rsidRPr="0051003F">
        <w:rPr>
          <w:rFonts w:cs="Times New Roman"/>
          <w:lang w:val="pl-PL"/>
        </w:rPr>
        <w:t>1509, w odniesieniu do</w:t>
      </w:r>
      <w:r w:rsidR="00250EC1" w:rsidRPr="0051003F">
        <w:rPr>
          <w:rFonts w:cs="Times New Roman"/>
          <w:lang w:val="pl-PL"/>
        </w:rPr>
        <w:t xml:space="preserve"> </w:t>
      </w:r>
      <w:proofErr w:type="spellStart"/>
      <w:r w:rsidR="006322A0" w:rsidRPr="0051003F">
        <w:rPr>
          <w:rFonts w:cs="Times New Roman"/>
          <w:i/>
          <w:lang w:val="pl-PL"/>
        </w:rPr>
        <w:t>Rt</w:t>
      </w:r>
      <w:proofErr w:type="spellEnd"/>
      <w:r w:rsidR="002D17F5" w:rsidRPr="0051003F">
        <w:rPr>
          <w:rFonts w:cs="Times New Roman"/>
          <w:lang w:val="pl-PL"/>
        </w:rPr>
        <w:t>. 2005 s.</w:t>
      </w:r>
      <w:r w:rsidR="00390322" w:rsidRPr="0051003F">
        <w:rPr>
          <w:rFonts w:cs="Times New Roman"/>
          <w:lang w:val="pl-PL"/>
        </w:rPr>
        <w:t xml:space="preserve"> 129</w:t>
      </w:r>
      <w:r w:rsidR="00250EC1" w:rsidRPr="0051003F">
        <w:rPr>
          <w:rFonts w:cs="Times New Roman"/>
          <w:lang w:val="pl-PL"/>
        </w:rPr>
        <w:t>,</w:t>
      </w:r>
      <w:r w:rsidR="006322A0" w:rsidRPr="0051003F">
        <w:rPr>
          <w:rFonts w:cs="Times New Roman"/>
          <w:lang w:val="pl-PL"/>
        </w:rPr>
        <w:t xml:space="preserve"> </w:t>
      </w:r>
      <w:r w:rsidR="002D17F5" w:rsidRPr="0051003F">
        <w:rPr>
          <w:rFonts w:cs="Times New Roman"/>
          <w:lang w:val="pl-PL"/>
        </w:rPr>
        <w:t>stres</w:t>
      </w:r>
      <w:r w:rsidR="000728AC" w:rsidRPr="0051003F">
        <w:rPr>
          <w:rFonts w:cs="Times New Roman"/>
          <w:lang w:val="pl-PL"/>
        </w:rPr>
        <w:t>zczonym w paragrafie 50 poniżej</w:t>
      </w:r>
      <w:r w:rsidR="006322A0" w:rsidRPr="0051003F">
        <w:rPr>
          <w:rFonts w:cs="Times New Roman"/>
          <w:lang w:val="pl-PL"/>
        </w:rPr>
        <w:t>.</w:t>
      </w:r>
    </w:p>
    <w:p w:rsidR="00703159" w:rsidRPr="0051003F" w:rsidRDefault="002D17F5" w:rsidP="00A7252F">
      <w:pPr>
        <w:pStyle w:val="ECHRPara"/>
        <w:rPr>
          <w:rFonts w:cs="Times New Roman"/>
          <w:lang w:val="pl-PL"/>
        </w:rPr>
      </w:pPr>
      <w:r w:rsidRPr="0051003F">
        <w:rPr>
          <w:rFonts w:cs="Times New Roman"/>
          <w:lang w:val="pl-PL"/>
        </w:rPr>
        <w:t xml:space="preserve">Podsumowanie konkretnych okoliczności odnoszących się do pierwszego i drugiego </w:t>
      </w:r>
      <w:r w:rsidR="000728AC" w:rsidRPr="0051003F">
        <w:rPr>
          <w:rFonts w:cs="Times New Roman"/>
          <w:lang w:val="pl-PL"/>
        </w:rPr>
        <w:t>skarżącego</w:t>
      </w:r>
      <w:r w:rsidRPr="0051003F">
        <w:rPr>
          <w:rFonts w:cs="Times New Roman"/>
          <w:lang w:val="pl-PL"/>
        </w:rPr>
        <w:t xml:space="preserve"> zostało przedstawione poniżej.</w:t>
      </w:r>
    </w:p>
    <w:p w:rsidR="00703159" w:rsidRPr="0051003F" w:rsidRDefault="001F41CD" w:rsidP="00A7252F">
      <w:pPr>
        <w:pStyle w:val="ECHRHeading2"/>
        <w:rPr>
          <w:lang w:val="pl-PL"/>
        </w:rPr>
      </w:pPr>
      <w:bookmarkStart w:id="7" w:name="_Toc466904297"/>
      <w:bookmarkStart w:id="8" w:name="_Toc466972316"/>
      <w:bookmarkStart w:id="9" w:name="_Toc466972827"/>
      <w:bookmarkStart w:id="10" w:name="_Toc466974243"/>
      <w:bookmarkStart w:id="11" w:name="_Toc473801878"/>
      <w:r w:rsidRPr="0051003F">
        <w:rPr>
          <w:lang w:val="pl-PL"/>
        </w:rPr>
        <w:t>A</w:t>
      </w:r>
      <w:r w:rsidR="00703159" w:rsidRPr="0051003F">
        <w:rPr>
          <w:lang w:val="pl-PL"/>
        </w:rPr>
        <w:t>.</w:t>
      </w:r>
      <w:r w:rsidRPr="0051003F">
        <w:rPr>
          <w:lang w:val="pl-PL"/>
        </w:rPr>
        <w:t>  </w:t>
      </w:r>
      <w:bookmarkEnd w:id="7"/>
      <w:bookmarkEnd w:id="8"/>
      <w:bookmarkEnd w:id="9"/>
      <w:bookmarkEnd w:id="10"/>
      <w:bookmarkEnd w:id="11"/>
      <w:r w:rsidR="00C37B80" w:rsidRPr="0051003F">
        <w:rPr>
          <w:lang w:val="pl-PL"/>
        </w:rPr>
        <w:t>Pierwszy skarżący</w:t>
      </w:r>
    </w:p>
    <w:p w:rsidR="00703159" w:rsidRPr="0051003F" w:rsidRDefault="003745E5" w:rsidP="00A7252F">
      <w:pPr>
        <w:pStyle w:val="ECHRPara"/>
        <w:rPr>
          <w:rFonts w:cs="Times New Roman"/>
          <w:lang w:val="pl-PL"/>
        </w:rPr>
      </w:pPr>
      <w:r w:rsidRPr="0051003F">
        <w:rPr>
          <w:rFonts w:cs="Times New Roman"/>
          <w:lang w:val="pl-PL"/>
        </w:rPr>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14</w:t>
      </w:r>
      <w:r w:rsidRPr="0051003F">
        <w:rPr>
          <w:rFonts w:cs="Times New Roman"/>
          <w:lang w:val="pl-PL"/>
        </w:rPr>
        <w:fldChar w:fldCharType="end"/>
      </w:r>
      <w:r w:rsidR="00703159" w:rsidRPr="0051003F">
        <w:rPr>
          <w:rFonts w:cs="Times New Roman"/>
          <w:lang w:val="pl-PL"/>
        </w:rPr>
        <w:t>.  </w:t>
      </w:r>
      <w:r w:rsidR="00C37B80" w:rsidRPr="0051003F">
        <w:rPr>
          <w:rFonts w:cs="Times New Roman"/>
          <w:lang w:val="pl-PL"/>
        </w:rPr>
        <w:t xml:space="preserve">Pierwszy skarżący został przesłuchany najpierw jako </w:t>
      </w:r>
      <w:r w:rsidR="000728AC" w:rsidRPr="0051003F">
        <w:rPr>
          <w:rFonts w:cs="Times New Roman"/>
          <w:lang w:val="pl-PL"/>
        </w:rPr>
        <w:t>świadek</w:t>
      </w:r>
      <w:r w:rsidR="00C37B80" w:rsidRPr="0051003F">
        <w:rPr>
          <w:rFonts w:cs="Times New Roman"/>
          <w:lang w:val="pl-PL"/>
        </w:rPr>
        <w:t xml:space="preserve"> w dniu 6 grudnia 2007 r</w:t>
      </w:r>
      <w:r w:rsidR="00EE737D">
        <w:rPr>
          <w:rFonts w:cs="Times New Roman"/>
          <w:lang w:val="pl-PL"/>
        </w:rPr>
        <w:t>oku</w:t>
      </w:r>
      <w:r w:rsidR="00C37B80" w:rsidRPr="0051003F">
        <w:rPr>
          <w:rFonts w:cs="Times New Roman"/>
          <w:lang w:val="pl-PL"/>
        </w:rPr>
        <w:t xml:space="preserve">, </w:t>
      </w:r>
      <w:r w:rsidR="00A83A4F" w:rsidRPr="0051003F">
        <w:rPr>
          <w:rFonts w:cs="Times New Roman"/>
          <w:lang w:val="pl-PL"/>
        </w:rPr>
        <w:t xml:space="preserve">a </w:t>
      </w:r>
      <w:r w:rsidR="00C37B80" w:rsidRPr="0051003F">
        <w:rPr>
          <w:rFonts w:cs="Times New Roman"/>
          <w:lang w:val="pl-PL"/>
        </w:rPr>
        <w:t>d</w:t>
      </w:r>
      <w:r w:rsidR="00A83A4F" w:rsidRPr="0051003F">
        <w:rPr>
          <w:rFonts w:cs="Times New Roman"/>
          <w:lang w:val="pl-PL"/>
        </w:rPr>
        <w:t>nia 14 gr</w:t>
      </w:r>
      <w:r w:rsidR="00B1005C" w:rsidRPr="0051003F">
        <w:rPr>
          <w:rFonts w:cs="Times New Roman"/>
          <w:lang w:val="pl-PL"/>
        </w:rPr>
        <w:t>udnia 2007 r</w:t>
      </w:r>
      <w:r w:rsidR="00EE737D">
        <w:rPr>
          <w:rFonts w:cs="Times New Roman"/>
          <w:lang w:val="pl-PL"/>
        </w:rPr>
        <w:t>oku</w:t>
      </w:r>
      <w:r w:rsidR="00B1005C" w:rsidRPr="0051003F">
        <w:rPr>
          <w:rFonts w:cs="Times New Roman"/>
          <w:lang w:val="pl-PL"/>
        </w:rPr>
        <w:t xml:space="preserve"> aresztowano go</w:t>
      </w:r>
      <w:r w:rsidR="00C37B80" w:rsidRPr="0051003F">
        <w:rPr>
          <w:rFonts w:cs="Times New Roman"/>
          <w:lang w:val="pl-PL"/>
        </w:rPr>
        <w:t xml:space="preserve"> </w:t>
      </w:r>
      <w:r w:rsidR="00EE737D">
        <w:rPr>
          <w:rFonts w:cs="Times New Roman"/>
          <w:lang w:val="pl-PL"/>
        </w:rPr>
        <w:t>po czym</w:t>
      </w:r>
      <w:r w:rsidR="00EE737D" w:rsidRPr="0051003F">
        <w:rPr>
          <w:rFonts w:cs="Times New Roman"/>
          <w:lang w:val="pl-PL"/>
        </w:rPr>
        <w:t xml:space="preserve"> </w:t>
      </w:r>
      <w:r w:rsidR="00B1005C" w:rsidRPr="0051003F">
        <w:rPr>
          <w:rFonts w:cs="Times New Roman"/>
          <w:lang w:val="pl-PL"/>
        </w:rPr>
        <w:t>złożył wyjaśnienia</w:t>
      </w:r>
      <w:r w:rsidR="00A83A4F" w:rsidRPr="0051003F">
        <w:rPr>
          <w:rFonts w:cs="Times New Roman"/>
          <w:lang w:val="pl-PL"/>
        </w:rPr>
        <w:t xml:space="preserve"> jako osoba </w:t>
      </w:r>
      <w:r w:rsidR="000728AC" w:rsidRPr="0051003F">
        <w:rPr>
          <w:rFonts w:cs="Times New Roman"/>
          <w:lang w:val="pl-PL"/>
        </w:rPr>
        <w:t>oskarżona</w:t>
      </w:r>
      <w:r w:rsidR="00A83A4F" w:rsidRPr="0051003F">
        <w:rPr>
          <w:rFonts w:cs="Times New Roman"/>
          <w:lang w:val="pl-PL"/>
        </w:rPr>
        <w:t xml:space="preserve"> </w:t>
      </w:r>
      <w:r w:rsidR="00703159" w:rsidRPr="0051003F">
        <w:rPr>
          <w:rFonts w:cs="Times New Roman"/>
          <w:lang w:val="pl-PL"/>
        </w:rPr>
        <w:t>(“</w:t>
      </w:r>
      <w:proofErr w:type="spellStart"/>
      <w:r w:rsidR="00703159" w:rsidRPr="0051003F">
        <w:rPr>
          <w:rFonts w:cs="Times New Roman"/>
          <w:i/>
          <w:lang w:val="pl-PL"/>
        </w:rPr>
        <w:t>siktet</w:t>
      </w:r>
      <w:proofErr w:type="spellEnd"/>
      <w:r w:rsidR="00703159" w:rsidRPr="0051003F">
        <w:rPr>
          <w:rFonts w:cs="Times New Roman"/>
          <w:lang w:val="pl-PL"/>
        </w:rPr>
        <w:t xml:space="preserve">”). </w:t>
      </w:r>
      <w:r w:rsidR="00B1005C" w:rsidRPr="0051003F">
        <w:rPr>
          <w:rFonts w:cs="Times New Roman"/>
          <w:lang w:val="pl-PL"/>
        </w:rPr>
        <w:t>Potwierdził okoliczności faktyczne, ale nie zaakceptował odpowiedzialności karnej. Został zwolniony po czterech dniach.</w:t>
      </w:r>
    </w:p>
    <w:p w:rsidR="00917586" w:rsidRPr="0051003F" w:rsidRDefault="003745E5" w:rsidP="00A7252F">
      <w:pPr>
        <w:pStyle w:val="ECHRPara"/>
        <w:rPr>
          <w:rFonts w:cs="Times New Roman"/>
          <w:lang w:val="pl-PL"/>
        </w:rPr>
      </w:pPr>
      <w:r w:rsidRPr="0051003F">
        <w:rPr>
          <w:rFonts w:cs="Times New Roman"/>
          <w:lang w:val="pl-PL"/>
        </w:rPr>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15</w:t>
      </w:r>
      <w:r w:rsidRPr="0051003F">
        <w:rPr>
          <w:rFonts w:cs="Times New Roman"/>
          <w:lang w:val="pl-PL"/>
        </w:rPr>
        <w:fldChar w:fldCharType="end"/>
      </w:r>
      <w:r w:rsidR="00703159" w:rsidRPr="0051003F">
        <w:rPr>
          <w:rFonts w:cs="Times New Roman"/>
          <w:lang w:val="pl-PL"/>
        </w:rPr>
        <w:t>.  </w:t>
      </w:r>
      <w:r w:rsidR="00B1005C" w:rsidRPr="0051003F">
        <w:rPr>
          <w:rFonts w:cs="Times New Roman"/>
          <w:lang w:val="pl-PL"/>
        </w:rPr>
        <w:t>W dniu 14 października 2008 r</w:t>
      </w:r>
      <w:r w:rsidR="00F8612E">
        <w:rPr>
          <w:rFonts w:cs="Times New Roman"/>
          <w:lang w:val="pl-PL"/>
        </w:rPr>
        <w:t>oku</w:t>
      </w:r>
      <w:r w:rsidR="00B1005C" w:rsidRPr="0051003F">
        <w:rPr>
          <w:rFonts w:cs="Times New Roman"/>
          <w:lang w:val="pl-PL"/>
        </w:rPr>
        <w:t xml:space="preserve"> pierwszy </w:t>
      </w:r>
      <w:r w:rsidR="000728AC" w:rsidRPr="0051003F">
        <w:rPr>
          <w:rFonts w:cs="Times New Roman"/>
          <w:lang w:val="pl-PL"/>
        </w:rPr>
        <w:t>skarżący</w:t>
      </w:r>
      <w:r w:rsidR="00B1005C" w:rsidRPr="0051003F">
        <w:rPr>
          <w:rFonts w:cs="Times New Roman"/>
          <w:lang w:val="pl-PL"/>
        </w:rPr>
        <w:t xml:space="preserve"> został </w:t>
      </w:r>
      <w:r w:rsidR="00971BBF" w:rsidRPr="0051003F">
        <w:rPr>
          <w:rFonts w:cs="Times New Roman"/>
          <w:lang w:val="pl-PL"/>
        </w:rPr>
        <w:t>oskarżony o naruszenie przepisów</w:t>
      </w:r>
      <w:r w:rsidR="00B1005C" w:rsidRPr="0051003F">
        <w:rPr>
          <w:rFonts w:cs="Times New Roman"/>
          <w:lang w:val="pl-PL"/>
        </w:rPr>
        <w:t xml:space="preserve"> </w:t>
      </w:r>
      <w:r w:rsidR="00B06711" w:rsidRPr="0051003F">
        <w:rPr>
          <w:rFonts w:cs="Times New Roman"/>
          <w:lang w:val="pl-PL"/>
        </w:rPr>
        <w:t>12-1</w:t>
      </w:r>
      <w:r w:rsidR="00971BBF" w:rsidRPr="0051003F">
        <w:rPr>
          <w:rFonts w:cs="Times New Roman"/>
          <w:lang w:val="pl-PL"/>
        </w:rPr>
        <w:t xml:space="preserve">(1)(a), </w:t>
      </w:r>
      <w:proofErr w:type="spellStart"/>
      <w:r w:rsidR="006477C8" w:rsidRPr="0051003F">
        <w:rPr>
          <w:rFonts w:cs="Times New Roman"/>
          <w:i/>
          <w:lang w:val="pl-PL"/>
        </w:rPr>
        <w:t>cf</w:t>
      </w:r>
      <w:proofErr w:type="spellEnd"/>
      <w:r w:rsidR="006477C8" w:rsidRPr="0051003F">
        <w:rPr>
          <w:rFonts w:cs="Times New Roman"/>
          <w:i/>
          <w:lang w:val="pl-PL"/>
        </w:rPr>
        <w:t>.</w:t>
      </w:r>
      <w:r w:rsidR="00971BBF" w:rsidRPr="0051003F">
        <w:rPr>
          <w:rFonts w:cs="Times New Roman"/>
          <w:lang w:val="pl-PL"/>
        </w:rPr>
        <w:t xml:space="preserve"> z</w:t>
      </w:r>
      <w:r w:rsidR="00703159" w:rsidRPr="0051003F">
        <w:rPr>
          <w:rFonts w:cs="Times New Roman"/>
          <w:lang w:val="pl-PL"/>
        </w:rPr>
        <w:t xml:space="preserve"> 12-2, </w:t>
      </w:r>
      <w:r w:rsidR="00971BBF" w:rsidRPr="0051003F">
        <w:rPr>
          <w:rFonts w:cs="Times New Roman"/>
          <w:lang w:val="pl-PL"/>
        </w:rPr>
        <w:t xml:space="preserve">Ustawy o </w:t>
      </w:r>
      <w:r w:rsidR="00537091" w:rsidRPr="0051003F">
        <w:rPr>
          <w:rFonts w:cs="Times New Roman"/>
          <w:lang w:val="pl-PL"/>
        </w:rPr>
        <w:t>rozliczeniach podatkowych</w:t>
      </w:r>
      <w:r w:rsidR="00971BBF" w:rsidRPr="0051003F">
        <w:rPr>
          <w:rFonts w:cs="Times New Roman"/>
          <w:lang w:val="pl-PL"/>
        </w:rPr>
        <w:t xml:space="preserve"> z 1980 r</w:t>
      </w:r>
      <w:r w:rsidR="00AE135F">
        <w:rPr>
          <w:rFonts w:cs="Times New Roman"/>
          <w:lang w:val="pl-PL"/>
        </w:rPr>
        <w:t>oku</w:t>
      </w:r>
      <w:r w:rsidR="00703159" w:rsidRPr="0051003F">
        <w:rPr>
          <w:rFonts w:cs="Times New Roman"/>
          <w:lang w:val="pl-PL"/>
        </w:rPr>
        <w:t xml:space="preserve"> (</w:t>
      </w:r>
      <w:proofErr w:type="spellStart"/>
      <w:r w:rsidR="00703159" w:rsidRPr="0051003F">
        <w:rPr>
          <w:rFonts w:cs="Times New Roman"/>
          <w:i/>
          <w:iCs/>
          <w:lang w:val="pl-PL"/>
        </w:rPr>
        <w:t>ligningsloven</w:t>
      </w:r>
      <w:proofErr w:type="spellEnd"/>
      <w:r w:rsidR="00703159" w:rsidRPr="0051003F">
        <w:rPr>
          <w:rFonts w:cs="Times New Roman"/>
          <w:lang w:val="pl-PL"/>
        </w:rPr>
        <w:t>)</w:t>
      </w:r>
      <w:r w:rsidR="00CF1EA5" w:rsidRPr="0051003F">
        <w:rPr>
          <w:rFonts w:cs="Times New Roman"/>
          <w:lang w:val="pl-PL"/>
        </w:rPr>
        <w:t xml:space="preserve"> (</w:t>
      </w:r>
      <w:r w:rsidR="00971BBF" w:rsidRPr="0051003F">
        <w:rPr>
          <w:rFonts w:cs="Times New Roman"/>
          <w:lang w:val="pl-PL"/>
        </w:rPr>
        <w:t>zobacz paragraf</w:t>
      </w:r>
      <w:r w:rsidR="00CF1EA5" w:rsidRPr="0051003F">
        <w:rPr>
          <w:rFonts w:cs="Times New Roman"/>
          <w:lang w:val="pl-PL"/>
        </w:rPr>
        <w:t xml:space="preserve"> 4</w:t>
      </w:r>
      <w:r w:rsidR="00640B8F" w:rsidRPr="0051003F">
        <w:rPr>
          <w:rFonts w:cs="Times New Roman"/>
          <w:lang w:val="pl-PL"/>
        </w:rPr>
        <w:t>3</w:t>
      </w:r>
      <w:r w:rsidR="00CF1EA5" w:rsidRPr="0051003F">
        <w:rPr>
          <w:rFonts w:cs="Times New Roman"/>
          <w:lang w:val="pl-PL"/>
        </w:rPr>
        <w:t xml:space="preserve"> </w:t>
      </w:r>
      <w:r w:rsidR="00971BBF" w:rsidRPr="0051003F">
        <w:rPr>
          <w:rFonts w:cs="Times New Roman"/>
          <w:lang w:val="pl-PL"/>
        </w:rPr>
        <w:t>poniżej</w:t>
      </w:r>
      <w:r w:rsidR="006477C8" w:rsidRPr="0051003F">
        <w:rPr>
          <w:rFonts w:cs="Times New Roman"/>
          <w:lang w:val="pl-PL"/>
        </w:rPr>
        <w:t>,</w:t>
      </w:r>
      <w:r w:rsidR="00971BBF" w:rsidRPr="0051003F">
        <w:rPr>
          <w:rFonts w:cs="Times New Roman"/>
          <w:lang w:val="pl-PL"/>
        </w:rPr>
        <w:t xml:space="preserve"> </w:t>
      </w:r>
      <w:r w:rsidR="006477C8" w:rsidRPr="0051003F">
        <w:rPr>
          <w:rFonts w:cs="Times New Roman"/>
          <w:lang w:val="pl-PL"/>
        </w:rPr>
        <w:t>zawierający</w:t>
      </w:r>
      <w:r w:rsidR="00971BBF" w:rsidRPr="0051003F">
        <w:rPr>
          <w:rFonts w:cs="Times New Roman"/>
          <w:lang w:val="pl-PL"/>
        </w:rPr>
        <w:t xml:space="preserve"> treść wspomnianych przepisów).</w:t>
      </w:r>
    </w:p>
    <w:p w:rsidR="00703159" w:rsidRPr="0051003F" w:rsidRDefault="003745E5" w:rsidP="00A7252F">
      <w:pPr>
        <w:pStyle w:val="ECHRPara"/>
        <w:rPr>
          <w:rFonts w:cs="Times New Roman"/>
          <w:lang w:val="pl-PL"/>
        </w:rPr>
      </w:pPr>
      <w:r w:rsidRPr="0051003F">
        <w:rPr>
          <w:rFonts w:cs="Times New Roman"/>
          <w:lang w:val="pl-PL"/>
        </w:rPr>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16</w:t>
      </w:r>
      <w:r w:rsidRPr="0051003F">
        <w:rPr>
          <w:rFonts w:cs="Times New Roman"/>
          <w:lang w:val="pl-PL"/>
        </w:rPr>
        <w:fldChar w:fldCharType="end"/>
      </w:r>
      <w:r w:rsidR="00703159" w:rsidRPr="0051003F">
        <w:rPr>
          <w:rFonts w:cs="Times New Roman"/>
          <w:lang w:val="pl-PL"/>
        </w:rPr>
        <w:t>.  </w:t>
      </w:r>
      <w:r w:rsidR="00971BBF" w:rsidRPr="0051003F">
        <w:rPr>
          <w:rFonts w:cs="Times New Roman"/>
          <w:lang w:val="pl-PL"/>
        </w:rPr>
        <w:t>Dnia 24 listopada 2008 r</w:t>
      </w:r>
      <w:r w:rsidR="00AE135F">
        <w:rPr>
          <w:rFonts w:cs="Times New Roman"/>
          <w:lang w:val="pl-PL"/>
        </w:rPr>
        <w:t>oku</w:t>
      </w:r>
      <w:r w:rsidR="00971BBF" w:rsidRPr="0051003F">
        <w:rPr>
          <w:rFonts w:cs="Times New Roman"/>
          <w:lang w:val="pl-PL"/>
        </w:rPr>
        <w:t xml:space="preserve"> administracja podatkowa </w:t>
      </w:r>
      <w:r w:rsidR="006477C8" w:rsidRPr="0051003F">
        <w:rPr>
          <w:rFonts w:cs="Times New Roman"/>
          <w:lang w:val="pl-PL"/>
        </w:rPr>
        <w:t>(</w:t>
      </w:r>
      <w:proofErr w:type="spellStart"/>
      <w:r w:rsidR="006477C8" w:rsidRPr="0051003F">
        <w:rPr>
          <w:rFonts w:cs="Times New Roman"/>
          <w:i/>
          <w:iCs/>
          <w:lang w:val="pl-PL"/>
        </w:rPr>
        <w:t>skattekontoret</w:t>
      </w:r>
      <w:proofErr w:type="spellEnd"/>
      <w:r w:rsidR="006477C8" w:rsidRPr="0051003F">
        <w:rPr>
          <w:rFonts w:cs="Times New Roman"/>
          <w:lang w:val="pl-PL"/>
        </w:rPr>
        <w:t>)</w:t>
      </w:r>
      <w:r w:rsidR="006477C8" w:rsidRPr="0051003F">
        <w:rPr>
          <w:rFonts w:cs="Times New Roman"/>
          <w:b/>
          <w:lang w:val="pl-PL"/>
        </w:rPr>
        <w:t xml:space="preserve"> </w:t>
      </w:r>
      <w:r w:rsidR="006477C8" w:rsidRPr="0051003F">
        <w:rPr>
          <w:rFonts w:cs="Times New Roman"/>
          <w:lang w:val="pl-PL"/>
        </w:rPr>
        <w:t xml:space="preserve">zmieniła </w:t>
      </w:r>
      <w:r w:rsidR="00971BBF" w:rsidRPr="0051003F">
        <w:rPr>
          <w:rFonts w:cs="Times New Roman"/>
          <w:lang w:val="pl-PL"/>
        </w:rPr>
        <w:t xml:space="preserve">swoją </w:t>
      </w:r>
      <w:r w:rsidR="00DF46E9" w:rsidRPr="0051003F">
        <w:rPr>
          <w:rFonts w:cs="Times New Roman"/>
          <w:lang w:val="pl-PL"/>
        </w:rPr>
        <w:t>ocenę podatkową na lata 2002 -2007,</w:t>
      </w:r>
      <w:r w:rsidR="006477C8" w:rsidRPr="0051003F">
        <w:rPr>
          <w:rFonts w:cs="Times New Roman"/>
          <w:lang w:val="pl-PL"/>
        </w:rPr>
        <w:t xml:space="preserve"> po nałożeniu ostrzeżenia ze skutkiem od 26 sierpnia 2008</w:t>
      </w:r>
      <w:r w:rsidR="00AE135F">
        <w:rPr>
          <w:rFonts w:cs="Times New Roman"/>
          <w:lang w:val="pl-PL"/>
        </w:rPr>
        <w:t xml:space="preserve"> roku</w:t>
      </w:r>
      <w:r w:rsidR="006477C8" w:rsidRPr="0051003F">
        <w:rPr>
          <w:rFonts w:cs="Times New Roman"/>
          <w:lang w:val="pl-PL"/>
        </w:rPr>
        <w:t xml:space="preserve">, ze wzmianką </w:t>
      </w:r>
      <w:proofErr w:type="spellStart"/>
      <w:r w:rsidR="00703159" w:rsidRPr="0051003F">
        <w:rPr>
          <w:rFonts w:cs="Times New Roman"/>
          <w:i/>
          <w:lang w:val="pl-PL"/>
        </w:rPr>
        <w:lastRenderedPageBreak/>
        <w:t>inter</w:t>
      </w:r>
      <w:proofErr w:type="spellEnd"/>
      <w:r w:rsidR="00703159" w:rsidRPr="0051003F">
        <w:rPr>
          <w:rFonts w:cs="Times New Roman"/>
          <w:i/>
          <w:lang w:val="pl-PL"/>
        </w:rPr>
        <w:t xml:space="preserve"> </w:t>
      </w:r>
      <w:proofErr w:type="spellStart"/>
      <w:r w:rsidR="00703159" w:rsidRPr="0051003F">
        <w:rPr>
          <w:rFonts w:cs="Times New Roman"/>
          <w:i/>
          <w:lang w:val="pl-PL"/>
        </w:rPr>
        <w:t>alia</w:t>
      </w:r>
      <w:proofErr w:type="spellEnd"/>
      <w:r w:rsidR="006477C8" w:rsidRPr="0051003F">
        <w:rPr>
          <w:rFonts w:cs="Times New Roman"/>
          <w:lang w:val="pl-PL"/>
        </w:rPr>
        <w:t xml:space="preserve"> o audycie podatkowym</w:t>
      </w:r>
      <w:r w:rsidR="00703159" w:rsidRPr="0051003F">
        <w:rPr>
          <w:rFonts w:cs="Times New Roman"/>
          <w:lang w:val="pl-PL"/>
        </w:rPr>
        <w:t>,</w:t>
      </w:r>
      <w:r w:rsidR="004638D5" w:rsidRPr="0051003F">
        <w:rPr>
          <w:rFonts w:cs="Times New Roman"/>
          <w:lang w:val="pl-PL"/>
        </w:rPr>
        <w:t xml:space="preserve"> </w:t>
      </w:r>
      <w:r w:rsidR="006477C8" w:rsidRPr="0051003F">
        <w:rPr>
          <w:rFonts w:cs="Times New Roman"/>
          <w:lang w:val="pl-PL"/>
        </w:rPr>
        <w:t xml:space="preserve">o toczącym się postępowaniu przygotowawczym, o </w:t>
      </w:r>
      <w:r w:rsidR="00142017" w:rsidRPr="0051003F">
        <w:rPr>
          <w:rFonts w:cs="Times New Roman"/>
          <w:lang w:val="pl-PL"/>
        </w:rPr>
        <w:t>dowodach</w:t>
      </w:r>
      <w:r w:rsidR="00703159" w:rsidRPr="0051003F">
        <w:rPr>
          <w:rFonts w:cs="Times New Roman"/>
          <w:lang w:val="pl-PL"/>
        </w:rPr>
        <w:t xml:space="preserve">, </w:t>
      </w:r>
      <w:r w:rsidR="00142017" w:rsidRPr="0051003F">
        <w:rPr>
          <w:rFonts w:cs="Times New Roman"/>
          <w:lang w:val="pl-PL"/>
        </w:rPr>
        <w:t xml:space="preserve">wspomnianych w paragrafie 13 powyżej, oraz o dokumentach skonfiskowanych przez </w:t>
      </w:r>
      <w:proofErr w:type="spellStart"/>
      <w:r w:rsidR="00703159" w:rsidRPr="0051003F">
        <w:rPr>
          <w:rFonts w:cs="Times New Roman"/>
          <w:i/>
          <w:iCs/>
          <w:lang w:val="pl-PL"/>
        </w:rPr>
        <w:t>Økokrim</w:t>
      </w:r>
      <w:proofErr w:type="spellEnd"/>
      <w:r w:rsidR="00703159" w:rsidRPr="0051003F">
        <w:rPr>
          <w:rFonts w:cs="Times New Roman"/>
          <w:iCs/>
          <w:lang w:val="pl-PL"/>
        </w:rPr>
        <w:t xml:space="preserve"> </w:t>
      </w:r>
      <w:r w:rsidR="00142017" w:rsidRPr="0051003F">
        <w:rPr>
          <w:rFonts w:cs="Times New Roman"/>
          <w:iCs/>
          <w:lang w:val="pl-PL"/>
        </w:rPr>
        <w:t>w trakcie dochodzenia</w:t>
      </w:r>
      <w:r w:rsidR="00703159" w:rsidRPr="0051003F">
        <w:rPr>
          <w:rFonts w:cs="Times New Roman"/>
          <w:iCs/>
          <w:lang w:val="pl-PL"/>
        </w:rPr>
        <w:t>.</w:t>
      </w:r>
      <w:r w:rsidR="00703159" w:rsidRPr="0051003F">
        <w:rPr>
          <w:rFonts w:cs="Times New Roman"/>
          <w:lang w:val="pl-PL"/>
        </w:rPr>
        <w:t xml:space="preserve"> </w:t>
      </w:r>
      <w:r w:rsidR="00142017" w:rsidRPr="0051003F">
        <w:rPr>
          <w:rFonts w:cs="Times New Roman"/>
          <w:lang w:val="pl-PL"/>
        </w:rPr>
        <w:t>Zmiana na rok</w:t>
      </w:r>
      <w:r w:rsidR="00703159" w:rsidRPr="0051003F">
        <w:rPr>
          <w:rFonts w:cs="Times New Roman"/>
          <w:lang w:val="pl-PL"/>
        </w:rPr>
        <w:t xml:space="preserve"> 2002 </w:t>
      </w:r>
      <w:r w:rsidR="00142017" w:rsidRPr="0051003F">
        <w:rPr>
          <w:rFonts w:cs="Times New Roman"/>
          <w:lang w:val="pl-PL"/>
        </w:rPr>
        <w:t xml:space="preserve">została wprowadzona na tej podstawie, że pierwszy skarżący nie złożył </w:t>
      </w:r>
      <w:r w:rsidR="004638D5" w:rsidRPr="0051003F">
        <w:rPr>
          <w:rFonts w:cs="Times New Roman"/>
          <w:lang w:val="pl-PL"/>
        </w:rPr>
        <w:t>generalnej</w:t>
      </w:r>
      <w:r w:rsidR="00142017" w:rsidRPr="0051003F">
        <w:rPr>
          <w:rFonts w:cs="Times New Roman"/>
          <w:lang w:val="pl-PL"/>
        </w:rPr>
        <w:t xml:space="preserve"> deklaracji podatkowej opiewającej na przychód w wysokości 3.259.</w:t>
      </w:r>
      <w:r w:rsidR="00703159" w:rsidRPr="0051003F">
        <w:rPr>
          <w:rFonts w:cs="Times New Roman"/>
          <w:lang w:val="pl-PL"/>
        </w:rPr>
        <w:t>341</w:t>
      </w:r>
      <w:r w:rsidR="00142017" w:rsidRPr="0051003F">
        <w:rPr>
          <w:rFonts w:cs="Times New Roman"/>
          <w:lang w:val="pl-PL"/>
        </w:rPr>
        <w:t xml:space="preserve"> </w:t>
      </w:r>
      <w:r w:rsidR="00D863D0">
        <w:rPr>
          <w:rFonts w:cs="Times New Roman"/>
          <w:lang w:val="pl-PL"/>
        </w:rPr>
        <w:t>(</w:t>
      </w:r>
      <w:r w:rsidR="00142017" w:rsidRPr="0051003F">
        <w:rPr>
          <w:rFonts w:cs="Times New Roman"/>
          <w:lang w:val="pl-PL"/>
        </w:rPr>
        <w:t>NOK</w:t>
      </w:r>
      <w:r w:rsidR="00D863D0">
        <w:rPr>
          <w:rFonts w:cs="Times New Roman"/>
          <w:lang w:val="pl-PL"/>
        </w:rPr>
        <w:t>)</w:t>
      </w:r>
      <w:r w:rsidR="00142017" w:rsidRPr="0051003F">
        <w:rPr>
          <w:rFonts w:cs="Times New Roman"/>
          <w:lang w:val="pl-PL"/>
        </w:rPr>
        <w:t xml:space="preserve"> (w przybliżeniu 360.</w:t>
      </w:r>
      <w:r w:rsidR="00703159" w:rsidRPr="0051003F">
        <w:rPr>
          <w:rFonts w:cs="Times New Roman"/>
          <w:lang w:val="pl-PL"/>
        </w:rPr>
        <w:t>000</w:t>
      </w:r>
      <w:r w:rsidR="00142017" w:rsidRPr="0051003F">
        <w:rPr>
          <w:rFonts w:cs="Times New Roman"/>
          <w:lang w:val="pl-PL"/>
        </w:rPr>
        <w:t xml:space="preserve"> euro </w:t>
      </w:r>
      <w:r w:rsidR="00D863D0">
        <w:rPr>
          <w:rFonts w:cs="Times New Roman"/>
          <w:lang w:val="pl-PL"/>
        </w:rPr>
        <w:t>(</w:t>
      </w:r>
      <w:r w:rsidR="00142017" w:rsidRPr="0051003F">
        <w:rPr>
          <w:rFonts w:cs="Times New Roman"/>
          <w:lang w:val="pl-PL"/>
        </w:rPr>
        <w:t>EUR</w:t>
      </w:r>
      <w:r w:rsidR="00D863D0">
        <w:rPr>
          <w:rFonts w:cs="Times New Roman"/>
          <w:lang w:val="pl-PL"/>
        </w:rPr>
        <w:t>)</w:t>
      </w:r>
      <w:r w:rsidR="00703159" w:rsidRPr="0051003F">
        <w:rPr>
          <w:rFonts w:cs="Times New Roman"/>
          <w:lang w:val="pl-PL"/>
        </w:rPr>
        <w:t>)</w:t>
      </w:r>
      <w:r w:rsidR="0002775E" w:rsidRPr="0051003F">
        <w:rPr>
          <w:rFonts w:cs="Times New Roman"/>
          <w:lang w:val="pl-PL"/>
        </w:rPr>
        <w:t>,</w:t>
      </w:r>
      <w:r w:rsidR="00703159" w:rsidRPr="0051003F">
        <w:rPr>
          <w:rFonts w:cs="Times New Roman"/>
          <w:lang w:val="pl-PL"/>
        </w:rPr>
        <w:t xml:space="preserve"> </w:t>
      </w:r>
      <w:r w:rsidR="00142017" w:rsidRPr="0051003F">
        <w:rPr>
          <w:rFonts w:cs="Times New Roman"/>
          <w:lang w:val="pl-PL"/>
        </w:rPr>
        <w:t>zamiast tego zadeklarował stratę wynoszącą 65.</w:t>
      </w:r>
      <w:r w:rsidR="00703159" w:rsidRPr="0051003F">
        <w:rPr>
          <w:rFonts w:cs="Times New Roman"/>
          <w:lang w:val="pl-PL"/>
        </w:rPr>
        <w:t>655</w:t>
      </w:r>
      <w:r w:rsidR="00142017" w:rsidRPr="0051003F">
        <w:rPr>
          <w:rFonts w:cs="Times New Roman"/>
          <w:lang w:val="pl-PL"/>
        </w:rPr>
        <w:t xml:space="preserve"> NOK</w:t>
      </w:r>
      <w:r w:rsidR="00703159" w:rsidRPr="0051003F">
        <w:rPr>
          <w:rFonts w:cs="Times New Roman"/>
          <w:lang w:val="pl-PL"/>
        </w:rPr>
        <w:t>.</w:t>
      </w:r>
      <w:r w:rsidR="00142017" w:rsidRPr="0051003F">
        <w:rPr>
          <w:rFonts w:cs="Times New Roman"/>
          <w:lang w:val="pl-PL"/>
        </w:rPr>
        <w:t xml:space="preserve"> Ponadto, w nawiązaniu do artykułu </w:t>
      </w:r>
      <w:r w:rsidR="00703159" w:rsidRPr="0051003F">
        <w:rPr>
          <w:rFonts w:cs="Times New Roman"/>
          <w:lang w:val="pl-PL"/>
        </w:rPr>
        <w:t>10-2(1</w:t>
      </w:r>
      <w:r w:rsidR="00142017" w:rsidRPr="0051003F">
        <w:rPr>
          <w:rFonts w:cs="Times New Roman"/>
          <w:lang w:val="pl-PL"/>
        </w:rPr>
        <w:t>) i artykułu</w:t>
      </w:r>
      <w:r w:rsidR="00AC6757" w:rsidRPr="0051003F">
        <w:rPr>
          <w:rFonts w:cs="Times New Roman"/>
          <w:lang w:val="pl-PL"/>
        </w:rPr>
        <w:t xml:space="preserve"> 10</w:t>
      </w:r>
      <w:r w:rsidR="00AC6757" w:rsidRPr="0051003F">
        <w:rPr>
          <w:rFonts w:cs="Times New Roman"/>
          <w:lang w:val="pl-PL"/>
        </w:rPr>
        <w:noBreakHyphen/>
      </w:r>
      <w:r w:rsidR="00142017" w:rsidRPr="0051003F">
        <w:rPr>
          <w:rFonts w:cs="Times New Roman"/>
          <w:lang w:val="pl-PL"/>
        </w:rPr>
        <w:t xml:space="preserve">4(1) Ustawy o </w:t>
      </w:r>
      <w:r w:rsidR="00537091" w:rsidRPr="0051003F">
        <w:rPr>
          <w:rFonts w:cs="Times New Roman"/>
          <w:lang w:val="pl-PL"/>
        </w:rPr>
        <w:t>rozliczeniach podatkowych</w:t>
      </w:r>
      <w:r w:rsidR="0002775E" w:rsidRPr="0051003F">
        <w:rPr>
          <w:rFonts w:cs="Times New Roman"/>
          <w:lang w:val="pl-PL"/>
        </w:rPr>
        <w:t xml:space="preserve"> (</w:t>
      </w:r>
      <w:r w:rsidR="00142017" w:rsidRPr="0051003F">
        <w:rPr>
          <w:rFonts w:cs="Times New Roman"/>
          <w:lang w:val="pl-PL"/>
        </w:rPr>
        <w:t>zobacz paragraf</w:t>
      </w:r>
      <w:r w:rsidR="00536C99" w:rsidRPr="0051003F">
        <w:rPr>
          <w:rFonts w:cs="Times New Roman"/>
          <w:lang w:val="pl-PL"/>
        </w:rPr>
        <w:t xml:space="preserve"> 42</w:t>
      </w:r>
      <w:r w:rsidR="00917586" w:rsidRPr="0051003F">
        <w:rPr>
          <w:rFonts w:cs="Times New Roman"/>
          <w:lang w:val="pl-PL"/>
        </w:rPr>
        <w:t xml:space="preserve"> </w:t>
      </w:r>
      <w:r w:rsidR="00142017" w:rsidRPr="0051003F">
        <w:rPr>
          <w:rFonts w:cs="Times New Roman"/>
          <w:lang w:val="pl-PL"/>
        </w:rPr>
        <w:t>poniżej, w celu zapoznania się z tymi przepisami), administracja podatkowa nałożyła na niego karę podatkową w wysokości 30%, liczon</w:t>
      </w:r>
      <w:r w:rsidR="00D863D0">
        <w:rPr>
          <w:rFonts w:cs="Times New Roman"/>
          <w:lang w:val="pl-PL"/>
        </w:rPr>
        <w:t>ą</w:t>
      </w:r>
      <w:r w:rsidR="00142017" w:rsidRPr="0051003F">
        <w:rPr>
          <w:rFonts w:cs="Times New Roman"/>
          <w:lang w:val="pl-PL"/>
        </w:rPr>
        <w:t xml:space="preserve"> na podstawie podatku dłużnego, który nie został zadeklarowany.</w:t>
      </w:r>
      <w:r w:rsidR="00703159" w:rsidRPr="0051003F">
        <w:rPr>
          <w:rFonts w:cs="Times New Roman"/>
          <w:lang w:val="pl-PL"/>
        </w:rPr>
        <w:t xml:space="preserve"> </w:t>
      </w:r>
      <w:r w:rsidR="004638D5" w:rsidRPr="0051003F">
        <w:rPr>
          <w:rFonts w:cs="Times New Roman"/>
          <w:lang w:val="pl-PL"/>
        </w:rPr>
        <w:t xml:space="preserve">Decyzja odwoływała się </w:t>
      </w:r>
      <w:proofErr w:type="spellStart"/>
      <w:r w:rsidR="00703159" w:rsidRPr="0051003F">
        <w:rPr>
          <w:rFonts w:cs="Times New Roman"/>
          <w:i/>
          <w:lang w:val="pl-PL"/>
        </w:rPr>
        <w:t>inter</w:t>
      </w:r>
      <w:proofErr w:type="spellEnd"/>
      <w:r w:rsidR="00703159" w:rsidRPr="0051003F">
        <w:rPr>
          <w:rFonts w:cs="Times New Roman"/>
          <w:i/>
          <w:lang w:val="pl-PL"/>
        </w:rPr>
        <w:t xml:space="preserve"> </w:t>
      </w:r>
      <w:proofErr w:type="spellStart"/>
      <w:r w:rsidR="00703159" w:rsidRPr="0051003F">
        <w:rPr>
          <w:rFonts w:cs="Times New Roman"/>
          <w:i/>
          <w:lang w:val="pl-PL"/>
        </w:rPr>
        <w:t>alia</w:t>
      </w:r>
      <w:proofErr w:type="spellEnd"/>
      <w:r w:rsidR="00703159" w:rsidRPr="0051003F">
        <w:rPr>
          <w:rFonts w:cs="Times New Roman"/>
          <w:lang w:val="pl-PL"/>
        </w:rPr>
        <w:t xml:space="preserve"> </w:t>
      </w:r>
      <w:r w:rsidR="004638D5" w:rsidRPr="0051003F">
        <w:rPr>
          <w:rFonts w:cs="Times New Roman"/>
          <w:lang w:val="pl-PL"/>
        </w:rPr>
        <w:t xml:space="preserve">do dowodów dostarczonych przez pierwszego i drugiego skarżącego podczas postępowania przygotowawczego. </w:t>
      </w:r>
      <w:r w:rsidR="007544DC" w:rsidRPr="0051003F">
        <w:rPr>
          <w:rFonts w:cs="Times New Roman"/>
          <w:lang w:val="pl-PL"/>
        </w:rPr>
        <w:t xml:space="preserve">Pierwszy </w:t>
      </w:r>
      <w:r w:rsidR="004638D5" w:rsidRPr="0051003F">
        <w:rPr>
          <w:rFonts w:cs="Times New Roman"/>
          <w:lang w:val="pl-PL"/>
        </w:rPr>
        <w:t>skarżący</w:t>
      </w:r>
      <w:r w:rsidR="007544DC" w:rsidRPr="0051003F">
        <w:rPr>
          <w:rFonts w:cs="Times New Roman"/>
          <w:lang w:val="pl-PL"/>
        </w:rPr>
        <w:t xml:space="preserve"> nie odwołał si</w:t>
      </w:r>
      <w:r w:rsidR="00D863D0">
        <w:rPr>
          <w:rFonts w:cs="Times New Roman"/>
          <w:lang w:val="pl-PL"/>
        </w:rPr>
        <w:t>ę</w:t>
      </w:r>
      <w:r w:rsidR="007544DC" w:rsidRPr="0051003F">
        <w:rPr>
          <w:rFonts w:cs="Times New Roman"/>
          <w:lang w:val="pl-PL"/>
        </w:rPr>
        <w:t xml:space="preserve"> od tej decyzji, zapłacił nieuregulowany podatek, wraz z karą, przed wygaśnięciem trzytygodniowego terminu do </w:t>
      </w:r>
      <w:r w:rsidR="004638D5" w:rsidRPr="0051003F">
        <w:rPr>
          <w:rFonts w:cs="Times New Roman"/>
          <w:lang w:val="pl-PL"/>
        </w:rPr>
        <w:t>odwołania</w:t>
      </w:r>
      <w:r w:rsidR="007544DC" w:rsidRPr="0051003F">
        <w:rPr>
          <w:rFonts w:cs="Times New Roman"/>
          <w:lang w:val="pl-PL"/>
        </w:rPr>
        <w:t xml:space="preserve"> się. </w:t>
      </w:r>
    </w:p>
    <w:p w:rsidR="00703159" w:rsidRPr="0051003F" w:rsidRDefault="003745E5" w:rsidP="00A7252F">
      <w:pPr>
        <w:pStyle w:val="ECHRPara"/>
        <w:rPr>
          <w:rFonts w:cs="Times New Roman"/>
          <w:lang w:val="pl-PL"/>
        </w:rPr>
      </w:pPr>
      <w:r w:rsidRPr="0051003F">
        <w:rPr>
          <w:rFonts w:cs="Times New Roman"/>
          <w:lang w:val="pl-PL"/>
        </w:rPr>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17</w:t>
      </w:r>
      <w:r w:rsidRPr="0051003F">
        <w:rPr>
          <w:rFonts w:cs="Times New Roman"/>
          <w:lang w:val="pl-PL"/>
        </w:rPr>
        <w:fldChar w:fldCharType="end"/>
      </w:r>
      <w:r w:rsidR="00703159" w:rsidRPr="0051003F">
        <w:rPr>
          <w:rFonts w:cs="Times New Roman"/>
          <w:lang w:val="pl-PL"/>
        </w:rPr>
        <w:t>.  </w:t>
      </w:r>
      <w:r w:rsidR="00471623" w:rsidRPr="0051003F">
        <w:rPr>
          <w:rFonts w:cs="Times New Roman"/>
          <w:lang w:val="pl-PL"/>
        </w:rPr>
        <w:t>W dniu 2 marca</w:t>
      </w:r>
      <w:r w:rsidR="00703159" w:rsidRPr="0051003F">
        <w:rPr>
          <w:rFonts w:cs="Times New Roman"/>
          <w:lang w:val="pl-PL"/>
        </w:rPr>
        <w:t xml:space="preserve"> 2009 </w:t>
      </w:r>
      <w:r w:rsidR="00471623" w:rsidRPr="0051003F">
        <w:rPr>
          <w:rFonts w:cs="Times New Roman"/>
          <w:lang w:val="pl-PL"/>
        </w:rPr>
        <w:t>r</w:t>
      </w:r>
      <w:r w:rsidR="00D863D0">
        <w:rPr>
          <w:rFonts w:cs="Times New Roman"/>
          <w:lang w:val="pl-PL"/>
        </w:rPr>
        <w:t>oku</w:t>
      </w:r>
      <w:r w:rsidR="00471623" w:rsidRPr="0051003F">
        <w:rPr>
          <w:rFonts w:cs="Times New Roman"/>
          <w:lang w:val="pl-PL"/>
        </w:rPr>
        <w:t xml:space="preserve"> Sąd Rejonowy </w:t>
      </w:r>
      <w:proofErr w:type="spellStart"/>
      <w:r w:rsidR="00471623" w:rsidRPr="0051003F">
        <w:rPr>
          <w:rFonts w:cs="Times New Roman"/>
          <w:lang w:val="pl-PL"/>
        </w:rPr>
        <w:t>Follo</w:t>
      </w:r>
      <w:proofErr w:type="spellEnd"/>
      <w:r w:rsidR="00703159" w:rsidRPr="0051003F">
        <w:rPr>
          <w:rFonts w:cs="Times New Roman"/>
          <w:lang w:val="pl-PL"/>
        </w:rPr>
        <w:t xml:space="preserve"> (</w:t>
      </w:r>
      <w:proofErr w:type="spellStart"/>
      <w:r w:rsidR="00703159" w:rsidRPr="0051003F">
        <w:rPr>
          <w:rFonts w:cs="Times New Roman"/>
          <w:i/>
          <w:iCs/>
          <w:lang w:val="pl-PL"/>
        </w:rPr>
        <w:t>tingrett</w:t>
      </w:r>
      <w:proofErr w:type="spellEnd"/>
      <w:r w:rsidR="00703159" w:rsidRPr="0051003F">
        <w:rPr>
          <w:rFonts w:cs="Times New Roman"/>
          <w:lang w:val="pl-PL"/>
        </w:rPr>
        <w:t xml:space="preserve">) </w:t>
      </w:r>
      <w:r w:rsidR="00471623" w:rsidRPr="0051003F">
        <w:rPr>
          <w:rFonts w:cs="Times New Roman"/>
          <w:lang w:val="pl-PL"/>
        </w:rPr>
        <w:t>skazał pierwszego skarżącego za przestępstwo podatkowe i wymierzył mu karę w wysokości jednego roku pozbawienia wolności</w:t>
      </w:r>
      <w:r w:rsidR="005E2BC2" w:rsidRPr="0051003F">
        <w:rPr>
          <w:rFonts w:cs="Times New Roman"/>
          <w:lang w:val="pl-PL"/>
        </w:rPr>
        <w:t xml:space="preserve"> z powodu nie</w:t>
      </w:r>
      <w:r w:rsidR="00290E70" w:rsidRPr="0051003F">
        <w:rPr>
          <w:rFonts w:cs="Times New Roman"/>
          <w:lang w:val="pl-PL"/>
        </w:rPr>
        <w:t>złożenia</w:t>
      </w:r>
      <w:r w:rsidR="005E2BC2" w:rsidRPr="0051003F">
        <w:rPr>
          <w:rFonts w:cs="Times New Roman"/>
          <w:lang w:val="pl-PL"/>
        </w:rPr>
        <w:t xml:space="preserve"> przez niego deklaracji podatkowej za 2002 r</w:t>
      </w:r>
      <w:r w:rsidR="00922E55">
        <w:rPr>
          <w:rFonts w:cs="Times New Roman"/>
          <w:lang w:val="pl-PL"/>
        </w:rPr>
        <w:t>oku</w:t>
      </w:r>
      <w:r w:rsidR="005E2BC2" w:rsidRPr="0051003F">
        <w:rPr>
          <w:rFonts w:cs="Times New Roman"/>
          <w:lang w:val="pl-PL"/>
        </w:rPr>
        <w:t xml:space="preserve"> sumy 3.259.</w:t>
      </w:r>
      <w:r w:rsidR="00703159" w:rsidRPr="0051003F">
        <w:rPr>
          <w:rFonts w:cs="Times New Roman"/>
          <w:lang w:val="pl-PL"/>
        </w:rPr>
        <w:t>341</w:t>
      </w:r>
      <w:r w:rsidR="00922E55">
        <w:rPr>
          <w:rFonts w:cs="Times New Roman"/>
          <w:lang w:val="pl-PL"/>
        </w:rPr>
        <w:t>(NOK)</w:t>
      </w:r>
      <w:r w:rsidR="005E2BC2" w:rsidRPr="0051003F">
        <w:rPr>
          <w:rFonts w:cs="Times New Roman"/>
          <w:lang w:val="pl-PL"/>
        </w:rPr>
        <w:t xml:space="preserve">, </w:t>
      </w:r>
      <w:r w:rsidR="00575F59" w:rsidRPr="0051003F">
        <w:rPr>
          <w:rFonts w:cs="Times New Roman"/>
          <w:lang w:val="pl-PL"/>
        </w:rPr>
        <w:t>zarobionych</w:t>
      </w:r>
      <w:r w:rsidR="005E2BC2" w:rsidRPr="0051003F">
        <w:rPr>
          <w:rFonts w:cs="Times New Roman"/>
          <w:lang w:val="pl-PL"/>
        </w:rPr>
        <w:t xml:space="preserve"> za granicą</w:t>
      </w:r>
      <w:r w:rsidR="00703159" w:rsidRPr="0051003F">
        <w:rPr>
          <w:rFonts w:cs="Times New Roman"/>
          <w:lang w:val="pl-PL"/>
        </w:rPr>
        <w:t xml:space="preserve">. </w:t>
      </w:r>
      <w:r w:rsidR="005E2BC2" w:rsidRPr="0051003F">
        <w:rPr>
          <w:rFonts w:cs="Times New Roman"/>
          <w:lang w:val="pl-PL"/>
        </w:rPr>
        <w:t xml:space="preserve">W uzasadnieniu </w:t>
      </w:r>
      <w:r w:rsidR="00922E55">
        <w:rPr>
          <w:rFonts w:cs="Times New Roman"/>
          <w:lang w:val="pl-PL"/>
        </w:rPr>
        <w:t>s</w:t>
      </w:r>
      <w:r w:rsidR="005E2BC2" w:rsidRPr="0051003F">
        <w:rPr>
          <w:rFonts w:cs="Times New Roman"/>
          <w:lang w:val="pl-PL"/>
        </w:rPr>
        <w:t xml:space="preserve">ąd </w:t>
      </w:r>
      <w:r w:rsidR="00922E55">
        <w:rPr>
          <w:rFonts w:cs="Times New Roman"/>
          <w:lang w:val="pl-PL"/>
        </w:rPr>
        <w:t>r</w:t>
      </w:r>
      <w:r w:rsidR="005E2BC2" w:rsidRPr="0051003F">
        <w:rPr>
          <w:rFonts w:cs="Times New Roman"/>
          <w:lang w:val="pl-PL"/>
        </w:rPr>
        <w:t>ejonowy powoływał się na fakt, że pierwszy skarżący</w:t>
      </w:r>
      <w:r w:rsidR="00751400" w:rsidRPr="0051003F">
        <w:rPr>
          <w:rFonts w:cs="Times New Roman"/>
          <w:lang w:val="pl-PL"/>
        </w:rPr>
        <w:t xml:space="preserve"> został już znacząco ukarany poprzez nałożoną karę podatkową.</w:t>
      </w:r>
    </w:p>
    <w:p w:rsidR="00703159" w:rsidRPr="0051003F" w:rsidRDefault="003745E5" w:rsidP="00A7252F">
      <w:pPr>
        <w:pStyle w:val="ECHRPara"/>
        <w:rPr>
          <w:rFonts w:cs="Times New Roman"/>
          <w:lang w:val="pl-PL"/>
        </w:rPr>
      </w:pPr>
      <w:r w:rsidRPr="0051003F">
        <w:rPr>
          <w:rFonts w:cs="Times New Roman"/>
          <w:lang w:val="pl-PL"/>
        </w:rPr>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18</w:t>
      </w:r>
      <w:r w:rsidRPr="0051003F">
        <w:rPr>
          <w:rFonts w:cs="Times New Roman"/>
          <w:lang w:val="pl-PL"/>
        </w:rPr>
        <w:fldChar w:fldCharType="end"/>
      </w:r>
      <w:r w:rsidR="00703159" w:rsidRPr="0051003F">
        <w:rPr>
          <w:rFonts w:cs="Times New Roman"/>
          <w:lang w:val="pl-PL"/>
        </w:rPr>
        <w:t>.  </w:t>
      </w:r>
      <w:r w:rsidR="00DF46E9" w:rsidRPr="0051003F">
        <w:rPr>
          <w:rFonts w:cs="Times New Roman"/>
          <w:lang w:val="pl-PL"/>
        </w:rPr>
        <w:t xml:space="preserve">Pierwszy skarżący wniósł apelację, podnosił w niej, że </w:t>
      </w:r>
      <w:r w:rsidR="00CE0D5D" w:rsidRPr="0051003F">
        <w:rPr>
          <w:rFonts w:cs="Times New Roman"/>
          <w:lang w:val="pl-PL"/>
        </w:rPr>
        <w:t xml:space="preserve">doszło do </w:t>
      </w:r>
      <w:r w:rsidR="000728AC" w:rsidRPr="0051003F">
        <w:rPr>
          <w:rFonts w:cs="Times New Roman"/>
          <w:lang w:val="pl-PL"/>
        </w:rPr>
        <w:t>naruszenia</w:t>
      </w:r>
      <w:r w:rsidR="00CE0D5D" w:rsidRPr="0051003F">
        <w:rPr>
          <w:rFonts w:cs="Times New Roman"/>
          <w:lang w:val="pl-PL"/>
        </w:rPr>
        <w:t xml:space="preserve"> </w:t>
      </w:r>
      <w:r w:rsidR="00DF46E9" w:rsidRPr="0051003F">
        <w:rPr>
          <w:rFonts w:cs="Times New Roman"/>
          <w:lang w:val="pl-PL"/>
        </w:rPr>
        <w:t xml:space="preserve">art. 4 </w:t>
      </w:r>
      <w:r w:rsidR="000728AC" w:rsidRPr="0051003F">
        <w:rPr>
          <w:rFonts w:cs="Times New Roman"/>
          <w:lang w:val="pl-PL"/>
        </w:rPr>
        <w:t>Protokołu</w:t>
      </w:r>
      <w:r w:rsidR="00DF46E9" w:rsidRPr="0051003F">
        <w:rPr>
          <w:rFonts w:cs="Times New Roman"/>
          <w:lang w:val="pl-PL"/>
        </w:rPr>
        <w:t xml:space="preserve"> nr 7</w:t>
      </w:r>
      <w:r w:rsidR="00CE0D5D" w:rsidRPr="0051003F">
        <w:rPr>
          <w:rFonts w:cs="Times New Roman"/>
          <w:lang w:val="pl-PL"/>
        </w:rPr>
        <w:t>,</w:t>
      </w:r>
      <w:r w:rsidR="00113FB4" w:rsidRPr="0051003F">
        <w:rPr>
          <w:rFonts w:cs="Times New Roman"/>
          <w:lang w:val="pl-PL"/>
        </w:rPr>
        <w:t xml:space="preserve"> </w:t>
      </w:r>
      <w:r w:rsidR="00CE0D5D" w:rsidRPr="0051003F">
        <w:rPr>
          <w:rFonts w:cs="Times New Roman"/>
          <w:lang w:val="pl-PL"/>
        </w:rPr>
        <w:t>gdyż</w:t>
      </w:r>
      <w:r w:rsidR="00DF46E9" w:rsidRPr="0051003F">
        <w:rPr>
          <w:rFonts w:cs="Times New Roman"/>
          <w:lang w:val="pl-PL"/>
        </w:rPr>
        <w:t xml:space="preserve"> dwukrotnie było prowadzone </w:t>
      </w:r>
      <w:r w:rsidR="000728AC" w:rsidRPr="0051003F">
        <w:rPr>
          <w:rFonts w:cs="Times New Roman"/>
          <w:lang w:val="pl-PL"/>
        </w:rPr>
        <w:t>wobec niego postępowanie i dwuk</w:t>
      </w:r>
      <w:r w:rsidR="00DF46E9" w:rsidRPr="0051003F">
        <w:rPr>
          <w:rFonts w:cs="Times New Roman"/>
          <w:lang w:val="pl-PL"/>
        </w:rPr>
        <w:t>r</w:t>
      </w:r>
      <w:r w:rsidR="000728AC" w:rsidRPr="0051003F">
        <w:rPr>
          <w:rFonts w:cs="Times New Roman"/>
          <w:lang w:val="pl-PL"/>
        </w:rPr>
        <w:t>ot</w:t>
      </w:r>
      <w:r w:rsidR="00DF46E9" w:rsidRPr="0051003F">
        <w:rPr>
          <w:rFonts w:cs="Times New Roman"/>
          <w:lang w:val="pl-PL"/>
        </w:rPr>
        <w:t>nie</w:t>
      </w:r>
      <w:r w:rsidR="00CE0D5D" w:rsidRPr="0051003F">
        <w:rPr>
          <w:rFonts w:cs="Times New Roman"/>
          <w:lang w:val="pl-PL"/>
        </w:rPr>
        <w:t xml:space="preserve"> został skazany, za to samo przestępstwo z </w:t>
      </w:r>
      <w:r w:rsidR="000728AC" w:rsidRPr="0051003F">
        <w:rPr>
          <w:rFonts w:cs="Times New Roman"/>
          <w:lang w:val="pl-PL"/>
        </w:rPr>
        <w:t>art.</w:t>
      </w:r>
      <w:r w:rsidR="00CE0D5D" w:rsidRPr="0051003F">
        <w:rPr>
          <w:rFonts w:cs="Times New Roman"/>
          <w:lang w:val="pl-PL"/>
        </w:rPr>
        <w:t xml:space="preserve"> </w:t>
      </w:r>
      <w:r w:rsidR="00703159" w:rsidRPr="0051003F">
        <w:rPr>
          <w:rFonts w:cs="Times New Roman"/>
          <w:lang w:val="pl-PL"/>
        </w:rPr>
        <w:t xml:space="preserve">12-1 </w:t>
      </w:r>
      <w:r w:rsidR="00CE0D5D" w:rsidRPr="0051003F">
        <w:rPr>
          <w:rFonts w:cs="Times New Roman"/>
          <w:lang w:val="pl-PL"/>
        </w:rPr>
        <w:t xml:space="preserve">został oskarżony przez prokuratora a następnie organy podatkowe nałożyły na niego karę podatkową, którą zapłacił, a potem został skazany i wymierzono mu karę. </w:t>
      </w:r>
    </w:p>
    <w:p w:rsidR="00703159" w:rsidRPr="0051003F" w:rsidRDefault="003745E5" w:rsidP="00A7252F">
      <w:pPr>
        <w:pStyle w:val="ECHRPara"/>
        <w:rPr>
          <w:rFonts w:cs="Times New Roman"/>
          <w:lang w:val="pl-PL"/>
        </w:rPr>
      </w:pPr>
      <w:r w:rsidRPr="0051003F">
        <w:rPr>
          <w:rFonts w:cs="Times New Roman"/>
          <w:lang w:val="pl-PL"/>
        </w:rPr>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19</w:t>
      </w:r>
      <w:r w:rsidRPr="0051003F">
        <w:rPr>
          <w:rFonts w:cs="Times New Roman"/>
          <w:lang w:val="pl-PL"/>
        </w:rPr>
        <w:fldChar w:fldCharType="end"/>
      </w:r>
      <w:r w:rsidR="00703159" w:rsidRPr="0051003F">
        <w:rPr>
          <w:rFonts w:cs="Times New Roman"/>
          <w:lang w:val="pl-PL"/>
        </w:rPr>
        <w:t>.  </w:t>
      </w:r>
      <w:r w:rsidR="00F1399D" w:rsidRPr="0051003F">
        <w:rPr>
          <w:rFonts w:cs="Times New Roman"/>
          <w:lang w:val="pl-PL"/>
        </w:rPr>
        <w:t>W wyroku</w:t>
      </w:r>
      <w:r w:rsidR="00AC1094" w:rsidRPr="0051003F">
        <w:rPr>
          <w:rFonts w:cs="Times New Roman"/>
          <w:lang w:val="pl-PL"/>
        </w:rPr>
        <w:t xml:space="preserve"> </w:t>
      </w:r>
      <w:r w:rsidR="00F1399D" w:rsidRPr="0051003F">
        <w:rPr>
          <w:rFonts w:cs="Times New Roman"/>
          <w:lang w:val="pl-PL"/>
        </w:rPr>
        <w:t>z dnia 12 kwietnia</w:t>
      </w:r>
      <w:r w:rsidR="00703159" w:rsidRPr="0051003F">
        <w:rPr>
          <w:rFonts w:cs="Times New Roman"/>
          <w:lang w:val="pl-PL"/>
        </w:rPr>
        <w:t xml:space="preserve"> 2010</w:t>
      </w:r>
      <w:r w:rsidR="00F1399D" w:rsidRPr="0051003F">
        <w:rPr>
          <w:rFonts w:cs="Times New Roman"/>
          <w:lang w:val="pl-PL"/>
        </w:rPr>
        <w:t xml:space="preserve"> r</w:t>
      </w:r>
      <w:r w:rsidR="00991701">
        <w:rPr>
          <w:rFonts w:cs="Times New Roman"/>
          <w:lang w:val="pl-PL"/>
        </w:rPr>
        <w:t>oku</w:t>
      </w:r>
      <w:r w:rsidR="00F1399D" w:rsidRPr="0051003F">
        <w:rPr>
          <w:rFonts w:cs="Times New Roman"/>
          <w:lang w:val="pl-PL"/>
        </w:rPr>
        <w:t xml:space="preserve"> Sąd Apelacyjny</w:t>
      </w:r>
      <w:r w:rsidR="00703159" w:rsidRPr="0051003F">
        <w:rPr>
          <w:rFonts w:cs="Times New Roman"/>
          <w:lang w:val="pl-PL"/>
        </w:rPr>
        <w:t xml:space="preserve"> </w:t>
      </w:r>
      <w:proofErr w:type="spellStart"/>
      <w:r w:rsidR="00703159" w:rsidRPr="0051003F">
        <w:rPr>
          <w:rFonts w:cs="Times New Roman"/>
          <w:lang w:val="pl-PL"/>
        </w:rPr>
        <w:t>Borgarting</w:t>
      </w:r>
      <w:proofErr w:type="spellEnd"/>
      <w:r w:rsidR="00703159" w:rsidRPr="0051003F">
        <w:rPr>
          <w:rFonts w:cs="Times New Roman"/>
          <w:lang w:val="pl-PL"/>
        </w:rPr>
        <w:t xml:space="preserve"> (</w:t>
      </w:r>
      <w:proofErr w:type="spellStart"/>
      <w:r w:rsidR="00703159" w:rsidRPr="0051003F">
        <w:rPr>
          <w:rFonts w:cs="Times New Roman"/>
          <w:i/>
          <w:iCs/>
          <w:lang w:val="pl-PL"/>
        </w:rPr>
        <w:t>lagmannsrett</w:t>
      </w:r>
      <w:proofErr w:type="spellEnd"/>
      <w:r w:rsidR="00703159" w:rsidRPr="0051003F">
        <w:rPr>
          <w:rFonts w:cs="Times New Roman"/>
          <w:lang w:val="pl-PL"/>
        </w:rPr>
        <w:t xml:space="preserve">) </w:t>
      </w:r>
      <w:r w:rsidR="00F1399D" w:rsidRPr="0051003F">
        <w:rPr>
          <w:rFonts w:cs="Times New Roman"/>
          <w:lang w:val="pl-PL"/>
        </w:rPr>
        <w:t xml:space="preserve">jednomyślnie oddalił apelację skarżącego, z podobnych powodów, które następnie zostały </w:t>
      </w:r>
      <w:r w:rsidR="000728AC" w:rsidRPr="0051003F">
        <w:rPr>
          <w:rFonts w:cs="Times New Roman"/>
          <w:lang w:val="pl-PL"/>
        </w:rPr>
        <w:t>wymienione</w:t>
      </w:r>
      <w:r w:rsidR="00F1399D" w:rsidRPr="0051003F">
        <w:rPr>
          <w:rFonts w:cs="Times New Roman"/>
          <w:lang w:val="pl-PL"/>
        </w:rPr>
        <w:t xml:space="preserve"> przez Sąd Najwyższy </w:t>
      </w:r>
      <w:r w:rsidR="00703159" w:rsidRPr="0051003F">
        <w:rPr>
          <w:rFonts w:cs="Times New Roman"/>
          <w:lang w:val="pl-PL"/>
        </w:rPr>
        <w:t>(</w:t>
      </w:r>
      <w:proofErr w:type="spellStart"/>
      <w:r w:rsidR="00703159" w:rsidRPr="0051003F">
        <w:rPr>
          <w:rFonts w:cs="Times New Roman"/>
          <w:i/>
          <w:iCs/>
          <w:lang w:val="pl-PL"/>
        </w:rPr>
        <w:t>Høyesterett</w:t>
      </w:r>
      <w:proofErr w:type="spellEnd"/>
      <w:r w:rsidR="00703159" w:rsidRPr="0051003F">
        <w:rPr>
          <w:rFonts w:cs="Times New Roman"/>
          <w:lang w:val="pl-PL"/>
        </w:rPr>
        <w:t xml:space="preserve">) </w:t>
      </w:r>
      <w:r w:rsidR="00F1399D" w:rsidRPr="0051003F">
        <w:rPr>
          <w:rFonts w:cs="Times New Roman"/>
          <w:lang w:val="pl-PL"/>
        </w:rPr>
        <w:t>w wyroku z dnia 27 września 2010 r</w:t>
      </w:r>
      <w:r w:rsidR="00991701">
        <w:rPr>
          <w:rFonts w:cs="Times New Roman"/>
          <w:lang w:val="pl-PL"/>
        </w:rPr>
        <w:t>oku</w:t>
      </w:r>
      <w:r w:rsidR="00F1399D" w:rsidRPr="0051003F">
        <w:rPr>
          <w:rFonts w:cs="Times New Roman"/>
          <w:lang w:val="pl-PL"/>
        </w:rPr>
        <w:t xml:space="preserve"> </w:t>
      </w:r>
      <w:r w:rsidR="00AC1094" w:rsidRPr="0051003F">
        <w:rPr>
          <w:rFonts w:cs="Times New Roman"/>
          <w:lang w:val="pl-PL"/>
        </w:rPr>
        <w:t>(</w:t>
      </w:r>
      <w:r w:rsidR="00F1399D" w:rsidRPr="0051003F">
        <w:rPr>
          <w:rFonts w:cs="Times New Roman"/>
          <w:lang w:val="pl-PL"/>
        </w:rPr>
        <w:t>podsumowany poniżej</w:t>
      </w:r>
      <w:r w:rsidR="00AC1094" w:rsidRPr="0051003F">
        <w:rPr>
          <w:rFonts w:cs="Times New Roman"/>
          <w:lang w:val="pl-PL"/>
        </w:rPr>
        <w:t>)</w:t>
      </w:r>
      <w:r w:rsidR="00703159" w:rsidRPr="0051003F">
        <w:rPr>
          <w:rFonts w:cs="Times New Roman"/>
          <w:lang w:val="pl-PL"/>
        </w:rPr>
        <w:t>.</w:t>
      </w:r>
    </w:p>
    <w:p w:rsidR="00703159" w:rsidRPr="0051003F" w:rsidRDefault="003745E5" w:rsidP="00A7252F">
      <w:pPr>
        <w:pStyle w:val="ECHRPara"/>
        <w:rPr>
          <w:rFonts w:cs="Times New Roman"/>
          <w:lang w:val="pl-PL"/>
        </w:rPr>
      </w:pPr>
      <w:r w:rsidRPr="0051003F">
        <w:rPr>
          <w:rFonts w:cs="Times New Roman"/>
          <w:lang w:val="pl-PL"/>
        </w:rPr>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20</w:t>
      </w:r>
      <w:r w:rsidRPr="0051003F">
        <w:rPr>
          <w:rFonts w:cs="Times New Roman"/>
          <w:lang w:val="pl-PL"/>
        </w:rPr>
        <w:fldChar w:fldCharType="end"/>
      </w:r>
      <w:r w:rsidR="00D46B2A" w:rsidRPr="0051003F">
        <w:rPr>
          <w:rFonts w:cs="Times New Roman"/>
          <w:lang w:val="pl-PL"/>
        </w:rPr>
        <w:t>.  W wyroku z dnia 27 września</w:t>
      </w:r>
      <w:r w:rsidR="002D413E" w:rsidRPr="0051003F">
        <w:rPr>
          <w:rFonts w:cs="Times New Roman"/>
          <w:lang w:val="pl-PL"/>
        </w:rPr>
        <w:t xml:space="preserve"> 2010</w:t>
      </w:r>
      <w:r w:rsidR="00D46B2A" w:rsidRPr="0051003F">
        <w:rPr>
          <w:rFonts w:cs="Times New Roman"/>
          <w:lang w:val="pl-PL"/>
        </w:rPr>
        <w:t xml:space="preserve"> r</w:t>
      </w:r>
      <w:r w:rsidR="00991701">
        <w:rPr>
          <w:rFonts w:cs="Times New Roman"/>
          <w:lang w:val="pl-PL"/>
        </w:rPr>
        <w:t>oku</w:t>
      </w:r>
      <w:r w:rsidR="00D46B2A" w:rsidRPr="0051003F">
        <w:rPr>
          <w:rFonts w:cs="Times New Roman"/>
          <w:lang w:val="pl-PL"/>
        </w:rPr>
        <w:t xml:space="preserve"> Sąd Najwyższy najpierw rozważył czy dwa kwestionowane postępowania dotyczyły tych samych sytuacji faktycznych </w:t>
      </w:r>
      <w:r w:rsidR="00703159" w:rsidRPr="0051003F">
        <w:rPr>
          <w:rFonts w:cs="Times New Roman"/>
          <w:lang w:val="pl-PL"/>
        </w:rPr>
        <w:t>(</w:t>
      </w:r>
      <w:proofErr w:type="spellStart"/>
      <w:r w:rsidR="00703159" w:rsidRPr="0051003F">
        <w:rPr>
          <w:rFonts w:cs="Times New Roman"/>
          <w:i/>
          <w:iCs/>
          <w:lang w:val="pl-PL"/>
        </w:rPr>
        <w:t>samme</w:t>
      </w:r>
      <w:proofErr w:type="spellEnd"/>
      <w:r w:rsidR="00703159" w:rsidRPr="0051003F">
        <w:rPr>
          <w:rFonts w:cs="Times New Roman"/>
          <w:i/>
          <w:iCs/>
          <w:lang w:val="pl-PL"/>
        </w:rPr>
        <w:t xml:space="preserve"> </w:t>
      </w:r>
      <w:proofErr w:type="spellStart"/>
      <w:r w:rsidR="00703159" w:rsidRPr="0051003F">
        <w:rPr>
          <w:rFonts w:cs="Times New Roman"/>
          <w:i/>
          <w:iCs/>
          <w:lang w:val="pl-PL"/>
        </w:rPr>
        <w:t>forhold</w:t>
      </w:r>
      <w:proofErr w:type="spellEnd"/>
      <w:r w:rsidR="00703159" w:rsidRPr="0051003F">
        <w:rPr>
          <w:rFonts w:cs="Times New Roman"/>
          <w:lang w:val="pl-PL"/>
        </w:rPr>
        <w:t xml:space="preserve">). </w:t>
      </w:r>
      <w:r w:rsidR="00D46B2A" w:rsidRPr="0051003F">
        <w:rPr>
          <w:rFonts w:cs="Times New Roman"/>
          <w:lang w:val="pl-PL"/>
        </w:rPr>
        <w:t>W</w:t>
      </w:r>
      <w:r w:rsidR="00575F59" w:rsidRPr="0051003F">
        <w:rPr>
          <w:rFonts w:cs="Times New Roman"/>
          <w:lang w:val="pl-PL"/>
        </w:rPr>
        <w:t xml:space="preserve"> związku z tym zauważył rozwój </w:t>
      </w:r>
      <w:r w:rsidR="00D46B2A" w:rsidRPr="0051003F">
        <w:rPr>
          <w:rFonts w:cs="Times New Roman"/>
          <w:lang w:val="pl-PL"/>
        </w:rPr>
        <w:t xml:space="preserve">orzecznictwa </w:t>
      </w:r>
      <w:r w:rsidR="00472FE9" w:rsidRPr="0051003F">
        <w:rPr>
          <w:rFonts w:cs="Times New Roman"/>
          <w:lang w:val="pl-PL"/>
        </w:rPr>
        <w:t xml:space="preserve">Konwencji objaśnionego w wyroku Wielkiej Izby w sprawie  </w:t>
      </w:r>
      <w:proofErr w:type="spellStart"/>
      <w:r w:rsidR="00105EBF" w:rsidRPr="0051003F">
        <w:rPr>
          <w:rFonts w:cs="Times New Roman"/>
          <w:i/>
          <w:iCs/>
          <w:lang w:val="pl-PL"/>
        </w:rPr>
        <w:t>Sergey</w:t>
      </w:r>
      <w:proofErr w:type="spellEnd"/>
      <w:r w:rsidR="00105EBF" w:rsidRPr="0051003F">
        <w:rPr>
          <w:rFonts w:cs="Times New Roman"/>
          <w:i/>
          <w:iCs/>
          <w:lang w:val="pl-PL"/>
        </w:rPr>
        <w:t xml:space="preserve"> </w:t>
      </w:r>
      <w:proofErr w:type="spellStart"/>
      <w:r w:rsidR="00105EBF" w:rsidRPr="0051003F">
        <w:rPr>
          <w:rFonts w:cs="Times New Roman"/>
          <w:i/>
          <w:iCs/>
          <w:lang w:val="pl-PL"/>
        </w:rPr>
        <w:t>Zolotukhin</w:t>
      </w:r>
      <w:proofErr w:type="spellEnd"/>
      <w:r w:rsidR="00105EBF" w:rsidRPr="0051003F">
        <w:rPr>
          <w:rFonts w:cs="Times New Roman"/>
          <w:i/>
          <w:iCs/>
          <w:lang w:val="pl-PL"/>
        </w:rPr>
        <w:t xml:space="preserve"> przeciwko</w:t>
      </w:r>
      <w:r w:rsidR="00703159" w:rsidRPr="0051003F">
        <w:rPr>
          <w:rFonts w:cs="Times New Roman"/>
          <w:i/>
          <w:iCs/>
          <w:lang w:val="pl-PL"/>
        </w:rPr>
        <w:t xml:space="preserve"> R</w:t>
      </w:r>
      <w:r w:rsidR="00105EBF" w:rsidRPr="0051003F">
        <w:rPr>
          <w:rFonts w:cs="Times New Roman"/>
          <w:i/>
          <w:iCs/>
          <w:lang w:val="pl-PL"/>
        </w:rPr>
        <w:t>osji</w:t>
      </w:r>
      <w:r w:rsidR="00703159" w:rsidRPr="0051003F">
        <w:rPr>
          <w:rFonts w:cs="Times New Roman"/>
          <w:lang w:val="pl-PL"/>
        </w:rPr>
        <w:t xml:space="preserve"> </w:t>
      </w:r>
      <w:r w:rsidR="00AC1094" w:rsidRPr="0051003F">
        <w:rPr>
          <w:rFonts w:cs="Times New Roman"/>
          <w:lang w:val="pl-PL"/>
        </w:rPr>
        <w:t>(</w:t>
      </w:r>
      <w:r w:rsidR="00105EBF" w:rsidRPr="0051003F">
        <w:rPr>
          <w:rFonts w:cs="Times New Roman"/>
          <w:lang w:val="pl-PL"/>
        </w:rPr>
        <w:t>[WI</w:t>
      </w:r>
      <w:r w:rsidR="00472FE9" w:rsidRPr="0051003F">
        <w:rPr>
          <w:rFonts w:cs="Times New Roman"/>
          <w:lang w:val="pl-PL"/>
        </w:rPr>
        <w:t>], nr</w:t>
      </w:r>
      <w:r w:rsidR="00AC6757" w:rsidRPr="0051003F">
        <w:rPr>
          <w:rFonts w:cs="Times New Roman"/>
          <w:lang w:val="pl-PL"/>
        </w:rPr>
        <w:t xml:space="preserve"> 14939/03, §§ </w:t>
      </w:r>
      <w:r w:rsidR="00703159" w:rsidRPr="0051003F">
        <w:rPr>
          <w:rFonts w:cs="Times New Roman"/>
          <w:lang w:val="pl-PL"/>
        </w:rPr>
        <w:t>52, 53, 80</w:t>
      </w:r>
      <w:r w:rsidR="00703159" w:rsidRPr="0051003F">
        <w:rPr>
          <w:rFonts w:cs="Times New Roman"/>
          <w:lang w:val="pl-PL"/>
        </w:rPr>
        <w:noBreakHyphen/>
        <w:t xml:space="preserve">82, 84, </w:t>
      </w:r>
      <w:proofErr w:type="spellStart"/>
      <w:r w:rsidR="00703159" w:rsidRPr="0051003F">
        <w:rPr>
          <w:rFonts w:cs="Times New Roman"/>
          <w:lang w:val="pl-PL"/>
        </w:rPr>
        <w:t>E</w:t>
      </w:r>
      <w:r w:rsidR="00472FE9" w:rsidRPr="0051003F">
        <w:rPr>
          <w:rFonts w:cs="Times New Roman"/>
          <w:lang w:val="pl-PL"/>
        </w:rPr>
        <w:t>TPCz</w:t>
      </w:r>
      <w:proofErr w:type="spellEnd"/>
      <w:r w:rsidR="00703159" w:rsidRPr="0051003F">
        <w:rPr>
          <w:rFonts w:cs="Times New Roman"/>
          <w:lang w:val="pl-PL"/>
        </w:rPr>
        <w:t xml:space="preserve"> 2009</w:t>
      </w:r>
      <w:r w:rsidR="00991701">
        <w:rPr>
          <w:rFonts w:cs="Times New Roman"/>
          <w:lang w:val="pl-PL"/>
        </w:rPr>
        <w:t xml:space="preserve"> roku</w:t>
      </w:r>
      <w:r w:rsidR="00703159" w:rsidRPr="0051003F">
        <w:rPr>
          <w:rFonts w:cs="Times New Roman"/>
          <w:lang w:val="pl-PL"/>
        </w:rPr>
        <w:t xml:space="preserve">) </w:t>
      </w:r>
      <w:r w:rsidR="00472FE9" w:rsidRPr="0051003F">
        <w:rPr>
          <w:rFonts w:cs="Times New Roman"/>
          <w:lang w:val="pl-PL"/>
        </w:rPr>
        <w:t>oraz podejście harmonizujące, wyrażone w następujące konkluzji:</w:t>
      </w:r>
    </w:p>
    <w:p w:rsidR="00703159" w:rsidRPr="0051003F" w:rsidRDefault="00703159" w:rsidP="00A7252F">
      <w:pPr>
        <w:pStyle w:val="ECHRParaQuote"/>
        <w:rPr>
          <w:rFonts w:cs="Times New Roman"/>
          <w:lang w:val="pl-PL"/>
        </w:rPr>
      </w:pPr>
      <w:r w:rsidRPr="0051003F">
        <w:rPr>
          <w:rFonts w:cs="Times New Roman"/>
          <w:lang w:val="pl-PL"/>
        </w:rPr>
        <w:t xml:space="preserve">“... </w:t>
      </w:r>
      <w:r w:rsidR="00472FE9" w:rsidRPr="0051003F">
        <w:rPr>
          <w:rFonts w:cs="Times New Roman"/>
          <w:lang w:val="pl-PL"/>
        </w:rPr>
        <w:t xml:space="preserve">Artykuł 4 Protokołu nr 7 musi być rozumiany jako zakazujący </w:t>
      </w:r>
      <w:r w:rsidR="000728AC" w:rsidRPr="0051003F">
        <w:rPr>
          <w:rFonts w:cs="Times New Roman"/>
          <w:lang w:val="pl-PL"/>
        </w:rPr>
        <w:t>ścigania</w:t>
      </w:r>
      <w:r w:rsidR="00472FE9" w:rsidRPr="0051003F">
        <w:rPr>
          <w:rFonts w:cs="Times New Roman"/>
          <w:lang w:val="pl-PL"/>
        </w:rPr>
        <w:t xml:space="preserve"> lub sądzenia </w:t>
      </w:r>
      <w:r w:rsidR="004D62EC" w:rsidRPr="0051003F">
        <w:rPr>
          <w:rFonts w:cs="Times New Roman"/>
          <w:lang w:val="pl-PL"/>
        </w:rPr>
        <w:t>drugiego „przestępstwa</w:t>
      </w:r>
      <w:r w:rsidR="00751722" w:rsidRPr="0051003F">
        <w:rPr>
          <w:rFonts w:cs="Times New Roman"/>
          <w:lang w:val="pl-PL"/>
        </w:rPr>
        <w:t>” tak dalece jak wynika ono z identycznych faktów lub faktów, które są zasadniczo takie</w:t>
      </w:r>
      <w:r w:rsidR="008A68B2">
        <w:rPr>
          <w:rFonts w:cs="Times New Roman"/>
          <w:lang w:val="pl-PL"/>
        </w:rPr>
        <w:t xml:space="preserve"> same</w:t>
      </w:r>
      <w:r w:rsidRPr="0051003F">
        <w:rPr>
          <w:rFonts w:cs="Times New Roman"/>
          <w:lang w:val="pl-PL"/>
        </w:rPr>
        <w:t xml:space="preserve">. ... </w:t>
      </w:r>
      <w:r w:rsidR="00751722" w:rsidRPr="0051003F">
        <w:rPr>
          <w:rFonts w:cs="Times New Roman"/>
          <w:lang w:val="pl-PL"/>
        </w:rPr>
        <w:t xml:space="preserve">Z tego też względu badanie </w:t>
      </w:r>
      <w:r w:rsidR="007E4302" w:rsidRPr="0051003F">
        <w:rPr>
          <w:rFonts w:cs="Times New Roman"/>
          <w:lang w:val="pl-PL"/>
        </w:rPr>
        <w:t>Trybunału</w:t>
      </w:r>
      <w:r w:rsidR="00751722" w:rsidRPr="0051003F">
        <w:rPr>
          <w:rFonts w:cs="Times New Roman"/>
          <w:lang w:val="pl-PL"/>
        </w:rPr>
        <w:t xml:space="preserve"> </w:t>
      </w:r>
      <w:r w:rsidR="00751722" w:rsidRPr="0051003F">
        <w:rPr>
          <w:rFonts w:cs="Times New Roman"/>
          <w:lang w:val="pl-PL"/>
        </w:rPr>
        <w:lastRenderedPageBreak/>
        <w:t xml:space="preserve">powinno skupić się na tych faktach, które stanowią zespół konkretnych okoliczności faktycznych dotyczących tego samego podejrzanego i które są nierozerwalnie ze </w:t>
      </w:r>
      <w:r w:rsidR="000728AC" w:rsidRPr="0051003F">
        <w:rPr>
          <w:rFonts w:cs="Times New Roman"/>
          <w:lang w:val="pl-PL"/>
        </w:rPr>
        <w:t>sobą</w:t>
      </w:r>
      <w:r w:rsidR="00751722" w:rsidRPr="0051003F">
        <w:rPr>
          <w:rFonts w:cs="Times New Roman"/>
          <w:lang w:val="pl-PL"/>
        </w:rPr>
        <w:t xml:space="preserve"> powiązane w czasie i przestrzeni ...”. </w:t>
      </w:r>
    </w:p>
    <w:p w:rsidR="00703159" w:rsidRPr="0051003F" w:rsidRDefault="003745E5" w:rsidP="00A7252F">
      <w:pPr>
        <w:pStyle w:val="ECHRPara"/>
        <w:rPr>
          <w:rFonts w:cs="Times New Roman"/>
          <w:lang w:val="pl-PL"/>
        </w:rPr>
      </w:pPr>
      <w:r w:rsidRPr="0051003F">
        <w:rPr>
          <w:rFonts w:cs="Times New Roman"/>
          <w:lang w:val="pl-PL"/>
        </w:rPr>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21</w:t>
      </w:r>
      <w:r w:rsidRPr="0051003F">
        <w:rPr>
          <w:rFonts w:cs="Times New Roman"/>
          <w:lang w:val="pl-PL"/>
        </w:rPr>
        <w:fldChar w:fldCharType="end"/>
      </w:r>
      <w:r w:rsidR="00703159" w:rsidRPr="0051003F">
        <w:rPr>
          <w:rFonts w:cs="Times New Roman"/>
          <w:lang w:val="pl-PL"/>
        </w:rPr>
        <w:t>.  </w:t>
      </w:r>
      <w:r w:rsidR="00461EE4" w:rsidRPr="0051003F">
        <w:rPr>
          <w:rFonts w:cs="Times New Roman"/>
          <w:lang w:val="pl-PL"/>
        </w:rPr>
        <w:t>W niniejszej sprawie</w:t>
      </w:r>
      <w:r w:rsidR="00126A04" w:rsidRPr="0051003F">
        <w:rPr>
          <w:rFonts w:cs="Times New Roman"/>
          <w:lang w:val="pl-PL"/>
        </w:rPr>
        <w:t>, Sąd Najwyższy zauważył, że nie było wątpliwości, że okoliczności faktyczne leżące u podstaw decyzji nakładającej kary podatkowe</w:t>
      </w:r>
      <w:r w:rsidR="008E7F81" w:rsidRPr="0051003F">
        <w:rPr>
          <w:rFonts w:cs="Times New Roman"/>
          <w:lang w:val="pl-PL"/>
        </w:rPr>
        <w:t>,</w:t>
      </w:r>
      <w:r w:rsidR="00126A04" w:rsidRPr="0051003F">
        <w:rPr>
          <w:rFonts w:cs="Times New Roman"/>
          <w:lang w:val="pl-PL"/>
        </w:rPr>
        <w:t xml:space="preserve"> </w:t>
      </w:r>
      <w:r w:rsidR="008E7F81" w:rsidRPr="0051003F">
        <w:rPr>
          <w:rFonts w:cs="Times New Roman"/>
          <w:lang w:val="pl-PL"/>
        </w:rPr>
        <w:t>jaki i postępowania karne</w:t>
      </w:r>
      <w:r w:rsidR="008A68B2">
        <w:rPr>
          <w:rFonts w:cs="Times New Roman"/>
          <w:lang w:val="pl-PL"/>
        </w:rPr>
        <w:t>go</w:t>
      </w:r>
      <w:r w:rsidR="008E7F81" w:rsidRPr="0051003F">
        <w:rPr>
          <w:rFonts w:cs="Times New Roman"/>
          <w:lang w:val="pl-PL"/>
        </w:rPr>
        <w:t xml:space="preserve"> posiadały wystarczająco</w:t>
      </w:r>
      <w:r w:rsidR="00461EE4" w:rsidRPr="0051003F">
        <w:rPr>
          <w:rFonts w:cs="Times New Roman"/>
          <w:lang w:val="pl-PL"/>
        </w:rPr>
        <w:t xml:space="preserve"> wspólne cechy, aby spełnić te kryt</w:t>
      </w:r>
      <w:r w:rsidR="008E7F81" w:rsidRPr="0051003F">
        <w:rPr>
          <w:rFonts w:cs="Times New Roman"/>
          <w:lang w:val="pl-PL"/>
        </w:rPr>
        <w:t>eria. W dwóch sprawach, podstawą</w:t>
      </w:r>
      <w:r w:rsidR="00461EE4" w:rsidRPr="0051003F">
        <w:rPr>
          <w:rFonts w:cs="Times New Roman"/>
          <w:lang w:val="pl-PL"/>
        </w:rPr>
        <w:t xml:space="preserve"> faktyczną było uchylenie się od obowiązku ujawnienia przychodu w deklaracji podatkowej. </w:t>
      </w:r>
      <w:r w:rsidR="00A42C3D" w:rsidRPr="0051003F">
        <w:rPr>
          <w:rFonts w:cs="Times New Roman"/>
          <w:lang w:val="pl-PL"/>
        </w:rPr>
        <w:t>W związku z tym, w</w:t>
      </w:r>
      <w:r w:rsidR="008E7F81" w:rsidRPr="0051003F">
        <w:rPr>
          <w:rFonts w:cs="Times New Roman"/>
          <w:lang w:val="pl-PL"/>
        </w:rPr>
        <w:t>ymóg, aby</w:t>
      </w:r>
      <w:r w:rsidR="00A21C11" w:rsidRPr="0051003F">
        <w:rPr>
          <w:rFonts w:cs="Times New Roman"/>
          <w:lang w:val="pl-PL"/>
        </w:rPr>
        <w:t xml:space="preserve"> postępowania odnosiły się do tej samej </w:t>
      </w:r>
      <w:r w:rsidR="008E7F81" w:rsidRPr="0051003F">
        <w:rPr>
          <w:rFonts w:cs="Times New Roman"/>
          <w:lang w:val="pl-PL"/>
        </w:rPr>
        <w:t>kwestii</w:t>
      </w:r>
      <w:r w:rsidR="00A21C11" w:rsidRPr="0051003F">
        <w:rPr>
          <w:rFonts w:cs="Times New Roman"/>
          <w:lang w:val="pl-PL"/>
        </w:rPr>
        <w:t>, został spełniony.</w:t>
      </w:r>
    </w:p>
    <w:p w:rsidR="00FE72D1" w:rsidRPr="0051003F" w:rsidRDefault="003745E5" w:rsidP="00FE72D1">
      <w:pPr>
        <w:pStyle w:val="ECHRPara"/>
        <w:rPr>
          <w:rFonts w:cs="Times New Roman"/>
          <w:lang w:val="pl-PL"/>
        </w:rPr>
      </w:pPr>
      <w:r w:rsidRPr="0051003F">
        <w:rPr>
          <w:rFonts w:cs="Times New Roman"/>
          <w:lang w:val="pl-PL"/>
        </w:rPr>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22</w:t>
      </w:r>
      <w:r w:rsidRPr="0051003F">
        <w:rPr>
          <w:rFonts w:cs="Times New Roman"/>
          <w:lang w:val="pl-PL"/>
        </w:rPr>
        <w:fldChar w:fldCharType="end"/>
      </w:r>
      <w:r w:rsidR="00703159" w:rsidRPr="0051003F">
        <w:rPr>
          <w:rFonts w:cs="Times New Roman"/>
          <w:lang w:val="pl-PL"/>
        </w:rPr>
        <w:t>.  </w:t>
      </w:r>
      <w:r w:rsidR="00A21C11" w:rsidRPr="0051003F">
        <w:rPr>
          <w:rFonts w:cs="Times New Roman"/>
          <w:lang w:val="pl-PL"/>
        </w:rPr>
        <w:t xml:space="preserve">Sąd Najwyższy </w:t>
      </w:r>
      <w:r w:rsidR="000728AC" w:rsidRPr="0051003F">
        <w:rPr>
          <w:rFonts w:cs="Times New Roman"/>
          <w:lang w:val="pl-PL"/>
        </w:rPr>
        <w:t>następnie</w:t>
      </w:r>
      <w:r w:rsidR="00A21C11" w:rsidRPr="0051003F">
        <w:rPr>
          <w:rFonts w:cs="Times New Roman"/>
          <w:lang w:val="pl-PL"/>
        </w:rPr>
        <w:t xml:space="preserve"> zbadał </w:t>
      </w:r>
      <w:r w:rsidR="000515CD" w:rsidRPr="0051003F">
        <w:rPr>
          <w:rFonts w:cs="Times New Roman"/>
          <w:lang w:val="pl-PL"/>
        </w:rPr>
        <w:t>czy oba postępowania dotyczyły „</w:t>
      </w:r>
      <w:r w:rsidR="00A21C11" w:rsidRPr="0051003F">
        <w:rPr>
          <w:rFonts w:cs="Times New Roman"/>
          <w:lang w:val="pl-PL"/>
        </w:rPr>
        <w:t xml:space="preserve">przestępstwa” w rozumieniu </w:t>
      </w:r>
      <w:r w:rsidR="00290E70">
        <w:rPr>
          <w:rFonts w:cs="Times New Roman"/>
          <w:lang w:val="pl-PL"/>
        </w:rPr>
        <w:t>art.</w:t>
      </w:r>
      <w:r w:rsidR="00A21C11" w:rsidRPr="0051003F">
        <w:rPr>
          <w:rFonts w:cs="Times New Roman"/>
          <w:lang w:val="pl-PL"/>
        </w:rPr>
        <w:t xml:space="preserve"> 4 Protokołu </w:t>
      </w:r>
      <w:r w:rsidR="0017701F">
        <w:rPr>
          <w:rFonts w:cs="Times New Roman"/>
          <w:lang w:val="pl-PL"/>
        </w:rPr>
        <w:t>n</w:t>
      </w:r>
      <w:r w:rsidR="00A21C11" w:rsidRPr="0051003F">
        <w:rPr>
          <w:rFonts w:cs="Times New Roman"/>
          <w:lang w:val="pl-PL"/>
        </w:rPr>
        <w:t xml:space="preserve">r 7. </w:t>
      </w:r>
      <w:r w:rsidR="00602540" w:rsidRPr="0051003F">
        <w:rPr>
          <w:rFonts w:cs="Times New Roman"/>
          <w:lang w:val="pl-PL"/>
        </w:rPr>
        <w:t xml:space="preserve">W związku z tym Sąd Najwyższy powtórzył swój wyrok w sposób przedstawiony w </w:t>
      </w:r>
      <w:proofErr w:type="spellStart"/>
      <w:r w:rsidR="00A110FA" w:rsidRPr="0051003F">
        <w:rPr>
          <w:i/>
          <w:lang w:val="pl-PL"/>
        </w:rPr>
        <w:t>Norsk</w:t>
      </w:r>
      <w:proofErr w:type="spellEnd"/>
      <w:r w:rsidR="00A110FA" w:rsidRPr="0051003F">
        <w:rPr>
          <w:i/>
          <w:lang w:val="pl-PL"/>
        </w:rPr>
        <w:t xml:space="preserve"> </w:t>
      </w:r>
      <w:proofErr w:type="spellStart"/>
      <w:r w:rsidR="00A110FA" w:rsidRPr="0051003F">
        <w:rPr>
          <w:i/>
          <w:lang w:val="pl-PL"/>
        </w:rPr>
        <w:t>Retstidende</w:t>
      </w:r>
      <w:proofErr w:type="spellEnd"/>
      <w:r w:rsidR="00703159" w:rsidRPr="0051003F">
        <w:rPr>
          <w:rFonts w:cs="Times New Roman"/>
          <w:lang w:val="pl-PL"/>
        </w:rPr>
        <w:t xml:space="preserve"> </w:t>
      </w:r>
      <w:r w:rsidR="00A110FA" w:rsidRPr="0051003F">
        <w:rPr>
          <w:rFonts w:cs="Times New Roman"/>
          <w:lang w:val="pl-PL"/>
        </w:rPr>
        <w:t>(“</w:t>
      </w:r>
      <w:proofErr w:type="spellStart"/>
      <w:r w:rsidR="00703159" w:rsidRPr="0051003F">
        <w:rPr>
          <w:rFonts w:cs="Times New Roman"/>
          <w:i/>
          <w:iCs/>
          <w:lang w:val="pl-PL"/>
        </w:rPr>
        <w:t>Rt</w:t>
      </w:r>
      <w:proofErr w:type="spellEnd"/>
      <w:r w:rsidR="00A110FA" w:rsidRPr="0051003F">
        <w:rPr>
          <w:rFonts w:cs="Times New Roman"/>
          <w:i/>
          <w:iCs/>
          <w:lang w:val="pl-PL"/>
        </w:rPr>
        <w:t>.”</w:t>
      </w:r>
      <w:r w:rsidR="00A110FA" w:rsidRPr="0051003F">
        <w:rPr>
          <w:rFonts w:cs="Times New Roman"/>
          <w:iCs/>
          <w:lang w:val="pl-PL"/>
        </w:rPr>
        <w:t>)</w:t>
      </w:r>
      <w:r w:rsidR="00602540" w:rsidRPr="0051003F">
        <w:rPr>
          <w:rFonts w:cs="Times New Roman"/>
          <w:lang w:val="pl-PL"/>
        </w:rPr>
        <w:t xml:space="preserve"> 2002 s.</w:t>
      </w:r>
      <w:r w:rsidR="00703159" w:rsidRPr="0051003F">
        <w:rPr>
          <w:rFonts w:cs="Times New Roman"/>
          <w:lang w:val="pl-PL"/>
        </w:rPr>
        <w:t xml:space="preserve"> 509 (</w:t>
      </w:r>
      <w:r w:rsidR="00602540" w:rsidRPr="0051003F">
        <w:rPr>
          <w:rFonts w:cs="Times New Roman"/>
          <w:lang w:val="pl-PL"/>
        </w:rPr>
        <w:t>zobacz paragraf</w:t>
      </w:r>
      <w:r w:rsidR="00703159" w:rsidRPr="0051003F">
        <w:rPr>
          <w:rFonts w:cs="Times New Roman"/>
          <w:lang w:val="pl-PL"/>
        </w:rPr>
        <w:t xml:space="preserve"> </w:t>
      </w:r>
      <w:r w:rsidR="0071177A" w:rsidRPr="0051003F">
        <w:rPr>
          <w:rFonts w:cs="Times New Roman"/>
          <w:lang w:val="pl-PL"/>
        </w:rPr>
        <w:t>4</w:t>
      </w:r>
      <w:r w:rsidR="00857CAB" w:rsidRPr="0051003F">
        <w:rPr>
          <w:rFonts w:cs="Times New Roman"/>
          <w:lang w:val="pl-PL"/>
        </w:rPr>
        <w:t>5</w:t>
      </w:r>
      <w:r w:rsidR="00602540" w:rsidRPr="0051003F">
        <w:rPr>
          <w:rFonts w:cs="Times New Roman"/>
          <w:lang w:val="pl-PL"/>
        </w:rPr>
        <w:t xml:space="preserve"> poniżej</w:t>
      </w:r>
      <w:r w:rsidR="00703159" w:rsidRPr="0051003F">
        <w:rPr>
          <w:rFonts w:cs="Times New Roman"/>
          <w:lang w:val="pl-PL"/>
        </w:rPr>
        <w:t>)</w:t>
      </w:r>
      <w:r w:rsidR="00854052" w:rsidRPr="0051003F">
        <w:rPr>
          <w:rFonts w:cs="Times New Roman"/>
          <w:lang w:val="pl-PL"/>
        </w:rPr>
        <w:t>, że kary podatkowe</w:t>
      </w:r>
      <w:r w:rsidR="00602540" w:rsidRPr="0051003F">
        <w:rPr>
          <w:rFonts w:cs="Times New Roman"/>
          <w:lang w:val="pl-PL"/>
        </w:rPr>
        <w:t xml:space="preserve"> na normalnym poziomie </w:t>
      </w:r>
      <w:r w:rsidR="00703159" w:rsidRPr="0051003F">
        <w:rPr>
          <w:rFonts w:cs="Times New Roman"/>
          <w:lang w:val="pl-PL"/>
        </w:rPr>
        <w:t xml:space="preserve">(30%) </w:t>
      </w:r>
      <w:r w:rsidR="000515CD" w:rsidRPr="0051003F">
        <w:rPr>
          <w:rFonts w:cs="Times New Roman"/>
          <w:lang w:val="pl-PL"/>
        </w:rPr>
        <w:t>były zgodnie z pojęciem „</w:t>
      </w:r>
      <w:r w:rsidR="00854052" w:rsidRPr="0051003F">
        <w:rPr>
          <w:rFonts w:cs="Times New Roman"/>
          <w:lang w:val="pl-PL"/>
        </w:rPr>
        <w:t>oskarżenia”</w:t>
      </w:r>
      <w:r w:rsidR="00312154" w:rsidRPr="0051003F">
        <w:rPr>
          <w:rFonts w:cs="Times New Roman"/>
          <w:lang w:val="pl-PL"/>
        </w:rPr>
        <w:t xml:space="preserve"> z </w:t>
      </w:r>
      <w:r w:rsidR="0017701F">
        <w:rPr>
          <w:rFonts w:cs="Times New Roman"/>
          <w:lang w:val="pl-PL"/>
        </w:rPr>
        <w:t>art.</w:t>
      </w:r>
      <w:r w:rsidR="0017701F" w:rsidRPr="0051003F">
        <w:rPr>
          <w:rFonts w:cs="Times New Roman"/>
          <w:lang w:val="pl-PL"/>
        </w:rPr>
        <w:t xml:space="preserve"> </w:t>
      </w:r>
      <w:r w:rsidR="00854052" w:rsidRPr="0051003F">
        <w:rPr>
          <w:rFonts w:cs="Times New Roman"/>
          <w:lang w:val="pl-PL"/>
        </w:rPr>
        <w:t>6 ust.</w:t>
      </w:r>
      <w:r w:rsidR="00703159" w:rsidRPr="0051003F">
        <w:rPr>
          <w:rFonts w:cs="Times New Roman"/>
          <w:lang w:val="pl-PL"/>
        </w:rPr>
        <w:t xml:space="preserve"> 1. </w:t>
      </w:r>
      <w:r w:rsidR="00312154" w:rsidRPr="0051003F">
        <w:rPr>
          <w:rFonts w:cs="Times New Roman"/>
          <w:lang w:val="pl-PL"/>
        </w:rPr>
        <w:t xml:space="preserve">Ta </w:t>
      </w:r>
      <w:r w:rsidR="000728AC" w:rsidRPr="0051003F">
        <w:rPr>
          <w:rFonts w:cs="Times New Roman"/>
          <w:lang w:val="pl-PL"/>
        </w:rPr>
        <w:t>wcześniejsza ocena</w:t>
      </w:r>
      <w:r w:rsidR="00312154" w:rsidRPr="0051003F">
        <w:rPr>
          <w:rFonts w:cs="Times New Roman"/>
          <w:lang w:val="pl-PL"/>
        </w:rPr>
        <w:t xml:space="preserve"> miał</w:t>
      </w:r>
      <w:r w:rsidR="00A42C3D" w:rsidRPr="0051003F">
        <w:rPr>
          <w:rFonts w:cs="Times New Roman"/>
          <w:lang w:val="pl-PL"/>
        </w:rPr>
        <w:t xml:space="preserve">a swoje podstawy </w:t>
      </w:r>
      <w:r w:rsidR="0017701F">
        <w:rPr>
          <w:rFonts w:cs="Times New Roman"/>
          <w:lang w:val="pl-PL"/>
        </w:rPr>
        <w:t>w tak</w:t>
      </w:r>
      <w:r w:rsidR="00A42C3D" w:rsidRPr="0051003F">
        <w:rPr>
          <w:rFonts w:cs="Times New Roman"/>
          <w:lang w:val="pl-PL"/>
        </w:rPr>
        <w:t xml:space="preserve"> zwanym „</w:t>
      </w:r>
      <w:r w:rsidR="00312154" w:rsidRPr="0051003F">
        <w:rPr>
          <w:rFonts w:cs="Times New Roman"/>
          <w:lang w:val="pl-PL"/>
        </w:rPr>
        <w:t xml:space="preserve">kryterium </w:t>
      </w:r>
      <w:proofErr w:type="spellStart"/>
      <w:r w:rsidR="00312154" w:rsidRPr="0051003F">
        <w:rPr>
          <w:rFonts w:cs="Times New Roman"/>
          <w:lang w:val="pl-PL"/>
        </w:rPr>
        <w:t>Engela</w:t>
      </w:r>
      <w:proofErr w:type="spellEnd"/>
      <w:r w:rsidR="00312154" w:rsidRPr="0051003F">
        <w:rPr>
          <w:rFonts w:cs="Times New Roman"/>
          <w:lang w:val="pl-PL"/>
        </w:rPr>
        <w:t xml:space="preserve">” </w:t>
      </w:r>
      <w:r w:rsidR="00703159" w:rsidRPr="0051003F">
        <w:rPr>
          <w:rFonts w:cs="Times New Roman"/>
          <w:lang w:val="pl-PL"/>
        </w:rPr>
        <w:t>(</w:t>
      </w:r>
      <w:r w:rsidR="00312154" w:rsidRPr="0051003F">
        <w:rPr>
          <w:rFonts w:cs="Times New Roman"/>
          <w:lang w:val="pl-PL"/>
        </w:rPr>
        <w:t>prawna klasyfikacja przestępstwa w prawie krajowym; charakter przestępstwa</w:t>
      </w:r>
      <w:r w:rsidR="00703159" w:rsidRPr="0051003F">
        <w:rPr>
          <w:rFonts w:cs="Times New Roman"/>
          <w:lang w:val="pl-PL"/>
        </w:rPr>
        <w:t>;</w:t>
      </w:r>
      <w:r w:rsidR="00A42C3D" w:rsidRPr="0051003F">
        <w:rPr>
          <w:rFonts w:cs="Times New Roman"/>
          <w:lang w:val="pl-PL"/>
        </w:rPr>
        <w:t xml:space="preserve"> oraz dotkliwość przewidzianej sankcji karnej, której poniesieniem osoba zainteresowana ryzykowała)</w:t>
      </w:r>
      <w:r w:rsidR="00703159" w:rsidRPr="0051003F">
        <w:rPr>
          <w:rFonts w:cs="Times New Roman"/>
          <w:lang w:val="pl-PL"/>
        </w:rPr>
        <w:t xml:space="preserve"> </w:t>
      </w:r>
      <w:r w:rsidR="00A42C3D" w:rsidRPr="0051003F">
        <w:rPr>
          <w:rFonts w:cs="Times New Roman"/>
          <w:lang w:val="pl-PL"/>
        </w:rPr>
        <w:t>określonym w wyroku Trybunału w sprawie</w:t>
      </w:r>
      <w:r w:rsidR="00703159" w:rsidRPr="0051003F">
        <w:rPr>
          <w:rFonts w:cs="Times New Roman"/>
          <w:lang w:val="pl-PL"/>
        </w:rPr>
        <w:t xml:space="preserve"> </w:t>
      </w:r>
      <w:proofErr w:type="spellStart"/>
      <w:r w:rsidR="00A42C3D" w:rsidRPr="0051003F">
        <w:rPr>
          <w:rFonts w:cs="Times New Roman"/>
          <w:i/>
          <w:iCs/>
          <w:szCs w:val="24"/>
          <w:lang w:val="pl-PL"/>
        </w:rPr>
        <w:t>Engel</w:t>
      </w:r>
      <w:proofErr w:type="spellEnd"/>
      <w:r w:rsidR="00A42C3D" w:rsidRPr="0051003F">
        <w:rPr>
          <w:rFonts w:cs="Times New Roman"/>
          <w:i/>
          <w:iCs/>
          <w:szCs w:val="24"/>
          <w:lang w:val="pl-PL"/>
        </w:rPr>
        <w:t xml:space="preserve"> i Inni</w:t>
      </w:r>
      <w:r w:rsidR="00703159" w:rsidRPr="0051003F">
        <w:rPr>
          <w:rFonts w:cs="Times New Roman"/>
          <w:i/>
          <w:iCs/>
          <w:szCs w:val="24"/>
          <w:lang w:val="pl-PL"/>
        </w:rPr>
        <w:t xml:space="preserve"> </w:t>
      </w:r>
      <w:r w:rsidR="00A42C3D" w:rsidRPr="0051003F">
        <w:rPr>
          <w:rFonts w:cs="Times New Roman"/>
          <w:i/>
          <w:iCs/>
          <w:szCs w:val="24"/>
          <w:lang w:val="pl-PL"/>
        </w:rPr>
        <w:t>przeciwko Niderlandom</w:t>
      </w:r>
      <w:r w:rsidR="00703159" w:rsidRPr="0051003F">
        <w:rPr>
          <w:rFonts w:cs="Times New Roman"/>
          <w:i/>
          <w:iCs/>
          <w:szCs w:val="24"/>
          <w:lang w:val="pl-PL"/>
        </w:rPr>
        <w:t xml:space="preserve"> </w:t>
      </w:r>
      <w:r w:rsidR="00ED6714" w:rsidRPr="0051003F">
        <w:rPr>
          <w:rFonts w:cs="Times New Roman"/>
          <w:szCs w:val="24"/>
          <w:lang w:val="pl-PL"/>
        </w:rPr>
        <w:t>(</w:t>
      </w:r>
      <w:r w:rsidR="00A42C3D" w:rsidRPr="0051003F">
        <w:rPr>
          <w:rFonts w:cs="Times New Roman"/>
          <w:szCs w:val="24"/>
          <w:lang w:val="pl-PL"/>
        </w:rPr>
        <w:t>8 czerwca</w:t>
      </w:r>
      <w:r w:rsidR="00703159" w:rsidRPr="0051003F">
        <w:rPr>
          <w:rFonts w:cs="Times New Roman"/>
          <w:szCs w:val="24"/>
          <w:lang w:val="pl-PL"/>
        </w:rPr>
        <w:t xml:space="preserve"> 1976</w:t>
      </w:r>
      <w:r w:rsidR="00B63741">
        <w:rPr>
          <w:rFonts w:cs="Times New Roman"/>
          <w:szCs w:val="24"/>
          <w:lang w:val="pl-PL"/>
        </w:rPr>
        <w:t xml:space="preserve"> roku</w:t>
      </w:r>
      <w:r w:rsidR="00703159" w:rsidRPr="0051003F">
        <w:rPr>
          <w:rFonts w:cs="Times New Roman"/>
          <w:szCs w:val="24"/>
          <w:lang w:val="pl-PL"/>
        </w:rPr>
        <w:t>, §</w:t>
      </w:r>
      <w:r w:rsidR="00530BE4" w:rsidRPr="0051003F">
        <w:rPr>
          <w:rFonts w:cs="Times New Roman"/>
          <w:szCs w:val="24"/>
          <w:lang w:val="pl-PL"/>
        </w:rPr>
        <w:t> </w:t>
      </w:r>
      <w:r w:rsidR="00A42C3D" w:rsidRPr="0051003F">
        <w:rPr>
          <w:rFonts w:cs="Times New Roman"/>
          <w:szCs w:val="24"/>
          <w:lang w:val="pl-PL"/>
        </w:rPr>
        <w:t>82, Seria A nr</w:t>
      </w:r>
      <w:r w:rsidR="00703159" w:rsidRPr="0051003F">
        <w:rPr>
          <w:rFonts w:cs="Times New Roman"/>
          <w:szCs w:val="24"/>
          <w:lang w:val="pl-PL"/>
        </w:rPr>
        <w:t xml:space="preserve"> 22)</w:t>
      </w:r>
      <w:r w:rsidR="00575F59" w:rsidRPr="0051003F">
        <w:rPr>
          <w:rFonts w:cs="Times New Roman"/>
          <w:lang w:val="pl-PL"/>
        </w:rPr>
        <w:t xml:space="preserve">. </w:t>
      </w:r>
      <w:r w:rsidR="00CD18A6" w:rsidRPr="0051003F">
        <w:rPr>
          <w:rFonts w:cs="Times New Roman"/>
          <w:lang w:val="pl-PL"/>
        </w:rPr>
        <w:t>W ocenie Sądu Najwyższego znaczenie miał ogólny prewencyjny cel kary podatkowej oraz fakt, że</w:t>
      </w:r>
      <w:r w:rsidR="00575F59" w:rsidRPr="0051003F">
        <w:rPr>
          <w:rFonts w:cs="Times New Roman"/>
          <w:lang w:val="pl-PL"/>
        </w:rPr>
        <w:t xml:space="preserve"> ponieważ 30% było wysokim procentem, </w:t>
      </w:r>
      <w:r w:rsidR="00B63741">
        <w:rPr>
          <w:rFonts w:cs="Times New Roman"/>
          <w:lang w:val="pl-PL"/>
        </w:rPr>
        <w:t>w grę wchodziły znaczne sumy</w:t>
      </w:r>
      <w:r w:rsidR="00703159" w:rsidRPr="0051003F">
        <w:rPr>
          <w:rFonts w:cs="Times New Roman"/>
          <w:lang w:val="pl-PL"/>
        </w:rPr>
        <w:t xml:space="preserve">. </w:t>
      </w:r>
      <w:r w:rsidR="00575F59" w:rsidRPr="0051003F">
        <w:rPr>
          <w:rFonts w:cs="Times New Roman"/>
          <w:lang w:val="pl-PL"/>
        </w:rPr>
        <w:t>Sąd Najwyższy następnie odniósł się do swojego wyroku opublikowanego w</w:t>
      </w:r>
      <w:r w:rsidR="00703159" w:rsidRPr="0051003F">
        <w:rPr>
          <w:rFonts w:cs="Times New Roman"/>
          <w:lang w:val="pl-PL"/>
        </w:rPr>
        <w:t xml:space="preserve"> </w:t>
      </w:r>
      <w:proofErr w:type="spellStart"/>
      <w:r w:rsidR="00703159" w:rsidRPr="0051003F">
        <w:rPr>
          <w:rFonts w:cs="Times New Roman"/>
          <w:i/>
          <w:iCs/>
          <w:lang w:val="pl-PL"/>
        </w:rPr>
        <w:t>Rt</w:t>
      </w:r>
      <w:proofErr w:type="spellEnd"/>
      <w:r w:rsidR="00575F59" w:rsidRPr="0051003F">
        <w:rPr>
          <w:rFonts w:cs="Times New Roman"/>
          <w:lang w:val="pl-PL"/>
        </w:rPr>
        <w:t>. 2004 s.</w:t>
      </w:r>
      <w:r w:rsidR="002E6FFD" w:rsidRPr="0051003F">
        <w:rPr>
          <w:rFonts w:cs="Times New Roman"/>
          <w:lang w:val="pl-PL"/>
        </w:rPr>
        <w:t> </w:t>
      </w:r>
      <w:r w:rsidR="00703159" w:rsidRPr="0051003F">
        <w:rPr>
          <w:rFonts w:cs="Times New Roman"/>
          <w:lang w:val="pl-PL"/>
        </w:rPr>
        <w:t xml:space="preserve">645, </w:t>
      </w:r>
      <w:r w:rsidR="00575F59" w:rsidRPr="0051003F">
        <w:rPr>
          <w:rFonts w:cs="Times New Roman"/>
          <w:lang w:val="pl-PL"/>
        </w:rPr>
        <w:t xml:space="preserve">w którym w </w:t>
      </w:r>
      <w:r w:rsidR="00327F80" w:rsidRPr="0051003F">
        <w:rPr>
          <w:rFonts w:cs="Times New Roman"/>
          <w:lang w:val="pl-PL"/>
        </w:rPr>
        <w:t>świetle</w:t>
      </w:r>
      <w:r w:rsidR="00575F59" w:rsidRPr="0051003F">
        <w:rPr>
          <w:rFonts w:cs="Times New Roman"/>
          <w:lang w:val="pl-PL"/>
        </w:rPr>
        <w:t xml:space="preserve"> orzecznictwa </w:t>
      </w:r>
      <w:r w:rsidR="00B63741">
        <w:rPr>
          <w:rFonts w:cs="Times New Roman"/>
          <w:lang w:val="pl-PL"/>
        </w:rPr>
        <w:t>s</w:t>
      </w:r>
      <w:r w:rsidR="00575F59" w:rsidRPr="0051003F">
        <w:rPr>
          <w:rFonts w:cs="Times New Roman"/>
          <w:lang w:val="pl-PL"/>
        </w:rPr>
        <w:t xml:space="preserve">trasburskiego orzekł (z tym skutkiem, że pojęcie “kary” w przepisach </w:t>
      </w:r>
      <w:r w:rsidR="00B63741">
        <w:rPr>
          <w:rFonts w:cs="Times New Roman"/>
          <w:lang w:val="pl-PL"/>
        </w:rPr>
        <w:t>k</w:t>
      </w:r>
      <w:r w:rsidR="00575F59" w:rsidRPr="0051003F">
        <w:rPr>
          <w:rFonts w:cs="Times New Roman"/>
          <w:lang w:val="pl-PL"/>
        </w:rPr>
        <w:t>onwencyjnych, nie powinno mieć różnych</w:t>
      </w:r>
      <w:r w:rsidR="009A735C">
        <w:rPr>
          <w:rFonts w:cs="Times New Roman"/>
          <w:lang w:val="pl-PL"/>
        </w:rPr>
        <w:t xml:space="preserve"> znaczeń</w:t>
      </w:r>
      <w:r w:rsidR="00575F59" w:rsidRPr="0051003F">
        <w:rPr>
          <w:rFonts w:cs="Times New Roman"/>
          <w:lang w:val="pl-PL"/>
        </w:rPr>
        <w:t>)</w:t>
      </w:r>
      <w:r w:rsidR="00FE72D1" w:rsidRPr="0051003F">
        <w:rPr>
          <w:rFonts w:cs="Times New Roman"/>
          <w:lang w:val="pl-PL"/>
        </w:rPr>
        <w:t xml:space="preserve">, że 30% kara podatkowa w rozumieniu art. 4 Protokołu </w:t>
      </w:r>
      <w:r w:rsidR="009A735C">
        <w:rPr>
          <w:rFonts w:cs="Times New Roman"/>
          <w:lang w:val="pl-PL"/>
        </w:rPr>
        <w:t>n</w:t>
      </w:r>
      <w:r w:rsidR="00FE72D1" w:rsidRPr="0051003F">
        <w:rPr>
          <w:rFonts w:cs="Times New Roman"/>
          <w:lang w:val="pl-PL"/>
        </w:rPr>
        <w:t xml:space="preserve">r 7  jest kwestią prawa karnego- stanowisko przyjęte bez dalszej dyskusji w </w:t>
      </w:r>
      <w:proofErr w:type="spellStart"/>
      <w:r w:rsidR="00FE72D1" w:rsidRPr="0051003F">
        <w:rPr>
          <w:rFonts w:cs="Times New Roman"/>
          <w:lang w:val="pl-PL"/>
        </w:rPr>
        <w:t>Rt</w:t>
      </w:r>
      <w:proofErr w:type="spellEnd"/>
      <w:r w:rsidR="00FE72D1" w:rsidRPr="0051003F">
        <w:rPr>
          <w:rFonts w:cs="Times New Roman"/>
          <w:lang w:val="pl-PL"/>
        </w:rPr>
        <w:t>. 2006, s. 1409.</w:t>
      </w:r>
    </w:p>
    <w:p w:rsidR="00703159" w:rsidRPr="0051003F" w:rsidRDefault="003745E5" w:rsidP="00A7252F">
      <w:pPr>
        <w:pStyle w:val="ECHRPara"/>
        <w:rPr>
          <w:rFonts w:cs="Times New Roman"/>
          <w:sz w:val="22"/>
          <w:lang w:val="pl-PL"/>
        </w:rPr>
      </w:pPr>
      <w:r w:rsidRPr="0051003F">
        <w:rPr>
          <w:rFonts w:cs="Times New Roman"/>
          <w:lang w:val="pl-PL"/>
        </w:rPr>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23</w:t>
      </w:r>
      <w:r w:rsidRPr="0051003F">
        <w:rPr>
          <w:rFonts w:cs="Times New Roman"/>
          <w:lang w:val="pl-PL"/>
        </w:rPr>
        <w:fldChar w:fldCharType="end"/>
      </w:r>
      <w:r w:rsidR="00703159" w:rsidRPr="0051003F">
        <w:rPr>
          <w:rFonts w:cs="Times New Roman"/>
          <w:lang w:val="pl-PL"/>
        </w:rPr>
        <w:t>.  </w:t>
      </w:r>
      <w:r w:rsidR="00DA63E1" w:rsidRPr="0051003F">
        <w:rPr>
          <w:rFonts w:cs="Times New Roman"/>
          <w:lang w:val="pl-PL"/>
        </w:rPr>
        <w:t>Sąd Najwyższy zauważył również, że zarówno dyrektor urzędu podatkowego,</w:t>
      </w:r>
      <w:r w:rsidR="00703159" w:rsidRPr="0051003F">
        <w:rPr>
          <w:rFonts w:cs="Times New Roman"/>
          <w:lang w:val="pl-PL"/>
        </w:rPr>
        <w:t xml:space="preserve"> (</w:t>
      </w:r>
      <w:proofErr w:type="spellStart"/>
      <w:r w:rsidR="00703159" w:rsidRPr="0051003F">
        <w:rPr>
          <w:rFonts w:cs="Times New Roman"/>
          <w:i/>
          <w:iCs/>
          <w:lang w:val="pl-PL"/>
        </w:rPr>
        <w:t>Skattedirektoratet</w:t>
      </w:r>
      <w:proofErr w:type="spellEnd"/>
      <w:r w:rsidR="00703159" w:rsidRPr="0051003F">
        <w:rPr>
          <w:rFonts w:cs="Times New Roman"/>
          <w:lang w:val="pl-PL"/>
        </w:rPr>
        <w:t xml:space="preserve">) </w:t>
      </w:r>
      <w:r w:rsidR="00DA63E1" w:rsidRPr="0051003F">
        <w:rPr>
          <w:rFonts w:cs="Times New Roman"/>
          <w:lang w:val="pl-PL"/>
        </w:rPr>
        <w:t>jak i dyrektor prokuratury (</w:t>
      </w:r>
      <w:proofErr w:type="spellStart"/>
      <w:r w:rsidR="00703159" w:rsidRPr="0051003F">
        <w:rPr>
          <w:rFonts w:cs="Times New Roman"/>
          <w:i/>
          <w:iCs/>
          <w:lang w:val="pl-PL"/>
        </w:rPr>
        <w:t>Riksadvokaten</w:t>
      </w:r>
      <w:proofErr w:type="spellEnd"/>
      <w:r w:rsidR="00703159" w:rsidRPr="0051003F">
        <w:rPr>
          <w:rFonts w:cs="Times New Roman"/>
          <w:lang w:val="pl-PL"/>
        </w:rPr>
        <w:t xml:space="preserve">) </w:t>
      </w:r>
      <w:r w:rsidR="00DA63E1" w:rsidRPr="0051003F">
        <w:rPr>
          <w:rFonts w:cs="Times New Roman"/>
          <w:lang w:val="pl-PL"/>
        </w:rPr>
        <w:t xml:space="preserve">byli zdania, że mało </w:t>
      </w:r>
      <w:r w:rsidR="00327F80" w:rsidRPr="0051003F">
        <w:rPr>
          <w:rFonts w:cs="Times New Roman"/>
          <w:lang w:val="pl-PL"/>
        </w:rPr>
        <w:t>prawdopodobne</w:t>
      </w:r>
      <w:r w:rsidR="00DA63E1" w:rsidRPr="0051003F">
        <w:rPr>
          <w:rFonts w:cs="Times New Roman"/>
          <w:lang w:val="pl-PL"/>
        </w:rPr>
        <w:t xml:space="preserve"> jest, żeby kara podatkowa na zwykłym poziomie </w:t>
      </w:r>
      <w:r w:rsidR="000515CD" w:rsidRPr="0051003F">
        <w:rPr>
          <w:rFonts w:cs="Times New Roman"/>
          <w:lang w:val="pl-PL"/>
        </w:rPr>
        <w:t>nie była uznana za karę, dla celów art.</w:t>
      </w:r>
      <w:r w:rsidR="00923ABC" w:rsidRPr="0051003F">
        <w:rPr>
          <w:rFonts w:cs="Times New Roman"/>
          <w:lang w:val="pl-PL"/>
        </w:rPr>
        <w:t xml:space="preserve"> </w:t>
      </w:r>
      <w:r w:rsidR="00703159" w:rsidRPr="0051003F">
        <w:rPr>
          <w:rFonts w:cs="Times New Roman"/>
          <w:lang w:val="pl-PL"/>
        </w:rPr>
        <w:t xml:space="preserve">4 </w:t>
      </w:r>
      <w:r w:rsidR="000515CD" w:rsidRPr="0051003F">
        <w:rPr>
          <w:rFonts w:cs="Times New Roman"/>
          <w:lang w:val="pl-PL"/>
        </w:rPr>
        <w:t xml:space="preserve">Protokołu </w:t>
      </w:r>
      <w:r w:rsidR="003C6FFC">
        <w:rPr>
          <w:rFonts w:cs="Times New Roman"/>
          <w:lang w:val="pl-PL"/>
        </w:rPr>
        <w:t>n</w:t>
      </w:r>
      <w:r w:rsidR="000515CD" w:rsidRPr="0051003F">
        <w:rPr>
          <w:rFonts w:cs="Times New Roman"/>
          <w:lang w:val="pl-PL"/>
        </w:rPr>
        <w:t>r</w:t>
      </w:r>
      <w:r w:rsidR="00703159" w:rsidRPr="0051003F">
        <w:rPr>
          <w:rFonts w:cs="Times New Roman"/>
          <w:lang w:val="pl-PL"/>
        </w:rPr>
        <w:t xml:space="preserve"> 7.</w:t>
      </w:r>
    </w:p>
    <w:p w:rsidR="00703159" w:rsidRPr="0051003F" w:rsidRDefault="003745E5" w:rsidP="00A7252F">
      <w:pPr>
        <w:pStyle w:val="ECHRPara"/>
        <w:rPr>
          <w:rFonts w:cs="Times New Roman"/>
          <w:szCs w:val="24"/>
          <w:lang w:val="pl-PL"/>
        </w:rPr>
      </w:pPr>
      <w:r w:rsidRPr="0051003F">
        <w:rPr>
          <w:rFonts w:cs="Times New Roman"/>
          <w:lang w:val="pl-PL"/>
        </w:rPr>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24</w:t>
      </w:r>
      <w:r w:rsidRPr="0051003F">
        <w:rPr>
          <w:rFonts w:cs="Times New Roman"/>
          <w:lang w:val="pl-PL"/>
        </w:rPr>
        <w:fldChar w:fldCharType="end"/>
      </w:r>
      <w:r w:rsidR="00703159" w:rsidRPr="0051003F">
        <w:rPr>
          <w:rFonts w:cs="Times New Roman"/>
          <w:lang w:val="pl-PL"/>
        </w:rPr>
        <w:t>.  </w:t>
      </w:r>
      <w:r w:rsidR="000515CD" w:rsidRPr="0051003F">
        <w:rPr>
          <w:rFonts w:cs="Times New Roman"/>
          <w:szCs w:val="24"/>
          <w:lang w:val="pl-PL"/>
        </w:rPr>
        <w:t xml:space="preserve">Sąd Najwyższy w dalszej części odniósł się do bardziej aktualnego orzecznictwa Trybunału </w:t>
      </w:r>
      <w:r w:rsidR="00703159" w:rsidRPr="0051003F">
        <w:rPr>
          <w:rFonts w:cs="Times New Roman"/>
          <w:szCs w:val="24"/>
          <w:lang w:val="pl-PL"/>
        </w:rPr>
        <w:t>(</w:t>
      </w:r>
      <w:proofErr w:type="spellStart"/>
      <w:r w:rsidR="000515CD" w:rsidRPr="0051003F">
        <w:rPr>
          <w:rFonts w:cs="Times New Roman"/>
          <w:i/>
          <w:iCs/>
          <w:szCs w:val="24"/>
          <w:lang w:val="pl-PL"/>
        </w:rPr>
        <w:t>Mjelde</w:t>
      </w:r>
      <w:proofErr w:type="spellEnd"/>
      <w:r w:rsidR="000515CD" w:rsidRPr="0051003F">
        <w:rPr>
          <w:rFonts w:cs="Times New Roman"/>
          <w:i/>
          <w:iCs/>
          <w:szCs w:val="24"/>
          <w:lang w:val="pl-PL"/>
        </w:rPr>
        <w:t xml:space="preserve"> przeciwko</w:t>
      </w:r>
      <w:r w:rsidR="00703159" w:rsidRPr="0051003F">
        <w:rPr>
          <w:rFonts w:cs="Times New Roman"/>
          <w:i/>
          <w:iCs/>
          <w:szCs w:val="24"/>
          <w:lang w:val="pl-PL"/>
        </w:rPr>
        <w:t xml:space="preserve"> Nor</w:t>
      </w:r>
      <w:r w:rsidR="000515CD" w:rsidRPr="0051003F">
        <w:rPr>
          <w:rFonts w:cs="Times New Roman"/>
          <w:i/>
          <w:iCs/>
          <w:szCs w:val="24"/>
          <w:lang w:val="pl-PL"/>
        </w:rPr>
        <w:t>wegii</w:t>
      </w:r>
      <w:r w:rsidR="00703159" w:rsidRPr="0051003F">
        <w:rPr>
          <w:rFonts w:cs="Times New Roman"/>
          <w:szCs w:val="24"/>
          <w:lang w:val="pl-PL"/>
        </w:rPr>
        <w:t xml:space="preserve"> (</w:t>
      </w:r>
      <w:proofErr w:type="spellStart"/>
      <w:r w:rsidR="00703159" w:rsidRPr="0051003F">
        <w:rPr>
          <w:rFonts w:cs="Times New Roman"/>
          <w:szCs w:val="24"/>
          <w:lang w:val="pl-PL"/>
        </w:rPr>
        <w:t>dec</w:t>
      </w:r>
      <w:proofErr w:type="spellEnd"/>
      <w:r w:rsidR="00703159" w:rsidRPr="0051003F">
        <w:rPr>
          <w:rFonts w:cs="Times New Roman"/>
          <w:szCs w:val="24"/>
          <w:lang w:val="pl-PL"/>
        </w:rPr>
        <w:t>.</w:t>
      </w:r>
      <w:r w:rsidR="007C0BA1" w:rsidRPr="0051003F">
        <w:rPr>
          <w:rFonts w:cs="Times New Roman"/>
          <w:szCs w:val="24"/>
          <w:lang w:val="pl-PL"/>
        </w:rPr>
        <w:t>)</w:t>
      </w:r>
      <w:r w:rsidR="000515CD" w:rsidRPr="0051003F">
        <w:rPr>
          <w:rFonts w:cs="Times New Roman"/>
          <w:szCs w:val="24"/>
          <w:lang w:val="pl-PL"/>
        </w:rPr>
        <w:t>, nr</w:t>
      </w:r>
      <w:r w:rsidR="00703159" w:rsidRPr="0051003F">
        <w:rPr>
          <w:rFonts w:cs="Times New Roman"/>
          <w:szCs w:val="24"/>
          <w:lang w:val="pl-PL"/>
        </w:rPr>
        <w:t xml:space="preserve"> 11143/04, 1 </w:t>
      </w:r>
      <w:r w:rsidR="000515CD" w:rsidRPr="0051003F">
        <w:rPr>
          <w:rFonts w:cs="Times New Roman"/>
          <w:szCs w:val="24"/>
          <w:lang w:val="pl-PL"/>
        </w:rPr>
        <w:t>lutego</w:t>
      </w:r>
      <w:r w:rsidR="00703159" w:rsidRPr="0051003F">
        <w:rPr>
          <w:rFonts w:cs="Times New Roman"/>
          <w:szCs w:val="24"/>
          <w:lang w:val="pl-PL"/>
        </w:rPr>
        <w:t xml:space="preserve"> 2007</w:t>
      </w:r>
      <w:r w:rsidR="003C6FFC">
        <w:rPr>
          <w:rFonts w:cs="Times New Roman"/>
          <w:szCs w:val="24"/>
          <w:lang w:val="pl-PL"/>
        </w:rPr>
        <w:t xml:space="preserve"> roku</w:t>
      </w:r>
      <w:r w:rsidR="00703159" w:rsidRPr="0051003F">
        <w:rPr>
          <w:rFonts w:cs="Times New Roman"/>
          <w:szCs w:val="24"/>
          <w:lang w:val="pl-PL"/>
        </w:rPr>
        <w:t xml:space="preserve">; </w:t>
      </w:r>
      <w:proofErr w:type="spellStart"/>
      <w:r w:rsidR="000515CD" w:rsidRPr="0051003F">
        <w:rPr>
          <w:rFonts w:cs="Times New Roman"/>
          <w:i/>
          <w:iCs/>
          <w:szCs w:val="24"/>
          <w:lang w:val="pl-PL"/>
        </w:rPr>
        <w:t>Storbråten</w:t>
      </w:r>
      <w:proofErr w:type="spellEnd"/>
      <w:r w:rsidR="000515CD" w:rsidRPr="0051003F">
        <w:rPr>
          <w:rFonts w:cs="Times New Roman"/>
          <w:i/>
          <w:iCs/>
          <w:szCs w:val="24"/>
          <w:lang w:val="pl-PL"/>
        </w:rPr>
        <w:t xml:space="preserve"> przeciwko Norwegii</w:t>
      </w:r>
      <w:r w:rsidR="00703159" w:rsidRPr="0051003F">
        <w:rPr>
          <w:rFonts w:cs="Times New Roman"/>
          <w:i/>
          <w:iCs/>
          <w:szCs w:val="24"/>
          <w:lang w:val="pl-PL"/>
        </w:rPr>
        <w:t xml:space="preserve"> </w:t>
      </w:r>
      <w:r w:rsidR="000515CD" w:rsidRPr="0051003F">
        <w:rPr>
          <w:rFonts w:cs="Times New Roman"/>
          <w:szCs w:val="24"/>
          <w:lang w:val="pl-PL"/>
        </w:rPr>
        <w:t>(</w:t>
      </w:r>
      <w:proofErr w:type="spellStart"/>
      <w:r w:rsidR="000515CD" w:rsidRPr="0051003F">
        <w:rPr>
          <w:rFonts w:cs="Times New Roman"/>
          <w:szCs w:val="24"/>
          <w:lang w:val="pl-PL"/>
        </w:rPr>
        <w:t>dec</w:t>
      </w:r>
      <w:proofErr w:type="spellEnd"/>
      <w:r w:rsidR="000515CD" w:rsidRPr="0051003F">
        <w:rPr>
          <w:rFonts w:cs="Times New Roman"/>
          <w:szCs w:val="24"/>
          <w:lang w:val="pl-PL"/>
        </w:rPr>
        <w:t>.), nr</w:t>
      </w:r>
      <w:r w:rsidR="00703159" w:rsidRPr="0051003F">
        <w:rPr>
          <w:rFonts w:cs="Times New Roman"/>
          <w:szCs w:val="24"/>
          <w:lang w:val="pl-PL"/>
        </w:rPr>
        <w:t xml:space="preserve"> 12</w:t>
      </w:r>
      <w:r w:rsidR="007C0BA1" w:rsidRPr="0051003F">
        <w:rPr>
          <w:rFonts w:cs="Times New Roman"/>
          <w:szCs w:val="24"/>
          <w:lang w:val="pl-PL"/>
        </w:rPr>
        <w:t>2</w:t>
      </w:r>
      <w:r w:rsidR="00703159" w:rsidRPr="0051003F">
        <w:rPr>
          <w:rFonts w:cs="Times New Roman"/>
          <w:szCs w:val="24"/>
          <w:lang w:val="pl-PL"/>
        </w:rPr>
        <w:t xml:space="preserve">77/04, </w:t>
      </w:r>
      <w:r w:rsidR="007C0BA1" w:rsidRPr="0051003F">
        <w:rPr>
          <w:rFonts w:cs="Times New Roman"/>
          <w:szCs w:val="24"/>
          <w:lang w:val="pl-PL"/>
        </w:rPr>
        <w:t xml:space="preserve">1 </w:t>
      </w:r>
      <w:r w:rsidR="000515CD" w:rsidRPr="0051003F">
        <w:rPr>
          <w:rFonts w:cs="Times New Roman"/>
          <w:szCs w:val="24"/>
          <w:lang w:val="pl-PL"/>
        </w:rPr>
        <w:t xml:space="preserve">lutego </w:t>
      </w:r>
      <w:r w:rsidR="00703159" w:rsidRPr="0051003F">
        <w:rPr>
          <w:rFonts w:cs="Times New Roman"/>
          <w:szCs w:val="24"/>
          <w:lang w:val="pl-PL"/>
        </w:rPr>
        <w:t>2007</w:t>
      </w:r>
      <w:r w:rsidR="003C6FFC">
        <w:rPr>
          <w:rFonts w:cs="Times New Roman"/>
          <w:szCs w:val="24"/>
          <w:lang w:val="pl-PL"/>
        </w:rPr>
        <w:t xml:space="preserve"> roku</w:t>
      </w:r>
      <w:r w:rsidR="00703159" w:rsidRPr="0051003F">
        <w:rPr>
          <w:rFonts w:cs="Times New Roman"/>
          <w:szCs w:val="24"/>
          <w:lang w:val="pl-PL"/>
        </w:rPr>
        <w:t xml:space="preserve">; </w:t>
      </w:r>
      <w:proofErr w:type="spellStart"/>
      <w:r w:rsidR="00AC6757" w:rsidRPr="0051003F">
        <w:rPr>
          <w:rFonts w:cs="Times New Roman"/>
          <w:i/>
          <w:iCs/>
          <w:szCs w:val="24"/>
          <w:lang w:val="pl-PL"/>
        </w:rPr>
        <w:t>Haarvig</w:t>
      </w:r>
      <w:proofErr w:type="spellEnd"/>
      <w:r w:rsidR="002E6FFD" w:rsidRPr="0051003F">
        <w:rPr>
          <w:rFonts w:cs="Times New Roman"/>
          <w:i/>
          <w:iCs/>
          <w:szCs w:val="24"/>
          <w:lang w:val="pl-PL"/>
        </w:rPr>
        <w:t xml:space="preserve"> </w:t>
      </w:r>
      <w:r w:rsidR="000515CD" w:rsidRPr="0051003F">
        <w:rPr>
          <w:rFonts w:cs="Times New Roman"/>
          <w:i/>
          <w:iCs/>
          <w:szCs w:val="24"/>
          <w:lang w:val="pl-PL"/>
        </w:rPr>
        <w:t xml:space="preserve">przeciwko </w:t>
      </w:r>
      <w:r w:rsidR="002E6FFD" w:rsidRPr="0051003F">
        <w:rPr>
          <w:rFonts w:cs="Times New Roman"/>
          <w:i/>
          <w:iCs/>
          <w:szCs w:val="24"/>
          <w:lang w:val="pl-PL"/>
        </w:rPr>
        <w:t> </w:t>
      </w:r>
      <w:r w:rsidR="00703159" w:rsidRPr="0051003F">
        <w:rPr>
          <w:rFonts w:cs="Times New Roman"/>
          <w:i/>
          <w:iCs/>
          <w:szCs w:val="24"/>
          <w:lang w:val="pl-PL"/>
        </w:rPr>
        <w:t>Norw</w:t>
      </w:r>
      <w:r w:rsidR="000515CD" w:rsidRPr="0051003F">
        <w:rPr>
          <w:rFonts w:cs="Times New Roman"/>
          <w:i/>
          <w:iCs/>
          <w:szCs w:val="24"/>
          <w:lang w:val="pl-PL"/>
        </w:rPr>
        <w:t>egii</w:t>
      </w:r>
      <w:r w:rsidR="000515CD" w:rsidRPr="0051003F">
        <w:rPr>
          <w:rFonts w:cs="Times New Roman"/>
          <w:szCs w:val="24"/>
          <w:lang w:val="pl-PL"/>
        </w:rPr>
        <w:t xml:space="preserve"> (</w:t>
      </w:r>
      <w:proofErr w:type="spellStart"/>
      <w:r w:rsidR="000515CD" w:rsidRPr="0051003F">
        <w:rPr>
          <w:rFonts w:cs="Times New Roman"/>
          <w:szCs w:val="24"/>
          <w:lang w:val="pl-PL"/>
        </w:rPr>
        <w:t>dec</w:t>
      </w:r>
      <w:proofErr w:type="spellEnd"/>
      <w:r w:rsidR="000515CD" w:rsidRPr="0051003F">
        <w:rPr>
          <w:rFonts w:cs="Times New Roman"/>
          <w:szCs w:val="24"/>
          <w:lang w:val="pl-PL"/>
        </w:rPr>
        <w:t>.), nr  11187/05, 11 grudnia</w:t>
      </w:r>
      <w:r w:rsidR="00703159" w:rsidRPr="0051003F">
        <w:rPr>
          <w:rFonts w:cs="Times New Roman"/>
          <w:szCs w:val="24"/>
          <w:lang w:val="pl-PL"/>
        </w:rPr>
        <w:t xml:space="preserve"> 2007</w:t>
      </w:r>
      <w:r w:rsidR="003C6FFC">
        <w:rPr>
          <w:rFonts w:cs="Times New Roman"/>
          <w:szCs w:val="24"/>
          <w:lang w:val="pl-PL"/>
        </w:rPr>
        <w:t xml:space="preserve"> roku</w:t>
      </w:r>
      <w:r w:rsidR="00703159" w:rsidRPr="0051003F">
        <w:rPr>
          <w:rFonts w:cs="Times New Roman"/>
          <w:szCs w:val="24"/>
          <w:lang w:val="pl-PL"/>
        </w:rPr>
        <w:t xml:space="preserve">, </w:t>
      </w:r>
      <w:r w:rsidR="000515CD" w:rsidRPr="0051003F">
        <w:rPr>
          <w:rFonts w:cs="Times New Roman"/>
          <w:szCs w:val="24"/>
          <w:lang w:val="pl-PL"/>
        </w:rPr>
        <w:t>z odniesieniem do</w:t>
      </w:r>
      <w:r w:rsidR="00703159" w:rsidRPr="0051003F">
        <w:rPr>
          <w:rFonts w:cs="Times New Roman"/>
          <w:szCs w:val="24"/>
          <w:lang w:val="pl-PL"/>
        </w:rPr>
        <w:t xml:space="preserve"> </w:t>
      </w:r>
      <w:proofErr w:type="spellStart"/>
      <w:r w:rsidR="000515CD" w:rsidRPr="0051003F">
        <w:rPr>
          <w:rFonts w:cs="Times New Roman"/>
          <w:i/>
          <w:iCs/>
          <w:szCs w:val="24"/>
          <w:lang w:val="pl-PL"/>
        </w:rPr>
        <w:t>Malige</w:t>
      </w:r>
      <w:proofErr w:type="spellEnd"/>
      <w:r w:rsidR="000515CD" w:rsidRPr="0051003F">
        <w:rPr>
          <w:rFonts w:cs="Times New Roman"/>
          <w:i/>
          <w:iCs/>
          <w:szCs w:val="24"/>
          <w:lang w:val="pl-PL"/>
        </w:rPr>
        <w:t xml:space="preserve"> przeciwko Francji</w:t>
      </w:r>
      <w:r w:rsidR="000515CD" w:rsidRPr="0051003F">
        <w:rPr>
          <w:rFonts w:cs="Times New Roman"/>
          <w:szCs w:val="24"/>
          <w:lang w:val="pl-PL"/>
        </w:rPr>
        <w:t>, 23 września</w:t>
      </w:r>
      <w:r w:rsidR="00703159" w:rsidRPr="0051003F">
        <w:rPr>
          <w:rFonts w:cs="Times New Roman"/>
          <w:szCs w:val="24"/>
          <w:lang w:val="pl-PL"/>
        </w:rPr>
        <w:t xml:space="preserve"> 1998</w:t>
      </w:r>
      <w:r w:rsidR="003C6FFC">
        <w:rPr>
          <w:rFonts w:cs="Times New Roman"/>
          <w:szCs w:val="24"/>
          <w:lang w:val="pl-PL"/>
        </w:rPr>
        <w:t xml:space="preserve"> roku</w:t>
      </w:r>
      <w:r w:rsidR="00703159" w:rsidRPr="0051003F">
        <w:rPr>
          <w:rFonts w:cs="Times New Roman"/>
          <w:szCs w:val="24"/>
          <w:lang w:val="pl-PL"/>
        </w:rPr>
        <w:t xml:space="preserve">, § 35, </w:t>
      </w:r>
      <w:r w:rsidR="000515CD" w:rsidRPr="0051003F">
        <w:rPr>
          <w:rFonts w:cs="Times New Roman"/>
          <w:i/>
          <w:iCs/>
          <w:szCs w:val="24"/>
          <w:lang w:val="pl-PL"/>
        </w:rPr>
        <w:t>Przegląd raportów i decyzji</w:t>
      </w:r>
      <w:r w:rsidR="00290E70">
        <w:rPr>
          <w:rFonts w:cs="Times New Roman"/>
          <w:i/>
          <w:iCs/>
          <w:szCs w:val="24"/>
          <w:lang w:val="pl-PL"/>
        </w:rPr>
        <w:t xml:space="preserve"> </w:t>
      </w:r>
      <w:r w:rsidR="000515CD" w:rsidRPr="0051003F">
        <w:rPr>
          <w:rFonts w:cs="Times New Roman"/>
          <w:szCs w:val="24"/>
          <w:lang w:val="pl-PL"/>
        </w:rPr>
        <w:noBreakHyphen/>
        <w:t>VII; oraz</w:t>
      </w:r>
      <w:r w:rsidR="00703159" w:rsidRPr="0051003F">
        <w:rPr>
          <w:rFonts w:cs="Times New Roman"/>
          <w:szCs w:val="24"/>
          <w:lang w:val="pl-PL"/>
        </w:rPr>
        <w:t xml:space="preserve"> </w:t>
      </w:r>
      <w:proofErr w:type="spellStart"/>
      <w:r w:rsidR="000515CD" w:rsidRPr="0051003F">
        <w:rPr>
          <w:rFonts w:cs="Times New Roman"/>
          <w:i/>
          <w:iCs/>
          <w:szCs w:val="24"/>
          <w:lang w:val="pl-PL"/>
        </w:rPr>
        <w:t>Nilsson</w:t>
      </w:r>
      <w:proofErr w:type="spellEnd"/>
      <w:r w:rsidR="000515CD" w:rsidRPr="0051003F">
        <w:rPr>
          <w:rFonts w:cs="Times New Roman"/>
          <w:i/>
          <w:iCs/>
          <w:szCs w:val="24"/>
          <w:lang w:val="pl-PL"/>
        </w:rPr>
        <w:t xml:space="preserve"> przeciwko</w:t>
      </w:r>
      <w:r w:rsidR="00703159" w:rsidRPr="0051003F">
        <w:rPr>
          <w:rFonts w:cs="Times New Roman"/>
          <w:i/>
          <w:iCs/>
          <w:szCs w:val="24"/>
          <w:lang w:val="pl-PL"/>
        </w:rPr>
        <w:t xml:space="preserve"> S</w:t>
      </w:r>
      <w:r w:rsidR="000515CD" w:rsidRPr="0051003F">
        <w:rPr>
          <w:rFonts w:cs="Times New Roman"/>
          <w:i/>
          <w:iCs/>
          <w:szCs w:val="24"/>
          <w:lang w:val="pl-PL"/>
        </w:rPr>
        <w:t>zwecji</w:t>
      </w:r>
      <w:r w:rsidR="000515CD" w:rsidRPr="0051003F">
        <w:rPr>
          <w:rFonts w:cs="Times New Roman"/>
          <w:szCs w:val="24"/>
          <w:lang w:val="pl-PL"/>
        </w:rPr>
        <w:t xml:space="preserve"> (</w:t>
      </w:r>
      <w:proofErr w:type="spellStart"/>
      <w:r w:rsidR="000515CD" w:rsidRPr="0051003F">
        <w:rPr>
          <w:rFonts w:cs="Times New Roman"/>
          <w:szCs w:val="24"/>
          <w:lang w:val="pl-PL"/>
        </w:rPr>
        <w:t>dec</w:t>
      </w:r>
      <w:proofErr w:type="spellEnd"/>
      <w:r w:rsidR="000515CD" w:rsidRPr="0051003F">
        <w:rPr>
          <w:rFonts w:cs="Times New Roman"/>
          <w:szCs w:val="24"/>
          <w:lang w:val="pl-PL"/>
        </w:rPr>
        <w:t>.), nr</w:t>
      </w:r>
      <w:r w:rsidR="00923ABC" w:rsidRPr="0051003F">
        <w:rPr>
          <w:rFonts w:cs="Times New Roman"/>
          <w:szCs w:val="24"/>
          <w:lang w:val="pl-PL"/>
        </w:rPr>
        <w:t xml:space="preserve"> </w:t>
      </w:r>
      <w:r w:rsidR="00703159" w:rsidRPr="0051003F">
        <w:rPr>
          <w:rFonts w:cs="Times New Roman"/>
          <w:szCs w:val="24"/>
          <w:lang w:val="pl-PL"/>
        </w:rPr>
        <w:t xml:space="preserve">73661/01, </w:t>
      </w:r>
      <w:proofErr w:type="spellStart"/>
      <w:r w:rsidR="00703159" w:rsidRPr="0051003F">
        <w:rPr>
          <w:rFonts w:cs="Times New Roman"/>
          <w:szCs w:val="24"/>
          <w:lang w:val="pl-PL"/>
        </w:rPr>
        <w:t>E</w:t>
      </w:r>
      <w:r w:rsidR="000515CD" w:rsidRPr="0051003F">
        <w:rPr>
          <w:rFonts w:cs="Times New Roman"/>
          <w:szCs w:val="24"/>
          <w:lang w:val="pl-PL"/>
        </w:rPr>
        <w:t>TPCz</w:t>
      </w:r>
      <w:proofErr w:type="spellEnd"/>
      <w:r w:rsidR="00703159" w:rsidRPr="0051003F">
        <w:rPr>
          <w:rFonts w:cs="Times New Roman"/>
          <w:szCs w:val="24"/>
          <w:lang w:val="pl-PL"/>
        </w:rPr>
        <w:t xml:space="preserve"> 2005</w:t>
      </w:r>
      <w:r w:rsidR="00703159" w:rsidRPr="0051003F">
        <w:rPr>
          <w:rFonts w:cs="Times New Roman"/>
          <w:szCs w:val="24"/>
          <w:lang w:val="pl-PL"/>
        </w:rPr>
        <w:noBreakHyphen/>
        <w:t xml:space="preserve">XIII) </w:t>
      </w:r>
      <w:r w:rsidR="00FE72D1" w:rsidRPr="0051003F">
        <w:rPr>
          <w:rFonts w:cs="Times New Roman"/>
          <w:szCs w:val="24"/>
          <w:lang w:val="pl-PL"/>
        </w:rPr>
        <w:t xml:space="preserve">z tym skutkiem, że szerszy zakres kryteriów, niż tylko kryteria </w:t>
      </w:r>
      <w:proofErr w:type="spellStart"/>
      <w:r w:rsidR="00703159" w:rsidRPr="0051003F">
        <w:rPr>
          <w:rFonts w:cs="Times New Roman"/>
          <w:i/>
          <w:szCs w:val="24"/>
          <w:lang w:val="pl-PL"/>
        </w:rPr>
        <w:t>Engel</w:t>
      </w:r>
      <w:r w:rsidR="00FE72D1" w:rsidRPr="0051003F">
        <w:rPr>
          <w:rFonts w:cs="Times New Roman"/>
          <w:i/>
          <w:szCs w:val="24"/>
          <w:lang w:val="pl-PL"/>
        </w:rPr>
        <w:t>a</w:t>
      </w:r>
      <w:proofErr w:type="spellEnd"/>
      <w:r w:rsidR="00703159" w:rsidRPr="0051003F">
        <w:rPr>
          <w:rFonts w:cs="Times New Roman"/>
          <w:szCs w:val="24"/>
          <w:lang w:val="pl-PL"/>
        </w:rPr>
        <w:t xml:space="preserve"> </w:t>
      </w:r>
      <w:r w:rsidR="00FE72D1" w:rsidRPr="0051003F">
        <w:rPr>
          <w:rFonts w:cs="Times New Roman"/>
          <w:szCs w:val="24"/>
          <w:lang w:val="pl-PL"/>
        </w:rPr>
        <w:t>mają zastosowanie do oceny zgodności z art. 4</w:t>
      </w:r>
      <w:r w:rsidR="00703159" w:rsidRPr="0051003F">
        <w:rPr>
          <w:rFonts w:cs="Times New Roman"/>
          <w:szCs w:val="24"/>
          <w:lang w:val="pl-PL"/>
        </w:rPr>
        <w:t xml:space="preserve"> </w:t>
      </w:r>
      <w:r w:rsidR="00FE72D1" w:rsidRPr="0051003F">
        <w:rPr>
          <w:rFonts w:cs="Times New Roman"/>
          <w:szCs w:val="24"/>
          <w:lang w:val="pl-PL"/>
        </w:rPr>
        <w:t xml:space="preserve">Protokołu </w:t>
      </w:r>
      <w:r w:rsidR="003C6FFC">
        <w:rPr>
          <w:rFonts w:cs="Times New Roman"/>
          <w:szCs w:val="24"/>
          <w:lang w:val="pl-PL"/>
        </w:rPr>
        <w:t>n</w:t>
      </w:r>
      <w:r w:rsidR="00FE72D1" w:rsidRPr="0051003F">
        <w:rPr>
          <w:rFonts w:cs="Times New Roman"/>
          <w:szCs w:val="24"/>
          <w:lang w:val="pl-PL"/>
        </w:rPr>
        <w:t>r 7</w:t>
      </w:r>
      <w:r w:rsidR="00703159" w:rsidRPr="0051003F">
        <w:rPr>
          <w:rFonts w:cs="Times New Roman"/>
          <w:szCs w:val="24"/>
          <w:lang w:val="pl-PL"/>
        </w:rPr>
        <w:t xml:space="preserve">. </w:t>
      </w:r>
      <w:r w:rsidR="00FE72D1" w:rsidRPr="0051003F">
        <w:rPr>
          <w:rFonts w:cs="Times New Roman"/>
          <w:szCs w:val="24"/>
          <w:lang w:val="pl-PL"/>
        </w:rPr>
        <w:t>Znalazło to potwierdzenie w sprawie</w:t>
      </w:r>
      <w:r w:rsidR="00703159" w:rsidRPr="0051003F">
        <w:rPr>
          <w:rFonts w:cs="Times New Roman"/>
          <w:szCs w:val="24"/>
          <w:lang w:val="pl-PL"/>
        </w:rPr>
        <w:t xml:space="preserve"> </w:t>
      </w:r>
      <w:proofErr w:type="spellStart"/>
      <w:r w:rsidR="00703159" w:rsidRPr="0051003F">
        <w:rPr>
          <w:rFonts w:cs="Times New Roman"/>
          <w:i/>
          <w:iCs/>
          <w:szCs w:val="24"/>
          <w:lang w:val="pl-PL"/>
        </w:rPr>
        <w:t>Sergey</w:t>
      </w:r>
      <w:proofErr w:type="spellEnd"/>
      <w:r w:rsidR="00703159" w:rsidRPr="0051003F">
        <w:rPr>
          <w:rFonts w:cs="Times New Roman"/>
          <w:i/>
          <w:iCs/>
          <w:szCs w:val="24"/>
          <w:lang w:val="pl-PL"/>
        </w:rPr>
        <w:t xml:space="preserve"> </w:t>
      </w:r>
      <w:proofErr w:type="spellStart"/>
      <w:r w:rsidR="00703159" w:rsidRPr="0051003F">
        <w:rPr>
          <w:rFonts w:cs="Times New Roman"/>
          <w:i/>
          <w:iCs/>
          <w:szCs w:val="24"/>
          <w:lang w:val="pl-PL"/>
        </w:rPr>
        <w:t>Zolotukhin</w:t>
      </w:r>
      <w:proofErr w:type="spellEnd"/>
      <w:r w:rsidR="00703159" w:rsidRPr="0051003F">
        <w:rPr>
          <w:rFonts w:cs="Times New Roman"/>
          <w:szCs w:val="24"/>
          <w:lang w:val="pl-PL"/>
        </w:rPr>
        <w:t xml:space="preserve"> (</w:t>
      </w:r>
      <w:r w:rsidR="00FE72D1" w:rsidRPr="0051003F">
        <w:rPr>
          <w:rFonts w:cs="Times New Roman"/>
          <w:szCs w:val="24"/>
          <w:lang w:val="pl-PL"/>
        </w:rPr>
        <w:t>cytowany powyżej</w:t>
      </w:r>
      <w:r w:rsidR="00703159" w:rsidRPr="0051003F">
        <w:rPr>
          <w:rFonts w:cs="Times New Roman"/>
          <w:szCs w:val="24"/>
          <w:lang w:val="pl-PL"/>
        </w:rPr>
        <w:t>, §§</w:t>
      </w:r>
      <w:r w:rsidR="00923ABC" w:rsidRPr="0051003F">
        <w:rPr>
          <w:rFonts w:cs="Times New Roman"/>
          <w:szCs w:val="24"/>
          <w:lang w:val="pl-PL"/>
        </w:rPr>
        <w:t xml:space="preserve"> </w:t>
      </w:r>
      <w:r w:rsidR="00703159" w:rsidRPr="0051003F">
        <w:rPr>
          <w:rFonts w:cs="Times New Roman"/>
          <w:szCs w:val="24"/>
          <w:lang w:val="pl-PL"/>
        </w:rPr>
        <w:t xml:space="preserve">52-57) – </w:t>
      </w:r>
      <w:r w:rsidR="00FE72D1" w:rsidRPr="0051003F">
        <w:rPr>
          <w:rFonts w:cs="Times New Roman"/>
          <w:szCs w:val="24"/>
          <w:lang w:val="pl-PL"/>
        </w:rPr>
        <w:t xml:space="preserve">następnie </w:t>
      </w:r>
      <w:r w:rsidR="00FE72D1" w:rsidRPr="0051003F">
        <w:rPr>
          <w:rFonts w:cs="Times New Roman"/>
          <w:szCs w:val="24"/>
          <w:lang w:val="pl-PL"/>
        </w:rPr>
        <w:lastRenderedPageBreak/>
        <w:t>powtórzone w</w:t>
      </w:r>
      <w:r w:rsidR="00703159" w:rsidRPr="0051003F">
        <w:rPr>
          <w:rFonts w:cs="Times New Roman"/>
          <w:szCs w:val="24"/>
          <w:lang w:val="pl-PL"/>
        </w:rPr>
        <w:t xml:space="preserve"> </w:t>
      </w:r>
      <w:proofErr w:type="spellStart"/>
      <w:r w:rsidR="00FE72D1" w:rsidRPr="0051003F">
        <w:rPr>
          <w:rFonts w:cs="Times New Roman"/>
          <w:i/>
          <w:iCs/>
          <w:szCs w:val="24"/>
          <w:lang w:val="pl-PL"/>
        </w:rPr>
        <w:t>Ruotsalainen</w:t>
      </w:r>
      <w:proofErr w:type="spellEnd"/>
      <w:r w:rsidR="00FE72D1" w:rsidRPr="0051003F">
        <w:rPr>
          <w:rFonts w:cs="Times New Roman"/>
          <w:i/>
          <w:iCs/>
          <w:szCs w:val="24"/>
          <w:lang w:val="pl-PL"/>
        </w:rPr>
        <w:t xml:space="preserve"> przeciwko</w:t>
      </w:r>
      <w:r w:rsidR="00703159" w:rsidRPr="0051003F">
        <w:rPr>
          <w:rFonts w:cs="Times New Roman"/>
          <w:i/>
          <w:iCs/>
          <w:szCs w:val="24"/>
          <w:lang w:val="pl-PL"/>
        </w:rPr>
        <w:t>. Finlan</w:t>
      </w:r>
      <w:r w:rsidR="00FE72D1" w:rsidRPr="0051003F">
        <w:rPr>
          <w:rFonts w:cs="Times New Roman"/>
          <w:i/>
          <w:iCs/>
          <w:szCs w:val="24"/>
          <w:lang w:val="pl-PL"/>
        </w:rPr>
        <w:t>dii</w:t>
      </w:r>
      <w:r w:rsidR="00FE72D1" w:rsidRPr="0051003F">
        <w:rPr>
          <w:rFonts w:cs="Times New Roman"/>
          <w:szCs w:val="24"/>
          <w:lang w:val="pl-PL"/>
        </w:rPr>
        <w:t xml:space="preserve"> (nr</w:t>
      </w:r>
      <w:r w:rsidR="00703159" w:rsidRPr="0051003F">
        <w:rPr>
          <w:rFonts w:cs="Times New Roman"/>
          <w:szCs w:val="24"/>
          <w:lang w:val="pl-PL"/>
        </w:rPr>
        <w:t xml:space="preserve"> 13079/03, §§</w:t>
      </w:r>
      <w:r w:rsidR="00003542" w:rsidRPr="0051003F">
        <w:rPr>
          <w:rFonts w:cs="Times New Roman"/>
          <w:szCs w:val="24"/>
          <w:lang w:val="pl-PL"/>
        </w:rPr>
        <w:t> </w:t>
      </w:r>
      <w:r w:rsidR="00703159" w:rsidRPr="0051003F">
        <w:rPr>
          <w:rFonts w:cs="Times New Roman"/>
          <w:szCs w:val="24"/>
          <w:lang w:val="pl-PL"/>
        </w:rPr>
        <w:t>41</w:t>
      </w:r>
      <w:r w:rsidR="00003542" w:rsidRPr="0051003F">
        <w:rPr>
          <w:rFonts w:cs="Times New Roman"/>
          <w:szCs w:val="24"/>
          <w:lang w:val="pl-PL"/>
        </w:rPr>
        <w:noBreakHyphen/>
      </w:r>
      <w:r w:rsidR="00FE72D1" w:rsidRPr="0051003F">
        <w:rPr>
          <w:rFonts w:cs="Times New Roman"/>
          <w:szCs w:val="24"/>
          <w:lang w:val="pl-PL"/>
        </w:rPr>
        <w:t>47, 16 czerwca</w:t>
      </w:r>
      <w:r w:rsidR="00703159" w:rsidRPr="0051003F">
        <w:rPr>
          <w:rFonts w:cs="Times New Roman"/>
          <w:szCs w:val="24"/>
          <w:lang w:val="pl-PL"/>
        </w:rPr>
        <w:t xml:space="preserve"> 2009</w:t>
      </w:r>
      <w:r w:rsidR="003C6FFC">
        <w:rPr>
          <w:rFonts w:cs="Times New Roman"/>
          <w:szCs w:val="24"/>
          <w:lang w:val="pl-PL"/>
        </w:rPr>
        <w:t xml:space="preserve"> roku</w:t>
      </w:r>
      <w:r w:rsidR="00703159" w:rsidRPr="0051003F">
        <w:rPr>
          <w:rFonts w:cs="Times New Roman"/>
          <w:szCs w:val="24"/>
          <w:lang w:val="pl-PL"/>
        </w:rPr>
        <w:t xml:space="preserve">) – </w:t>
      </w:r>
      <w:r w:rsidR="00FE72D1" w:rsidRPr="0051003F">
        <w:rPr>
          <w:rFonts w:cs="Times New Roman"/>
          <w:szCs w:val="24"/>
          <w:lang w:val="pl-PL"/>
        </w:rPr>
        <w:t xml:space="preserve">że trzy kryteria </w:t>
      </w:r>
      <w:proofErr w:type="spellStart"/>
      <w:r w:rsidR="00703159" w:rsidRPr="0051003F">
        <w:rPr>
          <w:rFonts w:cs="Times New Roman"/>
          <w:i/>
          <w:szCs w:val="24"/>
          <w:lang w:val="pl-PL"/>
        </w:rPr>
        <w:t>Engel</w:t>
      </w:r>
      <w:proofErr w:type="spellEnd"/>
      <w:r w:rsidR="00703159" w:rsidRPr="0051003F">
        <w:rPr>
          <w:rFonts w:cs="Times New Roman"/>
          <w:szCs w:val="24"/>
          <w:lang w:val="pl-PL"/>
        </w:rPr>
        <w:t xml:space="preserve"> </w:t>
      </w:r>
      <w:r w:rsidR="00FE72D1" w:rsidRPr="0051003F">
        <w:rPr>
          <w:rFonts w:cs="Times New Roman"/>
          <w:szCs w:val="24"/>
          <w:lang w:val="pl-PL"/>
        </w:rPr>
        <w:t xml:space="preserve">do ustalenia czy </w:t>
      </w:r>
      <w:r w:rsidR="00480236" w:rsidRPr="0051003F">
        <w:rPr>
          <w:rFonts w:cs="Times New Roman"/>
          <w:szCs w:val="24"/>
          <w:lang w:val="pl-PL"/>
        </w:rPr>
        <w:t xml:space="preserve">istnieją “zarzutów popełnienia przestępstwa”, na potrzeby art. 6, są jednakowo stosowane do pojęcia kary z art. 4 </w:t>
      </w:r>
      <w:r w:rsidR="00703159" w:rsidRPr="0051003F">
        <w:rPr>
          <w:rFonts w:cs="Times New Roman"/>
          <w:szCs w:val="24"/>
          <w:lang w:val="pl-PL"/>
        </w:rPr>
        <w:t>“</w:t>
      </w:r>
      <w:r w:rsidR="00480236" w:rsidRPr="0051003F">
        <w:rPr>
          <w:rFonts w:cs="Times New Roman"/>
          <w:szCs w:val="24"/>
          <w:lang w:val="pl-PL"/>
        </w:rPr>
        <w:t xml:space="preserve">Protokołu </w:t>
      </w:r>
      <w:r w:rsidR="003C3981">
        <w:rPr>
          <w:rFonts w:cs="Times New Roman"/>
          <w:szCs w:val="24"/>
          <w:lang w:val="pl-PL"/>
        </w:rPr>
        <w:t>n</w:t>
      </w:r>
      <w:r w:rsidR="00480236" w:rsidRPr="0051003F">
        <w:rPr>
          <w:rFonts w:cs="Times New Roman"/>
          <w:szCs w:val="24"/>
          <w:lang w:val="pl-PL"/>
        </w:rPr>
        <w:t>r 7</w:t>
      </w:r>
      <w:r w:rsidR="00703159" w:rsidRPr="0051003F">
        <w:rPr>
          <w:rFonts w:cs="Times New Roman"/>
          <w:szCs w:val="24"/>
          <w:lang w:val="pl-PL"/>
        </w:rPr>
        <w:t>.</w:t>
      </w:r>
    </w:p>
    <w:p w:rsidR="00703159" w:rsidRPr="0051003F" w:rsidRDefault="003745E5" w:rsidP="00A7252F">
      <w:pPr>
        <w:pStyle w:val="ECHRPara"/>
        <w:rPr>
          <w:rFonts w:cs="Times New Roman"/>
          <w:lang w:val="pl-PL"/>
        </w:rPr>
      </w:pPr>
      <w:r w:rsidRPr="0051003F">
        <w:rPr>
          <w:rFonts w:cs="Times New Roman"/>
          <w:lang w:val="pl-PL"/>
        </w:rPr>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25</w:t>
      </w:r>
      <w:r w:rsidRPr="0051003F">
        <w:rPr>
          <w:rFonts w:cs="Times New Roman"/>
          <w:lang w:val="pl-PL"/>
        </w:rPr>
        <w:fldChar w:fldCharType="end"/>
      </w:r>
      <w:r w:rsidR="00703159" w:rsidRPr="0051003F">
        <w:rPr>
          <w:rFonts w:cs="Times New Roman"/>
          <w:lang w:val="pl-PL"/>
        </w:rPr>
        <w:t>.  </w:t>
      </w:r>
      <w:r w:rsidR="00480236" w:rsidRPr="0051003F">
        <w:rPr>
          <w:rFonts w:cs="Times New Roman"/>
          <w:lang w:val="pl-PL"/>
        </w:rPr>
        <w:t xml:space="preserve">W tym kontekście, Sąd Najwyższy nie znalazł podstaw do </w:t>
      </w:r>
      <w:r w:rsidR="00327F80" w:rsidRPr="0051003F">
        <w:rPr>
          <w:rFonts w:cs="Times New Roman"/>
          <w:lang w:val="pl-PL"/>
        </w:rPr>
        <w:t>odstąpienia</w:t>
      </w:r>
      <w:r w:rsidR="00480236" w:rsidRPr="0051003F">
        <w:rPr>
          <w:rFonts w:cs="Times New Roman"/>
          <w:lang w:val="pl-PL"/>
        </w:rPr>
        <w:t xml:space="preserve"> od ww. </w:t>
      </w:r>
      <w:r w:rsidR="003C3981">
        <w:rPr>
          <w:rFonts w:cs="Times New Roman"/>
          <w:lang w:val="pl-PL"/>
        </w:rPr>
        <w:t>o</w:t>
      </w:r>
      <w:r w:rsidR="00480236" w:rsidRPr="0051003F">
        <w:rPr>
          <w:rFonts w:cs="Times New Roman"/>
          <w:lang w:val="pl-PL"/>
        </w:rPr>
        <w:t>rzeczeń z 2004 r</w:t>
      </w:r>
      <w:r w:rsidR="003C3981">
        <w:rPr>
          <w:rFonts w:cs="Times New Roman"/>
          <w:lang w:val="pl-PL"/>
        </w:rPr>
        <w:t>oku</w:t>
      </w:r>
      <w:r w:rsidR="00480236" w:rsidRPr="0051003F">
        <w:rPr>
          <w:rFonts w:cs="Times New Roman"/>
          <w:lang w:val="pl-PL"/>
        </w:rPr>
        <w:t xml:space="preserve"> i 2006 r</w:t>
      </w:r>
      <w:r w:rsidR="003C3981">
        <w:rPr>
          <w:rFonts w:cs="Times New Roman"/>
          <w:lang w:val="pl-PL"/>
        </w:rPr>
        <w:t>oku</w:t>
      </w:r>
      <w:r w:rsidR="00480236" w:rsidRPr="0051003F">
        <w:rPr>
          <w:rFonts w:cs="Times New Roman"/>
          <w:lang w:val="pl-PL"/>
        </w:rPr>
        <w:t>, uznając, że kary podatkowe na normalnym poziomie należy uznać za „karę, w rozumieniu prawa karnego”</w:t>
      </w:r>
      <w:r w:rsidR="00703159" w:rsidRPr="0051003F">
        <w:rPr>
          <w:rFonts w:cs="Times New Roman"/>
          <w:lang w:val="pl-PL"/>
        </w:rPr>
        <w:t xml:space="preserve"> (</w:t>
      </w:r>
      <w:proofErr w:type="spellStart"/>
      <w:r w:rsidR="00703159" w:rsidRPr="0051003F">
        <w:rPr>
          <w:rFonts w:cs="Times New Roman"/>
          <w:i/>
          <w:iCs/>
          <w:lang w:val="pl-PL"/>
        </w:rPr>
        <w:t>straff</w:t>
      </w:r>
      <w:proofErr w:type="spellEnd"/>
      <w:r w:rsidR="00703159" w:rsidRPr="0051003F">
        <w:rPr>
          <w:rFonts w:cs="Times New Roman"/>
          <w:lang w:val="pl-PL"/>
        </w:rPr>
        <w:t xml:space="preserve">) </w:t>
      </w:r>
      <w:r w:rsidR="00480236" w:rsidRPr="0051003F">
        <w:rPr>
          <w:rFonts w:cs="Times New Roman"/>
          <w:lang w:val="pl-PL"/>
        </w:rPr>
        <w:t>na potrzeby</w:t>
      </w:r>
      <w:r w:rsidR="00703159" w:rsidRPr="0051003F">
        <w:rPr>
          <w:rFonts w:cs="Times New Roman"/>
          <w:lang w:val="pl-PL"/>
        </w:rPr>
        <w:t xml:space="preserve"> </w:t>
      </w:r>
      <w:r w:rsidR="00480236" w:rsidRPr="0051003F">
        <w:rPr>
          <w:rFonts w:cs="Times New Roman"/>
          <w:lang w:val="pl-PL"/>
        </w:rPr>
        <w:t>art. 4 Protokołu </w:t>
      </w:r>
      <w:r w:rsidR="003C3981">
        <w:rPr>
          <w:rFonts w:cs="Times New Roman"/>
          <w:lang w:val="pl-PL"/>
        </w:rPr>
        <w:t>n</w:t>
      </w:r>
      <w:r w:rsidR="00480236" w:rsidRPr="0051003F">
        <w:rPr>
          <w:rFonts w:cs="Times New Roman"/>
          <w:lang w:val="pl-PL"/>
        </w:rPr>
        <w:t>r</w:t>
      </w:r>
      <w:r w:rsidR="00703159" w:rsidRPr="0051003F">
        <w:rPr>
          <w:rFonts w:cs="Times New Roman"/>
          <w:lang w:val="pl-PL"/>
        </w:rPr>
        <w:t> 7.</w:t>
      </w:r>
    </w:p>
    <w:p w:rsidR="00703159" w:rsidRPr="0051003F" w:rsidRDefault="003745E5" w:rsidP="00480236">
      <w:pPr>
        <w:pStyle w:val="ECHRPara"/>
        <w:rPr>
          <w:rFonts w:cs="Times New Roman"/>
          <w:lang w:val="pl-PL"/>
        </w:rPr>
      </w:pPr>
      <w:r w:rsidRPr="0051003F">
        <w:rPr>
          <w:rFonts w:cs="Times New Roman"/>
          <w:lang w:val="pl-PL"/>
        </w:rPr>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26</w:t>
      </w:r>
      <w:r w:rsidRPr="0051003F">
        <w:rPr>
          <w:rFonts w:cs="Times New Roman"/>
          <w:lang w:val="pl-PL"/>
        </w:rPr>
        <w:fldChar w:fldCharType="end"/>
      </w:r>
      <w:r w:rsidR="00703159" w:rsidRPr="0051003F">
        <w:rPr>
          <w:rFonts w:cs="Times New Roman"/>
          <w:lang w:val="pl-PL"/>
        </w:rPr>
        <w:t>.  </w:t>
      </w:r>
      <w:r w:rsidR="00480236" w:rsidRPr="0051003F">
        <w:rPr>
          <w:rFonts w:cs="Times New Roman"/>
          <w:lang w:val="pl-PL"/>
        </w:rPr>
        <w:t>Zauważył również, że warunkiem ochrony na podstawie wyżej wymienionego przepisu jest to, że decyzja, która uniemożliwiła dalsze ściganie - w tym przypadku decyzja z dnia 24 listopada 2008 r</w:t>
      </w:r>
      <w:r w:rsidR="003C3981">
        <w:rPr>
          <w:rFonts w:cs="Times New Roman"/>
          <w:lang w:val="pl-PL"/>
        </w:rPr>
        <w:t>oku</w:t>
      </w:r>
      <w:r w:rsidR="00480236" w:rsidRPr="0051003F">
        <w:rPr>
          <w:rFonts w:cs="Times New Roman"/>
          <w:lang w:val="pl-PL"/>
        </w:rPr>
        <w:t xml:space="preserve"> o nałożeniu zwykłych kar podatkowych - musi być ostateczna. Decyzja ta nie została zaskarżona do wyższego organu administracyjnego w terminie trzech tygodni, który upłynął w dniu 15 grudnia 2008 r</w:t>
      </w:r>
      <w:r w:rsidR="003C3981">
        <w:rPr>
          <w:rFonts w:cs="Times New Roman"/>
          <w:lang w:val="pl-PL"/>
        </w:rPr>
        <w:t>oku</w:t>
      </w:r>
      <w:r w:rsidR="00480236" w:rsidRPr="0051003F">
        <w:rPr>
          <w:rFonts w:cs="Times New Roman"/>
          <w:lang w:val="pl-PL"/>
        </w:rPr>
        <w:t xml:space="preserve"> i w tym sensie była ostateczna.</w:t>
      </w:r>
      <w:r w:rsidR="00327F80" w:rsidRPr="0051003F">
        <w:rPr>
          <w:rFonts w:cs="Times New Roman"/>
          <w:lang w:val="pl-PL"/>
        </w:rPr>
        <w:t xml:space="preserve"> </w:t>
      </w:r>
      <w:r w:rsidR="00480236" w:rsidRPr="0051003F">
        <w:rPr>
          <w:rFonts w:cs="Times New Roman"/>
          <w:lang w:val="pl-PL"/>
        </w:rPr>
        <w:t xml:space="preserve">Jeżeli, z drugiej strony, sześciomiesięczny termin na wniesienie </w:t>
      </w:r>
      <w:r w:rsidR="00327F80" w:rsidRPr="0051003F">
        <w:rPr>
          <w:rFonts w:cs="Times New Roman"/>
          <w:lang w:val="pl-PL"/>
        </w:rPr>
        <w:t>sądowego</w:t>
      </w:r>
      <w:r w:rsidR="00480236" w:rsidRPr="0051003F">
        <w:rPr>
          <w:rFonts w:cs="Times New Roman"/>
          <w:lang w:val="pl-PL"/>
        </w:rPr>
        <w:t xml:space="preserve"> </w:t>
      </w:r>
      <w:r w:rsidR="00327F80" w:rsidRPr="0051003F">
        <w:rPr>
          <w:rFonts w:cs="Times New Roman"/>
          <w:lang w:val="pl-PL"/>
        </w:rPr>
        <w:t>odwołania</w:t>
      </w:r>
      <w:r w:rsidR="00480236" w:rsidRPr="0051003F">
        <w:rPr>
          <w:rFonts w:cs="Times New Roman"/>
          <w:lang w:val="pl-PL"/>
        </w:rPr>
        <w:t xml:space="preserve">, zgodnie z artykułem </w:t>
      </w:r>
      <w:r w:rsidR="00703159" w:rsidRPr="0051003F">
        <w:rPr>
          <w:rFonts w:cs="Times New Roman"/>
          <w:lang w:val="pl-PL"/>
        </w:rPr>
        <w:t xml:space="preserve">11-1(4) </w:t>
      </w:r>
      <w:r w:rsidR="00480236" w:rsidRPr="0051003F">
        <w:rPr>
          <w:rFonts w:cs="Times New Roman"/>
          <w:lang w:val="pl-PL"/>
        </w:rPr>
        <w:t xml:space="preserve">Ustawy o </w:t>
      </w:r>
      <w:r w:rsidR="00537091" w:rsidRPr="0051003F">
        <w:rPr>
          <w:rFonts w:cs="Times New Roman"/>
          <w:lang w:val="pl-PL"/>
        </w:rPr>
        <w:t>rozliczeniach podatkowych</w:t>
      </w:r>
      <w:r w:rsidR="001B2BB5" w:rsidRPr="0051003F">
        <w:rPr>
          <w:rFonts w:cs="Times New Roman"/>
          <w:lang w:val="pl-PL"/>
        </w:rPr>
        <w:t xml:space="preserve"> był terminem materialnym, decyzja ta nie stałaby się jeszcze ostateczna</w:t>
      </w:r>
      <w:r w:rsidR="00703159" w:rsidRPr="0051003F">
        <w:rPr>
          <w:rFonts w:cs="Times New Roman"/>
          <w:lang w:val="pl-PL"/>
        </w:rPr>
        <w:t>,</w:t>
      </w:r>
      <w:r w:rsidR="001B2BB5" w:rsidRPr="0051003F">
        <w:rPr>
          <w:rFonts w:cs="Times New Roman"/>
          <w:lang w:val="pl-PL"/>
        </w:rPr>
        <w:t xml:space="preserve"> w czasie</w:t>
      </w:r>
      <w:r w:rsidR="00327F80" w:rsidRPr="0051003F">
        <w:rPr>
          <w:rFonts w:cs="Times New Roman"/>
          <w:lang w:val="pl-PL"/>
        </w:rPr>
        <w:t>,</w:t>
      </w:r>
      <w:r w:rsidR="001B2BB5" w:rsidRPr="0051003F">
        <w:rPr>
          <w:rFonts w:cs="Times New Roman"/>
          <w:lang w:val="pl-PL"/>
        </w:rPr>
        <w:t xml:space="preserve"> kiedy Sąd Rejonowy wydał swój wyrok, tj. w dniu 2 marca 2009 r</w:t>
      </w:r>
      <w:r w:rsidR="00370E9E">
        <w:rPr>
          <w:rFonts w:cs="Times New Roman"/>
          <w:lang w:val="pl-PL"/>
        </w:rPr>
        <w:t>oku.</w:t>
      </w:r>
      <w:r w:rsidR="001B2BB5" w:rsidRPr="0051003F">
        <w:rPr>
          <w:rFonts w:cs="Times New Roman"/>
          <w:lang w:val="pl-PL"/>
        </w:rPr>
        <w:t xml:space="preserve"> </w:t>
      </w:r>
    </w:p>
    <w:p w:rsidR="00703159" w:rsidRPr="0051003F" w:rsidRDefault="003745E5" w:rsidP="005C7AB9">
      <w:pPr>
        <w:pStyle w:val="ECHRPara"/>
        <w:rPr>
          <w:rFonts w:cs="Times New Roman"/>
          <w:lang w:val="pl-PL"/>
        </w:rPr>
      </w:pPr>
      <w:r w:rsidRPr="0051003F">
        <w:rPr>
          <w:rFonts w:cs="Times New Roman"/>
          <w:lang w:val="pl-PL"/>
        </w:rPr>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27</w:t>
      </w:r>
      <w:r w:rsidRPr="0051003F">
        <w:rPr>
          <w:rFonts w:cs="Times New Roman"/>
          <w:lang w:val="pl-PL"/>
        </w:rPr>
        <w:fldChar w:fldCharType="end"/>
      </w:r>
      <w:r w:rsidR="00703159" w:rsidRPr="0051003F">
        <w:rPr>
          <w:rFonts w:cs="Times New Roman"/>
          <w:lang w:val="pl-PL"/>
        </w:rPr>
        <w:t>.  </w:t>
      </w:r>
      <w:r w:rsidR="00B13A4E">
        <w:rPr>
          <w:rFonts w:cs="Times New Roman"/>
          <w:lang w:val="pl-PL"/>
        </w:rPr>
        <w:t>Wyrażenia</w:t>
      </w:r>
      <w:r w:rsidR="00B13A4E" w:rsidRPr="0051003F">
        <w:rPr>
          <w:rFonts w:cs="Times New Roman"/>
          <w:lang w:val="pl-PL"/>
        </w:rPr>
        <w:t xml:space="preserve"> </w:t>
      </w:r>
      <w:r w:rsidR="004D62EC" w:rsidRPr="0051003F">
        <w:rPr>
          <w:rFonts w:cs="Times New Roman"/>
          <w:lang w:val="pl-PL"/>
        </w:rPr>
        <w:t>„</w:t>
      </w:r>
      <w:r w:rsidR="00B13A4E">
        <w:rPr>
          <w:rFonts w:cs="Times New Roman"/>
          <w:lang w:val="pl-PL"/>
        </w:rPr>
        <w:t>ostatecznie uniewinniony</w:t>
      </w:r>
      <w:r w:rsidR="00327F80" w:rsidRPr="0051003F">
        <w:rPr>
          <w:rFonts w:cs="Times New Roman"/>
          <w:lang w:val="pl-PL"/>
        </w:rPr>
        <w:t xml:space="preserve"> lub skazan</w:t>
      </w:r>
      <w:r w:rsidR="00B13A4E">
        <w:rPr>
          <w:rFonts w:cs="Times New Roman"/>
          <w:lang w:val="pl-PL"/>
        </w:rPr>
        <w:t>y</w:t>
      </w:r>
      <w:r w:rsidR="00327F80" w:rsidRPr="0051003F">
        <w:rPr>
          <w:rFonts w:cs="Times New Roman"/>
          <w:lang w:val="pl-PL"/>
        </w:rPr>
        <w:t xml:space="preserve">” z art. 4 Protokołu </w:t>
      </w:r>
      <w:r w:rsidR="00370E9E">
        <w:rPr>
          <w:rFonts w:cs="Times New Roman"/>
          <w:lang w:val="pl-PL"/>
        </w:rPr>
        <w:t>n</w:t>
      </w:r>
      <w:r w:rsidR="00327F80" w:rsidRPr="0051003F">
        <w:rPr>
          <w:rFonts w:cs="Times New Roman"/>
          <w:lang w:val="pl-PL"/>
        </w:rPr>
        <w:t>r 7</w:t>
      </w:r>
      <w:r w:rsidR="004D62EC" w:rsidRPr="0051003F">
        <w:rPr>
          <w:rFonts w:cs="Times New Roman"/>
          <w:lang w:val="pl-PL"/>
        </w:rPr>
        <w:t xml:space="preserve"> zostały sformułowane </w:t>
      </w:r>
      <w:r w:rsidR="00B13A4E">
        <w:rPr>
          <w:rFonts w:cs="Times New Roman"/>
          <w:lang w:val="pl-PL"/>
        </w:rPr>
        <w:t>z powodu</w:t>
      </w:r>
      <w:r w:rsidR="004D62EC" w:rsidRPr="0051003F">
        <w:rPr>
          <w:rFonts w:cs="Times New Roman"/>
          <w:lang w:val="pl-PL"/>
        </w:rPr>
        <w:t xml:space="preserve"> sytuacj</w:t>
      </w:r>
      <w:r w:rsidR="00B13A4E">
        <w:rPr>
          <w:rFonts w:cs="Times New Roman"/>
          <w:lang w:val="pl-PL"/>
        </w:rPr>
        <w:t>i</w:t>
      </w:r>
      <w:r w:rsidR="004D62EC" w:rsidRPr="0051003F">
        <w:rPr>
          <w:rFonts w:cs="Times New Roman"/>
          <w:lang w:val="pl-PL"/>
        </w:rPr>
        <w:t xml:space="preserve">, </w:t>
      </w:r>
      <w:r w:rsidR="00B13A4E">
        <w:rPr>
          <w:rFonts w:cs="Times New Roman"/>
          <w:lang w:val="pl-PL"/>
        </w:rPr>
        <w:t>w której</w:t>
      </w:r>
      <w:r w:rsidR="00B13A4E" w:rsidRPr="0051003F">
        <w:rPr>
          <w:rFonts w:cs="Times New Roman"/>
          <w:lang w:val="pl-PL"/>
        </w:rPr>
        <w:t xml:space="preserve"> </w:t>
      </w:r>
      <w:r w:rsidR="004D62EC" w:rsidRPr="0051003F">
        <w:rPr>
          <w:rFonts w:cs="Times New Roman"/>
          <w:lang w:val="pl-PL"/>
        </w:rPr>
        <w:t>decyzja od której został wniesiony sprzeciw stała się wyrokiem w postępowaniu karnym. Trybunał orzekł, że decyzja staje się ostateczna, kiedy ma przymiot</w:t>
      </w:r>
      <w:r w:rsidR="00703159" w:rsidRPr="0051003F">
        <w:rPr>
          <w:rFonts w:cs="Times New Roman"/>
          <w:lang w:val="pl-PL"/>
        </w:rPr>
        <w:t xml:space="preserve"> </w:t>
      </w:r>
      <w:r w:rsidR="00703159" w:rsidRPr="0051003F">
        <w:rPr>
          <w:rFonts w:cs="Times New Roman"/>
          <w:i/>
          <w:iCs/>
          <w:lang w:val="pl-PL"/>
        </w:rPr>
        <w:t xml:space="preserve">res </w:t>
      </w:r>
      <w:proofErr w:type="spellStart"/>
      <w:r w:rsidR="00703159" w:rsidRPr="0051003F">
        <w:rPr>
          <w:rFonts w:cs="Times New Roman"/>
          <w:i/>
          <w:iCs/>
          <w:lang w:val="pl-PL"/>
        </w:rPr>
        <w:t>judicata</w:t>
      </w:r>
      <w:proofErr w:type="spellEnd"/>
      <w:r w:rsidR="00703159" w:rsidRPr="0051003F">
        <w:rPr>
          <w:rFonts w:cs="Times New Roman"/>
          <w:lang w:val="pl-PL"/>
        </w:rPr>
        <w:t xml:space="preserve">, </w:t>
      </w:r>
      <w:r w:rsidR="004D62EC" w:rsidRPr="0051003F">
        <w:rPr>
          <w:rFonts w:cs="Times New Roman"/>
          <w:lang w:val="pl-PL"/>
        </w:rPr>
        <w:t>kiedy brak</w:t>
      </w:r>
      <w:r w:rsidR="0092753A">
        <w:rPr>
          <w:rFonts w:cs="Times New Roman"/>
          <w:lang w:val="pl-PL"/>
        </w:rPr>
        <w:t xml:space="preserve"> jest</w:t>
      </w:r>
      <w:r w:rsidR="004D62EC" w:rsidRPr="0051003F">
        <w:rPr>
          <w:rFonts w:cs="Times New Roman"/>
          <w:lang w:val="pl-PL"/>
        </w:rPr>
        <w:t xml:space="preserve"> już innych zwykłych środków odwoławczych. W tym kontekście, czas, w którym decyzja stała się</w:t>
      </w:r>
      <w:r w:rsidR="00703159" w:rsidRPr="0051003F">
        <w:rPr>
          <w:rFonts w:cs="Times New Roman"/>
          <w:lang w:val="pl-PL"/>
        </w:rPr>
        <w:t xml:space="preserve"> </w:t>
      </w:r>
      <w:r w:rsidR="00703159" w:rsidRPr="0051003F">
        <w:rPr>
          <w:rFonts w:cs="Times New Roman"/>
          <w:i/>
          <w:iCs/>
          <w:lang w:val="pl-PL"/>
        </w:rPr>
        <w:t xml:space="preserve">res </w:t>
      </w:r>
      <w:proofErr w:type="spellStart"/>
      <w:r w:rsidR="00703159" w:rsidRPr="0051003F">
        <w:rPr>
          <w:rFonts w:cs="Times New Roman"/>
          <w:i/>
          <w:iCs/>
          <w:lang w:val="pl-PL"/>
        </w:rPr>
        <w:t>judicata</w:t>
      </w:r>
      <w:proofErr w:type="spellEnd"/>
      <w:r w:rsidR="004D62EC" w:rsidRPr="0051003F">
        <w:rPr>
          <w:rFonts w:cs="Times New Roman"/>
          <w:i/>
          <w:iCs/>
          <w:lang w:val="pl-PL"/>
        </w:rPr>
        <w:t xml:space="preserve">, </w:t>
      </w:r>
      <w:r w:rsidR="004D62EC" w:rsidRPr="0051003F">
        <w:rPr>
          <w:rFonts w:cs="Times New Roman"/>
          <w:iCs/>
          <w:lang w:val="pl-PL"/>
        </w:rPr>
        <w:t xml:space="preserve">zgodnie z prawem krajowym </w:t>
      </w:r>
      <w:r w:rsidR="007A3A41" w:rsidRPr="0051003F">
        <w:rPr>
          <w:rFonts w:cs="Times New Roman"/>
          <w:iCs/>
          <w:lang w:val="pl-PL"/>
        </w:rPr>
        <w:t xml:space="preserve">byłby decydujący. </w:t>
      </w:r>
      <w:r w:rsidR="007A3A41" w:rsidRPr="0051003F">
        <w:rPr>
          <w:rFonts w:cs="Times New Roman"/>
          <w:lang w:val="pl-PL"/>
        </w:rPr>
        <w:t xml:space="preserve">Ani </w:t>
      </w:r>
      <w:r w:rsidR="00965A9A">
        <w:rPr>
          <w:rFonts w:cs="Times New Roman"/>
          <w:lang w:val="pl-PL"/>
        </w:rPr>
        <w:t>treść</w:t>
      </w:r>
      <w:r w:rsidR="00965A9A" w:rsidRPr="0051003F">
        <w:rPr>
          <w:rFonts w:cs="Times New Roman"/>
          <w:lang w:val="pl-PL"/>
        </w:rPr>
        <w:t xml:space="preserve"> </w:t>
      </w:r>
      <w:r w:rsidR="007A3A41" w:rsidRPr="0051003F">
        <w:rPr>
          <w:rFonts w:cs="Times New Roman"/>
          <w:lang w:val="pl-PL"/>
        </w:rPr>
        <w:t>tego przepisu, ani prace przygotowawcze</w:t>
      </w:r>
      <w:r w:rsidR="00965A9A">
        <w:rPr>
          <w:rFonts w:cs="Times New Roman"/>
          <w:lang w:val="pl-PL"/>
        </w:rPr>
        <w:t xml:space="preserve"> nad jego uchwaleniem</w:t>
      </w:r>
      <w:r w:rsidR="007A3A41" w:rsidRPr="0051003F">
        <w:rPr>
          <w:rFonts w:cs="Times New Roman"/>
          <w:lang w:val="pl-PL"/>
        </w:rPr>
        <w:t>, ani orzecznictwo nie daje żadnych wskazówek do</w:t>
      </w:r>
      <w:r w:rsidR="00965A9A">
        <w:rPr>
          <w:rFonts w:cs="Times New Roman"/>
          <w:lang w:val="pl-PL"/>
        </w:rPr>
        <w:t>tyczący</w:t>
      </w:r>
      <w:r w:rsidR="00042B23">
        <w:rPr>
          <w:rFonts w:cs="Times New Roman"/>
          <w:lang w:val="pl-PL"/>
        </w:rPr>
        <w:t>ch</w:t>
      </w:r>
      <w:r w:rsidR="007A3A41" w:rsidRPr="0051003F">
        <w:rPr>
          <w:rFonts w:cs="Times New Roman"/>
          <w:lang w:val="pl-PL"/>
        </w:rPr>
        <w:t xml:space="preserve"> sytuacji kiedy </w:t>
      </w:r>
      <w:r w:rsidR="00965A9A">
        <w:rPr>
          <w:rFonts w:cs="Times New Roman"/>
          <w:lang w:val="pl-PL"/>
        </w:rPr>
        <w:t>decyzja zakazująca</w:t>
      </w:r>
      <w:r w:rsidR="007A3A41" w:rsidRPr="0051003F">
        <w:rPr>
          <w:rFonts w:cs="Times New Roman"/>
          <w:lang w:val="pl-PL"/>
        </w:rPr>
        <w:t xml:space="preserve"> była decyzją administracyjną. Zostało to wskazane w </w:t>
      </w:r>
      <w:proofErr w:type="spellStart"/>
      <w:r w:rsidR="00703159" w:rsidRPr="0051003F">
        <w:rPr>
          <w:rFonts w:cs="Times New Roman"/>
          <w:i/>
          <w:iCs/>
          <w:lang w:val="pl-PL"/>
        </w:rPr>
        <w:t>Rt</w:t>
      </w:r>
      <w:proofErr w:type="spellEnd"/>
      <w:r w:rsidR="007A3A41" w:rsidRPr="0051003F">
        <w:rPr>
          <w:rFonts w:cs="Times New Roman"/>
          <w:lang w:val="pl-PL"/>
        </w:rPr>
        <w:t>. 2002 s.</w:t>
      </w:r>
      <w:r w:rsidR="00003542" w:rsidRPr="0051003F">
        <w:rPr>
          <w:rFonts w:cs="Times New Roman"/>
          <w:lang w:val="pl-PL"/>
        </w:rPr>
        <w:t> </w:t>
      </w:r>
      <w:r w:rsidR="00703159" w:rsidRPr="0051003F">
        <w:rPr>
          <w:rFonts w:cs="Times New Roman"/>
          <w:lang w:val="pl-PL"/>
        </w:rPr>
        <w:t xml:space="preserve">557, </w:t>
      </w:r>
      <w:r w:rsidR="007A3A41" w:rsidRPr="0051003F">
        <w:rPr>
          <w:rFonts w:cs="Times New Roman"/>
          <w:lang w:val="pl-PL"/>
        </w:rPr>
        <w:t xml:space="preserve">Sąd Najwyższy wyraził pogląd, że decyzja oceny podatkowej, włączając w to decyzję o karach podatkowych, powinna być uważana za ostateczną, </w:t>
      </w:r>
      <w:r w:rsidR="00A868E5">
        <w:rPr>
          <w:rFonts w:cs="Times New Roman"/>
          <w:lang w:val="pl-PL"/>
        </w:rPr>
        <w:t xml:space="preserve">wówczas gdy nie może być zakwestionowana </w:t>
      </w:r>
      <w:r w:rsidR="007A3A41" w:rsidRPr="0051003F">
        <w:rPr>
          <w:rFonts w:cs="Times New Roman"/>
          <w:lang w:val="pl-PL"/>
        </w:rPr>
        <w:t>przez podatnika (s.</w:t>
      </w:r>
      <w:r w:rsidR="00703159" w:rsidRPr="0051003F">
        <w:rPr>
          <w:rFonts w:cs="Times New Roman"/>
          <w:lang w:val="pl-PL"/>
        </w:rPr>
        <w:t xml:space="preserve"> 570), </w:t>
      </w:r>
      <w:r w:rsidR="007A3A41" w:rsidRPr="0051003F">
        <w:rPr>
          <w:rFonts w:cs="Times New Roman"/>
          <w:lang w:val="pl-PL"/>
        </w:rPr>
        <w:t xml:space="preserve">jednakże nie odniósł się, czy był to termin na odwołanie </w:t>
      </w:r>
      <w:r w:rsidR="00290E70" w:rsidRPr="0051003F">
        <w:rPr>
          <w:rFonts w:cs="Times New Roman"/>
          <w:lang w:val="pl-PL"/>
        </w:rPr>
        <w:t>administracyjne</w:t>
      </w:r>
      <w:r w:rsidR="007A3A41" w:rsidRPr="0051003F">
        <w:rPr>
          <w:rFonts w:cs="Times New Roman"/>
          <w:lang w:val="pl-PL"/>
        </w:rPr>
        <w:t>, czy</w:t>
      </w:r>
      <w:r w:rsidR="005C7AB9" w:rsidRPr="0051003F">
        <w:rPr>
          <w:rFonts w:cs="Times New Roman"/>
          <w:lang w:val="pl-PL"/>
        </w:rPr>
        <w:t xml:space="preserve"> raczej na złożenie apel</w:t>
      </w:r>
      <w:r w:rsidR="007A3A41" w:rsidRPr="0051003F">
        <w:rPr>
          <w:rFonts w:cs="Times New Roman"/>
          <w:lang w:val="pl-PL"/>
        </w:rPr>
        <w:t>acji do sądu</w:t>
      </w:r>
      <w:r w:rsidR="00703159" w:rsidRPr="0051003F">
        <w:rPr>
          <w:rFonts w:cs="Times New Roman"/>
          <w:lang w:val="pl-PL"/>
        </w:rPr>
        <w:t>,</w:t>
      </w:r>
      <w:r w:rsidR="005C7AB9" w:rsidRPr="0051003F">
        <w:rPr>
          <w:rFonts w:cs="Times New Roman"/>
          <w:lang w:val="pl-PL"/>
        </w:rPr>
        <w:t xml:space="preserve"> co stanowiło element decydujący. W niniejszej sprawie Sąd Najwyższy wyraził pogląd, że najlepszym rozwiązaniem byłoby przychylić się do tego, że trzytygodniowy termin do odwołania si</w:t>
      </w:r>
      <w:r w:rsidR="00A868E5">
        <w:rPr>
          <w:rFonts w:cs="Times New Roman"/>
          <w:lang w:val="pl-PL"/>
        </w:rPr>
        <w:t>ę</w:t>
      </w:r>
      <w:r w:rsidR="005C7AB9" w:rsidRPr="0051003F">
        <w:rPr>
          <w:rFonts w:cs="Times New Roman"/>
          <w:lang w:val="pl-PL"/>
        </w:rPr>
        <w:t xml:space="preserve"> na drodze postępowania administracyjnego był ostateczny w rozumieniu art. 4 Protokołu </w:t>
      </w:r>
      <w:r w:rsidR="00A868E5">
        <w:rPr>
          <w:rFonts w:cs="Times New Roman"/>
          <w:lang w:val="pl-PL"/>
        </w:rPr>
        <w:t>n</w:t>
      </w:r>
      <w:r w:rsidR="005C7AB9" w:rsidRPr="0051003F">
        <w:rPr>
          <w:rFonts w:cs="Times New Roman"/>
          <w:lang w:val="pl-PL"/>
        </w:rPr>
        <w:t xml:space="preserve">r 7. </w:t>
      </w:r>
      <w:r w:rsidR="006178EF" w:rsidRPr="006178EF">
        <w:rPr>
          <w:rFonts w:cs="Times New Roman"/>
          <w:lang w:val="pl-PL"/>
        </w:rPr>
        <w:t xml:space="preserve">W przeciwnym razie </w:t>
      </w:r>
      <w:r w:rsidR="006178EF">
        <w:rPr>
          <w:rFonts w:cs="Times New Roman"/>
          <w:lang w:val="pl-PL"/>
        </w:rPr>
        <w:t>wszystko byłoby jasne</w:t>
      </w:r>
      <w:r w:rsidR="006178EF" w:rsidRPr="006178EF">
        <w:rPr>
          <w:rFonts w:cs="Times New Roman"/>
          <w:lang w:val="pl-PL"/>
        </w:rPr>
        <w:t xml:space="preserve"> dopiero po upływie sześciu miesięcy w przypadkach, w których podatnik nie wszczynał postępowania przed sądami, </w:t>
      </w:r>
      <w:r w:rsidR="006178EF">
        <w:rPr>
          <w:rFonts w:cs="Times New Roman"/>
          <w:lang w:val="pl-PL"/>
        </w:rPr>
        <w:t>a jeśli</w:t>
      </w:r>
      <w:r w:rsidR="006178EF" w:rsidRPr="006178EF">
        <w:rPr>
          <w:rFonts w:cs="Times New Roman"/>
          <w:lang w:val="pl-PL"/>
        </w:rPr>
        <w:t xml:space="preserve"> to uczynił, dopiero po </w:t>
      </w:r>
      <w:r w:rsidR="006178EF">
        <w:rPr>
          <w:rFonts w:cs="Times New Roman"/>
          <w:lang w:val="pl-PL"/>
        </w:rPr>
        <w:t>wydaniu prawomocnego orzeczenia</w:t>
      </w:r>
      <w:r w:rsidR="006178EF" w:rsidRPr="006178EF">
        <w:rPr>
          <w:rFonts w:cs="Times New Roman"/>
          <w:lang w:val="pl-PL"/>
        </w:rPr>
        <w:t xml:space="preserve"> - okres, byłby różny i długotrwały</w:t>
      </w:r>
      <w:r w:rsidR="005C7AB9" w:rsidRPr="0051003F">
        <w:rPr>
          <w:rFonts w:cs="Times New Roman"/>
          <w:lang w:val="pl-PL"/>
        </w:rPr>
        <w:t xml:space="preserve">. </w:t>
      </w:r>
      <w:r w:rsidR="00703159" w:rsidRPr="0051003F">
        <w:rPr>
          <w:rFonts w:cs="Times New Roman"/>
          <w:lang w:val="pl-PL"/>
        </w:rPr>
        <w:t xml:space="preserve"> </w:t>
      </w:r>
      <w:r w:rsidR="005C7AB9" w:rsidRPr="0051003F">
        <w:rPr>
          <w:rFonts w:cs="Times New Roman"/>
          <w:lang w:val="pl-PL"/>
        </w:rPr>
        <w:t>Decyzję z dnia 24 listopada 2008 r</w:t>
      </w:r>
      <w:r w:rsidR="00742A92">
        <w:rPr>
          <w:rFonts w:cs="Times New Roman"/>
          <w:lang w:val="pl-PL"/>
        </w:rPr>
        <w:t>oku</w:t>
      </w:r>
      <w:r w:rsidR="005C7AB9" w:rsidRPr="0051003F">
        <w:rPr>
          <w:rFonts w:cs="Times New Roman"/>
          <w:lang w:val="pl-PL"/>
        </w:rPr>
        <w:t xml:space="preserve"> należało zatem uznać za ostateczną w rozumieniu art. 4 Protokołu </w:t>
      </w:r>
      <w:r w:rsidR="00742A92">
        <w:rPr>
          <w:rFonts w:cs="Times New Roman"/>
          <w:lang w:val="pl-PL"/>
        </w:rPr>
        <w:t>n</w:t>
      </w:r>
      <w:r w:rsidR="005C7AB9" w:rsidRPr="0051003F">
        <w:rPr>
          <w:rFonts w:cs="Times New Roman"/>
          <w:lang w:val="pl-PL"/>
        </w:rPr>
        <w:t>r 7.</w:t>
      </w:r>
    </w:p>
    <w:p w:rsidR="00703159" w:rsidRPr="0051003F" w:rsidRDefault="003745E5" w:rsidP="00B518AA">
      <w:pPr>
        <w:pStyle w:val="ECHRPara"/>
        <w:rPr>
          <w:rFonts w:cs="Times New Roman"/>
          <w:lang w:val="pl-PL"/>
        </w:rPr>
      </w:pPr>
      <w:r w:rsidRPr="0051003F">
        <w:rPr>
          <w:rFonts w:cs="Times New Roman"/>
          <w:lang w:val="pl-PL"/>
        </w:rPr>
        <w:lastRenderedPageBreak/>
        <w:fldChar w:fldCharType="begin"/>
      </w:r>
      <w:r w:rsidR="00703159" w:rsidRPr="0051003F">
        <w:rPr>
          <w:rFonts w:cs="Times New Roman"/>
          <w:lang w:val="pl-PL"/>
        </w:rPr>
        <w:instrText xml:space="preserve"> SEQ level0 \*arabic </w:instrText>
      </w:r>
      <w:r w:rsidRPr="0051003F">
        <w:rPr>
          <w:rFonts w:cs="Times New Roman"/>
          <w:lang w:val="pl-PL"/>
        </w:rPr>
        <w:fldChar w:fldCharType="separate"/>
      </w:r>
      <w:r w:rsidR="009F11DD" w:rsidRPr="0051003F">
        <w:rPr>
          <w:rFonts w:cs="Times New Roman"/>
          <w:noProof/>
          <w:lang w:val="pl-PL"/>
        </w:rPr>
        <w:t>28</w:t>
      </w:r>
      <w:r w:rsidRPr="0051003F">
        <w:rPr>
          <w:rFonts w:cs="Times New Roman"/>
          <w:lang w:val="pl-PL"/>
        </w:rPr>
        <w:fldChar w:fldCharType="end"/>
      </w:r>
      <w:r w:rsidR="00703159" w:rsidRPr="0051003F">
        <w:rPr>
          <w:rFonts w:cs="Times New Roman"/>
          <w:lang w:val="pl-PL"/>
        </w:rPr>
        <w:t>.  </w:t>
      </w:r>
      <w:r w:rsidR="005C7AB9" w:rsidRPr="0051003F">
        <w:rPr>
          <w:rFonts w:cs="Times New Roman"/>
          <w:lang w:val="pl-PL"/>
        </w:rPr>
        <w:t>Sąd Najwyższy zauważył, że pierwszy skarżący został oskarżony w dniu 14 grudnia 2007 r</w:t>
      </w:r>
      <w:r w:rsidR="00742A92">
        <w:rPr>
          <w:rFonts w:cs="Times New Roman"/>
          <w:lang w:val="pl-PL"/>
        </w:rPr>
        <w:t>oku</w:t>
      </w:r>
      <w:r w:rsidR="005C7AB9" w:rsidRPr="0051003F">
        <w:rPr>
          <w:rFonts w:cs="Times New Roman"/>
          <w:lang w:val="pl-PL"/>
        </w:rPr>
        <w:t xml:space="preserve"> i że ostrzeżenie o zmianie wymiaru jego podatku zostało przesłane w dniu 26 sierpnia 2008 r</w:t>
      </w:r>
      <w:r w:rsidR="00742A92">
        <w:rPr>
          <w:rFonts w:cs="Times New Roman"/>
          <w:lang w:val="pl-PL"/>
        </w:rPr>
        <w:t>oku</w:t>
      </w:r>
      <w:r w:rsidR="005C7AB9" w:rsidRPr="0051003F">
        <w:rPr>
          <w:rFonts w:cs="Times New Roman"/>
          <w:lang w:val="pl-PL"/>
        </w:rPr>
        <w:t xml:space="preserve">. </w:t>
      </w:r>
      <w:r w:rsidR="00B518AA" w:rsidRPr="0051003F">
        <w:rPr>
          <w:rFonts w:cs="Times New Roman"/>
          <w:lang w:val="pl-PL"/>
        </w:rPr>
        <w:t>Następnie postępowanie w sprawie kar podatkowych i w sprawie karnej toczyło się równolegle aż do momentu rozstrzygnięcia odpowiednio w drodze decyzji z dnia 24 listopada 2008 r</w:t>
      </w:r>
      <w:r w:rsidR="00742A92">
        <w:rPr>
          <w:rFonts w:cs="Times New Roman"/>
          <w:lang w:val="pl-PL"/>
        </w:rPr>
        <w:t>oku</w:t>
      </w:r>
      <w:r w:rsidR="00B518AA" w:rsidRPr="0051003F">
        <w:rPr>
          <w:rFonts w:cs="Times New Roman"/>
          <w:lang w:val="pl-PL"/>
        </w:rPr>
        <w:t xml:space="preserve"> i wyroku z dnia 2 marca 2009 r</w:t>
      </w:r>
      <w:r w:rsidR="00742A92">
        <w:rPr>
          <w:rFonts w:cs="Times New Roman"/>
          <w:lang w:val="pl-PL"/>
        </w:rPr>
        <w:t>oku</w:t>
      </w:r>
      <w:r w:rsidR="00B518AA" w:rsidRPr="0051003F">
        <w:rPr>
          <w:rFonts w:cs="Times New Roman"/>
          <w:lang w:val="pl-PL"/>
        </w:rPr>
        <w:t xml:space="preserve">. Podstawowym pytaniem w tej sprawie było, czy miały miejsce </w:t>
      </w:r>
      <w:r w:rsidR="003B686B" w:rsidRPr="0051003F">
        <w:rPr>
          <w:rFonts w:cs="Times New Roman"/>
          <w:lang w:val="pl-PL"/>
        </w:rPr>
        <w:t>następujące</w:t>
      </w:r>
      <w:r w:rsidR="00B518AA" w:rsidRPr="0051003F">
        <w:rPr>
          <w:rFonts w:cs="Times New Roman"/>
          <w:lang w:val="pl-PL"/>
        </w:rPr>
        <w:t xml:space="preserve"> po sobie postępowania, co byłoby sprzeczne z art. 4 Protokołu </w:t>
      </w:r>
      <w:r w:rsidR="00742A92">
        <w:rPr>
          <w:rFonts w:cs="Times New Roman"/>
          <w:lang w:val="pl-PL"/>
        </w:rPr>
        <w:t>n</w:t>
      </w:r>
      <w:r w:rsidR="00B518AA" w:rsidRPr="0051003F">
        <w:rPr>
          <w:rFonts w:cs="Times New Roman"/>
          <w:lang w:val="pl-PL"/>
        </w:rPr>
        <w:t xml:space="preserve">r 7, </w:t>
      </w:r>
      <w:r w:rsidR="00742A92">
        <w:rPr>
          <w:rFonts w:cs="Times New Roman"/>
          <w:lang w:val="pl-PL"/>
        </w:rPr>
        <w:t>czy też</w:t>
      </w:r>
      <w:r w:rsidR="00742A92" w:rsidRPr="0051003F">
        <w:rPr>
          <w:rFonts w:cs="Times New Roman"/>
          <w:lang w:val="pl-PL"/>
        </w:rPr>
        <w:t xml:space="preserve"> </w:t>
      </w:r>
      <w:r w:rsidR="00B518AA" w:rsidRPr="0051003F">
        <w:rPr>
          <w:rFonts w:cs="Times New Roman"/>
          <w:lang w:val="pl-PL"/>
        </w:rPr>
        <w:t xml:space="preserve">równoległe traktowanie, które było do pewnego stopnia dopuszczalne. W związku z tym Sąd Najwyższy </w:t>
      </w:r>
      <w:r w:rsidR="00417BAC">
        <w:rPr>
          <w:rFonts w:cs="Times New Roman"/>
          <w:lang w:val="pl-PL"/>
        </w:rPr>
        <w:t>rozpatrywał</w:t>
      </w:r>
      <w:r w:rsidR="00417BAC" w:rsidRPr="0051003F">
        <w:rPr>
          <w:rFonts w:cs="Times New Roman"/>
          <w:lang w:val="pl-PL"/>
        </w:rPr>
        <w:t xml:space="preserve"> </w:t>
      </w:r>
      <w:r w:rsidR="00B518AA" w:rsidRPr="0051003F">
        <w:rPr>
          <w:rFonts w:cs="Times New Roman"/>
          <w:lang w:val="pl-PL"/>
        </w:rPr>
        <w:t>dwa orzeczenia</w:t>
      </w:r>
      <w:r w:rsidR="00703159" w:rsidRPr="0051003F">
        <w:rPr>
          <w:rFonts w:cs="Times New Roman"/>
          <w:lang w:val="pl-PL"/>
        </w:rPr>
        <w:t>,</w:t>
      </w:r>
      <w:r w:rsidR="00B518AA" w:rsidRPr="0051003F">
        <w:rPr>
          <w:rFonts w:cs="Times New Roman"/>
          <w:lang w:val="pl-PL"/>
        </w:rPr>
        <w:t xml:space="preserve"> </w:t>
      </w:r>
      <w:r w:rsidR="00417BAC">
        <w:rPr>
          <w:rFonts w:cs="Times New Roman"/>
          <w:lang w:val="pl-PL"/>
        </w:rPr>
        <w:t>dotyczące niedopuszczalności</w:t>
      </w:r>
      <w:r w:rsidR="00B518AA" w:rsidRPr="0051003F">
        <w:rPr>
          <w:rFonts w:cs="Times New Roman"/>
          <w:lang w:val="pl-PL"/>
        </w:rPr>
        <w:t>,</w:t>
      </w:r>
      <w:r w:rsidR="00703159" w:rsidRPr="0051003F">
        <w:rPr>
          <w:rFonts w:cs="Times New Roman"/>
          <w:lang w:val="pl-PL"/>
        </w:rPr>
        <w:t xml:space="preserve"> </w:t>
      </w:r>
      <w:r w:rsidR="00B518AA" w:rsidRPr="0051003F">
        <w:rPr>
          <w:rFonts w:cs="Times New Roman"/>
          <w:i/>
          <w:iCs/>
          <w:lang w:val="pl-PL"/>
        </w:rPr>
        <w:t>R.T. przeciwko</w:t>
      </w:r>
      <w:r w:rsidR="00703159" w:rsidRPr="0051003F">
        <w:rPr>
          <w:rFonts w:cs="Times New Roman"/>
          <w:i/>
          <w:iCs/>
          <w:lang w:val="pl-PL"/>
        </w:rPr>
        <w:t xml:space="preserve"> </w:t>
      </w:r>
      <w:r w:rsidR="00B518AA" w:rsidRPr="0051003F">
        <w:rPr>
          <w:rFonts w:cs="Times New Roman"/>
          <w:i/>
          <w:iCs/>
          <w:lang w:val="pl-PL"/>
        </w:rPr>
        <w:t>Szwajcarii</w:t>
      </w:r>
      <w:r w:rsidR="00703159" w:rsidRPr="0051003F">
        <w:rPr>
          <w:rFonts w:cs="Times New Roman"/>
          <w:lang w:val="pl-PL"/>
        </w:rPr>
        <w:t xml:space="preserve"> (</w:t>
      </w:r>
      <w:proofErr w:type="spellStart"/>
      <w:r w:rsidR="00703159" w:rsidRPr="0051003F">
        <w:rPr>
          <w:rFonts w:cs="Times New Roman"/>
          <w:lang w:val="pl-PL"/>
        </w:rPr>
        <w:t>d</w:t>
      </w:r>
      <w:r w:rsidR="00B518AA" w:rsidRPr="0051003F">
        <w:rPr>
          <w:rFonts w:cs="Times New Roman"/>
          <w:lang w:val="pl-PL"/>
        </w:rPr>
        <w:t>ec</w:t>
      </w:r>
      <w:proofErr w:type="spellEnd"/>
      <w:r w:rsidR="00B518AA" w:rsidRPr="0051003F">
        <w:rPr>
          <w:rFonts w:cs="Times New Roman"/>
          <w:lang w:val="pl-PL"/>
        </w:rPr>
        <w:t>.), nr</w:t>
      </w:r>
      <w:r w:rsidR="00923ABC" w:rsidRPr="0051003F">
        <w:rPr>
          <w:rFonts w:cs="Times New Roman"/>
          <w:lang w:val="pl-PL"/>
        </w:rPr>
        <w:t xml:space="preserve"> 31982/96, 30 </w:t>
      </w:r>
      <w:r w:rsidR="00B518AA" w:rsidRPr="0051003F">
        <w:rPr>
          <w:rFonts w:cs="Times New Roman"/>
          <w:lang w:val="pl-PL"/>
        </w:rPr>
        <w:t>maja</w:t>
      </w:r>
      <w:r w:rsidR="00003542" w:rsidRPr="0051003F">
        <w:rPr>
          <w:rFonts w:cs="Times New Roman"/>
          <w:lang w:val="pl-PL"/>
        </w:rPr>
        <w:t xml:space="preserve"> 2000</w:t>
      </w:r>
      <w:r w:rsidR="00417BAC">
        <w:rPr>
          <w:rFonts w:cs="Times New Roman"/>
          <w:lang w:val="pl-PL"/>
        </w:rPr>
        <w:t xml:space="preserve"> roku</w:t>
      </w:r>
      <w:r w:rsidR="00003542" w:rsidRPr="0051003F">
        <w:rPr>
          <w:rFonts w:cs="Times New Roman"/>
          <w:lang w:val="pl-PL"/>
        </w:rPr>
        <w:t>;</w:t>
      </w:r>
      <w:r w:rsidR="00B518AA" w:rsidRPr="0051003F">
        <w:rPr>
          <w:rFonts w:cs="Times New Roman"/>
          <w:lang w:val="pl-PL"/>
        </w:rPr>
        <w:t xml:space="preserve"> oraz</w:t>
      </w:r>
      <w:r w:rsidR="00703159" w:rsidRPr="0051003F">
        <w:rPr>
          <w:rFonts w:cs="Times New Roman"/>
          <w:lang w:val="pl-PL"/>
        </w:rPr>
        <w:t xml:space="preserve"> </w:t>
      </w:r>
      <w:proofErr w:type="spellStart"/>
      <w:r w:rsidR="00B518AA" w:rsidRPr="0051003F">
        <w:rPr>
          <w:rFonts w:cs="Times New Roman"/>
          <w:i/>
          <w:iCs/>
          <w:lang w:val="pl-PL"/>
        </w:rPr>
        <w:t>Nilsson</w:t>
      </w:r>
      <w:proofErr w:type="spellEnd"/>
      <w:r w:rsidR="00B518AA" w:rsidRPr="0051003F">
        <w:rPr>
          <w:rFonts w:cs="Times New Roman"/>
          <w:i/>
          <w:iCs/>
          <w:lang w:val="pl-PL"/>
        </w:rPr>
        <w:t xml:space="preserve"> przeciwko</w:t>
      </w:r>
      <w:r w:rsidR="00703159" w:rsidRPr="0051003F">
        <w:rPr>
          <w:rFonts w:cs="Times New Roman"/>
          <w:i/>
          <w:iCs/>
          <w:lang w:val="pl-PL"/>
        </w:rPr>
        <w:t xml:space="preserve"> S</w:t>
      </w:r>
      <w:r w:rsidR="00B518AA" w:rsidRPr="0051003F">
        <w:rPr>
          <w:rFonts w:cs="Times New Roman"/>
          <w:i/>
          <w:iCs/>
          <w:lang w:val="pl-PL"/>
        </w:rPr>
        <w:t>zwecji</w:t>
      </w:r>
      <w:r w:rsidR="004C2760" w:rsidRPr="0051003F">
        <w:rPr>
          <w:rFonts w:cs="Times New Roman"/>
          <w:lang w:val="pl-PL"/>
        </w:rPr>
        <w:t>,</w:t>
      </w:r>
      <w:r w:rsidR="00703159" w:rsidRPr="0051003F">
        <w:rPr>
          <w:rFonts w:cs="Times New Roman"/>
          <w:lang w:val="pl-PL"/>
        </w:rPr>
        <w:t xml:space="preserve"> </w:t>
      </w:r>
      <w:r w:rsidR="00B518AA" w:rsidRPr="0051003F">
        <w:rPr>
          <w:rFonts w:cs="Times New Roman"/>
          <w:lang w:val="pl-PL"/>
        </w:rPr>
        <w:t>cytowane powyżej</w:t>
      </w:r>
      <w:r w:rsidR="004B2966" w:rsidRPr="0051003F">
        <w:rPr>
          <w:rFonts w:cs="Times New Roman"/>
          <w:lang w:val="pl-PL"/>
        </w:rPr>
        <w:t>,</w:t>
      </w:r>
      <w:r w:rsidR="00703159" w:rsidRPr="0051003F">
        <w:rPr>
          <w:rFonts w:cs="Times New Roman"/>
          <w:lang w:val="pl-PL"/>
        </w:rPr>
        <w:t xml:space="preserve"> </w:t>
      </w:r>
      <w:r w:rsidR="00B518AA" w:rsidRPr="0051003F">
        <w:rPr>
          <w:rFonts w:cs="Times New Roman"/>
          <w:lang w:val="pl-PL"/>
        </w:rPr>
        <w:t>w szczególności następujące fragment z tego ostatniego</w:t>
      </w:r>
      <w:r w:rsidR="00703159" w:rsidRPr="0051003F">
        <w:rPr>
          <w:rFonts w:cs="Times New Roman"/>
          <w:lang w:val="pl-PL"/>
        </w:rPr>
        <w:t>:</w:t>
      </w:r>
    </w:p>
    <w:p w:rsidR="003B686B" w:rsidRPr="0051003F" w:rsidRDefault="00703159" w:rsidP="003B686B">
      <w:pPr>
        <w:pStyle w:val="ECHRParaQuote"/>
        <w:rPr>
          <w:rFonts w:cs="Times New Roman"/>
          <w:lang w:val="pl-PL"/>
        </w:rPr>
      </w:pPr>
      <w:r w:rsidRPr="0051003F">
        <w:rPr>
          <w:rFonts w:cs="Times New Roman"/>
          <w:lang w:val="pl-PL"/>
        </w:rPr>
        <w:t>“</w:t>
      </w:r>
      <w:r w:rsidR="00B518AA" w:rsidRPr="0051003F">
        <w:rPr>
          <w:rFonts w:cs="Times New Roman"/>
          <w:lang w:val="pl-PL"/>
        </w:rPr>
        <w:t xml:space="preserve">Trybunał nie może jednak zgodzić się ze </w:t>
      </w:r>
      <w:r w:rsidR="003B686B" w:rsidRPr="0051003F">
        <w:rPr>
          <w:rFonts w:cs="Times New Roman"/>
          <w:lang w:val="pl-PL"/>
        </w:rPr>
        <w:t>skarżącym, co</w:t>
      </w:r>
      <w:r w:rsidR="00B518AA" w:rsidRPr="0051003F">
        <w:rPr>
          <w:rFonts w:cs="Times New Roman"/>
          <w:lang w:val="pl-PL"/>
        </w:rPr>
        <w:t xml:space="preserve"> do tego, że decyzja o cofnięciu jego prawa jazdy była równoznaczna z wszczęciem przeciwko niemu nowego postępowania karnego. </w:t>
      </w:r>
      <w:r w:rsidR="00E314D3">
        <w:rPr>
          <w:rFonts w:cs="Times New Roman"/>
          <w:lang w:val="pl-PL"/>
        </w:rPr>
        <w:t>Jakkolwiek</w:t>
      </w:r>
      <w:r w:rsidR="00E314D3" w:rsidRPr="0051003F">
        <w:rPr>
          <w:rFonts w:cs="Times New Roman"/>
          <w:lang w:val="pl-PL"/>
        </w:rPr>
        <w:t xml:space="preserve"> </w:t>
      </w:r>
      <w:r w:rsidR="00B518AA" w:rsidRPr="0051003F">
        <w:rPr>
          <w:rFonts w:cs="Times New Roman"/>
          <w:lang w:val="pl-PL"/>
        </w:rPr>
        <w:t>różne sankcje zostały nałożone przez dwa różne organy w różnych postępowaniach, istniał jednak wystarczająco ścisły związek między nimi, zarówno pod względem merytorycznym, jak i czasowym, w celu rozważenia możliwości wycofania się z sankcji przewidzianych w szwedzkim prawie w odniesieniu do przestępstw popełnionych w związku ze wzmożoną jazdą pod wpływem alkoholu i bezprawnym prowadzeniem pojazdu (zobacz</w:t>
      </w:r>
      <w:r w:rsidRPr="0051003F">
        <w:rPr>
          <w:rFonts w:cs="Times New Roman"/>
          <w:lang w:val="pl-PL"/>
        </w:rPr>
        <w:t xml:space="preserve"> </w:t>
      </w:r>
      <w:r w:rsidR="00B518AA" w:rsidRPr="0051003F">
        <w:rPr>
          <w:rFonts w:cs="Times New Roman"/>
          <w:i/>
          <w:iCs/>
          <w:lang w:val="pl-PL"/>
        </w:rPr>
        <w:t>R.T. przeciwko</w:t>
      </w:r>
      <w:r w:rsidRPr="0051003F">
        <w:rPr>
          <w:rFonts w:cs="Times New Roman"/>
          <w:i/>
          <w:iCs/>
          <w:lang w:val="pl-PL"/>
        </w:rPr>
        <w:t xml:space="preserve"> S</w:t>
      </w:r>
      <w:r w:rsidR="00B518AA" w:rsidRPr="0051003F">
        <w:rPr>
          <w:rFonts w:cs="Times New Roman"/>
          <w:i/>
          <w:iCs/>
          <w:lang w:val="pl-PL"/>
        </w:rPr>
        <w:t>zwajcarii</w:t>
      </w:r>
      <w:r w:rsidR="00B518AA" w:rsidRPr="0051003F">
        <w:rPr>
          <w:rFonts w:cs="Times New Roman"/>
          <w:lang w:val="pl-PL"/>
        </w:rPr>
        <w:t>, cytowany powyżej, oraz</w:t>
      </w:r>
      <w:r w:rsidRPr="0051003F">
        <w:rPr>
          <w:rFonts w:cs="Times New Roman"/>
          <w:lang w:val="pl-PL"/>
        </w:rPr>
        <w:t xml:space="preserve">, </w:t>
      </w:r>
      <w:r w:rsidRPr="0051003F">
        <w:rPr>
          <w:rFonts w:cs="Times New Roman"/>
          <w:i/>
          <w:lang w:val="pl-PL"/>
        </w:rPr>
        <w:t>mutatis mutandis</w:t>
      </w:r>
      <w:r w:rsidRPr="0051003F">
        <w:rPr>
          <w:rFonts w:cs="Times New Roman"/>
          <w:lang w:val="pl-PL"/>
        </w:rPr>
        <w:t xml:space="preserve">, </w:t>
      </w:r>
      <w:r w:rsidRPr="0051003F">
        <w:rPr>
          <w:rFonts w:cs="Times New Roman"/>
          <w:i/>
          <w:iCs/>
          <w:lang w:val="pl-PL"/>
        </w:rPr>
        <w:t>P</w:t>
      </w:r>
      <w:r w:rsidR="00B518AA" w:rsidRPr="0051003F">
        <w:rPr>
          <w:rFonts w:cs="Times New Roman"/>
          <w:i/>
          <w:iCs/>
          <w:lang w:val="pl-PL"/>
        </w:rPr>
        <w:t>hillips przeciwko Zjednoczonemu Królestwu</w:t>
      </w:r>
      <w:r w:rsidR="00B518AA" w:rsidRPr="0051003F">
        <w:rPr>
          <w:rFonts w:cs="Times New Roman"/>
          <w:lang w:val="pl-PL"/>
        </w:rPr>
        <w:t xml:space="preserve">, nr 41087/98, § 34, </w:t>
      </w:r>
      <w:proofErr w:type="spellStart"/>
      <w:r w:rsidR="00B518AA" w:rsidRPr="0051003F">
        <w:rPr>
          <w:rFonts w:cs="Times New Roman"/>
          <w:lang w:val="pl-PL"/>
        </w:rPr>
        <w:t>ETPCz</w:t>
      </w:r>
      <w:proofErr w:type="spellEnd"/>
      <w:r w:rsidRPr="0051003F">
        <w:rPr>
          <w:rFonts w:cs="Times New Roman"/>
          <w:lang w:val="pl-PL"/>
        </w:rPr>
        <w:t xml:space="preserve"> 2001-VII). </w:t>
      </w:r>
      <w:r w:rsidR="003B686B" w:rsidRPr="0051003F">
        <w:rPr>
          <w:rFonts w:cs="Times New Roman"/>
          <w:lang w:val="pl-PL"/>
        </w:rPr>
        <w:t xml:space="preserve">Innymi słowy, wycofanie wniosku nie oznaczało, że skarżący został “ponownie osądzony lub ukarany (....) za przestępstwo, za które został już wcześniej ostatecznie skazany (...)”, co stanowi naruszenie art. 4 ust. 1 Protokołu </w:t>
      </w:r>
      <w:r w:rsidR="000D2C34">
        <w:rPr>
          <w:rFonts w:cs="Times New Roman"/>
          <w:lang w:val="pl-PL"/>
        </w:rPr>
        <w:t>n</w:t>
      </w:r>
      <w:r w:rsidR="003B686B" w:rsidRPr="0051003F">
        <w:rPr>
          <w:rFonts w:cs="Times New Roman"/>
          <w:lang w:val="pl-PL"/>
        </w:rPr>
        <w:t>r 7 “.</w:t>
      </w:r>
    </w:p>
    <w:p w:rsidR="003B686B" w:rsidRPr="0051003F" w:rsidRDefault="003B686B" w:rsidP="003B686B">
      <w:pPr>
        <w:pStyle w:val="ECHRParaQuote"/>
        <w:rPr>
          <w:rFonts w:cs="Times New Roman"/>
          <w:lang w:val="pl-PL"/>
        </w:rPr>
      </w:pPr>
    </w:p>
    <w:p w:rsidR="003B686B" w:rsidRPr="0051003F" w:rsidRDefault="00703159" w:rsidP="003B686B">
      <w:pPr>
        <w:pStyle w:val="ECHRPara"/>
        <w:rPr>
          <w:rFonts w:cs="Times New Roman"/>
          <w:lang w:val="pl-PL"/>
        </w:rPr>
      </w:pPr>
      <w:r w:rsidRPr="0051003F">
        <w:rPr>
          <w:rFonts w:cs="Times New Roman"/>
          <w:lang w:val="pl-PL"/>
        </w:rPr>
        <w:t> </w:t>
      </w:r>
      <w:r w:rsidR="003745E5" w:rsidRPr="0051003F">
        <w:rPr>
          <w:rFonts w:cs="Times New Roman"/>
          <w:lang w:val="pl-PL"/>
        </w:rPr>
        <w:fldChar w:fldCharType="begin"/>
      </w:r>
      <w:r w:rsidR="003B686B" w:rsidRPr="0051003F">
        <w:rPr>
          <w:rFonts w:cs="Times New Roman"/>
          <w:lang w:val="pl-PL"/>
        </w:rPr>
        <w:instrText xml:space="preserve"> SEQ level0 \*arabic </w:instrText>
      </w:r>
      <w:r w:rsidR="003745E5" w:rsidRPr="0051003F">
        <w:rPr>
          <w:rFonts w:cs="Times New Roman"/>
          <w:lang w:val="pl-PL"/>
        </w:rPr>
        <w:fldChar w:fldCharType="separate"/>
      </w:r>
      <w:r w:rsidR="009F11DD" w:rsidRPr="0051003F">
        <w:rPr>
          <w:rFonts w:cs="Times New Roman"/>
          <w:noProof/>
          <w:lang w:val="pl-PL"/>
        </w:rPr>
        <w:t>29</w:t>
      </w:r>
      <w:r w:rsidR="003745E5" w:rsidRPr="0051003F">
        <w:rPr>
          <w:rFonts w:cs="Times New Roman"/>
          <w:lang w:val="pl-PL"/>
        </w:rPr>
        <w:fldChar w:fldCharType="end"/>
      </w:r>
      <w:r w:rsidR="003B686B" w:rsidRPr="0051003F">
        <w:rPr>
          <w:rFonts w:cs="Times New Roman"/>
          <w:lang w:val="pl-PL"/>
        </w:rPr>
        <w:t>.  W niniejszej sprawie Sąd Najwyższy orzekł, że nie ma wątpliwości co do istnienia wystarczającego związku merytorycznego i czasowego. Obydwa przypadki miały swoją podstawę w tych samych okolicznościach faktycznych - brak informacji w zeznaniu podatkowym, co doprowadziło do wadliwego naliczenia podatku. Postępowani</w:t>
      </w:r>
      <w:r w:rsidR="000D2C34">
        <w:rPr>
          <w:rFonts w:cs="Times New Roman"/>
          <w:lang w:val="pl-PL"/>
        </w:rPr>
        <w:t>a</w:t>
      </w:r>
      <w:r w:rsidR="003B686B" w:rsidRPr="0051003F">
        <w:rPr>
          <w:rFonts w:cs="Times New Roman"/>
          <w:lang w:val="pl-PL"/>
        </w:rPr>
        <w:t xml:space="preserve"> karne i administracyjne toczyły się równolegle.</w:t>
      </w:r>
      <w:r w:rsidR="00C9031B" w:rsidRPr="0051003F">
        <w:rPr>
          <w:rFonts w:cs="Times New Roman"/>
          <w:lang w:val="pl-PL"/>
        </w:rPr>
        <w:t xml:space="preserve"> </w:t>
      </w:r>
      <w:r w:rsidR="003B686B" w:rsidRPr="0051003F">
        <w:rPr>
          <w:rFonts w:cs="Times New Roman"/>
          <w:lang w:val="pl-PL"/>
        </w:rPr>
        <w:t xml:space="preserve">Po tym jak pierwszy </w:t>
      </w:r>
      <w:r w:rsidR="00C9031B" w:rsidRPr="0051003F">
        <w:rPr>
          <w:rFonts w:cs="Times New Roman"/>
          <w:lang w:val="pl-PL"/>
        </w:rPr>
        <w:t>skarżący</w:t>
      </w:r>
      <w:r w:rsidR="003B686B" w:rsidRPr="0051003F">
        <w:rPr>
          <w:rFonts w:cs="Times New Roman"/>
          <w:lang w:val="pl-PL"/>
        </w:rPr>
        <w:t xml:space="preserve"> został </w:t>
      </w:r>
      <w:r w:rsidR="00C9031B" w:rsidRPr="0051003F">
        <w:rPr>
          <w:rFonts w:cs="Times New Roman"/>
          <w:lang w:val="pl-PL"/>
        </w:rPr>
        <w:t>oskarżony</w:t>
      </w:r>
      <w:r w:rsidR="003B686B" w:rsidRPr="0051003F">
        <w:rPr>
          <w:rFonts w:cs="Times New Roman"/>
          <w:lang w:val="pl-PL"/>
        </w:rPr>
        <w:t xml:space="preserve"> w dniu 14 grudnia 2007 r</w:t>
      </w:r>
      <w:r w:rsidR="000D2C34">
        <w:rPr>
          <w:rFonts w:cs="Times New Roman"/>
          <w:lang w:val="pl-PL"/>
        </w:rPr>
        <w:t>oku</w:t>
      </w:r>
      <w:r w:rsidR="00C9031B" w:rsidRPr="0051003F">
        <w:rPr>
          <w:rFonts w:cs="Times New Roman"/>
          <w:lang w:val="pl-PL"/>
        </w:rPr>
        <w:t>, w dniu 26 sierpnia 2008 r</w:t>
      </w:r>
      <w:r w:rsidR="000D2C34">
        <w:rPr>
          <w:rFonts w:cs="Times New Roman"/>
          <w:lang w:val="pl-PL"/>
        </w:rPr>
        <w:t>oku</w:t>
      </w:r>
      <w:r w:rsidR="00C9031B" w:rsidRPr="0051003F">
        <w:rPr>
          <w:rFonts w:cs="Times New Roman"/>
          <w:lang w:val="pl-PL"/>
        </w:rPr>
        <w:t xml:space="preserve"> wysłano ostrzeżenie o zmianie wymiaru podatku, następnie akt oskarżenia został wniesiony w dniu 14 października 2008 r</w:t>
      </w:r>
      <w:r w:rsidR="000D2C34">
        <w:rPr>
          <w:rFonts w:cs="Times New Roman"/>
          <w:lang w:val="pl-PL"/>
        </w:rPr>
        <w:t>oku</w:t>
      </w:r>
      <w:r w:rsidR="00C9031B" w:rsidRPr="0051003F">
        <w:rPr>
          <w:rFonts w:cs="Times New Roman"/>
          <w:lang w:val="pl-PL"/>
        </w:rPr>
        <w:t>, decyzja organów podatkowych z dnia 24 listopada 2008 r</w:t>
      </w:r>
      <w:r w:rsidR="000D2C34">
        <w:rPr>
          <w:rFonts w:cs="Times New Roman"/>
          <w:lang w:val="pl-PL"/>
        </w:rPr>
        <w:t>oku</w:t>
      </w:r>
      <w:r w:rsidR="00C9031B" w:rsidRPr="0051003F">
        <w:rPr>
          <w:rFonts w:cs="Times New Roman"/>
          <w:lang w:val="pl-PL"/>
        </w:rPr>
        <w:t>. o zmianie wymiaru</w:t>
      </w:r>
      <w:r w:rsidR="003B686B" w:rsidRPr="0051003F">
        <w:rPr>
          <w:rFonts w:cs="Times New Roman"/>
          <w:lang w:val="pl-PL"/>
        </w:rPr>
        <w:t>,</w:t>
      </w:r>
      <w:r w:rsidR="00C9031B" w:rsidRPr="0051003F">
        <w:rPr>
          <w:rFonts w:cs="Times New Roman"/>
          <w:lang w:val="pl-PL"/>
        </w:rPr>
        <w:t xml:space="preserve"> oraz wyrok Sądu Rejonowego z dnia 2 marca 2009 r</w:t>
      </w:r>
      <w:r w:rsidR="00AA345C">
        <w:rPr>
          <w:rFonts w:cs="Times New Roman"/>
          <w:lang w:val="pl-PL"/>
        </w:rPr>
        <w:t>oku</w:t>
      </w:r>
      <w:r w:rsidR="00C9031B" w:rsidRPr="0051003F">
        <w:rPr>
          <w:rFonts w:cs="Times New Roman"/>
          <w:lang w:val="pl-PL"/>
        </w:rPr>
        <w:t xml:space="preserve">. </w:t>
      </w:r>
      <w:r w:rsidR="00A06A71" w:rsidRPr="0051003F">
        <w:rPr>
          <w:rFonts w:cs="Times New Roman"/>
          <w:lang w:val="pl-PL"/>
        </w:rPr>
        <w:t xml:space="preserve">W dużej mierze postępowanie administracyjne i postępowanie karne były ze soną powiązane. </w:t>
      </w:r>
    </w:p>
    <w:p w:rsidR="00C9031B" w:rsidRPr="0051003F" w:rsidRDefault="003B686B" w:rsidP="00C9031B">
      <w:pPr>
        <w:pStyle w:val="ECHRPara"/>
        <w:rPr>
          <w:rFonts w:cs="Times New Roman"/>
          <w:lang w:val="pl-PL"/>
        </w:rPr>
      </w:pPr>
      <w:r w:rsidRPr="0051003F">
        <w:rPr>
          <w:rFonts w:cs="Times New Roman"/>
          <w:lang w:val="pl-PL"/>
        </w:rPr>
        <w:t>30.</w:t>
      </w:r>
      <w:r w:rsidR="00703159" w:rsidRPr="0051003F">
        <w:rPr>
          <w:rFonts w:cs="Times New Roman"/>
          <w:lang w:val="pl-PL"/>
        </w:rPr>
        <w:t> </w:t>
      </w:r>
      <w:r w:rsidR="00C9031B" w:rsidRPr="0051003F">
        <w:rPr>
          <w:rFonts w:cs="Times New Roman"/>
          <w:lang w:val="pl-PL"/>
        </w:rPr>
        <w:t xml:space="preserve">Cel stojący za art. 4 Protokołu </w:t>
      </w:r>
      <w:r w:rsidR="00AA345C">
        <w:rPr>
          <w:rFonts w:cs="Times New Roman"/>
          <w:lang w:val="pl-PL"/>
        </w:rPr>
        <w:t>n</w:t>
      </w:r>
      <w:r w:rsidR="00C9031B" w:rsidRPr="0051003F">
        <w:rPr>
          <w:rFonts w:cs="Times New Roman"/>
          <w:lang w:val="pl-PL"/>
        </w:rPr>
        <w:t>r 7, jakim jest zapewnienie ochrony przed</w:t>
      </w:r>
      <w:r w:rsidR="00D1364B" w:rsidRPr="0051003F">
        <w:rPr>
          <w:rFonts w:cs="Times New Roman"/>
          <w:lang w:val="pl-PL"/>
        </w:rPr>
        <w:t xml:space="preserve"> </w:t>
      </w:r>
      <w:r w:rsidR="00AA345C">
        <w:rPr>
          <w:rFonts w:cs="Times New Roman"/>
          <w:lang w:val="pl-PL"/>
        </w:rPr>
        <w:t>bycie ponownym</w:t>
      </w:r>
      <w:r w:rsidR="00D1364B" w:rsidRPr="0051003F">
        <w:rPr>
          <w:rFonts w:cs="Times New Roman"/>
          <w:lang w:val="pl-PL"/>
        </w:rPr>
        <w:t xml:space="preserve"> podmiotem nowego postępowania</w:t>
      </w:r>
      <w:r w:rsidR="00C9031B" w:rsidRPr="0051003F">
        <w:rPr>
          <w:rFonts w:cs="Times New Roman"/>
          <w:lang w:val="pl-PL"/>
        </w:rPr>
        <w:t xml:space="preserve">, został tutaj zastosowany w mniejszym stopniu, ponieważ pierwszy skarżący nie miał uzasadnionych </w:t>
      </w:r>
      <w:r w:rsidR="00650C93" w:rsidRPr="0051003F">
        <w:rPr>
          <w:rFonts w:cs="Times New Roman"/>
          <w:lang w:val="pl-PL"/>
        </w:rPr>
        <w:t>oczekiwań, co</w:t>
      </w:r>
      <w:r w:rsidR="00C9031B" w:rsidRPr="0051003F">
        <w:rPr>
          <w:rFonts w:cs="Times New Roman"/>
          <w:lang w:val="pl-PL"/>
        </w:rPr>
        <w:t xml:space="preserve"> do tego, że zostanie poddany tylko jednemu </w:t>
      </w:r>
      <w:r w:rsidR="00C9031B" w:rsidRPr="0051003F">
        <w:rPr>
          <w:rFonts w:cs="Times New Roman"/>
          <w:lang w:val="pl-PL"/>
        </w:rPr>
        <w:lastRenderedPageBreak/>
        <w:t xml:space="preserve">postępowaniu. W takiej sytuacji interes zapewnienia skutecznego ścigania </w:t>
      </w:r>
      <w:r w:rsidR="00D1364B" w:rsidRPr="0051003F">
        <w:rPr>
          <w:rFonts w:cs="Times New Roman"/>
          <w:lang w:val="pl-PL"/>
        </w:rPr>
        <w:t>przeważył</w:t>
      </w:r>
      <w:r w:rsidR="00C9031B" w:rsidRPr="0051003F">
        <w:rPr>
          <w:rFonts w:cs="Times New Roman"/>
          <w:lang w:val="pl-PL"/>
        </w:rPr>
        <w:t>.</w:t>
      </w:r>
    </w:p>
    <w:p w:rsidR="00703159" w:rsidRPr="0051003F" w:rsidRDefault="001F41CD" w:rsidP="00C9031B">
      <w:pPr>
        <w:pStyle w:val="ECHRHeading2"/>
        <w:ind w:left="0" w:firstLine="0"/>
        <w:rPr>
          <w:lang w:val="pl-PL"/>
        </w:rPr>
      </w:pPr>
      <w:bookmarkStart w:id="12" w:name="_Toc466904298"/>
      <w:bookmarkStart w:id="13" w:name="_Toc466972317"/>
      <w:bookmarkStart w:id="14" w:name="_Toc466972828"/>
      <w:bookmarkStart w:id="15" w:name="_Toc466974244"/>
      <w:bookmarkStart w:id="16" w:name="_Toc473801879"/>
      <w:r w:rsidRPr="0051003F">
        <w:rPr>
          <w:lang w:val="pl-PL"/>
        </w:rPr>
        <w:t>B</w:t>
      </w:r>
      <w:r w:rsidR="00703159" w:rsidRPr="0051003F">
        <w:rPr>
          <w:lang w:val="pl-PL"/>
        </w:rPr>
        <w:t>.</w:t>
      </w:r>
      <w:r w:rsidRPr="0051003F">
        <w:rPr>
          <w:lang w:val="pl-PL"/>
        </w:rPr>
        <w:t>  </w:t>
      </w:r>
      <w:bookmarkEnd w:id="12"/>
      <w:bookmarkEnd w:id="13"/>
      <w:bookmarkEnd w:id="14"/>
      <w:bookmarkEnd w:id="15"/>
      <w:bookmarkEnd w:id="16"/>
      <w:r w:rsidR="00C9031B" w:rsidRPr="0051003F">
        <w:rPr>
          <w:lang w:val="pl-PL"/>
        </w:rPr>
        <w:t>Drugi skarżący</w:t>
      </w:r>
    </w:p>
    <w:p w:rsidR="005C62F3" w:rsidRPr="0051003F" w:rsidRDefault="007E07C2" w:rsidP="005C62F3">
      <w:pPr>
        <w:pStyle w:val="ECHRPara"/>
        <w:rPr>
          <w:rFonts w:cs="Times New Roman"/>
          <w:lang w:val="pl-PL"/>
        </w:rPr>
      </w:pPr>
      <w:r>
        <w:rPr>
          <w:rFonts w:cs="Times New Roman"/>
          <w:lang w:val="pl-PL"/>
        </w:rPr>
        <w:t>31</w:t>
      </w:r>
      <w:r w:rsidR="00703159" w:rsidRPr="0051003F">
        <w:rPr>
          <w:rFonts w:cs="Times New Roman"/>
          <w:lang w:val="pl-PL"/>
        </w:rPr>
        <w:t>.  </w:t>
      </w:r>
      <w:r w:rsidR="002D5BE0" w:rsidRPr="0051003F">
        <w:rPr>
          <w:rFonts w:cs="Times New Roman"/>
          <w:lang w:val="pl-PL"/>
        </w:rPr>
        <w:t>Po przeprowadzeniu kontroli podatkowe</w:t>
      </w:r>
      <w:r w:rsidR="005C62F3" w:rsidRPr="0051003F">
        <w:rPr>
          <w:rFonts w:cs="Times New Roman"/>
          <w:lang w:val="pl-PL"/>
        </w:rPr>
        <w:t>j w 2005 r</w:t>
      </w:r>
      <w:r w:rsidR="009A44B0">
        <w:rPr>
          <w:rFonts w:cs="Times New Roman"/>
          <w:lang w:val="pl-PL"/>
        </w:rPr>
        <w:t>oku</w:t>
      </w:r>
      <w:r w:rsidR="005C62F3" w:rsidRPr="0051003F">
        <w:rPr>
          <w:rFonts w:cs="Times New Roman"/>
          <w:lang w:val="pl-PL"/>
        </w:rPr>
        <w:t>, o której mowa w paragrafie</w:t>
      </w:r>
      <w:r w:rsidR="002D5BE0" w:rsidRPr="0051003F">
        <w:rPr>
          <w:rFonts w:cs="Times New Roman"/>
          <w:lang w:val="pl-PL"/>
        </w:rPr>
        <w:t xml:space="preserve"> 13 powyżej, organy podatkowe poinformowały </w:t>
      </w:r>
      <w:proofErr w:type="spellStart"/>
      <w:r w:rsidR="002D5BE0" w:rsidRPr="0051003F">
        <w:rPr>
          <w:rFonts w:cs="Times New Roman"/>
          <w:i/>
          <w:lang w:val="pl-PL"/>
        </w:rPr>
        <w:t>Økokrim</w:t>
      </w:r>
      <w:proofErr w:type="spellEnd"/>
      <w:r w:rsidR="002D5BE0" w:rsidRPr="0051003F">
        <w:rPr>
          <w:rFonts w:cs="Times New Roman"/>
          <w:lang w:val="pl-PL"/>
        </w:rPr>
        <w:t xml:space="preserve"> jesienią 2007 r</w:t>
      </w:r>
      <w:r w:rsidR="009A44B0">
        <w:rPr>
          <w:rFonts w:cs="Times New Roman"/>
          <w:lang w:val="pl-PL"/>
        </w:rPr>
        <w:t>oku</w:t>
      </w:r>
      <w:r w:rsidR="002D5BE0" w:rsidRPr="0051003F">
        <w:rPr>
          <w:rFonts w:cs="Times New Roman"/>
          <w:lang w:val="pl-PL"/>
        </w:rPr>
        <w:t>, że drugi skarżący nie zadeklarował w zeznaniu podatkowym za rok podat</w:t>
      </w:r>
      <w:r w:rsidR="005C62F3" w:rsidRPr="0051003F">
        <w:rPr>
          <w:rFonts w:cs="Times New Roman"/>
          <w:lang w:val="pl-PL"/>
        </w:rPr>
        <w:t>kowy 2002 dochodu w wysokości 4.561.</w:t>
      </w:r>
      <w:r w:rsidR="002D5BE0" w:rsidRPr="0051003F">
        <w:rPr>
          <w:rFonts w:cs="Times New Roman"/>
          <w:lang w:val="pl-PL"/>
        </w:rPr>
        <w:t>881</w:t>
      </w:r>
      <w:r w:rsidR="005C62F3" w:rsidRPr="0051003F">
        <w:rPr>
          <w:rFonts w:cs="Times New Roman"/>
          <w:lang w:val="pl-PL"/>
        </w:rPr>
        <w:t xml:space="preserve"> NOK (około 500.</w:t>
      </w:r>
      <w:r w:rsidR="002D5BE0" w:rsidRPr="0051003F">
        <w:rPr>
          <w:rFonts w:cs="Times New Roman"/>
          <w:lang w:val="pl-PL"/>
        </w:rPr>
        <w:t>000</w:t>
      </w:r>
      <w:r w:rsidR="005C62F3" w:rsidRPr="0051003F">
        <w:rPr>
          <w:rFonts w:cs="Times New Roman"/>
          <w:lang w:val="pl-PL"/>
        </w:rPr>
        <w:t xml:space="preserve"> euro</w:t>
      </w:r>
      <w:r w:rsidR="002D5BE0" w:rsidRPr="0051003F">
        <w:rPr>
          <w:rFonts w:cs="Times New Roman"/>
          <w:lang w:val="pl-PL"/>
        </w:rPr>
        <w:t xml:space="preserve"> </w:t>
      </w:r>
      <w:r w:rsidR="009A44B0">
        <w:rPr>
          <w:rFonts w:cs="Times New Roman"/>
          <w:lang w:val="pl-PL"/>
        </w:rPr>
        <w:t>(</w:t>
      </w:r>
      <w:r w:rsidR="002D5BE0" w:rsidRPr="0051003F">
        <w:rPr>
          <w:rFonts w:cs="Times New Roman"/>
          <w:lang w:val="pl-PL"/>
        </w:rPr>
        <w:t>EUR</w:t>
      </w:r>
      <w:r w:rsidR="009A44B0">
        <w:rPr>
          <w:rFonts w:cs="Times New Roman"/>
          <w:lang w:val="pl-PL"/>
        </w:rPr>
        <w:t>)</w:t>
      </w:r>
      <w:r w:rsidR="002D5BE0" w:rsidRPr="0051003F">
        <w:rPr>
          <w:rFonts w:cs="Times New Roman"/>
          <w:lang w:val="pl-PL"/>
        </w:rPr>
        <w:t>) uzyskanego przez niego ze sprzedaży niektórych udziałów</w:t>
      </w:r>
      <w:r w:rsidR="009A44B0">
        <w:rPr>
          <w:rFonts w:cs="Times New Roman"/>
          <w:lang w:val="pl-PL"/>
        </w:rPr>
        <w:t>.</w:t>
      </w:r>
    </w:p>
    <w:p w:rsidR="005C62F3" w:rsidRPr="0051003F" w:rsidRDefault="007E07C2" w:rsidP="005C62F3">
      <w:pPr>
        <w:pStyle w:val="ECHRPara"/>
        <w:rPr>
          <w:rFonts w:cs="Times New Roman"/>
          <w:lang w:val="pl-PL"/>
        </w:rPr>
      </w:pPr>
      <w:r>
        <w:rPr>
          <w:rFonts w:cs="Times New Roman"/>
          <w:lang w:val="pl-PL"/>
        </w:rPr>
        <w:t>32</w:t>
      </w:r>
      <w:r w:rsidR="00703159" w:rsidRPr="0051003F">
        <w:rPr>
          <w:rFonts w:cs="Times New Roman"/>
          <w:lang w:val="pl-PL"/>
        </w:rPr>
        <w:t>.  </w:t>
      </w:r>
      <w:r w:rsidR="005C62F3" w:rsidRPr="0051003F">
        <w:rPr>
          <w:rFonts w:cs="Times New Roman"/>
          <w:lang w:val="pl-PL"/>
        </w:rPr>
        <w:t>W dniu 16 października 2008 r</w:t>
      </w:r>
      <w:r w:rsidR="00F84697">
        <w:rPr>
          <w:rFonts w:cs="Times New Roman"/>
          <w:lang w:val="pl-PL"/>
        </w:rPr>
        <w:t>oku</w:t>
      </w:r>
      <w:r w:rsidR="005C62F3" w:rsidRPr="0051003F">
        <w:rPr>
          <w:rFonts w:cs="Times New Roman"/>
          <w:lang w:val="pl-PL"/>
        </w:rPr>
        <w:t xml:space="preserve"> organy podatkowe zawiadomiły drugiego skarżącego, że rozważają zmianę wymiaru podatku i nałożenie kary podatkowej, odnosząc się </w:t>
      </w:r>
      <w:proofErr w:type="spellStart"/>
      <w:r w:rsidR="005C62F3" w:rsidRPr="0051003F">
        <w:rPr>
          <w:rFonts w:cs="Times New Roman"/>
          <w:i/>
          <w:lang w:val="pl-PL"/>
        </w:rPr>
        <w:t>inter</w:t>
      </w:r>
      <w:proofErr w:type="spellEnd"/>
      <w:r w:rsidR="005C62F3" w:rsidRPr="0051003F">
        <w:rPr>
          <w:rFonts w:cs="Times New Roman"/>
          <w:i/>
          <w:lang w:val="pl-PL"/>
        </w:rPr>
        <w:t xml:space="preserve"> </w:t>
      </w:r>
      <w:proofErr w:type="spellStart"/>
      <w:r w:rsidR="005C62F3" w:rsidRPr="0051003F">
        <w:rPr>
          <w:rFonts w:cs="Times New Roman"/>
          <w:i/>
          <w:lang w:val="pl-PL"/>
        </w:rPr>
        <w:t>alia</w:t>
      </w:r>
      <w:proofErr w:type="spellEnd"/>
      <w:r w:rsidR="005C62F3" w:rsidRPr="0051003F">
        <w:rPr>
          <w:rFonts w:cs="Times New Roman"/>
          <w:lang w:val="pl-PL"/>
        </w:rPr>
        <w:t xml:space="preserve"> do kontroli podatkowej, postępowania </w:t>
      </w:r>
      <w:r w:rsidR="00650C93" w:rsidRPr="0051003F">
        <w:rPr>
          <w:rFonts w:cs="Times New Roman"/>
          <w:lang w:val="pl-PL"/>
        </w:rPr>
        <w:t>przygotowawczego i</w:t>
      </w:r>
      <w:r w:rsidR="005C62F3" w:rsidRPr="0051003F">
        <w:rPr>
          <w:rFonts w:cs="Times New Roman"/>
          <w:lang w:val="pl-PL"/>
        </w:rPr>
        <w:t xml:space="preserve"> przedstawionych dowodów, o których mowa w paragrafie 13 powyżej, oraz do dokumentów skonfiskowanych przez </w:t>
      </w:r>
      <w:proofErr w:type="spellStart"/>
      <w:r w:rsidR="005C62F3" w:rsidRPr="0051003F">
        <w:rPr>
          <w:rFonts w:cs="Times New Roman"/>
          <w:i/>
          <w:lang w:val="pl-PL"/>
        </w:rPr>
        <w:t>Økokrim</w:t>
      </w:r>
      <w:proofErr w:type="spellEnd"/>
      <w:r w:rsidR="005C62F3" w:rsidRPr="0051003F">
        <w:rPr>
          <w:rFonts w:cs="Times New Roman"/>
          <w:lang w:val="pl-PL"/>
        </w:rPr>
        <w:t xml:space="preserve"> podczas </w:t>
      </w:r>
      <w:r w:rsidR="00650C93" w:rsidRPr="0051003F">
        <w:rPr>
          <w:rFonts w:cs="Times New Roman"/>
          <w:lang w:val="pl-PL"/>
        </w:rPr>
        <w:t xml:space="preserve">śledztwa. W dniu 5 grudnia 2008 </w:t>
      </w:r>
      <w:r w:rsidR="005C62F3" w:rsidRPr="0051003F">
        <w:rPr>
          <w:rFonts w:cs="Times New Roman"/>
          <w:lang w:val="pl-PL"/>
        </w:rPr>
        <w:t>r</w:t>
      </w:r>
      <w:r w:rsidR="00F84697">
        <w:rPr>
          <w:rFonts w:cs="Times New Roman"/>
          <w:lang w:val="pl-PL"/>
        </w:rPr>
        <w:t>oku</w:t>
      </w:r>
      <w:r w:rsidR="005C62F3" w:rsidRPr="0051003F">
        <w:rPr>
          <w:rFonts w:cs="Times New Roman"/>
          <w:lang w:val="pl-PL"/>
        </w:rPr>
        <w:t xml:space="preserve"> organy podatkowe zmieniły wymiar jego podatku, z ty</w:t>
      </w:r>
      <w:r w:rsidR="00650C93" w:rsidRPr="0051003F">
        <w:rPr>
          <w:rFonts w:cs="Times New Roman"/>
          <w:lang w:val="pl-PL"/>
        </w:rPr>
        <w:t>m skutkiem, że był dłużny</w:t>
      </w:r>
      <w:r w:rsidR="005C62F3" w:rsidRPr="0051003F">
        <w:rPr>
          <w:rFonts w:cs="Times New Roman"/>
          <w:lang w:val="pl-PL"/>
        </w:rPr>
        <w:t>.</w:t>
      </w:r>
      <w:r w:rsidR="00703159" w:rsidRPr="0051003F">
        <w:rPr>
          <w:rFonts w:cs="Times New Roman"/>
          <w:iCs/>
          <w:lang w:val="pl-PL"/>
        </w:rPr>
        <w:t xml:space="preserve"> </w:t>
      </w:r>
      <w:r w:rsidR="005C62F3" w:rsidRPr="0051003F">
        <w:rPr>
          <w:rFonts w:cs="Times New Roman"/>
          <w:lang w:val="pl-PL"/>
        </w:rPr>
        <w:t>1.302.</w:t>
      </w:r>
      <w:r w:rsidR="00703159" w:rsidRPr="0051003F">
        <w:rPr>
          <w:rFonts w:cs="Times New Roman"/>
          <w:lang w:val="pl-PL"/>
        </w:rPr>
        <w:t>526</w:t>
      </w:r>
      <w:r w:rsidR="005C62F3" w:rsidRPr="0051003F">
        <w:rPr>
          <w:rFonts w:cs="Times New Roman"/>
          <w:lang w:val="pl-PL"/>
        </w:rPr>
        <w:t xml:space="preserve"> NOK (w przybliżeniu 143.</w:t>
      </w:r>
      <w:r w:rsidR="00703159" w:rsidRPr="0051003F">
        <w:rPr>
          <w:rFonts w:cs="Times New Roman"/>
          <w:lang w:val="pl-PL"/>
        </w:rPr>
        <w:t>400</w:t>
      </w:r>
      <w:r w:rsidR="005C62F3" w:rsidRPr="0051003F">
        <w:rPr>
          <w:rFonts w:cs="Times New Roman"/>
          <w:lang w:val="pl-PL"/>
        </w:rPr>
        <w:t xml:space="preserve"> euro </w:t>
      </w:r>
      <w:r w:rsidR="00F84697">
        <w:rPr>
          <w:rFonts w:cs="Times New Roman"/>
          <w:lang w:val="pl-PL"/>
        </w:rPr>
        <w:t>(</w:t>
      </w:r>
      <w:r w:rsidR="005C62F3" w:rsidRPr="0051003F">
        <w:rPr>
          <w:rFonts w:cs="Times New Roman"/>
          <w:lang w:val="pl-PL"/>
        </w:rPr>
        <w:t>EUR</w:t>
      </w:r>
      <w:r w:rsidR="00F84697">
        <w:rPr>
          <w:rFonts w:cs="Times New Roman"/>
          <w:lang w:val="pl-PL"/>
        </w:rPr>
        <w:t>)</w:t>
      </w:r>
      <w:r w:rsidR="00703159" w:rsidRPr="0051003F">
        <w:rPr>
          <w:rFonts w:cs="Times New Roman"/>
          <w:lang w:val="pl-PL"/>
        </w:rPr>
        <w:t xml:space="preserve">) </w:t>
      </w:r>
      <w:r w:rsidR="005C62F3" w:rsidRPr="0051003F">
        <w:rPr>
          <w:rFonts w:cs="Times New Roman"/>
          <w:lang w:val="pl-PL"/>
        </w:rPr>
        <w:t>z tytułu podatku od niezadeklarowanego przychodu. Ponadto, w odniesieniu do artykułu 10-2(1) i</w:t>
      </w:r>
      <w:r w:rsidR="00AC6757" w:rsidRPr="0051003F">
        <w:rPr>
          <w:rFonts w:cs="Times New Roman"/>
          <w:lang w:val="pl-PL"/>
        </w:rPr>
        <w:t xml:space="preserve"> 10</w:t>
      </w:r>
      <w:r w:rsidR="00AC6757" w:rsidRPr="0051003F">
        <w:rPr>
          <w:rFonts w:cs="Times New Roman"/>
          <w:lang w:val="pl-PL"/>
        </w:rPr>
        <w:noBreakHyphen/>
      </w:r>
      <w:r w:rsidR="00703159" w:rsidRPr="0051003F">
        <w:rPr>
          <w:rFonts w:cs="Times New Roman"/>
          <w:lang w:val="pl-PL"/>
        </w:rPr>
        <w:t xml:space="preserve">4(1) </w:t>
      </w:r>
      <w:r w:rsidR="005C62F3" w:rsidRPr="0051003F">
        <w:rPr>
          <w:rFonts w:cs="Times New Roman"/>
          <w:lang w:val="pl-PL"/>
        </w:rPr>
        <w:t xml:space="preserve">Ustawy o </w:t>
      </w:r>
      <w:r w:rsidR="00537091" w:rsidRPr="0051003F">
        <w:rPr>
          <w:rFonts w:cs="Times New Roman"/>
          <w:lang w:val="pl-PL"/>
        </w:rPr>
        <w:t>rozliczeniach podatkowych</w:t>
      </w:r>
      <w:r w:rsidR="00703159" w:rsidRPr="0051003F">
        <w:rPr>
          <w:rFonts w:cs="Times New Roman"/>
          <w:lang w:val="pl-PL"/>
        </w:rPr>
        <w:t xml:space="preserve">, </w:t>
      </w:r>
      <w:r w:rsidR="005C62F3" w:rsidRPr="0051003F">
        <w:rPr>
          <w:rFonts w:cs="Times New Roman"/>
          <w:lang w:val="pl-PL"/>
        </w:rPr>
        <w:t xml:space="preserve">zdecydowały </w:t>
      </w:r>
      <w:r w:rsidR="00F84697">
        <w:rPr>
          <w:rFonts w:cs="Times New Roman"/>
          <w:lang w:val="pl-PL"/>
        </w:rPr>
        <w:t>nałożyć</w:t>
      </w:r>
      <w:r w:rsidR="005C62F3" w:rsidRPr="0051003F">
        <w:rPr>
          <w:rFonts w:cs="Times New Roman"/>
          <w:lang w:val="pl-PL"/>
        </w:rPr>
        <w:t xml:space="preserve"> na niego 30% kary podatkowej. W decyzji uwzględniono między innymi dowody przedstawione przez pierwszego i drugiego skarżącego w trakcie przesłuchań w postępowaniu przygotowawczym. Drugi skarżący zapłacił należny podatek wraz z karą i nie odwołał się od tej decyzji, która stała się ostateczna w dniu 26 grudnia 2008 r</w:t>
      </w:r>
      <w:r w:rsidR="00830D03">
        <w:rPr>
          <w:rFonts w:cs="Times New Roman"/>
          <w:lang w:val="pl-PL"/>
        </w:rPr>
        <w:t>oku</w:t>
      </w:r>
      <w:r w:rsidR="005C62F3" w:rsidRPr="0051003F">
        <w:rPr>
          <w:rFonts w:cs="Times New Roman"/>
          <w:lang w:val="pl-PL"/>
        </w:rPr>
        <w:t>.</w:t>
      </w:r>
    </w:p>
    <w:p w:rsidR="00A73858" w:rsidRPr="0051003F" w:rsidRDefault="007E07C2" w:rsidP="00A73858">
      <w:pPr>
        <w:pStyle w:val="ECHRPara"/>
        <w:rPr>
          <w:rFonts w:cs="Times New Roman"/>
          <w:lang w:val="pl-PL"/>
        </w:rPr>
      </w:pPr>
      <w:r>
        <w:rPr>
          <w:rFonts w:cs="Times New Roman"/>
          <w:lang w:val="pl-PL"/>
        </w:rPr>
        <w:t>33</w:t>
      </w:r>
      <w:r w:rsidR="00703159" w:rsidRPr="0051003F">
        <w:rPr>
          <w:rFonts w:cs="Times New Roman"/>
          <w:lang w:val="pl-PL"/>
        </w:rPr>
        <w:t>.  </w:t>
      </w:r>
      <w:r w:rsidR="00A73858" w:rsidRPr="0051003F">
        <w:rPr>
          <w:rFonts w:cs="Times New Roman"/>
          <w:lang w:val="pl-PL"/>
        </w:rPr>
        <w:t>W międzyczasie, w dniu 11 listopada 2008 r</w:t>
      </w:r>
      <w:r w:rsidR="00830D03">
        <w:rPr>
          <w:rFonts w:cs="Times New Roman"/>
          <w:lang w:val="pl-PL"/>
        </w:rPr>
        <w:t>oku</w:t>
      </w:r>
      <w:r w:rsidR="00A73858" w:rsidRPr="0051003F">
        <w:rPr>
          <w:rFonts w:cs="Times New Roman"/>
          <w:lang w:val="pl-PL"/>
        </w:rPr>
        <w:t xml:space="preserve">. prokurator postawił drugiemu skarżącemu zarzut naruszenia art. 12-1 ust. 1 lit. a) por. z art. 12-2 Ustawy o </w:t>
      </w:r>
      <w:r w:rsidR="00537091" w:rsidRPr="0051003F">
        <w:rPr>
          <w:rFonts w:cs="Times New Roman"/>
          <w:lang w:val="pl-PL"/>
        </w:rPr>
        <w:t>rozliczeniach podatkowych</w:t>
      </w:r>
      <w:r w:rsidR="00A73858" w:rsidRPr="0051003F">
        <w:rPr>
          <w:rFonts w:cs="Times New Roman"/>
          <w:lang w:val="pl-PL"/>
        </w:rPr>
        <w:t>, ze względu na to, że w roku (latach) podatkowym (-</w:t>
      </w:r>
      <w:proofErr w:type="spellStart"/>
      <w:r w:rsidR="00A73858" w:rsidRPr="0051003F">
        <w:rPr>
          <w:rFonts w:cs="Times New Roman"/>
          <w:lang w:val="pl-PL"/>
        </w:rPr>
        <w:t>ych</w:t>
      </w:r>
      <w:proofErr w:type="spellEnd"/>
      <w:r w:rsidR="00A73858" w:rsidRPr="0051003F">
        <w:rPr>
          <w:rFonts w:cs="Times New Roman"/>
          <w:lang w:val="pl-PL"/>
        </w:rPr>
        <w:t xml:space="preserve">) 2001 i/lub 2002 nie zadeklarował on w zeznaniu podatkowym dochodu w wysokości 4.651.881.881 </w:t>
      </w:r>
      <w:r w:rsidR="00830D03">
        <w:rPr>
          <w:rFonts w:cs="Times New Roman"/>
          <w:lang w:val="pl-PL"/>
        </w:rPr>
        <w:t>(</w:t>
      </w:r>
      <w:r w:rsidR="00A73858" w:rsidRPr="0051003F">
        <w:rPr>
          <w:rFonts w:cs="Times New Roman"/>
          <w:lang w:val="pl-PL"/>
        </w:rPr>
        <w:t>NOK</w:t>
      </w:r>
      <w:r w:rsidR="00830D03">
        <w:rPr>
          <w:rFonts w:cs="Times New Roman"/>
          <w:lang w:val="pl-PL"/>
        </w:rPr>
        <w:t>)</w:t>
      </w:r>
      <w:r w:rsidR="00A73858" w:rsidRPr="0051003F">
        <w:rPr>
          <w:rFonts w:cs="Times New Roman"/>
          <w:lang w:val="pl-PL"/>
        </w:rPr>
        <w:t xml:space="preserve">, co stanowiło zobowiązanie podatkowe w wysokości 1.302.526 </w:t>
      </w:r>
      <w:r w:rsidR="00830D03">
        <w:rPr>
          <w:rFonts w:cs="Times New Roman"/>
          <w:lang w:val="pl-PL"/>
        </w:rPr>
        <w:t>(</w:t>
      </w:r>
      <w:r w:rsidR="00A73858" w:rsidRPr="0051003F">
        <w:rPr>
          <w:rFonts w:cs="Times New Roman"/>
          <w:lang w:val="pl-PL"/>
        </w:rPr>
        <w:t>NOK</w:t>
      </w:r>
      <w:r w:rsidR="00830D03">
        <w:rPr>
          <w:rFonts w:cs="Times New Roman"/>
          <w:lang w:val="pl-PL"/>
        </w:rPr>
        <w:t>)</w:t>
      </w:r>
      <w:r w:rsidR="00A73858" w:rsidRPr="0051003F">
        <w:rPr>
          <w:rFonts w:cs="Times New Roman"/>
          <w:lang w:val="pl-PL"/>
        </w:rPr>
        <w:t xml:space="preserve">. Prokurator zwrócił się do Sądu Miasta Oslo z wnioskiem o wydanie orzeczenia </w:t>
      </w:r>
      <w:r w:rsidR="00C82440">
        <w:rPr>
          <w:rFonts w:cs="Times New Roman"/>
          <w:lang w:val="pl-PL"/>
        </w:rPr>
        <w:t>w trybie doraźnym</w:t>
      </w:r>
      <w:r w:rsidR="00C82440" w:rsidRPr="0051003F">
        <w:rPr>
          <w:rFonts w:cs="Times New Roman"/>
          <w:lang w:val="pl-PL"/>
        </w:rPr>
        <w:t xml:space="preserve"> </w:t>
      </w:r>
      <w:r w:rsidR="00A73858" w:rsidRPr="0051003F">
        <w:rPr>
          <w:rFonts w:cs="Times New Roman"/>
          <w:lang w:val="pl-PL"/>
        </w:rPr>
        <w:t>w oparciu o jego zeznania (</w:t>
      </w:r>
      <w:proofErr w:type="spellStart"/>
      <w:r w:rsidR="00A73858" w:rsidRPr="0051003F">
        <w:rPr>
          <w:rFonts w:cs="Times New Roman"/>
          <w:i/>
          <w:lang w:val="pl-PL"/>
        </w:rPr>
        <w:t>tilståelsesdom</w:t>
      </w:r>
      <w:proofErr w:type="spellEnd"/>
      <w:r w:rsidR="00A73858" w:rsidRPr="0051003F">
        <w:rPr>
          <w:rFonts w:cs="Times New Roman"/>
          <w:lang w:val="pl-PL"/>
        </w:rPr>
        <w:t xml:space="preserve">).  Ponadto, Pan E. K., Pan B. L. L. i Pan G. A. przyznali się do winy i wyrazili zgodę na przeprowadzenie procesów </w:t>
      </w:r>
      <w:r w:rsidR="00E217D8">
        <w:rPr>
          <w:rFonts w:cs="Times New Roman"/>
          <w:lang w:val="pl-PL"/>
        </w:rPr>
        <w:t>w trybie przyśpieszonym</w:t>
      </w:r>
      <w:r w:rsidR="00E217D8" w:rsidRPr="0051003F">
        <w:rPr>
          <w:rFonts w:cs="Times New Roman"/>
          <w:lang w:val="pl-PL"/>
        </w:rPr>
        <w:t xml:space="preserve"> </w:t>
      </w:r>
      <w:r w:rsidR="00A73858" w:rsidRPr="0051003F">
        <w:rPr>
          <w:rFonts w:cs="Times New Roman"/>
          <w:lang w:val="pl-PL"/>
        </w:rPr>
        <w:t xml:space="preserve">w oparciu o ich </w:t>
      </w:r>
      <w:r w:rsidR="00A209A3" w:rsidRPr="0051003F">
        <w:rPr>
          <w:rFonts w:cs="Times New Roman"/>
          <w:lang w:val="pl-PL"/>
        </w:rPr>
        <w:t>przyznanie</w:t>
      </w:r>
      <w:r w:rsidR="00A73858" w:rsidRPr="0051003F">
        <w:rPr>
          <w:rFonts w:cs="Times New Roman"/>
          <w:lang w:val="pl-PL"/>
        </w:rPr>
        <w:t xml:space="preserve"> się do winy.</w:t>
      </w:r>
    </w:p>
    <w:p w:rsidR="00703159" w:rsidRPr="0051003F" w:rsidRDefault="007E07C2" w:rsidP="00A73858">
      <w:pPr>
        <w:pStyle w:val="ECHRPara"/>
        <w:rPr>
          <w:rFonts w:cs="Times New Roman"/>
          <w:lang w:val="pl-PL"/>
        </w:rPr>
      </w:pPr>
      <w:r>
        <w:rPr>
          <w:rFonts w:cs="Times New Roman"/>
          <w:lang w:val="pl-PL"/>
        </w:rPr>
        <w:t>34</w:t>
      </w:r>
      <w:r w:rsidR="00A73858" w:rsidRPr="0051003F">
        <w:rPr>
          <w:rFonts w:cs="Times New Roman"/>
          <w:lang w:val="pl-PL"/>
        </w:rPr>
        <w:t>.  W dniu 10 lutego</w:t>
      </w:r>
      <w:r w:rsidR="00703159" w:rsidRPr="0051003F">
        <w:rPr>
          <w:rFonts w:cs="Times New Roman"/>
          <w:lang w:val="pl-PL"/>
        </w:rPr>
        <w:t xml:space="preserve"> 2009 </w:t>
      </w:r>
      <w:r w:rsidR="00A73858" w:rsidRPr="0051003F">
        <w:rPr>
          <w:rFonts w:cs="Times New Roman"/>
          <w:lang w:val="pl-PL"/>
        </w:rPr>
        <w:t>r</w:t>
      </w:r>
      <w:r w:rsidR="00E217D8">
        <w:rPr>
          <w:rFonts w:cs="Times New Roman"/>
          <w:lang w:val="pl-PL"/>
        </w:rPr>
        <w:t>oku</w:t>
      </w:r>
      <w:r w:rsidR="00A73858" w:rsidRPr="0051003F">
        <w:rPr>
          <w:rFonts w:cs="Times New Roman"/>
          <w:lang w:val="pl-PL"/>
        </w:rPr>
        <w:t xml:space="preserve"> skarżący</w:t>
      </w:r>
      <w:r w:rsidR="00703159" w:rsidRPr="0051003F">
        <w:rPr>
          <w:rFonts w:cs="Times New Roman"/>
          <w:lang w:val="pl-PL"/>
        </w:rPr>
        <w:t xml:space="preserve"> (</w:t>
      </w:r>
      <w:r w:rsidR="00A73858" w:rsidRPr="0051003F">
        <w:rPr>
          <w:rFonts w:cs="Times New Roman"/>
          <w:lang w:val="pl-PL"/>
        </w:rPr>
        <w:t xml:space="preserve">w przeciwieństwie do </w:t>
      </w:r>
      <w:r w:rsidR="00703159" w:rsidRPr="0051003F">
        <w:rPr>
          <w:rFonts w:cs="Times New Roman"/>
          <w:lang w:val="pl-PL"/>
        </w:rPr>
        <w:t xml:space="preserve">E.K., B.L. and G.A.) </w:t>
      </w:r>
      <w:r w:rsidR="00A73858" w:rsidRPr="0051003F">
        <w:rPr>
          <w:rFonts w:cs="Times New Roman"/>
          <w:lang w:val="pl-PL"/>
        </w:rPr>
        <w:t>wycofał swoje zeznania</w:t>
      </w:r>
      <w:r w:rsidR="00703159" w:rsidRPr="0051003F">
        <w:rPr>
          <w:rFonts w:cs="Times New Roman"/>
          <w:lang w:val="pl-PL"/>
        </w:rPr>
        <w:t xml:space="preserve">, </w:t>
      </w:r>
      <w:r w:rsidR="00A73858" w:rsidRPr="0051003F">
        <w:rPr>
          <w:rFonts w:cs="Times New Roman"/>
          <w:lang w:val="pl-PL"/>
        </w:rPr>
        <w:t>wynikiem czego było ponowne złożenie aktu oskarżenia, w dniu 29 maja 2009 r</w:t>
      </w:r>
      <w:r w:rsidR="00E217D8">
        <w:rPr>
          <w:rFonts w:cs="Times New Roman"/>
          <w:lang w:val="pl-PL"/>
        </w:rPr>
        <w:t>oku</w:t>
      </w:r>
      <w:r w:rsidR="00A73858" w:rsidRPr="0051003F">
        <w:rPr>
          <w:rFonts w:cs="Times New Roman"/>
          <w:lang w:val="pl-PL"/>
        </w:rPr>
        <w:t xml:space="preserve">, </w:t>
      </w:r>
      <w:r w:rsidR="007C33CE" w:rsidRPr="0051003F">
        <w:rPr>
          <w:rFonts w:cs="Times New Roman"/>
          <w:lang w:val="pl-PL"/>
        </w:rPr>
        <w:t>zawierającego</w:t>
      </w:r>
      <w:r w:rsidR="00A73858" w:rsidRPr="0051003F">
        <w:rPr>
          <w:rFonts w:cs="Times New Roman"/>
          <w:lang w:val="pl-PL"/>
        </w:rPr>
        <w:t xml:space="preserve"> te same zarzuty.</w:t>
      </w:r>
    </w:p>
    <w:p w:rsidR="002706EF" w:rsidRPr="0051003F" w:rsidRDefault="007E07C2" w:rsidP="002706EF">
      <w:pPr>
        <w:pStyle w:val="ECHRPara"/>
        <w:rPr>
          <w:rFonts w:cs="Times New Roman"/>
          <w:lang w:val="pl-PL"/>
        </w:rPr>
      </w:pPr>
      <w:r>
        <w:rPr>
          <w:rFonts w:cs="Times New Roman"/>
          <w:lang w:val="pl-PL"/>
        </w:rPr>
        <w:t>35</w:t>
      </w:r>
      <w:r w:rsidR="00A73858" w:rsidRPr="0051003F">
        <w:rPr>
          <w:rFonts w:cs="Times New Roman"/>
          <w:lang w:val="pl-PL"/>
        </w:rPr>
        <w:t>.  W dniu 30 września</w:t>
      </w:r>
      <w:r w:rsidR="00703159" w:rsidRPr="0051003F">
        <w:rPr>
          <w:rFonts w:cs="Times New Roman"/>
          <w:lang w:val="pl-PL"/>
        </w:rPr>
        <w:t xml:space="preserve"> 2009</w:t>
      </w:r>
      <w:r w:rsidR="00A73858" w:rsidRPr="0051003F">
        <w:rPr>
          <w:rFonts w:cs="Times New Roman"/>
          <w:lang w:val="pl-PL"/>
        </w:rPr>
        <w:t xml:space="preserve"> r</w:t>
      </w:r>
      <w:r w:rsidR="00E217D8">
        <w:rPr>
          <w:rFonts w:cs="Times New Roman"/>
          <w:lang w:val="pl-PL"/>
        </w:rPr>
        <w:t>oku</w:t>
      </w:r>
      <w:r w:rsidR="00A73858" w:rsidRPr="0051003F">
        <w:rPr>
          <w:rFonts w:cs="Times New Roman"/>
          <w:lang w:val="pl-PL"/>
        </w:rPr>
        <w:t xml:space="preserve"> Sąd Miejski</w:t>
      </w:r>
      <w:r w:rsidR="00703159" w:rsidRPr="0051003F">
        <w:rPr>
          <w:rFonts w:cs="Times New Roman"/>
          <w:lang w:val="pl-PL"/>
        </w:rPr>
        <w:t xml:space="preserve">, </w:t>
      </w:r>
      <w:r w:rsidR="002706EF" w:rsidRPr="0051003F">
        <w:rPr>
          <w:rFonts w:cs="Times New Roman"/>
          <w:lang w:val="pl-PL"/>
        </w:rPr>
        <w:t xml:space="preserve">po przeprowadzeniu rozprawy kontradyktoryjnej, skazał drugiego </w:t>
      </w:r>
      <w:r w:rsidR="007C33CE" w:rsidRPr="0051003F">
        <w:rPr>
          <w:rFonts w:cs="Times New Roman"/>
          <w:lang w:val="pl-PL"/>
        </w:rPr>
        <w:t>skarżącego</w:t>
      </w:r>
      <w:r w:rsidR="002706EF" w:rsidRPr="0051003F">
        <w:rPr>
          <w:rFonts w:cs="Times New Roman"/>
          <w:lang w:val="pl-PL"/>
        </w:rPr>
        <w:t xml:space="preserve"> i wymierzył karę </w:t>
      </w:r>
      <w:r w:rsidR="002706EF" w:rsidRPr="0051003F">
        <w:rPr>
          <w:rFonts w:cs="Times New Roman"/>
          <w:lang w:val="pl-PL"/>
        </w:rPr>
        <w:lastRenderedPageBreak/>
        <w:t xml:space="preserve">pieniężną oraz karę pozbawienia wolności za popełnione </w:t>
      </w:r>
      <w:r w:rsidR="007C33CE" w:rsidRPr="0051003F">
        <w:rPr>
          <w:rFonts w:cs="Times New Roman"/>
          <w:lang w:val="pl-PL"/>
        </w:rPr>
        <w:t>przestępstwa</w:t>
      </w:r>
      <w:r w:rsidR="002706EF" w:rsidRPr="0051003F">
        <w:rPr>
          <w:rFonts w:cs="Times New Roman"/>
          <w:lang w:val="pl-PL"/>
        </w:rPr>
        <w:t xml:space="preserve"> podatkowe, </w:t>
      </w:r>
      <w:r w:rsidR="00E217D8">
        <w:rPr>
          <w:rFonts w:cs="Times New Roman"/>
          <w:lang w:val="pl-PL"/>
        </w:rPr>
        <w:t>mając na uwadze to</w:t>
      </w:r>
      <w:r w:rsidR="002706EF" w:rsidRPr="0051003F">
        <w:rPr>
          <w:rFonts w:cs="Times New Roman"/>
          <w:lang w:val="pl-PL"/>
        </w:rPr>
        <w:t>, że nałożono na niego już karę podatkową.</w:t>
      </w:r>
    </w:p>
    <w:p w:rsidR="00703159" w:rsidRPr="0051003F" w:rsidRDefault="007E07C2" w:rsidP="002706EF">
      <w:pPr>
        <w:pStyle w:val="ECHRPara"/>
        <w:rPr>
          <w:rFonts w:cs="Times New Roman"/>
          <w:lang w:val="pl-PL"/>
        </w:rPr>
      </w:pPr>
      <w:r>
        <w:rPr>
          <w:rFonts w:cs="Times New Roman"/>
          <w:lang w:val="pl-PL"/>
        </w:rPr>
        <w:t>36</w:t>
      </w:r>
      <w:r w:rsidR="00703159" w:rsidRPr="0051003F">
        <w:rPr>
          <w:rFonts w:cs="Times New Roman"/>
          <w:lang w:val="pl-PL"/>
        </w:rPr>
        <w:t>.  </w:t>
      </w:r>
      <w:r w:rsidR="002706EF" w:rsidRPr="0051003F">
        <w:rPr>
          <w:rFonts w:cs="Times New Roman"/>
          <w:lang w:val="pl-PL"/>
        </w:rPr>
        <w:t xml:space="preserve">Drugi </w:t>
      </w:r>
      <w:r w:rsidR="007C33CE" w:rsidRPr="0051003F">
        <w:rPr>
          <w:rFonts w:cs="Times New Roman"/>
          <w:lang w:val="pl-PL"/>
        </w:rPr>
        <w:t>skarżący</w:t>
      </w:r>
      <w:r w:rsidR="002706EF" w:rsidRPr="0051003F">
        <w:rPr>
          <w:rFonts w:cs="Times New Roman"/>
          <w:lang w:val="pl-PL"/>
        </w:rPr>
        <w:t xml:space="preserve"> wniósł apelację od wyroku Sądu Miejskiego do</w:t>
      </w:r>
      <w:r w:rsidR="00703159" w:rsidRPr="0051003F">
        <w:rPr>
          <w:rFonts w:cs="Times New Roman"/>
          <w:lang w:val="pl-PL"/>
        </w:rPr>
        <w:t xml:space="preserve"> </w:t>
      </w:r>
      <w:r w:rsidR="002706EF" w:rsidRPr="0051003F">
        <w:rPr>
          <w:rFonts w:cs="Times New Roman"/>
          <w:lang w:val="pl-PL"/>
        </w:rPr>
        <w:t xml:space="preserve">Sądu Apelacyjnego </w:t>
      </w:r>
      <w:proofErr w:type="spellStart"/>
      <w:r w:rsidR="00703159" w:rsidRPr="0051003F">
        <w:rPr>
          <w:rFonts w:cs="Times New Roman"/>
          <w:lang w:val="pl-PL"/>
        </w:rPr>
        <w:t>Borgarting</w:t>
      </w:r>
      <w:proofErr w:type="spellEnd"/>
      <w:r w:rsidR="00703159" w:rsidRPr="0051003F">
        <w:rPr>
          <w:rFonts w:cs="Times New Roman"/>
          <w:lang w:val="pl-PL"/>
        </w:rPr>
        <w:t xml:space="preserve">, </w:t>
      </w:r>
      <w:r w:rsidR="002706EF" w:rsidRPr="0051003F">
        <w:rPr>
          <w:rFonts w:cs="Times New Roman"/>
          <w:lang w:val="pl-PL"/>
        </w:rPr>
        <w:t xml:space="preserve">zarzucając w szczególności, że </w:t>
      </w:r>
      <w:r w:rsidR="00C6371B" w:rsidRPr="0051003F">
        <w:rPr>
          <w:rFonts w:cs="Times New Roman"/>
          <w:lang w:val="pl-PL"/>
        </w:rPr>
        <w:t xml:space="preserve">z powodu </w:t>
      </w:r>
      <w:r w:rsidR="002706EF" w:rsidRPr="0051003F">
        <w:rPr>
          <w:rFonts w:cs="Times New Roman"/>
          <w:lang w:val="pl-PL"/>
        </w:rPr>
        <w:t>zakaz</w:t>
      </w:r>
      <w:r w:rsidR="00C6371B" w:rsidRPr="0051003F">
        <w:rPr>
          <w:rFonts w:cs="Times New Roman"/>
          <w:lang w:val="pl-PL"/>
        </w:rPr>
        <w:t>u</w:t>
      </w:r>
      <w:r w:rsidR="002706EF" w:rsidRPr="0051003F">
        <w:rPr>
          <w:rFonts w:cs="Times New Roman"/>
          <w:lang w:val="pl-PL"/>
        </w:rPr>
        <w:t xml:space="preserve"> podwójnego </w:t>
      </w:r>
      <w:r w:rsidR="00C6371B" w:rsidRPr="0051003F">
        <w:rPr>
          <w:rFonts w:cs="Times New Roman"/>
          <w:lang w:val="pl-PL"/>
        </w:rPr>
        <w:t xml:space="preserve">karania za ten sam czyn, wyrażonego w art. 4 Protokołu </w:t>
      </w:r>
      <w:r w:rsidR="001F7314">
        <w:rPr>
          <w:rFonts w:cs="Times New Roman"/>
          <w:lang w:val="pl-PL"/>
        </w:rPr>
        <w:t>n</w:t>
      </w:r>
      <w:r w:rsidR="00C6371B" w:rsidRPr="0051003F">
        <w:rPr>
          <w:rFonts w:cs="Times New Roman"/>
          <w:lang w:val="pl-PL"/>
        </w:rPr>
        <w:t xml:space="preserve">r 7, fakt nałożenia na niego kary podatkowej stanowił przeszkodę do skazania </w:t>
      </w:r>
      <w:r w:rsidR="001F7314">
        <w:rPr>
          <w:rFonts w:cs="Times New Roman"/>
          <w:lang w:val="pl-PL"/>
        </w:rPr>
        <w:t xml:space="preserve">go </w:t>
      </w:r>
      <w:r w:rsidR="00C6371B" w:rsidRPr="0051003F">
        <w:rPr>
          <w:rFonts w:cs="Times New Roman"/>
          <w:lang w:val="pl-PL"/>
        </w:rPr>
        <w:t>w postępowaniu karnym. W związku z tym, żądał, aby wyrok Sądu Miejskiego został uchylony</w:t>
      </w:r>
      <w:r w:rsidR="00703159" w:rsidRPr="0051003F">
        <w:rPr>
          <w:rFonts w:cs="Times New Roman"/>
          <w:lang w:val="pl-PL"/>
        </w:rPr>
        <w:t xml:space="preserve"> (</w:t>
      </w:r>
      <w:proofErr w:type="spellStart"/>
      <w:r w:rsidR="00703159" w:rsidRPr="0051003F">
        <w:rPr>
          <w:rFonts w:cs="Times New Roman"/>
          <w:i/>
          <w:iCs/>
          <w:lang w:val="pl-PL"/>
        </w:rPr>
        <w:t>opphevet</w:t>
      </w:r>
      <w:proofErr w:type="spellEnd"/>
      <w:r w:rsidR="00703159" w:rsidRPr="0051003F">
        <w:rPr>
          <w:rFonts w:cs="Times New Roman"/>
          <w:lang w:val="pl-PL"/>
        </w:rPr>
        <w:t xml:space="preserve">) </w:t>
      </w:r>
      <w:r w:rsidR="00C6371B" w:rsidRPr="0051003F">
        <w:rPr>
          <w:rFonts w:cs="Times New Roman"/>
          <w:lang w:val="pl-PL"/>
        </w:rPr>
        <w:t xml:space="preserve">oraz aby </w:t>
      </w:r>
      <w:r w:rsidR="007C33CE" w:rsidRPr="0051003F">
        <w:rPr>
          <w:rFonts w:cs="Times New Roman"/>
          <w:lang w:val="pl-PL"/>
        </w:rPr>
        <w:t>postępowanie</w:t>
      </w:r>
      <w:r w:rsidR="00C6371B" w:rsidRPr="0051003F">
        <w:rPr>
          <w:rFonts w:cs="Times New Roman"/>
          <w:lang w:val="pl-PL"/>
        </w:rPr>
        <w:t xml:space="preserve"> prowadzone przez prokuratora zostało umorzone przez sąd</w:t>
      </w:r>
      <w:r w:rsidR="00703159" w:rsidRPr="0051003F">
        <w:rPr>
          <w:rFonts w:cs="Times New Roman"/>
          <w:lang w:val="pl-PL"/>
        </w:rPr>
        <w:t xml:space="preserve"> (</w:t>
      </w:r>
      <w:proofErr w:type="spellStart"/>
      <w:r w:rsidR="00703159" w:rsidRPr="0051003F">
        <w:rPr>
          <w:rFonts w:cs="Times New Roman"/>
          <w:i/>
          <w:iCs/>
          <w:lang w:val="pl-PL"/>
        </w:rPr>
        <w:t>avvist</w:t>
      </w:r>
      <w:proofErr w:type="spellEnd"/>
      <w:r w:rsidR="00703159" w:rsidRPr="0051003F">
        <w:rPr>
          <w:rFonts w:cs="Times New Roman"/>
          <w:lang w:val="pl-PL"/>
        </w:rPr>
        <w:t xml:space="preserve">) </w:t>
      </w:r>
    </w:p>
    <w:p w:rsidR="00703159" w:rsidRPr="0051003F" w:rsidRDefault="007E07C2" w:rsidP="00C6371B">
      <w:pPr>
        <w:pStyle w:val="ECHRPara"/>
        <w:rPr>
          <w:rFonts w:cs="Times New Roman"/>
          <w:lang w:val="pl-PL"/>
        </w:rPr>
      </w:pPr>
      <w:r>
        <w:rPr>
          <w:rFonts w:cs="Times New Roman"/>
          <w:lang w:val="pl-PL"/>
        </w:rPr>
        <w:t>37</w:t>
      </w:r>
      <w:r w:rsidR="00703159" w:rsidRPr="0051003F">
        <w:rPr>
          <w:rFonts w:cs="Times New Roman"/>
          <w:lang w:val="pl-PL"/>
        </w:rPr>
        <w:t>.  </w:t>
      </w:r>
      <w:r w:rsidR="00C6371B" w:rsidRPr="0051003F">
        <w:rPr>
          <w:rFonts w:cs="Times New Roman"/>
          <w:lang w:val="pl-PL"/>
        </w:rPr>
        <w:t>Wyrokiem z dnia 8 lipca 2010 r</w:t>
      </w:r>
      <w:r w:rsidR="001F7314">
        <w:rPr>
          <w:rFonts w:cs="Times New Roman"/>
          <w:lang w:val="pl-PL"/>
        </w:rPr>
        <w:t>oku</w:t>
      </w:r>
      <w:r w:rsidR="00C6371B" w:rsidRPr="0051003F">
        <w:rPr>
          <w:rFonts w:cs="Times New Roman"/>
          <w:lang w:val="pl-PL"/>
        </w:rPr>
        <w:t xml:space="preserve"> Sąd Apelacyjny oddalił apelację drugiego </w:t>
      </w:r>
      <w:r w:rsidR="007C33CE" w:rsidRPr="0051003F">
        <w:rPr>
          <w:rFonts w:cs="Times New Roman"/>
          <w:lang w:val="pl-PL"/>
        </w:rPr>
        <w:t>skarżącego</w:t>
      </w:r>
      <w:r w:rsidR="00C6371B" w:rsidRPr="0051003F">
        <w:rPr>
          <w:rFonts w:cs="Times New Roman"/>
          <w:lang w:val="pl-PL"/>
        </w:rPr>
        <w:t xml:space="preserve">, opierając się zasadniczo </w:t>
      </w:r>
      <w:r w:rsidR="001F541E" w:rsidRPr="0051003F">
        <w:rPr>
          <w:rFonts w:cs="Times New Roman"/>
          <w:lang w:val="pl-PL"/>
        </w:rPr>
        <w:t xml:space="preserve">na </w:t>
      </w:r>
      <w:r w:rsidR="00C6371B" w:rsidRPr="0051003F">
        <w:rPr>
          <w:rFonts w:cs="Times New Roman"/>
          <w:lang w:val="pl-PL"/>
        </w:rPr>
        <w:t>uzasadnieniu wydanym przez Sąd Najwyższy w sprawie pierwszego skarżącego</w:t>
      </w:r>
      <w:r w:rsidR="001F541E" w:rsidRPr="0051003F">
        <w:rPr>
          <w:rFonts w:cs="Times New Roman"/>
          <w:lang w:val="pl-PL"/>
        </w:rPr>
        <w:t xml:space="preserve"> </w:t>
      </w:r>
      <w:r w:rsidR="00C6371B" w:rsidRPr="0051003F">
        <w:rPr>
          <w:rFonts w:cs="Times New Roman"/>
          <w:lang w:val="pl-PL"/>
        </w:rPr>
        <w:t xml:space="preserve">(zob. paragrafy 20-30 powyżej). W </w:t>
      </w:r>
      <w:r w:rsidR="007C33CE" w:rsidRPr="0051003F">
        <w:rPr>
          <w:rFonts w:cs="Times New Roman"/>
          <w:lang w:val="pl-PL"/>
        </w:rPr>
        <w:t>związku</w:t>
      </w:r>
      <w:r w:rsidR="00C6371B" w:rsidRPr="0051003F">
        <w:rPr>
          <w:rFonts w:cs="Times New Roman"/>
          <w:lang w:val="pl-PL"/>
        </w:rPr>
        <w:t xml:space="preserve"> z tym, Sąd Apelacyjny, stwierdził, że decyzja organów </w:t>
      </w:r>
      <w:r w:rsidR="007C33CE" w:rsidRPr="0051003F">
        <w:rPr>
          <w:rFonts w:cs="Times New Roman"/>
          <w:lang w:val="pl-PL"/>
        </w:rPr>
        <w:t>podatkowych</w:t>
      </w:r>
      <w:r w:rsidR="00C6371B" w:rsidRPr="0051003F">
        <w:rPr>
          <w:rFonts w:cs="Times New Roman"/>
          <w:lang w:val="pl-PL"/>
        </w:rPr>
        <w:t xml:space="preserve"> z dnia 5 grudnia 2008 r</w:t>
      </w:r>
      <w:r w:rsidR="001F7314">
        <w:rPr>
          <w:rFonts w:cs="Times New Roman"/>
          <w:lang w:val="pl-PL"/>
        </w:rPr>
        <w:t>oku</w:t>
      </w:r>
      <w:r w:rsidR="00C6371B" w:rsidRPr="0051003F">
        <w:rPr>
          <w:rFonts w:cs="Times New Roman"/>
          <w:lang w:val="pl-PL"/>
        </w:rPr>
        <w:t xml:space="preserve"> nakazująca zapłacenie 30% kary podatkowej nie stanowiła kary w </w:t>
      </w:r>
      <w:r w:rsidR="007C33CE" w:rsidRPr="0051003F">
        <w:rPr>
          <w:rFonts w:cs="Times New Roman"/>
          <w:lang w:val="pl-PL"/>
        </w:rPr>
        <w:t>rozumieniu</w:t>
      </w:r>
      <w:r w:rsidR="00C6371B" w:rsidRPr="0051003F">
        <w:rPr>
          <w:rFonts w:cs="Times New Roman"/>
          <w:lang w:val="pl-PL"/>
        </w:rPr>
        <w:t xml:space="preserve"> prawa karnego</w:t>
      </w:r>
      <w:r w:rsidR="00703159" w:rsidRPr="0051003F">
        <w:rPr>
          <w:rFonts w:cs="Times New Roman"/>
          <w:lang w:val="pl-PL"/>
        </w:rPr>
        <w:t xml:space="preserve"> (</w:t>
      </w:r>
      <w:proofErr w:type="spellStart"/>
      <w:r w:rsidR="00703159" w:rsidRPr="0051003F">
        <w:rPr>
          <w:rFonts w:cs="Times New Roman"/>
          <w:i/>
          <w:iCs/>
          <w:lang w:val="pl-PL"/>
        </w:rPr>
        <w:t>straff</w:t>
      </w:r>
      <w:proofErr w:type="spellEnd"/>
      <w:r w:rsidR="00703159" w:rsidRPr="0051003F">
        <w:rPr>
          <w:rFonts w:cs="Times New Roman"/>
          <w:lang w:val="pl-PL"/>
        </w:rPr>
        <w:t xml:space="preserve">); </w:t>
      </w:r>
      <w:r w:rsidR="00C6371B" w:rsidRPr="0051003F">
        <w:rPr>
          <w:rFonts w:cs="Times New Roman"/>
          <w:lang w:val="pl-PL"/>
        </w:rPr>
        <w:t>że decyzja stała się “ostateczna”</w:t>
      </w:r>
      <w:r w:rsidR="001F541E" w:rsidRPr="0051003F">
        <w:rPr>
          <w:rFonts w:cs="Times New Roman"/>
          <w:lang w:val="pl-PL"/>
        </w:rPr>
        <w:t xml:space="preserve">, ze względu na </w:t>
      </w:r>
      <w:r w:rsidR="001F7314">
        <w:rPr>
          <w:rFonts w:cs="Times New Roman"/>
          <w:lang w:val="pl-PL"/>
        </w:rPr>
        <w:t>upływ</w:t>
      </w:r>
      <w:r w:rsidR="001F541E" w:rsidRPr="0051003F">
        <w:rPr>
          <w:rFonts w:cs="Times New Roman"/>
          <w:lang w:val="pl-PL"/>
        </w:rPr>
        <w:t>, w dniu 26 grudnia 2008 r</w:t>
      </w:r>
      <w:r w:rsidR="001F7314">
        <w:rPr>
          <w:rFonts w:cs="Times New Roman"/>
          <w:lang w:val="pl-PL"/>
        </w:rPr>
        <w:t>oku</w:t>
      </w:r>
      <w:r w:rsidR="001F541E" w:rsidRPr="0051003F">
        <w:rPr>
          <w:rFonts w:cs="Times New Roman"/>
          <w:lang w:val="pl-PL"/>
        </w:rPr>
        <w:t xml:space="preserve"> terminu do wniesienia odwołania, oraz że decyzja w przedmiocie kary podatkowej, a następnie wyrok </w:t>
      </w:r>
      <w:r w:rsidR="007C33CE" w:rsidRPr="0051003F">
        <w:rPr>
          <w:rFonts w:cs="Times New Roman"/>
          <w:lang w:val="pl-PL"/>
        </w:rPr>
        <w:t>skazujący</w:t>
      </w:r>
      <w:r w:rsidR="001F541E" w:rsidRPr="0051003F">
        <w:rPr>
          <w:rFonts w:cs="Times New Roman"/>
          <w:lang w:val="pl-PL"/>
        </w:rPr>
        <w:t xml:space="preserve"> dotyczyły tej samej sprawy.</w:t>
      </w:r>
    </w:p>
    <w:p w:rsidR="007C33CE" w:rsidRPr="0051003F" w:rsidRDefault="007E07C2" w:rsidP="007C33CE">
      <w:pPr>
        <w:pStyle w:val="ECHRPara"/>
        <w:rPr>
          <w:rFonts w:cs="Times New Roman"/>
          <w:lang w:val="pl-PL"/>
        </w:rPr>
      </w:pPr>
      <w:r>
        <w:rPr>
          <w:rFonts w:cs="Times New Roman"/>
          <w:lang w:val="pl-PL"/>
        </w:rPr>
        <w:t>38</w:t>
      </w:r>
      <w:r w:rsidR="00703159" w:rsidRPr="0051003F">
        <w:rPr>
          <w:rFonts w:cs="Times New Roman"/>
          <w:lang w:val="pl-PL"/>
        </w:rPr>
        <w:t>.  </w:t>
      </w:r>
      <w:r w:rsidR="00690C9E" w:rsidRPr="0051003F">
        <w:rPr>
          <w:rFonts w:cs="Times New Roman"/>
          <w:lang w:val="pl-PL"/>
        </w:rPr>
        <w:t xml:space="preserve">Ponadto, tak jak w sprawie pierwszego skarżącego, Sąd Apelacyjny stwierdził, ze dwa </w:t>
      </w:r>
      <w:r w:rsidR="001B4259">
        <w:rPr>
          <w:rFonts w:cs="Times New Roman"/>
          <w:lang w:val="pl-PL"/>
        </w:rPr>
        <w:t>równoległe</w:t>
      </w:r>
      <w:r w:rsidR="001B4259" w:rsidRPr="0051003F">
        <w:rPr>
          <w:rFonts w:cs="Times New Roman"/>
          <w:lang w:val="pl-PL"/>
        </w:rPr>
        <w:t xml:space="preserve"> </w:t>
      </w:r>
      <w:r w:rsidR="007C33CE" w:rsidRPr="0051003F">
        <w:rPr>
          <w:rFonts w:cs="Times New Roman"/>
          <w:lang w:val="pl-PL"/>
        </w:rPr>
        <w:t>postępowania</w:t>
      </w:r>
      <w:r w:rsidR="00585831">
        <w:rPr>
          <w:rFonts w:cs="Times New Roman"/>
          <w:lang w:val="pl-PL"/>
        </w:rPr>
        <w:t xml:space="preserve"> </w:t>
      </w:r>
      <w:r w:rsidR="00690C9E" w:rsidRPr="0051003F">
        <w:rPr>
          <w:rFonts w:cs="Times New Roman"/>
          <w:lang w:val="pl-PL"/>
        </w:rPr>
        <w:t>- administracyjne i karne</w:t>
      </w:r>
      <w:r w:rsidR="00585831">
        <w:rPr>
          <w:rFonts w:cs="Times New Roman"/>
          <w:lang w:val="pl-PL"/>
        </w:rPr>
        <w:t xml:space="preserve"> </w:t>
      </w:r>
      <w:r w:rsidR="00703159" w:rsidRPr="0051003F">
        <w:rPr>
          <w:rFonts w:cs="Times New Roman"/>
          <w:lang w:val="pl-PL"/>
        </w:rPr>
        <w:t xml:space="preserve">– </w:t>
      </w:r>
      <w:r w:rsidR="00690C9E" w:rsidRPr="0051003F">
        <w:rPr>
          <w:rFonts w:cs="Times New Roman"/>
          <w:lang w:val="pl-PL"/>
        </w:rPr>
        <w:t xml:space="preserve">były do pewnego stopnia dozwolone przez art. </w:t>
      </w:r>
      <w:r w:rsidR="00703159" w:rsidRPr="0051003F">
        <w:rPr>
          <w:rFonts w:cs="Times New Roman"/>
          <w:lang w:val="pl-PL"/>
        </w:rPr>
        <w:t xml:space="preserve">4 </w:t>
      </w:r>
      <w:r w:rsidR="00585831">
        <w:rPr>
          <w:rFonts w:cs="Times New Roman"/>
          <w:lang w:val="pl-PL"/>
        </w:rPr>
        <w:t>Protokołu nr</w:t>
      </w:r>
      <w:r w:rsidR="00703159" w:rsidRPr="0051003F">
        <w:rPr>
          <w:rFonts w:cs="Times New Roman"/>
          <w:lang w:val="pl-PL"/>
        </w:rPr>
        <w:t xml:space="preserve"> 7, </w:t>
      </w:r>
      <w:r w:rsidR="00CD0E41" w:rsidRPr="0051003F">
        <w:rPr>
          <w:rFonts w:cs="Times New Roman"/>
          <w:lang w:val="pl-PL"/>
        </w:rPr>
        <w:t>pod warunkiem, że drugie postępowanie wszczęto przed uprawomocnieniem się pierwszego postępowania</w:t>
      </w:r>
      <w:r w:rsidR="00703159" w:rsidRPr="0051003F">
        <w:rPr>
          <w:rFonts w:cs="Times New Roman"/>
          <w:lang w:val="pl-PL"/>
        </w:rPr>
        <w:t xml:space="preserve">. </w:t>
      </w:r>
      <w:r w:rsidR="007C33CE" w:rsidRPr="0051003F">
        <w:rPr>
          <w:rFonts w:cs="Times New Roman"/>
          <w:lang w:val="pl-PL"/>
        </w:rPr>
        <w:t>W przypadkach, w których ten wymóg minimalny został spełniony, należało ocenić stan zaawansowania działań drugiego postępowania, a także ustalić, czy istniał wystarczający związek merytoryczny i czasowy pomiędzy pierwszym a drugim orzeczeniem.</w:t>
      </w:r>
    </w:p>
    <w:p w:rsidR="00006659" w:rsidRPr="0051003F" w:rsidRDefault="007E07C2" w:rsidP="00A209A3">
      <w:pPr>
        <w:pStyle w:val="ECHRPara"/>
        <w:rPr>
          <w:rFonts w:cs="Times New Roman"/>
          <w:lang w:val="pl-PL"/>
        </w:rPr>
      </w:pPr>
      <w:r>
        <w:rPr>
          <w:rFonts w:cs="Times New Roman"/>
          <w:lang w:val="pl-PL"/>
        </w:rPr>
        <w:t>39</w:t>
      </w:r>
      <w:r w:rsidR="00703159" w:rsidRPr="0051003F">
        <w:rPr>
          <w:rFonts w:cs="Times New Roman"/>
          <w:lang w:val="pl-PL"/>
        </w:rPr>
        <w:t>.  </w:t>
      </w:r>
      <w:r w:rsidR="00CB3137" w:rsidRPr="0051003F">
        <w:rPr>
          <w:rFonts w:cs="Times New Roman"/>
          <w:lang w:val="pl-PL"/>
        </w:rPr>
        <w:t xml:space="preserve">Jeżeli chodzi o konkretną ocenę sprawy drugiego </w:t>
      </w:r>
      <w:r w:rsidR="00654923" w:rsidRPr="0051003F">
        <w:rPr>
          <w:rFonts w:cs="Times New Roman"/>
          <w:lang w:val="pl-PL"/>
        </w:rPr>
        <w:t>skarżącego</w:t>
      </w:r>
      <w:r w:rsidR="00CB3137" w:rsidRPr="0051003F">
        <w:rPr>
          <w:rFonts w:cs="Times New Roman"/>
          <w:lang w:val="pl-PL"/>
        </w:rPr>
        <w:t>, Sąd Apelacyjny zauważył, że postępowanie karne i postępowanie podatkowe były w rzeczywistości prowadzone równolegle, ponieważ już jesienią 2007 r</w:t>
      </w:r>
      <w:r w:rsidR="00585831">
        <w:rPr>
          <w:rFonts w:cs="Times New Roman"/>
          <w:lang w:val="pl-PL"/>
        </w:rPr>
        <w:t>oku</w:t>
      </w:r>
      <w:r w:rsidR="00CB3137" w:rsidRPr="0051003F">
        <w:rPr>
          <w:rFonts w:cs="Times New Roman"/>
          <w:lang w:val="pl-PL"/>
        </w:rPr>
        <w:t>, aż do czasu podjęcia decyzji o nałożeniu kary podatkowej w grudniu 2008 r</w:t>
      </w:r>
      <w:r w:rsidR="00585831">
        <w:rPr>
          <w:rFonts w:cs="Times New Roman"/>
          <w:lang w:val="pl-PL"/>
        </w:rPr>
        <w:t>oku</w:t>
      </w:r>
      <w:r w:rsidR="00CB3137" w:rsidRPr="0051003F">
        <w:rPr>
          <w:rFonts w:cs="Times New Roman"/>
          <w:lang w:val="pl-PL"/>
        </w:rPr>
        <w:t xml:space="preserve">, organy podatkowe złożyły </w:t>
      </w:r>
      <w:r w:rsidR="00585831">
        <w:rPr>
          <w:rFonts w:cs="Times New Roman"/>
          <w:lang w:val="pl-PL"/>
        </w:rPr>
        <w:t>zawiadomienie</w:t>
      </w:r>
      <w:r w:rsidR="00585831" w:rsidRPr="0051003F">
        <w:rPr>
          <w:rFonts w:cs="Times New Roman"/>
          <w:lang w:val="pl-PL"/>
        </w:rPr>
        <w:t xml:space="preserve"> </w:t>
      </w:r>
      <w:r w:rsidR="00CB3137" w:rsidRPr="0051003F">
        <w:rPr>
          <w:rFonts w:cs="Times New Roman"/>
          <w:lang w:val="pl-PL"/>
        </w:rPr>
        <w:t xml:space="preserve">o </w:t>
      </w:r>
      <w:r w:rsidR="00654923" w:rsidRPr="0051003F">
        <w:rPr>
          <w:rFonts w:cs="Times New Roman"/>
          <w:lang w:val="pl-PL"/>
        </w:rPr>
        <w:t>możliwości</w:t>
      </w:r>
      <w:r w:rsidR="00CB3137" w:rsidRPr="0051003F">
        <w:rPr>
          <w:rFonts w:cs="Times New Roman"/>
          <w:lang w:val="pl-PL"/>
        </w:rPr>
        <w:t xml:space="preserve"> popełnienia przestępstwa na policji. Taki stan rzeczy był podobny do sytuacji pierwszego skarżącego. Drugi skarżący został oskarżony, a sprawa została przekazana do Sądu </w:t>
      </w:r>
      <w:r w:rsidR="00C86EB3">
        <w:rPr>
          <w:rFonts w:cs="Times New Roman"/>
          <w:lang w:val="pl-PL"/>
        </w:rPr>
        <w:t>Miejskiego</w:t>
      </w:r>
      <w:r w:rsidR="00C86EB3" w:rsidRPr="0051003F">
        <w:rPr>
          <w:rFonts w:cs="Times New Roman"/>
          <w:lang w:val="pl-PL"/>
        </w:rPr>
        <w:t xml:space="preserve"> </w:t>
      </w:r>
      <w:r w:rsidR="00CB3137" w:rsidRPr="0051003F">
        <w:rPr>
          <w:rFonts w:cs="Times New Roman"/>
          <w:lang w:val="pl-PL"/>
        </w:rPr>
        <w:t xml:space="preserve">z wnioskiem o wydanie wyroku </w:t>
      </w:r>
      <w:r w:rsidR="00C86EB3">
        <w:rPr>
          <w:rFonts w:cs="Times New Roman"/>
          <w:lang w:val="pl-PL"/>
        </w:rPr>
        <w:t>doraźnego</w:t>
      </w:r>
      <w:r w:rsidR="00C86EB3" w:rsidRPr="0051003F">
        <w:rPr>
          <w:rFonts w:cs="Times New Roman"/>
          <w:lang w:val="pl-PL"/>
        </w:rPr>
        <w:t xml:space="preserve"> </w:t>
      </w:r>
      <w:r w:rsidR="00CB3137" w:rsidRPr="0051003F">
        <w:rPr>
          <w:rFonts w:cs="Times New Roman"/>
          <w:lang w:val="pl-PL"/>
        </w:rPr>
        <w:t>na podstawie jego zeznania z dnia 11 listopada 2008 r</w:t>
      </w:r>
      <w:r w:rsidR="00C86EB3">
        <w:rPr>
          <w:rFonts w:cs="Times New Roman"/>
          <w:lang w:val="pl-PL"/>
        </w:rPr>
        <w:t>oku</w:t>
      </w:r>
      <w:r w:rsidR="00CB3137" w:rsidRPr="0051003F">
        <w:rPr>
          <w:rFonts w:cs="Times New Roman"/>
          <w:lang w:val="pl-PL"/>
        </w:rPr>
        <w:t>, przed wydaniem decyzji w sprawie kary podatkowej. Postępowanie karne osiągnęło więc stosunkowo zaawansowany etap do czasu podjęcia decyzji o nałożeniu kary podatkowej. Dziewięciomiesięczny okres - od dnia, w którym decyzja organów podatkowych z dnia 5 grudnia 2008 r</w:t>
      </w:r>
      <w:r w:rsidR="00C86EB3">
        <w:rPr>
          <w:rFonts w:cs="Times New Roman"/>
          <w:lang w:val="pl-PL"/>
        </w:rPr>
        <w:t>oku</w:t>
      </w:r>
      <w:r w:rsidR="00CB3137" w:rsidRPr="0051003F">
        <w:rPr>
          <w:rFonts w:cs="Times New Roman"/>
          <w:lang w:val="pl-PL"/>
        </w:rPr>
        <w:t xml:space="preserve"> stała się ostateczna, do czasu wydania przez Sąd </w:t>
      </w:r>
      <w:r w:rsidR="00C86EB3">
        <w:rPr>
          <w:rFonts w:cs="Times New Roman"/>
          <w:lang w:val="pl-PL"/>
        </w:rPr>
        <w:t>Miejski</w:t>
      </w:r>
      <w:r w:rsidR="00C86EB3" w:rsidRPr="0051003F">
        <w:rPr>
          <w:rFonts w:cs="Times New Roman"/>
          <w:lang w:val="pl-PL"/>
        </w:rPr>
        <w:t xml:space="preserve"> </w:t>
      </w:r>
      <w:r w:rsidR="00CB3137" w:rsidRPr="0051003F">
        <w:rPr>
          <w:rFonts w:cs="Times New Roman"/>
          <w:lang w:val="pl-PL"/>
        </w:rPr>
        <w:t>wyroku skazującego w stosunku do drugiego skarżącego, z dnia 30 września 2009 r</w:t>
      </w:r>
      <w:r w:rsidR="00BD1F10">
        <w:rPr>
          <w:rFonts w:cs="Times New Roman"/>
          <w:lang w:val="pl-PL"/>
        </w:rPr>
        <w:t>oku</w:t>
      </w:r>
      <w:r w:rsidR="00CB3137" w:rsidRPr="0051003F">
        <w:rPr>
          <w:rFonts w:cs="Times New Roman"/>
          <w:lang w:val="pl-PL"/>
        </w:rPr>
        <w:t xml:space="preserve"> - był nieco dłuższy niż dwa i pół miesiąca w przypadku pierwszego ze skarżących.</w:t>
      </w:r>
      <w:r w:rsidR="00703159" w:rsidRPr="0051003F">
        <w:rPr>
          <w:rFonts w:cs="Times New Roman"/>
          <w:lang w:val="pl-PL"/>
        </w:rPr>
        <w:t xml:space="preserve"> </w:t>
      </w:r>
      <w:r w:rsidR="00CB3137" w:rsidRPr="0051003F">
        <w:rPr>
          <w:rFonts w:cs="Times New Roman"/>
          <w:lang w:val="pl-PL"/>
        </w:rPr>
        <w:t xml:space="preserve">Można to jednak wytłumaczyć faktem, że drugi skarżący wycofał swoje </w:t>
      </w:r>
      <w:r w:rsidR="00CB3137" w:rsidRPr="0051003F">
        <w:rPr>
          <w:rFonts w:cs="Times New Roman"/>
          <w:lang w:val="pl-PL"/>
        </w:rPr>
        <w:lastRenderedPageBreak/>
        <w:t>zeznania w lutym 2009 r</w:t>
      </w:r>
      <w:r w:rsidR="00BD1F10">
        <w:rPr>
          <w:rFonts w:cs="Times New Roman"/>
          <w:lang w:val="pl-PL"/>
        </w:rPr>
        <w:t>oku</w:t>
      </w:r>
      <w:r w:rsidR="00CB3137" w:rsidRPr="0051003F">
        <w:rPr>
          <w:rFonts w:cs="Times New Roman"/>
          <w:lang w:val="pl-PL"/>
        </w:rPr>
        <w:t>, co spowodowało konieczność ponownego postawienia go w stan oskarżenia w dniu 29 maja 2009 r</w:t>
      </w:r>
      <w:r w:rsidR="00BD1F10">
        <w:rPr>
          <w:rFonts w:cs="Times New Roman"/>
          <w:lang w:val="pl-PL"/>
        </w:rPr>
        <w:t>oku</w:t>
      </w:r>
      <w:r w:rsidR="00CB3137" w:rsidRPr="0051003F">
        <w:rPr>
          <w:rFonts w:cs="Times New Roman"/>
          <w:lang w:val="pl-PL"/>
        </w:rPr>
        <w:t xml:space="preserve"> oraz konieczność przeprowadzenia </w:t>
      </w:r>
      <w:r w:rsidR="00BD1F10">
        <w:rPr>
          <w:rFonts w:cs="Times New Roman"/>
          <w:lang w:val="pl-PL"/>
        </w:rPr>
        <w:t>zwykłej</w:t>
      </w:r>
      <w:r w:rsidR="00BD1F10" w:rsidRPr="0051003F">
        <w:rPr>
          <w:rFonts w:cs="Times New Roman"/>
          <w:lang w:val="pl-PL"/>
        </w:rPr>
        <w:t xml:space="preserve"> </w:t>
      </w:r>
      <w:r w:rsidR="00CB3137" w:rsidRPr="0051003F">
        <w:rPr>
          <w:rFonts w:cs="Times New Roman"/>
          <w:lang w:val="pl-PL"/>
        </w:rPr>
        <w:t>rozprawy.</w:t>
      </w:r>
      <w:r w:rsidR="00A209A3">
        <w:rPr>
          <w:rFonts w:cs="Times New Roman"/>
          <w:lang w:val="pl-PL"/>
        </w:rPr>
        <w:t xml:space="preserve"> </w:t>
      </w:r>
      <w:r w:rsidR="00006659" w:rsidRPr="0051003F">
        <w:rPr>
          <w:rFonts w:cs="Times New Roman"/>
          <w:lang w:val="pl-PL"/>
        </w:rPr>
        <w:t xml:space="preserve">W tym kontekście Sąd Apelacyjny (podobnie jak Sąd </w:t>
      </w:r>
      <w:r w:rsidR="00BD1F10">
        <w:rPr>
          <w:rFonts w:cs="Times New Roman"/>
          <w:lang w:val="pl-PL"/>
        </w:rPr>
        <w:t>Miejski</w:t>
      </w:r>
      <w:r w:rsidR="00006659" w:rsidRPr="0051003F">
        <w:rPr>
          <w:rFonts w:cs="Times New Roman"/>
          <w:lang w:val="pl-PL"/>
        </w:rPr>
        <w:t>) stwierdził, że istnieje bez wątpienia wystarczający związek co do istoty i czasu między orzeczeniem w sprawie kar podatkowych</w:t>
      </w:r>
      <w:r w:rsidR="00CB3137" w:rsidRPr="0051003F">
        <w:rPr>
          <w:rFonts w:cs="Times New Roman"/>
          <w:lang w:val="pl-PL"/>
        </w:rPr>
        <w:t>,</w:t>
      </w:r>
      <w:r w:rsidR="00006659" w:rsidRPr="0051003F">
        <w:rPr>
          <w:rFonts w:cs="Times New Roman"/>
          <w:lang w:val="pl-PL"/>
        </w:rPr>
        <w:t xml:space="preserve"> a późniejszym wyrokiem skazującym</w:t>
      </w:r>
      <w:r w:rsidR="00CB3137" w:rsidRPr="0051003F">
        <w:rPr>
          <w:rFonts w:cs="Times New Roman"/>
          <w:lang w:val="pl-PL"/>
        </w:rPr>
        <w:t>.</w:t>
      </w:r>
    </w:p>
    <w:p w:rsidR="00CB3137" w:rsidRPr="0051003F" w:rsidRDefault="007E07C2" w:rsidP="00CB3137">
      <w:pPr>
        <w:pStyle w:val="ECHRPara"/>
        <w:rPr>
          <w:rFonts w:cs="Times New Roman"/>
          <w:lang w:val="pl-PL"/>
        </w:rPr>
      </w:pPr>
      <w:r>
        <w:rPr>
          <w:rFonts w:cs="Times New Roman"/>
          <w:lang w:val="pl-PL"/>
        </w:rPr>
        <w:t>40</w:t>
      </w:r>
      <w:r w:rsidR="00703159" w:rsidRPr="0051003F">
        <w:rPr>
          <w:rFonts w:cs="Times New Roman"/>
          <w:lang w:val="pl-PL"/>
        </w:rPr>
        <w:t>.  </w:t>
      </w:r>
      <w:r w:rsidR="00CB3137" w:rsidRPr="0051003F">
        <w:rPr>
          <w:rFonts w:cs="Times New Roman"/>
          <w:lang w:val="pl-PL"/>
        </w:rPr>
        <w:t>W dniu 29 października 2010 r</w:t>
      </w:r>
      <w:r w:rsidR="00BD1F10">
        <w:rPr>
          <w:rFonts w:cs="Times New Roman"/>
          <w:lang w:val="pl-PL"/>
        </w:rPr>
        <w:t>oku</w:t>
      </w:r>
      <w:r w:rsidR="00CB3137" w:rsidRPr="0051003F">
        <w:rPr>
          <w:rFonts w:cs="Times New Roman"/>
          <w:lang w:val="pl-PL"/>
        </w:rPr>
        <w:t xml:space="preserve"> Komisja Odwoławcza Sądu Najwyższego odmówiła przyznania drugiemu </w:t>
      </w:r>
      <w:r w:rsidR="00654923" w:rsidRPr="0051003F">
        <w:rPr>
          <w:rFonts w:cs="Times New Roman"/>
          <w:lang w:val="pl-PL"/>
        </w:rPr>
        <w:t>skarżącemu</w:t>
      </w:r>
      <w:r w:rsidR="00CB3137" w:rsidRPr="0051003F">
        <w:rPr>
          <w:rFonts w:cs="Times New Roman"/>
          <w:lang w:val="pl-PL"/>
        </w:rPr>
        <w:t xml:space="preserve"> prawa do odwołania, uznając, że </w:t>
      </w:r>
      <w:r w:rsidR="00BD1F10">
        <w:rPr>
          <w:rFonts w:cs="Times New Roman"/>
          <w:lang w:val="pl-PL"/>
        </w:rPr>
        <w:t>odwołanie</w:t>
      </w:r>
      <w:r w:rsidR="00BD1F10" w:rsidRPr="0051003F">
        <w:rPr>
          <w:rFonts w:cs="Times New Roman"/>
          <w:lang w:val="pl-PL"/>
        </w:rPr>
        <w:t xml:space="preserve"> </w:t>
      </w:r>
      <w:r w:rsidR="00CB3137" w:rsidRPr="0051003F">
        <w:rPr>
          <w:rFonts w:cs="Times New Roman"/>
          <w:lang w:val="pl-PL"/>
        </w:rPr>
        <w:t>takie nie było uzasadnione ani ze względu na ogólne znaczenie sprawy, ani też z żadnego innego powodu.</w:t>
      </w:r>
    </w:p>
    <w:p w:rsidR="0055557C" w:rsidRPr="0051003F" w:rsidRDefault="0055557C" w:rsidP="00CB3137">
      <w:pPr>
        <w:pStyle w:val="ECHRHeading1"/>
        <w:ind w:left="0" w:firstLine="0"/>
        <w:rPr>
          <w:lang w:val="pl-PL"/>
        </w:rPr>
      </w:pPr>
      <w:bookmarkStart w:id="17" w:name="_Toc466904299"/>
      <w:bookmarkStart w:id="18" w:name="_Toc466972318"/>
      <w:bookmarkStart w:id="19" w:name="_Toc466972829"/>
      <w:bookmarkStart w:id="20" w:name="_Toc466974245"/>
      <w:bookmarkStart w:id="21" w:name="_Toc473801880"/>
      <w:r w:rsidRPr="0051003F">
        <w:rPr>
          <w:lang w:val="pl-PL"/>
        </w:rPr>
        <w:t>II.  </w:t>
      </w:r>
      <w:bookmarkEnd w:id="17"/>
      <w:bookmarkEnd w:id="18"/>
      <w:bookmarkEnd w:id="19"/>
      <w:bookmarkEnd w:id="20"/>
      <w:bookmarkEnd w:id="21"/>
      <w:r w:rsidR="002B5CE5" w:rsidRPr="0051003F">
        <w:rPr>
          <w:lang w:val="pl-PL"/>
        </w:rPr>
        <w:t>WŁA</w:t>
      </w:r>
      <w:r w:rsidR="007A3E40" w:rsidRPr="0051003F">
        <w:rPr>
          <w:lang w:val="pl-PL"/>
        </w:rPr>
        <w:t>ŚCIWE PRAWO KRAJOWE I PRAKTYKA</w:t>
      </w:r>
    </w:p>
    <w:p w:rsidR="003A22D1" w:rsidRPr="0051003F" w:rsidRDefault="007E07C2" w:rsidP="003A22D1">
      <w:pPr>
        <w:pStyle w:val="ECHRPara"/>
        <w:rPr>
          <w:rFonts w:cs="Times New Roman"/>
          <w:lang w:val="pl-PL"/>
        </w:rPr>
      </w:pPr>
      <w:r>
        <w:rPr>
          <w:rFonts w:cs="Times New Roman"/>
          <w:lang w:val="pl-PL"/>
        </w:rPr>
        <w:t>41</w:t>
      </w:r>
      <w:r w:rsidR="00090E27" w:rsidRPr="0051003F">
        <w:rPr>
          <w:rFonts w:cs="Times New Roman"/>
          <w:lang w:val="pl-PL"/>
        </w:rPr>
        <w:t>.  </w:t>
      </w:r>
      <w:r w:rsidR="003A22D1" w:rsidRPr="0051003F">
        <w:rPr>
          <w:rFonts w:cs="Times New Roman"/>
          <w:lang w:val="pl-PL"/>
        </w:rPr>
        <w:t>Na mocy art. 10-2 ust. 1 rozdziału 10 Ustawy o karach podatkowych ("</w:t>
      </w:r>
      <w:proofErr w:type="spellStart"/>
      <w:r w:rsidR="003A22D1" w:rsidRPr="0051003F">
        <w:rPr>
          <w:rFonts w:cs="Times New Roman"/>
          <w:i/>
          <w:lang w:val="pl-PL"/>
        </w:rPr>
        <w:t>Tilleggsskatt</w:t>
      </w:r>
      <w:proofErr w:type="spellEnd"/>
      <w:r w:rsidR="003A22D1" w:rsidRPr="0051003F">
        <w:rPr>
          <w:rFonts w:cs="Times New Roman"/>
          <w:lang w:val="pl-PL"/>
        </w:rPr>
        <w:t>") z 1980 r</w:t>
      </w:r>
      <w:r w:rsidR="00935E04">
        <w:rPr>
          <w:rFonts w:cs="Times New Roman"/>
          <w:lang w:val="pl-PL"/>
        </w:rPr>
        <w:t>oku</w:t>
      </w:r>
      <w:r w:rsidR="003A22D1" w:rsidRPr="0051003F">
        <w:rPr>
          <w:rFonts w:cs="Times New Roman"/>
          <w:lang w:val="pl-PL"/>
        </w:rPr>
        <w:t xml:space="preserve">, podatnicy, którzy dostarczyli organom podatkowym nieprawdziwe lub niekompletne informacje, które doprowadziły lub mogły doprowadzić organ do nieprawidłowości w </w:t>
      </w:r>
      <w:r w:rsidR="00537091" w:rsidRPr="0051003F">
        <w:rPr>
          <w:rFonts w:cs="Times New Roman"/>
          <w:lang w:val="pl-PL"/>
        </w:rPr>
        <w:t>rozliczeniach podatkowych</w:t>
      </w:r>
      <w:r w:rsidR="003A22D1" w:rsidRPr="0051003F">
        <w:rPr>
          <w:rFonts w:cs="Times New Roman"/>
          <w:lang w:val="pl-PL"/>
        </w:rPr>
        <w:t xml:space="preserve">, mogą podlegać karze podatkowej. Zgodnie z warunkami określonymi w art. 10-4 ust. 1 kary podatkowe będą zasadniczo </w:t>
      </w:r>
      <w:r w:rsidR="00935E04">
        <w:rPr>
          <w:rFonts w:cs="Times New Roman"/>
          <w:lang w:val="pl-PL"/>
        </w:rPr>
        <w:t>ustalane</w:t>
      </w:r>
      <w:r w:rsidR="00935E04" w:rsidRPr="0051003F">
        <w:rPr>
          <w:rFonts w:cs="Times New Roman"/>
          <w:lang w:val="pl-PL"/>
        </w:rPr>
        <w:t xml:space="preserve"> </w:t>
      </w:r>
      <w:r w:rsidR="003A22D1" w:rsidRPr="0051003F">
        <w:rPr>
          <w:rFonts w:cs="Times New Roman"/>
          <w:lang w:val="pl-PL"/>
        </w:rPr>
        <w:t>na po</w:t>
      </w:r>
      <w:r w:rsidR="003D05C3" w:rsidRPr="0051003F">
        <w:rPr>
          <w:rFonts w:cs="Times New Roman"/>
          <w:lang w:val="pl-PL"/>
        </w:rPr>
        <w:t xml:space="preserve">ziomie 30 % kwoty podatku, </w:t>
      </w:r>
      <w:r w:rsidR="003D05C3" w:rsidRPr="0051003F">
        <w:rPr>
          <w:lang w:val="pl-PL"/>
        </w:rPr>
        <w:t>który nie został naliczony lub mógł zostać nienaliczony</w:t>
      </w:r>
      <w:r w:rsidR="003A22D1" w:rsidRPr="0051003F">
        <w:rPr>
          <w:rFonts w:cs="Times New Roman"/>
          <w:lang w:val="pl-PL"/>
        </w:rPr>
        <w:t>.</w:t>
      </w:r>
    </w:p>
    <w:p w:rsidR="00393B7D" w:rsidRPr="0051003F" w:rsidRDefault="007E07C2" w:rsidP="003A22D1">
      <w:pPr>
        <w:pStyle w:val="ECHRPara"/>
        <w:rPr>
          <w:rFonts w:cs="Times New Roman"/>
          <w:lang w:val="pl-PL"/>
        </w:rPr>
      </w:pPr>
      <w:r>
        <w:rPr>
          <w:rFonts w:cs="Times New Roman"/>
          <w:lang w:val="pl-PL"/>
        </w:rPr>
        <w:t>42</w:t>
      </w:r>
      <w:r w:rsidR="00090E27" w:rsidRPr="0051003F">
        <w:rPr>
          <w:rFonts w:cs="Times New Roman"/>
          <w:lang w:val="pl-PL"/>
        </w:rPr>
        <w:t>.  </w:t>
      </w:r>
      <w:r w:rsidR="003A22D1" w:rsidRPr="0051003F">
        <w:rPr>
          <w:rFonts w:cs="Times New Roman"/>
          <w:lang w:val="pl-PL"/>
        </w:rPr>
        <w:t xml:space="preserve">W czasie popełnienia przez skarżących przestępstw, </w:t>
      </w:r>
      <w:r w:rsidR="003604DC">
        <w:rPr>
          <w:rFonts w:cs="Times New Roman"/>
          <w:lang w:val="pl-PL"/>
        </w:rPr>
        <w:t>art.</w:t>
      </w:r>
      <w:r w:rsidR="003604DC" w:rsidRPr="0051003F">
        <w:rPr>
          <w:rFonts w:cs="Times New Roman"/>
          <w:lang w:val="pl-PL"/>
        </w:rPr>
        <w:t xml:space="preserve"> </w:t>
      </w:r>
      <w:r w:rsidR="00393B7D" w:rsidRPr="0051003F">
        <w:rPr>
          <w:rFonts w:cs="Times New Roman"/>
          <w:lang w:val="pl-PL"/>
        </w:rPr>
        <w:t>10-2</w:t>
      </w:r>
      <w:r w:rsidR="00DC09FD" w:rsidRPr="0051003F">
        <w:rPr>
          <w:rFonts w:cs="Times New Roman"/>
          <w:lang w:val="pl-PL"/>
        </w:rPr>
        <w:t>,</w:t>
      </w:r>
      <w:r w:rsidR="00393B7D" w:rsidRPr="0051003F">
        <w:rPr>
          <w:rFonts w:cs="Times New Roman"/>
          <w:lang w:val="pl-PL"/>
        </w:rPr>
        <w:t xml:space="preserve"> 10-3 </w:t>
      </w:r>
      <w:r w:rsidR="003A22D1" w:rsidRPr="0051003F">
        <w:rPr>
          <w:rFonts w:cs="Times New Roman"/>
          <w:lang w:val="pl-PL"/>
        </w:rPr>
        <w:t>oraz</w:t>
      </w:r>
      <w:r w:rsidR="00DC09FD" w:rsidRPr="0051003F">
        <w:rPr>
          <w:rFonts w:cs="Times New Roman"/>
          <w:lang w:val="pl-PL"/>
        </w:rPr>
        <w:t xml:space="preserve"> 10-4 </w:t>
      </w:r>
      <w:r w:rsidR="003A22D1" w:rsidRPr="0051003F">
        <w:rPr>
          <w:rFonts w:cs="Times New Roman"/>
          <w:lang w:val="pl-PL"/>
        </w:rPr>
        <w:t>Ustawy, stanowiły następująco</w:t>
      </w:r>
      <w:r w:rsidR="00393B7D" w:rsidRPr="0051003F">
        <w:rPr>
          <w:rFonts w:cs="Times New Roman"/>
          <w:lang w:val="pl-PL"/>
        </w:rPr>
        <w:t>:</w:t>
      </w:r>
    </w:p>
    <w:p w:rsidR="00393B7D" w:rsidRPr="0051003F" w:rsidRDefault="003A22D1" w:rsidP="00A7252F">
      <w:pPr>
        <w:pStyle w:val="ECHRTitleCentre3"/>
        <w:rPr>
          <w:b w:val="0"/>
          <w:lang w:val="pl-PL"/>
        </w:rPr>
      </w:pPr>
      <w:bookmarkStart w:id="22" w:name="_Toc466904300"/>
      <w:bookmarkStart w:id="23" w:name="_Toc466972319"/>
      <w:bookmarkStart w:id="24" w:name="_Toc466972830"/>
      <w:bookmarkStart w:id="25" w:name="_Toc466974246"/>
      <w:bookmarkStart w:id="26" w:name="_Toc473801881"/>
      <w:r w:rsidRPr="0051003F">
        <w:rPr>
          <w:lang w:val="pl-PL"/>
        </w:rPr>
        <w:t>artykuł</w:t>
      </w:r>
      <w:r w:rsidR="00393B7D" w:rsidRPr="0051003F">
        <w:rPr>
          <w:lang w:val="pl-PL"/>
        </w:rPr>
        <w:t xml:space="preserve"> 10-2 (</w:t>
      </w:r>
      <w:r w:rsidRPr="0051003F">
        <w:rPr>
          <w:lang w:val="pl-PL"/>
        </w:rPr>
        <w:t>Kary podatkowe</w:t>
      </w:r>
      <w:r w:rsidR="00393B7D" w:rsidRPr="0051003F">
        <w:rPr>
          <w:lang w:val="pl-PL"/>
        </w:rPr>
        <w:t>)</w:t>
      </w:r>
      <w:bookmarkEnd w:id="22"/>
      <w:bookmarkEnd w:id="23"/>
      <w:bookmarkEnd w:id="24"/>
      <w:bookmarkEnd w:id="25"/>
      <w:bookmarkEnd w:id="26"/>
    </w:p>
    <w:p w:rsidR="003D05C3" w:rsidRPr="0051003F" w:rsidRDefault="00A7177A" w:rsidP="003D05C3">
      <w:pPr>
        <w:pStyle w:val="ECHRParaQuote"/>
        <w:rPr>
          <w:lang w:val="pl-PL"/>
        </w:rPr>
      </w:pPr>
      <w:r w:rsidRPr="0051003F">
        <w:rPr>
          <w:lang w:val="pl-PL"/>
        </w:rPr>
        <w:t>„</w:t>
      </w:r>
      <w:r w:rsidR="0005310C" w:rsidRPr="0051003F">
        <w:rPr>
          <w:lang w:val="pl-PL"/>
        </w:rPr>
        <w:t>1.  </w:t>
      </w:r>
      <w:r w:rsidR="003D05C3" w:rsidRPr="0051003F">
        <w:rPr>
          <w:lang w:val="pl-PL"/>
        </w:rPr>
        <w:t>Jeżeli organy podatkowe stwierdzą, że podatnik podał nieprawidłowe lub niekompletne informacje w zeznaniu podatkowym, deklaracji podatkowej, rachunku zysków i strat, w odwołaniu lub innym pisemnym lub ustnym oświadczeniu, które spowodowało lub mogło spowodować uchybienie w nalicz</w:t>
      </w:r>
      <w:r w:rsidR="00C1628E">
        <w:rPr>
          <w:lang w:val="pl-PL"/>
        </w:rPr>
        <w:t>e</w:t>
      </w:r>
      <w:r w:rsidR="003D05C3" w:rsidRPr="0051003F">
        <w:rPr>
          <w:lang w:val="pl-PL"/>
        </w:rPr>
        <w:t>niu podatku, nakłada się na podatnika karę podatkową w postaci odsetka podatku, który nie został naliczony lub mógł zostać nienaliczony.</w:t>
      </w:r>
    </w:p>
    <w:p w:rsidR="003D05C3" w:rsidRPr="0051003F" w:rsidRDefault="003D05C3" w:rsidP="003D05C3">
      <w:pPr>
        <w:pStyle w:val="ECHRParaQuote"/>
        <w:rPr>
          <w:lang w:val="pl-PL"/>
        </w:rPr>
      </w:pPr>
      <w:r w:rsidRPr="0051003F">
        <w:rPr>
          <w:lang w:val="pl-PL"/>
        </w:rPr>
        <w:t>Składki na ubezpieczenia społeczne są również traktowane jako podatek w tym kontekście.</w:t>
      </w:r>
    </w:p>
    <w:p w:rsidR="003D05C3" w:rsidRPr="0051003F" w:rsidRDefault="0005310C" w:rsidP="003D05C3">
      <w:pPr>
        <w:pStyle w:val="ECHRParaQuote"/>
        <w:rPr>
          <w:lang w:val="pl-PL"/>
        </w:rPr>
      </w:pPr>
      <w:r w:rsidRPr="0051003F">
        <w:rPr>
          <w:lang w:val="pl-PL"/>
        </w:rPr>
        <w:t>2.  </w:t>
      </w:r>
      <w:r w:rsidR="003D05C3" w:rsidRPr="0051003F">
        <w:rPr>
          <w:lang w:val="pl-PL"/>
        </w:rPr>
        <w:t>Jeżeli podatnik nie złożył wymaganej deklaracji podatkowej lub rachunku zysków i strat, karę podatkową oblicza się na podstawie podatku określonego w wyliczeniu.</w:t>
      </w:r>
    </w:p>
    <w:p w:rsidR="003D05C3" w:rsidRPr="0051003F" w:rsidRDefault="0005310C" w:rsidP="003D05C3">
      <w:pPr>
        <w:pStyle w:val="ECHRParaQuote"/>
        <w:rPr>
          <w:lang w:val="pl-PL"/>
        </w:rPr>
      </w:pPr>
      <w:r w:rsidRPr="0051003F">
        <w:rPr>
          <w:lang w:val="pl-PL"/>
        </w:rPr>
        <w:t>3.  </w:t>
      </w:r>
      <w:r w:rsidR="003D05C3" w:rsidRPr="0051003F">
        <w:rPr>
          <w:lang w:val="pl-PL"/>
        </w:rPr>
        <w:t>Majątek lub dochód uzupełniający, który stanowi podstawę do nałożenia kary podatkowej, uważa się za stanowiący górną część majątku lub dochodu podatnika. Jeżeli podatnik ma zapłacić karę podatkową w oparciu o różne stawki za ten sam rok, podatek, na podstawie którego naliczana jest kara podatkowa, zostanie rozłożony proporcjonalnie na podstawie kwoty majątku lub dochodu, do którego mają być stosowane różne stawki podatkowe.</w:t>
      </w:r>
    </w:p>
    <w:p w:rsidR="003D05C3" w:rsidRPr="0051003F" w:rsidRDefault="0005310C" w:rsidP="003D05C3">
      <w:pPr>
        <w:pStyle w:val="ECHRParaQuote"/>
        <w:rPr>
          <w:lang w:val="pl-PL"/>
        </w:rPr>
      </w:pPr>
      <w:r w:rsidRPr="0051003F">
        <w:rPr>
          <w:lang w:val="pl-PL"/>
        </w:rPr>
        <w:t>4.  </w:t>
      </w:r>
      <w:r w:rsidR="003D05C3" w:rsidRPr="0051003F">
        <w:rPr>
          <w:lang w:val="pl-PL"/>
        </w:rPr>
        <w:t>Ten sam obowiązek, który ma zastosowanie do podatnika zgodnie z niniejszym przepisem, dotyczy również jego majątku lub spadkobierców.</w:t>
      </w:r>
    </w:p>
    <w:p w:rsidR="003D05C3" w:rsidRPr="0051003F" w:rsidRDefault="0005310C" w:rsidP="003D05C3">
      <w:pPr>
        <w:pStyle w:val="ECHRParaQuote"/>
        <w:rPr>
          <w:lang w:val="pl-PL"/>
        </w:rPr>
      </w:pPr>
      <w:r w:rsidRPr="0051003F">
        <w:rPr>
          <w:lang w:val="pl-PL"/>
        </w:rPr>
        <w:lastRenderedPageBreak/>
        <w:t>5.  </w:t>
      </w:r>
      <w:r w:rsidR="00AC66D3">
        <w:rPr>
          <w:lang w:val="pl-PL"/>
        </w:rPr>
        <w:t>O zamiarze nałożenia</w:t>
      </w:r>
      <w:r w:rsidR="003D05C3" w:rsidRPr="0051003F">
        <w:rPr>
          <w:lang w:val="pl-PL"/>
        </w:rPr>
        <w:t xml:space="preserve"> kary podatkowej </w:t>
      </w:r>
      <w:r w:rsidR="00AC66D3" w:rsidRPr="00AC66D3">
        <w:rPr>
          <w:lang w:val="pl-PL"/>
        </w:rPr>
        <w:t>powiadamia się podatnika i wyznacza mu odpowiedni termin na wyrażenie opinii.</w:t>
      </w:r>
      <w:r w:rsidRPr="0051003F">
        <w:rPr>
          <w:lang w:val="pl-PL"/>
        </w:rPr>
        <w:t>6.  </w:t>
      </w:r>
      <w:r w:rsidR="003D05C3" w:rsidRPr="0051003F">
        <w:rPr>
          <w:lang w:val="pl-PL"/>
        </w:rPr>
        <w:t xml:space="preserve">Kary podatkowe mogą być ustalane w terminach przewidzianych w art. 9-6. Mogą one być </w:t>
      </w:r>
      <w:r w:rsidR="002A77E4">
        <w:rPr>
          <w:lang w:val="pl-PL"/>
        </w:rPr>
        <w:t>wymierzane</w:t>
      </w:r>
      <w:r w:rsidR="002A77E4" w:rsidRPr="0051003F">
        <w:rPr>
          <w:lang w:val="pl-PL"/>
        </w:rPr>
        <w:t xml:space="preserve"> </w:t>
      </w:r>
      <w:r w:rsidR="003D05C3" w:rsidRPr="0051003F">
        <w:rPr>
          <w:lang w:val="pl-PL"/>
        </w:rPr>
        <w:t>w tym samym czasie, co naliczanie podatku, na podstawie którego mają być obliczane lub w ramac</w:t>
      </w:r>
      <w:r w:rsidR="00A7177A" w:rsidRPr="0051003F">
        <w:rPr>
          <w:lang w:val="pl-PL"/>
        </w:rPr>
        <w:t>h późniejszej oceny specjalnej”</w:t>
      </w:r>
      <w:r w:rsidR="003D05C3" w:rsidRPr="0051003F">
        <w:rPr>
          <w:lang w:val="pl-PL"/>
        </w:rPr>
        <w:t>.</w:t>
      </w:r>
    </w:p>
    <w:p w:rsidR="00393B7D" w:rsidRPr="0051003F" w:rsidRDefault="003D05C3" w:rsidP="00A7252F">
      <w:pPr>
        <w:pStyle w:val="ECHRTitleCentre3"/>
        <w:rPr>
          <w:b w:val="0"/>
          <w:lang w:val="pl-PL"/>
        </w:rPr>
      </w:pPr>
      <w:bookmarkStart w:id="27" w:name="_Toc466904301"/>
      <w:bookmarkStart w:id="28" w:name="_Toc466972320"/>
      <w:bookmarkStart w:id="29" w:name="_Toc466972831"/>
      <w:bookmarkStart w:id="30" w:name="_Toc466974247"/>
      <w:bookmarkStart w:id="31" w:name="_Toc473801882"/>
      <w:r w:rsidRPr="0051003F">
        <w:rPr>
          <w:lang w:val="pl-PL"/>
        </w:rPr>
        <w:t>artykuł</w:t>
      </w:r>
      <w:r w:rsidR="00393B7D" w:rsidRPr="0051003F">
        <w:rPr>
          <w:lang w:val="pl-PL"/>
        </w:rPr>
        <w:t xml:space="preserve"> 10-3 (</w:t>
      </w:r>
      <w:r w:rsidRPr="0051003F">
        <w:rPr>
          <w:lang w:val="pl-PL"/>
        </w:rPr>
        <w:t>Wyłączenia</w:t>
      </w:r>
      <w:r w:rsidR="00393B7D" w:rsidRPr="0051003F">
        <w:rPr>
          <w:lang w:val="pl-PL"/>
        </w:rPr>
        <w:t>)</w:t>
      </w:r>
      <w:bookmarkEnd w:id="27"/>
      <w:bookmarkEnd w:id="28"/>
      <w:bookmarkEnd w:id="29"/>
      <w:bookmarkEnd w:id="30"/>
      <w:bookmarkEnd w:id="31"/>
    </w:p>
    <w:p w:rsidR="00393B7D" w:rsidRPr="0051003F" w:rsidRDefault="00A7177A" w:rsidP="00A7252F">
      <w:pPr>
        <w:pStyle w:val="ECHRParaQuote"/>
        <w:rPr>
          <w:lang w:val="pl-PL"/>
        </w:rPr>
      </w:pPr>
      <w:r w:rsidRPr="0051003F">
        <w:rPr>
          <w:lang w:val="pl-PL"/>
        </w:rPr>
        <w:t>„</w:t>
      </w:r>
      <w:r w:rsidR="003D05C3" w:rsidRPr="0051003F">
        <w:rPr>
          <w:lang w:val="pl-PL"/>
        </w:rPr>
        <w:t>Kara podatkowa nie zostanie nałożona</w:t>
      </w:r>
      <w:r w:rsidR="00DC09FD" w:rsidRPr="0051003F">
        <w:rPr>
          <w:lang w:val="pl-PL"/>
        </w:rPr>
        <w:t>:</w:t>
      </w:r>
    </w:p>
    <w:p w:rsidR="003D05C3" w:rsidRPr="0051003F" w:rsidRDefault="00DC09FD" w:rsidP="003D05C3">
      <w:pPr>
        <w:pStyle w:val="ECHRParaQuote"/>
        <w:rPr>
          <w:lang w:val="pl-PL"/>
        </w:rPr>
      </w:pPr>
      <w:r w:rsidRPr="0051003F">
        <w:rPr>
          <w:lang w:val="pl-PL"/>
        </w:rPr>
        <w:t>(</w:t>
      </w:r>
      <w:r w:rsidR="00393B7D" w:rsidRPr="0051003F">
        <w:rPr>
          <w:lang w:val="pl-PL"/>
        </w:rPr>
        <w:t>a</w:t>
      </w:r>
      <w:r w:rsidRPr="0051003F">
        <w:rPr>
          <w:lang w:val="pl-PL"/>
        </w:rPr>
        <w:t>)</w:t>
      </w:r>
      <w:r w:rsidR="0005310C" w:rsidRPr="0051003F">
        <w:rPr>
          <w:lang w:val="pl-PL"/>
        </w:rPr>
        <w:t>  </w:t>
      </w:r>
      <w:r w:rsidR="003D05C3" w:rsidRPr="0051003F">
        <w:rPr>
          <w:lang w:val="pl-PL"/>
        </w:rPr>
        <w:t>w wyniku oczywistych obliczeń lub błędów pisarskich w oświadczeniach podatnika, lub</w:t>
      </w:r>
    </w:p>
    <w:p w:rsidR="003D05C3" w:rsidRPr="0051003F" w:rsidRDefault="00DC09FD" w:rsidP="003D05C3">
      <w:pPr>
        <w:pStyle w:val="ECHRParaQuote"/>
        <w:rPr>
          <w:lang w:val="pl-PL"/>
        </w:rPr>
      </w:pPr>
      <w:r w:rsidRPr="0051003F">
        <w:rPr>
          <w:lang w:val="pl-PL"/>
        </w:rPr>
        <w:t>(</w:t>
      </w:r>
      <w:r w:rsidR="00393B7D" w:rsidRPr="0051003F">
        <w:rPr>
          <w:lang w:val="pl-PL"/>
        </w:rPr>
        <w:t>b</w:t>
      </w:r>
      <w:r w:rsidRPr="0051003F">
        <w:rPr>
          <w:lang w:val="pl-PL"/>
        </w:rPr>
        <w:t>)</w:t>
      </w:r>
      <w:r w:rsidR="0005310C" w:rsidRPr="0051003F">
        <w:rPr>
          <w:lang w:val="pl-PL"/>
        </w:rPr>
        <w:t>  </w:t>
      </w:r>
      <w:r w:rsidR="003D05C3" w:rsidRPr="0051003F">
        <w:rPr>
          <w:lang w:val="pl-PL"/>
        </w:rPr>
        <w:t xml:space="preserve">w przypadku gdy przestępstwo popełnione przez podatnika należy uznać za usprawiedliwione z powodu choroby, </w:t>
      </w:r>
      <w:r w:rsidR="00647176">
        <w:rPr>
          <w:lang w:val="pl-PL"/>
        </w:rPr>
        <w:t>podeszłego wieku</w:t>
      </w:r>
      <w:r w:rsidR="003D05C3" w:rsidRPr="0051003F">
        <w:rPr>
          <w:lang w:val="pl-PL"/>
        </w:rPr>
        <w:t>, braku doświadczenia lub innych przyczyn, za które podatnik nie może być obwiniany, lub</w:t>
      </w:r>
    </w:p>
    <w:p w:rsidR="003D05C3" w:rsidRPr="0051003F" w:rsidRDefault="00DC09FD" w:rsidP="003D05C3">
      <w:pPr>
        <w:pStyle w:val="ECHRParaQuote"/>
        <w:rPr>
          <w:lang w:val="pl-PL"/>
        </w:rPr>
      </w:pPr>
      <w:r w:rsidRPr="0051003F">
        <w:rPr>
          <w:lang w:val="pl-PL"/>
        </w:rPr>
        <w:t>(</w:t>
      </w:r>
      <w:r w:rsidR="00393B7D" w:rsidRPr="0051003F">
        <w:rPr>
          <w:lang w:val="pl-PL"/>
        </w:rPr>
        <w:t>c</w:t>
      </w:r>
      <w:r w:rsidRPr="0051003F">
        <w:rPr>
          <w:lang w:val="pl-PL"/>
        </w:rPr>
        <w:t>)</w:t>
      </w:r>
      <w:r w:rsidR="0005310C" w:rsidRPr="0051003F">
        <w:rPr>
          <w:lang w:val="pl-PL"/>
        </w:rPr>
        <w:t>  </w:t>
      </w:r>
      <w:r w:rsidR="003D05C3" w:rsidRPr="0051003F">
        <w:rPr>
          <w:lang w:val="pl-PL"/>
        </w:rPr>
        <w:t>gdy całkowita kwota kary podatkowej jest niższa niż 400 NOK”</w:t>
      </w:r>
    </w:p>
    <w:p w:rsidR="00E93362" w:rsidRPr="0051003F" w:rsidRDefault="00A7177A" w:rsidP="00A7252F">
      <w:pPr>
        <w:pStyle w:val="ECHRTitleCentre3"/>
        <w:rPr>
          <w:b w:val="0"/>
          <w:lang w:val="pl-PL"/>
        </w:rPr>
      </w:pPr>
      <w:bookmarkStart w:id="32" w:name="_Toc466904302"/>
      <w:bookmarkStart w:id="33" w:name="_Toc466972321"/>
      <w:bookmarkStart w:id="34" w:name="_Toc466972832"/>
      <w:bookmarkStart w:id="35" w:name="_Toc466974248"/>
      <w:bookmarkStart w:id="36" w:name="_Toc473801883"/>
      <w:r w:rsidRPr="0051003F">
        <w:rPr>
          <w:lang w:val="pl-PL"/>
        </w:rPr>
        <w:t>artykuł</w:t>
      </w:r>
      <w:r w:rsidR="00E93362" w:rsidRPr="0051003F">
        <w:rPr>
          <w:lang w:val="pl-PL"/>
        </w:rPr>
        <w:t xml:space="preserve"> 10-4 (</w:t>
      </w:r>
      <w:r w:rsidRPr="0051003F">
        <w:rPr>
          <w:lang w:val="pl-PL"/>
        </w:rPr>
        <w:t>Stawki kar podatkowych</w:t>
      </w:r>
      <w:r w:rsidR="00E93362" w:rsidRPr="0051003F">
        <w:rPr>
          <w:lang w:val="pl-PL"/>
        </w:rPr>
        <w:t>)</w:t>
      </w:r>
      <w:bookmarkEnd w:id="32"/>
      <w:bookmarkEnd w:id="33"/>
      <w:bookmarkEnd w:id="34"/>
      <w:bookmarkEnd w:id="35"/>
      <w:bookmarkEnd w:id="36"/>
    </w:p>
    <w:p w:rsidR="00E93362" w:rsidRPr="0051003F" w:rsidRDefault="00DC09FD" w:rsidP="00A7177A">
      <w:pPr>
        <w:pStyle w:val="ECHRParaQuote"/>
        <w:rPr>
          <w:lang w:val="pl-PL"/>
        </w:rPr>
      </w:pPr>
      <w:r w:rsidRPr="0051003F">
        <w:rPr>
          <w:lang w:val="pl-PL"/>
        </w:rPr>
        <w:t>“</w:t>
      </w:r>
      <w:r w:rsidR="0005310C" w:rsidRPr="0051003F">
        <w:rPr>
          <w:lang w:val="pl-PL"/>
        </w:rPr>
        <w:t>1.  </w:t>
      </w:r>
      <w:r w:rsidR="00A7177A" w:rsidRPr="0051003F">
        <w:rPr>
          <w:lang w:val="pl-PL"/>
        </w:rPr>
        <w:t xml:space="preserve">Kary podatkowe </w:t>
      </w:r>
      <w:r w:rsidR="002A77E4">
        <w:rPr>
          <w:lang w:val="pl-PL"/>
        </w:rPr>
        <w:t>wymierza</w:t>
      </w:r>
      <w:r w:rsidR="002A77E4" w:rsidRPr="0051003F">
        <w:rPr>
          <w:lang w:val="pl-PL"/>
        </w:rPr>
        <w:t xml:space="preserve"> </w:t>
      </w:r>
      <w:r w:rsidR="00A7177A" w:rsidRPr="0051003F">
        <w:rPr>
          <w:lang w:val="pl-PL"/>
        </w:rPr>
        <w:t xml:space="preserve">się zasadniczo </w:t>
      </w:r>
      <w:r w:rsidR="002A77E4">
        <w:rPr>
          <w:lang w:val="pl-PL"/>
        </w:rPr>
        <w:t>w wysokości</w:t>
      </w:r>
      <w:r w:rsidR="002A77E4" w:rsidRPr="0051003F">
        <w:rPr>
          <w:lang w:val="pl-PL"/>
        </w:rPr>
        <w:t xml:space="preserve"> </w:t>
      </w:r>
      <w:r w:rsidR="00A7177A" w:rsidRPr="0051003F">
        <w:rPr>
          <w:lang w:val="pl-PL"/>
        </w:rPr>
        <w:t>30 procent. Jeżeli czyn, o którym mowa w art. 10-2 (1) został popełniony umyślnie lub w wyniku rażącego niedbalstwa, można zastosować karę podatkową w maksymalnej wysokości 60 procent. Stawka wynosi 15 procent w przypadku, gdy nieprawidłowe lub niekompletne informacje dotyczą pozycji, które zostały zgłoszone bez wezwania do zapłaty przez pracodawcę lub inną stronę zgodnie z rozdziałem 6 lub dotyczą okoliczności, które są łatwe do zweryfikowania za pomocą informacji dostępnych organom podatkowym w inny sposób.</w:t>
      </w:r>
    </w:p>
    <w:p w:rsidR="00A7177A" w:rsidRPr="0051003F" w:rsidRDefault="0005310C" w:rsidP="00A7177A">
      <w:pPr>
        <w:pStyle w:val="ECHRParaQuote"/>
        <w:rPr>
          <w:lang w:val="pl-PL"/>
        </w:rPr>
      </w:pPr>
      <w:r w:rsidRPr="0051003F">
        <w:rPr>
          <w:lang w:val="pl-PL"/>
        </w:rPr>
        <w:t>2.  </w:t>
      </w:r>
      <w:r w:rsidR="00A7177A" w:rsidRPr="0051003F">
        <w:rPr>
          <w:lang w:val="pl-PL"/>
        </w:rPr>
        <w:t xml:space="preserve">Kary podatkowe ustala się na połowę stawek określonych w ust. 1 zdanie pierwsze i trzecie, w przypadku zaistnienia okoliczności, o których mowa w ust. 10 3 (b), okoliczności te </w:t>
      </w:r>
      <w:r w:rsidR="007962AF">
        <w:rPr>
          <w:lang w:val="pl-PL"/>
        </w:rPr>
        <w:t xml:space="preserve">jednak </w:t>
      </w:r>
      <w:r w:rsidR="00A7177A" w:rsidRPr="0051003F">
        <w:rPr>
          <w:lang w:val="pl-PL"/>
        </w:rPr>
        <w:t>nie pozwalają na całkowite wyłączenie kary podatkowej.</w:t>
      </w:r>
    </w:p>
    <w:p w:rsidR="00A7177A" w:rsidRPr="0051003F" w:rsidRDefault="0005310C" w:rsidP="00A7177A">
      <w:pPr>
        <w:pStyle w:val="ECHRParaQuote"/>
        <w:rPr>
          <w:lang w:val="pl-PL"/>
        </w:rPr>
      </w:pPr>
      <w:r w:rsidRPr="0051003F">
        <w:rPr>
          <w:lang w:val="pl-PL"/>
        </w:rPr>
        <w:t>3.  </w:t>
      </w:r>
      <w:r w:rsidR="00A7177A" w:rsidRPr="0051003F">
        <w:rPr>
          <w:lang w:val="pl-PL"/>
        </w:rPr>
        <w:t>Kary podatkowe mogą być naliczane według stawki niższej niż stawka określona w ust. 2 lub też mogą zostać pominięte w przypadku, gdy podatnik albo majątek lub spadkobierca dobrowolnie poprawią lub uzupełnią informacje podane wcześniej, tak aby można było obliczyć prawidłowy podatek. Przepisu tego nie stosuje się, jeżeli korektę można uznać za dokonaną przez zastosowanie środków kontroli, które zostały lub zostaną wdrożone, lub przez informacje uzyskane lub możliwe do uzyskania przez organy podatkowe od innych stron.”</w:t>
      </w:r>
    </w:p>
    <w:p w:rsidR="00703159" w:rsidRPr="0051003F" w:rsidRDefault="0056630D" w:rsidP="00A7252F">
      <w:pPr>
        <w:pStyle w:val="ECHRPara"/>
        <w:rPr>
          <w:rFonts w:cs="Times New Roman"/>
          <w:lang w:val="pl-PL"/>
        </w:rPr>
      </w:pPr>
      <w:r>
        <w:rPr>
          <w:rFonts w:cs="Times New Roman"/>
          <w:lang w:val="pl-PL"/>
        </w:rPr>
        <w:t>43</w:t>
      </w:r>
      <w:r w:rsidR="00C87677" w:rsidRPr="0051003F">
        <w:rPr>
          <w:rFonts w:cs="Times New Roman"/>
          <w:lang w:val="pl-PL"/>
        </w:rPr>
        <w:t>.  </w:t>
      </w:r>
      <w:r w:rsidR="00A7177A" w:rsidRPr="0051003F">
        <w:rPr>
          <w:rFonts w:cs="Times New Roman"/>
          <w:lang w:val="pl-PL"/>
        </w:rPr>
        <w:t>Rozdział</w:t>
      </w:r>
      <w:r w:rsidR="00703159" w:rsidRPr="0051003F">
        <w:rPr>
          <w:rFonts w:cs="Times New Roman"/>
          <w:lang w:val="pl-PL"/>
        </w:rPr>
        <w:t xml:space="preserve"> 12 </w:t>
      </w:r>
      <w:r w:rsidR="00A7177A" w:rsidRPr="0051003F">
        <w:rPr>
          <w:rFonts w:cs="Times New Roman"/>
          <w:lang w:val="pl-PL"/>
        </w:rPr>
        <w:t>kary</w:t>
      </w:r>
      <w:r w:rsidR="00703159" w:rsidRPr="0051003F">
        <w:rPr>
          <w:rFonts w:cs="Times New Roman"/>
          <w:lang w:val="pl-PL"/>
        </w:rPr>
        <w:t xml:space="preserve"> (“</w:t>
      </w:r>
      <w:proofErr w:type="spellStart"/>
      <w:r w:rsidR="00703159" w:rsidRPr="0051003F">
        <w:rPr>
          <w:rFonts w:cs="Times New Roman"/>
          <w:i/>
          <w:iCs/>
          <w:lang w:val="pl-PL"/>
        </w:rPr>
        <w:t>Straff</w:t>
      </w:r>
      <w:proofErr w:type="spellEnd"/>
      <w:r w:rsidR="00703159" w:rsidRPr="0051003F">
        <w:rPr>
          <w:rFonts w:cs="Times New Roman"/>
          <w:iCs/>
          <w:lang w:val="pl-PL"/>
        </w:rPr>
        <w:t>”</w:t>
      </w:r>
      <w:r w:rsidR="00703159" w:rsidRPr="0051003F">
        <w:rPr>
          <w:rFonts w:cs="Times New Roman"/>
          <w:lang w:val="pl-PL"/>
        </w:rPr>
        <w:t xml:space="preserve">) </w:t>
      </w:r>
      <w:r w:rsidR="00A7177A" w:rsidRPr="0051003F">
        <w:rPr>
          <w:rFonts w:cs="Times New Roman"/>
          <w:lang w:val="pl-PL"/>
        </w:rPr>
        <w:t xml:space="preserve">zawiera następujące postanowienia istotne w przedmiotowej sprawie: </w:t>
      </w:r>
    </w:p>
    <w:p w:rsidR="00703159" w:rsidRPr="0051003F" w:rsidRDefault="00A7177A" w:rsidP="00A7252F">
      <w:pPr>
        <w:pStyle w:val="ECHRTitleCentre3"/>
        <w:rPr>
          <w:lang w:val="pl-PL"/>
        </w:rPr>
      </w:pPr>
      <w:bookmarkStart w:id="37" w:name="_Toc466904303"/>
      <w:bookmarkStart w:id="38" w:name="_Toc466972322"/>
      <w:bookmarkStart w:id="39" w:name="_Toc466972833"/>
      <w:bookmarkStart w:id="40" w:name="_Toc466974249"/>
      <w:bookmarkStart w:id="41" w:name="_Toc473801884"/>
      <w:r w:rsidRPr="0051003F">
        <w:rPr>
          <w:lang w:val="pl-PL"/>
        </w:rPr>
        <w:t>artykuł</w:t>
      </w:r>
      <w:r w:rsidR="00703159" w:rsidRPr="0051003F">
        <w:rPr>
          <w:lang w:val="pl-PL"/>
        </w:rPr>
        <w:t xml:space="preserve"> 12-1 (</w:t>
      </w:r>
      <w:r w:rsidRPr="0051003F">
        <w:rPr>
          <w:lang w:val="pl-PL"/>
        </w:rPr>
        <w:t>Przestępstwo podatkowe</w:t>
      </w:r>
      <w:r w:rsidR="00703159" w:rsidRPr="0051003F">
        <w:rPr>
          <w:lang w:val="pl-PL"/>
        </w:rPr>
        <w:t>)</w:t>
      </w:r>
      <w:bookmarkEnd w:id="37"/>
      <w:bookmarkEnd w:id="38"/>
      <w:bookmarkEnd w:id="39"/>
      <w:bookmarkEnd w:id="40"/>
      <w:bookmarkEnd w:id="41"/>
    </w:p>
    <w:p w:rsidR="00A7177A" w:rsidRPr="0051003F" w:rsidRDefault="00DC09FD" w:rsidP="00A7177A">
      <w:pPr>
        <w:pStyle w:val="ECHRParaQuote"/>
        <w:rPr>
          <w:rFonts w:cs="Times New Roman"/>
          <w:lang w:val="pl-PL"/>
        </w:rPr>
      </w:pPr>
      <w:r w:rsidRPr="0051003F">
        <w:rPr>
          <w:rFonts w:cs="Times New Roman"/>
          <w:lang w:val="pl-PL"/>
        </w:rPr>
        <w:t>“</w:t>
      </w:r>
      <w:r w:rsidR="0005310C" w:rsidRPr="0051003F">
        <w:rPr>
          <w:rFonts w:cs="Times New Roman"/>
          <w:lang w:val="pl-PL"/>
        </w:rPr>
        <w:t>1.  </w:t>
      </w:r>
      <w:r w:rsidR="00A7177A" w:rsidRPr="0051003F">
        <w:rPr>
          <w:rFonts w:cs="Times New Roman"/>
          <w:lang w:val="pl-PL"/>
        </w:rPr>
        <w:t>Osoba podlega karze za przestępstwo podatkowe, jeżeli umyślnie lub wskutek rażącego niedbalstwa</w:t>
      </w:r>
    </w:p>
    <w:p w:rsidR="00703159" w:rsidRPr="0051003F" w:rsidRDefault="00A7177A" w:rsidP="00A7177A">
      <w:pPr>
        <w:pStyle w:val="ECHRParaQuote"/>
        <w:rPr>
          <w:rFonts w:cs="Times New Roman"/>
          <w:lang w:val="pl-PL"/>
        </w:rPr>
      </w:pPr>
      <w:r w:rsidRPr="0051003F">
        <w:rPr>
          <w:rFonts w:cs="Times New Roman"/>
          <w:lang w:val="pl-PL"/>
        </w:rPr>
        <w:t xml:space="preserve"> </w:t>
      </w:r>
      <w:r w:rsidR="0005310C" w:rsidRPr="0051003F">
        <w:rPr>
          <w:rFonts w:cs="Times New Roman"/>
          <w:lang w:val="pl-PL"/>
        </w:rPr>
        <w:t>(a)  </w:t>
      </w:r>
      <w:r w:rsidRPr="0051003F">
        <w:rPr>
          <w:rFonts w:cs="Times New Roman"/>
          <w:lang w:val="pl-PL"/>
        </w:rPr>
        <w:t>dostarcza organom podatkowym nieprawidłowych lub niekompletnych informacji, jeżeli jest świadoma lub powinna mieć świadomość, że może to prowadzić do korzyści związanych z podatkami lub opłatami</w:t>
      </w:r>
      <w:r w:rsidR="00703159" w:rsidRPr="0051003F">
        <w:rPr>
          <w:rFonts w:cs="Times New Roman"/>
          <w:lang w:val="pl-PL"/>
        </w:rPr>
        <w:t>, ...</w:t>
      </w:r>
      <w:r w:rsidR="00DC09FD" w:rsidRPr="0051003F">
        <w:rPr>
          <w:rFonts w:cs="Times New Roman"/>
          <w:lang w:val="pl-PL"/>
        </w:rPr>
        <w:t>”</w:t>
      </w:r>
    </w:p>
    <w:p w:rsidR="00703159" w:rsidRPr="0051003F" w:rsidRDefault="00A7177A" w:rsidP="00A7252F">
      <w:pPr>
        <w:pStyle w:val="ECHRTitleCentre3"/>
        <w:rPr>
          <w:lang w:val="pl-PL"/>
        </w:rPr>
      </w:pPr>
      <w:bookmarkStart w:id="42" w:name="_Toc466904304"/>
      <w:bookmarkStart w:id="43" w:name="_Toc466972323"/>
      <w:bookmarkStart w:id="44" w:name="_Toc466972834"/>
      <w:bookmarkStart w:id="45" w:name="_Toc466974250"/>
      <w:bookmarkStart w:id="46" w:name="_Toc473801885"/>
      <w:r w:rsidRPr="0051003F">
        <w:rPr>
          <w:lang w:val="pl-PL"/>
        </w:rPr>
        <w:t xml:space="preserve">Artykuł </w:t>
      </w:r>
      <w:r w:rsidR="00703159" w:rsidRPr="0051003F">
        <w:rPr>
          <w:lang w:val="pl-PL"/>
        </w:rPr>
        <w:t>12-2 (</w:t>
      </w:r>
      <w:r w:rsidRPr="0051003F">
        <w:rPr>
          <w:lang w:val="pl-PL"/>
        </w:rPr>
        <w:t>Kwalifikowane przestępstwo podatkowe</w:t>
      </w:r>
      <w:r w:rsidR="00703159" w:rsidRPr="0051003F">
        <w:rPr>
          <w:lang w:val="pl-PL"/>
        </w:rPr>
        <w:t>)</w:t>
      </w:r>
      <w:bookmarkEnd w:id="42"/>
      <w:bookmarkEnd w:id="43"/>
      <w:bookmarkEnd w:id="44"/>
      <w:bookmarkEnd w:id="45"/>
      <w:bookmarkEnd w:id="46"/>
    </w:p>
    <w:p w:rsidR="00703159" w:rsidRPr="0051003F" w:rsidRDefault="00DC09FD" w:rsidP="00A7252F">
      <w:pPr>
        <w:pStyle w:val="ECHRParaQuote"/>
        <w:rPr>
          <w:rFonts w:cs="Times New Roman"/>
          <w:lang w:val="pl-PL"/>
        </w:rPr>
      </w:pPr>
      <w:r w:rsidRPr="0051003F">
        <w:rPr>
          <w:rFonts w:cs="Times New Roman"/>
          <w:lang w:val="pl-PL"/>
        </w:rPr>
        <w:t>“</w:t>
      </w:r>
      <w:r w:rsidR="0005310C" w:rsidRPr="0051003F">
        <w:rPr>
          <w:rFonts w:cs="Times New Roman"/>
          <w:lang w:val="pl-PL"/>
        </w:rPr>
        <w:t>1.  </w:t>
      </w:r>
      <w:r w:rsidR="00A7177A" w:rsidRPr="0051003F">
        <w:rPr>
          <w:rFonts w:cs="Times New Roman"/>
          <w:lang w:val="pl-PL"/>
        </w:rPr>
        <w:t>Kwalifikowane przestępstwo podatkowe</w:t>
      </w:r>
      <w:r w:rsidR="00703159" w:rsidRPr="0051003F">
        <w:rPr>
          <w:rFonts w:cs="Times New Roman"/>
          <w:lang w:val="pl-PL"/>
        </w:rPr>
        <w:t xml:space="preserve"> </w:t>
      </w:r>
      <w:r w:rsidR="00A7177A" w:rsidRPr="0051003F">
        <w:rPr>
          <w:rFonts w:cs="Times New Roman"/>
          <w:lang w:val="pl-PL"/>
        </w:rPr>
        <w:t>podlega karze</w:t>
      </w:r>
      <w:r w:rsidR="0037606C">
        <w:rPr>
          <w:rFonts w:cs="Times New Roman"/>
          <w:lang w:val="pl-PL"/>
        </w:rPr>
        <w:t xml:space="preserve"> grzywny lub karą</w:t>
      </w:r>
      <w:r w:rsidR="00A7177A" w:rsidRPr="0051003F">
        <w:rPr>
          <w:rFonts w:cs="Times New Roman"/>
          <w:lang w:val="pl-PL"/>
        </w:rPr>
        <w:t xml:space="preserve"> do sześciu lat pozbawienia wolności. Pomocnictwo i podżeganie są karalne</w:t>
      </w:r>
      <w:r w:rsidR="00703159" w:rsidRPr="0051003F">
        <w:rPr>
          <w:rFonts w:cs="Times New Roman"/>
          <w:lang w:val="pl-PL"/>
        </w:rPr>
        <w:t>.</w:t>
      </w:r>
    </w:p>
    <w:p w:rsidR="00A7177A" w:rsidRPr="0051003F" w:rsidRDefault="0005310C" w:rsidP="00A7177A">
      <w:pPr>
        <w:pStyle w:val="ECHRParaQuote"/>
        <w:rPr>
          <w:rFonts w:cs="Times New Roman"/>
          <w:lang w:val="pl-PL"/>
        </w:rPr>
      </w:pPr>
      <w:r w:rsidRPr="0051003F">
        <w:rPr>
          <w:rFonts w:cs="Times New Roman"/>
          <w:lang w:val="pl-PL"/>
        </w:rPr>
        <w:lastRenderedPageBreak/>
        <w:t>2.  </w:t>
      </w:r>
      <w:r w:rsidR="00A7177A" w:rsidRPr="0051003F">
        <w:rPr>
          <w:rFonts w:cs="Times New Roman"/>
          <w:lang w:val="pl-PL"/>
        </w:rPr>
        <w:t xml:space="preserve">Przy podejmowaniu decyzji, czy </w:t>
      </w:r>
      <w:r w:rsidR="00A87D86" w:rsidRPr="0051003F">
        <w:rPr>
          <w:rFonts w:cs="Times New Roman"/>
          <w:lang w:val="pl-PL"/>
        </w:rPr>
        <w:t>przestępstwo</w:t>
      </w:r>
      <w:r w:rsidR="00A7177A" w:rsidRPr="0051003F">
        <w:rPr>
          <w:rFonts w:cs="Times New Roman"/>
          <w:lang w:val="pl-PL"/>
        </w:rPr>
        <w:t xml:space="preserve"> podatkowe jest kwalifikowane, szczególny nacisk kładzie się na to, czy czyn może prowadzić do uchylania się od płacenia bardzo znaczącej kwoty podatków lub opłat, czy czynu dokonano w sposób szczególnie trudny do wykrycia, czy</w:t>
      </w:r>
      <w:r w:rsidR="0096059D" w:rsidRPr="0051003F">
        <w:rPr>
          <w:rFonts w:cs="Times New Roman"/>
          <w:lang w:val="pl-PL"/>
        </w:rPr>
        <w:t xml:space="preserve"> czynu dokonano</w:t>
      </w:r>
      <w:r w:rsidR="00A7177A" w:rsidRPr="0051003F">
        <w:rPr>
          <w:rFonts w:cs="Times New Roman"/>
          <w:lang w:val="pl-PL"/>
        </w:rPr>
        <w:t xml:space="preserve"> w wyniku nadużycia stanowiska lub stosunku zaufania lub czy </w:t>
      </w:r>
      <w:r w:rsidR="0096059D" w:rsidRPr="0051003F">
        <w:rPr>
          <w:rFonts w:cs="Times New Roman"/>
          <w:lang w:val="pl-PL"/>
        </w:rPr>
        <w:t xml:space="preserve">miało miejsce </w:t>
      </w:r>
      <w:r w:rsidR="00A7177A" w:rsidRPr="0051003F">
        <w:rPr>
          <w:rFonts w:cs="Times New Roman"/>
          <w:lang w:val="pl-PL"/>
        </w:rPr>
        <w:t>pomocnictwo i podżeganie w związku z wykonywaniem obowiązków służbowych.</w:t>
      </w:r>
    </w:p>
    <w:p w:rsidR="0096059D" w:rsidRPr="0051003F" w:rsidRDefault="0005310C" w:rsidP="0096059D">
      <w:pPr>
        <w:pStyle w:val="ECHRParaQuote"/>
        <w:rPr>
          <w:rFonts w:cs="Times New Roman"/>
          <w:lang w:val="pl-PL"/>
        </w:rPr>
      </w:pPr>
      <w:r w:rsidRPr="0051003F">
        <w:rPr>
          <w:rFonts w:cs="Times New Roman"/>
          <w:lang w:val="pl-PL"/>
        </w:rPr>
        <w:t>3.  </w:t>
      </w:r>
      <w:r w:rsidR="0096059D" w:rsidRPr="0051003F">
        <w:rPr>
          <w:rFonts w:cs="Times New Roman"/>
          <w:lang w:val="pl-PL"/>
        </w:rPr>
        <w:t xml:space="preserve">Zgodnie z kryteriami określonymi w ust. 2 kilka przestępstw można </w:t>
      </w:r>
      <w:r w:rsidR="005B2433">
        <w:rPr>
          <w:rFonts w:cs="Times New Roman"/>
          <w:lang w:val="pl-PL"/>
        </w:rPr>
        <w:t>rozpoznawać</w:t>
      </w:r>
      <w:r w:rsidR="005B2433" w:rsidRPr="0051003F">
        <w:rPr>
          <w:rFonts w:cs="Times New Roman"/>
          <w:lang w:val="pl-PL"/>
        </w:rPr>
        <w:t xml:space="preserve"> </w:t>
      </w:r>
      <w:r w:rsidR="0096059D" w:rsidRPr="0051003F">
        <w:rPr>
          <w:rFonts w:cs="Times New Roman"/>
          <w:lang w:val="pl-PL"/>
        </w:rPr>
        <w:t>łącznie.</w:t>
      </w:r>
    </w:p>
    <w:p w:rsidR="00703159" w:rsidRPr="0051003F" w:rsidRDefault="0096059D" w:rsidP="0096059D">
      <w:pPr>
        <w:pStyle w:val="ECHRParaQuote"/>
        <w:rPr>
          <w:rFonts w:cs="Times New Roman"/>
          <w:lang w:val="pl-PL"/>
        </w:rPr>
      </w:pPr>
      <w:r w:rsidRPr="0051003F">
        <w:rPr>
          <w:rFonts w:cs="Times New Roman"/>
          <w:lang w:val="pl-PL"/>
        </w:rPr>
        <w:t>4</w:t>
      </w:r>
      <w:r w:rsidR="0005310C" w:rsidRPr="0051003F">
        <w:rPr>
          <w:rFonts w:cs="Times New Roman"/>
          <w:lang w:val="pl-PL"/>
        </w:rPr>
        <w:t>.  </w:t>
      </w:r>
      <w:r w:rsidRPr="0051003F">
        <w:rPr>
          <w:rFonts w:cs="Times New Roman"/>
          <w:lang w:val="pl-PL"/>
        </w:rPr>
        <w:t>Niniejsz</w:t>
      </w:r>
      <w:r w:rsidR="00B0611C">
        <w:rPr>
          <w:rFonts w:cs="Times New Roman"/>
          <w:lang w:val="pl-PL"/>
        </w:rPr>
        <w:t>y</w:t>
      </w:r>
      <w:r w:rsidRPr="0051003F">
        <w:rPr>
          <w:rFonts w:cs="Times New Roman"/>
          <w:lang w:val="pl-PL"/>
        </w:rPr>
        <w:t xml:space="preserve"> przepis ma również zastosowanie w przypadku braku wiedzy na temat czynników, które nadają przestępstwu </w:t>
      </w:r>
      <w:r w:rsidR="005B2433">
        <w:rPr>
          <w:rFonts w:cs="Times New Roman"/>
          <w:lang w:val="pl-PL"/>
        </w:rPr>
        <w:t>charakter</w:t>
      </w:r>
      <w:r w:rsidR="005B2433" w:rsidRPr="0051003F">
        <w:rPr>
          <w:rFonts w:cs="Times New Roman"/>
          <w:lang w:val="pl-PL"/>
        </w:rPr>
        <w:t xml:space="preserve"> </w:t>
      </w:r>
      <w:r w:rsidRPr="0051003F">
        <w:rPr>
          <w:rFonts w:cs="Times New Roman"/>
          <w:lang w:val="pl-PL"/>
        </w:rPr>
        <w:t xml:space="preserve">kwalifikowanego, jeżeli taka niewiedza </w:t>
      </w:r>
      <w:r w:rsidR="00B0611C">
        <w:rPr>
          <w:rFonts w:cs="Times New Roman"/>
          <w:lang w:val="pl-PL"/>
        </w:rPr>
        <w:t>wynika z poważnego zaniedbania</w:t>
      </w:r>
      <w:r w:rsidRPr="0051003F">
        <w:rPr>
          <w:rFonts w:cs="Times New Roman"/>
          <w:lang w:val="pl-PL"/>
        </w:rPr>
        <w:t>.”</w:t>
      </w:r>
    </w:p>
    <w:p w:rsidR="0096059D" w:rsidRPr="0051003F" w:rsidRDefault="0056630D" w:rsidP="0096059D">
      <w:pPr>
        <w:pStyle w:val="ECHRPara"/>
        <w:rPr>
          <w:rFonts w:cs="Times New Roman"/>
          <w:lang w:val="pl-PL"/>
        </w:rPr>
      </w:pPr>
      <w:r>
        <w:rPr>
          <w:rFonts w:cs="Times New Roman"/>
          <w:lang w:val="pl-PL"/>
        </w:rPr>
        <w:t>44</w:t>
      </w:r>
      <w:r w:rsidR="00E823EF" w:rsidRPr="0051003F">
        <w:rPr>
          <w:rFonts w:cs="Times New Roman"/>
          <w:lang w:val="pl-PL"/>
        </w:rPr>
        <w:t>.  </w:t>
      </w:r>
      <w:r w:rsidR="0096059D" w:rsidRPr="0051003F">
        <w:rPr>
          <w:rFonts w:cs="Times New Roman"/>
          <w:lang w:val="pl-PL"/>
        </w:rPr>
        <w:t xml:space="preserve">Zgodnie z orzecznictwem Sądu Najwyższego nałożenie kary podatkowej w wysokości 60 % należy uznać za </w:t>
      </w:r>
      <w:r w:rsidR="00A87D86" w:rsidRPr="0051003F">
        <w:rPr>
          <w:rFonts w:cs="Times New Roman"/>
          <w:lang w:val="pl-PL"/>
        </w:rPr>
        <w:t>„</w:t>
      </w:r>
      <w:r w:rsidR="0096059D" w:rsidRPr="0051003F">
        <w:rPr>
          <w:rFonts w:cs="Times New Roman"/>
          <w:lang w:val="pl-PL"/>
        </w:rPr>
        <w:t>oskarżenie”</w:t>
      </w:r>
      <w:r w:rsidR="00A87D86" w:rsidRPr="0051003F">
        <w:rPr>
          <w:rFonts w:cs="Times New Roman"/>
          <w:lang w:val="pl-PL"/>
        </w:rPr>
        <w:t xml:space="preserve"> </w:t>
      </w:r>
      <w:r w:rsidR="0096059D" w:rsidRPr="0051003F">
        <w:rPr>
          <w:rFonts w:cs="Times New Roman"/>
          <w:lang w:val="pl-PL"/>
        </w:rPr>
        <w:t>w rozumieniu art. 6 Konwencji (</w:t>
      </w:r>
      <w:proofErr w:type="spellStart"/>
      <w:r w:rsidR="0096059D" w:rsidRPr="0051003F">
        <w:rPr>
          <w:rFonts w:cs="Times New Roman"/>
          <w:i/>
          <w:lang w:val="pl-PL"/>
        </w:rPr>
        <w:t>Rt</w:t>
      </w:r>
      <w:proofErr w:type="spellEnd"/>
      <w:r w:rsidR="0096059D" w:rsidRPr="0051003F">
        <w:rPr>
          <w:rFonts w:cs="Times New Roman"/>
          <w:i/>
          <w:lang w:val="pl-PL"/>
        </w:rPr>
        <w:t>.</w:t>
      </w:r>
      <w:r w:rsidR="0096059D" w:rsidRPr="0051003F">
        <w:rPr>
          <w:rFonts w:cs="Times New Roman"/>
          <w:lang w:val="pl-PL"/>
        </w:rPr>
        <w:t xml:space="preserve"> 2000, s. 996). W przypadku późniejszego wniesienia oskarżenia z powodu tego samego czynu sąd prowadzący rozprawę powinien oddalić zarzuty; w przeciwnym razie miałoby miejsce naruszenie art. 4 Protokołu nr 7 (dwa wyroki plenarne z dnia 3 maja 2002 r</w:t>
      </w:r>
      <w:r w:rsidR="005B2433">
        <w:rPr>
          <w:rFonts w:cs="Times New Roman"/>
          <w:lang w:val="pl-PL"/>
        </w:rPr>
        <w:t>oku</w:t>
      </w:r>
      <w:r w:rsidR="0096059D" w:rsidRPr="0051003F">
        <w:rPr>
          <w:rFonts w:cs="Times New Roman"/>
          <w:lang w:val="pl-PL"/>
        </w:rPr>
        <w:t xml:space="preserve">, </w:t>
      </w:r>
      <w:proofErr w:type="spellStart"/>
      <w:r w:rsidR="0096059D" w:rsidRPr="0051003F">
        <w:rPr>
          <w:rFonts w:cs="Times New Roman"/>
          <w:i/>
          <w:lang w:val="pl-PL"/>
        </w:rPr>
        <w:t>Rt</w:t>
      </w:r>
      <w:proofErr w:type="spellEnd"/>
      <w:r w:rsidR="0096059D" w:rsidRPr="0051003F">
        <w:rPr>
          <w:rFonts w:cs="Times New Roman"/>
          <w:lang w:val="pl-PL"/>
        </w:rPr>
        <w:t xml:space="preserve">. 2002 s. 557 i </w:t>
      </w:r>
      <w:proofErr w:type="spellStart"/>
      <w:r w:rsidR="0096059D" w:rsidRPr="0051003F">
        <w:rPr>
          <w:rFonts w:cs="Times New Roman"/>
          <w:lang w:val="pl-PL"/>
        </w:rPr>
        <w:t>Rt</w:t>
      </w:r>
      <w:proofErr w:type="spellEnd"/>
      <w:r w:rsidR="0096059D" w:rsidRPr="0051003F">
        <w:rPr>
          <w:rFonts w:cs="Times New Roman"/>
          <w:lang w:val="pl-PL"/>
        </w:rPr>
        <w:t>. 2002 s. 497).</w:t>
      </w:r>
    </w:p>
    <w:p w:rsidR="003E4761" w:rsidRPr="0051003F" w:rsidRDefault="0056630D" w:rsidP="009F11DD">
      <w:pPr>
        <w:pStyle w:val="ECHRPara"/>
        <w:rPr>
          <w:rFonts w:cs="Times New Roman"/>
          <w:lang w:val="pl-PL"/>
        </w:rPr>
      </w:pPr>
      <w:r>
        <w:rPr>
          <w:rFonts w:cs="Times New Roman"/>
          <w:lang w:val="pl-PL"/>
        </w:rPr>
        <w:t>45</w:t>
      </w:r>
      <w:r w:rsidR="00C87677" w:rsidRPr="0051003F">
        <w:rPr>
          <w:rFonts w:cs="Times New Roman"/>
          <w:lang w:val="pl-PL"/>
        </w:rPr>
        <w:t>.  </w:t>
      </w:r>
      <w:r w:rsidR="009F11DD" w:rsidRPr="0051003F">
        <w:rPr>
          <w:rFonts w:cs="Times New Roman"/>
          <w:lang w:val="pl-PL"/>
        </w:rPr>
        <w:t>Sąd Najwyższy orzekł również, że odpowiedzialność karna 30% stanowi "karę, w rozumieniu prawa karnego,” do celów art. 6 Konwencji (trzecie orzeczenie z dnia 3 maja 2002 r</w:t>
      </w:r>
      <w:r w:rsidR="00741963">
        <w:rPr>
          <w:rFonts w:cs="Times New Roman"/>
          <w:lang w:val="pl-PL"/>
        </w:rPr>
        <w:t>oku</w:t>
      </w:r>
      <w:r w:rsidR="009F11DD" w:rsidRPr="0051003F">
        <w:rPr>
          <w:rFonts w:cs="Times New Roman"/>
          <w:lang w:val="pl-PL"/>
        </w:rPr>
        <w:t xml:space="preserve">, </w:t>
      </w:r>
      <w:proofErr w:type="spellStart"/>
      <w:r w:rsidR="009F11DD" w:rsidRPr="0051003F">
        <w:rPr>
          <w:rFonts w:cs="Times New Roman"/>
          <w:i/>
          <w:lang w:val="pl-PL"/>
        </w:rPr>
        <w:t>Rt</w:t>
      </w:r>
      <w:proofErr w:type="spellEnd"/>
      <w:r w:rsidR="009F11DD" w:rsidRPr="0051003F">
        <w:rPr>
          <w:rFonts w:cs="Times New Roman"/>
          <w:lang w:val="pl-PL"/>
        </w:rPr>
        <w:t xml:space="preserve">. 2002, s. 509). W późniejszych wyrokach, o których mowa w </w:t>
      </w:r>
      <w:proofErr w:type="spellStart"/>
      <w:r w:rsidR="009F11DD" w:rsidRPr="0051003F">
        <w:rPr>
          <w:rFonts w:cs="Times New Roman"/>
          <w:i/>
          <w:lang w:val="pl-PL"/>
        </w:rPr>
        <w:t>Rt</w:t>
      </w:r>
      <w:proofErr w:type="spellEnd"/>
      <w:r w:rsidR="009F11DD" w:rsidRPr="0051003F">
        <w:rPr>
          <w:rFonts w:cs="Times New Roman"/>
          <w:lang w:val="pl-PL"/>
        </w:rPr>
        <w:t xml:space="preserve">. 2004 s. 645 i </w:t>
      </w:r>
      <w:proofErr w:type="spellStart"/>
      <w:r w:rsidR="009F11DD" w:rsidRPr="0051003F">
        <w:rPr>
          <w:rFonts w:cs="Times New Roman"/>
          <w:i/>
          <w:lang w:val="pl-PL"/>
        </w:rPr>
        <w:t>Rt</w:t>
      </w:r>
      <w:proofErr w:type="spellEnd"/>
      <w:r w:rsidR="009F11DD" w:rsidRPr="0051003F">
        <w:rPr>
          <w:rFonts w:cs="Times New Roman"/>
          <w:lang w:val="pl-PL"/>
        </w:rPr>
        <w:t xml:space="preserve">. 2006 s. 1409, Sąd orzekł, że 30 % kara podatkowa jest również sprawą karną w rozumieniu art. 4 Protokołu </w:t>
      </w:r>
      <w:r w:rsidR="00741963">
        <w:rPr>
          <w:rFonts w:cs="Times New Roman"/>
          <w:lang w:val="pl-PL"/>
        </w:rPr>
        <w:t>n</w:t>
      </w:r>
      <w:r w:rsidR="009F11DD" w:rsidRPr="0051003F">
        <w:rPr>
          <w:rFonts w:cs="Times New Roman"/>
          <w:lang w:val="pl-PL"/>
        </w:rPr>
        <w:t>r 7</w:t>
      </w:r>
      <w:r w:rsidR="00703159" w:rsidRPr="0051003F">
        <w:rPr>
          <w:rFonts w:cs="Times New Roman"/>
          <w:lang w:val="pl-PL"/>
        </w:rPr>
        <w:t>.</w:t>
      </w:r>
    </w:p>
    <w:p w:rsidR="00C907D3" w:rsidRPr="0051003F" w:rsidRDefault="0056630D" w:rsidP="00452EB7">
      <w:pPr>
        <w:pStyle w:val="ECHRPara"/>
        <w:rPr>
          <w:rFonts w:cs="Times New Roman"/>
          <w:lang w:val="pl-PL"/>
        </w:rPr>
      </w:pPr>
      <w:r>
        <w:rPr>
          <w:rFonts w:cs="Times New Roman"/>
          <w:b/>
          <w:lang w:val="pl-PL"/>
        </w:rPr>
        <w:t>46</w:t>
      </w:r>
      <w:r w:rsidR="00703159" w:rsidRPr="0051003F">
        <w:rPr>
          <w:rFonts w:cs="Times New Roman"/>
          <w:b/>
          <w:lang w:val="pl-PL"/>
        </w:rPr>
        <w:t>.</w:t>
      </w:r>
      <w:r w:rsidR="00703159" w:rsidRPr="0051003F">
        <w:rPr>
          <w:rFonts w:cs="Times New Roman"/>
          <w:lang w:val="pl-PL"/>
        </w:rPr>
        <w:t>  </w:t>
      </w:r>
      <w:r w:rsidR="00452EB7" w:rsidRPr="0051003F">
        <w:rPr>
          <w:rFonts w:cs="Times New Roman"/>
          <w:lang w:val="pl-PL"/>
        </w:rPr>
        <w:t xml:space="preserve">Należy również zwrócić uwagę, że w odniesieniu do charakteru kar normalnych w wysokości 30 % Sąd Najwyższy odniósł się do prac </w:t>
      </w:r>
      <w:r w:rsidR="00333192">
        <w:rPr>
          <w:rFonts w:cs="Times New Roman"/>
          <w:lang w:val="pl-PL"/>
        </w:rPr>
        <w:t>legislacyjnych</w:t>
      </w:r>
      <w:r w:rsidR="00333192" w:rsidRPr="0051003F">
        <w:rPr>
          <w:rFonts w:cs="Times New Roman"/>
          <w:lang w:val="pl-PL"/>
        </w:rPr>
        <w:t xml:space="preserve"> </w:t>
      </w:r>
      <w:r w:rsidR="00703159" w:rsidRPr="0051003F">
        <w:rPr>
          <w:rFonts w:cs="Times New Roman"/>
          <w:lang w:val="pl-PL"/>
        </w:rPr>
        <w:t>(</w:t>
      </w:r>
      <w:proofErr w:type="spellStart"/>
      <w:r w:rsidR="00703159" w:rsidRPr="0051003F">
        <w:rPr>
          <w:rFonts w:cs="Times New Roman"/>
          <w:i/>
          <w:iCs/>
          <w:lang w:val="pl-PL"/>
        </w:rPr>
        <w:t>Ot.prp</w:t>
      </w:r>
      <w:proofErr w:type="spellEnd"/>
      <w:r w:rsidR="00703159" w:rsidRPr="0051003F">
        <w:rPr>
          <w:rFonts w:cs="Times New Roman"/>
          <w:i/>
          <w:iCs/>
          <w:lang w:val="pl-PL"/>
        </w:rPr>
        <w:t>.</w:t>
      </w:r>
      <w:r w:rsidR="00F324D1">
        <w:rPr>
          <w:rFonts w:cs="Times New Roman"/>
          <w:i/>
          <w:iCs/>
          <w:lang w:val="pl-PL"/>
        </w:rPr>
        <w:t xml:space="preserve"> </w:t>
      </w:r>
      <w:r w:rsidR="00703159" w:rsidRPr="0051003F">
        <w:rPr>
          <w:rFonts w:cs="Times New Roman"/>
          <w:i/>
          <w:iCs/>
          <w:lang w:val="pl-PL"/>
        </w:rPr>
        <w:t>nr 29</w:t>
      </w:r>
      <w:r w:rsidR="00D02846" w:rsidRPr="0051003F">
        <w:rPr>
          <w:rFonts w:cs="Times New Roman"/>
          <w:i/>
          <w:iCs/>
          <w:lang w:val="pl-PL"/>
        </w:rPr>
        <w:t xml:space="preserve"> </w:t>
      </w:r>
      <w:r w:rsidR="00703159" w:rsidRPr="0051003F">
        <w:rPr>
          <w:rFonts w:cs="Times New Roman"/>
          <w:i/>
          <w:iCs/>
          <w:lang w:val="pl-PL"/>
        </w:rPr>
        <w:t>(1978-1979</w:t>
      </w:r>
      <w:r w:rsidR="00452EB7" w:rsidRPr="0051003F">
        <w:rPr>
          <w:rFonts w:cs="Times New Roman"/>
          <w:lang w:val="pl-PL"/>
        </w:rPr>
        <w:t>), s.</w:t>
      </w:r>
      <w:r w:rsidR="00C80BEA" w:rsidRPr="0051003F">
        <w:rPr>
          <w:rFonts w:cs="Times New Roman"/>
          <w:lang w:val="pl-PL"/>
        </w:rPr>
        <w:t xml:space="preserve"> 44-</w:t>
      </w:r>
      <w:r w:rsidR="000D7FD6" w:rsidRPr="0051003F">
        <w:rPr>
          <w:rFonts w:cs="Times New Roman"/>
          <w:lang w:val="pl-PL"/>
        </w:rPr>
        <w:t xml:space="preserve">45). </w:t>
      </w:r>
      <w:r w:rsidR="00452EB7" w:rsidRPr="0051003F">
        <w:rPr>
          <w:rFonts w:cs="Times New Roman"/>
          <w:lang w:val="pl-PL"/>
        </w:rPr>
        <w:t xml:space="preserve">Stwierdził, że ministerstwo przywiązuje dużą wagę do kwestii ogólnej prewencji. Silna perspektywa sankcji w postaci kary podatkowej została uznana za ważniejszą od mniejszej liczby bardziej surowszych sankcji (karnych). Kara podatkowa miała być przede wszystkim reakcją na fakt, że podatnik dostarczył organom podatkowym nieprawidłowe lub niekompletne deklaracje lub informacje, a także </w:t>
      </w:r>
      <w:r w:rsidR="00C252BC">
        <w:rPr>
          <w:rFonts w:cs="Times New Roman"/>
          <w:lang w:val="pl-PL"/>
        </w:rPr>
        <w:t>z powodu znacznych kosztów poniesionych</w:t>
      </w:r>
      <w:r w:rsidR="00452EB7" w:rsidRPr="0051003F">
        <w:rPr>
          <w:rFonts w:cs="Times New Roman"/>
          <w:lang w:val="pl-PL"/>
        </w:rPr>
        <w:t xml:space="preserve"> przez </w:t>
      </w:r>
      <w:r w:rsidR="00C252BC">
        <w:rPr>
          <w:rFonts w:cs="Times New Roman"/>
          <w:lang w:val="pl-PL"/>
        </w:rPr>
        <w:t>społeczeństwo</w:t>
      </w:r>
      <w:r w:rsidR="00C252BC" w:rsidRPr="0051003F">
        <w:rPr>
          <w:rFonts w:cs="Times New Roman"/>
          <w:lang w:val="pl-PL"/>
        </w:rPr>
        <w:t xml:space="preserve"> </w:t>
      </w:r>
      <w:r w:rsidR="00452EB7" w:rsidRPr="0051003F">
        <w:rPr>
          <w:rFonts w:cs="Times New Roman"/>
          <w:lang w:val="pl-PL"/>
        </w:rPr>
        <w:t xml:space="preserve">w związku z przeprowadzaniem kontroli i dochodzeń. Uznano, że koszty te powinny być do pewnego stopnia ponoszone przez podmioty, które dostarczyły </w:t>
      </w:r>
      <w:r w:rsidR="00C252BC" w:rsidRPr="0051003F">
        <w:rPr>
          <w:rFonts w:cs="Times New Roman"/>
          <w:lang w:val="pl-PL"/>
        </w:rPr>
        <w:t>nieprawidłow</w:t>
      </w:r>
      <w:r w:rsidR="00C252BC">
        <w:rPr>
          <w:rFonts w:cs="Times New Roman"/>
          <w:lang w:val="pl-PL"/>
        </w:rPr>
        <w:t>ych</w:t>
      </w:r>
      <w:r w:rsidR="00C252BC" w:rsidRPr="0051003F">
        <w:rPr>
          <w:rFonts w:cs="Times New Roman"/>
          <w:lang w:val="pl-PL"/>
        </w:rPr>
        <w:t xml:space="preserve"> </w:t>
      </w:r>
      <w:r w:rsidR="00452EB7" w:rsidRPr="0051003F">
        <w:rPr>
          <w:rFonts w:cs="Times New Roman"/>
          <w:lang w:val="pl-PL"/>
        </w:rPr>
        <w:t>lub niekompletn</w:t>
      </w:r>
      <w:r w:rsidR="00C252BC">
        <w:rPr>
          <w:rFonts w:cs="Times New Roman"/>
          <w:lang w:val="pl-PL"/>
        </w:rPr>
        <w:t>ych</w:t>
      </w:r>
      <w:r w:rsidR="00452EB7" w:rsidRPr="0051003F">
        <w:rPr>
          <w:rFonts w:cs="Times New Roman"/>
          <w:lang w:val="pl-PL"/>
        </w:rPr>
        <w:t xml:space="preserve"> informacj</w:t>
      </w:r>
      <w:r w:rsidR="00C252BC">
        <w:rPr>
          <w:rFonts w:cs="Times New Roman"/>
          <w:lang w:val="pl-PL"/>
        </w:rPr>
        <w:t>i</w:t>
      </w:r>
      <w:r w:rsidR="00452EB7" w:rsidRPr="0051003F">
        <w:rPr>
          <w:rFonts w:cs="Times New Roman"/>
          <w:lang w:val="pl-PL"/>
        </w:rPr>
        <w:t xml:space="preserve"> </w:t>
      </w:r>
      <w:r w:rsidR="00703159" w:rsidRPr="0051003F">
        <w:rPr>
          <w:rFonts w:cs="Times New Roman"/>
          <w:lang w:val="pl-PL"/>
        </w:rPr>
        <w:t>(</w:t>
      </w:r>
      <w:proofErr w:type="spellStart"/>
      <w:r w:rsidR="00703159" w:rsidRPr="0051003F">
        <w:rPr>
          <w:rFonts w:cs="Times New Roman"/>
          <w:i/>
          <w:iCs/>
          <w:lang w:val="pl-PL"/>
        </w:rPr>
        <w:t>Rt</w:t>
      </w:r>
      <w:proofErr w:type="spellEnd"/>
      <w:r w:rsidR="00703159" w:rsidRPr="0051003F">
        <w:rPr>
          <w:rFonts w:cs="Times New Roman"/>
          <w:i/>
          <w:iCs/>
          <w:lang w:val="pl-PL"/>
        </w:rPr>
        <w:t xml:space="preserve">. </w:t>
      </w:r>
      <w:r w:rsidR="00452EB7" w:rsidRPr="0051003F">
        <w:rPr>
          <w:rFonts w:cs="Times New Roman"/>
          <w:lang w:val="pl-PL"/>
        </w:rPr>
        <w:t>2002 s. 509, s</w:t>
      </w:r>
      <w:r w:rsidR="00496222" w:rsidRPr="0051003F">
        <w:rPr>
          <w:rFonts w:cs="Times New Roman"/>
          <w:lang w:val="pl-PL"/>
        </w:rPr>
        <w:t xml:space="preserve">. 520). </w:t>
      </w:r>
      <w:r w:rsidR="00452EB7" w:rsidRPr="0051003F">
        <w:rPr>
          <w:rFonts w:cs="Times New Roman"/>
          <w:lang w:val="pl-PL"/>
        </w:rPr>
        <w:t xml:space="preserve">Cele przepisów dotyczących zwykłych kar podatkowych charakteryzowały się przede wszystkim potrzebą zwiększenia skuteczności spoczywającego na podatniku obowiązku informowania i uwzględniania ogólnych zasad prewencji </w:t>
      </w:r>
      <w:r w:rsidR="00C83522" w:rsidRPr="0051003F">
        <w:rPr>
          <w:rFonts w:cs="Times New Roman"/>
          <w:lang w:val="pl-PL"/>
        </w:rPr>
        <w:t>(</w:t>
      </w:r>
      <w:proofErr w:type="spellStart"/>
      <w:r w:rsidR="00C83522" w:rsidRPr="0051003F">
        <w:rPr>
          <w:rFonts w:cs="Times New Roman"/>
          <w:i/>
          <w:iCs/>
          <w:lang w:val="pl-PL"/>
        </w:rPr>
        <w:t>Rt</w:t>
      </w:r>
      <w:proofErr w:type="spellEnd"/>
      <w:r w:rsidR="00452EB7" w:rsidRPr="0051003F">
        <w:rPr>
          <w:rFonts w:cs="Times New Roman"/>
          <w:lang w:val="pl-PL"/>
        </w:rPr>
        <w:t>. 2006 s.</w:t>
      </w:r>
      <w:r w:rsidR="006425E0" w:rsidRPr="0051003F">
        <w:rPr>
          <w:rFonts w:cs="Times New Roman"/>
          <w:lang w:val="pl-PL"/>
        </w:rPr>
        <w:t> </w:t>
      </w:r>
      <w:r w:rsidR="00C83522" w:rsidRPr="0051003F">
        <w:rPr>
          <w:rFonts w:cs="Times New Roman"/>
          <w:lang w:val="pl-PL"/>
        </w:rPr>
        <w:t>1409)</w:t>
      </w:r>
      <w:r w:rsidR="00C83522" w:rsidRPr="0051003F">
        <w:rPr>
          <w:lang w:val="pl-PL"/>
        </w:rPr>
        <w:t xml:space="preserve">. </w:t>
      </w:r>
      <w:r w:rsidR="00452EB7" w:rsidRPr="0051003F">
        <w:rPr>
          <w:rFonts w:cs="Times New Roman"/>
          <w:lang w:val="pl-PL"/>
        </w:rPr>
        <w:t xml:space="preserve">Podatnik miał rozległy obowiązek dostarczenia takich informacji i materiałów, jakie były istotne dla oceny podatkowej. Obowiązek ten miał zasadnicze znaczenie dla całego krajowego systemu podatkowego i opierał się na systemie kontroli i skutecznych sankcji w przypadku naruszenia. Ocena podatkowa była </w:t>
      </w:r>
      <w:r w:rsidR="00452EB7" w:rsidRPr="0051003F">
        <w:rPr>
          <w:rFonts w:cs="Times New Roman"/>
          <w:lang w:val="pl-PL"/>
        </w:rPr>
        <w:lastRenderedPageBreak/>
        <w:t xml:space="preserve">operacją masową, w którą zaangażowane były miliony obywateli. Celem kar podatkowych było zabezpieczenie podstaw krajowego systemu podatkowego. Uznano, że prawidłowo funkcjonujący system podatkowy jest </w:t>
      </w:r>
      <w:r w:rsidR="00BD6AC8">
        <w:rPr>
          <w:rFonts w:cs="Times New Roman"/>
          <w:lang w:val="pl-PL"/>
        </w:rPr>
        <w:t>podstawowym warunkiem</w:t>
      </w:r>
      <w:r w:rsidR="00452EB7" w:rsidRPr="0051003F">
        <w:rPr>
          <w:rFonts w:cs="Times New Roman"/>
          <w:lang w:val="pl-PL"/>
        </w:rPr>
        <w:t xml:space="preserve"> funkcjonowania państwa, a tym samym funkcjonującego społeczeństwa </w:t>
      </w:r>
      <w:r w:rsidR="00703159" w:rsidRPr="0051003F">
        <w:rPr>
          <w:rFonts w:cs="Times New Roman"/>
          <w:lang w:val="pl-PL"/>
        </w:rPr>
        <w:t>(</w:t>
      </w:r>
      <w:proofErr w:type="spellStart"/>
      <w:r w:rsidR="00703159" w:rsidRPr="0051003F">
        <w:rPr>
          <w:rFonts w:cs="Times New Roman"/>
          <w:i/>
          <w:iCs/>
          <w:lang w:val="pl-PL"/>
        </w:rPr>
        <w:t>Rt</w:t>
      </w:r>
      <w:proofErr w:type="spellEnd"/>
      <w:r w:rsidR="00703159" w:rsidRPr="0051003F">
        <w:rPr>
          <w:rFonts w:cs="Times New Roman"/>
          <w:i/>
          <w:iCs/>
          <w:lang w:val="pl-PL"/>
        </w:rPr>
        <w:t xml:space="preserve">. </w:t>
      </w:r>
      <w:r w:rsidR="00452EB7" w:rsidRPr="0051003F">
        <w:rPr>
          <w:rFonts w:cs="Times New Roman"/>
          <w:lang w:val="pl-PL"/>
        </w:rPr>
        <w:t>2002 s. 509, s.</w:t>
      </w:r>
      <w:r w:rsidR="00CD702B" w:rsidRPr="0051003F">
        <w:rPr>
          <w:rFonts w:cs="Times New Roman"/>
          <w:lang w:val="pl-PL"/>
        </w:rPr>
        <w:t xml:space="preserve"> </w:t>
      </w:r>
      <w:r w:rsidR="00703159" w:rsidRPr="0051003F">
        <w:rPr>
          <w:rFonts w:cs="Times New Roman"/>
          <w:lang w:val="pl-PL"/>
        </w:rPr>
        <w:t>525).</w:t>
      </w:r>
    </w:p>
    <w:p w:rsidR="00C465AD" w:rsidRPr="0051003F" w:rsidRDefault="0056630D" w:rsidP="00A7252F">
      <w:pPr>
        <w:pStyle w:val="ECHRPara"/>
        <w:rPr>
          <w:rFonts w:cs="Times New Roman"/>
          <w:lang w:val="pl-PL"/>
        </w:rPr>
      </w:pPr>
      <w:r>
        <w:rPr>
          <w:rFonts w:cs="Times New Roman"/>
          <w:lang w:val="pl-PL"/>
        </w:rPr>
        <w:t>47</w:t>
      </w:r>
      <w:r w:rsidR="000425D2" w:rsidRPr="0051003F">
        <w:rPr>
          <w:rFonts w:cs="Times New Roman"/>
          <w:lang w:val="pl-PL"/>
        </w:rPr>
        <w:t>.  </w:t>
      </w:r>
      <w:r w:rsidR="00A87D86" w:rsidRPr="0051003F">
        <w:rPr>
          <w:rFonts w:cs="Times New Roman"/>
          <w:lang w:val="pl-PL"/>
        </w:rPr>
        <w:t>W wyroku, który zapadł w składzie plenarnym, w dniu 14 września 2006 r</w:t>
      </w:r>
      <w:r w:rsidR="00BD6AC8">
        <w:rPr>
          <w:rFonts w:cs="Times New Roman"/>
          <w:lang w:val="pl-PL"/>
        </w:rPr>
        <w:t>oku</w:t>
      </w:r>
      <w:r w:rsidR="00A87D86" w:rsidRPr="0051003F">
        <w:rPr>
          <w:rFonts w:cs="Times New Roman"/>
          <w:lang w:val="pl-PL"/>
        </w:rPr>
        <w:t xml:space="preserve"> , w ślad za orzeczeniem Trybunału o niedopuszczalności skargi ,z dnia 14 września 2004 r</w:t>
      </w:r>
      <w:r w:rsidR="00BD6AC8">
        <w:rPr>
          <w:rFonts w:cs="Times New Roman"/>
          <w:lang w:val="pl-PL"/>
        </w:rPr>
        <w:t>oku</w:t>
      </w:r>
      <w:r w:rsidR="00A87D86" w:rsidRPr="0051003F">
        <w:rPr>
          <w:rFonts w:cs="Times New Roman"/>
          <w:lang w:val="pl-PL"/>
        </w:rPr>
        <w:t xml:space="preserve"> w sprawie </w:t>
      </w:r>
      <w:r w:rsidR="00B4591C" w:rsidRPr="0051003F">
        <w:rPr>
          <w:i/>
          <w:lang w:val="pl-PL"/>
        </w:rPr>
        <w:t>Rosenquist</w:t>
      </w:r>
      <w:r w:rsidR="00B4591C" w:rsidRPr="0051003F">
        <w:rPr>
          <w:lang w:val="pl-PL"/>
        </w:rPr>
        <w:t xml:space="preserve"> </w:t>
      </w:r>
      <w:r w:rsidR="00A87D86" w:rsidRPr="0051003F">
        <w:rPr>
          <w:i/>
          <w:lang w:val="pl-PL"/>
        </w:rPr>
        <w:t>przeciwko</w:t>
      </w:r>
      <w:r w:rsidR="00B4591C" w:rsidRPr="0051003F">
        <w:rPr>
          <w:i/>
          <w:lang w:val="pl-PL"/>
        </w:rPr>
        <w:t> S</w:t>
      </w:r>
      <w:r w:rsidR="00A87D86" w:rsidRPr="0051003F">
        <w:rPr>
          <w:i/>
          <w:lang w:val="pl-PL"/>
        </w:rPr>
        <w:t>zwecji</w:t>
      </w:r>
      <w:r w:rsidR="00A87D86" w:rsidRPr="0051003F">
        <w:rPr>
          <w:lang w:val="pl-PL"/>
        </w:rPr>
        <w:t xml:space="preserve"> ((</w:t>
      </w:r>
      <w:proofErr w:type="spellStart"/>
      <w:r w:rsidR="00A87D86" w:rsidRPr="0051003F">
        <w:rPr>
          <w:lang w:val="pl-PL"/>
        </w:rPr>
        <w:t>dec</w:t>
      </w:r>
      <w:proofErr w:type="spellEnd"/>
      <w:r w:rsidR="00A87D86" w:rsidRPr="0051003F">
        <w:rPr>
          <w:lang w:val="pl-PL"/>
        </w:rPr>
        <w:t xml:space="preserve">.), nr 60619/00, 14 września </w:t>
      </w:r>
      <w:r w:rsidR="00B4591C" w:rsidRPr="0051003F">
        <w:rPr>
          <w:lang w:val="pl-PL"/>
        </w:rPr>
        <w:t>2004</w:t>
      </w:r>
      <w:r w:rsidR="00BD6AC8">
        <w:rPr>
          <w:lang w:val="pl-PL"/>
        </w:rPr>
        <w:t xml:space="preserve"> roku</w:t>
      </w:r>
      <w:r w:rsidR="00B4591C" w:rsidRPr="0051003F">
        <w:rPr>
          <w:lang w:val="pl-PL"/>
        </w:rPr>
        <w:t>)</w:t>
      </w:r>
      <w:r w:rsidR="00C465AD" w:rsidRPr="0051003F">
        <w:rPr>
          <w:rFonts w:cs="Times New Roman"/>
          <w:lang w:val="pl-PL"/>
        </w:rPr>
        <w:t xml:space="preserve">, </w:t>
      </w:r>
      <w:r w:rsidR="00A87D86" w:rsidRPr="0051003F">
        <w:rPr>
          <w:rFonts w:cs="Times New Roman"/>
          <w:lang w:val="pl-PL"/>
        </w:rPr>
        <w:t xml:space="preserve">Sąd Najwyższy orzekł, że nałożenie 30 % kary podatkowej oraz postępowanie karne za oszustwo podatkowe, nie stanowiły tego samego przestępstwa w rozumieniu art. 4 Protokołu </w:t>
      </w:r>
      <w:r w:rsidR="004D24F2">
        <w:rPr>
          <w:rFonts w:cs="Times New Roman"/>
          <w:lang w:val="pl-PL"/>
        </w:rPr>
        <w:t>n</w:t>
      </w:r>
      <w:r w:rsidR="00673165" w:rsidRPr="0051003F">
        <w:rPr>
          <w:rFonts w:cs="Times New Roman"/>
          <w:lang w:val="pl-PL"/>
        </w:rPr>
        <w:t xml:space="preserve">r </w:t>
      </w:r>
      <w:r w:rsidR="00A87D86" w:rsidRPr="0051003F">
        <w:rPr>
          <w:rFonts w:cs="Times New Roman"/>
          <w:lang w:val="pl-PL"/>
        </w:rPr>
        <w:t>7</w:t>
      </w:r>
      <w:r w:rsidR="00C465AD" w:rsidRPr="0051003F">
        <w:rPr>
          <w:rFonts w:cs="Times New Roman"/>
          <w:lang w:val="pl-PL"/>
        </w:rPr>
        <w:t xml:space="preserve"> (</w:t>
      </w:r>
      <w:proofErr w:type="spellStart"/>
      <w:r w:rsidR="00C465AD" w:rsidRPr="0051003F">
        <w:rPr>
          <w:rFonts w:cs="Times New Roman"/>
          <w:i/>
          <w:iCs/>
          <w:lang w:val="pl-PL"/>
        </w:rPr>
        <w:t>Rt</w:t>
      </w:r>
      <w:proofErr w:type="spellEnd"/>
      <w:r w:rsidR="00A87D86" w:rsidRPr="0051003F">
        <w:rPr>
          <w:rFonts w:cs="Times New Roman"/>
          <w:lang w:val="pl-PL"/>
        </w:rPr>
        <w:t>. 2006 s.</w:t>
      </w:r>
      <w:r w:rsidR="006425E0" w:rsidRPr="0051003F">
        <w:rPr>
          <w:rFonts w:cs="Times New Roman"/>
          <w:lang w:val="pl-PL"/>
        </w:rPr>
        <w:t> </w:t>
      </w:r>
      <w:r w:rsidR="00C465AD" w:rsidRPr="0051003F">
        <w:rPr>
          <w:rFonts w:cs="Times New Roman"/>
          <w:lang w:val="pl-PL"/>
        </w:rPr>
        <w:t>1409).</w:t>
      </w:r>
      <w:r w:rsidR="00803E74" w:rsidRPr="0051003F">
        <w:rPr>
          <w:lang w:val="pl-PL"/>
        </w:rPr>
        <w:t xml:space="preserve"> </w:t>
      </w:r>
      <w:r w:rsidR="00A87D86" w:rsidRPr="0051003F">
        <w:rPr>
          <w:rFonts w:cs="Times New Roman"/>
          <w:lang w:val="pl-PL"/>
        </w:rPr>
        <w:t>W swoim wyroku</w:t>
      </w:r>
      <w:r w:rsidR="00803E74" w:rsidRPr="0051003F">
        <w:rPr>
          <w:rFonts w:cs="Times New Roman"/>
          <w:lang w:val="pl-PL"/>
        </w:rPr>
        <w:t xml:space="preserve"> (</w:t>
      </w:r>
      <w:r w:rsidR="00A87D86" w:rsidRPr="0051003F">
        <w:rPr>
          <w:rFonts w:cs="Times New Roman"/>
          <w:lang w:val="pl-PL"/>
        </w:rPr>
        <w:t>z września</w:t>
      </w:r>
      <w:r w:rsidR="00803E74" w:rsidRPr="0051003F">
        <w:rPr>
          <w:rFonts w:cs="Times New Roman"/>
          <w:lang w:val="pl-PL"/>
        </w:rPr>
        <w:t xml:space="preserve"> 2010</w:t>
      </w:r>
      <w:r w:rsidR="00A87D86" w:rsidRPr="0051003F">
        <w:rPr>
          <w:rFonts w:cs="Times New Roman"/>
          <w:lang w:val="pl-PL"/>
        </w:rPr>
        <w:t xml:space="preserve"> r</w:t>
      </w:r>
      <w:r w:rsidR="004D24F2">
        <w:rPr>
          <w:rFonts w:cs="Times New Roman"/>
          <w:lang w:val="pl-PL"/>
        </w:rPr>
        <w:t>oku</w:t>
      </w:r>
      <w:r w:rsidR="00803E74" w:rsidRPr="0051003F">
        <w:rPr>
          <w:rFonts w:cs="Times New Roman"/>
          <w:lang w:val="pl-PL"/>
        </w:rPr>
        <w:t xml:space="preserve">) </w:t>
      </w:r>
      <w:r w:rsidR="00A87D86" w:rsidRPr="0051003F">
        <w:rPr>
          <w:rFonts w:cs="Times New Roman"/>
          <w:lang w:val="pl-PL"/>
        </w:rPr>
        <w:t>w sprawie pierwszego skarżącego</w:t>
      </w:r>
      <w:r w:rsidR="00803E74" w:rsidRPr="0051003F">
        <w:rPr>
          <w:rFonts w:cs="Times New Roman"/>
          <w:lang w:val="pl-PL"/>
        </w:rPr>
        <w:t xml:space="preserve">, </w:t>
      </w:r>
      <w:r w:rsidR="00A87D86" w:rsidRPr="0051003F">
        <w:rPr>
          <w:rFonts w:cs="Times New Roman"/>
          <w:lang w:val="pl-PL"/>
        </w:rPr>
        <w:t xml:space="preserve">Sąd Najwyższy odszedł od tej linii orzeczniczej i orzekł, ze postępowanie administracyjne oraz karne odnosiły się do tego samego przestępstwa w rozumieniu art. 4 Protokołu </w:t>
      </w:r>
      <w:r w:rsidR="004D24F2">
        <w:rPr>
          <w:rFonts w:cs="Times New Roman"/>
          <w:lang w:val="pl-PL"/>
        </w:rPr>
        <w:t>n</w:t>
      </w:r>
      <w:r w:rsidR="00A87D86" w:rsidRPr="0051003F">
        <w:rPr>
          <w:rFonts w:cs="Times New Roman"/>
          <w:lang w:val="pl-PL"/>
        </w:rPr>
        <w:t>r 7 (zobacz paragraf 20 powyżej).</w:t>
      </w:r>
    </w:p>
    <w:p w:rsidR="00A76D29" w:rsidRPr="0051003F" w:rsidRDefault="0056630D" w:rsidP="00A7252F">
      <w:pPr>
        <w:pStyle w:val="ECHRPara"/>
        <w:rPr>
          <w:rFonts w:cs="Times New Roman"/>
          <w:lang w:val="pl-PL"/>
        </w:rPr>
      </w:pPr>
      <w:r>
        <w:rPr>
          <w:rFonts w:cs="Times New Roman"/>
          <w:lang w:val="pl-PL"/>
        </w:rPr>
        <w:t>48</w:t>
      </w:r>
      <w:r w:rsidR="00CE74FF" w:rsidRPr="0051003F">
        <w:rPr>
          <w:rFonts w:cs="Times New Roman"/>
          <w:lang w:val="pl-PL"/>
        </w:rPr>
        <w:t>.  </w:t>
      </w:r>
      <w:r w:rsidR="00673165" w:rsidRPr="0051003F">
        <w:rPr>
          <w:rFonts w:cs="Times New Roman"/>
          <w:lang w:val="pl-PL"/>
        </w:rPr>
        <w:t xml:space="preserve">W międzyczasie, w ślad za wyrokiem </w:t>
      </w:r>
      <w:r w:rsidR="00F324D1" w:rsidRPr="0051003F">
        <w:rPr>
          <w:rFonts w:cs="Times New Roman"/>
          <w:lang w:val="pl-PL"/>
        </w:rPr>
        <w:t>Trybunału</w:t>
      </w:r>
      <w:r w:rsidR="00673165" w:rsidRPr="0051003F">
        <w:rPr>
          <w:rFonts w:cs="Times New Roman"/>
          <w:lang w:val="pl-PL"/>
        </w:rPr>
        <w:t xml:space="preserve"> z 10 lutego 2009 r</w:t>
      </w:r>
      <w:r w:rsidR="004D24F2">
        <w:rPr>
          <w:rFonts w:cs="Times New Roman"/>
          <w:lang w:val="pl-PL"/>
        </w:rPr>
        <w:t>oku</w:t>
      </w:r>
      <w:r w:rsidR="004066EB" w:rsidRPr="0051003F">
        <w:rPr>
          <w:rFonts w:cs="Times New Roman"/>
          <w:lang w:val="pl-PL"/>
        </w:rPr>
        <w:t xml:space="preserve">, </w:t>
      </w:r>
      <w:r w:rsidR="00673165" w:rsidRPr="0051003F">
        <w:rPr>
          <w:rFonts w:cs="Times New Roman"/>
          <w:lang w:val="pl-PL"/>
        </w:rPr>
        <w:t>w sprawie</w:t>
      </w:r>
      <w:r w:rsidR="007B2ABF" w:rsidRPr="0051003F">
        <w:rPr>
          <w:rFonts w:cs="Times New Roman"/>
          <w:lang w:val="pl-PL"/>
        </w:rPr>
        <w:t xml:space="preserve"> </w:t>
      </w:r>
      <w:proofErr w:type="spellStart"/>
      <w:r w:rsidR="00673165" w:rsidRPr="0051003F">
        <w:rPr>
          <w:i/>
          <w:lang w:val="pl-PL"/>
        </w:rPr>
        <w:t>Sergey</w:t>
      </w:r>
      <w:proofErr w:type="spellEnd"/>
      <w:r w:rsidR="00673165" w:rsidRPr="0051003F">
        <w:rPr>
          <w:i/>
          <w:lang w:val="pl-PL"/>
        </w:rPr>
        <w:t xml:space="preserve"> </w:t>
      </w:r>
      <w:proofErr w:type="spellStart"/>
      <w:r w:rsidR="00673165" w:rsidRPr="0051003F">
        <w:rPr>
          <w:i/>
          <w:lang w:val="pl-PL"/>
        </w:rPr>
        <w:t>Zolotukhin</w:t>
      </w:r>
      <w:proofErr w:type="spellEnd"/>
      <w:r w:rsidR="00673165" w:rsidRPr="0051003F">
        <w:rPr>
          <w:i/>
          <w:lang w:val="pl-PL"/>
        </w:rPr>
        <w:t xml:space="preserve"> przeciwko Rosji</w:t>
      </w:r>
      <w:r w:rsidR="00620F17" w:rsidRPr="0051003F">
        <w:rPr>
          <w:lang w:val="pl-PL"/>
        </w:rPr>
        <w:t xml:space="preserve"> (</w:t>
      </w:r>
      <w:r w:rsidR="00673165" w:rsidRPr="0051003F">
        <w:rPr>
          <w:lang w:val="pl-PL"/>
        </w:rPr>
        <w:t>cytowany powyżej</w:t>
      </w:r>
      <w:r w:rsidR="00620F17" w:rsidRPr="0051003F">
        <w:rPr>
          <w:lang w:val="pl-PL"/>
        </w:rPr>
        <w:t>)</w:t>
      </w:r>
      <w:r w:rsidR="007B2ABF" w:rsidRPr="0051003F">
        <w:rPr>
          <w:rFonts w:cs="Times New Roman"/>
          <w:lang w:val="pl-PL"/>
        </w:rPr>
        <w:t xml:space="preserve"> </w:t>
      </w:r>
      <w:r w:rsidR="00673165" w:rsidRPr="0051003F">
        <w:rPr>
          <w:rFonts w:cs="Times New Roman"/>
          <w:lang w:val="pl-PL"/>
        </w:rPr>
        <w:t xml:space="preserve">dyrektor </w:t>
      </w:r>
      <w:r w:rsidR="00F324D1" w:rsidRPr="0051003F">
        <w:rPr>
          <w:rFonts w:cs="Times New Roman"/>
          <w:lang w:val="pl-PL"/>
        </w:rPr>
        <w:t>prokuratury</w:t>
      </w:r>
      <w:r w:rsidR="00673165" w:rsidRPr="0051003F">
        <w:rPr>
          <w:rFonts w:cs="Times New Roman"/>
          <w:lang w:val="pl-PL"/>
        </w:rPr>
        <w:t xml:space="preserve"> </w:t>
      </w:r>
      <w:r w:rsidR="007B2ABF" w:rsidRPr="0051003F">
        <w:rPr>
          <w:rFonts w:cs="Times New Roman"/>
          <w:lang w:val="pl-PL"/>
        </w:rPr>
        <w:t>(</w:t>
      </w:r>
      <w:proofErr w:type="spellStart"/>
      <w:r w:rsidR="007B2ABF" w:rsidRPr="0051003F">
        <w:rPr>
          <w:rFonts w:cs="Times New Roman"/>
          <w:i/>
          <w:lang w:val="pl-PL"/>
        </w:rPr>
        <w:t>Riksadvokaten</w:t>
      </w:r>
      <w:proofErr w:type="spellEnd"/>
      <w:r w:rsidR="007B2ABF" w:rsidRPr="0051003F">
        <w:rPr>
          <w:rFonts w:cs="Times New Roman"/>
          <w:lang w:val="pl-PL"/>
        </w:rPr>
        <w:t xml:space="preserve">) </w:t>
      </w:r>
      <w:r w:rsidR="00673165" w:rsidRPr="0051003F">
        <w:rPr>
          <w:rFonts w:cs="Times New Roman"/>
          <w:lang w:val="pl-PL"/>
        </w:rPr>
        <w:t>wydał w dniu 3 kwietnia</w:t>
      </w:r>
      <w:r w:rsidR="00620F17" w:rsidRPr="0051003F">
        <w:rPr>
          <w:rFonts w:cs="Times New Roman"/>
          <w:lang w:val="pl-PL"/>
        </w:rPr>
        <w:t xml:space="preserve"> 2009</w:t>
      </w:r>
      <w:r w:rsidR="00673165" w:rsidRPr="0051003F">
        <w:rPr>
          <w:rFonts w:cs="Times New Roman"/>
          <w:lang w:val="pl-PL"/>
        </w:rPr>
        <w:t xml:space="preserve"> r</w:t>
      </w:r>
      <w:r w:rsidR="004D24F2">
        <w:rPr>
          <w:rFonts w:cs="Times New Roman"/>
          <w:lang w:val="pl-PL"/>
        </w:rPr>
        <w:t>oku</w:t>
      </w:r>
      <w:r w:rsidR="00673165" w:rsidRPr="0051003F">
        <w:rPr>
          <w:rFonts w:cs="Times New Roman"/>
          <w:lang w:val="pl-PL"/>
        </w:rPr>
        <w:t>.</w:t>
      </w:r>
      <w:r w:rsidR="00620F17" w:rsidRPr="0051003F">
        <w:rPr>
          <w:rFonts w:cs="Times New Roman"/>
          <w:lang w:val="pl-PL"/>
        </w:rPr>
        <w:t xml:space="preserve"> </w:t>
      </w:r>
      <w:r w:rsidR="004D24F2">
        <w:rPr>
          <w:rFonts w:cs="Times New Roman"/>
          <w:lang w:val="pl-PL"/>
        </w:rPr>
        <w:t>w</w:t>
      </w:r>
      <w:r w:rsidR="00673165" w:rsidRPr="0051003F">
        <w:rPr>
          <w:rFonts w:cs="Times New Roman"/>
          <w:lang w:val="pl-PL"/>
        </w:rPr>
        <w:t>ytyczne</w:t>
      </w:r>
      <w:r w:rsidR="006425E0" w:rsidRPr="0051003F">
        <w:rPr>
          <w:rFonts w:cs="Times New Roman"/>
          <w:lang w:val="pl-PL"/>
        </w:rPr>
        <w:t xml:space="preserve"> (RA</w:t>
      </w:r>
      <w:r w:rsidR="006425E0" w:rsidRPr="0051003F">
        <w:rPr>
          <w:rFonts w:cs="Times New Roman"/>
          <w:lang w:val="pl-PL"/>
        </w:rPr>
        <w:noBreakHyphen/>
        <w:t>2009</w:t>
      </w:r>
      <w:r w:rsidR="006425E0" w:rsidRPr="0051003F">
        <w:rPr>
          <w:rFonts w:cs="Times New Roman"/>
          <w:lang w:val="pl-PL"/>
        </w:rPr>
        <w:noBreakHyphen/>
      </w:r>
      <w:r w:rsidR="00620F17" w:rsidRPr="0051003F">
        <w:rPr>
          <w:rFonts w:cs="Times New Roman"/>
          <w:lang w:val="pl-PL"/>
        </w:rPr>
        <w:t>187)</w:t>
      </w:r>
      <w:r w:rsidR="00673165" w:rsidRPr="0051003F">
        <w:rPr>
          <w:rFonts w:cs="Times New Roman"/>
          <w:lang w:val="pl-PL"/>
        </w:rPr>
        <w:t>, mające natychmiastowy efekt</w:t>
      </w:r>
      <w:r w:rsidR="00A76D29" w:rsidRPr="0051003F">
        <w:rPr>
          <w:rFonts w:cs="Times New Roman"/>
          <w:lang w:val="pl-PL"/>
        </w:rPr>
        <w:t xml:space="preserve">. </w:t>
      </w:r>
      <w:r w:rsidR="00673165" w:rsidRPr="0051003F">
        <w:rPr>
          <w:rFonts w:cs="Times New Roman"/>
          <w:lang w:val="pl-PL"/>
        </w:rPr>
        <w:t>Zgodnie z tymi wskazówkami, wyrok Sądu Najwyższego z 2006 r</w:t>
      </w:r>
      <w:r w:rsidR="001A2854">
        <w:rPr>
          <w:rFonts w:cs="Times New Roman"/>
          <w:lang w:val="pl-PL"/>
        </w:rPr>
        <w:t>oku</w:t>
      </w:r>
      <w:r w:rsidR="00673165" w:rsidRPr="0051003F">
        <w:rPr>
          <w:rFonts w:cs="Times New Roman"/>
          <w:lang w:val="pl-PL"/>
        </w:rPr>
        <w:t xml:space="preserve"> nie mógł już być powielany. Wytyczne stanowiły </w:t>
      </w:r>
      <w:proofErr w:type="spellStart"/>
      <w:r w:rsidR="00CF6243" w:rsidRPr="0051003F">
        <w:rPr>
          <w:rFonts w:cs="Times New Roman"/>
          <w:i/>
          <w:lang w:val="pl-PL"/>
        </w:rPr>
        <w:t>inter</w:t>
      </w:r>
      <w:proofErr w:type="spellEnd"/>
      <w:r w:rsidR="00CF6243" w:rsidRPr="0051003F">
        <w:rPr>
          <w:rFonts w:cs="Times New Roman"/>
          <w:i/>
          <w:lang w:val="pl-PL"/>
        </w:rPr>
        <w:t xml:space="preserve"> </w:t>
      </w:r>
      <w:proofErr w:type="spellStart"/>
      <w:r w:rsidR="00CF6243" w:rsidRPr="0051003F">
        <w:rPr>
          <w:rFonts w:cs="Times New Roman"/>
          <w:i/>
          <w:lang w:val="pl-PL"/>
        </w:rPr>
        <w:t>alia</w:t>
      </w:r>
      <w:proofErr w:type="spellEnd"/>
      <w:r w:rsidR="00DC09FD" w:rsidRPr="0051003F">
        <w:rPr>
          <w:rFonts w:cs="Times New Roman"/>
          <w:lang w:val="pl-PL"/>
        </w:rPr>
        <w:t xml:space="preserve"> </w:t>
      </w:r>
      <w:r w:rsidR="00673165" w:rsidRPr="0051003F">
        <w:rPr>
          <w:rFonts w:cs="Times New Roman"/>
          <w:lang w:val="pl-PL"/>
        </w:rPr>
        <w:t>następująco</w:t>
      </w:r>
      <w:r w:rsidR="00DC09FD" w:rsidRPr="0051003F">
        <w:rPr>
          <w:rFonts w:cs="Times New Roman"/>
          <w:lang w:val="pl-PL"/>
        </w:rPr>
        <w:t>:</w:t>
      </w:r>
    </w:p>
    <w:p w:rsidR="00AA1697" w:rsidRPr="0051003F" w:rsidRDefault="00CF6243" w:rsidP="00A7252F">
      <w:pPr>
        <w:pStyle w:val="ECHRParaQuote"/>
        <w:rPr>
          <w:b/>
          <w:lang w:val="pl-PL"/>
        </w:rPr>
      </w:pPr>
      <w:r w:rsidRPr="0051003F">
        <w:rPr>
          <w:b/>
          <w:lang w:val="pl-PL"/>
        </w:rPr>
        <w:t>“</w:t>
      </w:r>
      <w:r w:rsidR="0005310C" w:rsidRPr="0051003F">
        <w:rPr>
          <w:b/>
          <w:lang w:val="pl-PL"/>
        </w:rPr>
        <w:t>4.  </w:t>
      </w:r>
      <w:r w:rsidR="00673165" w:rsidRPr="0051003F">
        <w:rPr>
          <w:b/>
          <w:lang w:val="pl-PL"/>
        </w:rPr>
        <w:t>Tożsamość przestępstw – pojęcie</w:t>
      </w:r>
      <w:r w:rsidR="00AA1697" w:rsidRPr="0051003F">
        <w:rPr>
          <w:b/>
          <w:lang w:val="pl-PL"/>
        </w:rPr>
        <w:t xml:space="preserve"> </w:t>
      </w:r>
      <w:r w:rsidR="00A7252F" w:rsidRPr="0051003F">
        <w:rPr>
          <w:b/>
          <w:lang w:val="pl-PL"/>
        </w:rPr>
        <w:t>‘</w:t>
      </w:r>
      <w:r w:rsidR="00673165" w:rsidRPr="0051003F">
        <w:rPr>
          <w:b/>
          <w:lang w:val="pl-PL"/>
        </w:rPr>
        <w:t>tożsamości</w:t>
      </w:r>
      <w:r w:rsidR="00A7252F" w:rsidRPr="0051003F">
        <w:rPr>
          <w:b/>
          <w:lang w:val="pl-PL"/>
        </w:rPr>
        <w:t>’</w:t>
      </w:r>
    </w:p>
    <w:p w:rsidR="00673165" w:rsidRPr="0051003F" w:rsidRDefault="00347A8C" w:rsidP="00673165">
      <w:pPr>
        <w:pStyle w:val="ECHRParaQuote"/>
        <w:rPr>
          <w:rFonts w:cs="Times New Roman"/>
          <w:lang w:val="pl-PL"/>
        </w:rPr>
      </w:pPr>
      <w:r w:rsidRPr="0051003F">
        <w:rPr>
          <w:rFonts w:cs="Times New Roman"/>
          <w:lang w:val="pl-PL"/>
        </w:rPr>
        <w:t>Tradycyjnie</w:t>
      </w:r>
      <w:r w:rsidR="00673165" w:rsidRPr="0051003F">
        <w:rPr>
          <w:rFonts w:cs="Times New Roman"/>
          <w:lang w:val="pl-PL"/>
        </w:rPr>
        <w:t xml:space="preserve"> przyjmowano, że pojęcie </w:t>
      </w:r>
      <w:proofErr w:type="spellStart"/>
      <w:r w:rsidR="00673165" w:rsidRPr="0051003F">
        <w:rPr>
          <w:rFonts w:cs="Times New Roman"/>
          <w:i/>
          <w:lang w:val="pl-PL"/>
        </w:rPr>
        <w:t>idem</w:t>
      </w:r>
      <w:proofErr w:type="spellEnd"/>
      <w:r w:rsidR="00673165" w:rsidRPr="0051003F">
        <w:rPr>
          <w:rFonts w:cs="Times New Roman"/>
          <w:lang w:val="pl-PL"/>
        </w:rPr>
        <w:t xml:space="preserve"> w art. 4 Protokołu </w:t>
      </w:r>
      <w:r w:rsidR="0056630D">
        <w:rPr>
          <w:rFonts w:cs="Times New Roman"/>
          <w:lang w:val="pl-PL"/>
        </w:rPr>
        <w:t>n</w:t>
      </w:r>
      <w:r w:rsidR="00673165" w:rsidRPr="0051003F">
        <w:rPr>
          <w:rFonts w:cs="Times New Roman"/>
          <w:lang w:val="pl-PL"/>
        </w:rPr>
        <w:t>r 7 obejmowało dwa elementy, pierwszy dotyczący okoliczności faktycznych i drugi dotyczący prawa. Zgodnie z tą wykładnią drugie postępowanie (w praktyce karne) dotyczyłby tylko tego samego przestępstwa, co poprzednie (w praktyce kara podatkowa), jeżeli oba postępowania dotyczyły tych samych faktów – “tego samego zachowania” - oraz gdyby treść odpowiednich przepisów była zasadniczo identyczna (zawierała “te same istotne element</w:t>
      </w:r>
      <w:r w:rsidR="0056630D">
        <w:rPr>
          <w:rFonts w:cs="Times New Roman"/>
          <w:lang w:val="pl-PL"/>
        </w:rPr>
        <w:t>y</w:t>
      </w:r>
      <w:r w:rsidR="00673165" w:rsidRPr="0051003F">
        <w:rPr>
          <w:rFonts w:cs="Times New Roman"/>
          <w:lang w:val="pl-PL"/>
        </w:rPr>
        <w:t>”).</w:t>
      </w:r>
    </w:p>
    <w:p w:rsidR="00673165" w:rsidRPr="0051003F" w:rsidRDefault="00673165" w:rsidP="00673165">
      <w:pPr>
        <w:pStyle w:val="ECHRParaQuote"/>
        <w:rPr>
          <w:lang w:val="pl-PL"/>
        </w:rPr>
      </w:pPr>
      <w:r w:rsidRPr="0051003F">
        <w:rPr>
          <w:lang w:val="pl-PL"/>
        </w:rPr>
        <w:t>W swoim wyroku, orzekając w składzie plenarny</w:t>
      </w:r>
      <w:r w:rsidR="00921A14">
        <w:rPr>
          <w:lang w:val="pl-PL"/>
        </w:rPr>
        <w:t>m</w:t>
      </w:r>
      <w:r w:rsidRPr="0051003F">
        <w:rPr>
          <w:lang w:val="pl-PL"/>
        </w:rPr>
        <w:t>, Rt-2006-1409, Sąd Najwyższy orzekł</w:t>
      </w:r>
      <w:r w:rsidR="00174237" w:rsidRPr="0051003F">
        <w:rPr>
          <w:lang w:val="pl-PL"/>
        </w:rPr>
        <w:t xml:space="preserve"> – </w:t>
      </w:r>
      <w:r w:rsidRPr="0051003F">
        <w:rPr>
          <w:lang w:val="pl-PL"/>
        </w:rPr>
        <w:t>w szczególności, w odniesi</w:t>
      </w:r>
      <w:r w:rsidR="00347A8C" w:rsidRPr="0051003F">
        <w:rPr>
          <w:lang w:val="pl-PL"/>
        </w:rPr>
        <w:t xml:space="preserve">eniu do </w:t>
      </w:r>
      <w:r w:rsidRPr="0051003F">
        <w:rPr>
          <w:lang w:val="pl-PL"/>
        </w:rPr>
        <w:t>orzeczenia Trybunału Europejskiego o niedopuszczalności skargi, w dniu 14 września 2004</w:t>
      </w:r>
      <w:r w:rsidR="00BE6962">
        <w:rPr>
          <w:lang w:val="pl-PL"/>
        </w:rPr>
        <w:t xml:space="preserve"> roku</w:t>
      </w:r>
      <w:r w:rsidRPr="0051003F">
        <w:rPr>
          <w:lang w:val="pl-PL"/>
        </w:rPr>
        <w:t xml:space="preserve">, w sprawie </w:t>
      </w:r>
      <w:r w:rsidR="00174237" w:rsidRPr="0051003F">
        <w:rPr>
          <w:i/>
          <w:lang w:val="pl-PL"/>
        </w:rPr>
        <w:t xml:space="preserve">Rosenquist </w:t>
      </w:r>
      <w:r w:rsidRPr="0051003F">
        <w:rPr>
          <w:i/>
          <w:lang w:val="pl-PL"/>
        </w:rPr>
        <w:t>przeciwko</w:t>
      </w:r>
      <w:r w:rsidR="00A76D29" w:rsidRPr="0051003F">
        <w:rPr>
          <w:i/>
          <w:lang w:val="pl-PL"/>
        </w:rPr>
        <w:t xml:space="preserve"> </w:t>
      </w:r>
      <w:r w:rsidR="00174237" w:rsidRPr="0051003F">
        <w:rPr>
          <w:i/>
          <w:lang w:val="pl-PL"/>
        </w:rPr>
        <w:t>S</w:t>
      </w:r>
      <w:r w:rsidRPr="0051003F">
        <w:rPr>
          <w:i/>
          <w:lang w:val="pl-PL"/>
        </w:rPr>
        <w:t>zwecji</w:t>
      </w:r>
      <w:r w:rsidR="00174237" w:rsidRPr="0051003F">
        <w:rPr>
          <w:lang w:val="pl-PL"/>
        </w:rPr>
        <w:t xml:space="preserve"> </w:t>
      </w:r>
      <w:r w:rsidRPr="0051003F">
        <w:rPr>
          <w:lang w:val="pl-PL"/>
        </w:rPr>
        <w:t>(</w:t>
      </w:r>
      <w:proofErr w:type="spellStart"/>
      <w:r w:rsidRPr="0051003F">
        <w:rPr>
          <w:lang w:val="pl-PL"/>
        </w:rPr>
        <w:t>dec</w:t>
      </w:r>
      <w:proofErr w:type="spellEnd"/>
      <w:r w:rsidRPr="0051003F">
        <w:rPr>
          <w:lang w:val="pl-PL"/>
        </w:rPr>
        <w:t>.) nr</w:t>
      </w:r>
      <w:r w:rsidR="00A76D29" w:rsidRPr="0051003F">
        <w:rPr>
          <w:lang w:val="pl-PL"/>
        </w:rPr>
        <w:t xml:space="preserve"> </w:t>
      </w:r>
      <w:r w:rsidR="00174237" w:rsidRPr="0051003F">
        <w:rPr>
          <w:lang w:val="pl-PL"/>
        </w:rPr>
        <w:t>60619</w:t>
      </w:r>
      <w:r w:rsidR="00A76D29" w:rsidRPr="0051003F">
        <w:rPr>
          <w:lang w:val="pl-PL"/>
        </w:rPr>
        <w:t>/00</w:t>
      </w:r>
      <w:r w:rsidR="00174237" w:rsidRPr="0051003F">
        <w:rPr>
          <w:lang w:val="pl-PL"/>
        </w:rPr>
        <w:t xml:space="preserve"> – </w:t>
      </w:r>
      <w:r w:rsidRPr="0051003F">
        <w:rPr>
          <w:lang w:val="pl-PL"/>
        </w:rPr>
        <w:t xml:space="preserve"> że decyzja o nałożeniu zwykłych kar podatkowych nie stoi na przeszkodzie późniejszemu postępowaniu karnemu, ponieważ oba postępowania dotyczą różnych przestępstw w rozumieniu art. 4 Protokołu </w:t>
      </w:r>
      <w:r w:rsidR="00BE6962">
        <w:rPr>
          <w:lang w:val="pl-PL"/>
        </w:rPr>
        <w:t>n</w:t>
      </w:r>
      <w:r w:rsidRPr="0051003F">
        <w:rPr>
          <w:lang w:val="pl-PL"/>
        </w:rPr>
        <w:t>r 7.</w:t>
      </w:r>
    </w:p>
    <w:p w:rsidR="0025212C" w:rsidRPr="0051003F" w:rsidRDefault="0025212C" w:rsidP="00537091">
      <w:pPr>
        <w:pStyle w:val="ECHRParaQuote"/>
        <w:rPr>
          <w:lang w:val="pl-PL"/>
        </w:rPr>
      </w:pPr>
      <w:r w:rsidRPr="0051003F">
        <w:rPr>
          <w:lang w:val="pl-PL"/>
        </w:rPr>
        <w:t xml:space="preserve">Większość (14 sędziów) stwierdziła, że przepis dotyczący normalnych kar podatkowych </w:t>
      </w:r>
      <w:r w:rsidR="00537091" w:rsidRPr="0051003F">
        <w:rPr>
          <w:lang w:val="pl-PL"/>
        </w:rPr>
        <w:t>zawarty w art. 10-2 Ustawy o rozliczeniach podatkowych</w:t>
      </w:r>
      <w:r w:rsidRPr="0051003F">
        <w:rPr>
          <w:lang w:val="pl-PL"/>
        </w:rPr>
        <w:t xml:space="preserve">, por. art. 10-2 ustawy o podatku dochodowym., nie zawierał tych samych istotnych elementów, co przepis karny zawarty w art. 12-1 Ustawy o </w:t>
      </w:r>
      <w:r w:rsidR="00942304">
        <w:rPr>
          <w:lang w:val="pl-PL"/>
        </w:rPr>
        <w:t>rozliczeniach podatkowych</w:t>
      </w:r>
      <w:r w:rsidRPr="0051003F">
        <w:rPr>
          <w:lang w:val="pl-PL"/>
        </w:rPr>
        <w:t xml:space="preserve">. Zdaniem Sądu Najwyższego rozstrzygająca różnica polega na tym, że o ile przepis karny mógł być stosowany jedynie w przypadkach umyślnego działania lub rażącego niedbalstwa, o tyle </w:t>
      </w:r>
      <w:r w:rsidR="00347A8C" w:rsidRPr="0051003F">
        <w:rPr>
          <w:lang w:val="pl-PL"/>
        </w:rPr>
        <w:t>normalne</w:t>
      </w:r>
      <w:r w:rsidRPr="0051003F">
        <w:rPr>
          <w:lang w:val="pl-PL"/>
        </w:rPr>
        <w:t xml:space="preserve"> kary podatkowe </w:t>
      </w:r>
      <w:r w:rsidR="005E1ED0">
        <w:rPr>
          <w:lang w:val="pl-PL"/>
        </w:rPr>
        <w:t>z</w:t>
      </w:r>
      <w:r w:rsidRPr="0051003F">
        <w:rPr>
          <w:lang w:val="pl-PL"/>
        </w:rPr>
        <w:t xml:space="preserve"> w sposób mniej lub bardziej obiektywny. Odniesiono się również do różnicy celu tych sankcji</w:t>
      </w:r>
      <w:r w:rsidR="005E1ED0">
        <w:rPr>
          <w:lang w:val="pl-PL"/>
        </w:rPr>
        <w:t>.</w:t>
      </w:r>
    </w:p>
    <w:p w:rsidR="0025212C" w:rsidRPr="0051003F" w:rsidRDefault="00347A8C" w:rsidP="0025212C">
      <w:pPr>
        <w:pStyle w:val="ECHRParaQuote"/>
        <w:rPr>
          <w:lang w:val="pl-PL"/>
        </w:rPr>
      </w:pPr>
      <w:r w:rsidRPr="0051003F">
        <w:rPr>
          <w:lang w:val="pl-PL"/>
        </w:rPr>
        <w:lastRenderedPageBreak/>
        <w:t>W wyroku Wielkiej I</w:t>
      </w:r>
      <w:r w:rsidR="0025212C" w:rsidRPr="0051003F">
        <w:rPr>
          <w:lang w:val="pl-PL"/>
        </w:rPr>
        <w:t xml:space="preserve">zby w sprawie </w:t>
      </w:r>
      <w:proofErr w:type="spellStart"/>
      <w:r w:rsidR="0025212C" w:rsidRPr="0051003F">
        <w:rPr>
          <w:i/>
          <w:lang w:val="pl-PL"/>
        </w:rPr>
        <w:t>Zołotukhin</w:t>
      </w:r>
      <w:proofErr w:type="spellEnd"/>
      <w:r w:rsidR="0025212C" w:rsidRPr="0051003F">
        <w:rPr>
          <w:lang w:val="pl-PL"/>
        </w:rPr>
        <w:t xml:space="preserve"> Trybunał dokonał obszernej analizy zasady pojęcia </w:t>
      </w:r>
      <w:r w:rsidR="00E85D63">
        <w:rPr>
          <w:lang w:val="pl-PL"/>
        </w:rPr>
        <w:t>,,</w:t>
      </w:r>
      <w:proofErr w:type="spellStart"/>
      <w:r w:rsidR="0025212C" w:rsidRPr="00486852">
        <w:rPr>
          <w:i/>
          <w:lang w:val="pl-PL"/>
        </w:rPr>
        <w:t>idem</w:t>
      </w:r>
      <w:proofErr w:type="spellEnd"/>
      <w:r w:rsidR="0025212C" w:rsidRPr="0051003F">
        <w:rPr>
          <w:lang w:val="pl-PL"/>
        </w:rPr>
        <w:t>"</w:t>
      </w:r>
      <w:r w:rsidRPr="0051003F">
        <w:rPr>
          <w:lang w:val="pl-PL"/>
        </w:rPr>
        <w:t xml:space="preserve"> z art. 4 Protokołu </w:t>
      </w:r>
      <w:r w:rsidR="00E85D63">
        <w:rPr>
          <w:lang w:val="pl-PL"/>
        </w:rPr>
        <w:t>n</w:t>
      </w:r>
      <w:r w:rsidRPr="0051003F">
        <w:rPr>
          <w:lang w:val="pl-PL"/>
        </w:rPr>
        <w:t>r 7</w:t>
      </w:r>
      <w:r w:rsidR="0025212C" w:rsidRPr="0051003F">
        <w:rPr>
          <w:lang w:val="pl-PL"/>
        </w:rPr>
        <w:t>, co doprowadziło Trybunał</w:t>
      </w:r>
      <w:r w:rsidRPr="0051003F">
        <w:rPr>
          <w:lang w:val="pl-PL"/>
        </w:rPr>
        <w:t xml:space="preserve"> do odstąpienia </w:t>
      </w:r>
      <w:r w:rsidR="0025212C" w:rsidRPr="0051003F">
        <w:rPr>
          <w:lang w:val="pl-PL"/>
        </w:rPr>
        <w:t xml:space="preserve">od dotychczasowej wykładni. </w:t>
      </w:r>
      <w:r w:rsidRPr="0051003F">
        <w:rPr>
          <w:lang w:val="pl-PL"/>
        </w:rPr>
        <w:t>W ślad za</w:t>
      </w:r>
      <w:r w:rsidR="0025212C" w:rsidRPr="0051003F">
        <w:rPr>
          <w:lang w:val="pl-PL"/>
        </w:rPr>
        <w:t xml:space="preserve"> </w:t>
      </w:r>
      <w:proofErr w:type="spellStart"/>
      <w:r w:rsidR="0025212C" w:rsidRPr="0051003F">
        <w:rPr>
          <w:i/>
          <w:lang w:val="pl-PL"/>
        </w:rPr>
        <w:t>Zolotukhini</w:t>
      </w:r>
      <w:proofErr w:type="spellEnd"/>
      <w:r w:rsidR="0025212C" w:rsidRPr="0051003F">
        <w:rPr>
          <w:lang w:val="pl-PL"/>
        </w:rPr>
        <w:t xml:space="preserve"> jasne jest, że ocena, czy oba postępowania dotyczą tego samego przestępstwa, musi być dokonana wyłącznie na podstawie samego</w:t>
      </w:r>
      <w:r w:rsidRPr="0051003F">
        <w:rPr>
          <w:lang w:val="pl-PL"/>
        </w:rPr>
        <w:t xml:space="preserve"> czynu (zob. w szczególności paragraf</w:t>
      </w:r>
      <w:r w:rsidR="0025212C" w:rsidRPr="0051003F">
        <w:rPr>
          <w:lang w:val="pl-PL"/>
        </w:rPr>
        <w:t xml:space="preserve"> 82 i </w:t>
      </w:r>
      <w:r w:rsidRPr="0051003F">
        <w:rPr>
          <w:lang w:val="pl-PL"/>
        </w:rPr>
        <w:t>paragraf 84 wyroku). Obydwa postępowania</w:t>
      </w:r>
      <w:r w:rsidR="0025212C" w:rsidRPr="0051003F">
        <w:rPr>
          <w:lang w:val="pl-PL"/>
        </w:rPr>
        <w:t xml:space="preserve"> będą dotyczyć tego samego przestępstwa, jeżeli oba postępowa</w:t>
      </w:r>
      <w:r w:rsidRPr="0051003F">
        <w:rPr>
          <w:lang w:val="pl-PL"/>
        </w:rPr>
        <w:t>nia będą miały zastosowanie do „</w:t>
      </w:r>
      <w:r w:rsidR="0025212C" w:rsidRPr="0051003F">
        <w:rPr>
          <w:lang w:val="pl-PL"/>
        </w:rPr>
        <w:t>identycznych faktów lub faktów, któr</w:t>
      </w:r>
      <w:r w:rsidRPr="0051003F">
        <w:rPr>
          <w:lang w:val="pl-PL"/>
        </w:rPr>
        <w:t>e są zasadniczo takie same” (paragraf</w:t>
      </w:r>
      <w:r w:rsidR="0025212C" w:rsidRPr="0051003F">
        <w:rPr>
          <w:lang w:val="pl-PL"/>
        </w:rPr>
        <w:t xml:space="preserve"> 82). Oc</w:t>
      </w:r>
      <w:r w:rsidRPr="0051003F">
        <w:rPr>
          <w:lang w:val="pl-PL"/>
        </w:rPr>
        <w:t>ena powinna zatem „</w:t>
      </w:r>
      <w:r w:rsidR="0025212C" w:rsidRPr="0051003F">
        <w:rPr>
          <w:lang w:val="pl-PL"/>
        </w:rPr>
        <w:t xml:space="preserve">koncentrować się na tych faktach, które stanowią zbiór konkretnych okoliczności faktycznych dotyczących tej samej strony pozwanej i nierozerwalnie ze sobą powiązanych w </w:t>
      </w:r>
      <w:r w:rsidRPr="0051003F">
        <w:rPr>
          <w:lang w:val="pl-PL"/>
        </w:rPr>
        <w:t>czasie i przestrzeni....”</w:t>
      </w:r>
      <w:r w:rsidR="0025212C" w:rsidRPr="0051003F">
        <w:rPr>
          <w:lang w:val="pl-PL"/>
        </w:rPr>
        <w:t>" (paragraf 84).</w:t>
      </w:r>
    </w:p>
    <w:p w:rsidR="00347A8C" w:rsidRPr="0051003F" w:rsidRDefault="00347A8C" w:rsidP="00347A8C">
      <w:pPr>
        <w:pStyle w:val="ECHRParaQuote"/>
        <w:rPr>
          <w:lang w:val="pl-PL"/>
        </w:rPr>
      </w:pPr>
      <w:r w:rsidRPr="0051003F">
        <w:rPr>
          <w:lang w:val="pl-PL"/>
        </w:rPr>
        <w:t xml:space="preserve">W opinii Dyrektora Prokuratury Generalnej </w:t>
      </w:r>
      <w:r w:rsidR="00020906">
        <w:rPr>
          <w:lang w:val="pl-PL"/>
        </w:rPr>
        <w:t>wyrok Sądu Najwyższego</w:t>
      </w:r>
      <w:r w:rsidRPr="0051003F">
        <w:rPr>
          <w:lang w:val="pl-PL"/>
        </w:rPr>
        <w:t xml:space="preserve"> w sprawie </w:t>
      </w:r>
      <w:r w:rsidRPr="0051003F">
        <w:rPr>
          <w:i/>
          <w:lang w:val="pl-PL"/>
        </w:rPr>
        <w:t>Rt</w:t>
      </w:r>
      <w:r w:rsidRPr="0051003F">
        <w:rPr>
          <w:lang w:val="pl-PL"/>
        </w:rPr>
        <w:t xml:space="preserve">-2006-1409, który opierał się przede wszystkim na różnicach w kryterium winy, nie może zostać podtrzymany w świetle wyroku Europejskiego Trybunału Sprawiedliwości w sprawie </w:t>
      </w:r>
      <w:proofErr w:type="spellStart"/>
      <w:r w:rsidRPr="0051003F">
        <w:rPr>
          <w:i/>
          <w:lang w:val="pl-PL"/>
        </w:rPr>
        <w:t>Zołotukhin</w:t>
      </w:r>
      <w:proofErr w:type="spellEnd"/>
      <w:r w:rsidRPr="0051003F">
        <w:rPr>
          <w:lang w:val="pl-PL"/>
        </w:rPr>
        <w:t xml:space="preserve">. Tak długo, jak nakładanie kar podatkowych i późniejsza sprawa karna są oparte na tym samym czynie lub zaniechaniu, jak ma to zwykle miejsce, należy założyć, że zgodnie z art. 4 Protokołu </w:t>
      </w:r>
      <w:r w:rsidR="00020906">
        <w:rPr>
          <w:lang w:val="pl-PL"/>
        </w:rPr>
        <w:t>nr</w:t>
      </w:r>
      <w:r w:rsidR="00020906" w:rsidRPr="0051003F">
        <w:rPr>
          <w:lang w:val="pl-PL"/>
        </w:rPr>
        <w:t xml:space="preserve"> </w:t>
      </w:r>
      <w:r w:rsidRPr="0051003F">
        <w:rPr>
          <w:lang w:val="pl-PL"/>
        </w:rPr>
        <w:t xml:space="preserve">7 nałożenie normalnych kar podatkowych będzie również wykluczało dalsze postępowanie karne. Po rozmowach z Norweską Dyrekcją ds. Podatków Dyrektor Prokuratury Generalnej </w:t>
      </w:r>
      <w:r w:rsidR="00020906">
        <w:rPr>
          <w:lang w:val="pl-PL"/>
        </w:rPr>
        <w:t>uznał</w:t>
      </w:r>
      <w:r w:rsidRPr="0051003F">
        <w:rPr>
          <w:lang w:val="pl-PL"/>
        </w:rPr>
        <w:t>, że Dyrekcja podziela tę opinię.</w:t>
      </w:r>
    </w:p>
    <w:p w:rsidR="00347A8C" w:rsidRPr="0051003F" w:rsidRDefault="00347A8C" w:rsidP="00347A8C">
      <w:pPr>
        <w:pStyle w:val="ECHRParaQuote"/>
        <w:rPr>
          <w:lang w:val="pl-PL"/>
        </w:rPr>
      </w:pPr>
      <w:r w:rsidRPr="0051003F">
        <w:rPr>
          <w:lang w:val="pl-PL"/>
        </w:rPr>
        <w:t xml:space="preserve">Nowe pojęcie </w:t>
      </w:r>
      <w:r w:rsidR="00020906">
        <w:rPr>
          <w:i/>
          <w:lang w:val="pl-PL"/>
        </w:rPr>
        <w:t>,,</w:t>
      </w:r>
      <w:proofErr w:type="spellStart"/>
      <w:r w:rsidRPr="0051003F">
        <w:rPr>
          <w:i/>
          <w:lang w:val="pl-PL"/>
        </w:rPr>
        <w:t>idem</w:t>
      </w:r>
      <w:proofErr w:type="spellEnd"/>
      <w:r w:rsidRPr="0051003F">
        <w:rPr>
          <w:i/>
          <w:lang w:val="pl-PL"/>
        </w:rPr>
        <w:t>"</w:t>
      </w:r>
      <w:r w:rsidRPr="0051003F">
        <w:rPr>
          <w:lang w:val="pl-PL"/>
        </w:rPr>
        <w:t xml:space="preserve"> w art. 4 Protokołu </w:t>
      </w:r>
      <w:r w:rsidR="009574BE">
        <w:rPr>
          <w:lang w:val="pl-PL"/>
        </w:rPr>
        <w:t>n</w:t>
      </w:r>
      <w:r w:rsidRPr="0051003F">
        <w:rPr>
          <w:lang w:val="pl-PL"/>
        </w:rPr>
        <w:t xml:space="preserve">r 7, z pewnością rodzi nowe pytania o to, jak </w:t>
      </w:r>
      <w:r w:rsidR="009574BE">
        <w:rPr>
          <w:lang w:val="pl-PL"/>
        </w:rPr>
        <w:t>duże</w:t>
      </w:r>
      <w:r w:rsidR="009574BE" w:rsidRPr="0051003F">
        <w:rPr>
          <w:lang w:val="pl-PL"/>
        </w:rPr>
        <w:t xml:space="preserve"> </w:t>
      </w:r>
      <w:r w:rsidRPr="0051003F">
        <w:rPr>
          <w:lang w:val="pl-PL"/>
        </w:rPr>
        <w:t xml:space="preserve">muszą być różnice w okolicznościach faktycznych, zanim tożsamość zostanie uznana za nieistniejącą. Kwestie te muszą być jednak rozstrzygane w praktyce w miarę pojawiania się takich przypadków. Należy zauważyć, że z dyskusji </w:t>
      </w:r>
      <w:r w:rsidR="009574BE">
        <w:rPr>
          <w:lang w:val="pl-PL"/>
        </w:rPr>
        <w:t>dotyczącej</w:t>
      </w:r>
      <w:r w:rsidR="009574BE" w:rsidRPr="0051003F">
        <w:rPr>
          <w:lang w:val="pl-PL"/>
        </w:rPr>
        <w:t xml:space="preserve"> </w:t>
      </w:r>
      <w:r w:rsidRPr="0051003F">
        <w:rPr>
          <w:lang w:val="pl-PL"/>
        </w:rPr>
        <w:t xml:space="preserve">wyroku w sprawie </w:t>
      </w:r>
      <w:proofErr w:type="spellStart"/>
      <w:r w:rsidRPr="0051003F">
        <w:rPr>
          <w:i/>
          <w:lang w:val="pl-PL"/>
        </w:rPr>
        <w:t>Zolotukhin</w:t>
      </w:r>
      <w:proofErr w:type="spellEnd"/>
      <w:r w:rsidRPr="0051003F">
        <w:rPr>
          <w:lang w:val="pl-PL"/>
        </w:rPr>
        <w:t xml:space="preserve"> wynika, że Trybunał jest mniej skłonny do traktowania sekwencji zdarzeń jako jednego bytu niż norweskie prawo krajowe w związku z oceną, czy istnieje kontynuacja przestępstwa.</w:t>
      </w:r>
    </w:p>
    <w:p w:rsidR="00277C10" w:rsidRPr="0051003F" w:rsidRDefault="0005310C" w:rsidP="00347A8C">
      <w:pPr>
        <w:pStyle w:val="ECHRParaQuote"/>
        <w:rPr>
          <w:b/>
          <w:lang w:val="pl-PL"/>
        </w:rPr>
      </w:pPr>
      <w:r w:rsidRPr="0051003F">
        <w:rPr>
          <w:b/>
          <w:lang w:val="pl-PL"/>
        </w:rPr>
        <w:t>5.  </w:t>
      </w:r>
      <w:r w:rsidR="00347A8C" w:rsidRPr="0051003F">
        <w:rPr>
          <w:b/>
          <w:lang w:val="pl-PL"/>
        </w:rPr>
        <w:t>Nowe postępowanie</w:t>
      </w:r>
    </w:p>
    <w:p w:rsidR="008F22D4" w:rsidRPr="0051003F" w:rsidRDefault="008F22D4" w:rsidP="008F22D4">
      <w:pPr>
        <w:pStyle w:val="ECHRParaQuote"/>
        <w:rPr>
          <w:lang w:val="pl-PL"/>
        </w:rPr>
      </w:pPr>
      <w:r w:rsidRPr="0051003F">
        <w:rPr>
          <w:lang w:val="pl-PL"/>
        </w:rPr>
        <w:t>Jak wiadomo, poprzednie wytyczne (zob. w szczególności rozdział 3 pisma Dyrektora Prokuratury Generalnej z dnia 26 marca 2007 r</w:t>
      </w:r>
      <w:r w:rsidR="00791BC0">
        <w:rPr>
          <w:lang w:val="pl-PL"/>
        </w:rPr>
        <w:t>oku</w:t>
      </w:r>
      <w:r w:rsidRPr="0051003F">
        <w:rPr>
          <w:lang w:val="pl-PL"/>
        </w:rPr>
        <w:t xml:space="preserve"> (RA-2007-120) do prokuratur okręgowych i komendantów policji) opierały się na fakcie, że w przypadku zwykłych kar podatkowych możliwe było stosowanie dwukierunkowego systemu podatkowego określonego w ustawie o rozliczeniach podatkowych. W związku ze zmianą orzecznictwa Europejskiego Trybunału Sprawiedliwości kon</w:t>
      </w:r>
      <w:r w:rsidR="000768C6" w:rsidRPr="0051003F">
        <w:rPr>
          <w:lang w:val="pl-PL"/>
        </w:rPr>
        <w:t xml:space="preserve">ieczne jest stosowanie systemu </w:t>
      </w:r>
      <w:r w:rsidR="00791BC0">
        <w:rPr>
          <w:lang w:val="pl-PL"/>
        </w:rPr>
        <w:t>,,</w:t>
      </w:r>
      <w:r w:rsidRPr="0051003F">
        <w:rPr>
          <w:lang w:val="pl-PL"/>
        </w:rPr>
        <w:t>jednolitej ścież</w:t>
      </w:r>
      <w:r w:rsidR="000768C6" w:rsidRPr="0051003F">
        <w:rPr>
          <w:lang w:val="pl-PL"/>
        </w:rPr>
        <w:t>ki”</w:t>
      </w:r>
      <w:r w:rsidRPr="0051003F">
        <w:rPr>
          <w:lang w:val="pl-PL"/>
        </w:rPr>
        <w:t xml:space="preserve"> również w odniesieniu do zwykłych kar podatkowych.</w:t>
      </w:r>
    </w:p>
    <w:p w:rsidR="000768C6" w:rsidRPr="0051003F" w:rsidRDefault="000768C6" w:rsidP="000768C6">
      <w:pPr>
        <w:pStyle w:val="ECHRParaQuote"/>
        <w:rPr>
          <w:lang w:val="pl-PL"/>
        </w:rPr>
      </w:pPr>
      <w:r w:rsidRPr="0051003F">
        <w:rPr>
          <w:lang w:val="pl-PL"/>
        </w:rPr>
        <w:t>Jak opisano powyżej, Dyrektor Prokuratury Generalnej i Norweska Dyrekcja ds. Podatków uważają, że nieuzasadnione jest oparcie nowego postępowania na założeniu, że sądy nie uznają już, iż nałożenie zwykłych kar podatkowych stanowi sankcję karną w rozumieniu Konwencji. Można przypuszczalnie twierdzić, że kwestia ta jest wątpliwa, ale istnieje zbyt wiele niepewności; mając również na uwadze stosunkowo dużą liczbę spraw, których dotyczy.</w:t>
      </w:r>
    </w:p>
    <w:p w:rsidR="00E568A5" w:rsidRPr="0051003F" w:rsidRDefault="00AF144C" w:rsidP="00E568A5">
      <w:pPr>
        <w:pStyle w:val="ECHRParaQuote"/>
        <w:rPr>
          <w:lang w:val="pl-PL"/>
        </w:rPr>
      </w:pPr>
      <w:r w:rsidRPr="0051003F">
        <w:rPr>
          <w:lang w:val="pl-PL"/>
        </w:rPr>
        <w:t>Nawet</w:t>
      </w:r>
      <w:r w:rsidR="00524A92" w:rsidRPr="0051003F">
        <w:rPr>
          <w:lang w:val="pl-PL"/>
        </w:rPr>
        <w:t>,</w:t>
      </w:r>
      <w:r w:rsidRPr="0051003F">
        <w:rPr>
          <w:lang w:val="pl-PL"/>
        </w:rPr>
        <w:t xml:space="preserve"> jeżeli</w:t>
      </w:r>
      <w:r w:rsidR="00E568A5" w:rsidRPr="0051003F">
        <w:rPr>
          <w:lang w:val="pl-PL"/>
        </w:rPr>
        <w:t xml:space="preserve"> orzecznictwo Trybunału nie </w:t>
      </w:r>
      <w:r w:rsidRPr="0051003F">
        <w:rPr>
          <w:lang w:val="pl-PL"/>
        </w:rPr>
        <w:t xml:space="preserve">uległo zmianie w </w:t>
      </w:r>
      <w:r w:rsidR="00E568A5" w:rsidRPr="0051003F">
        <w:rPr>
          <w:lang w:val="pl-PL"/>
        </w:rPr>
        <w:t>odniesieniu do równoległych postępowań, uważamy - jak poprzednio - że w przypadku powództw masowych - z którymi</w:t>
      </w:r>
      <w:r w:rsidRPr="0051003F">
        <w:rPr>
          <w:lang w:val="pl-PL"/>
        </w:rPr>
        <w:t xml:space="preserve"> będziemy mieć</w:t>
      </w:r>
      <w:r w:rsidR="00E568A5" w:rsidRPr="0051003F">
        <w:rPr>
          <w:lang w:val="pl-PL"/>
        </w:rPr>
        <w:t xml:space="preserve"> do czynienia </w:t>
      </w:r>
      <w:r w:rsidRPr="0051003F">
        <w:rPr>
          <w:lang w:val="pl-PL"/>
        </w:rPr>
        <w:t>–</w:t>
      </w:r>
      <w:r w:rsidR="00E568A5" w:rsidRPr="0051003F">
        <w:rPr>
          <w:lang w:val="pl-PL"/>
        </w:rPr>
        <w:t xml:space="preserve"> </w:t>
      </w:r>
      <w:r w:rsidRPr="0051003F">
        <w:rPr>
          <w:lang w:val="pl-PL"/>
        </w:rPr>
        <w:t xml:space="preserve">będzie zbyt skomplikowanym </w:t>
      </w:r>
      <w:r w:rsidR="00E568A5" w:rsidRPr="0051003F">
        <w:rPr>
          <w:lang w:val="pl-PL"/>
        </w:rPr>
        <w:t xml:space="preserve">opieranie postępowania na równoległych postępowaniach, tj. </w:t>
      </w:r>
      <w:r w:rsidRPr="0051003F">
        <w:rPr>
          <w:lang w:val="pl-PL"/>
        </w:rPr>
        <w:t xml:space="preserve">na </w:t>
      </w:r>
      <w:r w:rsidR="00E568A5" w:rsidRPr="0051003F">
        <w:rPr>
          <w:lang w:val="pl-PL"/>
        </w:rPr>
        <w:t>postępowaniach administracyjnych i sądowniczych. Inną kwestią jest to, że w indywidualnych przypadkach, w których pozwalają na to okoliczności, umowy mogą być zawierane w celu prowadzenia równoległych postępowań.</w:t>
      </w:r>
    </w:p>
    <w:p w:rsidR="00277C10" w:rsidRPr="0051003F" w:rsidRDefault="00AF144C" w:rsidP="00AF144C">
      <w:pPr>
        <w:pStyle w:val="ECHRParaQuote"/>
        <w:rPr>
          <w:lang w:val="pl-PL"/>
        </w:rPr>
      </w:pPr>
      <w:r w:rsidRPr="0051003F">
        <w:rPr>
          <w:lang w:val="pl-PL"/>
        </w:rPr>
        <w:lastRenderedPageBreak/>
        <w:t xml:space="preserve">W następstwie dyskusji Dyrektor Prokuratury </w:t>
      </w:r>
      <w:r w:rsidR="00524A92" w:rsidRPr="0051003F">
        <w:rPr>
          <w:lang w:val="pl-PL"/>
        </w:rPr>
        <w:t>Generalnej</w:t>
      </w:r>
      <w:r w:rsidRPr="0051003F">
        <w:rPr>
          <w:lang w:val="pl-PL"/>
        </w:rPr>
        <w:t xml:space="preserve"> oraz Norweska </w:t>
      </w:r>
      <w:r w:rsidR="00712E56">
        <w:rPr>
          <w:lang w:val="pl-PL"/>
        </w:rPr>
        <w:t>D</w:t>
      </w:r>
      <w:r w:rsidRPr="0051003F">
        <w:rPr>
          <w:lang w:val="pl-PL"/>
        </w:rPr>
        <w:t xml:space="preserve">yrekcja ds. </w:t>
      </w:r>
      <w:r w:rsidR="00712E56">
        <w:rPr>
          <w:lang w:val="pl-PL"/>
        </w:rPr>
        <w:t>P</w:t>
      </w:r>
      <w:r w:rsidRPr="0051003F">
        <w:rPr>
          <w:lang w:val="pl-PL"/>
        </w:rPr>
        <w:t>odatków uzgadniają następującą procedurę</w:t>
      </w:r>
      <w:r w:rsidR="00277C10" w:rsidRPr="0051003F">
        <w:rPr>
          <w:lang w:val="pl-PL"/>
        </w:rPr>
        <w:t>:</w:t>
      </w:r>
      <w:r w:rsidR="00656FFC" w:rsidRPr="0051003F">
        <w:rPr>
          <w:lang w:val="pl-PL"/>
        </w:rPr>
        <w:t xml:space="preserve"> ...</w:t>
      </w:r>
      <w:r w:rsidR="00AA1697" w:rsidRPr="0051003F">
        <w:rPr>
          <w:lang w:val="pl-PL"/>
        </w:rPr>
        <w:t>”</w:t>
      </w:r>
      <w:r w:rsidRPr="0051003F">
        <w:rPr>
          <w:lang w:val="pl-PL"/>
        </w:rPr>
        <w:t>’</w:t>
      </w:r>
    </w:p>
    <w:p w:rsidR="00AF144C" w:rsidRPr="0051003F" w:rsidRDefault="00751B5D" w:rsidP="00AF144C">
      <w:pPr>
        <w:pStyle w:val="ECHRPara"/>
        <w:rPr>
          <w:lang w:val="pl-PL"/>
        </w:rPr>
      </w:pPr>
      <w:r>
        <w:rPr>
          <w:lang w:val="pl-PL"/>
        </w:rPr>
        <w:t>49</w:t>
      </w:r>
      <w:r w:rsidR="00DF363A" w:rsidRPr="0051003F">
        <w:rPr>
          <w:lang w:val="pl-PL"/>
        </w:rPr>
        <w:t>.  </w:t>
      </w:r>
      <w:r w:rsidR="00AF144C" w:rsidRPr="0051003F">
        <w:rPr>
          <w:lang w:val="pl-PL"/>
        </w:rPr>
        <w:t>W dalszej części wytycznych określono</w:t>
      </w:r>
      <w:r w:rsidR="00524A92" w:rsidRPr="0051003F">
        <w:rPr>
          <w:lang w:val="pl-PL"/>
        </w:rPr>
        <w:t xml:space="preserve"> zasady „</w:t>
      </w:r>
      <w:r w:rsidR="00AF144C" w:rsidRPr="0051003F">
        <w:rPr>
          <w:lang w:val="pl-PL"/>
        </w:rPr>
        <w:t>nowych procedur”:</w:t>
      </w:r>
    </w:p>
    <w:p w:rsidR="00AF144C" w:rsidRPr="0051003F" w:rsidRDefault="00AF144C" w:rsidP="00AF144C">
      <w:pPr>
        <w:pStyle w:val="ECHRPara"/>
        <w:rPr>
          <w:lang w:val="pl-PL"/>
        </w:rPr>
      </w:pPr>
      <w:r w:rsidRPr="0051003F">
        <w:rPr>
          <w:lang w:val="pl-PL"/>
        </w:rPr>
        <w:t xml:space="preserve"> </w:t>
      </w:r>
      <w:r w:rsidR="0005310C" w:rsidRPr="0051003F">
        <w:rPr>
          <w:lang w:val="pl-PL"/>
        </w:rPr>
        <w:t>(a)  </w:t>
      </w:r>
      <w:r w:rsidRPr="0051003F">
        <w:rPr>
          <w:lang w:val="pl-PL"/>
        </w:rPr>
        <w:t xml:space="preserve">Jeśli chodzi o nowe sprawy, a mianowicie te, w których organ podatkowy nie podjął jeszcze decyzji, </w:t>
      </w:r>
      <w:r w:rsidR="00712E56">
        <w:rPr>
          <w:lang w:val="pl-PL"/>
        </w:rPr>
        <w:t>kolejną rzeczą</w:t>
      </w:r>
      <w:r w:rsidR="00712E56" w:rsidRPr="0051003F">
        <w:rPr>
          <w:lang w:val="pl-PL"/>
        </w:rPr>
        <w:t xml:space="preserve"> </w:t>
      </w:r>
      <w:r w:rsidRPr="0051003F">
        <w:rPr>
          <w:lang w:val="pl-PL"/>
        </w:rPr>
        <w:t xml:space="preserve">do rozważenia było, w sposób niezależny, czy czyn podlegający karze był na tyle poważny, ażeby zgłoszono go policji. Jeżeli zdecydowano się zgłosić sprawę, kara podatkowa nie powinna zostać nałożona. Tam gdzie nałożono kary podatkowe sprawa nie </w:t>
      </w:r>
      <w:r w:rsidR="007F562C">
        <w:rPr>
          <w:lang w:val="pl-PL"/>
        </w:rPr>
        <w:t>powinna</w:t>
      </w:r>
      <w:r w:rsidR="007F562C" w:rsidRPr="0051003F">
        <w:rPr>
          <w:lang w:val="pl-PL"/>
        </w:rPr>
        <w:t xml:space="preserve"> </w:t>
      </w:r>
      <w:r w:rsidRPr="0051003F">
        <w:rPr>
          <w:lang w:val="pl-PL"/>
        </w:rPr>
        <w:t>być zgłaszana policji.</w:t>
      </w:r>
    </w:p>
    <w:p w:rsidR="00AF144C" w:rsidRPr="0051003F" w:rsidRDefault="00AF144C" w:rsidP="00AF144C">
      <w:pPr>
        <w:pStyle w:val="ECHRPara"/>
        <w:rPr>
          <w:lang w:val="pl-PL"/>
        </w:rPr>
      </w:pPr>
      <w:r w:rsidRPr="0051003F">
        <w:rPr>
          <w:lang w:val="pl-PL"/>
        </w:rPr>
        <w:t xml:space="preserve">Jeżeli chodzi o sprawy, które zostały zgłoszone policji, wskazano, że nałożenie grzywny (poprzez </w:t>
      </w:r>
      <w:r w:rsidR="005928E6" w:rsidRPr="0051003F">
        <w:rPr>
          <w:lang w:val="pl-PL"/>
        </w:rPr>
        <w:t>wezwanie do zapłaty</w:t>
      </w:r>
      <w:r w:rsidRPr="0051003F">
        <w:rPr>
          <w:lang w:val="pl-PL"/>
        </w:rPr>
        <w:t xml:space="preserve"> lub wyrok) wykluczało późniejszą decyzję o nałożeniu kary podatkowej. Jeżeli organ ścigania nie znalazł podstaw do wszczęcia postępowania, sprawa miała zostać odesłana z powrotem do organu podatkowego w celu dalszego </w:t>
      </w:r>
      <w:r w:rsidR="007F562C">
        <w:rPr>
          <w:lang w:val="pl-PL"/>
        </w:rPr>
        <w:t>rozpoznania</w:t>
      </w:r>
      <w:r w:rsidRPr="0051003F">
        <w:rPr>
          <w:lang w:val="pl-PL"/>
        </w:rPr>
        <w:t>, a zainteresowana osoba powinna zostać o tym poinformowana.</w:t>
      </w:r>
    </w:p>
    <w:p w:rsidR="004972BF" w:rsidRPr="0051003F" w:rsidRDefault="004972BF" w:rsidP="004972BF">
      <w:pPr>
        <w:pStyle w:val="ECHRPara"/>
        <w:rPr>
          <w:lang w:val="pl-PL"/>
        </w:rPr>
      </w:pPr>
      <w:r w:rsidRPr="0051003F">
        <w:rPr>
          <w:lang w:val="pl-PL"/>
        </w:rPr>
        <w:t>W przypadkach, w których organ podatkowy nałożył zwykłą karę podatkową i złożył zgłoszenie na policję, ale decyzja o ściganiu</w:t>
      </w:r>
      <w:r w:rsidR="00524A92" w:rsidRPr="0051003F">
        <w:rPr>
          <w:lang w:val="pl-PL"/>
        </w:rPr>
        <w:t xml:space="preserve"> nie została jeszcze podjęta („</w:t>
      </w:r>
      <w:r w:rsidRPr="0051003F">
        <w:rPr>
          <w:lang w:val="pl-PL"/>
        </w:rPr>
        <w:t>oczekująca</w:t>
      </w:r>
      <w:r w:rsidR="00524A92" w:rsidRPr="0051003F">
        <w:rPr>
          <w:lang w:val="pl-PL"/>
        </w:rPr>
        <w:t xml:space="preserve"> na rozpatrzenie”</w:t>
      </w:r>
      <w:r w:rsidRPr="0051003F">
        <w:rPr>
          <w:lang w:val="pl-PL"/>
        </w:rPr>
        <w:t>), postępowanie powinno zostać umorzone.</w:t>
      </w:r>
    </w:p>
    <w:p w:rsidR="005928E6" w:rsidRPr="0051003F" w:rsidRDefault="0005310C" w:rsidP="005928E6">
      <w:pPr>
        <w:pStyle w:val="ECHRPara"/>
        <w:rPr>
          <w:lang w:val="pl-PL"/>
        </w:rPr>
      </w:pPr>
      <w:r w:rsidRPr="0051003F">
        <w:rPr>
          <w:lang w:val="pl-PL"/>
        </w:rPr>
        <w:t>(b)  </w:t>
      </w:r>
      <w:r w:rsidR="005928E6" w:rsidRPr="0051003F">
        <w:rPr>
          <w:lang w:val="pl-PL"/>
        </w:rPr>
        <w:t xml:space="preserve">Sprawy, w których wydano, ale nie przyjęto wezwań do zapłaty, a organ podatkowy nałożył kary podatkowe przed zgłoszeniem sprawy policji, powinny zostać wycofane i umorzone. Przyjęte wezwania do zapłaty powinny być anulowane przez wyższą instancję prokuratorską. Z drugiej strony, w </w:t>
      </w:r>
      <w:r w:rsidR="00524A92" w:rsidRPr="0051003F">
        <w:rPr>
          <w:lang w:val="pl-PL"/>
        </w:rPr>
        <w:t>związku</w:t>
      </w:r>
      <w:r w:rsidR="005928E6" w:rsidRPr="0051003F">
        <w:rPr>
          <w:lang w:val="pl-PL"/>
        </w:rPr>
        <w:t xml:space="preserve"> z marginesem oceny na podstawie art. 392 § 1 kodeksu postępowania karnego uznanego przez Sąd Najwyższy w wyroku, Rt-2003-359, nie było konieczności anulowania wezwań do zapłaty wydanych przed dniem 10 lutego 2009 r</w:t>
      </w:r>
      <w:r w:rsidR="00601974">
        <w:rPr>
          <w:lang w:val="pl-PL"/>
        </w:rPr>
        <w:t>oku</w:t>
      </w:r>
      <w:r w:rsidR="005928E6" w:rsidRPr="0051003F">
        <w:rPr>
          <w:lang w:val="pl-PL"/>
        </w:rPr>
        <w:t xml:space="preserve">, czyli datą ogłoszenia wyroku w sprawie </w:t>
      </w:r>
      <w:proofErr w:type="spellStart"/>
      <w:r w:rsidR="005928E6" w:rsidRPr="0051003F">
        <w:rPr>
          <w:i/>
          <w:lang w:val="pl-PL"/>
        </w:rPr>
        <w:t>Zołotukhin</w:t>
      </w:r>
      <w:proofErr w:type="spellEnd"/>
      <w:r w:rsidR="005928E6" w:rsidRPr="0051003F">
        <w:rPr>
          <w:lang w:val="pl-PL"/>
        </w:rPr>
        <w:t>.</w:t>
      </w:r>
    </w:p>
    <w:p w:rsidR="00524A92" w:rsidRPr="0051003F" w:rsidRDefault="0005310C" w:rsidP="00524A92">
      <w:pPr>
        <w:pStyle w:val="ECHRPara"/>
        <w:rPr>
          <w:lang w:val="pl-PL"/>
        </w:rPr>
      </w:pPr>
      <w:r w:rsidRPr="0051003F">
        <w:rPr>
          <w:lang w:val="pl-PL"/>
        </w:rPr>
        <w:t>(c)  </w:t>
      </w:r>
      <w:r w:rsidR="00524A92" w:rsidRPr="0051003F">
        <w:rPr>
          <w:lang w:val="pl-PL"/>
        </w:rPr>
        <w:t>Jeżeli chodzi o sprawy toczące się już przed sądami pierwszej instancji - na podstawie aktu oskarżenia,</w:t>
      </w:r>
      <w:r w:rsidR="00601974">
        <w:rPr>
          <w:lang w:val="pl-PL"/>
        </w:rPr>
        <w:t xml:space="preserve"> w przypadku</w:t>
      </w:r>
      <w:r w:rsidR="00524A92" w:rsidRPr="0051003F">
        <w:rPr>
          <w:lang w:val="pl-PL"/>
        </w:rPr>
        <w:t xml:space="preserve"> </w:t>
      </w:r>
      <w:r w:rsidR="00601974" w:rsidRPr="0051003F">
        <w:rPr>
          <w:lang w:val="pl-PL"/>
        </w:rPr>
        <w:t>nieprzyjęt</w:t>
      </w:r>
      <w:r w:rsidR="00601974">
        <w:rPr>
          <w:lang w:val="pl-PL"/>
        </w:rPr>
        <w:t>ych</w:t>
      </w:r>
      <w:r w:rsidR="00601974" w:rsidRPr="0051003F">
        <w:rPr>
          <w:lang w:val="pl-PL"/>
        </w:rPr>
        <w:t xml:space="preserve"> </w:t>
      </w:r>
      <w:r w:rsidR="00601974">
        <w:rPr>
          <w:lang w:val="pl-PL"/>
        </w:rPr>
        <w:t>wezwań</w:t>
      </w:r>
      <w:r w:rsidR="00601974" w:rsidRPr="0051003F">
        <w:rPr>
          <w:lang w:val="pl-PL"/>
        </w:rPr>
        <w:t xml:space="preserve"> </w:t>
      </w:r>
      <w:r w:rsidR="00524A92" w:rsidRPr="0051003F">
        <w:rPr>
          <w:lang w:val="pl-PL"/>
        </w:rPr>
        <w:t xml:space="preserve">do zapłacenia kary lub wniosku o wydanie wyroku </w:t>
      </w:r>
      <w:r w:rsidR="00CD0C56">
        <w:rPr>
          <w:lang w:val="pl-PL"/>
        </w:rPr>
        <w:t>z powodu</w:t>
      </w:r>
      <w:r w:rsidR="00CD0C56" w:rsidRPr="0051003F">
        <w:rPr>
          <w:lang w:val="pl-PL"/>
        </w:rPr>
        <w:t xml:space="preserve"> </w:t>
      </w:r>
      <w:r w:rsidR="00524A92" w:rsidRPr="0051003F">
        <w:rPr>
          <w:lang w:val="pl-PL"/>
        </w:rPr>
        <w:t xml:space="preserve">przyznania się do winy w postępowaniu uproszczonym - organ prokuratorski miał wycofać sprawę i </w:t>
      </w:r>
      <w:r w:rsidR="00CD0C56">
        <w:rPr>
          <w:lang w:val="pl-PL"/>
        </w:rPr>
        <w:t>odstąpić od zarzutów</w:t>
      </w:r>
      <w:r w:rsidR="00524A92" w:rsidRPr="0051003F">
        <w:rPr>
          <w:lang w:val="pl-PL"/>
        </w:rPr>
        <w:t xml:space="preserve">, jeżeli rozprawa nie odbyła się jeszcze lub, jeżeli tak się stało, wnieść wniosek o oddalenie </w:t>
      </w:r>
      <w:r w:rsidR="00CD0C56">
        <w:rPr>
          <w:lang w:val="pl-PL"/>
        </w:rPr>
        <w:t>oskarżenia</w:t>
      </w:r>
      <w:r w:rsidR="00524A92" w:rsidRPr="0051003F">
        <w:rPr>
          <w:lang w:val="pl-PL"/>
        </w:rPr>
        <w:t xml:space="preserve">. Od wyroków, które nie były prawomocne i wykonalne, prokuratura powinna wnieść apelację na rzecz skazanego i niezależnie od rozstrzygnięcia w pierwszej instancji prokurator powinien wnieść do sądu wniosek o uchylenie wyroku pierwszej instancji i oddalenie </w:t>
      </w:r>
      <w:r w:rsidR="00CD0C56">
        <w:rPr>
          <w:lang w:val="pl-PL"/>
        </w:rPr>
        <w:t>oskarżenia</w:t>
      </w:r>
      <w:r w:rsidR="00524A92" w:rsidRPr="0051003F">
        <w:rPr>
          <w:lang w:val="pl-PL"/>
        </w:rPr>
        <w:t>.</w:t>
      </w:r>
    </w:p>
    <w:p w:rsidR="00524A92" w:rsidRPr="0051003F" w:rsidRDefault="00524A92" w:rsidP="00524A92">
      <w:pPr>
        <w:pStyle w:val="ECHRPara"/>
        <w:rPr>
          <w:lang w:val="pl-PL"/>
        </w:rPr>
      </w:pPr>
      <w:r w:rsidRPr="0051003F">
        <w:rPr>
          <w:lang w:val="pl-PL"/>
        </w:rPr>
        <w:t xml:space="preserve"> </w:t>
      </w:r>
      <w:r w:rsidR="0005310C" w:rsidRPr="0051003F">
        <w:rPr>
          <w:lang w:val="pl-PL"/>
        </w:rPr>
        <w:t>(</w:t>
      </w:r>
      <w:r w:rsidR="006A49EA" w:rsidRPr="0051003F">
        <w:rPr>
          <w:lang w:val="pl-PL"/>
        </w:rPr>
        <w:t>d</w:t>
      </w:r>
      <w:r w:rsidR="0005310C" w:rsidRPr="0051003F">
        <w:rPr>
          <w:lang w:val="pl-PL"/>
        </w:rPr>
        <w:t>)  </w:t>
      </w:r>
      <w:r w:rsidRPr="0051003F">
        <w:rPr>
          <w:lang w:val="pl-PL"/>
        </w:rPr>
        <w:t xml:space="preserve">Nie było mowy o możliwości wznowienia postępowań, w których orzeczenie stało się prawomocne i wykonalne przed dniem ogłoszenia wyroku w sprawie </w:t>
      </w:r>
      <w:proofErr w:type="spellStart"/>
      <w:r w:rsidRPr="0051003F">
        <w:rPr>
          <w:i/>
          <w:lang w:val="pl-PL"/>
        </w:rPr>
        <w:t>Zołotukhin</w:t>
      </w:r>
      <w:proofErr w:type="spellEnd"/>
      <w:r w:rsidRPr="0051003F">
        <w:rPr>
          <w:lang w:val="pl-PL"/>
        </w:rPr>
        <w:t>, tj. przed dniem 10 lutego 2009 r</w:t>
      </w:r>
      <w:r w:rsidR="00FB00E8">
        <w:rPr>
          <w:lang w:val="pl-PL"/>
        </w:rPr>
        <w:t>oku</w:t>
      </w:r>
      <w:r w:rsidRPr="0051003F">
        <w:rPr>
          <w:lang w:val="pl-PL"/>
        </w:rPr>
        <w:t>. W odniesieniu do orzeczeń podjętych po tej dacie, w wyjątkowych przypadkach można by</w:t>
      </w:r>
      <w:r w:rsidR="00FB00E8">
        <w:rPr>
          <w:lang w:val="pl-PL"/>
        </w:rPr>
        <w:t>ło</w:t>
      </w:r>
      <w:r w:rsidRPr="0051003F">
        <w:rPr>
          <w:lang w:val="pl-PL"/>
        </w:rPr>
        <w:t xml:space="preserve"> przewidzieć </w:t>
      </w:r>
      <w:r w:rsidR="00FB00E8">
        <w:rPr>
          <w:lang w:val="pl-PL"/>
        </w:rPr>
        <w:t>wznowienie</w:t>
      </w:r>
      <w:r w:rsidRPr="0051003F">
        <w:rPr>
          <w:lang w:val="pl-PL"/>
        </w:rPr>
        <w:t xml:space="preserve"> postępowania, ale </w:t>
      </w:r>
      <w:r w:rsidRPr="0051003F">
        <w:rPr>
          <w:lang w:val="pl-PL"/>
        </w:rPr>
        <w:lastRenderedPageBreak/>
        <w:t>zainteresowany powinien zostać poinformowany, że organ ścigania nie wystąpi o wznowienie postępowania z urzędu.</w:t>
      </w:r>
    </w:p>
    <w:p w:rsidR="00524A92" w:rsidRPr="0051003F" w:rsidRDefault="00751B5D" w:rsidP="00524A92">
      <w:pPr>
        <w:pStyle w:val="ECHRPara"/>
        <w:rPr>
          <w:lang w:val="pl-PL"/>
        </w:rPr>
      </w:pPr>
      <w:r>
        <w:rPr>
          <w:lang w:val="pl-PL"/>
        </w:rPr>
        <w:t>50</w:t>
      </w:r>
      <w:r w:rsidR="00DF363A" w:rsidRPr="0051003F">
        <w:rPr>
          <w:lang w:val="pl-PL"/>
        </w:rPr>
        <w:t>.  </w:t>
      </w:r>
      <w:bookmarkStart w:id="47" w:name="_Toc466904305"/>
      <w:bookmarkStart w:id="48" w:name="_Toc466972324"/>
      <w:bookmarkStart w:id="49" w:name="_Toc466972835"/>
      <w:bookmarkStart w:id="50" w:name="_Toc466974251"/>
      <w:bookmarkStart w:id="51" w:name="_Toc473801886"/>
      <w:r w:rsidR="00524A92" w:rsidRPr="0051003F">
        <w:rPr>
          <w:lang w:val="pl-PL"/>
        </w:rPr>
        <w:t>W odniesieniu do nałożenia kilku sankcji karnych w tym samym post</w:t>
      </w:r>
      <w:r w:rsidR="00FB00E8">
        <w:rPr>
          <w:lang w:val="pl-PL"/>
        </w:rPr>
        <w:t>ę</w:t>
      </w:r>
      <w:r w:rsidR="00524A92" w:rsidRPr="0051003F">
        <w:rPr>
          <w:lang w:val="pl-PL"/>
        </w:rPr>
        <w:t>powaniu, art. 29 kodeksu karnego z 2005 r</w:t>
      </w:r>
      <w:r w:rsidR="00FB00E8">
        <w:rPr>
          <w:lang w:val="pl-PL"/>
        </w:rPr>
        <w:t>oku</w:t>
      </w:r>
      <w:r w:rsidR="00524A92" w:rsidRPr="0051003F">
        <w:rPr>
          <w:lang w:val="pl-PL"/>
        </w:rPr>
        <w:t xml:space="preserve"> (</w:t>
      </w:r>
      <w:proofErr w:type="spellStart"/>
      <w:r w:rsidR="00524A92" w:rsidRPr="0051003F">
        <w:rPr>
          <w:i/>
          <w:lang w:val="pl-PL"/>
        </w:rPr>
        <w:t>Straffeloven</w:t>
      </w:r>
      <w:proofErr w:type="spellEnd"/>
      <w:r w:rsidR="00524A92" w:rsidRPr="0051003F">
        <w:rPr>
          <w:lang w:val="pl-PL"/>
        </w:rPr>
        <w:t xml:space="preserve">) stanowi, że wynikająca z tego </w:t>
      </w:r>
      <w:r w:rsidR="000D704D">
        <w:rPr>
          <w:lang w:val="pl-PL"/>
        </w:rPr>
        <w:t>kara łączna</w:t>
      </w:r>
      <w:r w:rsidR="00524A92" w:rsidRPr="0051003F">
        <w:rPr>
          <w:lang w:val="pl-PL"/>
        </w:rPr>
        <w:t xml:space="preserve"> musi być w rozsądny sposób powiązana z popełnionym przestępstwem. Przepis ten jest wyraźnym wyrazem ogólnej zasady proporcjonalności, która miała również zastosowanie do norweskiego prawa karnego w zakresie wyroków skazujących na podstawie byłego kodeksu karnego z 1902 roku. W wyroku Sądu Najwyższego </w:t>
      </w:r>
      <w:proofErr w:type="spellStart"/>
      <w:r w:rsidR="00524A92" w:rsidRPr="0051003F">
        <w:rPr>
          <w:lang w:val="pl-PL"/>
        </w:rPr>
        <w:t>Rt</w:t>
      </w:r>
      <w:proofErr w:type="spellEnd"/>
      <w:r w:rsidR="00524A92" w:rsidRPr="0051003F">
        <w:rPr>
          <w:lang w:val="pl-PL"/>
        </w:rPr>
        <w:t xml:space="preserve">. 2009 s. </w:t>
      </w:r>
      <w:r w:rsidR="00D54882">
        <w:rPr>
          <w:lang w:val="pl-PL"/>
        </w:rPr>
        <w:t>z</w:t>
      </w:r>
      <w:r w:rsidR="00D54882" w:rsidRPr="0051003F">
        <w:rPr>
          <w:lang w:val="pl-PL"/>
        </w:rPr>
        <w:t xml:space="preserve">godnie </w:t>
      </w:r>
      <w:r w:rsidR="00524A92" w:rsidRPr="0051003F">
        <w:rPr>
          <w:lang w:val="pl-PL"/>
        </w:rPr>
        <w:t xml:space="preserve">z zasadami kodeksu karnego z 1902 r., </w:t>
      </w:r>
      <w:r w:rsidR="00D54882" w:rsidRPr="0051003F">
        <w:rPr>
          <w:lang w:val="pl-PL"/>
        </w:rPr>
        <w:t>któr</w:t>
      </w:r>
      <w:r w:rsidR="00D54882">
        <w:rPr>
          <w:lang w:val="pl-PL"/>
        </w:rPr>
        <w:t>y</w:t>
      </w:r>
      <w:r w:rsidR="00D54882" w:rsidRPr="0051003F">
        <w:rPr>
          <w:lang w:val="pl-PL"/>
        </w:rPr>
        <w:t xml:space="preserve"> </w:t>
      </w:r>
      <w:r w:rsidR="00524A92" w:rsidRPr="0051003F">
        <w:rPr>
          <w:lang w:val="pl-PL"/>
        </w:rPr>
        <w:t xml:space="preserve">dotyczył </w:t>
      </w:r>
      <w:r w:rsidR="00D54882" w:rsidRPr="0051003F">
        <w:rPr>
          <w:lang w:val="pl-PL"/>
        </w:rPr>
        <w:t>postępowa</w:t>
      </w:r>
      <w:r w:rsidR="00D54882">
        <w:rPr>
          <w:lang w:val="pl-PL"/>
        </w:rPr>
        <w:t xml:space="preserve">ń </w:t>
      </w:r>
      <w:r w:rsidR="00D54882" w:rsidRPr="0051003F">
        <w:rPr>
          <w:lang w:val="pl-PL"/>
        </w:rPr>
        <w:t>karn</w:t>
      </w:r>
      <w:r w:rsidR="00D54882">
        <w:rPr>
          <w:lang w:val="pl-PL"/>
        </w:rPr>
        <w:t>ych</w:t>
      </w:r>
      <w:r w:rsidR="00D54882" w:rsidRPr="0051003F">
        <w:rPr>
          <w:lang w:val="pl-PL"/>
        </w:rPr>
        <w:t xml:space="preserve"> </w:t>
      </w:r>
      <w:r w:rsidR="00524A92" w:rsidRPr="0051003F">
        <w:rPr>
          <w:lang w:val="pl-PL"/>
        </w:rPr>
        <w:t xml:space="preserve">w </w:t>
      </w:r>
      <w:r w:rsidR="00D54882" w:rsidRPr="0051003F">
        <w:rPr>
          <w:lang w:val="pl-PL"/>
        </w:rPr>
        <w:t>spraw</w:t>
      </w:r>
      <w:r w:rsidR="00D54882">
        <w:rPr>
          <w:lang w:val="pl-PL"/>
        </w:rPr>
        <w:t>ach</w:t>
      </w:r>
      <w:r w:rsidR="00D54882" w:rsidRPr="0051003F">
        <w:rPr>
          <w:lang w:val="pl-PL"/>
        </w:rPr>
        <w:t xml:space="preserve"> </w:t>
      </w:r>
      <w:r w:rsidR="00524A92" w:rsidRPr="0051003F">
        <w:rPr>
          <w:lang w:val="pl-PL"/>
        </w:rPr>
        <w:t xml:space="preserve">oszustw podatkowych, uznano, że należy uwzględnić fakt, iż już wcześniej </w:t>
      </w:r>
      <w:r w:rsidR="003A32A6" w:rsidRPr="0051003F">
        <w:rPr>
          <w:lang w:val="pl-PL"/>
        </w:rPr>
        <w:t>nałoż</w:t>
      </w:r>
      <w:r w:rsidR="003A32A6">
        <w:rPr>
          <w:lang w:val="pl-PL"/>
        </w:rPr>
        <w:t>ono</w:t>
      </w:r>
      <w:r w:rsidR="003A32A6" w:rsidRPr="0051003F">
        <w:rPr>
          <w:lang w:val="pl-PL"/>
        </w:rPr>
        <w:t xml:space="preserve"> </w:t>
      </w:r>
      <w:r w:rsidR="00524A92" w:rsidRPr="0051003F">
        <w:rPr>
          <w:lang w:val="pl-PL"/>
        </w:rPr>
        <w:t xml:space="preserve">na </w:t>
      </w:r>
      <w:r w:rsidR="003A32A6">
        <w:rPr>
          <w:lang w:val="pl-PL"/>
        </w:rPr>
        <w:t>oskarżonego</w:t>
      </w:r>
      <w:r w:rsidR="003A32A6" w:rsidRPr="0051003F">
        <w:rPr>
          <w:lang w:val="pl-PL"/>
        </w:rPr>
        <w:t xml:space="preserve"> </w:t>
      </w:r>
      <w:r w:rsidR="00524A92" w:rsidRPr="0051003F">
        <w:rPr>
          <w:lang w:val="pl-PL"/>
        </w:rPr>
        <w:t xml:space="preserve">sankcję administracyjną - administracyjną karę podatkową - z tytułu oszustwa podatkowego, w związku z czym nie powinien być traktowany surowiej niż gdyby przestępstwo karne oszustwa podatkowego było </w:t>
      </w:r>
      <w:r w:rsidR="003A32A6">
        <w:rPr>
          <w:lang w:val="pl-PL"/>
        </w:rPr>
        <w:t>procedowane</w:t>
      </w:r>
      <w:r w:rsidR="003A32A6" w:rsidRPr="0051003F">
        <w:rPr>
          <w:lang w:val="pl-PL"/>
        </w:rPr>
        <w:t xml:space="preserve"> </w:t>
      </w:r>
      <w:r w:rsidR="00524A92" w:rsidRPr="0051003F">
        <w:rPr>
          <w:lang w:val="pl-PL"/>
        </w:rPr>
        <w:t xml:space="preserve">w związku z postępowaniem karnym sankcjonowanym w postępowaniu administracyjnym. W wyroku w sprawie </w:t>
      </w:r>
      <w:proofErr w:type="spellStart"/>
      <w:r w:rsidR="00524A92" w:rsidRPr="0051003F">
        <w:rPr>
          <w:lang w:val="pl-PL"/>
        </w:rPr>
        <w:t>Rt</w:t>
      </w:r>
      <w:proofErr w:type="spellEnd"/>
      <w:r w:rsidR="00524A92" w:rsidRPr="0051003F">
        <w:rPr>
          <w:lang w:val="pl-PL"/>
        </w:rPr>
        <w:t xml:space="preserve">. 2011 s. 1509 Sąd Najwyższy potwierdził </w:t>
      </w:r>
      <w:r w:rsidR="00F7303E">
        <w:rPr>
          <w:lang w:val="pl-PL"/>
        </w:rPr>
        <w:t>wnioski z wcześniejszego orzeczenia</w:t>
      </w:r>
      <w:r w:rsidR="00524A92" w:rsidRPr="0051003F">
        <w:rPr>
          <w:lang w:val="pl-PL"/>
        </w:rPr>
        <w:t xml:space="preserve"> w sprawie </w:t>
      </w:r>
      <w:proofErr w:type="spellStart"/>
      <w:r w:rsidR="00524A92" w:rsidRPr="0051003F">
        <w:rPr>
          <w:lang w:val="pl-PL"/>
        </w:rPr>
        <w:t>Rt</w:t>
      </w:r>
      <w:proofErr w:type="spellEnd"/>
      <w:r w:rsidR="00524A92" w:rsidRPr="0051003F">
        <w:rPr>
          <w:lang w:val="pl-PL"/>
        </w:rPr>
        <w:t xml:space="preserve">. 2005 s. 129, że zasada (zawarta w </w:t>
      </w:r>
      <w:proofErr w:type="spellStart"/>
      <w:r w:rsidR="00524A92" w:rsidRPr="0051003F">
        <w:rPr>
          <w:lang w:val="pl-PL"/>
        </w:rPr>
        <w:t>Rt</w:t>
      </w:r>
      <w:proofErr w:type="spellEnd"/>
      <w:r w:rsidR="00524A92" w:rsidRPr="0051003F">
        <w:rPr>
          <w:lang w:val="pl-PL"/>
        </w:rPr>
        <w:t>. 2004 s. 645), zgodnie z którą kwota odpowiadająca zwykłej 30% karze podatkowej może zostać włączona do grzywny, nie może zostać rozszerzona na przypadki oszustw podatkowych o charakterze karnym, w których ma zostać nałożona kara pozbawienia wolności oraz grzywna. Trybunał potwierdził również, jak stwierdził w swoim orzeczeniu z 2005 r</w:t>
      </w:r>
      <w:r w:rsidR="00F7303E">
        <w:rPr>
          <w:lang w:val="pl-PL"/>
        </w:rPr>
        <w:t>oku</w:t>
      </w:r>
      <w:r w:rsidR="00524A92" w:rsidRPr="0051003F">
        <w:rPr>
          <w:lang w:val="pl-PL"/>
        </w:rPr>
        <w:t>, że w przypadkach, w których administracyjna kara podatkowa nie może już być nakładana, grzywna powinna być surowsza.</w:t>
      </w:r>
    </w:p>
    <w:p w:rsidR="00524A92" w:rsidRPr="0051003F" w:rsidRDefault="00524A92" w:rsidP="00524A92">
      <w:pPr>
        <w:pStyle w:val="ECHRPara"/>
        <w:rPr>
          <w:lang w:val="pl-PL"/>
        </w:rPr>
      </w:pPr>
    </w:p>
    <w:p w:rsidR="0055557C" w:rsidRPr="0051003F" w:rsidRDefault="0055557C" w:rsidP="00524A92">
      <w:pPr>
        <w:pStyle w:val="ECHRPara"/>
        <w:ind w:firstLine="0"/>
        <w:rPr>
          <w:lang w:val="pl-PL"/>
        </w:rPr>
      </w:pPr>
      <w:r w:rsidRPr="0051003F">
        <w:rPr>
          <w:lang w:val="pl-PL"/>
        </w:rPr>
        <w:t>III.  </w:t>
      </w:r>
      <w:r w:rsidR="00236AA2" w:rsidRPr="0051003F">
        <w:rPr>
          <w:lang w:val="pl-PL"/>
        </w:rPr>
        <w:t>SPRAWA</w:t>
      </w:r>
      <w:r w:rsidRPr="0051003F">
        <w:rPr>
          <w:lang w:val="pl-PL"/>
        </w:rPr>
        <w:t xml:space="preserve"> </w:t>
      </w:r>
      <w:r w:rsidRPr="0051003F">
        <w:rPr>
          <w:i/>
          <w:lang w:val="pl-PL"/>
        </w:rPr>
        <w:t>HANS ÅKEBERG FRANSSON</w:t>
      </w:r>
      <w:r w:rsidR="006E23FB" w:rsidRPr="0051003F">
        <w:rPr>
          <w:lang w:val="pl-PL"/>
        </w:rPr>
        <w:t xml:space="preserve"> (C-617⁄</w:t>
      </w:r>
      <w:r w:rsidRPr="0051003F">
        <w:rPr>
          <w:lang w:val="pl-PL"/>
        </w:rPr>
        <w:t xml:space="preserve">10) </w:t>
      </w:r>
      <w:r w:rsidR="00236AA2" w:rsidRPr="0051003F">
        <w:rPr>
          <w:lang w:val="pl-PL"/>
        </w:rPr>
        <w:t xml:space="preserve">PRZED TRYBUNAŁEM SPRAWIEDLIWOŚCI UNII EUROPEJSKIEJ </w:t>
      </w:r>
      <w:bookmarkEnd w:id="47"/>
      <w:bookmarkEnd w:id="48"/>
      <w:bookmarkEnd w:id="49"/>
      <w:bookmarkEnd w:id="50"/>
      <w:bookmarkEnd w:id="51"/>
    </w:p>
    <w:p w:rsidR="00524A92" w:rsidRPr="0051003F" w:rsidRDefault="00524A92" w:rsidP="00524A92">
      <w:pPr>
        <w:pStyle w:val="ECHRPara"/>
        <w:rPr>
          <w:lang w:val="pl-PL"/>
        </w:rPr>
      </w:pPr>
    </w:p>
    <w:p w:rsidR="00703159" w:rsidRPr="0051003F" w:rsidRDefault="00312AB6" w:rsidP="00A7252F">
      <w:pPr>
        <w:pStyle w:val="ECHRPara"/>
        <w:rPr>
          <w:lang w:val="pl-PL"/>
        </w:rPr>
      </w:pPr>
      <w:r>
        <w:rPr>
          <w:lang w:val="pl-PL"/>
        </w:rPr>
        <w:t>51</w:t>
      </w:r>
      <w:r w:rsidR="006A49EA" w:rsidRPr="0051003F">
        <w:rPr>
          <w:lang w:val="pl-PL"/>
        </w:rPr>
        <w:t>.  </w:t>
      </w:r>
      <w:r w:rsidR="00236AA2" w:rsidRPr="0051003F">
        <w:rPr>
          <w:lang w:val="pl-PL"/>
        </w:rPr>
        <w:t>W swojej opinii z 12 czerwca</w:t>
      </w:r>
      <w:r w:rsidR="00703159" w:rsidRPr="0051003F">
        <w:rPr>
          <w:lang w:val="pl-PL"/>
        </w:rPr>
        <w:t xml:space="preserve"> 2012</w:t>
      </w:r>
      <w:r w:rsidR="00236AA2" w:rsidRPr="0051003F">
        <w:rPr>
          <w:lang w:val="pl-PL"/>
        </w:rPr>
        <w:t xml:space="preserve"> r</w:t>
      </w:r>
      <w:r w:rsidR="008534B5">
        <w:rPr>
          <w:lang w:val="pl-PL"/>
        </w:rPr>
        <w:t>oku</w:t>
      </w:r>
      <w:r w:rsidR="008534B5" w:rsidRPr="0051003F">
        <w:rPr>
          <w:lang w:val="pl-PL"/>
        </w:rPr>
        <w:t xml:space="preserve"> </w:t>
      </w:r>
      <w:r w:rsidR="00236AA2" w:rsidRPr="0051003F">
        <w:rPr>
          <w:lang w:val="pl-PL"/>
        </w:rPr>
        <w:t>do powyższej sprawy, przed Trybunałem Sprawiedli</w:t>
      </w:r>
      <w:r w:rsidR="00537091" w:rsidRPr="0051003F">
        <w:rPr>
          <w:lang w:val="pl-PL"/>
        </w:rPr>
        <w:t>wości Unii Europejskiej, rzecznik</w:t>
      </w:r>
      <w:r w:rsidR="00236AA2" w:rsidRPr="0051003F">
        <w:rPr>
          <w:lang w:val="pl-PL"/>
        </w:rPr>
        <w:t xml:space="preserve"> generalny</w:t>
      </w:r>
      <w:r w:rsidR="00703159" w:rsidRPr="0051003F">
        <w:rPr>
          <w:lang w:val="pl-PL"/>
        </w:rPr>
        <w:t xml:space="preserve"> Cruz </w:t>
      </w:r>
      <w:proofErr w:type="spellStart"/>
      <w:r w:rsidR="00703159" w:rsidRPr="0051003F">
        <w:rPr>
          <w:lang w:val="pl-PL"/>
        </w:rPr>
        <w:t>Villalón</w:t>
      </w:r>
      <w:proofErr w:type="spellEnd"/>
      <w:r w:rsidR="00236AA2" w:rsidRPr="0051003F">
        <w:rPr>
          <w:lang w:val="pl-PL"/>
        </w:rPr>
        <w:t xml:space="preserve"> pisał następująco</w:t>
      </w:r>
      <w:r w:rsidR="00703159" w:rsidRPr="0051003F">
        <w:rPr>
          <w:lang w:val="pl-PL"/>
        </w:rPr>
        <w:t>:</w:t>
      </w:r>
    </w:p>
    <w:p w:rsidR="00703159" w:rsidRPr="0051003F" w:rsidRDefault="00C22440" w:rsidP="00A7252F">
      <w:pPr>
        <w:pStyle w:val="ECHRParaQuote"/>
        <w:rPr>
          <w:b/>
          <w:lang w:val="pl-PL"/>
        </w:rPr>
      </w:pPr>
      <w:r w:rsidRPr="0051003F">
        <w:rPr>
          <w:b/>
          <w:lang w:val="pl-PL"/>
        </w:rPr>
        <w:t>“</w:t>
      </w:r>
      <w:r w:rsidR="00703159" w:rsidRPr="0051003F">
        <w:rPr>
          <w:b/>
          <w:lang w:val="pl-PL"/>
        </w:rPr>
        <w:t>2.</w:t>
      </w:r>
      <w:r w:rsidR="0005310C" w:rsidRPr="0051003F">
        <w:rPr>
          <w:b/>
          <w:lang w:val="pl-PL"/>
        </w:rPr>
        <w:t>  </w:t>
      </w:r>
      <w:r w:rsidR="00703159" w:rsidRPr="0051003F">
        <w:rPr>
          <w:b/>
          <w:lang w:val="pl-PL"/>
        </w:rPr>
        <w:t>An</w:t>
      </w:r>
      <w:r w:rsidR="00236AA2" w:rsidRPr="0051003F">
        <w:rPr>
          <w:b/>
          <w:lang w:val="pl-PL"/>
        </w:rPr>
        <w:t>aliza drugiego, trzeciego i czwartego pytania</w:t>
      </w:r>
      <w:r w:rsidR="00703159" w:rsidRPr="0051003F">
        <w:rPr>
          <w:b/>
          <w:lang w:val="pl-PL"/>
        </w:rPr>
        <w:t xml:space="preserve"> </w:t>
      </w:r>
    </w:p>
    <w:p w:rsidR="00236AA2" w:rsidRPr="0051003F" w:rsidRDefault="00703159" w:rsidP="00236AA2">
      <w:pPr>
        <w:pStyle w:val="ECHRParaQuote"/>
        <w:rPr>
          <w:lang w:val="pl-PL"/>
        </w:rPr>
      </w:pPr>
      <w:r w:rsidRPr="0051003F">
        <w:rPr>
          <w:lang w:val="pl-PL"/>
        </w:rPr>
        <w:t>70.</w:t>
      </w:r>
      <w:r w:rsidR="0005310C" w:rsidRPr="0051003F">
        <w:rPr>
          <w:lang w:val="pl-PL"/>
        </w:rPr>
        <w:t>  </w:t>
      </w:r>
      <w:r w:rsidR="00236AA2" w:rsidRPr="0051003F">
        <w:rPr>
          <w:lang w:val="pl-PL"/>
        </w:rPr>
        <w:t xml:space="preserve">Pytania zadane przez </w:t>
      </w:r>
      <w:proofErr w:type="spellStart"/>
      <w:r w:rsidR="00236AA2" w:rsidRPr="0051003F">
        <w:rPr>
          <w:lang w:val="pl-PL"/>
        </w:rPr>
        <w:t>Haparanda</w:t>
      </w:r>
      <w:proofErr w:type="spellEnd"/>
      <w:r w:rsidR="00236AA2" w:rsidRPr="0051003F">
        <w:rPr>
          <w:lang w:val="pl-PL"/>
        </w:rPr>
        <w:t xml:space="preserve"> </w:t>
      </w:r>
      <w:proofErr w:type="spellStart"/>
      <w:r w:rsidR="00236AA2" w:rsidRPr="0051003F">
        <w:rPr>
          <w:lang w:val="pl-PL"/>
        </w:rPr>
        <w:t>tingsrätt</w:t>
      </w:r>
      <w:proofErr w:type="spellEnd"/>
      <w:r w:rsidR="00900A07">
        <w:rPr>
          <w:lang w:val="pl-PL"/>
        </w:rPr>
        <w:t xml:space="preserve"> </w:t>
      </w:r>
      <w:r w:rsidR="00236AA2" w:rsidRPr="0051003F">
        <w:rPr>
          <w:lang w:val="pl-PL"/>
        </w:rPr>
        <w:t xml:space="preserve">[Sąd Rejonowy] są szczególnie złożone i tak samo trudne jak te, o których mówiłem powyżej. Z jednej strony nakładanie zarówno sankcji administracyjnych, jak i karnych w odniesieniu do tego samego przestępstwa jest powszechną praktyką w państwach członkowskich, zwłaszcza w dziedzinach takich jak podatki, polityka ochrony środowiska i bezpieczeństwo publiczne. Sposób naliczania kar jest jednak bardzo różny w zależności od systemu prawnego i cechuje się szczególnymi cechami charakterystycznymi dla każdego państwa członkowskiego. W większości przypadków te szczególne cechy są przyjmowane w celu złagodzenia skutków nałożenia dwóch kar przez władze publiczne. Z drugiej strony, jak zobaczymy poniżej, Europejski Trybunał Praw Człowieka niedawno wydał orzeczenie w tej </w:t>
      </w:r>
      <w:r w:rsidR="00236AA2" w:rsidRPr="0051003F">
        <w:rPr>
          <w:lang w:val="pl-PL"/>
        </w:rPr>
        <w:lastRenderedPageBreak/>
        <w:t xml:space="preserve">sprawie i potwierdził, że takie praktyki, wbrew temu, jak początkowo mogło się wydawać, naruszają podstawowe prawo </w:t>
      </w:r>
      <w:proofErr w:type="spellStart"/>
      <w:r w:rsidR="00236AA2" w:rsidRPr="0051003F">
        <w:rPr>
          <w:i/>
          <w:lang w:val="pl-PL"/>
        </w:rPr>
        <w:t>ne</w:t>
      </w:r>
      <w:proofErr w:type="spellEnd"/>
      <w:r w:rsidR="00236AA2" w:rsidRPr="0051003F">
        <w:rPr>
          <w:i/>
          <w:lang w:val="pl-PL"/>
        </w:rPr>
        <w:t xml:space="preserve"> bis in </w:t>
      </w:r>
      <w:proofErr w:type="spellStart"/>
      <w:r w:rsidR="00236AA2" w:rsidRPr="0051003F">
        <w:rPr>
          <w:i/>
          <w:lang w:val="pl-PL"/>
        </w:rPr>
        <w:t>idem</w:t>
      </w:r>
      <w:proofErr w:type="spellEnd"/>
      <w:r w:rsidR="00236AA2" w:rsidRPr="0051003F">
        <w:rPr>
          <w:i/>
          <w:lang w:val="pl-PL"/>
        </w:rPr>
        <w:t xml:space="preserve"> </w:t>
      </w:r>
      <w:r w:rsidR="00236AA2" w:rsidRPr="0051003F">
        <w:rPr>
          <w:lang w:val="pl-PL"/>
        </w:rPr>
        <w:t>określone w art. 4 Protokołu nr 7. Faktem jest jednak, że nie wszystkie państwa członkowskie ratyfikowały ten przepis, podczas gdy inne przyjęły zastrzeżenia lub deklaracje interpretacyjne dotyczące tego przepisu. Skutkiem tej sytuacji jest to, że wymóg wykładni Karty w świetle EKPC i orzecznictwa Europejskiego Trybunału Praw Człowieka (art. 52 ust. 3 Karty) staje się, że tak powiem, asymetryczny, co prowadzi do poważnych problemów w przypadku stosowania jej w niniejszej sprawie.</w:t>
      </w:r>
    </w:p>
    <w:p w:rsidR="00703159" w:rsidRPr="0051003F" w:rsidRDefault="0005310C" w:rsidP="00236AA2">
      <w:pPr>
        <w:pStyle w:val="ECHRParaQuote"/>
        <w:rPr>
          <w:b/>
          <w:lang w:val="pl-PL"/>
        </w:rPr>
      </w:pPr>
      <w:r w:rsidRPr="0051003F">
        <w:rPr>
          <w:b/>
          <w:lang w:val="pl-PL"/>
        </w:rPr>
        <w:t>  </w:t>
      </w:r>
      <w:r w:rsidR="00703159" w:rsidRPr="0051003F">
        <w:rPr>
          <w:b/>
          <w:lang w:val="pl-PL"/>
        </w:rPr>
        <w:t>A</w:t>
      </w:r>
      <w:r w:rsidR="00236AA2" w:rsidRPr="0051003F">
        <w:rPr>
          <w:b/>
          <w:lang w:val="pl-PL"/>
        </w:rPr>
        <w:t xml:space="preserve">rtykuł 4 Protokołu </w:t>
      </w:r>
      <w:r w:rsidR="00FE0AF1">
        <w:rPr>
          <w:b/>
          <w:lang w:val="pl-PL"/>
        </w:rPr>
        <w:t>n</w:t>
      </w:r>
      <w:r w:rsidR="00236AA2" w:rsidRPr="0051003F">
        <w:rPr>
          <w:b/>
          <w:lang w:val="pl-PL"/>
        </w:rPr>
        <w:t>r</w:t>
      </w:r>
      <w:r w:rsidR="00703159" w:rsidRPr="0051003F">
        <w:rPr>
          <w:b/>
          <w:lang w:val="pl-PL"/>
        </w:rPr>
        <w:t xml:space="preserve"> 7 </w:t>
      </w:r>
      <w:r w:rsidR="00236AA2" w:rsidRPr="0051003F">
        <w:rPr>
          <w:b/>
          <w:lang w:val="pl-PL"/>
        </w:rPr>
        <w:t>oraz stosowne orzecznictwo Europejskiego Trybunału Praw Człowieka</w:t>
      </w:r>
    </w:p>
    <w:p w:rsidR="00703159" w:rsidRPr="0051003F" w:rsidRDefault="00703159" w:rsidP="00A7252F">
      <w:pPr>
        <w:pStyle w:val="ECHRParaQuote"/>
        <w:keepNext/>
        <w:rPr>
          <w:b/>
          <w:lang w:val="pl-PL"/>
        </w:rPr>
      </w:pPr>
      <w:r w:rsidRPr="0051003F">
        <w:rPr>
          <w:b/>
          <w:lang w:val="pl-PL"/>
        </w:rPr>
        <w:t>i)</w:t>
      </w:r>
      <w:r w:rsidR="0005310C" w:rsidRPr="0051003F">
        <w:rPr>
          <w:b/>
          <w:lang w:val="pl-PL"/>
        </w:rPr>
        <w:t>  </w:t>
      </w:r>
      <w:r w:rsidR="00AC25EB" w:rsidRPr="0051003F">
        <w:rPr>
          <w:b/>
          <w:lang w:val="pl-PL"/>
        </w:rPr>
        <w:t xml:space="preserve">Podpisanie i ratyfikowanie artykułu 4 Protokołu </w:t>
      </w:r>
      <w:r w:rsidR="00FE0AF1">
        <w:rPr>
          <w:b/>
          <w:lang w:val="pl-PL"/>
        </w:rPr>
        <w:t>n</w:t>
      </w:r>
      <w:r w:rsidR="00AC25EB" w:rsidRPr="0051003F">
        <w:rPr>
          <w:b/>
          <w:lang w:val="pl-PL"/>
        </w:rPr>
        <w:t xml:space="preserve">r 7 </w:t>
      </w:r>
    </w:p>
    <w:p w:rsidR="00AC25EB" w:rsidRPr="0051003F" w:rsidRDefault="00703159" w:rsidP="00AC25EB">
      <w:pPr>
        <w:pStyle w:val="ECHRParaQuote"/>
        <w:keepNext/>
        <w:rPr>
          <w:lang w:val="pl-PL"/>
        </w:rPr>
      </w:pPr>
      <w:r w:rsidRPr="0051003F">
        <w:rPr>
          <w:lang w:val="pl-PL"/>
        </w:rPr>
        <w:t>71.</w:t>
      </w:r>
      <w:r w:rsidR="0005310C" w:rsidRPr="0051003F">
        <w:rPr>
          <w:lang w:val="pl-PL"/>
        </w:rPr>
        <w:t>  </w:t>
      </w:r>
      <w:r w:rsidR="00AC25EB" w:rsidRPr="0051003F">
        <w:rPr>
          <w:lang w:val="pl-PL"/>
        </w:rPr>
        <w:t xml:space="preserve">Zasada </w:t>
      </w:r>
      <w:proofErr w:type="spellStart"/>
      <w:r w:rsidR="00AC25EB" w:rsidRPr="00486852">
        <w:rPr>
          <w:i/>
          <w:lang w:val="pl-PL"/>
        </w:rPr>
        <w:t>ne</w:t>
      </w:r>
      <w:proofErr w:type="spellEnd"/>
      <w:r w:rsidR="00AC25EB" w:rsidRPr="00486852">
        <w:rPr>
          <w:i/>
          <w:lang w:val="pl-PL"/>
        </w:rPr>
        <w:t xml:space="preserve"> bis in </w:t>
      </w:r>
      <w:proofErr w:type="spellStart"/>
      <w:r w:rsidR="00AC25EB" w:rsidRPr="00486852">
        <w:rPr>
          <w:i/>
          <w:lang w:val="pl-PL"/>
        </w:rPr>
        <w:t>idem</w:t>
      </w:r>
      <w:proofErr w:type="spellEnd"/>
      <w:r w:rsidR="00AC25EB" w:rsidRPr="0051003F">
        <w:rPr>
          <w:lang w:val="pl-PL"/>
        </w:rPr>
        <w:t xml:space="preserve"> nie stanowiła na początku wyraźnej części europejskiej Konwencji o ochronie praw człowieka i podstawowych wolności. Powszechnie wiadomo, że zasada ta została włączona do europejskiej Konwencji o ochronie praw człowieka i podstawowych wolności na mocy Protokołu </w:t>
      </w:r>
      <w:r w:rsidR="00FE0AF1">
        <w:rPr>
          <w:lang w:val="pl-PL"/>
        </w:rPr>
        <w:t>nr</w:t>
      </w:r>
      <w:r w:rsidR="00FE0AF1" w:rsidRPr="0051003F">
        <w:rPr>
          <w:lang w:val="pl-PL"/>
        </w:rPr>
        <w:t xml:space="preserve"> </w:t>
      </w:r>
      <w:r w:rsidR="00AC25EB" w:rsidRPr="0051003F">
        <w:rPr>
          <w:lang w:val="pl-PL"/>
        </w:rPr>
        <w:t>7, który został otwarty do podpisu dnia 22 listopada 1984 r</w:t>
      </w:r>
      <w:r w:rsidR="00FE0AF1">
        <w:rPr>
          <w:lang w:val="pl-PL"/>
        </w:rPr>
        <w:t>oku</w:t>
      </w:r>
      <w:r w:rsidR="00FE0AF1" w:rsidRPr="0051003F">
        <w:rPr>
          <w:lang w:val="pl-PL"/>
        </w:rPr>
        <w:t xml:space="preserve"> </w:t>
      </w:r>
      <w:r w:rsidR="00AC25EB" w:rsidRPr="0051003F">
        <w:rPr>
          <w:lang w:val="pl-PL"/>
        </w:rPr>
        <w:t>i wszedł w życie dnia 1 listopada 1988 r</w:t>
      </w:r>
      <w:r w:rsidR="00FE0AF1">
        <w:rPr>
          <w:lang w:val="pl-PL"/>
        </w:rPr>
        <w:t>oku</w:t>
      </w:r>
      <w:r w:rsidR="00AC25EB" w:rsidRPr="0051003F">
        <w:rPr>
          <w:lang w:val="pl-PL"/>
        </w:rPr>
        <w:t xml:space="preserve"> Wśród innych praw art. 4 zawiera gwarancję zasady </w:t>
      </w:r>
      <w:proofErr w:type="spellStart"/>
      <w:r w:rsidR="00AC25EB" w:rsidRPr="0051003F">
        <w:rPr>
          <w:i/>
          <w:lang w:val="pl-PL"/>
        </w:rPr>
        <w:t>ne</w:t>
      </w:r>
      <w:proofErr w:type="spellEnd"/>
      <w:r w:rsidR="00AC25EB" w:rsidRPr="0051003F">
        <w:rPr>
          <w:i/>
          <w:lang w:val="pl-PL"/>
        </w:rPr>
        <w:t xml:space="preserve"> bis in </w:t>
      </w:r>
      <w:proofErr w:type="spellStart"/>
      <w:r w:rsidR="00AC25EB" w:rsidRPr="0051003F">
        <w:rPr>
          <w:i/>
          <w:lang w:val="pl-PL"/>
        </w:rPr>
        <w:t>idem</w:t>
      </w:r>
      <w:proofErr w:type="spellEnd"/>
      <w:r w:rsidR="00AC25EB" w:rsidRPr="0051003F">
        <w:rPr>
          <w:lang w:val="pl-PL"/>
        </w:rPr>
        <w:t>, której celem, zgodnie z wyjaśnieniami zawartymi w protokole sporządzonym przez Radę Europy, jest wyrażenie zgody na to, by nikt nie mógł być sądzony w postępowaniu karnym za przestępstwo, za które został już skazany lub uniewinniony.</w:t>
      </w:r>
    </w:p>
    <w:p w:rsidR="00AC25EB" w:rsidRPr="0051003F" w:rsidRDefault="00AC25EB" w:rsidP="00AC25EB">
      <w:pPr>
        <w:pStyle w:val="ECHRParaQuote"/>
        <w:keepNext/>
        <w:rPr>
          <w:lang w:val="pl-PL"/>
        </w:rPr>
      </w:pPr>
      <w:r w:rsidRPr="0051003F">
        <w:rPr>
          <w:lang w:val="pl-PL"/>
        </w:rPr>
        <w:t>72</w:t>
      </w:r>
      <w:r w:rsidR="0005310C" w:rsidRPr="0051003F">
        <w:rPr>
          <w:lang w:val="pl-PL"/>
        </w:rPr>
        <w:t>.  </w:t>
      </w:r>
      <w:r w:rsidRPr="0051003F">
        <w:rPr>
          <w:lang w:val="pl-PL"/>
        </w:rPr>
        <w:t xml:space="preserve">W przeciwieństwie do innych praw określonych w Konwencji praw człowieka i podstawowych wolności, prawo przewidziane w </w:t>
      </w:r>
      <w:r w:rsidR="001C623C">
        <w:rPr>
          <w:lang w:val="pl-PL"/>
        </w:rPr>
        <w:t>art.</w:t>
      </w:r>
      <w:r w:rsidR="001C623C" w:rsidRPr="0051003F">
        <w:rPr>
          <w:lang w:val="pl-PL"/>
        </w:rPr>
        <w:t xml:space="preserve"> </w:t>
      </w:r>
      <w:r w:rsidRPr="0051003F">
        <w:rPr>
          <w:lang w:val="pl-PL"/>
        </w:rPr>
        <w:t xml:space="preserve">4 Protokołu </w:t>
      </w:r>
      <w:r w:rsidR="001C623C">
        <w:rPr>
          <w:lang w:val="pl-PL"/>
        </w:rPr>
        <w:t>n</w:t>
      </w:r>
      <w:r w:rsidRPr="0051003F">
        <w:rPr>
          <w:lang w:val="pl-PL"/>
        </w:rPr>
        <w:t xml:space="preserve">r 7 nie zostało jednogłośnie przyjęte przez państwa sygnatariuszy </w:t>
      </w:r>
      <w:r w:rsidR="001C623C">
        <w:rPr>
          <w:lang w:val="pl-PL"/>
        </w:rPr>
        <w:t>K</w:t>
      </w:r>
      <w:r w:rsidRPr="0051003F">
        <w:rPr>
          <w:lang w:val="pl-PL"/>
        </w:rPr>
        <w:t xml:space="preserve">onwencji, w tym kilka państw członkowskich Unii Europejskiej. Do dnia wydania niniejszej opinii Protokół </w:t>
      </w:r>
      <w:r w:rsidR="001C623C">
        <w:rPr>
          <w:lang w:val="pl-PL"/>
        </w:rPr>
        <w:t>n</w:t>
      </w:r>
      <w:r w:rsidRPr="0051003F">
        <w:rPr>
          <w:lang w:val="pl-PL"/>
        </w:rPr>
        <w:t xml:space="preserve">r 7 nie został jeszcze ratyfikowany przez Niemcy, Belgię, Niderlandy i Zjednoczone Królestwo. Wśród państw członkowskich, które ratyfikowały protokół, Francja zgłosiła zastrzeżenie do art. 4, ograniczając jego stosowanie wyłącznie do przestępstw. ... Ponadto w chwili podpisania </w:t>
      </w:r>
      <w:r w:rsidR="00C21D64">
        <w:rPr>
          <w:lang w:val="pl-PL"/>
        </w:rPr>
        <w:t>P</w:t>
      </w:r>
      <w:r w:rsidRPr="0051003F">
        <w:rPr>
          <w:lang w:val="pl-PL"/>
        </w:rPr>
        <w:t xml:space="preserve">rotokołu Niemcy, Austria, Włochy, Portugalia i Niemcy złożyły szereg oświadczeń, które doprowadziły do tej samej sytuacji: ograniczenia zakresu stosowania art. 4 Protokołu </w:t>
      </w:r>
      <w:r w:rsidR="00C21D64">
        <w:rPr>
          <w:lang w:val="pl-PL"/>
        </w:rPr>
        <w:t>n</w:t>
      </w:r>
      <w:r w:rsidRPr="0051003F">
        <w:rPr>
          <w:lang w:val="pl-PL"/>
        </w:rPr>
        <w:t>r 7, tak aby ochrona na mocy tego przepisu miała zastosowanie wyłącznie do podwójnej kary za przestępstwa w rozumieniu prawa krajowego. ...</w:t>
      </w:r>
    </w:p>
    <w:p w:rsidR="00AC25EB" w:rsidRPr="0051003F" w:rsidRDefault="0005310C" w:rsidP="00AC25EB">
      <w:pPr>
        <w:pStyle w:val="ECHRParaQuote"/>
        <w:rPr>
          <w:lang w:val="pl-PL"/>
        </w:rPr>
      </w:pPr>
      <w:r w:rsidRPr="0051003F">
        <w:rPr>
          <w:lang w:val="pl-PL"/>
        </w:rPr>
        <w:t>73.  </w:t>
      </w:r>
      <w:r w:rsidR="00AC25EB" w:rsidRPr="0051003F">
        <w:rPr>
          <w:lang w:val="pl-PL"/>
        </w:rPr>
        <w:t xml:space="preserve">Powyższe spostrzeżenie wyraźnie wskazuje na brak porozumienia między państwami członkowskimi Unii Europejskiej w związku z problemami wynikających z nałożenia zarówno sankcji administracyjnych, jak i karnych w odniesieniu do tego samego przestępstwa. Problematyczny charakter sytuacji zostaje </w:t>
      </w:r>
      <w:r w:rsidR="00322592" w:rsidRPr="0051003F">
        <w:rPr>
          <w:lang w:val="pl-PL"/>
        </w:rPr>
        <w:t>spotęgowany</w:t>
      </w:r>
      <w:r w:rsidR="00AC25EB" w:rsidRPr="0051003F">
        <w:rPr>
          <w:lang w:val="pl-PL"/>
        </w:rPr>
        <w:t xml:space="preserve"> w świetle negocjacji w sprawie przyszłego przystąpienia Unii Europej</w:t>
      </w:r>
      <w:r w:rsidR="00322592">
        <w:rPr>
          <w:lang w:val="pl-PL"/>
        </w:rPr>
        <w:t xml:space="preserve">skiej do </w:t>
      </w:r>
      <w:r w:rsidR="004F003D">
        <w:rPr>
          <w:lang w:val="pl-PL"/>
        </w:rPr>
        <w:t>ratyfikacji Konwencji</w:t>
      </w:r>
      <w:r w:rsidR="00AC25EB" w:rsidRPr="0051003F">
        <w:rPr>
          <w:lang w:val="pl-PL"/>
        </w:rPr>
        <w:t xml:space="preserve">, w których państwa członkowskie i Unia postanowiły na razie wyłączyć protokoły do </w:t>
      </w:r>
      <w:r w:rsidR="004F003D">
        <w:rPr>
          <w:lang w:val="pl-PL"/>
        </w:rPr>
        <w:t>Konwencji</w:t>
      </w:r>
      <w:r w:rsidR="00AC25EB" w:rsidRPr="0051003F">
        <w:rPr>
          <w:lang w:val="pl-PL"/>
        </w:rPr>
        <w:t xml:space="preserve">, w tym Protokół </w:t>
      </w:r>
      <w:r w:rsidR="004F003D">
        <w:rPr>
          <w:lang w:val="pl-PL"/>
        </w:rPr>
        <w:t>n</w:t>
      </w:r>
      <w:r w:rsidR="00AC25EB" w:rsidRPr="0051003F">
        <w:rPr>
          <w:lang w:val="pl-PL"/>
        </w:rPr>
        <w:t xml:space="preserve">r 7. </w:t>
      </w:r>
    </w:p>
    <w:p w:rsidR="00703159" w:rsidRPr="0051003F" w:rsidRDefault="0005310C" w:rsidP="00AC25EB">
      <w:pPr>
        <w:pStyle w:val="ECHRParaQuote"/>
        <w:rPr>
          <w:lang w:val="pl-PL"/>
        </w:rPr>
      </w:pPr>
      <w:r w:rsidRPr="0051003F">
        <w:rPr>
          <w:lang w:val="pl-PL"/>
        </w:rPr>
        <w:t>74.  </w:t>
      </w:r>
      <w:r w:rsidR="00AC25EB" w:rsidRPr="0051003F">
        <w:rPr>
          <w:lang w:val="pl-PL"/>
        </w:rPr>
        <w:t xml:space="preserve">Brak porozumienia wynika ze znaczenia środków nakładających kary administracyjne w wielu państwach członkowskich, a także ze szczególnego znaczenia, jakie mają również w tych państwach członkowskich postępowanie karne i sankcje. Z jednej strony państwa nie chcą rezygnować z charakterystycznej skuteczności kar administracyjnych, szczególnie w sektorach, w których władze publiczne dążą do zapewnienia rygorystycznego przestrzegania prawa, </w:t>
      </w:r>
      <w:r w:rsidR="004F003D">
        <w:rPr>
          <w:lang w:val="pl-PL"/>
        </w:rPr>
        <w:t>takich gałęzi jak</w:t>
      </w:r>
      <w:r w:rsidR="00AC25EB" w:rsidRPr="0051003F">
        <w:rPr>
          <w:lang w:val="pl-PL"/>
        </w:rPr>
        <w:t xml:space="preserve"> prawo fiskalne czy prawo bezpieczeństwa publicznego. Z drugiej strony, wyjątkowy charakter postępowania karnego oraz gwarancje chroniące oskarżonych w trakcie postępowania skłaniają państwa do zachowania pewnej części uprawnień decyzyjnych w zakresie działań stanowiących podstawę sankcji karnej. Zainteresowanie utrzymaniem podwójnej - administracyjnej i karnej - </w:t>
      </w:r>
      <w:r w:rsidR="007E4699">
        <w:rPr>
          <w:lang w:val="pl-PL"/>
        </w:rPr>
        <w:t>możliwości</w:t>
      </w:r>
      <w:r w:rsidR="007E4699" w:rsidRPr="0051003F">
        <w:rPr>
          <w:lang w:val="pl-PL"/>
        </w:rPr>
        <w:t xml:space="preserve"> </w:t>
      </w:r>
      <w:r w:rsidR="00AC25EB" w:rsidRPr="0051003F">
        <w:rPr>
          <w:lang w:val="pl-PL"/>
        </w:rPr>
        <w:lastRenderedPageBreak/>
        <w:t>karania tłumaczy, dlaczego obecnie znaczna liczba państw członkowskich odmawia w ten czy inny sposób związania się orzecznictwem Europejskiego Trybunału Praw Człowieka, które - jak zaraz zostanie przeanalizowane - rozwija się w kierunku, który praktycznie wyklucza tę dwoistość.</w:t>
      </w:r>
      <w:r w:rsidR="00703159" w:rsidRPr="0051003F">
        <w:rPr>
          <w:lang w:val="pl-PL"/>
        </w:rPr>
        <w:t>”</w:t>
      </w:r>
    </w:p>
    <w:p w:rsidR="00703159" w:rsidRPr="0051003F" w:rsidRDefault="00B21F99" w:rsidP="00A7252F">
      <w:pPr>
        <w:pStyle w:val="ECHRPara"/>
        <w:rPr>
          <w:lang w:val="pl-PL"/>
        </w:rPr>
      </w:pPr>
      <w:r>
        <w:rPr>
          <w:lang w:val="pl-PL"/>
        </w:rPr>
        <w:t>52</w:t>
      </w:r>
      <w:r w:rsidR="00703159" w:rsidRPr="0051003F">
        <w:rPr>
          <w:lang w:val="pl-PL"/>
        </w:rPr>
        <w:t>.  </w:t>
      </w:r>
      <w:r w:rsidR="00AC25EB" w:rsidRPr="0051003F">
        <w:rPr>
          <w:lang w:val="pl-PL"/>
        </w:rPr>
        <w:t>W dniu 26 lutego</w:t>
      </w:r>
      <w:r w:rsidR="00703159" w:rsidRPr="0051003F">
        <w:rPr>
          <w:lang w:val="pl-PL"/>
        </w:rPr>
        <w:t xml:space="preserve"> 2013</w:t>
      </w:r>
      <w:r w:rsidR="00AC25EB" w:rsidRPr="0051003F">
        <w:rPr>
          <w:lang w:val="pl-PL"/>
        </w:rPr>
        <w:t xml:space="preserve"> r</w:t>
      </w:r>
      <w:r w:rsidR="007E4699">
        <w:rPr>
          <w:lang w:val="pl-PL"/>
        </w:rPr>
        <w:t>oku</w:t>
      </w:r>
      <w:r w:rsidR="00AC25EB" w:rsidRPr="0051003F">
        <w:rPr>
          <w:lang w:val="pl-PL"/>
        </w:rPr>
        <w:t>, Trybunał Sprawiedliwości Unii Europejskiej (Wielka Izba) orzekł</w:t>
      </w:r>
      <w:r w:rsidR="00C22440" w:rsidRPr="0051003F">
        <w:rPr>
          <w:lang w:val="pl-PL"/>
        </w:rPr>
        <w:t>,</w:t>
      </w:r>
      <w:r w:rsidR="00703159" w:rsidRPr="0051003F">
        <w:rPr>
          <w:lang w:val="pl-PL"/>
        </w:rPr>
        <w:t xml:space="preserve"> </w:t>
      </w:r>
      <w:proofErr w:type="spellStart"/>
      <w:r w:rsidR="00703159" w:rsidRPr="0051003F">
        <w:rPr>
          <w:i/>
          <w:lang w:val="pl-PL"/>
        </w:rPr>
        <w:t>inter</w:t>
      </w:r>
      <w:proofErr w:type="spellEnd"/>
      <w:r w:rsidR="00703159" w:rsidRPr="0051003F">
        <w:rPr>
          <w:i/>
          <w:lang w:val="pl-PL"/>
        </w:rPr>
        <w:t xml:space="preserve"> </w:t>
      </w:r>
      <w:proofErr w:type="spellStart"/>
      <w:r w:rsidR="00703159" w:rsidRPr="0051003F">
        <w:rPr>
          <w:i/>
          <w:lang w:val="pl-PL"/>
        </w:rPr>
        <w:t>alia</w:t>
      </w:r>
      <w:proofErr w:type="spellEnd"/>
      <w:r w:rsidR="00C22440" w:rsidRPr="0051003F">
        <w:rPr>
          <w:lang w:val="pl-PL"/>
        </w:rPr>
        <w:t xml:space="preserve">, </w:t>
      </w:r>
      <w:r w:rsidR="00AC25EB" w:rsidRPr="0051003F">
        <w:rPr>
          <w:lang w:val="pl-PL"/>
        </w:rPr>
        <w:t>następująco</w:t>
      </w:r>
      <w:r w:rsidR="00001CDB" w:rsidRPr="0051003F">
        <w:rPr>
          <w:lang w:val="pl-PL"/>
        </w:rPr>
        <w:t>:</w:t>
      </w:r>
    </w:p>
    <w:p w:rsidR="00703159" w:rsidRPr="0051003F" w:rsidRDefault="00703159" w:rsidP="00A7252F">
      <w:pPr>
        <w:pStyle w:val="JuQuotSub"/>
        <w:keepNext/>
        <w:keepLines/>
        <w:rPr>
          <w:b/>
          <w:lang w:val="pl-PL"/>
        </w:rPr>
      </w:pPr>
      <w:r w:rsidRPr="0051003F">
        <w:rPr>
          <w:b/>
          <w:lang w:val="pl-PL"/>
        </w:rPr>
        <w:t>“</w:t>
      </w:r>
      <w:r w:rsidR="00432BBA" w:rsidRPr="0051003F">
        <w:rPr>
          <w:b/>
          <w:bCs/>
          <w:lang w:val="pl-PL"/>
        </w:rPr>
        <w:t>W przedmiocie pytań prejudycjalnych</w:t>
      </w:r>
    </w:p>
    <w:p w:rsidR="00432BBA" w:rsidRPr="0051003F" w:rsidRDefault="00432BBA" w:rsidP="00A7252F">
      <w:pPr>
        <w:pStyle w:val="ECHRParaQuote"/>
        <w:keepNext/>
        <w:rPr>
          <w:i/>
          <w:iCs/>
          <w:lang w:val="pl-PL"/>
        </w:rPr>
      </w:pPr>
      <w:r w:rsidRPr="0051003F">
        <w:rPr>
          <w:i/>
          <w:iCs/>
          <w:lang w:val="pl-PL"/>
        </w:rPr>
        <w:t>W przedmiocie pytań drugiego, trzeciego i czwartego</w:t>
      </w:r>
    </w:p>
    <w:p w:rsidR="00703159" w:rsidRPr="0051003F" w:rsidRDefault="00703159" w:rsidP="00A7252F">
      <w:pPr>
        <w:pStyle w:val="ECHRParaQuote"/>
        <w:keepNext/>
        <w:rPr>
          <w:lang w:val="pl-PL"/>
        </w:rPr>
      </w:pPr>
      <w:r w:rsidRPr="0051003F">
        <w:rPr>
          <w:lang w:val="pl-PL"/>
        </w:rPr>
        <w:t>32</w:t>
      </w:r>
      <w:r w:rsidR="00ED68C6" w:rsidRPr="0051003F">
        <w:rPr>
          <w:lang w:val="pl-PL"/>
        </w:rPr>
        <w:t>.</w:t>
      </w:r>
      <w:r w:rsidR="0005310C" w:rsidRPr="0051003F">
        <w:rPr>
          <w:lang w:val="pl-PL"/>
        </w:rPr>
        <w:t>  </w:t>
      </w:r>
      <w:r w:rsidR="00432BBA" w:rsidRPr="0051003F">
        <w:rPr>
          <w:lang w:val="pl-PL"/>
        </w:rPr>
        <w:t xml:space="preserve">Występując do Trybunału z tymi pytaniami, na które trzeba odpowiedzieć łącznie, </w:t>
      </w:r>
      <w:proofErr w:type="spellStart"/>
      <w:r w:rsidR="00432BBA" w:rsidRPr="0051003F">
        <w:rPr>
          <w:lang w:val="pl-PL"/>
        </w:rPr>
        <w:t>Haparanda</w:t>
      </w:r>
      <w:proofErr w:type="spellEnd"/>
      <w:r w:rsidR="00432BBA" w:rsidRPr="0051003F">
        <w:rPr>
          <w:lang w:val="pl-PL"/>
        </w:rPr>
        <w:t xml:space="preserve"> </w:t>
      </w:r>
      <w:proofErr w:type="spellStart"/>
      <w:r w:rsidR="00432BBA" w:rsidRPr="0051003F">
        <w:rPr>
          <w:lang w:val="pl-PL"/>
        </w:rPr>
        <w:t>tingsrätt</w:t>
      </w:r>
      <w:proofErr w:type="spellEnd"/>
      <w:r w:rsidR="00432BBA" w:rsidRPr="0051003F">
        <w:rPr>
          <w:lang w:val="pl-PL"/>
        </w:rPr>
        <w:t xml:space="preserve"> dąży w istocie do ustalenia, czy zasadę </w:t>
      </w:r>
      <w:proofErr w:type="spellStart"/>
      <w:r w:rsidR="00432BBA" w:rsidRPr="0051003F">
        <w:rPr>
          <w:i/>
          <w:lang w:val="pl-PL"/>
        </w:rPr>
        <w:t>ne</w:t>
      </w:r>
      <w:proofErr w:type="spellEnd"/>
      <w:r w:rsidR="00432BBA" w:rsidRPr="0051003F">
        <w:rPr>
          <w:i/>
          <w:lang w:val="pl-PL"/>
        </w:rPr>
        <w:t xml:space="preserve"> bis in </w:t>
      </w:r>
      <w:proofErr w:type="spellStart"/>
      <w:r w:rsidR="00432BBA" w:rsidRPr="0051003F">
        <w:rPr>
          <w:i/>
          <w:lang w:val="pl-PL"/>
        </w:rPr>
        <w:t>idem</w:t>
      </w:r>
      <w:proofErr w:type="spellEnd"/>
      <w:r w:rsidR="00432BBA" w:rsidRPr="0051003F">
        <w:rPr>
          <w:lang w:val="pl-PL"/>
        </w:rPr>
        <w:t xml:space="preserve"> zawartą w art. 50 karty należy interpretować w ten sposób, że stoi ona na przeszkodzie prowadzeniu postępowania karnoskarbowego, jeżeli na oskarżonego nałożono już wcześniej sankcję w postaci dodatkowego zobowiązania podatkowego z tytułu tych samych czynów polegających na podaniu nieprawdy.</w:t>
      </w:r>
    </w:p>
    <w:p w:rsidR="00432BBA" w:rsidRPr="0051003F" w:rsidRDefault="00703159" w:rsidP="00A7252F">
      <w:pPr>
        <w:pStyle w:val="ECHRParaQuote"/>
        <w:rPr>
          <w:lang w:val="pl-PL"/>
        </w:rPr>
      </w:pPr>
      <w:r w:rsidRPr="0051003F">
        <w:rPr>
          <w:lang w:val="pl-PL"/>
        </w:rPr>
        <w:t>33</w:t>
      </w:r>
      <w:r w:rsidR="00ED68C6" w:rsidRPr="0051003F">
        <w:rPr>
          <w:lang w:val="pl-PL"/>
        </w:rPr>
        <w:t>.</w:t>
      </w:r>
      <w:r w:rsidR="0005310C" w:rsidRPr="0051003F">
        <w:rPr>
          <w:lang w:val="pl-PL"/>
        </w:rPr>
        <w:t>  </w:t>
      </w:r>
      <w:r w:rsidR="00432BBA" w:rsidRPr="0051003F">
        <w:rPr>
          <w:lang w:val="pl-PL"/>
        </w:rPr>
        <w:t xml:space="preserve">Zasada </w:t>
      </w:r>
      <w:proofErr w:type="spellStart"/>
      <w:r w:rsidR="00432BBA" w:rsidRPr="0051003F">
        <w:rPr>
          <w:i/>
          <w:lang w:val="pl-PL"/>
        </w:rPr>
        <w:t>ne</w:t>
      </w:r>
      <w:proofErr w:type="spellEnd"/>
      <w:r w:rsidR="00432BBA" w:rsidRPr="0051003F">
        <w:rPr>
          <w:i/>
          <w:lang w:val="pl-PL"/>
        </w:rPr>
        <w:t xml:space="preserve"> bis in </w:t>
      </w:r>
      <w:proofErr w:type="spellStart"/>
      <w:r w:rsidR="00432BBA" w:rsidRPr="0051003F">
        <w:rPr>
          <w:i/>
          <w:lang w:val="pl-PL"/>
        </w:rPr>
        <w:t>idem</w:t>
      </w:r>
      <w:proofErr w:type="spellEnd"/>
      <w:r w:rsidR="00432BBA" w:rsidRPr="0051003F">
        <w:rPr>
          <w:lang w:val="pl-PL"/>
        </w:rPr>
        <w:t xml:space="preserve"> zawarta w art. 50 karty znalazłaby zastosowanie do postępowania karnoskarbowego tego rodzaju jak postępowanie główne tylko w sytuacji, gdyby sankcje zastosowane już wobec oskarżonego w drodze ostatecznej decyzji miały charakter karny.</w:t>
      </w:r>
    </w:p>
    <w:p w:rsidR="00703159" w:rsidRPr="0051003F" w:rsidRDefault="00703159" w:rsidP="00A7252F">
      <w:pPr>
        <w:pStyle w:val="ECHRParaQuote"/>
        <w:rPr>
          <w:lang w:val="pl-PL"/>
        </w:rPr>
      </w:pPr>
      <w:r w:rsidRPr="0051003F">
        <w:rPr>
          <w:lang w:val="pl-PL"/>
        </w:rPr>
        <w:t>34</w:t>
      </w:r>
      <w:r w:rsidR="00ED68C6" w:rsidRPr="0051003F">
        <w:rPr>
          <w:lang w:val="pl-PL"/>
        </w:rPr>
        <w:t>.</w:t>
      </w:r>
      <w:r w:rsidR="0005310C" w:rsidRPr="0051003F">
        <w:rPr>
          <w:lang w:val="pl-PL"/>
        </w:rPr>
        <w:t>  </w:t>
      </w:r>
      <w:r w:rsidR="00432BBA" w:rsidRPr="0051003F">
        <w:rPr>
          <w:lang w:val="pl-PL"/>
        </w:rPr>
        <w:t>W tej kwestii należy w pierwszej kolejności stwierdzić, że art. 50 karty nie stoi na przeszkodzie zastosowaniu przez państwo członkowskie łącznie sankcji o charakterze podatkowym i sankcji karnych za ten sam czyn polegający na niedopełnieniu obowiązków informacyjnych w dziedzinie podatku VAT. Państwom członkowskim przysługuje bowiem swoboda wyboru sankcji w celu zapewnienia poboru w pełnej wysokości dochodów z podatku VAT, a tym samym ochrony interesów finansowych Unii (zob. podobnie wyroki: z dnia 21 września 1989 r</w:t>
      </w:r>
      <w:r w:rsidR="00A20D19">
        <w:rPr>
          <w:lang w:val="pl-PL"/>
        </w:rPr>
        <w:t>oku</w:t>
      </w:r>
      <w:r w:rsidR="00432BBA" w:rsidRPr="0051003F">
        <w:rPr>
          <w:lang w:val="pl-PL"/>
        </w:rPr>
        <w:t xml:space="preserve"> w sprawie 68/88 </w:t>
      </w:r>
      <w:r w:rsidR="00432BBA" w:rsidRPr="0051003F">
        <w:rPr>
          <w:i/>
          <w:lang w:val="pl-PL"/>
        </w:rPr>
        <w:t>Komisja przeciwko Grecji</w:t>
      </w:r>
      <w:r w:rsidR="00432BBA" w:rsidRPr="0051003F">
        <w:rPr>
          <w:lang w:val="pl-PL"/>
        </w:rPr>
        <w:t xml:space="preserve">, Rec. s. 2965, </w:t>
      </w:r>
      <w:r w:rsidR="00322592" w:rsidRPr="0051003F">
        <w:rPr>
          <w:lang w:val="pl-PL"/>
        </w:rPr>
        <w:t>pkt.</w:t>
      </w:r>
      <w:r w:rsidR="00432BBA" w:rsidRPr="0051003F">
        <w:rPr>
          <w:lang w:val="pl-PL"/>
        </w:rPr>
        <w:t> 24; z dnia 7 grudnia 2000 r</w:t>
      </w:r>
      <w:r w:rsidR="00A20D19">
        <w:rPr>
          <w:lang w:val="pl-PL"/>
        </w:rPr>
        <w:t>oku</w:t>
      </w:r>
      <w:r w:rsidR="00432BBA" w:rsidRPr="0051003F">
        <w:rPr>
          <w:lang w:val="pl-PL"/>
        </w:rPr>
        <w:t xml:space="preserve"> w sprawie C</w:t>
      </w:r>
      <w:r w:rsidR="00432BBA" w:rsidRPr="0051003F">
        <w:rPr>
          <w:lang w:val="pl-PL"/>
        </w:rPr>
        <w:noBreakHyphen/>
        <w:t xml:space="preserve">213/99 de </w:t>
      </w:r>
      <w:proofErr w:type="spellStart"/>
      <w:r w:rsidR="00432BBA" w:rsidRPr="0051003F">
        <w:rPr>
          <w:lang w:val="pl-PL"/>
        </w:rPr>
        <w:t>Andrade</w:t>
      </w:r>
      <w:proofErr w:type="spellEnd"/>
      <w:r w:rsidR="00432BBA" w:rsidRPr="0051003F">
        <w:rPr>
          <w:lang w:val="pl-PL"/>
        </w:rPr>
        <w:t>, Rec. s. I</w:t>
      </w:r>
      <w:r w:rsidR="00432BBA" w:rsidRPr="0051003F">
        <w:rPr>
          <w:lang w:val="pl-PL"/>
        </w:rPr>
        <w:noBreakHyphen/>
        <w:t xml:space="preserve">11083, </w:t>
      </w:r>
      <w:r w:rsidR="00322592" w:rsidRPr="0051003F">
        <w:rPr>
          <w:lang w:val="pl-PL"/>
        </w:rPr>
        <w:t>pkt.</w:t>
      </w:r>
      <w:r w:rsidR="00432BBA" w:rsidRPr="0051003F">
        <w:rPr>
          <w:lang w:val="pl-PL"/>
        </w:rPr>
        <w:t> 19; z dnia 16 października 2003 r</w:t>
      </w:r>
      <w:r w:rsidR="00A20D19">
        <w:rPr>
          <w:lang w:val="pl-PL"/>
        </w:rPr>
        <w:t>oku</w:t>
      </w:r>
      <w:r w:rsidR="00432BBA" w:rsidRPr="0051003F">
        <w:rPr>
          <w:lang w:val="pl-PL"/>
        </w:rPr>
        <w:t xml:space="preserve"> w sprawie C</w:t>
      </w:r>
      <w:r w:rsidR="00432BBA" w:rsidRPr="0051003F">
        <w:rPr>
          <w:lang w:val="pl-PL"/>
        </w:rPr>
        <w:noBreakHyphen/>
        <w:t xml:space="preserve">91/02 </w:t>
      </w:r>
      <w:proofErr w:type="spellStart"/>
      <w:r w:rsidR="00432BBA" w:rsidRPr="0051003F">
        <w:rPr>
          <w:i/>
          <w:lang w:val="pl-PL"/>
        </w:rPr>
        <w:t>Hannl</w:t>
      </w:r>
      <w:r w:rsidR="00432BBA" w:rsidRPr="0051003F">
        <w:rPr>
          <w:i/>
          <w:lang w:val="pl-PL"/>
        </w:rPr>
        <w:noBreakHyphen/>
        <w:t>Hofstetter</w:t>
      </w:r>
      <w:proofErr w:type="spellEnd"/>
      <w:r w:rsidR="00432BBA" w:rsidRPr="0051003F">
        <w:rPr>
          <w:lang w:val="pl-PL"/>
        </w:rPr>
        <w:t>, Rec. s. I</w:t>
      </w:r>
      <w:r w:rsidR="00432BBA" w:rsidRPr="0051003F">
        <w:rPr>
          <w:lang w:val="pl-PL"/>
        </w:rPr>
        <w:noBreakHyphen/>
        <w:t xml:space="preserve">12077, </w:t>
      </w:r>
      <w:r w:rsidR="00322592" w:rsidRPr="0051003F">
        <w:rPr>
          <w:lang w:val="pl-PL"/>
        </w:rPr>
        <w:t>pkt.</w:t>
      </w:r>
      <w:r w:rsidR="00432BBA" w:rsidRPr="0051003F">
        <w:rPr>
          <w:lang w:val="pl-PL"/>
        </w:rPr>
        <w:t> 17). Sankcje te mogą więc mieć postać sankcji administracyjnych, sankcji karnych lub obu tych rodzajów sankcji łącznie. Dopiero jeżeli sankcja podatkowa ma charakter karny w rozumieniu art. 50 karty i jest ostateczna, zasada wyrażona w tym przepisie staje na przeszkodzie prowadzeniu przeciwko tej samej osobie kolejnego postępowania karnego.</w:t>
      </w:r>
    </w:p>
    <w:p w:rsidR="00703159" w:rsidRPr="0051003F" w:rsidRDefault="00703159" w:rsidP="00A7252F">
      <w:pPr>
        <w:pStyle w:val="ECHRParaQuote"/>
        <w:rPr>
          <w:lang w:val="pl-PL"/>
        </w:rPr>
      </w:pPr>
      <w:r w:rsidRPr="0051003F">
        <w:rPr>
          <w:lang w:val="pl-PL"/>
        </w:rPr>
        <w:t>35</w:t>
      </w:r>
      <w:r w:rsidR="00ED68C6" w:rsidRPr="0051003F">
        <w:rPr>
          <w:lang w:val="pl-PL"/>
        </w:rPr>
        <w:t>.</w:t>
      </w:r>
      <w:r w:rsidR="0005310C" w:rsidRPr="0051003F">
        <w:rPr>
          <w:lang w:val="pl-PL"/>
        </w:rPr>
        <w:t>  </w:t>
      </w:r>
      <w:r w:rsidR="00432BBA" w:rsidRPr="0051003F">
        <w:rPr>
          <w:lang w:val="pl-PL"/>
        </w:rPr>
        <w:t>Następnie należy przypomnieć, że oceny karnego charakteru sankcji podatkowych dokonuje się z uwzględnieniem trzech kryteriów. Pierwszym z nich jest kwalifikacja prawna naruszenia w prawie krajowym, drugim – sam charakter naruszenia, a trzecim – charakter i stopień surowości</w:t>
      </w:r>
      <w:r w:rsidR="00017B21">
        <w:rPr>
          <w:lang w:val="pl-PL"/>
        </w:rPr>
        <w:t xml:space="preserve"> sankcji</w:t>
      </w:r>
      <w:r w:rsidR="00432BBA" w:rsidRPr="0051003F">
        <w:rPr>
          <w:lang w:val="pl-PL"/>
        </w:rPr>
        <w:t xml:space="preserve"> grożącej zainteresowanemu (wyrok z dnia 5 czerwca 2012 r</w:t>
      </w:r>
      <w:r w:rsidR="00017B21">
        <w:rPr>
          <w:lang w:val="pl-PL"/>
        </w:rPr>
        <w:t>oku</w:t>
      </w:r>
      <w:r w:rsidR="00432BBA" w:rsidRPr="0051003F">
        <w:rPr>
          <w:lang w:val="pl-PL"/>
        </w:rPr>
        <w:t xml:space="preserve"> w sprawie C</w:t>
      </w:r>
      <w:r w:rsidR="00432BBA" w:rsidRPr="0051003F">
        <w:rPr>
          <w:lang w:val="pl-PL"/>
        </w:rPr>
        <w:noBreakHyphen/>
        <w:t xml:space="preserve">489/10 </w:t>
      </w:r>
      <w:r w:rsidR="00432BBA" w:rsidRPr="0051003F">
        <w:rPr>
          <w:i/>
          <w:lang w:val="pl-PL"/>
        </w:rPr>
        <w:t>Bonda</w:t>
      </w:r>
      <w:r w:rsidR="00432BBA" w:rsidRPr="0051003F">
        <w:rPr>
          <w:lang w:val="pl-PL"/>
        </w:rPr>
        <w:t xml:space="preserve">, </w:t>
      </w:r>
      <w:r w:rsidR="00322592" w:rsidRPr="0051003F">
        <w:rPr>
          <w:lang w:val="pl-PL"/>
        </w:rPr>
        <w:t>pkt.</w:t>
      </w:r>
      <w:r w:rsidR="00432BBA" w:rsidRPr="0051003F">
        <w:rPr>
          <w:lang w:val="pl-PL"/>
        </w:rPr>
        <w:t xml:space="preserve"> 37).</w:t>
      </w:r>
      <w:r w:rsidRPr="0051003F">
        <w:rPr>
          <w:lang w:val="pl-PL"/>
        </w:rPr>
        <w:t>).</w:t>
      </w:r>
    </w:p>
    <w:p w:rsidR="00432BBA" w:rsidRPr="0051003F" w:rsidRDefault="00703159" w:rsidP="00A7252F">
      <w:pPr>
        <w:pStyle w:val="ECHRParaQuote"/>
        <w:rPr>
          <w:lang w:val="pl-PL"/>
        </w:rPr>
      </w:pPr>
      <w:r w:rsidRPr="0051003F">
        <w:rPr>
          <w:lang w:val="pl-PL"/>
        </w:rPr>
        <w:t>36</w:t>
      </w:r>
      <w:r w:rsidR="00ED68C6" w:rsidRPr="0051003F">
        <w:rPr>
          <w:lang w:val="pl-PL"/>
        </w:rPr>
        <w:t>.</w:t>
      </w:r>
      <w:r w:rsidR="0005310C" w:rsidRPr="0051003F">
        <w:rPr>
          <w:lang w:val="pl-PL"/>
        </w:rPr>
        <w:t>  </w:t>
      </w:r>
      <w:r w:rsidR="00432BBA" w:rsidRPr="0051003F">
        <w:rPr>
          <w:lang w:val="pl-PL"/>
        </w:rPr>
        <w:t xml:space="preserve">Zadaniem sądu odsyłającego będzie ustalenie w świetle powyższych kryteriów, czy konieczna jest ocena przewidzianej w prawie krajowym kumulacji sankcji podatkowych i karnych z punktu widzenia standardów krajowych, o jakich mowa w pkt 29 niniejszego wyroku, i ewentualne stwierdzenie niezgodności tej kumulacji ze wskazanymi standardami, pod warunkiem że sankcje, które pozostaną w systemie, są skuteczne, proporcjonalne i odstraszające (zob. podobnie, w szczególności, ww. wyrok w sprawie </w:t>
      </w:r>
      <w:r w:rsidR="00432BBA" w:rsidRPr="0051003F">
        <w:rPr>
          <w:i/>
          <w:lang w:val="pl-PL"/>
        </w:rPr>
        <w:t>Komisja przeciwko Grecji</w:t>
      </w:r>
      <w:r w:rsidR="00432BBA" w:rsidRPr="0051003F">
        <w:rPr>
          <w:lang w:val="pl-PL"/>
        </w:rPr>
        <w:t xml:space="preserve">, </w:t>
      </w:r>
      <w:r w:rsidR="00322592" w:rsidRPr="0051003F">
        <w:rPr>
          <w:lang w:val="pl-PL"/>
        </w:rPr>
        <w:t>pkt.</w:t>
      </w:r>
      <w:r w:rsidR="00432BBA" w:rsidRPr="0051003F">
        <w:rPr>
          <w:lang w:val="pl-PL"/>
        </w:rPr>
        <w:t> 24; wyroki: z dnia 10 lipca 1990 r</w:t>
      </w:r>
      <w:r w:rsidR="00EF3565">
        <w:rPr>
          <w:lang w:val="pl-PL"/>
        </w:rPr>
        <w:t>oku</w:t>
      </w:r>
      <w:r w:rsidR="00432BBA" w:rsidRPr="0051003F">
        <w:rPr>
          <w:lang w:val="pl-PL"/>
        </w:rPr>
        <w:t xml:space="preserve"> w sprawie C</w:t>
      </w:r>
      <w:r w:rsidR="00432BBA" w:rsidRPr="0051003F">
        <w:rPr>
          <w:lang w:val="pl-PL"/>
        </w:rPr>
        <w:noBreakHyphen/>
        <w:t xml:space="preserve">326/88 </w:t>
      </w:r>
      <w:r w:rsidR="00432BBA" w:rsidRPr="0051003F">
        <w:rPr>
          <w:i/>
          <w:lang w:val="pl-PL"/>
        </w:rPr>
        <w:t>Hansen</w:t>
      </w:r>
      <w:r w:rsidR="00432BBA" w:rsidRPr="0051003F">
        <w:rPr>
          <w:lang w:val="pl-PL"/>
        </w:rPr>
        <w:t>, Rec. s. I</w:t>
      </w:r>
      <w:r w:rsidR="00432BBA" w:rsidRPr="0051003F">
        <w:rPr>
          <w:lang w:val="pl-PL"/>
        </w:rPr>
        <w:noBreakHyphen/>
        <w:t xml:space="preserve">2911, </w:t>
      </w:r>
      <w:r w:rsidR="00322592" w:rsidRPr="0051003F">
        <w:rPr>
          <w:lang w:val="pl-PL"/>
        </w:rPr>
        <w:t>pkt.</w:t>
      </w:r>
      <w:r w:rsidR="00432BBA" w:rsidRPr="0051003F">
        <w:rPr>
          <w:lang w:val="pl-PL"/>
        </w:rPr>
        <w:t> 17; z dnia 30 września 2003 r</w:t>
      </w:r>
      <w:r w:rsidR="00EF3565">
        <w:rPr>
          <w:lang w:val="pl-PL"/>
        </w:rPr>
        <w:t>oku</w:t>
      </w:r>
      <w:r w:rsidR="00432BBA" w:rsidRPr="0051003F">
        <w:rPr>
          <w:lang w:val="pl-PL"/>
        </w:rPr>
        <w:t xml:space="preserve"> w sprawie C</w:t>
      </w:r>
      <w:r w:rsidR="00432BBA" w:rsidRPr="0051003F">
        <w:rPr>
          <w:lang w:val="pl-PL"/>
        </w:rPr>
        <w:noBreakHyphen/>
        <w:t xml:space="preserve">167/01 </w:t>
      </w:r>
      <w:proofErr w:type="spellStart"/>
      <w:r w:rsidR="00432BBA" w:rsidRPr="0051003F">
        <w:rPr>
          <w:i/>
          <w:lang w:val="pl-PL"/>
        </w:rPr>
        <w:t>Inspire</w:t>
      </w:r>
      <w:proofErr w:type="spellEnd"/>
      <w:r w:rsidR="00432BBA" w:rsidRPr="0051003F">
        <w:rPr>
          <w:i/>
          <w:lang w:val="pl-PL"/>
        </w:rPr>
        <w:t xml:space="preserve"> Art</w:t>
      </w:r>
      <w:r w:rsidR="00432BBA" w:rsidRPr="0051003F">
        <w:rPr>
          <w:lang w:val="pl-PL"/>
        </w:rPr>
        <w:t>, Rec. s. I</w:t>
      </w:r>
      <w:r w:rsidR="00432BBA" w:rsidRPr="0051003F">
        <w:rPr>
          <w:lang w:val="pl-PL"/>
        </w:rPr>
        <w:noBreakHyphen/>
        <w:t xml:space="preserve">10155, </w:t>
      </w:r>
      <w:r w:rsidR="00322592" w:rsidRPr="0051003F">
        <w:rPr>
          <w:lang w:val="pl-PL"/>
        </w:rPr>
        <w:t>pkt.</w:t>
      </w:r>
      <w:r w:rsidR="00432BBA" w:rsidRPr="0051003F">
        <w:rPr>
          <w:lang w:val="pl-PL"/>
        </w:rPr>
        <w:t xml:space="preserve"> 62; z dnia 15 stycznia </w:t>
      </w:r>
      <w:r w:rsidR="00432BBA" w:rsidRPr="0051003F">
        <w:rPr>
          <w:lang w:val="pl-PL"/>
        </w:rPr>
        <w:lastRenderedPageBreak/>
        <w:t>2004 r</w:t>
      </w:r>
      <w:r w:rsidR="00EF3565">
        <w:rPr>
          <w:lang w:val="pl-PL"/>
        </w:rPr>
        <w:t>oku</w:t>
      </w:r>
      <w:r w:rsidR="00432BBA" w:rsidRPr="0051003F">
        <w:rPr>
          <w:lang w:val="pl-PL"/>
        </w:rPr>
        <w:t xml:space="preserve"> w sprawie C</w:t>
      </w:r>
      <w:r w:rsidR="00432BBA" w:rsidRPr="0051003F">
        <w:rPr>
          <w:lang w:val="pl-PL"/>
        </w:rPr>
        <w:noBreakHyphen/>
        <w:t xml:space="preserve">230/01 </w:t>
      </w:r>
      <w:proofErr w:type="spellStart"/>
      <w:r w:rsidR="00432BBA" w:rsidRPr="0051003F">
        <w:rPr>
          <w:i/>
          <w:lang w:val="pl-PL"/>
        </w:rPr>
        <w:t>Penycoed</w:t>
      </w:r>
      <w:proofErr w:type="spellEnd"/>
      <w:r w:rsidR="00432BBA" w:rsidRPr="0051003F">
        <w:rPr>
          <w:lang w:val="pl-PL"/>
        </w:rPr>
        <w:t>, Rec. s. I</w:t>
      </w:r>
      <w:r w:rsidR="00432BBA" w:rsidRPr="0051003F">
        <w:rPr>
          <w:lang w:val="pl-PL"/>
        </w:rPr>
        <w:noBreakHyphen/>
        <w:t xml:space="preserve">937, </w:t>
      </w:r>
      <w:r w:rsidR="00322592" w:rsidRPr="0051003F">
        <w:rPr>
          <w:lang w:val="pl-PL"/>
        </w:rPr>
        <w:t>pkt.</w:t>
      </w:r>
      <w:r w:rsidR="00432BBA" w:rsidRPr="0051003F">
        <w:rPr>
          <w:lang w:val="pl-PL"/>
        </w:rPr>
        <w:t> 36; a także z dnia 3 maja 2005 r</w:t>
      </w:r>
      <w:r w:rsidR="00EF3565">
        <w:rPr>
          <w:lang w:val="pl-PL"/>
        </w:rPr>
        <w:t>oku</w:t>
      </w:r>
      <w:r w:rsidR="00432BBA" w:rsidRPr="0051003F">
        <w:rPr>
          <w:lang w:val="pl-PL"/>
        </w:rPr>
        <w:t xml:space="preserve"> w sprawach połączonych C</w:t>
      </w:r>
      <w:r w:rsidR="00432BBA" w:rsidRPr="0051003F">
        <w:rPr>
          <w:lang w:val="pl-PL"/>
        </w:rPr>
        <w:noBreakHyphen/>
        <w:t>387/02, C</w:t>
      </w:r>
      <w:r w:rsidR="00432BBA" w:rsidRPr="0051003F">
        <w:rPr>
          <w:lang w:val="pl-PL"/>
        </w:rPr>
        <w:noBreakHyphen/>
        <w:t>391/02 i C</w:t>
      </w:r>
      <w:r w:rsidR="00432BBA" w:rsidRPr="0051003F">
        <w:rPr>
          <w:lang w:val="pl-PL"/>
        </w:rPr>
        <w:noBreakHyphen/>
        <w:t xml:space="preserve">403/02 </w:t>
      </w:r>
      <w:r w:rsidR="00432BBA" w:rsidRPr="0051003F">
        <w:rPr>
          <w:i/>
          <w:lang w:val="pl-PL"/>
        </w:rPr>
        <w:t>Berlusconi i in</w:t>
      </w:r>
      <w:r w:rsidR="00432BBA" w:rsidRPr="0051003F">
        <w:rPr>
          <w:lang w:val="pl-PL"/>
        </w:rPr>
        <w:t xml:space="preserve">., </w:t>
      </w:r>
      <w:proofErr w:type="spellStart"/>
      <w:r w:rsidR="00432BBA" w:rsidRPr="0051003F">
        <w:rPr>
          <w:lang w:val="pl-PL"/>
        </w:rPr>
        <w:t>Zb.Orz</w:t>
      </w:r>
      <w:proofErr w:type="spellEnd"/>
      <w:r w:rsidR="00432BBA" w:rsidRPr="0051003F">
        <w:rPr>
          <w:lang w:val="pl-PL"/>
        </w:rPr>
        <w:t>. s. I</w:t>
      </w:r>
      <w:r w:rsidR="00432BBA" w:rsidRPr="0051003F">
        <w:rPr>
          <w:lang w:val="pl-PL"/>
        </w:rPr>
        <w:noBreakHyphen/>
        <w:t xml:space="preserve">3565, </w:t>
      </w:r>
      <w:r w:rsidR="00322592" w:rsidRPr="0051003F">
        <w:rPr>
          <w:lang w:val="pl-PL"/>
        </w:rPr>
        <w:t>pkt.</w:t>
      </w:r>
      <w:r w:rsidR="00432BBA" w:rsidRPr="0051003F">
        <w:rPr>
          <w:lang w:val="pl-PL"/>
        </w:rPr>
        <w:t> 65).</w:t>
      </w:r>
    </w:p>
    <w:p w:rsidR="00432BBA" w:rsidRPr="0051003F" w:rsidRDefault="00703159" w:rsidP="00432BBA">
      <w:pPr>
        <w:pStyle w:val="ECHRParaQuote"/>
        <w:rPr>
          <w:lang w:val="pl-PL"/>
        </w:rPr>
      </w:pPr>
      <w:r w:rsidRPr="0051003F">
        <w:rPr>
          <w:lang w:val="pl-PL"/>
        </w:rPr>
        <w:t>37</w:t>
      </w:r>
      <w:r w:rsidR="00ED68C6" w:rsidRPr="0051003F">
        <w:rPr>
          <w:lang w:val="pl-PL"/>
        </w:rPr>
        <w:t>.</w:t>
      </w:r>
      <w:r w:rsidR="0005310C" w:rsidRPr="0051003F">
        <w:rPr>
          <w:lang w:val="pl-PL"/>
        </w:rPr>
        <w:t>  </w:t>
      </w:r>
      <w:r w:rsidR="00432BBA" w:rsidRPr="0051003F">
        <w:rPr>
          <w:lang w:val="pl-PL"/>
        </w:rPr>
        <w:t xml:space="preserve">Jak wynika z powyższych rozważań, na pytania drugie, trzecie i czwarte trzeba odpowiedzieć, iż zasada </w:t>
      </w:r>
      <w:proofErr w:type="spellStart"/>
      <w:r w:rsidR="00432BBA" w:rsidRPr="0051003F">
        <w:rPr>
          <w:i/>
          <w:lang w:val="pl-PL"/>
        </w:rPr>
        <w:t>ne</w:t>
      </w:r>
      <w:proofErr w:type="spellEnd"/>
      <w:r w:rsidR="00432BBA" w:rsidRPr="0051003F">
        <w:rPr>
          <w:i/>
          <w:lang w:val="pl-PL"/>
        </w:rPr>
        <w:t xml:space="preserve"> bis in </w:t>
      </w:r>
      <w:proofErr w:type="spellStart"/>
      <w:r w:rsidR="00432BBA" w:rsidRPr="0051003F">
        <w:rPr>
          <w:i/>
          <w:lang w:val="pl-PL"/>
        </w:rPr>
        <w:t>idem</w:t>
      </w:r>
      <w:proofErr w:type="spellEnd"/>
      <w:r w:rsidR="00432BBA" w:rsidRPr="0051003F">
        <w:rPr>
          <w:lang w:val="pl-PL"/>
        </w:rPr>
        <w:t xml:space="preserve"> ujęta w art. 50 karty nie stoi na przeszkodzie stosowaniu przez państwo członkowskie kolejno sankcji podatkowej i sankcji karnej za ten sam czyn polegający na niedopełnieniu obowiązku przekazania prawidłowych informacji dotyczących podatku VAT, pod warunkiem że pierwsza z tych sankcji nie ma charakteru karnego, co ustalić </w:t>
      </w:r>
      <w:r w:rsidR="00EF3565">
        <w:rPr>
          <w:lang w:val="pl-PL"/>
        </w:rPr>
        <w:t>powinien</w:t>
      </w:r>
      <w:r w:rsidR="00EF3565" w:rsidRPr="0051003F">
        <w:rPr>
          <w:lang w:val="pl-PL"/>
        </w:rPr>
        <w:t xml:space="preserve"> </w:t>
      </w:r>
      <w:r w:rsidR="00432BBA" w:rsidRPr="0051003F">
        <w:rPr>
          <w:lang w:val="pl-PL"/>
        </w:rPr>
        <w:t>sąd krajowy.</w:t>
      </w:r>
    </w:p>
    <w:p w:rsidR="00432BBA" w:rsidRPr="0051003F" w:rsidRDefault="00432BBA" w:rsidP="00432BBA">
      <w:pPr>
        <w:pStyle w:val="ECHRParaQuote"/>
        <w:rPr>
          <w:lang w:val="pl-PL"/>
        </w:rPr>
      </w:pPr>
    </w:p>
    <w:p w:rsidR="00014566" w:rsidRPr="0051003F" w:rsidRDefault="002B5CE5" w:rsidP="00432BBA">
      <w:pPr>
        <w:pStyle w:val="ECHRParaQuote"/>
        <w:ind w:left="0" w:firstLine="0"/>
        <w:rPr>
          <w:sz w:val="28"/>
          <w:szCs w:val="28"/>
          <w:lang w:val="pl-PL"/>
        </w:rPr>
      </w:pPr>
      <w:r w:rsidRPr="0051003F">
        <w:rPr>
          <w:sz w:val="28"/>
          <w:szCs w:val="28"/>
          <w:lang w:val="pl-PL"/>
        </w:rPr>
        <w:t>PRAWO</w:t>
      </w:r>
    </w:p>
    <w:p w:rsidR="00014566" w:rsidRPr="0051003F" w:rsidRDefault="00BA4A66" w:rsidP="00A7252F">
      <w:pPr>
        <w:pStyle w:val="ECHRHeading1"/>
        <w:rPr>
          <w:lang w:val="pl-PL"/>
        </w:rPr>
      </w:pPr>
      <w:bookmarkStart w:id="52" w:name="_Toc466904307"/>
      <w:bookmarkStart w:id="53" w:name="_Toc466972326"/>
      <w:bookmarkStart w:id="54" w:name="_Toc466972837"/>
      <w:bookmarkStart w:id="55" w:name="_Toc466974253"/>
      <w:bookmarkStart w:id="56" w:name="_Toc473801888"/>
      <w:r w:rsidRPr="0051003F">
        <w:rPr>
          <w:lang w:val="pl-PL"/>
        </w:rPr>
        <w:t>DOMNIEMANE NARUSZENIE ARTYKUŁU 4 PROTOKOŁU NR 7  KONWENCJI</w:t>
      </w:r>
      <w:r w:rsidR="00014566" w:rsidRPr="0051003F">
        <w:rPr>
          <w:lang w:val="pl-PL"/>
        </w:rPr>
        <w:t xml:space="preserve"> </w:t>
      </w:r>
      <w:bookmarkEnd w:id="52"/>
      <w:bookmarkEnd w:id="53"/>
      <w:bookmarkEnd w:id="54"/>
      <w:bookmarkEnd w:id="55"/>
      <w:bookmarkEnd w:id="56"/>
    </w:p>
    <w:p w:rsidR="00014566" w:rsidRPr="0051003F" w:rsidRDefault="00B21F99" w:rsidP="00A7252F">
      <w:pPr>
        <w:pStyle w:val="ECHRPara"/>
        <w:rPr>
          <w:lang w:val="pl-PL"/>
        </w:rPr>
      </w:pPr>
      <w:r>
        <w:rPr>
          <w:lang w:val="pl-PL"/>
        </w:rPr>
        <w:t>53</w:t>
      </w:r>
      <w:r w:rsidR="00014566" w:rsidRPr="0051003F">
        <w:rPr>
          <w:lang w:val="pl-PL"/>
        </w:rPr>
        <w:t>.  </w:t>
      </w:r>
      <w:r w:rsidR="00BA4A66" w:rsidRPr="0051003F">
        <w:rPr>
          <w:rFonts w:cs="Times New Roman"/>
          <w:lang w:val="pl-PL"/>
        </w:rPr>
        <w:t xml:space="preserve">Skarżący </w:t>
      </w:r>
      <w:r w:rsidR="00C2693D">
        <w:rPr>
          <w:rFonts w:cs="Times New Roman"/>
          <w:lang w:val="pl-PL"/>
        </w:rPr>
        <w:t>wskazali, że</w:t>
      </w:r>
      <w:r w:rsidR="00BA4A66" w:rsidRPr="0051003F">
        <w:rPr>
          <w:rFonts w:cs="Times New Roman"/>
          <w:lang w:val="pl-PL"/>
        </w:rPr>
        <w:t xml:space="preserve">, </w:t>
      </w:r>
      <w:r w:rsidR="00C2693D">
        <w:rPr>
          <w:rFonts w:cs="Times New Roman"/>
          <w:lang w:val="pl-PL"/>
        </w:rPr>
        <w:t>powodem</w:t>
      </w:r>
      <w:r w:rsidR="00BA4A66" w:rsidRPr="0051003F">
        <w:rPr>
          <w:rFonts w:cs="Times New Roman"/>
          <w:lang w:val="pl-PL"/>
        </w:rPr>
        <w:t xml:space="preserve"> </w:t>
      </w:r>
      <w:r w:rsidR="00C2693D">
        <w:rPr>
          <w:rFonts w:cs="Times New Roman"/>
          <w:lang w:val="pl-PL"/>
        </w:rPr>
        <w:t>naruszenia</w:t>
      </w:r>
      <w:r w:rsidR="00C2693D" w:rsidRPr="0051003F">
        <w:rPr>
          <w:rFonts w:cs="Times New Roman"/>
          <w:lang w:val="pl-PL"/>
        </w:rPr>
        <w:t xml:space="preserve"> </w:t>
      </w:r>
      <w:r w:rsidR="00BA4A66" w:rsidRPr="0051003F">
        <w:rPr>
          <w:rFonts w:cs="Times New Roman"/>
          <w:lang w:val="pl-PL"/>
        </w:rPr>
        <w:t xml:space="preserve">art. 4 Protokołu </w:t>
      </w:r>
      <w:r w:rsidR="00C2693D">
        <w:rPr>
          <w:rFonts w:cs="Times New Roman"/>
          <w:lang w:val="pl-PL"/>
        </w:rPr>
        <w:t>n</w:t>
      </w:r>
      <w:r w:rsidR="00C2693D" w:rsidRPr="0051003F">
        <w:rPr>
          <w:rFonts w:cs="Times New Roman"/>
          <w:lang w:val="pl-PL"/>
        </w:rPr>
        <w:t xml:space="preserve">r </w:t>
      </w:r>
      <w:r w:rsidR="00BA4A66" w:rsidRPr="0051003F">
        <w:rPr>
          <w:rFonts w:cs="Times New Roman"/>
          <w:lang w:val="pl-PL"/>
        </w:rPr>
        <w:t>7,</w:t>
      </w:r>
      <w:r w:rsidR="00B92C93">
        <w:rPr>
          <w:rFonts w:cs="Times New Roman"/>
          <w:lang w:val="pl-PL"/>
        </w:rPr>
        <w:t xml:space="preserve"> było to, że</w:t>
      </w:r>
      <w:r w:rsidR="00BA4A66" w:rsidRPr="0051003F">
        <w:rPr>
          <w:rFonts w:cs="Times New Roman"/>
          <w:lang w:val="pl-PL"/>
        </w:rPr>
        <w:t xml:space="preserve"> w stosunku do obu z nich </w:t>
      </w:r>
      <w:r w:rsidR="005D431E" w:rsidRPr="0051003F">
        <w:rPr>
          <w:rFonts w:cs="Times New Roman"/>
          <w:lang w:val="pl-PL"/>
        </w:rPr>
        <w:t>dwukrotnie</w:t>
      </w:r>
      <w:r w:rsidR="00BA4A66" w:rsidRPr="0051003F">
        <w:rPr>
          <w:rFonts w:cs="Times New Roman"/>
          <w:lang w:val="pl-PL"/>
        </w:rPr>
        <w:t xml:space="preserve"> zostało </w:t>
      </w:r>
      <w:r w:rsidR="005D431E" w:rsidRPr="0051003F">
        <w:rPr>
          <w:rFonts w:cs="Times New Roman"/>
          <w:lang w:val="pl-PL"/>
        </w:rPr>
        <w:t>przeprowadzone</w:t>
      </w:r>
      <w:r w:rsidR="00BA4A66" w:rsidRPr="0051003F">
        <w:rPr>
          <w:rFonts w:cs="Times New Roman"/>
          <w:lang w:val="pl-PL"/>
        </w:rPr>
        <w:t xml:space="preserve"> </w:t>
      </w:r>
      <w:r w:rsidR="005D431E" w:rsidRPr="0051003F">
        <w:rPr>
          <w:rFonts w:cs="Times New Roman"/>
          <w:lang w:val="pl-PL"/>
        </w:rPr>
        <w:t>postępowanie</w:t>
      </w:r>
      <w:r w:rsidR="00BA4A66" w:rsidRPr="0051003F">
        <w:rPr>
          <w:rFonts w:cs="Times New Roman"/>
          <w:lang w:val="pl-PL"/>
        </w:rPr>
        <w:t xml:space="preserve"> karne, jak też </w:t>
      </w:r>
      <w:r w:rsidR="005D431E" w:rsidRPr="0051003F">
        <w:rPr>
          <w:rFonts w:cs="Times New Roman"/>
          <w:lang w:val="pl-PL"/>
        </w:rPr>
        <w:t>dwukrotnie</w:t>
      </w:r>
      <w:r w:rsidR="00BA4A66" w:rsidRPr="0051003F">
        <w:rPr>
          <w:rFonts w:cs="Times New Roman"/>
          <w:lang w:val="pl-PL"/>
        </w:rPr>
        <w:t xml:space="preserve"> zostali</w:t>
      </w:r>
      <w:r w:rsidR="00B92C93">
        <w:rPr>
          <w:rFonts w:cs="Times New Roman"/>
          <w:lang w:val="pl-PL"/>
        </w:rPr>
        <w:t xml:space="preserve"> oni</w:t>
      </w:r>
      <w:r w:rsidR="00BA4A66" w:rsidRPr="0051003F">
        <w:rPr>
          <w:rFonts w:cs="Times New Roman"/>
          <w:lang w:val="pl-PL"/>
        </w:rPr>
        <w:t xml:space="preserve"> skazani z ta same przestępstwa, z art. </w:t>
      </w:r>
      <w:r w:rsidR="007E0D38" w:rsidRPr="0051003F">
        <w:rPr>
          <w:rFonts w:cs="Times New Roman"/>
          <w:lang w:val="pl-PL"/>
        </w:rPr>
        <w:t>12-1</w:t>
      </w:r>
      <w:r w:rsidR="0002775E" w:rsidRPr="0051003F">
        <w:rPr>
          <w:rFonts w:cs="Times New Roman"/>
          <w:lang w:val="pl-PL"/>
        </w:rPr>
        <w:t xml:space="preserve"> </w:t>
      </w:r>
      <w:r w:rsidR="00BA4A66" w:rsidRPr="0051003F">
        <w:rPr>
          <w:rFonts w:cs="Times New Roman"/>
          <w:lang w:val="pl-PL"/>
        </w:rPr>
        <w:t>rozdział</w:t>
      </w:r>
      <w:r w:rsidR="0002775E" w:rsidRPr="0051003F">
        <w:rPr>
          <w:rFonts w:cs="Times New Roman"/>
          <w:lang w:val="pl-PL"/>
        </w:rPr>
        <w:t xml:space="preserve"> 1</w:t>
      </w:r>
      <w:r w:rsidR="006A5E39" w:rsidRPr="0051003F">
        <w:rPr>
          <w:rFonts w:cs="Times New Roman"/>
          <w:lang w:val="pl-PL"/>
        </w:rPr>
        <w:t>2</w:t>
      </w:r>
      <w:r w:rsidR="00BA4A66" w:rsidRPr="0051003F">
        <w:rPr>
          <w:rFonts w:cs="Times New Roman"/>
          <w:lang w:val="pl-PL"/>
        </w:rPr>
        <w:t xml:space="preserve"> Ustawy o </w:t>
      </w:r>
      <w:r w:rsidR="00432BBA" w:rsidRPr="0051003F">
        <w:rPr>
          <w:rFonts w:cs="Times New Roman"/>
          <w:lang w:val="pl-PL"/>
        </w:rPr>
        <w:t>rozliczeniach podatkowych</w:t>
      </w:r>
      <w:r w:rsidR="0002775E" w:rsidRPr="0051003F">
        <w:rPr>
          <w:rFonts w:cs="Times New Roman"/>
          <w:lang w:val="pl-PL"/>
        </w:rPr>
        <w:t xml:space="preserve">, </w:t>
      </w:r>
      <w:r w:rsidR="00432BBA" w:rsidRPr="0051003F">
        <w:rPr>
          <w:rFonts w:cs="Times New Roman"/>
          <w:lang w:val="pl-PL"/>
        </w:rPr>
        <w:t xml:space="preserve">w tym zostali oni oskarżeni przez </w:t>
      </w:r>
      <w:r w:rsidR="005D431E" w:rsidRPr="0051003F">
        <w:rPr>
          <w:rFonts w:cs="Times New Roman"/>
          <w:lang w:val="pl-PL"/>
        </w:rPr>
        <w:t>prokuratora</w:t>
      </w:r>
      <w:r w:rsidR="00432BBA" w:rsidRPr="0051003F">
        <w:rPr>
          <w:rFonts w:cs="Times New Roman"/>
          <w:lang w:val="pl-PL"/>
        </w:rPr>
        <w:t xml:space="preserve">, </w:t>
      </w:r>
      <w:r w:rsidR="00B92C93">
        <w:rPr>
          <w:rFonts w:cs="Times New Roman"/>
          <w:lang w:val="pl-PL"/>
        </w:rPr>
        <w:t xml:space="preserve">a </w:t>
      </w:r>
      <w:r w:rsidR="00432BBA" w:rsidRPr="0051003F">
        <w:rPr>
          <w:rFonts w:cs="Times New Roman"/>
          <w:lang w:val="pl-PL"/>
        </w:rPr>
        <w:t xml:space="preserve">następnie zostały </w:t>
      </w:r>
      <w:r w:rsidR="00B92C93">
        <w:rPr>
          <w:rFonts w:cs="Times New Roman"/>
          <w:lang w:val="pl-PL"/>
        </w:rPr>
        <w:t>im wymierzone</w:t>
      </w:r>
      <w:r w:rsidR="00432BBA" w:rsidRPr="0051003F">
        <w:rPr>
          <w:rFonts w:cs="Times New Roman"/>
          <w:lang w:val="pl-PL"/>
        </w:rPr>
        <w:t xml:space="preserve"> kary podatkowe przez urzędy podatkowe, które zapłacili, następnie zostali skazani </w:t>
      </w:r>
      <w:r w:rsidR="00276B04" w:rsidRPr="0051003F">
        <w:rPr>
          <w:rFonts w:cs="Times New Roman"/>
          <w:lang w:val="pl-PL"/>
        </w:rPr>
        <w:t xml:space="preserve">przez sądy karne, które </w:t>
      </w:r>
      <w:r w:rsidR="00B92C93">
        <w:rPr>
          <w:rFonts w:cs="Times New Roman"/>
          <w:lang w:val="pl-PL"/>
        </w:rPr>
        <w:t>wymierzyły in</w:t>
      </w:r>
      <w:r w:rsidR="00276B04" w:rsidRPr="0051003F">
        <w:rPr>
          <w:rFonts w:cs="Times New Roman"/>
          <w:lang w:val="pl-PL"/>
        </w:rPr>
        <w:t xml:space="preserve"> kary.</w:t>
      </w:r>
      <w:r w:rsidR="007E0D38" w:rsidRPr="0051003F">
        <w:rPr>
          <w:rFonts w:cs="Times New Roman"/>
          <w:lang w:val="pl-PL"/>
        </w:rPr>
        <w:t xml:space="preserve"> </w:t>
      </w:r>
      <w:r w:rsidR="00B92C93">
        <w:rPr>
          <w:rFonts w:cs="Times New Roman"/>
          <w:lang w:val="pl-PL"/>
        </w:rPr>
        <w:t>art.</w:t>
      </w:r>
      <w:r w:rsidR="00B92C93" w:rsidRPr="0051003F">
        <w:rPr>
          <w:rFonts w:cs="Times New Roman"/>
          <w:lang w:val="pl-PL"/>
        </w:rPr>
        <w:t xml:space="preserve"> </w:t>
      </w:r>
      <w:r w:rsidR="00276B04" w:rsidRPr="0051003F">
        <w:rPr>
          <w:rFonts w:cs="Times New Roman"/>
          <w:lang w:val="pl-PL"/>
        </w:rPr>
        <w:t xml:space="preserve">4 Protokołu </w:t>
      </w:r>
      <w:r w:rsidR="00640AD0">
        <w:rPr>
          <w:rFonts w:cs="Times New Roman"/>
          <w:lang w:val="pl-PL"/>
        </w:rPr>
        <w:t>nr</w:t>
      </w:r>
      <w:r w:rsidR="00640AD0" w:rsidRPr="0051003F">
        <w:rPr>
          <w:rFonts w:cs="Times New Roman"/>
          <w:lang w:val="pl-PL"/>
        </w:rPr>
        <w:t xml:space="preserve"> </w:t>
      </w:r>
      <w:r w:rsidR="00276B04" w:rsidRPr="0051003F">
        <w:rPr>
          <w:rFonts w:cs="Times New Roman"/>
          <w:lang w:val="pl-PL"/>
        </w:rPr>
        <w:t>7 stanowi</w:t>
      </w:r>
      <w:r w:rsidR="00014566" w:rsidRPr="0051003F">
        <w:rPr>
          <w:lang w:val="pl-PL"/>
        </w:rPr>
        <w:t>:</w:t>
      </w:r>
    </w:p>
    <w:p w:rsidR="007E0D38" w:rsidRPr="0051003F" w:rsidRDefault="007E0D38" w:rsidP="00D41112">
      <w:pPr>
        <w:pStyle w:val="ECHRParaQuote"/>
        <w:rPr>
          <w:lang w:val="pl-PL"/>
        </w:rPr>
      </w:pPr>
      <w:r w:rsidRPr="0051003F">
        <w:rPr>
          <w:lang w:val="pl-PL"/>
        </w:rPr>
        <w:t>“1.  </w:t>
      </w:r>
      <w:r w:rsidR="00D41112" w:rsidRPr="0051003F">
        <w:rPr>
          <w:rFonts w:ascii="Times New Roman" w:eastAsia="Times New Roman" w:hAnsi="Times New Roman" w:cs="Times New Roman"/>
          <w:lang w:val="pl-PL"/>
        </w:rPr>
        <w:t>Nikt nie może być ponownie sądzony lub ukarany w postępowaniu przed sądem tego samego państwa za przestępstwo, za które został uprzednio skazany prawomocnym wyrokiem lub uniewinniony zgodnie z ustawą i zasadami pos</w:t>
      </w:r>
      <w:r w:rsidR="00D41112" w:rsidRPr="0051003F">
        <w:rPr>
          <w:lang w:val="pl-PL"/>
        </w:rPr>
        <w:t>tępowania karnego tego państwa</w:t>
      </w:r>
      <w:r w:rsidRPr="0051003F">
        <w:rPr>
          <w:lang w:val="pl-PL"/>
        </w:rPr>
        <w:t>.</w:t>
      </w:r>
    </w:p>
    <w:p w:rsidR="007E0D38" w:rsidRPr="0051003F" w:rsidRDefault="007E0D38" w:rsidP="00A7252F">
      <w:pPr>
        <w:pStyle w:val="ECHRParaQuote"/>
        <w:rPr>
          <w:lang w:val="pl-PL"/>
        </w:rPr>
      </w:pPr>
      <w:r w:rsidRPr="0051003F">
        <w:rPr>
          <w:lang w:val="pl-PL"/>
        </w:rPr>
        <w:t>2.  </w:t>
      </w:r>
      <w:r w:rsidR="00D41112" w:rsidRPr="0051003F">
        <w:rPr>
          <w:rFonts w:ascii="Times New Roman" w:eastAsia="Times New Roman" w:hAnsi="Times New Roman" w:cs="Times New Roman"/>
          <w:lang w:val="pl-PL"/>
        </w:rPr>
        <w:t>Postanowienia poprzedniego ustępu nie stoją na przeszkodzie wznowieniu postępowania zgodnie z ustawą i zasadami postępowania karnego danego państwa, jeśli zaistnieją nowe lub nowo ujawnione fakty lub jeśli w poprzednim postępowaniu dopuszczono się rażącego uchybienia, które mogło mieć wpływ na wynik sprawy</w:t>
      </w:r>
      <w:r w:rsidRPr="0051003F">
        <w:rPr>
          <w:lang w:val="pl-PL"/>
        </w:rPr>
        <w:t>.</w:t>
      </w:r>
    </w:p>
    <w:p w:rsidR="00014566" w:rsidRPr="0051003F" w:rsidRDefault="007E0D38" w:rsidP="00A7252F">
      <w:pPr>
        <w:pStyle w:val="ECHRParaQuote"/>
        <w:rPr>
          <w:lang w:val="pl-PL"/>
        </w:rPr>
      </w:pPr>
      <w:r w:rsidRPr="0051003F">
        <w:rPr>
          <w:lang w:val="pl-PL"/>
        </w:rPr>
        <w:t>3.  </w:t>
      </w:r>
      <w:r w:rsidR="00D41112" w:rsidRPr="0051003F">
        <w:rPr>
          <w:rFonts w:ascii="Times New Roman" w:eastAsia="Times New Roman" w:hAnsi="Times New Roman" w:cs="Times New Roman"/>
          <w:lang w:val="pl-PL"/>
        </w:rPr>
        <w:t xml:space="preserve">Żadne z postanowień niniejszego artykułu nie może być uchylone na </w:t>
      </w:r>
      <w:r w:rsidR="00D41112" w:rsidRPr="0051003F">
        <w:rPr>
          <w:lang w:val="pl-PL"/>
        </w:rPr>
        <w:t>podstawie artykułu 15 Konwencji</w:t>
      </w:r>
      <w:r w:rsidRPr="0051003F">
        <w:rPr>
          <w:lang w:val="pl-PL"/>
        </w:rPr>
        <w:t>.”</w:t>
      </w:r>
    </w:p>
    <w:p w:rsidR="00014566" w:rsidRPr="0051003F" w:rsidRDefault="00B21F99" w:rsidP="00A7252F">
      <w:pPr>
        <w:pStyle w:val="ECHRPara"/>
        <w:rPr>
          <w:lang w:val="pl-PL"/>
        </w:rPr>
      </w:pPr>
      <w:r>
        <w:rPr>
          <w:lang w:val="pl-PL"/>
        </w:rPr>
        <w:t>54</w:t>
      </w:r>
      <w:r w:rsidR="00014566" w:rsidRPr="0051003F">
        <w:rPr>
          <w:lang w:val="pl-PL"/>
        </w:rPr>
        <w:t>.  </w:t>
      </w:r>
      <w:r w:rsidR="002B5CE5" w:rsidRPr="0051003F">
        <w:rPr>
          <w:lang w:val="pl-PL"/>
        </w:rPr>
        <w:t>Rząd zakwestionował ten argument</w:t>
      </w:r>
      <w:r w:rsidR="00014566" w:rsidRPr="0051003F">
        <w:rPr>
          <w:lang w:val="pl-PL"/>
        </w:rPr>
        <w:t>.</w:t>
      </w:r>
    </w:p>
    <w:p w:rsidR="00014566" w:rsidRPr="0051003F" w:rsidRDefault="00014566" w:rsidP="00A7252F">
      <w:pPr>
        <w:pStyle w:val="ECHRHeading2"/>
        <w:rPr>
          <w:lang w:val="pl-PL"/>
        </w:rPr>
      </w:pPr>
      <w:bookmarkStart w:id="57" w:name="_Toc466904308"/>
      <w:bookmarkStart w:id="58" w:name="_Toc466972327"/>
      <w:bookmarkStart w:id="59" w:name="_Toc466972838"/>
      <w:bookmarkStart w:id="60" w:name="_Toc466974254"/>
      <w:bookmarkStart w:id="61" w:name="_Toc473801889"/>
      <w:r w:rsidRPr="0051003F">
        <w:rPr>
          <w:lang w:val="pl-PL"/>
        </w:rPr>
        <w:t>A.  </w:t>
      </w:r>
      <w:bookmarkEnd w:id="57"/>
      <w:bookmarkEnd w:id="58"/>
      <w:bookmarkEnd w:id="59"/>
      <w:bookmarkEnd w:id="60"/>
      <w:bookmarkEnd w:id="61"/>
      <w:r w:rsidR="002B5CE5" w:rsidRPr="0051003F">
        <w:rPr>
          <w:lang w:val="pl-PL"/>
        </w:rPr>
        <w:t>Dopuszczalność</w:t>
      </w:r>
    </w:p>
    <w:p w:rsidR="00014566" w:rsidRPr="0051003F" w:rsidRDefault="00B21F99" w:rsidP="00A7252F">
      <w:pPr>
        <w:pStyle w:val="ECHRPara"/>
        <w:rPr>
          <w:lang w:val="pl-PL"/>
        </w:rPr>
      </w:pPr>
      <w:r>
        <w:rPr>
          <w:lang w:val="pl-PL"/>
        </w:rPr>
        <w:t>55</w:t>
      </w:r>
      <w:r w:rsidR="00014566" w:rsidRPr="0051003F">
        <w:rPr>
          <w:lang w:val="pl-PL"/>
        </w:rPr>
        <w:t>.  </w:t>
      </w:r>
      <w:r w:rsidR="005D431E" w:rsidRPr="0051003F">
        <w:rPr>
          <w:lang w:val="pl-PL"/>
        </w:rPr>
        <w:t xml:space="preserve">Zdaniem Trybunału skarżący podnieśli skomplikowane kwestie co do faktów i co do prawa </w:t>
      </w:r>
      <w:r w:rsidR="00FE5430">
        <w:rPr>
          <w:lang w:val="pl-PL"/>
        </w:rPr>
        <w:t>k</w:t>
      </w:r>
      <w:r w:rsidR="00FE5430" w:rsidRPr="0051003F">
        <w:rPr>
          <w:lang w:val="pl-PL"/>
        </w:rPr>
        <w:t>onwencyjnego</w:t>
      </w:r>
      <w:r w:rsidR="008543E2" w:rsidRPr="0051003F">
        <w:rPr>
          <w:lang w:val="pl-PL"/>
        </w:rPr>
        <w:t xml:space="preserve">, </w:t>
      </w:r>
      <w:r w:rsidR="005D431E" w:rsidRPr="0051003F">
        <w:rPr>
          <w:lang w:val="pl-PL"/>
        </w:rPr>
        <w:t xml:space="preserve">z tego też względu ich skargi nie </w:t>
      </w:r>
      <w:r w:rsidR="00552999" w:rsidRPr="0051003F">
        <w:rPr>
          <w:lang w:val="pl-PL"/>
        </w:rPr>
        <w:t>mogą</w:t>
      </w:r>
      <w:r w:rsidR="005D431E" w:rsidRPr="0051003F">
        <w:rPr>
          <w:lang w:val="pl-PL"/>
        </w:rPr>
        <w:t xml:space="preserve"> zostać uznane za oczywiście nieuzasadnione w rozumieniu art. 35 ust. 3 lit. a Konwencji., skarga nie jest </w:t>
      </w:r>
      <w:r w:rsidR="005C2A62">
        <w:rPr>
          <w:lang w:val="pl-PL"/>
        </w:rPr>
        <w:t xml:space="preserve">niedopuszczalna </w:t>
      </w:r>
      <w:r w:rsidR="005D431E" w:rsidRPr="0051003F">
        <w:rPr>
          <w:lang w:val="pl-PL"/>
        </w:rPr>
        <w:t xml:space="preserve">z innych </w:t>
      </w:r>
      <w:r w:rsidR="005C2A62">
        <w:rPr>
          <w:lang w:val="pl-PL"/>
        </w:rPr>
        <w:t>powodów</w:t>
      </w:r>
      <w:r w:rsidR="005D431E" w:rsidRPr="0051003F">
        <w:rPr>
          <w:lang w:val="pl-PL"/>
        </w:rPr>
        <w:t>. W związku z tym musi zostać uznana za dopuszczalną.</w:t>
      </w:r>
    </w:p>
    <w:p w:rsidR="00014566" w:rsidRPr="0051003F" w:rsidRDefault="00014566" w:rsidP="00A7252F">
      <w:pPr>
        <w:pStyle w:val="ECHRHeading2"/>
        <w:rPr>
          <w:lang w:val="pl-PL"/>
        </w:rPr>
      </w:pPr>
      <w:bookmarkStart w:id="62" w:name="_Toc466904309"/>
      <w:bookmarkStart w:id="63" w:name="_Toc466972328"/>
      <w:bookmarkStart w:id="64" w:name="_Toc466972839"/>
      <w:bookmarkStart w:id="65" w:name="_Toc466974255"/>
      <w:bookmarkStart w:id="66" w:name="_Toc473801890"/>
      <w:r w:rsidRPr="0051003F">
        <w:rPr>
          <w:lang w:val="pl-PL"/>
        </w:rPr>
        <w:lastRenderedPageBreak/>
        <w:t>B.  </w:t>
      </w:r>
      <w:bookmarkEnd w:id="62"/>
      <w:bookmarkEnd w:id="63"/>
      <w:bookmarkEnd w:id="64"/>
      <w:bookmarkEnd w:id="65"/>
      <w:bookmarkEnd w:id="66"/>
      <w:r w:rsidR="00BA4A66" w:rsidRPr="0051003F">
        <w:rPr>
          <w:lang w:val="pl-PL"/>
        </w:rPr>
        <w:t>Przedmiot skargi</w:t>
      </w:r>
    </w:p>
    <w:p w:rsidR="00B27E56" w:rsidRPr="0051003F" w:rsidRDefault="00AA61DC" w:rsidP="00A7252F">
      <w:pPr>
        <w:pStyle w:val="ECHRHeading3"/>
        <w:rPr>
          <w:lang w:val="pl-PL"/>
        </w:rPr>
      </w:pPr>
      <w:bookmarkStart w:id="67" w:name="_Toc466904310"/>
      <w:bookmarkStart w:id="68" w:name="_Toc466972329"/>
      <w:bookmarkStart w:id="69" w:name="_Toc466972840"/>
      <w:bookmarkStart w:id="70" w:name="_Toc466974256"/>
      <w:bookmarkStart w:id="71" w:name="_Toc473801891"/>
      <w:r w:rsidRPr="0051003F">
        <w:rPr>
          <w:lang w:val="pl-PL"/>
        </w:rPr>
        <w:t>1</w:t>
      </w:r>
      <w:r w:rsidR="00CC0632" w:rsidRPr="0051003F">
        <w:rPr>
          <w:lang w:val="pl-PL"/>
        </w:rPr>
        <w:t>.</w:t>
      </w:r>
      <w:r w:rsidR="00887E84" w:rsidRPr="0051003F">
        <w:rPr>
          <w:lang w:val="pl-PL"/>
        </w:rPr>
        <w:t>  </w:t>
      </w:r>
      <w:bookmarkEnd w:id="67"/>
      <w:bookmarkEnd w:id="68"/>
      <w:bookmarkEnd w:id="69"/>
      <w:bookmarkEnd w:id="70"/>
      <w:bookmarkEnd w:id="71"/>
      <w:r w:rsidR="00BA4A66" w:rsidRPr="0051003F">
        <w:rPr>
          <w:lang w:val="pl-PL"/>
        </w:rPr>
        <w:t>Skarżący</w:t>
      </w:r>
    </w:p>
    <w:p w:rsidR="00552999" w:rsidRPr="0051003F" w:rsidRDefault="00B2475E" w:rsidP="00552999">
      <w:pPr>
        <w:pStyle w:val="ECHRPara"/>
        <w:rPr>
          <w:rFonts w:cs="Times New Roman"/>
          <w:lang w:val="pl-PL"/>
        </w:rPr>
      </w:pPr>
      <w:r>
        <w:rPr>
          <w:rFonts w:cs="Times New Roman"/>
          <w:lang w:val="pl-PL"/>
        </w:rPr>
        <w:t>56</w:t>
      </w:r>
      <w:r w:rsidR="00AA61DC" w:rsidRPr="0051003F">
        <w:rPr>
          <w:rFonts w:cs="Times New Roman"/>
          <w:lang w:val="pl-PL"/>
        </w:rPr>
        <w:t>.  </w:t>
      </w:r>
      <w:r w:rsidR="00552999" w:rsidRPr="0051003F">
        <w:rPr>
          <w:rFonts w:cs="Times New Roman"/>
          <w:lang w:val="pl-PL"/>
        </w:rPr>
        <w:t xml:space="preserve">Skarżący podnoszą, że w wyniku naruszenia art. 4 Protokołu </w:t>
      </w:r>
      <w:r w:rsidR="001B0AF9">
        <w:rPr>
          <w:rFonts w:cs="Times New Roman"/>
          <w:lang w:val="pl-PL"/>
        </w:rPr>
        <w:t>n</w:t>
      </w:r>
      <w:r w:rsidR="001B0AF9" w:rsidRPr="0051003F">
        <w:rPr>
          <w:rFonts w:cs="Times New Roman"/>
          <w:lang w:val="pl-PL"/>
        </w:rPr>
        <w:t xml:space="preserve">r </w:t>
      </w:r>
      <w:r w:rsidR="00552999" w:rsidRPr="0051003F">
        <w:rPr>
          <w:rFonts w:cs="Times New Roman"/>
          <w:lang w:val="pl-PL"/>
        </w:rPr>
        <w:t xml:space="preserve">7 zostali narażeni na podwójne oskarżenie z tego samego powodu, a mianowicie z powodu czynu zabronionego określonego w art. 12-1 ust. 1 Ustawy o rozliczeniach podatkowych, po uprzednim oskarżeniu i postawieniu ich w stan oskarżenia przez prokuraturę oraz </w:t>
      </w:r>
      <w:r w:rsidR="005F16CD">
        <w:rPr>
          <w:rFonts w:cs="Times New Roman"/>
          <w:lang w:val="pl-PL"/>
        </w:rPr>
        <w:t>wymierzeniu im</w:t>
      </w:r>
      <w:r w:rsidR="00552999" w:rsidRPr="0051003F">
        <w:rPr>
          <w:rFonts w:cs="Times New Roman"/>
          <w:lang w:val="pl-PL"/>
        </w:rPr>
        <w:t xml:space="preserve"> przez organy podatkowe kar podatkowych, które zarówno zaakceptowali, jak i zapłacili, zanim zostali pociągnięci do odpowiedzialności karnej. W nawiązaniu do chronologii postępowania, którego dotyczy skarga, pierwszy skarżący dodał, że przez długi czas był dwukrotnie ścigany, co naraziło go na nieuzasadnione obciążenie fizyczne i </w:t>
      </w:r>
      <w:r w:rsidR="005F16CD">
        <w:rPr>
          <w:rFonts w:cs="Times New Roman"/>
          <w:lang w:val="pl-PL"/>
        </w:rPr>
        <w:t>psychiczne</w:t>
      </w:r>
      <w:r w:rsidR="00552999" w:rsidRPr="0051003F">
        <w:rPr>
          <w:rFonts w:cs="Times New Roman"/>
          <w:lang w:val="pl-PL"/>
        </w:rPr>
        <w:t>, prowadzące do zawału serca i hospitalizacji.</w:t>
      </w:r>
    </w:p>
    <w:p w:rsidR="00BA4A66" w:rsidRPr="0051003F" w:rsidRDefault="00552999" w:rsidP="00BA4A66">
      <w:pPr>
        <w:pStyle w:val="ECHRHeading4"/>
        <w:rPr>
          <w:lang w:val="pl-PL"/>
        </w:rPr>
      </w:pPr>
      <w:bookmarkStart w:id="72" w:name="_Toc466904311"/>
      <w:bookmarkStart w:id="73" w:name="_Toc466972330"/>
      <w:bookmarkStart w:id="74" w:name="_Toc466972841"/>
      <w:bookmarkStart w:id="75" w:name="_Toc466974257"/>
      <w:bookmarkStart w:id="76" w:name="_Toc473801892"/>
      <w:r w:rsidRPr="0051003F">
        <w:rPr>
          <w:lang w:val="pl-PL"/>
        </w:rPr>
        <w:t xml:space="preserve"> </w:t>
      </w:r>
      <w:r w:rsidR="00907873" w:rsidRPr="0051003F">
        <w:rPr>
          <w:lang w:val="pl-PL"/>
        </w:rPr>
        <w:t>(a)</w:t>
      </w:r>
      <w:r w:rsidR="00B27E56" w:rsidRPr="0051003F">
        <w:rPr>
          <w:lang w:val="pl-PL"/>
        </w:rPr>
        <w:t>  </w:t>
      </w:r>
      <w:bookmarkEnd w:id="72"/>
      <w:bookmarkEnd w:id="73"/>
      <w:bookmarkEnd w:id="74"/>
      <w:bookmarkEnd w:id="75"/>
      <w:bookmarkEnd w:id="76"/>
      <w:r w:rsidR="00BA4A66" w:rsidRPr="0051003F">
        <w:rPr>
          <w:lang w:val="pl-PL"/>
        </w:rPr>
        <w:t>Czy pierwsze postępowanie miało karny charakter?</w:t>
      </w:r>
    </w:p>
    <w:p w:rsidR="00552999" w:rsidRPr="0051003F" w:rsidRDefault="00B2475E" w:rsidP="00552999">
      <w:pPr>
        <w:pStyle w:val="ECHRPara"/>
        <w:rPr>
          <w:rFonts w:cs="Times New Roman"/>
          <w:lang w:val="pl-PL"/>
        </w:rPr>
      </w:pPr>
      <w:r>
        <w:rPr>
          <w:rFonts w:cs="Times New Roman"/>
          <w:lang w:val="pl-PL"/>
        </w:rPr>
        <w:t>57</w:t>
      </w:r>
      <w:r w:rsidR="00B27E56" w:rsidRPr="0051003F">
        <w:rPr>
          <w:rFonts w:cs="Times New Roman"/>
          <w:lang w:val="pl-PL"/>
        </w:rPr>
        <w:t>.  </w:t>
      </w:r>
      <w:r w:rsidR="00552999" w:rsidRPr="0051003F">
        <w:rPr>
          <w:rFonts w:cs="Times New Roman"/>
          <w:lang w:val="pl-PL"/>
        </w:rPr>
        <w:t xml:space="preserve">Zgadzając się z analizą Sądu Najwyższego na podstawie kryteriów </w:t>
      </w:r>
      <w:proofErr w:type="spellStart"/>
      <w:r w:rsidR="00552999" w:rsidRPr="0051003F">
        <w:rPr>
          <w:rFonts w:cs="Times New Roman"/>
          <w:i/>
          <w:lang w:val="pl-PL"/>
        </w:rPr>
        <w:t>Engela</w:t>
      </w:r>
      <w:proofErr w:type="spellEnd"/>
      <w:r w:rsidR="00552999" w:rsidRPr="0051003F">
        <w:rPr>
          <w:rFonts w:cs="Times New Roman"/>
          <w:lang w:val="pl-PL"/>
        </w:rPr>
        <w:t xml:space="preserve"> i innych istotnego orzecznictwa krajowego dotyczącego kar podatkowych na zwykłym poziomie 30 %, skarżący uznali za oczywiste, że postępowanie w sprawie kar podatkowych, nie tylko w sprawie przestępstw podatkowych, ma charakter „karny” i że oba postępowania należy uznać za „karne” w rozumieniu art. 4 Protokołu </w:t>
      </w:r>
      <w:r w:rsidR="005F16CD">
        <w:rPr>
          <w:rFonts w:cs="Times New Roman"/>
          <w:lang w:val="pl-PL"/>
        </w:rPr>
        <w:t>n</w:t>
      </w:r>
      <w:r w:rsidR="00552999" w:rsidRPr="0051003F">
        <w:rPr>
          <w:rFonts w:cs="Times New Roman"/>
          <w:lang w:val="pl-PL"/>
        </w:rPr>
        <w:t>r 7.</w:t>
      </w:r>
    </w:p>
    <w:p w:rsidR="00B27E56" w:rsidRPr="0051003F" w:rsidRDefault="00552999" w:rsidP="00A7252F">
      <w:pPr>
        <w:pStyle w:val="ECHRHeading4"/>
        <w:rPr>
          <w:lang w:val="pl-PL"/>
        </w:rPr>
      </w:pPr>
      <w:bookmarkStart w:id="77" w:name="_Toc466904312"/>
      <w:bookmarkStart w:id="78" w:name="_Toc466972331"/>
      <w:bookmarkStart w:id="79" w:name="_Toc466972842"/>
      <w:bookmarkStart w:id="80" w:name="_Toc466974258"/>
      <w:bookmarkStart w:id="81" w:name="_Toc473801893"/>
      <w:r w:rsidRPr="0051003F">
        <w:rPr>
          <w:lang w:val="pl-PL"/>
        </w:rPr>
        <w:t xml:space="preserve"> </w:t>
      </w:r>
      <w:r w:rsidR="00907873" w:rsidRPr="0051003F">
        <w:rPr>
          <w:lang w:val="pl-PL"/>
        </w:rPr>
        <w:t>(b)</w:t>
      </w:r>
      <w:r w:rsidR="00B27E56" w:rsidRPr="0051003F">
        <w:rPr>
          <w:lang w:val="pl-PL"/>
        </w:rPr>
        <w:t>  </w:t>
      </w:r>
      <w:r w:rsidR="00BA4A66" w:rsidRPr="0051003F">
        <w:rPr>
          <w:lang w:val="pl-PL"/>
        </w:rPr>
        <w:t xml:space="preserve">Czy przestępstwa były </w:t>
      </w:r>
      <w:r w:rsidRPr="0051003F">
        <w:rPr>
          <w:lang w:val="pl-PL"/>
        </w:rPr>
        <w:t>tożsame</w:t>
      </w:r>
      <w:r w:rsidR="00B27E56" w:rsidRPr="0051003F">
        <w:rPr>
          <w:lang w:val="pl-PL"/>
        </w:rPr>
        <w:t xml:space="preserve"> (</w:t>
      </w:r>
      <w:proofErr w:type="spellStart"/>
      <w:r w:rsidR="00B27E56" w:rsidRPr="0051003F">
        <w:rPr>
          <w:i/>
          <w:lang w:val="pl-PL"/>
        </w:rPr>
        <w:t>idem</w:t>
      </w:r>
      <w:proofErr w:type="spellEnd"/>
      <w:r w:rsidR="00B27E56" w:rsidRPr="0051003F">
        <w:rPr>
          <w:lang w:val="pl-PL"/>
        </w:rPr>
        <w:t>)</w:t>
      </w:r>
      <w:bookmarkEnd w:id="77"/>
      <w:bookmarkEnd w:id="78"/>
      <w:bookmarkEnd w:id="79"/>
      <w:bookmarkEnd w:id="80"/>
      <w:bookmarkEnd w:id="81"/>
      <w:r w:rsidR="00BA4A66" w:rsidRPr="0051003F">
        <w:rPr>
          <w:lang w:val="pl-PL"/>
        </w:rPr>
        <w:t>?</w:t>
      </w:r>
    </w:p>
    <w:p w:rsidR="00552999" w:rsidRPr="0051003F" w:rsidRDefault="00B2475E" w:rsidP="00552999">
      <w:pPr>
        <w:pStyle w:val="ECHRPara"/>
        <w:rPr>
          <w:lang w:val="pl-PL"/>
        </w:rPr>
      </w:pPr>
      <w:r>
        <w:rPr>
          <w:lang w:val="pl-PL"/>
        </w:rPr>
        <w:t>58</w:t>
      </w:r>
      <w:r w:rsidR="00B27E56" w:rsidRPr="0051003F">
        <w:rPr>
          <w:lang w:val="pl-PL"/>
        </w:rPr>
        <w:t>.  </w:t>
      </w:r>
      <w:r w:rsidR="00552999" w:rsidRPr="0051003F">
        <w:rPr>
          <w:lang w:val="pl-PL"/>
        </w:rPr>
        <w:t xml:space="preserve">Skarżący podzielili również pogląd Sądu Najwyższego, że okoliczności faktyczne leżące u podstaw decyzji o nałożeniu kar podatkowych i postępowania karnego były niewątpliwie wystarczająco wspólne, aby uznać je za to tożsame przestępstwo. W obu przypadkach podstawą faktyczną było </w:t>
      </w:r>
      <w:r w:rsidR="00D16F15">
        <w:rPr>
          <w:lang w:val="pl-PL"/>
        </w:rPr>
        <w:t>brak</w:t>
      </w:r>
      <w:r w:rsidR="00D16F15" w:rsidRPr="0051003F">
        <w:rPr>
          <w:lang w:val="pl-PL"/>
        </w:rPr>
        <w:t xml:space="preserve"> </w:t>
      </w:r>
      <w:r w:rsidR="00552999" w:rsidRPr="0051003F">
        <w:rPr>
          <w:lang w:val="pl-PL"/>
        </w:rPr>
        <w:t>zadeklarowania przychodu w zeznaniu podatkowym.</w:t>
      </w:r>
    </w:p>
    <w:p w:rsidR="00552999" w:rsidRPr="0051003F" w:rsidRDefault="00F3453D" w:rsidP="00552999">
      <w:pPr>
        <w:pStyle w:val="ECHRHeading4"/>
        <w:rPr>
          <w:lang w:val="pl-PL"/>
        </w:rPr>
      </w:pPr>
      <w:bookmarkStart w:id="82" w:name="_Toc466904313"/>
      <w:bookmarkStart w:id="83" w:name="_Toc466972332"/>
      <w:bookmarkStart w:id="84" w:name="_Toc466972843"/>
      <w:bookmarkStart w:id="85" w:name="_Toc466974259"/>
      <w:bookmarkStart w:id="86" w:name="_Toc473801894"/>
      <w:r w:rsidRPr="0051003F">
        <w:rPr>
          <w:lang w:val="pl-PL"/>
        </w:rPr>
        <w:t>(c)</w:t>
      </w:r>
      <w:r w:rsidR="00B27E56" w:rsidRPr="0051003F">
        <w:rPr>
          <w:lang w:val="pl-PL"/>
        </w:rPr>
        <w:t>  </w:t>
      </w:r>
      <w:bookmarkEnd w:id="82"/>
      <w:bookmarkEnd w:id="83"/>
      <w:bookmarkEnd w:id="84"/>
      <w:bookmarkEnd w:id="85"/>
      <w:bookmarkEnd w:id="86"/>
      <w:r w:rsidR="00552999" w:rsidRPr="0051003F">
        <w:rPr>
          <w:lang w:val="pl-PL"/>
        </w:rPr>
        <w:t>Czy i kiedy zapadła ostateczna decyzja w postępowaniu podatkowym?</w:t>
      </w:r>
    </w:p>
    <w:p w:rsidR="00B27E56" w:rsidRPr="0051003F" w:rsidRDefault="00B2475E" w:rsidP="00552999">
      <w:pPr>
        <w:pStyle w:val="ECHRPara"/>
        <w:rPr>
          <w:lang w:val="pl-PL"/>
        </w:rPr>
      </w:pPr>
      <w:r>
        <w:rPr>
          <w:lang w:val="pl-PL"/>
        </w:rPr>
        <w:t>59</w:t>
      </w:r>
      <w:r w:rsidR="00B27E56" w:rsidRPr="0051003F">
        <w:rPr>
          <w:lang w:val="pl-PL"/>
        </w:rPr>
        <w:t>.  </w:t>
      </w:r>
      <w:r w:rsidR="00552999" w:rsidRPr="0051003F">
        <w:rPr>
          <w:lang w:val="pl-PL"/>
        </w:rPr>
        <w:t>Zdaniem skarżących decyzja organów podatkowych o nałożeniu kar podatkowych stała się prawomocna w dniu 15 grudnia 2008 r</w:t>
      </w:r>
      <w:r w:rsidR="00D16F15">
        <w:rPr>
          <w:lang w:val="pl-PL"/>
        </w:rPr>
        <w:t>oku</w:t>
      </w:r>
      <w:r w:rsidR="00552999" w:rsidRPr="0051003F">
        <w:rPr>
          <w:lang w:val="pl-PL"/>
        </w:rPr>
        <w:t xml:space="preserve"> </w:t>
      </w:r>
      <w:r w:rsidR="00552999" w:rsidRPr="0051003F">
        <w:rPr>
          <w:i/>
          <w:lang w:val="pl-PL"/>
        </w:rPr>
        <w:t xml:space="preserve">(res </w:t>
      </w:r>
      <w:proofErr w:type="spellStart"/>
      <w:r w:rsidR="00552999" w:rsidRPr="0051003F">
        <w:rPr>
          <w:i/>
          <w:lang w:val="pl-PL"/>
        </w:rPr>
        <w:t>judicata</w:t>
      </w:r>
      <w:proofErr w:type="spellEnd"/>
      <w:r w:rsidR="00552999" w:rsidRPr="0051003F">
        <w:rPr>
          <w:i/>
          <w:lang w:val="pl-PL"/>
        </w:rPr>
        <w:t>)</w:t>
      </w:r>
      <w:r w:rsidR="00552999" w:rsidRPr="0051003F">
        <w:rPr>
          <w:lang w:val="pl-PL"/>
        </w:rPr>
        <w:t xml:space="preserve"> w przypadku pierwszego skarżącego</w:t>
      </w:r>
      <w:r w:rsidR="00AE71EB" w:rsidRPr="0051003F">
        <w:rPr>
          <w:lang w:val="pl-PL"/>
        </w:rPr>
        <w:t>, a w przypadku dru</w:t>
      </w:r>
      <w:r w:rsidR="00552999" w:rsidRPr="0051003F">
        <w:rPr>
          <w:lang w:val="pl-PL"/>
        </w:rPr>
        <w:t xml:space="preserve">giego </w:t>
      </w:r>
      <w:r w:rsidR="0065493D" w:rsidRPr="0051003F">
        <w:rPr>
          <w:lang w:val="pl-PL"/>
        </w:rPr>
        <w:t>skarżącego</w:t>
      </w:r>
      <w:r w:rsidR="00AE71EB" w:rsidRPr="0051003F">
        <w:rPr>
          <w:lang w:val="pl-PL"/>
        </w:rPr>
        <w:t xml:space="preserve"> w dniu 26 grudnia 2008 r</w:t>
      </w:r>
      <w:r w:rsidR="00D16F15">
        <w:rPr>
          <w:lang w:val="pl-PL"/>
        </w:rPr>
        <w:t>oku</w:t>
      </w:r>
      <w:r w:rsidR="00552999" w:rsidRPr="0051003F">
        <w:rPr>
          <w:lang w:val="pl-PL"/>
        </w:rPr>
        <w:t xml:space="preserve"> Niezależnie od tego, czy sankcje te należy uznać za tzw. równoległe postępowanie, decyzje o ukaraniu skarżących karami podatkowymi stały się prawomocne i zyskały moc prawną przed skazaniem skarżących za dokładnie to samo zachowanie odpowiednio przez </w:t>
      </w:r>
      <w:r w:rsidR="00AE71EB" w:rsidRPr="0051003F">
        <w:rPr>
          <w:lang w:val="pl-PL"/>
        </w:rPr>
        <w:t xml:space="preserve">Sąd Rejonowy </w:t>
      </w:r>
      <w:proofErr w:type="spellStart"/>
      <w:r w:rsidR="00AE71EB" w:rsidRPr="0051003F">
        <w:rPr>
          <w:lang w:val="pl-PL"/>
        </w:rPr>
        <w:t>Follo</w:t>
      </w:r>
      <w:proofErr w:type="spellEnd"/>
      <w:r w:rsidR="00AE71EB" w:rsidRPr="0051003F">
        <w:rPr>
          <w:lang w:val="pl-PL"/>
        </w:rPr>
        <w:t xml:space="preserve"> i Sąd Miasta Oslo</w:t>
      </w:r>
      <w:r w:rsidR="00552999" w:rsidRPr="0051003F">
        <w:rPr>
          <w:lang w:val="pl-PL"/>
        </w:rPr>
        <w:t xml:space="preserve">. Objęcie ich sankcjami karnymi odpowiednio naruszyło zasadę </w:t>
      </w:r>
      <w:proofErr w:type="spellStart"/>
      <w:r w:rsidR="00552999" w:rsidRPr="0051003F">
        <w:rPr>
          <w:i/>
          <w:lang w:val="pl-PL"/>
        </w:rPr>
        <w:t>ne</w:t>
      </w:r>
      <w:proofErr w:type="spellEnd"/>
      <w:r w:rsidR="00552999" w:rsidRPr="0051003F">
        <w:rPr>
          <w:i/>
          <w:lang w:val="pl-PL"/>
        </w:rPr>
        <w:t xml:space="preserve"> bis in </w:t>
      </w:r>
      <w:proofErr w:type="spellStart"/>
      <w:r w:rsidR="00552999" w:rsidRPr="0051003F">
        <w:rPr>
          <w:i/>
          <w:lang w:val="pl-PL"/>
        </w:rPr>
        <w:t>idem</w:t>
      </w:r>
      <w:proofErr w:type="spellEnd"/>
      <w:r w:rsidR="00552999" w:rsidRPr="0051003F">
        <w:rPr>
          <w:lang w:val="pl-PL"/>
        </w:rPr>
        <w:t xml:space="preserve"> zapisaną w art. 4 Pr</w:t>
      </w:r>
      <w:r w:rsidR="00AE71EB" w:rsidRPr="0051003F">
        <w:rPr>
          <w:lang w:val="pl-PL"/>
        </w:rPr>
        <w:t xml:space="preserve">otokołu </w:t>
      </w:r>
      <w:r w:rsidR="00D16F15">
        <w:rPr>
          <w:lang w:val="pl-PL"/>
        </w:rPr>
        <w:t>n</w:t>
      </w:r>
      <w:r w:rsidR="00552999" w:rsidRPr="0051003F">
        <w:rPr>
          <w:lang w:val="pl-PL"/>
        </w:rPr>
        <w:t>r 7</w:t>
      </w:r>
      <w:r w:rsidR="00B27E56" w:rsidRPr="0051003F">
        <w:rPr>
          <w:lang w:val="pl-PL"/>
        </w:rPr>
        <w:t>.</w:t>
      </w:r>
    </w:p>
    <w:p w:rsidR="00B27E56" w:rsidRPr="0051003F" w:rsidRDefault="00907873" w:rsidP="00A7252F">
      <w:pPr>
        <w:pStyle w:val="ECHRHeading4"/>
        <w:rPr>
          <w:lang w:val="pl-PL"/>
        </w:rPr>
      </w:pPr>
      <w:bookmarkStart w:id="87" w:name="_Toc466904314"/>
      <w:bookmarkStart w:id="88" w:name="_Toc466972333"/>
      <w:bookmarkStart w:id="89" w:name="_Toc466972844"/>
      <w:bookmarkStart w:id="90" w:name="_Toc466974260"/>
      <w:bookmarkStart w:id="91" w:name="_Toc473801895"/>
      <w:r w:rsidRPr="0051003F">
        <w:rPr>
          <w:lang w:val="pl-PL"/>
        </w:rPr>
        <w:lastRenderedPageBreak/>
        <w:t>(d)</w:t>
      </w:r>
      <w:r w:rsidR="00B27E56" w:rsidRPr="0051003F">
        <w:rPr>
          <w:lang w:val="pl-PL"/>
        </w:rPr>
        <w:t>  </w:t>
      </w:r>
      <w:r w:rsidR="00AE71EB" w:rsidRPr="0051003F">
        <w:rPr>
          <w:lang w:val="pl-PL"/>
        </w:rPr>
        <w:t>Czy doszło do zdublowania się postępowań</w:t>
      </w:r>
      <w:r w:rsidR="00B27E56" w:rsidRPr="0051003F">
        <w:rPr>
          <w:lang w:val="pl-PL"/>
        </w:rPr>
        <w:t xml:space="preserve"> (</w:t>
      </w:r>
      <w:r w:rsidR="00B27E56" w:rsidRPr="0051003F">
        <w:rPr>
          <w:i/>
          <w:lang w:val="pl-PL"/>
        </w:rPr>
        <w:t>bis</w:t>
      </w:r>
      <w:r w:rsidR="00B27E56" w:rsidRPr="0051003F">
        <w:rPr>
          <w:lang w:val="pl-PL"/>
        </w:rPr>
        <w:t>)</w:t>
      </w:r>
      <w:bookmarkEnd w:id="87"/>
      <w:bookmarkEnd w:id="88"/>
      <w:bookmarkEnd w:id="89"/>
      <w:bookmarkEnd w:id="90"/>
      <w:bookmarkEnd w:id="91"/>
    </w:p>
    <w:p w:rsidR="00AE71EB" w:rsidRPr="0051003F" w:rsidRDefault="00B2475E" w:rsidP="00AE71EB">
      <w:pPr>
        <w:pStyle w:val="ECHRPara"/>
        <w:rPr>
          <w:rFonts w:cs="Times New Roman"/>
          <w:lang w:val="pl-PL"/>
        </w:rPr>
      </w:pPr>
      <w:r>
        <w:rPr>
          <w:rFonts w:cs="Times New Roman"/>
          <w:lang w:val="pl-PL"/>
        </w:rPr>
        <w:t>60</w:t>
      </w:r>
      <w:r w:rsidR="00B27E56" w:rsidRPr="0051003F">
        <w:rPr>
          <w:rFonts w:cs="Times New Roman"/>
          <w:lang w:val="pl-PL"/>
        </w:rPr>
        <w:t>.  </w:t>
      </w:r>
      <w:r w:rsidR="00AE71EB" w:rsidRPr="0051003F">
        <w:rPr>
          <w:rFonts w:cs="Times New Roman"/>
          <w:lang w:val="pl-PL"/>
        </w:rPr>
        <w:t xml:space="preserve">Skarżący twierdzili, że byli ofiarami zdublowania postępowań, zakazanego przez art. 4 Protokołu </w:t>
      </w:r>
      <w:r w:rsidR="00C13A41">
        <w:rPr>
          <w:rFonts w:cs="Times New Roman"/>
          <w:lang w:val="pl-PL"/>
        </w:rPr>
        <w:t>n</w:t>
      </w:r>
      <w:r w:rsidR="00C13A41" w:rsidRPr="0051003F">
        <w:rPr>
          <w:rFonts w:cs="Times New Roman"/>
          <w:lang w:val="pl-PL"/>
        </w:rPr>
        <w:t xml:space="preserve">r </w:t>
      </w:r>
      <w:r w:rsidR="00AE71EB" w:rsidRPr="0051003F">
        <w:rPr>
          <w:rFonts w:cs="Times New Roman"/>
          <w:lang w:val="pl-PL"/>
        </w:rPr>
        <w:t>7. Ponieważ postępowania administracyjne związane z karami podatkowymi miały charakter karny, organy ścigania b</w:t>
      </w:r>
      <w:r w:rsidR="00712C39" w:rsidRPr="0051003F">
        <w:rPr>
          <w:rFonts w:cs="Times New Roman"/>
          <w:lang w:val="pl-PL"/>
        </w:rPr>
        <w:t>yły zobowiązane na mocy art. 4 P</w:t>
      </w:r>
      <w:r w:rsidR="00AE71EB" w:rsidRPr="0051003F">
        <w:rPr>
          <w:rFonts w:cs="Times New Roman"/>
          <w:lang w:val="pl-PL"/>
        </w:rPr>
        <w:t>rotokołu</w:t>
      </w:r>
      <w:r w:rsidR="00C13A41">
        <w:rPr>
          <w:rFonts w:cs="Times New Roman"/>
          <w:lang w:val="pl-PL"/>
        </w:rPr>
        <w:t xml:space="preserve"> nr 7</w:t>
      </w:r>
      <w:r w:rsidR="00AE71EB" w:rsidRPr="0051003F">
        <w:rPr>
          <w:rFonts w:cs="Times New Roman"/>
          <w:lang w:val="pl-PL"/>
        </w:rPr>
        <w:t xml:space="preserve"> do umorzenia postępowania karnego, gdy tylko wynik postępowania administracyjnego stał się ostateczny. </w:t>
      </w:r>
      <w:r w:rsidR="00C13A41">
        <w:rPr>
          <w:rFonts w:cs="Times New Roman"/>
          <w:lang w:val="pl-PL"/>
        </w:rPr>
        <w:t>Tak się jednak nie stało.</w:t>
      </w:r>
    </w:p>
    <w:p w:rsidR="00712C39" w:rsidRPr="0051003F" w:rsidRDefault="00B2475E" w:rsidP="00712C39">
      <w:pPr>
        <w:pStyle w:val="ECHRPara"/>
        <w:rPr>
          <w:rFonts w:cs="Times New Roman"/>
          <w:lang w:val="pl-PL"/>
        </w:rPr>
      </w:pPr>
      <w:r>
        <w:rPr>
          <w:rFonts w:cs="Times New Roman"/>
          <w:lang w:val="pl-PL"/>
        </w:rPr>
        <w:t>61</w:t>
      </w:r>
      <w:r w:rsidR="00B27E56" w:rsidRPr="0051003F">
        <w:rPr>
          <w:rFonts w:cs="Times New Roman"/>
          <w:lang w:val="pl-PL"/>
        </w:rPr>
        <w:t>.  </w:t>
      </w:r>
      <w:r w:rsidR="00712C39" w:rsidRPr="0051003F">
        <w:rPr>
          <w:rFonts w:cs="Times New Roman"/>
          <w:lang w:val="pl-PL"/>
        </w:rPr>
        <w:t xml:space="preserve">Zdaniem skarżących, podczas gdy prawo norweskie dopuszcza równoległe postępowanie, wykorzystanie przez władze krajowe tej możliwości umożliwiło im skoordynowanie procedur i obejście zakazu zawartego w art. 4 Protokołu </w:t>
      </w:r>
      <w:r>
        <w:rPr>
          <w:rFonts w:cs="Times New Roman"/>
          <w:lang w:val="pl-PL"/>
        </w:rPr>
        <w:t>n</w:t>
      </w:r>
      <w:r w:rsidRPr="0051003F">
        <w:rPr>
          <w:rFonts w:cs="Times New Roman"/>
          <w:lang w:val="pl-PL"/>
        </w:rPr>
        <w:t xml:space="preserve">r </w:t>
      </w:r>
      <w:r w:rsidR="00712C39" w:rsidRPr="0051003F">
        <w:rPr>
          <w:rFonts w:cs="Times New Roman"/>
          <w:lang w:val="pl-PL"/>
        </w:rPr>
        <w:t xml:space="preserve">7, a tym samym uczyniło </w:t>
      </w:r>
      <w:r>
        <w:rPr>
          <w:rFonts w:cs="Times New Roman"/>
          <w:lang w:val="pl-PL"/>
        </w:rPr>
        <w:t>obowiązywanie</w:t>
      </w:r>
      <w:r w:rsidRPr="0051003F">
        <w:rPr>
          <w:rFonts w:cs="Times New Roman"/>
          <w:lang w:val="pl-PL"/>
        </w:rPr>
        <w:t xml:space="preserve"> </w:t>
      </w:r>
      <w:r w:rsidR="00712C39" w:rsidRPr="0051003F">
        <w:rPr>
          <w:rFonts w:cs="Times New Roman"/>
          <w:lang w:val="pl-PL"/>
        </w:rPr>
        <w:t>tego przepisu iluzorycznym. W szczególności w przypadku pierwszego skarżącego zastosowanie modelu postępowania równoległego wydawało się być skoordynowane jako wspólne przedsięwzięcie zorganizowane przez prokuratorów we współpracy z organami podatkowymi.</w:t>
      </w:r>
    </w:p>
    <w:p w:rsidR="00712C39" w:rsidRPr="0051003F" w:rsidRDefault="00FB6255" w:rsidP="00712C39">
      <w:pPr>
        <w:pStyle w:val="ECHRPara"/>
        <w:rPr>
          <w:lang w:val="pl-PL"/>
        </w:rPr>
      </w:pPr>
      <w:r>
        <w:rPr>
          <w:rFonts w:cs="Times New Roman"/>
          <w:lang w:val="pl-PL"/>
        </w:rPr>
        <w:t>62</w:t>
      </w:r>
      <w:r w:rsidR="00B27E56" w:rsidRPr="0051003F">
        <w:rPr>
          <w:rFonts w:cs="Times New Roman"/>
          <w:lang w:val="pl-PL"/>
        </w:rPr>
        <w:t>.  </w:t>
      </w:r>
      <w:r w:rsidR="00712C39" w:rsidRPr="0051003F">
        <w:rPr>
          <w:rFonts w:cs="Times New Roman"/>
          <w:lang w:val="pl-PL"/>
        </w:rPr>
        <w:t xml:space="preserve">W niniejszej sprawie prokuratorzy po prostu wstrzymali się z podjęciem decyzji do czasu nałożenia kar podatkowych przez organy podatkowe, przed skierowaniem sprawy na rozprawę. W ten sposób skoordynowano postępowania karne i administracyjne w celu uwięzienia skarżących za pomocą dwóch różnych </w:t>
      </w:r>
      <w:r w:rsidR="00800D50">
        <w:rPr>
          <w:rFonts w:cs="Times New Roman"/>
          <w:lang w:val="pl-PL"/>
        </w:rPr>
        <w:t xml:space="preserve">rodzajów </w:t>
      </w:r>
      <w:r w:rsidR="00712C39" w:rsidRPr="0051003F">
        <w:rPr>
          <w:rFonts w:cs="Times New Roman"/>
          <w:lang w:val="pl-PL"/>
        </w:rPr>
        <w:t xml:space="preserve">przepisów karnych, tak aby nałożyć na nich dodatkowy podatek i kary podatkowe oraz pociągnąć ich do odpowiedzialności karnej za to samo zachowanie, innymi słowy podwójne </w:t>
      </w:r>
      <w:r w:rsidR="00800D50" w:rsidRPr="0051003F">
        <w:rPr>
          <w:rFonts w:cs="Times New Roman"/>
          <w:lang w:val="pl-PL"/>
        </w:rPr>
        <w:t>oskarżeni</w:t>
      </w:r>
      <w:r w:rsidR="00800D50">
        <w:rPr>
          <w:rFonts w:cs="Times New Roman"/>
          <w:lang w:val="pl-PL"/>
        </w:rPr>
        <w:t>e</w:t>
      </w:r>
      <w:r w:rsidR="00712C39" w:rsidRPr="0051003F">
        <w:rPr>
          <w:rFonts w:cs="Times New Roman"/>
          <w:lang w:val="pl-PL"/>
        </w:rPr>
        <w:t xml:space="preserve">. Z punktu widzenia bezpieczeństwa prawnego możliwość prowadzenia równoległych postępowań była problematyczna. Silny zasadniczy cel tego postanowienia Protokołu, jakim jest ochrona osób fizycznych przed </w:t>
      </w:r>
      <w:r w:rsidR="00800D50" w:rsidRPr="0051003F">
        <w:rPr>
          <w:rFonts w:cs="Times New Roman"/>
          <w:lang w:val="pl-PL"/>
        </w:rPr>
        <w:t>ponoszeni</w:t>
      </w:r>
      <w:r w:rsidR="00800D50">
        <w:rPr>
          <w:rFonts w:cs="Times New Roman"/>
          <w:lang w:val="pl-PL"/>
        </w:rPr>
        <w:t>em</w:t>
      </w:r>
      <w:r w:rsidR="00800D50" w:rsidRPr="0051003F">
        <w:rPr>
          <w:rFonts w:cs="Times New Roman"/>
          <w:lang w:val="pl-PL"/>
        </w:rPr>
        <w:t xml:space="preserve"> </w:t>
      </w:r>
      <w:r w:rsidR="00712C39" w:rsidRPr="0051003F">
        <w:rPr>
          <w:rFonts w:cs="Times New Roman"/>
          <w:lang w:val="pl-PL"/>
        </w:rPr>
        <w:t>nadmiernych obciążeń, sugerował, że możliwości prowadzenia przez władze równoległego postępowania powinny być ograniczone.</w:t>
      </w:r>
      <w:r w:rsidR="00712C39" w:rsidRPr="0051003F">
        <w:rPr>
          <w:lang w:val="pl-PL"/>
        </w:rPr>
        <w:t xml:space="preserve"> </w:t>
      </w:r>
    </w:p>
    <w:p w:rsidR="00EE7F99" w:rsidRPr="0051003F" w:rsidRDefault="00FB6255" w:rsidP="00712C39">
      <w:pPr>
        <w:pStyle w:val="ECHRPara"/>
        <w:rPr>
          <w:rFonts w:cs="Times New Roman"/>
          <w:lang w:val="pl-PL"/>
        </w:rPr>
      </w:pPr>
      <w:r>
        <w:rPr>
          <w:rFonts w:cs="Times New Roman"/>
          <w:lang w:val="pl-PL"/>
        </w:rPr>
        <w:t>63</w:t>
      </w:r>
      <w:r w:rsidR="00B27E56" w:rsidRPr="0051003F">
        <w:rPr>
          <w:rFonts w:cs="Times New Roman"/>
          <w:lang w:val="pl-PL"/>
        </w:rPr>
        <w:t>.  </w:t>
      </w:r>
      <w:r w:rsidR="00712C39" w:rsidRPr="0051003F">
        <w:rPr>
          <w:rFonts w:cs="Times New Roman"/>
          <w:lang w:val="pl-PL"/>
        </w:rPr>
        <w:t xml:space="preserve">Z perspektywy należytego </w:t>
      </w:r>
      <w:r w:rsidR="00800D50">
        <w:rPr>
          <w:rFonts w:cs="Times New Roman"/>
          <w:lang w:val="pl-PL"/>
        </w:rPr>
        <w:t>rozpoznawania</w:t>
      </w:r>
      <w:r w:rsidR="00800D50" w:rsidRPr="0051003F">
        <w:rPr>
          <w:rFonts w:cs="Times New Roman"/>
          <w:lang w:val="pl-PL"/>
        </w:rPr>
        <w:t xml:space="preserve"> </w:t>
      </w:r>
      <w:r w:rsidR="00712C39" w:rsidRPr="0051003F">
        <w:rPr>
          <w:rFonts w:cs="Times New Roman"/>
          <w:lang w:val="pl-PL"/>
        </w:rPr>
        <w:t xml:space="preserve">sprawy ta możliwość podjęcia przez organy administracyjne i prokuratorskie wspólnych wysiłków w celu przygotowania prowadzenia równoległych postępowań była sprzeczna z zakazem podwójnego </w:t>
      </w:r>
      <w:r w:rsidR="008B7F05" w:rsidRPr="0051003F">
        <w:rPr>
          <w:rFonts w:cs="Times New Roman"/>
          <w:lang w:val="pl-PL"/>
        </w:rPr>
        <w:t>oskarż</w:t>
      </w:r>
      <w:r w:rsidR="008B7F05">
        <w:rPr>
          <w:rFonts w:cs="Times New Roman"/>
          <w:lang w:val="pl-PL"/>
        </w:rPr>
        <w:t>a</w:t>
      </w:r>
      <w:r w:rsidR="008B7F05" w:rsidRPr="0051003F">
        <w:rPr>
          <w:rFonts w:cs="Times New Roman"/>
          <w:lang w:val="pl-PL"/>
        </w:rPr>
        <w:t xml:space="preserve">nia </w:t>
      </w:r>
      <w:r w:rsidR="00712C39" w:rsidRPr="0051003F">
        <w:rPr>
          <w:rFonts w:cs="Times New Roman"/>
          <w:lang w:val="pl-PL"/>
        </w:rPr>
        <w:t xml:space="preserve">zawartym w art. 4 Protokołu </w:t>
      </w:r>
      <w:r w:rsidR="008B7F05">
        <w:rPr>
          <w:rFonts w:cs="Times New Roman"/>
          <w:lang w:val="pl-PL"/>
        </w:rPr>
        <w:t>nr</w:t>
      </w:r>
      <w:r w:rsidR="008B7F05" w:rsidRPr="0051003F">
        <w:rPr>
          <w:rFonts w:cs="Times New Roman"/>
          <w:lang w:val="pl-PL"/>
        </w:rPr>
        <w:t xml:space="preserve"> </w:t>
      </w:r>
      <w:r w:rsidR="00712C39" w:rsidRPr="0051003F">
        <w:rPr>
          <w:rFonts w:cs="Times New Roman"/>
          <w:lang w:val="pl-PL"/>
        </w:rPr>
        <w:t xml:space="preserve">7 oraz z najnowszym orzecznictwem Trybunału, jak również z niektórymi orzeczeniami krajowymi. W związku z tym możliwość ta, pozwalająca na równoległe prowadzenie postępowań </w:t>
      </w:r>
      <w:r w:rsidR="008B7F05">
        <w:rPr>
          <w:rFonts w:cs="Times New Roman"/>
          <w:lang w:val="pl-PL"/>
        </w:rPr>
        <w:t>przed</w:t>
      </w:r>
      <w:r w:rsidR="008B7F05" w:rsidRPr="0051003F">
        <w:rPr>
          <w:rFonts w:cs="Times New Roman"/>
          <w:lang w:val="pl-PL"/>
        </w:rPr>
        <w:t xml:space="preserve"> </w:t>
      </w:r>
      <w:r w:rsidR="00712C39" w:rsidRPr="0051003F">
        <w:rPr>
          <w:rFonts w:cs="Times New Roman"/>
          <w:lang w:val="pl-PL"/>
        </w:rPr>
        <w:t>różnymi organami w niniejszej sprawie była wątpliwa i nie uwzględniała należycie obciążenia skarżących oraz głównego interesu art. 4 Protokołu nr 7</w:t>
      </w:r>
      <w:r w:rsidR="00EE7F99" w:rsidRPr="0051003F">
        <w:rPr>
          <w:rFonts w:cs="Times New Roman"/>
          <w:lang w:val="pl-PL"/>
        </w:rPr>
        <w:t>.</w:t>
      </w:r>
    </w:p>
    <w:p w:rsidR="00712C39" w:rsidRPr="0051003F" w:rsidRDefault="00FB6255" w:rsidP="00712C39">
      <w:pPr>
        <w:pStyle w:val="ECHRPara"/>
        <w:rPr>
          <w:lang w:val="pl-PL"/>
        </w:rPr>
      </w:pPr>
      <w:r>
        <w:rPr>
          <w:rFonts w:cs="Times New Roman"/>
          <w:lang w:val="pl-PL"/>
        </w:rPr>
        <w:t>64</w:t>
      </w:r>
      <w:r w:rsidR="00B27E56" w:rsidRPr="0051003F">
        <w:rPr>
          <w:rFonts w:cs="Times New Roman"/>
          <w:lang w:val="pl-PL"/>
        </w:rPr>
        <w:t>.  </w:t>
      </w:r>
      <w:r w:rsidR="00712C39" w:rsidRPr="0051003F">
        <w:rPr>
          <w:rFonts w:cs="Times New Roman"/>
          <w:lang w:val="pl-PL"/>
        </w:rPr>
        <w:t xml:space="preserve">W czasie ich </w:t>
      </w:r>
      <w:r w:rsidR="008B7F05">
        <w:rPr>
          <w:rFonts w:cs="Times New Roman"/>
          <w:lang w:val="pl-PL"/>
        </w:rPr>
        <w:t>,,</w:t>
      </w:r>
      <w:r w:rsidR="00712C39" w:rsidRPr="0051003F">
        <w:rPr>
          <w:rFonts w:cs="Times New Roman"/>
          <w:lang w:val="pl-PL"/>
        </w:rPr>
        <w:t xml:space="preserve">koszmarnego" doświadczenia w tej sprawie, skarżący twierdzili, że doświadczyli wielkiej ulgi, kiedy pierwszy skarżący został wezwany przez urzędnika skarbowego, który stwierdził, że może teraz </w:t>
      </w:r>
      <w:r w:rsidR="00C512D5">
        <w:rPr>
          <w:rFonts w:cs="Times New Roman"/>
          <w:lang w:val="pl-PL"/>
        </w:rPr>
        <w:t>,,</w:t>
      </w:r>
      <w:r w:rsidR="00712C39" w:rsidRPr="0051003F">
        <w:rPr>
          <w:rFonts w:cs="Times New Roman"/>
          <w:lang w:val="pl-PL"/>
        </w:rPr>
        <w:t xml:space="preserve">odetchnąć ulgą" z powodu nowych pisemnych wytycznych </w:t>
      </w:r>
      <w:r w:rsidR="008B7F05">
        <w:rPr>
          <w:rFonts w:cs="Times New Roman"/>
          <w:lang w:val="pl-PL"/>
        </w:rPr>
        <w:t>D</w:t>
      </w:r>
      <w:r w:rsidR="008B7F05" w:rsidRPr="0051003F">
        <w:rPr>
          <w:rFonts w:cs="Times New Roman"/>
          <w:lang w:val="pl-PL"/>
        </w:rPr>
        <w:t xml:space="preserve">yrektora </w:t>
      </w:r>
      <w:r w:rsidR="00C512D5">
        <w:rPr>
          <w:rFonts w:cs="Times New Roman"/>
          <w:lang w:val="pl-PL"/>
        </w:rPr>
        <w:t>G</w:t>
      </w:r>
      <w:r w:rsidR="00C512D5" w:rsidRPr="0051003F">
        <w:rPr>
          <w:rFonts w:cs="Times New Roman"/>
          <w:lang w:val="pl-PL"/>
        </w:rPr>
        <w:t xml:space="preserve">eneralnego </w:t>
      </w:r>
      <w:r w:rsidR="00C512D5">
        <w:rPr>
          <w:rFonts w:cs="Times New Roman"/>
          <w:lang w:val="pl-PL"/>
        </w:rPr>
        <w:t>P</w:t>
      </w:r>
      <w:r w:rsidR="00712C39" w:rsidRPr="0051003F">
        <w:rPr>
          <w:rFonts w:cs="Times New Roman"/>
          <w:lang w:val="pl-PL"/>
        </w:rPr>
        <w:t>rokuratury z dnia 3 kwietnia 2009 r</w:t>
      </w:r>
      <w:r w:rsidR="008B7F05">
        <w:rPr>
          <w:rFonts w:cs="Times New Roman"/>
          <w:lang w:val="pl-PL"/>
        </w:rPr>
        <w:t>oku</w:t>
      </w:r>
      <w:r w:rsidR="00712C39" w:rsidRPr="0051003F">
        <w:rPr>
          <w:rFonts w:cs="Times New Roman"/>
          <w:lang w:val="pl-PL"/>
        </w:rPr>
        <w:t xml:space="preserve">, które zakazały podwójnego ścigania i podwójnej karalności, jak było w jego przypadku. W odniesieniu do </w:t>
      </w:r>
      <w:proofErr w:type="spellStart"/>
      <w:r w:rsidR="00712C39" w:rsidRPr="0051003F">
        <w:rPr>
          <w:rFonts w:cs="Times New Roman"/>
          <w:i/>
          <w:lang w:val="pl-PL"/>
        </w:rPr>
        <w:t>Zołotukhina</w:t>
      </w:r>
      <w:proofErr w:type="spellEnd"/>
      <w:r w:rsidR="00712C39" w:rsidRPr="0051003F">
        <w:rPr>
          <w:rFonts w:cs="Times New Roman"/>
          <w:lang w:val="pl-PL"/>
        </w:rPr>
        <w:t xml:space="preserve"> wytyczne te przewidywały </w:t>
      </w:r>
      <w:proofErr w:type="spellStart"/>
      <w:r w:rsidR="00712C39" w:rsidRPr="0051003F">
        <w:rPr>
          <w:rFonts w:cs="Times New Roman"/>
          <w:i/>
          <w:lang w:val="pl-PL"/>
        </w:rPr>
        <w:t>inter</w:t>
      </w:r>
      <w:proofErr w:type="spellEnd"/>
      <w:r w:rsidR="00712C39" w:rsidRPr="0051003F">
        <w:rPr>
          <w:rFonts w:cs="Times New Roman"/>
          <w:i/>
          <w:lang w:val="pl-PL"/>
        </w:rPr>
        <w:t xml:space="preserve"> </w:t>
      </w:r>
      <w:proofErr w:type="spellStart"/>
      <w:r w:rsidR="00712C39" w:rsidRPr="0051003F">
        <w:rPr>
          <w:rFonts w:cs="Times New Roman"/>
          <w:i/>
          <w:lang w:val="pl-PL"/>
        </w:rPr>
        <w:t>alia</w:t>
      </w:r>
      <w:proofErr w:type="spellEnd"/>
      <w:r w:rsidR="00712C39" w:rsidRPr="0051003F">
        <w:rPr>
          <w:rFonts w:cs="Times New Roman"/>
          <w:lang w:val="pl-PL"/>
        </w:rPr>
        <w:t xml:space="preserve">, że na </w:t>
      </w:r>
      <w:r w:rsidR="00712C39" w:rsidRPr="0051003F">
        <w:rPr>
          <w:rFonts w:cs="Times New Roman"/>
          <w:lang w:val="pl-PL"/>
        </w:rPr>
        <w:lastRenderedPageBreak/>
        <w:t xml:space="preserve">rozprawie odwoławczej, niezależnie od tego, czy sąd niższej instancji wydał wyrok skazujący czy uniewinniający, prokurator powinien zwrócić się o uchylenie wyroku i oddalenie </w:t>
      </w:r>
      <w:r w:rsidR="00C512D5">
        <w:rPr>
          <w:rFonts w:cs="Times New Roman"/>
          <w:lang w:val="pl-PL"/>
        </w:rPr>
        <w:t>oskarżenia</w:t>
      </w:r>
      <w:r w:rsidR="00712C39" w:rsidRPr="0051003F">
        <w:rPr>
          <w:rFonts w:cs="Times New Roman"/>
          <w:lang w:val="pl-PL"/>
        </w:rPr>
        <w:t xml:space="preserve">. Na mocy tych nowych wytycznych </w:t>
      </w:r>
      <w:r w:rsidR="00C512D5">
        <w:rPr>
          <w:rFonts w:cs="Times New Roman"/>
          <w:lang w:val="pl-PL"/>
        </w:rPr>
        <w:t>D</w:t>
      </w:r>
      <w:r w:rsidR="00C512D5" w:rsidRPr="0051003F">
        <w:rPr>
          <w:rFonts w:cs="Times New Roman"/>
          <w:lang w:val="pl-PL"/>
        </w:rPr>
        <w:t xml:space="preserve">yrektora </w:t>
      </w:r>
      <w:r w:rsidR="00C512D5">
        <w:rPr>
          <w:rFonts w:cs="Times New Roman"/>
          <w:lang w:val="pl-PL"/>
        </w:rPr>
        <w:t>P</w:t>
      </w:r>
      <w:r w:rsidR="00712C39" w:rsidRPr="0051003F">
        <w:rPr>
          <w:rFonts w:cs="Times New Roman"/>
          <w:lang w:val="pl-PL"/>
        </w:rPr>
        <w:t xml:space="preserve">rokuratury </w:t>
      </w:r>
      <w:r w:rsidR="00C512D5">
        <w:rPr>
          <w:rFonts w:cs="Times New Roman"/>
          <w:lang w:val="pl-PL"/>
        </w:rPr>
        <w:t>G</w:t>
      </w:r>
      <w:r w:rsidR="00712C39" w:rsidRPr="0051003F">
        <w:rPr>
          <w:rFonts w:cs="Times New Roman"/>
          <w:lang w:val="pl-PL"/>
        </w:rPr>
        <w:t>eneralnej oraz ze względu na fakt, że kara podatkowa została uznana za karę, a decyzja w sprawie kary podatkowej stała się dla skarżących prawomocna</w:t>
      </w:r>
      <w:r w:rsidR="006F3803">
        <w:rPr>
          <w:rFonts w:cs="Times New Roman"/>
          <w:lang w:val="pl-PL"/>
        </w:rPr>
        <w:t>-</w:t>
      </w:r>
      <w:r w:rsidR="00712C39" w:rsidRPr="0051003F">
        <w:rPr>
          <w:rFonts w:cs="Times New Roman"/>
          <w:lang w:val="pl-PL"/>
        </w:rPr>
        <w:t xml:space="preserve"> </w:t>
      </w:r>
      <w:r w:rsidR="00712C39" w:rsidRPr="0051003F">
        <w:rPr>
          <w:rFonts w:cs="Times New Roman"/>
          <w:i/>
          <w:lang w:val="pl-PL"/>
        </w:rPr>
        <w:t>res iudicata</w:t>
      </w:r>
      <w:r w:rsidR="00712C39" w:rsidRPr="0051003F">
        <w:rPr>
          <w:rFonts w:cs="Times New Roman"/>
          <w:lang w:val="pl-PL"/>
        </w:rPr>
        <w:t xml:space="preserve">, mieli oni uzasadnione oczekiwania, że postępowanie karne przeciwko nim zostanie umorzone z powodu zakazu podwójnego oskarżenia, o którym mowa w art. 4 Protokołu </w:t>
      </w:r>
      <w:r w:rsidR="006F3803">
        <w:rPr>
          <w:rFonts w:cs="Times New Roman"/>
          <w:lang w:val="pl-PL"/>
        </w:rPr>
        <w:t>n</w:t>
      </w:r>
      <w:r w:rsidR="006F3803" w:rsidRPr="0051003F">
        <w:rPr>
          <w:rFonts w:cs="Times New Roman"/>
          <w:lang w:val="pl-PL"/>
        </w:rPr>
        <w:t xml:space="preserve">r </w:t>
      </w:r>
      <w:r w:rsidR="00712C39" w:rsidRPr="0051003F">
        <w:rPr>
          <w:rFonts w:cs="Times New Roman"/>
          <w:lang w:val="pl-PL"/>
        </w:rPr>
        <w:t xml:space="preserve">7. Ponadto, zgodnie z tymi samymi nowymi wytycznymi, inni oskarżeni, którym w tym samym przypadku zarzucono te same przestępstwa, nie podlegali sankcjom podatkowym, ponieważ zostali już osądzeni i skazani na karę pozbawienia wolności za naruszenie art. 12-2 ustawy o rozliczeniach podatkowych. Skarżący, w odróżnieniu od innych oskarżonych, w tej samej sprawie zostali jednak osądzeni i </w:t>
      </w:r>
      <w:r w:rsidR="0065493D" w:rsidRPr="0051003F">
        <w:rPr>
          <w:rFonts w:cs="Times New Roman"/>
          <w:lang w:val="pl-PL"/>
        </w:rPr>
        <w:t>skazani</w:t>
      </w:r>
      <w:r w:rsidR="00712C39" w:rsidRPr="0051003F">
        <w:rPr>
          <w:rFonts w:cs="Times New Roman"/>
          <w:lang w:val="pl-PL"/>
        </w:rPr>
        <w:t xml:space="preserve"> na karę pozbawienia wolności, mimo że nałożono na nich dodatkowy podatek i karę podatkową za to samo zachowanie. Argument </w:t>
      </w:r>
      <w:r w:rsidR="006F3803">
        <w:rPr>
          <w:rFonts w:cs="Times New Roman"/>
          <w:lang w:val="pl-PL"/>
        </w:rPr>
        <w:t>R</w:t>
      </w:r>
      <w:r w:rsidR="006F3803" w:rsidRPr="0051003F">
        <w:rPr>
          <w:rFonts w:cs="Times New Roman"/>
          <w:lang w:val="pl-PL"/>
        </w:rPr>
        <w:t>ządu</w:t>
      </w:r>
      <w:r w:rsidR="00712C39" w:rsidRPr="0051003F">
        <w:rPr>
          <w:rFonts w:cs="Times New Roman"/>
          <w:lang w:val="pl-PL"/>
        </w:rPr>
        <w:t xml:space="preserve">, zgodnie z którym istotną kwestią była potrzeba zapewnienia równego traktowania z innymi osobami uczestniczącymi w tym samym </w:t>
      </w:r>
      <w:r w:rsidR="009226C0" w:rsidRPr="0051003F">
        <w:rPr>
          <w:rFonts w:cs="Times New Roman"/>
          <w:lang w:val="pl-PL"/>
        </w:rPr>
        <w:t>przestępstwie podatkowym</w:t>
      </w:r>
      <w:r w:rsidR="00712C39" w:rsidRPr="0051003F">
        <w:rPr>
          <w:rFonts w:cs="Times New Roman"/>
          <w:lang w:val="pl-PL"/>
        </w:rPr>
        <w:t>, jest zatem nieprzekonujący.</w:t>
      </w:r>
      <w:r w:rsidR="00712C39" w:rsidRPr="0051003F">
        <w:rPr>
          <w:lang w:val="pl-PL"/>
        </w:rPr>
        <w:t xml:space="preserve"> </w:t>
      </w:r>
    </w:p>
    <w:p w:rsidR="00B27E56" w:rsidRPr="0051003F" w:rsidRDefault="00FB6255" w:rsidP="009226C0">
      <w:pPr>
        <w:pStyle w:val="ECHRPara"/>
        <w:rPr>
          <w:rFonts w:cs="Times New Roman"/>
          <w:lang w:val="pl-PL"/>
        </w:rPr>
      </w:pPr>
      <w:r>
        <w:rPr>
          <w:rFonts w:cs="Times New Roman"/>
          <w:lang w:val="pl-PL"/>
        </w:rPr>
        <w:t>65</w:t>
      </w:r>
      <w:r w:rsidR="00090E27" w:rsidRPr="0051003F">
        <w:rPr>
          <w:rFonts w:cs="Times New Roman"/>
          <w:lang w:val="pl-PL"/>
        </w:rPr>
        <w:t>.  </w:t>
      </w:r>
      <w:r w:rsidR="009226C0" w:rsidRPr="0051003F">
        <w:rPr>
          <w:rFonts w:cs="Times New Roman"/>
          <w:lang w:val="pl-PL"/>
        </w:rPr>
        <w:t xml:space="preserve">Zdaniem skarżących skutki psychologiczne były tym większe, że mimo powyższych wytycznych prokuratorzy kontynuowali tę sprawę, powołując się na równoległe postępowanie sądowe i oddalili żądanie skarżących, aby wyrok skazujący wydany przez sąd rejonowy został uchylony, a sprawa karna przeciwko nim została oddalona przez sądy. W związku z tym pierwszy skarżący przedstawił różne zaświadczenia lekarskie, w tym z kliniki </w:t>
      </w:r>
      <w:r w:rsidR="006C44D6">
        <w:rPr>
          <w:rFonts w:cs="Times New Roman"/>
          <w:lang w:val="pl-PL"/>
        </w:rPr>
        <w:t>kardiochirurgicznej</w:t>
      </w:r>
      <w:r w:rsidR="009226C0" w:rsidRPr="0051003F">
        <w:rPr>
          <w:rFonts w:cs="Times New Roman"/>
          <w:lang w:val="pl-PL"/>
        </w:rPr>
        <w:t>.</w:t>
      </w:r>
    </w:p>
    <w:p w:rsidR="00AA61DC" w:rsidRPr="0051003F" w:rsidRDefault="00AA61DC" w:rsidP="00A7252F">
      <w:pPr>
        <w:pStyle w:val="ECHRHeading3"/>
        <w:rPr>
          <w:lang w:val="pl-PL"/>
        </w:rPr>
      </w:pPr>
      <w:bookmarkStart w:id="92" w:name="_Toc466904315"/>
      <w:bookmarkStart w:id="93" w:name="_Toc466972334"/>
      <w:bookmarkStart w:id="94" w:name="_Toc466972845"/>
      <w:bookmarkStart w:id="95" w:name="_Toc466974261"/>
      <w:bookmarkStart w:id="96" w:name="_Toc473801896"/>
      <w:r w:rsidRPr="0051003F">
        <w:rPr>
          <w:lang w:val="pl-PL"/>
        </w:rPr>
        <w:t>2.</w:t>
      </w:r>
      <w:r w:rsidR="00887E84" w:rsidRPr="0051003F">
        <w:rPr>
          <w:lang w:val="pl-PL"/>
        </w:rPr>
        <w:t>  </w:t>
      </w:r>
      <w:bookmarkEnd w:id="92"/>
      <w:bookmarkEnd w:id="93"/>
      <w:bookmarkEnd w:id="94"/>
      <w:bookmarkEnd w:id="95"/>
      <w:bookmarkEnd w:id="96"/>
      <w:r w:rsidR="00BA4A66" w:rsidRPr="0051003F">
        <w:rPr>
          <w:lang w:val="pl-PL"/>
        </w:rPr>
        <w:t>Rząd</w:t>
      </w:r>
    </w:p>
    <w:p w:rsidR="00AA61DC" w:rsidRPr="0051003F" w:rsidRDefault="00AA61DC" w:rsidP="00A7252F">
      <w:pPr>
        <w:pStyle w:val="ECHRHeading4"/>
        <w:rPr>
          <w:lang w:val="pl-PL"/>
        </w:rPr>
      </w:pPr>
      <w:bookmarkStart w:id="97" w:name="_Toc466904316"/>
      <w:bookmarkStart w:id="98" w:name="_Toc466972335"/>
      <w:bookmarkStart w:id="99" w:name="_Toc466972846"/>
      <w:bookmarkStart w:id="100" w:name="_Toc466974262"/>
      <w:bookmarkStart w:id="101" w:name="_Toc473801897"/>
      <w:r w:rsidRPr="0051003F">
        <w:rPr>
          <w:lang w:val="pl-PL"/>
        </w:rPr>
        <w:t>(a)  </w:t>
      </w:r>
      <w:bookmarkEnd w:id="97"/>
      <w:bookmarkEnd w:id="98"/>
      <w:bookmarkEnd w:id="99"/>
      <w:bookmarkEnd w:id="100"/>
      <w:bookmarkEnd w:id="101"/>
      <w:r w:rsidR="009226C0" w:rsidRPr="0051003F">
        <w:rPr>
          <w:lang w:val="pl-PL"/>
        </w:rPr>
        <w:t xml:space="preserve">Czy pierwsze postępowanie miało </w:t>
      </w:r>
      <w:r w:rsidR="006C44D6" w:rsidRPr="0051003F">
        <w:rPr>
          <w:lang w:val="pl-PL"/>
        </w:rPr>
        <w:t>charakter</w:t>
      </w:r>
      <w:r w:rsidR="009226C0" w:rsidRPr="0051003F">
        <w:rPr>
          <w:lang w:val="pl-PL"/>
        </w:rPr>
        <w:t xml:space="preserve"> karny?</w:t>
      </w:r>
    </w:p>
    <w:p w:rsidR="009226C0" w:rsidRPr="0051003F" w:rsidRDefault="00FB6255" w:rsidP="009226C0">
      <w:pPr>
        <w:pStyle w:val="ECHRPara"/>
        <w:rPr>
          <w:lang w:val="pl-PL"/>
        </w:rPr>
      </w:pPr>
      <w:r>
        <w:rPr>
          <w:lang w:val="pl-PL"/>
        </w:rPr>
        <w:t>66</w:t>
      </w:r>
      <w:r w:rsidR="003745E5" w:rsidRPr="0051003F">
        <w:rPr>
          <w:lang w:val="pl-PL"/>
        </w:rPr>
        <w:fldChar w:fldCharType="begin"/>
      </w:r>
      <w:r w:rsidR="00AA61DC" w:rsidRPr="0051003F">
        <w:rPr>
          <w:lang w:val="pl-PL"/>
        </w:rPr>
        <w:instrText xml:space="preserve"> SEQ level0 \*arabic </w:instrText>
      </w:r>
      <w:r w:rsidR="003745E5" w:rsidRPr="0051003F">
        <w:rPr>
          <w:lang w:val="pl-PL"/>
        </w:rPr>
        <w:fldChar w:fldCharType="separate"/>
      </w:r>
      <w:r w:rsidR="003745E5" w:rsidRPr="0051003F">
        <w:rPr>
          <w:lang w:val="pl-PL"/>
        </w:rPr>
        <w:fldChar w:fldCharType="end"/>
      </w:r>
      <w:r w:rsidR="009226C0" w:rsidRPr="0051003F">
        <w:rPr>
          <w:lang w:val="pl-PL"/>
        </w:rPr>
        <w:t xml:space="preserve">.  Rząd zwrócił się do Wielkiej Izby o potwierdzenie podejścia przyjętego w szeregu spraw poprzedzających wyrok w sprawie </w:t>
      </w:r>
      <w:proofErr w:type="spellStart"/>
      <w:r w:rsidR="009226C0" w:rsidRPr="0051003F">
        <w:rPr>
          <w:i/>
          <w:lang w:val="pl-PL"/>
        </w:rPr>
        <w:t>Zolotukhin</w:t>
      </w:r>
      <w:proofErr w:type="spellEnd"/>
      <w:r w:rsidR="009226C0" w:rsidRPr="0051003F">
        <w:rPr>
          <w:lang w:val="pl-PL"/>
        </w:rPr>
        <w:t xml:space="preserve">, a mianowicie, że dla oceny, czy sankcja jest </w:t>
      </w:r>
      <w:r w:rsidR="002B2C04">
        <w:rPr>
          <w:lang w:val="pl-PL"/>
        </w:rPr>
        <w:t>,,</w:t>
      </w:r>
      <w:r w:rsidR="009226C0" w:rsidRPr="0051003F">
        <w:rPr>
          <w:lang w:val="pl-PL"/>
        </w:rPr>
        <w:t xml:space="preserve">karna" w rozumieniu art. 4 Protokołu </w:t>
      </w:r>
      <w:proofErr w:type="spellStart"/>
      <w:r w:rsidR="002B2C04">
        <w:rPr>
          <w:lang w:val="pl-PL"/>
        </w:rPr>
        <w:t>n</w:t>
      </w:r>
      <w:r w:rsidR="009226C0" w:rsidRPr="0051003F">
        <w:rPr>
          <w:lang w:val="pl-PL"/>
        </w:rPr>
        <w:t>Nr</w:t>
      </w:r>
      <w:proofErr w:type="spellEnd"/>
      <w:r w:rsidR="009226C0" w:rsidRPr="0051003F">
        <w:rPr>
          <w:lang w:val="pl-PL"/>
        </w:rPr>
        <w:t xml:space="preserve"> 7, istotny jest szerszy zakres czynników niż kryteria </w:t>
      </w:r>
      <w:proofErr w:type="spellStart"/>
      <w:r w:rsidR="009226C0" w:rsidRPr="0051003F">
        <w:rPr>
          <w:i/>
          <w:lang w:val="pl-PL"/>
        </w:rPr>
        <w:t>Engela</w:t>
      </w:r>
      <w:proofErr w:type="spellEnd"/>
      <w:r w:rsidR="009226C0" w:rsidRPr="0051003F">
        <w:rPr>
          <w:lang w:val="pl-PL"/>
        </w:rPr>
        <w:t xml:space="preserve"> (zgodnie z art. 6). Twierdził, że należy uwzględnić takie czynniki, jak kwalifikacja prawna czynu zabronionego pod groźbą kary w świetle prawa krajowego, charakter czynu zabronionego pod groźbą kary, krajowa charakterystyka prawna sankcji, jej cel, charakter i stopień dotkliwości, czy sankcja została nałożona w następstwie wyroku skazującego za popełnienie czynu zabronionego pod groźbą kary oraz procedury związane z przyjęciem i wykonaniem sankcji (odniósł się do </w:t>
      </w:r>
      <w:proofErr w:type="spellStart"/>
      <w:r w:rsidR="009226C0" w:rsidRPr="0051003F">
        <w:rPr>
          <w:i/>
          <w:lang w:val="pl-PL"/>
        </w:rPr>
        <w:t>Malige</w:t>
      </w:r>
      <w:proofErr w:type="spellEnd"/>
      <w:r w:rsidR="009226C0" w:rsidRPr="0051003F">
        <w:rPr>
          <w:i/>
          <w:lang w:val="pl-PL"/>
        </w:rPr>
        <w:t xml:space="preserve"> przeciwko Francji</w:t>
      </w:r>
      <w:r w:rsidR="009226C0" w:rsidRPr="0051003F">
        <w:rPr>
          <w:lang w:val="pl-PL"/>
        </w:rPr>
        <w:t>, 23 września 1998 r</w:t>
      </w:r>
      <w:r w:rsidR="002B2C04">
        <w:rPr>
          <w:lang w:val="pl-PL"/>
        </w:rPr>
        <w:t>oku</w:t>
      </w:r>
      <w:r w:rsidR="009226C0" w:rsidRPr="0051003F">
        <w:rPr>
          <w:lang w:val="pl-PL"/>
        </w:rPr>
        <w:t xml:space="preserve">, § 35, Sprawozdania z wyroków i decyzji 1998-VII; </w:t>
      </w:r>
      <w:proofErr w:type="spellStart"/>
      <w:r w:rsidR="009226C0" w:rsidRPr="0051003F">
        <w:rPr>
          <w:i/>
          <w:lang w:val="pl-PL"/>
        </w:rPr>
        <w:t>Nilsson</w:t>
      </w:r>
      <w:proofErr w:type="spellEnd"/>
      <w:r w:rsidR="009226C0" w:rsidRPr="0051003F">
        <w:rPr>
          <w:i/>
          <w:lang w:val="pl-PL"/>
        </w:rPr>
        <w:t xml:space="preserve"> przeciwko Szwecji</w:t>
      </w:r>
      <w:r w:rsidR="009226C0" w:rsidRPr="0051003F">
        <w:rPr>
          <w:lang w:val="pl-PL"/>
        </w:rPr>
        <w:t xml:space="preserve"> (</w:t>
      </w:r>
      <w:proofErr w:type="spellStart"/>
      <w:r w:rsidR="009226C0" w:rsidRPr="0051003F">
        <w:rPr>
          <w:lang w:val="pl-PL"/>
        </w:rPr>
        <w:t>dec</w:t>
      </w:r>
      <w:proofErr w:type="spellEnd"/>
      <w:r w:rsidR="009226C0" w:rsidRPr="0051003F">
        <w:rPr>
          <w:lang w:val="pl-PL"/>
        </w:rPr>
        <w:t xml:space="preserve">.), nr 73661/01, </w:t>
      </w:r>
      <w:proofErr w:type="spellStart"/>
      <w:r w:rsidR="009226C0" w:rsidRPr="0051003F">
        <w:rPr>
          <w:lang w:val="pl-PL"/>
        </w:rPr>
        <w:t>ETPCz</w:t>
      </w:r>
      <w:proofErr w:type="spellEnd"/>
      <w:r w:rsidR="009226C0" w:rsidRPr="0051003F">
        <w:rPr>
          <w:lang w:val="pl-PL"/>
        </w:rPr>
        <w:t xml:space="preserve"> 2005-XIII; </w:t>
      </w:r>
      <w:proofErr w:type="spellStart"/>
      <w:r w:rsidR="009226C0" w:rsidRPr="0051003F">
        <w:rPr>
          <w:i/>
          <w:lang w:val="pl-PL"/>
        </w:rPr>
        <w:t>Haarvig</w:t>
      </w:r>
      <w:proofErr w:type="spellEnd"/>
      <w:r w:rsidR="009226C0" w:rsidRPr="0051003F">
        <w:rPr>
          <w:i/>
          <w:lang w:val="pl-PL"/>
        </w:rPr>
        <w:t xml:space="preserve"> przeciwko Norwegii</w:t>
      </w:r>
      <w:r w:rsidR="009226C0" w:rsidRPr="0051003F">
        <w:rPr>
          <w:lang w:val="pl-PL"/>
        </w:rPr>
        <w:t xml:space="preserve"> (</w:t>
      </w:r>
      <w:proofErr w:type="spellStart"/>
      <w:r w:rsidR="009226C0" w:rsidRPr="0051003F">
        <w:rPr>
          <w:lang w:val="pl-PL"/>
        </w:rPr>
        <w:t>dec</w:t>
      </w:r>
      <w:proofErr w:type="spellEnd"/>
      <w:r w:rsidR="009226C0" w:rsidRPr="0051003F">
        <w:rPr>
          <w:lang w:val="pl-PL"/>
        </w:rPr>
        <w:t>.), nr 11187/05 z dnia 11 grudnia 2007 r</w:t>
      </w:r>
      <w:r w:rsidR="00EC5491">
        <w:rPr>
          <w:lang w:val="pl-PL"/>
        </w:rPr>
        <w:t>oku</w:t>
      </w:r>
      <w:r w:rsidR="009226C0" w:rsidRPr="0051003F">
        <w:rPr>
          <w:lang w:val="pl-PL"/>
        </w:rPr>
        <w:t xml:space="preserve">; </w:t>
      </w:r>
      <w:proofErr w:type="spellStart"/>
      <w:r w:rsidR="009226C0" w:rsidRPr="0051003F">
        <w:rPr>
          <w:i/>
          <w:lang w:val="pl-PL"/>
        </w:rPr>
        <w:lastRenderedPageBreak/>
        <w:t>Storbråten</w:t>
      </w:r>
      <w:proofErr w:type="spellEnd"/>
      <w:r w:rsidR="009226C0" w:rsidRPr="0051003F">
        <w:rPr>
          <w:i/>
          <w:lang w:val="pl-PL"/>
        </w:rPr>
        <w:t xml:space="preserve"> przeciwko Norwegii</w:t>
      </w:r>
      <w:r w:rsidR="009226C0" w:rsidRPr="0051003F">
        <w:rPr>
          <w:lang w:val="pl-PL"/>
        </w:rPr>
        <w:t xml:space="preserve"> (</w:t>
      </w:r>
      <w:proofErr w:type="spellStart"/>
      <w:r w:rsidR="009226C0" w:rsidRPr="0051003F">
        <w:rPr>
          <w:lang w:val="pl-PL"/>
        </w:rPr>
        <w:t>dec</w:t>
      </w:r>
      <w:proofErr w:type="spellEnd"/>
      <w:r w:rsidR="009226C0" w:rsidRPr="0051003F">
        <w:rPr>
          <w:lang w:val="pl-PL"/>
        </w:rPr>
        <w:t>.), nr 12277/04 z dnia 1 lutego 2007 r</w:t>
      </w:r>
      <w:r w:rsidR="00EC5491">
        <w:rPr>
          <w:lang w:val="pl-PL"/>
        </w:rPr>
        <w:t>oku</w:t>
      </w:r>
      <w:r w:rsidR="009226C0" w:rsidRPr="0051003F">
        <w:rPr>
          <w:lang w:val="pl-PL"/>
        </w:rPr>
        <w:t xml:space="preserve">; oraz </w:t>
      </w:r>
      <w:proofErr w:type="spellStart"/>
      <w:r w:rsidR="009226C0" w:rsidRPr="0051003F">
        <w:rPr>
          <w:i/>
          <w:lang w:val="pl-PL"/>
        </w:rPr>
        <w:t>Mjelde</w:t>
      </w:r>
      <w:proofErr w:type="spellEnd"/>
      <w:r w:rsidR="009226C0" w:rsidRPr="0051003F">
        <w:rPr>
          <w:i/>
          <w:lang w:val="pl-PL"/>
        </w:rPr>
        <w:t xml:space="preserve"> przeciwko Norwegii </w:t>
      </w:r>
      <w:r w:rsidR="009226C0" w:rsidRPr="0051003F">
        <w:rPr>
          <w:lang w:val="pl-PL"/>
        </w:rPr>
        <w:t>(</w:t>
      </w:r>
      <w:proofErr w:type="spellStart"/>
      <w:r w:rsidR="009226C0" w:rsidRPr="0051003F">
        <w:rPr>
          <w:lang w:val="pl-PL"/>
        </w:rPr>
        <w:t>dec</w:t>
      </w:r>
      <w:proofErr w:type="spellEnd"/>
      <w:r w:rsidR="009226C0" w:rsidRPr="0051003F">
        <w:rPr>
          <w:lang w:val="pl-PL"/>
        </w:rPr>
        <w:t>.), 11143/04 z dnia 1 lutego 2007 r</w:t>
      </w:r>
      <w:r w:rsidR="00EC5491">
        <w:rPr>
          <w:lang w:val="pl-PL"/>
        </w:rPr>
        <w:t>oku</w:t>
      </w:r>
      <w:r w:rsidR="009226C0" w:rsidRPr="0051003F">
        <w:rPr>
          <w:lang w:val="pl-PL"/>
        </w:rPr>
        <w:t>).</w:t>
      </w:r>
    </w:p>
    <w:p w:rsidR="009226C0" w:rsidRPr="0051003F" w:rsidRDefault="00EC5491" w:rsidP="009226C0">
      <w:pPr>
        <w:pStyle w:val="ECHRPara"/>
        <w:rPr>
          <w:lang w:val="pl-PL"/>
        </w:rPr>
      </w:pPr>
      <w:r>
        <w:rPr>
          <w:lang w:val="pl-PL"/>
        </w:rPr>
        <w:t>67</w:t>
      </w:r>
      <w:r w:rsidR="00AA61DC" w:rsidRPr="0051003F">
        <w:rPr>
          <w:lang w:val="pl-PL"/>
        </w:rPr>
        <w:t>.  </w:t>
      </w:r>
      <w:r w:rsidR="009226C0" w:rsidRPr="0051003F">
        <w:rPr>
          <w:lang w:val="pl-PL"/>
        </w:rPr>
        <w:t xml:space="preserve">Rząd utrzymywał </w:t>
      </w:r>
      <w:proofErr w:type="spellStart"/>
      <w:r w:rsidR="009226C0" w:rsidRPr="0051003F">
        <w:rPr>
          <w:i/>
          <w:lang w:val="pl-PL"/>
        </w:rPr>
        <w:t>inter</w:t>
      </w:r>
      <w:proofErr w:type="spellEnd"/>
      <w:r w:rsidR="009226C0" w:rsidRPr="0051003F">
        <w:rPr>
          <w:i/>
          <w:lang w:val="pl-PL"/>
        </w:rPr>
        <w:t xml:space="preserve"> </w:t>
      </w:r>
      <w:proofErr w:type="spellStart"/>
      <w:r w:rsidR="009226C0" w:rsidRPr="0051003F">
        <w:rPr>
          <w:i/>
          <w:lang w:val="pl-PL"/>
        </w:rPr>
        <w:t>alia</w:t>
      </w:r>
      <w:proofErr w:type="spellEnd"/>
      <w:r w:rsidR="009226C0" w:rsidRPr="0051003F">
        <w:rPr>
          <w:lang w:val="pl-PL"/>
        </w:rPr>
        <w:t xml:space="preserve">, że odmienne sformułowania i przedmiot przepisów, wyraźnie sugerowały, że pojęcie „postępowania karnego” w rozumieniu art. 4 Protokołu </w:t>
      </w:r>
      <w:proofErr w:type="spellStart"/>
      <w:r>
        <w:rPr>
          <w:lang w:val="pl-PL"/>
        </w:rPr>
        <w:t>n</w:t>
      </w:r>
      <w:r w:rsidR="009226C0" w:rsidRPr="0051003F">
        <w:rPr>
          <w:lang w:val="pl-PL"/>
        </w:rPr>
        <w:t>Nr</w:t>
      </w:r>
      <w:proofErr w:type="spellEnd"/>
      <w:r w:rsidR="009226C0" w:rsidRPr="0051003F">
        <w:rPr>
          <w:lang w:val="pl-PL"/>
        </w:rPr>
        <w:t xml:space="preserve"> 7 jest węższe niż „karne” w rozumieniu art. 6. Ze sprawozdania wyjaśniającego w odniesieniu do Protokołu </w:t>
      </w:r>
      <w:r>
        <w:rPr>
          <w:lang w:val="pl-PL"/>
        </w:rPr>
        <w:t>nr</w:t>
      </w:r>
      <w:r w:rsidRPr="0051003F">
        <w:rPr>
          <w:lang w:val="pl-PL"/>
        </w:rPr>
        <w:t xml:space="preserve"> </w:t>
      </w:r>
      <w:r w:rsidR="009226C0" w:rsidRPr="0051003F">
        <w:rPr>
          <w:lang w:val="pl-PL"/>
        </w:rPr>
        <w:t xml:space="preserve">7 wynika, że treść art. 4 była przeznaczona na potrzeby postępowania karnego o charakterze </w:t>
      </w:r>
      <w:r w:rsidR="009226C0" w:rsidRPr="0051003F">
        <w:rPr>
          <w:i/>
          <w:lang w:val="pl-PL"/>
        </w:rPr>
        <w:t>sensu stricto</w:t>
      </w:r>
      <w:r w:rsidR="009226C0" w:rsidRPr="0051003F">
        <w:rPr>
          <w:lang w:val="pl-PL"/>
        </w:rPr>
        <w:t xml:space="preserve">. W pkt 28 tego sprawozdania stwierdzono, że nie wydaje się konieczne zakwalifikowanie terminu </w:t>
      </w:r>
      <w:r w:rsidR="0065493D" w:rsidRPr="0051003F">
        <w:rPr>
          <w:lang w:val="pl-PL"/>
        </w:rPr>
        <w:t>wykroczenia</w:t>
      </w:r>
      <w:r w:rsidR="009226C0" w:rsidRPr="0051003F">
        <w:rPr>
          <w:lang w:val="pl-PL"/>
        </w:rPr>
        <w:t xml:space="preserve"> jako </w:t>
      </w:r>
      <w:r>
        <w:rPr>
          <w:lang w:val="pl-PL"/>
        </w:rPr>
        <w:t>,,</w:t>
      </w:r>
      <w:r w:rsidR="009226C0" w:rsidRPr="0051003F">
        <w:rPr>
          <w:lang w:val="pl-PL"/>
        </w:rPr>
        <w:t xml:space="preserve">przestępstwo”, ponieważ przepis zawiera już pojęcia „w postępowaniu karnym” i „postępowanie karne”, które sprawiają, że dalsze doprecyzowanie w tekście samego artykułu nie jest konieczne. W pkt. 32 podkreślono, że art. 4 Protokołu </w:t>
      </w:r>
      <w:r w:rsidR="00473AF5">
        <w:rPr>
          <w:lang w:val="pl-PL"/>
        </w:rPr>
        <w:t>n</w:t>
      </w:r>
      <w:r w:rsidR="00473AF5" w:rsidRPr="0051003F">
        <w:rPr>
          <w:lang w:val="pl-PL"/>
        </w:rPr>
        <w:t xml:space="preserve">r </w:t>
      </w:r>
      <w:r w:rsidR="009226C0" w:rsidRPr="0051003F">
        <w:rPr>
          <w:lang w:val="pl-PL"/>
        </w:rPr>
        <w:t xml:space="preserve">7 nie zabrania postępowań „o innym charakterze (np. postępowania dyscyplinarnego w stosunku do urzędnika)”. Ponadto art. 6 i 4 Protokołu </w:t>
      </w:r>
      <w:r w:rsidR="00473AF5">
        <w:rPr>
          <w:lang w:val="pl-PL"/>
        </w:rPr>
        <w:t>n</w:t>
      </w:r>
      <w:r w:rsidR="00473AF5" w:rsidRPr="0051003F">
        <w:rPr>
          <w:lang w:val="pl-PL"/>
        </w:rPr>
        <w:t xml:space="preserve">r </w:t>
      </w:r>
      <w:r w:rsidR="009226C0" w:rsidRPr="0051003F">
        <w:rPr>
          <w:lang w:val="pl-PL"/>
        </w:rPr>
        <w:t xml:space="preserve">7 zabezpieczały różne, a czasem wręcz sprzeczne cele. </w:t>
      </w:r>
      <w:r w:rsidR="00473AF5">
        <w:rPr>
          <w:lang w:val="pl-PL"/>
        </w:rPr>
        <w:t>Art.</w:t>
      </w:r>
      <w:r w:rsidR="00473AF5" w:rsidRPr="0051003F">
        <w:rPr>
          <w:lang w:val="pl-PL"/>
        </w:rPr>
        <w:t xml:space="preserve"> </w:t>
      </w:r>
      <w:r w:rsidR="009226C0" w:rsidRPr="0051003F">
        <w:rPr>
          <w:lang w:val="pl-PL"/>
        </w:rPr>
        <w:t>6 miał na celu promowanie gwarancji proceduralnych w postępowaniu karnym.</w:t>
      </w:r>
    </w:p>
    <w:p w:rsidR="00AF39E1" w:rsidRPr="0051003F" w:rsidRDefault="00473AF5" w:rsidP="00AF39E1">
      <w:pPr>
        <w:pStyle w:val="ECHRPara"/>
        <w:rPr>
          <w:lang w:val="pl-PL"/>
        </w:rPr>
      </w:pPr>
      <w:r>
        <w:rPr>
          <w:lang w:val="pl-PL"/>
        </w:rPr>
        <w:t>68</w:t>
      </w:r>
      <w:r w:rsidR="00AA61DC" w:rsidRPr="0051003F">
        <w:rPr>
          <w:lang w:val="pl-PL"/>
        </w:rPr>
        <w:t>.  </w:t>
      </w:r>
      <w:r w:rsidR="009226C0" w:rsidRPr="0051003F">
        <w:rPr>
          <w:lang w:val="pl-PL"/>
        </w:rPr>
        <w:t xml:space="preserve">Rząd wskazał również na szereg dalszych różnic w odniesieniu do sposobu interpretacji i stosowania tych dwóch przepisów w orzecznictwie Trybunału, w tym bezwzględny charakter art. 4 Protokołu </w:t>
      </w:r>
      <w:r>
        <w:rPr>
          <w:lang w:val="pl-PL"/>
        </w:rPr>
        <w:t>nr</w:t>
      </w:r>
      <w:r w:rsidRPr="0051003F">
        <w:rPr>
          <w:lang w:val="pl-PL"/>
        </w:rPr>
        <w:t xml:space="preserve"> </w:t>
      </w:r>
      <w:r w:rsidR="009226C0" w:rsidRPr="0051003F">
        <w:rPr>
          <w:lang w:val="pl-PL"/>
        </w:rPr>
        <w:t>7 (</w:t>
      </w:r>
      <w:r w:rsidR="00623869">
        <w:rPr>
          <w:lang w:val="pl-PL"/>
        </w:rPr>
        <w:t>sformułowany</w:t>
      </w:r>
      <w:r w:rsidR="009226C0" w:rsidRPr="0051003F">
        <w:rPr>
          <w:lang w:val="pl-PL"/>
        </w:rPr>
        <w:t xml:space="preserve"> na podstawie art. 15), w przeciwieństwie do zróżnicowanego podejścia zastosowanego przez Trybunał na podstawie art. 6. Wspomnieli oni </w:t>
      </w:r>
      <w:r w:rsidR="00AF39E1" w:rsidRPr="0051003F">
        <w:rPr>
          <w:lang w:val="pl-PL"/>
        </w:rPr>
        <w:t xml:space="preserve">wyrok w sprawie </w:t>
      </w:r>
      <w:proofErr w:type="spellStart"/>
      <w:r w:rsidR="00AF39E1" w:rsidRPr="0051003F">
        <w:rPr>
          <w:i/>
          <w:lang w:val="pl-PL"/>
        </w:rPr>
        <w:t>Jussila</w:t>
      </w:r>
      <w:proofErr w:type="spellEnd"/>
      <w:r w:rsidR="009226C0" w:rsidRPr="0051003F">
        <w:rPr>
          <w:i/>
          <w:lang w:val="pl-PL"/>
        </w:rPr>
        <w:t xml:space="preserve"> przeciwko Finlandii</w:t>
      </w:r>
      <w:r w:rsidR="00AF39E1" w:rsidRPr="0051003F">
        <w:rPr>
          <w:lang w:val="pl-PL"/>
        </w:rPr>
        <w:t xml:space="preserve"> ([WI], nr 73053/01 § 43 </w:t>
      </w:r>
      <w:proofErr w:type="spellStart"/>
      <w:r w:rsidR="00AF39E1" w:rsidRPr="0051003F">
        <w:rPr>
          <w:lang w:val="pl-PL"/>
        </w:rPr>
        <w:t>ETPCz</w:t>
      </w:r>
      <w:proofErr w:type="spellEnd"/>
      <w:r w:rsidR="009226C0" w:rsidRPr="0051003F">
        <w:rPr>
          <w:lang w:val="pl-PL"/>
        </w:rPr>
        <w:t xml:space="preserve"> 2006 XIV), gdzie Wielka</w:t>
      </w:r>
      <w:r w:rsidR="00AF39E1" w:rsidRPr="0051003F">
        <w:rPr>
          <w:lang w:val="pl-PL"/>
        </w:rPr>
        <w:t xml:space="preserve"> Izba oświadczyła, że istnieją „wyraźnie</w:t>
      </w:r>
      <w:r w:rsidR="009226C0" w:rsidRPr="0051003F">
        <w:rPr>
          <w:lang w:val="pl-PL"/>
        </w:rPr>
        <w:t xml:space="preserve"> oskarżenia karne</w:t>
      </w:r>
      <w:r w:rsidR="00AF39E1" w:rsidRPr="0051003F">
        <w:rPr>
          <w:lang w:val="pl-PL"/>
        </w:rPr>
        <w:t>”</w:t>
      </w:r>
      <w:r w:rsidR="009226C0" w:rsidRPr="0051003F">
        <w:rPr>
          <w:lang w:val="pl-PL"/>
        </w:rPr>
        <w:t xml:space="preserve"> "o </w:t>
      </w:r>
      <w:r w:rsidR="00AF39E1" w:rsidRPr="0051003F">
        <w:rPr>
          <w:lang w:val="pl-PL"/>
        </w:rPr>
        <w:t>„różnej wadze” i że „</w:t>
      </w:r>
      <w:r w:rsidR="009226C0" w:rsidRPr="0051003F">
        <w:rPr>
          <w:lang w:val="pl-PL"/>
        </w:rPr>
        <w:t>dopłaty podatkowe różnią się od</w:t>
      </w:r>
      <w:r w:rsidR="00AF39E1" w:rsidRPr="0051003F">
        <w:rPr>
          <w:lang w:val="pl-PL"/>
        </w:rPr>
        <w:t xml:space="preserve"> </w:t>
      </w:r>
      <w:r w:rsidR="00EC628F">
        <w:rPr>
          <w:lang w:val="pl-PL"/>
        </w:rPr>
        <w:t>ścisłego tematu</w:t>
      </w:r>
      <w:r w:rsidR="00AF39E1" w:rsidRPr="0051003F">
        <w:rPr>
          <w:lang w:val="pl-PL"/>
        </w:rPr>
        <w:t xml:space="preserve"> prawa karnego” tak, że „</w:t>
      </w:r>
      <w:r w:rsidR="009226C0" w:rsidRPr="0051003F">
        <w:rPr>
          <w:lang w:val="pl-PL"/>
        </w:rPr>
        <w:t>gwaran</w:t>
      </w:r>
      <w:r w:rsidR="00AF39E1" w:rsidRPr="0051003F">
        <w:rPr>
          <w:lang w:val="pl-PL"/>
        </w:rPr>
        <w:t>cje karne</w:t>
      </w:r>
      <w:r w:rsidR="009226C0" w:rsidRPr="0051003F">
        <w:rPr>
          <w:lang w:val="pl-PL"/>
        </w:rPr>
        <w:t xml:space="preserve"> nie muszą mieć </w:t>
      </w:r>
      <w:r w:rsidR="00AF39E1" w:rsidRPr="0051003F">
        <w:rPr>
          <w:lang w:val="pl-PL"/>
        </w:rPr>
        <w:t>pełnego zastosowania.”</w:t>
      </w:r>
      <w:r w:rsidR="009226C0" w:rsidRPr="0051003F">
        <w:rPr>
          <w:lang w:val="pl-PL"/>
        </w:rPr>
        <w:t>.</w:t>
      </w:r>
    </w:p>
    <w:p w:rsidR="00AA61DC" w:rsidRPr="0051003F" w:rsidRDefault="00D3495E" w:rsidP="00E53E8D">
      <w:pPr>
        <w:pStyle w:val="ECHRPara"/>
        <w:rPr>
          <w:lang w:val="pl-PL"/>
        </w:rPr>
      </w:pPr>
      <w:r>
        <w:rPr>
          <w:lang w:val="pl-PL"/>
        </w:rPr>
        <w:t>69</w:t>
      </w:r>
      <w:r w:rsidR="00AA61DC" w:rsidRPr="0051003F">
        <w:rPr>
          <w:lang w:val="pl-PL"/>
        </w:rPr>
        <w:t>.  </w:t>
      </w:r>
      <w:r w:rsidR="00E53E8D" w:rsidRPr="0051003F">
        <w:rPr>
          <w:lang w:val="pl-PL"/>
        </w:rPr>
        <w:t xml:space="preserve">Opierając się na szerszym zakresie kryteriów, </w:t>
      </w:r>
      <w:r>
        <w:rPr>
          <w:lang w:val="pl-PL"/>
        </w:rPr>
        <w:t>R</w:t>
      </w:r>
      <w:r w:rsidR="00E53E8D" w:rsidRPr="0051003F">
        <w:rPr>
          <w:lang w:val="pl-PL"/>
        </w:rPr>
        <w:t xml:space="preserve">ząd zwrócił się do Trybunału o stwierdzenie, że zwykłe kary podatkowe nie są </w:t>
      </w:r>
      <w:r>
        <w:rPr>
          <w:lang w:val="pl-PL"/>
        </w:rPr>
        <w:t>,,</w:t>
      </w:r>
      <w:r w:rsidR="00E53E8D" w:rsidRPr="0051003F">
        <w:rPr>
          <w:lang w:val="pl-PL"/>
        </w:rPr>
        <w:t xml:space="preserve">karne" w rozumieniu art. 4 Protokołu </w:t>
      </w:r>
      <w:r>
        <w:rPr>
          <w:lang w:val="pl-PL"/>
        </w:rPr>
        <w:t>nr</w:t>
      </w:r>
      <w:r w:rsidRPr="0051003F">
        <w:rPr>
          <w:lang w:val="pl-PL"/>
        </w:rPr>
        <w:t xml:space="preserve"> </w:t>
      </w:r>
      <w:r w:rsidR="00E53E8D" w:rsidRPr="0051003F">
        <w:rPr>
          <w:lang w:val="pl-PL"/>
        </w:rPr>
        <w:t>7.</w:t>
      </w:r>
    </w:p>
    <w:p w:rsidR="00AA61DC" w:rsidRPr="0051003F" w:rsidRDefault="00F26D32" w:rsidP="00E53E8D">
      <w:pPr>
        <w:pStyle w:val="ECHRPara"/>
        <w:rPr>
          <w:lang w:val="pl-PL"/>
        </w:rPr>
      </w:pPr>
      <w:r>
        <w:rPr>
          <w:lang w:val="pl-PL"/>
        </w:rPr>
        <w:t>70</w:t>
      </w:r>
      <w:r w:rsidR="00AA61DC" w:rsidRPr="0051003F">
        <w:rPr>
          <w:lang w:val="pl-PL"/>
        </w:rPr>
        <w:t>.  </w:t>
      </w:r>
      <w:r w:rsidR="00E53E8D" w:rsidRPr="0051003F">
        <w:rPr>
          <w:lang w:val="pl-PL"/>
        </w:rPr>
        <w:t xml:space="preserve">Gdyby jednak Wielka Izba miała przyjąć inne podejście, oparte wyłącznie na kryteriach </w:t>
      </w:r>
      <w:proofErr w:type="spellStart"/>
      <w:r w:rsidR="00E53E8D" w:rsidRPr="0051003F">
        <w:rPr>
          <w:i/>
          <w:lang w:val="pl-PL"/>
        </w:rPr>
        <w:t>Engela</w:t>
      </w:r>
      <w:proofErr w:type="spellEnd"/>
      <w:r w:rsidR="00E53E8D" w:rsidRPr="0051003F">
        <w:rPr>
          <w:lang w:val="pl-PL"/>
        </w:rPr>
        <w:t xml:space="preserve"> i uznać, że decyzja w sprawie zwykłych kar podatkowych była „karna” w autonomicznym rozumieniu art. 4 Protokołu </w:t>
      </w:r>
      <w:r w:rsidR="00A743C5">
        <w:rPr>
          <w:lang w:val="pl-PL"/>
        </w:rPr>
        <w:t>n</w:t>
      </w:r>
      <w:r w:rsidR="00A743C5" w:rsidRPr="0051003F">
        <w:rPr>
          <w:lang w:val="pl-PL"/>
        </w:rPr>
        <w:t xml:space="preserve">r </w:t>
      </w:r>
      <w:r w:rsidR="00E53E8D" w:rsidRPr="0051003F">
        <w:rPr>
          <w:lang w:val="pl-PL"/>
        </w:rPr>
        <w:t>7, argumentowali oni, co następuje.</w:t>
      </w:r>
    </w:p>
    <w:p w:rsidR="00AA61DC" w:rsidRPr="0051003F" w:rsidRDefault="00AA61DC" w:rsidP="00A7252F">
      <w:pPr>
        <w:pStyle w:val="ECHRHeading4"/>
        <w:rPr>
          <w:lang w:val="pl-PL"/>
        </w:rPr>
      </w:pPr>
      <w:bookmarkStart w:id="102" w:name="_Toc466904317"/>
      <w:bookmarkStart w:id="103" w:name="_Toc466972336"/>
      <w:bookmarkStart w:id="104" w:name="_Toc466972847"/>
      <w:bookmarkStart w:id="105" w:name="_Toc466974263"/>
      <w:bookmarkStart w:id="106" w:name="_Toc473801898"/>
      <w:r w:rsidRPr="0051003F">
        <w:rPr>
          <w:lang w:val="pl-PL"/>
        </w:rPr>
        <w:t>(b)  </w:t>
      </w:r>
      <w:r w:rsidR="00E53E8D" w:rsidRPr="0051003F">
        <w:rPr>
          <w:lang w:val="pl-PL"/>
        </w:rPr>
        <w:t>Czy wykroczenia były tożsame</w:t>
      </w:r>
      <w:r w:rsidRPr="0051003F">
        <w:rPr>
          <w:lang w:val="pl-PL"/>
        </w:rPr>
        <w:t xml:space="preserve"> (</w:t>
      </w:r>
      <w:proofErr w:type="spellStart"/>
      <w:r w:rsidRPr="0051003F">
        <w:rPr>
          <w:i/>
          <w:lang w:val="pl-PL"/>
        </w:rPr>
        <w:t>idem</w:t>
      </w:r>
      <w:proofErr w:type="spellEnd"/>
      <w:r w:rsidRPr="0051003F">
        <w:rPr>
          <w:lang w:val="pl-PL"/>
        </w:rPr>
        <w:t>)</w:t>
      </w:r>
      <w:bookmarkEnd w:id="102"/>
      <w:bookmarkEnd w:id="103"/>
      <w:bookmarkEnd w:id="104"/>
      <w:bookmarkEnd w:id="105"/>
      <w:bookmarkEnd w:id="106"/>
    </w:p>
    <w:p w:rsidR="00E53E8D" w:rsidRPr="0051003F" w:rsidRDefault="00F26D32" w:rsidP="00E53E8D">
      <w:pPr>
        <w:pStyle w:val="ECHRPara"/>
        <w:rPr>
          <w:lang w:val="pl-PL"/>
        </w:rPr>
      </w:pPr>
      <w:r>
        <w:rPr>
          <w:lang w:val="pl-PL"/>
        </w:rPr>
        <w:t>71</w:t>
      </w:r>
      <w:r w:rsidR="00AA61DC" w:rsidRPr="0051003F">
        <w:rPr>
          <w:lang w:val="pl-PL"/>
        </w:rPr>
        <w:t>.  </w:t>
      </w:r>
      <w:r w:rsidR="00E53E8D" w:rsidRPr="0051003F">
        <w:rPr>
          <w:lang w:val="pl-PL"/>
        </w:rPr>
        <w:t xml:space="preserve">Zgadzając się z uzasadnieniem i konkluzją Sądu Najwyższego w sprawie pierwszego skarżącego (zob. paragraf 20-30 powyżej), które Sąd Apelacyjny </w:t>
      </w:r>
      <w:r w:rsidR="00310CD6" w:rsidRPr="0051003F">
        <w:rPr>
          <w:lang w:val="pl-PL"/>
        </w:rPr>
        <w:t>powtórzył</w:t>
      </w:r>
      <w:r w:rsidR="00E53E8D" w:rsidRPr="0051003F">
        <w:rPr>
          <w:lang w:val="pl-PL"/>
        </w:rPr>
        <w:t xml:space="preserve"> w przypadku drugiego ze skarżących (zob. paragraf 37 powyżej), </w:t>
      </w:r>
      <w:r w:rsidR="00A743C5">
        <w:rPr>
          <w:lang w:val="pl-PL"/>
        </w:rPr>
        <w:t>R</w:t>
      </w:r>
      <w:r w:rsidR="00A743C5" w:rsidRPr="0051003F">
        <w:rPr>
          <w:lang w:val="pl-PL"/>
        </w:rPr>
        <w:t xml:space="preserve">ząd </w:t>
      </w:r>
      <w:r w:rsidR="00E53E8D" w:rsidRPr="0051003F">
        <w:rPr>
          <w:lang w:val="pl-PL"/>
        </w:rPr>
        <w:t>uznał, że okoliczności faktyczne dotyczące kar podatkowych i przestępstw podatkowych dotyczyły tych samych oskarżonych i były nierozerwalnie ze sobą powiązane w czasie i przestrzeni</w:t>
      </w:r>
      <w:r w:rsidR="006D7C5E">
        <w:rPr>
          <w:lang w:val="pl-PL"/>
        </w:rPr>
        <w:t>.</w:t>
      </w:r>
    </w:p>
    <w:p w:rsidR="00AA61DC" w:rsidRPr="0051003F" w:rsidRDefault="00E53E8D" w:rsidP="00A7252F">
      <w:pPr>
        <w:pStyle w:val="ECHRHeading4"/>
        <w:rPr>
          <w:lang w:val="pl-PL"/>
        </w:rPr>
      </w:pPr>
      <w:bookmarkStart w:id="107" w:name="_Toc466904318"/>
      <w:bookmarkStart w:id="108" w:name="_Toc466972337"/>
      <w:bookmarkStart w:id="109" w:name="_Toc466972848"/>
      <w:bookmarkStart w:id="110" w:name="_Toc466974264"/>
      <w:bookmarkStart w:id="111" w:name="_Toc473801899"/>
      <w:r w:rsidRPr="0051003F">
        <w:rPr>
          <w:lang w:val="pl-PL"/>
        </w:rPr>
        <w:lastRenderedPageBreak/>
        <w:t xml:space="preserve"> </w:t>
      </w:r>
      <w:r w:rsidR="00AA61DC" w:rsidRPr="0051003F">
        <w:rPr>
          <w:lang w:val="pl-PL"/>
        </w:rPr>
        <w:t>(c)  </w:t>
      </w:r>
      <w:bookmarkEnd w:id="107"/>
      <w:bookmarkEnd w:id="108"/>
      <w:bookmarkEnd w:id="109"/>
      <w:bookmarkEnd w:id="110"/>
      <w:bookmarkEnd w:id="111"/>
      <w:r w:rsidRPr="0051003F">
        <w:rPr>
          <w:lang w:val="pl-PL"/>
        </w:rPr>
        <w:t>Czy została podjęta ostateczna decyzja w postępowaniu podatkowym</w:t>
      </w:r>
    </w:p>
    <w:p w:rsidR="00310CD6" w:rsidRPr="0051003F" w:rsidRDefault="00F26D32" w:rsidP="00310CD6">
      <w:pPr>
        <w:pStyle w:val="ECHRPara"/>
        <w:rPr>
          <w:lang w:val="pl-PL"/>
        </w:rPr>
      </w:pPr>
      <w:r>
        <w:rPr>
          <w:lang w:val="pl-PL"/>
        </w:rPr>
        <w:t>72</w:t>
      </w:r>
      <w:r w:rsidR="00AA61DC" w:rsidRPr="0051003F">
        <w:rPr>
          <w:lang w:val="pl-PL"/>
        </w:rPr>
        <w:t>.  </w:t>
      </w:r>
      <w:r w:rsidR="00310CD6" w:rsidRPr="0051003F">
        <w:rPr>
          <w:lang w:val="pl-PL"/>
        </w:rPr>
        <w:t>Sąd Najwyższy stwierdził, z uwagi na konieczność zapewnienia skutecznej ochrony i jasnych wytycznych, że decyzja w sprawie wymiaru podatku stała się ostateczna z chwilą upływu trzytygodniowego terminu na wniesienie odwołania administracyjnego (odpowiednio 15 i 26 grudnia 2008 r</w:t>
      </w:r>
      <w:r w:rsidR="00A743C5">
        <w:rPr>
          <w:lang w:val="pl-PL"/>
        </w:rPr>
        <w:t>oku</w:t>
      </w:r>
      <w:r w:rsidR="00310CD6" w:rsidRPr="0051003F">
        <w:rPr>
          <w:lang w:val="pl-PL"/>
        </w:rPr>
        <w:t xml:space="preserve"> w przypadku pierwszego i drugiego </w:t>
      </w:r>
      <w:r w:rsidR="00465CC5" w:rsidRPr="0051003F">
        <w:rPr>
          <w:lang w:val="pl-PL"/>
        </w:rPr>
        <w:t>skarżącego</w:t>
      </w:r>
      <w:r w:rsidR="00310CD6" w:rsidRPr="0051003F">
        <w:rPr>
          <w:lang w:val="pl-PL"/>
        </w:rPr>
        <w:t>), mimo że sześciomiesięczny termin na wniesienie skargi do sądu zgodnie z art. 11-1 ust. 4 ustawy o rozliczeniu podatkowym jeszcze nie upłynął. O ile nie było to decydującym czynnikiem w sprawach skarżących (termin na wniesienie skargi upłynął również przed zakończeniem toczącego się postępowania karnego - odpowiednio w dniu 24 maja 2009 r</w:t>
      </w:r>
      <w:r>
        <w:rPr>
          <w:lang w:val="pl-PL"/>
        </w:rPr>
        <w:t>oku</w:t>
      </w:r>
      <w:r w:rsidR="00310CD6" w:rsidRPr="0051003F">
        <w:rPr>
          <w:lang w:val="pl-PL"/>
        </w:rPr>
        <w:t xml:space="preserve"> i 5 czerwca 2009 r</w:t>
      </w:r>
      <w:r>
        <w:rPr>
          <w:lang w:val="pl-PL"/>
        </w:rPr>
        <w:t>oku</w:t>
      </w:r>
      <w:r w:rsidR="00310CD6" w:rsidRPr="0051003F">
        <w:rPr>
          <w:lang w:val="pl-PL"/>
        </w:rPr>
        <w:t xml:space="preserve"> w odniesieniu do</w:t>
      </w:r>
      <w:r w:rsidR="001F6C1B" w:rsidRPr="0051003F">
        <w:rPr>
          <w:lang w:val="pl-PL"/>
        </w:rPr>
        <w:t xml:space="preserve"> pierwszego i drugiego skarżącego</w:t>
      </w:r>
      <w:r w:rsidR="00310CD6" w:rsidRPr="0051003F">
        <w:rPr>
          <w:lang w:val="pl-PL"/>
        </w:rPr>
        <w:t xml:space="preserve">), o tyle </w:t>
      </w:r>
      <w:r>
        <w:rPr>
          <w:lang w:val="pl-PL"/>
        </w:rPr>
        <w:t>R</w:t>
      </w:r>
      <w:r w:rsidRPr="0051003F">
        <w:rPr>
          <w:lang w:val="pl-PL"/>
        </w:rPr>
        <w:t xml:space="preserve">ząd </w:t>
      </w:r>
      <w:r w:rsidR="00310CD6" w:rsidRPr="0051003F">
        <w:rPr>
          <w:lang w:val="pl-PL"/>
        </w:rPr>
        <w:t>wyraził</w:t>
      </w:r>
      <w:r w:rsidR="001F6C1B" w:rsidRPr="0051003F">
        <w:rPr>
          <w:lang w:val="pl-PL"/>
        </w:rPr>
        <w:t xml:space="preserve"> jednak wątpliwość, czy art. 4 Protokołu </w:t>
      </w:r>
      <w:r>
        <w:rPr>
          <w:lang w:val="pl-PL"/>
        </w:rPr>
        <w:t>n</w:t>
      </w:r>
      <w:r w:rsidRPr="0051003F">
        <w:rPr>
          <w:lang w:val="pl-PL"/>
        </w:rPr>
        <w:t xml:space="preserve">r </w:t>
      </w:r>
      <w:r w:rsidR="00310CD6" w:rsidRPr="0051003F">
        <w:rPr>
          <w:lang w:val="pl-PL"/>
        </w:rPr>
        <w:t xml:space="preserve">7 wymaga takiej bardziej rygorystycznej wykładni. </w:t>
      </w:r>
      <w:r w:rsidR="001F6C1B" w:rsidRPr="0051003F">
        <w:rPr>
          <w:lang w:val="pl-PL"/>
        </w:rPr>
        <w:t>Z orzecznictwa Trybunału jasno wynikało, że „</w:t>
      </w:r>
      <w:r w:rsidR="00310CD6" w:rsidRPr="0051003F">
        <w:rPr>
          <w:lang w:val="pl-PL"/>
        </w:rPr>
        <w:t>decyzje, od których zwykłe odwołanie[...] jest wyłączone z zakre</w:t>
      </w:r>
      <w:r w:rsidR="001F6C1B" w:rsidRPr="0051003F">
        <w:rPr>
          <w:lang w:val="pl-PL"/>
        </w:rPr>
        <w:t xml:space="preserve">su gwarancji zawartej w art. 4 Protokołu </w:t>
      </w:r>
      <w:r>
        <w:rPr>
          <w:lang w:val="pl-PL"/>
        </w:rPr>
        <w:t>nr</w:t>
      </w:r>
      <w:r w:rsidRPr="0051003F">
        <w:rPr>
          <w:lang w:val="pl-PL"/>
        </w:rPr>
        <w:t xml:space="preserve"> </w:t>
      </w:r>
      <w:r w:rsidR="00310CD6" w:rsidRPr="0051003F">
        <w:rPr>
          <w:lang w:val="pl-PL"/>
        </w:rPr>
        <w:t>7 tak długo, jak nie upłynął termin do wniesienia t</w:t>
      </w:r>
      <w:r w:rsidR="001F6C1B" w:rsidRPr="0051003F">
        <w:rPr>
          <w:lang w:val="pl-PL"/>
        </w:rPr>
        <w:t xml:space="preserve">akiego odwołania[d]" (wspomniany wyżej paragraf </w:t>
      </w:r>
      <w:r w:rsidR="00310CD6" w:rsidRPr="0051003F">
        <w:rPr>
          <w:lang w:val="pl-PL"/>
        </w:rPr>
        <w:t>108</w:t>
      </w:r>
      <w:r w:rsidR="001F6C1B" w:rsidRPr="0051003F">
        <w:rPr>
          <w:lang w:val="pl-PL"/>
        </w:rPr>
        <w:t>). Skarżącym nadal przysługiwały</w:t>
      </w:r>
      <w:r w:rsidR="00310CD6" w:rsidRPr="0051003F">
        <w:rPr>
          <w:lang w:val="pl-PL"/>
        </w:rPr>
        <w:t xml:space="preserve"> zwykłe środki odwoławcze w postępowaniu sądowym przez okres sześciu miesięcy od daty wydania decyzji.</w:t>
      </w:r>
    </w:p>
    <w:p w:rsidR="00AA61DC" w:rsidRPr="0051003F" w:rsidRDefault="00310CD6" w:rsidP="00A7252F">
      <w:pPr>
        <w:pStyle w:val="ECHRHeading4"/>
        <w:rPr>
          <w:lang w:val="pl-PL"/>
        </w:rPr>
      </w:pPr>
      <w:bookmarkStart w:id="112" w:name="_Toc466904319"/>
      <w:bookmarkStart w:id="113" w:name="_Toc466972338"/>
      <w:bookmarkStart w:id="114" w:name="_Toc466972849"/>
      <w:bookmarkStart w:id="115" w:name="_Toc466974265"/>
      <w:bookmarkStart w:id="116" w:name="_Toc473801900"/>
      <w:r w:rsidRPr="0051003F">
        <w:rPr>
          <w:lang w:val="pl-PL"/>
        </w:rPr>
        <w:t xml:space="preserve"> </w:t>
      </w:r>
      <w:r w:rsidR="00AA61DC" w:rsidRPr="0051003F">
        <w:rPr>
          <w:lang w:val="pl-PL"/>
        </w:rPr>
        <w:t>(d)  </w:t>
      </w:r>
      <w:r w:rsidR="001F6C1B" w:rsidRPr="0051003F">
        <w:rPr>
          <w:lang w:val="pl-PL"/>
        </w:rPr>
        <w:t>Czy doszło do zdublowania się postępowań</w:t>
      </w:r>
      <w:r w:rsidR="00AA61DC" w:rsidRPr="0051003F">
        <w:rPr>
          <w:lang w:val="pl-PL"/>
        </w:rPr>
        <w:t xml:space="preserve"> (</w:t>
      </w:r>
      <w:r w:rsidR="00AA61DC" w:rsidRPr="0051003F">
        <w:rPr>
          <w:i/>
          <w:lang w:val="pl-PL"/>
        </w:rPr>
        <w:t>bis</w:t>
      </w:r>
      <w:r w:rsidR="00AA61DC" w:rsidRPr="0051003F">
        <w:rPr>
          <w:lang w:val="pl-PL"/>
        </w:rPr>
        <w:t>)</w:t>
      </w:r>
      <w:bookmarkEnd w:id="112"/>
      <w:bookmarkEnd w:id="113"/>
      <w:bookmarkEnd w:id="114"/>
      <w:bookmarkEnd w:id="115"/>
      <w:bookmarkEnd w:id="116"/>
      <w:r w:rsidR="001F6C1B" w:rsidRPr="0051003F">
        <w:rPr>
          <w:lang w:val="pl-PL"/>
        </w:rPr>
        <w:t>?</w:t>
      </w:r>
    </w:p>
    <w:p w:rsidR="001F6C1B" w:rsidRPr="0051003F" w:rsidRDefault="00F26D32" w:rsidP="001F6C1B">
      <w:pPr>
        <w:pStyle w:val="ECHRPara"/>
        <w:rPr>
          <w:rFonts w:cs="Times New Roman"/>
          <w:lang w:val="pl-PL"/>
        </w:rPr>
      </w:pPr>
      <w:r>
        <w:rPr>
          <w:rFonts w:cs="Times New Roman"/>
          <w:lang w:val="pl-PL"/>
        </w:rPr>
        <w:t>73</w:t>
      </w:r>
      <w:r w:rsidR="00AA61DC" w:rsidRPr="0051003F">
        <w:rPr>
          <w:rFonts w:cs="Times New Roman"/>
          <w:lang w:val="pl-PL"/>
        </w:rPr>
        <w:t>.  </w:t>
      </w:r>
      <w:r w:rsidR="001F6C1B" w:rsidRPr="0051003F">
        <w:rPr>
          <w:rFonts w:cs="Times New Roman"/>
          <w:lang w:val="pl-PL"/>
        </w:rPr>
        <w:t xml:space="preserve">Z drugiej strony </w:t>
      </w:r>
      <w:r>
        <w:rPr>
          <w:rFonts w:cs="Times New Roman"/>
          <w:lang w:val="pl-PL"/>
        </w:rPr>
        <w:t>R</w:t>
      </w:r>
      <w:r w:rsidRPr="0051003F">
        <w:rPr>
          <w:rFonts w:cs="Times New Roman"/>
          <w:lang w:val="pl-PL"/>
        </w:rPr>
        <w:t>ząd</w:t>
      </w:r>
      <w:r w:rsidR="001F6C1B" w:rsidRPr="0051003F">
        <w:rPr>
          <w:rFonts w:cs="Times New Roman"/>
          <w:lang w:val="pl-PL"/>
        </w:rPr>
        <w:t xml:space="preserve">, wciąż opierając się na analizie Sądu Najwyższego, podkreślił, że art. 4 Protokołu </w:t>
      </w:r>
      <w:r>
        <w:rPr>
          <w:rFonts w:cs="Times New Roman"/>
          <w:lang w:val="pl-PL"/>
        </w:rPr>
        <w:t>nr</w:t>
      </w:r>
      <w:r w:rsidRPr="0051003F">
        <w:rPr>
          <w:rFonts w:cs="Times New Roman"/>
          <w:lang w:val="pl-PL"/>
        </w:rPr>
        <w:t xml:space="preserve"> </w:t>
      </w:r>
      <w:r w:rsidR="001F6C1B" w:rsidRPr="0051003F">
        <w:rPr>
          <w:rFonts w:cs="Times New Roman"/>
          <w:lang w:val="pl-PL"/>
        </w:rPr>
        <w:t xml:space="preserve">7 w pewnych okolicznościach dopuszcza tzw. „równoległe postępowanie”. Brzmienie tego przepisu wyraźnie wskazywało, że zakazuje on powtarzania postępowań po tym, jak orzeczenie wydane w pierwszym postępowaniu nabrało mocy prawnej („sądzony lub ukarany ponownie... za co został już ostatecznie uniewinniony lub skazany”). Sprawozdanie wyjaśniające w odniesieniu do Protokołu nr 7 potwierdziło, że zasada </w:t>
      </w:r>
      <w:proofErr w:type="spellStart"/>
      <w:r w:rsidR="001F6C1B" w:rsidRPr="0051003F">
        <w:rPr>
          <w:rFonts w:cs="Times New Roman"/>
          <w:i/>
          <w:lang w:val="pl-PL"/>
        </w:rPr>
        <w:t>ne</w:t>
      </w:r>
      <w:proofErr w:type="spellEnd"/>
      <w:r w:rsidR="001F6C1B" w:rsidRPr="0051003F">
        <w:rPr>
          <w:rFonts w:cs="Times New Roman"/>
          <w:i/>
          <w:lang w:val="pl-PL"/>
        </w:rPr>
        <w:t xml:space="preserve"> bis in </w:t>
      </w:r>
      <w:proofErr w:type="spellStart"/>
      <w:r w:rsidR="001F6C1B" w:rsidRPr="0051003F">
        <w:rPr>
          <w:rFonts w:cs="Times New Roman"/>
          <w:i/>
          <w:lang w:val="pl-PL"/>
        </w:rPr>
        <w:t>idem</w:t>
      </w:r>
      <w:proofErr w:type="spellEnd"/>
      <w:r w:rsidR="001F6C1B" w:rsidRPr="0051003F">
        <w:rPr>
          <w:rFonts w:cs="Times New Roman"/>
          <w:lang w:val="pl-PL"/>
        </w:rPr>
        <w:t xml:space="preserve"> powinna być interpretowana stosunkowo wąsko. Znalazło to odzwierciedlenie w </w:t>
      </w:r>
      <w:proofErr w:type="spellStart"/>
      <w:r w:rsidR="001F6C1B" w:rsidRPr="0051003F">
        <w:rPr>
          <w:rFonts w:cs="Times New Roman"/>
          <w:i/>
          <w:lang w:val="pl-PL"/>
        </w:rPr>
        <w:t>Zołotukhinie</w:t>
      </w:r>
      <w:proofErr w:type="spellEnd"/>
      <w:r w:rsidR="001F6C1B" w:rsidRPr="0051003F">
        <w:rPr>
          <w:rFonts w:cs="Times New Roman"/>
          <w:lang w:val="pl-PL"/>
        </w:rPr>
        <w:t xml:space="preserve"> (cytowany powyżej w paragrafie 83), gdzie Wielka Izba doprecyzowała zakres przepisu, ograniczając go do następującej sytuacji:</w:t>
      </w:r>
    </w:p>
    <w:p w:rsidR="00AA61DC" w:rsidRPr="0051003F" w:rsidRDefault="00AA61DC" w:rsidP="009F4CBC">
      <w:pPr>
        <w:pStyle w:val="ECHRParaQuote"/>
        <w:rPr>
          <w:lang w:val="pl-PL"/>
        </w:rPr>
      </w:pPr>
      <w:r w:rsidRPr="0051003F">
        <w:rPr>
          <w:lang w:val="pl-PL"/>
        </w:rPr>
        <w:t>“</w:t>
      </w:r>
      <w:r w:rsidR="009F4CBC" w:rsidRPr="0051003F">
        <w:rPr>
          <w:lang w:val="pl-PL"/>
        </w:rPr>
        <w:t xml:space="preserve"> Gwarancja zawarta w art. 4 Protokołu nr 7 staje się ważna z chwilą wszczęcia nowego postępowania, jeżeli prawomocnie uniewinniono lub skazano już wcześniej.</w:t>
      </w:r>
      <w:r w:rsidRPr="0051003F">
        <w:rPr>
          <w:lang w:val="pl-PL"/>
        </w:rPr>
        <w:t>.”</w:t>
      </w:r>
    </w:p>
    <w:p w:rsidR="00AA61DC" w:rsidRPr="0051003F" w:rsidRDefault="00A01F89" w:rsidP="009F4CBC">
      <w:pPr>
        <w:pStyle w:val="ECHRPara"/>
        <w:rPr>
          <w:rFonts w:cs="Times New Roman"/>
          <w:lang w:val="pl-PL"/>
        </w:rPr>
      </w:pPr>
      <w:r>
        <w:rPr>
          <w:rFonts w:cs="Times New Roman"/>
          <w:lang w:val="pl-PL"/>
        </w:rPr>
        <w:t>74</w:t>
      </w:r>
      <w:r w:rsidR="00AA61DC" w:rsidRPr="0051003F">
        <w:rPr>
          <w:rFonts w:cs="Times New Roman"/>
          <w:lang w:val="pl-PL"/>
        </w:rPr>
        <w:t>.  </w:t>
      </w:r>
      <w:r w:rsidR="005D2109" w:rsidRPr="005D2109">
        <w:rPr>
          <w:rFonts w:cs="Times New Roman"/>
          <w:lang w:val="pl-PL"/>
        </w:rPr>
        <w:t xml:space="preserve">Oznaczało to </w:t>
      </w:r>
      <w:r w:rsidR="005D2109" w:rsidRPr="00486852">
        <w:rPr>
          <w:rFonts w:cs="Times New Roman"/>
          <w:i/>
          <w:lang w:val="pl-PL"/>
        </w:rPr>
        <w:t>a contrario</w:t>
      </w:r>
      <w:r w:rsidR="005D2109" w:rsidRPr="005D2109">
        <w:rPr>
          <w:rFonts w:cs="Times New Roman"/>
          <w:lang w:val="pl-PL"/>
        </w:rPr>
        <w:t xml:space="preserve">, że równoległe postępowania - różne sankcje nałożone przez dwa różne organy w różnych postępowaniach ściśle związanych merytorycznie i w czasie - wykroczyły poza zakres tego </w:t>
      </w:r>
      <w:proofErr w:type="spellStart"/>
      <w:r w:rsidR="005D2109" w:rsidRPr="005D2109">
        <w:rPr>
          <w:rFonts w:cs="Times New Roman"/>
          <w:lang w:val="pl-PL"/>
        </w:rPr>
        <w:t>przepisu.</w:t>
      </w:r>
      <w:r w:rsidR="009F4CBC" w:rsidRPr="0051003F">
        <w:rPr>
          <w:rFonts w:cs="Times New Roman"/>
          <w:lang w:val="pl-PL"/>
        </w:rPr>
        <w:t>Takie</w:t>
      </w:r>
      <w:proofErr w:type="spellEnd"/>
      <w:r w:rsidR="009F4CBC" w:rsidRPr="0051003F">
        <w:rPr>
          <w:rFonts w:cs="Times New Roman"/>
          <w:lang w:val="pl-PL"/>
        </w:rPr>
        <w:t xml:space="preserve"> równoległe postępowanie nie stanowiłoby wszczęcia nowego postępowania, w przypadku</w:t>
      </w:r>
      <w:r w:rsidR="00CD0F7A">
        <w:rPr>
          <w:rFonts w:cs="Times New Roman"/>
          <w:lang w:val="pl-PL"/>
        </w:rPr>
        <w:t>,</w:t>
      </w:r>
      <w:r w:rsidR="009F4CBC" w:rsidRPr="0051003F">
        <w:rPr>
          <w:rFonts w:cs="Times New Roman"/>
          <w:lang w:val="pl-PL"/>
        </w:rPr>
        <w:t xml:space="preserve"> gdy wcześniejszy wyrok uniewinniający lub skazujący uzyskał już powagę rzeczy osądzonej</w:t>
      </w:r>
      <w:r w:rsidR="009F4CBC" w:rsidRPr="0051003F">
        <w:rPr>
          <w:rFonts w:cs="Times New Roman"/>
          <w:i/>
          <w:lang w:val="pl-PL"/>
        </w:rPr>
        <w:t xml:space="preserve">. R. T. przeciwko Szwajcarii </w:t>
      </w:r>
      <w:r w:rsidR="009F4CBC" w:rsidRPr="0051003F">
        <w:rPr>
          <w:rFonts w:cs="Times New Roman"/>
          <w:lang w:val="pl-PL"/>
        </w:rPr>
        <w:t xml:space="preserve">i </w:t>
      </w:r>
      <w:proofErr w:type="spellStart"/>
      <w:r w:rsidR="009F4CBC" w:rsidRPr="0051003F">
        <w:rPr>
          <w:rFonts w:cs="Times New Roman"/>
          <w:i/>
          <w:lang w:val="pl-PL"/>
        </w:rPr>
        <w:t>Nilsson</w:t>
      </w:r>
      <w:proofErr w:type="spellEnd"/>
      <w:r w:rsidR="009F4CBC" w:rsidRPr="0051003F">
        <w:rPr>
          <w:rFonts w:cs="Times New Roman"/>
          <w:i/>
          <w:lang w:val="pl-PL"/>
        </w:rPr>
        <w:t xml:space="preserve"> przeciwko Szwecji</w:t>
      </w:r>
      <w:r w:rsidR="009F4CBC" w:rsidRPr="0051003F">
        <w:rPr>
          <w:rFonts w:cs="Times New Roman"/>
          <w:lang w:val="pl-PL"/>
        </w:rPr>
        <w:t xml:space="preserve"> (obie wymienione </w:t>
      </w:r>
      <w:r w:rsidR="009F4CBC" w:rsidRPr="0051003F">
        <w:rPr>
          <w:rFonts w:cs="Times New Roman"/>
          <w:lang w:val="pl-PL"/>
        </w:rPr>
        <w:lastRenderedPageBreak/>
        <w:t xml:space="preserve">powyżej) wyjaśniły okoliczności, w których postępowanie można uznać za równoległe i tym samym dopuszczalne na mocy art. 4 </w:t>
      </w:r>
      <w:r w:rsidR="00CD0F7A">
        <w:rPr>
          <w:rFonts w:cs="Times New Roman"/>
          <w:lang w:val="pl-PL"/>
        </w:rPr>
        <w:t>P</w:t>
      </w:r>
      <w:r w:rsidR="009F4CBC" w:rsidRPr="0051003F">
        <w:rPr>
          <w:rFonts w:cs="Times New Roman"/>
          <w:lang w:val="pl-PL"/>
        </w:rPr>
        <w:t>rotokołu nr 7</w:t>
      </w:r>
      <w:r w:rsidR="00AA61DC" w:rsidRPr="0051003F">
        <w:rPr>
          <w:rFonts w:cs="Times New Roman"/>
          <w:lang w:val="pl-PL"/>
        </w:rPr>
        <w:t>.</w:t>
      </w:r>
    </w:p>
    <w:p w:rsidR="009F4CBC" w:rsidRPr="0051003F" w:rsidRDefault="00CD0F7A" w:rsidP="009F4CBC">
      <w:pPr>
        <w:pStyle w:val="ECHRPara"/>
        <w:rPr>
          <w:rFonts w:cs="Times New Roman"/>
          <w:lang w:val="pl-PL"/>
        </w:rPr>
      </w:pPr>
      <w:r>
        <w:rPr>
          <w:rFonts w:cs="Times New Roman"/>
          <w:lang w:val="pl-PL"/>
        </w:rPr>
        <w:t>75</w:t>
      </w:r>
      <w:r w:rsidR="00AA61DC" w:rsidRPr="0051003F">
        <w:rPr>
          <w:rFonts w:cs="Times New Roman"/>
          <w:lang w:val="pl-PL"/>
        </w:rPr>
        <w:t>.  </w:t>
      </w:r>
      <w:r w:rsidR="009F4CBC" w:rsidRPr="0051003F">
        <w:rPr>
          <w:rFonts w:cs="Times New Roman"/>
          <w:lang w:val="pl-PL"/>
        </w:rPr>
        <w:t xml:space="preserve">Niemniej jednak </w:t>
      </w:r>
      <w:r w:rsidR="00794E14">
        <w:rPr>
          <w:rFonts w:cs="Times New Roman"/>
          <w:lang w:val="pl-PL"/>
        </w:rPr>
        <w:t>z</w:t>
      </w:r>
      <w:r w:rsidR="009F4CBC" w:rsidRPr="0051003F">
        <w:rPr>
          <w:rFonts w:cs="Times New Roman"/>
          <w:lang w:val="pl-PL"/>
        </w:rPr>
        <w:t xml:space="preserve"> analizy rządowej</w:t>
      </w:r>
      <w:r w:rsidR="003441C9">
        <w:rPr>
          <w:rFonts w:cs="Times New Roman"/>
          <w:lang w:val="pl-PL"/>
        </w:rPr>
        <w:t xml:space="preserve"> wynika, że</w:t>
      </w:r>
      <w:r w:rsidR="009F4CBC" w:rsidRPr="0051003F">
        <w:rPr>
          <w:rFonts w:cs="Times New Roman"/>
          <w:lang w:val="pl-PL"/>
        </w:rPr>
        <w:t xml:space="preserve"> w kilku </w:t>
      </w:r>
      <w:r w:rsidR="003441C9">
        <w:rPr>
          <w:rFonts w:cs="Times New Roman"/>
          <w:lang w:val="pl-PL"/>
        </w:rPr>
        <w:t>ostatnich</w:t>
      </w:r>
      <w:r w:rsidR="003441C9" w:rsidRPr="0051003F">
        <w:rPr>
          <w:rFonts w:cs="Times New Roman"/>
          <w:lang w:val="pl-PL"/>
        </w:rPr>
        <w:t xml:space="preserve"> </w:t>
      </w:r>
      <w:r w:rsidR="009F4CBC" w:rsidRPr="0051003F">
        <w:rPr>
          <w:rFonts w:cs="Times New Roman"/>
          <w:lang w:val="pl-PL"/>
        </w:rPr>
        <w:t>wyrokach</w:t>
      </w:r>
      <w:r w:rsidR="003441C9">
        <w:rPr>
          <w:rFonts w:cs="Times New Roman"/>
          <w:lang w:val="pl-PL"/>
        </w:rPr>
        <w:t xml:space="preserve"> </w:t>
      </w:r>
      <w:r w:rsidR="00F04DE7">
        <w:rPr>
          <w:rFonts w:cs="Times New Roman"/>
          <w:lang w:val="pl-PL"/>
        </w:rPr>
        <w:t>odstąpiono</w:t>
      </w:r>
      <w:r w:rsidR="003441C9">
        <w:rPr>
          <w:rFonts w:cs="Times New Roman"/>
          <w:lang w:val="pl-PL"/>
        </w:rPr>
        <w:t xml:space="preserve"> od standardów zastosowanych w </w:t>
      </w:r>
      <w:proofErr w:type="spellStart"/>
      <w:r w:rsidR="003441C9" w:rsidRPr="00486852">
        <w:rPr>
          <w:rFonts w:cs="Times New Roman"/>
          <w:i/>
          <w:lang w:val="pl-PL"/>
        </w:rPr>
        <w:t>Zołotukinie</w:t>
      </w:r>
      <w:proofErr w:type="spellEnd"/>
      <w:r w:rsidR="009F4CBC" w:rsidRPr="0051003F">
        <w:rPr>
          <w:rFonts w:cs="Times New Roman"/>
          <w:lang w:val="pl-PL"/>
        </w:rPr>
        <w:t>, w szczególności w czterech wyrokach przeciwko Finlandii wydanych w dniu 20 maja 2014 r</w:t>
      </w:r>
      <w:r w:rsidR="00794E14">
        <w:rPr>
          <w:rFonts w:cs="Times New Roman"/>
          <w:lang w:val="pl-PL"/>
        </w:rPr>
        <w:t>oku</w:t>
      </w:r>
      <w:r w:rsidR="009F4CBC" w:rsidRPr="0051003F">
        <w:rPr>
          <w:rFonts w:cs="Times New Roman"/>
          <w:lang w:val="pl-PL"/>
        </w:rPr>
        <w:t xml:space="preserve"> (dotyczyło ono w szczególności </w:t>
      </w:r>
      <w:proofErr w:type="spellStart"/>
      <w:r w:rsidR="009F4CBC" w:rsidRPr="0051003F">
        <w:rPr>
          <w:rFonts w:cs="Times New Roman"/>
          <w:i/>
          <w:lang w:val="pl-PL"/>
        </w:rPr>
        <w:t>Nykänen</w:t>
      </w:r>
      <w:proofErr w:type="spellEnd"/>
      <w:r w:rsidR="009F4CBC" w:rsidRPr="0051003F">
        <w:rPr>
          <w:rFonts w:cs="Times New Roman"/>
          <w:i/>
          <w:lang w:val="pl-PL"/>
        </w:rPr>
        <w:t xml:space="preserve"> przeciwko Finlandii</w:t>
      </w:r>
      <w:r w:rsidR="009F4CBC" w:rsidRPr="0051003F">
        <w:rPr>
          <w:rFonts w:cs="Times New Roman"/>
          <w:lang w:val="pl-PL"/>
        </w:rPr>
        <w:t xml:space="preserve">, nr 11828/11, § 48 oraz </w:t>
      </w:r>
      <w:proofErr w:type="spellStart"/>
      <w:r w:rsidR="009F4CBC" w:rsidRPr="0051003F">
        <w:rPr>
          <w:rFonts w:cs="Times New Roman"/>
          <w:i/>
          <w:lang w:val="pl-PL"/>
        </w:rPr>
        <w:t>Glantz</w:t>
      </w:r>
      <w:proofErr w:type="spellEnd"/>
      <w:r w:rsidR="009F4CBC" w:rsidRPr="0051003F">
        <w:rPr>
          <w:rFonts w:cs="Times New Roman"/>
          <w:i/>
          <w:lang w:val="pl-PL"/>
        </w:rPr>
        <w:t xml:space="preserve"> przeciwko Finlandii</w:t>
      </w:r>
      <w:r w:rsidR="009F4CBC" w:rsidRPr="0051003F">
        <w:rPr>
          <w:rFonts w:cs="Times New Roman"/>
          <w:lang w:val="pl-PL"/>
        </w:rPr>
        <w:t xml:space="preserve">, nr 37394/11, § 57), w którym paragraf 83 </w:t>
      </w:r>
      <w:proofErr w:type="spellStart"/>
      <w:r w:rsidR="009F4CBC" w:rsidRPr="0051003F">
        <w:rPr>
          <w:rFonts w:cs="Times New Roman"/>
          <w:i/>
          <w:lang w:val="pl-PL"/>
        </w:rPr>
        <w:t>Zolotukhin</w:t>
      </w:r>
      <w:proofErr w:type="spellEnd"/>
      <w:r w:rsidR="009F4CBC" w:rsidRPr="0051003F">
        <w:rPr>
          <w:rFonts w:cs="Times New Roman"/>
          <w:lang w:val="pl-PL"/>
        </w:rPr>
        <w:t xml:space="preserve"> został jedynie uznany za punkt wyjścia, wraz z oświadczeniem, że art. 4 </w:t>
      </w:r>
      <w:r w:rsidR="00794E14">
        <w:rPr>
          <w:rFonts w:cs="Times New Roman"/>
          <w:lang w:val="pl-PL"/>
        </w:rPr>
        <w:t>P</w:t>
      </w:r>
      <w:r w:rsidR="009F4CBC" w:rsidRPr="0051003F">
        <w:rPr>
          <w:rFonts w:cs="Times New Roman"/>
          <w:lang w:val="pl-PL"/>
        </w:rPr>
        <w:t>rotokołu nr 7 „wyraźnie zakazuje prowadzenia kolejnych postępowań, jeżeli pierwsze postępowanie stało się już prawomocne w momencie wszczęcia drugiego postępowania</w:t>
      </w:r>
      <w:r w:rsidR="00794E14">
        <w:rPr>
          <w:rFonts w:cs="Times New Roman"/>
          <w:lang w:val="pl-PL"/>
        </w:rPr>
        <w:t>”</w:t>
      </w:r>
      <w:r w:rsidR="009F4CBC" w:rsidRPr="0051003F">
        <w:rPr>
          <w:rFonts w:cs="Times New Roman"/>
          <w:lang w:val="pl-PL"/>
        </w:rPr>
        <w:t xml:space="preserve"> (zob. np. wspomniany powyżej </w:t>
      </w:r>
      <w:proofErr w:type="spellStart"/>
      <w:r w:rsidR="009F4CBC" w:rsidRPr="0051003F">
        <w:rPr>
          <w:rFonts w:cs="Times New Roman"/>
          <w:i/>
          <w:lang w:val="pl-PL"/>
        </w:rPr>
        <w:t>Sergey</w:t>
      </w:r>
      <w:proofErr w:type="spellEnd"/>
      <w:r w:rsidR="009F4CBC" w:rsidRPr="0051003F">
        <w:rPr>
          <w:rFonts w:cs="Times New Roman"/>
          <w:i/>
          <w:lang w:val="pl-PL"/>
        </w:rPr>
        <w:t xml:space="preserve"> </w:t>
      </w:r>
      <w:proofErr w:type="spellStart"/>
      <w:r w:rsidR="009F4CBC" w:rsidRPr="0051003F">
        <w:rPr>
          <w:rFonts w:cs="Times New Roman"/>
          <w:i/>
          <w:lang w:val="pl-PL"/>
        </w:rPr>
        <w:t>Zolotukhin</w:t>
      </w:r>
      <w:proofErr w:type="spellEnd"/>
      <w:r w:rsidR="009F4CBC" w:rsidRPr="0051003F">
        <w:rPr>
          <w:rFonts w:cs="Times New Roman"/>
          <w:lang w:val="pl-PL"/>
        </w:rPr>
        <w:t xml:space="preserve"> przeciwko Rosji[WI):.</w:t>
      </w:r>
    </w:p>
    <w:p w:rsidR="00AA61DC" w:rsidRPr="0051003F" w:rsidRDefault="00794E14" w:rsidP="009F4CBC">
      <w:pPr>
        <w:pStyle w:val="ECHRPara"/>
        <w:rPr>
          <w:rFonts w:cs="Times New Roman"/>
          <w:lang w:val="pl-PL"/>
        </w:rPr>
      </w:pPr>
      <w:r>
        <w:rPr>
          <w:rFonts w:cs="Times New Roman"/>
          <w:lang w:val="pl-PL"/>
        </w:rPr>
        <w:t>76</w:t>
      </w:r>
      <w:r w:rsidR="00AA61DC" w:rsidRPr="0051003F">
        <w:rPr>
          <w:rFonts w:cs="Times New Roman"/>
          <w:lang w:val="pl-PL"/>
        </w:rPr>
        <w:t>.  </w:t>
      </w:r>
      <w:r w:rsidR="009F4CBC" w:rsidRPr="0051003F">
        <w:rPr>
          <w:rFonts w:cs="Times New Roman"/>
          <w:lang w:val="pl-PL"/>
        </w:rPr>
        <w:t xml:space="preserve">Zdaniem </w:t>
      </w:r>
      <w:r>
        <w:rPr>
          <w:rFonts w:cs="Times New Roman"/>
          <w:lang w:val="pl-PL"/>
        </w:rPr>
        <w:t>R</w:t>
      </w:r>
      <w:r w:rsidR="009F4CBC" w:rsidRPr="0051003F">
        <w:rPr>
          <w:rFonts w:cs="Times New Roman"/>
          <w:lang w:val="pl-PL"/>
        </w:rPr>
        <w:t xml:space="preserve">ządu ta ekspansywna wykładnia art. 4 </w:t>
      </w:r>
      <w:r>
        <w:rPr>
          <w:rFonts w:cs="Times New Roman"/>
          <w:lang w:val="pl-PL"/>
        </w:rPr>
        <w:t>P</w:t>
      </w:r>
      <w:r w:rsidR="009F4CBC" w:rsidRPr="0051003F">
        <w:rPr>
          <w:rFonts w:cs="Times New Roman"/>
          <w:lang w:val="pl-PL"/>
        </w:rPr>
        <w:t xml:space="preserve">rotokołu nr 7 w </w:t>
      </w:r>
      <w:proofErr w:type="spellStart"/>
      <w:r w:rsidR="009F4CBC" w:rsidRPr="0051003F">
        <w:rPr>
          <w:rFonts w:cs="Times New Roman"/>
          <w:i/>
          <w:lang w:val="pl-PL"/>
        </w:rPr>
        <w:t>Nykänen</w:t>
      </w:r>
      <w:proofErr w:type="spellEnd"/>
      <w:r w:rsidR="009F4CBC" w:rsidRPr="0051003F">
        <w:rPr>
          <w:rFonts w:cs="Times New Roman"/>
          <w:lang w:val="pl-PL"/>
        </w:rPr>
        <w:t xml:space="preserve"> (między innymi), która </w:t>
      </w:r>
      <w:r w:rsidR="00465CC5" w:rsidRPr="0051003F">
        <w:rPr>
          <w:rFonts w:cs="Times New Roman"/>
          <w:lang w:val="pl-PL"/>
        </w:rPr>
        <w:t>wydawała się</w:t>
      </w:r>
      <w:r w:rsidR="009F4CBC" w:rsidRPr="0051003F">
        <w:rPr>
          <w:rFonts w:cs="Times New Roman"/>
          <w:lang w:val="pl-PL"/>
        </w:rPr>
        <w:t xml:space="preserve"> niezgodna z </w:t>
      </w:r>
      <w:proofErr w:type="spellStart"/>
      <w:r w:rsidR="009F4CBC" w:rsidRPr="0051003F">
        <w:rPr>
          <w:rFonts w:cs="Times New Roman"/>
          <w:i/>
          <w:lang w:val="pl-PL"/>
        </w:rPr>
        <w:t>Zołotukhinem</w:t>
      </w:r>
      <w:proofErr w:type="spellEnd"/>
      <w:r w:rsidR="009F4CBC" w:rsidRPr="0051003F">
        <w:rPr>
          <w:rFonts w:cs="Times New Roman"/>
          <w:lang w:val="pl-PL"/>
        </w:rPr>
        <w:t xml:space="preserve">, wydawała się zakładać, że art. 4 </w:t>
      </w:r>
      <w:r w:rsidR="00FE2196">
        <w:rPr>
          <w:rFonts w:cs="Times New Roman"/>
          <w:lang w:val="pl-PL"/>
        </w:rPr>
        <w:t>P</w:t>
      </w:r>
      <w:r w:rsidR="009F4CBC" w:rsidRPr="0051003F">
        <w:rPr>
          <w:rFonts w:cs="Times New Roman"/>
          <w:lang w:val="pl-PL"/>
        </w:rPr>
        <w:t xml:space="preserve">rotokołu nr 7 wzywa do umorzenia postępowania karnego, gdy </w:t>
      </w:r>
      <w:r w:rsidR="00FE2196">
        <w:rPr>
          <w:rFonts w:cs="Times New Roman"/>
          <w:lang w:val="pl-PL"/>
        </w:rPr>
        <w:t>równoległe</w:t>
      </w:r>
      <w:r w:rsidR="00FE2196" w:rsidRPr="0051003F">
        <w:rPr>
          <w:rFonts w:cs="Times New Roman"/>
          <w:lang w:val="pl-PL"/>
        </w:rPr>
        <w:t xml:space="preserve"> </w:t>
      </w:r>
      <w:r w:rsidR="009F4CBC" w:rsidRPr="0051003F">
        <w:rPr>
          <w:rFonts w:cs="Times New Roman"/>
          <w:lang w:val="pl-PL"/>
        </w:rPr>
        <w:t>postępowanie administracyjne stało się prawomocne lub odwrotnie. Została ona oparta na jednej decyzji w sprawie dopuszczalności (</w:t>
      </w:r>
      <w:proofErr w:type="spellStart"/>
      <w:r w:rsidR="009F4CBC" w:rsidRPr="0051003F">
        <w:rPr>
          <w:rFonts w:cs="Times New Roman"/>
          <w:i/>
          <w:lang w:val="pl-PL"/>
        </w:rPr>
        <w:t>Zigarella</w:t>
      </w:r>
      <w:proofErr w:type="spellEnd"/>
      <w:r w:rsidR="009F4CBC" w:rsidRPr="0051003F">
        <w:rPr>
          <w:rFonts w:cs="Times New Roman"/>
          <w:i/>
          <w:lang w:val="pl-PL"/>
        </w:rPr>
        <w:t xml:space="preserve"> przeciwko Włochom</w:t>
      </w:r>
      <w:r w:rsidR="009F4CBC" w:rsidRPr="0051003F">
        <w:rPr>
          <w:rFonts w:cs="Times New Roman"/>
          <w:lang w:val="pl-PL"/>
        </w:rPr>
        <w:t xml:space="preserve"> (</w:t>
      </w:r>
      <w:proofErr w:type="spellStart"/>
      <w:r w:rsidR="009F4CBC" w:rsidRPr="0051003F">
        <w:rPr>
          <w:rFonts w:cs="Times New Roman"/>
          <w:lang w:val="pl-PL"/>
        </w:rPr>
        <w:t>dec</w:t>
      </w:r>
      <w:proofErr w:type="spellEnd"/>
      <w:r w:rsidR="009F4CBC" w:rsidRPr="0051003F">
        <w:rPr>
          <w:rFonts w:cs="Times New Roman"/>
          <w:lang w:val="pl-PL"/>
        </w:rPr>
        <w:t xml:space="preserve">.), nr 48154/99, </w:t>
      </w:r>
      <w:proofErr w:type="spellStart"/>
      <w:r w:rsidR="009F4CBC" w:rsidRPr="0051003F">
        <w:rPr>
          <w:rFonts w:cs="Times New Roman"/>
          <w:lang w:val="pl-PL"/>
        </w:rPr>
        <w:t>ETPCz</w:t>
      </w:r>
      <w:proofErr w:type="spellEnd"/>
      <w:r w:rsidR="009F4CBC" w:rsidRPr="0051003F">
        <w:rPr>
          <w:rFonts w:cs="Times New Roman"/>
          <w:lang w:val="pl-PL"/>
        </w:rPr>
        <w:t xml:space="preserve"> 2002 IX (wyciągi) oraz na dwóch wyrokach wydanych przez Izbę (</w:t>
      </w:r>
      <w:proofErr w:type="spellStart"/>
      <w:r w:rsidR="009F4CBC" w:rsidRPr="0051003F">
        <w:rPr>
          <w:rFonts w:cs="Times New Roman"/>
          <w:i/>
          <w:lang w:val="pl-PL"/>
        </w:rPr>
        <w:t>Tomasovic</w:t>
      </w:r>
      <w:proofErr w:type="spellEnd"/>
      <w:r w:rsidR="009F4CBC" w:rsidRPr="0051003F">
        <w:rPr>
          <w:rFonts w:cs="Times New Roman"/>
          <w:i/>
          <w:lang w:val="pl-PL"/>
        </w:rPr>
        <w:t xml:space="preserve"> przeciwko Chorwacji</w:t>
      </w:r>
      <w:r w:rsidR="009F4CBC" w:rsidRPr="0051003F">
        <w:rPr>
          <w:rFonts w:cs="Times New Roman"/>
          <w:lang w:val="pl-PL"/>
        </w:rPr>
        <w:t>, nr 53785/09, z dnia 18 października 2011 r</w:t>
      </w:r>
      <w:r w:rsidR="00FE2196">
        <w:rPr>
          <w:rFonts w:cs="Times New Roman"/>
          <w:lang w:val="pl-PL"/>
        </w:rPr>
        <w:t>oku</w:t>
      </w:r>
      <w:r w:rsidR="009F4CBC" w:rsidRPr="0051003F">
        <w:rPr>
          <w:rFonts w:cs="Times New Roman"/>
          <w:lang w:val="pl-PL"/>
        </w:rPr>
        <w:t xml:space="preserve">, oraz </w:t>
      </w:r>
      <w:proofErr w:type="spellStart"/>
      <w:r w:rsidR="009F4CBC" w:rsidRPr="0051003F">
        <w:rPr>
          <w:rFonts w:cs="Times New Roman"/>
          <w:i/>
          <w:lang w:val="pl-PL"/>
        </w:rPr>
        <w:t>Muslija</w:t>
      </w:r>
      <w:proofErr w:type="spellEnd"/>
      <w:r w:rsidR="009F4CBC" w:rsidRPr="0051003F">
        <w:rPr>
          <w:rFonts w:cs="Times New Roman"/>
          <w:i/>
          <w:lang w:val="pl-PL"/>
        </w:rPr>
        <w:t xml:space="preserve"> przeciwko Bośni i Hercegowinie</w:t>
      </w:r>
      <w:r w:rsidR="009F4CBC" w:rsidRPr="0051003F">
        <w:rPr>
          <w:rFonts w:cs="Times New Roman"/>
          <w:lang w:val="pl-PL"/>
        </w:rPr>
        <w:t>, nr 32042/11, z dnia 14 stycznia 2014 r</w:t>
      </w:r>
      <w:r w:rsidR="00FE2196">
        <w:rPr>
          <w:rFonts w:cs="Times New Roman"/>
          <w:lang w:val="pl-PL"/>
        </w:rPr>
        <w:t>oku</w:t>
      </w:r>
      <w:r w:rsidR="009F4CBC" w:rsidRPr="0051003F">
        <w:rPr>
          <w:rFonts w:cs="Times New Roman"/>
          <w:lang w:val="pl-PL"/>
        </w:rPr>
        <w:t xml:space="preserve">). Żaden z tych przypadków nie stanowił jednak </w:t>
      </w:r>
      <w:r w:rsidR="00FE2196">
        <w:rPr>
          <w:rFonts w:cs="Times New Roman"/>
          <w:lang w:val="pl-PL"/>
        </w:rPr>
        <w:t>rz</w:t>
      </w:r>
      <w:r w:rsidR="00F04DE7">
        <w:rPr>
          <w:rFonts w:cs="Times New Roman"/>
          <w:lang w:val="pl-PL"/>
        </w:rPr>
        <w:t>etelnej</w:t>
      </w:r>
      <w:r w:rsidR="00FE2196" w:rsidRPr="0051003F">
        <w:rPr>
          <w:rFonts w:cs="Times New Roman"/>
          <w:lang w:val="pl-PL"/>
        </w:rPr>
        <w:t xml:space="preserve"> </w:t>
      </w:r>
      <w:r w:rsidR="009F4CBC" w:rsidRPr="0051003F">
        <w:rPr>
          <w:rFonts w:cs="Times New Roman"/>
          <w:lang w:val="pl-PL"/>
        </w:rPr>
        <w:t xml:space="preserve">podstawy do takiego </w:t>
      </w:r>
      <w:r w:rsidR="00F04DE7">
        <w:rPr>
          <w:rFonts w:cs="Times New Roman"/>
          <w:lang w:val="pl-PL"/>
        </w:rPr>
        <w:t>odstąpienia</w:t>
      </w:r>
      <w:r w:rsidR="009F4CBC" w:rsidRPr="0051003F">
        <w:rPr>
          <w:rFonts w:cs="Times New Roman"/>
          <w:lang w:val="pl-PL"/>
        </w:rPr>
        <w:t>.</w:t>
      </w:r>
    </w:p>
    <w:p w:rsidR="00AA61DC" w:rsidRPr="0051003F" w:rsidRDefault="009F4CBC" w:rsidP="009F4CBC">
      <w:pPr>
        <w:pStyle w:val="ECHRPara"/>
        <w:rPr>
          <w:rFonts w:cs="Times New Roman"/>
          <w:lang w:val="pl-PL"/>
        </w:rPr>
      </w:pPr>
      <w:r w:rsidRPr="0051003F">
        <w:rPr>
          <w:rFonts w:cs="Times New Roman"/>
          <w:lang w:val="pl-PL"/>
        </w:rPr>
        <w:t xml:space="preserve">Pierwsza sprawa, </w:t>
      </w:r>
      <w:proofErr w:type="spellStart"/>
      <w:r w:rsidRPr="0051003F">
        <w:rPr>
          <w:rFonts w:cs="Times New Roman"/>
          <w:i/>
          <w:lang w:val="pl-PL"/>
        </w:rPr>
        <w:t>Zigarella</w:t>
      </w:r>
      <w:proofErr w:type="spellEnd"/>
      <w:r w:rsidRPr="0051003F">
        <w:rPr>
          <w:rFonts w:cs="Times New Roman"/>
          <w:lang w:val="pl-PL"/>
        </w:rPr>
        <w:t xml:space="preserve">, dotyczyła późniejszych, a nie równoległych postępowań, wbrew temu, co zakładała Izba. Późniejsze postępowanie karne wszczęte bez wiedzy władz o zakończonym już postępowaniu karnym zostało umorzone, gdy sędzia dowiedział się o prawomocnym wyroku uniewinniającym w pierwszej instancji. W tej sytuacji Trybunał zastosował jedynie negatywny materialny skutek </w:t>
      </w:r>
      <w:proofErr w:type="spellStart"/>
      <w:r w:rsidRPr="0051003F">
        <w:rPr>
          <w:rFonts w:cs="Times New Roman"/>
          <w:i/>
          <w:lang w:val="pl-PL"/>
        </w:rPr>
        <w:t>ne</w:t>
      </w:r>
      <w:proofErr w:type="spellEnd"/>
      <w:r w:rsidRPr="0051003F">
        <w:rPr>
          <w:rFonts w:cs="Times New Roman"/>
          <w:i/>
          <w:lang w:val="pl-PL"/>
        </w:rPr>
        <w:t xml:space="preserve"> bis in </w:t>
      </w:r>
      <w:proofErr w:type="spellStart"/>
      <w:r w:rsidRPr="0051003F">
        <w:rPr>
          <w:rFonts w:cs="Times New Roman"/>
          <w:i/>
          <w:lang w:val="pl-PL"/>
        </w:rPr>
        <w:t>idem</w:t>
      </w:r>
      <w:proofErr w:type="spellEnd"/>
      <w:r w:rsidRPr="0051003F">
        <w:rPr>
          <w:rFonts w:cs="Times New Roman"/>
          <w:lang w:val="pl-PL"/>
        </w:rPr>
        <w:t xml:space="preserve"> jako zasadę powagi rzeczy osądzonej w odniesieniu do dwóch następujących po sobie zwykłych </w:t>
      </w:r>
      <w:r w:rsidR="00A83970" w:rsidRPr="0051003F">
        <w:rPr>
          <w:rFonts w:cs="Times New Roman"/>
          <w:lang w:val="pl-PL"/>
        </w:rPr>
        <w:t>postępowa</w:t>
      </w:r>
      <w:r w:rsidR="00A83970">
        <w:rPr>
          <w:rFonts w:cs="Times New Roman"/>
          <w:lang w:val="pl-PL"/>
        </w:rPr>
        <w:t>niach</w:t>
      </w:r>
      <w:r w:rsidR="00A83970" w:rsidRPr="0051003F">
        <w:rPr>
          <w:rFonts w:cs="Times New Roman"/>
          <w:lang w:val="pl-PL"/>
        </w:rPr>
        <w:t xml:space="preserve"> </w:t>
      </w:r>
      <w:r w:rsidRPr="0051003F">
        <w:rPr>
          <w:rFonts w:cs="Times New Roman"/>
          <w:lang w:val="pl-PL"/>
        </w:rPr>
        <w:t>karnych dotyczących tego samego przestępstwa</w:t>
      </w:r>
      <w:r w:rsidR="00AA61DC" w:rsidRPr="0051003F">
        <w:rPr>
          <w:rFonts w:cs="Times New Roman"/>
          <w:lang w:val="pl-PL"/>
        </w:rPr>
        <w:t>.</w:t>
      </w:r>
    </w:p>
    <w:p w:rsidR="009F4CBC" w:rsidRPr="0051003F" w:rsidRDefault="009F4CBC" w:rsidP="009F4CBC">
      <w:pPr>
        <w:pStyle w:val="ECHRPara"/>
        <w:rPr>
          <w:rFonts w:cs="Times New Roman"/>
          <w:lang w:val="pl-PL"/>
        </w:rPr>
      </w:pPr>
      <w:r w:rsidRPr="0051003F">
        <w:rPr>
          <w:rFonts w:cs="Times New Roman"/>
          <w:lang w:val="pl-PL"/>
        </w:rPr>
        <w:t xml:space="preserve">Dwie pozostałe sprawy, </w:t>
      </w:r>
      <w:proofErr w:type="spellStart"/>
      <w:r w:rsidRPr="0051003F">
        <w:rPr>
          <w:rFonts w:cs="Times New Roman"/>
          <w:i/>
          <w:lang w:val="pl-PL"/>
        </w:rPr>
        <w:t>Tomasovic</w:t>
      </w:r>
      <w:proofErr w:type="spellEnd"/>
      <w:r w:rsidRPr="0051003F">
        <w:rPr>
          <w:rFonts w:cs="Times New Roman"/>
          <w:i/>
          <w:lang w:val="pl-PL"/>
        </w:rPr>
        <w:t xml:space="preserve"> i </w:t>
      </w:r>
      <w:proofErr w:type="spellStart"/>
      <w:r w:rsidRPr="0051003F">
        <w:rPr>
          <w:rFonts w:cs="Times New Roman"/>
          <w:i/>
          <w:lang w:val="pl-PL"/>
        </w:rPr>
        <w:t>Muslija</w:t>
      </w:r>
      <w:proofErr w:type="spellEnd"/>
      <w:r w:rsidRPr="0051003F">
        <w:rPr>
          <w:rFonts w:cs="Times New Roman"/>
          <w:lang w:val="pl-PL"/>
        </w:rPr>
        <w:t xml:space="preserve">, dotyczyły postępowań w sprawie przestępstw „ciężkiego naruszenia” prawa karnego, czyli posiadania twardych narkotyków i przemocy domowej (wspominane w </w:t>
      </w:r>
      <w:r w:rsidRPr="0051003F">
        <w:rPr>
          <w:rFonts w:cs="Times New Roman"/>
          <w:i/>
          <w:lang w:val="pl-PL"/>
        </w:rPr>
        <w:t xml:space="preserve"> </w:t>
      </w:r>
      <w:proofErr w:type="spellStart"/>
      <w:r w:rsidRPr="0051003F">
        <w:rPr>
          <w:rFonts w:cs="Times New Roman"/>
          <w:i/>
          <w:lang w:val="pl-PL"/>
        </w:rPr>
        <w:t>Jussila</w:t>
      </w:r>
      <w:proofErr w:type="spellEnd"/>
      <w:r w:rsidRPr="0051003F">
        <w:rPr>
          <w:rFonts w:cs="Times New Roman"/>
          <w:lang w:val="pl-PL"/>
        </w:rPr>
        <w:t>, cytowane powyżej para</w:t>
      </w:r>
      <w:r w:rsidR="00EF6CA3">
        <w:rPr>
          <w:rFonts w:cs="Times New Roman"/>
          <w:lang w:val="pl-PL"/>
        </w:rPr>
        <w:t>graf</w:t>
      </w:r>
      <w:r w:rsidR="00EF6CA3" w:rsidRPr="0051003F">
        <w:rPr>
          <w:rFonts w:cs="Times New Roman"/>
          <w:lang w:val="pl-PL"/>
        </w:rPr>
        <w:t xml:space="preserve"> </w:t>
      </w:r>
      <w:r w:rsidRPr="0051003F">
        <w:rPr>
          <w:rFonts w:cs="Times New Roman"/>
          <w:lang w:val="pl-PL"/>
        </w:rPr>
        <w:t xml:space="preserve">43). Sprawy te wyraźnie dotyczyły dwóch postępowań karnych dotyczących jednego czynu. Zarówno </w:t>
      </w:r>
      <w:r w:rsidR="00EF6CA3" w:rsidRPr="0051003F">
        <w:rPr>
          <w:rFonts w:cs="Times New Roman"/>
          <w:lang w:val="pl-PL"/>
        </w:rPr>
        <w:t>pierwsz</w:t>
      </w:r>
      <w:r w:rsidR="00EF6CA3">
        <w:rPr>
          <w:rFonts w:cs="Times New Roman"/>
          <w:lang w:val="pl-PL"/>
        </w:rPr>
        <w:t>e</w:t>
      </w:r>
      <w:r w:rsidRPr="0051003F">
        <w:rPr>
          <w:rFonts w:cs="Times New Roman"/>
          <w:lang w:val="pl-PL"/>
        </w:rPr>
        <w:t>, jak i drugi</w:t>
      </w:r>
      <w:r w:rsidR="00EF6CA3">
        <w:rPr>
          <w:rFonts w:cs="Times New Roman"/>
          <w:lang w:val="pl-PL"/>
        </w:rPr>
        <w:t>e</w:t>
      </w:r>
      <w:r w:rsidRPr="0051003F">
        <w:rPr>
          <w:rFonts w:cs="Times New Roman"/>
          <w:lang w:val="pl-PL"/>
        </w:rPr>
        <w:t xml:space="preserve"> </w:t>
      </w:r>
      <w:r w:rsidR="00EF6CA3">
        <w:rPr>
          <w:rFonts w:cs="Times New Roman"/>
          <w:lang w:val="pl-PL"/>
        </w:rPr>
        <w:t>postępowanie</w:t>
      </w:r>
      <w:r w:rsidR="00EF6CA3" w:rsidRPr="0051003F">
        <w:rPr>
          <w:rFonts w:cs="Times New Roman"/>
          <w:lang w:val="pl-PL"/>
        </w:rPr>
        <w:t xml:space="preserve"> </w:t>
      </w:r>
      <w:r w:rsidRPr="0051003F">
        <w:rPr>
          <w:rFonts w:cs="Times New Roman"/>
          <w:lang w:val="pl-PL"/>
        </w:rPr>
        <w:t>został</w:t>
      </w:r>
      <w:r w:rsidR="00EF6CA3">
        <w:rPr>
          <w:rFonts w:cs="Times New Roman"/>
          <w:lang w:val="pl-PL"/>
        </w:rPr>
        <w:t>o</w:t>
      </w:r>
      <w:r w:rsidRPr="0051003F">
        <w:rPr>
          <w:rFonts w:cs="Times New Roman"/>
          <w:lang w:val="pl-PL"/>
        </w:rPr>
        <w:t xml:space="preserve"> </w:t>
      </w:r>
      <w:r w:rsidR="00EF6CA3">
        <w:rPr>
          <w:rFonts w:cs="Times New Roman"/>
          <w:lang w:val="pl-PL"/>
        </w:rPr>
        <w:t>wszczęte</w:t>
      </w:r>
      <w:r w:rsidR="00EF6CA3" w:rsidRPr="0051003F">
        <w:rPr>
          <w:rFonts w:cs="Times New Roman"/>
          <w:lang w:val="pl-PL"/>
        </w:rPr>
        <w:t xml:space="preserve"> </w:t>
      </w:r>
      <w:r w:rsidRPr="0051003F">
        <w:rPr>
          <w:rFonts w:cs="Times New Roman"/>
          <w:lang w:val="pl-PL"/>
        </w:rPr>
        <w:t>na podstawie tego samego sprawozdania policji. Takie sytuacje nie miałyby wartości nominalnej w świetle norweskiego prawa karnego i w żadnym razie nie przypominałyby dobrze ugruntowanych i tradycyjnych systemów postępowań administracyjnych i karnych związanych z karami podatkowymi i oszustwami podatkowymi.</w:t>
      </w:r>
    </w:p>
    <w:p w:rsidR="00AA61DC" w:rsidRPr="0051003F" w:rsidRDefault="00486891" w:rsidP="009F4CBC">
      <w:pPr>
        <w:pStyle w:val="ECHRPara"/>
        <w:rPr>
          <w:rFonts w:cs="Times New Roman"/>
          <w:lang w:val="pl-PL"/>
        </w:rPr>
      </w:pPr>
      <w:r>
        <w:rPr>
          <w:rFonts w:cs="Times New Roman"/>
          <w:lang w:val="pl-PL"/>
        </w:rPr>
        <w:t>77</w:t>
      </w:r>
      <w:r w:rsidR="00AA61DC" w:rsidRPr="0051003F">
        <w:rPr>
          <w:rFonts w:cs="Times New Roman"/>
          <w:lang w:val="pl-PL"/>
        </w:rPr>
        <w:t>.  </w:t>
      </w:r>
      <w:r w:rsidR="009F4CBC" w:rsidRPr="0051003F">
        <w:rPr>
          <w:rFonts w:cs="Times New Roman"/>
          <w:lang w:val="pl-PL"/>
        </w:rPr>
        <w:t xml:space="preserve">Żądanie umorzenia innego równoległego postępowania toczącego się równolegle od dnia, w którym inne postępowanie w tej samej sprawie </w:t>
      </w:r>
      <w:r w:rsidR="009F4CBC" w:rsidRPr="0051003F">
        <w:rPr>
          <w:rFonts w:cs="Times New Roman"/>
          <w:lang w:val="pl-PL"/>
        </w:rPr>
        <w:lastRenderedPageBreak/>
        <w:t xml:space="preserve">doprowadziło do wydania ostatecznej decyzji, stanowiło </w:t>
      </w:r>
      <w:r w:rsidR="009F4CBC" w:rsidRPr="0051003F">
        <w:rPr>
          <w:rFonts w:cs="Times New Roman"/>
          <w:i/>
          <w:lang w:val="pl-PL"/>
        </w:rPr>
        <w:t xml:space="preserve">de facto lis </w:t>
      </w:r>
      <w:proofErr w:type="spellStart"/>
      <w:r w:rsidR="009F4CBC" w:rsidRPr="0051003F">
        <w:rPr>
          <w:rFonts w:cs="Times New Roman"/>
          <w:i/>
          <w:lang w:val="pl-PL"/>
        </w:rPr>
        <w:t>pendentio</w:t>
      </w:r>
      <w:proofErr w:type="spellEnd"/>
      <w:r w:rsidR="009F4CBC" w:rsidRPr="0051003F">
        <w:rPr>
          <w:rFonts w:cs="Times New Roman"/>
          <w:lang w:val="pl-PL"/>
        </w:rPr>
        <w:t xml:space="preserve">, ponieważ nie miało sensu wszczynanie równoległego postępowania, gdyby </w:t>
      </w:r>
      <w:r>
        <w:rPr>
          <w:rFonts w:cs="Times New Roman"/>
          <w:lang w:val="pl-PL"/>
        </w:rPr>
        <w:t>jedno</w:t>
      </w:r>
      <w:r w:rsidRPr="0051003F">
        <w:rPr>
          <w:rFonts w:cs="Times New Roman"/>
          <w:lang w:val="pl-PL"/>
        </w:rPr>
        <w:t xml:space="preserve"> </w:t>
      </w:r>
      <w:r w:rsidR="009F4CBC" w:rsidRPr="0051003F">
        <w:rPr>
          <w:rFonts w:cs="Times New Roman"/>
          <w:lang w:val="pl-PL"/>
        </w:rPr>
        <w:t>z tych postępowań miał</w:t>
      </w:r>
      <w:r>
        <w:rPr>
          <w:rFonts w:cs="Times New Roman"/>
          <w:lang w:val="pl-PL"/>
        </w:rPr>
        <w:t>o</w:t>
      </w:r>
      <w:r w:rsidR="009F4CBC" w:rsidRPr="0051003F">
        <w:rPr>
          <w:rFonts w:cs="Times New Roman"/>
          <w:lang w:val="pl-PL"/>
        </w:rPr>
        <w:t xml:space="preserve"> zostać umorzony tylko dlatego, że drugi </w:t>
      </w:r>
      <w:r>
        <w:rPr>
          <w:rFonts w:cs="Times New Roman"/>
          <w:lang w:val="pl-PL"/>
        </w:rPr>
        <w:t>wszczęto przed jego rozpoczęciem</w:t>
      </w:r>
      <w:r w:rsidR="009F4CBC" w:rsidRPr="0051003F">
        <w:rPr>
          <w:rFonts w:cs="Times New Roman"/>
          <w:lang w:val="pl-PL"/>
        </w:rPr>
        <w:t>.</w:t>
      </w:r>
    </w:p>
    <w:p w:rsidR="00F059E9" w:rsidRPr="0051003F" w:rsidRDefault="00486891" w:rsidP="00F059E9">
      <w:pPr>
        <w:pStyle w:val="ECHRPara"/>
        <w:rPr>
          <w:rFonts w:cs="Times New Roman"/>
          <w:lang w:val="pl-PL"/>
        </w:rPr>
      </w:pPr>
      <w:r>
        <w:rPr>
          <w:rFonts w:cs="Times New Roman"/>
          <w:lang w:val="pl-PL"/>
        </w:rPr>
        <w:t>78</w:t>
      </w:r>
      <w:r w:rsidR="00AA61DC" w:rsidRPr="0051003F">
        <w:rPr>
          <w:rFonts w:cs="Times New Roman"/>
          <w:lang w:val="pl-PL"/>
        </w:rPr>
        <w:t>.  </w:t>
      </w:r>
      <w:r w:rsidR="00F059E9" w:rsidRPr="0051003F">
        <w:rPr>
          <w:rFonts w:cs="Times New Roman"/>
          <w:lang w:val="pl-PL"/>
        </w:rPr>
        <w:t xml:space="preserve">Zdaniem </w:t>
      </w:r>
      <w:r>
        <w:rPr>
          <w:rFonts w:cs="Times New Roman"/>
          <w:lang w:val="pl-PL"/>
        </w:rPr>
        <w:t>Rz</w:t>
      </w:r>
      <w:r w:rsidRPr="0051003F">
        <w:rPr>
          <w:rFonts w:cs="Times New Roman"/>
          <w:lang w:val="pl-PL"/>
        </w:rPr>
        <w:t>ądu</w:t>
      </w:r>
      <w:r w:rsidR="00F059E9" w:rsidRPr="0051003F">
        <w:rPr>
          <w:rFonts w:cs="Times New Roman"/>
          <w:lang w:val="pl-PL"/>
        </w:rPr>
        <w:t xml:space="preserve">, na tle tej niespójności w orzecznictwie, w art. 4 </w:t>
      </w:r>
      <w:r>
        <w:rPr>
          <w:rFonts w:cs="Times New Roman"/>
          <w:lang w:val="pl-PL"/>
        </w:rPr>
        <w:t>P</w:t>
      </w:r>
      <w:r w:rsidR="00F059E9" w:rsidRPr="0051003F">
        <w:rPr>
          <w:rFonts w:cs="Times New Roman"/>
          <w:lang w:val="pl-PL"/>
        </w:rPr>
        <w:t xml:space="preserve">rotokołu nr 7, szczególne znaczenie dla Wielkiej Izby miało potwierdzenie jej stanowiska w sprawie </w:t>
      </w:r>
      <w:proofErr w:type="spellStart"/>
      <w:r w:rsidR="00F059E9" w:rsidRPr="0051003F">
        <w:rPr>
          <w:rFonts w:cs="Times New Roman"/>
          <w:i/>
          <w:lang w:val="pl-PL"/>
        </w:rPr>
        <w:t>Zołotukhin</w:t>
      </w:r>
      <w:proofErr w:type="spellEnd"/>
      <w:r w:rsidR="00F059E9" w:rsidRPr="0051003F">
        <w:rPr>
          <w:rFonts w:cs="Times New Roman"/>
          <w:lang w:val="pl-PL"/>
        </w:rPr>
        <w:t xml:space="preserve">, potwierdzenie przepisu jako zasady powagi rzeczy osądzonej i odrzucenie odmiennego podejścia w sprawie </w:t>
      </w:r>
      <w:proofErr w:type="spellStart"/>
      <w:r w:rsidR="00F059E9" w:rsidRPr="0051003F">
        <w:rPr>
          <w:rFonts w:cs="Times New Roman"/>
          <w:i/>
          <w:lang w:val="pl-PL"/>
        </w:rPr>
        <w:t>Nykänen</w:t>
      </w:r>
      <w:proofErr w:type="spellEnd"/>
      <w:r w:rsidR="00F059E9" w:rsidRPr="0051003F">
        <w:rPr>
          <w:rFonts w:cs="Times New Roman"/>
          <w:lang w:val="pl-PL"/>
        </w:rPr>
        <w:t>.</w:t>
      </w:r>
    </w:p>
    <w:p w:rsidR="00AA61DC" w:rsidRPr="0051003F" w:rsidRDefault="0028133E" w:rsidP="006A43C6">
      <w:pPr>
        <w:pStyle w:val="ECHRPara"/>
        <w:rPr>
          <w:rFonts w:cs="Times New Roman"/>
          <w:lang w:val="pl-PL"/>
        </w:rPr>
      </w:pPr>
      <w:r>
        <w:rPr>
          <w:rFonts w:cs="Times New Roman"/>
          <w:lang w:val="pl-PL"/>
        </w:rPr>
        <w:t>79</w:t>
      </w:r>
      <w:r w:rsidR="00AA61DC" w:rsidRPr="0051003F">
        <w:rPr>
          <w:rFonts w:cs="Times New Roman"/>
          <w:lang w:val="pl-PL"/>
        </w:rPr>
        <w:t>.  </w:t>
      </w:r>
      <w:r w:rsidR="006A43C6" w:rsidRPr="0051003F">
        <w:rPr>
          <w:rFonts w:cs="Times New Roman"/>
          <w:lang w:val="pl-PL"/>
        </w:rPr>
        <w:t xml:space="preserve">Rząd nie dostrzegł względów politycznych leżących u podstaw </w:t>
      </w:r>
      <w:proofErr w:type="spellStart"/>
      <w:r w:rsidR="006A43C6" w:rsidRPr="0051003F">
        <w:rPr>
          <w:rFonts w:cs="Times New Roman"/>
          <w:i/>
          <w:lang w:val="pl-PL"/>
        </w:rPr>
        <w:t>Nykänen</w:t>
      </w:r>
      <w:proofErr w:type="spellEnd"/>
      <w:r w:rsidR="006A43C6" w:rsidRPr="0051003F">
        <w:rPr>
          <w:rFonts w:cs="Times New Roman"/>
          <w:lang w:val="pl-PL"/>
        </w:rPr>
        <w:t xml:space="preserve">. Idea leżąca u podstaw zasady </w:t>
      </w:r>
      <w:proofErr w:type="spellStart"/>
      <w:r w:rsidR="006A43C6" w:rsidRPr="0051003F">
        <w:rPr>
          <w:rFonts w:cs="Times New Roman"/>
          <w:i/>
          <w:lang w:val="pl-PL"/>
        </w:rPr>
        <w:t>ne</w:t>
      </w:r>
      <w:proofErr w:type="spellEnd"/>
      <w:r w:rsidR="006A43C6" w:rsidRPr="0051003F">
        <w:rPr>
          <w:rFonts w:cs="Times New Roman"/>
          <w:i/>
          <w:lang w:val="pl-PL"/>
        </w:rPr>
        <w:t xml:space="preserve"> bis in </w:t>
      </w:r>
      <w:proofErr w:type="spellStart"/>
      <w:r w:rsidR="006A43C6" w:rsidRPr="0051003F">
        <w:rPr>
          <w:rFonts w:cs="Times New Roman"/>
          <w:i/>
          <w:lang w:val="pl-PL"/>
        </w:rPr>
        <w:t>idem</w:t>
      </w:r>
      <w:proofErr w:type="spellEnd"/>
      <w:r w:rsidR="006A43C6" w:rsidRPr="0051003F">
        <w:rPr>
          <w:rFonts w:cs="Times New Roman"/>
          <w:lang w:val="pl-PL"/>
        </w:rPr>
        <w:t xml:space="preserve"> miała być ochroną przed narażeniem na powtarzające się postępowania (wspomniany </w:t>
      </w:r>
      <w:proofErr w:type="spellStart"/>
      <w:r w:rsidR="006A43C6" w:rsidRPr="0051003F">
        <w:rPr>
          <w:rFonts w:cs="Times New Roman"/>
          <w:i/>
          <w:lang w:val="pl-PL"/>
        </w:rPr>
        <w:t>Zołotukhinin</w:t>
      </w:r>
      <w:proofErr w:type="spellEnd"/>
      <w:r w:rsidR="006A43C6" w:rsidRPr="0051003F">
        <w:rPr>
          <w:rFonts w:cs="Times New Roman"/>
          <w:lang w:val="pl-PL"/>
        </w:rPr>
        <w:t>, cytowanym powyżej, para</w:t>
      </w:r>
      <w:r w:rsidR="009F71C2">
        <w:rPr>
          <w:rFonts w:cs="Times New Roman"/>
          <w:lang w:val="pl-PL"/>
        </w:rPr>
        <w:t>graf</w:t>
      </w:r>
      <w:r w:rsidR="006A43C6" w:rsidRPr="0051003F">
        <w:rPr>
          <w:rFonts w:cs="Times New Roman"/>
          <w:lang w:val="pl-PL"/>
        </w:rPr>
        <w:t xml:space="preserve"> 107). Osoba fizyczna powinna mieć pewność, że kiedy wyrok uniewinniający lub skazujący </w:t>
      </w:r>
      <w:r w:rsidR="009F71C2">
        <w:rPr>
          <w:rFonts w:cs="Times New Roman"/>
          <w:lang w:val="pl-PL"/>
        </w:rPr>
        <w:t>stanie się prawomocny</w:t>
      </w:r>
      <w:r w:rsidR="006A43C6" w:rsidRPr="0051003F">
        <w:rPr>
          <w:rFonts w:cs="Times New Roman"/>
          <w:lang w:val="pl-PL"/>
        </w:rPr>
        <w:t xml:space="preserve"> (</w:t>
      </w:r>
      <w:r w:rsidR="006A43C6" w:rsidRPr="0051003F">
        <w:rPr>
          <w:rFonts w:cs="Times New Roman"/>
          <w:i/>
          <w:lang w:val="pl-PL"/>
        </w:rPr>
        <w:t xml:space="preserve">res </w:t>
      </w:r>
      <w:proofErr w:type="spellStart"/>
      <w:r w:rsidR="006A43C6" w:rsidRPr="0051003F">
        <w:rPr>
          <w:rFonts w:cs="Times New Roman"/>
          <w:i/>
          <w:lang w:val="pl-PL"/>
        </w:rPr>
        <w:t>judicata</w:t>
      </w:r>
      <w:proofErr w:type="spellEnd"/>
      <w:r w:rsidR="006A43C6" w:rsidRPr="0051003F">
        <w:rPr>
          <w:rFonts w:cs="Times New Roman"/>
          <w:lang w:val="pl-PL"/>
        </w:rPr>
        <w:t xml:space="preserve">), będzie ona odtąd chroniona przed wszczęciem nowego postępowania </w:t>
      </w:r>
      <w:r w:rsidR="009F71C2">
        <w:rPr>
          <w:rFonts w:cs="Times New Roman"/>
          <w:lang w:val="pl-PL"/>
        </w:rPr>
        <w:t>z powodu</w:t>
      </w:r>
      <w:r w:rsidR="006A43C6" w:rsidRPr="0051003F">
        <w:rPr>
          <w:rFonts w:cs="Times New Roman"/>
          <w:lang w:val="pl-PL"/>
        </w:rPr>
        <w:t xml:space="preserve"> tego samego czynu. Stwierdzenie to nie miało zastosowania w sytuacji, gdy dana osoba była </w:t>
      </w:r>
      <w:r w:rsidR="009F71C2">
        <w:rPr>
          <w:rFonts w:cs="Times New Roman"/>
          <w:lang w:val="pl-PL"/>
        </w:rPr>
        <w:t>podmiotem</w:t>
      </w:r>
      <w:r w:rsidR="009F71C2" w:rsidRPr="0051003F">
        <w:rPr>
          <w:rFonts w:cs="Times New Roman"/>
          <w:lang w:val="pl-PL"/>
        </w:rPr>
        <w:t xml:space="preserve"> </w:t>
      </w:r>
      <w:r w:rsidR="006A43C6" w:rsidRPr="0051003F">
        <w:rPr>
          <w:rFonts w:cs="Times New Roman"/>
          <w:lang w:val="pl-PL"/>
        </w:rPr>
        <w:t>przewidzianego prawem równoległego postępowania karnego i administracyjnego, a na pewno nie w sytuacji, gdy pierwsza sankcja (kara podatkowa) została w dający się przewidzieć sposób uwzględniona w decyzji w sprawie drugiej kary (pozbawienie wolności)</w:t>
      </w:r>
      <w:r w:rsidR="00AA61DC" w:rsidRPr="0051003F">
        <w:rPr>
          <w:rFonts w:cs="Times New Roman"/>
          <w:lang w:val="pl-PL"/>
        </w:rPr>
        <w:t>.</w:t>
      </w:r>
    </w:p>
    <w:p w:rsidR="00AA61DC" w:rsidRPr="0051003F" w:rsidRDefault="0028133E" w:rsidP="006A43C6">
      <w:pPr>
        <w:pStyle w:val="ECHRPara"/>
        <w:rPr>
          <w:rFonts w:cs="Times New Roman"/>
          <w:lang w:val="pl-PL"/>
        </w:rPr>
      </w:pPr>
      <w:r>
        <w:rPr>
          <w:rFonts w:cs="Times New Roman"/>
          <w:lang w:val="pl-PL"/>
        </w:rPr>
        <w:t>80</w:t>
      </w:r>
      <w:r w:rsidR="00AA61DC" w:rsidRPr="0051003F">
        <w:rPr>
          <w:rFonts w:cs="Times New Roman"/>
          <w:lang w:val="pl-PL"/>
        </w:rPr>
        <w:t>.  </w:t>
      </w:r>
      <w:r w:rsidR="00531400" w:rsidRPr="00531400">
        <w:rPr>
          <w:rFonts w:cs="Times New Roman"/>
          <w:lang w:val="pl-PL"/>
        </w:rPr>
        <w:t xml:space="preserve">Trudno było jeszcze pogodzić pogląd, że równolegle </w:t>
      </w:r>
      <w:r w:rsidR="00531400">
        <w:rPr>
          <w:rFonts w:cs="Times New Roman"/>
          <w:lang w:val="pl-PL"/>
        </w:rPr>
        <w:t xml:space="preserve">toczące </w:t>
      </w:r>
      <w:proofErr w:type="spellStart"/>
      <w:r w:rsidR="00531400">
        <w:rPr>
          <w:rFonts w:cs="Times New Roman"/>
          <w:lang w:val="pl-PL"/>
        </w:rPr>
        <w:t>się</w:t>
      </w:r>
      <w:r w:rsidR="00531400" w:rsidRPr="00531400">
        <w:rPr>
          <w:rFonts w:cs="Times New Roman"/>
          <w:lang w:val="pl-PL"/>
        </w:rPr>
        <w:t>postępowania</w:t>
      </w:r>
      <w:proofErr w:type="spellEnd"/>
      <w:r w:rsidR="00531400" w:rsidRPr="00531400">
        <w:rPr>
          <w:rFonts w:cs="Times New Roman"/>
          <w:lang w:val="pl-PL"/>
        </w:rPr>
        <w:t xml:space="preserve"> były wyraźnie bezproblemowe w ramach </w:t>
      </w:r>
      <w:r>
        <w:rPr>
          <w:rFonts w:cs="Times New Roman"/>
          <w:lang w:val="pl-PL"/>
        </w:rPr>
        <w:t>P</w:t>
      </w:r>
      <w:r w:rsidRPr="0051003F">
        <w:rPr>
          <w:rFonts w:cs="Times New Roman"/>
          <w:lang w:val="pl-PL"/>
        </w:rPr>
        <w:t>rotokołu</w:t>
      </w:r>
      <w:r w:rsidR="006A43C6" w:rsidRPr="0051003F">
        <w:rPr>
          <w:rFonts w:cs="Times New Roman"/>
          <w:lang w:val="pl-PL"/>
        </w:rPr>
        <w:t xml:space="preserve">, ponieważ uznano, że gdy tylko </w:t>
      </w:r>
      <w:r w:rsidR="00D350A4" w:rsidRPr="0051003F">
        <w:rPr>
          <w:rFonts w:cs="Times New Roman"/>
          <w:lang w:val="pl-PL"/>
        </w:rPr>
        <w:t>jedno</w:t>
      </w:r>
      <w:r w:rsidR="006A43C6" w:rsidRPr="0051003F">
        <w:rPr>
          <w:rFonts w:cs="Times New Roman"/>
          <w:lang w:val="pl-PL"/>
        </w:rPr>
        <w:t xml:space="preserve"> z </w:t>
      </w:r>
      <w:r w:rsidR="00D350A4" w:rsidRPr="0051003F">
        <w:rPr>
          <w:rFonts w:cs="Times New Roman"/>
          <w:lang w:val="pl-PL"/>
        </w:rPr>
        <w:t>postępowań</w:t>
      </w:r>
      <w:r w:rsidR="006A43C6" w:rsidRPr="0051003F">
        <w:rPr>
          <w:rFonts w:cs="Times New Roman"/>
          <w:lang w:val="pl-PL"/>
        </w:rPr>
        <w:t xml:space="preserve"> </w:t>
      </w:r>
      <w:r w:rsidR="00D350A4" w:rsidRPr="0051003F">
        <w:rPr>
          <w:rFonts w:cs="Times New Roman"/>
          <w:lang w:val="pl-PL"/>
        </w:rPr>
        <w:t>doszło</w:t>
      </w:r>
      <w:r w:rsidR="006A43C6" w:rsidRPr="0051003F">
        <w:rPr>
          <w:rFonts w:cs="Times New Roman"/>
          <w:lang w:val="pl-PL"/>
        </w:rPr>
        <w:t xml:space="preserve"> do ostatecznego wniosku, drugie stanowiłby naruszenie, niezależnie od tego, czy najpierw zakończono łagodniejsze postępowanie administracyjne lub poważniejsze postępowanie karne, i niezależnie od tego, czy zostało ono wszczęte jako pierwsze, czy też jako ostatnie.</w:t>
      </w:r>
    </w:p>
    <w:p w:rsidR="006A43C6" w:rsidRPr="0051003F" w:rsidRDefault="00067FF3" w:rsidP="006A43C6">
      <w:pPr>
        <w:pStyle w:val="ECHRPara"/>
        <w:rPr>
          <w:rFonts w:cs="Times New Roman"/>
          <w:lang w:val="pl-PL"/>
        </w:rPr>
      </w:pPr>
      <w:r>
        <w:rPr>
          <w:rFonts w:cs="Times New Roman"/>
          <w:lang w:val="pl-PL"/>
        </w:rPr>
        <w:t>81</w:t>
      </w:r>
      <w:r w:rsidR="00AA61DC" w:rsidRPr="0051003F">
        <w:rPr>
          <w:rFonts w:cs="Times New Roman"/>
          <w:lang w:val="pl-PL"/>
        </w:rPr>
        <w:t>.  </w:t>
      </w:r>
      <w:proofErr w:type="spellStart"/>
      <w:r w:rsidR="00AA61DC" w:rsidRPr="0051003F">
        <w:rPr>
          <w:rFonts w:cs="Times New Roman"/>
          <w:i/>
          <w:lang w:val="pl-PL"/>
        </w:rPr>
        <w:t>Nykäne</w:t>
      </w:r>
      <w:r w:rsidR="006A43C6" w:rsidRPr="0051003F">
        <w:rPr>
          <w:rFonts w:cs="Times New Roman"/>
          <w:i/>
          <w:lang w:val="pl-PL"/>
        </w:rPr>
        <w:t>n</w:t>
      </w:r>
      <w:proofErr w:type="spellEnd"/>
      <w:r w:rsidR="006A43C6" w:rsidRPr="0051003F">
        <w:rPr>
          <w:rFonts w:cs="Times New Roman"/>
          <w:lang w:val="pl-PL"/>
        </w:rPr>
        <w:t xml:space="preserve"> był również sprzeczny z podstawowymi zasadami przewidywalności i równego traktowania. W przypadku gdyby postępowanie karne uzyskało powagę rzeczy osądzonej przed postępowaniem administracyjnym, jedna osoba mogłaby zostać skazana na karę pozbawienia wolności, podczas gdy inna osoba za to samo przestępstwo musiałaby po prostu zapłacić umiarkowaną karę administracyjną. Pytanie, które postępowanie zostało zakończone, zależało w pierwszej kolejności od postępów organów podatkowych, policji, organów ścigania lub sądów oraz od tego, czy podatnik skorzystał z zażalenia administracyjnego lub postępowania sądowego. W ten sposób </w:t>
      </w:r>
      <w:proofErr w:type="spellStart"/>
      <w:r w:rsidR="006A43C6" w:rsidRPr="0051003F">
        <w:rPr>
          <w:rFonts w:cs="Times New Roman"/>
          <w:i/>
          <w:lang w:val="pl-PL"/>
        </w:rPr>
        <w:t>Nykänen</w:t>
      </w:r>
      <w:proofErr w:type="spellEnd"/>
      <w:r w:rsidR="006A43C6" w:rsidRPr="0051003F">
        <w:rPr>
          <w:rFonts w:cs="Times New Roman"/>
          <w:lang w:val="pl-PL"/>
        </w:rPr>
        <w:t xml:space="preserve"> zobowiązywała państwa do nierównego traktowania osób znajdujących się w takiej samej sytuacji, w zależności od zwykłego przypadku. Jak przyznano w </w:t>
      </w:r>
      <w:proofErr w:type="spellStart"/>
      <w:r w:rsidR="006A43C6" w:rsidRPr="0051003F">
        <w:rPr>
          <w:rFonts w:cs="Times New Roman"/>
          <w:i/>
          <w:lang w:val="pl-PL"/>
        </w:rPr>
        <w:t>Nykänen</w:t>
      </w:r>
      <w:proofErr w:type="spellEnd"/>
      <w:r w:rsidR="006A43C6" w:rsidRPr="0051003F">
        <w:rPr>
          <w:rFonts w:cs="Times New Roman"/>
          <w:lang w:val="pl-PL"/>
        </w:rPr>
        <w:t>,</w:t>
      </w:r>
      <w:r w:rsidR="00D350A4">
        <w:rPr>
          <w:rFonts w:cs="Times New Roman"/>
          <w:lang w:val="pl-PL"/>
        </w:rPr>
        <w:t xml:space="preserve"> </w:t>
      </w:r>
      <w:r>
        <w:rPr>
          <w:rFonts w:cs="Times New Roman"/>
          <w:lang w:val="pl-PL"/>
        </w:rPr>
        <w:t>,,</w:t>
      </w:r>
      <w:r w:rsidR="006A43C6" w:rsidRPr="0051003F">
        <w:rPr>
          <w:rFonts w:cs="Times New Roman"/>
          <w:lang w:val="pl-PL"/>
        </w:rPr>
        <w:t>czasem może się zdarzyć przypadek, że postępowanie równoległe najpierw stanie się ostateczne, co może wywołać obawy dotyczące nierównego traktowania”.</w:t>
      </w:r>
    </w:p>
    <w:p w:rsidR="006A43C6" w:rsidRPr="0051003F" w:rsidRDefault="00067FF3" w:rsidP="006A43C6">
      <w:pPr>
        <w:pStyle w:val="ECHRPara"/>
        <w:rPr>
          <w:rFonts w:cs="Times New Roman"/>
          <w:lang w:val="pl-PL"/>
        </w:rPr>
      </w:pPr>
      <w:r>
        <w:rPr>
          <w:rFonts w:cs="Times New Roman"/>
          <w:lang w:val="pl-PL"/>
        </w:rPr>
        <w:lastRenderedPageBreak/>
        <w:t>82</w:t>
      </w:r>
      <w:r w:rsidR="00AA61DC" w:rsidRPr="0051003F">
        <w:rPr>
          <w:rFonts w:cs="Times New Roman"/>
          <w:lang w:val="pl-PL"/>
        </w:rPr>
        <w:t>.  </w:t>
      </w:r>
      <w:r w:rsidR="006A43C6" w:rsidRPr="0051003F">
        <w:rPr>
          <w:rFonts w:cs="Times New Roman"/>
          <w:lang w:val="pl-PL"/>
        </w:rPr>
        <w:t>Potrzeba skuteczności w rozpatrywaniu spraw często przemawia za równoległymi postępowaniami. Z jednej strony należy zauważyć, że ze względu na swoją specjalistyczną wiedzę i możliwości organy administracyjne często mogłyby nakładać sankcje administracyjne szybciej niż prokuratura i sądy w ramach postępowania karnego. Ze względu na</w:t>
      </w:r>
      <w:r w:rsidR="00E42981">
        <w:rPr>
          <w:rFonts w:cs="Times New Roman"/>
          <w:lang w:val="pl-PL"/>
        </w:rPr>
        <w:t xml:space="preserve"> dużą</w:t>
      </w:r>
      <w:r w:rsidR="006A43C6" w:rsidRPr="0051003F">
        <w:rPr>
          <w:rFonts w:cs="Times New Roman"/>
          <w:lang w:val="pl-PL"/>
        </w:rPr>
        <w:t xml:space="preserve"> rolę, jaką pełnią </w:t>
      </w:r>
      <w:r w:rsidR="00E42981">
        <w:rPr>
          <w:rFonts w:cs="Times New Roman"/>
          <w:lang w:val="pl-PL"/>
        </w:rPr>
        <w:t xml:space="preserve">organy administracyjne </w:t>
      </w:r>
      <w:r w:rsidR="006A43C6" w:rsidRPr="0051003F">
        <w:rPr>
          <w:rFonts w:cs="Times New Roman"/>
          <w:lang w:val="pl-PL"/>
        </w:rPr>
        <w:t xml:space="preserve">w administracji, byłyby </w:t>
      </w:r>
      <w:r w:rsidR="00E42981">
        <w:rPr>
          <w:rFonts w:cs="Times New Roman"/>
          <w:lang w:val="pl-PL"/>
        </w:rPr>
        <w:t xml:space="preserve">one </w:t>
      </w:r>
      <w:r w:rsidR="006A43C6" w:rsidRPr="0051003F">
        <w:rPr>
          <w:rFonts w:cs="Times New Roman"/>
          <w:lang w:val="pl-PL"/>
        </w:rPr>
        <w:t xml:space="preserve">ponadto lepiej przygotowane do zapewnienia równego traktowania tych samych przestępstw. Z drugiej strony, zapobieganie przestępczości wymagało, aby państwo nie było pozbawione możliwości ścigania i karania przestępstw w ramach tradycyjnych, formalnych procedur karnych, gdy postępowanie administracyjne i karne ujawniło przestępstwa o większej surowości i złożoności niż te, które mogły prowadzić do procesu administracyjnego i sankcji w pierwszej kolejności. Według </w:t>
      </w:r>
      <w:r w:rsidR="00DA1496">
        <w:rPr>
          <w:rFonts w:cs="Times New Roman"/>
          <w:lang w:val="pl-PL"/>
        </w:rPr>
        <w:t>R</w:t>
      </w:r>
      <w:r w:rsidR="006A43C6" w:rsidRPr="0051003F">
        <w:rPr>
          <w:rFonts w:cs="Times New Roman"/>
          <w:lang w:val="pl-PL"/>
        </w:rPr>
        <w:t>ządu sprawy skarżących stanowiły przykładowe przykłady takich sytuacji.</w:t>
      </w:r>
    </w:p>
    <w:p w:rsidR="00AA61DC" w:rsidRPr="0051003F" w:rsidRDefault="004C2226" w:rsidP="006A43C6">
      <w:pPr>
        <w:pStyle w:val="ECHRPara"/>
        <w:rPr>
          <w:rFonts w:cs="Times New Roman"/>
          <w:lang w:val="pl-PL"/>
        </w:rPr>
      </w:pPr>
      <w:r>
        <w:rPr>
          <w:rFonts w:cs="Times New Roman"/>
          <w:lang w:val="pl-PL"/>
        </w:rPr>
        <w:t>83</w:t>
      </w:r>
      <w:r w:rsidR="00AA61DC" w:rsidRPr="0051003F">
        <w:rPr>
          <w:rFonts w:cs="Times New Roman"/>
          <w:lang w:val="pl-PL"/>
        </w:rPr>
        <w:t>.  </w:t>
      </w:r>
      <w:r w:rsidR="006A43C6" w:rsidRPr="0051003F">
        <w:rPr>
          <w:rFonts w:cs="Times New Roman"/>
          <w:lang w:val="pl-PL"/>
        </w:rPr>
        <w:t>Rząd zauważył, że kilka państw europejskich utrzymywało podwójny system sankcji w dziedzinach takich jak prawo podatkowe i bezpieczeństwo publiczne (wniosły one uzasadnienie podane w opinii rzecznika generalnego z dnia 12 czerwca 2012 r</w:t>
      </w:r>
      <w:r w:rsidR="00DA1496">
        <w:rPr>
          <w:rFonts w:cs="Times New Roman"/>
          <w:lang w:val="pl-PL"/>
        </w:rPr>
        <w:t>oku</w:t>
      </w:r>
      <w:r w:rsidR="006A43C6" w:rsidRPr="0051003F">
        <w:rPr>
          <w:rFonts w:cs="Times New Roman"/>
          <w:lang w:val="pl-PL"/>
        </w:rPr>
        <w:t xml:space="preserve"> w sprawie </w:t>
      </w:r>
      <w:proofErr w:type="spellStart"/>
      <w:r w:rsidR="006A43C6" w:rsidRPr="0051003F">
        <w:rPr>
          <w:rFonts w:cs="Times New Roman"/>
          <w:i/>
          <w:lang w:val="pl-PL"/>
        </w:rPr>
        <w:t>Fransson</w:t>
      </w:r>
      <w:proofErr w:type="spellEnd"/>
      <w:r w:rsidR="006A43C6" w:rsidRPr="0051003F">
        <w:rPr>
          <w:rFonts w:cs="Times New Roman"/>
          <w:lang w:val="pl-PL"/>
        </w:rPr>
        <w:t>, przytoczonej w para</w:t>
      </w:r>
      <w:r w:rsidR="00DA1496">
        <w:rPr>
          <w:rFonts w:cs="Times New Roman"/>
          <w:lang w:val="pl-PL"/>
        </w:rPr>
        <w:t>grafie</w:t>
      </w:r>
      <w:r w:rsidR="006A43C6" w:rsidRPr="0051003F">
        <w:rPr>
          <w:rFonts w:cs="Times New Roman"/>
          <w:lang w:val="pl-PL"/>
        </w:rPr>
        <w:t xml:space="preserve"> 51 powyżej, wydanej przez rzecznika generalnego przed Trybunałem Sprawiedliwości Unii Europejskiej).</w:t>
      </w:r>
    </w:p>
    <w:p w:rsidR="00AA61DC" w:rsidRPr="0051003F" w:rsidRDefault="004C2226" w:rsidP="006A43C6">
      <w:pPr>
        <w:pStyle w:val="ECHRPara"/>
        <w:rPr>
          <w:rFonts w:cs="Times New Roman"/>
          <w:lang w:val="pl-PL"/>
        </w:rPr>
      </w:pPr>
      <w:r>
        <w:rPr>
          <w:rFonts w:cs="Times New Roman"/>
          <w:lang w:val="pl-PL"/>
        </w:rPr>
        <w:t>84</w:t>
      </w:r>
      <w:r w:rsidR="00AA61DC" w:rsidRPr="0051003F">
        <w:rPr>
          <w:rFonts w:cs="Times New Roman"/>
          <w:lang w:val="pl-PL"/>
        </w:rPr>
        <w:t>.  </w:t>
      </w:r>
      <w:r w:rsidR="006A43C6" w:rsidRPr="0051003F">
        <w:rPr>
          <w:rFonts w:cs="Times New Roman"/>
          <w:lang w:val="pl-PL"/>
        </w:rPr>
        <w:t xml:space="preserve">W Norwegii kwestia kontynuacji równoległych postępowań nie była ograniczona do kwestii opodatkowania. Jeżeli art. 4 Protokołu </w:t>
      </w:r>
      <w:r w:rsidR="00DA1496">
        <w:rPr>
          <w:rFonts w:cs="Times New Roman"/>
          <w:lang w:val="pl-PL"/>
        </w:rPr>
        <w:t>n</w:t>
      </w:r>
      <w:r w:rsidR="00DA1496" w:rsidRPr="0051003F">
        <w:rPr>
          <w:rFonts w:cs="Times New Roman"/>
          <w:lang w:val="pl-PL"/>
        </w:rPr>
        <w:t xml:space="preserve">r </w:t>
      </w:r>
      <w:r w:rsidR="006A43C6" w:rsidRPr="0051003F">
        <w:rPr>
          <w:rFonts w:cs="Times New Roman"/>
          <w:lang w:val="pl-PL"/>
        </w:rPr>
        <w:t>7 należałoby interpretować w ten sposób, że zakazuje on sfinalizowania równoległych postępowań toczących się od momentu ostatecznego zakończenia postępowania administracyjnego lub karnego w drodze ostatecznej decyzji, pociągałoby to za sobą daleko idące, niekorzystne i nieprzewidywalne skutki w wielu obszarach prawa administracyjnego. Wymagało to ostrożnego podejścia. Podobne kwestie pojawią się w wielu państwach europejskich o ugruntowanych równoległych systemach administracyjnych i karnych w podstawowych dziedzinach prawa, w tym w dziedzinie opodatkowania.</w:t>
      </w:r>
    </w:p>
    <w:p w:rsidR="00AA61DC" w:rsidRPr="0051003F" w:rsidRDefault="004C2226" w:rsidP="006A43C6">
      <w:pPr>
        <w:pStyle w:val="ECHRPara"/>
        <w:rPr>
          <w:rFonts w:cs="Times New Roman"/>
          <w:lang w:val="pl-PL"/>
        </w:rPr>
      </w:pPr>
      <w:r>
        <w:rPr>
          <w:rFonts w:cs="Times New Roman"/>
          <w:lang w:val="pl-PL"/>
        </w:rPr>
        <w:t>85</w:t>
      </w:r>
      <w:r w:rsidR="00AA61DC" w:rsidRPr="0051003F">
        <w:rPr>
          <w:rFonts w:cs="Times New Roman"/>
          <w:lang w:val="pl-PL"/>
        </w:rPr>
        <w:t>.  </w:t>
      </w:r>
      <w:r w:rsidR="006A43C6" w:rsidRPr="0051003F">
        <w:rPr>
          <w:rFonts w:cs="Times New Roman"/>
          <w:lang w:val="pl-PL"/>
        </w:rPr>
        <w:t xml:space="preserve">Argumenty leżące u podstaw art. 4 Protokołu </w:t>
      </w:r>
      <w:r>
        <w:rPr>
          <w:rFonts w:cs="Times New Roman"/>
          <w:lang w:val="pl-PL"/>
        </w:rPr>
        <w:t>nr</w:t>
      </w:r>
      <w:r w:rsidRPr="0051003F">
        <w:rPr>
          <w:rFonts w:cs="Times New Roman"/>
          <w:lang w:val="pl-PL"/>
        </w:rPr>
        <w:t xml:space="preserve"> </w:t>
      </w:r>
      <w:r w:rsidR="006A43C6" w:rsidRPr="0051003F">
        <w:rPr>
          <w:rFonts w:cs="Times New Roman"/>
          <w:lang w:val="pl-PL"/>
        </w:rPr>
        <w:t xml:space="preserve">7 miały w mniejszym stopniu zastosowanie, jeżeli przedmiotowe </w:t>
      </w:r>
      <w:r w:rsidRPr="0051003F">
        <w:rPr>
          <w:rFonts w:cs="Times New Roman"/>
          <w:lang w:val="pl-PL"/>
        </w:rPr>
        <w:t>postępowani</w:t>
      </w:r>
      <w:r>
        <w:rPr>
          <w:rFonts w:cs="Times New Roman"/>
          <w:lang w:val="pl-PL"/>
        </w:rPr>
        <w:t>a</w:t>
      </w:r>
      <w:r w:rsidRPr="0051003F">
        <w:rPr>
          <w:rFonts w:cs="Times New Roman"/>
          <w:lang w:val="pl-PL"/>
        </w:rPr>
        <w:t xml:space="preserve"> toczył</w:t>
      </w:r>
      <w:r>
        <w:rPr>
          <w:rFonts w:cs="Times New Roman"/>
          <w:lang w:val="pl-PL"/>
        </w:rPr>
        <w:t>y</w:t>
      </w:r>
      <w:r w:rsidRPr="0051003F">
        <w:rPr>
          <w:rFonts w:cs="Times New Roman"/>
          <w:lang w:val="pl-PL"/>
        </w:rPr>
        <w:t xml:space="preserve"> </w:t>
      </w:r>
      <w:r w:rsidR="006A43C6" w:rsidRPr="0051003F">
        <w:rPr>
          <w:rFonts w:cs="Times New Roman"/>
          <w:lang w:val="pl-PL"/>
        </w:rPr>
        <w:t xml:space="preserve">się równolegle i jednocześnie. </w:t>
      </w:r>
      <w:r>
        <w:rPr>
          <w:rFonts w:cs="Times New Roman"/>
          <w:lang w:val="pl-PL"/>
        </w:rPr>
        <w:t>Oskarżony</w:t>
      </w:r>
      <w:r w:rsidR="006A43C6" w:rsidRPr="0051003F">
        <w:rPr>
          <w:rFonts w:cs="Times New Roman"/>
          <w:lang w:val="pl-PL"/>
        </w:rPr>
        <w:t xml:space="preserve">, który dobrze wiedział, że został poddany przez różne organy dwóm różnym </w:t>
      </w:r>
      <w:r>
        <w:rPr>
          <w:rFonts w:cs="Times New Roman"/>
          <w:lang w:val="pl-PL"/>
        </w:rPr>
        <w:t>rodzajom</w:t>
      </w:r>
      <w:r w:rsidRPr="0051003F">
        <w:rPr>
          <w:rFonts w:cs="Times New Roman"/>
          <w:lang w:val="pl-PL"/>
        </w:rPr>
        <w:t xml:space="preserve"> </w:t>
      </w:r>
      <w:r w:rsidR="006A43C6" w:rsidRPr="0051003F">
        <w:rPr>
          <w:rFonts w:cs="Times New Roman"/>
          <w:lang w:val="pl-PL"/>
        </w:rPr>
        <w:t xml:space="preserve">postępowań ściśle powiązanych co do istoty i w czasie, byłby mniej skłonny oczekiwać, że pierwsza nałożona sankcja będzie ostateczna i wyłączna w stosunku do drugiej. Wreszcie, zasada </w:t>
      </w:r>
      <w:proofErr w:type="spellStart"/>
      <w:r w:rsidR="006A43C6" w:rsidRPr="0051003F">
        <w:rPr>
          <w:rFonts w:cs="Times New Roman"/>
          <w:i/>
          <w:lang w:val="pl-PL"/>
        </w:rPr>
        <w:t>ne</w:t>
      </w:r>
      <w:proofErr w:type="spellEnd"/>
      <w:r w:rsidR="006A43C6" w:rsidRPr="0051003F">
        <w:rPr>
          <w:rFonts w:cs="Times New Roman"/>
          <w:i/>
          <w:lang w:val="pl-PL"/>
        </w:rPr>
        <w:t xml:space="preserve"> bis in </w:t>
      </w:r>
      <w:proofErr w:type="spellStart"/>
      <w:r w:rsidR="006A43C6" w:rsidRPr="0051003F">
        <w:rPr>
          <w:rFonts w:cs="Times New Roman"/>
          <w:i/>
          <w:lang w:val="pl-PL"/>
        </w:rPr>
        <w:t>idem</w:t>
      </w:r>
      <w:proofErr w:type="spellEnd"/>
      <w:r w:rsidR="006A43C6" w:rsidRPr="0051003F">
        <w:rPr>
          <w:rFonts w:cs="Times New Roman"/>
          <w:lang w:val="pl-PL"/>
        </w:rPr>
        <w:t xml:space="preserve"> w mniejszym stopniu miała zastosowanie </w:t>
      </w:r>
      <w:r w:rsidR="0007428E" w:rsidRPr="0051003F">
        <w:rPr>
          <w:rFonts w:cs="Times New Roman"/>
          <w:lang w:val="pl-PL"/>
        </w:rPr>
        <w:t>do sankcji wykraczających poza „</w:t>
      </w:r>
      <w:r w:rsidR="00290F24">
        <w:rPr>
          <w:rFonts w:cs="Times New Roman"/>
          <w:lang w:val="pl-PL"/>
        </w:rPr>
        <w:t>ścisły temat</w:t>
      </w:r>
      <w:r w:rsidR="0007428E" w:rsidRPr="0051003F">
        <w:rPr>
          <w:rFonts w:cs="Times New Roman"/>
          <w:lang w:val="pl-PL"/>
        </w:rPr>
        <w:t>”</w:t>
      </w:r>
      <w:r w:rsidR="006A43C6" w:rsidRPr="0051003F">
        <w:rPr>
          <w:rFonts w:cs="Times New Roman"/>
          <w:lang w:val="pl-PL"/>
        </w:rPr>
        <w:t xml:space="preserve"> prawa karnego, takich jak </w:t>
      </w:r>
      <w:r w:rsidR="0007428E" w:rsidRPr="0051003F">
        <w:rPr>
          <w:rFonts w:cs="Times New Roman"/>
          <w:lang w:val="pl-PL"/>
        </w:rPr>
        <w:t>kary podatkowe (odnieśli się oni</w:t>
      </w:r>
      <w:r w:rsidR="006A43C6" w:rsidRPr="0051003F">
        <w:rPr>
          <w:rFonts w:cs="Times New Roman"/>
          <w:lang w:val="pl-PL"/>
        </w:rPr>
        <w:t xml:space="preserve"> do przywołanego powyżej uzasadnienia w </w:t>
      </w:r>
      <w:proofErr w:type="spellStart"/>
      <w:r w:rsidR="006A43C6" w:rsidRPr="0051003F">
        <w:rPr>
          <w:rFonts w:cs="Times New Roman"/>
          <w:i/>
          <w:lang w:val="pl-PL"/>
        </w:rPr>
        <w:t>Jussili</w:t>
      </w:r>
      <w:proofErr w:type="spellEnd"/>
      <w:r w:rsidR="0007428E" w:rsidRPr="0051003F">
        <w:rPr>
          <w:rFonts w:cs="Times New Roman"/>
          <w:lang w:val="pl-PL"/>
        </w:rPr>
        <w:t>, para</w:t>
      </w:r>
      <w:r w:rsidR="00290F24">
        <w:rPr>
          <w:rFonts w:cs="Times New Roman"/>
          <w:lang w:val="pl-PL"/>
        </w:rPr>
        <w:t>graf</w:t>
      </w:r>
      <w:r w:rsidR="00290F24" w:rsidRPr="0051003F">
        <w:rPr>
          <w:rFonts w:cs="Times New Roman"/>
          <w:lang w:val="pl-PL"/>
        </w:rPr>
        <w:t xml:space="preserve"> </w:t>
      </w:r>
      <w:r w:rsidR="006A43C6" w:rsidRPr="0051003F">
        <w:rPr>
          <w:rFonts w:cs="Times New Roman"/>
          <w:lang w:val="pl-PL"/>
        </w:rPr>
        <w:t xml:space="preserve">43, w odniesieniu do art. 6, który można było </w:t>
      </w:r>
      <w:r w:rsidR="00AC57F9">
        <w:rPr>
          <w:rFonts w:cs="Times New Roman"/>
          <w:lang w:val="pl-PL"/>
        </w:rPr>
        <w:t>recypować</w:t>
      </w:r>
      <w:r w:rsidR="00AC57F9" w:rsidRPr="0051003F">
        <w:rPr>
          <w:rFonts w:cs="Times New Roman"/>
          <w:lang w:val="pl-PL"/>
        </w:rPr>
        <w:t xml:space="preserve"> </w:t>
      </w:r>
      <w:r w:rsidR="006A43C6" w:rsidRPr="0051003F">
        <w:rPr>
          <w:rFonts w:cs="Times New Roman"/>
          <w:lang w:val="pl-PL"/>
        </w:rPr>
        <w:t xml:space="preserve">do art. 4 Protokołu </w:t>
      </w:r>
      <w:r w:rsidR="00050A02">
        <w:rPr>
          <w:rFonts w:cs="Times New Roman"/>
          <w:lang w:val="pl-PL"/>
        </w:rPr>
        <w:t>n</w:t>
      </w:r>
      <w:r w:rsidR="00050A02" w:rsidRPr="0051003F">
        <w:rPr>
          <w:rFonts w:cs="Times New Roman"/>
          <w:lang w:val="pl-PL"/>
        </w:rPr>
        <w:t xml:space="preserve">r </w:t>
      </w:r>
      <w:r w:rsidR="006A43C6" w:rsidRPr="0051003F">
        <w:rPr>
          <w:rFonts w:cs="Times New Roman"/>
          <w:lang w:val="pl-PL"/>
        </w:rPr>
        <w:t>7).</w:t>
      </w:r>
    </w:p>
    <w:p w:rsidR="0007428E" w:rsidRPr="0051003F" w:rsidRDefault="00AC57F9" w:rsidP="0007428E">
      <w:pPr>
        <w:pStyle w:val="ECHRPara"/>
        <w:rPr>
          <w:rFonts w:cs="Times New Roman"/>
          <w:lang w:val="pl-PL"/>
        </w:rPr>
      </w:pPr>
      <w:r>
        <w:rPr>
          <w:rFonts w:cs="Times New Roman"/>
          <w:lang w:val="pl-PL"/>
        </w:rPr>
        <w:t>86</w:t>
      </w:r>
      <w:r w:rsidR="00AA61DC" w:rsidRPr="0051003F">
        <w:rPr>
          <w:rFonts w:cs="Times New Roman"/>
          <w:lang w:val="pl-PL"/>
        </w:rPr>
        <w:t>.  </w:t>
      </w:r>
      <w:r w:rsidR="0007428E" w:rsidRPr="0051003F">
        <w:rPr>
          <w:rFonts w:cs="Times New Roman"/>
          <w:lang w:val="pl-PL"/>
        </w:rPr>
        <w:t xml:space="preserve">Jeżeli chodzi o szczególne okoliczności, </w:t>
      </w:r>
      <w:r>
        <w:rPr>
          <w:rFonts w:cs="Times New Roman"/>
          <w:lang w:val="pl-PL"/>
        </w:rPr>
        <w:t>R</w:t>
      </w:r>
      <w:r w:rsidR="0007428E" w:rsidRPr="0051003F">
        <w:rPr>
          <w:rFonts w:cs="Times New Roman"/>
          <w:lang w:val="pl-PL"/>
        </w:rPr>
        <w:t xml:space="preserve">ząd w pełni poparł rozumowanie Sądu Najwyższego w sprawie pierwszego skarżącego (zob. </w:t>
      </w:r>
      <w:r w:rsidR="0007428E" w:rsidRPr="0051003F">
        <w:rPr>
          <w:rFonts w:cs="Times New Roman"/>
          <w:lang w:val="pl-PL"/>
        </w:rPr>
        <w:lastRenderedPageBreak/>
        <w:t>para</w:t>
      </w:r>
      <w:r>
        <w:rPr>
          <w:rFonts w:cs="Times New Roman"/>
          <w:lang w:val="pl-PL"/>
        </w:rPr>
        <w:t>graf</w:t>
      </w:r>
      <w:r w:rsidR="0007428E" w:rsidRPr="0051003F">
        <w:rPr>
          <w:rFonts w:cs="Times New Roman"/>
          <w:lang w:val="pl-PL"/>
        </w:rPr>
        <w:t xml:space="preserve"> 29 powyżej) oraz Sądu Apelacyjnego w sprawie drugiego skarżącego</w:t>
      </w:r>
      <w:r w:rsidR="00965F49">
        <w:rPr>
          <w:rFonts w:cs="Times New Roman"/>
          <w:lang w:val="pl-PL"/>
        </w:rPr>
        <w:t xml:space="preserve"> </w:t>
      </w:r>
      <w:r w:rsidR="0007428E" w:rsidRPr="0051003F">
        <w:rPr>
          <w:rFonts w:cs="Times New Roman"/>
          <w:lang w:val="pl-PL"/>
        </w:rPr>
        <w:t>(zob. para</w:t>
      </w:r>
      <w:r w:rsidR="00965F49">
        <w:rPr>
          <w:rFonts w:cs="Times New Roman"/>
          <w:lang w:val="pl-PL"/>
        </w:rPr>
        <w:t>graf</w:t>
      </w:r>
      <w:r w:rsidR="0007428E" w:rsidRPr="0051003F">
        <w:rPr>
          <w:rFonts w:cs="Times New Roman"/>
          <w:lang w:val="pl-PL"/>
        </w:rPr>
        <w:t xml:space="preserve"> 39 powyżej), że istnieje wystarczająco ścisły związek co do istoty i czasu. Żaden ze skarżących nie mógł zgodnie z prawem oczekiwać, że będzie podlegał jedynie postępowaniu i sankcjom administracyjnym. Aby uniknąć rezultatu, który byłby sprzeczny z podstawowym wymogiem równego traktowania, jak wyjaśnił </w:t>
      </w:r>
      <w:r w:rsidR="00965F49">
        <w:rPr>
          <w:rFonts w:cs="Times New Roman"/>
          <w:lang w:val="pl-PL"/>
        </w:rPr>
        <w:t>R</w:t>
      </w:r>
      <w:r w:rsidR="0007428E" w:rsidRPr="0051003F">
        <w:rPr>
          <w:rFonts w:cs="Times New Roman"/>
          <w:lang w:val="pl-PL"/>
        </w:rPr>
        <w:t>ząd, skarżący „mieli, na równi z” E. K.. oraz B. L. którzy byli oskarżeni w tej samej sprawie (zob. para</w:t>
      </w:r>
      <w:r w:rsidR="00965F49">
        <w:rPr>
          <w:rFonts w:cs="Times New Roman"/>
          <w:lang w:val="pl-PL"/>
        </w:rPr>
        <w:t>graf</w:t>
      </w:r>
      <w:r w:rsidR="0007428E" w:rsidRPr="0051003F">
        <w:rPr>
          <w:rFonts w:cs="Times New Roman"/>
          <w:lang w:val="pl-PL"/>
        </w:rPr>
        <w:t xml:space="preserve"> 12-13 powyżej), każdy z nich został skazany na karę pozbawienia wolności w postępowaniu karnym po nałożeniu 30 % podatku administracyjnego.</w:t>
      </w:r>
    </w:p>
    <w:p w:rsidR="00B27E56" w:rsidRPr="0051003F" w:rsidRDefault="00907873" w:rsidP="00A7252F">
      <w:pPr>
        <w:pStyle w:val="ECHRHeading3"/>
        <w:rPr>
          <w:lang w:val="pl-PL"/>
        </w:rPr>
      </w:pPr>
      <w:bookmarkStart w:id="117" w:name="_Toc466904320"/>
      <w:bookmarkStart w:id="118" w:name="_Toc466972339"/>
      <w:bookmarkStart w:id="119" w:name="_Toc466972850"/>
      <w:bookmarkStart w:id="120" w:name="_Toc466974266"/>
      <w:bookmarkStart w:id="121" w:name="_Toc473801901"/>
      <w:r w:rsidRPr="0051003F">
        <w:rPr>
          <w:lang w:val="pl-PL"/>
        </w:rPr>
        <w:t>3</w:t>
      </w:r>
      <w:r w:rsidR="00CC0632" w:rsidRPr="0051003F">
        <w:rPr>
          <w:lang w:val="pl-PL"/>
        </w:rPr>
        <w:t>.  </w:t>
      </w:r>
      <w:bookmarkEnd w:id="117"/>
      <w:bookmarkEnd w:id="118"/>
      <w:bookmarkEnd w:id="119"/>
      <w:bookmarkEnd w:id="120"/>
      <w:bookmarkEnd w:id="121"/>
      <w:r w:rsidR="00D350A4" w:rsidRPr="0051003F">
        <w:rPr>
          <w:lang w:val="pl-PL"/>
        </w:rPr>
        <w:t>Interwencja</w:t>
      </w:r>
      <w:r w:rsidR="0007428E" w:rsidRPr="0051003F">
        <w:rPr>
          <w:lang w:val="pl-PL"/>
        </w:rPr>
        <w:t xml:space="preserve"> stron trzecich</w:t>
      </w:r>
    </w:p>
    <w:p w:rsidR="0007428E" w:rsidRPr="0051003F" w:rsidRDefault="00985B31" w:rsidP="0007428E">
      <w:pPr>
        <w:pStyle w:val="ECHRPara"/>
        <w:rPr>
          <w:lang w:val="pl-PL"/>
        </w:rPr>
      </w:pPr>
      <w:r w:rsidRPr="0051003F">
        <w:rPr>
          <w:lang w:val="pl-PL"/>
        </w:rPr>
        <w:fldChar w:fldCharType="begin"/>
      </w:r>
      <w:r w:rsidRPr="0051003F">
        <w:rPr>
          <w:lang w:val="pl-PL"/>
        </w:rPr>
        <w:instrText xml:space="preserve"> SEQ level0 \*arabic </w:instrText>
      </w:r>
      <w:r w:rsidRPr="0051003F">
        <w:rPr>
          <w:lang w:val="pl-PL"/>
        </w:rPr>
        <w:fldChar w:fldCharType="separate"/>
      </w:r>
      <w:r w:rsidRPr="0051003F">
        <w:rPr>
          <w:noProof/>
          <w:lang w:val="pl-PL"/>
        </w:rPr>
        <w:t>8</w:t>
      </w:r>
      <w:r>
        <w:rPr>
          <w:noProof/>
          <w:lang w:val="pl-PL"/>
        </w:rPr>
        <w:t>7</w:t>
      </w:r>
      <w:r w:rsidRPr="0051003F">
        <w:rPr>
          <w:lang w:val="pl-PL"/>
        </w:rPr>
        <w:fldChar w:fldCharType="end"/>
      </w:r>
      <w:r w:rsidR="00B27E56" w:rsidRPr="0051003F">
        <w:rPr>
          <w:lang w:val="pl-PL"/>
        </w:rPr>
        <w:t>.  </w:t>
      </w:r>
      <w:r w:rsidR="0007428E" w:rsidRPr="0051003F">
        <w:rPr>
          <w:lang w:val="pl-PL"/>
        </w:rPr>
        <w:t>Interwencje stron trzecich skupiały się przede wszystkim na dwóch kwestiach: po pierwsze na wykładni przymiotnika „karny” w art. 4 Protokołu nr 7 oraz związku między tym przepisem a art. 6 (karny trzon)</w:t>
      </w:r>
      <w:r w:rsidR="007874F2">
        <w:rPr>
          <w:lang w:val="pl-PL"/>
        </w:rPr>
        <w:t xml:space="preserve"> </w:t>
      </w:r>
      <w:r w:rsidR="0007428E" w:rsidRPr="0051003F">
        <w:rPr>
          <w:lang w:val="pl-PL"/>
        </w:rPr>
        <w:t>i art. 7 Konwencji; po drugie na zakresie, w jakim na mocy protokołu dopuszczalne jest równoległe postępowanie (polemika podjęta w podpunktach a) i b) poniżej).</w:t>
      </w:r>
    </w:p>
    <w:p w:rsidR="00A85F6B" w:rsidRPr="0051003F" w:rsidRDefault="0007428E" w:rsidP="00A85F6B">
      <w:pPr>
        <w:pStyle w:val="ECHRHeading4"/>
        <w:rPr>
          <w:lang w:val="pl-PL"/>
        </w:rPr>
      </w:pPr>
      <w:bookmarkStart w:id="122" w:name="_Toc466904321"/>
      <w:bookmarkStart w:id="123" w:name="_Toc466972340"/>
      <w:bookmarkStart w:id="124" w:name="_Toc466972851"/>
      <w:bookmarkStart w:id="125" w:name="_Toc466974267"/>
      <w:bookmarkStart w:id="126" w:name="_Toc473801902"/>
      <w:r w:rsidRPr="0051003F">
        <w:rPr>
          <w:lang w:val="pl-PL"/>
        </w:rPr>
        <w:t xml:space="preserve"> </w:t>
      </w:r>
      <w:r w:rsidR="00907873" w:rsidRPr="0051003F">
        <w:rPr>
          <w:lang w:val="pl-PL"/>
        </w:rPr>
        <w:t>(a)</w:t>
      </w:r>
      <w:r w:rsidR="00B27E56" w:rsidRPr="0051003F">
        <w:rPr>
          <w:lang w:val="pl-PL"/>
        </w:rPr>
        <w:t>  </w:t>
      </w:r>
      <w:bookmarkEnd w:id="122"/>
      <w:bookmarkEnd w:id="123"/>
      <w:bookmarkEnd w:id="124"/>
      <w:bookmarkEnd w:id="125"/>
      <w:bookmarkEnd w:id="126"/>
      <w:r w:rsidR="00A85F6B" w:rsidRPr="0051003F">
        <w:rPr>
          <w:lang w:val="pl-PL"/>
        </w:rPr>
        <w:t>Czy pierwsze postępowanie dotyczyło sprawy „karnej”?</w:t>
      </w:r>
    </w:p>
    <w:p w:rsidR="003E4761" w:rsidRPr="0051003F" w:rsidRDefault="003045BE" w:rsidP="00A85F6B">
      <w:pPr>
        <w:pStyle w:val="ECHRPara"/>
        <w:rPr>
          <w:lang w:val="pl-PL"/>
        </w:rPr>
      </w:pPr>
      <w:r>
        <w:rPr>
          <w:lang w:val="pl-PL"/>
        </w:rPr>
        <w:t>88</w:t>
      </w:r>
      <w:r w:rsidR="00B27E56" w:rsidRPr="0051003F">
        <w:rPr>
          <w:lang w:val="pl-PL"/>
        </w:rPr>
        <w:t>.  </w:t>
      </w:r>
      <w:r w:rsidR="00A85F6B" w:rsidRPr="0051003F">
        <w:rPr>
          <w:lang w:val="pl-PL"/>
        </w:rPr>
        <w:t xml:space="preserve">Rządy Republiki Czeskiej i Francji przyłączyły się do opinii pozwanego Rządu, stwierdzając, że wyrok w sprawie </w:t>
      </w:r>
      <w:proofErr w:type="spellStart"/>
      <w:r w:rsidR="00A85F6B" w:rsidRPr="0051003F">
        <w:rPr>
          <w:i/>
          <w:lang w:val="pl-PL"/>
        </w:rPr>
        <w:t>Zolotukhin</w:t>
      </w:r>
      <w:proofErr w:type="spellEnd"/>
      <w:r w:rsidR="00A85F6B" w:rsidRPr="0051003F">
        <w:rPr>
          <w:lang w:val="pl-PL"/>
        </w:rPr>
        <w:t xml:space="preserve"> nie porzucił wyraźnie szerszego zakresu kryteriów określania charakteru postępowania, które należy ocenić na podstawie art. 4 Protokołu </w:t>
      </w:r>
      <w:r w:rsidR="00A96A32">
        <w:rPr>
          <w:lang w:val="pl-PL"/>
        </w:rPr>
        <w:t>n</w:t>
      </w:r>
      <w:r w:rsidR="00A85F6B" w:rsidRPr="0051003F">
        <w:rPr>
          <w:lang w:val="pl-PL"/>
        </w:rPr>
        <w:t xml:space="preserve">r. 7 oraz że Trybunał sam uznał, między innymi, że postępowanie w sprawie kar podatkowych nie mieściło się w zasadniczym zakresie prawa karnego i w ten sposób zastosował mniej rygorystyczne gwarancje na mocy art. 6 (wspomniane wyżej wyroki w sprawie </w:t>
      </w:r>
      <w:proofErr w:type="spellStart"/>
      <w:r w:rsidR="00A85F6B" w:rsidRPr="0051003F">
        <w:rPr>
          <w:i/>
          <w:lang w:val="pl-PL"/>
        </w:rPr>
        <w:t>Jussila</w:t>
      </w:r>
      <w:proofErr w:type="spellEnd"/>
      <w:r w:rsidR="00A85F6B" w:rsidRPr="0051003F">
        <w:rPr>
          <w:lang w:val="pl-PL"/>
        </w:rPr>
        <w:t>, cytowane powyżej para</w:t>
      </w:r>
      <w:r w:rsidR="00A96A32">
        <w:rPr>
          <w:lang w:val="pl-PL"/>
        </w:rPr>
        <w:t>graf</w:t>
      </w:r>
      <w:r w:rsidR="00A85F6B" w:rsidRPr="0051003F">
        <w:rPr>
          <w:lang w:val="pl-PL"/>
        </w:rPr>
        <w:t xml:space="preserve"> 43). Rząd czeski zwrócił się do Trybunału o wyjaśnienie przede wszystkim, czy, a jeśli tak, to na jakich warunkach</w:t>
      </w:r>
      <w:r w:rsidR="00A96A32">
        <w:rPr>
          <w:lang w:val="pl-PL"/>
        </w:rPr>
        <w:t xml:space="preserve"> i</w:t>
      </w:r>
      <w:r w:rsidR="00A85F6B" w:rsidRPr="0051003F">
        <w:rPr>
          <w:lang w:val="pl-PL"/>
        </w:rPr>
        <w:t xml:space="preserve"> w jakich rodzajach spraw należy stosować szersze kryteria.</w:t>
      </w:r>
    </w:p>
    <w:p w:rsidR="00B27E56" w:rsidRPr="0051003F" w:rsidRDefault="00140DE0" w:rsidP="00A85F6B">
      <w:pPr>
        <w:pStyle w:val="ECHRPara"/>
        <w:rPr>
          <w:lang w:val="pl-PL"/>
        </w:rPr>
      </w:pPr>
      <w:r>
        <w:rPr>
          <w:lang w:val="pl-PL"/>
        </w:rPr>
        <w:t>89</w:t>
      </w:r>
      <w:r w:rsidR="00B27E56" w:rsidRPr="0051003F">
        <w:rPr>
          <w:lang w:val="pl-PL"/>
        </w:rPr>
        <w:t>.  </w:t>
      </w:r>
      <w:r w:rsidR="00A85F6B" w:rsidRPr="0051003F">
        <w:rPr>
          <w:lang w:val="pl-PL"/>
        </w:rPr>
        <w:t xml:space="preserve">Rząd bułgarski, powołując się na brzmienie tego przepisu i jego cel, utrzymywał, że jedynie tradycyjne przestępstwa karne wchodzą w zakres art. 4 Protokołu </w:t>
      </w:r>
      <w:r w:rsidR="00A96A32">
        <w:rPr>
          <w:lang w:val="pl-PL"/>
        </w:rPr>
        <w:t>n</w:t>
      </w:r>
      <w:r w:rsidR="00A85F6B" w:rsidRPr="0051003F">
        <w:rPr>
          <w:lang w:val="pl-PL"/>
        </w:rPr>
        <w:t xml:space="preserve">r 7. Chociaż rozszerzenie zakresu art. 6 miało zasadnicze znaczenie dla ochrony prawa do rzetelnego procesu sądowego, cel postanowienia protokołu był odmienny. Odnosząc się do orzeczenia Sądu Najwyższego Stanów Zjednoczonych Ameryki Północnej w sprawie </w:t>
      </w:r>
      <w:r w:rsidR="00A85F6B" w:rsidRPr="0051003F">
        <w:rPr>
          <w:i/>
          <w:lang w:val="pl-PL"/>
        </w:rPr>
        <w:t>Green v. Stany Zjednoczone</w:t>
      </w:r>
      <w:r w:rsidR="00A85F6B" w:rsidRPr="0051003F">
        <w:rPr>
          <w:lang w:val="pl-PL"/>
        </w:rPr>
        <w:t xml:space="preserve">, 355 US 194 (1957), </w:t>
      </w:r>
      <w:r w:rsidR="00666441">
        <w:rPr>
          <w:lang w:val="pl-PL"/>
        </w:rPr>
        <w:t>podkreśliło ono</w:t>
      </w:r>
      <w:r w:rsidR="00A85F6B" w:rsidRPr="0051003F">
        <w:rPr>
          <w:lang w:val="pl-PL"/>
        </w:rPr>
        <w:t>, że klauzula podwójnego oskarżenia chroni osobę przed narażeniem na ryzyko procesu sądowego i ewentualnym wyrokiem</w:t>
      </w:r>
      <w:r w:rsidR="00666441">
        <w:rPr>
          <w:lang w:val="pl-PL"/>
        </w:rPr>
        <w:t xml:space="preserve"> wielokrotnie</w:t>
      </w:r>
      <w:r w:rsidR="00A85F6B" w:rsidRPr="0051003F">
        <w:rPr>
          <w:lang w:val="pl-PL"/>
        </w:rPr>
        <w:t xml:space="preserve"> skazującym za domniemane przestępstwo. Podstawową ideą było to, że</w:t>
      </w:r>
      <w:r w:rsidR="001D70D3">
        <w:rPr>
          <w:lang w:val="pl-PL"/>
        </w:rPr>
        <w:t>by</w:t>
      </w:r>
      <w:r w:rsidR="00A85F6B" w:rsidRPr="0051003F">
        <w:rPr>
          <w:lang w:val="pl-PL"/>
        </w:rPr>
        <w:t xml:space="preserve"> państwo dysponujące wszelkimi środkami i władzą nie </w:t>
      </w:r>
      <w:r w:rsidR="00666441">
        <w:rPr>
          <w:lang w:val="pl-PL"/>
        </w:rPr>
        <w:t>miało</w:t>
      </w:r>
      <w:r w:rsidR="00A85F6B" w:rsidRPr="0051003F">
        <w:rPr>
          <w:lang w:val="pl-PL"/>
        </w:rPr>
        <w:t xml:space="preserve"> możliwości wielokrotnych prób skazania danej osoby za zarzucane jej przestępstwo, co</w:t>
      </w:r>
      <w:r w:rsidR="00CA3332">
        <w:rPr>
          <w:lang w:val="pl-PL"/>
        </w:rPr>
        <w:t xml:space="preserve"> postawiłoby ją w kłopotliwej sytuacji i naraziło na</w:t>
      </w:r>
      <w:r w:rsidR="000A0937">
        <w:rPr>
          <w:lang w:val="pl-PL"/>
        </w:rPr>
        <w:t xml:space="preserve"> </w:t>
      </w:r>
      <w:proofErr w:type="spellStart"/>
      <w:r w:rsidR="000A0937">
        <w:rPr>
          <w:lang w:val="pl-PL"/>
        </w:rPr>
        <w:t>na</w:t>
      </w:r>
      <w:proofErr w:type="spellEnd"/>
      <w:r w:rsidR="00A85F6B" w:rsidRPr="0051003F">
        <w:rPr>
          <w:lang w:val="pl-PL"/>
        </w:rPr>
        <w:t xml:space="preserve"> poniesienie kosztów i </w:t>
      </w:r>
      <w:r w:rsidR="000A0937">
        <w:rPr>
          <w:lang w:val="pl-PL"/>
        </w:rPr>
        <w:lastRenderedPageBreak/>
        <w:t>udrękę</w:t>
      </w:r>
      <w:r w:rsidR="000A0937" w:rsidRPr="0051003F">
        <w:rPr>
          <w:lang w:val="pl-PL"/>
        </w:rPr>
        <w:t xml:space="preserve"> </w:t>
      </w:r>
      <w:r w:rsidR="00A85F6B" w:rsidRPr="0051003F">
        <w:rPr>
          <w:lang w:val="pl-PL"/>
        </w:rPr>
        <w:t xml:space="preserve">oraz zmusiło do życia w ciągłym stanie niepokoju i niepewności, a także zwiększyło </w:t>
      </w:r>
      <w:r w:rsidR="000A0937">
        <w:rPr>
          <w:lang w:val="pl-PL"/>
        </w:rPr>
        <w:t>prawdopodobieństwo</w:t>
      </w:r>
      <w:r w:rsidR="00A85F6B" w:rsidRPr="0051003F">
        <w:rPr>
          <w:lang w:val="pl-PL"/>
        </w:rPr>
        <w:t>, że nawet jeśli jest niewinna, może zostać uznana za winnego. Drugim żywotnie ważnym interesem było zachowanie ostateczności wyroków.</w:t>
      </w:r>
    </w:p>
    <w:p w:rsidR="00A85F6B" w:rsidRPr="0051003F" w:rsidRDefault="000A0937" w:rsidP="00A85F6B">
      <w:pPr>
        <w:pStyle w:val="ECHRPara"/>
        <w:rPr>
          <w:lang w:val="pl-PL"/>
        </w:rPr>
      </w:pPr>
      <w:r>
        <w:rPr>
          <w:lang w:val="pl-PL"/>
        </w:rPr>
        <w:t>90</w:t>
      </w:r>
      <w:r w:rsidR="00716C9C" w:rsidRPr="0051003F">
        <w:rPr>
          <w:lang w:val="pl-PL"/>
        </w:rPr>
        <w:t>.  </w:t>
      </w:r>
      <w:r w:rsidR="00A85F6B" w:rsidRPr="0051003F">
        <w:rPr>
          <w:lang w:val="pl-PL"/>
        </w:rPr>
        <w:t xml:space="preserve">Rząd francuski przedstawił obszerne uwagi (pkt 10-26 swoich uwag) dotyczące interpretacji art. 6 i 7 Konwencji i art. 4 Protokołu </w:t>
      </w:r>
      <w:r w:rsidR="00BD632F">
        <w:rPr>
          <w:lang w:val="pl-PL"/>
        </w:rPr>
        <w:t>n</w:t>
      </w:r>
      <w:r w:rsidR="00BD632F" w:rsidRPr="0051003F">
        <w:rPr>
          <w:lang w:val="pl-PL"/>
        </w:rPr>
        <w:t xml:space="preserve">r </w:t>
      </w:r>
      <w:r w:rsidR="00A85F6B" w:rsidRPr="0051003F">
        <w:rPr>
          <w:lang w:val="pl-PL"/>
        </w:rPr>
        <w:t xml:space="preserve">7. Odnosząc się do sprawy </w:t>
      </w:r>
      <w:proofErr w:type="spellStart"/>
      <w:r w:rsidR="00A85F6B" w:rsidRPr="0051003F">
        <w:rPr>
          <w:i/>
          <w:lang w:val="pl-PL"/>
        </w:rPr>
        <w:t>Perinca</w:t>
      </w:r>
      <w:proofErr w:type="spellEnd"/>
      <w:r w:rsidR="00A85F6B" w:rsidRPr="0051003F">
        <w:rPr>
          <w:i/>
          <w:lang w:val="pl-PL"/>
        </w:rPr>
        <w:t xml:space="preserve"> przeciwko Szwajcarii</w:t>
      </w:r>
      <w:r w:rsidR="00A85F6B" w:rsidRPr="0051003F">
        <w:rPr>
          <w:lang w:val="pl-PL"/>
        </w:rPr>
        <w:t xml:space="preserve"> ([WI], nr 27510/08, §146,15 października 2015 r</w:t>
      </w:r>
      <w:r w:rsidR="00BD632F">
        <w:rPr>
          <w:lang w:val="pl-PL"/>
        </w:rPr>
        <w:t>oku</w:t>
      </w:r>
      <w:r w:rsidR="00A85F6B" w:rsidRPr="0051003F">
        <w:rPr>
          <w:lang w:val="pl-PL"/>
        </w:rPr>
        <w:t xml:space="preserve">), argumentowali oni, że terminy użyte w art. 4 Protokołu nr 7, różniące się od terminów zawartych w art. 6 ust. 1 Konwencji, muszą skutkować przyjęciem węższych kryteriów służących zasadzie </w:t>
      </w:r>
      <w:proofErr w:type="spellStart"/>
      <w:r w:rsidR="00A85F6B" w:rsidRPr="0051003F">
        <w:rPr>
          <w:i/>
          <w:lang w:val="pl-PL"/>
        </w:rPr>
        <w:t>ne</w:t>
      </w:r>
      <w:proofErr w:type="spellEnd"/>
      <w:r w:rsidR="00A85F6B" w:rsidRPr="0051003F">
        <w:rPr>
          <w:i/>
          <w:lang w:val="pl-PL"/>
        </w:rPr>
        <w:t xml:space="preserve"> bis in </w:t>
      </w:r>
      <w:proofErr w:type="spellStart"/>
      <w:r w:rsidR="00A85F6B" w:rsidRPr="0051003F">
        <w:rPr>
          <w:i/>
          <w:lang w:val="pl-PL"/>
        </w:rPr>
        <w:t>idem</w:t>
      </w:r>
      <w:proofErr w:type="spellEnd"/>
      <w:r w:rsidR="00A85F6B" w:rsidRPr="0051003F">
        <w:rPr>
          <w:lang w:val="pl-PL"/>
        </w:rPr>
        <w:t xml:space="preserve">, chronionej art. 4 Protokołu </w:t>
      </w:r>
      <w:r w:rsidR="00BD632F">
        <w:rPr>
          <w:lang w:val="pl-PL"/>
        </w:rPr>
        <w:t>n</w:t>
      </w:r>
      <w:r w:rsidR="00A85F6B" w:rsidRPr="0051003F">
        <w:rPr>
          <w:lang w:val="pl-PL"/>
        </w:rPr>
        <w:t xml:space="preserve">r 7. </w:t>
      </w:r>
      <w:r w:rsidR="00BD632F">
        <w:rPr>
          <w:lang w:val="pl-PL"/>
        </w:rPr>
        <w:t>Art.</w:t>
      </w:r>
      <w:r w:rsidR="00BD632F" w:rsidRPr="0051003F">
        <w:rPr>
          <w:lang w:val="pl-PL"/>
        </w:rPr>
        <w:t xml:space="preserve"> </w:t>
      </w:r>
      <w:r w:rsidR="00A85F6B" w:rsidRPr="0051003F">
        <w:rPr>
          <w:lang w:val="pl-PL"/>
        </w:rPr>
        <w:t xml:space="preserve">7 </w:t>
      </w:r>
      <w:r w:rsidR="00F42DB6" w:rsidRPr="0051003F">
        <w:rPr>
          <w:lang w:val="pl-PL"/>
        </w:rPr>
        <w:t>Konwencji odnosił się do pojęć skazania („</w:t>
      </w:r>
      <w:proofErr w:type="spellStart"/>
      <w:r w:rsidR="007873EE" w:rsidRPr="007873EE">
        <w:rPr>
          <w:lang w:val="pl-PL"/>
        </w:rPr>
        <w:t>held</w:t>
      </w:r>
      <w:proofErr w:type="spellEnd"/>
      <w:r w:rsidR="007873EE" w:rsidRPr="007873EE">
        <w:rPr>
          <w:lang w:val="pl-PL"/>
        </w:rPr>
        <w:t xml:space="preserve"> </w:t>
      </w:r>
      <w:proofErr w:type="spellStart"/>
      <w:r w:rsidR="007873EE" w:rsidRPr="007873EE">
        <w:rPr>
          <w:lang w:val="pl-PL"/>
        </w:rPr>
        <w:t>guilty</w:t>
      </w:r>
      <w:proofErr w:type="spellEnd"/>
      <w:r w:rsidR="00F42DB6" w:rsidRPr="0051003F">
        <w:rPr>
          <w:lang w:val="pl-PL"/>
        </w:rPr>
        <w:t>” w języku angielskim;</w:t>
      </w:r>
      <w:r w:rsidR="00A85F6B" w:rsidRPr="0051003F">
        <w:rPr>
          <w:lang w:val="pl-PL"/>
        </w:rPr>
        <w:t xml:space="preserve"> </w:t>
      </w:r>
      <w:r w:rsidR="00F42DB6" w:rsidRPr="0051003F">
        <w:rPr>
          <w:lang w:val="pl-PL"/>
        </w:rPr>
        <w:t>„</w:t>
      </w:r>
      <w:proofErr w:type="spellStart"/>
      <w:r w:rsidR="00F42DB6" w:rsidRPr="0051003F">
        <w:rPr>
          <w:i/>
          <w:lang w:val="pl-PL"/>
        </w:rPr>
        <w:t>condamné</w:t>
      </w:r>
      <w:proofErr w:type="spellEnd"/>
      <w:r w:rsidR="00F42DB6" w:rsidRPr="0051003F">
        <w:rPr>
          <w:lang w:val="pl-PL"/>
        </w:rPr>
        <w:t>” w języku francuskim), „przestępstwa” („</w:t>
      </w:r>
      <w:proofErr w:type="spellStart"/>
      <w:r w:rsidR="00F42DB6" w:rsidRPr="0051003F">
        <w:rPr>
          <w:i/>
          <w:lang w:val="pl-PL"/>
        </w:rPr>
        <w:t>infraction</w:t>
      </w:r>
      <w:proofErr w:type="spellEnd"/>
      <w:r w:rsidR="00F42DB6" w:rsidRPr="0051003F">
        <w:rPr>
          <w:lang w:val="pl-PL"/>
        </w:rPr>
        <w:t>” w języku francuskim) i „kary" („</w:t>
      </w:r>
      <w:proofErr w:type="spellStart"/>
      <w:r w:rsidR="00F42DB6" w:rsidRPr="0051003F">
        <w:rPr>
          <w:i/>
          <w:lang w:val="pl-PL"/>
        </w:rPr>
        <w:t>pein</w:t>
      </w:r>
      <w:proofErr w:type="spellEnd"/>
      <w:r w:rsidR="00F42DB6" w:rsidRPr="0051003F">
        <w:rPr>
          <w:lang w:val="pl-PL"/>
        </w:rPr>
        <w:t>”</w:t>
      </w:r>
      <w:r w:rsidR="00A85F6B" w:rsidRPr="0051003F">
        <w:rPr>
          <w:lang w:val="pl-PL"/>
        </w:rPr>
        <w:t xml:space="preserve"> w języku francuskim), które</w:t>
      </w:r>
      <w:r w:rsidR="00F42DB6" w:rsidRPr="0051003F">
        <w:rPr>
          <w:lang w:val="pl-PL"/>
        </w:rPr>
        <w:t xml:space="preserve"> również znalazły się w art. 4 Protokołu </w:t>
      </w:r>
      <w:r w:rsidR="007873EE">
        <w:rPr>
          <w:lang w:val="pl-PL"/>
        </w:rPr>
        <w:t>nr</w:t>
      </w:r>
      <w:r w:rsidR="007873EE" w:rsidRPr="0051003F">
        <w:rPr>
          <w:lang w:val="pl-PL"/>
        </w:rPr>
        <w:t xml:space="preserve"> </w:t>
      </w:r>
      <w:r w:rsidR="00A85F6B" w:rsidRPr="0051003F">
        <w:rPr>
          <w:lang w:val="pl-PL"/>
        </w:rPr>
        <w:t>7. Ponadto och</w:t>
      </w:r>
      <w:r w:rsidR="00F42DB6" w:rsidRPr="0051003F">
        <w:rPr>
          <w:lang w:val="pl-PL"/>
        </w:rPr>
        <w:t>rona zapewniona na mocy art. 7 K</w:t>
      </w:r>
      <w:r w:rsidR="00A85F6B" w:rsidRPr="0051003F">
        <w:rPr>
          <w:lang w:val="pl-PL"/>
        </w:rPr>
        <w:t>onwencji, podobnie jak oc</w:t>
      </w:r>
      <w:r w:rsidR="00F42DB6" w:rsidRPr="0051003F">
        <w:rPr>
          <w:lang w:val="pl-PL"/>
        </w:rPr>
        <w:t xml:space="preserve">hrona przyznana na mocy art. 4 Protokołu </w:t>
      </w:r>
      <w:r w:rsidR="007873EE">
        <w:rPr>
          <w:lang w:val="pl-PL"/>
        </w:rPr>
        <w:t>nr</w:t>
      </w:r>
      <w:r w:rsidR="007873EE" w:rsidRPr="0051003F">
        <w:rPr>
          <w:lang w:val="pl-PL"/>
        </w:rPr>
        <w:t xml:space="preserve"> </w:t>
      </w:r>
      <w:r w:rsidR="00A85F6B" w:rsidRPr="0051003F">
        <w:rPr>
          <w:lang w:val="pl-PL"/>
        </w:rPr>
        <w:t>7, dotyczyła istotnych elementów postępowania karnego, rozumianego w ścisłym znaczeniu tego słowa. Potwierdza to fakt, że art. 15 nie zezwala na żadne odstępstwo od przedmiotowych obowiązków, podczas gdy artykuł ten przewiduje odstępstwo od art. 6.</w:t>
      </w:r>
    </w:p>
    <w:p w:rsidR="00B27E56" w:rsidRPr="0051003F" w:rsidRDefault="00F42C25" w:rsidP="00090B11">
      <w:pPr>
        <w:pStyle w:val="ECHRPara"/>
        <w:rPr>
          <w:lang w:val="pl-PL"/>
        </w:rPr>
      </w:pPr>
      <w:r>
        <w:rPr>
          <w:lang w:val="pl-PL"/>
        </w:rPr>
        <w:t>91</w:t>
      </w:r>
      <w:r w:rsidR="00B27E56" w:rsidRPr="0051003F">
        <w:rPr>
          <w:lang w:val="pl-PL"/>
        </w:rPr>
        <w:t>.  </w:t>
      </w:r>
      <w:r w:rsidR="00090B11" w:rsidRPr="0051003F">
        <w:rPr>
          <w:lang w:val="pl-PL"/>
        </w:rPr>
        <w:t xml:space="preserve">W konsekwencji Trybunał, w celu zachowania spójności, stosując art. 4 Protokołu </w:t>
      </w:r>
      <w:r>
        <w:rPr>
          <w:lang w:val="pl-PL"/>
        </w:rPr>
        <w:t>nr</w:t>
      </w:r>
      <w:r w:rsidRPr="0051003F">
        <w:rPr>
          <w:lang w:val="pl-PL"/>
        </w:rPr>
        <w:t xml:space="preserve"> </w:t>
      </w:r>
      <w:r w:rsidR="00090B11" w:rsidRPr="0051003F">
        <w:rPr>
          <w:lang w:val="pl-PL"/>
        </w:rPr>
        <w:t xml:space="preserve">7, powinien opierać się jedynie na kryteriach sformułowanych w ramach art. 7 Konwencji, wyjaśniając je </w:t>
      </w:r>
      <w:r>
        <w:rPr>
          <w:lang w:val="pl-PL"/>
        </w:rPr>
        <w:t>tak</w:t>
      </w:r>
      <w:r w:rsidR="00090B11" w:rsidRPr="0051003F">
        <w:rPr>
          <w:lang w:val="pl-PL"/>
        </w:rPr>
        <w:t xml:space="preserve">, aby przypisywać im ścisłe znaczenie użyte w art. 4 w odniesieniu do słów „w postępowaniu karnym”. W celu ustalenia, czy dany środek wchodzi w zakres tego ostatniego, Trybunał powinien wziąć pod uwagę: kwalifikację prawną przestępstwa w prawie krajowym; cel i charakter danego środka; </w:t>
      </w:r>
      <w:r>
        <w:rPr>
          <w:lang w:val="pl-PL"/>
        </w:rPr>
        <w:t xml:space="preserve">to </w:t>
      </w:r>
      <w:r w:rsidR="00090B11" w:rsidRPr="0051003F">
        <w:rPr>
          <w:lang w:val="pl-PL"/>
        </w:rPr>
        <w:t xml:space="preserve">czy środek został nałożony w następstwie skazania za przestępstwo; dotkliwość kary, przy czym rozumie się, że nie był to element decydujący; oraz procedury związane z przyjęciem środka (a w szczególności czy środek został </w:t>
      </w:r>
      <w:r w:rsidR="00D814C7">
        <w:rPr>
          <w:lang w:val="pl-PL"/>
        </w:rPr>
        <w:t>orzeczony</w:t>
      </w:r>
      <w:r w:rsidR="00D814C7" w:rsidRPr="0051003F">
        <w:rPr>
          <w:lang w:val="pl-PL"/>
        </w:rPr>
        <w:t xml:space="preserve"> </w:t>
      </w:r>
      <w:r w:rsidR="00090B11" w:rsidRPr="0051003F">
        <w:rPr>
          <w:lang w:val="pl-PL"/>
        </w:rPr>
        <w:t xml:space="preserve">przez organ, który można określić jako sąd i który wydał orzeczenie w sprawie elementów przestępstwa uznanego za przestępstwo w rozumieniu art. 6 Konwencji). Ostatnie z tych kryteriów miało nadrzędne znaczenie, biorąc pod uwagę faktyczne brzmienie i cel art. 4 Protokołu </w:t>
      </w:r>
      <w:r w:rsidR="00D814C7">
        <w:rPr>
          <w:lang w:val="pl-PL"/>
        </w:rPr>
        <w:t>nr</w:t>
      </w:r>
      <w:r w:rsidR="00D814C7" w:rsidRPr="0051003F">
        <w:rPr>
          <w:lang w:val="pl-PL"/>
        </w:rPr>
        <w:t xml:space="preserve"> </w:t>
      </w:r>
      <w:r w:rsidR="00090B11" w:rsidRPr="0051003F">
        <w:rPr>
          <w:lang w:val="pl-PL"/>
        </w:rPr>
        <w:t>7.</w:t>
      </w:r>
    </w:p>
    <w:p w:rsidR="00090B11" w:rsidRPr="0051003F" w:rsidRDefault="007F7393" w:rsidP="00090B11">
      <w:pPr>
        <w:pStyle w:val="ECHRPara"/>
        <w:rPr>
          <w:lang w:val="pl-PL"/>
        </w:rPr>
      </w:pPr>
      <w:r>
        <w:rPr>
          <w:lang w:val="pl-PL"/>
        </w:rPr>
        <w:t>92</w:t>
      </w:r>
      <w:r w:rsidR="00B27E56" w:rsidRPr="0051003F">
        <w:rPr>
          <w:lang w:val="pl-PL"/>
        </w:rPr>
        <w:t>.  </w:t>
      </w:r>
      <w:r w:rsidR="00090B11" w:rsidRPr="0051003F">
        <w:rPr>
          <w:lang w:val="pl-PL"/>
        </w:rPr>
        <w:t xml:space="preserve">W świetle tych kryteriów nie można uznać </w:t>
      </w:r>
      <w:r w:rsidR="00FA31FD">
        <w:rPr>
          <w:lang w:val="pl-PL"/>
        </w:rPr>
        <w:t>że mieszczą się w zakresie</w:t>
      </w:r>
      <w:r w:rsidR="00090B11" w:rsidRPr="0051003F">
        <w:rPr>
          <w:lang w:val="pl-PL"/>
        </w:rPr>
        <w:t xml:space="preserve"> art. 4 Protokołu </w:t>
      </w:r>
      <w:r>
        <w:rPr>
          <w:lang w:val="pl-PL"/>
        </w:rPr>
        <w:t>n</w:t>
      </w:r>
      <w:r w:rsidR="00090B11" w:rsidRPr="0051003F">
        <w:rPr>
          <w:lang w:val="pl-PL"/>
        </w:rPr>
        <w:t>r 7,</w:t>
      </w:r>
      <w:r w:rsidR="00FA31FD">
        <w:rPr>
          <w:lang w:val="pl-PL"/>
        </w:rPr>
        <w:t xml:space="preserve"> w sprawie kar podatkowych,</w:t>
      </w:r>
      <w:r w:rsidR="00090B11" w:rsidRPr="0051003F">
        <w:rPr>
          <w:lang w:val="pl-PL"/>
        </w:rPr>
        <w:t xml:space="preserve"> które nie zostały zakwalifikowane jako sankcje karne w prawie krajowym, które miały charakter administracyjny i miały jedynie charakter sankcji za niewywiązanie się przez podatnika z obowiązków podatkowych, które nie zostały nałożone w następstwie wyroku skazującego za przestępstwo, a które nie zostały nałożone przez organ sądowy.</w:t>
      </w:r>
    </w:p>
    <w:p w:rsidR="00090B11" w:rsidRPr="0051003F" w:rsidRDefault="00D7230B" w:rsidP="00090B11">
      <w:pPr>
        <w:pStyle w:val="ECHRPara"/>
        <w:rPr>
          <w:lang w:val="pl-PL"/>
        </w:rPr>
      </w:pPr>
      <w:r>
        <w:rPr>
          <w:lang w:val="pl-PL"/>
        </w:rPr>
        <w:t>93</w:t>
      </w:r>
      <w:r w:rsidR="00B27E56" w:rsidRPr="0051003F">
        <w:rPr>
          <w:lang w:val="pl-PL"/>
        </w:rPr>
        <w:t>.  </w:t>
      </w:r>
      <w:r w:rsidR="00090B11" w:rsidRPr="0051003F">
        <w:rPr>
          <w:lang w:val="pl-PL"/>
        </w:rPr>
        <w:t xml:space="preserve">Rząd szwajcarski stwierdził, że jedynym dopuszczalnym wyjątkiem - zgodnie z art. 4 ust. 2 Protokołu </w:t>
      </w:r>
      <w:r>
        <w:rPr>
          <w:lang w:val="pl-PL"/>
        </w:rPr>
        <w:t>n</w:t>
      </w:r>
      <w:r w:rsidRPr="0051003F">
        <w:rPr>
          <w:lang w:val="pl-PL"/>
        </w:rPr>
        <w:t xml:space="preserve">r </w:t>
      </w:r>
      <w:r w:rsidR="00090B11" w:rsidRPr="0051003F">
        <w:rPr>
          <w:lang w:val="pl-PL"/>
        </w:rPr>
        <w:t xml:space="preserve">7 - jest ponowne otwarcie sprawy „zgodnie z prawem i procedurą karną zainteresowanego państwa”. W </w:t>
      </w:r>
      <w:r w:rsidR="00090B11" w:rsidRPr="0051003F">
        <w:rPr>
          <w:lang w:val="pl-PL"/>
        </w:rPr>
        <w:lastRenderedPageBreak/>
        <w:t>momencie przyjęcia protokołu w 1984 r</w:t>
      </w:r>
      <w:r>
        <w:rPr>
          <w:lang w:val="pl-PL"/>
        </w:rPr>
        <w:t>oku</w:t>
      </w:r>
      <w:r w:rsidR="00090B11" w:rsidRPr="0051003F">
        <w:rPr>
          <w:lang w:val="pl-PL"/>
        </w:rPr>
        <w:t xml:space="preserve"> nie przewidziano innych wyjątków, takich jak te, na które zezwalało później odpowiednie orzecznictwo, i nie wymagały one takiego przepisu ze względu na kryminalny charakter ochrony, o której mowa. Wąska koncepcja leżąca u podstaw gwarancji została wyraźnie potwierdzona w art. 4 ust. 3, który wykluczał wszelkie odstępstwa na mocy art. 15 Konwencji w odniesieniu do ochrony przewidzianej w art. 4 ust. 1. Gwarancja </w:t>
      </w:r>
      <w:proofErr w:type="spellStart"/>
      <w:r w:rsidR="00090B11" w:rsidRPr="0051003F">
        <w:rPr>
          <w:i/>
          <w:lang w:val="pl-PL"/>
        </w:rPr>
        <w:t>ne</w:t>
      </w:r>
      <w:proofErr w:type="spellEnd"/>
      <w:r w:rsidR="00090B11" w:rsidRPr="0051003F">
        <w:rPr>
          <w:i/>
          <w:lang w:val="pl-PL"/>
        </w:rPr>
        <w:t xml:space="preserve"> bis in </w:t>
      </w:r>
      <w:proofErr w:type="spellStart"/>
      <w:r w:rsidR="00090B11" w:rsidRPr="0051003F">
        <w:rPr>
          <w:i/>
          <w:lang w:val="pl-PL"/>
        </w:rPr>
        <w:t>idem</w:t>
      </w:r>
      <w:proofErr w:type="spellEnd"/>
      <w:r w:rsidR="00090B11" w:rsidRPr="0051003F">
        <w:rPr>
          <w:lang w:val="pl-PL"/>
        </w:rPr>
        <w:t xml:space="preserve"> została więc ustanowiona na równi z prawem do życia (art. 2; art. 3, Protokół </w:t>
      </w:r>
      <w:r w:rsidR="001249B8">
        <w:rPr>
          <w:lang w:val="pl-PL"/>
        </w:rPr>
        <w:t>n</w:t>
      </w:r>
      <w:r w:rsidR="00090B11" w:rsidRPr="0051003F">
        <w:rPr>
          <w:lang w:val="pl-PL"/>
        </w:rPr>
        <w:t xml:space="preserve">r 6; art. 2, Protokół </w:t>
      </w:r>
      <w:r w:rsidR="001249B8">
        <w:rPr>
          <w:lang w:val="pl-PL"/>
        </w:rPr>
        <w:t>n</w:t>
      </w:r>
      <w:r w:rsidR="00090B11" w:rsidRPr="0051003F">
        <w:rPr>
          <w:lang w:val="pl-PL"/>
        </w:rPr>
        <w:t xml:space="preserve">r 13, zakaz tortur (art. 3), zakazem niewolnictwa (art. 4) i zasadą niekaralności bez </w:t>
      </w:r>
      <w:r w:rsidR="001249B8">
        <w:rPr>
          <w:lang w:val="pl-PL"/>
        </w:rPr>
        <w:t>ustawy</w:t>
      </w:r>
      <w:r w:rsidR="001249B8" w:rsidRPr="0051003F">
        <w:rPr>
          <w:lang w:val="pl-PL"/>
        </w:rPr>
        <w:t xml:space="preserve"> </w:t>
      </w:r>
      <w:r w:rsidR="00090B11" w:rsidRPr="0051003F">
        <w:rPr>
          <w:lang w:val="pl-PL"/>
        </w:rPr>
        <w:t xml:space="preserve">(art. 7). Elementy te przemawiały za restrykcyjną interpretacją ochrony. Argumenty przemawiające za takim podejściem byłyby jeszcze bardziej przekonujące, gdyby </w:t>
      </w:r>
      <w:r w:rsidR="00E95EAC">
        <w:rPr>
          <w:lang w:val="pl-PL"/>
        </w:rPr>
        <w:t>W</w:t>
      </w:r>
      <w:r w:rsidR="00090B11" w:rsidRPr="0051003F">
        <w:rPr>
          <w:lang w:val="pl-PL"/>
        </w:rPr>
        <w:t xml:space="preserve">ielka </w:t>
      </w:r>
      <w:r w:rsidR="00E95EAC">
        <w:rPr>
          <w:lang w:val="pl-PL"/>
        </w:rPr>
        <w:t>I</w:t>
      </w:r>
      <w:r w:rsidR="00090B11" w:rsidRPr="0051003F">
        <w:rPr>
          <w:lang w:val="pl-PL"/>
        </w:rPr>
        <w:t xml:space="preserve">zba utrzymała praktykę, zgodnie z którą każdy </w:t>
      </w:r>
      <w:r w:rsidR="001249B8">
        <w:rPr>
          <w:lang w:val="pl-PL"/>
        </w:rPr>
        <w:t>,,</w:t>
      </w:r>
      <w:r w:rsidR="00090B11" w:rsidRPr="0051003F">
        <w:rPr>
          <w:lang w:val="pl-PL"/>
        </w:rPr>
        <w:t xml:space="preserve">oskarżony o popełnienie przestępstwa" w autonomicznym rozumieniu art. 6 ust. 1 mógł skłonić do stosowania art. 4 Protokołu </w:t>
      </w:r>
      <w:r w:rsidR="0053311E">
        <w:rPr>
          <w:lang w:val="pl-PL"/>
        </w:rPr>
        <w:t>nr</w:t>
      </w:r>
      <w:r w:rsidR="0053311E" w:rsidRPr="0051003F">
        <w:rPr>
          <w:lang w:val="pl-PL"/>
        </w:rPr>
        <w:t xml:space="preserve"> </w:t>
      </w:r>
      <w:r w:rsidR="00090B11" w:rsidRPr="0051003F">
        <w:rPr>
          <w:lang w:val="pl-PL"/>
        </w:rPr>
        <w:t xml:space="preserve">7 (zob. </w:t>
      </w:r>
      <w:r w:rsidR="004D5C23">
        <w:rPr>
          <w:lang w:val="pl-PL"/>
        </w:rPr>
        <w:t>pkt.</w:t>
      </w:r>
      <w:r w:rsidR="00090B11" w:rsidRPr="0051003F">
        <w:rPr>
          <w:lang w:val="pl-PL"/>
        </w:rPr>
        <w:t xml:space="preserve"> 100 poniżej).</w:t>
      </w:r>
    </w:p>
    <w:p w:rsidR="00B27E56" w:rsidRPr="0051003F" w:rsidRDefault="00090B11" w:rsidP="00A7252F">
      <w:pPr>
        <w:pStyle w:val="ECHRHeading4"/>
        <w:rPr>
          <w:lang w:val="pl-PL"/>
        </w:rPr>
      </w:pPr>
      <w:bookmarkStart w:id="127" w:name="_Toc466904322"/>
      <w:bookmarkStart w:id="128" w:name="_Toc466972341"/>
      <w:bookmarkStart w:id="129" w:name="_Toc466972852"/>
      <w:bookmarkStart w:id="130" w:name="_Toc466974268"/>
      <w:bookmarkStart w:id="131" w:name="_Toc473801903"/>
      <w:r w:rsidRPr="0051003F">
        <w:rPr>
          <w:lang w:val="pl-PL"/>
        </w:rPr>
        <w:t xml:space="preserve"> </w:t>
      </w:r>
      <w:r w:rsidR="00907873" w:rsidRPr="0051003F">
        <w:rPr>
          <w:lang w:val="pl-PL"/>
        </w:rPr>
        <w:t>(b)</w:t>
      </w:r>
      <w:r w:rsidR="00B27E56" w:rsidRPr="0051003F">
        <w:rPr>
          <w:lang w:val="pl-PL"/>
        </w:rPr>
        <w:t>  </w:t>
      </w:r>
      <w:r w:rsidR="001F1F34" w:rsidRPr="0051003F">
        <w:rPr>
          <w:lang w:val="pl-PL"/>
        </w:rPr>
        <w:t xml:space="preserve">Dublowanie się postępowań </w:t>
      </w:r>
      <w:r w:rsidR="00B27E56" w:rsidRPr="0051003F">
        <w:rPr>
          <w:lang w:val="pl-PL"/>
        </w:rPr>
        <w:t>(</w:t>
      </w:r>
      <w:r w:rsidR="00B27E56" w:rsidRPr="0051003F">
        <w:rPr>
          <w:i/>
          <w:lang w:val="pl-PL"/>
        </w:rPr>
        <w:t>bis</w:t>
      </w:r>
      <w:r w:rsidR="00B27E56" w:rsidRPr="0051003F">
        <w:rPr>
          <w:lang w:val="pl-PL"/>
        </w:rPr>
        <w:t>)</w:t>
      </w:r>
      <w:bookmarkEnd w:id="127"/>
      <w:bookmarkEnd w:id="128"/>
      <w:bookmarkEnd w:id="129"/>
      <w:bookmarkEnd w:id="130"/>
      <w:bookmarkEnd w:id="131"/>
    </w:p>
    <w:p w:rsidR="001F1F34" w:rsidRPr="0051003F" w:rsidRDefault="006E7F28" w:rsidP="001F1F34">
      <w:pPr>
        <w:pStyle w:val="ECHRPara"/>
        <w:rPr>
          <w:lang w:val="pl-PL"/>
        </w:rPr>
      </w:pPr>
      <w:r>
        <w:rPr>
          <w:lang w:val="pl-PL"/>
        </w:rPr>
        <w:t>94</w:t>
      </w:r>
      <w:r w:rsidR="00716C9C" w:rsidRPr="0051003F">
        <w:rPr>
          <w:lang w:val="pl-PL"/>
        </w:rPr>
        <w:t>.  </w:t>
      </w:r>
      <w:r w:rsidR="001F1F34" w:rsidRPr="0051003F">
        <w:rPr>
          <w:lang w:val="pl-PL"/>
        </w:rPr>
        <w:t xml:space="preserve">Rząd bułgarski nie znalazł powodów, aby </w:t>
      </w:r>
      <w:r w:rsidR="008822F4">
        <w:rPr>
          <w:lang w:val="pl-PL"/>
        </w:rPr>
        <w:t xml:space="preserve">posiadać </w:t>
      </w:r>
      <w:r w:rsidR="008822F4" w:rsidRPr="0051003F">
        <w:rPr>
          <w:lang w:val="pl-PL"/>
        </w:rPr>
        <w:t>inn</w:t>
      </w:r>
      <w:r w:rsidR="008822F4">
        <w:rPr>
          <w:lang w:val="pl-PL"/>
        </w:rPr>
        <w:t>ą</w:t>
      </w:r>
      <w:r w:rsidR="008822F4" w:rsidRPr="0051003F">
        <w:rPr>
          <w:lang w:val="pl-PL"/>
        </w:rPr>
        <w:t xml:space="preserve"> </w:t>
      </w:r>
      <w:r w:rsidR="008822F4">
        <w:rPr>
          <w:lang w:val="pl-PL"/>
        </w:rPr>
        <w:t>opinię</w:t>
      </w:r>
      <w:r w:rsidR="008822F4" w:rsidRPr="0051003F">
        <w:rPr>
          <w:lang w:val="pl-PL"/>
        </w:rPr>
        <w:t xml:space="preserve"> </w:t>
      </w:r>
      <w:r w:rsidR="001F1F34" w:rsidRPr="0051003F">
        <w:rPr>
          <w:lang w:val="pl-PL"/>
        </w:rPr>
        <w:t xml:space="preserve">niż </w:t>
      </w:r>
      <w:r w:rsidR="008822F4" w:rsidRPr="0051003F">
        <w:rPr>
          <w:lang w:val="pl-PL"/>
        </w:rPr>
        <w:t>t</w:t>
      </w:r>
      <w:r w:rsidR="008822F4">
        <w:rPr>
          <w:lang w:val="pl-PL"/>
        </w:rPr>
        <w:t>a</w:t>
      </w:r>
      <w:r w:rsidR="008822F4" w:rsidRPr="0051003F">
        <w:rPr>
          <w:lang w:val="pl-PL"/>
        </w:rPr>
        <w:t xml:space="preserve"> wyrażon</w:t>
      </w:r>
      <w:r w:rsidR="008822F4">
        <w:rPr>
          <w:lang w:val="pl-PL"/>
        </w:rPr>
        <w:t>a</w:t>
      </w:r>
      <w:r w:rsidR="008822F4" w:rsidRPr="0051003F">
        <w:rPr>
          <w:lang w:val="pl-PL"/>
        </w:rPr>
        <w:t xml:space="preserve"> </w:t>
      </w:r>
      <w:r w:rsidR="001F1F34" w:rsidRPr="0051003F">
        <w:rPr>
          <w:lang w:val="pl-PL"/>
        </w:rPr>
        <w:t xml:space="preserve">w wyroku </w:t>
      </w:r>
      <w:r w:rsidR="001F1F34" w:rsidRPr="0051003F">
        <w:rPr>
          <w:i/>
          <w:lang w:val="pl-PL"/>
        </w:rPr>
        <w:t>R.T. przeciwko</w:t>
      </w:r>
      <w:r w:rsidR="00B27E56" w:rsidRPr="0051003F">
        <w:rPr>
          <w:i/>
          <w:lang w:val="pl-PL"/>
        </w:rPr>
        <w:t xml:space="preserve"> </w:t>
      </w:r>
      <w:r w:rsidR="001F1F34" w:rsidRPr="0051003F">
        <w:rPr>
          <w:i/>
          <w:lang w:val="pl-PL"/>
        </w:rPr>
        <w:t>Szwajcarii i wyroku</w:t>
      </w:r>
      <w:r w:rsidR="00335D0D" w:rsidRPr="0051003F">
        <w:rPr>
          <w:lang w:val="pl-PL"/>
        </w:rPr>
        <w:t xml:space="preserve"> </w:t>
      </w:r>
      <w:proofErr w:type="spellStart"/>
      <w:r w:rsidR="001F1F34" w:rsidRPr="0051003F">
        <w:rPr>
          <w:i/>
          <w:lang w:val="pl-PL"/>
        </w:rPr>
        <w:t>Nilsson</w:t>
      </w:r>
      <w:proofErr w:type="spellEnd"/>
      <w:r w:rsidR="001F1F34" w:rsidRPr="0051003F">
        <w:rPr>
          <w:i/>
          <w:lang w:val="pl-PL"/>
        </w:rPr>
        <w:t xml:space="preserve"> przeciwko</w:t>
      </w:r>
      <w:r w:rsidR="00335D0D" w:rsidRPr="0051003F">
        <w:rPr>
          <w:i/>
          <w:lang w:val="pl-PL"/>
        </w:rPr>
        <w:t xml:space="preserve"> S</w:t>
      </w:r>
      <w:r w:rsidR="001F1F34" w:rsidRPr="0051003F">
        <w:rPr>
          <w:i/>
          <w:lang w:val="pl-PL"/>
        </w:rPr>
        <w:t>zwecji</w:t>
      </w:r>
      <w:r w:rsidR="00335D0D" w:rsidRPr="0051003F">
        <w:rPr>
          <w:lang w:val="pl-PL"/>
        </w:rPr>
        <w:t xml:space="preserve"> </w:t>
      </w:r>
      <w:r w:rsidR="00111896" w:rsidRPr="0051003F">
        <w:rPr>
          <w:lang w:val="pl-PL"/>
        </w:rPr>
        <w:t>(</w:t>
      </w:r>
      <w:r w:rsidR="001F1F34" w:rsidRPr="0051003F">
        <w:rPr>
          <w:lang w:val="pl-PL"/>
        </w:rPr>
        <w:t>oba cytowane powyżej</w:t>
      </w:r>
      <w:r w:rsidR="00111896" w:rsidRPr="0051003F">
        <w:rPr>
          <w:lang w:val="pl-PL"/>
        </w:rPr>
        <w:t xml:space="preserve">) </w:t>
      </w:r>
      <w:r w:rsidR="001F1F34" w:rsidRPr="0051003F">
        <w:rPr>
          <w:lang w:val="pl-PL"/>
        </w:rPr>
        <w:t>w kontekście przestępstw i wykroczeń drogowych oraz w ważnych obszarach związanych z funkcjonowaniem państwa, takich jak podatki. Równoległe postępowania podatkowe zakończone nałożeniem kary podatkowej oraz postępowania karne w sprawie oszustw podatkowych były ściśle powiązane co do istoty i czasu. Trybunał uznał również, że umawiające się państwa dysponują szerokim marginesem oceny przy opracowywaniu i wdrażaniu polityk w dziedzinie opodatkowania oraz że Trybunał będzie respektował dokonaną przez prawodawcę ocenę takich kwestii, chyba</w:t>
      </w:r>
      <w:r w:rsidR="0034492E">
        <w:rPr>
          <w:lang w:val="pl-PL"/>
        </w:rPr>
        <w:t>,</w:t>
      </w:r>
      <w:r w:rsidR="001F1F34" w:rsidRPr="0051003F">
        <w:rPr>
          <w:lang w:val="pl-PL"/>
        </w:rPr>
        <w:t xml:space="preserve"> że będzie ona pozbawiona racjonalnych podstaw. Wydaje się, że system umożliwiający prowadzenie równoległych postępowań w sprawach podatkowych mieścił się w zakresie swobody oceny państwa i nie wydawał się sam w sobie sprzeczny z żadną z zasad chronionych w Konwencji, w tym z gwarancją na wypadek podwójnego oskarżenia. </w:t>
      </w:r>
    </w:p>
    <w:p w:rsidR="00B27E56" w:rsidRPr="0051003F" w:rsidRDefault="003745E5" w:rsidP="00AC3E1C">
      <w:pPr>
        <w:pStyle w:val="ECHRPara"/>
        <w:rPr>
          <w:lang w:val="pl-PL"/>
        </w:rPr>
      </w:pPr>
      <w:r w:rsidRPr="0051003F">
        <w:rPr>
          <w:lang w:val="pl-PL"/>
        </w:rPr>
        <w:fldChar w:fldCharType="begin"/>
      </w:r>
      <w:r w:rsidR="00883BF2" w:rsidRPr="0051003F">
        <w:rPr>
          <w:lang w:val="pl-PL"/>
        </w:rPr>
        <w:instrText xml:space="preserve"> SEQ level0 \*arabic </w:instrText>
      </w:r>
      <w:r w:rsidRPr="0051003F">
        <w:rPr>
          <w:lang w:val="pl-PL"/>
        </w:rPr>
        <w:fldChar w:fldCharType="separate"/>
      </w:r>
      <w:r w:rsidR="006E7F28">
        <w:rPr>
          <w:noProof/>
          <w:lang w:val="pl-PL"/>
        </w:rPr>
        <w:t>95</w:t>
      </w:r>
      <w:r w:rsidRPr="0051003F">
        <w:rPr>
          <w:lang w:val="pl-PL"/>
        </w:rPr>
        <w:fldChar w:fldCharType="end"/>
      </w:r>
      <w:r w:rsidR="00B27E56" w:rsidRPr="0051003F">
        <w:rPr>
          <w:lang w:val="pl-PL"/>
        </w:rPr>
        <w:t>.  </w:t>
      </w:r>
      <w:r w:rsidR="00AC3E1C" w:rsidRPr="0051003F">
        <w:rPr>
          <w:lang w:val="pl-PL"/>
        </w:rPr>
        <w:t xml:space="preserve">Rząd czeski przedstawił cztery argumenty przemawiające za utrzymaniem istnienia podwójnego systemu sankcji: </w:t>
      </w:r>
      <w:r w:rsidR="004D5C23">
        <w:rPr>
          <w:lang w:val="pl-PL"/>
        </w:rPr>
        <w:t>(</w:t>
      </w:r>
      <w:r w:rsidR="00AC3E1C" w:rsidRPr="0051003F">
        <w:rPr>
          <w:lang w:val="pl-PL"/>
        </w:rPr>
        <w:t>1) każdy rodzaj sankcji miał inne cele;</w:t>
      </w:r>
      <w:r w:rsidR="004D5C23">
        <w:rPr>
          <w:lang w:val="pl-PL"/>
        </w:rPr>
        <w:t xml:space="preserve"> (</w:t>
      </w:r>
      <w:r w:rsidR="00AC3E1C" w:rsidRPr="0051003F">
        <w:rPr>
          <w:lang w:val="pl-PL"/>
        </w:rPr>
        <w:t xml:space="preserve">2) podczas gdy postępowanie karne </w:t>
      </w:r>
      <w:r w:rsidR="008600E0" w:rsidRPr="008600E0">
        <w:rPr>
          <w:lang w:val="pl-PL"/>
        </w:rPr>
        <w:t>stricto sensu musiało spełniać surowe gwarancje sprawiedliwego procesu, których wypełnienie często wymagało</w:t>
      </w:r>
      <w:r w:rsidR="008600E0">
        <w:rPr>
          <w:lang w:val="pl-PL"/>
        </w:rPr>
        <w:t xml:space="preserve"> sporo</w:t>
      </w:r>
      <w:r w:rsidR="008600E0" w:rsidRPr="008600E0">
        <w:rPr>
          <w:lang w:val="pl-PL"/>
        </w:rPr>
        <w:t xml:space="preserve"> czasu,</w:t>
      </w:r>
      <w:r w:rsidR="00AC3E1C" w:rsidRPr="0051003F">
        <w:rPr>
          <w:lang w:val="pl-PL"/>
        </w:rPr>
        <w:t xml:space="preserve">, </w:t>
      </w:r>
      <w:r w:rsidR="008600E0">
        <w:rPr>
          <w:lang w:val="pl-PL"/>
        </w:rPr>
        <w:t>to</w:t>
      </w:r>
      <w:r w:rsidR="008600E0" w:rsidRPr="0051003F">
        <w:rPr>
          <w:lang w:val="pl-PL"/>
        </w:rPr>
        <w:t xml:space="preserve"> </w:t>
      </w:r>
      <w:r w:rsidR="00AC3E1C" w:rsidRPr="0051003F">
        <w:rPr>
          <w:lang w:val="pl-PL"/>
        </w:rPr>
        <w:t xml:space="preserve">sankcje administracyjne musiały być zgodne z wymogami szybkości, skuteczności i trwałości systemu podatkowego i budżetu państwa; (3) ścisłe stosowanie zasady </w:t>
      </w:r>
      <w:proofErr w:type="spellStart"/>
      <w:r w:rsidR="00AC3E1C" w:rsidRPr="0051003F">
        <w:rPr>
          <w:i/>
          <w:lang w:val="pl-PL"/>
        </w:rPr>
        <w:t>ne</w:t>
      </w:r>
      <w:proofErr w:type="spellEnd"/>
      <w:r w:rsidR="00AC3E1C" w:rsidRPr="0051003F">
        <w:rPr>
          <w:i/>
          <w:lang w:val="pl-PL"/>
        </w:rPr>
        <w:t xml:space="preserve"> bis in </w:t>
      </w:r>
      <w:proofErr w:type="spellStart"/>
      <w:r w:rsidR="00AC3E1C" w:rsidRPr="0051003F">
        <w:rPr>
          <w:i/>
          <w:lang w:val="pl-PL"/>
        </w:rPr>
        <w:t>idem</w:t>
      </w:r>
      <w:proofErr w:type="spellEnd"/>
      <w:r w:rsidR="00AC3E1C" w:rsidRPr="0051003F">
        <w:rPr>
          <w:lang w:val="pl-PL"/>
        </w:rPr>
        <w:t xml:space="preserve"> do równoległych postępowań podatkowych i karnych może uniemożliwić zajęcie się przestępczością zorganizowaną na dużą skalę, jeżeli pierwsza decyzja, zazwyczaj administracyjna, miałaby utrudnić dochodzenie karne prowadzące do ujawnienia siatek zorganizowanych </w:t>
      </w:r>
      <w:r w:rsidR="00AC3E1C" w:rsidRPr="0051003F">
        <w:rPr>
          <w:lang w:val="pl-PL"/>
        </w:rPr>
        <w:lastRenderedPageBreak/>
        <w:t>oszustw, prania brudnych pieniędzy, sprzeniewierzania pieniędzy i innych poważnych przestępstw; (4) kolejność podejmowania decyzji przez władze w danej sprawie. Wreszcie, rząd czeski zwrócił uwagę na przypadki kilku równoległych postępowań administracyjnych.</w:t>
      </w:r>
    </w:p>
    <w:p w:rsidR="00B27E56" w:rsidRPr="0051003F" w:rsidRDefault="006E7F28" w:rsidP="00AC3E1C">
      <w:pPr>
        <w:pStyle w:val="ECHRPara"/>
        <w:rPr>
          <w:lang w:val="pl-PL"/>
        </w:rPr>
      </w:pPr>
      <w:r>
        <w:rPr>
          <w:lang w:val="pl-PL"/>
        </w:rPr>
        <w:t>96</w:t>
      </w:r>
      <w:r w:rsidR="00716C9C" w:rsidRPr="0051003F">
        <w:rPr>
          <w:lang w:val="pl-PL"/>
        </w:rPr>
        <w:t>.  </w:t>
      </w:r>
      <w:r w:rsidR="00AC3E1C" w:rsidRPr="0051003F">
        <w:rPr>
          <w:lang w:val="pl-PL"/>
        </w:rPr>
        <w:t xml:space="preserve">Rząd francuski był zdania, że rozumowanie przyjęte w sprawach </w:t>
      </w:r>
      <w:r w:rsidR="00D068D0" w:rsidRPr="0051003F">
        <w:rPr>
          <w:i/>
          <w:lang w:val="pl-PL"/>
        </w:rPr>
        <w:t>R. T. przeciwko</w:t>
      </w:r>
      <w:r w:rsidR="00AC3E1C" w:rsidRPr="0051003F">
        <w:rPr>
          <w:i/>
          <w:lang w:val="pl-PL"/>
        </w:rPr>
        <w:t xml:space="preserve"> Szwajcari</w:t>
      </w:r>
      <w:r w:rsidR="00D068D0" w:rsidRPr="0051003F">
        <w:rPr>
          <w:i/>
          <w:lang w:val="pl-PL"/>
        </w:rPr>
        <w:t>i</w:t>
      </w:r>
      <w:r w:rsidR="00AC3E1C" w:rsidRPr="0051003F">
        <w:rPr>
          <w:lang w:val="pl-PL"/>
        </w:rPr>
        <w:t xml:space="preserve"> i </w:t>
      </w:r>
      <w:proofErr w:type="spellStart"/>
      <w:r w:rsidR="00AC3E1C" w:rsidRPr="0051003F">
        <w:rPr>
          <w:i/>
          <w:lang w:val="pl-PL"/>
        </w:rPr>
        <w:t>Nilsson</w:t>
      </w:r>
      <w:proofErr w:type="spellEnd"/>
      <w:r w:rsidR="00AC3E1C" w:rsidRPr="0051003F">
        <w:rPr>
          <w:i/>
          <w:lang w:val="pl-PL"/>
        </w:rPr>
        <w:t xml:space="preserve"> przeciwko Szwecji</w:t>
      </w:r>
      <w:r w:rsidR="00AC3E1C" w:rsidRPr="0051003F">
        <w:rPr>
          <w:lang w:val="pl-PL"/>
        </w:rPr>
        <w:t xml:space="preserve"> może zostać przetransponowane do dziedziny podatków, biorąc pod uwagę cele realizowane przez państwa w tej dziedzinie, przy czym cele postępowania karnego i te, do których zmierzają sankcje podatkowe, są różne (i) i że istnieje wystarczający związek między postępowaniem podatkowym a postępowaniem karnym (ii):</w:t>
      </w:r>
    </w:p>
    <w:p w:rsidR="003177DE" w:rsidRPr="0051003F" w:rsidRDefault="002072BD" w:rsidP="003177DE">
      <w:pPr>
        <w:pStyle w:val="ECHRPara"/>
        <w:rPr>
          <w:lang w:val="pl-PL"/>
        </w:rPr>
      </w:pPr>
      <w:r w:rsidRPr="0051003F">
        <w:rPr>
          <w:lang w:val="pl-PL"/>
        </w:rPr>
        <w:t>(i)  </w:t>
      </w:r>
      <w:r w:rsidR="003177DE" w:rsidRPr="0051003F">
        <w:rPr>
          <w:lang w:val="pl-PL"/>
        </w:rPr>
        <w:t xml:space="preserve">Postępowanie karne w sprawie uchylania się od płacenia podatków musi stanowić właściwą i konsekwentną odpowiedź na naganne postępowanie. Jego głównym celem było ukaranie najpoważniejszych form wykroczeń. W swojej decyzji w sprawie </w:t>
      </w:r>
      <w:r w:rsidR="003177DE" w:rsidRPr="0051003F">
        <w:rPr>
          <w:i/>
          <w:lang w:val="pl-PL"/>
        </w:rPr>
        <w:t xml:space="preserve">Rosenquist przeciwko Szwecji </w:t>
      </w:r>
      <w:r w:rsidR="003177DE" w:rsidRPr="0051003F">
        <w:rPr>
          <w:lang w:val="pl-PL"/>
        </w:rPr>
        <w:t>(</w:t>
      </w:r>
      <w:proofErr w:type="spellStart"/>
      <w:r w:rsidR="003177DE" w:rsidRPr="0051003F">
        <w:rPr>
          <w:lang w:val="pl-PL"/>
        </w:rPr>
        <w:t>dec</w:t>
      </w:r>
      <w:proofErr w:type="spellEnd"/>
      <w:r w:rsidR="003177DE" w:rsidRPr="0051003F">
        <w:rPr>
          <w:lang w:val="pl-PL"/>
        </w:rPr>
        <w:t>.), nr 60619/00 z dnia 14 września 2004 r</w:t>
      </w:r>
      <w:r w:rsidR="002D2662">
        <w:rPr>
          <w:lang w:val="pl-PL"/>
        </w:rPr>
        <w:t>oku</w:t>
      </w:r>
      <w:r w:rsidR="003177DE" w:rsidRPr="0051003F">
        <w:rPr>
          <w:lang w:val="pl-PL"/>
        </w:rPr>
        <w:t>, Trybunał zauważył, że ściganie przestępstw związanych z uchylaniem się od płacenia podatków różni się od wymierzania kary podatkowej, która ma na celu zabezpieczenie podstaw krajowego systemu podatkowego.</w:t>
      </w:r>
    </w:p>
    <w:p w:rsidR="00B27E56" w:rsidRPr="0051003F" w:rsidRDefault="003177DE" w:rsidP="003177DE">
      <w:pPr>
        <w:pStyle w:val="ECHRPara"/>
        <w:rPr>
          <w:lang w:val="pl-PL"/>
        </w:rPr>
      </w:pPr>
      <w:r w:rsidRPr="0051003F">
        <w:rPr>
          <w:lang w:val="pl-PL"/>
        </w:rPr>
        <w:t>Postępowanie karne w sprawie uchylania się od płacenia podatków również pełniło wzor</w:t>
      </w:r>
      <w:r w:rsidR="00DB675B">
        <w:rPr>
          <w:lang w:val="pl-PL"/>
        </w:rPr>
        <w:t>c</w:t>
      </w:r>
      <w:r w:rsidRPr="0051003F">
        <w:rPr>
          <w:lang w:val="pl-PL"/>
        </w:rPr>
        <w:t xml:space="preserve">ową funkcję, zwłaszcza w przypadkach, gdy ujawniły się nowe rodzaje oszustw podatkowych, w celu </w:t>
      </w:r>
      <w:r w:rsidR="00C3203E" w:rsidRPr="0051003F">
        <w:rPr>
          <w:lang w:val="pl-PL"/>
        </w:rPr>
        <w:t>z</w:t>
      </w:r>
      <w:r w:rsidR="00C3203E">
        <w:rPr>
          <w:lang w:val="pl-PL"/>
        </w:rPr>
        <w:t>achęcenia</w:t>
      </w:r>
      <w:r w:rsidR="00C3203E" w:rsidRPr="0051003F">
        <w:rPr>
          <w:lang w:val="pl-PL"/>
        </w:rPr>
        <w:t xml:space="preserve"> </w:t>
      </w:r>
      <w:r w:rsidRPr="0051003F">
        <w:rPr>
          <w:lang w:val="pl-PL"/>
        </w:rPr>
        <w:t xml:space="preserve">potencjalnych podmiotów uchylających się od płacenia podatków do zejścia z tej drogi. </w:t>
      </w:r>
      <w:r w:rsidR="00C3203E">
        <w:rPr>
          <w:lang w:val="pl-PL"/>
        </w:rPr>
        <w:t>Brak ścigania</w:t>
      </w:r>
      <w:r w:rsidR="00C3203E" w:rsidRPr="0051003F">
        <w:rPr>
          <w:lang w:val="pl-PL"/>
        </w:rPr>
        <w:t xml:space="preserve"> </w:t>
      </w:r>
      <w:r w:rsidRPr="0051003F">
        <w:rPr>
          <w:lang w:val="pl-PL"/>
        </w:rPr>
        <w:t>najpoważniejszych przypadków uchylania się od płacenia podatków w przypadku, gdy kara podatkowa została już nałożona, pozbawiłoby państwo wzorcowej mocy i jawności wyroków skazujących wydanych w takich przypadkach.</w:t>
      </w:r>
    </w:p>
    <w:p w:rsidR="003177DE" w:rsidRPr="0051003F" w:rsidRDefault="003177DE" w:rsidP="003177DE">
      <w:pPr>
        <w:pStyle w:val="ECHRPara"/>
        <w:rPr>
          <w:lang w:val="pl-PL"/>
        </w:rPr>
      </w:pPr>
      <w:r w:rsidRPr="0051003F">
        <w:rPr>
          <w:lang w:val="pl-PL"/>
        </w:rPr>
        <w:t xml:space="preserve">W przypadku wszczęcia dochodzenia sądowego w sprawie uchylania się od płacenia podatków przed </w:t>
      </w:r>
      <w:r w:rsidR="00CE07D7">
        <w:rPr>
          <w:lang w:val="pl-PL"/>
        </w:rPr>
        <w:t>postępowaniem</w:t>
      </w:r>
      <w:r w:rsidR="00CE07D7" w:rsidRPr="0051003F">
        <w:rPr>
          <w:lang w:val="pl-PL"/>
        </w:rPr>
        <w:t xml:space="preserve"> </w:t>
      </w:r>
      <w:r w:rsidRPr="0051003F">
        <w:rPr>
          <w:lang w:val="pl-PL"/>
        </w:rPr>
        <w:t>przeprowadzonym przez organ podatkowy, obowiązek zaniechania drugiego postępowania po ostatecznym rozstrzygnięciu pierwszego z nich zachęciłby podatnika do szybkiego zakończenia postępowania karnego, nie zaprzeczając przy tym zarzutom, w taki sposób, że postępowanie to zostałoby zakończone przed audytem podatkowym i uniknięto by tym samym sankcji administracyjnych, które na ogół stanowią o wiele większe kwoty.</w:t>
      </w:r>
    </w:p>
    <w:p w:rsidR="003177DE" w:rsidRPr="0051003F" w:rsidRDefault="003177DE" w:rsidP="003177DE">
      <w:pPr>
        <w:pStyle w:val="ECHRPara"/>
        <w:rPr>
          <w:lang w:val="pl-PL"/>
        </w:rPr>
      </w:pPr>
      <w:r w:rsidRPr="0051003F">
        <w:rPr>
          <w:lang w:val="pl-PL"/>
        </w:rPr>
        <w:t xml:space="preserve">W takiej sytuacji podatnik objęty postępowaniem wyjaśniającym byłby w stanie wybrać najbardziej korzystną procedurę; stanowiłoby to z pewnością przeszkodę dla odstraszającego działania państwa w celu ukarania najbardziej nagannych </w:t>
      </w:r>
      <w:proofErr w:type="spellStart"/>
      <w:r w:rsidRPr="0051003F">
        <w:rPr>
          <w:lang w:val="pl-PL"/>
        </w:rPr>
        <w:t>zachowań</w:t>
      </w:r>
      <w:proofErr w:type="spellEnd"/>
      <w:r w:rsidRPr="0051003F">
        <w:rPr>
          <w:lang w:val="pl-PL"/>
        </w:rPr>
        <w:t xml:space="preserve"> w tej dziedzinie. Byłoby paradoksem, gdyby podatnicy, którzy dopuścili się najpoważniejszych form oszustw podatkowych i byli ścigani za takie przestępstwa, otrzymywali mniej surowe kary.</w:t>
      </w:r>
    </w:p>
    <w:p w:rsidR="003177DE" w:rsidRPr="0051003F" w:rsidRDefault="003177DE" w:rsidP="003177DE">
      <w:pPr>
        <w:pStyle w:val="ECHRPara"/>
        <w:rPr>
          <w:lang w:val="pl-PL"/>
        </w:rPr>
      </w:pPr>
      <w:r w:rsidRPr="0051003F">
        <w:rPr>
          <w:lang w:val="pl-PL"/>
        </w:rPr>
        <w:t xml:space="preserve">Podsumowując, uzupełniające działania karne i administracyjne miały zasadnicze znaczenie dla </w:t>
      </w:r>
      <w:r w:rsidR="006E7F28">
        <w:rPr>
          <w:lang w:val="pl-PL"/>
        </w:rPr>
        <w:t>rozpoznawania</w:t>
      </w:r>
      <w:r w:rsidR="006E7F28" w:rsidRPr="0051003F">
        <w:rPr>
          <w:lang w:val="pl-PL"/>
        </w:rPr>
        <w:t xml:space="preserve"> </w:t>
      </w:r>
      <w:r w:rsidRPr="0051003F">
        <w:rPr>
          <w:lang w:val="pl-PL"/>
        </w:rPr>
        <w:t xml:space="preserve">najpoważniejszych spraw </w:t>
      </w:r>
      <w:r w:rsidRPr="0051003F">
        <w:rPr>
          <w:lang w:val="pl-PL"/>
        </w:rPr>
        <w:lastRenderedPageBreak/>
        <w:t>dotyczących oszustw podatkowych i sztuczne byłoby stwierdzenie, że po prostu z uwagi na to, że w grę weszły dwa rodzaje postępowań i dwa organy, obie formy sankcji nie stanowiły spójnej całości w odpowiedzi na tego rodzaju przestępstwa. Obydwa rodzaje postępowań były w rzeczywistości ściśle ze sobą powiązane i dlatego powinno być możliwe ich prowadzenie.</w:t>
      </w:r>
    </w:p>
    <w:p w:rsidR="003177DE" w:rsidRPr="0051003F" w:rsidRDefault="003177DE" w:rsidP="003177DE">
      <w:pPr>
        <w:pStyle w:val="ECHRPara"/>
        <w:rPr>
          <w:lang w:val="pl-PL"/>
        </w:rPr>
      </w:pPr>
    </w:p>
    <w:p w:rsidR="003177DE" w:rsidRPr="0051003F" w:rsidRDefault="002072BD" w:rsidP="003177DE">
      <w:pPr>
        <w:pStyle w:val="ECHRPara"/>
        <w:rPr>
          <w:lang w:val="pl-PL"/>
        </w:rPr>
      </w:pPr>
      <w:r w:rsidRPr="0051003F">
        <w:rPr>
          <w:lang w:val="pl-PL"/>
        </w:rPr>
        <w:t>(ii)  </w:t>
      </w:r>
      <w:r w:rsidR="003177DE" w:rsidRPr="0051003F">
        <w:rPr>
          <w:lang w:val="pl-PL"/>
        </w:rPr>
        <w:t xml:space="preserve">W sprawach przeciwko Finlandii z dnia 20 maja 2014 </w:t>
      </w:r>
      <w:r w:rsidR="006E7F28">
        <w:rPr>
          <w:lang w:val="pl-PL"/>
        </w:rPr>
        <w:t>roku</w:t>
      </w:r>
      <w:r w:rsidR="003177DE" w:rsidRPr="0051003F">
        <w:rPr>
          <w:lang w:val="pl-PL"/>
        </w:rPr>
        <w:t xml:space="preserve"> głównym kryterium odmowy dopuszczenia drugiego postępowania wskazanym przez Trybunał była całkowita niezależność procedury fiskalnej z jednej strony i postępowania karnego z drugiej strony. Postępowanie podatkowe i karne powinno być jednak postrzegane jako powiązane co do istoty </w:t>
      </w:r>
      <w:r w:rsidR="007C4FC0">
        <w:rPr>
          <w:lang w:val="pl-PL"/>
        </w:rPr>
        <w:t>i czasu</w:t>
      </w:r>
      <w:r w:rsidR="003177DE" w:rsidRPr="0051003F">
        <w:rPr>
          <w:lang w:val="pl-PL"/>
        </w:rPr>
        <w:t>, gdy doszło do wymiany informacji między tymi dwoma organami i gdy oba postępowania toczyły się równocześnie. Stan faktyczny sprawy wskazywałby na uzupełniający charakter postępowania.</w:t>
      </w:r>
    </w:p>
    <w:p w:rsidR="00B27E56" w:rsidRPr="0051003F" w:rsidRDefault="003177DE" w:rsidP="003177DE">
      <w:pPr>
        <w:pStyle w:val="ECHRPara"/>
        <w:rPr>
          <w:lang w:val="pl-PL"/>
        </w:rPr>
      </w:pPr>
      <w:r w:rsidRPr="0051003F">
        <w:rPr>
          <w:lang w:val="pl-PL"/>
        </w:rPr>
        <w:t xml:space="preserve">Tytułem ilustracji </w:t>
      </w:r>
      <w:r w:rsidR="007C4FC0">
        <w:rPr>
          <w:lang w:val="pl-PL"/>
        </w:rPr>
        <w:t>R</w:t>
      </w:r>
      <w:r w:rsidR="007C4FC0" w:rsidRPr="0051003F">
        <w:rPr>
          <w:lang w:val="pl-PL"/>
        </w:rPr>
        <w:t xml:space="preserve">ząd </w:t>
      </w:r>
      <w:r w:rsidRPr="0051003F">
        <w:rPr>
          <w:lang w:val="pl-PL"/>
        </w:rPr>
        <w:t>przedstawił szczegółową analizę sposobu, jaki w systemie francuskim procedury karne i podatkowe były wzajemnie powiązane, jak nakładały się na siebie pod względem prawnym i w praktyce i były prowadzone jednocześnie. Zasada proporcjonalności oznaczała, że łączna kwota wszelkich nałożonych kar nie powinna przekraczać najwyższej kwoty, jaka mogłaby zostać nałożona w odniesieniu do każdego z tych rodzajów kar</w:t>
      </w:r>
      <w:r w:rsidR="001406E2" w:rsidRPr="0051003F">
        <w:rPr>
          <w:rFonts w:ascii="Times New Roman" w:hAnsi="Times New Roman"/>
          <w:szCs w:val="24"/>
          <w:lang w:val="pl-PL"/>
        </w:rPr>
        <w:t>.</w:t>
      </w:r>
    </w:p>
    <w:p w:rsidR="003177DE" w:rsidRPr="0051003F" w:rsidRDefault="003177DE" w:rsidP="003177DE">
      <w:pPr>
        <w:pStyle w:val="ECHRPara"/>
        <w:rPr>
          <w:rFonts w:ascii="Times New Roman" w:hAnsi="Times New Roman" w:cs="Times New Roman"/>
          <w:szCs w:val="24"/>
          <w:lang w:val="pl-PL"/>
        </w:rPr>
      </w:pPr>
      <w:r w:rsidRPr="0051003F">
        <w:rPr>
          <w:rFonts w:ascii="Times New Roman" w:hAnsi="Times New Roman" w:cs="Times New Roman"/>
          <w:szCs w:val="24"/>
          <w:lang w:val="pl-PL"/>
        </w:rPr>
        <w:t xml:space="preserve">Przy ustalaniu, czy postępowanie karne i podatkowe można uznać za wystarczająco ściśle powiązane w czasie, należy brać pod uwagę jedynie etap oceny przez organ podatkowy oraz etap dochodzenia sądowego. Te dwie fazy powinny przebiegać jednocześnie lub być oddzielone bardzo krótkim odstępem czasu. Z drugiej strony nie wydaje się natomiast istotne, aby przy ocenie związku w czasie między dwoma postępowaniami, uwzględnić czas trwania postępowania sądowego przed sądami wezwanymi do wydania wyroku w sprawie karnej oraz rozstrzygnięcie co do ważności kar podatkowych. Należy pamiętać, że czas odpowiedzi poszczególnych sądów zależał od czynników zewnętrznych, niekiedy przypisywanych danemu podatnikowi. Może on podjąć decyzję o celowym przedłużeniu postępowania w jednym z sądów, składając dużą liczbę wniosków lub przedkładając liczne </w:t>
      </w:r>
      <w:r w:rsidR="0020098F">
        <w:rPr>
          <w:rFonts w:ascii="Times New Roman" w:hAnsi="Times New Roman" w:cs="Times New Roman"/>
          <w:szCs w:val="24"/>
          <w:lang w:val="pl-PL"/>
        </w:rPr>
        <w:t>pisma procesowe</w:t>
      </w:r>
      <w:r w:rsidRPr="0051003F">
        <w:rPr>
          <w:rFonts w:ascii="Times New Roman" w:hAnsi="Times New Roman" w:cs="Times New Roman"/>
          <w:szCs w:val="24"/>
          <w:lang w:val="pl-PL"/>
        </w:rPr>
        <w:t xml:space="preserve">, które następnie wymagałyby wymiany argumentów lub ponownie </w:t>
      </w:r>
      <w:r w:rsidR="0020098F">
        <w:rPr>
          <w:rFonts w:ascii="Times New Roman" w:hAnsi="Times New Roman" w:cs="Times New Roman"/>
          <w:szCs w:val="24"/>
          <w:lang w:val="pl-PL"/>
        </w:rPr>
        <w:t>poprzez wniesienie</w:t>
      </w:r>
      <w:r w:rsidR="0020098F" w:rsidRPr="0051003F">
        <w:rPr>
          <w:rFonts w:ascii="Times New Roman" w:hAnsi="Times New Roman" w:cs="Times New Roman"/>
          <w:szCs w:val="24"/>
          <w:lang w:val="pl-PL"/>
        </w:rPr>
        <w:t xml:space="preserve"> </w:t>
      </w:r>
      <w:r w:rsidRPr="0051003F">
        <w:rPr>
          <w:rFonts w:ascii="Times New Roman" w:hAnsi="Times New Roman" w:cs="Times New Roman"/>
          <w:szCs w:val="24"/>
          <w:lang w:val="pl-PL"/>
        </w:rPr>
        <w:t>odwołania.</w:t>
      </w:r>
    </w:p>
    <w:p w:rsidR="003177DE" w:rsidRPr="0051003F" w:rsidRDefault="003177DE" w:rsidP="003177DE">
      <w:pPr>
        <w:pStyle w:val="ECHRPara"/>
        <w:rPr>
          <w:lang w:val="pl-PL"/>
        </w:rPr>
      </w:pPr>
      <w:r w:rsidRPr="0051003F">
        <w:rPr>
          <w:lang w:val="pl-PL"/>
        </w:rPr>
        <w:t xml:space="preserve">Państwom  należy pozostawić margines swobody oceny przy określaniu odpowiednich kar za takie rodzaje </w:t>
      </w:r>
      <w:proofErr w:type="spellStart"/>
      <w:r w:rsidRPr="0051003F">
        <w:rPr>
          <w:lang w:val="pl-PL"/>
        </w:rPr>
        <w:t>zachowań</w:t>
      </w:r>
      <w:proofErr w:type="spellEnd"/>
      <w:r w:rsidRPr="0051003F">
        <w:rPr>
          <w:lang w:val="pl-PL"/>
        </w:rPr>
        <w:t>, które mogą powodować różnego rodzaju szkody. Zapewniając pojedynczą odpowiedź, państwo powinno mieć możliwość powierzenia pewnej liczbie organów - sądowniczych i administracyjnych - zadania udzielenia odpowiedniej odpowiedzi.</w:t>
      </w:r>
    </w:p>
    <w:p w:rsidR="00B27E56" w:rsidRPr="0051003F" w:rsidRDefault="001E78E2" w:rsidP="003177DE">
      <w:pPr>
        <w:pStyle w:val="ECHRPara"/>
        <w:rPr>
          <w:lang w:val="pl-PL"/>
        </w:rPr>
      </w:pPr>
      <w:r>
        <w:rPr>
          <w:lang w:val="pl-PL"/>
        </w:rPr>
        <w:t>97</w:t>
      </w:r>
      <w:r w:rsidR="00B27E56" w:rsidRPr="0051003F">
        <w:rPr>
          <w:lang w:val="pl-PL"/>
        </w:rPr>
        <w:t>.  </w:t>
      </w:r>
      <w:r w:rsidR="003177DE" w:rsidRPr="0051003F">
        <w:rPr>
          <w:lang w:val="pl-PL"/>
        </w:rPr>
        <w:t xml:space="preserve">Rząd grecki utrzymywał, że istnienie odrębnego i następującego po sobie postępowania, w trakcie którego nałożono na skarżącego takie same </w:t>
      </w:r>
      <w:r w:rsidR="003177DE" w:rsidRPr="0051003F">
        <w:rPr>
          <w:lang w:val="pl-PL"/>
        </w:rPr>
        <w:lastRenderedPageBreak/>
        <w:t>lub różne środki o charakterze karnym, było decydującym i kluczowym czynnikiem dla pojęcia „</w:t>
      </w:r>
      <w:proofErr w:type="spellStart"/>
      <w:r w:rsidR="003177DE" w:rsidRPr="0051003F">
        <w:rPr>
          <w:lang w:val="pl-PL"/>
        </w:rPr>
        <w:t>repetition</w:t>
      </w:r>
      <w:proofErr w:type="spellEnd"/>
      <w:r w:rsidR="003177DE" w:rsidRPr="0051003F">
        <w:rPr>
          <w:lang w:val="pl-PL"/>
        </w:rPr>
        <w:t xml:space="preserve">” („bis"”). Zasada </w:t>
      </w:r>
      <w:proofErr w:type="spellStart"/>
      <w:r w:rsidR="003177DE" w:rsidRPr="0051003F">
        <w:rPr>
          <w:i/>
          <w:lang w:val="pl-PL"/>
        </w:rPr>
        <w:t>ne</w:t>
      </w:r>
      <w:proofErr w:type="spellEnd"/>
      <w:r w:rsidR="003177DE" w:rsidRPr="0051003F">
        <w:rPr>
          <w:i/>
          <w:lang w:val="pl-PL"/>
        </w:rPr>
        <w:t xml:space="preserve"> bis in </w:t>
      </w:r>
      <w:proofErr w:type="spellStart"/>
      <w:r w:rsidR="003177DE" w:rsidRPr="0051003F">
        <w:rPr>
          <w:i/>
          <w:lang w:val="pl-PL"/>
        </w:rPr>
        <w:t>idem</w:t>
      </w:r>
      <w:proofErr w:type="spellEnd"/>
      <w:r w:rsidR="003177DE" w:rsidRPr="0051003F">
        <w:rPr>
          <w:lang w:val="pl-PL"/>
        </w:rPr>
        <w:t xml:space="preserve"> nie została naruszona w przypadku, gdy różne środki o charakterze „karnym”, choć różniące się między sobą, zostały nałożone przez różne organy, odpowiednio, karne i administracyjne, które przy wymierzaniu kary rozpatrywały wszystkie sankcje w całości (odnieśli się do </w:t>
      </w:r>
      <w:r w:rsidR="003177DE" w:rsidRPr="0051003F">
        <w:rPr>
          <w:i/>
          <w:lang w:val="pl-PL"/>
        </w:rPr>
        <w:t>R. T. przeciwko Szwajcarii</w:t>
      </w:r>
      <w:r w:rsidR="003177DE" w:rsidRPr="0051003F">
        <w:rPr>
          <w:lang w:val="pl-PL"/>
        </w:rPr>
        <w:t>, cytowany powyżej</w:t>
      </w:r>
      <w:r w:rsidR="00B27E56" w:rsidRPr="0051003F">
        <w:rPr>
          <w:lang w:val="pl-PL"/>
        </w:rPr>
        <w:t>).</w:t>
      </w:r>
    </w:p>
    <w:p w:rsidR="003177DE" w:rsidRPr="0051003F" w:rsidRDefault="001E78E2" w:rsidP="003177DE">
      <w:pPr>
        <w:pStyle w:val="ECHRPara"/>
        <w:rPr>
          <w:lang w:val="pl-PL"/>
        </w:rPr>
      </w:pPr>
      <w:r>
        <w:rPr>
          <w:lang w:val="pl-PL"/>
        </w:rPr>
        <w:t>98</w:t>
      </w:r>
      <w:r w:rsidR="00716C9C" w:rsidRPr="0051003F">
        <w:rPr>
          <w:lang w:val="pl-PL"/>
        </w:rPr>
        <w:t>.  </w:t>
      </w:r>
      <w:r w:rsidR="003177DE" w:rsidRPr="0051003F">
        <w:rPr>
          <w:lang w:val="pl-PL"/>
        </w:rPr>
        <w:t xml:space="preserve">Z drugiej strony, </w:t>
      </w:r>
      <w:r w:rsidR="00D06C24">
        <w:rPr>
          <w:lang w:val="pl-PL"/>
        </w:rPr>
        <w:t>R</w:t>
      </w:r>
      <w:r w:rsidR="003177DE" w:rsidRPr="0051003F">
        <w:rPr>
          <w:lang w:val="pl-PL"/>
        </w:rPr>
        <w:t xml:space="preserve">ząd grecki wskazał na </w:t>
      </w:r>
      <w:proofErr w:type="spellStart"/>
      <w:r w:rsidR="003177DE" w:rsidRPr="0051003F">
        <w:rPr>
          <w:i/>
          <w:lang w:val="pl-PL"/>
        </w:rPr>
        <w:t>Kapetanios</w:t>
      </w:r>
      <w:proofErr w:type="spellEnd"/>
      <w:r w:rsidR="003177DE" w:rsidRPr="0051003F">
        <w:rPr>
          <w:i/>
          <w:lang w:val="pl-PL"/>
        </w:rPr>
        <w:t xml:space="preserve"> i in. przeciwko Grecji </w:t>
      </w:r>
      <w:r w:rsidR="003177DE" w:rsidRPr="0051003F">
        <w:rPr>
          <w:lang w:val="pl-PL"/>
        </w:rPr>
        <w:t>(nor 3453/12,42941/12 i 9028/13, § 72,30 kwietnia 2015 r</w:t>
      </w:r>
      <w:r w:rsidR="00D06C24">
        <w:rPr>
          <w:lang w:val="pl-PL"/>
        </w:rPr>
        <w:t>oku</w:t>
      </w:r>
      <w:r w:rsidR="003177DE" w:rsidRPr="0051003F">
        <w:rPr>
          <w:lang w:val="pl-PL"/>
        </w:rPr>
        <w:t xml:space="preserve">), w których Trybunał orzekł, że zasada </w:t>
      </w:r>
      <w:proofErr w:type="spellStart"/>
      <w:r w:rsidR="003177DE" w:rsidRPr="0051003F">
        <w:rPr>
          <w:i/>
          <w:lang w:val="pl-PL"/>
        </w:rPr>
        <w:t>ne</w:t>
      </w:r>
      <w:proofErr w:type="spellEnd"/>
      <w:r w:rsidR="003177DE" w:rsidRPr="0051003F">
        <w:rPr>
          <w:i/>
          <w:lang w:val="pl-PL"/>
        </w:rPr>
        <w:t xml:space="preserve"> bis in </w:t>
      </w:r>
      <w:proofErr w:type="spellStart"/>
      <w:r w:rsidR="003177DE" w:rsidRPr="0051003F">
        <w:rPr>
          <w:i/>
          <w:lang w:val="pl-PL"/>
        </w:rPr>
        <w:t>idem</w:t>
      </w:r>
      <w:proofErr w:type="spellEnd"/>
      <w:r w:rsidR="003177DE" w:rsidRPr="0051003F">
        <w:rPr>
          <w:lang w:val="pl-PL"/>
        </w:rPr>
        <w:t xml:space="preserve"> nie może być co do zasady naruszona, jeżeli w ramach jednego postępowania sądowego zostały nałożone zarówno sankcje, tj. pozbawienie wolności, jak i kara pieniężna. Niezależnie od tego przykładu oczywiste było, że Trybunał przywiązywał dużą wagę do faktu, iż nałożenie sankcji karnych i administracyjnych było przedmiotem ogólnej oceny sądowej.</w:t>
      </w:r>
    </w:p>
    <w:p w:rsidR="003177DE" w:rsidRPr="0051003F" w:rsidRDefault="001E78E2" w:rsidP="003177DE">
      <w:pPr>
        <w:pStyle w:val="ECHRPara"/>
        <w:rPr>
          <w:snapToGrid w:val="0"/>
          <w:lang w:val="pl-PL"/>
        </w:rPr>
      </w:pPr>
      <w:r>
        <w:rPr>
          <w:snapToGrid w:val="0"/>
          <w:lang w:val="pl-PL"/>
        </w:rPr>
        <w:t>99</w:t>
      </w:r>
      <w:r w:rsidR="00716C9C" w:rsidRPr="0051003F">
        <w:rPr>
          <w:snapToGrid w:val="0"/>
          <w:lang w:val="pl-PL"/>
        </w:rPr>
        <w:t>.  </w:t>
      </w:r>
      <w:r w:rsidR="003177DE" w:rsidRPr="0051003F">
        <w:rPr>
          <w:snapToGrid w:val="0"/>
          <w:lang w:val="pl-PL"/>
        </w:rPr>
        <w:t xml:space="preserve">Niemniej jednak nie zaprzeczył on poglądowi norweskiego Sądu Najwyższego w niniejszej sprawie, że równoległe postępowania były przynajmniej w pewnym stopniu dopuszczalne na mocy art. 4 Protokołu nr 7. Zostało to mocno poparte wyrokiem Trybunału Sprawiedliwości Unii Europejskiej w sprawie </w:t>
      </w:r>
      <w:proofErr w:type="spellStart"/>
      <w:r w:rsidR="003177DE" w:rsidRPr="0051003F">
        <w:rPr>
          <w:i/>
          <w:snapToGrid w:val="0"/>
          <w:lang w:val="pl-PL"/>
        </w:rPr>
        <w:t>Fransson</w:t>
      </w:r>
      <w:proofErr w:type="spellEnd"/>
      <w:r w:rsidR="003177DE" w:rsidRPr="0051003F">
        <w:rPr>
          <w:snapToGrid w:val="0"/>
          <w:lang w:val="pl-PL"/>
        </w:rPr>
        <w:t xml:space="preserve"> (</w:t>
      </w:r>
      <w:r w:rsidR="004D5C23" w:rsidRPr="0051003F">
        <w:rPr>
          <w:snapToGrid w:val="0"/>
          <w:lang w:val="pl-PL"/>
        </w:rPr>
        <w:t>odnieśli</w:t>
      </w:r>
      <w:r w:rsidR="003177DE" w:rsidRPr="0051003F">
        <w:rPr>
          <w:snapToGrid w:val="0"/>
          <w:lang w:val="pl-PL"/>
        </w:rPr>
        <w:t xml:space="preserve"> się do para</w:t>
      </w:r>
      <w:r>
        <w:rPr>
          <w:snapToGrid w:val="0"/>
          <w:lang w:val="pl-PL"/>
        </w:rPr>
        <w:t>graf</w:t>
      </w:r>
      <w:r w:rsidR="003177DE" w:rsidRPr="0051003F">
        <w:rPr>
          <w:snapToGrid w:val="0"/>
          <w:lang w:val="pl-PL"/>
        </w:rPr>
        <w:t xml:space="preserve"> 34 wyroku, cytowanego w </w:t>
      </w:r>
      <w:proofErr w:type="spellStart"/>
      <w:r w:rsidR="003177DE" w:rsidRPr="0051003F">
        <w:rPr>
          <w:snapToGrid w:val="0"/>
          <w:lang w:val="pl-PL"/>
        </w:rPr>
        <w:t>par</w:t>
      </w:r>
      <w:r>
        <w:rPr>
          <w:snapToGrid w:val="0"/>
          <w:lang w:val="pl-PL"/>
        </w:rPr>
        <w:t>graf</w:t>
      </w:r>
      <w:proofErr w:type="spellEnd"/>
      <w:r w:rsidR="003177DE" w:rsidRPr="0051003F">
        <w:rPr>
          <w:snapToGrid w:val="0"/>
          <w:lang w:val="pl-PL"/>
        </w:rPr>
        <w:t xml:space="preserve"> 52 powyżej).</w:t>
      </w:r>
    </w:p>
    <w:p w:rsidR="00356B34" w:rsidRPr="0051003F" w:rsidRDefault="0020171A" w:rsidP="0020171A">
      <w:pPr>
        <w:pStyle w:val="ECHRPara"/>
        <w:rPr>
          <w:snapToGrid w:val="0"/>
          <w:lang w:val="pl-PL"/>
        </w:rPr>
      </w:pPr>
      <w:r w:rsidRPr="0051003F">
        <w:rPr>
          <w:snapToGrid w:val="0"/>
          <w:lang w:val="pl-PL"/>
        </w:rPr>
        <w:t>Trybunał Sprawiedliwości Unii Europejskiej sprecyzował, że to do sądu krajowego należy ustalenie, w świetle ustalonych kryteriów, czy poł</w:t>
      </w:r>
      <w:r w:rsidR="00131DB6" w:rsidRPr="0051003F">
        <w:rPr>
          <w:snapToGrid w:val="0"/>
          <w:lang w:val="pl-PL"/>
        </w:rPr>
        <w:t>ączenie sankcji podatkowych z</w:t>
      </w:r>
      <w:r w:rsidRPr="0051003F">
        <w:rPr>
          <w:snapToGrid w:val="0"/>
          <w:lang w:val="pl-PL"/>
        </w:rPr>
        <w:t xml:space="preserve"> karnymi przewidziane w prawie krajowym powinno zostać zbadane w odniesieniu do norm krajowych, a mianowicie jako analogiczne do tych, które mają zastosowanie w przypadku naruszeń prawa krajowego o podobnym charakterze i znaczeniu, przy czym wybór sankcji pozostaje w gestii państwa członkowskiego; to do sądów krajowych należy zatem ustalenie, czy połączenie sankcji jest analogiczne do tych, które mają zastosowanie w przypadku naruszeń prawa krajowego o podobnym charakterze i znaczeniu </w:t>
      </w:r>
      <w:r w:rsidR="00131DB6" w:rsidRPr="0051003F">
        <w:rPr>
          <w:snapToGrid w:val="0"/>
          <w:lang w:val="pl-PL"/>
        </w:rPr>
        <w:t>(odniósł się do para</w:t>
      </w:r>
      <w:r w:rsidR="00CA0AEF">
        <w:rPr>
          <w:snapToGrid w:val="0"/>
          <w:lang w:val="pl-PL"/>
        </w:rPr>
        <w:t>graf</w:t>
      </w:r>
      <w:r w:rsidR="00131DB6" w:rsidRPr="0051003F">
        <w:rPr>
          <w:snapToGrid w:val="0"/>
          <w:lang w:val="pl-PL"/>
        </w:rPr>
        <w:t xml:space="preserve"> 37 wyroku, cytowanego w para</w:t>
      </w:r>
      <w:r w:rsidR="00CA0AEF">
        <w:rPr>
          <w:snapToGrid w:val="0"/>
          <w:lang w:val="pl-PL"/>
        </w:rPr>
        <w:t>graf</w:t>
      </w:r>
      <w:r w:rsidRPr="0051003F">
        <w:rPr>
          <w:snapToGrid w:val="0"/>
          <w:lang w:val="pl-PL"/>
        </w:rPr>
        <w:t xml:space="preserve"> 52 powyżej)</w:t>
      </w:r>
      <w:r w:rsidR="000B5E3C" w:rsidRPr="0051003F">
        <w:rPr>
          <w:snapToGrid w:val="0"/>
          <w:lang w:val="pl-PL"/>
        </w:rPr>
        <w:t>.</w:t>
      </w:r>
    </w:p>
    <w:p w:rsidR="000B5E3C" w:rsidRPr="0051003F" w:rsidRDefault="000B5E3C" w:rsidP="000B5E3C">
      <w:pPr>
        <w:pStyle w:val="ECHRPara"/>
        <w:rPr>
          <w:lang w:val="pl-PL"/>
        </w:rPr>
      </w:pPr>
      <w:r w:rsidRPr="0051003F">
        <w:rPr>
          <w:lang w:val="pl-PL"/>
        </w:rPr>
        <w:t xml:space="preserve">Wspomniane wyżej orzeczenie Trybunału Sprawiedliwości Unii Europejskiej </w:t>
      </w:r>
      <w:r w:rsidR="00CA0AEF">
        <w:rPr>
          <w:lang w:val="pl-PL"/>
        </w:rPr>
        <w:t>wydaje</w:t>
      </w:r>
      <w:r w:rsidR="00CA0AEF" w:rsidRPr="0051003F">
        <w:rPr>
          <w:lang w:val="pl-PL"/>
        </w:rPr>
        <w:t xml:space="preserve"> </w:t>
      </w:r>
      <w:r w:rsidRPr="0051003F">
        <w:rPr>
          <w:lang w:val="pl-PL"/>
        </w:rPr>
        <w:t>się istotne dla niniejszej sprawy. W szczególności, w ramach takiej wykładni można stwierdzić z uwzględnieniem niezbędnych zmian, że sędziowie krajowi rzeczywiście w należyty sposób orzekli, według własnego uznania, jak stwierdził Trybunał Sprawiedliwości Unii Europejskiej, że połączenie spornych sankcji, nałożone w ramach tak zwanego „równoległego postępowania” przy bliskiej współpracy między dwoma odrębnymi organami, nie naruszyło norm krajowych, mimo że sędziowie krajowi zasadniczo ocenili sankcje podatkowe jako „karne”. Biorąc pod uwagę argumenty przedstawione w para</w:t>
      </w:r>
      <w:r w:rsidR="007D070D">
        <w:rPr>
          <w:lang w:val="pl-PL"/>
        </w:rPr>
        <w:t>graf</w:t>
      </w:r>
      <w:r w:rsidRPr="0051003F">
        <w:rPr>
          <w:lang w:val="pl-PL"/>
        </w:rPr>
        <w:t xml:space="preserve"> 97 powyżej, można zasadnie stwierdzić, że równoległe postępowanie, nakładające różne sankcje za pośrednictwem różnych organów, wyraźnie odrębne pod względem </w:t>
      </w:r>
      <w:r w:rsidRPr="0051003F">
        <w:rPr>
          <w:lang w:val="pl-PL"/>
        </w:rPr>
        <w:lastRenderedPageBreak/>
        <w:t xml:space="preserve">prawnym, nie było zakazane przez art. 4 Protokołu </w:t>
      </w:r>
      <w:r w:rsidR="007D070D">
        <w:rPr>
          <w:lang w:val="pl-PL"/>
        </w:rPr>
        <w:t>n</w:t>
      </w:r>
      <w:r w:rsidR="007D070D" w:rsidRPr="0051003F">
        <w:rPr>
          <w:lang w:val="pl-PL"/>
        </w:rPr>
        <w:t xml:space="preserve">r </w:t>
      </w:r>
      <w:r w:rsidRPr="0051003F">
        <w:rPr>
          <w:lang w:val="pl-PL"/>
        </w:rPr>
        <w:t>7, jeżeli postępowanie takie spełniło kryterium ścisłego związku merytorycznego i terminowego. Test ten był odpowiedzią na krytyczne pytanie, czy nastąpiły powtórzenia.</w:t>
      </w:r>
    </w:p>
    <w:p w:rsidR="000B5E3C" w:rsidRPr="0051003F" w:rsidRDefault="002639A4" w:rsidP="000B5E3C">
      <w:pPr>
        <w:pStyle w:val="ECHRPara"/>
        <w:rPr>
          <w:lang w:val="pl-PL"/>
        </w:rPr>
      </w:pPr>
      <w:r>
        <w:rPr>
          <w:lang w:val="pl-PL"/>
        </w:rPr>
        <w:t>100</w:t>
      </w:r>
      <w:r w:rsidR="005855FF" w:rsidRPr="0051003F">
        <w:rPr>
          <w:lang w:val="pl-PL"/>
        </w:rPr>
        <w:t>.  </w:t>
      </w:r>
      <w:r w:rsidR="000B5E3C" w:rsidRPr="0051003F">
        <w:rPr>
          <w:lang w:val="pl-PL"/>
        </w:rPr>
        <w:t xml:space="preserve">Rząd szwajcarski, powołując się na </w:t>
      </w:r>
      <w:proofErr w:type="spellStart"/>
      <w:r w:rsidR="000B5E3C" w:rsidRPr="0051003F">
        <w:rPr>
          <w:i/>
          <w:lang w:val="pl-PL"/>
        </w:rPr>
        <w:t>Zołotukhin</w:t>
      </w:r>
      <w:proofErr w:type="spellEnd"/>
      <w:r w:rsidR="000B5E3C" w:rsidRPr="0051003F">
        <w:rPr>
          <w:lang w:val="pl-PL"/>
        </w:rPr>
        <w:t xml:space="preserve"> (cytowany powyżej, para</w:t>
      </w:r>
      <w:r w:rsidR="007D070D">
        <w:rPr>
          <w:lang w:val="pl-PL"/>
        </w:rPr>
        <w:t>graf</w:t>
      </w:r>
      <w:r w:rsidR="000B5E3C" w:rsidRPr="0051003F">
        <w:rPr>
          <w:lang w:val="pl-PL"/>
        </w:rPr>
        <w:t xml:space="preserve">. 83), utrzymywał, że gwarancja określona w art. 4 Protokołu </w:t>
      </w:r>
      <w:r w:rsidR="007D070D">
        <w:rPr>
          <w:lang w:val="pl-PL"/>
        </w:rPr>
        <w:t>n</w:t>
      </w:r>
      <w:r w:rsidR="007D070D" w:rsidRPr="0051003F">
        <w:rPr>
          <w:lang w:val="pl-PL"/>
        </w:rPr>
        <w:t xml:space="preserve">r </w:t>
      </w:r>
      <w:r w:rsidR="000B5E3C" w:rsidRPr="0051003F">
        <w:rPr>
          <w:lang w:val="pl-PL"/>
        </w:rPr>
        <w:t xml:space="preserve">7 stała się istotna dla wszczęcia nowego postępowania karnego, w przypadku gdy wcześniejszy wyrok uniewinniający lub skazujący uzyskał już powagę rzeczy osądzonej. Sytuacja, w której postępowanie karne nie zostało zakończone w momencie wszczęcia postępowania administracyjnego, sama w sobie nie stanowiła zatem problemu w odniesieniu do zasady </w:t>
      </w:r>
      <w:proofErr w:type="spellStart"/>
      <w:r w:rsidR="000B5E3C" w:rsidRPr="0051003F">
        <w:rPr>
          <w:i/>
          <w:lang w:val="pl-PL"/>
        </w:rPr>
        <w:t>ne</w:t>
      </w:r>
      <w:proofErr w:type="spellEnd"/>
      <w:r w:rsidR="000B5E3C" w:rsidRPr="0051003F">
        <w:rPr>
          <w:i/>
          <w:lang w:val="pl-PL"/>
        </w:rPr>
        <w:t xml:space="preserve"> bis in </w:t>
      </w:r>
      <w:proofErr w:type="spellStart"/>
      <w:r w:rsidR="000B5E3C" w:rsidRPr="0051003F">
        <w:rPr>
          <w:i/>
          <w:lang w:val="pl-PL"/>
        </w:rPr>
        <w:t>idem</w:t>
      </w:r>
      <w:proofErr w:type="spellEnd"/>
      <w:r w:rsidR="000B5E3C" w:rsidRPr="0051003F">
        <w:rPr>
          <w:lang w:val="pl-PL"/>
        </w:rPr>
        <w:t xml:space="preserve"> (odnieśli się, </w:t>
      </w:r>
      <w:r w:rsidR="000B5E3C" w:rsidRPr="0051003F">
        <w:rPr>
          <w:i/>
          <w:lang w:val="pl-PL"/>
        </w:rPr>
        <w:t>mutatis mutandis</w:t>
      </w:r>
      <w:r w:rsidR="000B5E3C" w:rsidRPr="0051003F">
        <w:rPr>
          <w:lang w:val="pl-PL"/>
        </w:rPr>
        <w:t>, do przywołanego powyżej, para</w:t>
      </w:r>
      <w:r w:rsidR="007D070D">
        <w:rPr>
          <w:lang w:val="pl-PL"/>
        </w:rPr>
        <w:t>graf</w:t>
      </w:r>
      <w:r w:rsidR="000B5E3C" w:rsidRPr="0051003F">
        <w:rPr>
          <w:lang w:val="pl-PL"/>
        </w:rPr>
        <w:t xml:space="preserve">. 72 </w:t>
      </w:r>
      <w:proofErr w:type="spellStart"/>
      <w:r w:rsidR="000B5E3C" w:rsidRPr="0051003F">
        <w:rPr>
          <w:i/>
          <w:lang w:val="pl-PL"/>
        </w:rPr>
        <w:t>Kapetanios</w:t>
      </w:r>
      <w:proofErr w:type="spellEnd"/>
      <w:r w:rsidR="000B5E3C" w:rsidRPr="0051003F">
        <w:rPr>
          <w:i/>
          <w:lang w:val="pl-PL"/>
        </w:rPr>
        <w:t xml:space="preserve"> i in.</w:t>
      </w:r>
      <w:r w:rsidR="000B5E3C" w:rsidRPr="0051003F">
        <w:rPr>
          <w:lang w:val="pl-PL"/>
        </w:rPr>
        <w:t xml:space="preserve">) W związku z tym, zgodnie z art. 4 Protokołu </w:t>
      </w:r>
      <w:r w:rsidR="007D070D">
        <w:rPr>
          <w:lang w:val="pl-PL"/>
        </w:rPr>
        <w:t>n</w:t>
      </w:r>
      <w:r w:rsidR="007D070D" w:rsidRPr="0051003F">
        <w:rPr>
          <w:lang w:val="pl-PL"/>
        </w:rPr>
        <w:t xml:space="preserve">r </w:t>
      </w:r>
      <w:r w:rsidR="000B5E3C" w:rsidRPr="0051003F">
        <w:rPr>
          <w:lang w:val="pl-PL"/>
        </w:rPr>
        <w:t>7, dopuszczalne są równoległe procedury. Niniejsza sprawa dała Wielkiej Izbie autorytet możliwość potwierdzenia.</w:t>
      </w:r>
    </w:p>
    <w:p w:rsidR="000B5E3C" w:rsidRPr="0051003F" w:rsidRDefault="000B5E3C" w:rsidP="000B5E3C">
      <w:pPr>
        <w:pStyle w:val="ECHRPara"/>
        <w:rPr>
          <w:rFonts w:ascii="Times New Roman" w:hAnsi="Times New Roman" w:cs="Times New Roman"/>
          <w:szCs w:val="24"/>
          <w:lang w:val="pl-PL"/>
        </w:rPr>
      </w:pPr>
      <w:r w:rsidRPr="0051003F">
        <w:rPr>
          <w:rFonts w:ascii="Times New Roman" w:hAnsi="Times New Roman" w:cs="Times New Roman"/>
          <w:szCs w:val="24"/>
          <w:lang w:val="pl-PL"/>
        </w:rPr>
        <w:t>Uzasadnienie podwójnego systemu opierało się przede wszystkim na naturze i celach, prawa administracyjnego (z jednej strony prewencyjnego i edukacyjnego), oraz - prawa karnego (</w:t>
      </w:r>
      <w:r w:rsidR="00721429">
        <w:rPr>
          <w:rFonts w:ascii="Times New Roman" w:hAnsi="Times New Roman" w:cs="Times New Roman"/>
          <w:szCs w:val="24"/>
          <w:lang w:val="pl-PL"/>
        </w:rPr>
        <w:t>karzącego</w:t>
      </w:r>
      <w:r w:rsidRPr="0051003F">
        <w:rPr>
          <w:rFonts w:ascii="Times New Roman" w:hAnsi="Times New Roman" w:cs="Times New Roman"/>
          <w:szCs w:val="24"/>
          <w:lang w:val="pl-PL"/>
        </w:rPr>
        <w:t>).</w:t>
      </w:r>
    </w:p>
    <w:p w:rsidR="00B27E56" w:rsidRPr="0051003F" w:rsidRDefault="000B5E3C" w:rsidP="000B5E3C">
      <w:pPr>
        <w:pStyle w:val="ECHRPara"/>
        <w:rPr>
          <w:rFonts w:ascii="Times New Roman" w:hAnsi="Times New Roman" w:cs="Times New Roman"/>
          <w:szCs w:val="24"/>
          <w:lang w:val="pl-PL"/>
        </w:rPr>
      </w:pPr>
      <w:r w:rsidRPr="0051003F">
        <w:rPr>
          <w:rFonts w:ascii="Times New Roman" w:hAnsi="Times New Roman" w:cs="Times New Roman"/>
          <w:szCs w:val="24"/>
          <w:lang w:val="pl-PL"/>
        </w:rPr>
        <w:t xml:space="preserve">Podczas gdy pojęcie „oskarżenia” w art. 6 zostało, w świetle kryteriów </w:t>
      </w:r>
      <w:proofErr w:type="spellStart"/>
      <w:r w:rsidRPr="0051003F">
        <w:rPr>
          <w:rFonts w:ascii="Times New Roman" w:hAnsi="Times New Roman" w:cs="Times New Roman"/>
          <w:i/>
          <w:szCs w:val="24"/>
          <w:lang w:val="pl-PL"/>
        </w:rPr>
        <w:t>Engela</w:t>
      </w:r>
      <w:proofErr w:type="spellEnd"/>
      <w:r w:rsidRPr="0051003F">
        <w:rPr>
          <w:rFonts w:ascii="Times New Roman" w:hAnsi="Times New Roman" w:cs="Times New Roman"/>
          <w:szCs w:val="24"/>
          <w:lang w:val="pl-PL"/>
        </w:rPr>
        <w:t>, rozszerzone poza tradycyjne kategorie prawa karnego (</w:t>
      </w:r>
      <w:proofErr w:type="spellStart"/>
      <w:r w:rsidRPr="0051003F">
        <w:rPr>
          <w:rFonts w:ascii="Times New Roman" w:hAnsi="Times New Roman" w:cs="Times New Roman"/>
          <w:i/>
          <w:szCs w:val="24"/>
          <w:lang w:val="pl-PL"/>
        </w:rPr>
        <w:t>malum</w:t>
      </w:r>
      <w:proofErr w:type="spellEnd"/>
      <w:r w:rsidRPr="0051003F">
        <w:rPr>
          <w:rFonts w:ascii="Times New Roman" w:hAnsi="Times New Roman" w:cs="Times New Roman"/>
          <w:i/>
          <w:szCs w:val="24"/>
          <w:lang w:val="pl-PL"/>
        </w:rPr>
        <w:t xml:space="preserve"> in </w:t>
      </w:r>
      <w:proofErr w:type="spellStart"/>
      <w:r w:rsidRPr="0051003F">
        <w:rPr>
          <w:rFonts w:ascii="Times New Roman" w:hAnsi="Times New Roman" w:cs="Times New Roman"/>
          <w:i/>
          <w:szCs w:val="24"/>
          <w:lang w:val="pl-PL"/>
        </w:rPr>
        <w:t>se</w:t>
      </w:r>
      <w:proofErr w:type="spellEnd"/>
      <w:r w:rsidRPr="0051003F">
        <w:rPr>
          <w:rFonts w:ascii="Times New Roman" w:hAnsi="Times New Roman" w:cs="Times New Roman"/>
          <w:szCs w:val="24"/>
          <w:lang w:val="pl-PL"/>
        </w:rPr>
        <w:t>) w celu objęcia nim innych obszarów (</w:t>
      </w:r>
      <w:proofErr w:type="spellStart"/>
      <w:r w:rsidRPr="0051003F">
        <w:rPr>
          <w:rFonts w:ascii="Times New Roman" w:hAnsi="Times New Roman" w:cs="Times New Roman"/>
          <w:i/>
          <w:szCs w:val="24"/>
          <w:lang w:val="pl-PL"/>
        </w:rPr>
        <w:t>malum</w:t>
      </w:r>
      <w:proofErr w:type="spellEnd"/>
      <w:r w:rsidRPr="0051003F">
        <w:rPr>
          <w:rFonts w:ascii="Times New Roman" w:hAnsi="Times New Roman" w:cs="Times New Roman"/>
          <w:i/>
          <w:szCs w:val="24"/>
          <w:lang w:val="pl-PL"/>
        </w:rPr>
        <w:t xml:space="preserve"> </w:t>
      </w:r>
      <w:proofErr w:type="spellStart"/>
      <w:r w:rsidRPr="0051003F">
        <w:rPr>
          <w:rFonts w:ascii="Times New Roman" w:hAnsi="Times New Roman" w:cs="Times New Roman"/>
          <w:i/>
          <w:szCs w:val="24"/>
          <w:lang w:val="pl-PL"/>
        </w:rPr>
        <w:t>quia</w:t>
      </w:r>
      <w:proofErr w:type="spellEnd"/>
      <w:r w:rsidRPr="0051003F">
        <w:rPr>
          <w:rFonts w:ascii="Times New Roman" w:hAnsi="Times New Roman" w:cs="Times New Roman"/>
          <w:i/>
          <w:szCs w:val="24"/>
          <w:lang w:val="pl-PL"/>
        </w:rPr>
        <w:t xml:space="preserve"> </w:t>
      </w:r>
      <w:proofErr w:type="spellStart"/>
      <w:r w:rsidRPr="0051003F">
        <w:rPr>
          <w:rFonts w:ascii="Times New Roman" w:hAnsi="Times New Roman" w:cs="Times New Roman"/>
          <w:i/>
          <w:szCs w:val="24"/>
          <w:lang w:val="pl-PL"/>
        </w:rPr>
        <w:t>prohibitum</w:t>
      </w:r>
      <w:proofErr w:type="spellEnd"/>
      <w:r w:rsidRPr="0051003F">
        <w:rPr>
          <w:rFonts w:ascii="Times New Roman" w:hAnsi="Times New Roman" w:cs="Times New Roman"/>
          <w:szCs w:val="24"/>
          <w:lang w:val="pl-PL"/>
        </w:rPr>
        <w:t xml:space="preserve">), pojawiły się zarzuty karne o różnej wadze. Na przykład w przypadku kar podatkowych, które nie wchodzą w zasadniczy zakres prawa karnego, gwarancje udzielone na mocy art. 6 </w:t>
      </w:r>
      <w:r w:rsidR="00B22873">
        <w:rPr>
          <w:rFonts w:ascii="Times New Roman" w:hAnsi="Times New Roman" w:cs="Times New Roman"/>
          <w:szCs w:val="24"/>
          <w:lang w:val="pl-PL"/>
        </w:rPr>
        <w:t>K</w:t>
      </w:r>
      <w:r w:rsidR="00B22873" w:rsidRPr="0051003F">
        <w:rPr>
          <w:rFonts w:ascii="Times New Roman" w:hAnsi="Times New Roman" w:cs="Times New Roman"/>
          <w:szCs w:val="24"/>
          <w:lang w:val="pl-PL"/>
        </w:rPr>
        <w:t xml:space="preserve">onwencji </w:t>
      </w:r>
      <w:r w:rsidRPr="0051003F">
        <w:rPr>
          <w:rFonts w:ascii="Times New Roman" w:hAnsi="Times New Roman" w:cs="Times New Roman"/>
          <w:szCs w:val="24"/>
          <w:lang w:val="pl-PL"/>
        </w:rPr>
        <w:t>w myśl prawa karnego niekoniecznie muszą mieć zastosowanie z pełną surowością (wspomniany, wyżej cytowane</w:t>
      </w:r>
      <w:r w:rsidRPr="0051003F">
        <w:rPr>
          <w:rFonts w:ascii="Times New Roman" w:hAnsi="Times New Roman" w:cs="Times New Roman"/>
          <w:i/>
          <w:szCs w:val="24"/>
          <w:lang w:val="pl-PL"/>
        </w:rPr>
        <w:t xml:space="preserve"> </w:t>
      </w:r>
      <w:proofErr w:type="spellStart"/>
      <w:r w:rsidRPr="0051003F">
        <w:rPr>
          <w:rFonts w:ascii="Times New Roman" w:hAnsi="Times New Roman" w:cs="Times New Roman"/>
          <w:i/>
          <w:szCs w:val="24"/>
          <w:lang w:val="pl-PL"/>
        </w:rPr>
        <w:t>Jussila</w:t>
      </w:r>
      <w:proofErr w:type="spellEnd"/>
      <w:r w:rsidRPr="0051003F">
        <w:rPr>
          <w:rFonts w:ascii="Times New Roman" w:hAnsi="Times New Roman" w:cs="Times New Roman"/>
          <w:szCs w:val="24"/>
          <w:lang w:val="pl-PL"/>
        </w:rPr>
        <w:t>, para</w:t>
      </w:r>
      <w:r w:rsidR="00B22873">
        <w:rPr>
          <w:rFonts w:ascii="Times New Roman" w:hAnsi="Times New Roman" w:cs="Times New Roman"/>
          <w:szCs w:val="24"/>
          <w:lang w:val="pl-PL"/>
        </w:rPr>
        <w:t>graf</w:t>
      </w:r>
      <w:r w:rsidRPr="0051003F">
        <w:rPr>
          <w:rFonts w:ascii="Times New Roman" w:hAnsi="Times New Roman" w:cs="Times New Roman"/>
          <w:szCs w:val="24"/>
          <w:lang w:val="pl-PL"/>
        </w:rPr>
        <w:t xml:space="preserve"> 43). Należy to uwzględnić przy określaniu zakresu stosowania art. 4 Protokołu </w:t>
      </w:r>
      <w:r w:rsidR="00B22873">
        <w:rPr>
          <w:rFonts w:ascii="Times New Roman" w:hAnsi="Times New Roman" w:cs="Times New Roman"/>
          <w:szCs w:val="24"/>
          <w:lang w:val="pl-PL"/>
        </w:rPr>
        <w:t>nr</w:t>
      </w:r>
      <w:r w:rsidR="00B22873" w:rsidRPr="0051003F">
        <w:rPr>
          <w:rFonts w:ascii="Times New Roman" w:hAnsi="Times New Roman" w:cs="Times New Roman"/>
          <w:szCs w:val="24"/>
          <w:lang w:val="pl-PL"/>
        </w:rPr>
        <w:t xml:space="preserve"> </w:t>
      </w:r>
      <w:r w:rsidRPr="0051003F">
        <w:rPr>
          <w:rFonts w:ascii="Times New Roman" w:hAnsi="Times New Roman" w:cs="Times New Roman"/>
          <w:szCs w:val="24"/>
          <w:lang w:val="pl-PL"/>
        </w:rPr>
        <w:t>7</w:t>
      </w:r>
      <w:r w:rsidR="00B27E56" w:rsidRPr="0051003F">
        <w:rPr>
          <w:rFonts w:ascii="Times New Roman" w:hAnsi="Times New Roman" w:cs="Times New Roman"/>
          <w:szCs w:val="24"/>
          <w:lang w:val="pl-PL"/>
        </w:rPr>
        <w:t>.</w:t>
      </w:r>
    </w:p>
    <w:p w:rsidR="00BB1CA1" w:rsidRPr="0051003F" w:rsidRDefault="00BB1CA1" w:rsidP="00BB1CA1">
      <w:pPr>
        <w:pStyle w:val="ECHRPara"/>
        <w:rPr>
          <w:lang w:val="pl-PL"/>
        </w:rPr>
      </w:pPr>
      <w:r w:rsidRPr="0051003F">
        <w:rPr>
          <w:lang w:val="pl-PL"/>
        </w:rPr>
        <w:t xml:space="preserve">Przewidywalność kumulatywnego nakładania sankcji administracyjnych i karnych była kolejnym elementem, który należało uwzględnić w ocenie podwójnego systemu (odnieśli się do </w:t>
      </w:r>
      <w:proofErr w:type="spellStart"/>
      <w:r w:rsidRPr="0051003F">
        <w:rPr>
          <w:i/>
          <w:lang w:val="pl-PL"/>
        </w:rPr>
        <w:t>Maszni</w:t>
      </w:r>
      <w:proofErr w:type="spellEnd"/>
      <w:r w:rsidRPr="0051003F">
        <w:rPr>
          <w:i/>
          <w:lang w:val="pl-PL"/>
        </w:rPr>
        <w:t xml:space="preserve"> przeciwko Rumunii</w:t>
      </w:r>
      <w:r w:rsidRPr="0051003F">
        <w:rPr>
          <w:lang w:val="pl-PL"/>
        </w:rPr>
        <w:t>, nr 59892/00 z dnia 21 września 2006 r</w:t>
      </w:r>
      <w:r w:rsidR="00B22873">
        <w:rPr>
          <w:lang w:val="pl-PL"/>
        </w:rPr>
        <w:t>oku</w:t>
      </w:r>
      <w:r w:rsidRPr="0051003F">
        <w:rPr>
          <w:lang w:val="pl-PL"/>
        </w:rPr>
        <w:t>, para</w:t>
      </w:r>
      <w:r w:rsidR="00B22873">
        <w:rPr>
          <w:lang w:val="pl-PL"/>
        </w:rPr>
        <w:t>graf</w:t>
      </w:r>
      <w:r w:rsidRPr="0051003F">
        <w:rPr>
          <w:lang w:val="pl-PL"/>
        </w:rPr>
        <w:t xml:space="preserve"> 68).</w:t>
      </w:r>
    </w:p>
    <w:p w:rsidR="00B27E56" w:rsidRPr="0051003F" w:rsidRDefault="00BB1CA1" w:rsidP="00BB1CA1">
      <w:pPr>
        <w:pStyle w:val="ECHRPara"/>
        <w:rPr>
          <w:rFonts w:ascii="Times New Roman" w:hAnsi="Times New Roman" w:cs="Times New Roman"/>
          <w:szCs w:val="24"/>
          <w:lang w:val="pl-PL"/>
        </w:rPr>
      </w:pPr>
      <w:r w:rsidRPr="0051003F">
        <w:rPr>
          <w:rFonts w:ascii="Times New Roman" w:hAnsi="Times New Roman" w:cs="Times New Roman"/>
          <w:szCs w:val="24"/>
          <w:lang w:val="pl-PL"/>
        </w:rPr>
        <w:t xml:space="preserve">Zdaniem </w:t>
      </w:r>
      <w:r w:rsidR="00B22873">
        <w:rPr>
          <w:rFonts w:ascii="Times New Roman" w:hAnsi="Times New Roman" w:cs="Times New Roman"/>
          <w:szCs w:val="24"/>
          <w:lang w:val="pl-PL"/>
        </w:rPr>
        <w:t>R</w:t>
      </w:r>
      <w:r w:rsidR="00B22873" w:rsidRPr="0051003F">
        <w:rPr>
          <w:rFonts w:ascii="Times New Roman" w:hAnsi="Times New Roman" w:cs="Times New Roman"/>
          <w:szCs w:val="24"/>
          <w:lang w:val="pl-PL"/>
        </w:rPr>
        <w:t xml:space="preserve">ządu </w:t>
      </w:r>
      <w:r w:rsidRPr="0051003F">
        <w:rPr>
          <w:rFonts w:ascii="Times New Roman" w:hAnsi="Times New Roman" w:cs="Times New Roman"/>
          <w:szCs w:val="24"/>
          <w:lang w:val="pl-PL"/>
        </w:rPr>
        <w:t xml:space="preserve">szwajcarskiego </w:t>
      </w:r>
      <w:proofErr w:type="spellStart"/>
      <w:r w:rsidRPr="0051003F">
        <w:rPr>
          <w:rFonts w:ascii="Times New Roman" w:hAnsi="Times New Roman" w:cs="Times New Roman"/>
          <w:i/>
          <w:szCs w:val="24"/>
          <w:lang w:val="pl-PL"/>
        </w:rPr>
        <w:t>Zolotukhin</w:t>
      </w:r>
      <w:proofErr w:type="spellEnd"/>
      <w:r w:rsidRPr="0051003F">
        <w:rPr>
          <w:rFonts w:ascii="Times New Roman" w:hAnsi="Times New Roman" w:cs="Times New Roman"/>
          <w:szCs w:val="24"/>
          <w:lang w:val="pl-PL"/>
        </w:rPr>
        <w:t xml:space="preserve"> nie powinien być interpretowany ani rozwijany w taki sposób, aby obejmował pełen zakres systemów przewidujących zarówno sankcje administracyjne, jak i karne za przestępstwa, bez względu na fakt, że różne organy, posiadające różne kompetencje i dążące do różnych celów, mogą być wezwane do wydania decyzji w sprawie tego samego zestawu faktów. W każdym razie wniosek ten był przekonujący w przypadkach, w których istniał wystarczająco ścisły związek</w:t>
      </w:r>
      <w:r w:rsidR="003F6745">
        <w:rPr>
          <w:rFonts w:ascii="Times New Roman" w:hAnsi="Times New Roman" w:cs="Times New Roman"/>
          <w:szCs w:val="24"/>
          <w:lang w:val="pl-PL"/>
        </w:rPr>
        <w:t>,</w:t>
      </w:r>
      <w:r w:rsidRPr="0051003F">
        <w:rPr>
          <w:rFonts w:ascii="Times New Roman" w:hAnsi="Times New Roman" w:cs="Times New Roman"/>
          <w:szCs w:val="24"/>
          <w:lang w:val="pl-PL"/>
        </w:rPr>
        <w:t xml:space="preserve"> co do istoty </w:t>
      </w:r>
      <w:r w:rsidR="003F6745">
        <w:rPr>
          <w:rFonts w:ascii="Times New Roman" w:hAnsi="Times New Roman" w:cs="Times New Roman"/>
          <w:szCs w:val="24"/>
          <w:lang w:val="pl-PL"/>
        </w:rPr>
        <w:t>i czasu</w:t>
      </w:r>
      <w:r w:rsidRPr="0051003F">
        <w:rPr>
          <w:rFonts w:ascii="Times New Roman" w:hAnsi="Times New Roman" w:cs="Times New Roman"/>
          <w:szCs w:val="24"/>
          <w:lang w:val="pl-PL"/>
        </w:rPr>
        <w:t xml:space="preserve"> między postępowaniem karnym z jednej strony a postępowaniem administracyjnym z drugiej strony, zgodnie z wymogami Trybunału (dotyczyły one następujących przypadków, w których Trybunał upewnił się, że warunek ten został spełniony: </w:t>
      </w:r>
      <w:proofErr w:type="spellStart"/>
      <w:r w:rsidRPr="0051003F">
        <w:rPr>
          <w:rFonts w:ascii="Times New Roman" w:hAnsi="Times New Roman" w:cs="Times New Roman"/>
          <w:i/>
          <w:szCs w:val="24"/>
          <w:lang w:val="pl-PL"/>
        </w:rPr>
        <w:t>Boman</w:t>
      </w:r>
      <w:proofErr w:type="spellEnd"/>
      <w:r w:rsidRPr="0051003F">
        <w:rPr>
          <w:rFonts w:ascii="Times New Roman" w:hAnsi="Times New Roman" w:cs="Times New Roman"/>
          <w:i/>
          <w:szCs w:val="24"/>
          <w:lang w:val="pl-PL"/>
        </w:rPr>
        <w:t xml:space="preserve"> v. Finlandia</w:t>
      </w:r>
      <w:r w:rsidRPr="0051003F">
        <w:rPr>
          <w:rFonts w:ascii="Times New Roman" w:hAnsi="Times New Roman" w:cs="Times New Roman"/>
          <w:szCs w:val="24"/>
          <w:lang w:val="pl-PL"/>
        </w:rPr>
        <w:t>, nr 41604/11, para</w:t>
      </w:r>
      <w:r w:rsidR="003F6745">
        <w:rPr>
          <w:rFonts w:ascii="Times New Roman" w:hAnsi="Times New Roman" w:cs="Times New Roman"/>
          <w:szCs w:val="24"/>
          <w:lang w:val="pl-PL"/>
        </w:rPr>
        <w:t>graf</w:t>
      </w:r>
      <w:r w:rsidRPr="0051003F">
        <w:rPr>
          <w:rFonts w:ascii="Times New Roman" w:hAnsi="Times New Roman" w:cs="Times New Roman"/>
          <w:szCs w:val="24"/>
          <w:lang w:val="pl-PL"/>
        </w:rPr>
        <w:t xml:space="preserve"> 41 z dnia 17 lutego 2015 r</w:t>
      </w:r>
      <w:r w:rsidR="003F6745">
        <w:rPr>
          <w:rFonts w:ascii="Times New Roman" w:hAnsi="Times New Roman" w:cs="Times New Roman"/>
          <w:szCs w:val="24"/>
          <w:lang w:val="pl-PL"/>
        </w:rPr>
        <w:t>oku</w:t>
      </w:r>
      <w:r w:rsidRPr="0051003F">
        <w:rPr>
          <w:rFonts w:ascii="Times New Roman" w:hAnsi="Times New Roman" w:cs="Times New Roman"/>
          <w:szCs w:val="24"/>
          <w:lang w:val="pl-PL"/>
        </w:rPr>
        <w:t xml:space="preserve">, w odniesieniu do </w:t>
      </w:r>
      <w:r w:rsidRPr="0051003F">
        <w:rPr>
          <w:rFonts w:ascii="Times New Roman" w:hAnsi="Times New Roman" w:cs="Times New Roman"/>
          <w:i/>
          <w:szCs w:val="24"/>
          <w:lang w:val="pl-PL"/>
        </w:rPr>
        <w:t>R. T. v. Szwajcaria</w:t>
      </w:r>
      <w:r w:rsidRPr="0051003F">
        <w:rPr>
          <w:rFonts w:ascii="Times New Roman" w:hAnsi="Times New Roman" w:cs="Times New Roman"/>
          <w:szCs w:val="24"/>
          <w:lang w:val="pl-PL"/>
        </w:rPr>
        <w:t xml:space="preserve"> i </w:t>
      </w:r>
      <w:proofErr w:type="spellStart"/>
      <w:r w:rsidRPr="0051003F">
        <w:rPr>
          <w:rFonts w:ascii="Times New Roman" w:hAnsi="Times New Roman" w:cs="Times New Roman"/>
          <w:i/>
          <w:szCs w:val="24"/>
          <w:lang w:val="pl-PL"/>
        </w:rPr>
        <w:t>Nilsson</w:t>
      </w:r>
      <w:proofErr w:type="spellEnd"/>
      <w:r w:rsidRPr="0051003F">
        <w:rPr>
          <w:rFonts w:ascii="Times New Roman" w:hAnsi="Times New Roman" w:cs="Times New Roman"/>
          <w:i/>
          <w:szCs w:val="24"/>
          <w:lang w:val="pl-PL"/>
        </w:rPr>
        <w:t xml:space="preserve"> przeciwko Szwecji</w:t>
      </w:r>
      <w:r w:rsidRPr="0051003F">
        <w:rPr>
          <w:rFonts w:ascii="Times New Roman" w:hAnsi="Times New Roman" w:cs="Times New Roman"/>
          <w:szCs w:val="24"/>
          <w:lang w:val="pl-PL"/>
        </w:rPr>
        <w:t xml:space="preserve">, obie wymienione powyżej, a także </w:t>
      </w:r>
      <w:proofErr w:type="spellStart"/>
      <w:r w:rsidRPr="0051003F">
        <w:rPr>
          <w:rFonts w:ascii="Times New Roman" w:hAnsi="Times New Roman" w:cs="Times New Roman"/>
          <w:i/>
          <w:szCs w:val="24"/>
          <w:lang w:val="pl-PL"/>
        </w:rPr>
        <w:t>Maszni</w:t>
      </w:r>
      <w:proofErr w:type="spellEnd"/>
      <w:r w:rsidRPr="0051003F">
        <w:rPr>
          <w:rFonts w:ascii="Times New Roman" w:hAnsi="Times New Roman" w:cs="Times New Roman"/>
          <w:szCs w:val="24"/>
          <w:lang w:val="pl-PL"/>
        </w:rPr>
        <w:t>, cytowany powyżej). R</w:t>
      </w:r>
      <w:r w:rsidR="00B14866" w:rsidRPr="0051003F">
        <w:rPr>
          <w:rFonts w:ascii="Times New Roman" w:hAnsi="Times New Roman" w:cs="Times New Roman"/>
          <w:szCs w:val="24"/>
          <w:lang w:val="pl-PL"/>
        </w:rPr>
        <w:t>ząd szwajcarski zwrócił się do Wielkiej I</w:t>
      </w:r>
      <w:r w:rsidRPr="0051003F">
        <w:rPr>
          <w:rFonts w:ascii="Times New Roman" w:hAnsi="Times New Roman" w:cs="Times New Roman"/>
          <w:szCs w:val="24"/>
          <w:lang w:val="pl-PL"/>
        </w:rPr>
        <w:t xml:space="preserve">zby </w:t>
      </w:r>
      <w:r w:rsidRPr="0051003F">
        <w:rPr>
          <w:rFonts w:ascii="Times New Roman" w:hAnsi="Times New Roman" w:cs="Times New Roman"/>
          <w:szCs w:val="24"/>
          <w:lang w:val="pl-PL"/>
        </w:rPr>
        <w:lastRenderedPageBreak/>
        <w:t>o skorzystanie z okazji, jaką daje niniejsza sprawa, aby potwierdzić to podejście, które samo w sobie nie było zabronione w swoim orzecznictwie</w:t>
      </w:r>
      <w:r w:rsidR="00B27E56" w:rsidRPr="0051003F">
        <w:rPr>
          <w:rFonts w:ascii="Times New Roman" w:hAnsi="Times New Roman" w:cs="Times New Roman"/>
          <w:szCs w:val="24"/>
          <w:lang w:val="pl-PL"/>
        </w:rPr>
        <w:t>.</w:t>
      </w:r>
    </w:p>
    <w:p w:rsidR="00B17C3A" w:rsidRPr="0051003F" w:rsidRDefault="00B17C3A" w:rsidP="00A7252F">
      <w:pPr>
        <w:pStyle w:val="ECHRHeading3"/>
        <w:rPr>
          <w:lang w:val="pl-PL"/>
        </w:rPr>
      </w:pPr>
      <w:bookmarkStart w:id="132" w:name="_Toc466904323"/>
      <w:bookmarkStart w:id="133" w:name="_Toc466972342"/>
      <w:bookmarkStart w:id="134" w:name="_Toc466972853"/>
      <w:bookmarkStart w:id="135" w:name="_Toc466974269"/>
      <w:bookmarkStart w:id="136" w:name="_Toc473801904"/>
      <w:r w:rsidRPr="0051003F">
        <w:rPr>
          <w:lang w:val="pl-PL"/>
        </w:rPr>
        <w:t>4.  </w:t>
      </w:r>
      <w:bookmarkEnd w:id="132"/>
      <w:bookmarkEnd w:id="133"/>
      <w:bookmarkEnd w:id="134"/>
      <w:bookmarkEnd w:id="135"/>
      <w:bookmarkEnd w:id="136"/>
      <w:r w:rsidR="00BB1CA1" w:rsidRPr="0051003F">
        <w:rPr>
          <w:lang w:val="pl-PL"/>
        </w:rPr>
        <w:t>Ocena Trybunału</w:t>
      </w:r>
    </w:p>
    <w:p w:rsidR="00B14866" w:rsidRPr="0051003F" w:rsidRDefault="002639A4" w:rsidP="00B14866">
      <w:pPr>
        <w:pStyle w:val="ECHRPara"/>
        <w:rPr>
          <w:lang w:val="pl-PL"/>
        </w:rPr>
      </w:pPr>
      <w:r>
        <w:rPr>
          <w:lang w:val="pl-PL"/>
        </w:rPr>
        <w:t>101</w:t>
      </w:r>
      <w:r w:rsidR="006E5679" w:rsidRPr="0051003F">
        <w:rPr>
          <w:lang w:val="pl-PL"/>
        </w:rPr>
        <w:t>.  </w:t>
      </w:r>
      <w:r w:rsidR="00B14866" w:rsidRPr="0051003F">
        <w:rPr>
          <w:lang w:val="pl-PL"/>
        </w:rPr>
        <w:t xml:space="preserve">Trybunał, w pierwszej kolejności, dokona przeglądu swojego istniejącego orzecznictwa mającego znaczenie dla wykładni i stosowania zasady </w:t>
      </w:r>
      <w:proofErr w:type="spellStart"/>
      <w:r w:rsidR="00B14866" w:rsidRPr="0051003F">
        <w:rPr>
          <w:i/>
          <w:lang w:val="pl-PL"/>
        </w:rPr>
        <w:t>ne</w:t>
      </w:r>
      <w:proofErr w:type="spellEnd"/>
      <w:r w:rsidR="00B14866" w:rsidRPr="0051003F">
        <w:rPr>
          <w:i/>
          <w:lang w:val="pl-PL"/>
        </w:rPr>
        <w:t xml:space="preserve"> bis in </w:t>
      </w:r>
      <w:proofErr w:type="spellStart"/>
      <w:r w:rsidR="00B14866" w:rsidRPr="0051003F">
        <w:rPr>
          <w:i/>
          <w:lang w:val="pl-PL"/>
        </w:rPr>
        <w:t>idem</w:t>
      </w:r>
      <w:proofErr w:type="spellEnd"/>
      <w:r w:rsidR="00B14866" w:rsidRPr="0051003F">
        <w:rPr>
          <w:lang w:val="pl-PL"/>
        </w:rPr>
        <w:t xml:space="preserve"> ustanowionej w art. 4 Protokołu </w:t>
      </w:r>
      <w:r>
        <w:rPr>
          <w:lang w:val="pl-PL"/>
        </w:rPr>
        <w:t>nr</w:t>
      </w:r>
      <w:r w:rsidRPr="0051003F">
        <w:rPr>
          <w:lang w:val="pl-PL"/>
        </w:rPr>
        <w:t xml:space="preserve"> </w:t>
      </w:r>
      <w:r w:rsidR="00B14866" w:rsidRPr="0051003F">
        <w:rPr>
          <w:lang w:val="pl-PL"/>
        </w:rPr>
        <w:t xml:space="preserve">7 (podtytuły od „a)” do „c)” poniżej). W świetle tego przeglądu, będzie dążyć do wyciągnięcia takich wniosków, ustalenia takich zasad i dodania takich wyjaśnień, jakie są niezbędne do rozpatrzenia niniejszej sprawy (podtytuł „d)” poniżej). Wreszcie zastosuje zasadę </w:t>
      </w:r>
      <w:proofErr w:type="spellStart"/>
      <w:r w:rsidR="00B14866" w:rsidRPr="0051003F">
        <w:rPr>
          <w:i/>
          <w:lang w:val="pl-PL"/>
        </w:rPr>
        <w:t>ne</w:t>
      </w:r>
      <w:proofErr w:type="spellEnd"/>
      <w:r w:rsidR="00B14866" w:rsidRPr="0051003F">
        <w:rPr>
          <w:i/>
          <w:lang w:val="pl-PL"/>
        </w:rPr>
        <w:t xml:space="preserve"> bis in </w:t>
      </w:r>
      <w:proofErr w:type="spellStart"/>
      <w:r w:rsidR="00B14866" w:rsidRPr="0051003F">
        <w:rPr>
          <w:i/>
          <w:lang w:val="pl-PL"/>
        </w:rPr>
        <w:t>idem</w:t>
      </w:r>
      <w:proofErr w:type="spellEnd"/>
      <w:r w:rsidR="00B14866" w:rsidRPr="0051003F">
        <w:rPr>
          <w:lang w:val="pl-PL"/>
        </w:rPr>
        <w:t>, zgodnie z jej wykładnią, w odniesieniu do okoliczności faktycznych podniesionych przez skarżących (podtytuł „e)” poniżej)</w:t>
      </w:r>
    </w:p>
    <w:p w:rsidR="0078344E" w:rsidRPr="0051003F" w:rsidRDefault="00B14866" w:rsidP="00A7252F">
      <w:pPr>
        <w:pStyle w:val="ECHRHeading4"/>
        <w:rPr>
          <w:lang w:val="pl-PL"/>
        </w:rPr>
      </w:pPr>
      <w:bookmarkStart w:id="137" w:name="_Toc466904324"/>
      <w:bookmarkStart w:id="138" w:name="_Toc466972343"/>
      <w:bookmarkStart w:id="139" w:name="_Toc466972854"/>
      <w:bookmarkStart w:id="140" w:name="_Toc466974270"/>
      <w:bookmarkStart w:id="141" w:name="_Toc473801905"/>
      <w:r w:rsidRPr="0051003F">
        <w:rPr>
          <w:lang w:val="pl-PL"/>
        </w:rPr>
        <w:t xml:space="preserve"> </w:t>
      </w:r>
      <w:r w:rsidR="00B17C3A" w:rsidRPr="0051003F">
        <w:rPr>
          <w:lang w:val="pl-PL"/>
        </w:rPr>
        <w:t>(a)</w:t>
      </w:r>
      <w:r w:rsidR="0078344E" w:rsidRPr="0051003F">
        <w:rPr>
          <w:lang w:val="pl-PL"/>
        </w:rPr>
        <w:t>  </w:t>
      </w:r>
      <w:bookmarkEnd w:id="137"/>
      <w:bookmarkEnd w:id="138"/>
      <w:bookmarkEnd w:id="139"/>
      <w:bookmarkEnd w:id="140"/>
      <w:bookmarkEnd w:id="141"/>
      <w:r w:rsidR="009441D2" w:rsidRPr="0051003F">
        <w:rPr>
          <w:lang w:val="pl-PL"/>
        </w:rPr>
        <w:t xml:space="preserve">Ogólne kwestie </w:t>
      </w:r>
      <w:r w:rsidR="00CF2280">
        <w:rPr>
          <w:lang w:val="pl-PL"/>
        </w:rPr>
        <w:t>wykładni</w:t>
      </w:r>
    </w:p>
    <w:p w:rsidR="003E4761" w:rsidRPr="0051003F" w:rsidRDefault="00CF2280" w:rsidP="009441D2">
      <w:pPr>
        <w:pStyle w:val="ECHRPara"/>
        <w:rPr>
          <w:lang w:val="pl-PL"/>
        </w:rPr>
      </w:pPr>
      <w:r w:rsidRPr="0051003F">
        <w:rPr>
          <w:lang w:val="pl-PL"/>
        </w:rPr>
        <w:fldChar w:fldCharType="begin"/>
      </w:r>
      <w:r w:rsidRPr="0051003F">
        <w:rPr>
          <w:lang w:val="pl-PL"/>
        </w:rPr>
        <w:instrText xml:space="preserve"> SEQ level0 \*arabic </w:instrText>
      </w:r>
      <w:r w:rsidRPr="0051003F">
        <w:rPr>
          <w:lang w:val="pl-PL"/>
        </w:rPr>
        <w:fldChar w:fldCharType="separate"/>
      </w:r>
      <w:r w:rsidRPr="0051003F">
        <w:rPr>
          <w:noProof/>
          <w:lang w:val="pl-PL"/>
        </w:rPr>
        <w:t>1</w:t>
      </w:r>
      <w:r>
        <w:rPr>
          <w:noProof/>
          <w:lang w:val="pl-PL"/>
        </w:rPr>
        <w:t>02</w:t>
      </w:r>
      <w:r w:rsidRPr="0051003F">
        <w:rPr>
          <w:lang w:val="pl-PL"/>
        </w:rPr>
        <w:fldChar w:fldCharType="end"/>
      </w:r>
      <w:r w:rsidR="0078344E" w:rsidRPr="0051003F">
        <w:rPr>
          <w:lang w:val="pl-PL"/>
        </w:rPr>
        <w:t>.  </w:t>
      </w:r>
      <w:r w:rsidR="009441D2" w:rsidRPr="0051003F">
        <w:rPr>
          <w:lang w:val="pl-PL"/>
        </w:rPr>
        <w:t xml:space="preserve">Należy zauważyć, że w pismach procesowych stron i interwenientów stron trzecich nie było prawie żadnej różnicy zdań w odniesieniu do najważniejszego wkładu wyroku Wielkiej Izby w sprawie </w:t>
      </w:r>
      <w:proofErr w:type="spellStart"/>
      <w:r w:rsidR="009441D2" w:rsidRPr="0051003F">
        <w:rPr>
          <w:i/>
          <w:lang w:val="pl-PL"/>
        </w:rPr>
        <w:t>Zolotukhin</w:t>
      </w:r>
      <w:proofErr w:type="spellEnd"/>
      <w:r w:rsidR="009441D2" w:rsidRPr="0051003F">
        <w:rPr>
          <w:lang w:val="pl-PL"/>
        </w:rPr>
        <w:t xml:space="preserve"> (cytowany powyżej), który miał na celu wyjaśnienie kryteriów dotyczących oceny, czy przestępstwo, za które skarżący był sądzony lub ukarany w drugiej instancji, było tożsame (</w:t>
      </w:r>
      <w:proofErr w:type="spellStart"/>
      <w:r w:rsidR="009441D2" w:rsidRPr="0051003F">
        <w:rPr>
          <w:i/>
          <w:lang w:val="pl-PL"/>
        </w:rPr>
        <w:t>idem</w:t>
      </w:r>
      <w:proofErr w:type="spellEnd"/>
      <w:r w:rsidR="009441D2" w:rsidRPr="0051003F">
        <w:rPr>
          <w:lang w:val="pl-PL"/>
        </w:rPr>
        <w:t>) jak to, za które w pierwszym postępowaniu została wydana decyzja (zob. paragrafy 70-84 wyroku) Nie było również istotnej różnicy zdań co do kryteriów określonych w tym wyroku dla określenia, kiedy „ostateczna” decyzja została podjęta</w:t>
      </w:r>
      <w:r w:rsidR="00022DFD">
        <w:rPr>
          <w:lang w:val="pl-PL"/>
        </w:rPr>
        <w:t>.</w:t>
      </w:r>
    </w:p>
    <w:p w:rsidR="009441D2" w:rsidRPr="0051003F" w:rsidRDefault="00022DFD" w:rsidP="009441D2">
      <w:pPr>
        <w:pStyle w:val="ECHRPara"/>
        <w:rPr>
          <w:rFonts w:ascii="Times New Roman" w:hAnsi="Times New Roman" w:cs="Times New Roman"/>
          <w:szCs w:val="24"/>
          <w:lang w:val="pl-PL"/>
        </w:rPr>
      </w:pPr>
      <w:r>
        <w:rPr>
          <w:rFonts w:ascii="Times New Roman" w:hAnsi="Times New Roman" w:cs="Times New Roman"/>
          <w:szCs w:val="24"/>
          <w:lang w:val="pl-PL"/>
        </w:rPr>
        <w:t>103</w:t>
      </w:r>
      <w:r w:rsidR="0078344E" w:rsidRPr="0051003F">
        <w:rPr>
          <w:rFonts w:ascii="Times New Roman" w:hAnsi="Times New Roman" w:cs="Times New Roman"/>
          <w:szCs w:val="24"/>
          <w:lang w:val="pl-PL"/>
        </w:rPr>
        <w:t>.  </w:t>
      </w:r>
      <w:r w:rsidR="009441D2" w:rsidRPr="0051003F">
        <w:rPr>
          <w:rFonts w:ascii="Times New Roman" w:hAnsi="Times New Roman" w:cs="Times New Roman"/>
          <w:szCs w:val="24"/>
          <w:lang w:val="pl-PL"/>
        </w:rPr>
        <w:t>Natomiast w odniesieniu do metody, jaką należy zastosować w celu ustalenia, czy postępowanie w sprawie nałożenia kar podatkowych miało charakter „karny” w rozumieniu art. 4 Protokołu nr 7, wyrażono odmienne poglądy - może to mieć wpływ na stosowanie zawartego w tym przepisie zakazu podwójnego oskarżenia.</w:t>
      </w:r>
    </w:p>
    <w:p w:rsidR="009441D2" w:rsidRPr="0051003F" w:rsidRDefault="00022DFD" w:rsidP="009441D2">
      <w:pPr>
        <w:pStyle w:val="ECHRPara"/>
        <w:rPr>
          <w:rFonts w:ascii="Times New Roman" w:hAnsi="Times New Roman" w:cs="Times New Roman"/>
          <w:szCs w:val="24"/>
          <w:lang w:val="pl-PL"/>
        </w:rPr>
      </w:pPr>
      <w:r>
        <w:rPr>
          <w:rFonts w:ascii="Times New Roman" w:hAnsi="Times New Roman" w:cs="Times New Roman"/>
          <w:szCs w:val="24"/>
          <w:lang w:val="pl-PL"/>
        </w:rPr>
        <w:t>104</w:t>
      </w:r>
      <w:r w:rsidR="0078344E" w:rsidRPr="0051003F">
        <w:rPr>
          <w:rFonts w:ascii="Times New Roman" w:hAnsi="Times New Roman" w:cs="Times New Roman"/>
          <w:szCs w:val="24"/>
          <w:lang w:val="pl-PL"/>
        </w:rPr>
        <w:t>.  </w:t>
      </w:r>
      <w:r w:rsidR="009441D2" w:rsidRPr="0051003F">
        <w:rPr>
          <w:rFonts w:ascii="Times New Roman" w:hAnsi="Times New Roman" w:cs="Times New Roman"/>
          <w:szCs w:val="24"/>
          <w:lang w:val="pl-PL"/>
        </w:rPr>
        <w:t xml:space="preserve">Ponadto istniały sprzeczne podejścia (zwłaszcza między skarżącymi, z jednej strony, a pozwanym </w:t>
      </w:r>
      <w:r>
        <w:rPr>
          <w:rFonts w:ascii="Times New Roman" w:hAnsi="Times New Roman" w:cs="Times New Roman"/>
          <w:szCs w:val="24"/>
          <w:lang w:val="pl-PL"/>
        </w:rPr>
        <w:t>R</w:t>
      </w:r>
      <w:r w:rsidR="009441D2" w:rsidRPr="0051003F">
        <w:rPr>
          <w:rFonts w:ascii="Times New Roman" w:hAnsi="Times New Roman" w:cs="Times New Roman"/>
          <w:szCs w:val="24"/>
          <w:lang w:val="pl-PL"/>
        </w:rPr>
        <w:t xml:space="preserve">ządem i </w:t>
      </w:r>
      <w:r>
        <w:rPr>
          <w:rFonts w:ascii="Times New Roman" w:hAnsi="Times New Roman" w:cs="Times New Roman"/>
          <w:szCs w:val="24"/>
          <w:lang w:val="pl-PL"/>
        </w:rPr>
        <w:t>R</w:t>
      </w:r>
      <w:r w:rsidR="009441D2" w:rsidRPr="0051003F">
        <w:rPr>
          <w:rFonts w:ascii="Times New Roman" w:hAnsi="Times New Roman" w:cs="Times New Roman"/>
          <w:szCs w:val="24"/>
          <w:lang w:val="pl-PL"/>
        </w:rPr>
        <w:t>ządami dokonującymi interwencji, z drugiej strony) w odniesieniu do powielania postępowań, w szczególności w zakresie dopuszczalności równoległych lub podwójnych postępowań zgodnie z art. 4 Protokołu nr 7.</w:t>
      </w:r>
    </w:p>
    <w:p w:rsidR="0084180D" w:rsidRPr="0051003F" w:rsidRDefault="009441D2" w:rsidP="0084180D">
      <w:pPr>
        <w:pStyle w:val="ECHRHeading4"/>
        <w:rPr>
          <w:lang w:val="pl-PL"/>
        </w:rPr>
      </w:pPr>
      <w:bookmarkStart w:id="142" w:name="_Toc466904325"/>
      <w:bookmarkStart w:id="143" w:name="_Toc466972344"/>
      <w:bookmarkStart w:id="144" w:name="_Toc466972855"/>
      <w:bookmarkStart w:id="145" w:name="_Toc466974271"/>
      <w:bookmarkStart w:id="146" w:name="_Toc473801906"/>
      <w:r w:rsidRPr="0051003F">
        <w:rPr>
          <w:lang w:val="pl-PL"/>
        </w:rPr>
        <w:t xml:space="preserve"> </w:t>
      </w:r>
      <w:r w:rsidR="00B17C3A" w:rsidRPr="0051003F">
        <w:rPr>
          <w:lang w:val="pl-PL"/>
        </w:rPr>
        <w:t>(b)</w:t>
      </w:r>
      <w:r w:rsidR="0078344E" w:rsidRPr="0051003F">
        <w:rPr>
          <w:lang w:val="pl-PL"/>
        </w:rPr>
        <w:t>  </w:t>
      </w:r>
      <w:bookmarkEnd w:id="142"/>
      <w:bookmarkEnd w:id="143"/>
      <w:bookmarkEnd w:id="144"/>
      <w:bookmarkEnd w:id="145"/>
      <w:bookmarkEnd w:id="146"/>
      <w:r w:rsidR="0084180D" w:rsidRPr="0051003F">
        <w:rPr>
          <w:lang w:val="pl-PL"/>
        </w:rPr>
        <w:t>Istotne kryteria dla ustalenia, czy pierwsze postępowanie jest „karne”: różne podejścia w orzecznictwie</w:t>
      </w:r>
    </w:p>
    <w:p w:rsidR="0084180D" w:rsidRPr="0051003F" w:rsidRDefault="002A36C1" w:rsidP="0084180D">
      <w:pPr>
        <w:pStyle w:val="ECHRPara"/>
        <w:rPr>
          <w:lang w:val="pl-PL"/>
        </w:rPr>
      </w:pPr>
      <w:r>
        <w:rPr>
          <w:lang w:val="pl-PL"/>
        </w:rPr>
        <w:t>105</w:t>
      </w:r>
      <w:r w:rsidR="0078344E" w:rsidRPr="0051003F">
        <w:rPr>
          <w:lang w:val="pl-PL"/>
        </w:rPr>
        <w:t>.  </w:t>
      </w:r>
      <w:r w:rsidR="0084180D" w:rsidRPr="0051003F">
        <w:rPr>
          <w:lang w:val="pl-PL"/>
        </w:rPr>
        <w:t xml:space="preserve">W sprawie </w:t>
      </w:r>
      <w:proofErr w:type="spellStart"/>
      <w:r w:rsidR="0084180D" w:rsidRPr="0051003F">
        <w:rPr>
          <w:i/>
          <w:lang w:val="pl-PL"/>
        </w:rPr>
        <w:t>Zołotukhin</w:t>
      </w:r>
      <w:proofErr w:type="spellEnd"/>
      <w:r w:rsidR="0084180D" w:rsidRPr="0051003F">
        <w:rPr>
          <w:lang w:val="pl-PL"/>
        </w:rPr>
        <w:t xml:space="preserve"> (cytowany powyżej) w celu ustalenia, czy dane postępowanie można uznać za „karne” w kontekście art. 4 Protokołu </w:t>
      </w:r>
      <w:r>
        <w:rPr>
          <w:lang w:val="pl-PL"/>
        </w:rPr>
        <w:t>nr</w:t>
      </w:r>
      <w:r w:rsidRPr="0051003F">
        <w:rPr>
          <w:lang w:val="pl-PL"/>
        </w:rPr>
        <w:t xml:space="preserve"> </w:t>
      </w:r>
      <w:r w:rsidR="0084180D" w:rsidRPr="0051003F">
        <w:rPr>
          <w:lang w:val="pl-PL"/>
        </w:rPr>
        <w:t xml:space="preserve">7, Trybunał zastosował trzy kryteria </w:t>
      </w:r>
      <w:proofErr w:type="spellStart"/>
      <w:r w:rsidR="0084180D" w:rsidRPr="0051003F">
        <w:rPr>
          <w:i/>
          <w:lang w:val="pl-PL"/>
        </w:rPr>
        <w:t>Engela</w:t>
      </w:r>
      <w:proofErr w:type="spellEnd"/>
      <w:r w:rsidR="0084180D" w:rsidRPr="0051003F">
        <w:rPr>
          <w:lang w:val="pl-PL"/>
        </w:rPr>
        <w:t xml:space="preserve"> opracowane wcześniej w rozumieniu art. 6 Konwencji: 1</w:t>
      </w:r>
      <w:r>
        <w:rPr>
          <w:lang w:val="pl-PL"/>
        </w:rPr>
        <w:t>),,</w:t>
      </w:r>
      <w:r w:rsidR="0084180D" w:rsidRPr="0051003F">
        <w:rPr>
          <w:lang w:val="pl-PL"/>
        </w:rPr>
        <w:t xml:space="preserve">kwalifikacja prawna przestępstwa według prawa </w:t>
      </w:r>
      <w:r w:rsidR="004D5C23" w:rsidRPr="0051003F">
        <w:rPr>
          <w:lang w:val="pl-PL"/>
        </w:rPr>
        <w:t>krajowego</w:t>
      </w:r>
      <w:r w:rsidR="0084180D" w:rsidRPr="0051003F">
        <w:rPr>
          <w:lang w:val="pl-PL"/>
        </w:rPr>
        <w:t>”, 2)</w:t>
      </w:r>
      <w:r>
        <w:rPr>
          <w:lang w:val="pl-PL"/>
        </w:rPr>
        <w:t>,,</w:t>
      </w:r>
      <w:r w:rsidR="0084180D" w:rsidRPr="0051003F">
        <w:rPr>
          <w:lang w:val="pl-PL"/>
        </w:rPr>
        <w:t xml:space="preserve">sam charakter przestępstwa” oraz 3) stopień surowości kary, jaką może ponieść dana osoba - kryterium drugie i trzecie </w:t>
      </w:r>
      <w:r w:rsidR="0084180D" w:rsidRPr="0051003F">
        <w:rPr>
          <w:lang w:val="pl-PL"/>
        </w:rPr>
        <w:lastRenderedPageBreak/>
        <w:t xml:space="preserve">jest alternatywnym, niekoniecznie łącznym, podczas gdy nie wykluczono podejścia łącznego. Orzeczenie w sprawie </w:t>
      </w:r>
      <w:proofErr w:type="spellStart"/>
      <w:r w:rsidR="0084180D" w:rsidRPr="0051003F">
        <w:rPr>
          <w:i/>
          <w:lang w:val="pl-PL"/>
        </w:rPr>
        <w:t>Zolotukhin</w:t>
      </w:r>
      <w:proofErr w:type="spellEnd"/>
      <w:r w:rsidR="0084180D" w:rsidRPr="0051003F">
        <w:rPr>
          <w:lang w:val="pl-PL"/>
        </w:rPr>
        <w:t xml:space="preserve"> nie odzwierciedla, jak można było tego dokonać, linii rozumowania przyjętej w szeregu wcześniejszych spraw (zob. na przykład przytoczony powyżej wyrok w sprawie </w:t>
      </w:r>
      <w:proofErr w:type="spellStart"/>
      <w:r w:rsidR="0084180D" w:rsidRPr="0051003F">
        <w:rPr>
          <w:i/>
          <w:lang w:val="pl-PL"/>
        </w:rPr>
        <w:t>Storbråten</w:t>
      </w:r>
      <w:proofErr w:type="spellEnd"/>
      <w:r w:rsidR="0084180D" w:rsidRPr="0051003F">
        <w:rPr>
          <w:lang w:val="pl-PL"/>
        </w:rPr>
        <w:t>), obejmującej niewyczerpujący („taki jak”) i szerszy zakres czynników, bez wskazania ich wagi lub czy były one alternatywne czy łączne. Rządy Francji i Norwegii zwracają się obecnie do Trybunału o skorzystanie z możliwości, jaką daje niniejszy wyrok, w celu potwierdzenia, że zastosowanie powinien mieć ten drugi, szerszy test (patrz: paragrafy 66-68 i 90-91).</w:t>
      </w:r>
    </w:p>
    <w:p w:rsidR="006A368B" w:rsidRPr="0051003F" w:rsidRDefault="00C57D83" w:rsidP="006A368B">
      <w:pPr>
        <w:pStyle w:val="ECHRPara"/>
        <w:rPr>
          <w:lang w:val="pl-PL"/>
        </w:rPr>
      </w:pPr>
      <w:r>
        <w:rPr>
          <w:lang w:val="pl-PL"/>
        </w:rPr>
        <w:t>106</w:t>
      </w:r>
      <w:r w:rsidR="0078344E" w:rsidRPr="0051003F">
        <w:rPr>
          <w:lang w:val="pl-PL"/>
        </w:rPr>
        <w:t>.  </w:t>
      </w:r>
      <w:r w:rsidR="006A368B" w:rsidRPr="0051003F">
        <w:rPr>
          <w:lang w:val="pl-PL"/>
        </w:rPr>
        <w:t xml:space="preserve">Istnieje wiele argumentów idących w kierunku takiego podejścia interpretacyjnego, w szczególności, że art. 4 protokołu nr 7 był najwyraźniej zamierzony przez jego autorów w ścisłym tego słowa znaczeniu i że - w przeciwieństwie do art. 6, ale podobnie jak art. 7 - jest to prawo niezbywalne w rozumieniu art. 15. Podczas gdy art. 6 ogranicza się do ucieleśnienia gwarancji sprawiedliwego przesłuchania w postępowaniu karnym, zakaz podwójnego zagrożenia, o którym mowa w art. 4 </w:t>
      </w:r>
      <w:r>
        <w:rPr>
          <w:lang w:val="pl-PL"/>
        </w:rPr>
        <w:t>P</w:t>
      </w:r>
      <w:r w:rsidR="006A368B" w:rsidRPr="0051003F">
        <w:rPr>
          <w:lang w:val="pl-PL"/>
        </w:rPr>
        <w:t>rotokołu nr 7, ma pewne - potencjalnie szerokie - konsekwencje dla sposobu stosowania prawa krajowego dotyczącego sankcji karnych i administracyjnych w szerokim zakresie działalności. Ten ostatni artykuł zawiera bardziej szczegółową ocenę materialnego prawa karnego, ponieważ istnieje potrzeba ustalenia, czy dane przestępstwa dotyczyły tego samego czynu (</w:t>
      </w:r>
      <w:proofErr w:type="spellStart"/>
      <w:r w:rsidR="006A368B" w:rsidRPr="0051003F">
        <w:rPr>
          <w:lang w:val="pl-PL"/>
        </w:rPr>
        <w:t>i</w:t>
      </w:r>
      <w:r w:rsidR="006A368B" w:rsidRPr="0051003F">
        <w:rPr>
          <w:i/>
          <w:lang w:val="pl-PL"/>
        </w:rPr>
        <w:t>dem</w:t>
      </w:r>
      <w:proofErr w:type="spellEnd"/>
      <w:r w:rsidR="006A368B" w:rsidRPr="0051003F">
        <w:rPr>
          <w:lang w:val="pl-PL"/>
        </w:rPr>
        <w:t xml:space="preserve">). Różnice te, brak konsensusu między systemami krajowymi Umawiających się Państw oraz zmienna skłonność państw do związania się protokołem, a także szeroki margines oceny, z jakiego mogą korzystać państwa przy podejmowaniu decyzji dotyczących ich systemów karnych i ogólnej polityki (zobacz </w:t>
      </w:r>
      <w:proofErr w:type="spellStart"/>
      <w:r w:rsidR="006A368B" w:rsidRPr="0051003F">
        <w:rPr>
          <w:lang w:val="pl-PL"/>
        </w:rPr>
        <w:t>Nykänen</w:t>
      </w:r>
      <w:proofErr w:type="spellEnd"/>
      <w:r w:rsidR="006A368B" w:rsidRPr="0051003F">
        <w:rPr>
          <w:lang w:val="pl-PL"/>
        </w:rPr>
        <w:t xml:space="preserve">, cytowany powyżej, § 48; oraz, </w:t>
      </w:r>
      <w:r w:rsidR="006A368B" w:rsidRPr="0051003F">
        <w:rPr>
          <w:i/>
          <w:lang w:val="pl-PL"/>
        </w:rPr>
        <w:t>mutatis mutandis</w:t>
      </w:r>
      <w:r w:rsidR="006A368B" w:rsidRPr="0051003F">
        <w:rPr>
          <w:lang w:val="pl-PL"/>
        </w:rPr>
        <w:t xml:space="preserve">, </w:t>
      </w:r>
      <w:proofErr w:type="spellStart"/>
      <w:r w:rsidR="006A368B" w:rsidRPr="0051003F">
        <w:rPr>
          <w:i/>
          <w:lang w:val="pl-PL"/>
        </w:rPr>
        <w:t>Achour</w:t>
      </w:r>
      <w:proofErr w:type="spellEnd"/>
      <w:r w:rsidR="006A368B" w:rsidRPr="0051003F">
        <w:rPr>
          <w:i/>
          <w:lang w:val="pl-PL"/>
        </w:rPr>
        <w:t xml:space="preserve"> v. Francji</w:t>
      </w:r>
      <w:r w:rsidR="006A368B" w:rsidRPr="0051003F">
        <w:rPr>
          <w:lang w:val="pl-PL"/>
        </w:rPr>
        <w:t xml:space="preserve">[WI], nr 67335/01, § 44, </w:t>
      </w:r>
      <w:proofErr w:type="spellStart"/>
      <w:r w:rsidR="006A368B" w:rsidRPr="0051003F">
        <w:rPr>
          <w:lang w:val="pl-PL"/>
        </w:rPr>
        <w:t>ETPCz</w:t>
      </w:r>
      <w:proofErr w:type="spellEnd"/>
      <w:r w:rsidR="006A368B" w:rsidRPr="0051003F">
        <w:rPr>
          <w:lang w:val="pl-PL"/>
        </w:rPr>
        <w:t xml:space="preserve"> 2006, IV] jest w stanie uzasadnić szerszy zakres kryteriów stosowania, w szczególności z silniejszym elementem prawa krajowego, użytym do art. 7 i wcześniej stosowanym (przed </w:t>
      </w:r>
      <w:proofErr w:type="spellStart"/>
      <w:r w:rsidR="006A368B" w:rsidRPr="0051003F">
        <w:rPr>
          <w:i/>
          <w:lang w:val="pl-PL"/>
        </w:rPr>
        <w:t>Zolotukhinem</w:t>
      </w:r>
      <w:proofErr w:type="spellEnd"/>
      <w:r w:rsidR="006A368B" w:rsidRPr="0051003F">
        <w:rPr>
          <w:lang w:val="pl-PL"/>
        </w:rPr>
        <w:t xml:space="preserve">), w odniesieniu do art. 4 </w:t>
      </w:r>
      <w:r w:rsidR="00C25C70">
        <w:rPr>
          <w:lang w:val="pl-PL"/>
        </w:rPr>
        <w:t>P</w:t>
      </w:r>
      <w:r w:rsidR="006A368B" w:rsidRPr="0051003F">
        <w:rPr>
          <w:lang w:val="pl-PL"/>
        </w:rPr>
        <w:t>rotokołu nr 7, a tym samym węższym zakresie stosowania, niż ma to miejsce na mocy art. 6.</w:t>
      </w:r>
    </w:p>
    <w:p w:rsidR="006A368B" w:rsidRPr="0051003F" w:rsidRDefault="00C25C70" w:rsidP="006A368B">
      <w:pPr>
        <w:pStyle w:val="ECHRPara"/>
        <w:rPr>
          <w:lang w:val="pl-PL"/>
        </w:rPr>
      </w:pPr>
      <w:r>
        <w:rPr>
          <w:lang w:val="pl-PL"/>
        </w:rPr>
        <w:t>107</w:t>
      </w:r>
      <w:r w:rsidR="0078344E" w:rsidRPr="0051003F">
        <w:rPr>
          <w:lang w:val="pl-PL"/>
        </w:rPr>
        <w:t>.  </w:t>
      </w:r>
      <w:r w:rsidR="006A368B" w:rsidRPr="0051003F">
        <w:rPr>
          <w:lang w:val="pl-PL"/>
        </w:rPr>
        <w:t xml:space="preserve">O ile jednak prawdą jest, jak już zostało podkreślone, że wyrok w sprawie </w:t>
      </w:r>
      <w:proofErr w:type="spellStart"/>
      <w:r w:rsidR="006A368B" w:rsidRPr="00486852">
        <w:rPr>
          <w:i/>
          <w:lang w:val="pl-PL"/>
        </w:rPr>
        <w:t>Zolotukhin</w:t>
      </w:r>
      <w:proofErr w:type="spellEnd"/>
      <w:r w:rsidR="006A368B" w:rsidRPr="0051003F">
        <w:rPr>
          <w:lang w:val="pl-PL"/>
        </w:rPr>
        <w:t xml:space="preserve"> nie był w tej sprawie jednoznaczny, o tyle należy uznać, że w wyroku tym Trybunał dokonał świadomego wyboru kryteriów </w:t>
      </w:r>
      <w:proofErr w:type="spellStart"/>
      <w:r w:rsidR="006A368B" w:rsidRPr="0051003F">
        <w:rPr>
          <w:i/>
          <w:lang w:val="pl-PL"/>
        </w:rPr>
        <w:t>Engela</w:t>
      </w:r>
      <w:proofErr w:type="spellEnd"/>
      <w:r w:rsidR="006A368B" w:rsidRPr="0051003F">
        <w:rPr>
          <w:lang w:val="pl-PL"/>
        </w:rPr>
        <w:t xml:space="preserve"> jako wzorcowego kryterium oceny, czy dane postępowanie jest „karne” w rozumieniu art. 4 </w:t>
      </w:r>
      <w:r w:rsidR="002C4044">
        <w:rPr>
          <w:lang w:val="pl-PL"/>
        </w:rPr>
        <w:t>P</w:t>
      </w:r>
      <w:r w:rsidR="006A368B" w:rsidRPr="0051003F">
        <w:rPr>
          <w:lang w:val="pl-PL"/>
        </w:rPr>
        <w:t xml:space="preserve">rotokołu nr 7. Nie wydaje się uzasadnione odstąpienie przez Trybunał od tej analizy w niniejszej sprawie, ponieważ istnieją poważne przesłanki przemawiające za takim wyborem. Zasada </w:t>
      </w:r>
      <w:proofErr w:type="spellStart"/>
      <w:r w:rsidR="006A368B" w:rsidRPr="00486852">
        <w:rPr>
          <w:i/>
          <w:lang w:val="pl-PL"/>
        </w:rPr>
        <w:t>ne</w:t>
      </w:r>
      <w:proofErr w:type="spellEnd"/>
      <w:r w:rsidR="006A368B" w:rsidRPr="00486852">
        <w:rPr>
          <w:i/>
          <w:lang w:val="pl-PL"/>
        </w:rPr>
        <w:t xml:space="preserve"> bis in </w:t>
      </w:r>
      <w:proofErr w:type="spellStart"/>
      <w:r w:rsidR="006A368B" w:rsidRPr="00486852">
        <w:rPr>
          <w:i/>
          <w:lang w:val="pl-PL"/>
        </w:rPr>
        <w:t>idem</w:t>
      </w:r>
      <w:proofErr w:type="spellEnd"/>
      <w:r w:rsidR="006A368B" w:rsidRPr="0051003F">
        <w:rPr>
          <w:lang w:val="pl-PL"/>
        </w:rPr>
        <w:t xml:space="preserve"> dotyczy głównie rzetelnego procesu sądowego, który jest przedmiotem art. 6 i w mniejszym stopniu dotyczy istoty prawa karnego niż art. 7. Trybunał uważa za właściwsze, w celu zapewnienia spójności wykładni Konwencji jako całości, aby stosowanie tej zasady było oparte na tych samych, bardziej precyzyjnych kryteriach jak w przypadku </w:t>
      </w:r>
      <w:proofErr w:type="spellStart"/>
      <w:r w:rsidR="006A368B" w:rsidRPr="0051003F">
        <w:rPr>
          <w:i/>
          <w:lang w:val="pl-PL"/>
        </w:rPr>
        <w:t>Enge</w:t>
      </w:r>
      <w:r w:rsidR="006A368B" w:rsidRPr="0051003F">
        <w:rPr>
          <w:lang w:val="pl-PL"/>
        </w:rPr>
        <w:t>l</w:t>
      </w:r>
      <w:proofErr w:type="spellEnd"/>
      <w:r w:rsidR="006A368B" w:rsidRPr="0051003F">
        <w:rPr>
          <w:lang w:val="pl-PL"/>
        </w:rPr>
        <w:t xml:space="preserve">. W </w:t>
      </w:r>
      <w:r w:rsidR="006A368B" w:rsidRPr="0051003F">
        <w:rPr>
          <w:lang w:val="pl-PL"/>
        </w:rPr>
        <w:lastRenderedPageBreak/>
        <w:t>związku z tym, jak już wspomniano powyżej, po stwierdzeniu, że zasada</w:t>
      </w:r>
      <w:r w:rsidR="006A368B" w:rsidRPr="0051003F">
        <w:rPr>
          <w:i/>
          <w:lang w:val="pl-PL"/>
        </w:rPr>
        <w:t xml:space="preserve"> </w:t>
      </w:r>
      <w:proofErr w:type="spellStart"/>
      <w:r w:rsidR="006A368B" w:rsidRPr="0051003F">
        <w:rPr>
          <w:i/>
          <w:lang w:val="pl-PL"/>
        </w:rPr>
        <w:t>ne</w:t>
      </w:r>
      <w:proofErr w:type="spellEnd"/>
      <w:r w:rsidR="006A368B" w:rsidRPr="0051003F">
        <w:rPr>
          <w:i/>
          <w:lang w:val="pl-PL"/>
        </w:rPr>
        <w:t xml:space="preserve"> bis in </w:t>
      </w:r>
      <w:proofErr w:type="spellStart"/>
      <w:r w:rsidR="006A368B" w:rsidRPr="0051003F">
        <w:rPr>
          <w:i/>
          <w:lang w:val="pl-PL"/>
        </w:rPr>
        <w:t>idem</w:t>
      </w:r>
      <w:proofErr w:type="spellEnd"/>
      <w:r w:rsidR="006A368B" w:rsidRPr="0051003F">
        <w:rPr>
          <w:lang w:val="pl-PL"/>
        </w:rPr>
        <w:t xml:space="preserve"> ma zastosowanie, istnieje oczywista potrzeba wypracowania wyważonego podejścia w odniesieniu do sposobu stosowania tej zasady w postępowaniach łączących sankcje administracyjne i karne.</w:t>
      </w:r>
    </w:p>
    <w:p w:rsidR="0078344E" w:rsidRPr="0051003F" w:rsidRDefault="0078344E" w:rsidP="006A368B">
      <w:pPr>
        <w:pStyle w:val="ECHRPara"/>
        <w:ind w:firstLine="0"/>
        <w:rPr>
          <w:lang w:val="pl-PL"/>
        </w:rPr>
      </w:pPr>
    </w:p>
    <w:p w:rsidR="0078344E" w:rsidRPr="0051003F" w:rsidRDefault="00B2154A" w:rsidP="00A7252F">
      <w:pPr>
        <w:pStyle w:val="ECHRHeading4"/>
        <w:rPr>
          <w:lang w:val="pl-PL"/>
        </w:rPr>
      </w:pPr>
      <w:bookmarkStart w:id="147" w:name="_Toc466904326"/>
      <w:bookmarkStart w:id="148" w:name="_Toc466972345"/>
      <w:bookmarkStart w:id="149" w:name="_Toc466972856"/>
      <w:bookmarkStart w:id="150" w:name="_Toc466974272"/>
      <w:bookmarkStart w:id="151" w:name="_Toc473801907"/>
      <w:r w:rsidRPr="0051003F">
        <w:rPr>
          <w:lang w:val="pl-PL"/>
        </w:rPr>
        <w:t>(c)</w:t>
      </w:r>
      <w:r w:rsidR="0078344E" w:rsidRPr="0051003F">
        <w:rPr>
          <w:lang w:val="pl-PL"/>
        </w:rPr>
        <w:t>  </w:t>
      </w:r>
      <w:bookmarkEnd w:id="147"/>
      <w:bookmarkEnd w:id="148"/>
      <w:bookmarkEnd w:id="149"/>
      <w:bookmarkEnd w:id="150"/>
      <w:bookmarkEnd w:id="151"/>
      <w:r w:rsidR="006A368B" w:rsidRPr="0051003F">
        <w:rPr>
          <w:lang w:val="pl-PL"/>
        </w:rPr>
        <w:t>Orzecznictwo w sprawie podwójnych postępowań</w:t>
      </w:r>
      <w:r w:rsidR="002C4044">
        <w:rPr>
          <w:lang w:val="pl-PL"/>
        </w:rPr>
        <w:t>.</w:t>
      </w:r>
    </w:p>
    <w:p w:rsidR="0078344E" w:rsidRPr="0051003F" w:rsidRDefault="0078344E" w:rsidP="00A7252F">
      <w:pPr>
        <w:pStyle w:val="ECHRHeading5"/>
        <w:rPr>
          <w:lang w:val="pl-PL"/>
        </w:rPr>
      </w:pPr>
      <w:bookmarkStart w:id="152" w:name="_Toc466904327"/>
      <w:bookmarkStart w:id="153" w:name="_Toc466972346"/>
      <w:bookmarkStart w:id="154" w:name="_Toc466972857"/>
      <w:bookmarkStart w:id="155" w:name="_Toc466974273"/>
      <w:bookmarkStart w:id="156" w:name="_Toc473801908"/>
      <w:r w:rsidRPr="0051003F">
        <w:rPr>
          <w:lang w:val="pl-PL"/>
        </w:rPr>
        <w:t>(</w:t>
      </w:r>
      <w:r w:rsidR="00B17C3A" w:rsidRPr="0051003F">
        <w:rPr>
          <w:lang w:val="pl-PL"/>
        </w:rPr>
        <w:t>i</w:t>
      </w:r>
      <w:r w:rsidRPr="0051003F">
        <w:rPr>
          <w:lang w:val="pl-PL"/>
        </w:rPr>
        <w:t>)  </w:t>
      </w:r>
      <w:bookmarkEnd w:id="152"/>
      <w:bookmarkEnd w:id="153"/>
      <w:bookmarkEnd w:id="154"/>
      <w:bookmarkEnd w:id="155"/>
      <w:bookmarkEnd w:id="156"/>
      <w:r w:rsidR="006A368B" w:rsidRPr="0051003F">
        <w:rPr>
          <w:lang w:val="pl-PL"/>
        </w:rPr>
        <w:t xml:space="preserve">Co </w:t>
      </w:r>
      <w:r w:rsidR="002C4044">
        <w:rPr>
          <w:lang w:val="pl-PL"/>
        </w:rPr>
        <w:t>wniósł</w:t>
      </w:r>
      <w:r w:rsidR="002C4044" w:rsidRPr="0051003F">
        <w:rPr>
          <w:lang w:val="pl-PL"/>
        </w:rPr>
        <w:t xml:space="preserve"> </w:t>
      </w:r>
      <w:r w:rsidR="006A368B" w:rsidRPr="0051003F">
        <w:rPr>
          <w:lang w:val="pl-PL"/>
        </w:rPr>
        <w:t xml:space="preserve">wyrok w sprawie </w:t>
      </w:r>
      <w:proofErr w:type="spellStart"/>
      <w:r w:rsidR="006A368B" w:rsidRPr="0051003F">
        <w:rPr>
          <w:rFonts w:cs="Times New Roman"/>
          <w:iCs/>
          <w:lang w:val="pl-PL"/>
        </w:rPr>
        <w:t>Zolotukhin</w:t>
      </w:r>
      <w:proofErr w:type="spellEnd"/>
      <w:r w:rsidR="006A368B" w:rsidRPr="0051003F">
        <w:rPr>
          <w:rFonts w:cs="Times New Roman"/>
          <w:iCs/>
          <w:lang w:val="pl-PL"/>
        </w:rPr>
        <w:t>?</w:t>
      </w:r>
    </w:p>
    <w:p w:rsidR="006A368B" w:rsidRPr="0051003F" w:rsidRDefault="002C4044" w:rsidP="006A368B">
      <w:pPr>
        <w:pStyle w:val="ECHRPara"/>
        <w:rPr>
          <w:rFonts w:cs="Times New Roman"/>
          <w:lang w:val="pl-PL"/>
        </w:rPr>
      </w:pPr>
      <w:r>
        <w:rPr>
          <w:rFonts w:cs="Times New Roman"/>
          <w:iCs/>
          <w:lang w:val="pl-PL"/>
        </w:rPr>
        <w:t>108</w:t>
      </w:r>
      <w:r w:rsidR="0078344E" w:rsidRPr="0051003F">
        <w:rPr>
          <w:rFonts w:cs="Times New Roman"/>
          <w:iCs/>
          <w:lang w:val="pl-PL"/>
        </w:rPr>
        <w:t>.  </w:t>
      </w:r>
      <w:proofErr w:type="spellStart"/>
      <w:r w:rsidR="0078344E" w:rsidRPr="0051003F">
        <w:rPr>
          <w:rFonts w:cs="Times New Roman"/>
          <w:i/>
          <w:iCs/>
          <w:lang w:val="pl-PL"/>
        </w:rPr>
        <w:t>Zolotukhin</w:t>
      </w:r>
      <w:proofErr w:type="spellEnd"/>
      <w:r w:rsidR="006A368B" w:rsidRPr="0051003F">
        <w:rPr>
          <w:rFonts w:cs="Times New Roman"/>
          <w:lang w:val="pl-PL"/>
        </w:rPr>
        <w:t xml:space="preserve"> dotyczył dwóch postępowań, zarówno </w:t>
      </w:r>
      <w:r w:rsidR="006B14AF">
        <w:rPr>
          <w:rFonts w:cs="Times New Roman"/>
          <w:lang w:val="pl-PL"/>
        </w:rPr>
        <w:t xml:space="preserve">nieuprawnionego </w:t>
      </w:r>
      <w:r w:rsidR="006A368B" w:rsidRPr="0051003F">
        <w:rPr>
          <w:rFonts w:cs="Times New Roman"/>
          <w:lang w:val="pl-PL"/>
        </w:rPr>
        <w:t xml:space="preserve">zachowania wobec urzędnika publicznego, jak i </w:t>
      </w:r>
      <w:r w:rsidR="006B14AF">
        <w:rPr>
          <w:rFonts w:cs="Times New Roman"/>
          <w:lang w:val="pl-PL"/>
        </w:rPr>
        <w:t>postępowania administracyjnego które</w:t>
      </w:r>
      <w:r w:rsidR="006A368B" w:rsidRPr="0051003F">
        <w:rPr>
          <w:rFonts w:cs="Times New Roman"/>
          <w:lang w:val="pl-PL"/>
        </w:rPr>
        <w:t xml:space="preserve"> stał</w:t>
      </w:r>
      <w:r w:rsidR="006B14AF">
        <w:rPr>
          <w:rFonts w:cs="Times New Roman"/>
          <w:lang w:val="pl-PL"/>
        </w:rPr>
        <w:t>o</w:t>
      </w:r>
      <w:r w:rsidR="006A368B" w:rsidRPr="0051003F">
        <w:rPr>
          <w:rFonts w:cs="Times New Roman"/>
          <w:lang w:val="pl-PL"/>
        </w:rPr>
        <w:t xml:space="preserve"> się </w:t>
      </w:r>
      <w:r w:rsidR="006B14AF" w:rsidRPr="0051003F">
        <w:rPr>
          <w:rFonts w:cs="Times New Roman"/>
          <w:lang w:val="pl-PL"/>
        </w:rPr>
        <w:t>ostateczn</w:t>
      </w:r>
      <w:r w:rsidR="006B14AF">
        <w:rPr>
          <w:rFonts w:cs="Times New Roman"/>
          <w:lang w:val="pl-PL"/>
        </w:rPr>
        <w:t>e</w:t>
      </w:r>
      <w:r w:rsidR="006B14AF" w:rsidRPr="0051003F">
        <w:rPr>
          <w:rFonts w:cs="Times New Roman"/>
          <w:lang w:val="pl-PL"/>
        </w:rPr>
        <w:t xml:space="preserve"> </w:t>
      </w:r>
      <w:r w:rsidR="006A368B" w:rsidRPr="0051003F">
        <w:rPr>
          <w:rFonts w:cs="Times New Roman"/>
          <w:lang w:val="pl-PL"/>
        </w:rPr>
        <w:t xml:space="preserve">jeszcze przed wszczęciem postępowania karnego (zob. cytowany powyżej </w:t>
      </w:r>
      <w:proofErr w:type="spellStart"/>
      <w:r w:rsidR="006A368B" w:rsidRPr="0051003F">
        <w:rPr>
          <w:rFonts w:cs="Times New Roman"/>
          <w:i/>
          <w:lang w:val="pl-PL"/>
        </w:rPr>
        <w:t>Zołotukhin</w:t>
      </w:r>
      <w:proofErr w:type="spellEnd"/>
      <w:r w:rsidR="006A368B" w:rsidRPr="0051003F">
        <w:rPr>
          <w:rFonts w:cs="Times New Roman"/>
          <w:i/>
          <w:lang w:val="pl-PL"/>
        </w:rPr>
        <w:t>,</w:t>
      </w:r>
      <w:r w:rsidR="006A368B" w:rsidRPr="0051003F">
        <w:rPr>
          <w:rFonts w:cs="Times New Roman"/>
          <w:lang w:val="pl-PL"/>
        </w:rPr>
        <w:t xml:space="preserve"> §§ 18-20 i 109). </w:t>
      </w:r>
      <w:r w:rsidR="00FA5B47">
        <w:rPr>
          <w:rFonts w:cs="Times New Roman"/>
          <w:lang w:val="pl-PL"/>
        </w:rPr>
        <w:t>Najbardziej znaczący wkład</w:t>
      </w:r>
      <w:r w:rsidR="006A368B" w:rsidRPr="0051003F">
        <w:rPr>
          <w:rFonts w:cs="Times New Roman"/>
          <w:lang w:val="pl-PL"/>
        </w:rPr>
        <w:t xml:space="preserve"> wyroku w sprawie </w:t>
      </w:r>
      <w:proofErr w:type="spellStart"/>
      <w:r w:rsidR="006A368B" w:rsidRPr="0051003F">
        <w:rPr>
          <w:rFonts w:cs="Times New Roman"/>
          <w:i/>
          <w:lang w:val="pl-PL"/>
        </w:rPr>
        <w:t>Zołotukhin</w:t>
      </w:r>
      <w:proofErr w:type="spellEnd"/>
      <w:r w:rsidR="006A368B" w:rsidRPr="0051003F">
        <w:rPr>
          <w:rFonts w:cs="Times New Roman"/>
          <w:i/>
          <w:lang w:val="pl-PL"/>
        </w:rPr>
        <w:t xml:space="preserve"> </w:t>
      </w:r>
      <w:r w:rsidR="00FA5B47">
        <w:rPr>
          <w:rFonts w:cs="Times New Roman"/>
          <w:lang w:val="pl-PL"/>
        </w:rPr>
        <w:t>to</w:t>
      </w:r>
      <w:r w:rsidR="00FA5B47" w:rsidRPr="0051003F">
        <w:rPr>
          <w:rFonts w:cs="Times New Roman"/>
          <w:lang w:val="pl-PL"/>
        </w:rPr>
        <w:t xml:space="preserve"> </w:t>
      </w:r>
      <w:r w:rsidR="006A368B" w:rsidRPr="0051003F">
        <w:rPr>
          <w:rFonts w:cs="Times New Roman"/>
          <w:lang w:val="pl-PL"/>
        </w:rPr>
        <w:t>stwierdzenie, że ustalenie, czy dane przestępstwa były takie same (</w:t>
      </w:r>
      <w:proofErr w:type="spellStart"/>
      <w:r w:rsidR="006A368B" w:rsidRPr="0051003F">
        <w:rPr>
          <w:rFonts w:cs="Times New Roman"/>
          <w:i/>
          <w:lang w:val="pl-PL"/>
        </w:rPr>
        <w:t>idem</w:t>
      </w:r>
      <w:proofErr w:type="spellEnd"/>
      <w:r w:rsidR="006A368B" w:rsidRPr="0051003F">
        <w:rPr>
          <w:rFonts w:cs="Times New Roman"/>
          <w:lang w:val="pl-PL"/>
        </w:rPr>
        <w:t>) było uzależnione od oceny opartej na faktach (ibid., § 84), a nie na przykład od oceny formalnej polegającej na porównaniu „istotnych elementów” przestępstw. Zakaz dotyczy ścigania lub procesu sądowego za drugie „przestępstwo”, o ile to ostatnie wynika z identycznych faktów lub faktów, które są zasadniczo takie same (ibid., § 82).</w:t>
      </w:r>
    </w:p>
    <w:p w:rsidR="006A368B" w:rsidRPr="0051003F" w:rsidRDefault="002F7893" w:rsidP="006A368B">
      <w:pPr>
        <w:pStyle w:val="ECHRPara"/>
        <w:rPr>
          <w:lang w:val="pl-PL"/>
        </w:rPr>
      </w:pPr>
      <w:r>
        <w:rPr>
          <w:lang w:val="pl-PL"/>
        </w:rPr>
        <w:t>109</w:t>
      </w:r>
      <w:r w:rsidR="0078344E" w:rsidRPr="0051003F">
        <w:rPr>
          <w:lang w:val="pl-PL"/>
        </w:rPr>
        <w:t>.  </w:t>
      </w:r>
      <w:r w:rsidR="006A368B" w:rsidRPr="0051003F">
        <w:rPr>
          <w:lang w:val="pl-PL"/>
        </w:rPr>
        <w:t xml:space="preserve">Ponadto, przypominając, że celem art. 4 </w:t>
      </w:r>
      <w:r>
        <w:rPr>
          <w:lang w:val="pl-PL"/>
        </w:rPr>
        <w:t>P</w:t>
      </w:r>
      <w:r w:rsidR="006A368B" w:rsidRPr="0051003F">
        <w:rPr>
          <w:lang w:val="pl-PL"/>
        </w:rPr>
        <w:t xml:space="preserve">rotokołu nr 7 jest zakaz powtarzania postępowań karnych zakończonych „prawomocnym” orzeczeniem </w:t>
      </w:r>
      <w:r w:rsidR="006A368B" w:rsidRPr="0051003F">
        <w:rPr>
          <w:i/>
          <w:lang w:val="pl-PL"/>
        </w:rPr>
        <w:t xml:space="preserve">(„res </w:t>
      </w:r>
      <w:proofErr w:type="spellStart"/>
      <w:r w:rsidR="006A368B" w:rsidRPr="0051003F">
        <w:rPr>
          <w:i/>
          <w:lang w:val="pl-PL"/>
        </w:rPr>
        <w:t>judicata</w:t>
      </w:r>
      <w:proofErr w:type="spellEnd"/>
      <w:r w:rsidR="006A368B" w:rsidRPr="0051003F">
        <w:rPr>
          <w:i/>
          <w:lang w:val="pl-PL"/>
        </w:rPr>
        <w:t>”),</w:t>
      </w:r>
      <w:r w:rsidR="006A368B" w:rsidRPr="0051003F">
        <w:rPr>
          <w:lang w:val="pl-PL"/>
        </w:rPr>
        <w:t xml:space="preserve"> wyrok w sprawie </w:t>
      </w:r>
      <w:proofErr w:type="spellStart"/>
      <w:r w:rsidR="006A368B" w:rsidRPr="0051003F">
        <w:rPr>
          <w:i/>
          <w:lang w:val="pl-PL"/>
        </w:rPr>
        <w:t>Zolotukhin</w:t>
      </w:r>
      <w:proofErr w:type="spellEnd"/>
      <w:r w:rsidR="006A368B" w:rsidRPr="0051003F">
        <w:rPr>
          <w:lang w:val="pl-PL"/>
        </w:rPr>
        <w:t xml:space="preserve"> uściślił, że decyzje, od których złożono zwykłe odwołanie, wyłączono z zakresu gwarancji przewidzianej w </w:t>
      </w:r>
      <w:r>
        <w:rPr>
          <w:lang w:val="pl-PL"/>
        </w:rPr>
        <w:t>P</w:t>
      </w:r>
      <w:r w:rsidR="006A368B" w:rsidRPr="0051003F">
        <w:rPr>
          <w:lang w:val="pl-PL"/>
        </w:rPr>
        <w:t>rotokole nr 7, dopóki nie upłynął termin na wniesienie takiego odwołania.</w:t>
      </w:r>
    </w:p>
    <w:p w:rsidR="006A368B" w:rsidRPr="0051003F" w:rsidRDefault="002F7893" w:rsidP="006A368B">
      <w:pPr>
        <w:pStyle w:val="ECHRPara"/>
        <w:rPr>
          <w:lang w:val="pl-PL"/>
        </w:rPr>
      </w:pPr>
      <w:r>
        <w:rPr>
          <w:lang w:val="pl-PL"/>
        </w:rPr>
        <w:t>110</w:t>
      </w:r>
      <w:r w:rsidR="0078344E" w:rsidRPr="0051003F">
        <w:rPr>
          <w:lang w:val="pl-PL"/>
        </w:rPr>
        <w:t>.  </w:t>
      </w:r>
      <w:r w:rsidR="006A368B" w:rsidRPr="0051003F">
        <w:rPr>
          <w:lang w:val="pl-PL"/>
        </w:rPr>
        <w:t xml:space="preserve">Trybunał stanowczo potwierdził również, że art. 4 </w:t>
      </w:r>
      <w:r>
        <w:rPr>
          <w:lang w:val="pl-PL"/>
        </w:rPr>
        <w:t>P</w:t>
      </w:r>
      <w:r w:rsidR="006A368B" w:rsidRPr="0051003F">
        <w:rPr>
          <w:lang w:val="pl-PL"/>
        </w:rPr>
        <w:t xml:space="preserve">rotokołu nr 7 nie ogranicza się do prawa do </w:t>
      </w:r>
      <w:r>
        <w:rPr>
          <w:lang w:val="pl-PL"/>
        </w:rPr>
        <w:t>tego by nie być dwukrotnie karanym</w:t>
      </w:r>
      <w:r w:rsidR="006A368B" w:rsidRPr="0051003F">
        <w:rPr>
          <w:lang w:val="pl-PL"/>
        </w:rPr>
        <w:t>, lecz obejmuje również prawo do</w:t>
      </w:r>
      <w:r>
        <w:rPr>
          <w:lang w:val="pl-PL"/>
        </w:rPr>
        <w:t xml:space="preserve"> tego, by</w:t>
      </w:r>
      <w:r w:rsidR="006A368B" w:rsidRPr="0051003F">
        <w:rPr>
          <w:lang w:val="pl-PL"/>
        </w:rPr>
        <w:t xml:space="preserve"> nie </w:t>
      </w:r>
      <w:r>
        <w:rPr>
          <w:lang w:val="pl-PL"/>
        </w:rPr>
        <w:t>być</w:t>
      </w:r>
      <w:r w:rsidRPr="0051003F">
        <w:rPr>
          <w:lang w:val="pl-PL"/>
        </w:rPr>
        <w:t xml:space="preserve"> </w:t>
      </w:r>
      <w:r w:rsidR="006A368B" w:rsidRPr="0051003F">
        <w:rPr>
          <w:lang w:val="pl-PL"/>
        </w:rPr>
        <w:t xml:space="preserve">ściganym lub sądzonym dwukrotnie. Gdyby tak nie było, nie byłoby konieczne użycie słowa „skazany”, jak również słowa „ukarany”, ponieważ byłoby to zwykłym powielaniem. Trybunał powtórzył zatem, że art. 4 </w:t>
      </w:r>
      <w:r w:rsidR="00192AE4">
        <w:rPr>
          <w:lang w:val="pl-PL"/>
        </w:rPr>
        <w:t>P</w:t>
      </w:r>
      <w:r w:rsidR="006A368B" w:rsidRPr="0051003F">
        <w:rPr>
          <w:lang w:val="pl-PL"/>
        </w:rPr>
        <w:t xml:space="preserve">rotokołu nr 7 ma zastosowanie nawet wówczas, gdy dana osoba była jedynie ścigana w postępowaniu, które nie doprowadziło do wydania wyroku skazującego. Artykuł 4 </w:t>
      </w:r>
      <w:r w:rsidR="00192AE4">
        <w:rPr>
          <w:lang w:val="pl-PL"/>
        </w:rPr>
        <w:t>P</w:t>
      </w:r>
      <w:r w:rsidR="006A368B" w:rsidRPr="0051003F">
        <w:rPr>
          <w:lang w:val="pl-PL"/>
        </w:rPr>
        <w:t xml:space="preserve">rotokołu nr 7 zawiera trzy odrębne gwarancje i stanowi, że za to samo przestępstwo nikt nie może (i) być sądzony, (ii) </w:t>
      </w:r>
      <w:r w:rsidR="00447005">
        <w:rPr>
          <w:lang w:val="pl-PL"/>
        </w:rPr>
        <w:t>o</w:t>
      </w:r>
      <w:r w:rsidR="006A368B" w:rsidRPr="0051003F">
        <w:rPr>
          <w:lang w:val="pl-PL"/>
        </w:rPr>
        <w:t xml:space="preserve">sądzony lub (iii) </w:t>
      </w:r>
      <w:r w:rsidR="00447005">
        <w:rPr>
          <w:lang w:val="pl-PL"/>
        </w:rPr>
        <w:t>u</w:t>
      </w:r>
      <w:r w:rsidR="006A368B" w:rsidRPr="0051003F">
        <w:rPr>
          <w:lang w:val="pl-PL"/>
        </w:rPr>
        <w:t>karany (ibid., § 110).</w:t>
      </w:r>
    </w:p>
    <w:p w:rsidR="006A368B" w:rsidRPr="0051003F" w:rsidRDefault="00447005" w:rsidP="006A368B">
      <w:pPr>
        <w:pStyle w:val="ECHRPara"/>
        <w:rPr>
          <w:rFonts w:cs="Times New Roman"/>
          <w:lang w:val="pl-PL"/>
        </w:rPr>
      </w:pPr>
      <w:r>
        <w:rPr>
          <w:rFonts w:cs="Times New Roman"/>
          <w:lang w:val="pl-PL"/>
        </w:rPr>
        <w:t>111</w:t>
      </w:r>
      <w:r w:rsidR="0078344E" w:rsidRPr="0051003F">
        <w:rPr>
          <w:rFonts w:cs="Times New Roman"/>
          <w:lang w:val="pl-PL"/>
        </w:rPr>
        <w:t>.  </w:t>
      </w:r>
      <w:r w:rsidR="006A368B" w:rsidRPr="0051003F">
        <w:rPr>
          <w:rFonts w:cs="Times New Roman"/>
          <w:lang w:val="pl-PL"/>
        </w:rPr>
        <w:t xml:space="preserve">Należy jednak zauważyć, że wyrok w sprawie </w:t>
      </w:r>
      <w:proofErr w:type="spellStart"/>
      <w:r w:rsidR="006A368B" w:rsidRPr="0051003F">
        <w:rPr>
          <w:rFonts w:cs="Times New Roman"/>
          <w:i/>
          <w:lang w:val="pl-PL"/>
        </w:rPr>
        <w:t>Zołotukhin</w:t>
      </w:r>
      <w:proofErr w:type="spellEnd"/>
      <w:r w:rsidR="006A368B" w:rsidRPr="0051003F">
        <w:rPr>
          <w:rFonts w:cs="Times New Roman"/>
          <w:lang w:val="pl-PL"/>
        </w:rPr>
        <w:t xml:space="preserve"> nie zawierał zbyt wielu wskazówek dotyczących sytuacji, w których postępowanie nie zostało w rzeczywistości </w:t>
      </w:r>
      <w:r w:rsidR="006508A8" w:rsidRPr="0051003F">
        <w:rPr>
          <w:rFonts w:cs="Times New Roman"/>
          <w:lang w:val="pl-PL"/>
        </w:rPr>
        <w:t>powielone</w:t>
      </w:r>
      <w:r w:rsidR="006A368B" w:rsidRPr="0051003F">
        <w:rPr>
          <w:rFonts w:cs="Times New Roman"/>
          <w:lang w:val="pl-PL"/>
        </w:rPr>
        <w:t>, lecz zostało połączone w sposób zintegrowany, tak aby stworzyć spójną całość</w:t>
      </w:r>
      <w:r>
        <w:rPr>
          <w:rFonts w:cs="Times New Roman"/>
          <w:lang w:val="pl-PL"/>
        </w:rPr>
        <w:t>.</w:t>
      </w:r>
    </w:p>
    <w:p w:rsidR="006A368B" w:rsidRPr="0051003F" w:rsidRDefault="006A368B" w:rsidP="006A368B">
      <w:pPr>
        <w:pStyle w:val="ECHRPara"/>
        <w:rPr>
          <w:rFonts w:cs="Times New Roman"/>
          <w:lang w:val="pl-PL"/>
        </w:rPr>
      </w:pPr>
    </w:p>
    <w:p w:rsidR="0078344E" w:rsidRPr="0051003F" w:rsidRDefault="006A368B" w:rsidP="00A7252F">
      <w:pPr>
        <w:pStyle w:val="ECHRHeading5"/>
        <w:rPr>
          <w:lang w:val="pl-PL"/>
        </w:rPr>
      </w:pPr>
      <w:bookmarkStart w:id="157" w:name="_Toc466904328"/>
      <w:bookmarkStart w:id="158" w:name="_Toc466972347"/>
      <w:bookmarkStart w:id="159" w:name="_Toc466972858"/>
      <w:bookmarkStart w:id="160" w:name="_Toc466974274"/>
      <w:bookmarkStart w:id="161" w:name="_Toc473801909"/>
      <w:r w:rsidRPr="0051003F">
        <w:rPr>
          <w:lang w:val="pl-PL"/>
        </w:rPr>
        <w:lastRenderedPageBreak/>
        <w:t xml:space="preserve"> </w:t>
      </w:r>
      <w:r w:rsidR="0078344E" w:rsidRPr="0051003F">
        <w:rPr>
          <w:lang w:val="pl-PL"/>
        </w:rPr>
        <w:t>(</w:t>
      </w:r>
      <w:r w:rsidR="00B17C3A" w:rsidRPr="0051003F">
        <w:rPr>
          <w:lang w:val="pl-PL"/>
        </w:rPr>
        <w:t>ii</w:t>
      </w:r>
      <w:r w:rsidR="0078344E" w:rsidRPr="0051003F">
        <w:rPr>
          <w:lang w:val="pl-PL"/>
        </w:rPr>
        <w:t>)  </w:t>
      </w:r>
      <w:r w:rsidRPr="0051003F">
        <w:rPr>
          <w:lang w:val="pl-PL"/>
        </w:rPr>
        <w:t>Orzecznictwo w sprawie podwójnych postępowań, przed i po wyroku w sprawie</w:t>
      </w:r>
      <w:r w:rsidR="009E0540" w:rsidRPr="0051003F">
        <w:rPr>
          <w:i w:val="0"/>
          <w:lang w:val="pl-PL"/>
        </w:rPr>
        <w:t xml:space="preserve"> </w:t>
      </w:r>
      <w:proofErr w:type="spellStart"/>
      <w:r w:rsidR="0078344E" w:rsidRPr="0051003F">
        <w:rPr>
          <w:lang w:val="pl-PL"/>
        </w:rPr>
        <w:t>Zolotukhin</w:t>
      </w:r>
      <w:bookmarkEnd w:id="157"/>
      <w:bookmarkEnd w:id="158"/>
      <w:bookmarkEnd w:id="159"/>
      <w:bookmarkEnd w:id="160"/>
      <w:bookmarkEnd w:id="161"/>
      <w:proofErr w:type="spellEnd"/>
    </w:p>
    <w:p w:rsidR="006A368B" w:rsidRPr="0051003F" w:rsidRDefault="00447005" w:rsidP="006A368B">
      <w:pPr>
        <w:pStyle w:val="ECHRPara"/>
        <w:rPr>
          <w:rFonts w:cs="Times New Roman"/>
          <w:iCs/>
          <w:lang w:val="pl-PL"/>
        </w:rPr>
      </w:pPr>
      <w:r>
        <w:rPr>
          <w:rFonts w:cs="Times New Roman"/>
          <w:lang w:val="pl-PL"/>
        </w:rPr>
        <w:t>112</w:t>
      </w:r>
      <w:r w:rsidR="0078344E" w:rsidRPr="0051003F">
        <w:rPr>
          <w:rFonts w:cs="Times New Roman"/>
          <w:lang w:val="pl-PL"/>
        </w:rPr>
        <w:t>.  </w:t>
      </w:r>
      <w:r w:rsidR="006A368B" w:rsidRPr="0051003F">
        <w:rPr>
          <w:rFonts w:cs="Times New Roman"/>
          <w:iCs/>
          <w:lang w:val="pl-PL"/>
        </w:rPr>
        <w:t xml:space="preserve">Po wydaniu wyroku w sprawie </w:t>
      </w:r>
      <w:proofErr w:type="spellStart"/>
      <w:r w:rsidR="006A368B" w:rsidRPr="0051003F">
        <w:rPr>
          <w:rFonts w:cs="Times New Roman"/>
          <w:i/>
          <w:iCs/>
          <w:lang w:val="pl-PL"/>
        </w:rPr>
        <w:t>Zolotukhin</w:t>
      </w:r>
      <w:proofErr w:type="spellEnd"/>
      <w:r w:rsidR="006A368B" w:rsidRPr="0051003F">
        <w:rPr>
          <w:rFonts w:cs="Times New Roman"/>
          <w:iCs/>
          <w:lang w:val="pl-PL"/>
        </w:rPr>
        <w:t xml:space="preserve">, podobnie jak w przypadku poprzedniego stanowiska, Trybunał zaakceptował </w:t>
      </w:r>
      <w:r>
        <w:rPr>
          <w:rFonts w:cs="Times New Roman"/>
          <w:iCs/>
          <w:lang w:val="pl-PL"/>
        </w:rPr>
        <w:t>wymierzenie</w:t>
      </w:r>
      <w:r w:rsidRPr="0051003F">
        <w:rPr>
          <w:rFonts w:cs="Times New Roman"/>
          <w:iCs/>
          <w:lang w:val="pl-PL"/>
        </w:rPr>
        <w:t xml:space="preserve"> </w:t>
      </w:r>
      <w:r w:rsidR="006A368B" w:rsidRPr="0051003F">
        <w:rPr>
          <w:rFonts w:cs="Times New Roman"/>
          <w:iCs/>
          <w:lang w:val="pl-PL"/>
        </w:rPr>
        <w:t xml:space="preserve">przez różne organy różnych sankcji dotyczących tego samego zachowania, jako w pewnym stopniu dopuszczalne na mocy art. 4 </w:t>
      </w:r>
      <w:r>
        <w:rPr>
          <w:rFonts w:cs="Times New Roman"/>
          <w:iCs/>
          <w:lang w:val="pl-PL"/>
        </w:rPr>
        <w:t>P</w:t>
      </w:r>
      <w:r w:rsidR="006A368B" w:rsidRPr="0051003F">
        <w:rPr>
          <w:rFonts w:cs="Times New Roman"/>
          <w:iCs/>
          <w:lang w:val="pl-PL"/>
        </w:rPr>
        <w:t xml:space="preserve">rotokołu nr 7, pomimo istnienia ostatecznej decyzji. Wniosek ten można uznać za oparty na założeniu, że połączenie sankcji w tych sprawach należy rozpatrywać jako całość, co sprawia, że sztuczne jest postrzeganie sprawy jako sprawy dublującego się postępowania, w wyniku którego wnioskodawca zostaje „ponownie sądzony lub ukarany[...] za przestępstwo, za które został już ostatecznie skazany” z naruszeniem art. 4 </w:t>
      </w:r>
      <w:r w:rsidR="00997164">
        <w:rPr>
          <w:rFonts w:cs="Times New Roman"/>
          <w:iCs/>
          <w:lang w:val="pl-PL"/>
        </w:rPr>
        <w:t>P</w:t>
      </w:r>
      <w:r w:rsidR="006A368B" w:rsidRPr="0051003F">
        <w:rPr>
          <w:rFonts w:cs="Times New Roman"/>
          <w:iCs/>
          <w:lang w:val="pl-PL"/>
        </w:rPr>
        <w:t>rotokołu nr 7. Kwestia ta dotyczy czterech rodzajów sytuacji.</w:t>
      </w:r>
    </w:p>
    <w:p w:rsidR="006A368B" w:rsidRPr="0051003F" w:rsidRDefault="00997164" w:rsidP="006A368B">
      <w:pPr>
        <w:pStyle w:val="ECHRPara"/>
        <w:rPr>
          <w:rFonts w:cs="Times New Roman"/>
          <w:iCs/>
          <w:lang w:val="pl-PL"/>
        </w:rPr>
      </w:pPr>
      <w:r>
        <w:rPr>
          <w:rFonts w:cs="Times New Roman"/>
          <w:iCs/>
          <w:lang w:val="pl-PL"/>
        </w:rPr>
        <w:t>113.</w:t>
      </w:r>
      <w:r w:rsidR="003D51FF" w:rsidRPr="0051003F">
        <w:rPr>
          <w:rFonts w:cs="Times New Roman"/>
          <w:iCs/>
          <w:lang w:val="pl-PL"/>
        </w:rPr>
        <w:t> </w:t>
      </w:r>
      <w:r w:rsidR="006A368B" w:rsidRPr="0051003F">
        <w:rPr>
          <w:rFonts w:cs="Times New Roman"/>
          <w:iCs/>
          <w:lang w:val="pl-PL"/>
        </w:rPr>
        <w:t xml:space="preserve">Na początku niniejszej analizy interpretacyjnej art. 4 znajduje się pierwsza kategoria spraw, pochodząca z </w:t>
      </w:r>
      <w:r w:rsidR="006A368B" w:rsidRPr="0051003F">
        <w:rPr>
          <w:rFonts w:cs="Times New Roman"/>
          <w:i/>
          <w:iCs/>
          <w:lang w:val="pl-PL"/>
        </w:rPr>
        <w:t>R. T. przeciwko Szwajcarii</w:t>
      </w:r>
      <w:r w:rsidR="006A368B" w:rsidRPr="0051003F">
        <w:rPr>
          <w:rFonts w:cs="Times New Roman"/>
          <w:iCs/>
          <w:lang w:val="pl-PL"/>
        </w:rPr>
        <w:t xml:space="preserve">, </w:t>
      </w:r>
      <w:r w:rsidR="00A3016D">
        <w:rPr>
          <w:rFonts w:cs="Times New Roman"/>
          <w:iCs/>
          <w:lang w:val="pl-PL"/>
        </w:rPr>
        <w:t>cytowane</w:t>
      </w:r>
      <w:r w:rsidR="00A3016D" w:rsidRPr="0051003F">
        <w:rPr>
          <w:rFonts w:cs="Times New Roman"/>
          <w:iCs/>
          <w:lang w:val="pl-PL"/>
        </w:rPr>
        <w:t xml:space="preserve"> </w:t>
      </w:r>
      <w:r w:rsidR="006A368B" w:rsidRPr="0051003F">
        <w:rPr>
          <w:rFonts w:cs="Times New Roman"/>
          <w:iCs/>
          <w:lang w:val="pl-PL"/>
        </w:rPr>
        <w:t>powyżej</w:t>
      </w:r>
      <w:r w:rsidR="00A3016D">
        <w:rPr>
          <w:rFonts w:cs="Times New Roman"/>
          <w:iCs/>
          <w:lang w:val="pl-PL"/>
        </w:rPr>
        <w:t xml:space="preserve"> sprawa</w:t>
      </w:r>
      <w:r w:rsidR="006A368B" w:rsidRPr="0051003F">
        <w:rPr>
          <w:rFonts w:cs="Times New Roman"/>
          <w:iCs/>
          <w:lang w:val="pl-PL"/>
        </w:rPr>
        <w:t xml:space="preserve"> R. T. dotyczył</w:t>
      </w:r>
      <w:r w:rsidR="00A3016D">
        <w:rPr>
          <w:rFonts w:cs="Times New Roman"/>
          <w:iCs/>
          <w:lang w:val="pl-PL"/>
        </w:rPr>
        <w:t>a</w:t>
      </w:r>
      <w:r w:rsidR="006A368B" w:rsidRPr="0051003F">
        <w:rPr>
          <w:rFonts w:cs="Times New Roman"/>
          <w:iCs/>
          <w:lang w:val="pl-PL"/>
        </w:rPr>
        <w:t xml:space="preserve"> </w:t>
      </w:r>
      <w:r w:rsidR="006C7EBE">
        <w:rPr>
          <w:rFonts w:cs="Times New Roman"/>
          <w:iCs/>
          <w:lang w:val="pl-PL"/>
        </w:rPr>
        <w:t>powoda</w:t>
      </w:r>
      <w:r w:rsidR="006A368B" w:rsidRPr="0051003F">
        <w:rPr>
          <w:rFonts w:cs="Times New Roman"/>
          <w:iCs/>
          <w:lang w:val="pl-PL"/>
        </w:rPr>
        <w:t xml:space="preserve">, którego prawo jazdy zostało </w:t>
      </w:r>
      <w:r w:rsidR="006C7EBE">
        <w:rPr>
          <w:rFonts w:cs="Times New Roman"/>
          <w:iCs/>
          <w:lang w:val="pl-PL"/>
        </w:rPr>
        <w:t>zabrane</w:t>
      </w:r>
      <w:r w:rsidR="006C7EBE" w:rsidRPr="0051003F">
        <w:rPr>
          <w:rFonts w:cs="Times New Roman"/>
          <w:iCs/>
          <w:lang w:val="pl-PL"/>
        </w:rPr>
        <w:t xml:space="preserve"> </w:t>
      </w:r>
      <w:r w:rsidR="006A368B" w:rsidRPr="0051003F">
        <w:rPr>
          <w:rFonts w:cs="Times New Roman"/>
          <w:iCs/>
          <w:lang w:val="pl-PL"/>
        </w:rPr>
        <w:t>(na cztery miesiące) w maju 1993 r</w:t>
      </w:r>
      <w:r w:rsidR="006C7EBE">
        <w:rPr>
          <w:rFonts w:cs="Times New Roman"/>
          <w:iCs/>
          <w:lang w:val="pl-PL"/>
        </w:rPr>
        <w:t>oku</w:t>
      </w:r>
      <w:r w:rsidR="006A368B" w:rsidRPr="0051003F">
        <w:rPr>
          <w:rFonts w:cs="Times New Roman"/>
          <w:iCs/>
          <w:lang w:val="pl-PL"/>
        </w:rPr>
        <w:t xml:space="preserve"> przez Urząd Ruchu Drogowego z powodu prowadzenia pojazdu </w:t>
      </w:r>
      <w:r w:rsidR="006C7EBE">
        <w:rPr>
          <w:rFonts w:cs="Times New Roman"/>
          <w:iCs/>
          <w:lang w:val="pl-PL"/>
        </w:rPr>
        <w:t>w stanie nietrzeźwości</w:t>
      </w:r>
      <w:r w:rsidR="006A368B" w:rsidRPr="0051003F">
        <w:rPr>
          <w:rFonts w:cs="Times New Roman"/>
          <w:iCs/>
          <w:lang w:val="pl-PL"/>
        </w:rPr>
        <w:t>. Środek ten został ostatecznie potwierdzony wyrokami Administracyjnej Komisji Odwoławczej i Sądu Federalnego (grudzień 1995 r</w:t>
      </w:r>
      <w:r w:rsidR="006C7EBE">
        <w:rPr>
          <w:rFonts w:cs="Times New Roman"/>
          <w:iCs/>
          <w:lang w:val="pl-PL"/>
        </w:rPr>
        <w:t>oku</w:t>
      </w:r>
      <w:r w:rsidR="006A368B" w:rsidRPr="0051003F">
        <w:rPr>
          <w:rFonts w:cs="Times New Roman"/>
          <w:iCs/>
          <w:lang w:val="pl-PL"/>
        </w:rPr>
        <w:t>). Tymczasem w czerwcu 1993 r</w:t>
      </w:r>
      <w:r w:rsidR="006C7EBE">
        <w:rPr>
          <w:rFonts w:cs="Times New Roman"/>
          <w:iCs/>
          <w:lang w:val="pl-PL"/>
        </w:rPr>
        <w:t>oku</w:t>
      </w:r>
      <w:r w:rsidR="006A368B" w:rsidRPr="0051003F">
        <w:rPr>
          <w:rFonts w:cs="Times New Roman"/>
          <w:iCs/>
          <w:lang w:val="pl-PL"/>
        </w:rPr>
        <w:t xml:space="preserve"> Urząd Okręgowy w </w:t>
      </w:r>
      <w:proofErr w:type="spellStart"/>
      <w:r w:rsidR="006A368B" w:rsidRPr="0051003F">
        <w:rPr>
          <w:rFonts w:cs="Times New Roman"/>
          <w:iCs/>
          <w:lang w:val="pl-PL"/>
        </w:rPr>
        <w:t>Gossau</w:t>
      </w:r>
      <w:proofErr w:type="spellEnd"/>
      <w:r w:rsidR="006A368B" w:rsidRPr="0051003F">
        <w:rPr>
          <w:rFonts w:cs="Times New Roman"/>
          <w:iCs/>
          <w:lang w:val="pl-PL"/>
        </w:rPr>
        <w:t xml:space="preserve"> wydał nakaz karny</w:t>
      </w:r>
      <w:r w:rsidR="006565B0">
        <w:rPr>
          <w:rFonts w:cs="Times New Roman"/>
          <w:iCs/>
          <w:lang w:val="pl-PL"/>
        </w:rPr>
        <w:t xml:space="preserve"> dotyczący skarżącego</w:t>
      </w:r>
      <w:r w:rsidR="006A368B" w:rsidRPr="0051003F">
        <w:rPr>
          <w:rFonts w:cs="Times New Roman"/>
          <w:iCs/>
          <w:lang w:val="pl-PL"/>
        </w:rPr>
        <w:t xml:space="preserve">, na mocy którego skazał go na karę pozbawienia wolności w zawieszeniu i grzywnę w wysokości 1100 franków szwajcarskich (CHF). Postanowienie to nie było </w:t>
      </w:r>
      <w:r w:rsidR="006565B0">
        <w:rPr>
          <w:rFonts w:cs="Times New Roman"/>
          <w:iCs/>
          <w:lang w:val="pl-PL"/>
        </w:rPr>
        <w:t>zaskarżone</w:t>
      </w:r>
      <w:r w:rsidR="006A368B" w:rsidRPr="0051003F">
        <w:rPr>
          <w:rFonts w:cs="Times New Roman"/>
          <w:iCs/>
          <w:lang w:val="pl-PL"/>
        </w:rPr>
        <w:t xml:space="preserve"> i </w:t>
      </w:r>
      <w:r w:rsidR="006565B0">
        <w:rPr>
          <w:rFonts w:cs="Times New Roman"/>
          <w:iCs/>
          <w:lang w:val="pl-PL"/>
        </w:rPr>
        <w:t>stało się prawomocne.</w:t>
      </w:r>
    </w:p>
    <w:p w:rsidR="00C15FA5" w:rsidRPr="0051003F" w:rsidRDefault="00C15FA5" w:rsidP="00C15FA5">
      <w:pPr>
        <w:pStyle w:val="ECHRPara"/>
        <w:rPr>
          <w:lang w:val="pl-PL"/>
        </w:rPr>
      </w:pPr>
      <w:r w:rsidRPr="0051003F">
        <w:rPr>
          <w:lang w:val="pl-PL"/>
        </w:rPr>
        <w:t xml:space="preserve">Trybunał stwierdził, że władze szwajcarskie </w:t>
      </w:r>
      <w:r w:rsidR="009070A8">
        <w:rPr>
          <w:lang w:val="pl-PL"/>
        </w:rPr>
        <w:t xml:space="preserve">określiły </w:t>
      </w:r>
      <w:r w:rsidRPr="0051003F">
        <w:rPr>
          <w:lang w:val="pl-PL"/>
        </w:rPr>
        <w:t xml:space="preserve">jedynie trzy różne, </w:t>
      </w:r>
      <w:r w:rsidR="009070A8">
        <w:rPr>
          <w:lang w:val="pl-PL"/>
        </w:rPr>
        <w:t>możliwe do nałożenia</w:t>
      </w:r>
      <w:r w:rsidR="009070A8" w:rsidRPr="0051003F">
        <w:rPr>
          <w:lang w:val="pl-PL"/>
        </w:rPr>
        <w:t xml:space="preserve"> </w:t>
      </w:r>
      <w:r w:rsidRPr="0051003F">
        <w:rPr>
          <w:lang w:val="pl-PL"/>
        </w:rPr>
        <w:t xml:space="preserve">sankcje przewidziane prawem za takie wykroczenie, a mianowicie karę </w:t>
      </w:r>
      <w:r w:rsidR="009070A8">
        <w:rPr>
          <w:lang w:val="pl-PL"/>
        </w:rPr>
        <w:t>pozbawienia wolności</w:t>
      </w:r>
      <w:r w:rsidRPr="0051003F">
        <w:rPr>
          <w:lang w:val="pl-PL"/>
        </w:rPr>
        <w:t xml:space="preserve">, grzywnę i </w:t>
      </w:r>
      <w:r w:rsidR="009070A8">
        <w:rPr>
          <w:lang w:val="pl-PL"/>
        </w:rPr>
        <w:t>odebranie</w:t>
      </w:r>
      <w:r w:rsidR="009070A8" w:rsidRPr="0051003F">
        <w:rPr>
          <w:lang w:val="pl-PL"/>
        </w:rPr>
        <w:t xml:space="preserve"> </w:t>
      </w:r>
      <w:r w:rsidRPr="0051003F">
        <w:rPr>
          <w:lang w:val="pl-PL"/>
        </w:rPr>
        <w:t xml:space="preserve">prawa jazdy. Sankcje te zostały nałożone w tym samym czasie przez dwa różne organy, mianowicie przez organ karny i administracyjny. Nie można zatem stwierdzić, że postępowanie karne zostało powtórzone z naruszeniem art. 4 </w:t>
      </w:r>
      <w:r w:rsidR="008D6D26">
        <w:rPr>
          <w:lang w:val="pl-PL"/>
        </w:rPr>
        <w:t>P</w:t>
      </w:r>
      <w:r w:rsidRPr="0051003F">
        <w:rPr>
          <w:lang w:val="pl-PL"/>
        </w:rPr>
        <w:t>rotokołu nr 7 w rozumieniu orzecznictwa Trybunału.</w:t>
      </w:r>
    </w:p>
    <w:p w:rsidR="00C15FA5" w:rsidRPr="0051003F" w:rsidRDefault="00C15FA5" w:rsidP="00C15FA5">
      <w:pPr>
        <w:pStyle w:val="ECHRPara"/>
        <w:rPr>
          <w:lang w:val="pl-PL"/>
        </w:rPr>
      </w:pPr>
      <w:r w:rsidRPr="0051003F">
        <w:rPr>
          <w:lang w:val="pl-PL"/>
        </w:rPr>
        <w:t xml:space="preserve">Podobnie, podczas gdy cytowany powyżej </w:t>
      </w:r>
      <w:proofErr w:type="spellStart"/>
      <w:r w:rsidRPr="0051003F">
        <w:rPr>
          <w:i/>
          <w:lang w:val="pl-PL"/>
        </w:rPr>
        <w:t>Nilsson</w:t>
      </w:r>
      <w:proofErr w:type="spellEnd"/>
      <w:r w:rsidRPr="0051003F">
        <w:rPr>
          <w:i/>
          <w:lang w:val="pl-PL"/>
        </w:rPr>
        <w:t xml:space="preserve"> przeciwko Szwecji</w:t>
      </w:r>
      <w:r w:rsidRPr="0051003F">
        <w:rPr>
          <w:lang w:val="pl-PL"/>
        </w:rPr>
        <w:t xml:space="preserve"> również dotyczył kar kryminalnych (50 godzin pracy społecznej) i </w:t>
      </w:r>
      <w:r w:rsidR="008D6D26">
        <w:rPr>
          <w:lang w:val="pl-PL"/>
        </w:rPr>
        <w:t>odebrania</w:t>
      </w:r>
      <w:r w:rsidR="008D6D26" w:rsidRPr="0051003F">
        <w:rPr>
          <w:lang w:val="pl-PL"/>
        </w:rPr>
        <w:t xml:space="preserve"> </w:t>
      </w:r>
      <w:r w:rsidRPr="0051003F">
        <w:rPr>
          <w:lang w:val="pl-PL"/>
        </w:rPr>
        <w:t xml:space="preserve">prawa jazdy na 18 miesięcy z powodu wykroczenia drogowego, skarga została rozstrzygnięta w oparciu o bardziej szczegółowe uzasadnienie, wprowadzając po raz pierwszy test </w:t>
      </w:r>
      <w:r w:rsidRPr="0051003F">
        <w:rPr>
          <w:i/>
          <w:lang w:val="pl-PL"/>
        </w:rPr>
        <w:t>„dostatecznie bliskiego związku..., co do istoty i czasu”.</w:t>
      </w:r>
    </w:p>
    <w:p w:rsidR="00C15FA5" w:rsidRPr="0051003F" w:rsidRDefault="00C15FA5" w:rsidP="00C15FA5">
      <w:pPr>
        <w:pStyle w:val="ECHRPara"/>
        <w:rPr>
          <w:lang w:val="pl-PL"/>
        </w:rPr>
      </w:pPr>
      <w:r w:rsidRPr="0051003F">
        <w:rPr>
          <w:lang w:val="pl-PL"/>
        </w:rPr>
        <w:t xml:space="preserve">Trybunał uznał, że </w:t>
      </w:r>
      <w:r w:rsidR="008D6D26">
        <w:rPr>
          <w:lang w:val="pl-PL"/>
        </w:rPr>
        <w:t>odebranie</w:t>
      </w:r>
      <w:r w:rsidR="008D6D26" w:rsidRPr="0051003F">
        <w:rPr>
          <w:lang w:val="pl-PL"/>
        </w:rPr>
        <w:t xml:space="preserve"> </w:t>
      </w:r>
      <w:r w:rsidRPr="0051003F">
        <w:rPr>
          <w:lang w:val="pl-PL"/>
        </w:rPr>
        <w:t xml:space="preserve">prawa jazdy było bezpośrednią i przewidywalną konsekwencją wcześniejszego skazania skarżącej za te same przestępstwa w związku </w:t>
      </w:r>
      <w:r w:rsidR="008D6D26">
        <w:rPr>
          <w:lang w:val="pl-PL"/>
        </w:rPr>
        <w:t>z</w:t>
      </w:r>
      <w:r w:rsidRPr="0051003F">
        <w:rPr>
          <w:lang w:val="pl-PL"/>
        </w:rPr>
        <w:t xml:space="preserve"> jazdą </w:t>
      </w:r>
      <w:r w:rsidR="008D6D26">
        <w:rPr>
          <w:lang w:val="pl-PL"/>
        </w:rPr>
        <w:t>w stanie nietrzeźwości</w:t>
      </w:r>
      <w:r w:rsidRPr="0051003F">
        <w:rPr>
          <w:lang w:val="pl-PL"/>
        </w:rPr>
        <w:t xml:space="preserve"> i </w:t>
      </w:r>
      <w:r w:rsidR="00AB3AE5">
        <w:rPr>
          <w:lang w:val="pl-PL"/>
        </w:rPr>
        <w:t xml:space="preserve">jazdę </w:t>
      </w:r>
      <w:r w:rsidRPr="0051003F">
        <w:rPr>
          <w:lang w:val="pl-PL"/>
        </w:rPr>
        <w:t xml:space="preserve">niezgodną z </w:t>
      </w:r>
      <w:r w:rsidR="00AB3AE5">
        <w:rPr>
          <w:lang w:val="pl-PL"/>
        </w:rPr>
        <w:t>przepisami</w:t>
      </w:r>
      <w:r w:rsidRPr="0051003F">
        <w:rPr>
          <w:lang w:val="pl-PL"/>
        </w:rPr>
        <w:t xml:space="preserve"> oraz że </w:t>
      </w:r>
      <w:r w:rsidR="00AB3AE5">
        <w:rPr>
          <w:lang w:val="pl-PL"/>
        </w:rPr>
        <w:t>odebranie</w:t>
      </w:r>
      <w:r w:rsidR="00AB3AE5" w:rsidRPr="0051003F">
        <w:rPr>
          <w:lang w:val="pl-PL"/>
        </w:rPr>
        <w:t xml:space="preserve"> </w:t>
      </w:r>
      <w:r w:rsidRPr="0051003F">
        <w:rPr>
          <w:lang w:val="pl-PL"/>
        </w:rPr>
        <w:t xml:space="preserve">prawa jazdy z powodu wyroku skazującego </w:t>
      </w:r>
      <w:r w:rsidR="00AB3AE5">
        <w:rPr>
          <w:lang w:val="pl-PL"/>
        </w:rPr>
        <w:t>jest</w:t>
      </w:r>
      <w:r w:rsidR="00AB3AE5" w:rsidRPr="0051003F">
        <w:rPr>
          <w:lang w:val="pl-PL"/>
        </w:rPr>
        <w:t xml:space="preserve"> </w:t>
      </w:r>
      <w:r w:rsidRPr="0051003F">
        <w:rPr>
          <w:lang w:val="pl-PL"/>
        </w:rPr>
        <w:t>spraw</w:t>
      </w:r>
      <w:r w:rsidR="00AB3AE5">
        <w:rPr>
          <w:lang w:val="pl-PL"/>
        </w:rPr>
        <w:t>ą</w:t>
      </w:r>
      <w:r w:rsidRPr="0051003F">
        <w:rPr>
          <w:lang w:val="pl-PL"/>
        </w:rPr>
        <w:t xml:space="preserve"> „karną” w rozumieniu art. 4 </w:t>
      </w:r>
      <w:r w:rsidR="00AB3AE5">
        <w:rPr>
          <w:lang w:val="pl-PL"/>
        </w:rPr>
        <w:t>P</w:t>
      </w:r>
      <w:r w:rsidRPr="0051003F">
        <w:rPr>
          <w:lang w:val="pl-PL"/>
        </w:rPr>
        <w:t xml:space="preserve">rotokołu nr 7. Ponadto dotkliwość środka - zawieszenie prawa jazdy skarżącego na 18 miesięcy - sama w sobie </w:t>
      </w:r>
      <w:r w:rsidRPr="0051003F">
        <w:rPr>
          <w:lang w:val="pl-PL"/>
        </w:rPr>
        <w:lastRenderedPageBreak/>
        <w:t xml:space="preserve">była tak znaczna, niezależnie od kontekstu jego poprzedniego wyroku skazującego, że można ją </w:t>
      </w:r>
      <w:r w:rsidR="00B677DE">
        <w:rPr>
          <w:lang w:val="pl-PL"/>
        </w:rPr>
        <w:t>zwyczajnie</w:t>
      </w:r>
      <w:r w:rsidR="00B677DE" w:rsidRPr="0051003F">
        <w:rPr>
          <w:lang w:val="pl-PL"/>
        </w:rPr>
        <w:t xml:space="preserve"> </w:t>
      </w:r>
      <w:r w:rsidRPr="0051003F">
        <w:rPr>
          <w:lang w:val="pl-PL"/>
        </w:rPr>
        <w:t xml:space="preserve">uznać za sankcję karną. Podczas gdy różne sankcje zostały nałożone przez dwa różne organy w różnych postępowaniach, istniał jednak wystarczająco ścisły związek między nimi, zarówno pod względem merytorycznym, jak i czasowym, aby rozważyć możliwość wycofania się z sankcji przewidzianych przez szwedzkie prawo w odniesieniu do przestępstw popełnionych w związku z </w:t>
      </w:r>
      <w:proofErr w:type="spellStart"/>
      <w:r w:rsidR="00B677DE">
        <w:rPr>
          <w:lang w:val="pl-PL"/>
        </w:rPr>
        <w:t>z</w:t>
      </w:r>
      <w:proofErr w:type="spellEnd"/>
      <w:r w:rsidR="00B677DE" w:rsidRPr="0051003F">
        <w:rPr>
          <w:lang w:val="pl-PL"/>
        </w:rPr>
        <w:t xml:space="preserve"> </w:t>
      </w:r>
      <w:r w:rsidRPr="0051003F">
        <w:rPr>
          <w:lang w:val="pl-PL"/>
        </w:rPr>
        <w:t xml:space="preserve">jazdą pod wpływem alkoholu i bezprawnym prowadzeniem pojazdu. Cofnięcie </w:t>
      </w:r>
      <w:r w:rsidR="00B677DE">
        <w:rPr>
          <w:lang w:val="pl-PL"/>
        </w:rPr>
        <w:t>prawa jazdy</w:t>
      </w:r>
      <w:r w:rsidR="00B677DE" w:rsidRPr="0051003F">
        <w:rPr>
          <w:lang w:val="pl-PL"/>
        </w:rPr>
        <w:t xml:space="preserve"> </w:t>
      </w:r>
      <w:r w:rsidRPr="0051003F">
        <w:rPr>
          <w:lang w:val="pl-PL"/>
        </w:rPr>
        <w:t xml:space="preserve">nie oznaczało, że skarżący został „ponownie osądzony lub ukarany (....) za przestępstwo, za które został już wcześniej skazany (...) prawomocnym wyrokiem skazującym”, z naruszeniem art. 4 ust. 1 </w:t>
      </w:r>
      <w:r w:rsidR="00B677DE">
        <w:rPr>
          <w:lang w:val="pl-PL"/>
        </w:rPr>
        <w:t>P</w:t>
      </w:r>
      <w:r w:rsidRPr="0051003F">
        <w:rPr>
          <w:lang w:val="pl-PL"/>
        </w:rPr>
        <w:t>rotokołu nr 7.</w:t>
      </w:r>
    </w:p>
    <w:p w:rsidR="00C15FA5" w:rsidRPr="0051003F" w:rsidRDefault="00C15FA5" w:rsidP="00C15FA5">
      <w:pPr>
        <w:pStyle w:val="ECHRPara"/>
        <w:rPr>
          <w:lang w:val="pl-PL"/>
        </w:rPr>
      </w:pPr>
      <w:r w:rsidRPr="0051003F">
        <w:rPr>
          <w:lang w:val="pl-PL"/>
        </w:rPr>
        <w:t xml:space="preserve">Podobnie w sprawie </w:t>
      </w:r>
      <w:proofErr w:type="spellStart"/>
      <w:r w:rsidRPr="0051003F">
        <w:rPr>
          <w:i/>
          <w:lang w:val="pl-PL"/>
        </w:rPr>
        <w:t>Boman</w:t>
      </w:r>
      <w:proofErr w:type="spellEnd"/>
      <w:r w:rsidRPr="0051003F">
        <w:rPr>
          <w:lang w:val="pl-PL"/>
        </w:rPr>
        <w:t xml:space="preserve">, przytoczonej powyżej, Trybunał uznał, że istnieje wystarczający materialny i czasowy związek pomiędzy, z jednej strony, postępowaniem karnym, w ramach którego skarżący został skazany i </w:t>
      </w:r>
      <w:r w:rsidR="002343A1">
        <w:rPr>
          <w:lang w:val="pl-PL"/>
        </w:rPr>
        <w:t>ukarany</w:t>
      </w:r>
      <w:r w:rsidR="002343A1" w:rsidRPr="0051003F">
        <w:rPr>
          <w:lang w:val="pl-PL"/>
        </w:rPr>
        <w:t xml:space="preserve"> </w:t>
      </w:r>
      <w:r w:rsidRPr="0051003F">
        <w:rPr>
          <w:lang w:val="pl-PL"/>
        </w:rPr>
        <w:t xml:space="preserve">(do 75 dni w przypadku </w:t>
      </w:r>
      <w:r w:rsidR="002343A1">
        <w:rPr>
          <w:lang w:val="pl-PL"/>
        </w:rPr>
        <w:t>grzywny</w:t>
      </w:r>
      <w:r w:rsidR="002343A1" w:rsidRPr="0051003F">
        <w:rPr>
          <w:lang w:val="pl-PL"/>
        </w:rPr>
        <w:t xml:space="preserve"> </w:t>
      </w:r>
      <w:r w:rsidRPr="0051003F">
        <w:rPr>
          <w:lang w:val="pl-PL"/>
        </w:rPr>
        <w:t>w wysokości 450 EUR) i zakazem prowadzenia pojazdu (na 4 miesiące i 3 tygodnie), a z drugiej strony, postępowaniem administracyjnym prowadzącym do przedłużenia zakazu prowadzenia pojazdów (o 1 miesiąc).</w:t>
      </w:r>
    </w:p>
    <w:p w:rsidR="00C15FA5" w:rsidRPr="0051003F" w:rsidRDefault="002343A1" w:rsidP="00C15FA5">
      <w:pPr>
        <w:pStyle w:val="ECHRPara"/>
        <w:rPr>
          <w:lang w:val="pl-PL"/>
        </w:rPr>
      </w:pPr>
      <w:r>
        <w:rPr>
          <w:lang w:val="pl-PL"/>
        </w:rPr>
        <w:t>114</w:t>
      </w:r>
      <w:r w:rsidR="003D51FF" w:rsidRPr="0051003F">
        <w:rPr>
          <w:lang w:val="pl-PL"/>
        </w:rPr>
        <w:t>.  </w:t>
      </w:r>
      <w:r w:rsidR="00C15FA5" w:rsidRPr="0051003F">
        <w:rPr>
          <w:lang w:val="pl-PL"/>
        </w:rPr>
        <w:t xml:space="preserve">W drugiej serii spraw Trybunał potwierdził, że równoległe postępowania nie były wykluczone w związku z nałożeniem kar podatkowych w postępowaniu administracyjnym, ściganiu, </w:t>
      </w:r>
      <w:r w:rsidR="007C653E" w:rsidRPr="0051003F">
        <w:rPr>
          <w:lang w:val="pl-PL"/>
        </w:rPr>
        <w:t xml:space="preserve"> </w:t>
      </w:r>
      <w:r w:rsidR="00C15FA5" w:rsidRPr="0051003F">
        <w:rPr>
          <w:lang w:val="pl-PL"/>
        </w:rPr>
        <w:t xml:space="preserve">i skazywaniu za oszustwa podatkowe w postępowaniu karnym, lecz stwierdził, że kryterium </w:t>
      </w:r>
      <w:r w:rsidR="0055607D">
        <w:rPr>
          <w:lang w:val="pl-PL"/>
        </w:rPr>
        <w:t>,,</w:t>
      </w:r>
      <w:r w:rsidR="00C15FA5" w:rsidRPr="0051003F">
        <w:rPr>
          <w:lang w:val="pl-PL"/>
        </w:rPr>
        <w:t xml:space="preserve">dostatecznie bliskiego związku (...) co do istoty i </w:t>
      </w:r>
      <w:r w:rsidR="0055607D">
        <w:rPr>
          <w:lang w:val="pl-PL"/>
        </w:rPr>
        <w:t>czasu</w:t>
      </w:r>
      <w:r w:rsidR="00C15FA5" w:rsidRPr="0051003F">
        <w:rPr>
          <w:lang w:val="pl-PL"/>
        </w:rPr>
        <w:t xml:space="preserve">" nie zostało spełnione w szczególnych okolicznościach, które są przedmiotem postępowania. Sprawy te dotyczyły Finlandii (w szczególności </w:t>
      </w:r>
      <w:proofErr w:type="spellStart"/>
      <w:r w:rsidR="00C15FA5" w:rsidRPr="0051003F">
        <w:rPr>
          <w:i/>
          <w:lang w:val="pl-PL"/>
        </w:rPr>
        <w:t>Glantz</w:t>
      </w:r>
      <w:proofErr w:type="spellEnd"/>
      <w:r w:rsidR="00C15FA5" w:rsidRPr="0051003F">
        <w:rPr>
          <w:lang w:val="pl-PL"/>
        </w:rPr>
        <w:t xml:space="preserve">, cytowany powyżej, § 57 i </w:t>
      </w:r>
      <w:proofErr w:type="spellStart"/>
      <w:r w:rsidR="00C15FA5" w:rsidRPr="0051003F">
        <w:rPr>
          <w:i/>
          <w:lang w:val="pl-PL"/>
        </w:rPr>
        <w:t>Nykänen</w:t>
      </w:r>
      <w:proofErr w:type="spellEnd"/>
      <w:r w:rsidR="00C15FA5" w:rsidRPr="0051003F">
        <w:rPr>
          <w:lang w:val="pl-PL"/>
        </w:rPr>
        <w:t>, cytowany powyżej, § 47) oraz Szwecji (</w:t>
      </w:r>
      <w:proofErr w:type="spellStart"/>
      <w:r w:rsidR="00C15FA5" w:rsidRPr="0051003F">
        <w:rPr>
          <w:i/>
          <w:lang w:val="pl-PL"/>
        </w:rPr>
        <w:t>Lucky</w:t>
      </w:r>
      <w:proofErr w:type="spellEnd"/>
      <w:r w:rsidR="00C15FA5" w:rsidRPr="0051003F">
        <w:rPr>
          <w:i/>
          <w:lang w:val="pl-PL"/>
        </w:rPr>
        <w:t xml:space="preserve"> </w:t>
      </w:r>
      <w:proofErr w:type="spellStart"/>
      <w:r w:rsidR="00C15FA5" w:rsidRPr="0051003F">
        <w:rPr>
          <w:i/>
          <w:lang w:val="pl-PL"/>
        </w:rPr>
        <w:t>Dev</w:t>
      </w:r>
      <w:proofErr w:type="spellEnd"/>
      <w:r w:rsidR="00C15FA5" w:rsidRPr="0051003F">
        <w:rPr>
          <w:i/>
          <w:lang w:val="pl-PL"/>
        </w:rPr>
        <w:t xml:space="preserve"> przeciwko Szwecji</w:t>
      </w:r>
      <w:r w:rsidR="00C15FA5" w:rsidRPr="0051003F">
        <w:rPr>
          <w:lang w:val="pl-PL"/>
        </w:rPr>
        <w:t>, nr 7356/10, § 58,27 listopada 2014 r</w:t>
      </w:r>
      <w:r w:rsidR="0055607D">
        <w:rPr>
          <w:lang w:val="pl-PL"/>
        </w:rPr>
        <w:t>oku</w:t>
      </w:r>
      <w:r w:rsidR="00C15FA5" w:rsidRPr="0051003F">
        <w:rPr>
          <w:lang w:val="pl-PL"/>
        </w:rPr>
        <w:t xml:space="preserve">). W sprawie </w:t>
      </w:r>
      <w:proofErr w:type="spellStart"/>
      <w:r w:rsidR="00C15FA5" w:rsidRPr="0051003F">
        <w:rPr>
          <w:i/>
          <w:lang w:val="pl-PL"/>
        </w:rPr>
        <w:t>Nykänen</w:t>
      </w:r>
      <w:proofErr w:type="spellEnd"/>
      <w:r w:rsidR="00C15FA5" w:rsidRPr="0051003F">
        <w:rPr>
          <w:lang w:val="pl-PL"/>
        </w:rPr>
        <w:t>, w której przedstawiono podejście przyjęte w innych sprawach przeciwko Finlandii i Szwecji, Trybunał ustalił, że w ramach fińskiego systemu sankcje karne i administracyjne zostały nałożone przez różne organy, a postępowanie nie było w żaden sposób ze sobą powiązane: oba postępowania przebiegały w odrębny sposób i stały się ostateczne niezależnie od siebie. Ponadto żadna z sankcji nie została uwzględnion</w:t>
      </w:r>
      <w:r w:rsidR="0055607D">
        <w:rPr>
          <w:lang w:val="pl-PL"/>
        </w:rPr>
        <w:t>a</w:t>
      </w:r>
      <w:r w:rsidR="00C15FA5" w:rsidRPr="0051003F">
        <w:rPr>
          <w:lang w:val="pl-PL"/>
        </w:rPr>
        <w:t xml:space="preserve"> przez inny sąd ani organ drugiej instancji przy określaniu surowości sankcji, ani też nie istniały żadne inne interakcje między właściwymi organami. Co ważniejsze, w ramach fińskiego systemu sankcje podatkowe zostały nałożone po zbadaniu zachowania skarżącego i jego odpowiedzialności na mocy odpowiednich przepisów podatkowych, które były niezależne od ocen dokonanych w postępowaniu karnym. Podsumowując, Trybunał orzekł, że miało miejsce naruszenie art. 4 </w:t>
      </w:r>
      <w:r w:rsidR="00841DBC">
        <w:rPr>
          <w:lang w:val="pl-PL"/>
        </w:rPr>
        <w:t>P</w:t>
      </w:r>
      <w:r w:rsidR="00C15FA5" w:rsidRPr="0051003F">
        <w:rPr>
          <w:lang w:val="pl-PL"/>
        </w:rPr>
        <w:t>rotokołu nr 7, ponieważ skarżący został dwukrotnie skazany za tę samą sprawę w dwóch odrębnych postępowaniach.</w:t>
      </w:r>
    </w:p>
    <w:p w:rsidR="00C15FA5" w:rsidRPr="0051003F" w:rsidRDefault="00C15FA5" w:rsidP="00C15FA5">
      <w:pPr>
        <w:pStyle w:val="ECHRPara"/>
        <w:rPr>
          <w:rFonts w:cs="Times New Roman"/>
          <w:iCs/>
          <w:lang w:val="pl-PL"/>
        </w:rPr>
      </w:pPr>
      <w:r w:rsidRPr="0051003F">
        <w:rPr>
          <w:rFonts w:cs="Times New Roman"/>
          <w:iCs/>
          <w:lang w:val="pl-PL"/>
        </w:rPr>
        <w:lastRenderedPageBreak/>
        <w:t xml:space="preserve">Identyczne (lub prawie identyczne) rozumowanie i wnioski można znaleźć w odniesieniu do podobnych faktów w sprawach </w:t>
      </w:r>
      <w:proofErr w:type="spellStart"/>
      <w:r w:rsidRPr="0051003F">
        <w:rPr>
          <w:rFonts w:cs="Times New Roman"/>
          <w:i/>
          <w:iCs/>
          <w:lang w:val="pl-PL"/>
        </w:rPr>
        <w:t>Rinas</w:t>
      </w:r>
      <w:proofErr w:type="spellEnd"/>
      <w:r w:rsidRPr="0051003F">
        <w:rPr>
          <w:rFonts w:cs="Times New Roman"/>
          <w:i/>
          <w:iCs/>
          <w:lang w:val="pl-PL"/>
        </w:rPr>
        <w:t xml:space="preserve"> przeciwko Finlandii</w:t>
      </w:r>
      <w:r w:rsidRPr="0051003F">
        <w:rPr>
          <w:rFonts w:cs="Times New Roman"/>
          <w:iCs/>
          <w:lang w:val="pl-PL"/>
        </w:rPr>
        <w:t>, nr 17039/13,</w:t>
      </w:r>
      <w:r w:rsidR="00841DBC">
        <w:rPr>
          <w:rFonts w:cs="Times New Roman"/>
          <w:iCs/>
          <w:lang w:val="pl-PL"/>
        </w:rPr>
        <w:t xml:space="preserve"> </w:t>
      </w:r>
      <w:r w:rsidRPr="0051003F">
        <w:rPr>
          <w:rFonts w:cs="Times New Roman"/>
          <w:iCs/>
          <w:lang w:val="pl-PL"/>
        </w:rPr>
        <w:t>27 stycznia 2015 r</w:t>
      </w:r>
      <w:r w:rsidR="00841DBC">
        <w:rPr>
          <w:rFonts w:cs="Times New Roman"/>
          <w:iCs/>
          <w:lang w:val="pl-PL"/>
        </w:rPr>
        <w:t>oku</w:t>
      </w:r>
      <w:r w:rsidRPr="0051003F">
        <w:rPr>
          <w:rFonts w:cs="Times New Roman"/>
          <w:iCs/>
          <w:lang w:val="pl-PL"/>
        </w:rPr>
        <w:t xml:space="preserve"> i </w:t>
      </w:r>
      <w:proofErr w:type="spellStart"/>
      <w:r w:rsidRPr="0051003F">
        <w:rPr>
          <w:rFonts w:cs="Times New Roman"/>
          <w:i/>
          <w:iCs/>
          <w:lang w:val="pl-PL"/>
        </w:rPr>
        <w:t>Österlund</w:t>
      </w:r>
      <w:proofErr w:type="spellEnd"/>
      <w:r w:rsidRPr="0051003F">
        <w:rPr>
          <w:rFonts w:cs="Times New Roman"/>
          <w:i/>
          <w:iCs/>
          <w:lang w:val="pl-PL"/>
        </w:rPr>
        <w:t xml:space="preserve"> przeciwko Finlandii</w:t>
      </w:r>
      <w:r w:rsidRPr="0051003F">
        <w:rPr>
          <w:rFonts w:cs="Times New Roman"/>
          <w:iCs/>
          <w:lang w:val="pl-PL"/>
        </w:rPr>
        <w:t>, nr 53197/13,10 lutego 2015 r</w:t>
      </w:r>
      <w:r w:rsidR="00841DBC">
        <w:rPr>
          <w:rFonts w:cs="Times New Roman"/>
          <w:iCs/>
          <w:lang w:val="pl-PL"/>
        </w:rPr>
        <w:t>oku</w:t>
      </w:r>
    </w:p>
    <w:p w:rsidR="00C15FA5" w:rsidRPr="0051003F" w:rsidRDefault="00C15FA5" w:rsidP="00C15FA5">
      <w:pPr>
        <w:pStyle w:val="ECHRPara"/>
        <w:rPr>
          <w:snapToGrid w:val="0"/>
          <w:lang w:val="pl-PL"/>
        </w:rPr>
      </w:pPr>
      <w:r w:rsidRPr="0051003F">
        <w:rPr>
          <w:snapToGrid w:val="0"/>
          <w:lang w:val="pl-PL"/>
        </w:rPr>
        <w:t>Należy zauważyć, że chociaż w niektórych z tych wyroków (</w:t>
      </w:r>
      <w:proofErr w:type="spellStart"/>
      <w:r w:rsidRPr="0051003F">
        <w:rPr>
          <w:i/>
          <w:snapToGrid w:val="0"/>
          <w:lang w:val="pl-PL"/>
        </w:rPr>
        <w:t>Nykänen</w:t>
      </w:r>
      <w:proofErr w:type="spellEnd"/>
      <w:r w:rsidRPr="0051003F">
        <w:rPr>
          <w:i/>
          <w:snapToGrid w:val="0"/>
          <w:lang w:val="pl-PL"/>
        </w:rPr>
        <w:t xml:space="preserve">, </w:t>
      </w:r>
      <w:proofErr w:type="spellStart"/>
      <w:r w:rsidRPr="0051003F">
        <w:rPr>
          <w:i/>
          <w:snapToGrid w:val="0"/>
          <w:lang w:val="pl-PL"/>
        </w:rPr>
        <w:t>Glantz</w:t>
      </w:r>
      <w:proofErr w:type="spellEnd"/>
      <w:r w:rsidRPr="0051003F">
        <w:rPr>
          <w:i/>
          <w:snapToGrid w:val="0"/>
          <w:lang w:val="pl-PL"/>
        </w:rPr>
        <w:t xml:space="preserve">, </w:t>
      </w:r>
      <w:proofErr w:type="spellStart"/>
      <w:r w:rsidRPr="0051003F">
        <w:rPr>
          <w:i/>
          <w:snapToGrid w:val="0"/>
          <w:lang w:val="pl-PL"/>
        </w:rPr>
        <w:t>Lucky</w:t>
      </w:r>
      <w:proofErr w:type="spellEnd"/>
      <w:r w:rsidRPr="0051003F">
        <w:rPr>
          <w:i/>
          <w:snapToGrid w:val="0"/>
          <w:lang w:val="pl-PL"/>
        </w:rPr>
        <w:t xml:space="preserve"> </w:t>
      </w:r>
      <w:proofErr w:type="spellStart"/>
      <w:r w:rsidRPr="0051003F">
        <w:rPr>
          <w:i/>
          <w:snapToGrid w:val="0"/>
          <w:lang w:val="pl-PL"/>
        </w:rPr>
        <w:t>Dev</w:t>
      </w:r>
      <w:proofErr w:type="spellEnd"/>
      <w:r w:rsidRPr="0051003F">
        <w:rPr>
          <w:i/>
          <w:snapToGrid w:val="0"/>
          <w:lang w:val="pl-PL"/>
        </w:rPr>
        <w:t xml:space="preserve">, </w:t>
      </w:r>
      <w:proofErr w:type="spellStart"/>
      <w:r w:rsidRPr="0051003F">
        <w:rPr>
          <w:i/>
          <w:snapToGrid w:val="0"/>
          <w:lang w:val="pl-PL"/>
        </w:rPr>
        <w:t>Rinas</w:t>
      </w:r>
      <w:proofErr w:type="spellEnd"/>
      <w:r w:rsidRPr="0051003F">
        <w:rPr>
          <w:i/>
          <w:snapToGrid w:val="0"/>
          <w:lang w:val="pl-PL"/>
        </w:rPr>
        <w:t xml:space="preserve">, </w:t>
      </w:r>
      <w:proofErr w:type="spellStart"/>
      <w:r w:rsidRPr="0051003F">
        <w:rPr>
          <w:i/>
          <w:snapToGrid w:val="0"/>
          <w:lang w:val="pl-PL"/>
        </w:rPr>
        <w:t>Österlund</w:t>
      </w:r>
      <w:proofErr w:type="spellEnd"/>
      <w:r w:rsidRPr="0051003F">
        <w:rPr>
          <w:snapToGrid w:val="0"/>
          <w:lang w:val="pl-PL"/>
        </w:rPr>
        <w:t xml:space="preserve">) oba postępowania toczyły się w dużej mierze równolegle, sam związek czasowy został oczywiście uznany za niewystarczający, aby wykluczyć zastosowanie zakazu </w:t>
      </w:r>
      <w:proofErr w:type="spellStart"/>
      <w:r w:rsidRPr="0051003F">
        <w:rPr>
          <w:i/>
          <w:snapToGrid w:val="0"/>
          <w:lang w:val="pl-PL"/>
        </w:rPr>
        <w:t>ne</w:t>
      </w:r>
      <w:proofErr w:type="spellEnd"/>
      <w:r w:rsidRPr="0051003F">
        <w:rPr>
          <w:i/>
          <w:snapToGrid w:val="0"/>
          <w:lang w:val="pl-PL"/>
        </w:rPr>
        <w:t xml:space="preserve"> bis in </w:t>
      </w:r>
      <w:proofErr w:type="spellStart"/>
      <w:r w:rsidRPr="0051003F">
        <w:rPr>
          <w:i/>
          <w:snapToGrid w:val="0"/>
          <w:lang w:val="pl-PL"/>
        </w:rPr>
        <w:t>idem</w:t>
      </w:r>
      <w:proofErr w:type="spellEnd"/>
      <w:r w:rsidRPr="0051003F">
        <w:rPr>
          <w:snapToGrid w:val="0"/>
          <w:lang w:val="pl-PL"/>
        </w:rPr>
        <w:t xml:space="preserve">. Nie wydaje się nierozsądne wywnioskować z tych wyroków w sprawach przeciwko Finlandii i Szwecji, że biorąc pod uwagę fakt, iż oba postępowania toczyły się w dużej mierze w tym samym czasie, w szczególnych okolicznościach to brak istotnego związku doprowadził do naruszenia art. 4 </w:t>
      </w:r>
      <w:r w:rsidR="00365C21">
        <w:rPr>
          <w:snapToGrid w:val="0"/>
          <w:lang w:val="pl-PL"/>
        </w:rPr>
        <w:t>P</w:t>
      </w:r>
      <w:r w:rsidRPr="0051003F">
        <w:rPr>
          <w:snapToGrid w:val="0"/>
          <w:lang w:val="pl-PL"/>
        </w:rPr>
        <w:t>rotokołu nr 7</w:t>
      </w:r>
      <w:r w:rsidR="00365C21">
        <w:rPr>
          <w:snapToGrid w:val="0"/>
          <w:lang w:val="pl-PL"/>
        </w:rPr>
        <w:t>.</w:t>
      </w:r>
    </w:p>
    <w:p w:rsidR="00506EBF" w:rsidRPr="0051003F" w:rsidRDefault="00365C21" w:rsidP="00506EBF">
      <w:pPr>
        <w:pStyle w:val="ECHRPara"/>
        <w:rPr>
          <w:snapToGrid w:val="0"/>
          <w:color w:val="000000"/>
          <w:lang w:val="pl-PL"/>
        </w:rPr>
      </w:pPr>
      <w:r>
        <w:rPr>
          <w:snapToGrid w:val="0"/>
          <w:color w:val="000000"/>
          <w:lang w:val="pl-PL"/>
        </w:rPr>
        <w:t>115</w:t>
      </w:r>
      <w:r w:rsidR="003D51FF" w:rsidRPr="0051003F">
        <w:rPr>
          <w:snapToGrid w:val="0"/>
          <w:color w:val="000000"/>
          <w:lang w:val="pl-PL"/>
        </w:rPr>
        <w:t>.  </w:t>
      </w:r>
      <w:r w:rsidR="00506EBF" w:rsidRPr="0051003F">
        <w:rPr>
          <w:snapToGrid w:val="0"/>
          <w:color w:val="000000"/>
          <w:lang w:val="pl-PL"/>
        </w:rPr>
        <w:t xml:space="preserve">W trzecim nurcie orzecznictwa, w którym postępowanie toczyło się równolegle przez pewien okres czasu, Trybunał stwierdził naruszenie, ale nie odniósł się do kryterium </w:t>
      </w:r>
      <w:proofErr w:type="spellStart"/>
      <w:r w:rsidR="00506EBF" w:rsidRPr="0051003F">
        <w:rPr>
          <w:i/>
          <w:snapToGrid w:val="0"/>
          <w:color w:val="000000"/>
          <w:lang w:val="pl-PL"/>
        </w:rPr>
        <w:t>Nilssona</w:t>
      </w:r>
      <w:proofErr w:type="spellEnd"/>
      <w:r w:rsidR="00506EBF" w:rsidRPr="0051003F">
        <w:rPr>
          <w:snapToGrid w:val="0"/>
          <w:color w:val="000000"/>
          <w:lang w:val="pl-PL"/>
        </w:rPr>
        <w:t xml:space="preserve">, zgodnie z którym „wystarczająco ścisły związek (...) co do istoty i </w:t>
      </w:r>
      <w:r>
        <w:rPr>
          <w:snapToGrid w:val="0"/>
          <w:color w:val="000000"/>
          <w:lang w:val="pl-PL"/>
        </w:rPr>
        <w:t>czasu</w:t>
      </w:r>
      <w:r w:rsidR="00506EBF" w:rsidRPr="0051003F">
        <w:rPr>
          <w:snapToGrid w:val="0"/>
          <w:color w:val="000000"/>
          <w:lang w:val="pl-PL"/>
        </w:rPr>
        <w:t>”.</w:t>
      </w:r>
    </w:p>
    <w:p w:rsidR="00506EBF" w:rsidRPr="0051003F" w:rsidRDefault="00506EBF" w:rsidP="00506EBF">
      <w:pPr>
        <w:pStyle w:val="ECHRPara"/>
        <w:rPr>
          <w:lang w:val="pl-PL"/>
        </w:rPr>
      </w:pPr>
      <w:r w:rsidRPr="0051003F">
        <w:rPr>
          <w:lang w:val="pl-PL"/>
        </w:rPr>
        <w:t xml:space="preserve">W </w:t>
      </w:r>
      <w:proofErr w:type="spellStart"/>
      <w:r w:rsidRPr="0051003F">
        <w:rPr>
          <w:i/>
          <w:lang w:val="pl-PL"/>
        </w:rPr>
        <w:t>Tomasovi</w:t>
      </w:r>
      <w:proofErr w:type="spellEnd"/>
      <w:r w:rsidRPr="0051003F">
        <w:rPr>
          <w:lang w:val="pl-PL"/>
        </w:rPr>
        <w:t xml:space="preserve"> (cytowany powyżej §§ 5-10 i 30-32) skarżący był dwukrotnie ścigany i skazany za to samo przestępstwo posiadania narkotyków, najpierw jako „przestępstwo mniejszej wagi” (według drugiego i trzeciego kryterium </w:t>
      </w:r>
      <w:proofErr w:type="spellStart"/>
      <w:r w:rsidRPr="0051003F">
        <w:rPr>
          <w:i/>
          <w:lang w:val="pl-PL"/>
        </w:rPr>
        <w:t>Engela</w:t>
      </w:r>
      <w:proofErr w:type="spellEnd"/>
      <w:r w:rsidRPr="0051003F">
        <w:rPr>
          <w:lang w:val="pl-PL"/>
        </w:rPr>
        <w:t xml:space="preserve"> (ibid. §§ 22-25), a następnie jako „przestępstwo”. W związku z tym, że postępowanie w drugiej instancji nie zostało umorzone po </w:t>
      </w:r>
      <w:r w:rsidR="000D6509">
        <w:rPr>
          <w:lang w:val="pl-PL"/>
        </w:rPr>
        <w:t>zakończeniu pierwszego</w:t>
      </w:r>
      <w:r w:rsidR="000D6509" w:rsidRPr="0051003F">
        <w:rPr>
          <w:lang w:val="pl-PL"/>
        </w:rPr>
        <w:t xml:space="preserve"> </w:t>
      </w:r>
      <w:r w:rsidRPr="0051003F">
        <w:rPr>
          <w:lang w:val="pl-PL"/>
        </w:rPr>
        <w:t xml:space="preserve">postępowania, Trybunał uznał za oczywiste, że miało miejsce </w:t>
      </w:r>
      <w:r w:rsidR="000D6509">
        <w:rPr>
          <w:lang w:val="pl-PL"/>
        </w:rPr>
        <w:t>z</w:t>
      </w:r>
      <w:r w:rsidRPr="0051003F">
        <w:rPr>
          <w:lang w:val="pl-PL"/>
        </w:rPr>
        <w:t xml:space="preserve">dublowanie postępowania karnego z naruszeniem art. 4 </w:t>
      </w:r>
      <w:r w:rsidR="000D6509">
        <w:rPr>
          <w:lang w:val="pl-PL"/>
        </w:rPr>
        <w:t>P</w:t>
      </w:r>
      <w:r w:rsidRPr="0051003F">
        <w:rPr>
          <w:lang w:val="pl-PL"/>
        </w:rPr>
        <w:t xml:space="preserve">rotokołu nr 7 (zob. podobnie sprawa </w:t>
      </w:r>
      <w:proofErr w:type="spellStart"/>
      <w:r w:rsidRPr="0051003F">
        <w:rPr>
          <w:i/>
          <w:lang w:val="pl-PL"/>
        </w:rPr>
        <w:t>Muslija</w:t>
      </w:r>
      <w:proofErr w:type="spellEnd"/>
      <w:r w:rsidRPr="0051003F">
        <w:rPr>
          <w:lang w:val="pl-PL"/>
        </w:rPr>
        <w:t>, przywołana powyżej, §§ 28 32 i 37, w związku z zadawaniem krzywd cielesnych)</w:t>
      </w:r>
    </w:p>
    <w:p w:rsidR="00506EBF" w:rsidRPr="0051003F" w:rsidRDefault="00506EBF" w:rsidP="00506EBF">
      <w:pPr>
        <w:pStyle w:val="ECHRPara"/>
        <w:rPr>
          <w:lang w:val="pl-PL"/>
        </w:rPr>
      </w:pPr>
      <w:r w:rsidRPr="0051003F">
        <w:rPr>
          <w:lang w:val="pl-PL"/>
        </w:rPr>
        <w:t>Podobnie w sprawie Grande Stevens i inni przeciwko Włochom (nr. 18640/10,18647/10,18663/10,18663/10,18668/10 i 18698/10 z dnia 4 marca 2014 r</w:t>
      </w:r>
      <w:r w:rsidR="000D6509">
        <w:rPr>
          <w:lang w:val="pl-PL"/>
        </w:rPr>
        <w:t>oku</w:t>
      </w:r>
      <w:r w:rsidRPr="0051003F">
        <w:rPr>
          <w:lang w:val="pl-PL"/>
        </w:rPr>
        <w:t xml:space="preserve">) Trybunał stwierdził, że toczyło się podwójne postępowanie </w:t>
      </w:r>
      <w:r w:rsidR="00AA368B">
        <w:rPr>
          <w:lang w:val="pl-PL"/>
        </w:rPr>
        <w:t>w sprawie oszustwa</w:t>
      </w:r>
      <w:r w:rsidRPr="0051003F">
        <w:rPr>
          <w:lang w:val="pl-PL"/>
        </w:rPr>
        <w:t xml:space="preserve">, a mianowicie manipulacji na rynku polegającej na rozpowszechnianiu fałszywych informacji: </w:t>
      </w:r>
      <w:r w:rsidR="00AA368B">
        <w:rPr>
          <w:lang w:val="pl-PL"/>
        </w:rPr>
        <w:t>jedna część</w:t>
      </w:r>
      <w:r w:rsidRPr="0051003F">
        <w:rPr>
          <w:lang w:val="pl-PL"/>
        </w:rPr>
        <w:t xml:space="preserve"> postępowań administracyjnych (od dnia 9 lutego 2007 r</w:t>
      </w:r>
      <w:r w:rsidR="00AA368B">
        <w:rPr>
          <w:lang w:val="pl-PL"/>
        </w:rPr>
        <w:t>oku</w:t>
      </w:r>
      <w:r w:rsidRPr="0051003F">
        <w:rPr>
          <w:lang w:val="pl-PL"/>
        </w:rPr>
        <w:t xml:space="preserve"> do dnia 23 czerwca 2009 r</w:t>
      </w:r>
      <w:r w:rsidR="00AA368B">
        <w:rPr>
          <w:lang w:val="pl-PL"/>
        </w:rPr>
        <w:t>oku</w:t>
      </w:r>
      <w:r w:rsidRPr="0051003F">
        <w:rPr>
          <w:lang w:val="pl-PL"/>
        </w:rPr>
        <w:t xml:space="preserve">), które zgodnie z kryteriami </w:t>
      </w:r>
      <w:proofErr w:type="spellStart"/>
      <w:r w:rsidRPr="00486852">
        <w:rPr>
          <w:i/>
          <w:lang w:val="pl-PL"/>
        </w:rPr>
        <w:t>Engela</w:t>
      </w:r>
      <w:proofErr w:type="spellEnd"/>
      <w:r w:rsidRPr="0051003F">
        <w:rPr>
          <w:lang w:val="pl-PL"/>
        </w:rPr>
        <w:t xml:space="preserve"> zostały uznane za </w:t>
      </w:r>
      <w:r w:rsidR="00335A38">
        <w:rPr>
          <w:lang w:val="pl-PL"/>
        </w:rPr>
        <w:t>,,</w:t>
      </w:r>
      <w:r w:rsidRPr="0051003F">
        <w:rPr>
          <w:lang w:val="pl-PL"/>
        </w:rPr>
        <w:t>karne", został</w:t>
      </w:r>
      <w:r w:rsidR="00335A38">
        <w:rPr>
          <w:lang w:val="pl-PL"/>
        </w:rPr>
        <w:t>a</w:t>
      </w:r>
      <w:r w:rsidRPr="0051003F">
        <w:rPr>
          <w:lang w:val="pl-PL"/>
        </w:rPr>
        <w:t xml:space="preserve"> </w:t>
      </w:r>
      <w:r w:rsidR="00335A38" w:rsidRPr="0051003F">
        <w:rPr>
          <w:lang w:val="pl-PL"/>
        </w:rPr>
        <w:t>wszczęt</w:t>
      </w:r>
      <w:r w:rsidR="00335A38">
        <w:rPr>
          <w:lang w:val="pl-PL"/>
        </w:rPr>
        <w:t>a</w:t>
      </w:r>
      <w:r w:rsidR="00335A38" w:rsidRPr="0051003F">
        <w:rPr>
          <w:lang w:val="pl-PL"/>
        </w:rPr>
        <w:t xml:space="preserve"> </w:t>
      </w:r>
      <w:r w:rsidRPr="0051003F">
        <w:rPr>
          <w:lang w:val="pl-PL"/>
        </w:rPr>
        <w:t xml:space="preserve">przed Krajową Komisją Spółek i Giełdy Papierów Wartościowych (Komisją ds. Korporacji i Giełdy Papierów Wartościowych (Komisją </w:t>
      </w:r>
      <w:proofErr w:type="spellStart"/>
      <w:r w:rsidRPr="0051003F">
        <w:rPr>
          <w:lang w:val="pl-PL"/>
        </w:rPr>
        <w:t>Nazionale</w:t>
      </w:r>
      <w:proofErr w:type="spellEnd"/>
      <w:r w:rsidRPr="0051003F">
        <w:rPr>
          <w:lang w:val="pl-PL"/>
        </w:rPr>
        <w:t xml:space="preserve"> per le </w:t>
      </w:r>
      <w:proofErr w:type="spellStart"/>
      <w:r w:rsidRPr="0051003F">
        <w:rPr>
          <w:lang w:val="pl-PL"/>
        </w:rPr>
        <w:t>Societa</w:t>
      </w:r>
      <w:proofErr w:type="spellEnd"/>
      <w:r w:rsidRPr="0051003F">
        <w:rPr>
          <w:lang w:val="pl-PL"/>
        </w:rPr>
        <w:t xml:space="preserve"> e la </w:t>
      </w:r>
      <w:proofErr w:type="spellStart"/>
      <w:r w:rsidRPr="0051003F">
        <w:rPr>
          <w:lang w:val="pl-PL"/>
        </w:rPr>
        <w:t>Borsa</w:t>
      </w:r>
      <w:proofErr w:type="spellEnd"/>
      <w:r w:rsidRPr="0051003F">
        <w:rPr>
          <w:lang w:val="pl-PL"/>
        </w:rPr>
        <w:t xml:space="preserve"> - "CONSOB"), a następnie wniesiono odwołania do Sądu Apelacyjnego i Sądu Kasacyjnego </w:t>
      </w:r>
      <w:r w:rsidR="00335A38">
        <w:rPr>
          <w:lang w:val="pl-PL"/>
        </w:rPr>
        <w:t xml:space="preserve">po czym </w:t>
      </w:r>
      <w:r w:rsidRPr="0051003F">
        <w:rPr>
          <w:lang w:val="pl-PL"/>
        </w:rPr>
        <w:t>zakończono nałożeniem kary pieniężnej w wysokości 3 000 000 000 EUR (oraz zakaz</w:t>
      </w:r>
      <w:r w:rsidR="00335A38">
        <w:rPr>
          <w:lang w:val="pl-PL"/>
        </w:rPr>
        <w:t>em</w:t>
      </w:r>
      <w:r w:rsidRPr="0051003F">
        <w:rPr>
          <w:lang w:val="pl-PL"/>
        </w:rPr>
        <w:t xml:space="preserve"> prowadzenia działalności gospodarczej); </w:t>
      </w:r>
      <w:r w:rsidR="00874D17">
        <w:rPr>
          <w:lang w:val="pl-PL"/>
        </w:rPr>
        <w:t>drugą część</w:t>
      </w:r>
      <w:r w:rsidRPr="0051003F">
        <w:rPr>
          <w:lang w:val="pl-PL"/>
        </w:rPr>
        <w:t xml:space="preserve"> </w:t>
      </w:r>
      <w:r w:rsidR="00874D17">
        <w:rPr>
          <w:lang w:val="pl-PL"/>
        </w:rPr>
        <w:t>stanowi</w:t>
      </w:r>
      <w:r w:rsidR="00874D17" w:rsidRPr="0051003F">
        <w:rPr>
          <w:lang w:val="pl-PL"/>
        </w:rPr>
        <w:t xml:space="preserve"> </w:t>
      </w:r>
      <w:r w:rsidRPr="0051003F">
        <w:rPr>
          <w:lang w:val="pl-PL"/>
        </w:rPr>
        <w:t>postępowanie karne (od dnia 7 listopada 2008 r</w:t>
      </w:r>
      <w:r w:rsidR="00874D17">
        <w:rPr>
          <w:lang w:val="pl-PL"/>
        </w:rPr>
        <w:t>oku</w:t>
      </w:r>
      <w:r w:rsidRPr="0051003F">
        <w:rPr>
          <w:lang w:val="pl-PL"/>
        </w:rPr>
        <w:t xml:space="preserve"> do dnia 28 lutego 2013 r</w:t>
      </w:r>
      <w:r w:rsidR="00874D17">
        <w:rPr>
          <w:lang w:val="pl-PL"/>
        </w:rPr>
        <w:t>oku</w:t>
      </w:r>
      <w:r w:rsidRPr="0051003F">
        <w:rPr>
          <w:lang w:val="pl-PL"/>
        </w:rPr>
        <w:t xml:space="preserve"> i później, nadal nierozstrzygnięte w momencie wydawania wyroku) prowadzone przed Sądem Okręgowym, Sądem Kasacyjnym i Sądem Apelacyjnym. Stwierdzenie, że nowe postępowanie dotyczyło drugiego </w:t>
      </w:r>
      <w:r w:rsidR="00874D17">
        <w:rPr>
          <w:lang w:val="pl-PL"/>
        </w:rPr>
        <w:lastRenderedPageBreak/>
        <w:t>,,</w:t>
      </w:r>
      <w:r w:rsidRPr="0051003F">
        <w:rPr>
          <w:lang w:val="pl-PL"/>
        </w:rPr>
        <w:t xml:space="preserve">przestępstwa" popełnionego </w:t>
      </w:r>
      <w:r w:rsidR="00874D17">
        <w:rPr>
          <w:lang w:val="pl-PL"/>
        </w:rPr>
        <w:t>w sposób</w:t>
      </w:r>
      <w:r w:rsidRPr="0051003F">
        <w:rPr>
          <w:lang w:val="pl-PL"/>
        </w:rPr>
        <w:t xml:space="preserve"> identycznych z tymi, które były przedmiotem pierwszego i ostatniego wyroku skazującego, wystarczyło Trybunałowi do stwierdzenia naruszenia art. 4 </w:t>
      </w:r>
      <w:r w:rsidR="00874D17">
        <w:rPr>
          <w:lang w:val="pl-PL"/>
        </w:rPr>
        <w:t>P</w:t>
      </w:r>
      <w:r w:rsidRPr="0051003F">
        <w:rPr>
          <w:lang w:val="pl-PL"/>
        </w:rPr>
        <w:t xml:space="preserve">rotokołu nr </w:t>
      </w:r>
      <w:r w:rsidR="00874D17">
        <w:rPr>
          <w:lang w:val="pl-PL"/>
        </w:rPr>
        <w:t>7.</w:t>
      </w:r>
    </w:p>
    <w:p w:rsidR="00506EBF" w:rsidRPr="0051003F" w:rsidRDefault="00506EBF" w:rsidP="00506EBF">
      <w:pPr>
        <w:pStyle w:val="ECHRPara"/>
        <w:rPr>
          <w:lang w:val="pl-PL"/>
        </w:rPr>
      </w:pPr>
    </w:p>
    <w:p w:rsidR="00506EBF" w:rsidRPr="0051003F" w:rsidRDefault="008F3B24" w:rsidP="00506EBF">
      <w:pPr>
        <w:pStyle w:val="ECHRPara"/>
        <w:rPr>
          <w:lang w:val="pl-PL"/>
        </w:rPr>
      </w:pPr>
      <w:r>
        <w:rPr>
          <w:lang w:val="pl-PL"/>
        </w:rPr>
        <w:t>116</w:t>
      </w:r>
      <w:r w:rsidR="009C5961" w:rsidRPr="0051003F">
        <w:rPr>
          <w:lang w:val="pl-PL"/>
        </w:rPr>
        <w:t>.  </w:t>
      </w:r>
      <w:r w:rsidR="00506EBF" w:rsidRPr="0051003F">
        <w:rPr>
          <w:lang w:val="pl-PL"/>
        </w:rPr>
        <w:t xml:space="preserve"> Po czwarte, kolejną i wyraźną ilustracją braku istotnego związku bez konkretnego odniesienia do wyżej wspomnianego testu </w:t>
      </w:r>
      <w:proofErr w:type="spellStart"/>
      <w:r w:rsidR="00506EBF" w:rsidRPr="0051003F">
        <w:rPr>
          <w:i/>
          <w:lang w:val="pl-PL"/>
        </w:rPr>
        <w:t>Nilssona</w:t>
      </w:r>
      <w:proofErr w:type="spellEnd"/>
      <w:r w:rsidR="00506EBF" w:rsidRPr="0051003F">
        <w:rPr>
          <w:lang w:val="pl-PL"/>
        </w:rPr>
        <w:t xml:space="preserve"> jest </w:t>
      </w:r>
      <w:proofErr w:type="spellStart"/>
      <w:r w:rsidR="00506EBF" w:rsidRPr="0051003F">
        <w:rPr>
          <w:i/>
          <w:lang w:val="pl-PL"/>
        </w:rPr>
        <w:t>Kapetanios</w:t>
      </w:r>
      <w:proofErr w:type="spellEnd"/>
      <w:r w:rsidR="00506EBF" w:rsidRPr="0051003F">
        <w:rPr>
          <w:i/>
          <w:lang w:val="pl-PL"/>
        </w:rPr>
        <w:t xml:space="preserve"> i inni</w:t>
      </w:r>
      <w:r w:rsidR="00506EBF" w:rsidRPr="0051003F">
        <w:rPr>
          <w:lang w:val="pl-PL"/>
        </w:rPr>
        <w:t xml:space="preserve"> (cytowane powyżej), co zostało potwierdzone przez </w:t>
      </w:r>
      <w:proofErr w:type="spellStart"/>
      <w:r w:rsidR="00506EBF" w:rsidRPr="0051003F">
        <w:rPr>
          <w:i/>
          <w:lang w:val="pl-PL"/>
        </w:rPr>
        <w:t>Sismanidis</w:t>
      </w:r>
      <w:proofErr w:type="spellEnd"/>
      <w:r w:rsidR="00506EBF" w:rsidRPr="0051003F">
        <w:rPr>
          <w:i/>
          <w:lang w:val="pl-PL"/>
        </w:rPr>
        <w:t xml:space="preserve"> i </w:t>
      </w:r>
      <w:proofErr w:type="spellStart"/>
      <w:r w:rsidR="00506EBF" w:rsidRPr="0051003F">
        <w:rPr>
          <w:i/>
          <w:lang w:val="pl-PL"/>
        </w:rPr>
        <w:t>Sitaridis</w:t>
      </w:r>
      <w:proofErr w:type="spellEnd"/>
      <w:r w:rsidR="00506EBF" w:rsidRPr="0051003F">
        <w:rPr>
          <w:i/>
          <w:lang w:val="pl-PL"/>
        </w:rPr>
        <w:t xml:space="preserve"> przeciwko Grecji</w:t>
      </w:r>
      <w:r w:rsidR="00506EBF" w:rsidRPr="0051003F">
        <w:rPr>
          <w:lang w:val="pl-PL"/>
        </w:rPr>
        <w:t>, nos. 66602/09 i 71879/12 z dnia 9 czerwca 2016 r</w:t>
      </w:r>
      <w:r>
        <w:rPr>
          <w:lang w:val="pl-PL"/>
        </w:rPr>
        <w:t>oku</w:t>
      </w:r>
      <w:r w:rsidR="00506EBF" w:rsidRPr="0051003F">
        <w:rPr>
          <w:lang w:val="pl-PL"/>
        </w:rPr>
        <w:t xml:space="preserve"> W tych sprawach skarżący zostali w pierwszej kolejności uniewinnieni od przestępstw celnych w postępowaniu karnym. Następnie, pomimo ich uniewinnienia, sądy administracyjne nałożyły na skarżących wysokie grzywny administracyjne z </w:t>
      </w:r>
      <w:r w:rsidR="005B1BFE">
        <w:rPr>
          <w:lang w:val="pl-PL"/>
        </w:rPr>
        <w:t>powodu tego samego zachowania</w:t>
      </w:r>
      <w:r w:rsidR="00920730">
        <w:rPr>
          <w:lang w:val="pl-PL"/>
        </w:rPr>
        <w:t>.</w:t>
      </w:r>
      <w:r w:rsidR="00506EBF" w:rsidRPr="0051003F">
        <w:rPr>
          <w:lang w:val="pl-PL"/>
        </w:rPr>
        <w:t xml:space="preserve"> Uznając, że to ostatnie postępowanie było „karne” w rozumieniu art. 4 Protokołu nr 7, Trybunał stwierdził naruszenie tego przepisu (odpowiednio § 73 i 47)</w:t>
      </w:r>
    </w:p>
    <w:p w:rsidR="0078344E" w:rsidRPr="0051003F" w:rsidRDefault="00506EBF" w:rsidP="00A7252F">
      <w:pPr>
        <w:pStyle w:val="ECHRHeading4"/>
        <w:rPr>
          <w:lang w:val="pl-PL"/>
        </w:rPr>
      </w:pPr>
      <w:bookmarkStart w:id="162" w:name="_Toc466904329"/>
      <w:bookmarkStart w:id="163" w:name="_Toc466972348"/>
      <w:bookmarkStart w:id="164" w:name="_Toc466972859"/>
      <w:bookmarkStart w:id="165" w:name="_Toc466974275"/>
      <w:bookmarkStart w:id="166" w:name="_Toc473801910"/>
      <w:r w:rsidRPr="0051003F">
        <w:rPr>
          <w:lang w:val="pl-PL"/>
        </w:rPr>
        <w:t xml:space="preserve"> </w:t>
      </w:r>
      <w:r w:rsidR="00B17C3A" w:rsidRPr="0051003F">
        <w:rPr>
          <w:lang w:val="pl-PL"/>
        </w:rPr>
        <w:t>(d)</w:t>
      </w:r>
      <w:r w:rsidR="0078344E" w:rsidRPr="0051003F">
        <w:rPr>
          <w:lang w:val="pl-PL"/>
        </w:rPr>
        <w:t>  </w:t>
      </w:r>
      <w:bookmarkEnd w:id="162"/>
      <w:bookmarkEnd w:id="163"/>
      <w:bookmarkEnd w:id="164"/>
      <w:bookmarkEnd w:id="165"/>
      <w:bookmarkEnd w:id="166"/>
      <w:r w:rsidRPr="0051003F">
        <w:rPr>
          <w:lang w:val="pl-PL"/>
        </w:rPr>
        <w:t xml:space="preserve">Wnioski jakie należy </w:t>
      </w:r>
      <w:r w:rsidR="00920730" w:rsidRPr="0051003F">
        <w:rPr>
          <w:lang w:val="pl-PL"/>
        </w:rPr>
        <w:t>wyciągnąć</w:t>
      </w:r>
      <w:r w:rsidRPr="0051003F">
        <w:rPr>
          <w:lang w:val="pl-PL"/>
        </w:rPr>
        <w:t xml:space="preserve"> z istniejącego orzeczenia</w:t>
      </w:r>
    </w:p>
    <w:p w:rsidR="00506EBF" w:rsidRPr="0051003F" w:rsidRDefault="00920730" w:rsidP="00506EBF">
      <w:pPr>
        <w:pStyle w:val="ECHRPara"/>
        <w:rPr>
          <w:lang w:val="pl-PL"/>
        </w:rPr>
      </w:pPr>
      <w:r>
        <w:rPr>
          <w:snapToGrid w:val="0"/>
          <w:color w:val="000000"/>
          <w:lang w:val="pl-PL"/>
        </w:rPr>
        <w:t>117</w:t>
      </w:r>
      <w:r w:rsidR="0078344E" w:rsidRPr="0051003F">
        <w:rPr>
          <w:snapToGrid w:val="0"/>
          <w:color w:val="000000"/>
          <w:lang w:val="pl-PL"/>
        </w:rPr>
        <w:t>.  </w:t>
      </w:r>
      <w:r w:rsidR="00506EBF" w:rsidRPr="0051003F">
        <w:rPr>
          <w:snapToGrid w:val="0"/>
          <w:color w:val="000000"/>
          <w:lang w:val="pl-PL"/>
        </w:rPr>
        <w:t xml:space="preserve">Podczas gdy szczególny obowiązek staranności w celu ochrony szczególnych interesów jednostki, które mają być chronione przez art. 4 Protokołu nr 7 spoczywa na Umawiających się Państwach, istnieje również, jak już wskazano w </w:t>
      </w:r>
      <w:r>
        <w:rPr>
          <w:snapToGrid w:val="0"/>
          <w:color w:val="000000"/>
          <w:lang w:val="pl-PL"/>
        </w:rPr>
        <w:t>paragrafie</w:t>
      </w:r>
      <w:r w:rsidRPr="0051003F">
        <w:rPr>
          <w:snapToGrid w:val="0"/>
          <w:color w:val="000000"/>
          <w:lang w:val="pl-PL"/>
        </w:rPr>
        <w:t xml:space="preserve"> </w:t>
      </w:r>
      <w:r w:rsidR="00506EBF" w:rsidRPr="0051003F">
        <w:rPr>
          <w:snapToGrid w:val="0"/>
          <w:color w:val="000000"/>
          <w:lang w:val="pl-PL"/>
        </w:rPr>
        <w:t xml:space="preserve">106 powyżej, potrzeba pozostawienia władzom krajowym wyboru co do stosowanych w tym celu środków. Nie należy w tym kontekście zapominać, że prawo do nie bycia sądzonym lub dwukrotnie karanym nie zostało uwzględnione w </w:t>
      </w:r>
      <w:r>
        <w:rPr>
          <w:snapToGrid w:val="0"/>
          <w:color w:val="000000"/>
          <w:lang w:val="pl-PL"/>
        </w:rPr>
        <w:t>K</w:t>
      </w:r>
      <w:r w:rsidR="00506EBF" w:rsidRPr="0051003F">
        <w:rPr>
          <w:snapToGrid w:val="0"/>
          <w:color w:val="000000"/>
          <w:lang w:val="pl-PL"/>
        </w:rPr>
        <w:t>onwencji przyjętej w 1950 r</w:t>
      </w:r>
      <w:r w:rsidR="005D6F54">
        <w:rPr>
          <w:snapToGrid w:val="0"/>
          <w:color w:val="000000"/>
          <w:lang w:val="pl-PL"/>
        </w:rPr>
        <w:t>oku</w:t>
      </w:r>
      <w:r w:rsidR="00506EBF" w:rsidRPr="0051003F">
        <w:rPr>
          <w:snapToGrid w:val="0"/>
          <w:color w:val="000000"/>
          <w:lang w:val="pl-PL"/>
        </w:rPr>
        <w:t xml:space="preserve">, ale dodane do </w:t>
      </w:r>
      <w:r w:rsidR="005D6F54">
        <w:rPr>
          <w:snapToGrid w:val="0"/>
          <w:color w:val="000000"/>
          <w:lang w:val="pl-PL"/>
        </w:rPr>
        <w:t>Protokołu nr 7</w:t>
      </w:r>
      <w:r w:rsidR="00506EBF" w:rsidRPr="0051003F">
        <w:rPr>
          <w:snapToGrid w:val="0"/>
          <w:color w:val="000000"/>
          <w:lang w:val="pl-PL"/>
        </w:rPr>
        <w:t xml:space="preserve"> (przyjętego w 1984 r</w:t>
      </w:r>
      <w:r w:rsidR="005D6F54">
        <w:rPr>
          <w:snapToGrid w:val="0"/>
          <w:color w:val="000000"/>
          <w:lang w:val="pl-PL"/>
        </w:rPr>
        <w:t>oku</w:t>
      </w:r>
      <w:r w:rsidR="00506EBF" w:rsidRPr="0051003F">
        <w:rPr>
          <w:snapToGrid w:val="0"/>
          <w:color w:val="000000"/>
          <w:lang w:val="pl-PL"/>
        </w:rPr>
        <w:t>), który wszedł w życie w 1988 r</w:t>
      </w:r>
      <w:r w:rsidR="005D6F54">
        <w:rPr>
          <w:snapToGrid w:val="0"/>
          <w:color w:val="000000"/>
          <w:lang w:val="pl-PL"/>
        </w:rPr>
        <w:t>oku</w:t>
      </w:r>
      <w:r w:rsidR="00506EBF" w:rsidRPr="0051003F">
        <w:rPr>
          <w:snapToGrid w:val="0"/>
          <w:color w:val="000000"/>
          <w:lang w:val="pl-PL"/>
        </w:rPr>
        <w:t xml:space="preserve">, prawie 40 lat później. Cztery państwa (Niemcy, </w:t>
      </w:r>
      <w:r w:rsidR="005D6F54">
        <w:rPr>
          <w:snapToGrid w:val="0"/>
          <w:color w:val="000000"/>
          <w:lang w:val="pl-PL"/>
        </w:rPr>
        <w:t>Holandia</w:t>
      </w:r>
      <w:r w:rsidR="00506EBF" w:rsidRPr="0051003F">
        <w:rPr>
          <w:snapToGrid w:val="0"/>
          <w:color w:val="000000"/>
          <w:lang w:val="pl-PL"/>
        </w:rPr>
        <w:t xml:space="preserve">, Turcja i Zjednoczone Królestwo) nie ratyfikowały </w:t>
      </w:r>
      <w:r w:rsidR="003A766E">
        <w:rPr>
          <w:snapToGrid w:val="0"/>
          <w:color w:val="000000"/>
          <w:lang w:val="pl-PL"/>
        </w:rPr>
        <w:t>P</w:t>
      </w:r>
      <w:r w:rsidR="00506EBF" w:rsidRPr="0051003F">
        <w:rPr>
          <w:snapToGrid w:val="0"/>
          <w:color w:val="000000"/>
          <w:lang w:val="pl-PL"/>
        </w:rPr>
        <w:t xml:space="preserve">rotokołu; a jedno z nich (Niemcy) oraz cztery państwa, które ratyfikowały protokół ( (Austria, Francja, Włochy i Portugalia) wyraziły zastrzeżenia lub oświadczenia interpretacyjne, że </w:t>
      </w:r>
      <w:r w:rsidR="00EE17AC">
        <w:rPr>
          <w:snapToGrid w:val="0"/>
          <w:color w:val="000000"/>
          <w:lang w:val="pl-PL"/>
        </w:rPr>
        <w:t>,,</w:t>
      </w:r>
      <w:r w:rsidR="00027490">
        <w:rPr>
          <w:snapToGrid w:val="0"/>
          <w:color w:val="000000"/>
          <w:lang w:val="pl-PL"/>
        </w:rPr>
        <w:t>przestępstwo</w:t>
      </w:r>
      <w:r w:rsidR="00506EBF" w:rsidRPr="0051003F">
        <w:rPr>
          <w:snapToGrid w:val="0"/>
          <w:color w:val="000000"/>
          <w:lang w:val="pl-PL"/>
        </w:rPr>
        <w:t xml:space="preserve">" </w:t>
      </w:r>
      <w:r w:rsidR="00027490">
        <w:rPr>
          <w:snapToGrid w:val="0"/>
          <w:color w:val="000000"/>
          <w:lang w:val="pl-PL"/>
        </w:rPr>
        <w:t>powinno</w:t>
      </w:r>
      <w:r w:rsidR="00027490" w:rsidRPr="0051003F">
        <w:rPr>
          <w:snapToGrid w:val="0"/>
          <w:color w:val="000000"/>
          <w:lang w:val="pl-PL"/>
        </w:rPr>
        <w:t xml:space="preserve"> </w:t>
      </w:r>
      <w:r w:rsidR="00506EBF" w:rsidRPr="0051003F">
        <w:rPr>
          <w:snapToGrid w:val="0"/>
          <w:color w:val="000000"/>
          <w:lang w:val="pl-PL"/>
        </w:rPr>
        <w:t xml:space="preserve">być </w:t>
      </w:r>
      <w:r w:rsidR="00027490" w:rsidRPr="0051003F">
        <w:rPr>
          <w:snapToGrid w:val="0"/>
          <w:color w:val="000000"/>
          <w:lang w:val="pl-PL"/>
        </w:rPr>
        <w:t>stosowan</w:t>
      </w:r>
      <w:r w:rsidR="00027490">
        <w:rPr>
          <w:snapToGrid w:val="0"/>
          <w:color w:val="000000"/>
          <w:lang w:val="pl-PL"/>
        </w:rPr>
        <w:t>e</w:t>
      </w:r>
      <w:r w:rsidR="00027490" w:rsidRPr="0051003F">
        <w:rPr>
          <w:snapToGrid w:val="0"/>
          <w:color w:val="000000"/>
          <w:lang w:val="pl-PL"/>
        </w:rPr>
        <w:t xml:space="preserve"> </w:t>
      </w:r>
      <w:r w:rsidR="00027490">
        <w:rPr>
          <w:snapToGrid w:val="0"/>
          <w:color w:val="000000"/>
          <w:lang w:val="pl-PL"/>
        </w:rPr>
        <w:t>w</w:t>
      </w:r>
      <w:r w:rsidR="00027490" w:rsidRPr="0051003F">
        <w:rPr>
          <w:snapToGrid w:val="0"/>
          <w:color w:val="000000"/>
          <w:lang w:val="pl-PL"/>
        </w:rPr>
        <w:t xml:space="preserve"> </w:t>
      </w:r>
      <w:r w:rsidR="00506EBF" w:rsidRPr="0051003F">
        <w:rPr>
          <w:snapToGrid w:val="0"/>
          <w:color w:val="000000"/>
          <w:lang w:val="pl-PL"/>
        </w:rPr>
        <w:t>tych państw</w:t>
      </w:r>
      <w:r w:rsidR="00027490">
        <w:rPr>
          <w:snapToGrid w:val="0"/>
          <w:color w:val="000000"/>
          <w:lang w:val="pl-PL"/>
        </w:rPr>
        <w:t>ach</w:t>
      </w:r>
      <w:r w:rsidR="00506EBF" w:rsidRPr="0051003F">
        <w:rPr>
          <w:snapToGrid w:val="0"/>
          <w:color w:val="000000"/>
          <w:lang w:val="pl-PL"/>
        </w:rPr>
        <w:t xml:space="preserve"> w sposób zgodny z ich prawem krajowym. (Należy zauważyć, że zastrzeżenia zgłoszone przez Austrię i Włochy zostały uznane za nieważne, ponieważ nie dostarczyły one zwięzłego wyjaśnienia dotyczącego </w:t>
      </w:r>
      <w:r w:rsidR="00027490">
        <w:rPr>
          <w:snapToGrid w:val="0"/>
          <w:color w:val="000000"/>
          <w:lang w:val="pl-PL"/>
        </w:rPr>
        <w:t>odpowiednich</w:t>
      </w:r>
      <w:r w:rsidR="00027490" w:rsidRPr="0051003F">
        <w:rPr>
          <w:snapToGrid w:val="0"/>
          <w:color w:val="000000"/>
          <w:lang w:val="pl-PL"/>
        </w:rPr>
        <w:t xml:space="preserve"> </w:t>
      </w:r>
      <w:r w:rsidR="00506EBF" w:rsidRPr="0051003F">
        <w:rPr>
          <w:snapToGrid w:val="0"/>
          <w:color w:val="000000"/>
          <w:lang w:val="pl-PL"/>
        </w:rPr>
        <w:t xml:space="preserve">przepisów, zgodnie z wymogami art. 57 § 2 </w:t>
      </w:r>
      <w:r w:rsidR="00027490">
        <w:rPr>
          <w:snapToGrid w:val="0"/>
          <w:color w:val="000000"/>
          <w:lang w:val="pl-PL"/>
        </w:rPr>
        <w:t>K</w:t>
      </w:r>
      <w:r w:rsidR="00506EBF" w:rsidRPr="0051003F">
        <w:rPr>
          <w:snapToGrid w:val="0"/>
          <w:color w:val="000000"/>
          <w:lang w:val="pl-PL"/>
        </w:rPr>
        <w:t xml:space="preserve">onwencji (zob. odpowiednio </w:t>
      </w:r>
      <w:proofErr w:type="spellStart"/>
      <w:r w:rsidR="00506EBF" w:rsidRPr="00486852">
        <w:rPr>
          <w:i/>
          <w:snapToGrid w:val="0"/>
          <w:color w:val="000000"/>
          <w:lang w:val="pl-PL"/>
        </w:rPr>
        <w:t>Gradinger</w:t>
      </w:r>
      <w:proofErr w:type="spellEnd"/>
      <w:r w:rsidR="00506EBF" w:rsidRPr="00486852">
        <w:rPr>
          <w:i/>
          <w:snapToGrid w:val="0"/>
          <w:color w:val="000000"/>
          <w:lang w:val="pl-PL"/>
        </w:rPr>
        <w:t xml:space="preserve"> v. V</w:t>
      </w:r>
      <w:r w:rsidR="00506EBF" w:rsidRPr="0051003F">
        <w:rPr>
          <w:snapToGrid w:val="0"/>
          <w:color w:val="000000"/>
          <w:lang w:val="pl-PL"/>
        </w:rPr>
        <w:t>.). Austria, dnia 23 października 1995 r</w:t>
      </w:r>
      <w:r w:rsidR="006C76F9">
        <w:rPr>
          <w:snapToGrid w:val="0"/>
          <w:color w:val="000000"/>
          <w:lang w:val="pl-PL"/>
        </w:rPr>
        <w:t>oku</w:t>
      </w:r>
      <w:r w:rsidR="00506EBF" w:rsidRPr="0051003F">
        <w:rPr>
          <w:snapToGrid w:val="0"/>
          <w:color w:val="000000"/>
          <w:lang w:val="pl-PL"/>
        </w:rPr>
        <w:t xml:space="preserve">, § 51, seria A nr 328 C; i </w:t>
      </w:r>
      <w:r w:rsidR="00506EBF" w:rsidRPr="00486852">
        <w:rPr>
          <w:i/>
          <w:snapToGrid w:val="0"/>
          <w:color w:val="000000"/>
          <w:lang w:val="pl-PL"/>
        </w:rPr>
        <w:t>Grande Stevens</w:t>
      </w:r>
      <w:r w:rsidR="00506EBF" w:rsidRPr="0051003F">
        <w:rPr>
          <w:snapToGrid w:val="0"/>
          <w:color w:val="000000"/>
          <w:lang w:val="pl-PL"/>
        </w:rPr>
        <w:t xml:space="preserve">, cytowany powyżej, §§ 204-211), w przeciwieństwie do zastrzeżeń zgłoszonych przez Francję (patrz: </w:t>
      </w:r>
      <w:proofErr w:type="spellStart"/>
      <w:r w:rsidR="00506EBF" w:rsidRPr="00486852">
        <w:rPr>
          <w:i/>
          <w:snapToGrid w:val="0"/>
          <w:color w:val="000000"/>
          <w:lang w:val="pl-PL"/>
        </w:rPr>
        <w:t>Göktan</w:t>
      </w:r>
      <w:proofErr w:type="spellEnd"/>
      <w:r w:rsidR="00506EBF" w:rsidRPr="00486852">
        <w:rPr>
          <w:i/>
          <w:snapToGrid w:val="0"/>
          <w:color w:val="000000"/>
          <w:lang w:val="pl-PL"/>
        </w:rPr>
        <w:t xml:space="preserve"> przeciwko Francji</w:t>
      </w:r>
      <w:r w:rsidR="00506EBF" w:rsidRPr="0051003F">
        <w:rPr>
          <w:snapToGrid w:val="0"/>
          <w:color w:val="000000"/>
          <w:lang w:val="pl-PL"/>
        </w:rPr>
        <w:t xml:space="preserve">, nr 33402/96, § 51, </w:t>
      </w:r>
      <w:proofErr w:type="spellStart"/>
      <w:r w:rsidR="00506EBF" w:rsidRPr="0051003F">
        <w:rPr>
          <w:snapToGrid w:val="0"/>
          <w:color w:val="000000"/>
          <w:lang w:val="pl-PL"/>
        </w:rPr>
        <w:t>ETPCz</w:t>
      </w:r>
      <w:proofErr w:type="spellEnd"/>
      <w:r w:rsidR="00506EBF" w:rsidRPr="0051003F">
        <w:rPr>
          <w:snapToGrid w:val="0"/>
          <w:color w:val="000000"/>
          <w:lang w:val="pl-PL"/>
        </w:rPr>
        <w:t xml:space="preserve"> 2002 V).</w:t>
      </w:r>
      <w:r w:rsidR="00506EBF" w:rsidRPr="0051003F">
        <w:rPr>
          <w:lang w:val="pl-PL"/>
        </w:rPr>
        <w:t xml:space="preserve"> </w:t>
      </w:r>
    </w:p>
    <w:p w:rsidR="00506EBF" w:rsidRPr="0051003F" w:rsidRDefault="006C76F9" w:rsidP="00506EBF">
      <w:pPr>
        <w:pStyle w:val="ECHRPara"/>
        <w:rPr>
          <w:snapToGrid w:val="0"/>
          <w:color w:val="000000"/>
          <w:lang w:val="pl-PL"/>
        </w:rPr>
      </w:pPr>
      <w:r>
        <w:rPr>
          <w:snapToGrid w:val="0"/>
          <w:color w:val="000000"/>
          <w:lang w:val="pl-PL"/>
        </w:rPr>
        <w:t>118</w:t>
      </w:r>
      <w:r w:rsidR="0078344E" w:rsidRPr="0051003F">
        <w:rPr>
          <w:snapToGrid w:val="0"/>
          <w:color w:val="000000"/>
          <w:lang w:val="pl-PL"/>
        </w:rPr>
        <w:t>.  </w:t>
      </w:r>
      <w:r w:rsidR="00506EBF" w:rsidRPr="0051003F">
        <w:rPr>
          <w:snapToGrid w:val="0"/>
          <w:color w:val="000000"/>
          <w:lang w:val="pl-PL"/>
        </w:rPr>
        <w:t xml:space="preserve">Trybunał przyjął również do wiadomości uwagę rzecznika generalnego przedstawioną przed Trybunałem Sprawiedliwości Unii Europejskiej w sprawie </w:t>
      </w:r>
      <w:proofErr w:type="spellStart"/>
      <w:r w:rsidR="00506EBF" w:rsidRPr="00486852">
        <w:rPr>
          <w:i/>
          <w:snapToGrid w:val="0"/>
          <w:color w:val="000000"/>
          <w:lang w:val="pl-PL"/>
        </w:rPr>
        <w:t>Fransson</w:t>
      </w:r>
      <w:proofErr w:type="spellEnd"/>
      <w:r w:rsidR="00506EBF" w:rsidRPr="0051003F">
        <w:rPr>
          <w:snapToGrid w:val="0"/>
          <w:color w:val="000000"/>
          <w:lang w:val="pl-PL"/>
        </w:rPr>
        <w:t xml:space="preserve"> (zob. </w:t>
      </w:r>
      <w:r>
        <w:rPr>
          <w:snapToGrid w:val="0"/>
          <w:color w:val="000000"/>
          <w:lang w:val="pl-PL"/>
        </w:rPr>
        <w:t>paragraf</w:t>
      </w:r>
      <w:r w:rsidR="006508A8" w:rsidRPr="0051003F">
        <w:rPr>
          <w:snapToGrid w:val="0"/>
          <w:color w:val="000000"/>
          <w:lang w:val="pl-PL"/>
        </w:rPr>
        <w:t>.</w:t>
      </w:r>
      <w:r w:rsidR="00506EBF" w:rsidRPr="0051003F">
        <w:rPr>
          <w:snapToGrid w:val="0"/>
          <w:color w:val="000000"/>
          <w:lang w:val="pl-PL"/>
        </w:rPr>
        <w:t xml:space="preserve"> 51 powyżej), a mianowicie, że nałożenie sankcji zarówno na mocy prawa administracyjnego, jak i karnego w odniesieniu do tego samego </w:t>
      </w:r>
      <w:r w:rsidR="00506EBF" w:rsidRPr="0051003F">
        <w:rPr>
          <w:snapToGrid w:val="0"/>
          <w:color w:val="000000"/>
          <w:lang w:val="pl-PL"/>
        </w:rPr>
        <w:lastRenderedPageBreak/>
        <w:t>przestępstwa jest powszechną praktyką w państwach członkowskich UE, zwłaszcza w dziedzinach takich jak podatki, polityka ochrony środowiska i bezpieczeństwo publiczne. Rzecznik generalny wskazał również, że sposób, w jaki skumulowano kary, był bardzo zróżnicowany w zależności od systemu prawnego i charakteryzował się szczególnymi cechami charakterystycznymi dla każdego państwa członkowskiego; w większości przypadków te szczególne cechy zostały przyjęte w celu złagodzenia skutków nałożenia dwóch kar przez władze publiczne.</w:t>
      </w:r>
    </w:p>
    <w:p w:rsidR="00506EBF" w:rsidRPr="0051003F" w:rsidRDefault="00C60FA6" w:rsidP="00506EBF">
      <w:pPr>
        <w:pStyle w:val="ECHRPara"/>
        <w:rPr>
          <w:snapToGrid w:val="0"/>
          <w:color w:val="000000"/>
          <w:lang w:val="pl-PL"/>
        </w:rPr>
      </w:pPr>
      <w:r>
        <w:rPr>
          <w:snapToGrid w:val="0"/>
          <w:color w:val="000000"/>
          <w:lang w:val="pl-PL"/>
        </w:rPr>
        <w:t>119</w:t>
      </w:r>
      <w:r w:rsidR="0078344E" w:rsidRPr="0051003F">
        <w:rPr>
          <w:snapToGrid w:val="0"/>
          <w:color w:val="000000"/>
          <w:lang w:val="pl-PL"/>
        </w:rPr>
        <w:t>.  </w:t>
      </w:r>
      <w:r w:rsidR="00506EBF" w:rsidRPr="0051003F">
        <w:rPr>
          <w:snapToGrid w:val="0"/>
          <w:color w:val="000000"/>
          <w:lang w:val="pl-PL"/>
        </w:rPr>
        <w:t xml:space="preserve">Ponadto w niniejszym postępowaniu interweniowało co najmniej sześć umawiających się stron </w:t>
      </w:r>
      <w:r w:rsidR="00706269">
        <w:rPr>
          <w:snapToGrid w:val="0"/>
          <w:color w:val="000000"/>
          <w:lang w:val="pl-PL"/>
        </w:rPr>
        <w:t>P</w:t>
      </w:r>
      <w:r w:rsidR="00506EBF" w:rsidRPr="0051003F">
        <w:rPr>
          <w:snapToGrid w:val="0"/>
          <w:color w:val="000000"/>
          <w:lang w:val="pl-PL"/>
        </w:rPr>
        <w:t xml:space="preserve">rotokołu nr 7, w większości wyrażając swoje poglądy i obawy co do kwestii interpretacyjnych, które są w dużej mierze wspólne dla kwestii poruszanych przez </w:t>
      </w:r>
      <w:r w:rsidR="00706269">
        <w:rPr>
          <w:snapToGrid w:val="0"/>
          <w:color w:val="000000"/>
          <w:lang w:val="pl-PL"/>
        </w:rPr>
        <w:t>R</w:t>
      </w:r>
      <w:r w:rsidR="00506EBF" w:rsidRPr="0051003F">
        <w:rPr>
          <w:snapToGrid w:val="0"/>
          <w:color w:val="000000"/>
          <w:lang w:val="pl-PL"/>
        </w:rPr>
        <w:t>ząd respondenta</w:t>
      </w:r>
      <w:r w:rsidR="00706269">
        <w:rPr>
          <w:snapToGrid w:val="0"/>
          <w:color w:val="000000"/>
          <w:lang w:val="pl-PL"/>
        </w:rPr>
        <w:t>.</w:t>
      </w:r>
    </w:p>
    <w:p w:rsidR="00506EBF" w:rsidRPr="0051003F" w:rsidRDefault="00706269" w:rsidP="00506EBF">
      <w:pPr>
        <w:pStyle w:val="ECHRPara"/>
        <w:rPr>
          <w:snapToGrid w:val="0"/>
          <w:color w:val="000000"/>
          <w:lang w:val="pl-PL"/>
        </w:rPr>
      </w:pPr>
      <w:r>
        <w:rPr>
          <w:snapToGrid w:val="0"/>
          <w:color w:val="000000"/>
          <w:lang w:val="pl-PL"/>
        </w:rPr>
        <w:t>120</w:t>
      </w:r>
      <w:r w:rsidR="0078344E" w:rsidRPr="0051003F">
        <w:rPr>
          <w:snapToGrid w:val="0"/>
          <w:color w:val="000000"/>
          <w:lang w:val="pl-PL"/>
        </w:rPr>
        <w:t>.  </w:t>
      </w:r>
      <w:r w:rsidR="00506EBF" w:rsidRPr="0051003F">
        <w:rPr>
          <w:snapToGrid w:val="0"/>
          <w:color w:val="000000"/>
          <w:lang w:val="pl-PL"/>
        </w:rPr>
        <w:t xml:space="preserve">W tym kontekście należy przede wszystkim stwierdzić, że zgodnie z utrwalonym orzecznictwem Trybunału </w:t>
      </w:r>
      <w:r w:rsidR="00E61174">
        <w:rPr>
          <w:snapToGrid w:val="0"/>
          <w:color w:val="000000"/>
          <w:lang w:val="pl-PL"/>
        </w:rPr>
        <w:t>U</w:t>
      </w:r>
      <w:r w:rsidR="00506EBF" w:rsidRPr="0051003F">
        <w:rPr>
          <w:snapToGrid w:val="0"/>
          <w:color w:val="000000"/>
          <w:lang w:val="pl-PL"/>
        </w:rPr>
        <w:t xml:space="preserve">mawiające się </w:t>
      </w:r>
      <w:r w:rsidR="00E61174">
        <w:rPr>
          <w:snapToGrid w:val="0"/>
          <w:color w:val="000000"/>
          <w:lang w:val="pl-PL"/>
        </w:rPr>
        <w:t>P</w:t>
      </w:r>
      <w:r w:rsidR="00506EBF" w:rsidRPr="0051003F">
        <w:rPr>
          <w:snapToGrid w:val="0"/>
          <w:color w:val="000000"/>
          <w:lang w:val="pl-PL"/>
        </w:rPr>
        <w:t>aństwa wybierają przede wszystkim sposób zorganizowania swojego systemu prawnego, w tym procedury karne</w:t>
      </w:r>
      <w:r>
        <w:rPr>
          <w:snapToGrid w:val="0"/>
          <w:color w:val="000000"/>
          <w:lang w:val="pl-PL"/>
        </w:rPr>
        <w:t>j</w:t>
      </w:r>
      <w:r w:rsidR="00506EBF" w:rsidRPr="0051003F">
        <w:rPr>
          <w:snapToGrid w:val="0"/>
          <w:color w:val="000000"/>
          <w:lang w:val="pl-PL"/>
        </w:rPr>
        <w:t xml:space="preserve"> (zob. np. </w:t>
      </w:r>
      <w:proofErr w:type="spellStart"/>
      <w:r w:rsidR="00506EBF" w:rsidRPr="0051003F">
        <w:rPr>
          <w:i/>
          <w:snapToGrid w:val="0"/>
          <w:color w:val="000000"/>
          <w:lang w:val="pl-PL"/>
        </w:rPr>
        <w:t>Taxquet</w:t>
      </w:r>
      <w:proofErr w:type="spellEnd"/>
      <w:r w:rsidR="00506EBF" w:rsidRPr="0051003F">
        <w:rPr>
          <w:i/>
          <w:snapToGrid w:val="0"/>
          <w:color w:val="000000"/>
          <w:lang w:val="pl-PL"/>
        </w:rPr>
        <w:t xml:space="preserve"> przeciwko Belgii</w:t>
      </w:r>
      <w:r w:rsidR="00506EBF" w:rsidRPr="0051003F">
        <w:rPr>
          <w:snapToGrid w:val="0"/>
          <w:color w:val="000000"/>
          <w:lang w:val="pl-PL"/>
        </w:rPr>
        <w:t xml:space="preserve">[WI], nr 926/05, § 83 </w:t>
      </w:r>
      <w:proofErr w:type="spellStart"/>
      <w:r w:rsidR="00506EBF" w:rsidRPr="0051003F">
        <w:rPr>
          <w:snapToGrid w:val="0"/>
          <w:color w:val="000000"/>
          <w:lang w:val="pl-PL"/>
        </w:rPr>
        <w:t>ETPCz</w:t>
      </w:r>
      <w:proofErr w:type="spellEnd"/>
      <w:r w:rsidR="00506EBF" w:rsidRPr="0051003F">
        <w:rPr>
          <w:snapToGrid w:val="0"/>
          <w:color w:val="000000"/>
          <w:lang w:val="pl-PL"/>
        </w:rPr>
        <w:t xml:space="preserve"> 2010]. Konwencja nie zakazuje na przykład rozdzielenia procesu skazującego w danej sprawie na różne etapy lub części w taki sposób, że możliwe jest nakładanie różnych kar, kolejno lub równolegle, za przestępstwo, które zgodnie z Konwencją ma być uznane za przestępstwo w autonomicznym rozumieniu tego pojęcia (zob. na przykład </w:t>
      </w:r>
      <w:r w:rsidR="00506EBF" w:rsidRPr="00486852">
        <w:rPr>
          <w:i/>
          <w:snapToGrid w:val="0"/>
          <w:color w:val="000000"/>
          <w:lang w:val="pl-PL"/>
        </w:rPr>
        <w:t>Phillips v. V</w:t>
      </w:r>
      <w:r w:rsidR="00506EBF" w:rsidRPr="0051003F">
        <w:rPr>
          <w:snapToGrid w:val="0"/>
          <w:color w:val="000000"/>
          <w:lang w:val="pl-PL"/>
        </w:rPr>
        <w:t xml:space="preserve">.). Zjednoczone Królestwo, nr 41087/98, § 34, </w:t>
      </w:r>
      <w:proofErr w:type="spellStart"/>
      <w:r w:rsidR="00506EBF" w:rsidRPr="0051003F">
        <w:rPr>
          <w:snapToGrid w:val="0"/>
          <w:color w:val="000000"/>
          <w:lang w:val="pl-PL"/>
        </w:rPr>
        <w:t>ETPCz</w:t>
      </w:r>
      <w:proofErr w:type="spellEnd"/>
      <w:r w:rsidR="00506EBF" w:rsidRPr="0051003F">
        <w:rPr>
          <w:snapToGrid w:val="0"/>
          <w:color w:val="000000"/>
          <w:lang w:val="pl-PL"/>
        </w:rPr>
        <w:t xml:space="preserve"> 2001 VII, w sprawie skarg z art. 6 dotyczących postępowania o konfiskatę wszczętego przeciwko danej osobie w związku z korzyściami pochodzącymi z przestępstwa narkotykowego po skazaniu i skazaniu danej osoby za te przestępstwa).</w:t>
      </w:r>
    </w:p>
    <w:p w:rsidR="0078344E" w:rsidRPr="0051003F" w:rsidRDefault="00512708" w:rsidP="00506EBF">
      <w:pPr>
        <w:pStyle w:val="ECHRPara"/>
        <w:rPr>
          <w:snapToGrid w:val="0"/>
          <w:color w:val="000000"/>
          <w:lang w:val="pl-PL"/>
        </w:rPr>
      </w:pPr>
      <w:r>
        <w:rPr>
          <w:snapToGrid w:val="0"/>
          <w:color w:val="000000"/>
          <w:lang w:val="pl-PL"/>
        </w:rPr>
        <w:t>121</w:t>
      </w:r>
      <w:r w:rsidR="0078344E" w:rsidRPr="0051003F">
        <w:rPr>
          <w:snapToGrid w:val="0"/>
          <w:color w:val="000000"/>
          <w:lang w:val="pl-PL"/>
        </w:rPr>
        <w:t>.  </w:t>
      </w:r>
      <w:r w:rsidR="00506EBF" w:rsidRPr="0051003F">
        <w:rPr>
          <w:snapToGrid w:val="0"/>
          <w:color w:val="000000"/>
          <w:lang w:val="pl-PL"/>
        </w:rPr>
        <w:t>W opinii Trybunału państwa powinny mieć prawo do wyboru uzupełniających środków prawnych w odpowiedzi na ofensywne zachowania społeczne (takie jak nieprzestrzeganie przepisów dotyczących ruchu drogowego lub niepłacenie lub uchylanie się od płacenia podatków) za pomocą różnych procedur tworzących spójną całość w celu rozwiązania różnych aspektów problemu społecznego, pod warunkiem że skumulowane środki prawne nie stanowią nadmiernego obciążenia dla danej osoby.</w:t>
      </w:r>
    </w:p>
    <w:p w:rsidR="0078344E" w:rsidRPr="0051003F" w:rsidRDefault="00276A78" w:rsidP="00506EBF">
      <w:pPr>
        <w:pStyle w:val="ECHRPara"/>
        <w:rPr>
          <w:snapToGrid w:val="0"/>
          <w:color w:val="000000"/>
          <w:lang w:val="pl-PL"/>
        </w:rPr>
      </w:pPr>
      <w:r>
        <w:rPr>
          <w:snapToGrid w:val="0"/>
          <w:color w:val="000000"/>
          <w:lang w:val="pl-PL"/>
        </w:rPr>
        <w:t>122</w:t>
      </w:r>
      <w:r w:rsidR="0078344E" w:rsidRPr="0051003F">
        <w:rPr>
          <w:snapToGrid w:val="0"/>
          <w:color w:val="000000"/>
          <w:lang w:val="pl-PL"/>
        </w:rPr>
        <w:t>.  </w:t>
      </w:r>
      <w:r w:rsidR="00506EBF" w:rsidRPr="0051003F">
        <w:rPr>
          <w:snapToGrid w:val="0"/>
          <w:color w:val="000000"/>
          <w:lang w:val="pl-PL"/>
        </w:rPr>
        <w:t xml:space="preserve">W przypadkach poruszania kwestii na mocy art. 4 </w:t>
      </w:r>
      <w:r>
        <w:rPr>
          <w:snapToGrid w:val="0"/>
          <w:color w:val="000000"/>
          <w:lang w:val="pl-PL"/>
        </w:rPr>
        <w:t>P</w:t>
      </w:r>
      <w:r w:rsidR="00506EBF" w:rsidRPr="0051003F">
        <w:rPr>
          <w:snapToGrid w:val="0"/>
          <w:color w:val="000000"/>
          <w:lang w:val="pl-PL"/>
        </w:rPr>
        <w:t>rotokołu nr. 7, do Trybunału należy ustalenie, czy konkretny akt krajowy będący przedmiotem skargi pociąga za sobą, co do istoty lub w rzeczywistości, podwójne zagrożenie na szkodę jednostki, czy też jest on natomiast produktem zintegrowanego systemu pozwalającego na zajęcie się w sposób przewidywalny i proporcjonalny różnymi aspektami wykroczeń, tworząc spójną całość, tak aby dana osoba nie doznała tym samym niesprawiedliwości.</w:t>
      </w:r>
    </w:p>
    <w:p w:rsidR="00506EBF" w:rsidRPr="0051003F" w:rsidRDefault="00276A78" w:rsidP="00506EBF">
      <w:pPr>
        <w:pStyle w:val="ECHRPara"/>
        <w:rPr>
          <w:snapToGrid w:val="0"/>
          <w:color w:val="000000"/>
          <w:lang w:val="pl-PL"/>
        </w:rPr>
      </w:pPr>
      <w:r>
        <w:rPr>
          <w:snapToGrid w:val="0"/>
          <w:color w:val="000000"/>
          <w:lang w:val="pl-PL"/>
        </w:rPr>
        <w:t>123</w:t>
      </w:r>
      <w:r w:rsidR="0078344E" w:rsidRPr="0051003F">
        <w:rPr>
          <w:snapToGrid w:val="0"/>
          <w:color w:val="000000"/>
          <w:lang w:val="pl-PL"/>
        </w:rPr>
        <w:t>.  </w:t>
      </w:r>
      <w:r w:rsidR="00506EBF" w:rsidRPr="0051003F">
        <w:rPr>
          <w:snapToGrid w:val="0"/>
          <w:color w:val="000000"/>
          <w:lang w:val="pl-PL"/>
        </w:rPr>
        <w:t xml:space="preserve">Nie może być skutkiem art. 4 </w:t>
      </w:r>
      <w:r>
        <w:rPr>
          <w:snapToGrid w:val="0"/>
          <w:color w:val="000000"/>
          <w:lang w:val="pl-PL"/>
        </w:rPr>
        <w:t>P</w:t>
      </w:r>
      <w:r w:rsidR="00506EBF" w:rsidRPr="0051003F">
        <w:rPr>
          <w:snapToGrid w:val="0"/>
          <w:color w:val="000000"/>
          <w:lang w:val="pl-PL"/>
        </w:rPr>
        <w:t xml:space="preserve">rotokołu nr. 7. zakaz organizacji systemów prawnych Umawiających się Państw w taki sposób, aby przewidywały one nakładanie standardowych kar administracyjnych na niesłusznie niezapłacony podatek (choć kara ta może zostać uznana za </w:t>
      </w:r>
      <w:r w:rsidR="00E61174">
        <w:rPr>
          <w:snapToGrid w:val="0"/>
          <w:color w:val="000000"/>
          <w:lang w:val="pl-PL"/>
        </w:rPr>
        <w:lastRenderedPageBreak/>
        <w:t>,,</w:t>
      </w:r>
      <w:r w:rsidR="00506EBF" w:rsidRPr="0051003F">
        <w:rPr>
          <w:snapToGrid w:val="0"/>
          <w:color w:val="000000"/>
          <w:lang w:val="pl-PL"/>
        </w:rPr>
        <w:t xml:space="preserve">karną" do celów gwarancji sprawiedliwego procesu przewidzianego w </w:t>
      </w:r>
      <w:r w:rsidR="00E61174">
        <w:rPr>
          <w:snapToGrid w:val="0"/>
          <w:color w:val="000000"/>
          <w:lang w:val="pl-PL"/>
        </w:rPr>
        <w:t>K</w:t>
      </w:r>
      <w:r w:rsidR="00506EBF" w:rsidRPr="0051003F">
        <w:rPr>
          <w:snapToGrid w:val="0"/>
          <w:color w:val="000000"/>
          <w:lang w:val="pl-PL"/>
        </w:rPr>
        <w:t xml:space="preserve">onwencji), także w tych poważniejszych przypadkach, w których właściwe może być ściganie przestępcy za dodatkowy element występujący w przypadku niezapłacenia podatku, taki jak </w:t>
      </w:r>
      <w:r w:rsidR="00E61174">
        <w:rPr>
          <w:snapToGrid w:val="0"/>
          <w:color w:val="000000"/>
          <w:lang w:val="pl-PL"/>
        </w:rPr>
        <w:t>oszustwo</w:t>
      </w:r>
      <w:r w:rsidR="00506EBF" w:rsidRPr="0051003F">
        <w:rPr>
          <w:snapToGrid w:val="0"/>
          <w:color w:val="000000"/>
          <w:lang w:val="pl-PL"/>
        </w:rPr>
        <w:t xml:space="preserve">, które nie zostało uwzględnione w </w:t>
      </w:r>
      <w:r w:rsidR="00E61174">
        <w:rPr>
          <w:snapToGrid w:val="0"/>
          <w:color w:val="000000"/>
          <w:lang w:val="pl-PL"/>
        </w:rPr>
        <w:t>,,</w:t>
      </w:r>
      <w:r w:rsidR="00506EBF" w:rsidRPr="0051003F">
        <w:rPr>
          <w:snapToGrid w:val="0"/>
          <w:color w:val="000000"/>
          <w:lang w:val="pl-PL"/>
        </w:rPr>
        <w:t xml:space="preserve">administracyjnym" odzyskiwaniu należności podatkowych. Celem art. 4 </w:t>
      </w:r>
      <w:r w:rsidR="00E61174">
        <w:rPr>
          <w:snapToGrid w:val="0"/>
          <w:color w:val="000000"/>
          <w:lang w:val="pl-PL"/>
        </w:rPr>
        <w:t>P</w:t>
      </w:r>
      <w:r w:rsidR="00506EBF" w:rsidRPr="0051003F">
        <w:rPr>
          <w:snapToGrid w:val="0"/>
          <w:color w:val="000000"/>
          <w:lang w:val="pl-PL"/>
        </w:rPr>
        <w:t xml:space="preserve">rotokołu nr 7 jest zapobieganie niesprawiedliwości w przypadku dwukrotnego ścigania lub karania danej osoby za to samo przestępstwo. Nie jest ono jednak sprzeczne z systemami prawnymi, które przyjmują </w:t>
      </w:r>
      <w:r w:rsidR="00450D03">
        <w:rPr>
          <w:snapToGrid w:val="0"/>
          <w:color w:val="000000"/>
          <w:lang w:val="pl-PL"/>
        </w:rPr>
        <w:t>,,</w:t>
      </w:r>
      <w:r w:rsidR="00506EBF" w:rsidRPr="0051003F">
        <w:rPr>
          <w:snapToGrid w:val="0"/>
          <w:color w:val="000000"/>
          <w:lang w:val="pl-PL"/>
        </w:rPr>
        <w:t>zintegrowane" podejście do omawianych nadużyć społecznych, a w szczególności z podejściem zakładającym równoległe etapy reakcji prawnej na nadużycia popełnione przez różne organy i do różnych celów.</w:t>
      </w:r>
    </w:p>
    <w:p w:rsidR="00506EBF" w:rsidRPr="0051003F" w:rsidRDefault="00450D03" w:rsidP="00506EBF">
      <w:pPr>
        <w:pStyle w:val="ECHRPara"/>
        <w:rPr>
          <w:snapToGrid w:val="0"/>
          <w:color w:val="000000"/>
          <w:lang w:val="pl-PL"/>
        </w:rPr>
      </w:pPr>
      <w:r>
        <w:rPr>
          <w:snapToGrid w:val="0"/>
          <w:color w:val="000000"/>
          <w:lang w:val="pl-PL"/>
        </w:rPr>
        <w:t>124</w:t>
      </w:r>
      <w:r w:rsidR="0078344E" w:rsidRPr="0051003F">
        <w:rPr>
          <w:snapToGrid w:val="0"/>
          <w:color w:val="000000"/>
          <w:lang w:val="pl-PL"/>
        </w:rPr>
        <w:t>.  </w:t>
      </w:r>
      <w:r w:rsidR="00506EBF" w:rsidRPr="0051003F">
        <w:rPr>
          <w:snapToGrid w:val="0"/>
          <w:color w:val="000000"/>
          <w:lang w:val="pl-PL"/>
        </w:rPr>
        <w:t xml:space="preserve">Trybunał uważa, że wyżej wspomniane orzecznictwo w sprawie postępowania równoległego lub podwójnego, wszczęte ze Szwajcarią </w:t>
      </w:r>
      <w:r w:rsidR="00506EBF" w:rsidRPr="00486852">
        <w:rPr>
          <w:i/>
          <w:snapToGrid w:val="0"/>
          <w:color w:val="000000"/>
          <w:lang w:val="pl-PL"/>
        </w:rPr>
        <w:t>R. T. przeciwko Szwajcarii</w:t>
      </w:r>
      <w:r w:rsidR="00506EBF" w:rsidRPr="0051003F">
        <w:rPr>
          <w:snapToGrid w:val="0"/>
          <w:color w:val="000000"/>
          <w:lang w:val="pl-PL"/>
        </w:rPr>
        <w:t xml:space="preserve"> i </w:t>
      </w:r>
      <w:proofErr w:type="spellStart"/>
      <w:r w:rsidR="00506EBF" w:rsidRPr="0051003F">
        <w:rPr>
          <w:snapToGrid w:val="0"/>
          <w:color w:val="000000"/>
          <w:lang w:val="pl-PL"/>
        </w:rPr>
        <w:t>Nilsson</w:t>
      </w:r>
      <w:proofErr w:type="spellEnd"/>
      <w:r w:rsidR="00506EBF" w:rsidRPr="0051003F">
        <w:rPr>
          <w:snapToGrid w:val="0"/>
          <w:color w:val="000000"/>
          <w:lang w:val="pl-PL"/>
        </w:rPr>
        <w:t xml:space="preserve"> przeciwko </w:t>
      </w:r>
      <w:r w:rsidR="00D02663">
        <w:rPr>
          <w:snapToGrid w:val="0"/>
          <w:color w:val="000000"/>
          <w:lang w:val="pl-PL"/>
        </w:rPr>
        <w:t>Szwecji</w:t>
      </w:r>
      <w:r w:rsidR="00506EBF" w:rsidRPr="0051003F">
        <w:rPr>
          <w:snapToGrid w:val="0"/>
          <w:color w:val="000000"/>
          <w:lang w:val="pl-PL"/>
        </w:rPr>
        <w:t xml:space="preserve">. Szwedzkie sprawy i kontynuacja </w:t>
      </w:r>
      <w:proofErr w:type="spellStart"/>
      <w:r w:rsidR="00506EBF" w:rsidRPr="00486852">
        <w:rPr>
          <w:i/>
          <w:snapToGrid w:val="0"/>
          <w:color w:val="000000"/>
          <w:lang w:val="pl-PL"/>
        </w:rPr>
        <w:t>Nykänen</w:t>
      </w:r>
      <w:proofErr w:type="spellEnd"/>
      <w:r w:rsidR="00D02663">
        <w:rPr>
          <w:snapToGrid w:val="0"/>
          <w:color w:val="000000"/>
          <w:lang w:val="pl-PL"/>
        </w:rPr>
        <w:t xml:space="preserve"> </w:t>
      </w:r>
      <w:r w:rsidR="00506EBF" w:rsidRPr="0051003F">
        <w:rPr>
          <w:snapToGrid w:val="0"/>
          <w:color w:val="000000"/>
          <w:lang w:val="pl-PL"/>
        </w:rPr>
        <w:t xml:space="preserve">oraz szereg dalszych spraw stanowią przydatne wskazówki dla ustalenia właściwej równowagi pomiędzy należytą ochroną interesów jednostki chronionej zasadą </w:t>
      </w:r>
      <w:proofErr w:type="spellStart"/>
      <w:r w:rsidR="00506EBF" w:rsidRPr="00486852">
        <w:rPr>
          <w:i/>
          <w:snapToGrid w:val="0"/>
          <w:color w:val="000000"/>
          <w:lang w:val="pl-PL"/>
        </w:rPr>
        <w:t>ne</w:t>
      </w:r>
      <w:proofErr w:type="spellEnd"/>
      <w:r w:rsidR="00506EBF" w:rsidRPr="00486852">
        <w:rPr>
          <w:i/>
          <w:snapToGrid w:val="0"/>
          <w:color w:val="000000"/>
          <w:lang w:val="pl-PL"/>
        </w:rPr>
        <w:t xml:space="preserve"> bis in </w:t>
      </w:r>
      <w:proofErr w:type="spellStart"/>
      <w:r w:rsidR="00506EBF" w:rsidRPr="00486852">
        <w:rPr>
          <w:i/>
          <w:snapToGrid w:val="0"/>
          <w:color w:val="000000"/>
          <w:lang w:val="pl-PL"/>
        </w:rPr>
        <w:t>idem</w:t>
      </w:r>
      <w:proofErr w:type="spellEnd"/>
      <w:r w:rsidR="00506EBF" w:rsidRPr="0051003F">
        <w:rPr>
          <w:snapToGrid w:val="0"/>
          <w:color w:val="000000"/>
          <w:lang w:val="pl-PL"/>
        </w:rPr>
        <w:t xml:space="preserve"> z jednej strony, a uwzględnieniem szczególnego interesu społeczności w zakresie przyjęcia dostosowanego podejścia regulacyjnego w danym obszarze z drugiej strony. Jednocześnie, zanim jednak Trybunał przystąpi do dalszego dopracowania odpowiednich kryteriów służących osiągnięciu wymaganej równowagi, uważa za pożądane doprecyzowanie wniosków wyciągniętych z istniejącego orzecznictwa.</w:t>
      </w:r>
    </w:p>
    <w:p w:rsidR="00506EBF" w:rsidRPr="0051003F" w:rsidRDefault="00CB37E7" w:rsidP="00506EBF">
      <w:pPr>
        <w:pStyle w:val="ECHRPara"/>
        <w:rPr>
          <w:snapToGrid w:val="0"/>
          <w:color w:val="000000"/>
          <w:lang w:val="pl-PL"/>
        </w:rPr>
      </w:pPr>
      <w:r>
        <w:rPr>
          <w:lang w:val="pl-PL"/>
        </w:rPr>
        <w:t>125</w:t>
      </w:r>
      <w:r w:rsidR="00E07EFB" w:rsidRPr="0051003F">
        <w:rPr>
          <w:lang w:val="pl-PL"/>
        </w:rPr>
        <w:t>.  </w:t>
      </w:r>
      <w:r w:rsidR="00506EBF" w:rsidRPr="0051003F">
        <w:rPr>
          <w:snapToGrid w:val="0"/>
          <w:color w:val="000000"/>
          <w:lang w:val="pl-PL"/>
        </w:rPr>
        <w:t xml:space="preserve">Po pierwsze, z zastosowania testu „dostatecznie ścisłego związku... w istocie i w czasie” przeprowadzonego w ostatnich przypadkach przeciwko Finlandii i Szwecji wynika, że test ten nie będzie spełniony, jeżeli brakuje jednego lub drugiego z dwóch elementów - merytorycznego lub czasowego (zob. </w:t>
      </w:r>
      <w:r>
        <w:rPr>
          <w:snapToGrid w:val="0"/>
          <w:color w:val="000000"/>
          <w:lang w:val="pl-PL"/>
        </w:rPr>
        <w:t>paragraf</w:t>
      </w:r>
      <w:r w:rsidR="006508A8" w:rsidRPr="0051003F">
        <w:rPr>
          <w:snapToGrid w:val="0"/>
          <w:color w:val="000000"/>
          <w:lang w:val="pl-PL"/>
        </w:rPr>
        <w:t>.</w:t>
      </w:r>
      <w:r w:rsidR="00506EBF" w:rsidRPr="0051003F">
        <w:rPr>
          <w:snapToGrid w:val="0"/>
          <w:color w:val="000000"/>
          <w:lang w:val="pl-PL"/>
        </w:rPr>
        <w:t xml:space="preserve"> 114 powyżej).</w:t>
      </w:r>
    </w:p>
    <w:p w:rsidR="00506EBF" w:rsidRPr="0051003F" w:rsidRDefault="00CB37E7" w:rsidP="00506EBF">
      <w:pPr>
        <w:pStyle w:val="ECHRPara"/>
        <w:rPr>
          <w:snapToGrid w:val="0"/>
          <w:color w:val="000000"/>
          <w:lang w:val="pl-PL"/>
        </w:rPr>
      </w:pPr>
      <w:r>
        <w:rPr>
          <w:snapToGrid w:val="0"/>
          <w:color w:val="000000"/>
          <w:lang w:val="pl-PL"/>
        </w:rPr>
        <w:t>126</w:t>
      </w:r>
      <w:r w:rsidR="00E07EFB" w:rsidRPr="0051003F">
        <w:rPr>
          <w:snapToGrid w:val="0"/>
          <w:color w:val="000000"/>
          <w:lang w:val="pl-PL"/>
        </w:rPr>
        <w:t>.  </w:t>
      </w:r>
      <w:r w:rsidR="00506EBF" w:rsidRPr="0051003F">
        <w:rPr>
          <w:snapToGrid w:val="0"/>
          <w:color w:val="000000"/>
          <w:lang w:val="pl-PL"/>
        </w:rPr>
        <w:t xml:space="preserve">Po drugie, w niektórych przypadkach Trybunał najpierw zbadał, czy, a jeśli tak, to kiedy zapadła „ostateczna” decyzja w jednym postępowaniu (potencjalnie uniemożliwiająca kontynuację drugiego postępowania), zanim przystąpił do stosowania kryterium </w:t>
      </w:r>
      <w:r w:rsidR="001C0FC9">
        <w:rPr>
          <w:snapToGrid w:val="0"/>
          <w:color w:val="000000"/>
          <w:lang w:val="pl-PL"/>
        </w:rPr>
        <w:t>,,</w:t>
      </w:r>
      <w:r w:rsidR="00506EBF" w:rsidRPr="0051003F">
        <w:rPr>
          <w:snapToGrid w:val="0"/>
          <w:color w:val="000000"/>
          <w:lang w:val="pl-PL"/>
        </w:rPr>
        <w:t xml:space="preserve">dostatecznie bliskiego związku” i doszedł do negatywnego wniosku w kwestii </w:t>
      </w:r>
      <w:r w:rsidR="001C0FC9">
        <w:rPr>
          <w:snapToGrid w:val="0"/>
          <w:color w:val="000000"/>
          <w:lang w:val="pl-PL"/>
        </w:rPr>
        <w:t>,,</w:t>
      </w:r>
      <w:r w:rsidR="00506EBF" w:rsidRPr="0051003F">
        <w:rPr>
          <w:snapToGrid w:val="0"/>
          <w:color w:val="000000"/>
          <w:lang w:val="pl-PL"/>
        </w:rPr>
        <w:t xml:space="preserve">bis", czyli stwierdzenia braku </w:t>
      </w:r>
      <w:r w:rsidR="001C0FC9">
        <w:rPr>
          <w:snapToGrid w:val="0"/>
          <w:color w:val="000000"/>
          <w:lang w:val="pl-PL"/>
        </w:rPr>
        <w:t>,,</w:t>
      </w:r>
      <w:r w:rsidR="00506EBF" w:rsidRPr="0051003F">
        <w:rPr>
          <w:snapToGrid w:val="0"/>
          <w:color w:val="000000"/>
          <w:lang w:val="pl-PL"/>
        </w:rPr>
        <w:t xml:space="preserve">bis" (zob. cytowana </w:t>
      </w:r>
      <w:proofErr w:type="spellStart"/>
      <w:r w:rsidR="00506EBF" w:rsidRPr="0051003F">
        <w:rPr>
          <w:i/>
          <w:snapToGrid w:val="0"/>
          <w:color w:val="000000"/>
          <w:lang w:val="pl-PL"/>
        </w:rPr>
        <w:t>Boman</w:t>
      </w:r>
      <w:proofErr w:type="spellEnd"/>
      <w:r w:rsidR="00506EBF" w:rsidRPr="0051003F">
        <w:rPr>
          <w:snapToGrid w:val="0"/>
          <w:color w:val="000000"/>
          <w:lang w:val="pl-PL"/>
        </w:rPr>
        <w:t>, §§ 36-38). W opinii Trybunału jednak kwestia, czy decyzja jest „ostateczna” czy też nie, jest pozbawiona znaczenia, gdy nie dochodzi do rzeczywistego powielania postępowań, lecz raczej do połączenia postępowań uznanych za zintegrowaną całość.</w:t>
      </w:r>
    </w:p>
    <w:p w:rsidR="00FA0729" w:rsidRPr="0051003F" w:rsidRDefault="001C0FC9" w:rsidP="00FA0729">
      <w:pPr>
        <w:pStyle w:val="ECHRPara"/>
        <w:rPr>
          <w:snapToGrid w:val="0"/>
          <w:color w:val="000000"/>
          <w:lang w:val="pl-PL"/>
        </w:rPr>
      </w:pPr>
      <w:r>
        <w:rPr>
          <w:snapToGrid w:val="0"/>
          <w:color w:val="000000"/>
          <w:lang w:val="pl-PL"/>
        </w:rPr>
        <w:t>127</w:t>
      </w:r>
      <w:r w:rsidR="00E07EFB" w:rsidRPr="0051003F">
        <w:rPr>
          <w:snapToGrid w:val="0"/>
          <w:color w:val="000000"/>
          <w:lang w:val="pl-PL"/>
        </w:rPr>
        <w:t>.  </w:t>
      </w:r>
      <w:r w:rsidR="00506EBF" w:rsidRPr="0051003F">
        <w:rPr>
          <w:snapToGrid w:val="0"/>
          <w:color w:val="000000"/>
          <w:lang w:val="pl-PL"/>
        </w:rPr>
        <w:t xml:space="preserve">Po trzecie, powyższe spostrzeżenie powinno mieć również wpływ na obawy wyrażone przez niektóre </w:t>
      </w:r>
      <w:r>
        <w:rPr>
          <w:snapToGrid w:val="0"/>
          <w:color w:val="000000"/>
          <w:lang w:val="pl-PL"/>
        </w:rPr>
        <w:t>R</w:t>
      </w:r>
      <w:r w:rsidR="00506EBF" w:rsidRPr="0051003F">
        <w:rPr>
          <w:snapToGrid w:val="0"/>
          <w:color w:val="000000"/>
          <w:lang w:val="pl-PL"/>
        </w:rPr>
        <w:t>ządy biorące udział w obecnym postępowaniu, a mianowicie, że nie powinno być wymagane, aby powiązane postępowani</w:t>
      </w:r>
      <w:r w:rsidR="00FA0729" w:rsidRPr="0051003F">
        <w:rPr>
          <w:snapToGrid w:val="0"/>
          <w:color w:val="000000"/>
          <w:lang w:val="pl-PL"/>
        </w:rPr>
        <w:t>e stało się „ostateczne”</w:t>
      </w:r>
      <w:r w:rsidR="00506EBF" w:rsidRPr="0051003F">
        <w:rPr>
          <w:snapToGrid w:val="0"/>
          <w:color w:val="000000"/>
          <w:lang w:val="pl-PL"/>
        </w:rPr>
        <w:t xml:space="preserve"> w tym samym czasie. Gdyby tak było, umożliwiłoby to osobie zainteresowanej wykorzystanie zasady </w:t>
      </w:r>
      <w:proofErr w:type="spellStart"/>
      <w:r w:rsidR="00506EBF" w:rsidRPr="00486852">
        <w:rPr>
          <w:i/>
          <w:snapToGrid w:val="0"/>
          <w:color w:val="000000"/>
          <w:lang w:val="pl-PL"/>
        </w:rPr>
        <w:t>ne</w:t>
      </w:r>
      <w:proofErr w:type="spellEnd"/>
      <w:r w:rsidR="00506EBF" w:rsidRPr="00486852">
        <w:rPr>
          <w:i/>
          <w:snapToGrid w:val="0"/>
          <w:color w:val="000000"/>
          <w:lang w:val="pl-PL"/>
        </w:rPr>
        <w:t xml:space="preserve"> </w:t>
      </w:r>
      <w:r w:rsidR="00506EBF" w:rsidRPr="00486852">
        <w:rPr>
          <w:i/>
          <w:snapToGrid w:val="0"/>
          <w:color w:val="000000"/>
          <w:lang w:val="pl-PL"/>
        </w:rPr>
        <w:lastRenderedPageBreak/>
        <w:t xml:space="preserve">bis in </w:t>
      </w:r>
      <w:proofErr w:type="spellStart"/>
      <w:r w:rsidR="00506EBF" w:rsidRPr="00486852">
        <w:rPr>
          <w:i/>
          <w:snapToGrid w:val="0"/>
          <w:color w:val="000000"/>
          <w:lang w:val="pl-PL"/>
        </w:rPr>
        <w:t>idem</w:t>
      </w:r>
      <w:proofErr w:type="spellEnd"/>
      <w:r w:rsidR="00506EBF" w:rsidRPr="0051003F">
        <w:rPr>
          <w:snapToGrid w:val="0"/>
          <w:color w:val="000000"/>
          <w:lang w:val="pl-PL"/>
        </w:rPr>
        <w:t xml:space="preserve"> jako narzędzia manipulacji i bezkarności. W tym</w:t>
      </w:r>
      <w:r w:rsidR="00FA0729" w:rsidRPr="0051003F">
        <w:rPr>
          <w:snapToGrid w:val="0"/>
          <w:color w:val="000000"/>
          <w:lang w:val="pl-PL"/>
        </w:rPr>
        <w:t xml:space="preserve"> względzie wniosek zawarty w para</w:t>
      </w:r>
      <w:r>
        <w:rPr>
          <w:snapToGrid w:val="0"/>
          <w:color w:val="000000"/>
          <w:lang w:val="pl-PL"/>
        </w:rPr>
        <w:t>grafie</w:t>
      </w:r>
      <w:r w:rsidRPr="0051003F">
        <w:rPr>
          <w:snapToGrid w:val="0"/>
          <w:color w:val="000000"/>
          <w:lang w:val="pl-PL"/>
        </w:rPr>
        <w:t xml:space="preserve"> </w:t>
      </w:r>
      <w:r w:rsidR="00506EBF" w:rsidRPr="0051003F">
        <w:rPr>
          <w:snapToGrid w:val="0"/>
          <w:color w:val="000000"/>
          <w:lang w:val="pl-PL"/>
        </w:rPr>
        <w:t xml:space="preserve">51 </w:t>
      </w:r>
      <w:proofErr w:type="spellStart"/>
      <w:r w:rsidR="00506EBF" w:rsidRPr="0051003F">
        <w:rPr>
          <w:i/>
          <w:snapToGrid w:val="0"/>
          <w:color w:val="000000"/>
          <w:lang w:val="pl-PL"/>
        </w:rPr>
        <w:t>Nykänena</w:t>
      </w:r>
      <w:proofErr w:type="spellEnd"/>
      <w:r w:rsidR="00506EBF" w:rsidRPr="0051003F">
        <w:rPr>
          <w:snapToGrid w:val="0"/>
          <w:color w:val="000000"/>
          <w:lang w:val="pl-PL"/>
        </w:rPr>
        <w:t xml:space="preserve"> (cytowany powyżej) oraz w szeregu późniejs</w:t>
      </w:r>
      <w:r w:rsidR="00FA0729" w:rsidRPr="0051003F">
        <w:rPr>
          <w:snapToGrid w:val="0"/>
          <w:color w:val="000000"/>
          <w:lang w:val="pl-PL"/>
        </w:rPr>
        <w:t>zych wyroków, zgodnie z którym „</w:t>
      </w:r>
      <w:r w:rsidR="00506EBF" w:rsidRPr="0051003F">
        <w:rPr>
          <w:snapToGrid w:val="0"/>
          <w:color w:val="000000"/>
          <w:lang w:val="pl-PL"/>
        </w:rPr>
        <w:t xml:space="preserve">obydwa postępowania przebiegają zgodnie z własnym odrębnym </w:t>
      </w:r>
      <w:r w:rsidR="004C4A40">
        <w:rPr>
          <w:snapToGrid w:val="0"/>
          <w:color w:val="000000"/>
          <w:lang w:val="pl-PL"/>
        </w:rPr>
        <w:t>tokiem</w:t>
      </w:r>
      <w:r w:rsidR="004C4A40" w:rsidRPr="0051003F">
        <w:rPr>
          <w:snapToGrid w:val="0"/>
          <w:color w:val="000000"/>
          <w:lang w:val="pl-PL"/>
        </w:rPr>
        <w:t xml:space="preserve"> </w:t>
      </w:r>
      <w:r w:rsidR="00506EBF" w:rsidRPr="0051003F">
        <w:rPr>
          <w:snapToGrid w:val="0"/>
          <w:color w:val="000000"/>
          <w:lang w:val="pl-PL"/>
        </w:rPr>
        <w:t>i stają się o</w:t>
      </w:r>
      <w:r w:rsidR="00FA0729" w:rsidRPr="0051003F">
        <w:rPr>
          <w:snapToGrid w:val="0"/>
          <w:color w:val="000000"/>
          <w:lang w:val="pl-PL"/>
        </w:rPr>
        <w:t>stateczne niezależnie od siebie”</w:t>
      </w:r>
      <w:r w:rsidR="00506EBF" w:rsidRPr="0051003F">
        <w:rPr>
          <w:snapToGrid w:val="0"/>
          <w:color w:val="000000"/>
          <w:lang w:val="pl-PL"/>
        </w:rPr>
        <w:t xml:space="preserve">, należy traktować jako ustalenie faktyczne: w rozpatrywanym systemie fińskim nie istniał wystarczający związek merytoryczny między postępowaniem administracyjnym a postępowaniem karnym, chociaż były one prowadzone mniej więcej w tym samym czasie. </w:t>
      </w:r>
      <w:proofErr w:type="spellStart"/>
      <w:r w:rsidR="00506EBF" w:rsidRPr="0051003F">
        <w:rPr>
          <w:i/>
          <w:snapToGrid w:val="0"/>
          <w:color w:val="000000"/>
          <w:lang w:val="pl-PL"/>
        </w:rPr>
        <w:t>Nykänen</w:t>
      </w:r>
      <w:proofErr w:type="spellEnd"/>
      <w:r w:rsidR="00FA0729" w:rsidRPr="0051003F">
        <w:rPr>
          <w:snapToGrid w:val="0"/>
          <w:color w:val="000000"/>
          <w:lang w:val="pl-PL"/>
        </w:rPr>
        <w:t xml:space="preserve"> jest ilustracją testu „</w:t>
      </w:r>
      <w:r w:rsidR="00506EBF" w:rsidRPr="0051003F">
        <w:rPr>
          <w:snapToGrid w:val="0"/>
          <w:color w:val="000000"/>
          <w:lang w:val="pl-PL"/>
        </w:rPr>
        <w:t>wystarczającego zwi</w:t>
      </w:r>
      <w:r w:rsidR="00FA0729" w:rsidRPr="0051003F">
        <w:rPr>
          <w:snapToGrid w:val="0"/>
          <w:color w:val="000000"/>
          <w:lang w:val="pl-PL"/>
        </w:rPr>
        <w:t>ązku merytorycznego i czasowego”</w:t>
      </w:r>
      <w:r w:rsidR="00506EBF" w:rsidRPr="0051003F">
        <w:rPr>
          <w:snapToGrid w:val="0"/>
          <w:color w:val="000000"/>
          <w:lang w:val="pl-PL"/>
        </w:rPr>
        <w:t>, przeprowadzanego na podstawie faktów.</w:t>
      </w:r>
    </w:p>
    <w:p w:rsidR="00FA0729" w:rsidRPr="0051003F" w:rsidRDefault="004C4A40" w:rsidP="00FA0729">
      <w:pPr>
        <w:pStyle w:val="ECHRPara"/>
        <w:rPr>
          <w:snapToGrid w:val="0"/>
          <w:color w:val="000000"/>
          <w:lang w:val="pl-PL"/>
        </w:rPr>
      </w:pPr>
      <w:r>
        <w:rPr>
          <w:snapToGrid w:val="0"/>
          <w:color w:val="000000"/>
          <w:lang w:val="pl-PL"/>
        </w:rPr>
        <w:t>128</w:t>
      </w:r>
      <w:r w:rsidR="00E07EFB" w:rsidRPr="0051003F">
        <w:rPr>
          <w:snapToGrid w:val="0"/>
          <w:color w:val="000000"/>
          <w:lang w:val="pl-PL"/>
        </w:rPr>
        <w:t>.  </w:t>
      </w:r>
      <w:r w:rsidR="00FA0729" w:rsidRPr="0051003F">
        <w:rPr>
          <w:snapToGrid w:val="0"/>
          <w:color w:val="000000"/>
          <w:lang w:val="pl-PL"/>
        </w:rPr>
        <w:t xml:space="preserve">Po czwarte, z powodów podobnych do wymienionych powyżej, kolejność prowadzenia postępowania nie może decydować o tym, czy podwójne lub wielokrotne przetwarzanie danych jest dopuszczalne na mocy art. 4 </w:t>
      </w:r>
      <w:r>
        <w:rPr>
          <w:snapToGrid w:val="0"/>
          <w:color w:val="000000"/>
          <w:lang w:val="pl-PL"/>
        </w:rPr>
        <w:t>P</w:t>
      </w:r>
      <w:r w:rsidR="00FA0729" w:rsidRPr="0051003F">
        <w:rPr>
          <w:snapToGrid w:val="0"/>
          <w:color w:val="000000"/>
          <w:lang w:val="pl-PL"/>
        </w:rPr>
        <w:t>rotokołu nr 7 (porównaj, R</w:t>
      </w:r>
      <w:r w:rsidR="00FA0729" w:rsidRPr="0051003F">
        <w:rPr>
          <w:i/>
          <w:snapToGrid w:val="0"/>
          <w:color w:val="000000"/>
          <w:lang w:val="pl-PL"/>
        </w:rPr>
        <w:t>. T. v. Szwajcarii</w:t>
      </w:r>
      <w:r w:rsidR="00FA0729" w:rsidRPr="0051003F">
        <w:rPr>
          <w:snapToGrid w:val="0"/>
          <w:color w:val="000000"/>
          <w:lang w:val="pl-PL"/>
        </w:rPr>
        <w:t xml:space="preserve"> - w której cofnięcie zezwolenia miało miejsce przed postępowaniem karnym, oraz </w:t>
      </w:r>
      <w:proofErr w:type="spellStart"/>
      <w:r w:rsidR="00FA0729" w:rsidRPr="0051003F">
        <w:rPr>
          <w:i/>
          <w:snapToGrid w:val="0"/>
          <w:color w:val="000000"/>
          <w:lang w:val="pl-PL"/>
        </w:rPr>
        <w:t>Nilsson</w:t>
      </w:r>
      <w:proofErr w:type="spellEnd"/>
      <w:r w:rsidR="00FA0729" w:rsidRPr="0051003F">
        <w:rPr>
          <w:i/>
          <w:snapToGrid w:val="0"/>
          <w:color w:val="000000"/>
          <w:lang w:val="pl-PL"/>
        </w:rPr>
        <w:t xml:space="preserve"> przeciwko Szwecji</w:t>
      </w:r>
      <w:r w:rsidR="00FA0729" w:rsidRPr="0051003F">
        <w:rPr>
          <w:snapToGrid w:val="0"/>
          <w:color w:val="000000"/>
          <w:lang w:val="pl-PL"/>
        </w:rPr>
        <w:t xml:space="preserve"> - w przypadku</w:t>
      </w:r>
      <w:r>
        <w:rPr>
          <w:snapToGrid w:val="0"/>
          <w:color w:val="000000"/>
          <w:lang w:val="pl-PL"/>
        </w:rPr>
        <w:t>,</w:t>
      </w:r>
      <w:r w:rsidR="00FA0729" w:rsidRPr="0051003F">
        <w:rPr>
          <w:snapToGrid w:val="0"/>
          <w:color w:val="000000"/>
          <w:lang w:val="pl-PL"/>
        </w:rPr>
        <w:t xml:space="preserve"> gdy cofnięcie zezwolenia miało miejsce później).</w:t>
      </w:r>
    </w:p>
    <w:p w:rsidR="00FA0729" w:rsidRPr="0051003F" w:rsidRDefault="004C4A40" w:rsidP="00FA0729">
      <w:pPr>
        <w:pStyle w:val="ECHRPara"/>
        <w:rPr>
          <w:snapToGrid w:val="0"/>
          <w:color w:val="000000"/>
          <w:lang w:val="pl-PL"/>
        </w:rPr>
      </w:pPr>
      <w:r>
        <w:rPr>
          <w:snapToGrid w:val="0"/>
          <w:color w:val="000000"/>
          <w:lang w:val="pl-PL"/>
        </w:rPr>
        <w:t>129</w:t>
      </w:r>
      <w:r w:rsidR="00B06720" w:rsidRPr="0051003F">
        <w:rPr>
          <w:snapToGrid w:val="0"/>
          <w:color w:val="000000"/>
          <w:lang w:val="pl-PL"/>
        </w:rPr>
        <w:t>.  </w:t>
      </w:r>
      <w:r w:rsidR="00FA0729" w:rsidRPr="0051003F">
        <w:rPr>
          <w:snapToGrid w:val="0"/>
          <w:color w:val="000000"/>
          <w:lang w:val="pl-PL"/>
        </w:rPr>
        <w:t xml:space="preserve">Wreszcie z niektórych przytoczonych powyżej spraw (zob. </w:t>
      </w:r>
      <w:proofErr w:type="spellStart"/>
      <w:r w:rsidR="00FA0729" w:rsidRPr="0051003F">
        <w:rPr>
          <w:i/>
          <w:snapToGrid w:val="0"/>
          <w:color w:val="000000"/>
          <w:lang w:val="pl-PL"/>
        </w:rPr>
        <w:t>Zolothukin</w:t>
      </w:r>
      <w:proofErr w:type="spellEnd"/>
      <w:r w:rsidR="00FA0729" w:rsidRPr="0051003F">
        <w:rPr>
          <w:i/>
          <w:snapToGrid w:val="0"/>
          <w:color w:val="000000"/>
          <w:lang w:val="pl-PL"/>
        </w:rPr>
        <w:t xml:space="preserve">, </w:t>
      </w:r>
      <w:proofErr w:type="spellStart"/>
      <w:r w:rsidR="00FA0729" w:rsidRPr="0051003F">
        <w:rPr>
          <w:i/>
          <w:snapToGrid w:val="0"/>
          <w:color w:val="000000"/>
          <w:lang w:val="pl-PL"/>
        </w:rPr>
        <w:t>Tomasovi</w:t>
      </w:r>
      <w:proofErr w:type="spellEnd"/>
      <w:r w:rsidR="00FA0729" w:rsidRPr="0051003F">
        <w:rPr>
          <w:snapToGrid w:val="0"/>
          <w:color w:val="000000"/>
          <w:lang w:val="pl-PL"/>
        </w:rPr>
        <w:t xml:space="preserve"> i </w:t>
      </w:r>
      <w:proofErr w:type="spellStart"/>
      <w:r w:rsidR="00FA0729" w:rsidRPr="0051003F">
        <w:rPr>
          <w:i/>
          <w:snapToGrid w:val="0"/>
          <w:color w:val="000000"/>
          <w:lang w:val="pl-PL"/>
        </w:rPr>
        <w:t>Muslija</w:t>
      </w:r>
      <w:proofErr w:type="spellEnd"/>
      <w:r w:rsidR="00FA0729" w:rsidRPr="0051003F">
        <w:rPr>
          <w:snapToGrid w:val="0"/>
          <w:color w:val="000000"/>
          <w:lang w:val="pl-PL"/>
        </w:rPr>
        <w:t xml:space="preserve"> - opisanych w paragrafach 108 i 115 powyżej) wynika, że w zakresie, w jakim dotyczyły one dublowania się postępowań prowadzonych bez komplementarności celów i środków (zob. para</w:t>
      </w:r>
      <w:r w:rsidR="00C15E3F">
        <w:rPr>
          <w:snapToGrid w:val="0"/>
          <w:color w:val="000000"/>
          <w:lang w:val="pl-PL"/>
        </w:rPr>
        <w:t>graf</w:t>
      </w:r>
      <w:r w:rsidR="00FA0729" w:rsidRPr="0051003F">
        <w:rPr>
          <w:snapToGrid w:val="0"/>
          <w:color w:val="000000"/>
          <w:lang w:val="pl-PL"/>
        </w:rPr>
        <w:t xml:space="preserve"> 130 poniżej), Trybunał nie miał zamiaru badać ich jako postępowań równoległych lub podwójnych, które mogą być zgodne z zasadą </w:t>
      </w:r>
      <w:proofErr w:type="spellStart"/>
      <w:r w:rsidR="00FA0729" w:rsidRPr="0051003F">
        <w:rPr>
          <w:i/>
          <w:snapToGrid w:val="0"/>
          <w:color w:val="000000"/>
          <w:lang w:val="pl-PL"/>
        </w:rPr>
        <w:t>ne</w:t>
      </w:r>
      <w:proofErr w:type="spellEnd"/>
      <w:r w:rsidR="00FA0729" w:rsidRPr="0051003F">
        <w:rPr>
          <w:i/>
          <w:snapToGrid w:val="0"/>
          <w:color w:val="000000"/>
          <w:lang w:val="pl-PL"/>
        </w:rPr>
        <w:t xml:space="preserve"> bis in </w:t>
      </w:r>
      <w:proofErr w:type="spellStart"/>
      <w:r w:rsidR="00FA0729" w:rsidRPr="0051003F">
        <w:rPr>
          <w:i/>
          <w:snapToGrid w:val="0"/>
          <w:color w:val="000000"/>
          <w:lang w:val="pl-PL"/>
        </w:rPr>
        <w:t>idem</w:t>
      </w:r>
      <w:proofErr w:type="spellEnd"/>
      <w:r w:rsidR="00FA0729" w:rsidRPr="0051003F">
        <w:rPr>
          <w:snapToGrid w:val="0"/>
          <w:color w:val="000000"/>
          <w:lang w:val="pl-PL"/>
        </w:rPr>
        <w:t xml:space="preserve">, jak w sprawie </w:t>
      </w:r>
      <w:r w:rsidR="00FA0729" w:rsidRPr="0051003F">
        <w:rPr>
          <w:i/>
          <w:snapToGrid w:val="0"/>
          <w:color w:val="000000"/>
          <w:lang w:val="pl-PL"/>
        </w:rPr>
        <w:t>R.T. v. Szwajcaria</w:t>
      </w:r>
      <w:r w:rsidR="00FA0729" w:rsidRPr="0051003F">
        <w:rPr>
          <w:snapToGrid w:val="0"/>
          <w:color w:val="000000"/>
          <w:lang w:val="pl-PL"/>
        </w:rPr>
        <w:t xml:space="preserve">, </w:t>
      </w:r>
      <w:proofErr w:type="spellStart"/>
      <w:r w:rsidR="00FA0729" w:rsidRPr="0051003F">
        <w:rPr>
          <w:i/>
          <w:snapToGrid w:val="0"/>
          <w:color w:val="000000"/>
          <w:lang w:val="pl-PL"/>
        </w:rPr>
        <w:t>Nilsson</w:t>
      </w:r>
      <w:proofErr w:type="spellEnd"/>
      <w:r w:rsidR="00FA0729" w:rsidRPr="0051003F">
        <w:rPr>
          <w:snapToGrid w:val="0"/>
          <w:color w:val="000000"/>
          <w:lang w:val="pl-PL"/>
        </w:rPr>
        <w:t xml:space="preserve"> i </w:t>
      </w:r>
      <w:proofErr w:type="spellStart"/>
      <w:r w:rsidR="00FA0729" w:rsidRPr="0051003F">
        <w:rPr>
          <w:i/>
          <w:snapToGrid w:val="0"/>
          <w:color w:val="000000"/>
          <w:lang w:val="pl-PL"/>
        </w:rPr>
        <w:t>Boman</w:t>
      </w:r>
      <w:proofErr w:type="spellEnd"/>
      <w:r w:rsidR="00FA0729" w:rsidRPr="0051003F">
        <w:rPr>
          <w:snapToGrid w:val="0"/>
          <w:color w:val="000000"/>
          <w:lang w:val="pl-PL"/>
        </w:rPr>
        <w:t xml:space="preserve"> (zob. para</w:t>
      </w:r>
      <w:r w:rsidR="00C15E3F">
        <w:rPr>
          <w:snapToGrid w:val="0"/>
          <w:color w:val="000000"/>
          <w:lang w:val="pl-PL"/>
        </w:rPr>
        <w:t>graf</w:t>
      </w:r>
      <w:r w:rsidR="00FA0729" w:rsidRPr="0051003F">
        <w:rPr>
          <w:snapToGrid w:val="0"/>
          <w:color w:val="000000"/>
          <w:lang w:val="pl-PL"/>
        </w:rPr>
        <w:t xml:space="preserve"> 113 powyżej).</w:t>
      </w:r>
    </w:p>
    <w:p w:rsidR="00FA0729" w:rsidRPr="0051003F" w:rsidRDefault="00C15E3F" w:rsidP="00FA0729">
      <w:pPr>
        <w:pStyle w:val="ECHRPara"/>
        <w:rPr>
          <w:snapToGrid w:val="0"/>
          <w:color w:val="000000"/>
          <w:lang w:val="pl-PL"/>
        </w:rPr>
      </w:pPr>
      <w:r>
        <w:rPr>
          <w:snapToGrid w:val="0"/>
          <w:color w:val="000000"/>
          <w:lang w:val="pl-PL"/>
        </w:rPr>
        <w:t>130</w:t>
      </w:r>
      <w:r w:rsidR="00072B88" w:rsidRPr="0051003F">
        <w:rPr>
          <w:snapToGrid w:val="0"/>
          <w:color w:val="000000"/>
          <w:lang w:val="pl-PL"/>
        </w:rPr>
        <w:t>.  </w:t>
      </w:r>
      <w:r w:rsidR="00FA0729" w:rsidRPr="0051003F">
        <w:rPr>
          <w:snapToGrid w:val="0"/>
          <w:color w:val="000000"/>
          <w:lang w:val="pl-PL"/>
        </w:rPr>
        <w:t xml:space="preserve">Na podstawie powyższej analizy orzecznictwa Trybunału oczywiste jest, że w odniesieniu do kwestii podlegających represjom zarówno na mocy prawa karnego, jak i administracyjnego, najpewniejszy sposób zapewnienia zgodności z art. 4 </w:t>
      </w:r>
      <w:r w:rsidR="00536AC8">
        <w:rPr>
          <w:snapToGrid w:val="0"/>
          <w:color w:val="000000"/>
          <w:lang w:val="pl-PL"/>
        </w:rPr>
        <w:t>P</w:t>
      </w:r>
      <w:r w:rsidR="00FA0729" w:rsidRPr="0051003F">
        <w:rPr>
          <w:snapToGrid w:val="0"/>
          <w:color w:val="000000"/>
          <w:lang w:val="pl-PL"/>
        </w:rPr>
        <w:t>rotokołu nr 7 to ustanowienie, na pewnym odpowiednim etapie, jednolitej procedury umożliwiającej połączenie równoległych aspektów prawnych regulacji danej działalności, tak</w:t>
      </w:r>
      <w:r w:rsidR="00536AC8">
        <w:rPr>
          <w:snapToGrid w:val="0"/>
          <w:color w:val="000000"/>
          <w:lang w:val="pl-PL"/>
        </w:rPr>
        <w:t>,</w:t>
      </w:r>
      <w:r w:rsidR="00FA0729" w:rsidRPr="0051003F">
        <w:rPr>
          <w:snapToGrid w:val="0"/>
          <w:color w:val="000000"/>
          <w:lang w:val="pl-PL"/>
        </w:rPr>
        <w:t xml:space="preserve"> aby różne potrzeby społeczeństwa w zakresie reagowania na przestępstwo można było zaspokoić w ramach jednego procesu. Niemniej jednak, jak wyjaśniono powyżej (zob. w szczególności paragrafy 111 i 117-120), art. 4 </w:t>
      </w:r>
      <w:r w:rsidR="00536AC8">
        <w:rPr>
          <w:snapToGrid w:val="0"/>
          <w:color w:val="000000"/>
          <w:lang w:val="pl-PL"/>
        </w:rPr>
        <w:t>P</w:t>
      </w:r>
      <w:r w:rsidR="00FA0729" w:rsidRPr="0051003F">
        <w:rPr>
          <w:snapToGrid w:val="0"/>
          <w:color w:val="000000"/>
          <w:lang w:val="pl-PL"/>
        </w:rPr>
        <w:t xml:space="preserve">rotokołu nr 7 nie wyklucza prowadzenia postępowań w dwóch sprawach, nawet do czasu ich zakończenia, o ile spełnione są określone warunki. W szczególności, aby Trybunał był przekonany, że nie dochodzi do dublowania procesów lub karania (bis) zakazanego w art. 4 </w:t>
      </w:r>
      <w:r w:rsidR="00536AC8">
        <w:rPr>
          <w:snapToGrid w:val="0"/>
          <w:color w:val="000000"/>
          <w:lang w:val="pl-PL"/>
        </w:rPr>
        <w:t>P</w:t>
      </w:r>
      <w:r w:rsidR="00FA0729" w:rsidRPr="0051003F">
        <w:rPr>
          <w:snapToGrid w:val="0"/>
          <w:color w:val="000000"/>
          <w:lang w:val="pl-PL"/>
        </w:rPr>
        <w:t xml:space="preserve">rotokołu nr 7, państwo pozwane musi w przekonujący sposób wykazać, że </w:t>
      </w:r>
      <w:r w:rsidR="00536AC8">
        <w:rPr>
          <w:snapToGrid w:val="0"/>
          <w:color w:val="000000"/>
          <w:lang w:val="pl-PL"/>
        </w:rPr>
        <w:t>określone</w:t>
      </w:r>
      <w:r w:rsidR="00536AC8" w:rsidRPr="0051003F">
        <w:rPr>
          <w:snapToGrid w:val="0"/>
          <w:color w:val="000000"/>
          <w:lang w:val="pl-PL"/>
        </w:rPr>
        <w:t xml:space="preserve"> </w:t>
      </w:r>
      <w:r w:rsidR="00FA0729" w:rsidRPr="0051003F">
        <w:rPr>
          <w:snapToGrid w:val="0"/>
          <w:color w:val="000000"/>
          <w:lang w:val="pl-PL"/>
        </w:rPr>
        <w:t xml:space="preserve">podwójne postępowanie jest </w:t>
      </w:r>
      <w:r w:rsidR="00536AC8">
        <w:rPr>
          <w:snapToGrid w:val="0"/>
          <w:color w:val="000000"/>
          <w:lang w:val="pl-PL"/>
        </w:rPr>
        <w:t>,,</w:t>
      </w:r>
      <w:r w:rsidR="00FA0729" w:rsidRPr="0051003F">
        <w:rPr>
          <w:snapToGrid w:val="0"/>
          <w:color w:val="000000"/>
          <w:lang w:val="pl-PL"/>
        </w:rPr>
        <w:t xml:space="preserve">wystarczająco ściśle powiązane co do istoty i w czasie". Innymi słowy, należy wykazać, że zostały one połączone w sposób zintegrowany, aby stworzyć spójną całość. Oznacza to nie tylko, że cele i środki służące ich osiągnięciu powinny zasadniczo mieć charakter uzupełniający i powiązany z czasem, ale także, że ewentualne </w:t>
      </w:r>
      <w:r w:rsidR="00FA0729" w:rsidRPr="0051003F">
        <w:rPr>
          <w:snapToGrid w:val="0"/>
          <w:color w:val="000000"/>
          <w:lang w:val="pl-PL"/>
        </w:rPr>
        <w:lastRenderedPageBreak/>
        <w:t xml:space="preserve">konsekwencje organizacji legalnego traktowania danych </w:t>
      </w:r>
      <w:proofErr w:type="spellStart"/>
      <w:r w:rsidR="00FA0729" w:rsidRPr="0051003F">
        <w:rPr>
          <w:snapToGrid w:val="0"/>
          <w:color w:val="000000"/>
          <w:lang w:val="pl-PL"/>
        </w:rPr>
        <w:t>zachowań</w:t>
      </w:r>
      <w:proofErr w:type="spellEnd"/>
      <w:r w:rsidR="00FA0729" w:rsidRPr="0051003F">
        <w:rPr>
          <w:snapToGrid w:val="0"/>
          <w:color w:val="000000"/>
          <w:lang w:val="pl-PL"/>
        </w:rPr>
        <w:t xml:space="preserve"> w taki sposób powinny być proporcjonalne i przewidywalne dla zainteresowanych osób.</w:t>
      </w:r>
    </w:p>
    <w:p w:rsidR="00FA0729" w:rsidRPr="0051003F" w:rsidRDefault="00621CB7" w:rsidP="00FA0729">
      <w:pPr>
        <w:pStyle w:val="ECHRPara"/>
        <w:rPr>
          <w:snapToGrid w:val="0"/>
          <w:color w:val="000000"/>
          <w:lang w:val="pl-PL"/>
        </w:rPr>
      </w:pPr>
      <w:r>
        <w:rPr>
          <w:snapToGrid w:val="0"/>
          <w:color w:val="000000"/>
          <w:lang w:val="pl-PL"/>
        </w:rPr>
        <w:t>131</w:t>
      </w:r>
      <w:r w:rsidR="0056450C" w:rsidRPr="0051003F">
        <w:rPr>
          <w:snapToGrid w:val="0"/>
          <w:color w:val="000000"/>
          <w:lang w:val="pl-PL"/>
        </w:rPr>
        <w:t>.  </w:t>
      </w:r>
      <w:r w:rsidR="00FA0729" w:rsidRPr="0051003F">
        <w:rPr>
          <w:snapToGrid w:val="0"/>
          <w:color w:val="000000"/>
          <w:lang w:val="pl-PL"/>
        </w:rPr>
        <w:t>Jeżeli chodzi o warunki, które należy spełnić, aby podwójne postępowanie karne i administracyjne można było uznać za wystarczająco powiązane co do istoty i w czasie, a tym samym</w:t>
      </w:r>
      <w:r>
        <w:rPr>
          <w:snapToGrid w:val="0"/>
          <w:color w:val="000000"/>
          <w:lang w:val="pl-PL"/>
        </w:rPr>
        <w:t xml:space="preserve"> za</w:t>
      </w:r>
      <w:r w:rsidR="00FA0729" w:rsidRPr="0051003F">
        <w:rPr>
          <w:snapToGrid w:val="0"/>
          <w:color w:val="000000"/>
          <w:lang w:val="pl-PL"/>
        </w:rPr>
        <w:t xml:space="preserve"> zgodne z kryterium bis art. 4 </w:t>
      </w:r>
      <w:r>
        <w:rPr>
          <w:snapToGrid w:val="0"/>
          <w:color w:val="000000"/>
          <w:lang w:val="pl-PL"/>
        </w:rPr>
        <w:t>P</w:t>
      </w:r>
      <w:r w:rsidR="00FA0729" w:rsidRPr="0051003F">
        <w:rPr>
          <w:snapToGrid w:val="0"/>
          <w:color w:val="000000"/>
          <w:lang w:val="pl-PL"/>
        </w:rPr>
        <w:t>rotokołu nr 7, istotne względy wynikające z orzecznictwa Trybunału, omówionego powyżej, można streścić w następujący sposób.</w:t>
      </w:r>
    </w:p>
    <w:p w:rsidR="008E3F2B" w:rsidRPr="0051003F" w:rsidRDefault="00621CB7" w:rsidP="00FA0729">
      <w:pPr>
        <w:pStyle w:val="ECHRPara"/>
        <w:rPr>
          <w:snapToGrid w:val="0"/>
          <w:color w:val="000000"/>
          <w:lang w:val="pl-PL"/>
        </w:rPr>
      </w:pPr>
      <w:r>
        <w:rPr>
          <w:snapToGrid w:val="0"/>
          <w:color w:val="000000"/>
          <w:lang w:val="pl-PL"/>
        </w:rPr>
        <w:t>132</w:t>
      </w:r>
      <w:r w:rsidR="006573EA" w:rsidRPr="0051003F">
        <w:rPr>
          <w:snapToGrid w:val="0"/>
          <w:color w:val="000000"/>
          <w:lang w:val="pl-PL"/>
        </w:rPr>
        <w:t>.  </w:t>
      </w:r>
      <w:r w:rsidR="00FA0729" w:rsidRPr="0051003F">
        <w:rPr>
          <w:snapToGrid w:val="0"/>
          <w:color w:val="000000"/>
          <w:lang w:val="pl-PL"/>
        </w:rPr>
        <w:t>Czynniki istotne dla ustalenia, czy istnieje wystarczająco bliskie powiązanie merytoryczne obejmują</w:t>
      </w:r>
      <w:r w:rsidR="00B06720" w:rsidRPr="0051003F">
        <w:rPr>
          <w:snapToGrid w:val="0"/>
          <w:color w:val="000000"/>
          <w:lang w:val="pl-PL"/>
        </w:rPr>
        <w:t>:</w:t>
      </w:r>
    </w:p>
    <w:p w:rsidR="00D2575C" w:rsidRPr="0051003F" w:rsidRDefault="000042CB" w:rsidP="00D2575C">
      <w:pPr>
        <w:pStyle w:val="ECHRPara"/>
        <w:rPr>
          <w:snapToGrid w:val="0"/>
          <w:color w:val="000000"/>
          <w:lang w:val="pl-PL"/>
        </w:rPr>
      </w:pPr>
      <w:r w:rsidRPr="0051003F">
        <w:rPr>
          <w:snapToGrid w:val="0"/>
          <w:color w:val="000000"/>
          <w:lang w:val="pl-PL"/>
        </w:rPr>
        <w:t>-</w:t>
      </w:r>
      <w:r w:rsidR="00F43477">
        <w:rPr>
          <w:snapToGrid w:val="0"/>
          <w:color w:val="000000"/>
          <w:lang w:val="pl-PL"/>
        </w:rPr>
        <w:t xml:space="preserve"> </w:t>
      </w:r>
      <w:r w:rsidR="00D2575C" w:rsidRPr="0051003F">
        <w:rPr>
          <w:snapToGrid w:val="0"/>
          <w:color w:val="000000"/>
          <w:lang w:val="pl-PL"/>
        </w:rPr>
        <w:t xml:space="preserve">czy różne postępowania mają charakter uzupełniający i czy w ten sposób odnoszą się, nie tylko </w:t>
      </w:r>
      <w:r w:rsidR="00D2575C" w:rsidRPr="0051003F">
        <w:rPr>
          <w:i/>
          <w:snapToGrid w:val="0"/>
          <w:color w:val="000000"/>
          <w:lang w:val="pl-PL"/>
        </w:rPr>
        <w:t xml:space="preserve">in </w:t>
      </w:r>
      <w:proofErr w:type="spellStart"/>
      <w:r w:rsidR="00D2575C" w:rsidRPr="0051003F">
        <w:rPr>
          <w:i/>
          <w:snapToGrid w:val="0"/>
          <w:color w:val="000000"/>
          <w:lang w:val="pl-PL"/>
        </w:rPr>
        <w:t>abstracto</w:t>
      </w:r>
      <w:proofErr w:type="spellEnd"/>
      <w:r w:rsidR="00D2575C" w:rsidRPr="0051003F">
        <w:rPr>
          <w:snapToGrid w:val="0"/>
          <w:color w:val="000000"/>
          <w:lang w:val="pl-PL"/>
        </w:rPr>
        <w:t xml:space="preserve">, ale również </w:t>
      </w:r>
      <w:r w:rsidR="00D2575C" w:rsidRPr="0051003F">
        <w:rPr>
          <w:i/>
          <w:snapToGrid w:val="0"/>
          <w:color w:val="000000"/>
          <w:lang w:val="pl-PL"/>
        </w:rPr>
        <w:t>in concreto</w:t>
      </w:r>
      <w:r w:rsidR="00D2575C" w:rsidRPr="0051003F">
        <w:rPr>
          <w:snapToGrid w:val="0"/>
          <w:color w:val="000000"/>
          <w:lang w:val="pl-PL"/>
        </w:rPr>
        <w:t>, do różnych aspektów związanych z niewłaściwym postępowaniem społecznym;</w:t>
      </w:r>
    </w:p>
    <w:p w:rsidR="008E3F2B" w:rsidRPr="0051003F" w:rsidRDefault="000042CB" w:rsidP="00D2575C">
      <w:pPr>
        <w:pStyle w:val="ECHRPara"/>
        <w:rPr>
          <w:snapToGrid w:val="0"/>
          <w:color w:val="000000"/>
          <w:lang w:val="pl-PL"/>
        </w:rPr>
      </w:pPr>
      <w:r w:rsidRPr="0051003F">
        <w:rPr>
          <w:snapToGrid w:val="0"/>
          <w:color w:val="000000"/>
          <w:lang w:val="pl-PL"/>
        </w:rPr>
        <w:t xml:space="preserve">- </w:t>
      </w:r>
      <w:r w:rsidR="00D2575C" w:rsidRPr="0051003F">
        <w:rPr>
          <w:snapToGrid w:val="0"/>
          <w:color w:val="000000"/>
          <w:lang w:val="pl-PL"/>
        </w:rPr>
        <w:t xml:space="preserve">czy dwoistość rozpatrywanego postępowania jest przewidywalną konsekwencją, zarówno w prawie, jak i w praktyce, tego samego </w:t>
      </w:r>
      <w:r w:rsidR="00525D6F">
        <w:rPr>
          <w:snapToGrid w:val="0"/>
          <w:color w:val="000000"/>
          <w:lang w:val="pl-PL"/>
        </w:rPr>
        <w:t>zaskarżonego</w:t>
      </w:r>
      <w:r w:rsidR="00525D6F" w:rsidRPr="0051003F">
        <w:rPr>
          <w:snapToGrid w:val="0"/>
          <w:color w:val="000000"/>
          <w:lang w:val="pl-PL"/>
        </w:rPr>
        <w:t xml:space="preserve"> </w:t>
      </w:r>
      <w:r w:rsidR="00D2575C" w:rsidRPr="0051003F">
        <w:rPr>
          <w:snapToGrid w:val="0"/>
          <w:color w:val="000000"/>
          <w:lang w:val="pl-PL"/>
        </w:rPr>
        <w:t>zachowania (</w:t>
      </w:r>
      <w:proofErr w:type="spellStart"/>
      <w:r w:rsidR="0078344E" w:rsidRPr="0051003F">
        <w:rPr>
          <w:i/>
          <w:snapToGrid w:val="0"/>
          <w:color w:val="000000"/>
          <w:lang w:val="pl-PL"/>
        </w:rPr>
        <w:t>idem</w:t>
      </w:r>
      <w:proofErr w:type="spellEnd"/>
      <w:r w:rsidRPr="0051003F">
        <w:rPr>
          <w:snapToGrid w:val="0"/>
          <w:color w:val="000000"/>
          <w:lang w:val="pl-PL"/>
        </w:rPr>
        <w:t>);</w:t>
      </w:r>
    </w:p>
    <w:p w:rsidR="00D2575C" w:rsidRPr="0051003F" w:rsidRDefault="000042CB" w:rsidP="00D2575C">
      <w:pPr>
        <w:pStyle w:val="ECHRPara"/>
        <w:rPr>
          <w:snapToGrid w:val="0"/>
          <w:color w:val="000000"/>
          <w:lang w:val="pl-PL"/>
        </w:rPr>
      </w:pPr>
      <w:r w:rsidRPr="0051003F">
        <w:rPr>
          <w:snapToGrid w:val="0"/>
          <w:color w:val="000000"/>
          <w:lang w:val="pl-PL"/>
        </w:rPr>
        <w:t xml:space="preserve">- </w:t>
      </w:r>
      <w:r w:rsidR="00D2575C" w:rsidRPr="0051003F">
        <w:rPr>
          <w:snapToGrid w:val="0"/>
          <w:color w:val="000000"/>
          <w:lang w:val="pl-PL"/>
        </w:rPr>
        <w:t xml:space="preserve">czy odpowiednie postępowania prowadzone są w taki sposób, aby w miarę możliwości uniknąć powielania gromadzenia materiału dowodowego oraz jego oceny, w szczególności poprzez odpowiednie interakcje między różnymi właściwymi organami w celu doprowadzenia do tego, aby ustalenia faktów w jednym </w:t>
      </w:r>
      <w:r w:rsidR="00B8679B">
        <w:rPr>
          <w:snapToGrid w:val="0"/>
          <w:color w:val="000000"/>
          <w:lang w:val="pl-PL"/>
        </w:rPr>
        <w:t>zestawie</w:t>
      </w:r>
      <w:r w:rsidR="00B8679B" w:rsidRPr="0051003F">
        <w:rPr>
          <w:snapToGrid w:val="0"/>
          <w:color w:val="000000"/>
          <w:lang w:val="pl-PL"/>
        </w:rPr>
        <w:t xml:space="preserve"> </w:t>
      </w:r>
      <w:r w:rsidR="00D2575C" w:rsidRPr="0051003F">
        <w:rPr>
          <w:snapToGrid w:val="0"/>
          <w:color w:val="000000"/>
          <w:lang w:val="pl-PL"/>
        </w:rPr>
        <w:t xml:space="preserve">były również wykorzystywane w drugim </w:t>
      </w:r>
      <w:r w:rsidR="00B8679B">
        <w:rPr>
          <w:snapToGrid w:val="0"/>
          <w:color w:val="000000"/>
          <w:lang w:val="pl-PL"/>
        </w:rPr>
        <w:t>zestawie</w:t>
      </w:r>
      <w:r w:rsidR="00D2575C" w:rsidRPr="0051003F">
        <w:rPr>
          <w:snapToGrid w:val="0"/>
          <w:color w:val="000000"/>
          <w:lang w:val="pl-PL"/>
        </w:rPr>
        <w:t>;</w:t>
      </w:r>
    </w:p>
    <w:p w:rsidR="00D2575C" w:rsidRPr="0051003F" w:rsidRDefault="000042CB" w:rsidP="00D2575C">
      <w:pPr>
        <w:pStyle w:val="ECHRPara"/>
        <w:rPr>
          <w:snapToGrid w:val="0"/>
          <w:color w:val="000000"/>
          <w:lang w:val="pl-PL"/>
        </w:rPr>
      </w:pPr>
      <w:r w:rsidRPr="0051003F">
        <w:rPr>
          <w:snapToGrid w:val="0"/>
          <w:color w:val="000000"/>
          <w:lang w:val="pl-PL"/>
        </w:rPr>
        <w:t xml:space="preserve">- </w:t>
      </w:r>
      <w:r w:rsidR="00D2575C" w:rsidRPr="0051003F">
        <w:rPr>
          <w:snapToGrid w:val="0"/>
          <w:color w:val="000000"/>
          <w:lang w:val="pl-PL"/>
        </w:rPr>
        <w:t>a przede wszystkim to, czy sankcja nałożona w postępowaniu, które jako pierwsze staje się ostateczne, jest brana pod uwagę w postępowaniach, które stają się ostateczne, tak aby dana osoba nie musiała ostatecznie ponosić nadmiernych obciążeń, przy czym istnieje najmniejsze prawdopodobieństwo, że kara ta będzie stosowana tam, gdzie istnieje mechanizm kompensacyjny mający na celu zapewnienie proporcjonalności całkowitej kwoty wszelkich nałożonych kar.</w:t>
      </w:r>
    </w:p>
    <w:p w:rsidR="00A41CD1" w:rsidRPr="0051003F" w:rsidRDefault="00B8679B" w:rsidP="003E20D6">
      <w:pPr>
        <w:pStyle w:val="ECHRPara"/>
        <w:rPr>
          <w:bCs/>
          <w:snapToGrid w:val="0"/>
          <w:color w:val="000000"/>
          <w:lang w:val="pl-PL"/>
        </w:rPr>
      </w:pPr>
      <w:r>
        <w:rPr>
          <w:bCs/>
          <w:snapToGrid w:val="0"/>
          <w:color w:val="000000"/>
          <w:lang w:val="pl-PL"/>
        </w:rPr>
        <w:t>133</w:t>
      </w:r>
      <w:r w:rsidR="00BC3665" w:rsidRPr="0051003F">
        <w:rPr>
          <w:bCs/>
          <w:snapToGrid w:val="0"/>
          <w:color w:val="000000"/>
          <w:lang w:val="pl-PL"/>
        </w:rPr>
        <w:t>.  </w:t>
      </w:r>
      <w:r w:rsidR="003E20D6" w:rsidRPr="0051003F">
        <w:rPr>
          <w:bCs/>
          <w:snapToGrid w:val="0"/>
          <w:color w:val="000000"/>
          <w:lang w:val="pl-PL"/>
        </w:rPr>
        <w:t xml:space="preserve">W tym względzie pouczające jest również uwzględnienie sposobu stosowania art. 6 </w:t>
      </w:r>
      <w:r>
        <w:rPr>
          <w:bCs/>
          <w:snapToGrid w:val="0"/>
          <w:color w:val="000000"/>
          <w:lang w:val="pl-PL"/>
        </w:rPr>
        <w:t>K</w:t>
      </w:r>
      <w:r w:rsidR="003E20D6" w:rsidRPr="0051003F">
        <w:rPr>
          <w:bCs/>
          <w:snapToGrid w:val="0"/>
          <w:color w:val="000000"/>
          <w:lang w:val="pl-PL"/>
        </w:rPr>
        <w:t>onwencji w rozpatrywanym obecnie przypadku</w:t>
      </w:r>
      <w:r w:rsidR="00A41CD1" w:rsidRPr="0051003F">
        <w:rPr>
          <w:bCs/>
          <w:snapToGrid w:val="0"/>
          <w:color w:val="000000"/>
          <w:lang w:val="pl-PL"/>
        </w:rPr>
        <w:t xml:space="preserve"> </w:t>
      </w:r>
      <w:r w:rsidR="00A41CD1" w:rsidRPr="0051003F">
        <w:rPr>
          <w:bCs/>
          <w:lang w:val="pl-PL"/>
        </w:rPr>
        <w:t>(</w:t>
      </w:r>
      <w:r w:rsidR="003E20D6" w:rsidRPr="0051003F">
        <w:rPr>
          <w:bCs/>
          <w:lang w:val="pl-PL"/>
        </w:rPr>
        <w:t>zob.</w:t>
      </w:r>
      <w:r w:rsidR="00A41CD1" w:rsidRPr="0051003F">
        <w:rPr>
          <w:bCs/>
          <w:lang w:val="pl-PL"/>
        </w:rPr>
        <w:t xml:space="preserve"> </w:t>
      </w:r>
      <w:proofErr w:type="spellStart"/>
      <w:r w:rsidR="00A41CD1" w:rsidRPr="0051003F">
        <w:rPr>
          <w:bCs/>
          <w:i/>
          <w:iCs/>
          <w:lang w:val="pl-PL"/>
        </w:rPr>
        <w:t>Jussila</w:t>
      </w:r>
      <w:proofErr w:type="spellEnd"/>
      <w:r w:rsidR="00A41CD1" w:rsidRPr="0051003F">
        <w:rPr>
          <w:bCs/>
          <w:lang w:val="pl-PL"/>
        </w:rPr>
        <w:t xml:space="preserve">, </w:t>
      </w:r>
      <w:r w:rsidR="003E20D6" w:rsidRPr="0051003F">
        <w:rPr>
          <w:bCs/>
          <w:lang w:val="pl-PL"/>
        </w:rPr>
        <w:t>cytowane powyżej,</w:t>
      </w:r>
      <w:r w:rsidR="00A41CD1" w:rsidRPr="0051003F">
        <w:rPr>
          <w:bCs/>
          <w:lang w:val="pl-PL"/>
        </w:rPr>
        <w:t xml:space="preserve"> §43)</w:t>
      </w:r>
      <w:r w:rsidR="00A41CD1" w:rsidRPr="0051003F">
        <w:rPr>
          <w:bCs/>
          <w:snapToGrid w:val="0"/>
          <w:color w:val="000000"/>
          <w:lang w:val="pl-PL"/>
        </w:rPr>
        <w:t>:</w:t>
      </w:r>
    </w:p>
    <w:p w:rsidR="003E20D6" w:rsidRPr="0051003F" w:rsidRDefault="008625C1" w:rsidP="003E20D6">
      <w:pPr>
        <w:pStyle w:val="ECHRParaQuote"/>
        <w:rPr>
          <w:snapToGrid w:val="0"/>
          <w:lang w:val="pl-PL"/>
        </w:rPr>
      </w:pPr>
      <w:r w:rsidRPr="0051003F">
        <w:rPr>
          <w:snapToGrid w:val="0"/>
          <w:lang w:val="pl-PL"/>
        </w:rPr>
        <w:t>„</w:t>
      </w:r>
      <w:r w:rsidR="003E20D6" w:rsidRPr="0051003F">
        <w:rPr>
          <w:snapToGrid w:val="0"/>
          <w:lang w:val="pl-PL"/>
        </w:rPr>
        <w:t xml:space="preserve">Jest oczywiste, że istnieją sprawy karne, które </w:t>
      </w:r>
      <w:r w:rsidR="00892F22">
        <w:rPr>
          <w:snapToGrid w:val="0"/>
          <w:lang w:val="pl-PL"/>
        </w:rPr>
        <w:t>nie mają znacznego stopnia</w:t>
      </w:r>
      <w:r w:rsidR="003E20D6" w:rsidRPr="0051003F">
        <w:rPr>
          <w:snapToGrid w:val="0"/>
          <w:lang w:val="pl-PL"/>
        </w:rPr>
        <w:t xml:space="preserve"> piętna. Istnieją wyraźnie </w:t>
      </w:r>
      <w:r w:rsidRPr="0051003F">
        <w:rPr>
          <w:snapToGrid w:val="0"/>
          <w:lang w:val="pl-PL"/>
        </w:rPr>
        <w:t>„</w:t>
      </w:r>
      <w:r w:rsidR="003E20D6" w:rsidRPr="0051003F">
        <w:rPr>
          <w:snapToGrid w:val="0"/>
          <w:lang w:val="pl-PL"/>
        </w:rPr>
        <w:t xml:space="preserve">zarzuty karne" o różnej wadze. Co więcej, przyjęta przez instytucje Konwencji autonomiczna interpretacja pojęcia </w:t>
      </w:r>
      <w:r w:rsidRPr="0051003F">
        <w:rPr>
          <w:snapToGrid w:val="0"/>
          <w:lang w:val="pl-PL"/>
        </w:rPr>
        <w:t>„</w:t>
      </w:r>
      <w:r w:rsidR="003E20D6" w:rsidRPr="0051003F">
        <w:rPr>
          <w:snapToGrid w:val="0"/>
          <w:lang w:val="pl-PL"/>
        </w:rPr>
        <w:t xml:space="preserve">oskarżenia karnego" poprzez zastosowanie kryteriów </w:t>
      </w:r>
      <w:proofErr w:type="spellStart"/>
      <w:r w:rsidR="003E20D6" w:rsidRPr="0051003F">
        <w:rPr>
          <w:snapToGrid w:val="0"/>
          <w:lang w:val="pl-PL"/>
        </w:rPr>
        <w:t>Engela</w:t>
      </w:r>
      <w:proofErr w:type="spellEnd"/>
      <w:r w:rsidR="003E20D6" w:rsidRPr="0051003F">
        <w:rPr>
          <w:snapToGrid w:val="0"/>
          <w:lang w:val="pl-PL"/>
        </w:rPr>
        <w:t xml:space="preserve"> przyczyniła się do stopniowego poszerzania zakresu orzecznictwa karnego o sprawy nienależące ściśle do tradycyjnych kategorii prawa karnego, na przykład kary administracyjne....., postępowania dyscyplinarne w więzieniach...., prawo celne..., prawo konkurencji... oraz kary nakładane przez sąd właściwy w sprawach finansowych.... Dopłaty podatkowe odbiegają od twardego sedna prawa karnego; w konsekwencji gwarancje </w:t>
      </w:r>
      <w:proofErr w:type="spellStart"/>
      <w:r w:rsidR="000C5247">
        <w:rPr>
          <w:snapToGrid w:val="0"/>
          <w:lang w:val="pl-PL"/>
        </w:rPr>
        <w:t>gwarancje</w:t>
      </w:r>
      <w:proofErr w:type="spellEnd"/>
      <w:r w:rsidR="000C5247">
        <w:rPr>
          <w:snapToGrid w:val="0"/>
          <w:lang w:val="pl-PL"/>
        </w:rPr>
        <w:t xml:space="preserve"> kryminalne nie będą</w:t>
      </w:r>
      <w:r w:rsidR="003E20D6" w:rsidRPr="0051003F">
        <w:rPr>
          <w:snapToGrid w:val="0"/>
          <w:lang w:val="pl-PL"/>
        </w:rPr>
        <w:t xml:space="preserve"> </w:t>
      </w:r>
      <w:r w:rsidR="000C5247">
        <w:rPr>
          <w:snapToGrid w:val="0"/>
          <w:lang w:val="pl-PL"/>
        </w:rPr>
        <w:t>stosowane</w:t>
      </w:r>
      <w:r w:rsidR="000C5247" w:rsidRPr="0051003F">
        <w:rPr>
          <w:snapToGrid w:val="0"/>
          <w:lang w:val="pl-PL"/>
        </w:rPr>
        <w:t xml:space="preserve"> </w:t>
      </w:r>
      <w:r w:rsidR="003E20D6" w:rsidRPr="0051003F">
        <w:rPr>
          <w:snapToGrid w:val="0"/>
          <w:lang w:val="pl-PL"/>
        </w:rPr>
        <w:t>z pełną surowością...".</w:t>
      </w:r>
    </w:p>
    <w:p w:rsidR="00507696" w:rsidRPr="0051003F" w:rsidRDefault="003E20D6" w:rsidP="003E20D6">
      <w:pPr>
        <w:pStyle w:val="ECHRPara"/>
        <w:rPr>
          <w:lang w:val="pl-PL"/>
        </w:rPr>
      </w:pPr>
      <w:r w:rsidRPr="0051003F">
        <w:rPr>
          <w:lang w:val="pl-PL"/>
        </w:rPr>
        <w:t xml:space="preserve">Powyższa argumentacja odzwierciedla istotne względy przy podejmowaniu decyzji, czy przestrzegano art. 4 </w:t>
      </w:r>
      <w:r w:rsidR="00743082">
        <w:rPr>
          <w:lang w:val="pl-PL"/>
        </w:rPr>
        <w:t>P</w:t>
      </w:r>
      <w:r w:rsidRPr="0051003F">
        <w:rPr>
          <w:lang w:val="pl-PL"/>
        </w:rPr>
        <w:t xml:space="preserve">rotokołu nr 7 w sprawach </w:t>
      </w:r>
      <w:r w:rsidRPr="0051003F">
        <w:rPr>
          <w:lang w:val="pl-PL"/>
        </w:rPr>
        <w:lastRenderedPageBreak/>
        <w:t xml:space="preserve">dotyczących podwójnego postępowania administracyjnego i karnego. Ponadto, jak Trybunał wielokrotnie orzekał przy wielu okazjach, </w:t>
      </w:r>
      <w:r w:rsidR="00743082">
        <w:rPr>
          <w:lang w:val="pl-PL"/>
        </w:rPr>
        <w:t>K</w:t>
      </w:r>
      <w:r w:rsidRPr="0051003F">
        <w:rPr>
          <w:lang w:val="pl-PL"/>
        </w:rPr>
        <w:t xml:space="preserve">onwencja musi być interpretowana jako całość i interpretowana w taki sposób, aby promować wewnętrzną spójność i harmonię między różnymi jej przepisami. </w:t>
      </w:r>
      <w:r w:rsidR="00A41CD1" w:rsidRPr="0051003F">
        <w:rPr>
          <w:lang w:val="pl-PL"/>
        </w:rPr>
        <w:t>(</w:t>
      </w:r>
      <w:r w:rsidR="008625C1" w:rsidRPr="0051003F">
        <w:rPr>
          <w:lang w:val="pl-PL"/>
        </w:rPr>
        <w:t>zob.</w:t>
      </w:r>
      <w:r w:rsidR="00A41CD1" w:rsidRPr="0051003F">
        <w:rPr>
          <w:lang w:val="pl-PL"/>
        </w:rPr>
        <w:t xml:space="preserve"> </w:t>
      </w:r>
      <w:proofErr w:type="spellStart"/>
      <w:r w:rsidR="00F9177C" w:rsidRPr="0051003F">
        <w:rPr>
          <w:i/>
          <w:iCs/>
          <w:lang w:val="pl-PL"/>
        </w:rPr>
        <w:t>Klass</w:t>
      </w:r>
      <w:proofErr w:type="spellEnd"/>
      <w:r w:rsidR="00F9177C" w:rsidRPr="0051003F">
        <w:rPr>
          <w:i/>
          <w:iCs/>
          <w:lang w:val="pl-PL"/>
        </w:rPr>
        <w:t xml:space="preserve"> and </w:t>
      </w:r>
      <w:proofErr w:type="spellStart"/>
      <w:r w:rsidR="00F9177C" w:rsidRPr="0051003F">
        <w:rPr>
          <w:i/>
          <w:iCs/>
          <w:lang w:val="pl-PL"/>
        </w:rPr>
        <w:t>Others</w:t>
      </w:r>
      <w:proofErr w:type="spellEnd"/>
      <w:r w:rsidR="00F9177C" w:rsidRPr="0051003F">
        <w:rPr>
          <w:i/>
          <w:iCs/>
          <w:lang w:val="pl-PL"/>
        </w:rPr>
        <w:t xml:space="preserve"> </w:t>
      </w:r>
      <w:r w:rsidRPr="0051003F">
        <w:rPr>
          <w:i/>
          <w:iCs/>
          <w:lang w:val="pl-PL"/>
        </w:rPr>
        <w:t>przeciwko Niemcom</w:t>
      </w:r>
      <w:r w:rsidR="00F9177C" w:rsidRPr="0051003F">
        <w:rPr>
          <w:lang w:val="pl-PL"/>
        </w:rPr>
        <w:t>, 6 </w:t>
      </w:r>
      <w:r w:rsidRPr="0051003F">
        <w:rPr>
          <w:lang w:val="pl-PL"/>
        </w:rPr>
        <w:t xml:space="preserve">września </w:t>
      </w:r>
      <w:r w:rsidR="00F9177C" w:rsidRPr="0051003F">
        <w:rPr>
          <w:lang w:val="pl-PL"/>
        </w:rPr>
        <w:t xml:space="preserve">1978, § </w:t>
      </w:r>
      <w:r w:rsidR="00A41CD1" w:rsidRPr="0051003F">
        <w:rPr>
          <w:lang w:val="pl-PL"/>
        </w:rPr>
        <w:t>68, Seri</w:t>
      </w:r>
      <w:r w:rsidRPr="0051003F">
        <w:rPr>
          <w:lang w:val="pl-PL"/>
        </w:rPr>
        <w:t>a</w:t>
      </w:r>
      <w:r w:rsidR="00A41CD1" w:rsidRPr="0051003F">
        <w:rPr>
          <w:lang w:val="pl-PL"/>
        </w:rPr>
        <w:t xml:space="preserve"> A no. 28; </w:t>
      </w:r>
      <w:r w:rsidR="006508A8">
        <w:rPr>
          <w:lang w:val="pl-PL"/>
        </w:rPr>
        <w:t>oraz</w:t>
      </w:r>
      <w:r w:rsidR="00A41CD1" w:rsidRPr="0051003F">
        <w:rPr>
          <w:lang w:val="pl-PL"/>
        </w:rPr>
        <w:t xml:space="preserve"> </w:t>
      </w:r>
      <w:proofErr w:type="spellStart"/>
      <w:r w:rsidR="00F9177C" w:rsidRPr="0051003F">
        <w:rPr>
          <w:i/>
          <w:iCs/>
          <w:lang w:val="pl-PL"/>
        </w:rPr>
        <w:t>Maaouia</w:t>
      </w:r>
      <w:proofErr w:type="spellEnd"/>
      <w:r w:rsidRPr="0051003F">
        <w:rPr>
          <w:i/>
          <w:iCs/>
          <w:lang w:val="pl-PL"/>
        </w:rPr>
        <w:t xml:space="preserve"> przeciwko Francji </w:t>
      </w:r>
      <w:r w:rsidR="00A41CD1" w:rsidRPr="0051003F">
        <w:rPr>
          <w:lang w:val="pl-PL"/>
        </w:rPr>
        <w:t>[GC], no.</w:t>
      </w:r>
      <w:r w:rsidR="005117FC" w:rsidRPr="0051003F">
        <w:rPr>
          <w:lang w:val="pl-PL"/>
        </w:rPr>
        <w:t> </w:t>
      </w:r>
      <w:r w:rsidR="00A41CD1" w:rsidRPr="0051003F">
        <w:rPr>
          <w:lang w:val="pl-PL"/>
        </w:rPr>
        <w:t xml:space="preserve">39652/98, § 36, ECHR 2000-X; </w:t>
      </w:r>
      <w:r w:rsidR="00A41CD1" w:rsidRPr="0051003F">
        <w:rPr>
          <w:i/>
          <w:iCs/>
          <w:lang w:val="pl-PL"/>
        </w:rPr>
        <w:t>Kud</w:t>
      </w:r>
      <w:r w:rsidR="00A41CD1" w:rsidRPr="0051003F">
        <w:rPr>
          <w:i/>
          <w:iCs/>
          <w:sz w:val="26"/>
          <w:szCs w:val="26"/>
          <w:lang w:val="pl-PL"/>
        </w:rPr>
        <w:t>ł</w:t>
      </w:r>
      <w:r w:rsidR="00A41CD1" w:rsidRPr="0051003F">
        <w:rPr>
          <w:i/>
          <w:iCs/>
          <w:lang w:val="pl-PL"/>
        </w:rPr>
        <w:t>a</w:t>
      </w:r>
      <w:r w:rsidRPr="0051003F">
        <w:rPr>
          <w:i/>
          <w:iCs/>
          <w:lang w:val="pl-PL"/>
        </w:rPr>
        <w:t xml:space="preserve"> przeciwko Polsce </w:t>
      </w:r>
      <w:r w:rsidR="00F9177C" w:rsidRPr="0051003F">
        <w:rPr>
          <w:lang w:val="pl-PL"/>
        </w:rPr>
        <w:t xml:space="preserve">[GC], no. </w:t>
      </w:r>
      <w:r w:rsidR="00A41CD1" w:rsidRPr="0051003F">
        <w:rPr>
          <w:lang w:val="pl-PL"/>
        </w:rPr>
        <w:t>30210/96, §</w:t>
      </w:r>
      <w:r w:rsidR="005117FC" w:rsidRPr="0051003F">
        <w:rPr>
          <w:lang w:val="pl-PL"/>
        </w:rPr>
        <w:t> </w:t>
      </w:r>
      <w:r w:rsidR="00A41CD1" w:rsidRPr="0051003F">
        <w:rPr>
          <w:lang w:val="pl-PL"/>
        </w:rPr>
        <w:t>152, ECHR 2000</w:t>
      </w:r>
      <w:r w:rsidR="00A41CD1" w:rsidRPr="0051003F">
        <w:rPr>
          <w:lang w:val="pl-PL"/>
        </w:rPr>
        <w:noBreakHyphen/>
        <w:t xml:space="preserve">XI; </w:t>
      </w:r>
      <w:r w:rsidRPr="0051003F">
        <w:rPr>
          <w:lang w:val="pl-PL"/>
        </w:rPr>
        <w:t>i</w:t>
      </w:r>
      <w:r w:rsidR="00A41CD1" w:rsidRPr="0051003F">
        <w:rPr>
          <w:lang w:val="pl-PL"/>
        </w:rPr>
        <w:t xml:space="preserve"> </w:t>
      </w:r>
      <w:r w:rsidR="00A41CD1" w:rsidRPr="0051003F">
        <w:rPr>
          <w:i/>
          <w:iCs/>
          <w:lang w:val="pl-PL"/>
        </w:rPr>
        <w:t xml:space="preserve">Stec and </w:t>
      </w:r>
      <w:proofErr w:type="spellStart"/>
      <w:r w:rsidR="00A41CD1" w:rsidRPr="0051003F">
        <w:rPr>
          <w:i/>
          <w:iCs/>
          <w:lang w:val="pl-PL"/>
        </w:rPr>
        <w:t>Others</w:t>
      </w:r>
      <w:proofErr w:type="spellEnd"/>
      <w:r w:rsidR="00A41CD1" w:rsidRPr="0051003F">
        <w:rPr>
          <w:i/>
          <w:iCs/>
          <w:lang w:val="pl-PL"/>
        </w:rPr>
        <w:t xml:space="preserve"> </w:t>
      </w:r>
      <w:r w:rsidRPr="0051003F">
        <w:rPr>
          <w:i/>
          <w:iCs/>
          <w:lang w:val="pl-PL"/>
        </w:rPr>
        <w:t xml:space="preserve">przeciwko Wielkiej Brytanii </w:t>
      </w:r>
      <w:r w:rsidR="00A41CD1" w:rsidRPr="0051003F">
        <w:rPr>
          <w:lang w:val="pl-PL"/>
        </w:rPr>
        <w:t>(</w:t>
      </w:r>
      <w:proofErr w:type="spellStart"/>
      <w:r w:rsidR="00A41CD1" w:rsidRPr="0051003F">
        <w:rPr>
          <w:lang w:val="pl-PL"/>
        </w:rPr>
        <w:t>dec</w:t>
      </w:r>
      <w:proofErr w:type="spellEnd"/>
      <w:r w:rsidR="00A41CD1" w:rsidRPr="0051003F">
        <w:rPr>
          <w:lang w:val="pl-PL"/>
        </w:rPr>
        <w:t>.) [GC], nos.</w:t>
      </w:r>
      <w:r w:rsidR="00F9177C" w:rsidRPr="0051003F">
        <w:rPr>
          <w:lang w:val="pl-PL"/>
        </w:rPr>
        <w:t xml:space="preserve"> </w:t>
      </w:r>
      <w:r w:rsidR="00A41CD1" w:rsidRPr="0051003F">
        <w:rPr>
          <w:lang w:val="pl-PL"/>
        </w:rPr>
        <w:t xml:space="preserve">65731/01 </w:t>
      </w:r>
      <w:r w:rsidRPr="0051003F">
        <w:rPr>
          <w:lang w:val="pl-PL"/>
        </w:rPr>
        <w:t>i</w:t>
      </w:r>
      <w:r w:rsidR="00A41CD1" w:rsidRPr="0051003F">
        <w:rPr>
          <w:lang w:val="pl-PL"/>
        </w:rPr>
        <w:t xml:space="preserve"> 65900/01, § 48, ECHR 2005</w:t>
      </w:r>
      <w:r w:rsidR="00A41CD1" w:rsidRPr="0051003F">
        <w:rPr>
          <w:lang w:val="pl-PL"/>
        </w:rPr>
        <w:noBreakHyphen/>
        <w:t>X).</w:t>
      </w:r>
    </w:p>
    <w:p w:rsidR="003E20D6" w:rsidRPr="0051003F" w:rsidRDefault="003E20D6" w:rsidP="00DB6A67">
      <w:pPr>
        <w:pStyle w:val="ECHRPara"/>
        <w:rPr>
          <w:lang w:val="pl-PL"/>
        </w:rPr>
      </w:pPr>
      <w:r w:rsidRPr="0051003F">
        <w:rPr>
          <w:lang w:val="pl-PL"/>
        </w:rPr>
        <w:t xml:space="preserve">Istotnym czynnikiem jest stopień, w jakim postępowanie administracyjne posiada cechy charakterystyczne zwykłego postępowania karnego. Postępowanie połączone będzie najprawdopodobniej spełniać kryteria komplementarności i spójności, jeżeli sankcje nakładane w postępowaniu </w:t>
      </w:r>
      <w:r w:rsidR="00743082" w:rsidRPr="0051003F">
        <w:rPr>
          <w:lang w:val="pl-PL"/>
        </w:rPr>
        <w:t>nieuznawan</w:t>
      </w:r>
      <w:r w:rsidR="00743082">
        <w:rPr>
          <w:lang w:val="pl-PL"/>
        </w:rPr>
        <w:t>ym</w:t>
      </w:r>
      <w:r w:rsidR="00743082" w:rsidRPr="0051003F">
        <w:rPr>
          <w:lang w:val="pl-PL"/>
        </w:rPr>
        <w:t xml:space="preserve"> </w:t>
      </w:r>
      <w:r w:rsidRPr="0051003F">
        <w:rPr>
          <w:lang w:val="pl-PL"/>
        </w:rPr>
        <w:t xml:space="preserve">formalnie za </w:t>
      </w:r>
      <w:r w:rsidR="008625C1" w:rsidRPr="0051003F">
        <w:rPr>
          <w:lang w:val="pl-PL"/>
        </w:rPr>
        <w:t>„</w:t>
      </w:r>
      <w:r w:rsidRPr="0051003F">
        <w:rPr>
          <w:lang w:val="pl-PL"/>
        </w:rPr>
        <w:t xml:space="preserve">karne" są specyficzne dla danego czynu i tym samym różnią się od </w:t>
      </w:r>
      <w:r w:rsidR="008625C1" w:rsidRPr="0051003F">
        <w:rPr>
          <w:lang w:val="pl-PL"/>
        </w:rPr>
        <w:t>„</w:t>
      </w:r>
      <w:r w:rsidRPr="0051003F">
        <w:rPr>
          <w:lang w:val="pl-PL"/>
        </w:rPr>
        <w:t xml:space="preserve">twardego rdzenia prawa karnego" (w cytowanym wyżej języku </w:t>
      </w:r>
      <w:proofErr w:type="spellStart"/>
      <w:r w:rsidRPr="0051003F">
        <w:rPr>
          <w:i/>
          <w:lang w:val="pl-PL"/>
        </w:rPr>
        <w:t>Jussili</w:t>
      </w:r>
      <w:proofErr w:type="spellEnd"/>
      <w:r w:rsidRPr="0051003F">
        <w:rPr>
          <w:lang w:val="pl-PL"/>
        </w:rPr>
        <w:t xml:space="preserve">). Dodatkowy fakt, że postępowanie to nie wiąże się ze znaczącym napiętnowaniem, zmniejsza prawdopodobieństwo, że połączenie postępowań pociągnie za sobą nieproporcjonalne obciążenie oskarżonego. Natomiast fakt, że postępowania administracyjne mają stygmatyzację w dużej mierze podobną do zwyczajnego postępowania karnego, zwiększa ryzyko, że cele społeczne, do których dąży się przy sankcjonowaniu zachowania w różnych postępowaniach, będą dublowały się (bis), </w:t>
      </w:r>
      <w:r w:rsidR="00196CF3">
        <w:rPr>
          <w:lang w:val="pl-PL"/>
        </w:rPr>
        <w:t>zamiast uzupełniać</w:t>
      </w:r>
      <w:r w:rsidRPr="0051003F">
        <w:rPr>
          <w:lang w:val="pl-PL"/>
        </w:rPr>
        <w:t xml:space="preserve">. Wynik postępowania, o którym mowa w </w:t>
      </w:r>
      <w:r w:rsidR="00196CF3">
        <w:rPr>
          <w:lang w:val="pl-PL"/>
        </w:rPr>
        <w:t>paragrafie</w:t>
      </w:r>
      <w:r w:rsidR="00196CF3" w:rsidRPr="0051003F">
        <w:rPr>
          <w:lang w:val="pl-PL"/>
        </w:rPr>
        <w:t xml:space="preserve"> </w:t>
      </w:r>
      <w:r w:rsidRPr="0051003F">
        <w:rPr>
          <w:lang w:val="pl-PL"/>
        </w:rPr>
        <w:t>129 powyżej, można uznać za przykład urzeczywistnienia się takiego ryzyka.</w:t>
      </w:r>
    </w:p>
    <w:p w:rsidR="005E730A" w:rsidRPr="0051003F" w:rsidRDefault="00196CF3" w:rsidP="005E730A">
      <w:pPr>
        <w:pStyle w:val="ECHRPara"/>
        <w:rPr>
          <w:snapToGrid w:val="0"/>
          <w:color w:val="000000"/>
          <w:lang w:val="pl-PL"/>
        </w:rPr>
      </w:pPr>
      <w:r>
        <w:rPr>
          <w:snapToGrid w:val="0"/>
          <w:color w:val="000000"/>
          <w:lang w:val="pl-PL"/>
        </w:rPr>
        <w:t>134</w:t>
      </w:r>
      <w:r w:rsidR="005E730A" w:rsidRPr="0051003F">
        <w:rPr>
          <w:snapToGrid w:val="0"/>
          <w:color w:val="000000"/>
          <w:lang w:val="pl-PL"/>
        </w:rPr>
        <w:t xml:space="preserve">. Ponadto, jak już wspomniano powyżej, w przypadku gdy połączenie co do istoty jest wystarczająco silne, wymóg połączenia w odpowiednim czasie pozostaje i musi być spełniony. Nie oznacza to jednak, że oba postępowania muszą być prowadzone jednocześnie od początku do końca. Państwa członkowskie powinny mieć możliwość wyboru między stopniowym prowadzeniem postępowania w przypadkach, gdy jest ono uzasadnione względami skuteczności i prawidłowego administrowania wymiarem sprawiedliwości, </w:t>
      </w:r>
      <w:r w:rsidR="002F186B">
        <w:rPr>
          <w:snapToGrid w:val="0"/>
          <w:color w:val="000000"/>
          <w:lang w:val="pl-PL"/>
        </w:rPr>
        <w:t xml:space="preserve"> oraz jest </w:t>
      </w:r>
      <w:r w:rsidR="005E730A" w:rsidRPr="0051003F">
        <w:rPr>
          <w:snapToGrid w:val="0"/>
          <w:color w:val="000000"/>
          <w:lang w:val="pl-PL"/>
        </w:rPr>
        <w:t xml:space="preserve">prowadzone w różnych celach społecznych i nie spowodowało nieproporcjonalnej szkody dla wnioskodawcy. Jednakże, jak wskazano powyżej, połączenie w czasie musi zawsze </w:t>
      </w:r>
      <w:r w:rsidR="002F186B">
        <w:rPr>
          <w:snapToGrid w:val="0"/>
          <w:color w:val="000000"/>
          <w:lang w:val="pl-PL"/>
        </w:rPr>
        <w:t>istnieć</w:t>
      </w:r>
      <w:r w:rsidR="005E730A" w:rsidRPr="0051003F">
        <w:rPr>
          <w:snapToGrid w:val="0"/>
          <w:color w:val="000000"/>
          <w:lang w:val="pl-PL"/>
        </w:rPr>
        <w:t xml:space="preserve">. W związku z tym połączenie w czasie musi być wystarczająco bliskie, aby chronić jednostkę przed niepewnością i opóźnieniem oraz przed przedłużaniem się </w:t>
      </w:r>
      <w:r w:rsidR="002F186B">
        <w:rPr>
          <w:snapToGrid w:val="0"/>
          <w:color w:val="000000"/>
          <w:lang w:val="pl-PL"/>
        </w:rPr>
        <w:t>czasu</w:t>
      </w:r>
      <w:r w:rsidR="005E730A" w:rsidRPr="0051003F">
        <w:rPr>
          <w:snapToGrid w:val="0"/>
          <w:color w:val="000000"/>
          <w:lang w:val="pl-PL"/>
        </w:rPr>
        <w:t xml:space="preserve"> postępowania (zob. jako przykład takiego uchybienia przywołany powyżej § 67 </w:t>
      </w:r>
      <w:proofErr w:type="spellStart"/>
      <w:r w:rsidR="005E730A" w:rsidRPr="00486852">
        <w:rPr>
          <w:i/>
          <w:snapToGrid w:val="0"/>
          <w:color w:val="000000"/>
          <w:lang w:val="pl-PL"/>
        </w:rPr>
        <w:t>Kapetanios</w:t>
      </w:r>
      <w:proofErr w:type="spellEnd"/>
      <w:r w:rsidR="005E730A" w:rsidRPr="00486852">
        <w:rPr>
          <w:i/>
          <w:snapToGrid w:val="0"/>
          <w:color w:val="000000"/>
          <w:lang w:val="pl-PL"/>
        </w:rPr>
        <w:t xml:space="preserve"> i inni</w:t>
      </w:r>
      <w:r w:rsidR="005E730A" w:rsidRPr="0051003F">
        <w:rPr>
          <w:snapToGrid w:val="0"/>
          <w:color w:val="000000"/>
          <w:lang w:val="pl-PL"/>
        </w:rPr>
        <w:t xml:space="preserve">), nawet jeśli odpowiedni system krajowy przewiduje </w:t>
      </w:r>
      <w:r w:rsidR="00DE6CAF" w:rsidRPr="0051003F">
        <w:rPr>
          <w:snapToGrid w:val="0"/>
          <w:color w:val="000000"/>
          <w:lang w:val="pl-PL"/>
        </w:rPr>
        <w:t>„</w:t>
      </w:r>
      <w:r w:rsidR="005E730A" w:rsidRPr="0051003F">
        <w:rPr>
          <w:snapToGrid w:val="0"/>
          <w:color w:val="000000"/>
          <w:lang w:val="pl-PL"/>
        </w:rPr>
        <w:t>zintegrowany" system oddzielający elementy administracyjne i karne. Im słabsze połączenie w czasie, tym większe obciążenie państwa w zakresie wyjaśniania i uzasadniania wszelkich opóźnień, które można przypisać prowadzeniu przez nie postępowania.</w:t>
      </w:r>
    </w:p>
    <w:p w:rsidR="005E730A" w:rsidRPr="0051003F" w:rsidRDefault="005E730A" w:rsidP="005E730A">
      <w:pPr>
        <w:pStyle w:val="ECHRPara"/>
        <w:rPr>
          <w:snapToGrid w:val="0"/>
          <w:color w:val="000000"/>
          <w:lang w:val="pl-PL"/>
        </w:rPr>
      </w:pPr>
    </w:p>
    <w:p w:rsidR="005A30F3" w:rsidRPr="0051003F" w:rsidRDefault="006E7472" w:rsidP="00A7252F">
      <w:pPr>
        <w:pStyle w:val="ECHRHeading4"/>
        <w:rPr>
          <w:lang w:val="pl-PL"/>
        </w:rPr>
      </w:pPr>
      <w:bookmarkStart w:id="167" w:name="_Toc466904330"/>
      <w:bookmarkStart w:id="168" w:name="_Toc466972349"/>
      <w:bookmarkStart w:id="169" w:name="_Toc466972860"/>
      <w:bookmarkStart w:id="170" w:name="_Toc466974276"/>
      <w:bookmarkStart w:id="171" w:name="_Toc473801911"/>
      <w:r w:rsidRPr="0051003F">
        <w:rPr>
          <w:lang w:val="pl-PL"/>
        </w:rPr>
        <w:lastRenderedPageBreak/>
        <w:t xml:space="preserve"> </w:t>
      </w:r>
      <w:r w:rsidR="005A30F3" w:rsidRPr="0051003F">
        <w:rPr>
          <w:lang w:val="pl-PL"/>
        </w:rPr>
        <w:t>(e)  </w:t>
      </w:r>
      <w:r w:rsidRPr="0051003F">
        <w:rPr>
          <w:lang w:val="pl-PL"/>
        </w:rPr>
        <w:t>Czy w nin</w:t>
      </w:r>
      <w:r w:rsidR="00C06629">
        <w:rPr>
          <w:lang w:val="pl-PL"/>
        </w:rPr>
        <w:t>i</w:t>
      </w:r>
      <w:r w:rsidRPr="0051003F">
        <w:rPr>
          <w:lang w:val="pl-PL"/>
        </w:rPr>
        <w:t xml:space="preserve">ejszej sprawie miało miejsce naruszenie art. 4 Protokołu nr 7 </w:t>
      </w:r>
      <w:bookmarkEnd w:id="167"/>
      <w:bookmarkEnd w:id="168"/>
      <w:bookmarkEnd w:id="169"/>
      <w:bookmarkEnd w:id="170"/>
      <w:bookmarkEnd w:id="171"/>
    </w:p>
    <w:p w:rsidR="004B5930" w:rsidRPr="0051003F" w:rsidRDefault="004B5930" w:rsidP="00A7252F">
      <w:pPr>
        <w:pStyle w:val="ECHRHeading5"/>
        <w:rPr>
          <w:lang w:val="pl-PL"/>
        </w:rPr>
      </w:pPr>
      <w:bookmarkStart w:id="172" w:name="_Toc466904331"/>
      <w:bookmarkStart w:id="173" w:name="_Toc466972350"/>
      <w:bookmarkStart w:id="174" w:name="_Toc466972861"/>
      <w:bookmarkStart w:id="175" w:name="_Toc466974277"/>
      <w:bookmarkStart w:id="176" w:name="_Toc473801912"/>
      <w:r w:rsidRPr="0051003F">
        <w:rPr>
          <w:lang w:val="pl-PL"/>
        </w:rPr>
        <w:t>(</w:t>
      </w:r>
      <w:r w:rsidR="00B03D9D" w:rsidRPr="0051003F">
        <w:rPr>
          <w:lang w:val="pl-PL"/>
        </w:rPr>
        <w:t>i</w:t>
      </w:r>
      <w:r w:rsidRPr="0051003F">
        <w:rPr>
          <w:lang w:val="pl-PL"/>
        </w:rPr>
        <w:t>)  </w:t>
      </w:r>
      <w:bookmarkEnd w:id="172"/>
      <w:bookmarkEnd w:id="173"/>
      <w:bookmarkEnd w:id="174"/>
      <w:bookmarkEnd w:id="175"/>
      <w:bookmarkEnd w:id="176"/>
      <w:r w:rsidR="00B205A3" w:rsidRPr="0051003F">
        <w:rPr>
          <w:lang w:val="pl-PL"/>
        </w:rPr>
        <w:t>Pierwszy skarżący</w:t>
      </w:r>
    </w:p>
    <w:p w:rsidR="006E7472" w:rsidRPr="0051003F" w:rsidRDefault="0065244C" w:rsidP="006E7472">
      <w:pPr>
        <w:pStyle w:val="ECHRPara"/>
        <w:rPr>
          <w:rFonts w:cs="Times New Roman"/>
          <w:lang w:val="pl-PL"/>
        </w:rPr>
      </w:pPr>
      <w:r>
        <w:rPr>
          <w:rFonts w:cs="Times New Roman"/>
          <w:lang w:val="pl-PL"/>
        </w:rPr>
        <w:t>135</w:t>
      </w:r>
      <w:r w:rsidR="006E7472" w:rsidRPr="0051003F">
        <w:rPr>
          <w:rFonts w:cs="Times New Roman"/>
          <w:lang w:val="pl-PL"/>
        </w:rPr>
        <w:t>. W przypadku pierwszego ze skarżących, w dniu 24 listopada 2008 r</w:t>
      </w:r>
      <w:r>
        <w:rPr>
          <w:rFonts w:cs="Times New Roman"/>
          <w:lang w:val="pl-PL"/>
        </w:rPr>
        <w:t>oku</w:t>
      </w:r>
      <w:r w:rsidR="006E7472" w:rsidRPr="0051003F">
        <w:rPr>
          <w:rFonts w:cs="Times New Roman"/>
          <w:lang w:val="pl-PL"/>
        </w:rPr>
        <w:t xml:space="preserve"> administracja podatkowa nałożyła na niego karę podatkową w wysokości 30 % na podstawie art. 10 ust. 2 pkt 1 i art. 10 ust. 4 pkt 1 ustawy o </w:t>
      </w:r>
      <w:r w:rsidR="006A2D73">
        <w:rPr>
          <w:rFonts w:cs="Times New Roman"/>
          <w:lang w:val="pl-PL"/>
        </w:rPr>
        <w:t>wymiarze</w:t>
      </w:r>
      <w:r w:rsidR="006A2D73" w:rsidRPr="0051003F">
        <w:rPr>
          <w:rFonts w:cs="Times New Roman"/>
          <w:lang w:val="pl-PL"/>
        </w:rPr>
        <w:t xml:space="preserve"> </w:t>
      </w:r>
      <w:r w:rsidR="006E7472" w:rsidRPr="0051003F">
        <w:rPr>
          <w:rFonts w:cs="Times New Roman"/>
          <w:lang w:val="pl-PL"/>
        </w:rPr>
        <w:t>opodatkowania, ponieważ nie zadeklarował on w zeznaniu podatkowym za 2002 r</w:t>
      </w:r>
      <w:r w:rsidR="006A2D73">
        <w:rPr>
          <w:rFonts w:cs="Times New Roman"/>
          <w:lang w:val="pl-PL"/>
        </w:rPr>
        <w:t>ok</w:t>
      </w:r>
      <w:r w:rsidR="006E7472" w:rsidRPr="0051003F">
        <w:rPr>
          <w:rFonts w:cs="Times New Roman"/>
          <w:lang w:val="pl-PL"/>
        </w:rPr>
        <w:t xml:space="preserve"> kwoty 3 259 342 </w:t>
      </w:r>
      <w:r w:rsidR="006A2D73">
        <w:rPr>
          <w:rFonts w:cs="Times New Roman"/>
          <w:lang w:val="pl-PL"/>
        </w:rPr>
        <w:t>(</w:t>
      </w:r>
      <w:r w:rsidR="006E7472" w:rsidRPr="0051003F">
        <w:rPr>
          <w:rFonts w:cs="Times New Roman"/>
          <w:lang w:val="pl-PL"/>
        </w:rPr>
        <w:t>NOK</w:t>
      </w:r>
      <w:r w:rsidR="006A2D73">
        <w:rPr>
          <w:rFonts w:cs="Times New Roman"/>
          <w:lang w:val="pl-PL"/>
        </w:rPr>
        <w:t>)</w:t>
      </w:r>
      <w:r w:rsidR="006E7472" w:rsidRPr="0051003F">
        <w:rPr>
          <w:rFonts w:cs="Times New Roman"/>
          <w:lang w:val="pl-PL"/>
        </w:rPr>
        <w:t xml:space="preserve"> w dochodach uzyskanych za granicą (zob. </w:t>
      </w:r>
      <w:r w:rsidR="006A2D73">
        <w:rPr>
          <w:rFonts w:cs="Times New Roman"/>
          <w:lang w:val="pl-PL"/>
        </w:rPr>
        <w:t>paragraf</w:t>
      </w:r>
      <w:r w:rsidR="006A2D73" w:rsidRPr="0051003F">
        <w:rPr>
          <w:rFonts w:cs="Times New Roman"/>
          <w:lang w:val="pl-PL"/>
        </w:rPr>
        <w:t xml:space="preserve"> </w:t>
      </w:r>
      <w:r w:rsidR="006E7472" w:rsidRPr="0051003F">
        <w:rPr>
          <w:rFonts w:cs="Times New Roman"/>
          <w:lang w:val="pl-PL"/>
        </w:rPr>
        <w:t xml:space="preserve">16 powyżej). Ponieważ skarżący nie złożył odwołania od tej decyzji, decyzja ta stała się ostateczna najwcześniej po upływie terminu trzech tygodni na wniesienie odwołania (zob. </w:t>
      </w:r>
      <w:r w:rsidR="006A2D73">
        <w:rPr>
          <w:rFonts w:cs="Times New Roman"/>
          <w:lang w:val="pl-PL"/>
        </w:rPr>
        <w:t>paragraf</w:t>
      </w:r>
      <w:r w:rsidR="006A2D73" w:rsidRPr="0051003F">
        <w:rPr>
          <w:rFonts w:cs="Times New Roman"/>
          <w:lang w:val="pl-PL"/>
        </w:rPr>
        <w:t xml:space="preserve"> </w:t>
      </w:r>
      <w:r w:rsidR="006E7472" w:rsidRPr="0051003F">
        <w:rPr>
          <w:rFonts w:cs="Times New Roman"/>
          <w:lang w:val="pl-PL"/>
        </w:rPr>
        <w:t>143 poniżej). Poddano go również postępowaniu karnemu w związku z tym samym zaniechaniem w deklaracji podatkowej za 2002 r</w:t>
      </w:r>
      <w:r w:rsidR="00DB46BC">
        <w:rPr>
          <w:rFonts w:cs="Times New Roman"/>
          <w:lang w:val="pl-PL"/>
        </w:rPr>
        <w:t>ok</w:t>
      </w:r>
      <w:r w:rsidR="006E7472" w:rsidRPr="0051003F">
        <w:rPr>
          <w:rFonts w:cs="Times New Roman"/>
          <w:lang w:val="pl-PL"/>
        </w:rPr>
        <w:t>: 14 października 2008 r</w:t>
      </w:r>
      <w:r w:rsidR="00DB46BC">
        <w:rPr>
          <w:rFonts w:cs="Times New Roman"/>
          <w:lang w:val="pl-PL"/>
        </w:rPr>
        <w:t>oku</w:t>
      </w:r>
      <w:r w:rsidR="006E7472" w:rsidRPr="0051003F">
        <w:rPr>
          <w:rFonts w:cs="Times New Roman"/>
          <w:lang w:val="pl-PL"/>
        </w:rPr>
        <w:t xml:space="preserve"> został oskarżony, a w dniu 2 marca 2009 r</w:t>
      </w:r>
      <w:r w:rsidR="00DB46BC">
        <w:rPr>
          <w:rFonts w:cs="Times New Roman"/>
          <w:lang w:val="pl-PL"/>
        </w:rPr>
        <w:t>oku</w:t>
      </w:r>
      <w:r w:rsidR="006E7472" w:rsidRPr="0051003F">
        <w:rPr>
          <w:rFonts w:cs="Times New Roman"/>
          <w:lang w:val="pl-PL"/>
        </w:rPr>
        <w:t xml:space="preserve"> sąd okręgowy skazał go za zaostrzone oszustwa podatkowe i skazał na rok pozbawienia wolności za naruszenie art. 12-1 ust. 1 lit. a) por. art. 12-1 ust. 1 lit. a). art. 12-2 ustawy o podatku dochodowym z tytułu niezgłoszenia wyżej wymienionego faktu (zob. </w:t>
      </w:r>
      <w:r w:rsidR="00DB46BC">
        <w:rPr>
          <w:rFonts w:cs="Times New Roman"/>
          <w:lang w:val="pl-PL"/>
        </w:rPr>
        <w:t>paragraf</w:t>
      </w:r>
      <w:r w:rsidR="006E7472" w:rsidRPr="0051003F">
        <w:rPr>
          <w:rFonts w:cs="Times New Roman"/>
          <w:lang w:val="pl-PL"/>
        </w:rPr>
        <w:t xml:space="preserve"> 15 i 17 powyżej). Sąd Najwyższy odrzucił jego odwołanie (zob. </w:t>
      </w:r>
      <w:r w:rsidR="00DB46BC">
        <w:rPr>
          <w:rFonts w:cs="Times New Roman"/>
          <w:lang w:val="pl-PL"/>
        </w:rPr>
        <w:t>paragraf</w:t>
      </w:r>
      <w:r w:rsidR="006E7472" w:rsidRPr="0051003F">
        <w:rPr>
          <w:rFonts w:cs="Times New Roman"/>
          <w:lang w:val="pl-PL"/>
        </w:rPr>
        <w:t xml:space="preserve"> 19 powyżej), podobnie jak Sąd Najwyższy w dniu 27 listopada 2010 r</w:t>
      </w:r>
      <w:r w:rsidR="00DB46BC">
        <w:rPr>
          <w:rFonts w:cs="Times New Roman"/>
          <w:lang w:val="pl-PL"/>
        </w:rPr>
        <w:t>oku</w:t>
      </w:r>
      <w:r w:rsidR="006E7472" w:rsidRPr="0051003F">
        <w:rPr>
          <w:rFonts w:cs="Times New Roman"/>
          <w:lang w:val="pl-PL"/>
        </w:rPr>
        <w:t xml:space="preserve"> (zob. </w:t>
      </w:r>
      <w:r w:rsidR="00DB46BC">
        <w:rPr>
          <w:rFonts w:cs="Times New Roman"/>
          <w:lang w:val="pl-PL"/>
        </w:rPr>
        <w:t>paragraf</w:t>
      </w:r>
      <w:r w:rsidR="006E7472" w:rsidRPr="0051003F">
        <w:rPr>
          <w:rFonts w:cs="Times New Roman"/>
          <w:lang w:val="pl-PL"/>
        </w:rPr>
        <w:t xml:space="preserve"> 20-30 powyżej).</w:t>
      </w:r>
    </w:p>
    <w:p w:rsidR="006E7472" w:rsidRPr="0051003F" w:rsidRDefault="006E7472" w:rsidP="00DB6A67">
      <w:pPr>
        <w:pStyle w:val="ECHRHeading6"/>
        <w:rPr>
          <w:lang w:val="pl-PL"/>
        </w:rPr>
      </w:pPr>
      <w:r w:rsidRPr="0051003F">
        <w:rPr>
          <w:lang w:val="pl-PL"/>
        </w:rPr>
        <w:t xml:space="preserve"> </w:t>
      </w:r>
      <w:r w:rsidR="00DC60CE" w:rsidRPr="0051003F">
        <w:rPr>
          <w:lang w:val="pl-PL"/>
        </w:rPr>
        <w:t>(</w:t>
      </w:r>
      <w:r w:rsidR="00326523" w:rsidRPr="0051003F">
        <w:rPr>
          <w:lang w:val="pl-PL"/>
        </w:rPr>
        <w:t>α</w:t>
      </w:r>
      <w:r w:rsidR="00DC60CE" w:rsidRPr="0051003F">
        <w:rPr>
          <w:lang w:val="pl-PL"/>
        </w:rPr>
        <w:t>)</w:t>
      </w:r>
      <w:r w:rsidR="004B5930" w:rsidRPr="0051003F">
        <w:rPr>
          <w:lang w:val="pl-PL"/>
        </w:rPr>
        <w:t>  </w:t>
      </w:r>
      <w:r w:rsidRPr="0051003F">
        <w:rPr>
          <w:lang w:val="pl-PL"/>
        </w:rPr>
        <w:t>Czy nałożenie sankcji podatkowych ma charakter karny?</w:t>
      </w:r>
    </w:p>
    <w:p w:rsidR="004B5930" w:rsidRPr="0051003F" w:rsidRDefault="00DB46BC" w:rsidP="006E7472">
      <w:pPr>
        <w:pStyle w:val="ECHRPara"/>
        <w:rPr>
          <w:rFonts w:cs="Times New Roman"/>
          <w:lang w:val="pl-PL"/>
        </w:rPr>
      </w:pPr>
      <w:r>
        <w:rPr>
          <w:rFonts w:cs="Times New Roman"/>
          <w:lang w:val="pl-PL"/>
        </w:rPr>
        <w:t>136</w:t>
      </w:r>
      <w:r w:rsidR="004B5930" w:rsidRPr="0051003F">
        <w:rPr>
          <w:rFonts w:cs="Times New Roman"/>
          <w:lang w:val="pl-PL"/>
        </w:rPr>
        <w:t>.  </w:t>
      </w:r>
      <w:r w:rsidR="006E7472" w:rsidRPr="0051003F">
        <w:rPr>
          <w:rFonts w:cs="Times New Roman"/>
          <w:lang w:val="pl-PL"/>
        </w:rPr>
        <w:t xml:space="preserve">Zgodnie ze swoim wnioskiem w </w:t>
      </w:r>
      <w:proofErr w:type="spellStart"/>
      <w:r>
        <w:rPr>
          <w:rFonts w:cs="Times New Roman"/>
          <w:lang w:val="pl-PL"/>
        </w:rPr>
        <w:t>paragrafoe</w:t>
      </w:r>
      <w:proofErr w:type="spellEnd"/>
      <w:r w:rsidR="006E7472" w:rsidRPr="0051003F">
        <w:rPr>
          <w:rFonts w:cs="Times New Roman"/>
          <w:lang w:val="pl-PL"/>
        </w:rPr>
        <w:t xml:space="preserve"> 107 powyżej Trybunał zbada, czy postępowanie dotyczące nałożenia 30 % kary podatkowej można uznać za </w:t>
      </w:r>
      <w:r w:rsidR="00127FE6">
        <w:rPr>
          <w:rFonts w:cs="Times New Roman"/>
          <w:lang w:val="pl-PL"/>
        </w:rPr>
        <w:t>,,</w:t>
      </w:r>
      <w:r w:rsidR="006E7472" w:rsidRPr="0051003F">
        <w:rPr>
          <w:rFonts w:cs="Times New Roman"/>
          <w:lang w:val="pl-PL"/>
        </w:rPr>
        <w:t xml:space="preserve">karne" w rozumieniu art. 4 Protokołu nr 7, na podstawie kryteriów </w:t>
      </w:r>
      <w:proofErr w:type="spellStart"/>
      <w:r w:rsidR="006E7472" w:rsidRPr="0051003F">
        <w:rPr>
          <w:rFonts w:cs="Times New Roman"/>
          <w:i/>
          <w:lang w:val="pl-PL"/>
        </w:rPr>
        <w:t>Engela</w:t>
      </w:r>
      <w:proofErr w:type="spellEnd"/>
      <w:r w:rsidR="006E7472" w:rsidRPr="0051003F">
        <w:rPr>
          <w:rFonts w:cs="Times New Roman"/>
          <w:lang w:val="pl-PL"/>
        </w:rPr>
        <w:t>.</w:t>
      </w:r>
    </w:p>
    <w:p w:rsidR="006E7472" w:rsidRPr="0051003F" w:rsidRDefault="00127FE6" w:rsidP="006E7472">
      <w:pPr>
        <w:pStyle w:val="ECHRPara"/>
        <w:rPr>
          <w:rFonts w:cs="Times New Roman"/>
          <w:lang w:val="pl-PL"/>
        </w:rPr>
      </w:pPr>
      <w:r>
        <w:rPr>
          <w:rFonts w:cs="Times New Roman"/>
          <w:lang w:val="pl-PL"/>
        </w:rPr>
        <w:t>137</w:t>
      </w:r>
      <w:r w:rsidR="008B7056" w:rsidRPr="0051003F">
        <w:rPr>
          <w:rFonts w:cs="Times New Roman"/>
          <w:lang w:val="pl-PL"/>
        </w:rPr>
        <w:t>.</w:t>
      </w:r>
      <w:r w:rsidR="006E7472" w:rsidRPr="0051003F">
        <w:rPr>
          <w:rFonts w:cs="Times New Roman"/>
          <w:lang w:val="pl-PL"/>
        </w:rPr>
        <w:t xml:space="preserve"> W tym względzie Trybunał zauważył, że Sąd Najwyższy zwracał uwagę na postępujący rozwój prawa </w:t>
      </w:r>
      <w:r>
        <w:rPr>
          <w:rFonts w:cs="Times New Roman"/>
          <w:lang w:val="pl-PL"/>
        </w:rPr>
        <w:t>K</w:t>
      </w:r>
      <w:r w:rsidR="006E7472" w:rsidRPr="0051003F">
        <w:rPr>
          <w:rFonts w:cs="Times New Roman"/>
          <w:lang w:val="pl-PL"/>
        </w:rPr>
        <w:t xml:space="preserve">onwencji w tej dziedzinie i starał się włączyć zmiany orzecznictwa Trybunału do własnych orzeczeń dotyczących krajowych przepisów podatkowych (zob. </w:t>
      </w:r>
      <w:r>
        <w:rPr>
          <w:rFonts w:cs="Times New Roman"/>
          <w:lang w:val="pl-PL"/>
        </w:rPr>
        <w:t>paragrafy</w:t>
      </w:r>
      <w:r w:rsidRPr="0051003F">
        <w:rPr>
          <w:rFonts w:cs="Times New Roman"/>
          <w:lang w:val="pl-PL"/>
        </w:rPr>
        <w:t xml:space="preserve"> </w:t>
      </w:r>
      <w:r w:rsidR="006E7472" w:rsidRPr="0051003F">
        <w:rPr>
          <w:rFonts w:cs="Times New Roman"/>
          <w:lang w:val="pl-PL"/>
        </w:rPr>
        <w:t>44-47 powyżej). W ten sposób w 2002 r</w:t>
      </w:r>
      <w:r>
        <w:rPr>
          <w:rFonts w:cs="Times New Roman"/>
          <w:lang w:val="pl-PL"/>
        </w:rPr>
        <w:t>oku</w:t>
      </w:r>
      <w:r w:rsidR="006E7472" w:rsidRPr="0051003F">
        <w:rPr>
          <w:rFonts w:cs="Times New Roman"/>
          <w:lang w:val="pl-PL"/>
        </w:rPr>
        <w:t xml:space="preserve"> Sąd Najwyższy po raz pierwszy orzekł, że odpowiedzialność za karę 30% stanowi </w:t>
      </w:r>
      <w:r>
        <w:rPr>
          <w:rFonts w:cs="Times New Roman"/>
          <w:lang w:val="pl-PL"/>
        </w:rPr>
        <w:t>,,</w:t>
      </w:r>
      <w:r w:rsidR="006E7472" w:rsidRPr="0051003F">
        <w:rPr>
          <w:rFonts w:cs="Times New Roman"/>
          <w:lang w:val="pl-PL"/>
        </w:rPr>
        <w:t xml:space="preserve">zarzut karny" w rozumieniu art. 6 </w:t>
      </w:r>
      <w:r>
        <w:rPr>
          <w:rFonts w:cs="Times New Roman"/>
          <w:lang w:val="pl-PL"/>
        </w:rPr>
        <w:t>K</w:t>
      </w:r>
      <w:r w:rsidR="006E7472" w:rsidRPr="0051003F">
        <w:rPr>
          <w:rFonts w:cs="Times New Roman"/>
          <w:lang w:val="pl-PL"/>
        </w:rPr>
        <w:t xml:space="preserve">onwencji. Sąd Najwyższy orzekł również, wbrew wcześniejszym orzeczeniom, że 60 % kara podatkowa jest karą w rozumieniu art. 4 </w:t>
      </w:r>
      <w:r>
        <w:rPr>
          <w:rFonts w:cs="Times New Roman"/>
          <w:lang w:val="pl-PL"/>
        </w:rPr>
        <w:t>P</w:t>
      </w:r>
      <w:r w:rsidR="006E7472" w:rsidRPr="0051003F">
        <w:rPr>
          <w:rFonts w:cs="Times New Roman"/>
          <w:lang w:val="pl-PL"/>
        </w:rPr>
        <w:t>rotokołu nr 7, a w latach 2004 i 2006 orzekł, że to samo stosuje się do 30 % kary podatkowej.</w:t>
      </w:r>
    </w:p>
    <w:p w:rsidR="006E7472" w:rsidRPr="0051003F" w:rsidRDefault="00127FE6" w:rsidP="006E7472">
      <w:pPr>
        <w:pStyle w:val="ECHRPara"/>
        <w:rPr>
          <w:rFonts w:cs="Times New Roman"/>
          <w:szCs w:val="24"/>
          <w:lang w:val="pl-PL"/>
        </w:rPr>
      </w:pPr>
      <w:r>
        <w:rPr>
          <w:rFonts w:cs="Times New Roman"/>
          <w:szCs w:val="24"/>
          <w:lang w:val="pl-PL"/>
        </w:rPr>
        <w:t>138</w:t>
      </w:r>
      <w:r w:rsidR="004B5930" w:rsidRPr="0051003F">
        <w:rPr>
          <w:rFonts w:cs="Times New Roman"/>
          <w:szCs w:val="24"/>
          <w:lang w:val="pl-PL"/>
        </w:rPr>
        <w:t>.  </w:t>
      </w:r>
      <w:r w:rsidR="006E7472" w:rsidRPr="0051003F">
        <w:rPr>
          <w:rFonts w:cs="Times New Roman"/>
          <w:szCs w:val="24"/>
          <w:lang w:val="pl-PL"/>
        </w:rPr>
        <w:t xml:space="preserve">W porównywalnych sprawach dotyczących Szwecji (obejmujących kary podatkowe w wysokości 40 % i 20 %) Trybunał orzekł, że przedmiotowe postępowanie miało charakter </w:t>
      </w:r>
      <w:r w:rsidR="00DE6CAF" w:rsidRPr="0051003F">
        <w:rPr>
          <w:rFonts w:cs="Times New Roman"/>
          <w:szCs w:val="24"/>
          <w:lang w:val="pl-PL"/>
        </w:rPr>
        <w:t>„</w:t>
      </w:r>
      <w:r w:rsidR="006E7472" w:rsidRPr="0051003F">
        <w:rPr>
          <w:rFonts w:cs="Times New Roman"/>
          <w:szCs w:val="24"/>
          <w:lang w:val="pl-PL"/>
        </w:rPr>
        <w:t xml:space="preserve">karny", nie tylko w rozumieniu art. 6 </w:t>
      </w:r>
      <w:r w:rsidR="00482FF5">
        <w:rPr>
          <w:rFonts w:cs="Times New Roman"/>
          <w:szCs w:val="24"/>
          <w:lang w:val="pl-PL"/>
        </w:rPr>
        <w:t>K</w:t>
      </w:r>
      <w:r w:rsidR="006E7472" w:rsidRPr="0051003F">
        <w:rPr>
          <w:rFonts w:cs="Times New Roman"/>
          <w:szCs w:val="24"/>
          <w:lang w:val="pl-PL"/>
        </w:rPr>
        <w:t xml:space="preserve">onwencji (zob. </w:t>
      </w:r>
      <w:proofErr w:type="spellStart"/>
      <w:r w:rsidR="006E7472" w:rsidRPr="0051003F">
        <w:rPr>
          <w:rFonts w:cs="Times New Roman"/>
          <w:i/>
          <w:szCs w:val="24"/>
          <w:lang w:val="pl-PL"/>
        </w:rPr>
        <w:t>Janosevic</w:t>
      </w:r>
      <w:proofErr w:type="spellEnd"/>
      <w:r w:rsidR="006E7472" w:rsidRPr="0051003F">
        <w:rPr>
          <w:rFonts w:cs="Times New Roman"/>
          <w:szCs w:val="24"/>
          <w:lang w:val="pl-PL"/>
        </w:rPr>
        <w:t xml:space="preserve"> </w:t>
      </w:r>
      <w:r w:rsidR="006E7472" w:rsidRPr="0051003F">
        <w:rPr>
          <w:rFonts w:cs="Times New Roman"/>
          <w:i/>
          <w:szCs w:val="24"/>
          <w:lang w:val="pl-PL"/>
        </w:rPr>
        <w:t>przeciwko Szwecji</w:t>
      </w:r>
      <w:r w:rsidR="006E7472" w:rsidRPr="0051003F">
        <w:rPr>
          <w:rFonts w:cs="Times New Roman"/>
          <w:szCs w:val="24"/>
          <w:lang w:val="pl-PL"/>
        </w:rPr>
        <w:t xml:space="preserve">, nr 34619/97, §§ 68-71, EKPC 2002-VII </w:t>
      </w:r>
      <w:r w:rsidR="006E7472" w:rsidRPr="0051003F">
        <w:rPr>
          <w:rFonts w:cs="Times New Roman"/>
          <w:i/>
          <w:szCs w:val="24"/>
          <w:lang w:val="pl-PL"/>
        </w:rPr>
        <w:t xml:space="preserve">oraz </w:t>
      </w:r>
      <w:proofErr w:type="spellStart"/>
      <w:r w:rsidR="006E7472" w:rsidRPr="0051003F">
        <w:rPr>
          <w:rFonts w:cs="Times New Roman"/>
          <w:i/>
          <w:szCs w:val="24"/>
          <w:lang w:val="pl-PL"/>
        </w:rPr>
        <w:t>Västberga</w:t>
      </w:r>
      <w:proofErr w:type="spellEnd"/>
      <w:r w:rsidR="006E7472" w:rsidRPr="0051003F">
        <w:rPr>
          <w:rFonts w:cs="Times New Roman"/>
          <w:i/>
          <w:szCs w:val="24"/>
          <w:lang w:val="pl-PL"/>
        </w:rPr>
        <w:t xml:space="preserve"> Taxi </w:t>
      </w:r>
      <w:proofErr w:type="spellStart"/>
      <w:r w:rsidR="006E7472" w:rsidRPr="0051003F">
        <w:rPr>
          <w:rFonts w:cs="Times New Roman"/>
          <w:i/>
          <w:szCs w:val="24"/>
          <w:lang w:val="pl-PL"/>
        </w:rPr>
        <w:t>Aktiebolag</w:t>
      </w:r>
      <w:proofErr w:type="spellEnd"/>
      <w:r w:rsidR="006E7472" w:rsidRPr="0051003F">
        <w:rPr>
          <w:rFonts w:cs="Times New Roman"/>
          <w:i/>
          <w:szCs w:val="24"/>
          <w:lang w:val="pl-PL"/>
        </w:rPr>
        <w:t xml:space="preserve"> i </w:t>
      </w:r>
      <w:proofErr w:type="spellStart"/>
      <w:r w:rsidR="006E7472" w:rsidRPr="0051003F">
        <w:rPr>
          <w:rFonts w:cs="Times New Roman"/>
          <w:i/>
          <w:szCs w:val="24"/>
          <w:lang w:val="pl-PL"/>
        </w:rPr>
        <w:t>Vulic</w:t>
      </w:r>
      <w:proofErr w:type="spellEnd"/>
      <w:r w:rsidR="006E7472" w:rsidRPr="0051003F">
        <w:rPr>
          <w:rFonts w:cs="Times New Roman"/>
          <w:i/>
          <w:szCs w:val="24"/>
          <w:lang w:val="pl-PL"/>
        </w:rPr>
        <w:t xml:space="preserve"> przeciwko Szwecji,</w:t>
      </w:r>
      <w:r w:rsidR="006E7472" w:rsidRPr="0051003F">
        <w:rPr>
          <w:rFonts w:cs="Times New Roman"/>
          <w:szCs w:val="24"/>
          <w:lang w:val="pl-PL"/>
        </w:rPr>
        <w:t xml:space="preserve"> nr 34619/97, §§ 68-71, EKPC 2002-VII oraz </w:t>
      </w:r>
      <w:proofErr w:type="spellStart"/>
      <w:r w:rsidR="006E7472" w:rsidRPr="0051003F">
        <w:rPr>
          <w:rFonts w:cs="Times New Roman"/>
          <w:i/>
          <w:szCs w:val="24"/>
          <w:lang w:val="pl-PL"/>
        </w:rPr>
        <w:t>Västberga</w:t>
      </w:r>
      <w:proofErr w:type="spellEnd"/>
      <w:r w:rsidR="006E7472" w:rsidRPr="0051003F">
        <w:rPr>
          <w:rFonts w:cs="Times New Roman"/>
          <w:i/>
          <w:szCs w:val="24"/>
          <w:lang w:val="pl-PL"/>
        </w:rPr>
        <w:t xml:space="preserve"> Taxi </w:t>
      </w:r>
      <w:proofErr w:type="spellStart"/>
      <w:r w:rsidR="006E7472" w:rsidRPr="0051003F">
        <w:rPr>
          <w:rFonts w:cs="Times New Roman"/>
          <w:i/>
          <w:szCs w:val="24"/>
          <w:lang w:val="pl-PL"/>
        </w:rPr>
        <w:t>Aktiebolag</w:t>
      </w:r>
      <w:proofErr w:type="spellEnd"/>
      <w:r w:rsidR="006E7472" w:rsidRPr="0051003F">
        <w:rPr>
          <w:rFonts w:cs="Times New Roman"/>
          <w:i/>
          <w:szCs w:val="24"/>
          <w:lang w:val="pl-PL"/>
        </w:rPr>
        <w:t xml:space="preserve"> i </w:t>
      </w:r>
      <w:proofErr w:type="spellStart"/>
      <w:r w:rsidR="006E7472" w:rsidRPr="0051003F">
        <w:rPr>
          <w:rFonts w:cs="Times New Roman"/>
          <w:i/>
          <w:szCs w:val="24"/>
          <w:lang w:val="pl-PL"/>
        </w:rPr>
        <w:t>Vulic</w:t>
      </w:r>
      <w:proofErr w:type="spellEnd"/>
      <w:r w:rsidR="006E7472" w:rsidRPr="0051003F">
        <w:rPr>
          <w:rFonts w:cs="Times New Roman"/>
          <w:i/>
          <w:szCs w:val="24"/>
          <w:lang w:val="pl-PL"/>
        </w:rPr>
        <w:t xml:space="preserve"> przeciwko Szwecji</w:t>
      </w:r>
      <w:r w:rsidR="006E7472" w:rsidRPr="0051003F">
        <w:rPr>
          <w:rFonts w:cs="Times New Roman"/>
          <w:szCs w:val="24"/>
          <w:lang w:val="pl-PL"/>
        </w:rPr>
        <w:t>. 36985/97, §§ 79-82 z dnia 23 lipca 2002 r</w:t>
      </w:r>
      <w:r w:rsidR="00482FF5">
        <w:rPr>
          <w:rFonts w:cs="Times New Roman"/>
          <w:szCs w:val="24"/>
          <w:lang w:val="pl-PL"/>
        </w:rPr>
        <w:t>ok</w:t>
      </w:r>
      <w:r w:rsidR="006E7472" w:rsidRPr="0051003F">
        <w:rPr>
          <w:rFonts w:cs="Times New Roman"/>
          <w:szCs w:val="24"/>
          <w:lang w:val="pl-PL"/>
        </w:rPr>
        <w:t xml:space="preserve">), ale również do celów art. 4 Protokołu nr 7 (patrz: </w:t>
      </w:r>
      <w:proofErr w:type="spellStart"/>
      <w:r w:rsidR="006E7472" w:rsidRPr="0051003F">
        <w:rPr>
          <w:rFonts w:cs="Times New Roman"/>
          <w:i/>
          <w:szCs w:val="24"/>
          <w:lang w:val="pl-PL"/>
        </w:rPr>
        <w:lastRenderedPageBreak/>
        <w:t>Manasson</w:t>
      </w:r>
      <w:proofErr w:type="spellEnd"/>
      <w:r w:rsidR="006E7472" w:rsidRPr="0051003F">
        <w:rPr>
          <w:rFonts w:cs="Times New Roman"/>
          <w:i/>
          <w:szCs w:val="24"/>
          <w:lang w:val="pl-PL"/>
        </w:rPr>
        <w:t xml:space="preserve"> przeciwko Szwecji</w:t>
      </w:r>
      <w:r w:rsidR="006E7472" w:rsidRPr="0051003F">
        <w:rPr>
          <w:rFonts w:cs="Times New Roman"/>
          <w:szCs w:val="24"/>
          <w:lang w:val="pl-PL"/>
        </w:rPr>
        <w:t xml:space="preserve"> (</w:t>
      </w:r>
      <w:proofErr w:type="spellStart"/>
      <w:r w:rsidR="006E7472" w:rsidRPr="0051003F">
        <w:rPr>
          <w:rFonts w:cs="Times New Roman"/>
          <w:szCs w:val="24"/>
          <w:lang w:val="pl-PL"/>
        </w:rPr>
        <w:t>dec</w:t>
      </w:r>
      <w:proofErr w:type="spellEnd"/>
      <w:r w:rsidR="006E7472" w:rsidRPr="0051003F">
        <w:rPr>
          <w:rFonts w:cs="Times New Roman"/>
          <w:szCs w:val="24"/>
          <w:lang w:val="pl-PL"/>
        </w:rPr>
        <w:t>.), nr 41265/98 z dnia 8 kwietnia 2003 r</w:t>
      </w:r>
      <w:r w:rsidR="00482FF5">
        <w:rPr>
          <w:rFonts w:cs="Times New Roman"/>
          <w:szCs w:val="24"/>
          <w:lang w:val="pl-PL"/>
        </w:rPr>
        <w:t>oku</w:t>
      </w:r>
      <w:r w:rsidR="006E7472" w:rsidRPr="0051003F">
        <w:rPr>
          <w:rFonts w:cs="Times New Roman"/>
          <w:szCs w:val="24"/>
          <w:lang w:val="pl-PL"/>
        </w:rPr>
        <w:t xml:space="preserve">; </w:t>
      </w:r>
      <w:r w:rsidR="006E7472" w:rsidRPr="0051003F">
        <w:rPr>
          <w:rFonts w:cs="Times New Roman"/>
          <w:i/>
          <w:szCs w:val="24"/>
          <w:lang w:val="pl-PL"/>
        </w:rPr>
        <w:t>Rosenquist</w:t>
      </w:r>
      <w:r w:rsidR="006E7472" w:rsidRPr="0051003F">
        <w:rPr>
          <w:rFonts w:cs="Times New Roman"/>
          <w:szCs w:val="24"/>
          <w:lang w:val="pl-PL"/>
        </w:rPr>
        <w:t xml:space="preserve">, cytowany powyżej; </w:t>
      </w:r>
      <w:proofErr w:type="spellStart"/>
      <w:r w:rsidR="006E7472" w:rsidRPr="0051003F">
        <w:rPr>
          <w:rFonts w:cs="Times New Roman"/>
          <w:i/>
          <w:szCs w:val="24"/>
          <w:lang w:val="pl-PL"/>
        </w:rPr>
        <w:t>Synnelius</w:t>
      </w:r>
      <w:proofErr w:type="spellEnd"/>
      <w:r w:rsidR="006E7472" w:rsidRPr="0051003F">
        <w:rPr>
          <w:rFonts w:cs="Times New Roman"/>
          <w:szCs w:val="24"/>
          <w:lang w:val="pl-PL"/>
        </w:rPr>
        <w:t xml:space="preserve"> i </w:t>
      </w:r>
      <w:proofErr w:type="spellStart"/>
      <w:r w:rsidR="006E7472" w:rsidRPr="0051003F">
        <w:rPr>
          <w:rFonts w:cs="Times New Roman"/>
          <w:i/>
          <w:szCs w:val="24"/>
          <w:lang w:val="pl-PL"/>
        </w:rPr>
        <w:t>Edsbergs</w:t>
      </w:r>
      <w:proofErr w:type="spellEnd"/>
      <w:r w:rsidR="006E7472" w:rsidRPr="0051003F">
        <w:rPr>
          <w:rFonts w:cs="Times New Roman"/>
          <w:i/>
          <w:szCs w:val="24"/>
          <w:lang w:val="pl-PL"/>
        </w:rPr>
        <w:t xml:space="preserve"> Taxi AB przeciwko Szwecji.</w:t>
      </w:r>
      <w:r w:rsidR="006E7472" w:rsidRPr="0051003F">
        <w:rPr>
          <w:rFonts w:cs="Times New Roman"/>
          <w:szCs w:val="24"/>
          <w:lang w:val="pl-PL"/>
        </w:rPr>
        <w:t xml:space="preserve"> Szwecja (</w:t>
      </w:r>
      <w:proofErr w:type="spellStart"/>
      <w:r w:rsidR="006E7472" w:rsidRPr="0051003F">
        <w:rPr>
          <w:rFonts w:cs="Times New Roman"/>
          <w:szCs w:val="24"/>
          <w:lang w:val="pl-PL"/>
        </w:rPr>
        <w:t>dec</w:t>
      </w:r>
      <w:proofErr w:type="spellEnd"/>
      <w:r w:rsidR="006E7472" w:rsidRPr="0051003F">
        <w:rPr>
          <w:rFonts w:cs="Times New Roman"/>
          <w:szCs w:val="24"/>
          <w:lang w:val="pl-PL"/>
        </w:rPr>
        <w:t>.), nr 44298/02 z dnia 17 czerwca 2008 r</w:t>
      </w:r>
      <w:r w:rsidR="00482FF5">
        <w:rPr>
          <w:rFonts w:cs="Times New Roman"/>
          <w:szCs w:val="24"/>
          <w:lang w:val="pl-PL"/>
        </w:rPr>
        <w:t>oku</w:t>
      </w:r>
      <w:r w:rsidR="006E7472" w:rsidRPr="0051003F">
        <w:rPr>
          <w:rFonts w:cs="Times New Roman"/>
          <w:szCs w:val="24"/>
          <w:lang w:val="pl-PL"/>
        </w:rPr>
        <w:t xml:space="preserve">; </w:t>
      </w:r>
      <w:proofErr w:type="spellStart"/>
      <w:r w:rsidR="006E7472" w:rsidRPr="0051003F">
        <w:rPr>
          <w:rFonts w:cs="Times New Roman"/>
          <w:i/>
          <w:szCs w:val="24"/>
          <w:lang w:val="pl-PL"/>
        </w:rPr>
        <w:t>Carlberg</w:t>
      </w:r>
      <w:proofErr w:type="spellEnd"/>
      <w:r w:rsidR="006E7472" w:rsidRPr="0051003F">
        <w:rPr>
          <w:rFonts w:cs="Times New Roman"/>
          <w:i/>
          <w:szCs w:val="24"/>
          <w:lang w:val="pl-PL"/>
        </w:rPr>
        <w:t xml:space="preserve"> przeciwko Szwecji </w:t>
      </w:r>
      <w:r w:rsidR="006E7472" w:rsidRPr="0051003F">
        <w:rPr>
          <w:rFonts w:cs="Times New Roman"/>
          <w:szCs w:val="24"/>
          <w:lang w:val="pl-PL"/>
        </w:rPr>
        <w:t>(</w:t>
      </w:r>
      <w:proofErr w:type="spellStart"/>
      <w:r w:rsidR="006E7472" w:rsidRPr="0051003F">
        <w:rPr>
          <w:rFonts w:cs="Times New Roman"/>
          <w:szCs w:val="24"/>
          <w:lang w:val="pl-PL"/>
        </w:rPr>
        <w:t>dec</w:t>
      </w:r>
      <w:proofErr w:type="spellEnd"/>
      <w:r w:rsidR="006E7472" w:rsidRPr="0051003F">
        <w:rPr>
          <w:rFonts w:cs="Times New Roman"/>
          <w:szCs w:val="24"/>
          <w:lang w:val="pl-PL"/>
        </w:rPr>
        <w:t>.), nr 9631/04 z dnia 27 stycznia 2009 r</w:t>
      </w:r>
      <w:r w:rsidR="00482FF5">
        <w:rPr>
          <w:rFonts w:cs="Times New Roman"/>
          <w:szCs w:val="24"/>
          <w:lang w:val="pl-PL"/>
        </w:rPr>
        <w:t>oku</w:t>
      </w:r>
      <w:r w:rsidR="006E7472" w:rsidRPr="0051003F">
        <w:rPr>
          <w:rFonts w:cs="Times New Roman"/>
          <w:szCs w:val="24"/>
          <w:lang w:val="pl-PL"/>
        </w:rPr>
        <w:t xml:space="preserve">; oraz </w:t>
      </w:r>
      <w:proofErr w:type="spellStart"/>
      <w:r w:rsidR="006E7472" w:rsidRPr="0051003F">
        <w:rPr>
          <w:rFonts w:cs="Times New Roman"/>
          <w:i/>
          <w:szCs w:val="24"/>
          <w:lang w:val="pl-PL"/>
        </w:rPr>
        <w:t>Lucky</w:t>
      </w:r>
      <w:proofErr w:type="spellEnd"/>
      <w:r w:rsidR="006E7472" w:rsidRPr="0051003F">
        <w:rPr>
          <w:rFonts w:cs="Times New Roman"/>
          <w:i/>
          <w:szCs w:val="24"/>
          <w:lang w:val="pl-PL"/>
        </w:rPr>
        <w:t xml:space="preserve"> </w:t>
      </w:r>
      <w:proofErr w:type="spellStart"/>
      <w:r w:rsidR="006E7472" w:rsidRPr="0051003F">
        <w:rPr>
          <w:rFonts w:cs="Times New Roman"/>
          <w:i/>
          <w:szCs w:val="24"/>
          <w:lang w:val="pl-PL"/>
        </w:rPr>
        <w:t>Dev</w:t>
      </w:r>
      <w:proofErr w:type="spellEnd"/>
      <w:r w:rsidR="006E7472" w:rsidRPr="0051003F">
        <w:rPr>
          <w:rFonts w:cs="Times New Roman"/>
          <w:szCs w:val="24"/>
          <w:lang w:val="pl-PL"/>
        </w:rPr>
        <w:t>, cytowany powyżej, §§ 6 i 51.</w:t>
      </w:r>
    </w:p>
    <w:p w:rsidR="00040233" w:rsidRPr="0051003F" w:rsidRDefault="00482FF5" w:rsidP="00040233">
      <w:pPr>
        <w:pStyle w:val="ECHRPara"/>
        <w:rPr>
          <w:rFonts w:cs="Times New Roman"/>
          <w:lang w:val="pl-PL"/>
        </w:rPr>
      </w:pPr>
      <w:r>
        <w:rPr>
          <w:rFonts w:cs="Times New Roman"/>
          <w:lang w:val="pl-PL"/>
        </w:rPr>
        <w:t>139</w:t>
      </w:r>
      <w:r w:rsidR="004B5930" w:rsidRPr="0051003F">
        <w:rPr>
          <w:rFonts w:cs="Times New Roman"/>
          <w:lang w:val="pl-PL"/>
        </w:rPr>
        <w:t>.  </w:t>
      </w:r>
      <w:r w:rsidR="00040233" w:rsidRPr="0051003F">
        <w:rPr>
          <w:rFonts w:cs="Times New Roman"/>
          <w:lang w:val="pl-PL"/>
        </w:rPr>
        <w:t>W tym kontekście Trybunał nie widzi powodu, aby podważyć stwierdzenie Sądu Najwyższego (zob. para</w:t>
      </w:r>
      <w:r>
        <w:rPr>
          <w:rFonts w:cs="Times New Roman"/>
          <w:lang w:val="pl-PL"/>
        </w:rPr>
        <w:t>grafy</w:t>
      </w:r>
      <w:r w:rsidR="00040233" w:rsidRPr="0051003F">
        <w:rPr>
          <w:rFonts w:cs="Times New Roman"/>
          <w:lang w:val="pl-PL"/>
        </w:rPr>
        <w:t xml:space="preserve"> 22-25 powyżej), zgodnie z którym postępowanie, w którym na pierwszego skarżącego nałożono zwykłą karę podatkową w wysokości 30 % dotyczyło sprawy „karnej” w autonomicznym rozumieniu art. 4 Protokołu </w:t>
      </w:r>
      <w:r>
        <w:rPr>
          <w:rFonts w:cs="Times New Roman"/>
          <w:lang w:val="pl-PL"/>
        </w:rPr>
        <w:t>n</w:t>
      </w:r>
      <w:r w:rsidR="00040233" w:rsidRPr="0051003F">
        <w:rPr>
          <w:rFonts w:cs="Times New Roman"/>
          <w:lang w:val="pl-PL"/>
        </w:rPr>
        <w:t>r 7.</w:t>
      </w:r>
    </w:p>
    <w:p w:rsidR="004B5930" w:rsidRPr="0051003F" w:rsidRDefault="00040233" w:rsidP="00040233">
      <w:pPr>
        <w:pStyle w:val="ECHRHeading6"/>
        <w:rPr>
          <w:lang w:val="pl-PL"/>
        </w:rPr>
      </w:pPr>
      <w:r w:rsidRPr="0051003F">
        <w:rPr>
          <w:lang w:val="pl-PL"/>
        </w:rPr>
        <w:t xml:space="preserve"> </w:t>
      </w:r>
      <w:r w:rsidR="00DC60CE" w:rsidRPr="0051003F">
        <w:rPr>
          <w:lang w:val="pl-PL"/>
        </w:rPr>
        <w:t>(</w:t>
      </w:r>
      <w:r w:rsidR="00326523" w:rsidRPr="0051003F">
        <w:rPr>
          <w:lang w:val="pl-PL"/>
        </w:rPr>
        <w:t>β</w:t>
      </w:r>
      <w:r w:rsidR="00DC60CE" w:rsidRPr="0051003F">
        <w:rPr>
          <w:lang w:val="pl-PL"/>
        </w:rPr>
        <w:t>)</w:t>
      </w:r>
      <w:r w:rsidR="004B5930" w:rsidRPr="0051003F">
        <w:rPr>
          <w:lang w:val="pl-PL"/>
        </w:rPr>
        <w:t>  </w:t>
      </w:r>
      <w:r w:rsidRPr="0051003F">
        <w:rPr>
          <w:lang w:val="pl-PL"/>
        </w:rPr>
        <w:t>Czy przestępstwa, za które ścigano pierwszego skarżącego były tożsame z tymi w których nałożono na niego kary podatkowe (</w:t>
      </w:r>
      <w:proofErr w:type="spellStart"/>
      <w:r w:rsidRPr="0051003F">
        <w:rPr>
          <w:lang w:val="pl-PL"/>
        </w:rPr>
        <w:t>idem</w:t>
      </w:r>
      <w:proofErr w:type="spellEnd"/>
      <w:r w:rsidRPr="0051003F">
        <w:rPr>
          <w:lang w:val="pl-PL"/>
        </w:rPr>
        <w:t>)?</w:t>
      </w:r>
    </w:p>
    <w:p w:rsidR="004B5930" w:rsidRPr="0051003F" w:rsidRDefault="00A567B5" w:rsidP="00040233">
      <w:pPr>
        <w:pStyle w:val="ECHRPara"/>
        <w:rPr>
          <w:rFonts w:cs="Times New Roman"/>
          <w:lang w:val="pl-PL"/>
        </w:rPr>
      </w:pPr>
      <w:r>
        <w:rPr>
          <w:rFonts w:cs="Times New Roman"/>
          <w:lang w:val="pl-PL"/>
        </w:rPr>
        <w:t>140</w:t>
      </w:r>
      <w:r w:rsidR="004B5930" w:rsidRPr="0051003F">
        <w:rPr>
          <w:rFonts w:cs="Times New Roman"/>
          <w:lang w:val="pl-PL"/>
        </w:rPr>
        <w:t>.  </w:t>
      </w:r>
      <w:r w:rsidR="00C7545A" w:rsidRPr="0051003F">
        <w:rPr>
          <w:rFonts w:cs="Times New Roman"/>
          <w:lang w:val="pl-PL"/>
        </w:rPr>
        <w:t xml:space="preserve">Jak stwierdzono powyżej (w paragrafie 128), ochrona zasady </w:t>
      </w:r>
      <w:proofErr w:type="spellStart"/>
      <w:r w:rsidR="00C7545A" w:rsidRPr="0051003F">
        <w:rPr>
          <w:rFonts w:cs="Times New Roman"/>
          <w:i/>
          <w:lang w:val="pl-PL"/>
        </w:rPr>
        <w:t>ne</w:t>
      </w:r>
      <w:proofErr w:type="spellEnd"/>
      <w:r w:rsidR="00C7545A" w:rsidRPr="0051003F">
        <w:rPr>
          <w:rFonts w:cs="Times New Roman"/>
          <w:i/>
          <w:lang w:val="pl-PL"/>
        </w:rPr>
        <w:t xml:space="preserve"> bis in </w:t>
      </w:r>
      <w:proofErr w:type="spellStart"/>
      <w:r w:rsidR="00C7545A" w:rsidRPr="0051003F">
        <w:rPr>
          <w:rFonts w:cs="Times New Roman"/>
          <w:i/>
          <w:lang w:val="pl-PL"/>
        </w:rPr>
        <w:t>idem</w:t>
      </w:r>
      <w:proofErr w:type="spellEnd"/>
      <w:r w:rsidR="00C7545A" w:rsidRPr="0051003F">
        <w:rPr>
          <w:rFonts w:cs="Times New Roman"/>
          <w:i/>
          <w:lang w:val="pl-PL"/>
        </w:rPr>
        <w:t xml:space="preserve"> </w:t>
      </w:r>
      <w:r w:rsidR="00C7545A" w:rsidRPr="0051003F">
        <w:rPr>
          <w:rFonts w:cs="Times New Roman"/>
          <w:lang w:val="pl-PL"/>
        </w:rPr>
        <w:t>nie zależy od kolejności, w jakiej prowadzone jes</w:t>
      </w:r>
      <w:r w:rsidR="00040233" w:rsidRPr="0051003F">
        <w:rPr>
          <w:rFonts w:cs="Times New Roman"/>
          <w:lang w:val="pl-PL"/>
        </w:rPr>
        <w:t>t odpowiednie postępowanie; zależy od relacji między dwoma przestępstwami, co jest kluczowe (zobacz</w:t>
      </w:r>
      <w:r w:rsidR="004B5930" w:rsidRPr="0051003F">
        <w:rPr>
          <w:rFonts w:cs="Times New Roman"/>
          <w:lang w:val="pl-PL"/>
        </w:rPr>
        <w:t xml:space="preserve"> </w:t>
      </w:r>
      <w:r w:rsidR="00040233" w:rsidRPr="0051003F">
        <w:rPr>
          <w:rFonts w:cs="Times New Roman"/>
          <w:i/>
          <w:iCs/>
          <w:lang w:val="pl-PL"/>
        </w:rPr>
        <w:t>Franz Fischer przeciwko Austrii</w:t>
      </w:r>
      <w:r w:rsidR="00040233" w:rsidRPr="0051003F">
        <w:rPr>
          <w:rFonts w:cs="Times New Roman"/>
          <w:lang w:val="pl-PL"/>
        </w:rPr>
        <w:t>, nr</w:t>
      </w:r>
      <w:r w:rsidR="009233A9" w:rsidRPr="0051003F">
        <w:rPr>
          <w:rFonts w:cs="Times New Roman"/>
          <w:lang w:val="pl-PL"/>
        </w:rPr>
        <w:t xml:space="preserve"> </w:t>
      </w:r>
      <w:r w:rsidR="00040233" w:rsidRPr="0051003F">
        <w:rPr>
          <w:rFonts w:cs="Times New Roman"/>
          <w:lang w:val="pl-PL"/>
        </w:rPr>
        <w:t>37950/97, para</w:t>
      </w:r>
      <w:r>
        <w:rPr>
          <w:rFonts w:cs="Times New Roman"/>
          <w:lang w:val="pl-PL"/>
        </w:rPr>
        <w:t>graf</w:t>
      </w:r>
      <w:r w:rsidR="00F478F7" w:rsidRPr="0051003F">
        <w:rPr>
          <w:rFonts w:cs="Times New Roman"/>
          <w:lang w:val="pl-PL"/>
        </w:rPr>
        <w:t xml:space="preserve"> </w:t>
      </w:r>
      <w:r w:rsidR="004B5930" w:rsidRPr="0051003F">
        <w:rPr>
          <w:rFonts w:cs="Times New Roman"/>
          <w:lang w:val="pl-PL"/>
        </w:rPr>
        <w:t>29, 29</w:t>
      </w:r>
      <w:r w:rsidR="00040233" w:rsidRPr="0051003F">
        <w:rPr>
          <w:rFonts w:cs="Times New Roman"/>
          <w:lang w:val="pl-PL"/>
        </w:rPr>
        <w:t xml:space="preserve"> maja </w:t>
      </w:r>
      <w:r w:rsidR="004B5930" w:rsidRPr="0051003F">
        <w:rPr>
          <w:rFonts w:cs="Times New Roman"/>
          <w:lang w:val="pl-PL"/>
        </w:rPr>
        <w:t>2001</w:t>
      </w:r>
      <w:r w:rsidR="004E7908">
        <w:rPr>
          <w:rFonts w:cs="Times New Roman"/>
          <w:lang w:val="pl-PL"/>
        </w:rPr>
        <w:t xml:space="preserve"> roku</w:t>
      </w:r>
      <w:r w:rsidR="004B5930" w:rsidRPr="0051003F">
        <w:rPr>
          <w:rFonts w:cs="Times New Roman"/>
          <w:lang w:val="pl-PL"/>
        </w:rPr>
        <w:t xml:space="preserve">; </w:t>
      </w:r>
      <w:r w:rsidR="00040233" w:rsidRPr="0051003F">
        <w:rPr>
          <w:rFonts w:cs="Times New Roman"/>
          <w:lang w:val="pl-PL"/>
        </w:rPr>
        <w:t xml:space="preserve">oraz również </w:t>
      </w:r>
      <w:r w:rsidR="00F643F2" w:rsidRPr="0051003F">
        <w:rPr>
          <w:rFonts w:cs="Times New Roman"/>
          <w:lang w:val="pl-PL"/>
        </w:rPr>
        <w:t xml:space="preserve"> </w:t>
      </w:r>
      <w:proofErr w:type="spellStart"/>
      <w:r w:rsidR="004B5930" w:rsidRPr="0051003F">
        <w:rPr>
          <w:rFonts w:cs="Times New Roman"/>
          <w:i/>
          <w:iCs/>
          <w:lang w:val="pl-PL"/>
        </w:rPr>
        <w:t>Storbråten</w:t>
      </w:r>
      <w:proofErr w:type="spellEnd"/>
      <w:r w:rsidR="004B5930" w:rsidRPr="0051003F">
        <w:rPr>
          <w:rFonts w:cs="Times New Roman"/>
          <w:lang w:val="pl-PL"/>
        </w:rPr>
        <w:t xml:space="preserve">; </w:t>
      </w:r>
      <w:proofErr w:type="spellStart"/>
      <w:r w:rsidR="004B5930" w:rsidRPr="0051003F">
        <w:rPr>
          <w:rFonts w:cs="Times New Roman"/>
          <w:i/>
          <w:iCs/>
          <w:lang w:val="pl-PL"/>
        </w:rPr>
        <w:t>Mjelde</w:t>
      </w:r>
      <w:proofErr w:type="spellEnd"/>
      <w:r w:rsidR="004B5930" w:rsidRPr="0051003F">
        <w:rPr>
          <w:rFonts w:cs="Times New Roman"/>
          <w:lang w:val="pl-PL"/>
        </w:rPr>
        <w:t xml:space="preserve">; </w:t>
      </w:r>
      <w:proofErr w:type="spellStart"/>
      <w:r w:rsidR="004B5930" w:rsidRPr="0051003F">
        <w:rPr>
          <w:rFonts w:cs="Times New Roman"/>
          <w:i/>
          <w:iCs/>
          <w:lang w:val="pl-PL"/>
        </w:rPr>
        <w:t>Haarvig</w:t>
      </w:r>
      <w:proofErr w:type="spellEnd"/>
      <w:r w:rsidR="00AD66B8" w:rsidRPr="0051003F">
        <w:rPr>
          <w:rFonts w:cs="Times New Roman"/>
          <w:lang w:val="pl-PL"/>
        </w:rPr>
        <w:t>;</w:t>
      </w:r>
      <w:r w:rsidR="004B5930" w:rsidRPr="0051003F">
        <w:rPr>
          <w:rFonts w:cs="Times New Roman"/>
          <w:lang w:val="pl-PL"/>
        </w:rPr>
        <w:t xml:space="preserve"> </w:t>
      </w:r>
      <w:proofErr w:type="spellStart"/>
      <w:r w:rsidR="004B5930" w:rsidRPr="0051003F">
        <w:rPr>
          <w:i/>
          <w:lang w:val="pl-PL"/>
        </w:rPr>
        <w:t>Ruotsalainen</w:t>
      </w:r>
      <w:proofErr w:type="spellEnd"/>
      <w:r w:rsidR="004B5930" w:rsidRPr="0051003F">
        <w:rPr>
          <w:lang w:val="pl-PL"/>
        </w:rPr>
        <w:t>;</w:t>
      </w:r>
      <w:r w:rsidR="00040233" w:rsidRPr="0051003F">
        <w:rPr>
          <w:lang w:val="pl-PL"/>
        </w:rPr>
        <w:t xml:space="preserve"> i</w:t>
      </w:r>
      <w:r w:rsidR="004B5930" w:rsidRPr="0051003F">
        <w:rPr>
          <w:lang w:val="pl-PL"/>
        </w:rPr>
        <w:t xml:space="preserve"> </w:t>
      </w:r>
      <w:proofErr w:type="spellStart"/>
      <w:r w:rsidR="004B5930" w:rsidRPr="0051003F">
        <w:rPr>
          <w:i/>
          <w:lang w:val="pl-PL"/>
        </w:rPr>
        <w:t>Kapetanios</w:t>
      </w:r>
      <w:proofErr w:type="spellEnd"/>
      <w:r w:rsidR="004B5930" w:rsidRPr="0051003F">
        <w:rPr>
          <w:i/>
          <w:lang w:val="pl-PL"/>
        </w:rPr>
        <w:t xml:space="preserve"> </w:t>
      </w:r>
      <w:r w:rsidR="00040233" w:rsidRPr="0051003F">
        <w:rPr>
          <w:i/>
          <w:lang w:val="pl-PL"/>
        </w:rPr>
        <w:t>i Inni</w:t>
      </w:r>
      <w:r w:rsidR="000815E5" w:rsidRPr="0051003F">
        <w:rPr>
          <w:lang w:val="pl-PL"/>
        </w:rPr>
        <w:t xml:space="preserve">, </w:t>
      </w:r>
      <w:r w:rsidR="00040233" w:rsidRPr="0051003F">
        <w:rPr>
          <w:lang w:val="pl-PL"/>
        </w:rPr>
        <w:t>wszystkie cytowane powyżej</w:t>
      </w:r>
      <w:r w:rsidR="004B5930" w:rsidRPr="0051003F">
        <w:rPr>
          <w:rFonts w:cs="Times New Roman"/>
          <w:lang w:val="pl-PL"/>
        </w:rPr>
        <w:t>).</w:t>
      </w:r>
    </w:p>
    <w:p w:rsidR="004B5930" w:rsidRPr="0051003F" w:rsidRDefault="004E7908" w:rsidP="00C7545A">
      <w:pPr>
        <w:pStyle w:val="ECHRPara"/>
        <w:rPr>
          <w:rFonts w:cs="Times New Roman"/>
          <w:lang w:val="pl-PL"/>
        </w:rPr>
      </w:pPr>
      <w:r>
        <w:rPr>
          <w:rFonts w:cs="Times New Roman"/>
          <w:lang w:val="pl-PL"/>
        </w:rPr>
        <w:t>141</w:t>
      </w:r>
      <w:r w:rsidR="004B5930" w:rsidRPr="0051003F">
        <w:rPr>
          <w:rFonts w:cs="Times New Roman"/>
          <w:lang w:val="pl-PL"/>
        </w:rPr>
        <w:t>.  </w:t>
      </w:r>
      <w:r w:rsidR="00C7545A" w:rsidRPr="0051003F">
        <w:rPr>
          <w:rFonts w:cs="Times New Roman"/>
          <w:lang w:val="pl-PL"/>
        </w:rPr>
        <w:t xml:space="preserve">Przy zastosowaniu zharmonizowanego podejścia w </w:t>
      </w:r>
      <w:proofErr w:type="spellStart"/>
      <w:r w:rsidR="00C7545A" w:rsidRPr="0051003F">
        <w:rPr>
          <w:rFonts w:cs="Times New Roman"/>
          <w:i/>
          <w:lang w:val="pl-PL"/>
        </w:rPr>
        <w:t>Zołotukhin</w:t>
      </w:r>
      <w:proofErr w:type="spellEnd"/>
      <w:r w:rsidR="00C7545A" w:rsidRPr="0051003F">
        <w:rPr>
          <w:rFonts w:cs="Times New Roman"/>
          <w:i/>
          <w:lang w:val="pl-PL"/>
        </w:rPr>
        <w:t xml:space="preserve"> </w:t>
      </w:r>
      <w:r w:rsidR="00C7545A" w:rsidRPr="0051003F">
        <w:rPr>
          <w:rFonts w:cs="Times New Roman"/>
          <w:lang w:val="pl-PL"/>
        </w:rPr>
        <w:t>(wskazanego powyżej, para</w:t>
      </w:r>
      <w:r>
        <w:rPr>
          <w:rFonts w:cs="Times New Roman"/>
          <w:lang w:val="pl-PL"/>
        </w:rPr>
        <w:t>grafy</w:t>
      </w:r>
      <w:r w:rsidR="00C7545A" w:rsidRPr="0051003F">
        <w:rPr>
          <w:rFonts w:cs="Times New Roman"/>
          <w:lang w:val="pl-PL"/>
        </w:rPr>
        <w:t xml:space="preserve"> 82-84) do okoliczności faktycznych niniejszej sprawy Sąd Najwyższy stwierdził, że okoliczności faktyczne stanowiące podstawę nałożenia kary podatkowej i wyroku skazującego - w tym sensie, że oba dotyczyły zaniechania udzielenia pewnych informacji o dochodach w zeznaniu podatkowym - były wystarczająco podobne, aby spełnić wyżej wymieniony wymóg (zob. para</w:t>
      </w:r>
      <w:r w:rsidR="007A3F8B">
        <w:rPr>
          <w:rFonts w:cs="Times New Roman"/>
          <w:lang w:val="pl-PL"/>
        </w:rPr>
        <w:t>graf</w:t>
      </w:r>
      <w:r w:rsidR="00C7545A" w:rsidRPr="0051003F">
        <w:rPr>
          <w:rFonts w:cs="Times New Roman"/>
          <w:lang w:val="pl-PL"/>
        </w:rPr>
        <w:t xml:space="preserve"> 21). Kwestia ta nie jest kwestionowana przez strony i pomimo istnienia dodatkowego elementu faktycznego, jakim jest nadużycie finansowe popełnione w ramach przestępstwa karnego, Trybunał nie widzi powodu, by rozpatrywać odmienną ocenę</w:t>
      </w:r>
      <w:r w:rsidR="004B5930" w:rsidRPr="0051003F">
        <w:rPr>
          <w:rFonts w:cs="Times New Roman"/>
          <w:lang w:val="pl-PL"/>
        </w:rPr>
        <w:t>.</w:t>
      </w:r>
    </w:p>
    <w:p w:rsidR="004B5930" w:rsidRPr="0051003F" w:rsidRDefault="00DC60CE" w:rsidP="00A7252F">
      <w:pPr>
        <w:pStyle w:val="ECHRHeading6"/>
        <w:rPr>
          <w:lang w:val="pl-PL"/>
        </w:rPr>
      </w:pPr>
      <w:r w:rsidRPr="0051003F">
        <w:rPr>
          <w:lang w:val="pl-PL"/>
        </w:rPr>
        <w:t>(</w:t>
      </w:r>
      <w:r w:rsidR="00CD702B" w:rsidRPr="0051003F">
        <w:rPr>
          <w:lang w:val="pl-PL"/>
        </w:rPr>
        <w:t>γ</w:t>
      </w:r>
      <w:r w:rsidRPr="0051003F">
        <w:rPr>
          <w:lang w:val="pl-PL"/>
        </w:rPr>
        <w:t>)</w:t>
      </w:r>
      <w:r w:rsidR="004B5930" w:rsidRPr="0051003F">
        <w:rPr>
          <w:lang w:val="pl-PL"/>
        </w:rPr>
        <w:t>  </w:t>
      </w:r>
      <w:r w:rsidR="00C7545A" w:rsidRPr="0051003F">
        <w:rPr>
          <w:lang w:val="pl-PL"/>
        </w:rPr>
        <w:t>Czy decyzja była ostateczna?</w:t>
      </w:r>
    </w:p>
    <w:p w:rsidR="00C7545A" w:rsidRPr="0051003F" w:rsidRDefault="007A3F8B" w:rsidP="00C7545A">
      <w:pPr>
        <w:pStyle w:val="ECHRPara"/>
        <w:rPr>
          <w:rFonts w:cs="Times New Roman"/>
          <w:lang w:val="pl-PL"/>
        </w:rPr>
      </w:pPr>
      <w:r>
        <w:rPr>
          <w:rFonts w:cs="Times New Roman"/>
          <w:lang w:val="pl-PL"/>
        </w:rPr>
        <w:t>142</w:t>
      </w:r>
      <w:r w:rsidR="004B5930" w:rsidRPr="0051003F">
        <w:rPr>
          <w:rFonts w:cs="Times New Roman"/>
          <w:lang w:val="pl-PL"/>
        </w:rPr>
        <w:t>.  </w:t>
      </w:r>
      <w:r w:rsidR="00C7545A" w:rsidRPr="0051003F">
        <w:rPr>
          <w:rFonts w:cs="Times New Roman"/>
          <w:lang w:val="pl-PL"/>
        </w:rPr>
        <w:t xml:space="preserve">Jeśli chodzi o kwestię, czy w postępowaniu dotyczącym kary podatkowej miała miejsce „ostateczna” decyzja, która mogłaby potencjalnie uniemożliwić postępowanie karne (zob. cytowany powyżej </w:t>
      </w:r>
      <w:proofErr w:type="spellStart"/>
      <w:r w:rsidR="00C7545A" w:rsidRPr="0051003F">
        <w:rPr>
          <w:rFonts w:cs="Times New Roman"/>
          <w:i/>
          <w:lang w:val="pl-PL"/>
        </w:rPr>
        <w:t>Zołotukhin</w:t>
      </w:r>
      <w:proofErr w:type="spellEnd"/>
      <w:r w:rsidR="00C7545A" w:rsidRPr="0051003F">
        <w:rPr>
          <w:rFonts w:cs="Times New Roman"/>
          <w:lang w:val="pl-PL"/>
        </w:rPr>
        <w:t>, para</w:t>
      </w:r>
      <w:r>
        <w:rPr>
          <w:rFonts w:cs="Times New Roman"/>
          <w:lang w:val="pl-PL"/>
        </w:rPr>
        <w:t>grafy</w:t>
      </w:r>
      <w:r w:rsidR="00C7545A" w:rsidRPr="0051003F">
        <w:rPr>
          <w:rFonts w:cs="Times New Roman"/>
          <w:lang w:val="pl-PL"/>
        </w:rPr>
        <w:t xml:space="preserve"> 107-108), Trybunał odsyła do powyższej analizy. W związku z tym, że na podstawie przeprowadzonej poniżej oceny co do istoty i </w:t>
      </w:r>
      <w:r>
        <w:rPr>
          <w:rFonts w:cs="Times New Roman"/>
          <w:lang w:val="pl-PL"/>
        </w:rPr>
        <w:t>czasu</w:t>
      </w:r>
      <w:r w:rsidR="00C7545A" w:rsidRPr="0051003F">
        <w:rPr>
          <w:rFonts w:cs="Times New Roman"/>
          <w:lang w:val="pl-PL"/>
        </w:rPr>
        <w:t xml:space="preserve"> pomiędzy postępowaniem podatkowym a postępowaniem karnym istniał wystarczający związek, aby można je było uznać za stanowiące zintegrowaną odpowiedź prawną na zachowanie pierwszego ze skarżących, Trybunał nie uznał za konieczne pogłębiani</w:t>
      </w:r>
      <w:r>
        <w:rPr>
          <w:rFonts w:cs="Times New Roman"/>
          <w:lang w:val="pl-PL"/>
        </w:rPr>
        <w:t>a</w:t>
      </w:r>
      <w:r w:rsidR="00C7545A" w:rsidRPr="0051003F">
        <w:rPr>
          <w:rFonts w:cs="Times New Roman"/>
          <w:lang w:val="pl-PL"/>
        </w:rPr>
        <w:t xml:space="preserve"> kwestii zamknięcia postępowania podatkowego rozpatrywanego odrębnie. Jego zdaniem okoliczność, że pierwsze stało się „ostateczne” przed drugim, nie ma </w:t>
      </w:r>
      <w:r w:rsidR="00C7545A" w:rsidRPr="0051003F">
        <w:rPr>
          <w:rFonts w:cs="Times New Roman"/>
          <w:lang w:val="pl-PL"/>
        </w:rPr>
        <w:lastRenderedPageBreak/>
        <w:t>wpływu na przedstawioną poniżej ocenę relacji między nimi (zob. para</w:t>
      </w:r>
      <w:r w:rsidR="007556A0">
        <w:rPr>
          <w:rFonts w:cs="Times New Roman"/>
          <w:lang w:val="pl-PL"/>
        </w:rPr>
        <w:t>graf</w:t>
      </w:r>
      <w:r w:rsidR="00C7545A" w:rsidRPr="0051003F">
        <w:rPr>
          <w:rFonts w:cs="Times New Roman"/>
          <w:lang w:val="pl-PL"/>
        </w:rPr>
        <w:t xml:space="preserve"> 126 powyżej).</w:t>
      </w:r>
    </w:p>
    <w:p w:rsidR="00C7545A" w:rsidRPr="0051003F" w:rsidRDefault="007556A0" w:rsidP="00C7545A">
      <w:pPr>
        <w:pStyle w:val="ECHRPara"/>
        <w:rPr>
          <w:rFonts w:cs="Times New Roman"/>
          <w:lang w:val="pl-PL"/>
        </w:rPr>
      </w:pPr>
      <w:r>
        <w:rPr>
          <w:rFonts w:cs="Times New Roman"/>
          <w:lang w:val="pl-PL"/>
        </w:rPr>
        <w:t>143</w:t>
      </w:r>
      <w:r w:rsidR="004B5930" w:rsidRPr="0051003F">
        <w:rPr>
          <w:rFonts w:cs="Times New Roman"/>
          <w:lang w:val="pl-PL"/>
        </w:rPr>
        <w:t>.  </w:t>
      </w:r>
      <w:r w:rsidR="00C7545A" w:rsidRPr="0051003F">
        <w:rPr>
          <w:rFonts w:cs="Times New Roman"/>
          <w:lang w:val="pl-PL"/>
        </w:rPr>
        <w:t>W związku z tym Trybunał nie widzi potrzeby wyrażania opinii w odniesieniu do badania przez Sąd Najwyższy kwestii, czy pierwsza decyzja z dnia 24 listopada 2008 r</w:t>
      </w:r>
      <w:r>
        <w:rPr>
          <w:rFonts w:cs="Times New Roman"/>
          <w:lang w:val="pl-PL"/>
        </w:rPr>
        <w:t>oku</w:t>
      </w:r>
      <w:r w:rsidR="00C7545A" w:rsidRPr="0051003F">
        <w:rPr>
          <w:rFonts w:cs="Times New Roman"/>
          <w:lang w:val="pl-PL"/>
        </w:rPr>
        <w:t xml:space="preserve"> stała się ostateczna po upływie terminu trzech tygodni na wniesienie odwołania administracyjnego, czy też po upływie sześciomiesięcznego terminu na wniesienie odwołania (zob. para</w:t>
      </w:r>
      <w:r>
        <w:rPr>
          <w:rFonts w:cs="Times New Roman"/>
          <w:lang w:val="pl-PL"/>
        </w:rPr>
        <w:t>graf</w:t>
      </w:r>
      <w:r w:rsidR="00C7545A" w:rsidRPr="0051003F">
        <w:rPr>
          <w:rFonts w:cs="Times New Roman"/>
          <w:lang w:val="pl-PL"/>
        </w:rPr>
        <w:t xml:space="preserve"> 27 powyżej).</w:t>
      </w:r>
    </w:p>
    <w:p w:rsidR="004B5930" w:rsidRPr="0051003F" w:rsidRDefault="004B5930" w:rsidP="00C7545A">
      <w:pPr>
        <w:pStyle w:val="ECHRPara"/>
        <w:rPr>
          <w:rFonts w:cs="Times New Roman"/>
          <w:lang w:val="pl-PL"/>
        </w:rPr>
      </w:pPr>
    </w:p>
    <w:p w:rsidR="004B5930" w:rsidRPr="0051003F" w:rsidRDefault="00E512E8" w:rsidP="00A7252F">
      <w:pPr>
        <w:pStyle w:val="ECHRHeading6"/>
        <w:rPr>
          <w:lang w:val="pl-PL"/>
        </w:rPr>
      </w:pPr>
      <w:r w:rsidRPr="0051003F">
        <w:rPr>
          <w:lang w:val="pl-PL"/>
        </w:rPr>
        <w:t>(</w:t>
      </w:r>
      <w:r w:rsidR="00CD702B" w:rsidRPr="0051003F">
        <w:rPr>
          <w:lang w:val="pl-PL"/>
        </w:rPr>
        <w:t>δ</w:t>
      </w:r>
      <w:r w:rsidRPr="0051003F">
        <w:rPr>
          <w:lang w:val="pl-PL"/>
        </w:rPr>
        <w:t>)</w:t>
      </w:r>
      <w:r w:rsidR="004B5930" w:rsidRPr="0051003F">
        <w:rPr>
          <w:lang w:val="pl-PL"/>
        </w:rPr>
        <w:t>  </w:t>
      </w:r>
      <w:r w:rsidR="00C7545A" w:rsidRPr="0051003F">
        <w:rPr>
          <w:lang w:val="pl-PL"/>
        </w:rPr>
        <w:t>Czy miało miejsce zdublowanie się postępowań</w:t>
      </w:r>
      <w:r w:rsidR="004B5930" w:rsidRPr="0051003F">
        <w:rPr>
          <w:lang w:val="pl-PL"/>
        </w:rPr>
        <w:t xml:space="preserve"> (</w:t>
      </w:r>
      <w:r w:rsidR="004B5930" w:rsidRPr="0051003F">
        <w:rPr>
          <w:i/>
          <w:lang w:val="pl-PL"/>
        </w:rPr>
        <w:t>bis</w:t>
      </w:r>
      <w:r w:rsidR="004B5930" w:rsidRPr="0051003F">
        <w:rPr>
          <w:lang w:val="pl-PL"/>
        </w:rPr>
        <w:t>)</w:t>
      </w:r>
    </w:p>
    <w:p w:rsidR="00C7545A" w:rsidRPr="0051003F" w:rsidRDefault="007556A0" w:rsidP="00C7545A">
      <w:pPr>
        <w:pStyle w:val="ECHRPara"/>
        <w:rPr>
          <w:rFonts w:cs="Times New Roman"/>
          <w:lang w:val="pl-PL"/>
        </w:rPr>
      </w:pPr>
      <w:r>
        <w:rPr>
          <w:rFonts w:cs="Times New Roman"/>
          <w:lang w:val="pl-PL"/>
        </w:rPr>
        <w:t>144</w:t>
      </w:r>
      <w:r w:rsidR="004B5930" w:rsidRPr="0051003F">
        <w:rPr>
          <w:rFonts w:cs="Times New Roman"/>
          <w:lang w:val="pl-PL"/>
        </w:rPr>
        <w:t>.  </w:t>
      </w:r>
      <w:r w:rsidR="00C7545A" w:rsidRPr="0051003F">
        <w:rPr>
          <w:rFonts w:cs="Times New Roman"/>
          <w:lang w:val="pl-PL"/>
        </w:rPr>
        <w:t>Właściwe organy krajowe stwierdziły, że naganne zachowanie pierwszego skarżącego wymagało dwóch odpowiedzi, kary administracyjnej zgodnie z rozdziałem 10 ustawy o karach podatkowych oraz kary karnej zgodnie z rozdziałem 12 ustawy o karze tej samej ustawy (zob. paragrafy 15,16 i 41-43 powyżej), przy czym każda z nich miała inne cele.</w:t>
      </w:r>
    </w:p>
    <w:p w:rsidR="00C7545A" w:rsidRPr="0051003F" w:rsidRDefault="00C7545A" w:rsidP="00DB6A67">
      <w:pPr>
        <w:pStyle w:val="ECHRPara"/>
        <w:ind w:firstLine="0"/>
        <w:rPr>
          <w:rFonts w:cs="Times New Roman"/>
          <w:lang w:val="pl-PL"/>
        </w:rPr>
      </w:pPr>
      <w:r w:rsidRPr="0051003F">
        <w:rPr>
          <w:rFonts w:cs="Times New Roman"/>
          <w:lang w:val="pl-PL"/>
        </w:rPr>
        <w:t>Jak wyjaśnił Sąd Najwyższy w swoich wyrokach z maja 2002 r</w:t>
      </w:r>
      <w:r w:rsidR="00EF6EBD">
        <w:rPr>
          <w:rFonts w:cs="Times New Roman"/>
          <w:lang w:val="pl-PL"/>
        </w:rPr>
        <w:t>oku</w:t>
      </w:r>
      <w:r w:rsidRPr="0051003F">
        <w:rPr>
          <w:rFonts w:cs="Times New Roman"/>
          <w:lang w:val="pl-PL"/>
        </w:rPr>
        <w:t>. (zob. para</w:t>
      </w:r>
      <w:r w:rsidR="00EF6EBD">
        <w:rPr>
          <w:rFonts w:cs="Times New Roman"/>
          <w:lang w:val="pl-PL"/>
        </w:rPr>
        <w:t>graf</w:t>
      </w:r>
      <w:r w:rsidRPr="0051003F">
        <w:rPr>
          <w:rFonts w:cs="Times New Roman"/>
          <w:lang w:val="pl-PL"/>
        </w:rPr>
        <w:t xml:space="preserve"> 46 powyżej), kara administracyjna w postaci dopłaty podatkowej stanowiła ogólny środek odstraszający, jako reakcja na fakt, że podatnik dostarczył, być może </w:t>
      </w:r>
      <w:r w:rsidR="00EF6EBD">
        <w:rPr>
          <w:rFonts w:cs="Times New Roman"/>
          <w:lang w:val="pl-PL"/>
        </w:rPr>
        <w:t>nieumyślnie</w:t>
      </w:r>
      <w:r w:rsidRPr="0051003F">
        <w:rPr>
          <w:rFonts w:cs="Times New Roman"/>
          <w:lang w:val="pl-PL"/>
        </w:rPr>
        <w:t xml:space="preserve">, niepoprawne lub niekompletne deklaracje lub informacje oraz rekompensatę znacznych nakładów pracy i kosztów poniesionych przez organy podatkowe w imieniu społeczności przy przeprowadzaniu kontroli i audytów w celu wykrycia takich wadliwych deklaracji; </w:t>
      </w:r>
      <w:r w:rsidR="008E3774">
        <w:rPr>
          <w:rFonts w:cs="Times New Roman"/>
          <w:lang w:val="pl-PL"/>
        </w:rPr>
        <w:t>uznano</w:t>
      </w:r>
      <w:r w:rsidRPr="0051003F">
        <w:rPr>
          <w:rFonts w:cs="Times New Roman"/>
          <w:lang w:val="pl-PL"/>
        </w:rPr>
        <w:t>, że koszty te powinny być do pewnego stopnia ponoszone przez tych, którzy przedstawili niepełne lub nieprawidłowe informacje. Ocena podatkowa była operacją masową, w którą zaangażowały się miliony obywateli</w:t>
      </w:r>
      <w:r w:rsidR="004B5930" w:rsidRPr="0051003F">
        <w:rPr>
          <w:rFonts w:cs="Times New Roman"/>
          <w:lang w:val="pl-PL"/>
        </w:rPr>
        <w:t xml:space="preserve">. </w:t>
      </w:r>
      <w:r w:rsidRPr="0051003F">
        <w:rPr>
          <w:rFonts w:cs="Times New Roman"/>
          <w:lang w:val="pl-PL"/>
        </w:rPr>
        <w:t>Dla Sądu Najwyższego celem zwykłych kar podatkowych było przede wszystkim zwiększenie skuteczności obowiązku dostarczania przez podatnika kompletnych i prawidłowych informacji oraz zabezpieczenie podstaw krajowego systemu podatkowego, co było warunkiem wstępnym funkcjonowania państwa, a tym samym funkcjonującego społeczeństwa. Z drugiej strony wyrok skazujący na podstawie rozdziału 12, o którym wspomniał Sąd Najwyższy, służył nie tylko jako środek odstraszający, ale miał również cel karny w odniesieniu do tego samego antyspołecznego zaniechania, co wiązało się z dodatkowym elementem popełnienia zawinionego oszustwa.</w:t>
      </w:r>
    </w:p>
    <w:p w:rsidR="00C7545A" w:rsidRPr="0051003F" w:rsidRDefault="008E3774" w:rsidP="00C7545A">
      <w:pPr>
        <w:pStyle w:val="ECHRPara"/>
        <w:rPr>
          <w:rFonts w:cs="Times New Roman"/>
          <w:lang w:val="pl-PL"/>
        </w:rPr>
      </w:pPr>
      <w:r>
        <w:rPr>
          <w:rFonts w:cs="Times New Roman"/>
          <w:lang w:val="pl-PL"/>
        </w:rPr>
        <w:t>145</w:t>
      </w:r>
      <w:r w:rsidR="004B5930" w:rsidRPr="0051003F">
        <w:rPr>
          <w:rFonts w:cs="Times New Roman"/>
          <w:lang w:val="pl-PL"/>
        </w:rPr>
        <w:t>.  </w:t>
      </w:r>
      <w:r w:rsidR="00C7545A" w:rsidRPr="0051003F">
        <w:rPr>
          <w:rFonts w:cs="Times New Roman"/>
          <w:lang w:val="pl-PL"/>
        </w:rPr>
        <w:t>W związku z tym, po przeprowadzeniu kontroli podatkowej w 2005 r. organy podatkowe złożyły jesienią 2007 r</w:t>
      </w:r>
      <w:r>
        <w:rPr>
          <w:rFonts w:cs="Times New Roman"/>
          <w:lang w:val="pl-PL"/>
        </w:rPr>
        <w:t>oku</w:t>
      </w:r>
      <w:r w:rsidR="00C7545A" w:rsidRPr="0051003F">
        <w:rPr>
          <w:rFonts w:cs="Times New Roman"/>
          <w:lang w:val="pl-PL"/>
        </w:rPr>
        <w:t xml:space="preserve"> skargę karną przeciwko pierwszemu </w:t>
      </w:r>
      <w:r w:rsidR="00DB6A67" w:rsidRPr="0051003F">
        <w:rPr>
          <w:rFonts w:cs="Times New Roman"/>
          <w:lang w:val="pl-PL"/>
        </w:rPr>
        <w:t>skarżącemu</w:t>
      </w:r>
      <w:r w:rsidR="00C7545A" w:rsidRPr="0051003F">
        <w:rPr>
          <w:rFonts w:cs="Times New Roman"/>
          <w:lang w:val="pl-PL"/>
        </w:rPr>
        <w:t xml:space="preserve"> wraz z innymi (zob. para</w:t>
      </w:r>
      <w:r w:rsidR="00885092">
        <w:rPr>
          <w:rFonts w:cs="Times New Roman"/>
          <w:lang w:val="pl-PL"/>
        </w:rPr>
        <w:t>graf</w:t>
      </w:r>
      <w:r w:rsidR="00C7545A" w:rsidRPr="0051003F">
        <w:rPr>
          <w:rFonts w:cs="Times New Roman"/>
          <w:lang w:val="pl-PL"/>
        </w:rPr>
        <w:t xml:space="preserve"> 13 powyżej). W grudniu 2007 r</w:t>
      </w:r>
      <w:r w:rsidR="00885092">
        <w:rPr>
          <w:rFonts w:cs="Times New Roman"/>
          <w:lang w:val="pl-PL"/>
        </w:rPr>
        <w:t>oku</w:t>
      </w:r>
      <w:r w:rsidR="00885092" w:rsidRPr="0051003F">
        <w:rPr>
          <w:rFonts w:cs="Times New Roman"/>
          <w:lang w:val="pl-PL"/>
        </w:rPr>
        <w:t xml:space="preserve"> </w:t>
      </w:r>
      <w:r w:rsidR="00C7545A" w:rsidRPr="0051003F">
        <w:rPr>
          <w:rFonts w:cs="Times New Roman"/>
          <w:lang w:val="pl-PL"/>
        </w:rPr>
        <w:t xml:space="preserve">przesłuchano </w:t>
      </w:r>
      <w:r w:rsidR="00885092">
        <w:rPr>
          <w:rFonts w:cs="Times New Roman"/>
          <w:lang w:val="pl-PL"/>
        </w:rPr>
        <w:t xml:space="preserve">skarżącego </w:t>
      </w:r>
      <w:r w:rsidR="00C7545A" w:rsidRPr="0051003F">
        <w:rPr>
          <w:rFonts w:cs="Times New Roman"/>
          <w:lang w:val="pl-PL"/>
        </w:rPr>
        <w:t>jako oskarżonego i przetrzymywano w areszcie przez cztery dni (zob. para</w:t>
      </w:r>
      <w:r w:rsidR="00885092">
        <w:rPr>
          <w:rFonts w:cs="Times New Roman"/>
          <w:lang w:val="pl-PL"/>
        </w:rPr>
        <w:t>graf</w:t>
      </w:r>
      <w:r w:rsidR="00885092" w:rsidRPr="0051003F">
        <w:rPr>
          <w:rFonts w:cs="Times New Roman"/>
          <w:lang w:val="pl-PL"/>
        </w:rPr>
        <w:t xml:space="preserve"> </w:t>
      </w:r>
      <w:r w:rsidR="00C7545A" w:rsidRPr="0051003F">
        <w:rPr>
          <w:rFonts w:cs="Times New Roman"/>
          <w:lang w:val="pl-PL"/>
        </w:rPr>
        <w:t>14 powyżej). Odnosząc się między innymi do dochodzenia karnego, w sierpniu 2008 r</w:t>
      </w:r>
      <w:r w:rsidR="00885092">
        <w:rPr>
          <w:rFonts w:cs="Times New Roman"/>
          <w:lang w:val="pl-PL"/>
        </w:rPr>
        <w:t>oku</w:t>
      </w:r>
      <w:r w:rsidR="00C7545A" w:rsidRPr="0051003F">
        <w:rPr>
          <w:rFonts w:cs="Times New Roman"/>
          <w:lang w:val="pl-PL"/>
        </w:rPr>
        <w:t xml:space="preserve"> organy podatkowe ostrzegły go, że zmienią jego naliczenie podatku, </w:t>
      </w:r>
      <w:r w:rsidR="00C7545A" w:rsidRPr="0051003F">
        <w:rPr>
          <w:rFonts w:cs="Times New Roman"/>
          <w:lang w:val="pl-PL"/>
        </w:rPr>
        <w:lastRenderedPageBreak/>
        <w:t>również w odniesieniu do 2002 r</w:t>
      </w:r>
      <w:r w:rsidR="00885092">
        <w:rPr>
          <w:rFonts w:cs="Times New Roman"/>
          <w:lang w:val="pl-PL"/>
        </w:rPr>
        <w:t>oku</w:t>
      </w:r>
      <w:r w:rsidR="00C7545A" w:rsidRPr="0051003F">
        <w:rPr>
          <w:rFonts w:cs="Times New Roman"/>
          <w:lang w:val="pl-PL"/>
        </w:rPr>
        <w:t xml:space="preserve">, z tego powodu, że </w:t>
      </w:r>
      <w:r w:rsidR="00B66EDA">
        <w:rPr>
          <w:rFonts w:cs="Times New Roman"/>
          <w:lang w:val="pl-PL"/>
        </w:rPr>
        <w:t>nie zadeklarował on</w:t>
      </w:r>
      <w:r w:rsidR="00C7545A" w:rsidRPr="0051003F">
        <w:rPr>
          <w:rFonts w:cs="Times New Roman"/>
          <w:lang w:val="pl-PL"/>
        </w:rPr>
        <w:t xml:space="preserve"> 3.259.341 </w:t>
      </w:r>
      <w:r w:rsidR="00885092">
        <w:rPr>
          <w:rFonts w:cs="Times New Roman"/>
          <w:lang w:val="pl-PL"/>
        </w:rPr>
        <w:t>(</w:t>
      </w:r>
      <w:r w:rsidR="00C7545A" w:rsidRPr="0051003F">
        <w:rPr>
          <w:rFonts w:cs="Times New Roman"/>
          <w:lang w:val="pl-PL"/>
        </w:rPr>
        <w:t>NOK</w:t>
      </w:r>
      <w:r w:rsidR="00885092">
        <w:rPr>
          <w:rFonts w:cs="Times New Roman"/>
          <w:lang w:val="pl-PL"/>
        </w:rPr>
        <w:t>)</w:t>
      </w:r>
      <w:r w:rsidR="00C7545A" w:rsidRPr="0051003F">
        <w:rPr>
          <w:rFonts w:cs="Times New Roman"/>
          <w:lang w:val="pl-PL"/>
        </w:rPr>
        <w:t xml:space="preserve">. Ostrzeżenie to zostało wydane w związku z kontrolą podatkową przeprowadzoną przez organy podatkowe w Software </w:t>
      </w:r>
      <w:proofErr w:type="spellStart"/>
      <w:r w:rsidR="00C7545A" w:rsidRPr="0051003F">
        <w:rPr>
          <w:rFonts w:cs="Times New Roman"/>
          <w:lang w:val="pl-PL"/>
        </w:rPr>
        <w:t>Innovation</w:t>
      </w:r>
      <w:proofErr w:type="spellEnd"/>
      <w:r w:rsidR="00C7545A" w:rsidRPr="0051003F">
        <w:rPr>
          <w:rFonts w:cs="Times New Roman"/>
          <w:lang w:val="pl-PL"/>
        </w:rPr>
        <w:t xml:space="preserve"> AS, wynikającym z niej dochodzeniem karnym oraz dowodami przedstawionymi przez niego w ramach tego postępowania (zob. </w:t>
      </w:r>
      <w:r w:rsidR="009D4F74">
        <w:rPr>
          <w:rFonts w:cs="Times New Roman"/>
          <w:lang w:val="pl-PL"/>
        </w:rPr>
        <w:t>paragraf</w:t>
      </w:r>
      <w:r w:rsidR="00C7545A" w:rsidRPr="0051003F">
        <w:rPr>
          <w:rFonts w:cs="Times New Roman"/>
          <w:lang w:val="pl-PL"/>
        </w:rPr>
        <w:t xml:space="preserve"> 16 powyżej). W październiku 2008 r</w:t>
      </w:r>
      <w:r w:rsidR="009D4F74">
        <w:rPr>
          <w:rFonts w:cs="Times New Roman"/>
          <w:lang w:val="pl-PL"/>
        </w:rPr>
        <w:t>oku</w:t>
      </w:r>
      <w:r w:rsidR="00C7545A" w:rsidRPr="0051003F">
        <w:rPr>
          <w:rFonts w:cs="Times New Roman"/>
          <w:lang w:val="pl-PL"/>
        </w:rPr>
        <w:t xml:space="preserve"> </w:t>
      </w:r>
      <w:proofErr w:type="spellStart"/>
      <w:r w:rsidR="00C7545A" w:rsidRPr="0051003F">
        <w:rPr>
          <w:rFonts w:cs="Times New Roman"/>
          <w:i/>
          <w:lang w:val="pl-PL"/>
        </w:rPr>
        <w:t>Økokrim</w:t>
      </w:r>
      <w:proofErr w:type="spellEnd"/>
      <w:r w:rsidR="00C7545A" w:rsidRPr="0051003F">
        <w:rPr>
          <w:rFonts w:cs="Times New Roman"/>
          <w:lang w:val="pl-PL"/>
        </w:rPr>
        <w:t xml:space="preserve"> postawił skarżące</w:t>
      </w:r>
      <w:r w:rsidR="009D4F74">
        <w:rPr>
          <w:rFonts w:cs="Times New Roman"/>
          <w:lang w:val="pl-PL"/>
        </w:rPr>
        <w:t>go</w:t>
      </w:r>
      <w:r w:rsidR="00C7545A" w:rsidRPr="0051003F">
        <w:rPr>
          <w:rFonts w:cs="Times New Roman"/>
          <w:lang w:val="pl-PL"/>
        </w:rPr>
        <w:t xml:space="preserve"> w stan oskarżenia za przestępstwa podatkowe. W dniu 24 listopada 2008 r</w:t>
      </w:r>
      <w:r w:rsidR="009D4F74">
        <w:rPr>
          <w:rFonts w:cs="Times New Roman"/>
          <w:lang w:val="pl-PL"/>
        </w:rPr>
        <w:t>oku</w:t>
      </w:r>
      <w:r w:rsidR="00C7545A" w:rsidRPr="0051003F">
        <w:rPr>
          <w:rFonts w:cs="Times New Roman"/>
          <w:lang w:val="pl-PL"/>
        </w:rPr>
        <w:t xml:space="preserve"> organy podatkowe zmieniły jego wycenę podatkową i zobowiązały go do zapłaty spornej kary podatkowej. Decyzja ta dotyczyła między innymi dowodów przedstawionych przez </w:t>
      </w:r>
      <w:r w:rsidR="009D4F74">
        <w:rPr>
          <w:rFonts w:cs="Times New Roman"/>
          <w:lang w:val="pl-PL"/>
        </w:rPr>
        <w:t xml:space="preserve">pierwszego i drugiego skarżącego </w:t>
      </w:r>
      <w:r w:rsidR="00C7545A" w:rsidRPr="0051003F">
        <w:rPr>
          <w:rFonts w:cs="Times New Roman"/>
          <w:lang w:val="pl-PL"/>
        </w:rPr>
        <w:t xml:space="preserve">podczas przesłuchań w postępowaniu karnym. Nieco ponad dwa miesiące później, w dniu 2 marca 2009 roku, Sąd Rejonowy skazał </w:t>
      </w:r>
      <w:r w:rsidR="008604E7">
        <w:rPr>
          <w:rFonts w:cs="Times New Roman"/>
          <w:lang w:val="pl-PL"/>
        </w:rPr>
        <w:t>skarżącego</w:t>
      </w:r>
      <w:r w:rsidR="008604E7" w:rsidRPr="0051003F">
        <w:rPr>
          <w:rFonts w:cs="Times New Roman"/>
          <w:lang w:val="pl-PL"/>
        </w:rPr>
        <w:t xml:space="preserve"> </w:t>
      </w:r>
      <w:r w:rsidR="00C7545A" w:rsidRPr="0051003F">
        <w:rPr>
          <w:rFonts w:cs="Times New Roman"/>
          <w:lang w:val="pl-PL"/>
        </w:rPr>
        <w:t xml:space="preserve">za oszustwo podatkowe w związku z niezgłoszeniem tej kwoty w zeznaniu podatkowym za 2002 rok. Trybunał uznał za szczególnie istotne, że przy skazywaniu go na </w:t>
      </w:r>
      <w:r w:rsidR="008604E7">
        <w:rPr>
          <w:rFonts w:cs="Times New Roman"/>
          <w:lang w:val="pl-PL"/>
        </w:rPr>
        <w:t xml:space="preserve">karę jednego roku </w:t>
      </w:r>
      <w:r w:rsidR="008604E7" w:rsidRPr="0051003F">
        <w:rPr>
          <w:rFonts w:cs="Times New Roman"/>
          <w:lang w:val="pl-PL"/>
        </w:rPr>
        <w:t xml:space="preserve"> pozbawieni</w:t>
      </w:r>
      <w:r w:rsidR="008604E7">
        <w:rPr>
          <w:rFonts w:cs="Times New Roman"/>
          <w:lang w:val="pl-PL"/>
        </w:rPr>
        <w:t>a</w:t>
      </w:r>
      <w:r w:rsidR="008604E7" w:rsidRPr="0051003F">
        <w:rPr>
          <w:rFonts w:cs="Times New Roman"/>
          <w:lang w:val="pl-PL"/>
        </w:rPr>
        <w:t xml:space="preserve"> </w:t>
      </w:r>
      <w:r w:rsidR="00C7545A" w:rsidRPr="0051003F">
        <w:rPr>
          <w:rFonts w:cs="Times New Roman"/>
          <w:lang w:val="pl-PL"/>
        </w:rPr>
        <w:t>wolności Sąd Rejonowy, zgodnie z ogólnymi zasadami prawa krajowego dotyczącymi wyroków w sprawach karnych (zob. para</w:t>
      </w:r>
      <w:r w:rsidR="008604E7">
        <w:rPr>
          <w:rFonts w:cs="Times New Roman"/>
          <w:lang w:val="pl-PL"/>
        </w:rPr>
        <w:t>graf</w:t>
      </w:r>
      <w:r w:rsidR="00C7545A" w:rsidRPr="0051003F">
        <w:rPr>
          <w:rFonts w:cs="Times New Roman"/>
          <w:lang w:val="pl-PL"/>
        </w:rPr>
        <w:t xml:space="preserve"> 50 powyżej), wziął pod uwagę fakt, że pierwszy skarżący został już w znacznym stopniu ukarany nałożeniem kary podatkowej (zob. para</w:t>
      </w:r>
      <w:r w:rsidR="008604E7">
        <w:rPr>
          <w:rFonts w:cs="Times New Roman"/>
          <w:lang w:val="pl-PL"/>
        </w:rPr>
        <w:t>graf</w:t>
      </w:r>
      <w:r w:rsidR="00C7545A" w:rsidRPr="0051003F">
        <w:rPr>
          <w:rFonts w:cs="Times New Roman"/>
          <w:lang w:val="pl-PL"/>
        </w:rPr>
        <w:t xml:space="preserve"> 17 powyżej; porównaj i skontrastuj z </w:t>
      </w:r>
      <w:proofErr w:type="spellStart"/>
      <w:r w:rsidR="00C7545A" w:rsidRPr="0051003F">
        <w:rPr>
          <w:rFonts w:cs="Times New Roman"/>
          <w:i/>
          <w:lang w:val="pl-PL"/>
        </w:rPr>
        <w:t>Kapetanios</w:t>
      </w:r>
      <w:proofErr w:type="spellEnd"/>
      <w:r w:rsidR="00C7545A" w:rsidRPr="0051003F">
        <w:rPr>
          <w:rFonts w:cs="Times New Roman"/>
          <w:i/>
          <w:lang w:val="pl-PL"/>
        </w:rPr>
        <w:t xml:space="preserve"> i in</w:t>
      </w:r>
      <w:r w:rsidR="00C7545A" w:rsidRPr="0051003F">
        <w:rPr>
          <w:rFonts w:cs="Times New Roman"/>
          <w:lang w:val="pl-PL"/>
        </w:rPr>
        <w:t>., cytowany powyżej, para</w:t>
      </w:r>
      <w:r w:rsidR="008604E7">
        <w:rPr>
          <w:rFonts w:cs="Times New Roman"/>
          <w:lang w:val="pl-PL"/>
        </w:rPr>
        <w:t>graf</w:t>
      </w:r>
      <w:r w:rsidR="00C7545A" w:rsidRPr="0051003F">
        <w:rPr>
          <w:rFonts w:cs="Times New Roman"/>
          <w:lang w:val="pl-PL"/>
        </w:rPr>
        <w:t xml:space="preserve"> 66), w którym sądy administracyjne nakładające kary administracyjne nie uwzględniły okoliczności uniewinniających skarżących w poprzednim postępowaniu karnym dotyczącym tego samego zachowania, a także cytowany powyżej </w:t>
      </w:r>
      <w:proofErr w:type="spellStart"/>
      <w:r w:rsidR="00C7545A" w:rsidRPr="0051003F">
        <w:rPr>
          <w:rFonts w:cs="Times New Roman"/>
          <w:i/>
          <w:lang w:val="pl-PL"/>
        </w:rPr>
        <w:t>Nykänen</w:t>
      </w:r>
      <w:proofErr w:type="spellEnd"/>
      <w:r w:rsidR="00C7545A" w:rsidRPr="0051003F">
        <w:rPr>
          <w:rFonts w:cs="Times New Roman"/>
          <w:lang w:val="pl-PL"/>
        </w:rPr>
        <w:t>, w którym stwierdzono brak wystarczającego związku merytorycznego między tymi dwoma postępowaniami).</w:t>
      </w:r>
    </w:p>
    <w:p w:rsidR="00214229" w:rsidRPr="0051003F" w:rsidRDefault="008B65F1" w:rsidP="00C7545A">
      <w:pPr>
        <w:pStyle w:val="ECHRPara"/>
        <w:rPr>
          <w:rFonts w:cs="Times New Roman"/>
          <w:lang w:val="pl-PL"/>
        </w:rPr>
      </w:pPr>
      <w:r>
        <w:rPr>
          <w:rFonts w:cs="Times New Roman"/>
          <w:lang w:val="pl-PL"/>
        </w:rPr>
        <w:t>146</w:t>
      </w:r>
      <w:r w:rsidR="004B5930" w:rsidRPr="0051003F">
        <w:rPr>
          <w:rFonts w:cs="Times New Roman"/>
          <w:lang w:val="pl-PL"/>
        </w:rPr>
        <w:t>.  </w:t>
      </w:r>
      <w:r w:rsidR="00C7545A" w:rsidRPr="0051003F">
        <w:rPr>
          <w:rFonts w:cs="Times New Roman"/>
          <w:lang w:val="pl-PL"/>
        </w:rPr>
        <w:t xml:space="preserve">W tych okolicznościach Trybunał </w:t>
      </w:r>
      <w:r w:rsidR="008514F6">
        <w:rPr>
          <w:rFonts w:cs="Times New Roman"/>
          <w:lang w:val="pl-PL"/>
        </w:rPr>
        <w:t>nie ma podstaw, by podważać powody</w:t>
      </w:r>
      <w:r w:rsidR="00C7545A" w:rsidRPr="0051003F">
        <w:rPr>
          <w:rFonts w:cs="Times New Roman"/>
          <w:lang w:val="pl-PL"/>
        </w:rPr>
        <w:t>, dla których ustawodawca norweski zdecydował się na uregulowanie społecznie niepożądanego zachowania w zakresie niepłacenia podatków w ramach zintegrowanego podwójnego postępowania (administracyjnego/ kryminalnego), ani powody, dla których właściwe władze norweskie wybrały w przypadku pierwsze</w:t>
      </w:r>
      <w:r>
        <w:rPr>
          <w:rFonts w:cs="Times New Roman"/>
          <w:lang w:val="pl-PL"/>
        </w:rPr>
        <w:t>go</w:t>
      </w:r>
      <w:r w:rsidR="00C7545A" w:rsidRPr="0051003F">
        <w:rPr>
          <w:rFonts w:cs="Times New Roman"/>
          <w:lang w:val="pl-PL"/>
        </w:rPr>
        <w:t xml:space="preserve"> ze skarżących do odrębnego rozpatrzenia poważniejszego i społecznie karygodnego aspektu oszustwa w postępowaniu karnym, a nie w zwykłym postępowaniu administracyjnym.</w:t>
      </w:r>
    </w:p>
    <w:p w:rsidR="003F1BAF" w:rsidRPr="0051003F" w:rsidRDefault="00EA05C0" w:rsidP="003F1BAF">
      <w:pPr>
        <w:pStyle w:val="ECHRPara"/>
        <w:rPr>
          <w:rFonts w:cs="Times New Roman"/>
          <w:lang w:val="pl-PL"/>
        </w:rPr>
      </w:pPr>
      <w:r w:rsidRPr="00EA05C0">
        <w:rPr>
          <w:rFonts w:cs="Times New Roman"/>
          <w:lang w:val="pl-PL"/>
        </w:rPr>
        <w:t xml:space="preserve">Po drugie, prowadzenie podwójnego postępowania, z możliwością różnych kumulowanych kar, było możliwe do przewidzenia dla wnioskodawcy, który od początku wiedział, że postępowanie karne, a także nałożenie kar podatkowych było możliwe, a nawet prawdopodobne, </w:t>
      </w:r>
      <w:r>
        <w:rPr>
          <w:rFonts w:cs="Times New Roman"/>
          <w:lang w:val="pl-PL"/>
        </w:rPr>
        <w:t xml:space="preserve">w </w:t>
      </w:r>
      <w:proofErr w:type="spellStart"/>
      <w:r>
        <w:rPr>
          <w:rFonts w:cs="Times New Roman"/>
          <w:lang w:val="pl-PL"/>
        </w:rPr>
        <w:t>danych</w:t>
      </w:r>
      <w:r w:rsidR="003F1BAF" w:rsidRPr="0051003F">
        <w:rPr>
          <w:rFonts w:cs="Times New Roman"/>
          <w:lang w:val="pl-PL"/>
        </w:rPr>
        <w:t>okoliczności</w:t>
      </w:r>
      <w:r>
        <w:rPr>
          <w:rFonts w:cs="Times New Roman"/>
          <w:lang w:val="pl-PL"/>
        </w:rPr>
        <w:t>ach</w:t>
      </w:r>
      <w:proofErr w:type="spellEnd"/>
      <w:r w:rsidR="003F1BAF" w:rsidRPr="0051003F">
        <w:rPr>
          <w:rFonts w:cs="Times New Roman"/>
          <w:lang w:val="pl-PL"/>
        </w:rPr>
        <w:t xml:space="preserve"> faktycznych sprawy (zob. paragrafy 13 i 16 powyżej).</w:t>
      </w:r>
    </w:p>
    <w:p w:rsidR="003F1BAF" w:rsidRPr="0051003F" w:rsidRDefault="00C7545A" w:rsidP="003F1BAF">
      <w:pPr>
        <w:pStyle w:val="ECHRPara"/>
        <w:rPr>
          <w:rFonts w:cs="Times New Roman"/>
          <w:lang w:val="pl-PL"/>
        </w:rPr>
      </w:pPr>
      <w:r w:rsidRPr="0051003F">
        <w:rPr>
          <w:rFonts w:cs="Times New Roman"/>
          <w:lang w:val="pl-PL"/>
        </w:rPr>
        <w:t xml:space="preserve">Po </w:t>
      </w:r>
      <w:r w:rsidR="003F1BAF" w:rsidRPr="0051003F">
        <w:rPr>
          <w:rFonts w:cs="Times New Roman"/>
          <w:lang w:val="pl-PL"/>
        </w:rPr>
        <w:t>trzecie, wydaje się oczywiste, że, jak orzekł Sąd Najwyższy, postępowanie karne i administracyjne toczyło się równolegle i było wzajemnie powiązane (zob. para</w:t>
      </w:r>
      <w:r w:rsidR="00EA05C0">
        <w:rPr>
          <w:rFonts w:cs="Times New Roman"/>
          <w:lang w:val="pl-PL"/>
        </w:rPr>
        <w:t>graf</w:t>
      </w:r>
      <w:r w:rsidR="003F1BAF" w:rsidRPr="0051003F">
        <w:rPr>
          <w:rFonts w:cs="Times New Roman"/>
          <w:lang w:val="pl-PL"/>
        </w:rPr>
        <w:t xml:space="preserve"> 29 powyżej). Ustalenia faktów dokonane w jednym zestawie wykorzystano w drugim zestawie, a jeśli </w:t>
      </w:r>
      <w:r w:rsidR="003F1BAF" w:rsidRPr="0051003F">
        <w:rPr>
          <w:rFonts w:cs="Times New Roman"/>
          <w:lang w:val="pl-PL"/>
        </w:rPr>
        <w:lastRenderedPageBreak/>
        <w:t>chodzi o proporcjonalność ogólnej wymierzonej kary, kara nałożona w procesie karnym uwzględniała karę podatkową (zob. para</w:t>
      </w:r>
      <w:r w:rsidR="00EA05C0">
        <w:rPr>
          <w:rFonts w:cs="Times New Roman"/>
          <w:lang w:val="pl-PL"/>
        </w:rPr>
        <w:t>graf</w:t>
      </w:r>
      <w:r w:rsidR="003F1BAF" w:rsidRPr="0051003F">
        <w:rPr>
          <w:rFonts w:cs="Times New Roman"/>
          <w:lang w:val="pl-PL"/>
        </w:rPr>
        <w:t xml:space="preserve"> 17 powyżej).</w:t>
      </w:r>
    </w:p>
    <w:p w:rsidR="003F1BAF" w:rsidRPr="0051003F" w:rsidRDefault="00767F53" w:rsidP="003F1BAF">
      <w:pPr>
        <w:pStyle w:val="ECHRPara"/>
        <w:rPr>
          <w:rFonts w:cs="Times New Roman"/>
          <w:lang w:val="pl-PL"/>
        </w:rPr>
      </w:pPr>
      <w:r>
        <w:rPr>
          <w:rFonts w:cs="Times New Roman"/>
          <w:lang w:val="pl-PL"/>
        </w:rPr>
        <w:t>147.</w:t>
      </w:r>
      <w:r w:rsidR="00E9578F" w:rsidRPr="0051003F">
        <w:rPr>
          <w:rFonts w:cs="Times New Roman"/>
          <w:lang w:val="pl-PL"/>
        </w:rPr>
        <w:t> </w:t>
      </w:r>
      <w:r w:rsidR="00E9578F" w:rsidRPr="0051003F">
        <w:rPr>
          <w:rFonts w:cs="Times New Roman"/>
          <w:b/>
          <w:lang w:val="pl-PL"/>
        </w:rPr>
        <w:t> </w:t>
      </w:r>
      <w:bookmarkStart w:id="177" w:name="_Toc466904332"/>
      <w:bookmarkStart w:id="178" w:name="_Toc466972351"/>
      <w:bookmarkStart w:id="179" w:name="_Toc466972862"/>
      <w:bookmarkStart w:id="180" w:name="_Toc466974278"/>
      <w:bookmarkStart w:id="181" w:name="_Toc473801913"/>
      <w:r w:rsidR="003F1BAF" w:rsidRPr="0051003F">
        <w:rPr>
          <w:rFonts w:cs="Times New Roman"/>
          <w:lang w:val="pl-PL"/>
        </w:rPr>
        <w:t>W odniesieniu do rozpatrywanego stanu faktycznego Trybunał nie stwierdził, by pierwsz</w:t>
      </w:r>
      <w:r w:rsidR="00FA1278">
        <w:rPr>
          <w:rFonts w:cs="Times New Roman"/>
          <w:lang w:val="pl-PL"/>
        </w:rPr>
        <w:t>y</w:t>
      </w:r>
      <w:r w:rsidR="003F1BAF" w:rsidRPr="0051003F">
        <w:rPr>
          <w:rFonts w:cs="Times New Roman"/>
          <w:lang w:val="pl-PL"/>
        </w:rPr>
        <w:t xml:space="preserve"> ze skarżących </w:t>
      </w:r>
      <w:r w:rsidR="00FA1278">
        <w:rPr>
          <w:rFonts w:cs="Times New Roman"/>
          <w:lang w:val="pl-PL"/>
        </w:rPr>
        <w:t>poniósł</w:t>
      </w:r>
      <w:r w:rsidR="00FA1278" w:rsidRPr="0051003F">
        <w:rPr>
          <w:rFonts w:cs="Times New Roman"/>
          <w:lang w:val="pl-PL"/>
        </w:rPr>
        <w:t xml:space="preserve"> </w:t>
      </w:r>
      <w:r w:rsidR="003F1BAF" w:rsidRPr="0051003F">
        <w:rPr>
          <w:rFonts w:cs="Times New Roman"/>
          <w:lang w:val="pl-PL"/>
        </w:rPr>
        <w:t>niewspółmierną szkodę lub krzywdę w wyniku kwestionowanej, zintegrowanej reakcji prawnej na brak deklaracji dochodów i podatków. W związku z tym, uwzględniając uwagi przedstawione powyżej (w szczególności, jak podsumowano w paragrafach 132-134), Trybunał jest przekonany, że chociaż dwa różne organy administracyjne nakładały różne sankcje w różnych postępowaniach, istniał między nimi jednak wystarczająco ścisły związek, zarówno pod względem merytorycznym, jak i czasowym, aby uznać je za część integralnego systemu sankcji w ramach prawa norweskiego za niedostarczenie informacji o określonych dochodach w zeznaniu podatkowym, wraz z wynikającym z tego brakiem w ocenie podatkowej (zob. para</w:t>
      </w:r>
      <w:r w:rsidR="00721559">
        <w:rPr>
          <w:rFonts w:cs="Times New Roman"/>
          <w:lang w:val="pl-PL"/>
        </w:rPr>
        <w:t>graf</w:t>
      </w:r>
      <w:r w:rsidR="003F1BAF" w:rsidRPr="0051003F">
        <w:rPr>
          <w:rFonts w:cs="Times New Roman"/>
          <w:lang w:val="pl-PL"/>
        </w:rPr>
        <w:t xml:space="preserve"> 21 powyżej).</w:t>
      </w:r>
    </w:p>
    <w:p w:rsidR="003F1BAF" w:rsidRPr="0051003F" w:rsidRDefault="003F1BAF" w:rsidP="003F1BAF">
      <w:pPr>
        <w:pStyle w:val="ECHRPara"/>
        <w:rPr>
          <w:rFonts w:cs="Times New Roman"/>
          <w:lang w:val="pl-PL"/>
        </w:rPr>
      </w:pPr>
    </w:p>
    <w:p w:rsidR="004B5930" w:rsidRPr="0051003F" w:rsidRDefault="004B5930" w:rsidP="003F1BAF">
      <w:pPr>
        <w:pStyle w:val="ECHRPara"/>
        <w:rPr>
          <w:i/>
          <w:szCs w:val="24"/>
          <w:lang w:val="pl-PL"/>
        </w:rPr>
      </w:pPr>
      <w:r w:rsidRPr="0051003F">
        <w:rPr>
          <w:i/>
          <w:szCs w:val="24"/>
          <w:lang w:val="pl-PL"/>
        </w:rPr>
        <w:t>(</w:t>
      </w:r>
      <w:r w:rsidR="00C0565E" w:rsidRPr="0051003F">
        <w:rPr>
          <w:i/>
          <w:szCs w:val="24"/>
          <w:lang w:val="pl-PL"/>
        </w:rPr>
        <w:t>i</w:t>
      </w:r>
      <w:r w:rsidR="00B03D9D" w:rsidRPr="0051003F">
        <w:rPr>
          <w:i/>
          <w:szCs w:val="24"/>
          <w:lang w:val="pl-PL"/>
        </w:rPr>
        <w:t>i</w:t>
      </w:r>
      <w:r w:rsidRPr="0051003F">
        <w:rPr>
          <w:i/>
          <w:szCs w:val="24"/>
          <w:lang w:val="pl-PL"/>
        </w:rPr>
        <w:t>)  </w:t>
      </w:r>
      <w:bookmarkEnd w:id="177"/>
      <w:bookmarkEnd w:id="178"/>
      <w:bookmarkEnd w:id="179"/>
      <w:bookmarkEnd w:id="180"/>
      <w:bookmarkEnd w:id="181"/>
      <w:r w:rsidR="00051B5A" w:rsidRPr="0051003F">
        <w:rPr>
          <w:i/>
          <w:szCs w:val="24"/>
          <w:lang w:val="pl-PL"/>
        </w:rPr>
        <w:t>Drugi skarżący</w:t>
      </w:r>
    </w:p>
    <w:p w:rsidR="003F1BAF" w:rsidRPr="0051003F" w:rsidRDefault="003F1BAF" w:rsidP="003F1BAF">
      <w:pPr>
        <w:pStyle w:val="ECHRPara"/>
        <w:rPr>
          <w:i/>
          <w:szCs w:val="24"/>
          <w:lang w:val="pl-PL"/>
        </w:rPr>
      </w:pPr>
    </w:p>
    <w:p w:rsidR="00051B5A" w:rsidRPr="0051003F" w:rsidRDefault="00721559" w:rsidP="00051B5A">
      <w:pPr>
        <w:pStyle w:val="ECHRPara"/>
        <w:rPr>
          <w:lang w:val="pl-PL"/>
        </w:rPr>
      </w:pPr>
      <w:r>
        <w:rPr>
          <w:lang w:val="pl-PL"/>
        </w:rPr>
        <w:t>148</w:t>
      </w:r>
      <w:r w:rsidR="004B5930" w:rsidRPr="0051003F">
        <w:rPr>
          <w:lang w:val="pl-PL"/>
        </w:rPr>
        <w:t>.  </w:t>
      </w:r>
      <w:r w:rsidR="00051B5A" w:rsidRPr="0051003F">
        <w:rPr>
          <w:lang w:val="pl-PL"/>
        </w:rPr>
        <w:t>W odniesieniu do drugiego ze skarżących Sąd Apelacyjny, powołując się na to samo podejście, jakie zastosował Sąd Najwyższy w sprawie pierwszego ze skarżących, stwierdził po pierwsze, że decyzja organów podatkowych z dnia 5 grudnia 2008 r</w:t>
      </w:r>
      <w:r>
        <w:rPr>
          <w:lang w:val="pl-PL"/>
        </w:rPr>
        <w:t>oku</w:t>
      </w:r>
      <w:r w:rsidR="00051B5A" w:rsidRPr="0051003F">
        <w:rPr>
          <w:lang w:val="pl-PL"/>
        </w:rPr>
        <w:t xml:space="preserve"> nakazująca</w:t>
      </w:r>
      <w:r w:rsidR="00DB6A67">
        <w:rPr>
          <w:lang w:val="pl-PL"/>
        </w:rPr>
        <w:t xml:space="preserve"> </w:t>
      </w:r>
      <w:r w:rsidR="00051B5A" w:rsidRPr="0051003F">
        <w:rPr>
          <w:lang w:val="pl-PL"/>
        </w:rPr>
        <w:t>zapłatę kary podatkowej w wysokości 30 % stanowi nałożenie kary  w</w:t>
      </w:r>
      <w:r w:rsidR="00DB6A67">
        <w:rPr>
          <w:lang w:val="pl-PL"/>
        </w:rPr>
        <w:t xml:space="preserve"> rozumieniu art. 4 Protokołu </w:t>
      </w:r>
      <w:r>
        <w:rPr>
          <w:lang w:val="pl-PL"/>
        </w:rPr>
        <w:t>n</w:t>
      </w:r>
      <w:r w:rsidR="00DB6A67">
        <w:rPr>
          <w:lang w:val="pl-PL"/>
        </w:rPr>
        <w:t>r</w:t>
      </w:r>
      <w:r w:rsidR="00051B5A" w:rsidRPr="0051003F">
        <w:rPr>
          <w:lang w:val="pl-PL"/>
        </w:rPr>
        <w:t xml:space="preserve"> 7; po drugie, że decyzja stała się „ostateczna” z chwilą upływu terminu do wniesienia odwołania w dniu 26 grudnia 2008 r</w:t>
      </w:r>
      <w:r>
        <w:rPr>
          <w:lang w:val="pl-PL"/>
        </w:rPr>
        <w:t>oku</w:t>
      </w:r>
      <w:r w:rsidR="00051B5A" w:rsidRPr="0051003F">
        <w:rPr>
          <w:lang w:val="pl-PL"/>
        </w:rPr>
        <w:t xml:space="preserve">; oraz po trzecie, że decyzja w sprawie kary podatkowej i następującego po niej wyroku skazującego dotyczyła tej samej kwestii (zob. </w:t>
      </w:r>
      <w:r>
        <w:rPr>
          <w:lang w:val="pl-PL"/>
        </w:rPr>
        <w:t>paragraf</w:t>
      </w:r>
      <w:r w:rsidRPr="0051003F">
        <w:rPr>
          <w:lang w:val="pl-PL"/>
        </w:rPr>
        <w:t xml:space="preserve"> </w:t>
      </w:r>
      <w:r w:rsidR="00051B5A" w:rsidRPr="0051003F">
        <w:rPr>
          <w:lang w:val="pl-PL"/>
        </w:rPr>
        <w:t>37 powyżej). Sąd, podobnie jak w przypadku pierwszego ze skarżących, nie widzi powodu do wyciągnięcia innego wniosku w pierwszej i trzeciej kwestii ani potrzeby wypowiedzenia się w przedmiocie drugiej.</w:t>
      </w:r>
    </w:p>
    <w:p w:rsidR="00051B5A" w:rsidRPr="0051003F" w:rsidRDefault="00721559" w:rsidP="00051B5A">
      <w:pPr>
        <w:pStyle w:val="ECHRPara"/>
        <w:rPr>
          <w:rFonts w:cs="Times New Roman"/>
          <w:lang w:val="pl-PL"/>
        </w:rPr>
      </w:pPr>
      <w:r>
        <w:rPr>
          <w:rFonts w:cs="Times New Roman"/>
          <w:lang w:val="pl-PL"/>
        </w:rPr>
        <w:t>149</w:t>
      </w:r>
      <w:r w:rsidR="004B5930" w:rsidRPr="0051003F">
        <w:rPr>
          <w:rFonts w:cs="Times New Roman"/>
          <w:lang w:val="pl-PL"/>
        </w:rPr>
        <w:t>.  </w:t>
      </w:r>
      <w:r w:rsidR="00051B5A" w:rsidRPr="0051003F">
        <w:rPr>
          <w:rFonts w:cs="Times New Roman"/>
          <w:lang w:val="pl-PL"/>
        </w:rPr>
        <w:t xml:space="preserve">Jeśli chodzi o dalsze pytanie, czy doszło do powielania postępowania </w:t>
      </w:r>
      <w:r w:rsidR="00051B5A" w:rsidRPr="0051003F">
        <w:rPr>
          <w:rFonts w:cs="Times New Roman"/>
          <w:i/>
          <w:lang w:val="pl-PL"/>
        </w:rPr>
        <w:t>(bis),</w:t>
      </w:r>
      <w:r w:rsidR="00051B5A" w:rsidRPr="0051003F">
        <w:rPr>
          <w:rFonts w:cs="Times New Roman"/>
          <w:lang w:val="pl-PL"/>
        </w:rPr>
        <w:t xml:space="preserve"> </w:t>
      </w:r>
      <w:r w:rsidR="00CA3B32">
        <w:rPr>
          <w:rFonts w:cs="Times New Roman"/>
          <w:lang w:val="pl-PL"/>
        </w:rPr>
        <w:t>co</w:t>
      </w:r>
      <w:r w:rsidR="00CA3B32" w:rsidRPr="0051003F">
        <w:rPr>
          <w:rFonts w:cs="Times New Roman"/>
          <w:lang w:val="pl-PL"/>
        </w:rPr>
        <w:t xml:space="preserve"> </w:t>
      </w:r>
      <w:r w:rsidR="00051B5A" w:rsidRPr="0051003F">
        <w:rPr>
          <w:rFonts w:cs="Times New Roman"/>
          <w:lang w:val="pl-PL"/>
        </w:rPr>
        <w:t xml:space="preserve">było niezgodne z </w:t>
      </w:r>
      <w:r w:rsidR="00CA3B32">
        <w:rPr>
          <w:rFonts w:cs="Times New Roman"/>
          <w:lang w:val="pl-PL"/>
        </w:rPr>
        <w:t>P</w:t>
      </w:r>
      <w:r w:rsidR="00051B5A" w:rsidRPr="0051003F">
        <w:rPr>
          <w:rFonts w:cs="Times New Roman"/>
          <w:lang w:val="pl-PL"/>
        </w:rPr>
        <w:t>rotokołem, Trybunał przypomniał, że właściwe organy, podobnie jak w przypadku pierwszego skarżącego (zob. para</w:t>
      </w:r>
      <w:r w:rsidR="00CA3B32">
        <w:rPr>
          <w:rFonts w:cs="Times New Roman"/>
          <w:lang w:val="pl-PL"/>
        </w:rPr>
        <w:t>graf</w:t>
      </w:r>
      <w:r w:rsidR="00051B5A" w:rsidRPr="0051003F">
        <w:rPr>
          <w:rFonts w:cs="Times New Roman"/>
          <w:lang w:val="pl-PL"/>
        </w:rPr>
        <w:t xml:space="preserve"> 144 powyżej), uznały, że podwójne postępowanie było uzasadnione w sprawie drugiego skarżącego.</w:t>
      </w:r>
    </w:p>
    <w:p w:rsidR="00051B5A" w:rsidRPr="0051003F" w:rsidRDefault="00CA3B32" w:rsidP="00051B5A">
      <w:pPr>
        <w:pStyle w:val="ECHRPara"/>
        <w:rPr>
          <w:rFonts w:cs="Times New Roman"/>
          <w:lang w:val="pl-PL"/>
        </w:rPr>
      </w:pPr>
      <w:r>
        <w:rPr>
          <w:rFonts w:cs="Times New Roman"/>
          <w:lang w:val="pl-PL"/>
        </w:rPr>
        <w:t>150</w:t>
      </w:r>
      <w:r w:rsidR="004B5930" w:rsidRPr="0051003F">
        <w:rPr>
          <w:rFonts w:cs="Times New Roman"/>
          <w:lang w:val="pl-PL"/>
        </w:rPr>
        <w:t>.  </w:t>
      </w:r>
      <w:r w:rsidR="00051B5A" w:rsidRPr="0051003F">
        <w:rPr>
          <w:rFonts w:cs="Times New Roman"/>
          <w:lang w:val="pl-PL"/>
        </w:rPr>
        <w:t>Jeśli chodzi o szczegóły dotyczące przedmiotowego postępowania, po przeprowadzeniu kontroli podatkowej w 2005 r</w:t>
      </w:r>
      <w:r>
        <w:rPr>
          <w:rFonts w:cs="Times New Roman"/>
          <w:lang w:val="pl-PL"/>
        </w:rPr>
        <w:t>oku</w:t>
      </w:r>
      <w:r w:rsidR="00051B5A" w:rsidRPr="0051003F">
        <w:rPr>
          <w:rFonts w:cs="Times New Roman"/>
          <w:lang w:val="pl-PL"/>
        </w:rPr>
        <w:t xml:space="preserve"> organy podatkowe złożyły jesienią 2007 r</w:t>
      </w:r>
      <w:r>
        <w:rPr>
          <w:rFonts w:cs="Times New Roman"/>
          <w:lang w:val="pl-PL"/>
        </w:rPr>
        <w:t>oku</w:t>
      </w:r>
      <w:r w:rsidR="00051B5A" w:rsidRPr="0051003F">
        <w:rPr>
          <w:rFonts w:cs="Times New Roman"/>
          <w:lang w:val="pl-PL"/>
        </w:rPr>
        <w:t xml:space="preserve"> skargę karną do </w:t>
      </w:r>
      <w:proofErr w:type="spellStart"/>
      <w:r w:rsidR="00051B5A" w:rsidRPr="0051003F">
        <w:rPr>
          <w:rFonts w:cs="Times New Roman"/>
          <w:i/>
          <w:lang w:val="pl-PL"/>
        </w:rPr>
        <w:t>Økokrim</w:t>
      </w:r>
      <w:proofErr w:type="spellEnd"/>
      <w:r w:rsidR="00051B5A" w:rsidRPr="0051003F">
        <w:rPr>
          <w:rFonts w:cs="Times New Roman"/>
          <w:lang w:val="pl-PL"/>
        </w:rPr>
        <w:t xml:space="preserve"> przeciwko drugiemu skarżącemu (jak również przeciwko pierwszemu skarżącemu i innym) w związku z niezgłoszeniem przez niego 4.561.881 koron norweskich (około 500.000 </w:t>
      </w:r>
      <w:r w:rsidR="00DB6A67">
        <w:rPr>
          <w:rFonts w:cs="Times New Roman"/>
          <w:lang w:val="pl-PL"/>
        </w:rPr>
        <w:t>EUR</w:t>
      </w:r>
      <w:r w:rsidR="00051B5A" w:rsidRPr="0051003F">
        <w:rPr>
          <w:rFonts w:cs="Times New Roman"/>
          <w:lang w:val="pl-PL"/>
        </w:rPr>
        <w:t xml:space="preserve">) dochodu za rok podatkowy 2002 (zob. </w:t>
      </w:r>
      <w:r>
        <w:rPr>
          <w:rFonts w:cs="Times New Roman"/>
          <w:lang w:val="pl-PL"/>
        </w:rPr>
        <w:t>paragraf</w:t>
      </w:r>
      <w:r w:rsidR="00051B5A" w:rsidRPr="0051003F">
        <w:rPr>
          <w:rFonts w:cs="Times New Roman"/>
          <w:lang w:val="pl-PL"/>
        </w:rPr>
        <w:t xml:space="preserve"> 31 powyżej). Odnosząc się w szczególności do kontroli podatkowej, dowodów przedstawionych przez </w:t>
      </w:r>
      <w:r>
        <w:rPr>
          <w:rFonts w:cs="Times New Roman"/>
          <w:lang w:val="pl-PL"/>
        </w:rPr>
        <w:t>nią</w:t>
      </w:r>
      <w:r w:rsidRPr="0051003F">
        <w:rPr>
          <w:rFonts w:cs="Times New Roman"/>
          <w:lang w:val="pl-PL"/>
        </w:rPr>
        <w:t xml:space="preserve"> </w:t>
      </w:r>
      <w:r w:rsidR="00051B5A" w:rsidRPr="0051003F">
        <w:rPr>
          <w:rFonts w:cs="Times New Roman"/>
          <w:lang w:val="pl-PL"/>
        </w:rPr>
        <w:t xml:space="preserve">w trakcie odpowiedniego dochodzenia karnego oraz dokumentów zajętych przez </w:t>
      </w:r>
      <w:proofErr w:type="spellStart"/>
      <w:r w:rsidR="00051B5A" w:rsidRPr="0051003F">
        <w:rPr>
          <w:rFonts w:cs="Times New Roman"/>
          <w:i/>
          <w:lang w:val="pl-PL"/>
        </w:rPr>
        <w:t>Økokrim</w:t>
      </w:r>
      <w:proofErr w:type="spellEnd"/>
      <w:r w:rsidR="00051B5A" w:rsidRPr="0051003F">
        <w:rPr>
          <w:rFonts w:cs="Times New Roman"/>
          <w:lang w:val="pl-PL"/>
        </w:rPr>
        <w:t xml:space="preserve"> w trakcie dochodzenia z dnia 16 października 2008 r</w:t>
      </w:r>
      <w:r>
        <w:rPr>
          <w:rFonts w:cs="Times New Roman"/>
          <w:lang w:val="pl-PL"/>
        </w:rPr>
        <w:t>oku</w:t>
      </w:r>
      <w:r w:rsidR="00051B5A" w:rsidRPr="0051003F">
        <w:rPr>
          <w:rFonts w:cs="Times New Roman"/>
          <w:lang w:val="pl-PL"/>
        </w:rPr>
        <w:t>, organy podatkowe ostrzegły go, że rozważ</w:t>
      </w:r>
      <w:r>
        <w:rPr>
          <w:rFonts w:cs="Times New Roman"/>
          <w:lang w:val="pl-PL"/>
        </w:rPr>
        <w:t>ą</w:t>
      </w:r>
      <w:r w:rsidR="00051B5A" w:rsidRPr="0051003F">
        <w:rPr>
          <w:rFonts w:cs="Times New Roman"/>
          <w:lang w:val="pl-PL"/>
        </w:rPr>
        <w:t xml:space="preserve"> zmianę </w:t>
      </w:r>
      <w:r w:rsidR="00051B5A" w:rsidRPr="0051003F">
        <w:rPr>
          <w:rFonts w:cs="Times New Roman"/>
          <w:lang w:val="pl-PL"/>
        </w:rPr>
        <w:lastRenderedPageBreak/>
        <w:t xml:space="preserve">wymiaru podatku na tej podstawie, że nie zadeklarował </w:t>
      </w:r>
      <w:r w:rsidR="00C24C3B">
        <w:rPr>
          <w:rFonts w:cs="Times New Roman"/>
          <w:lang w:val="pl-PL"/>
        </w:rPr>
        <w:t xml:space="preserve"> on </w:t>
      </w:r>
      <w:r w:rsidR="00051B5A" w:rsidRPr="0051003F">
        <w:rPr>
          <w:rFonts w:cs="Times New Roman"/>
          <w:lang w:val="pl-PL"/>
        </w:rPr>
        <w:t>tego dochodu i nie nałożył kary podatkowej (zob. para</w:t>
      </w:r>
      <w:r w:rsidR="00C24C3B">
        <w:rPr>
          <w:rFonts w:cs="Times New Roman"/>
          <w:lang w:val="pl-PL"/>
        </w:rPr>
        <w:t>graf</w:t>
      </w:r>
      <w:r w:rsidR="00051B5A" w:rsidRPr="0051003F">
        <w:rPr>
          <w:rFonts w:cs="Times New Roman"/>
          <w:lang w:val="pl-PL"/>
        </w:rPr>
        <w:t xml:space="preserve"> 32 powyżej). W dniu 11 listopada 2008 r</w:t>
      </w:r>
      <w:r w:rsidR="00C24C3B">
        <w:rPr>
          <w:rFonts w:cs="Times New Roman"/>
          <w:lang w:val="pl-PL"/>
        </w:rPr>
        <w:t>oku</w:t>
      </w:r>
      <w:r w:rsidR="00051B5A" w:rsidRPr="0051003F">
        <w:rPr>
          <w:rFonts w:cs="Times New Roman"/>
          <w:lang w:val="pl-PL"/>
        </w:rPr>
        <w:t xml:space="preserve"> prokurator oskarżył skarżącego o zarzut oszustwa podatkowego w związku z niezgłoszeniem wyżej wymienionej kwoty, która stanowiła zobowiązanie podatkowe w wysokości 1.302.526 koron norweskich, i wniósł do Sądu </w:t>
      </w:r>
      <w:r w:rsidR="001C5143">
        <w:rPr>
          <w:rFonts w:cs="Times New Roman"/>
          <w:lang w:val="pl-PL"/>
        </w:rPr>
        <w:t>Miejskiego</w:t>
      </w:r>
      <w:r w:rsidR="001C5143" w:rsidRPr="0051003F">
        <w:rPr>
          <w:rFonts w:cs="Times New Roman"/>
          <w:lang w:val="pl-PL"/>
        </w:rPr>
        <w:t xml:space="preserve"> </w:t>
      </w:r>
      <w:r w:rsidR="00051B5A" w:rsidRPr="0051003F">
        <w:rPr>
          <w:rFonts w:cs="Times New Roman"/>
          <w:lang w:val="pl-PL"/>
        </w:rPr>
        <w:t>o wydanie wyroku w postępowaniu uproszczonym na podstawie zeznania drugiego skarżącego (zob. para</w:t>
      </w:r>
      <w:r w:rsidR="001C5143">
        <w:rPr>
          <w:rFonts w:cs="Times New Roman"/>
          <w:lang w:val="pl-PL"/>
        </w:rPr>
        <w:t>graf</w:t>
      </w:r>
      <w:r w:rsidR="00051B5A" w:rsidRPr="0051003F">
        <w:rPr>
          <w:rFonts w:cs="Times New Roman"/>
          <w:lang w:val="pl-PL"/>
        </w:rPr>
        <w:t xml:space="preserve"> 33 powyżej). Postępowanie karne osiągnęło stosunkowo zaawansowany etap w dniu 5 grudnia 2008 r</w:t>
      </w:r>
      <w:r w:rsidR="001C5143">
        <w:rPr>
          <w:rFonts w:cs="Times New Roman"/>
          <w:lang w:val="pl-PL"/>
        </w:rPr>
        <w:t>oku</w:t>
      </w:r>
      <w:r w:rsidR="00051B5A" w:rsidRPr="0051003F">
        <w:rPr>
          <w:rFonts w:cs="Times New Roman"/>
          <w:lang w:val="pl-PL"/>
        </w:rPr>
        <w:t>, kiedy to</w:t>
      </w:r>
      <w:r w:rsidR="001C5143">
        <w:rPr>
          <w:rFonts w:cs="Times New Roman"/>
          <w:lang w:val="pl-PL"/>
        </w:rPr>
        <w:t xml:space="preserve"> </w:t>
      </w:r>
      <w:r w:rsidR="00051B5A" w:rsidRPr="0051003F">
        <w:rPr>
          <w:rFonts w:cs="Times New Roman"/>
          <w:lang w:val="pl-PL"/>
        </w:rPr>
        <w:t>organy podatkowe zmienił</w:t>
      </w:r>
      <w:r w:rsidR="001C5143">
        <w:rPr>
          <w:rFonts w:cs="Times New Roman"/>
          <w:lang w:val="pl-PL"/>
        </w:rPr>
        <w:t>y</w:t>
      </w:r>
      <w:r w:rsidR="00051B5A" w:rsidRPr="0051003F">
        <w:rPr>
          <w:rFonts w:cs="Times New Roman"/>
          <w:lang w:val="pl-PL"/>
        </w:rPr>
        <w:t xml:space="preserve"> swoją ocenę podatkową tak, że ta ostatnia kwota została przypisana jako należność podatkowa i nakazała zapłatę spornej kary podatkowej (zob. para</w:t>
      </w:r>
      <w:r w:rsidR="001C5143">
        <w:rPr>
          <w:rFonts w:cs="Times New Roman"/>
          <w:lang w:val="pl-PL"/>
        </w:rPr>
        <w:t>graf</w:t>
      </w:r>
      <w:r w:rsidR="00051B5A" w:rsidRPr="0051003F">
        <w:rPr>
          <w:rFonts w:cs="Times New Roman"/>
          <w:lang w:val="pl-PL"/>
        </w:rPr>
        <w:t xml:space="preserve"> 32 powyżej).</w:t>
      </w:r>
    </w:p>
    <w:p w:rsidR="00051B5A" w:rsidRPr="0051003F" w:rsidRDefault="00051B5A" w:rsidP="00051B5A">
      <w:pPr>
        <w:pStyle w:val="ECHRPara"/>
        <w:rPr>
          <w:rFonts w:cs="Times New Roman"/>
          <w:lang w:val="pl-PL"/>
        </w:rPr>
      </w:pPr>
      <w:r w:rsidRPr="0051003F">
        <w:rPr>
          <w:rFonts w:cs="Times New Roman"/>
          <w:lang w:val="pl-PL"/>
        </w:rPr>
        <w:t>Tak więc, jak wynika z powyższego, ponieważ już od jesieni 2007 r</w:t>
      </w:r>
      <w:r w:rsidR="001C5143">
        <w:rPr>
          <w:rFonts w:cs="Times New Roman"/>
          <w:lang w:val="pl-PL"/>
        </w:rPr>
        <w:t>oku</w:t>
      </w:r>
      <w:r w:rsidRPr="0051003F">
        <w:rPr>
          <w:rFonts w:cs="Times New Roman"/>
          <w:lang w:val="pl-PL"/>
        </w:rPr>
        <w:t xml:space="preserve"> do czasu </w:t>
      </w:r>
      <w:r w:rsidR="001C5143">
        <w:rPr>
          <w:rFonts w:cs="Times New Roman"/>
          <w:lang w:val="pl-PL"/>
        </w:rPr>
        <w:t>wydania</w:t>
      </w:r>
      <w:r w:rsidR="001C5143" w:rsidRPr="0051003F">
        <w:rPr>
          <w:rFonts w:cs="Times New Roman"/>
          <w:lang w:val="pl-PL"/>
        </w:rPr>
        <w:t xml:space="preserve"> </w:t>
      </w:r>
      <w:r w:rsidRPr="0051003F">
        <w:rPr>
          <w:rFonts w:cs="Times New Roman"/>
          <w:lang w:val="pl-PL"/>
        </w:rPr>
        <w:t>w dniu 5 grudnia 2008 r</w:t>
      </w:r>
      <w:r w:rsidR="001C5143">
        <w:rPr>
          <w:rFonts w:cs="Times New Roman"/>
          <w:lang w:val="pl-PL"/>
        </w:rPr>
        <w:t>oku</w:t>
      </w:r>
      <w:r w:rsidRPr="0051003F">
        <w:rPr>
          <w:rFonts w:cs="Times New Roman"/>
          <w:lang w:val="pl-PL"/>
        </w:rPr>
        <w:t xml:space="preserve"> decyzji o nałożeniu kary podatkowej, skarga organów podatkowych na policji była rozpatrywana równolegle, a postępowania karne i podatkowe były wzajemnie powiązane. Taki stan rzeczy był podobny do tego, jaki uzyskano w przypadku pierwszego ze skarżących.</w:t>
      </w:r>
    </w:p>
    <w:p w:rsidR="00E838C5" w:rsidRPr="0051003F" w:rsidRDefault="001C5143" w:rsidP="00051B5A">
      <w:pPr>
        <w:pStyle w:val="ECHRPara"/>
        <w:rPr>
          <w:rFonts w:cs="Times New Roman"/>
          <w:lang w:val="pl-PL"/>
        </w:rPr>
      </w:pPr>
      <w:r>
        <w:rPr>
          <w:rFonts w:cs="Times New Roman"/>
          <w:lang w:val="pl-PL"/>
        </w:rPr>
        <w:t>151</w:t>
      </w:r>
      <w:r w:rsidR="004B5930" w:rsidRPr="0051003F">
        <w:rPr>
          <w:rFonts w:cs="Times New Roman"/>
          <w:lang w:val="pl-PL"/>
        </w:rPr>
        <w:t>.  </w:t>
      </w:r>
      <w:r w:rsidR="00E838C5" w:rsidRPr="0051003F">
        <w:rPr>
          <w:rFonts w:cs="Times New Roman"/>
          <w:lang w:val="pl-PL"/>
        </w:rPr>
        <w:t>Prawdą jest, jak zauważył Sąd Apelacyjny, że termin dziewięciu miesięcy - od dnia uprawomocnienia się decyzji organów podatkowych z dnia 5 grudnia 2008 r</w:t>
      </w:r>
      <w:r w:rsidR="00C37213">
        <w:rPr>
          <w:rFonts w:cs="Times New Roman"/>
          <w:lang w:val="pl-PL"/>
        </w:rPr>
        <w:t>oku</w:t>
      </w:r>
      <w:r w:rsidR="00E838C5" w:rsidRPr="0051003F">
        <w:rPr>
          <w:rFonts w:cs="Times New Roman"/>
          <w:lang w:val="pl-PL"/>
        </w:rPr>
        <w:t xml:space="preserve"> do dnia skazania drugiej strony skarżącej przez Sąd Miejski z dnia 30 września 2009 r</w:t>
      </w:r>
      <w:r w:rsidR="00C37213">
        <w:rPr>
          <w:rFonts w:cs="Times New Roman"/>
          <w:lang w:val="pl-PL"/>
        </w:rPr>
        <w:t>oku</w:t>
      </w:r>
      <w:r w:rsidR="00E838C5" w:rsidRPr="0051003F">
        <w:rPr>
          <w:rFonts w:cs="Times New Roman"/>
          <w:lang w:val="pl-PL"/>
        </w:rPr>
        <w:t xml:space="preserve"> - był nieco dłuższy niż termin dwóch i pół miesiąca w przypadku </w:t>
      </w:r>
      <w:r w:rsidR="00C37213">
        <w:rPr>
          <w:rFonts w:cs="Times New Roman"/>
          <w:lang w:val="pl-PL"/>
        </w:rPr>
        <w:t>pierwszego skarżącego</w:t>
      </w:r>
      <w:r w:rsidR="00E838C5" w:rsidRPr="0051003F">
        <w:rPr>
          <w:rFonts w:cs="Times New Roman"/>
          <w:lang w:val="pl-PL"/>
        </w:rPr>
        <w:t xml:space="preserve">. Jednakże, jak wyjaśnił również </w:t>
      </w:r>
      <w:r w:rsidR="00051B5A" w:rsidRPr="0051003F">
        <w:rPr>
          <w:rFonts w:cs="Times New Roman"/>
          <w:lang w:val="pl-PL"/>
        </w:rPr>
        <w:t>Sąd Apelacyjny (zob. paragraf</w:t>
      </w:r>
      <w:r w:rsidR="00E838C5" w:rsidRPr="0051003F">
        <w:rPr>
          <w:rFonts w:cs="Times New Roman"/>
          <w:lang w:val="pl-PL"/>
        </w:rPr>
        <w:t xml:space="preserve"> 39 powyżej), wynikało to z faktu, że drugi skarżący wycofał swoje zeznania w lutym 2009 r</w:t>
      </w:r>
      <w:r w:rsidR="00C37213">
        <w:rPr>
          <w:rFonts w:cs="Times New Roman"/>
          <w:lang w:val="pl-PL"/>
        </w:rPr>
        <w:t>oku</w:t>
      </w:r>
      <w:r w:rsidR="00E838C5" w:rsidRPr="0051003F">
        <w:rPr>
          <w:rFonts w:cs="Times New Roman"/>
          <w:lang w:val="pl-PL"/>
        </w:rPr>
        <w:t>, co spowodowało, że w dniu 29 maja 2009 r</w:t>
      </w:r>
      <w:r w:rsidR="00C37213">
        <w:rPr>
          <w:rFonts w:cs="Times New Roman"/>
          <w:lang w:val="pl-PL"/>
        </w:rPr>
        <w:t>oku</w:t>
      </w:r>
      <w:r w:rsidR="00E838C5" w:rsidRPr="0051003F">
        <w:rPr>
          <w:rFonts w:cs="Times New Roman"/>
          <w:lang w:val="pl-PL"/>
        </w:rPr>
        <w:t xml:space="preserve"> musiał zostać ponownie postawiony w stan oskarżenia, a także </w:t>
      </w:r>
      <w:r w:rsidR="00051B5A" w:rsidRPr="0051003F">
        <w:rPr>
          <w:rFonts w:cs="Times New Roman"/>
          <w:lang w:val="pl-PL"/>
        </w:rPr>
        <w:t xml:space="preserve">istniała </w:t>
      </w:r>
      <w:r w:rsidR="00E838C5" w:rsidRPr="0051003F">
        <w:rPr>
          <w:rFonts w:cs="Times New Roman"/>
          <w:lang w:val="pl-PL"/>
        </w:rPr>
        <w:t>konieczność przeprowadzenia zwyczajnej rozpr</w:t>
      </w:r>
      <w:r w:rsidR="00051B5A" w:rsidRPr="0051003F">
        <w:rPr>
          <w:rFonts w:cs="Times New Roman"/>
          <w:lang w:val="pl-PL"/>
        </w:rPr>
        <w:t xml:space="preserve">awy kontradyktoryjnej (zob. </w:t>
      </w:r>
      <w:r w:rsidR="00DB6A67" w:rsidRPr="0051003F">
        <w:rPr>
          <w:rFonts w:cs="Times New Roman"/>
          <w:lang w:val="pl-PL"/>
        </w:rPr>
        <w:t>paragrafy</w:t>
      </w:r>
      <w:r w:rsidR="00051B5A" w:rsidRPr="0051003F">
        <w:rPr>
          <w:rFonts w:cs="Times New Roman"/>
          <w:lang w:val="pl-PL"/>
        </w:rPr>
        <w:t xml:space="preserve"> </w:t>
      </w:r>
      <w:r w:rsidR="00E838C5" w:rsidRPr="0051003F">
        <w:rPr>
          <w:rFonts w:cs="Times New Roman"/>
          <w:lang w:val="pl-PL"/>
        </w:rPr>
        <w:t xml:space="preserve">34 i 35 powyżej). Okoliczność ta, wynikająca ze zmiany stanowiska drugiej strony skarżącej, nie może sama w sobie wystarczyć </w:t>
      </w:r>
      <w:r w:rsidR="00936166">
        <w:rPr>
          <w:rFonts w:cs="Times New Roman"/>
          <w:lang w:val="pl-PL"/>
        </w:rPr>
        <w:t>do rozłączenia w czasie</w:t>
      </w:r>
      <w:r w:rsidR="00E838C5" w:rsidRPr="0051003F">
        <w:rPr>
          <w:rFonts w:cs="Times New Roman"/>
          <w:lang w:val="pl-PL"/>
        </w:rPr>
        <w:t xml:space="preserve"> postępowania podatkowego i karnego. W szczególności, dodatkowy upływ czasu przed rozprawą karną nie może być uważany za nieproporcjonalny lub nieuzasadniony, biorąc pod uwagę jej przyczynę. Istotny pozostaje również fakt, że w przypadku p</w:t>
      </w:r>
      <w:r w:rsidR="00051B5A" w:rsidRPr="0051003F">
        <w:rPr>
          <w:rFonts w:cs="Times New Roman"/>
          <w:lang w:val="pl-PL"/>
        </w:rPr>
        <w:t xml:space="preserve">ierwszego skarżącego Sąd </w:t>
      </w:r>
      <w:r w:rsidR="00936166">
        <w:rPr>
          <w:rFonts w:cs="Times New Roman"/>
          <w:lang w:val="pl-PL"/>
        </w:rPr>
        <w:t>Miejski</w:t>
      </w:r>
      <w:r w:rsidR="00936166" w:rsidRPr="0051003F">
        <w:rPr>
          <w:rFonts w:cs="Times New Roman"/>
          <w:lang w:val="pl-PL"/>
        </w:rPr>
        <w:t xml:space="preserve"> </w:t>
      </w:r>
      <w:r w:rsidR="00E838C5" w:rsidRPr="0051003F">
        <w:rPr>
          <w:rFonts w:cs="Times New Roman"/>
          <w:lang w:val="pl-PL"/>
        </w:rPr>
        <w:t>uwzględnił karę podatkową przy ustalaniu wymiaru kary</w:t>
      </w:r>
      <w:r w:rsidR="00051B5A" w:rsidRPr="0051003F">
        <w:rPr>
          <w:rFonts w:cs="Times New Roman"/>
          <w:lang w:val="pl-PL"/>
        </w:rPr>
        <w:t xml:space="preserve"> w postępowaniu karnym (zob. paragraf</w:t>
      </w:r>
      <w:r w:rsidR="00E838C5" w:rsidRPr="0051003F">
        <w:rPr>
          <w:rFonts w:cs="Times New Roman"/>
          <w:lang w:val="pl-PL"/>
        </w:rPr>
        <w:t xml:space="preserve"> 35 powyżej).</w:t>
      </w:r>
    </w:p>
    <w:p w:rsidR="00E838C5" w:rsidRPr="0051003F" w:rsidRDefault="00936166" w:rsidP="00E838C5">
      <w:pPr>
        <w:pStyle w:val="ECHRPara"/>
        <w:rPr>
          <w:rFonts w:cs="Times New Roman"/>
          <w:lang w:val="pl-PL"/>
        </w:rPr>
      </w:pPr>
      <w:r>
        <w:rPr>
          <w:rFonts w:cs="Times New Roman"/>
          <w:lang w:val="pl-PL"/>
        </w:rPr>
        <w:t>152</w:t>
      </w:r>
      <w:r w:rsidR="004B5930" w:rsidRPr="0051003F">
        <w:rPr>
          <w:rFonts w:cs="Times New Roman"/>
          <w:lang w:val="pl-PL"/>
        </w:rPr>
        <w:t>.  </w:t>
      </w:r>
      <w:r w:rsidR="00507AC7" w:rsidRPr="0051003F">
        <w:rPr>
          <w:rFonts w:cs="Times New Roman"/>
          <w:lang w:val="pl-PL"/>
        </w:rPr>
        <w:t xml:space="preserve">Zatem, </w:t>
      </w:r>
      <w:r>
        <w:rPr>
          <w:rFonts w:cs="Times New Roman"/>
          <w:lang w:val="pl-PL"/>
        </w:rPr>
        <w:t>również</w:t>
      </w:r>
      <w:r w:rsidRPr="0051003F">
        <w:rPr>
          <w:rFonts w:cs="Times New Roman"/>
          <w:lang w:val="pl-PL"/>
        </w:rPr>
        <w:t xml:space="preserve"> </w:t>
      </w:r>
      <w:r w:rsidR="00507AC7" w:rsidRPr="0051003F">
        <w:rPr>
          <w:rFonts w:cs="Times New Roman"/>
          <w:lang w:val="pl-PL"/>
        </w:rPr>
        <w:t>w stosunku do drugiego skarżącego</w:t>
      </w:r>
      <w:r w:rsidR="00546521" w:rsidRPr="0051003F">
        <w:rPr>
          <w:rFonts w:cs="Times New Roman"/>
          <w:lang w:val="pl-PL"/>
        </w:rPr>
        <w:t xml:space="preserve">, </w:t>
      </w:r>
      <w:r w:rsidR="00E838C5" w:rsidRPr="0051003F">
        <w:rPr>
          <w:rFonts w:cs="Times New Roman"/>
          <w:lang w:val="pl-PL"/>
        </w:rPr>
        <w:t xml:space="preserve">Trybunał nie ma powodu, by wątpić w powody, dla których władze norweskie zdecydowały się zająć się nagannym zachowaniem w zintegrowanym procesie dualistycznym (administracyjnym/karnym). Możliwość stosowania różnych skumulowanych kar musi być przewidywalna w danych okolicznościach (zob. paragrafy 13 i 32 powyżej). Postępowania karne i administracyjne były w dużej mierze prowadzone równolegle i wzajemnie ze sobą powiązane (zob. paragraf 39 powyżej). Ponownie w drugim </w:t>
      </w:r>
      <w:r w:rsidR="00E838C5" w:rsidRPr="0051003F">
        <w:rPr>
          <w:rFonts w:cs="Times New Roman"/>
          <w:lang w:val="pl-PL"/>
        </w:rPr>
        <w:lastRenderedPageBreak/>
        <w:t>postępowaniu oparto się na ustaleniach faktów dokonanych w jednym zestawie, a jeśli chodzi o proporcjonalność ogólnej kary, przy wymierzaniu kary karnej uwzględniono karę administracyjną (zob. para</w:t>
      </w:r>
      <w:r w:rsidR="00C1552F">
        <w:rPr>
          <w:rFonts w:cs="Times New Roman"/>
          <w:lang w:val="pl-PL"/>
        </w:rPr>
        <w:t>grafy</w:t>
      </w:r>
      <w:r w:rsidR="00E838C5" w:rsidRPr="0051003F">
        <w:rPr>
          <w:rFonts w:cs="Times New Roman"/>
          <w:lang w:val="pl-PL"/>
        </w:rPr>
        <w:t xml:space="preserve"> 33 i 35 powyżej).</w:t>
      </w:r>
    </w:p>
    <w:p w:rsidR="00666E54" w:rsidRPr="0051003F" w:rsidRDefault="00470EE8" w:rsidP="00E838C5">
      <w:pPr>
        <w:pStyle w:val="ECHRPara"/>
        <w:rPr>
          <w:rFonts w:cs="Times New Roman"/>
          <w:lang w:val="pl-PL"/>
        </w:rPr>
      </w:pPr>
      <w:r>
        <w:rPr>
          <w:rFonts w:cs="Times New Roman"/>
          <w:lang w:val="pl-PL"/>
        </w:rPr>
        <w:t>153</w:t>
      </w:r>
      <w:r w:rsidR="00BF5A6F" w:rsidRPr="0051003F">
        <w:rPr>
          <w:rFonts w:cs="Times New Roman"/>
          <w:lang w:val="pl-PL"/>
        </w:rPr>
        <w:t>.  </w:t>
      </w:r>
      <w:r w:rsidR="00E838C5" w:rsidRPr="0051003F">
        <w:rPr>
          <w:rFonts w:cs="Times New Roman"/>
          <w:lang w:val="pl-PL"/>
        </w:rPr>
        <w:t xml:space="preserve">Co do okoliczności faktycznych </w:t>
      </w:r>
      <w:r>
        <w:rPr>
          <w:rFonts w:cs="Times New Roman"/>
          <w:lang w:val="pl-PL"/>
        </w:rPr>
        <w:t>rozpoznawanych</w:t>
      </w:r>
      <w:r w:rsidRPr="0051003F">
        <w:rPr>
          <w:rFonts w:cs="Times New Roman"/>
          <w:lang w:val="pl-PL"/>
        </w:rPr>
        <w:t xml:space="preserve"> </w:t>
      </w:r>
      <w:r w:rsidR="00E838C5" w:rsidRPr="0051003F">
        <w:rPr>
          <w:rFonts w:cs="Times New Roman"/>
          <w:lang w:val="pl-PL"/>
        </w:rPr>
        <w:t xml:space="preserve">w postępowaniu przed Trybunałem, nic nie wskazuje na to, że drugi skarżący doznał nieproporcjonalnej szkody lub niesprawiedliwości w związku z niezakłóconym, zintegrowanym traktowaniem prawnym </w:t>
      </w:r>
      <w:r>
        <w:rPr>
          <w:rFonts w:cs="Times New Roman"/>
          <w:lang w:val="pl-PL"/>
        </w:rPr>
        <w:t xml:space="preserve">z powodu </w:t>
      </w:r>
      <w:r w:rsidR="00E838C5" w:rsidRPr="0051003F">
        <w:rPr>
          <w:rFonts w:cs="Times New Roman"/>
          <w:lang w:val="pl-PL"/>
        </w:rPr>
        <w:t>braku deklarowania dochodów i niezapłacenia podatków. Uwzględniając uwagi przedstawione powyżej (w szczególności zgodnie ze streszczeniem w paragrafach 132-134), Trybunał uważa zatem, że istniał wystarczająco ścisły związek, zarówno pod względem merytorycznym, jak i czasowym, między decyzją w sprawie kar podatkowych a późniejszym wyrokiem skazującym, aby można ją było uznać za część integralnego systemu sankcji na mocy norweskiego prawa w związku z nieprzedstawieniem informacji o zeznaniu podatkowym, co doprowadziło do wadliwego ustalenia wymiaru podatku.</w:t>
      </w:r>
    </w:p>
    <w:p w:rsidR="004B5930" w:rsidRPr="0051003F" w:rsidRDefault="004B5930" w:rsidP="00A7252F">
      <w:pPr>
        <w:pStyle w:val="ECHRHeading5"/>
        <w:rPr>
          <w:lang w:val="pl-PL"/>
        </w:rPr>
      </w:pPr>
      <w:bookmarkStart w:id="182" w:name="_Toc466904333"/>
      <w:bookmarkStart w:id="183" w:name="_Toc466972352"/>
      <w:bookmarkStart w:id="184" w:name="_Toc466972863"/>
      <w:bookmarkStart w:id="185" w:name="_Toc466974279"/>
      <w:bookmarkStart w:id="186" w:name="_Toc473801914"/>
      <w:r w:rsidRPr="0051003F">
        <w:rPr>
          <w:lang w:val="pl-PL"/>
        </w:rPr>
        <w:t>(</w:t>
      </w:r>
      <w:r w:rsidR="00F9177C" w:rsidRPr="0051003F">
        <w:rPr>
          <w:lang w:val="pl-PL"/>
        </w:rPr>
        <w:t>iii</w:t>
      </w:r>
      <w:r w:rsidRPr="0051003F">
        <w:rPr>
          <w:lang w:val="pl-PL"/>
        </w:rPr>
        <w:t>)  </w:t>
      </w:r>
      <w:bookmarkEnd w:id="182"/>
      <w:bookmarkEnd w:id="183"/>
      <w:bookmarkEnd w:id="184"/>
      <w:bookmarkEnd w:id="185"/>
      <w:bookmarkEnd w:id="186"/>
      <w:r w:rsidR="00247A57" w:rsidRPr="0051003F">
        <w:rPr>
          <w:lang w:val="pl-PL"/>
        </w:rPr>
        <w:t>Podsumowanie</w:t>
      </w:r>
    </w:p>
    <w:p w:rsidR="004B5930" w:rsidRPr="0051003F" w:rsidRDefault="00470EE8" w:rsidP="00A7252F">
      <w:pPr>
        <w:pStyle w:val="ECHRPara"/>
        <w:rPr>
          <w:rFonts w:cs="Times New Roman"/>
          <w:lang w:val="pl-PL"/>
        </w:rPr>
      </w:pPr>
      <w:r>
        <w:rPr>
          <w:rFonts w:cs="Times New Roman"/>
          <w:lang w:val="pl-PL"/>
        </w:rPr>
        <w:t>154</w:t>
      </w:r>
      <w:r w:rsidR="004B5930" w:rsidRPr="0051003F">
        <w:rPr>
          <w:rFonts w:cs="Times New Roman"/>
          <w:lang w:val="pl-PL"/>
        </w:rPr>
        <w:t>.  </w:t>
      </w:r>
      <w:r w:rsidR="00247A57" w:rsidRPr="0051003F">
        <w:rPr>
          <w:rFonts w:cs="Times New Roman"/>
          <w:lang w:val="pl-PL"/>
        </w:rPr>
        <w:t xml:space="preserve">Mając na uwadze tło sprawy, nie można stwierdzić, że ani jeden ani drugi skarżący zostali </w:t>
      </w:r>
      <w:r w:rsidR="00507AC7" w:rsidRPr="0051003F">
        <w:rPr>
          <w:rFonts w:cs="Times New Roman"/>
          <w:lang w:val="pl-PL"/>
        </w:rPr>
        <w:t>“</w:t>
      </w:r>
      <w:r w:rsidR="00247A57" w:rsidRPr="0051003F">
        <w:rPr>
          <w:rFonts w:cs="Times New Roman"/>
          <w:lang w:val="pl-PL"/>
        </w:rPr>
        <w:t>osądzeni lub ukarani ponownie</w:t>
      </w:r>
      <w:r w:rsidR="00B2518F" w:rsidRPr="0051003F">
        <w:rPr>
          <w:rFonts w:cs="Times New Roman"/>
          <w:lang w:val="pl-PL"/>
        </w:rPr>
        <w:t>,</w:t>
      </w:r>
      <w:r w:rsidR="004B5930" w:rsidRPr="0051003F">
        <w:rPr>
          <w:rFonts w:cs="Times New Roman"/>
          <w:lang w:val="pl-PL"/>
        </w:rPr>
        <w:t xml:space="preserve">... </w:t>
      </w:r>
      <w:r w:rsidR="00B2518F" w:rsidRPr="0051003F">
        <w:rPr>
          <w:rFonts w:cs="Times New Roman"/>
          <w:lang w:val="pl-PL"/>
        </w:rPr>
        <w:t xml:space="preserve">za </w:t>
      </w:r>
      <w:r w:rsidR="00507AC7" w:rsidRPr="0051003F">
        <w:rPr>
          <w:rFonts w:cs="Times New Roman"/>
          <w:lang w:val="pl-PL"/>
        </w:rPr>
        <w:t>przestępstwo</w:t>
      </w:r>
      <w:r w:rsidR="00B2518F" w:rsidRPr="0051003F">
        <w:rPr>
          <w:rFonts w:cs="Times New Roman"/>
          <w:lang w:val="pl-PL"/>
        </w:rPr>
        <w:t>, za które zostali już wcześniej ostatecznie</w:t>
      </w:r>
      <w:r w:rsidR="004B5930" w:rsidRPr="0051003F">
        <w:rPr>
          <w:rFonts w:cs="Times New Roman"/>
          <w:lang w:val="pl-PL"/>
        </w:rPr>
        <w:t xml:space="preserve">... </w:t>
      </w:r>
      <w:r w:rsidR="00B2518F" w:rsidRPr="0051003F">
        <w:rPr>
          <w:rFonts w:cs="Times New Roman"/>
          <w:lang w:val="pl-PL"/>
        </w:rPr>
        <w:t>skazani</w:t>
      </w:r>
      <w:r w:rsidR="004B5930" w:rsidRPr="0051003F">
        <w:rPr>
          <w:rFonts w:cs="Times New Roman"/>
          <w:lang w:val="pl-PL"/>
        </w:rPr>
        <w:t>”</w:t>
      </w:r>
      <w:r w:rsidR="00507AC7" w:rsidRPr="0051003F">
        <w:rPr>
          <w:rFonts w:cs="Times New Roman"/>
          <w:lang w:val="pl-PL"/>
        </w:rPr>
        <w:t xml:space="preserve">, co jest sprzeczne z art. 4 Protokołu </w:t>
      </w:r>
      <w:r>
        <w:rPr>
          <w:rFonts w:cs="Times New Roman"/>
          <w:lang w:val="pl-PL"/>
        </w:rPr>
        <w:t>n</w:t>
      </w:r>
      <w:r w:rsidRPr="0051003F">
        <w:rPr>
          <w:rFonts w:cs="Times New Roman"/>
          <w:lang w:val="pl-PL"/>
        </w:rPr>
        <w:t xml:space="preserve">r </w:t>
      </w:r>
      <w:r w:rsidR="00507AC7" w:rsidRPr="0051003F">
        <w:rPr>
          <w:rFonts w:cs="Times New Roman"/>
          <w:lang w:val="pl-PL"/>
        </w:rPr>
        <w:t>7</w:t>
      </w:r>
      <w:r w:rsidR="004B5930" w:rsidRPr="0051003F">
        <w:rPr>
          <w:rFonts w:cs="Times New Roman"/>
          <w:lang w:val="pl-PL"/>
        </w:rPr>
        <w:t xml:space="preserve">. </w:t>
      </w:r>
      <w:r w:rsidR="00507AC7" w:rsidRPr="0051003F">
        <w:rPr>
          <w:rFonts w:cs="Times New Roman"/>
          <w:lang w:val="pl-PL"/>
        </w:rPr>
        <w:t xml:space="preserve">W związku z tym Trybunał stwierdza, że w niniejszej sprawie nie doszło do naruszenia tego przepisu w stosunku do obydwu skarżących. </w:t>
      </w:r>
    </w:p>
    <w:p w:rsidR="00014566" w:rsidRPr="0051003F" w:rsidRDefault="003C44CE" w:rsidP="00A7252F">
      <w:pPr>
        <w:pStyle w:val="ECHRTitle1"/>
        <w:rPr>
          <w:lang w:val="pl-PL"/>
        </w:rPr>
      </w:pPr>
      <w:bookmarkStart w:id="187" w:name="_Toc466904334"/>
      <w:bookmarkStart w:id="188" w:name="_Toc466972353"/>
      <w:bookmarkStart w:id="189" w:name="_Toc466972864"/>
      <w:bookmarkStart w:id="190" w:name="_Toc466974280"/>
      <w:bookmarkStart w:id="191" w:name="_Toc473801915"/>
      <w:r w:rsidRPr="0051003F">
        <w:rPr>
          <w:lang w:val="pl-PL"/>
        </w:rPr>
        <w:t>Z TYCH POWODÓW</w:t>
      </w:r>
      <w:r w:rsidR="00BB5883" w:rsidRPr="0051003F">
        <w:rPr>
          <w:lang w:val="pl-PL"/>
        </w:rPr>
        <w:t xml:space="preserve">, </w:t>
      </w:r>
      <w:bookmarkEnd w:id="187"/>
      <w:bookmarkEnd w:id="188"/>
      <w:bookmarkEnd w:id="189"/>
      <w:bookmarkEnd w:id="190"/>
      <w:bookmarkEnd w:id="191"/>
      <w:r w:rsidRPr="0051003F">
        <w:rPr>
          <w:lang w:val="pl-PL"/>
        </w:rPr>
        <w:t>TRYBUNAŁ</w:t>
      </w:r>
    </w:p>
    <w:p w:rsidR="00B637B9" w:rsidRPr="0051003F" w:rsidRDefault="00B637B9" w:rsidP="00A7252F">
      <w:pPr>
        <w:pStyle w:val="JuList"/>
        <w:rPr>
          <w:lang w:val="pl-PL"/>
        </w:rPr>
      </w:pPr>
      <w:r w:rsidRPr="0051003F">
        <w:rPr>
          <w:lang w:val="pl-PL"/>
        </w:rPr>
        <w:t>1.  </w:t>
      </w:r>
      <w:r w:rsidR="003C44CE" w:rsidRPr="0051003F">
        <w:rPr>
          <w:i/>
          <w:lang w:val="pl-PL"/>
        </w:rPr>
        <w:t>Uznaje</w:t>
      </w:r>
      <w:r w:rsidR="003C44CE" w:rsidRPr="0051003F">
        <w:rPr>
          <w:lang w:val="pl-PL"/>
        </w:rPr>
        <w:t>, jednomyślnie</w:t>
      </w:r>
      <w:r w:rsidR="00E97440" w:rsidRPr="0051003F">
        <w:rPr>
          <w:lang w:val="pl-PL"/>
        </w:rPr>
        <w:t>,</w:t>
      </w:r>
      <w:r w:rsidRPr="0051003F">
        <w:rPr>
          <w:color w:val="000000"/>
          <w:lang w:val="pl-PL"/>
        </w:rPr>
        <w:t xml:space="preserve"> </w:t>
      </w:r>
      <w:r w:rsidR="003C44CE" w:rsidRPr="0051003F">
        <w:rPr>
          <w:color w:val="000000"/>
          <w:lang w:val="pl-PL"/>
        </w:rPr>
        <w:t>skargę za dopuszczalną</w:t>
      </w:r>
      <w:r w:rsidRPr="0051003F">
        <w:rPr>
          <w:lang w:val="pl-PL"/>
        </w:rPr>
        <w:t>;</w:t>
      </w:r>
    </w:p>
    <w:p w:rsidR="00014566" w:rsidRPr="0051003F" w:rsidRDefault="00014566" w:rsidP="00A7252F">
      <w:pPr>
        <w:pStyle w:val="JuList"/>
        <w:ind w:left="0" w:firstLine="0"/>
        <w:rPr>
          <w:lang w:val="pl-PL"/>
        </w:rPr>
      </w:pPr>
    </w:p>
    <w:p w:rsidR="00014566" w:rsidRPr="0051003F" w:rsidRDefault="00E446DD" w:rsidP="00A7252F">
      <w:pPr>
        <w:pStyle w:val="JuList"/>
        <w:rPr>
          <w:lang w:val="pl-PL"/>
        </w:rPr>
      </w:pPr>
      <w:r w:rsidRPr="0051003F">
        <w:rPr>
          <w:lang w:val="pl-PL"/>
        </w:rPr>
        <w:t>2</w:t>
      </w:r>
      <w:r w:rsidR="00014566" w:rsidRPr="0051003F">
        <w:rPr>
          <w:lang w:val="pl-PL"/>
        </w:rPr>
        <w:t>.  </w:t>
      </w:r>
      <w:r w:rsidR="002C43D3" w:rsidRPr="0051003F">
        <w:rPr>
          <w:i/>
          <w:lang w:val="pl-PL"/>
        </w:rPr>
        <w:t>Stwierdza</w:t>
      </w:r>
      <w:r w:rsidR="00E97440" w:rsidRPr="0051003F">
        <w:rPr>
          <w:lang w:val="pl-PL"/>
        </w:rPr>
        <w:t xml:space="preserve">, </w:t>
      </w:r>
      <w:r w:rsidR="002C43D3" w:rsidRPr="0051003F">
        <w:rPr>
          <w:lang w:val="pl-PL"/>
        </w:rPr>
        <w:t xml:space="preserve">szesnastoma głosami do jednego, że nie doszło do naruszenia art. 4 Protokołu </w:t>
      </w:r>
      <w:r w:rsidR="007E2CFB">
        <w:rPr>
          <w:lang w:val="pl-PL"/>
        </w:rPr>
        <w:t>n</w:t>
      </w:r>
      <w:r w:rsidR="002C43D3" w:rsidRPr="0051003F">
        <w:rPr>
          <w:lang w:val="pl-PL"/>
        </w:rPr>
        <w:t xml:space="preserve">r 7, w stosunku do obydwu skarżących. </w:t>
      </w:r>
    </w:p>
    <w:p w:rsidR="00014566" w:rsidRPr="0051003F" w:rsidRDefault="002C43D3" w:rsidP="00A7252F">
      <w:pPr>
        <w:pStyle w:val="JuParaLast"/>
        <w:rPr>
          <w:lang w:val="pl-PL"/>
        </w:rPr>
      </w:pPr>
      <w:r w:rsidRPr="0051003F">
        <w:rPr>
          <w:lang w:val="pl-PL"/>
        </w:rPr>
        <w:t xml:space="preserve">Sporządzono w języku angielskim i francuskim, obwieszczono na rozprawie w </w:t>
      </w:r>
      <w:r w:rsidR="007E2CFB">
        <w:rPr>
          <w:lang w:val="pl-PL"/>
        </w:rPr>
        <w:t>Gmachu</w:t>
      </w:r>
      <w:r w:rsidR="007E2CFB" w:rsidRPr="0051003F">
        <w:rPr>
          <w:lang w:val="pl-PL"/>
        </w:rPr>
        <w:t xml:space="preserve"> </w:t>
      </w:r>
      <w:r w:rsidRPr="0051003F">
        <w:rPr>
          <w:lang w:val="pl-PL"/>
        </w:rPr>
        <w:t xml:space="preserve">Praw Człowieka, w </w:t>
      </w:r>
      <w:r w:rsidR="00DB6A67" w:rsidRPr="0051003F">
        <w:rPr>
          <w:lang w:val="pl-PL"/>
        </w:rPr>
        <w:t>Strasburgu</w:t>
      </w:r>
      <w:r w:rsidRPr="0051003F">
        <w:rPr>
          <w:lang w:val="pl-PL"/>
        </w:rPr>
        <w:t>, w dniu 15 listopada 2016 r</w:t>
      </w:r>
      <w:r w:rsidR="007E2CFB">
        <w:rPr>
          <w:lang w:val="pl-PL"/>
        </w:rPr>
        <w:t>oku</w:t>
      </w:r>
      <w:r w:rsidRPr="0051003F">
        <w:rPr>
          <w:lang w:val="pl-PL"/>
        </w:rPr>
        <w:t xml:space="preserve"> </w:t>
      </w:r>
    </w:p>
    <w:p w:rsidR="00D674DB" w:rsidRPr="0051003F" w:rsidRDefault="00014566" w:rsidP="00A7252F">
      <w:pPr>
        <w:pStyle w:val="JuSigned"/>
        <w:rPr>
          <w:lang w:val="pl-PL"/>
        </w:rPr>
      </w:pPr>
      <w:r w:rsidRPr="0051003F">
        <w:rPr>
          <w:lang w:val="pl-PL"/>
        </w:rPr>
        <w:tab/>
      </w:r>
      <w:r w:rsidR="00E446DD" w:rsidRPr="0051003F">
        <w:rPr>
          <w:lang w:val="pl-PL"/>
        </w:rPr>
        <w:t xml:space="preserve">Lawrence </w:t>
      </w:r>
      <w:proofErr w:type="spellStart"/>
      <w:r w:rsidR="00E446DD" w:rsidRPr="0051003F">
        <w:rPr>
          <w:lang w:val="pl-PL"/>
        </w:rPr>
        <w:t>Early</w:t>
      </w:r>
      <w:proofErr w:type="spellEnd"/>
      <w:r w:rsidRPr="0051003F">
        <w:rPr>
          <w:lang w:val="pl-PL"/>
        </w:rPr>
        <w:tab/>
      </w:r>
      <w:r w:rsidR="00E97440" w:rsidRPr="0051003F">
        <w:rPr>
          <w:szCs w:val="24"/>
          <w:lang w:val="pl-PL"/>
        </w:rPr>
        <w:t xml:space="preserve">Guido </w:t>
      </w:r>
      <w:proofErr w:type="spellStart"/>
      <w:r w:rsidR="00E97440" w:rsidRPr="0051003F">
        <w:rPr>
          <w:szCs w:val="24"/>
          <w:lang w:val="pl-PL"/>
        </w:rPr>
        <w:t>Raimondi</w:t>
      </w:r>
      <w:proofErr w:type="spellEnd"/>
      <w:r w:rsidR="00E1557C" w:rsidRPr="0051003F">
        <w:rPr>
          <w:szCs w:val="24"/>
          <w:lang w:val="pl-PL"/>
        </w:rPr>
        <w:br/>
      </w:r>
      <w:r w:rsidRPr="0051003F">
        <w:rPr>
          <w:lang w:val="pl-PL"/>
        </w:rPr>
        <w:tab/>
      </w:r>
      <w:r w:rsidR="002C43D3" w:rsidRPr="0051003F">
        <w:rPr>
          <w:iCs/>
          <w:lang w:val="pl-PL"/>
        </w:rPr>
        <w:t>Konsultant prawny</w:t>
      </w:r>
      <w:r w:rsidRPr="0051003F">
        <w:rPr>
          <w:lang w:val="pl-PL"/>
        </w:rPr>
        <w:tab/>
        <w:t>P</w:t>
      </w:r>
      <w:r w:rsidR="002C43D3" w:rsidRPr="0051003F">
        <w:rPr>
          <w:lang w:val="pl-PL"/>
        </w:rPr>
        <w:t>rzewodniczący</w:t>
      </w:r>
    </w:p>
    <w:p w:rsidR="004E3CB6" w:rsidRPr="0051003F" w:rsidRDefault="004E3CB6" w:rsidP="00A7252F">
      <w:pPr>
        <w:pStyle w:val="JuParaLast"/>
        <w:rPr>
          <w:lang w:val="pl-PL"/>
        </w:rPr>
      </w:pPr>
    </w:p>
    <w:p w:rsidR="00901738" w:rsidRPr="0051003F" w:rsidRDefault="002C43D3" w:rsidP="00A7252F">
      <w:pPr>
        <w:pStyle w:val="JuParaLast"/>
        <w:rPr>
          <w:lang w:val="pl-PL"/>
        </w:rPr>
      </w:pPr>
      <w:r w:rsidRPr="0051003F">
        <w:rPr>
          <w:lang w:val="pl-PL"/>
        </w:rPr>
        <w:t xml:space="preserve">Zgodnie z art. 45 ust. 2 Konwencji oraz </w:t>
      </w:r>
      <w:r w:rsidR="002C262C">
        <w:rPr>
          <w:lang w:val="pl-PL"/>
        </w:rPr>
        <w:t>R</w:t>
      </w:r>
      <w:r w:rsidR="002C262C" w:rsidRPr="0051003F">
        <w:rPr>
          <w:lang w:val="pl-PL"/>
        </w:rPr>
        <w:t xml:space="preserve">egułą </w:t>
      </w:r>
      <w:r w:rsidR="00901738" w:rsidRPr="0051003F">
        <w:rPr>
          <w:lang w:val="pl-PL"/>
        </w:rPr>
        <w:t>74 § 2</w:t>
      </w:r>
      <w:r w:rsidRPr="0051003F">
        <w:rPr>
          <w:lang w:val="pl-PL"/>
        </w:rPr>
        <w:t xml:space="preserve"> Regulaminu Trybunału, do wyroku została dołączona odrębna opinia sędziego </w:t>
      </w:r>
      <w:proofErr w:type="spellStart"/>
      <w:r w:rsidRPr="0051003F">
        <w:rPr>
          <w:lang w:val="pl-PL"/>
        </w:rPr>
        <w:t>Pinto</w:t>
      </w:r>
      <w:proofErr w:type="spellEnd"/>
      <w:r w:rsidRPr="0051003F">
        <w:rPr>
          <w:lang w:val="pl-PL"/>
        </w:rPr>
        <w:t xml:space="preserve"> </w:t>
      </w:r>
      <w:r w:rsidR="00901738" w:rsidRPr="0051003F">
        <w:rPr>
          <w:lang w:val="pl-PL"/>
        </w:rPr>
        <w:t>de Albuquerque</w:t>
      </w:r>
      <w:r w:rsidRPr="0051003F">
        <w:rPr>
          <w:lang w:val="pl-PL"/>
        </w:rPr>
        <w:t>.</w:t>
      </w:r>
    </w:p>
    <w:p w:rsidR="004E3CB6" w:rsidRPr="0051003F" w:rsidRDefault="004341D1" w:rsidP="00A7252F">
      <w:pPr>
        <w:pStyle w:val="JuInitialled"/>
        <w:rPr>
          <w:lang w:val="pl-PL"/>
        </w:rPr>
      </w:pPr>
      <w:r w:rsidRPr="0051003F">
        <w:rPr>
          <w:lang w:val="pl-PL"/>
        </w:rPr>
        <w:t>G.R.</w:t>
      </w:r>
      <w:r w:rsidR="004E3CB6" w:rsidRPr="0051003F">
        <w:rPr>
          <w:lang w:val="pl-PL"/>
        </w:rPr>
        <w:br/>
        <w:t>T.L.E.</w:t>
      </w:r>
    </w:p>
    <w:p w:rsidR="00395D2B" w:rsidRPr="0051003F" w:rsidRDefault="00395D2B" w:rsidP="00A7252F">
      <w:pPr>
        <w:pStyle w:val="JuInitialled"/>
        <w:rPr>
          <w:lang w:val="pl-PL"/>
        </w:rPr>
      </w:pPr>
    </w:p>
    <w:p w:rsidR="006201F4" w:rsidRPr="0051003F" w:rsidRDefault="006201F4" w:rsidP="00A7252F">
      <w:pPr>
        <w:pStyle w:val="ECHRTitleCentre1"/>
        <w:rPr>
          <w:lang w:val="pl-PL"/>
        </w:rPr>
        <w:sectPr w:rsidR="006201F4" w:rsidRPr="0051003F" w:rsidSect="00003542">
          <w:headerReference w:type="even" r:id="rId16"/>
          <w:headerReference w:type="default" r:id="rId17"/>
          <w:footnotePr>
            <w:numRestart w:val="eachSect"/>
          </w:footnotePr>
          <w:pgSz w:w="11906" w:h="16838" w:code="9"/>
          <w:pgMar w:top="2274" w:right="2274" w:bottom="2274" w:left="2274" w:header="1701" w:footer="720" w:gutter="0"/>
          <w:pgNumType w:start="1"/>
          <w:cols w:space="720"/>
          <w:docGrid w:linePitch="326"/>
        </w:sectPr>
      </w:pPr>
    </w:p>
    <w:p w:rsidR="001C1232" w:rsidRPr="0051003F" w:rsidRDefault="002C43D3" w:rsidP="00A7252F">
      <w:pPr>
        <w:keepNext/>
        <w:keepLines/>
        <w:spacing w:after="360"/>
        <w:jc w:val="center"/>
        <w:outlineLvl w:val="0"/>
        <w:rPr>
          <w:rFonts w:asciiTheme="majorHAnsi" w:hAnsiTheme="majorHAnsi"/>
          <w:sz w:val="28"/>
          <w:lang w:val="pl-PL" w:eastAsia="fr-FR"/>
        </w:rPr>
      </w:pPr>
      <w:bookmarkStart w:id="192" w:name="_Toc465430132"/>
      <w:bookmarkStart w:id="193" w:name="_Toc465851315"/>
      <w:bookmarkStart w:id="194" w:name="_Toc465851384"/>
      <w:bookmarkStart w:id="195" w:name="_Toc466904335"/>
      <w:bookmarkStart w:id="196" w:name="_Toc466972354"/>
      <w:bookmarkStart w:id="197" w:name="_Toc466972865"/>
      <w:bookmarkStart w:id="198" w:name="_Toc466974281"/>
      <w:bookmarkStart w:id="199" w:name="_Toc473801916"/>
      <w:r w:rsidRPr="0051003F">
        <w:rPr>
          <w:rFonts w:asciiTheme="majorHAnsi" w:hAnsiTheme="majorHAnsi"/>
          <w:sz w:val="28"/>
          <w:lang w:val="pl-PL" w:eastAsia="fr-FR"/>
        </w:rPr>
        <w:lastRenderedPageBreak/>
        <w:t>OPINIA ODRĘBNA</w:t>
      </w:r>
      <w:r w:rsidR="001C1232" w:rsidRPr="0051003F">
        <w:rPr>
          <w:rFonts w:asciiTheme="majorHAnsi" w:hAnsiTheme="majorHAnsi"/>
          <w:sz w:val="28"/>
          <w:lang w:val="pl-PL" w:eastAsia="fr-FR"/>
        </w:rPr>
        <w:t xml:space="preserve"> </w:t>
      </w:r>
      <w:r w:rsidR="0018142C" w:rsidRPr="0051003F">
        <w:rPr>
          <w:rFonts w:asciiTheme="majorHAnsi" w:hAnsiTheme="majorHAnsi"/>
          <w:sz w:val="28"/>
          <w:lang w:val="pl-PL" w:eastAsia="fr-FR"/>
        </w:rPr>
        <w:br/>
      </w:r>
      <w:r w:rsidRPr="0051003F">
        <w:rPr>
          <w:rFonts w:asciiTheme="majorHAnsi" w:hAnsiTheme="majorHAnsi"/>
          <w:sz w:val="28"/>
          <w:lang w:val="pl-PL" w:eastAsia="fr-FR"/>
        </w:rPr>
        <w:t xml:space="preserve"> SĘDZIEGO</w:t>
      </w:r>
      <w:r w:rsidR="001C1232" w:rsidRPr="0051003F">
        <w:rPr>
          <w:rFonts w:asciiTheme="majorHAnsi" w:hAnsiTheme="majorHAnsi"/>
          <w:sz w:val="28"/>
          <w:lang w:val="pl-PL" w:eastAsia="fr-FR"/>
        </w:rPr>
        <w:t xml:space="preserve"> </w:t>
      </w:r>
      <w:r w:rsidR="00DB79E7" w:rsidRPr="0051003F">
        <w:rPr>
          <w:rFonts w:asciiTheme="majorHAnsi" w:hAnsiTheme="majorHAnsi"/>
          <w:sz w:val="28"/>
          <w:lang w:val="pl-PL" w:eastAsia="fr-FR"/>
        </w:rPr>
        <w:t xml:space="preserve">PINTO </w:t>
      </w:r>
      <w:r w:rsidR="001C1232" w:rsidRPr="0051003F">
        <w:rPr>
          <w:rFonts w:asciiTheme="majorHAnsi" w:hAnsiTheme="majorHAnsi"/>
          <w:sz w:val="28"/>
          <w:lang w:val="pl-PL" w:eastAsia="fr-FR"/>
        </w:rPr>
        <w:t>DE ALBUQUERQUE</w:t>
      </w:r>
      <w:bookmarkEnd w:id="192"/>
      <w:bookmarkEnd w:id="193"/>
      <w:bookmarkEnd w:id="194"/>
      <w:bookmarkEnd w:id="195"/>
      <w:bookmarkEnd w:id="196"/>
      <w:bookmarkEnd w:id="197"/>
      <w:bookmarkEnd w:id="198"/>
      <w:bookmarkEnd w:id="199"/>
    </w:p>
    <w:p w:rsidR="009E06A2" w:rsidRPr="0051003F" w:rsidRDefault="002C43D3" w:rsidP="00A7252F">
      <w:pPr>
        <w:spacing w:before="120" w:after="240"/>
        <w:ind w:firstLine="284"/>
        <w:rPr>
          <w:smallCaps/>
          <w:szCs w:val="24"/>
          <w:lang w:val="pl-PL"/>
        </w:rPr>
      </w:pPr>
      <w:r w:rsidRPr="0051003F">
        <w:rPr>
          <w:smallCaps/>
          <w:szCs w:val="24"/>
          <w:lang w:val="pl-PL"/>
        </w:rPr>
        <w:t>Spis treści</w:t>
      </w:r>
    </w:p>
    <w:p w:rsidR="00A7252F" w:rsidRPr="0051003F" w:rsidRDefault="003745E5" w:rsidP="00A7252F">
      <w:pPr>
        <w:pStyle w:val="Spistreci2"/>
        <w:rPr>
          <w:rFonts w:asciiTheme="minorHAnsi" w:eastAsiaTheme="minorEastAsia" w:hAnsiTheme="minorHAnsi" w:cstheme="minorBidi"/>
          <w:b w:val="0"/>
          <w:bCs w:val="0"/>
          <w:sz w:val="24"/>
          <w:szCs w:val="24"/>
          <w:lang w:val="pl-PL" w:eastAsia="en-US"/>
        </w:rPr>
      </w:pPr>
      <w:r w:rsidRPr="0051003F">
        <w:rPr>
          <w:b w:val="0"/>
          <w:sz w:val="24"/>
          <w:szCs w:val="24"/>
          <w:lang w:val="pl-PL"/>
        </w:rPr>
        <w:fldChar w:fldCharType="begin"/>
      </w:r>
      <w:r w:rsidR="00D15219" w:rsidRPr="0051003F">
        <w:rPr>
          <w:b w:val="0"/>
          <w:sz w:val="24"/>
          <w:szCs w:val="24"/>
          <w:lang w:val="pl-PL"/>
        </w:rPr>
        <w:instrText xml:space="preserve"> TOC \b Signet1 \h \n \o "1-5" \u \z \* MERGEFORMAT </w:instrText>
      </w:r>
      <w:r w:rsidRPr="0051003F">
        <w:rPr>
          <w:b w:val="0"/>
          <w:sz w:val="24"/>
          <w:szCs w:val="24"/>
          <w:lang w:val="pl-PL"/>
        </w:rPr>
        <w:fldChar w:fldCharType="separate"/>
      </w:r>
      <w:hyperlink w:anchor="_Toc473802170" w:history="1">
        <w:r w:rsidR="002C43D3" w:rsidRPr="0051003F">
          <w:rPr>
            <w:rStyle w:val="Hipercze"/>
            <w:b w:val="0"/>
            <w:sz w:val="24"/>
            <w:szCs w:val="24"/>
            <w:lang w:val="pl-PL"/>
          </w:rPr>
          <w:t>I – Wprowadzenie</w:t>
        </w:r>
        <w:r w:rsidR="00A7252F" w:rsidRPr="0051003F">
          <w:rPr>
            <w:rStyle w:val="Hipercze"/>
            <w:b w:val="0"/>
            <w:sz w:val="24"/>
            <w:szCs w:val="24"/>
            <w:lang w:val="pl-PL"/>
          </w:rPr>
          <w:t xml:space="preserve"> (§§ 1</w:t>
        </w:r>
        <w:r w:rsidR="00A7252F" w:rsidRPr="0051003F">
          <w:rPr>
            <w:rStyle w:val="Hipercze"/>
            <w:b w:val="0"/>
            <w:sz w:val="24"/>
            <w:szCs w:val="24"/>
            <w:lang w:val="pl-PL"/>
          </w:rPr>
          <w:noBreakHyphen/>
          <w:t>2)</w:t>
        </w:r>
      </w:hyperlink>
    </w:p>
    <w:p w:rsidR="00A7252F" w:rsidRPr="0051003F" w:rsidRDefault="00F73F7D" w:rsidP="00A7252F">
      <w:pPr>
        <w:pStyle w:val="Spistreci1"/>
        <w:rPr>
          <w:rFonts w:asciiTheme="minorHAnsi" w:hAnsiTheme="minorHAnsi"/>
          <w:sz w:val="24"/>
          <w:szCs w:val="24"/>
          <w:lang w:val="pl-PL" w:eastAsia="en-US"/>
        </w:rPr>
      </w:pPr>
      <w:hyperlink w:anchor="_Toc473802171" w:history="1">
        <w:r w:rsidR="002C43D3" w:rsidRPr="0051003F">
          <w:rPr>
            <w:rStyle w:val="Hipercze"/>
            <w:sz w:val="24"/>
            <w:szCs w:val="24"/>
            <w:lang w:val="pl-PL"/>
          </w:rPr>
          <w:t>Część pierwsza</w:t>
        </w:r>
        <w:r w:rsidR="00A7252F" w:rsidRPr="0051003F">
          <w:rPr>
            <w:rStyle w:val="Hipercze"/>
            <w:sz w:val="24"/>
            <w:szCs w:val="24"/>
            <w:lang w:val="pl-PL"/>
          </w:rPr>
          <w:t xml:space="preserve"> (§§  3</w:t>
        </w:r>
        <w:r w:rsidR="00A7252F" w:rsidRPr="0051003F">
          <w:rPr>
            <w:rStyle w:val="Hipercze"/>
            <w:sz w:val="24"/>
            <w:szCs w:val="24"/>
            <w:lang w:val="pl-PL"/>
          </w:rPr>
          <w:noBreakHyphen/>
          <w:t>32)</w:t>
        </w:r>
      </w:hyperlink>
    </w:p>
    <w:p w:rsidR="00A7252F" w:rsidRPr="0051003F" w:rsidRDefault="00F73F7D" w:rsidP="00A7252F">
      <w:pPr>
        <w:pStyle w:val="Spistreci2"/>
        <w:rPr>
          <w:rFonts w:asciiTheme="minorHAnsi" w:eastAsiaTheme="minorEastAsia" w:hAnsiTheme="minorHAnsi" w:cstheme="minorBidi"/>
          <w:b w:val="0"/>
          <w:bCs w:val="0"/>
          <w:sz w:val="24"/>
          <w:szCs w:val="24"/>
          <w:lang w:val="pl-PL" w:eastAsia="en-US"/>
        </w:rPr>
      </w:pPr>
      <w:hyperlink w:anchor="_Toc473802172" w:history="1">
        <w:r w:rsidR="00A7252F" w:rsidRPr="0051003F">
          <w:rPr>
            <w:rStyle w:val="Hipercze"/>
            <w:b w:val="0"/>
            <w:sz w:val="24"/>
            <w:szCs w:val="24"/>
            <w:lang w:val="pl-PL"/>
          </w:rPr>
          <w:t>II - </w:t>
        </w:r>
        <w:r w:rsidR="002C43D3" w:rsidRPr="0051003F">
          <w:rPr>
            <w:rStyle w:val="Hipercze"/>
            <w:b w:val="0"/>
            <w:sz w:val="24"/>
            <w:szCs w:val="24"/>
            <w:lang w:val="pl-PL"/>
          </w:rPr>
          <w:t>Podstawy</w:t>
        </w:r>
        <w:r w:rsidR="00A7252F" w:rsidRPr="0051003F">
          <w:rPr>
            <w:rStyle w:val="Hipercze"/>
            <w:b w:val="0"/>
            <w:sz w:val="24"/>
            <w:szCs w:val="24"/>
            <w:lang w:val="pl-PL"/>
          </w:rPr>
          <w:t xml:space="preserve"> </w:t>
        </w:r>
        <w:r w:rsidR="00A7252F" w:rsidRPr="0051003F">
          <w:rPr>
            <w:rStyle w:val="Hipercze"/>
            <w:b w:val="0"/>
            <w:i/>
            <w:sz w:val="24"/>
            <w:szCs w:val="24"/>
            <w:lang w:val="pl-PL"/>
          </w:rPr>
          <w:t xml:space="preserve">ne bis in idem </w:t>
        </w:r>
        <w:r w:rsidR="00A7252F" w:rsidRPr="0051003F">
          <w:rPr>
            <w:rStyle w:val="Hipercze"/>
            <w:b w:val="0"/>
            <w:sz w:val="24"/>
            <w:szCs w:val="24"/>
            <w:lang w:val="pl-PL"/>
          </w:rPr>
          <w:t>(§§ 3</w:t>
        </w:r>
        <w:r w:rsidR="00A7252F" w:rsidRPr="0051003F">
          <w:rPr>
            <w:rStyle w:val="Hipercze"/>
            <w:b w:val="0"/>
            <w:sz w:val="24"/>
            <w:szCs w:val="24"/>
            <w:lang w:val="pl-PL"/>
          </w:rPr>
          <w:noBreakHyphen/>
          <w:t>15)</w:t>
        </w:r>
      </w:hyperlink>
    </w:p>
    <w:p w:rsidR="00A7252F" w:rsidRPr="0051003F" w:rsidRDefault="00F73F7D" w:rsidP="00A7252F">
      <w:pPr>
        <w:pStyle w:val="Spistreci3"/>
        <w:rPr>
          <w:noProof/>
          <w:sz w:val="24"/>
          <w:szCs w:val="24"/>
          <w:lang w:val="pl-PL"/>
        </w:rPr>
      </w:pPr>
      <w:hyperlink w:anchor="_Toc473802173" w:history="1">
        <w:r w:rsidR="00A7252F" w:rsidRPr="0051003F">
          <w:rPr>
            <w:rStyle w:val="Hipercze"/>
            <w:rFonts w:asciiTheme="majorHAnsi" w:eastAsiaTheme="majorEastAsia" w:hAnsiTheme="majorHAnsi" w:cstheme="majorBidi"/>
            <w:bCs/>
            <w:noProof/>
            <w:sz w:val="24"/>
            <w:szCs w:val="24"/>
            <w:lang w:val="pl-PL" w:eastAsia="fr-FR"/>
          </w:rPr>
          <w:t>A.  </w:t>
        </w:r>
        <w:r w:rsidR="002C43D3" w:rsidRPr="0051003F">
          <w:rPr>
            <w:rStyle w:val="Hipercze"/>
            <w:rFonts w:asciiTheme="majorHAnsi" w:eastAsiaTheme="majorEastAsia" w:hAnsiTheme="majorHAnsi" w:cstheme="majorBidi"/>
            <w:bCs/>
            <w:noProof/>
            <w:sz w:val="24"/>
            <w:szCs w:val="24"/>
            <w:lang w:val="pl-PL" w:eastAsia="fr-FR"/>
          </w:rPr>
          <w:t>Nota historyczna</w:t>
        </w:r>
        <w:r w:rsidR="00A7252F" w:rsidRPr="0051003F">
          <w:rPr>
            <w:rStyle w:val="Hipercze"/>
            <w:rFonts w:asciiTheme="majorHAnsi" w:eastAsiaTheme="majorEastAsia" w:hAnsiTheme="majorHAnsi" w:cstheme="majorBidi"/>
            <w:bCs/>
            <w:noProof/>
            <w:sz w:val="24"/>
            <w:szCs w:val="24"/>
            <w:lang w:val="pl-PL" w:eastAsia="fr-FR"/>
          </w:rPr>
          <w:t xml:space="preserve"> (§§ 3</w:t>
        </w:r>
        <w:r w:rsidR="00A7252F" w:rsidRPr="0051003F">
          <w:rPr>
            <w:rStyle w:val="Hipercze"/>
            <w:rFonts w:asciiTheme="majorHAnsi" w:eastAsiaTheme="majorEastAsia" w:hAnsiTheme="majorHAnsi" w:cstheme="majorBidi"/>
            <w:bCs/>
            <w:noProof/>
            <w:sz w:val="24"/>
            <w:szCs w:val="24"/>
            <w:lang w:val="pl-PL" w:eastAsia="fr-FR"/>
          </w:rPr>
          <w:noBreakHyphen/>
          <w:t>5)</w:t>
        </w:r>
      </w:hyperlink>
    </w:p>
    <w:p w:rsidR="00A7252F" w:rsidRPr="0051003F" w:rsidRDefault="00F73F7D" w:rsidP="00A7252F">
      <w:pPr>
        <w:pStyle w:val="Spistreci4"/>
        <w:rPr>
          <w:noProof/>
          <w:sz w:val="24"/>
          <w:szCs w:val="24"/>
          <w:lang w:val="pl-PL"/>
        </w:rPr>
      </w:pPr>
      <w:hyperlink w:anchor="_Toc473802174" w:history="1">
        <w:r w:rsidR="00A7252F" w:rsidRPr="0051003F">
          <w:rPr>
            <w:rStyle w:val="Hipercze"/>
            <w:rFonts w:asciiTheme="majorHAnsi" w:eastAsiaTheme="majorEastAsia" w:hAnsiTheme="majorHAnsi" w:cstheme="majorBidi"/>
            <w:bCs/>
            <w:noProof/>
            <w:sz w:val="24"/>
            <w:szCs w:val="24"/>
            <w:lang w:val="pl-PL" w:eastAsia="fr-FR"/>
          </w:rPr>
          <w:t>a.  </w:t>
        </w:r>
        <w:r w:rsidR="002C43D3" w:rsidRPr="0051003F">
          <w:rPr>
            <w:rStyle w:val="Hipercze"/>
            <w:rFonts w:asciiTheme="majorHAnsi" w:eastAsiaTheme="majorEastAsia" w:hAnsiTheme="majorHAnsi" w:cstheme="majorBidi"/>
            <w:bCs/>
            <w:noProof/>
            <w:sz w:val="24"/>
            <w:szCs w:val="24"/>
            <w:lang w:val="pl-PL" w:eastAsia="fr-FR"/>
          </w:rPr>
          <w:t>Czasy rzymskie</w:t>
        </w:r>
        <w:r w:rsidR="00A7252F" w:rsidRPr="0051003F">
          <w:rPr>
            <w:rStyle w:val="Hipercze"/>
            <w:rFonts w:asciiTheme="majorHAnsi" w:eastAsiaTheme="majorEastAsia" w:hAnsiTheme="majorHAnsi" w:cstheme="majorBidi"/>
            <w:bCs/>
            <w:noProof/>
            <w:sz w:val="24"/>
            <w:szCs w:val="24"/>
            <w:lang w:val="pl-PL" w:eastAsia="fr-FR"/>
          </w:rPr>
          <w:t xml:space="preserve"> (§§ 3</w:t>
        </w:r>
        <w:r w:rsidR="00A7252F" w:rsidRPr="0051003F">
          <w:rPr>
            <w:rStyle w:val="Hipercze"/>
            <w:rFonts w:asciiTheme="majorHAnsi" w:eastAsiaTheme="majorEastAsia" w:hAnsiTheme="majorHAnsi" w:cstheme="majorBidi"/>
            <w:bCs/>
            <w:noProof/>
            <w:sz w:val="24"/>
            <w:szCs w:val="24"/>
            <w:lang w:val="pl-PL" w:eastAsia="fr-FR"/>
          </w:rPr>
          <w:noBreakHyphen/>
          <w:t>4)</w:t>
        </w:r>
      </w:hyperlink>
    </w:p>
    <w:p w:rsidR="00A7252F" w:rsidRPr="0051003F" w:rsidRDefault="00F73F7D" w:rsidP="00A7252F">
      <w:pPr>
        <w:pStyle w:val="Spistreci4"/>
        <w:rPr>
          <w:noProof/>
          <w:sz w:val="24"/>
          <w:szCs w:val="24"/>
          <w:lang w:val="pl-PL"/>
        </w:rPr>
      </w:pPr>
      <w:hyperlink w:anchor="_Toc473802175" w:history="1">
        <w:r w:rsidR="00A7252F" w:rsidRPr="0051003F">
          <w:rPr>
            <w:rStyle w:val="Hipercze"/>
            <w:rFonts w:asciiTheme="majorHAnsi" w:eastAsiaTheme="majorEastAsia" w:hAnsiTheme="majorHAnsi" w:cstheme="majorBidi"/>
            <w:bCs/>
            <w:noProof/>
            <w:sz w:val="24"/>
            <w:szCs w:val="24"/>
            <w:lang w:val="pl-PL" w:eastAsia="fr-FR"/>
          </w:rPr>
          <w:t>b.  </w:t>
        </w:r>
        <w:r w:rsidR="002C43D3" w:rsidRPr="0051003F">
          <w:rPr>
            <w:rStyle w:val="Hipercze"/>
            <w:rFonts w:asciiTheme="majorHAnsi" w:eastAsiaTheme="majorEastAsia" w:hAnsiTheme="majorHAnsi" w:cstheme="majorBidi"/>
            <w:bCs/>
            <w:noProof/>
            <w:sz w:val="24"/>
            <w:szCs w:val="24"/>
            <w:lang w:val="pl-PL" w:eastAsia="fr-FR"/>
          </w:rPr>
          <w:t>Oświecenie</w:t>
        </w:r>
        <w:r w:rsidR="00A7252F" w:rsidRPr="0051003F">
          <w:rPr>
            <w:rStyle w:val="Hipercze"/>
            <w:rFonts w:asciiTheme="majorHAnsi" w:eastAsiaTheme="majorEastAsia" w:hAnsiTheme="majorHAnsi" w:cstheme="majorBidi"/>
            <w:bCs/>
            <w:noProof/>
            <w:sz w:val="24"/>
            <w:szCs w:val="24"/>
            <w:lang w:val="pl-PL" w:eastAsia="fr-FR"/>
          </w:rPr>
          <w:t xml:space="preserve"> (§ 5)</w:t>
        </w:r>
      </w:hyperlink>
    </w:p>
    <w:p w:rsidR="00A7252F" w:rsidRPr="0051003F" w:rsidRDefault="00F73F7D" w:rsidP="00A7252F">
      <w:pPr>
        <w:pStyle w:val="Spistreci3"/>
        <w:rPr>
          <w:noProof/>
          <w:sz w:val="24"/>
          <w:szCs w:val="24"/>
          <w:lang w:val="pl-PL"/>
        </w:rPr>
      </w:pPr>
      <w:hyperlink w:anchor="_Toc473802176" w:history="1">
        <w:r w:rsidR="00A7252F" w:rsidRPr="0051003F">
          <w:rPr>
            <w:rStyle w:val="Hipercze"/>
            <w:rFonts w:asciiTheme="majorHAnsi" w:eastAsiaTheme="majorEastAsia" w:hAnsiTheme="majorHAnsi" w:cstheme="majorBidi"/>
            <w:bCs/>
            <w:noProof/>
            <w:sz w:val="24"/>
            <w:szCs w:val="24"/>
            <w:lang w:val="pl-PL" w:eastAsia="fr-FR"/>
          </w:rPr>
          <w:t>B.  </w:t>
        </w:r>
        <w:r w:rsidR="005630BA" w:rsidRPr="0051003F">
          <w:rPr>
            <w:rStyle w:val="Hipercze"/>
            <w:rFonts w:asciiTheme="majorHAnsi" w:eastAsiaTheme="majorEastAsia" w:hAnsiTheme="majorHAnsi" w:cstheme="majorBidi"/>
            <w:bCs/>
            <w:noProof/>
            <w:sz w:val="24"/>
            <w:szCs w:val="24"/>
            <w:lang w:val="pl-PL" w:eastAsia="fr-FR"/>
          </w:rPr>
          <w:t>Zasada zwyczaju w prawie międzczynarodowym</w:t>
        </w:r>
        <w:r w:rsidR="00A7252F" w:rsidRPr="0051003F">
          <w:rPr>
            <w:rStyle w:val="Hipercze"/>
            <w:rFonts w:asciiTheme="majorHAnsi" w:eastAsiaTheme="majorEastAsia" w:hAnsiTheme="majorHAnsi" w:cstheme="majorBidi"/>
            <w:bCs/>
            <w:noProof/>
            <w:sz w:val="24"/>
            <w:szCs w:val="24"/>
            <w:lang w:val="pl-PL" w:eastAsia="fr-FR"/>
          </w:rPr>
          <w:t xml:space="preserve"> </w:t>
        </w:r>
        <w:r w:rsidR="00A7252F" w:rsidRPr="0051003F">
          <w:rPr>
            <w:rStyle w:val="Hipercze"/>
            <w:noProof/>
            <w:sz w:val="24"/>
            <w:szCs w:val="24"/>
            <w:lang w:val="pl-PL"/>
          </w:rPr>
          <w:t>(§§ 6</w:t>
        </w:r>
        <w:r w:rsidR="00A7252F" w:rsidRPr="0051003F">
          <w:rPr>
            <w:rStyle w:val="Hipercze"/>
            <w:noProof/>
            <w:sz w:val="24"/>
            <w:szCs w:val="24"/>
            <w:lang w:val="pl-PL"/>
          </w:rPr>
          <w:noBreakHyphen/>
          <w:t>15)</w:t>
        </w:r>
      </w:hyperlink>
    </w:p>
    <w:p w:rsidR="00A7252F" w:rsidRPr="0051003F" w:rsidRDefault="00F73F7D" w:rsidP="00A7252F">
      <w:pPr>
        <w:pStyle w:val="Spistreci4"/>
        <w:rPr>
          <w:noProof/>
          <w:sz w:val="24"/>
          <w:szCs w:val="24"/>
          <w:lang w:val="pl-PL"/>
        </w:rPr>
      </w:pPr>
      <w:hyperlink w:anchor="_Toc473802177" w:history="1">
        <w:r w:rsidR="00A7252F" w:rsidRPr="0051003F">
          <w:rPr>
            <w:rStyle w:val="Hipercze"/>
            <w:rFonts w:asciiTheme="majorHAnsi" w:eastAsiaTheme="majorEastAsia" w:hAnsiTheme="majorHAnsi" w:cstheme="majorBidi"/>
            <w:bCs/>
            <w:noProof/>
            <w:sz w:val="24"/>
            <w:szCs w:val="24"/>
            <w:lang w:val="pl-PL" w:eastAsia="fr-FR"/>
          </w:rPr>
          <w:t>a.  </w:t>
        </w:r>
        <w:r w:rsidR="005630BA" w:rsidRPr="0051003F">
          <w:rPr>
            <w:rStyle w:val="Hipercze"/>
            <w:rFonts w:asciiTheme="majorHAnsi" w:eastAsiaTheme="majorEastAsia" w:hAnsiTheme="majorHAnsi" w:cstheme="majorBidi"/>
            <w:bCs/>
            <w:noProof/>
            <w:sz w:val="24"/>
            <w:szCs w:val="24"/>
            <w:lang w:val="pl-PL" w:eastAsia="fr-FR"/>
          </w:rPr>
          <w:t>Uniwersalistyczna konsolidacja zasady</w:t>
        </w:r>
        <w:r w:rsidR="00A7252F" w:rsidRPr="0051003F">
          <w:rPr>
            <w:rStyle w:val="Hipercze"/>
            <w:rFonts w:asciiTheme="majorHAnsi" w:eastAsiaTheme="majorEastAsia" w:hAnsiTheme="majorHAnsi" w:cstheme="majorBidi"/>
            <w:bCs/>
            <w:noProof/>
            <w:sz w:val="24"/>
            <w:szCs w:val="24"/>
            <w:lang w:val="pl-PL" w:eastAsia="fr-FR"/>
          </w:rPr>
          <w:t xml:space="preserve"> (§§ 6</w:t>
        </w:r>
        <w:r w:rsidR="00A7252F" w:rsidRPr="0051003F">
          <w:rPr>
            <w:rStyle w:val="Hipercze"/>
            <w:rFonts w:asciiTheme="majorHAnsi" w:eastAsiaTheme="majorEastAsia" w:hAnsiTheme="majorHAnsi" w:cstheme="majorBidi"/>
            <w:bCs/>
            <w:noProof/>
            <w:sz w:val="24"/>
            <w:szCs w:val="24"/>
            <w:lang w:val="pl-PL" w:eastAsia="fr-FR"/>
          </w:rPr>
          <w:noBreakHyphen/>
          <w:t>7)</w:t>
        </w:r>
      </w:hyperlink>
    </w:p>
    <w:p w:rsidR="00A7252F" w:rsidRPr="0051003F" w:rsidRDefault="00F73F7D" w:rsidP="00A7252F">
      <w:pPr>
        <w:pStyle w:val="Spistreci4"/>
        <w:rPr>
          <w:noProof/>
          <w:sz w:val="24"/>
          <w:szCs w:val="24"/>
          <w:lang w:val="pl-PL"/>
        </w:rPr>
      </w:pPr>
      <w:hyperlink w:anchor="_Toc473802178" w:history="1">
        <w:r w:rsidR="005630BA" w:rsidRPr="0051003F">
          <w:rPr>
            <w:rStyle w:val="Hipercze"/>
            <w:rFonts w:asciiTheme="majorHAnsi" w:eastAsiaTheme="majorEastAsia" w:hAnsiTheme="majorHAnsi" w:cstheme="majorBidi"/>
            <w:bCs/>
            <w:noProof/>
            <w:sz w:val="24"/>
            <w:szCs w:val="24"/>
            <w:lang w:val="pl-PL" w:eastAsia="fr-FR"/>
          </w:rPr>
          <w:t>b.  Europejska konsolidacja zasady</w:t>
        </w:r>
        <w:r w:rsidR="00A7252F" w:rsidRPr="0051003F">
          <w:rPr>
            <w:rStyle w:val="Hipercze"/>
            <w:rFonts w:asciiTheme="majorHAnsi" w:eastAsiaTheme="majorEastAsia" w:hAnsiTheme="majorHAnsi" w:cstheme="majorBidi"/>
            <w:bCs/>
            <w:noProof/>
            <w:sz w:val="24"/>
            <w:szCs w:val="24"/>
            <w:lang w:val="pl-PL" w:eastAsia="fr-FR"/>
          </w:rPr>
          <w:t xml:space="preserve"> (§§ 8</w:t>
        </w:r>
        <w:r w:rsidR="00A7252F" w:rsidRPr="0051003F">
          <w:rPr>
            <w:rStyle w:val="Hipercze"/>
            <w:rFonts w:asciiTheme="majorHAnsi" w:eastAsiaTheme="majorEastAsia" w:hAnsiTheme="majorHAnsi" w:cstheme="majorBidi"/>
            <w:bCs/>
            <w:noProof/>
            <w:sz w:val="24"/>
            <w:szCs w:val="24"/>
            <w:lang w:val="pl-PL" w:eastAsia="fr-FR"/>
          </w:rPr>
          <w:noBreakHyphen/>
          <w:t>15)</w:t>
        </w:r>
      </w:hyperlink>
    </w:p>
    <w:p w:rsidR="00A7252F" w:rsidRPr="0051003F" w:rsidRDefault="00F73F7D" w:rsidP="00A7252F">
      <w:pPr>
        <w:pStyle w:val="Spistreci2"/>
        <w:rPr>
          <w:rFonts w:asciiTheme="minorHAnsi" w:eastAsiaTheme="minorEastAsia" w:hAnsiTheme="minorHAnsi" w:cstheme="minorBidi"/>
          <w:b w:val="0"/>
          <w:bCs w:val="0"/>
          <w:sz w:val="24"/>
          <w:szCs w:val="24"/>
          <w:lang w:val="pl-PL" w:eastAsia="en-US"/>
        </w:rPr>
      </w:pPr>
      <w:hyperlink w:anchor="_Toc473802179" w:history="1">
        <w:r w:rsidR="00A7252F" w:rsidRPr="0051003F">
          <w:rPr>
            <w:rStyle w:val="Hipercze"/>
            <w:b w:val="0"/>
            <w:sz w:val="24"/>
            <w:szCs w:val="24"/>
            <w:lang w:val="pl-PL"/>
          </w:rPr>
          <w:t>III </w:t>
        </w:r>
        <w:r w:rsidR="005630BA" w:rsidRPr="0051003F">
          <w:rPr>
            <w:rStyle w:val="Hipercze"/>
            <w:b w:val="0"/>
            <w:sz w:val="24"/>
            <w:szCs w:val="24"/>
            <w:lang w:val="pl-PL"/>
          </w:rPr>
          <w:t>–</w:t>
        </w:r>
        <w:r w:rsidR="00A7252F" w:rsidRPr="0051003F">
          <w:rPr>
            <w:rStyle w:val="Hipercze"/>
            <w:b w:val="0"/>
            <w:sz w:val="24"/>
            <w:szCs w:val="24"/>
            <w:lang w:val="pl-PL"/>
          </w:rPr>
          <w:t> </w:t>
        </w:r>
        <w:r w:rsidR="005630BA" w:rsidRPr="0051003F">
          <w:rPr>
            <w:rStyle w:val="Hipercze"/>
            <w:b w:val="0"/>
            <w:sz w:val="24"/>
            <w:szCs w:val="24"/>
            <w:lang w:val="pl-PL"/>
          </w:rPr>
          <w:t>Współczesne wyzwania dla</w:t>
        </w:r>
        <w:r w:rsidR="00A7252F" w:rsidRPr="0051003F">
          <w:rPr>
            <w:rStyle w:val="Hipercze"/>
            <w:b w:val="0"/>
            <w:sz w:val="24"/>
            <w:szCs w:val="24"/>
            <w:lang w:val="pl-PL"/>
          </w:rPr>
          <w:t xml:space="preserve"> </w:t>
        </w:r>
        <w:r w:rsidR="00A7252F" w:rsidRPr="0051003F">
          <w:rPr>
            <w:rStyle w:val="Hipercze"/>
            <w:b w:val="0"/>
            <w:i/>
            <w:sz w:val="24"/>
            <w:szCs w:val="24"/>
            <w:lang w:val="pl-PL"/>
          </w:rPr>
          <w:t xml:space="preserve">ne bis in idem </w:t>
        </w:r>
        <w:r w:rsidR="00A7252F" w:rsidRPr="0051003F">
          <w:rPr>
            <w:rStyle w:val="Hipercze"/>
            <w:b w:val="0"/>
            <w:sz w:val="24"/>
            <w:szCs w:val="24"/>
            <w:lang w:val="pl-PL"/>
          </w:rPr>
          <w:t>(§§ 16</w:t>
        </w:r>
        <w:r w:rsidR="00A7252F" w:rsidRPr="0051003F">
          <w:rPr>
            <w:rStyle w:val="Hipercze"/>
            <w:b w:val="0"/>
            <w:sz w:val="24"/>
            <w:szCs w:val="24"/>
            <w:lang w:val="pl-PL"/>
          </w:rPr>
          <w:noBreakHyphen/>
          <w:t>32)</w:t>
        </w:r>
      </w:hyperlink>
    </w:p>
    <w:p w:rsidR="00A7252F" w:rsidRPr="0051003F" w:rsidRDefault="00F73F7D" w:rsidP="00A7252F">
      <w:pPr>
        <w:pStyle w:val="Spistreci3"/>
        <w:rPr>
          <w:noProof/>
          <w:sz w:val="24"/>
          <w:szCs w:val="24"/>
          <w:lang w:val="pl-PL"/>
        </w:rPr>
      </w:pPr>
      <w:hyperlink w:anchor="_Toc473802180" w:history="1">
        <w:r w:rsidR="00A7252F" w:rsidRPr="0051003F">
          <w:rPr>
            <w:rStyle w:val="Hipercze"/>
            <w:rFonts w:asciiTheme="majorHAnsi" w:eastAsiaTheme="majorEastAsia" w:hAnsiTheme="majorHAnsi" w:cstheme="majorBidi"/>
            <w:bCs/>
            <w:noProof/>
            <w:sz w:val="24"/>
            <w:szCs w:val="24"/>
            <w:lang w:val="pl-PL" w:eastAsia="fr-FR"/>
          </w:rPr>
          <w:t>A. </w:t>
        </w:r>
        <w:r w:rsidR="00CD1449" w:rsidRPr="0051003F">
          <w:rPr>
            <w:rStyle w:val="Hipercze"/>
            <w:rFonts w:asciiTheme="majorHAnsi" w:eastAsiaTheme="majorEastAsia" w:hAnsiTheme="majorHAnsi" w:cstheme="majorBidi"/>
            <w:bCs/>
            <w:noProof/>
            <w:sz w:val="24"/>
            <w:szCs w:val="24"/>
            <w:lang w:val="pl-PL" w:eastAsia="fr-FR"/>
          </w:rPr>
          <w:t xml:space="preserve">Wykrocznia administarcyjne i polityka karna </w:t>
        </w:r>
        <w:r w:rsidR="00A7252F" w:rsidRPr="0051003F">
          <w:rPr>
            <w:rStyle w:val="Hipercze"/>
            <w:rFonts w:asciiTheme="majorHAnsi" w:eastAsiaTheme="majorEastAsia" w:hAnsiTheme="majorHAnsi" w:cstheme="majorBidi"/>
            <w:bCs/>
            <w:i/>
            <w:noProof/>
            <w:sz w:val="24"/>
            <w:szCs w:val="24"/>
            <w:lang w:val="pl-PL" w:eastAsia="fr-FR"/>
          </w:rPr>
          <w:t xml:space="preserve">à deux vitesses </w:t>
        </w:r>
        <w:r w:rsidR="00A7252F" w:rsidRPr="0051003F">
          <w:rPr>
            <w:rStyle w:val="Hipercze"/>
            <w:rFonts w:asciiTheme="majorHAnsi" w:eastAsiaTheme="majorEastAsia" w:hAnsiTheme="majorHAnsi" w:cstheme="majorBidi"/>
            <w:bCs/>
            <w:noProof/>
            <w:sz w:val="24"/>
            <w:szCs w:val="24"/>
            <w:lang w:val="pl-PL" w:eastAsia="fr-FR"/>
          </w:rPr>
          <w:t>(§§ 16</w:t>
        </w:r>
        <w:r w:rsidR="00A7252F" w:rsidRPr="0051003F">
          <w:rPr>
            <w:rStyle w:val="Hipercze"/>
            <w:rFonts w:asciiTheme="majorHAnsi" w:eastAsiaTheme="majorEastAsia" w:hAnsiTheme="majorHAnsi" w:cstheme="majorBidi"/>
            <w:bCs/>
            <w:noProof/>
            <w:sz w:val="24"/>
            <w:szCs w:val="24"/>
            <w:lang w:val="pl-PL" w:eastAsia="fr-FR"/>
          </w:rPr>
          <w:noBreakHyphen/>
          <w:t>22)</w:t>
        </w:r>
      </w:hyperlink>
    </w:p>
    <w:p w:rsidR="00A7252F" w:rsidRPr="0051003F" w:rsidRDefault="00F73F7D" w:rsidP="00A7252F">
      <w:pPr>
        <w:pStyle w:val="Spistreci4"/>
        <w:rPr>
          <w:noProof/>
          <w:sz w:val="24"/>
          <w:szCs w:val="24"/>
          <w:lang w:val="pl-PL"/>
        </w:rPr>
      </w:pPr>
      <w:hyperlink w:anchor="_Toc473802181" w:history="1">
        <w:r w:rsidR="00A7252F" w:rsidRPr="0051003F">
          <w:rPr>
            <w:rStyle w:val="Hipercze"/>
            <w:rFonts w:asciiTheme="majorHAnsi" w:eastAsiaTheme="majorEastAsia" w:hAnsiTheme="majorHAnsi" w:cstheme="majorBidi"/>
            <w:bCs/>
            <w:noProof/>
            <w:sz w:val="24"/>
            <w:szCs w:val="24"/>
            <w:lang w:val="pl-PL" w:eastAsia="fr-FR"/>
          </w:rPr>
          <w:t>a.  </w:t>
        </w:r>
        <w:r w:rsidR="005630BA" w:rsidRPr="0051003F">
          <w:rPr>
            <w:rStyle w:val="Hipercze"/>
            <w:rFonts w:asciiTheme="majorHAnsi" w:eastAsiaTheme="majorEastAsia" w:hAnsiTheme="majorHAnsi" w:cstheme="majorBidi"/>
            <w:bCs/>
            <w:noProof/>
            <w:sz w:val="24"/>
            <w:szCs w:val="24"/>
            <w:lang w:val="pl-PL" w:eastAsia="fr-FR"/>
          </w:rPr>
          <w:t>Poli</w:t>
        </w:r>
        <w:r w:rsidR="00CD1449" w:rsidRPr="0051003F">
          <w:rPr>
            <w:rStyle w:val="Hipercze"/>
            <w:rFonts w:asciiTheme="majorHAnsi" w:eastAsiaTheme="majorEastAsia" w:hAnsiTheme="majorHAnsi" w:cstheme="majorBidi"/>
            <w:bCs/>
            <w:noProof/>
            <w:sz w:val="24"/>
            <w:szCs w:val="24"/>
            <w:lang w:val="pl-PL" w:eastAsia="fr-FR"/>
          </w:rPr>
          <w:t xml:space="preserve">tyczna tendencja w </w:t>
        </w:r>
        <w:r w:rsidR="005630BA" w:rsidRPr="0051003F">
          <w:rPr>
            <w:rStyle w:val="Hipercze"/>
            <w:rFonts w:asciiTheme="majorHAnsi" w:eastAsiaTheme="majorEastAsia" w:hAnsiTheme="majorHAnsi" w:cstheme="majorBidi"/>
            <w:bCs/>
            <w:noProof/>
            <w:sz w:val="24"/>
            <w:szCs w:val="24"/>
            <w:lang w:val="pl-PL" w:eastAsia="fr-FR"/>
          </w:rPr>
          <w:t>kierunku dekryminalizacji</w:t>
        </w:r>
        <w:r w:rsidR="00A7252F" w:rsidRPr="0051003F">
          <w:rPr>
            <w:rStyle w:val="Hipercze"/>
            <w:rFonts w:asciiTheme="majorHAnsi" w:eastAsiaTheme="majorEastAsia" w:hAnsiTheme="majorHAnsi" w:cstheme="majorBidi"/>
            <w:bCs/>
            <w:noProof/>
            <w:sz w:val="24"/>
            <w:szCs w:val="24"/>
            <w:lang w:val="pl-PL" w:eastAsia="fr-FR"/>
          </w:rPr>
          <w:t xml:space="preserve"> (§§ 16</w:t>
        </w:r>
        <w:r w:rsidR="00A7252F" w:rsidRPr="0051003F">
          <w:rPr>
            <w:rStyle w:val="Hipercze"/>
            <w:rFonts w:asciiTheme="majorHAnsi" w:eastAsiaTheme="majorEastAsia" w:hAnsiTheme="majorHAnsi" w:cstheme="majorBidi"/>
            <w:bCs/>
            <w:noProof/>
            <w:sz w:val="24"/>
            <w:szCs w:val="24"/>
            <w:lang w:val="pl-PL" w:eastAsia="fr-FR"/>
          </w:rPr>
          <w:noBreakHyphen/>
          <w:t>17)</w:t>
        </w:r>
      </w:hyperlink>
    </w:p>
    <w:p w:rsidR="00A7252F" w:rsidRPr="0051003F" w:rsidRDefault="00F73F7D" w:rsidP="00A7252F">
      <w:pPr>
        <w:pStyle w:val="Spistreci4"/>
        <w:rPr>
          <w:noProof/>
          <w:sz w:val="24"/>
          <w:szCs w:val="24"/>
          <w:lang w:val="pl-PL"/>
        </w:rPr>
      </w:pPr>
      <w:hyperlink w:anchor="_Toc473802182" w:history="1">
        <w:r w:rsidR="00A7252F" w:rsidRPr="0051003F">
          <w:rPr>
            <w:rStyle w:val="Hipercze"/>
            <w:rFonts w:asciiTheme="majorHAnsi" w:eastAsiaTheme="majorEastAsia" w:hAnsiTheme="majorHAnsi" w:cstheme="majorBidi"/>
            <w:bCs/>
            <w:noProof/>
            <w:sz w:val="24"/>
            <w:szCs w:val="24"/>
            <w:lang w:val="pl-PL" w:eastAsia="fr-FR"/>
          </w:rPr>
          <w:t>b.  </w:t>
        </w:r>
        <w:r w:rsidR="00A7252F" w:rsidRPr="0051003F">
          <w:rPr>
            <w:rStyle w:val="Hipercze"/>
            <w:rFonts w:asciiTheme="majorHAnsi" w:eastAsiaTheme="majorEastAsia" w:hAnsiTheme="majorHAnsi" w:cstheme="majorBidi"/>
            <w:bCs/>
            <w:i/>
            <w:noProof/>
            <w:sz w:val="24"/>
            <w:szCs w:val="24"/>
            <w:lang w:val="pl-PL" w:eastAsia="fr-FR"/>
          </w:rPr>
          <w:t xml:space="preserve">Öztürk </w:t>
        </w:r>
        <w:r w:rsidR="005630BA" w:rsidRPr="0051003F">
          <w:rPr>
            <w:rStyle w:val="Hipercze"/>
            <w:rFonts w:asciiTheme="majorHAnsi" w:eastAsiaTheme="majorEastAsia" w:hAnsiTheme="majorHAnsi" w:cstheme="majorBidi"/>
            <w:bCs/>
            <w:noProof/>
            <w:sz w:val="24"/>
            <w:szCs w:val="24"/>
            <w:lang w:val="pl-PL" w:eastAsia="fr-FR"/>
          </w:rPr>
          <w:t>i “kryminalizacja</w:t>
        </w:r>
        <w:r w:rsidR="00A7252F" w:rsidRPr="0051003F">
          <w:rPr>
            <w:rStyle w:val="Hipercze"/>
            <w:rFonts w:asciiTheme="majorHAnsi" w:eastAsiaTheme="majorEastAsia" w:hAnsiTheme="majorHAnsi" w:cstheme="majorBidi"/>
            <w:bCs/>
            <w:noProof/>
            <w:sz w:val="24"/>
            <w:szCs w:val="24"/>
            <w:lang w:val="pl-PL" w:eastAsia="fr-FR"/>
          </w:rPr>
          <w:t xml:space="preserve">” </w:t>
        </w:r>
        <w:r w:rsidR="005630BA" w:rsidRPr="0051003F">
          <w:rPr>
            <w:rStyle w:val="Hipercze"/>
            <w:rFonts w:asciiTheme="majorHAnsi" w:eastAsiaTheme="majorEastAsia" w:hAnsiTheme="majorHAnsi" w:cstheme="majorBidi"/>
            <w:bCs/>
            <w:noProof/>
            <w:sz w:val="24"/>
            <w:szCs w:val="24"/>
            <w:lang w:val="pl-PL" w:eastAsia="fr-FR"/>
          </w:rPr>
          <w:t>drobnych przestępstw</w:t>
        </w:r>
        <w:r w:rsidR="00A7252F" w:rsidRPr="0051003F">
          <w:rPr>
            <w:rStyle w:val="Hipercze"/>
            <w:rFonts w:asciiTheme="majorHAnsi" w:eastAsiaTheme="majorEastAsia" w:hAnsiTheme="majorHAnsi" w:cstheme="majorBidi"/>
            <w:bCs/>
            <w:noProof/>
            <w:sz w:val="24"/>
            <w:szCs w:val="24"/>
            <w:lang w:val="pl-PL" w:eastAsia="fr-FR"/>
          </w:rPr>
          <w:t xml:space="preserve"> (§§ 18</w:t>
        </w:r>
        <w:r w:rsidR="00A7252F" w:rsidRPr="0051003F">
          <w:rPr>
            <w:rStyle w:val="Hipercze"/>
            <w:rFonts w:asciiTheme="majorHAnsi" w:eastAsiaTheme="majorEastAsia" w:hAnsiTheme="majorHAnsi" w:cstheme="majorBidi"/>
            <w:bCs/>
            <w:noProof/>
            <w:sz w:val="24"/>
            <w:szCs w:val="24"/>
            <w:lang w:val="pl-PL" w:eastAsia="fr-FR"/>
          </w:rPr>
          <w:noBreakHyphen/>
          <w:t>22)</w:t>
        </w:r>
      </w:hyperlink>
    </w:p>
    <w:p w:rsidR="00A7252F" w:rsidRPr="0051003F" w:rsidRDefault="00F73F7D" w:rsidP="00A7252F">
      <w:pPr>
        <w:pStyle w:val="Spistreci3"/>
        <w:rPr>
          <w:noProof/>
          <w:sz w:val="24"/>
          <w:szCs w:val="24"/>
          <w:lang w:val="pl-PL"/>
        </w:rPr>
      </w:pPr>
      <w:hyperlink w:anchor="_Toc473802183" w:history="1">
        <w:r w:rsidR="00A7252F" w:rsidRPr="0051003F">
          <w:rPr>
            <w:rStyle w:val="Hipercze"/>
            <w:rFonts w:asciiTheme="majorHAnsi" w:eastAsiaTheme="majorEastAsia" w:hAnsiTheme="majorHAnsi" w:cstheme="majorBidi"/>
            <w:bCs/>
            <w:noProof/>
            <w:sz w:val="24"/>
            <w:szCs w:val="24"/>
            <w:lang w:val="pl-PL" w:eastAsia="fr-FR"/>
          </w:rPr>
          <w:t>B.  </w:t>
        </w:r>
        <w:r w:rsidR="00E02E80" w:rsidRPr="0051003F">
          <w:rPr>
            <w:rStyle w:val="Hipercze"/>
            <w:rFonts w:asciiTheme="majorHAnsi" w:eastAsiaTheme="majorEastAsia" w:hAnsiTheme="majorHAnsi" w:cstheme="majorBidi"/>
            <w:bCs/>
            <w:noProof/>
            <w:sz w:val="24"/>
            <w:szCs w:val="24"/>
            <w:lang w:val="pl-PL" w:eastAsia="fr-FR"/>
          </w:rPr>
          <w:t xml:space="preserve">Sankcje </w:t>
        </w:r>
        <w:r w:rsidR="005630BA" w:rsidRPr="0051003F">
          <w:rPr>
            <w:rStyle w:val="Hipercze"/>
            <w:rFonts w:asciiTheme="majorHAnsi" w:eastAsiaTheme="majorEastAsia" w:hAnsiTheme="majorHAnsi" w:cstheme="majorBidi"/>
            <w:bCs/>
            <w:noProof/>
            <w:sz w:val="24"/>
            <w:szCs w:val="24"/>
            <w:lang w:val="pl-PL" w:eastAsia="fr-FR"/>
          </w:rPr>
          <w:t>podatkowe jako instrument polityki karnej</w:t>
        </w:r>
        <w:r w:rsidR="00A7252F" w:rsidRPr="0051003F">
          <w:rPr>
            <w:rStyle w:val="Hipercze"/>
            <w:rFonts w:asciiTheme="majorHAnsi" w:eastAsiaTheme="majorEastAsia" w:hAnsiTheme="majorHAnsi" w:cstheme="majorBidi"/>
            <w:bCs/>
            <w:noProof/>
            <w:sz w:val="24"/>
            <w:szCs w:val="24"/>
            <w:lang w:val="pl-PL" w:eastAsia="fr-FR"/>
          </w:rPr>
          <w:t xml:space="preserve"> (§§ 23</w:t>
        </w:r>
        <w:r w:rsidR="00A7252F" w:rsidRPr="0051003F">
          <w:rPr>
            <w:rStyle w:val="Hipercze"/>
            <w:rFonts w:asciiTheme="majorHAnsi" w:eastAsiaTheme="majorEastAsia" w:hAnsiTheme="majorHAnsi" w:cstheme="majorBidi"/>
            <w:bCs/>
            <w:noProof/>
            <w:sz w:val="24"/>
            <w:szCs w:val="24"/>
            <w:lang w:val="pl-PL" w:eastAsia="fr-FR"/>
          </w:rPr>
          <w:noBreakHyphen/>
          <w:t>32)</w:t>
        </w:r>
      </w:hyperlink>
    </w:p>
    <w:p w:rsidR="00A7252F" w:rsidRPr="0051003F" w:rsidRDefault="00F73F7D" w:rsidP="00A7252F">
      <w:pPr>
        <w:pStyle w:val="Spistreci4"/>
        <w:rPr>
          <w:noProof/>
          <w:sz w:val="24"/>
          <w:szCs w:val="24"/>
          <w:lang w:val="pl-PL"/>
        </w:rPr>
      </w:pPr>
      <w:hyperlink w:anchor="_Toc473802184" w:history="1">
        <w:r w:rsidR="00A7252F" w:rsidRPr="0051003F">
          <w:rPr>
            <w:rStyle w:val="Hipercze"/>
            <w:rFonts w:asciiTheme="majorHAnsi" w:eastAsiaTheme="majorEastAsia" w:hAnsiTheme="majorHAnsi" w:cstheme="majorBidi"/>
            <w:bCs/>
            <w:noProof/>
            <w:sz w:val="24"/>
            <w:szCs w:val="24"/>
            <w:lang w:val="pl-PL" w:eastAsia="fr-FR"/>
          </w:rPr>
          <w:t>a.  </w:t>
        </w:r>
        <w:r w:rsidR="005630BA" w:rsidRPr="0051003F">
          <w:rPr>
            <w:rStyle w:val="Hipercze"/>
            <w:rFonts w:asciiTheme="majorHAnsi" w:eastAsiaTheme="majorEastAsia" w:hAnsiTheme="majorHAnsi" w:cstheme="majorBidi"/>
            <w:bCs/>
            <w:noProof/>
            <w:sz w:val="24"/>
            <w:szCs w:val="24"/>
            <w:lang w:val="pl-PL" w:eastAsia="fr-FR"/>
          </w:rPr>
          <w:t xml:space="preserve">Karny charakter </w:t>
        </w:r>
        <w:r w:rsidR="00E02E80" w:rsidRPr="0051003F">
          <w:rPr>
            <w:rStyle w:val="Hipercze"/>
            <w:rFonts w:asciiTheme="majorHAnsi" w:eastAsiaTheme="majorEastAsia" w:hAnsiTheme="majorHAnsi" w:cstheme="majorBidi"/>
            <w:bCs/>
            <w:noProof/>
            <w:sz w:val="24"/>
            <w:szCs w:val="24"/>
            <w:lang w:val="pl-PL" w:eastAsia="fr-FR"/>
          </w:rPr>
          <w:t>sankcji</w:t>
        </w:r>
        <w:r w:rsidR="005630BA" w:rsidRPr="0051003F">
          <w:rPr>
            <w:rStyle w:val="Hipercze"/>
            <w:rFonts w:asciiTheme="majorHAnsi" w:eastAsiaTheme="majorEastAsia" w:hAnsiTheme="majorHAnsi" w:cstheme="majorBidi"/>
            <w:bCs/>
            <w:noProof/>
            <w:sz w:val="24"/>
            <w:szCs w:val="24"/>
            <w:lang w:val="pl-PL" w:eastAsia="fr-FR"/>
          </w:rPr>
          <w:t xml:space="preserve"> podatkowych</w:t>
        </w:r>
        <w:r w:rsidR="00A7252F" w:rsidRPr="0051003F">
          <w:rPr>
            <w:rStyle w:val="Hipercze"/>
            <w:rFonts w:asciiTheme="majorHAnsi" w:eastAsiaTheme="majorEastAsia" w:hAnsiTheme="majorHAnsi" w:cstheme="majorBidi"/>
            <w:bCs/>
            <w:noProof/>
            <w:sz w:val="24"/>
            <w:szCs w:val="24"/>
            <w:lang w:val="pl-PL" w:eastAsia="fr-FR"/>
          </w:rPr>
          <w:t xml:space="preserve"> (§§ 23</w:t>
        </w:r>
        <w:r w:rsidR="00A7252F" w:rsidRPr="0051003F">
          <w:rPr>
            <w:rStyle w:val="Hipercze"/>
            <w:rFonts w:asciiTheme="majorHAnsi" w:eastAsiaTheme="majorEastAsia" w:hAnsiTheme="majorHAnsi" w:cstheme="majorBidi"/>
            <w:bCs/>
            <w:noProof/>
            <w:sz w:val="24"/>
            <w:szCs w:val="24"/>
            <w:lang w:val="pl-PL" w:eastAsia="fr-FR"/>
          </w:rPr>
          <w:noBreakHyphen/>
          <w:t>25)</w:t>
        </w:r>
      </w:hyperlink>
    </w:p>
    <w:p w:rsidR="00A7252F" w:rsidRPr="0051003F" w:rsidRDefault="00F73F7D" w:rsidP="00A7252F">
      <w:pPr>
        <w:pStyle w:val="Spistreci4"/>
        <w:rPr>
          <w:noProof/>
          <w:sz w:val="24"/>
          <w:szCs w:val="24"/>
          <w:lang w:val="pl-PL"/>
        </w:rPr>
      </w:pPr>
      <w:hyperlink w:anchor="_Toc473802185" w:history="1">
        <w:r w:rsidR="00A7252F" w:rsidRPr="0051003F">
          <w:rPr>
            <w:rStyle w:val="Hipercze"/>
            <w:rFonts w:asciiTheme="majorHAnsi" w:eastAsiaTheme="majorEastAsia" w:hAnsiTheme="majorHAnsi" w:cstheme="majorBidi"/>
            <w:bCs/>
            <w:noProof/>
            <w:sz w:val="24"/>
            <w:szCs w:val="24"/>
            <w:lang w:val="pl-PL" w:eastAsia="fr-FR"/>
          </w:rPr>
          <w:t>b.  </w:t>
        </w:r>
        <w:r w:rsidR="00A7252F" w:rsidRPr="0051003F">
          <w:rPr>
            <w:rStyle w:val="Hipercze"/>
            <w:rFonts w:asciiTheme="majorHAnsi" w:eastAsiaTheme="majorEastAsia" w:hAnsiTheme="majorHAnsi" w:cstheme="majorBidi"/>
            <w:bCs/>
            <w:i/>
            <w:noProof/>
            <w:sz w:val="24"/>
            <w:szCs w:val="24"/>
            <w:lang w:val="pl-PL" w:eastAsia="fr-FR"/>
          </w:rPr>
          <w:t>Jussila</w:t>
        </w:r>
        <w:r w:rsidR="005630BA" w:rsidRPr="0051003F">
          <w:rPr>
            <w:rStyle w:val="Hipercze"/>
            <w:rFonts w:asciiTheme="majorHAnsi" w:eastAsiaTheme="majorEastAsia" w:hAnsiTheme="majorHAnsi" w:cstheme="majorBidi"/>
            <w:bCs/>
            <w:noProof/>
            <w:sz w:val="24"/>
            <w:szCs w:val="24"/>
            <w:lang w:val="pl-PL" w:eastAsia="fr-FR"/>
          </w:rPr>
          <w:t xml:space="preserve"> oraz linia rozgraniczająca pomiędzy</w:t>
        </w:r>
        <w:r w:rsidR="00A7252F" w:rsidRPr="0051003F">
          <w:rPr>
            <w:rStyle w:val="Hipercze"/>
            <w:rFonts w:asciiTheme="majorHAnsi" w:eastAsiaTheme="majorEastAsia" w:hAnsiTheme="majorHAnsi" w:cstheme="majorBidi"/>
            <w:bCs/>
            <w:noProof/>
            <w:sz w:val="24"/>
            <w:szCs w:val="24"/>
            <w:lang w:val="pl-PL" w:eastAsia="fr-FR"/>
          </w:rPr>
          <w:t xml:space="preserve"> </w:t>
        </w:r>
        <w:r w:rsidR="00A7252F" w:rsidRPr="0051003F">
          <w:rPr>
            <w:rStyle w:val="Hipercze"/>
            <w:rFonts w:asciiTheme="majorHAnsi" w:eastAsiaTheme="majorEastAsia" w:hAnsiTheme="majorHAnsi" w:cstheme="majorBidi"/>
            <w:bCs/>
            <w:i/>
            <w:noProof/>
            <w:sz w:val="24"/>
            <w:szCs w:val="24"/>
            <w:lang w:val="pl-PL" w:eastAsia="fr-FR"/>
          </w:rPr>
          <w:t>malum in se</w:t>
        </w:r>
        <w:r w:rsidR="005630BA" w:rsidRPr="0051003F">
          <w:rPr>
            <w:rStyle w:val="Hipercze"/>
            <w:rFonts w:asciiTheme="majorHAnsi" w:eastAsiaTheme="majorEastAsia" w:hAnsiTheme="majorHAnsi" w:cstheme="majorBidi"/>
            <w:bCs/>
            <w:noProof/>
            <w:sz w:val="24"/>
            <w:szCs w:val="24"/>
            <w:lang w:val="pl-PL" w:eastAsia="fr-FR"/>
          </w:rPr>
          <w:t xml:space="preserve"> oraz</w:t>
        </w:r>
        <w:r w:rsidR="00A7252F" w:rsidRPr="0051003F">
          <w:rPr>
            <w:rStyle w:val="Hipercze"/>
            <w:rFonts w:asciiTheme="majorHAnsi" w:eastAsiaTheme="majorEastAsia" w:hAnsiTheme="majorHAnsi" w:cstheme="majorBidi"/>
            <w:bCs/>
            <w:noProof/>
            <w:sz w:val="24"/>
            <w:szCs w:val="24"/>
            <w:lang w:val="pl-PL" w:eastAsia="fr-FR"/>
          </w:rPr>
          <w:t xml:space="preserve"> </w:t>
        </w:r>
        <w:r w:rsidR="00A7252F" w:rsidRPr="0051003F">
          <w:rPr>
            <w:rStyle w:val="Hipercze"/>
            <w:rFonts w:asciiTheme="majorHAnsi" w:eastAsiaTheme="majorEastAsia" w:hAnsiTheme="majorHAnsi" w:cstheme="majorBidi"/>
            <w:bCs/>
            <w:i/>
            <w:noProof/>
            <w:sz w:val="24"/>
            <w:szCs w:val="24"/>
            <w:lang w:val="pl-PL" w:eastAsia="fr-FR"/>
          </w:rPr>
          <w:t xml:space="preserve">malum quia prohibitum </w:t>
        </w:r>
        <w:r w:rsidR="00A7252F" w:rsidRPr="0051003F">
          <w:rPr>
            <w:rStyle w:val="Hipercze"/>
            <w:rFonts w:asciiTheme="majorHAnsi" w:eastAsiaTheme="majorEastAsia" w:hAnsiTheme="majorHAnsi" w:cstheme="majorBidi"/>
            <w:bCs/>
            <w:noProof/>
            <w:sz w:val="24"/>
            <w:szCs w:val="24"/>
            <w:lang w:val="pl-PL" w:eastAsia="fr-FR"/>
          </w:rPr>
          <w:t>(§§ 26</w:t>
        </w:r>
        <w:r w:rsidR="00A7252F" w:rsidRPr="0051003F">
          <w:rPr>
            <w:rStyle w:val="Hipercze"/>
            <w:rFonts w:asciiTheme="majorHAnsi" w:eastAsiaTheme="majorEastAsia" w:hAnsiTheme="majorHAnsi" w:cstheme="majorBidi"/>
            <w:bCs/>
            <w:noProof/>
            <w:sz w:val="24"/>
            <w:szCs w:val="24"/>
            <w:lang w:val="pl-PL" w:eastAsia="fr-FR"/>
          </w:rPr>
          <w:noBreakHyphen/>
          <w:t>32)</w:t>
        </w:r>
      </w:hyperlink>
    </w:p>
    <w:p w:rsidR="00A7252F" w:rsidRPr="0051003F" w:rsidRDefault="00F73F7D" w:rsidP="00A7252F">
      <w:pPr>
        <w:pStyle w:val="Spistreci1"/>
        <w:rPr>
          <w:rFonts w:asciiTheme="minorHAnsi" w:hAnsiTheme="minorHAnsi"/>
          <w:sz w:val="24"/>
          <w:szCs w:val="24"/>
          <w:lang w:val="pl-PL" w:eastAsia="en-US"/>
        </w:rPr>
      </w:pPr>
      <w:hyperlink w:anchor="_Toc473802186" w:history="1">
        <w:r w:rsidR="005630BA" w:rsidRPr="0051003F">
          <w:rPr>
            <w:rStyle w:val="Hipercze"/>
            <w:sz w:val="24"/>
            <w:szCs w:val="24"/>
            <w:lang w:val="pl-PL"/>
          </w:rPr>
          <w:t>Część druga</w:t>
        </w:r>
        <w:r w:rsidR="00A7252F" w:rsidRPr="0051003F">
          <w:rPr>
            <w:rStyle w:val="Hipercze"/>
            <w:sz w:val="24"/>
            <w:szCs w:val="24"/>
            <w:lang w:val="pl-PL"/>
          </w:rPr>
          <w:t xml:space="preserve"> (§§ 33</w:t>
        </w:r>
        <w:r w:rsidR="00A7252F" w:rsidRPr="0051003F">
          <w:rPr>
            <w:rStyle w:val="Hipercze"/>
            <w:sz w:val="24"/>
            <w:szCs w:val="24"/>
            <w:lang w:val="pl-PL"/>
          </w:rPr>
          <w:noBreakHyphen/>
          <w:t>80)</w:t>
        </w:r>
      </w:hyperlink>
    </w:p>
    <w:p w:rsidR="00A7252F" w:rsidRPr="0051003F" w:rsidRDefault="00F73F7D" w:rsidP="00A7252F">
      <w:pPr>
        <w:pStyle w:val="Spistreci2"/>
        <w:rPr>
          <w:rFonts w:asciiTheme="minorHAnsi" w:eastAsiaTheme="minorEastAsia" w:hAnsiTheme="minorHAnsi" w:cstheme="minorBidi"/>
          <w:b w:val="0"/>
          <w:bCs w:val="0"/>
          <w:sz w:val="24"/>
          <w:szCs w:val="24"/>
          <w:lang w:val="pl-PL" w:eastAsia="en-US"/>
        </w:rPr>
      </w:pPr>
      <w:hyperlink w:anchor="_Toc473802187" w:history="1">
        <w:r w:rsidR="00A7252F" w:rsidRPr="0051003F">
          <w:rPr>
            <w:rStyle w:val="Hipercze"/>
            <w:b w:val="0"/>
            <w:sz w:val="24"/>
            <w:szCs w:val="24"/>
            <w:lang w:val="pl-PL"/>
          </w:rPr>
          <w:t>IV - </w:t>
        </w:r>
        <w:r w:rsidR="004F2920" w:rsidRPr="0051003F">
          <w:rPr>
            <w:b w:val="0"/>
            <w:bCs w:val="0"/>
            <w:szCs w:val="28"/>
            <w:lang w:val="pl-PL"/>
          </w:rPr>
          <w:t xml:space="preserve">– Dziedzictwo </w:t>
        </w:r>
        <w:r w:rsidR="004F2920" w:rsidRPr="0051003F">
          <w:rPr>
            <w:b w:val="0"/>
            <w:bCs w:val="0"/>
            <w:i/>
            <w:szCs w:val="28"/>
            <w:lang w:val="pl-PL"/>
          </w:rPr>
          <w:t xml:space="preserve">pro persona </w:t>
        </w:r>
        <w:r w:rsidR="004F2920" w:rsidRPr="0051003F">
          <w:rPr>
            <w:b w:val="0"/>
            <w:bCs w:val="0"/>
            <w:szCs w:val="28"/>
            <w:lang w:val="pl-PL"/>
          </w:rPr>
          <w:t xml:space="preserve">w sprawie </w:t>
        </w:r>
        <w:r w:rsidR="004F2920" w:rsidRPr="0051003F">
          <w:rPr>
            <w:b w:val="0"/>
            <w:bCs w:val="0"/>
            <w:i/>
            <w:szCs w:val="28"/>
            <w:lang w:val="pl-PL"/>
          </w:rPr>
          <w:t xml:space="preserve">Sergeya Zolotukhina </w:t>
        </w:r>
        <w:r w:rsidR="00A7252F" w:rsidRPr="0051003F">
          <w:rPr>
            <w:rStyle w:val="Hipercze"/>
            <w:b w:val="0"/>
            <w:sz w:val="24"/>
            <w:szCs w:val="24"/>
            <w:lang w:val="pl-PL"/>
          </w:rPr>
          <w:t>(§§ 33</w:t>
        </w:r>
        <w:r w:rsidR="00A7252F" w:rsidRPr="0051003F">
          <w:rPr>
            <w:rStyle w:val="Hipercze"/>
            <w:b w:val="0"/>
            <w:sz w:val="24"/>
            <w:szCs w:val="24"/>
            <w:lang w:val="pl-PL"/>
          </w:rPr>
          <w:noBreakHyphen/>
          <w:t>49)</w:t>
        </w:r>
      </w:hyperlink>
    </w:p>
    <w:p w:rsidR="00A7252F" w:rsidRPr="0051003F" w:rsidRDefault="00F73F7D" w:rsidP="00A7252F">
      <w:pPr>
        <w:pStyle w:val="Spistreci3"/>
        <w:rPr>
          <w:noProof/>
          <w:sz w:val="24"/>
          <w:szCs w:val="24"/>
          <w:lang w:val="pl-PL"/>
        </w:rPr>
      </w:pPr>
      <w:hyperlink w:anchor="_Toc473802188" w:history="1">
        <w:r w:rsidR="00A7252F" w:rsidRPr="0051003F">
          <w:rPr>
            <w:rStyle w:val="Hipercze"/>
            <w:rFonts w:asciiTheme="majorHAnsi" w:eastAsiaTheme="majorEastAsia" w:hAnsiTheme="majorHAnsi" w:cstheme="majorBidi"/>
            <w:bCs/>
            <w:noProof/>
            <w:sz w:val="24"/>
            <w:szCs w:val="24"/>
            <w:lang w:val="pl-PL" w:eastAsia="fr-FR"/>
          </w:rPr>
          <w:t>A.  </w:t>
        </w:r>
        <w:r w:rsidR="004F2920" w:rsidRPr="0051003F">
          <w:rPr>
            <w:rStyle w:val="Hipercze"/>
            <w:rFonts w:asciiTheme="majorHAnsi" w:eastAsiaTheme="majorEastAsia" w:hAnsiTheme="majorHAnsi" w:cstheme="majorBidi"/>
            <w:bCs/>
            <w:noProof/>
            <w:sz w:val="24"/>
            <w:szCs w:val="24"/>
            <w:lang w:val="pl-PL" w:eastAsia="fr-FR"/>
          </w:rPr>
          <w:t>Połączenie sanckji administracyjnych i karnych</w:t>
        </w:r>
        <w:r w:rsidR="00A7252F" w:rsidRPr="0051003F">
          <w:rPr>
            <w:rStyle w:val="Hipercze"/>
            <w:rFonts w:asciiTheme="majorHAnsi" w:eastAsiaTheme="majorEastAsia" w:hAnsiTheme="majorHAnsi" w:cstheme="majorBidi"/>
            <w:bCs/>
            <w:noProof/>
            <w:sz w:val="24"/>
            <w:szCs w:val="24"/>
            <w:lang w:val="pl-PL" w:eastAsia="fr-FR"/>
          </w:rPr>
          <w:t xml:space="preserve"> </w:t>
        </w:r>
        <w:r w:rsidR="00A7252F" w:rsidRPr="0051003F">
          <w:rPr>
            <w:rStyle w:val="Hipercze"/>
            <w:noProof/>
            <w:sz w:val="24"/>
            <w:szCs w:val="24"/>
            <w:lang w:val="pl-PL"/>
          </w:rPr>
          <w:t>(§§ 33</w:t>
        </w:r>
        <w:r w:rsidR="00A7252F" w:rsidRPr="0051003F">
          <w:rPr>
            <w:rStyle w:val="Hipercze"/>
            <w:noProof/>
            <w:sz w:val="24"/>
            <w:szCs w:val="24"/>
            <w:lang w:val="pl-PL"/>
          </w:rPr>
          <w:noBreakHyphen/>
          <w:t>39)</w:t>
        </w:r>
      </w:hyperlink>
    </w:p>
    <w:p w:rsidR="00A7252F" w:rsidRPr="0051003F" w:rsidRDefault="00F73F7D" w:rsidP="00A7252F">
      <w:pPr>
        <w:pStyle w:val="Spistreci4"/>
        <w:rPr>
          <w:noProof/>
          <w:sz w:val="24"/>
          <w:szCs w:val="24"/>
          <w:lang w:val="pl-PL"/>
        </w:rPr>
      </w:pPr>
      <w:hyperlink w:anchor="_Toc473802189" w:history="1">
        <w:r w:rsidR="00A7252F" w:rsidRPr="0051003F">
          <w:rPr>
            <w:rStyle w:val="Hipercze"/>
            <w:rFonts w:asciiTheme="majorHAnsi" w:eastAsiaTheme="majorEastAsia" w:hAnsiTheme="majorHAnsi" w:cstheme="majorBidi"/>
            <w:bCs/>
            <w:noProof/>
            <w:sz w:val="24"/>
            <w:szCs w:val="24"/>
            <w:lang w:val="pl-PL" w:eastAsia="fr-FR"/>
          </w:rPr>
          <w:t>a.  </w:t>
        </w:r>
        <w:r w:rsidR="004F2920" w:rsidRPr="0051003F">
          <w:rPr>
            <w:rStyle w:val="Hipercze"/>
            <w:rFonts w:asciiTheme="majorHAnsi" w:eastAsiaTheme="majorEastAsia" w:hAnsiTheme="majorHAnsi" w:cstheme="majorBidi"/>
            <w:bCs/>
            <w:noProof/>
            <w:sz w:val="24"/>
            <w:szCs w:val="24"/>
            <w:lang w:val="pl-PL" w:eastAsia="fr-FR"/>
          </w:rPr>
          <w:t>I</w:t>
        </w:r>
        <w:r w:rsidR="00A7252F" w:rsidRPr="0051003F">
          <w:rPr>
            <w:rStyle w:val="Hipercze"/>
            <w:rFonts w:asciiTheme="majorHAnsi" w:eastAsiaTheme="majorEastAsia" w:hAnsiTheme="majorHAnsi" w:cstheme="majorBidi"/>
            <w:bCs/>
            <w:i/>
            <w:noProof/>
            <w:sz w:val="24"/>
            <w:szCs w:val="24"/>
            <w:lang w:val="pl-PL" w:eastAsia="fr-FR"/>
          </w:rPr>
          <w:t>dem factum</w:t>
        </w:r>
        <w:r w:rsidR="00A7252F" w:rsidRPr="0051003F">
          <w:rPr>
            <w:rStyle w:val="Hipercze"/>
            <w:rFonts w:asciiTheme="majorHAnsi" w:eastAsiaTheme="majorEastAsia" w:hAnsiTheme="majorHAnsi" w:cstheme="majorBidi"/>
            <w:bCs/>
            <w:noProof/>
            <w:sz w:val="24"/>
            <w:szCs w:val="24"/>
            <w:lang w:val="pl-PL" w:eastAsia="fr-FR"/>
          </w:rPr>
          <w:t xml:space="preserve"> </w:t>
        </w:r>
        <w:r w:rsidR="004F2920" w:rsidRPr="0051003F">
          <w:rPr>
            <w:rStyle w:val="Hipercze"/>
            <w:rFonts w:asciiTheme="majorHAnsi" w:eastAsiaTheme="majorEastAsia" w:hAnsiTheme="majorHAnsi" w:cstheme="majorBidi"/>
            <w:bCs/>
            <w:noProof/>
            <w:sz w:val="24"/>
            <w:szCs w:val="24"/>
            <w:lang w:val="pl-PL" w:eastAsia="fr-FR"/>
          </w:rPr>
          <w:t>w procedurach administracyjnych i karnych (</w:t>
        </w:r>
        <w:r w:rsidR="00A7252F" w:rsidRPr="0051003F">
          <w:rPr>
            <w:rStyle w:val="Hipercze"/>
            <w:rFonts w:asciiTheme="majorHAnsi" w:eastAsiaTheme="majorEastAsia" w:hAnsiTheme="majorHAnsi" w:cstheme="majorBidi"/>
            <w:bCs/>
            <w:noProof/>
            <w:sz w:val="24"/>
            <w:szCs w:val="24"/>
            <w:lang w:val="pl-PL" w:eastAsia="fr-FR"/>
          </w:rPr>
          <w:t>§§ 33</w:t>
        </w:r>
        <w:r w:rsidR="00A7252F" w:rsidRPr="0051003F">
          <w:rPr>
            <w:rStyle w:val="Hipercze"/>
            <w:rFonts w:asciiTheme="majorHAnsi" w:eastAsiaTheme="majorEastAsia" w:hAnsiTheme="majorHAnsi" w:cstheme="majorBidi"/>
            <w:bCs/>
            <w:noProof/>
            <w:sz w:val="24"/>
            <w:szCs w:val="24"/>
            <w:lang w:val="pl-PL" w:eastAsia="fr-FR"/>
          </w:rPr>
          <w:noBreakHyphen/>
          <w:t>36)</w:t>
        </w:r>
      </w:hyperlink>
    </w:p>
    <w:p w:rsidR="00A7252F" w:rsidRPr="0051003F" w:rsidRDefault="00F73F7D" w:rsidP="00A7252F">
      <w:pPr>
        <w:pStyle w:val="Spistreci4"/>
        <w:rPr>
          <w:noProof/>
          <w:sz w:val="24"/>
          <w:szCs w:val="24"/>
          <w:lang w:val="pl-PL"/>
        </w:rPr>
      </w:pPr>
      <w:hyperlink w:anchor="_Toc473802190" w:history="1">
        <w:r w:rsidR="00A7252F" w:rsidRPr="0051003F">
          <w:rPr>
            <w:rStyle w:val="Hipercze"/>
            <w:rFonts w:asciiTheme="majorHAnsi" w:eastAsiaTheme="majorEastAsia" w:hAnsiTheme="majorHAnsi" w:cstheme="majorBidi"/>
            <w:bCs/>
            <w:noProof/>
            <w:sz w:val="24"/>
            <w:szCs w:val="24"/>
            <w:lang w:val="pl-PL" w:eastAsia="fr-FR"/>
          </w:rPr>
          <w:t>b.  </w:t>
        </w:r>
        <w:r w:rsidR="004F2920" w:rsidRPr="0051003F">
          <w:rPr>
            <w:rStyle w:val="Hipercze"/>
            <w:rFonts w:asciiTheme="majorHAnsi" w:eastAsiaTheme="majorEastAsia" w:hAnsiTheme="majorHAnsi" w:cstheme="majorBidi"/>
            <w:bCs/>
            <w:noProof/>
            <w:sz w:val="24"/>
            <w:szCs w:val="24"/>
            <w:lang w:val="pl-PL" w:eastAsia="fr-FR"/>
          </w:rPr>
          <w:t xml:space="preserve">Ostateczność decyzji w postępowaniu administracyjnym </w:t>
        </w:r>
        <w:r w:rsidR="00A7252F" w:rsidRPr="0051003F">
          <w:rPr>
            <w:rStyle w:val="Hipercze"/>
            <w:rFonts w:asciiTheme="majorHAnsi" w:eastAsiaTheme="majorEastAsia" w:hAnsiTheme="majorHAnsi" w:cstheme="majorBidi"/>
            <w:bCs/>
            <w:noProof/>
            <w:sz w:val="24"/>
            <w:szCs w:val="24"/>
            <w:lang w:val="pl-PL" w:eastAsia="fr-FR"/>
          </w:rPr>
          <w:t>(§§ 37</w:t>
        </w:r>
        <w:r w:rsidR="00A7252F" w:rsidRPr="0051003F">
          <w:rPr>
            <w:rStyle w:val="Hipercze"/>
            <w:rFonts w:asciiTheme="majorHAnsi" w:eastAsiaTheme="majorEastAsia" w:hAnsiTheme="majorHAnsi" w:cstheme="majorBidi"/>
            <w:bCs/>
            <w:noProof/>
            <w:sz w:val="24"/>
            <w:szCs w:val="24"/>
            <w:lang w:val="pl-PL" w:eastAsia="fr-FR"/>
          </w:rPr>
          <w:noBreakHyphen/>
          <w:t>39)</w:t>
        </w:r>
      </w:hyperlink>
    </w:p>
    <w:p w:rsidR="00A7252F" w:rsidRPr="0051003F" w:rsidRDefault="00F73F7D" w:rsidP="00A7252F">
      <w:pPr>
        <w:pStyle w:val="Spistreci3"/>
        <w:rPr>
          <w:noProof/>
          <w:sz w:val="24"/>
          <w:szCs w:val="24"/>
          <w:lang w:val="pl-PL"/>
        </w:rPr>
      </w:pPr>
      <w:hyperlink w:anchor="_Toc473802191" w:history="1">
        <w:r w:rsidR="00A7252F" w:rsidRPr="0051003F">
          <w:rPr>
            <w:rStyle w:val="Hipercze"/>
            <w:rFonts w:asciiTheme="majorHAnsi" w:eastAsiaTheme="majorEastAsia" w:hAnsiTheme="majorHAnsi" w:cstheme="majorBidi"/>
            <w:bCs/>
            <w:noProof/>
            <w:sz w:val="24"/>
            <w:szCs w:val="24"/>
            <w:lang w:val="pl-PL" w:eastAsia="fr-FR"/>
          </w:rPr>
          <w:t>B.  </w:t>
        </w:r>
        <w:r w:rsidR="009D17F8" w:rsidRPr="0051003F">
          <w:rPr>
            <w:rStyle w:val="Hipercze"/>
            <w:rFonts w:asciiTheme="majorHAnsi" w:eastAsiaTheme="majorEastAsia" w:hAnsiTheme="majorHAnsi" w:cstheme="majorBidi"/>
            <w:bCs/>
            <w:noProof/>
            <w:sz w:val="24"/>
            <w:szCs w:val="24"/>
            <w:lang w:val="pl-PL" w:eastAsia="fr-FR"/>
          </w:rPr>
          <w:t xml:space="preserve">Równoległe postępowania adminsitracyjne i karne </w:t>
        </w:r>
        <w:r w:rsidR="00A7252F" w:rsidRPr="0051003F">
          <w:rPr>
            <w:rStyle w:val="Hipercze"/>
            <w:rFonts w:asciiTheme="majorHAnsi" w:eastAsiaTheme="majorEastAsia" w:hAnsiTheme="majorHAnsi" w:cstheme="majorBidi"/>
            <w:bCs/>
            <w:noProof/>
            <w:sz w:val="24"/>
            <w:szCs w:val="24"/>
            <w:lang w:val="pl-PL" w:eastAsia="fr-FR"/>
          </w:rPr>
          <w:t>(</w:t>
        </w:r>
        <w:r w:rsidR="00A7252F" w:rsidRPr="0051003F">
          <w:rPr>
            <w:rStyle w:val="Hipercze"/>
            <w:rFonts w:asciiTheme="majorHAnsi" w:eastAsiaTheme="majorEastAsia" w:hAnsiTheme="majorHAnsi" w:cstheme="majorBidi"/>
            <w:bCs/>
            <w:i/>
            <w:noProof/>
            <w:sz w:val="24"/>
            <w:szCs w:val="24"/>
            <w:lang w:val="pl-PL" w:eastAsia="fr-FR"/>
          </w:rPr>
          <w:t>bis</w:t>
        </w:r>
        <w:r w:rsidR="00A7252F" w:rsidRPr="0051003F">
          <w:rPr>
            <w:rStyle w:val="Hipercze"/>
            <w:rFonts w:asciiTheme="majorHAnsi" w:eastAsiaTheme="majorEastAsia" w:hAnsiTheme="majorHAnsi" w:cstheme="majorBidi"/>
            <w:bCs/>
            <w:noProof/>
            <w:sz w:val="24"/>
            <w:szCs w:val="24"/>
            <w:lang w:val="pl-PL" w:eastAsia="fr-FR"/>
          </w:rPr>
          <w:t xml:space="preserve">) </w:t>
        </w:r>
        <w:r w:rsidR="00A7252F" w:rsidRPr="0051003F">
          <w:rPr>
            <w:rStyle w:val="Hipercze"/>
            <w:noProof/>
            <w:sz w:val="24"/>
            <w:szCs w:val="24"/>
            <w:lang w:val="pl-PL"/>
          </w:rPr>
          <w:t>(§§ 40</w:t>
        </w:r>
        <w:r w:rsidR="00A7252F" w:rsidRPr="0051003F">
          <w:rPr>
            <w:rStyle w:val="Hipercze"/>
            <w:noProof/>
            <w:sz w:val="24"/>
            <w:szCs w:val="24"/>
            <w:lang w:val="pl-PL"/>
          </w:rPr>
          <w:noBreakHyphen/>
          <w:t>49)</w:t>
        </w:r>
      </w:hyperlink>
    </w:p>
    <w:p w:rsidR="00A7252F" w:rsidRPr="0051003F" w:rsidRDefault="00F73F7D" w:rsidP="00A7252F">
      <w:pPr>
        <w:pStyle w:val="Spistreci4"/>
        <w:rPr>
          <w:noProof/>
          <w:sz w:val="24"/>
          <w:szCs w:val="24"/>
          <w:lang w:val="pl-PL"/>
        </w:rPr>
      </w:pPr>
      <w:hyperlink w:anchor="_Toc473802192" w:history="1">
        <w:r w:rsidR="00A7252F" w:rsidRPr="0051003F">
          <w:rPr>
            <w:rStyle w:val="Hipercze"/>
            <w:rFonts w:asciiTheme="majorHAnsi" w:eastAsiaTheme="majorEastAsia" w:hAnsiTheme="majorHAnsi" w:cstheme="majorBidi"/>
            <w:bCs/>
            <w:noProof/>
            <w:sz w:val="24"/>
            <w:szCs w:val="24"/>
            <w:lang w:val="pl-PL" w:eastAsia="fr-FR"/>
          </w:rPr>
          <w:t>a.  </w:t>
        </w:r>
        <w:r w:rsidR="002970C1" w:rsidRPr="0051003F">
          <w:rPr>
            <w:rStyle w:val="Hipercze"/>
            <w:rFonts w:asciiTheme="majorHAnsi" w:eastAsiaTheme="majorEastAsia" w:hAnsiTheme="majorHAnsi" w:cstheme="majorBidi"/>
            <w:bCs/>
            <w:noProof/>
            <w:sz w:val="24"/>
            <w:szCs w:val="24"/>
            <w:lang w:val="pl-PL" w:eastAsia="fr-FR"/>
          </w:rPr>
          <w:t xml:space="preserve">Wystarczający związek czasowy </w:t>
        </w:r>
        <w:r w:rsidR="00A7252F" w:rsidRPr="0051003F">
          <w:rPr>
            <w:rStyle w:val="Hipercze"/>
            <w:rFonts w:asciiTheme="majorHAnsi" w:eastAsiaTheme="majorEastAsia" w:hAnsiTheme="majorHAnsi" w:cstheme="majorBidi"/>
            <w:bCs/>
            <w:noProof/>
            <w:sz w:val="24"/>
            <w:szCs w:val="24"/>
            <w:lang w:val="pl-PL" w:eastAsia="fr-FR"/>
          </w:rPr>
          <w:t xml:space="preserve"> (§§ 40</w:t>
        </w:r>
        <w:r w:rsidR="00A7252F" w:rsidRPr="0051003F">
          <w:rPr>
            <w:rStyle w:val="Hipercze"/>
            <w:rFonts w:asciiTheme="majorHAnsi" w:eastAsiaTheme="majorEastAsia" w:hAnsiTheme="majorHAnsi" w:cstheme="majorBidi"/>
            <w:bCs/>
            <w:noProof/>
            <w:sz w:val="24"/>
            <w:szCs w:val="24"/>
            <w:lang w:val="pl-PL" w:eastAsia="fr-FR"/>
          </w:rPr>
          <w:noBreakHyphen/>
          <w:t>46)</w:t>
        </w:r>
      </w:hyperlink>
    </w:p>
    <w:p w:rsidR="00A7252F" w:rsidRPr="0051003F" w:rsidRDefault="00F73F7D" w:rsidP="00A7252F">
      <w:pPr>
        <w:pStyle w:val="Spistreci4"/>
        <w:rPr>
          <w:noProof/>
          <w:sz w:val="24"/>
          <w:szCs w:val="24"/>
          <w:lang w:val="pl-PL"/>
        </w:rPr>
      </w:pPr>
      <w:hyperlink w:anchor="_Toc473802193" w:history="1">
        <w:r w:rsidR="00A7252F" w:rsidRPr="0051003F">
          <w:rPr>
            <w:rStyle w:val="Hipercze"/>
            <w:rFonts w:asciiTheme="majorHAnsi" w:eastAsiaTheme="majorEastAsia" w:hAnsiTheme="majorHAnsi" w:cstheme="majorBidi"/>
            <w:bCs/>
            <w:noProof/>
            <w:sz w:val="24"/>
            <w:szCs w:val="24"/>
            <w:lang w:val="pl-PL" w:eastAsia="fr-FR"/>
          </w:rPr>
          <w:t>b.  </w:t>
        </w:r>
        <w:r w:rsidR="002970C1" w:rsidRPr="0051003F">
          <w:rPr>
            <w:rStyle w:val="Hipercze"/>
            <w:rFonts w:asciiTheme="majorHAnsi" w:eastAsiaTheme="majorEastAsia" w:hAnsiTheme="majorHAnsi" w:cstheme="majorBidi"/>
            <w:bCs/>
            <w:noProof/>
            <w:sz w:val="24"/>
            <w:szCs w:val="24"/>
            <w:lang w:val="pl-PL" w:eastAsia="fr-FR"/>
          </w:rPr>
          <w:t xml:space="preserve">Wystarczający związek merytoryczny </w:t>
        </w:r>
        <w:r w:rsidR="00A7252F" w:rsidRPr="0051003F">
          <w:rPr>
            <w:rStyle w:val="Hipercze"/>
            <w:rFonts w:asciiTheme="majorHAnsi" w:eastAsiaTheme="majorEastAsia" w:hAnsiTheme="majorHAnsi" w:cstheme="majorBidi"/>
            <w:bCs/>
            <w:noProof/>
            <w:sz w:val="24"/>
            <w:szCs w:val="24"/>
            <w:lang w:val="pl-PL" w:eastAsia="fr-FR"/>
          </w:rPr>
          <w:t>(§§ 47</w:t>
        </w:r>
        <w:r w:rsidR="00A7252F" w:rsidRPr="0051003F">
          <w:rPr>
            <w:rStyle w:val="Hipercze"/>
            <w:rFonts w:asciiTheme="majorHAnsi" w:eastAsiaTheme="majorEastAsia" w:hAnsiTheme="majorHAnsi" w:cstheme="majorBidi"/>
            <w:bCs/>
            <w:noProof/>
            <w:sz w:val="24"/>
            <w:szCs w:val="24"/>
            <w:lang w:val="pl-PL" w:eastAsia="fr-FR"/>
          </w:rPr>
          <w:noBreakHyphen/>
          <w:t>49)</w:t>
        </w:r>
      </w:hyperlink>
    </w:p>
    <w:p w:rsidR="00A7252F" w:rsidRPr="0051003F" w:rsidRDefault="00F73F7D" w:rsidP="00A7252F">
      <w:pPr>
        <w:pStyle w:val="Spistreci2"/>
        <w:rPr>
          <w:rFonts w:asciiTheme="minorHAnsi" w:eastAsiaTheme="minorEastAsia" w:hAnsiTheme="minorHAnsi" w:cstheme="minorBidi"/>
          <w:b w:val="0"/>
          <w:bCs w:val="0"/>
          <w:sz w:val="24"/>
          <w:szCs w:val="24"/>
          <w:lang w:val="pl-PL" w:eastAsia="en-US"/>
        </w:rPr>
      </w:pPr>
      <w:hyperlink w:anchor="_Toc473802194" w:history="1">
        <w:r w:rsidR="00A7252F" w:rsidRPr="0051003F">
          <w:rPr>
            <w:rStyle w:val="Hipercze"/>
            <w:b w:val="0"/>
            <w:sz w:val="24"/>
            <w:szCs w:val="24"/>
            <w:lang w:val="pl-PL"/>
          </w:rPr>
          <w:t>V </w:t>
        </w:r>
        <w:r w:rsidR="000000CD" w:rsidRPr="0051003F">
          <w:rPr>
            <w:rStyle w:val="Hipercze"/>
            <w:b w:val="0"/>
            <w:sz w:val="24"/>
            <w:szCs w:val="24"/>
            <w:lang w:val="pl-PL"/>
          </w:rPr>
          <w:t>–</w:t>
        </w:r>
        <w:r w:rsidR="00A7252F" w:rsidRPr="0051003F">
          <w:rPr>
            <w:rStyle w:val="Hipercze"/>
            <w:b w:val="0"/>
            <w:sz w:val="24"/>
            <w:szCs w:val="24"/>
            <w:lang w:val="pl-PL"/>
          </w:rPr>
          <w:t> </w:t>
        </w:r>
        <w:r w:rsidR="000000CD" w:rsidRPr="0051003F">
          <w:rPr>
            <w:rStyle w:val="Hipercze"/>
            <w:b w:val="0"/>
            <w:sz w:val="24"/>
            <w:szCs w:val="24"/>
            <w:lang w:val="pl-PL"/>
          </w:rPr>
          <w:t>Sprawozdanie z Se</w:t>
        </w:r>
        <w:r w:rsidR="00A7252F" w:rsidRPr="0051003F">
          <w:rPr>
            <w:rStyle w:val="Hipercze"/>
            <w:b w:val="0"/>
            <w:i/>
            <w:sz w:val="24"/>
            <w:szCs w:val="24"/>
            <w:lang w:val="pl-PL"/>
          </w:rPr>
          <w:t xml:space="preserve">rgey Zolotukhin </w:t>
        </w:r>
        <w:r w:rsidR="00A7252F" w:rsidRPr="0051003F">
          <w:rPr>
            <w:rStyle w:val="Hipercze"/>
            <w:b w:val="0"/>
            <w:sz w:val="24"/>
            <w:szCs w:val="24"/>
            <w:lang w:val="pl-PL"/>
          </w:rPr>
          <w:t>(§§ 50</w:t>
        </w:r>
        <w:r w:rsidR="00A7252F" w:rsidRPr="0051003F">
          <w:rPr>
            <w:rStyle w:val="Hipercze"/>
            <w:b w:val="0"/>
            <w:sz w:val="24"/>
            <w:szCs w:val="24"/>
            <w:lang w:val="pl-PL"/>
          </w:rPr>
          <w:noBreakHyphen/>
          <w:t>77)</w:t>
        </w:r>
      </w:hyperlink>
    </w:p>
    <w:p w:rsidR="00A7252F" w:rsidRPr="0051003F" w:rsidRDefault="00F73F7D" w:rsidP="00A7252F">
      <w:pPr>
        <w:pStyle w:val="Spistreci3"/>
        <w:rPr>
          <w:noProof/>
          <w:sz w:val="24"/>
          <w:szCs w:val="24"/>
          <w:lang w:val="pl-PL"/>
        </w:rPr>
      </w:pPr>
      <w:hyperlink w:anchor="_Toc473802195" w:history="1">
        <w:r w:rsidR="00A7252F" w:rsidRPr="0051003F">
          <w:rPr>
            <w:rStyle w:val="Hipercze"/>
            <w:rFonts w:asciiTheme="majorHAnsi" w:eastAsiaTheme="majorEastAsia" w:hAnsiTheme="majorHAnsi" w:cstheme="majorBidi"/>
            <w:bCs/>
            <w:noProof/>
            <w:sz w:val="24"/>
            <w:szCs w:val="24"/>
            <w:lang w:val="pl-PL" w:eastAsia="fr-FR"/>
          </w:rPr>
          <w:t>A.  </w:t>
        </w:r>
        <w:r w:rsidR="000000CD" w:rsidRPr="0051003F">
          <w:rPr>
            <w:rStyle w:val="Hipercze"/>
            <w:rFonts w:asciiTheme="majorHAnsi" w:eastAsiaTheme="majorEastAsia" w:hAnsiTheme="majorHAnsi" w:cstheme="majorBidi"/>
            <w:bCs/>
            <w:noProof/>
            <w:sz w:val="24"/>
            <w:szCs w:val="24"/>
            <w:lang w:val="pl-PL" w:eastAsia="fr-FR"/>
          </w:rPr>
          <w:t xml:space="preserve">Ograniczenia </w:t>
        </w:r>
        <w:r w:rsidR="00A7252F" w:rsidRPr="0051003F">
          <w:rPr>
            <w:rStyle w:val="Hipercze"/>
            <w:rFonts w:asciiTheme="majorHAnsi" w:eastAsiaTheme="majorEastAsia" w:hAnsiTheme="majorHAnsi" w:cstheme="majorBidi"/>
            <w:bCs/>
            <w:i/>
            <w:noProof/>
            <w:sz w:val="24"/>
            <w:szCs w:val="24"/>
            <w:lang w:val="pl-PL" w:eastAsia="fr-FR"/>
          </w:rPr>
          <w:t>idem factum</w:t>
        </w:r>
        <w:r w:rsidR="00A7252F" w:rsidRPr="0051003F">
          <w:rPr>
            <w:rStyle w:val="Hipercze"/>
            <w:rFonts w:asciiTheme="majorHAnsi" w:eastAsiaTheme="majorEastAsia" w:hAnsiTheme="majorHAnsi" w:cstheme="majorBidi"/>
            <w:bCs/>
            <w:noProof/>
            <w:sz w:val="24"/>
            <w:szCs w:val="24"/>
            <w:lang w:val="pl-PL" w:eastAsia="fr-FR"/>
          </w:rPr>
          <w:t xml:space="preserve"> </w:t>
        </w:r>
        <w:r w:rsidR="000000CD" w:rsidRPr="0051003F">
          <w:rPr>
            <w:rStyle w:val="Hipercze"/>
            <w:rFonts w:asciiTheme="majorHAnsi" w:eastAsiaTheme="majorEastAsia" w:hAnsiTheme="majorHAnsi" w:cstheme="majorBidi"/>
            <w:bCs/>
            <w:noProof/>
            <w:sz w:val="24"/>
            <w:szCs w:val="24"/>
            <w:lang w:val="pl-PL" w:eastAsia="fr-FR"/>
          </w:rPr>
          <w:t xml:space="preserve">przez kryteria </w:t>
        </w:r>
        <w:r w:rsidR="00A7252F" w:rsidRPr="0051003F">
          <w:rPr>
            <w:rStyle w:val="Hipercze"/>
            <w:rFonts w:asciiTheme="majorHAnsi" w:eastAsiaTheme="majorEastAsia" w:hAnsiTheme="majorHAnsi" w:cstheme="majorBidi"/>
            <w:bCs/>
            <w:i/>
            <w:noProof/>
            <w:sz w:val="24"/>
            <w:szCs w:val="24"/>
            <w:lang w:val="pl-PL" w:eastAsia="fr-FR"/>
          </w:rPr>
          <w:t>bis</w:t>
        </w:r>
        <w:r w:rsidR="00A7252F" w:rsidRPr="0051003F">
          <w:rPr>
            <w:rStyle w:val="Hipercze"/>
            <w:rFonts w:asciiTheme="majorHAnsi" w:eastAsiaTheme="majorEastAsia" w:hAnsiTheme="majorHAnsi" w:cstheme="majorBidi"/>
            <w:bCs/>
            <w:noProof/>
            <w:sz w:val="24"/>
            <w:szCs w:val="24"/>
            <w:lang w:val="pl-PL" w:eastAsia="fr-FR"/>
          </w:rPr>
          <w:t xml:space="preserve"> (§§ 50</w:t>
        </w:r>
        <w:r w:rsidR="00A7252F" w:rsidRPr="0051003F">
          <w:rPr>
            <w:rStyle w:val="Hipercze"/>
            <w:rFonts w:asciiTheme="majorHAnsi" w:eastAsiaTheme="majorEastAsia" w:hAnsiTheme="majorHAnsi" w:cstheme="majorBidi"/>
            <w:bCs/>
            <w:noProof/>
            <w:sz w:val="24"/>
            <w:szCs w:val="24"/>
            <w:lang w:val="pl-PL" w:eastAsia="fr-FR"/>
          </w:rPr>
          <w:noBreakHyphen/>
          <w:t>59)</w:t>
        </w:r>
      </w:hyperlink>
    </w:p>
    <w:p w:rsidR="00A7252F" w:rsidRPr="0051003F" w:rsidRDefault="00F73F7D" w:rsidP="00A7252F">
      <w:pPr>
        <w:pStyle w:val="Spistreci4"/>
        <w:rPr>
          <w:noProof/>
          <w:sz w:val="24"/>
          <w:szCs w:val="24"/>
          <w:lang w:val="pl-PL"/>
        </w:rPr>
      </w:pPr>
      <w:hyperlink w:anchor="_Toc473802196" w:history="1">
        <w:r w:rsidR="00A7252F" w:rsidRPr="0051003F">
          <w:rPr>
            <w:rStyle w:val="Hipercze"/>
            <w:rFonts w:asciiTheme="majorHAnsi" w:eastAsiaTheme="majorEastAsia" w:hAnsiTheme="majorHAnsi" w:cstheme="majorBidi"/>
            <w:bCs/>
            <w:noProof/>
            <w:sz w:val="24"/>
            <w:szCs w:val="24"/>
            <w:lang w:val="pl-PL" w:eastAsia="fr-FR"/>
          </w:rPr>
          <w:t>a.  </w:t>
        </w:r>
        <w:r w:rsidR="000000CD" w:rsidRPr="0051003F">
          <w:rPr>
            <w:rStyle w:val="Hipercze"/>
            <w:rFonts w:asciiTheme="majorHAnsi" w:eastAsiaTheme="majorEastAsia" w:hAnsiTheme="majorHAnsi" w:cstheme="majorBidi"/>
            <w:bCs/>
            <w:noProof/>
            <w:sz w:val="24"/>
            <w:szCs w:val="24"/>
            <w:lang w:val="pl-PL" w:eastAsia="fr-FR"/>
          </w:rPr>
          <w:t xml:space="preserve">Realizacja różnych celów dotyczących różnych aspektów niewłaściwego postępowania społecznego </w:t>
        </w:r>
        <w:r w:rsidR="00A7252F" w:rsidRPr="0051003F">
          <w:rPr>
            <w:rStyle w:val="Hipercze"/>
            <w:rFonts w:asciiTheme="majorHAnsi" w:eastAsiaTheme="majorEastAsia" w:hAnsiTheme="majorHAnsi" w:cstheme="majorBidi"/>
            <w:bCs/>
            <w:noProof/>
            <w:sz w:val="24"/>
            <w:szCs w:val="24"/>
            <w:lang w:val="pl-PL" w:eastAsia="fr-FR"/>
          </w:rPr>
          <w:t>(§§ 50</w:t>
        </w:r>
        <w:r w:rsidR="00A7252F" w:rsidRPr="0051003F">
          <w:rPr>
            <w:rStyle w:val="Hipercze"/>
            <w:rFonts w:asciiTheme="majorHAnsi" w:eastAsiaTheme="majorEastAsia" w:hAnsiTheme="majorHAnsi" w:cstheme="majorBidi"/>
            <w:bCs/>
            <w:noProof/>
            <w:sz w:val="24"/>
            <w:szCs w:val="24"/>
            <w:lang w:val="pl-PL" w:eastAsia="fr-FR"/>
          </w:rPr>
          <w:noBreakHyphen/>
          <w:t>57)</w:t>
        </w:r>
      </w:hyperlink>
    </w:p>
    <w:p w:rsidR="00A7252F" w:rsidRPr="0051003F" w:rsidRDefault="00F73F7D" w:rsidP="00A7252F">
      <w:pPr>
        <w:pStyle w:val="Spistreci4"/>
        <w:rPr>
          <w:noProof/>
          <w:sz w:val="24"/>
          <w:szCs w:val="24"/>
          <w:lang w:val="pl-PL"/>
        </w:rPr>
      </w:pPr>
      <w:hyperlink w:anchor="_Toc473802197" w:history="1">
        <w:r w:rsidR="00A7252F" w:rsidRPr="0051003F">
          <w:rPr>
            <w:rStyle w:val="Hipercze"/>
            <w:rFonts w:asciiTheme="majorHAnsi" w:eastAsiaTheme="majorEastAsia" w:hAnsiTheme="majorHAnsi" w:cstheme="majorBidi"/>
            <w:bCs/>
            <w:noProof/>
            <w:sz w:val="24"/>
            <w:szCs w:val="24"/>
            <w:lang w:val="pl-PL" w:eastAsia="fr-FR"/>
          </w:rPr>
          <w:t>b. </w:t>
        </w:r>
        <w:r w:rsidR="000000CD" w:rsidRPr="0051003F">
          <w:rPr>
            <w:rStyle w:val="Hipercze"/>
            <w:rFonts w:asciiTheme="majorHAnsi" w:eastAsiaTheme="majorEastAsia" w:hAnsiTheme="majorHAnsi" w:cstheme="majorBidi"/>
            <w:bCs/>
            <w:noProof/>
            <w:sz w:val="24"/>
            <w:szCs w:val="24"/>
            <w:lang w:val="pl-PL" w:eastAsia="fr-FR"/>
          </w:rPr>
          <w:t>Przewidywalność kombinacji kar</w:t>
        </w:r>
        <w:r w:rsidR="00A7252F" w:rsidRPr="0051003F">
          <w:rPr>
            <w:rStyle w:val="Hipercze"/>
            <w:rFonts w:asciiTheme="majorHAnsi" w:eastAsiaTheme="majorEastAsia" w:hAnsiTheme="majorHAnsi" w:cstheme="majorBidi"/>
            <w:bCs/>
            <w:noProof/>
            <w:sz w:val="24"/>
            <w:szCs w:val="24"/>
            <w:lang w:val="pl-PL" w:eastAsia="fr-FR"/>
          </w:rPr>
          <w:t xml:space="preserve"> (§§ 57</w:t>
        </w:r>
        <w:r w:rsidR="00A7252F" w:rsidRPr="0051003F">
          <w:rPr>
            <w:rStyle w:val="Hipercze"/>
            <w:rFonts w:asciiTheme="majorHAnsi" w:eastAsiaTheme="majorEastAsia" w:hAnsiTheme="majorHAnsi" w:cstheme="majorBidi"/>
            <w:bCs/>
            <w:noProof/>
            <w:sz w:val="24"/>
            <w:szCs w:val="24"/>
            <w:lang w:val="pl-PL" w:eastAsia="fr-FR"/>
          </w:rPr>
          <w:noBreakHyphen/>
          <w:t>59)</w:t>
        </w:r>
      </w:hyperlink>
    </w:p>
    <w:p w:rsidR="00A7252F" w:rsidRPr="0051003F" w:rsidRDefault="00F73F7D" w:rsidP="00A7252F">
      <w:pPr>
        <w:pStyle w:val="Spistreci3"/>
        <w:rPr>
          <w:noProof/>
          <w:sz w:val="24"/>
          <w:szCs w:val="24"/>
          <w:lang w:val="pl-PL"/>
        </w:rPr>
      </w:pPr>
      <w:hyperlink w:anchor="_Toc473802198" w:history="1">
        <w:r w:rsidR="00A7252F" w:rsidRPr="0051003F">
          <w:rPr>
            <w:rStyle w:val="Hipercze"/>
            <w:rFonts w:asciiTheme="majorHAnsi" w:eastAsiaTheme="majorEastAsia" w:hAnsiTheme="majorHAnsi" w:cstheme="majorBidi"/>
            <w:bCs/>
            <w:noProof/>
            <w:sz w:val="24"/>
            <w:szCs w:val="24"/>
            <w:lang w:val="pl-PL" w:eastAsia="fr-FR"/>
          </w:rPr>
          <w:t>B.  </w:t>
        </w:r>
        <w:r w:rsidR="000000CD" w:rsidRPr="0051003F">
          <w:rPr>
            <w:rStyle w:val="Hipercze"/>
            <w:rFonts w:asciiTheme="majorHAnsi" w:eastAsiaTheme="majorEastAsia" w:hAnsiTheme="majorHAnsi" w:cstheme="majorBidi"/>
            <w:bCs/>
            <w:noProof/>
            <w:sz w:val="24"/>
            <w:szCs w:val="24"/>
            <w:lang w:val="pl-PL" w:eastAsia="fr-FR"/>
          </w:rPr>
          <w:t xml:space="preserve">Koncept większości </w:t>
        </w:r>
        <w:r w:rsidR="00A7252F" w:rsidRPr="0051003F">
          <w:rPr>
            <w:rStyle w:val="Hipercze"/>
            <w:rFonts w:asciiTheme="majorHAnsi" w:eastAsiaTheme="majorEastAsia" w:hAnsiTheme="majorHAnsi" w:cstheme="majorBidi"/>
            <w:bCs/>
            <w:i/>
            <w:noProof/>
            <w:sz w:val="24"/>
            <w:szCs w:val="24"/>
            <w:lang w:val="pl-PL" w:eastAsia="fr-FR"/>
          </w:rPr>
          <w:t>pro auctoritate</w:t>
        </w:r>
        <w:r w:rsidR="00A7252F" w:rsidRPr="0051003F">
          <w:rPr>
            <w:rStyle w:val="Hipercze"/>
            <w:rFonts w:asciiTheme="majorHAnsi" w:eastAsiaTheme="majorEastAsia" w:hAnsiTheme="majorHAnsi" w:cstheme="majorBidi"/>
            <w:bCs/>
            <w:noProof/>
            <w:sz w:val="24"/>
            <w:szCs w:val="24"/>
            <w:lang w:val="pl-PL" w:eastAsia="fr-FR"/>
          </w:rPr>
          <w:t xml:space="preserve"> concept </w:t>
        </w:r>
        <w:r w:rsidR="000000CD" w:rsidRPr="0051003F">
          <w:rPr>
            <w:rStyle w:val="Hipercze"/>
            <w:rFonts w:asciiTheme="majorHAnsi" w:eastAsiaTheme="majorEastAsia" w:hAnsiTheme="majorHAnsi" w:cstheme="majorBidi"/>
            <w:bCs/>
            <w:noProof/>
            <w:sz w:val="24"/>
            <w:szCs w:val="24"/>
            <w:lang w:val="pl-PL" w:eastAsia="fr-FR"/>
          </w:rPr>
          <w:t xml:space="preserve">zasady </w:t>
        </w:r>
        <w:r w:rsidR="00A7252F" w:rsidRPr="0051003F">
          <w:rPr>
            <w:rStyle w:val="Hipercze"/>
            <w:rFonts w:asciiTheme="majorHAnsi" w:eastAsiaTheme="majorEastAsia" w:hAnsiTheme="majorHAnsi" w:cstheme="majorBidi"/>
            <w:bCs/>
            <w:i/>
            <w:noProof/>
            <w:sz w:val="24"/>
            <w:szCs w:val="24"/>
            <w:lang w:val="pl-PL" w:eastAsia="fr-FR"/>
          </w:rPr>
          <w:t xml:space="preserve">ne bis in idem </w:t>
        </w:r>
        <w:r w:rsidR="00A7252F" w:rsidRPr="0051003F">
          <w:rPr>
            <w:rStyle w:val="Hipercze"/>
            <w:noProof/>
            <w:sz w:val="24"/>
            <w:szCs w:val="24"/>
            <w:lang w:val="pl-PL"/>
          </w:rPr>
          <w:t>(§§ 60</w:t>
        </w:r>
        <w:r w:rsidR="00A7252F" w:rsidRPr="0051003F">
          <w:rPr>
            <w:rStyle w:val="Hipercze"/>
            <w:noProof/>
            <w:sz w:val="24"/>
            <w:szCs w:val="24"/>
            <w:lang w:val="pl-PL"/>
          </w:rPr>
          <w:noBreakHyphen/>
          <w:t>77)</w:t>
        </w:r>
      </w:hyperlink>
    </w:p>
    <w:p w:rsidR="00A7252F" w:rsidRPr="0051003F" w:rsidRDefault="00F73F7D" w:rsidP="00A7252F">
      <w:pPr>
        <w:pStyle w:val="Spistreci4"/>
        <w:rPr>
          <w:noProof/>
          <w:sz w:val="24"/>
          <w:szCs w:val="24"/>
          <w:lang w:val="pl-PL"/>
        </w:rPr>
      </w:pPr>
      <w:hyperlink w:anchor="_Toc473802199" w:history="1">
        <w:r w:rsidR="00A7252F" w:rsidRPr="0051003F">
          <w:rPr>
            <w:rStyle w:val="Hipercze"/>
            <w:rFonts w:asciiTheme="majorHAnsi" w:eastAsiaTheme="majorEastAsia" w:hAnsiTheme="majorHAnsi" w:cstheme="majorBidi"/>
            <w:bCs/>
            <w:noProof/>
            <w:sz w:val="24"/>
            <w:szCs w:val="24"/>
            <w:lang w:val="pl-PL" w:eastAsia="fr-FR"/>
          </w:rPr>
          <w:t>a.  </w:t>
        </w:r>
        <w:r w:rsidR="00DB6102" w:rsidRPr="0051003F">
          <w:rPr>
            <w:rStyle w:val="Hipercze"/>
            <w:rFonts w:asciiTheme="majorHAnsi" w:eastAsiaTheme="majorEastAsia" w:hAnsiTheme="majorHAnsi" w:cstheme="majorBidi"/>
            <w:bCs/>
            <w:noProof/>
            <w:sz w:val="24"/>
            <w:szCs w:val="24"/>
            <w:lang w:val="pl-PL" w:eastAsia="fr-FR"/>
          </w:rPr>
          <w:t>Brak powielania, gromadzenia i oceny dowodów</w:t>
        </w:r>
        <w:r w:rsidR="00A7252F" w:rsidRPr="0051003F">
          <w:rPr>
            <w:rStyle w:val="Hipercze"/>
            <w:rFonts w:asciiTheme="majorHAnsi" w:eastAsiaTheme="majorEastAsia" w:hAnsiTheme="majorHAnsi" w:cstheme="majorBidi"/>
            <w:bCs/>
            <w:noProof/>
            <w:sz w:val="24"/>
            <w:szCs w:val="24"/>
            <w:lang w:val="pl-PL" w:eastAsia="fr-FR"/>
          </w:rPr>
          <w:t xml:space="preserve"> (§§ 60</w:t>
        </w:r>
        <w:r w:rsidR="00A7252F" w:rsidRPr="0051003F">
          <w:rPr>
            <w:rStyle w:val="Hipercze"/>
            <w:rFonts w:asciiTheme="majorHAnsi" w:eastAsiaTheme="majorEastAsia" w:hAnsiTheme="majorHAnsi" w:cstheme="majorBidi"/>
            <w:bCs/>
            <w:noProof/>
            <w:sz w:val="24"/>
            <w:szCs w:val="24"/>
            <w:lang w:val="pl-PL" w:eastAsia="fr-FR"/>
          </w:rPr>
          <w:noBreakHyphen/>
          <w:t>64)</w:t>
        </w:r>
      </w:hyperlink>
    </w:p>
    <w:p w:rsidR="00A7252F" w:rsidRPr="0051003F" w:rsidRDefault="00F73F7D" w:rsidP="00A7252F">
      <w:pPr>
        <w:pStyle w:val="Spistreci4"/>
        <w:rPr>
          <w:noProof/>
          <w:sz w:val="24"/>
          <w:szCs w:val="24"/>
          <w:lang w:val="pl-PL"/>
        </w:rPr>
      </w:pPr>
      <w:hyperlink w:anchor="_Toc473802200" w:history="1">
        <w:r w:rsidR="00A7252F" w:rsidRPr="0051003F">
          <w:rPr>
            <w:rStyle w:val="Hipercze"/>
            <w:rFonts w:asciiTheme="majorHAnsi" w:eastAsiaTheme="majorEastAsia" w:hAnsiTheme="majorHAnsi" w:cstheme="majorBidi"/>
            <w:bCs/>
            <w:noProof/>
            <w:sz w:val="24"/>
            <w:szCs w:val="24"/>
            <w:lang w:val="pl-PL" w:eastAsia="fr-FR"/>
          </w:rPr>
          <w:t>b.  </w:t>
        </w:r>
        <w:r w:rsidR="006B29D9" w:rsidRPr="0051003F">
          <w:rPr>
            <w:rStyle w:val="Hipercze"/>
            <w:rFonts w:asciiTheme="majorHAnsi" w:eastAsiaTheme="majorEastAsia" w:hAnsiTheme="majorHAnsi" w:cstheme="majorBidi"/>
            <w:bCs/>
            <w:noProof/>
            <w:sz w:val="24"/>
            <w:szCs w:val="24"/>
            <w:lang w:val="pl-PL" w:eastAsia="fr-FR"/>
          </w:rPr>
          <w:t xml:space="preserve">Mechanizm kompensowania sankcji administracyjnych i karnych </w:t>
        </w:r>
        <w:r w:rsidR="00A7252F" w:rsidRPr="0051003F">
          <w:rPr>
            <w:rStyle w:val="Hipercze"/>
            <w:rFonts w:asciiTheme="majorHAnsi" w:eastAsiaTheme="majorEastAsia" w:hAnsiTheme="majorHAnsi" w:cstheme="majorBidi"/>
            <w:bCs/>
            <w:noProof/>
            <w:sz w:val="24"/>
            <w:szCs w:val="24"/>
            <w:lang w:val="pl-PL" w:eastAsia="fr-FR"/>
          </w:rPr>
          <w:t xml:space="preserve"> (§§ 65</w:t>
        </w:r>
        <w:r w:rsidR="00A7252F" w:rsidRPr="0051003F">
          <w:rPr>
            <w:rStyle w:val="Hipercze"/>
            <w:rFonts w:asciiTheme="majorHAnsi" w:eastAsiaTheme="majorEastAsia" w:hAnsiTheme="majorHAnsi" w:cstheme="majorBidi"/>
            <w:bCs/>
            <w:noProof/>
            <w:sz w:val="24"/>
            <w:szCs w:val="24"/>
            <w:lang w:val="pl-PL" w:eastAsia="fr-FR"/>
          </w:rPr>
          <w:noBreakHyphen/>
          <w:t>77)</w:t>
        </w:r>
      </w:hyperlink>
    </w:p>
    <w:p w:rsidR="00A7252F" w:rsidRPr="0051003F" w:rsidRDefault="00F73F7D" w:rsidP="00A7252F">
      <w:pPr>
        <w:pStyle w:val="Spistreci2"/>
        <w:rPr>
          <w:rFonts w:asciiTheme="minorHAnsi" w:eastAsiaTheme="minorEastAsia" w:hAnsiTheme="minorHAnsi" w:cstheme="minorBidi"/>
          <w:b w:val="0"/>
          <w:bCs w:val="0"/>
          <w:sz w:val="24"/>
          <w:szCs w:val="24"/>
          <w:lang w:val="pl-PL" w:eastAsia="en-US"/>
        </w:rPr>
      </w:pPr>
      <w:hyperlink w:anchor="_Toc473802201" w:history="1">
        <w:r w:rsidR="00A7252F" w:rsidRPr="0051003F">
          <w:rPr>
            <w:rStyle w:val="Hipercze"/>
            <w:b w:val="0"/>
            <w:sz w:val="24"/>
            <w:szCs w:val="24"/>
            <w:lang w:val="pl-PL"/>
          </w:rPr>
          <w:t>VI – </w:t>
        </w:r>
        <w:r w:rsidR="000000CD" w:rsidRPr="0051003F">
          <w:rPr>
            <w:rStyle w:val="Hipercze"/>
            <w:b w:val="0"/>
            <w:sz w:val="24"/>
            <w:szCs w:val="24"/>
            <w:lang w:val="pl-PL"/>
          </w:rPr>
          <w:t>Konkluzja</w:t>
        </w:r>
        <w:r w:rsidR="00A7252F" w:rsidRPr="0051003F">
          <w:rPr>
            <w:rStyle w:val="Hipercze"/>
            <w:b w:val="0"/>
            <w:sz w:val="24"/>
            <w:szCs w:val="24"/>
            <w:lang w:val="pl-PL"/>
          </w:rPr>
          <w:t xml:space="preserve"> (§§ 78</w:t>
        </w:r>
        <w:r w:rsidR="00A7252F" w:rsidRPr="0051003F">
          <w:rPr>
            <w:rStyle w:val="Hipercze"/>
            <w:b w:val="0"/>
            <w:sz w:val="24"/>
            <w:szCs w:val="24"/>
            <w:lang w:val="pl-PL"/>
          </w:rPr>
          <w:noBreakHyphen/>
          <w:t>80)</w:t>
        </w:r>
      </w:hyperlink>
    </w:p>
    <w:p w:rsidR="00D15219" w:rsidRPr="0051003F" w:rsidRDefault="003745E5" w:rsidP="00A7252F">
      <w:pPr>
        <w:rPr>
          <w:lang w:val="pl-PL" w:eastAsia="fr-FR"/>
        </w:rPr>
      </w:pPr>
      <w:r w:rsidRPr="0051003F">
        <w:rPr>
          <w:szCs w:val="24"/>
          <w:lang w:val="pl-PL" w:eastAsia="fr-FR"/>
        </w:rPr>
        <w:fldChar w:fldCharType="end"/>
      </w:r>
    </w:p>
    <w:p w:rsidR="00D15219" w:rsidRPr="0051003F" w:rsidRDefault="00D15219" w:rsidP="00A7252F">
      <w:pPr>
        <w:rPr>
          <w:lang w:val="pl-PL" w:eastAsia="fr-FR"/>
        </w:rPr>
      </w:pPr>
    </w:p>
    <w:p w:rsidR="00507696" w:rsidRPr="0051003F" w:rsidRDefault="001C1232" w:rsidP="00A7252F">
      <w:pPr>
        <w:keepNext/>
        <w:keepLines/>
        <w:spacing w:before="360" w:after="240"/>
        <w:ind w:left="357" w:hanging="357"/>
        <w:outlineLvl w:val="1"/>
        <w:rPr>
          <w:rFonts w:asciiTheme="majorHAnsi" w:eastAsiaTheme="majorEastAsia" w:hAnsiTheme="majorHAnsi" w:cstheme="majorBidi"/>
          <w:b/>
          <w:bCs/>
          <w:szCs w:val="28"/>
          <w:lang w:val="pl-PL" w:eastAsia="fr-FR"/>
        </w:rPr>
      </w:pPr>
      <w:bookmarkStart w:id="200" w:name="_Toc466972866"/>
      <w:bookmarkStart w:id="201" w:name="_Toc473801917"/>
      <w:bookmarkStart w:id="202" w:name="_Toc473802170"/>
      <w:bookmarkStart w:id="203" w:name="Signet1"/>
      <w:r w:rsidRPr="0051003F">
        <w:rPr>
          <w:rFonts w:asciiTheme="majorHAnsi" w:eastAsiaTheme="majorEastAsia" w:hAnsiTheme="majorHAnsi" w:cstheme="majorBidi"/>
          <w:b/>
          <w:bCs/>
          <w:szCs w:val="28"/>
          <w:lang w:val="pl-PL" w:eastAsia="fr-FR"/>
        </w:rPr>
        <w:t>I – </w:t>
      </w:r>
      <w:bookmarkEnd w:id="200"/>
      <w:r w:rsidR="005630BA" w:rsidRPr="0051003F">
        <w:rPr>
          <w:rFonts w:asciiTheme="majorHAnsi" w:eastAsiaTheme="majorEastAsia" w:hAnsiTheme="majorHAnsi" w:cstheme="majorBidi"/>
          <w:b/>
          <w:bCs/>
          <w:szCs w:val="28"/>
          <w:lang w:val="pl-PL" w:eastAsia="fr-FR"/>
        </w:rPr>
        <w:t>Wprowadzenie</w:t>
      </w:r>
      <w:r w:rsidR="00C870D8" w:rsidRPr="0051003F">
        <w:rPr>
          <w:rFonts w:asciiTheme="majorHAnsi" w:eastAsiaTheme="majorEastAsia" w:hAnsiTheme="majorHAnsi" w:cstheme="majorBidi"/>
          <w:b/>
          <w:bCs/>
          <w:szCs w:val="28"/>
          <w:lang w:val="pl-PL" w:eastAsia="fr-FR"/>
        </w:rPr>
        <w:t xml:space="preserve"> (§§ 1</w:t>
      </w:r>
      <w:r w:rsidR="00C870D8" w:rsidRPr="0051003F">
        <w:rPr>
          <w:rFonts w:asciiTheme="majorHAnsi" w:eastAsiaTheme="majorEastAsia" w:hAnsiTheme="majorHAnsi" w:cstheme="majorBidi"/>
          <w:b/>
          <w:bCs/>
          <w:szCs w:val="28"/>
          <w:lang w:val="pl-PL" w:eastAsia="fr-FR"/>
        </w:rPr>
        <w:noBreakHyphen/>
        <w:t>2)</w:t>
      </w:r>
      <w:bookmarkEnd w:id="201"/>
      <w:bookmarkEnd w:id="202"/>
    </w:p>
    <w:p w:rsidR="00D5341D" w:rsidRPr="0051003F" w:rsidRDefault="001C1232" w:rsidP="00D5341D">
      <w:pPr>
        <w:ind w:firstLine="284"/>
        <w:rPr>
          <w:lang w:val="pl-PL"/>
        </w:rPr>
      </w:pPr>
      <w:r w:rsidRPr="0051003F">
        <w:rPr>
          <w:lang w:val="pl-PL"/>
        </w:rPr>
        <w:t>1.  </w:t>
      </w:r>
      <w:r w:rsidR="005630BA" w:rsidRPr="0051003F">
        <w:rPr>
          <w:lang w:val="pl-PL"/>
        </w:rPr>
        <w:t xml:space="preserve">Nie podpisuję się ani pod uzasadnieniem do wyroku ani pod konkluzją do wyroku, </w:t>
      </w:r>
      <w:r w:rsidR="00FB14E5" w:rsidRPr="0051003F">
        <w:rPr>
          <w:lang w:val="pl-PL"/>
        </w:rPr>
        <w:t>przedstawion</w:t>
      </w:r>
      <w:r w:rsidR="00FB14E5">
        <w:rPr>
          <w:lang w:val="pl-PL"/>
        </w:rPr>
        <w:t>ą</w:t>
      </w:r>
      <w:r w:rsidR="00FB14E5" w:rsidRPr="0051003F">
        <w:rPr>
          <w:lang w:val="pl-PL"/>
        </w:rPr>
        <w:t xml:space="preserve"> </w:t>
      </w:r>
      <w:r w:rsidR="005630BA" w:rsidRPr="0051003F">
        <w:rPr>
          <w:lang w:val="pl-PL"/>
        </w:rPr>
        <w:t xml:space="preserve">przez </w:t>
      </w:r>
      <w:r w:rsidR="00257312" w:rsidRPr="0051003F">
        <w:rPr>
          <w:lang w:val="pl-PL"/>
        </w:rPr>
        <w:t>większość</w:t>
      </w:r>
      <w:r w:rsidR="005630BA" w:rsidRPr="0051003F">
        <w:rPr>
          <w:lang w:val="pl-PL"/>
        </w:rPr>
        <w:t xml:space="preserve"> w niniejszej sprawie.</w:t>
      </w:r>
      <w:r w:rsidRPr="0051003F">
        <w:rPr>
          <w:lang w:val="pl-PL"/>
        </w:rPr>
        <w:t xml:space="preserve"> </w:t>
      </w:r>
      <w:r w:rsidR="00D5341D" w:rsidRPr="0051003F">
        <w:rPr>
          <w:lang w:val="pl-PL"/>
        </w:rPr>
        <w:t xml:space="preserve">Pomimo że niniejsza sprawa dotyczy w szczególności połączenia sankcji </w:t>
      </w:r>
      <w:r w:rsidR="00FB14E5">
        <w:rPr>
          <w:lang w:val="pl-PL"/>
        </w:rPr>
        <w:t>wymierzanych</w:t>
      </w:r>
      <w:r w:rsidR="00FB14E5" w:rsidRPr="0051003F">
        <w:rPr>
          <w:lang w:val="pl-PL"/>
        </w:rPr>
        <w:t xml:space="preserve"> </w:t>
      </w:r>
      <w:r w:rsidR="00D5341D" w:rsidRPr="0051003F">
        <w:rPr>
          <w:lang w:val="pl-PL"/>
        </w:rPr>
        <w:t>w ramach postępowań podatkowych i równoległych postępowań karnych, Wielka Izba Europejskiego Trybunału Praw Człowieka („Trybunał”) rozmyślnie rozszerzyła zakres tej sprawy na bardziej ogólny problem prawny, jakim jest „podwójne postępowanie karne i administracyjne</w:t>
      </w:r>
      <w:r w:rsidRPr="0051003F">
        <w:rPr>
          <w:lang w:val="pl-PL"/>
        </w:rPr>
        <w:t>”</w:t>
      </w:r>
      <w:r w:rsidRPr="0051003F">
        <w:rPr>
          <w:vertAlign w:val="superscript"/>
          <w:lang w:val="pl-PL"/>
        </w:rPr>
        <w:footnoteReference w:id="1"/>
      </w:r>
      <w:r w:rsidRPr="0051003F">
        <w:rPr>
          <w:lang w:val="pl-PL"/>
        </w:rPr>
        <w:t xml:space="preserve">. </w:t>
      </w:r>
      <w:r w:rsidR="00D5341D" w:rsidRPr="0051003F">
        <w:rPr>
          <w:lang w:val="pl-PL"/>
        </w:rPr>
        <w:t>Oczywistym celem Wielkiej Izby jest ustanowienie zasady Europejskiego Prawa Praw Człowieka, która ma zastosowanie we wszystkich sprawach obejmujących postępowania administracyjne i karne.</w:t>
      </w:r>
    </w:p>
    <w:p w:rsidR="00D5341D" w:rsidRPr="0051003F" w:rsidRDefault="005630BA" w:rsidP="00D5341D">
      <w:pPr>
        <w:rPr>
          <w:lang w:val="pl-PL"/>
        </w:rPr>
      </w:pPr>
      <w:r w:rsidRPr="0051003F">
        <w:rPr>
          <w:lang w:val="pl-PL"/>
        </w:rPr>
        <w:t xml:space="preserve">Problem </w:t>
      </w:r>
      <w:r w:rsidR="00D5341D" w:rsidRPr="0051003F">
        <w:rPr>
          <w:lang w:val="pl-PL"/>
        </w:rPr>
        <w:t xml:space="preserve">przejawia się w </w:t>
      </w:r>
      <w:r w:rsidR="00A5447B">
        <w:rPr>
          <w:lang w:val="pl-PL"/>
        </w:rPr>
        <w:t>tym</w:t>
      </w:r>
      <w:r w:rsidRPr="0051003F">
        <w:rPr>
          <w:lang w:val="pl-PL"/>
        </w:rPr>
        <w:t>, że uzasadnienie wydane przez Wielką Izbę</w:t>
      </w:r>
      <w:r w:rsidR="00D5341D" w:rsidRPr="0051003F">
        <w:rPr>
          <w:lang w:val="pl-PL"/>
        </w:rPr>
        <w:t>, w mojej ocenie stanowi „pójście na łatwiznę”</w:t>
      </w:r>
      <w:r w:rsidR="001C1232" w:rsidRPr="0051003F">
        <w:rPr>
          <w:lang w:val="pl-PL"/>
        </w:rPr>
        <w:t xml:space="preserve">. </w:t>
      </w:r>
      <w:r w:rsidR="00D5341D" w:rsidRPr="0051003F">
        <w:rPr>
          <w:lang w:val="pl-PL"/>
        </w:rPr>
        <w:t xml:space="preserve">Nieprecyzyjny opis warunków wymaganych do połączenia sankcji administracyjnych i karnych oraz powierzchowne zastosowanie tych warunków do norweskich ram prawnych i praktyki pozostawia wrażenie </w:t>
      </w:r>
      <w:r w:rsidR="00257312" w:rsidRPr="0051003F">
        <w:rPr>
          <w:lang w:val="pl-PL"/>
        </w:rPr>
        <w:t>wątpliwej, jakości</w:t>
      </w:r>
      <w:r w:rsidR="00D5341D" w:rsidRPr="0051003F">
        <w:rPr>
          <w:lang w:val="pl-PL"/>
        </w:rPr>
        <w:t xml:space="preserve"> rozumowania.</w:t>
      </w:r>
    </w:p>
    <w:p w:rsidR="00257312" w:rsidRPr="0051003F" w:rsidRDefault="001C1232" w:rsidP="00257312">
      <w:pPr>
        <w:ind w:firstLine="284"/>
        <w:rPr>
          <w:lang w:val="pl-PL"/>
        </w:rPr>
      </w:pPr>
      <w:r w:rsidRPr="0051003F">
        <w:rPr>
          <w:lang w:val="pl-PL"/>
        </w:rPr>
        <w:t>2.  </w:t>
      </w:r>
      <w:r w:rsidR="001E59BC" w:rsidRPr="0051003F">
        <w:rPr>
          <w:lang w:val="pl-PL"/>
        </w:rPr>
        <w:t>W tej części mojej opinii</w:t>
      </w:r>
      <w:r w:rsidRPr="0051003F">
        <w:rPr>
          <w:lang w:val="pl-PL"/>
        </w:rPr>
        <w:t xml:space="preserve">, </w:t>
      </w:r>
      <w:r w:rsidR="005630BA" w:rsidRPr="0051003F">
        <w:rPr>
          <w:lang w:val="pl-PL"/>
        </w:rPr>
        <w:t>przedstawię zapomniane podstawy zasady</w:t>
      </w:r>
      <w:r w:rsidRPr="0051003F">
        <w:rPr>
          <w:lang w:val="pl-PL"/>
        </w:rPr>
        <w:t xml:space="preserve"> </w:t>
      </w:r>
      <w:proofErr w:type="spellStart"/>
      <w:r w:rsidRPr="0051003F">
        <w:rPr>
          <w:i/>
          <w:lang w:val="pl-PL"/>
        </w:rPr>
        <w:t>ne</w:t>
      </w:r>
      <w:proofErr w:type="spellEnd"/>
      <w:r w:rsidRPr="0051003F">
        <w:rPr>
          <w:i/>
          <w:lang w:val="pl-PL"/>
        </w:rPr>
        <w:t xml:space="preserve"> bis in </w:t>
      </w:r>
      <w:proofErr w:type="spellStart"/>
      <w:r w:rsidRPr="0051003F">
        <w:rPr>
          <w:i/>
          <w:lang w:val="pl-PL"/>
        </w:rPr>
        <w:t>idem</w:t>
      </w:r>
      <w:proofErr w:type="spellEnd"/>
      <w:r w:rsidRPr="0051003F">
        <w:rPr>
          <w:lang w:val="pl-PL"/>
        </w:rPr>
        <w:t xml:space="preserve">, </w:t>
      </w:r>
      <w:r w:rsidR="005630BA" w:rsidRPr="0051003F">
        <w:rPr>
          <w:lang w:val="pl-PL"/>
        </w:rPr>
        <w:t xml:space="preserve">mianowicie, jej historyczne </w:t>
      </w:r>
      <w:r w:rsidR="00DB6102" w:rsidRPr="0051003F">
        <w:rPr>
          <w:lang w:val="pl-PL"/>
        </w:rPr>
        <w:t>korzenie</w:t>
      </w:r>
      <w:r w:rsidR="005630BA" w:rsidRPr="0051003F">
        <w:rPr>
          <w:lang w:val="pl-PL"/>
        </w:rPr>
        <w:t xml:space="preserve"> </w:t>
      </w:r>
      <w:r w:rsidR="001E59BC" w:rsidRPr="0051003F">
        <w:rPr>
          <w:lang w:val="pl-PL"/>
        </w:rPr>
        <w:t xml:space="preserve">jako indywidualnej gwarancji oraz jej stopniowe </w:t>
      </w:r>
      <w:r w:rsidR="00257312" w:rsidRPr="0051003F">
        <w:rPr>
          <w:lang w:val="pl-PL"/>
        </w:rPr>
        <w:t>uznawanie, jako</w:t>
      </w:r>
      <w:r w:rsidR="001E59BC" w:rsidRPr="0051003F">
        <w:rPr>
          <w:lang w:val="pl-PL"/>
        </w:rPr>
        <w:t xml:space="preserve"> zwyczaju międzynarodowego. Następnie, zaprezentuję współczesne wyzwania odnoszące się do tej zasady w dziedzinie wykroczeń, a w szczególności wykroczeń podatkowych, jak też niezdecydowaną odpowiedź Trybunału na nie</w:t>
      </w:r>
      <w:r w:rsidRPr="0051003F">
        <w:rPr>
          <w:lang w:val="pl-PL"/>
        </w:rPr>
        <w:t xml:space="preserve">. </w:t>
      </w:r>
      <w:r w:rsidR="001E59BC" w:rsidRPr="0051003F">
        <w:rPr>
          <w:lang w:val="pl-PL"/>
        </w:rPr>
        <w:t xml:space="preserve">Druga cześć opinii </w:t>
      </w:r>
      <w:r w:rsidR="00257312" w:rsidRPr="0051003F">
        <w:rPr>
          <w:lang w:val="pl-PL"/>
        </w:rPr>
        <w:t xml:space="preserve">będzie stanowić ocenę spuścizny </w:t>
      </w:r>
      <w:r w:rsidRPr="0051003F">
        <w:rPr>
          <w:i/>
          <w:lang w:val="pl-PL"/>
        </w:rPr>
        <w:t xml:space="preserve">pro persona </w:t>
      </w:r>
      <w:r w:rsidR="00257312" w:rsidRPr="0051003F">
        <w:rPr>
          <w:lang w:val="pl-PL"/>
        </w:rPr>
        <w:t>w wyroku</w:t>
      </w:r>
      <w:r w:rsidRPr="0051003F">
        <w:rPr>
          <w:lang w:val="pl-PL"/>
        </w:rPr>
        <w:t xml:space="preserve"> </w:t>
      </w:r>
      <w:proofErr w:type="spellStart"/>
      <w:r w:rsidRPr="0051003F">
        <w:rPr>
          <w:i/>
          <w:lang w:val="pl-PL"/>
        </w:rPr>
        <w:t>Sergey</w:t>
      </w:r>
      <w:proofErr w:type="spellEnd"/>
      <w:r w:rsidRPr="0051003F">
        <w:rPr>
          <w:i/>
          <w:lang w:val="pl-PL"/>
        </w:rPr>
        <w:t xml:space="preserve"> </w:t>
      </w:r>
      <w:proofErr w:type="spellStart"/>
      <w:r w:rsidRPr="0051003F">
        <w:rPr>
          <w:i/>
          <w:lang w:val="pl-PL"/>
        </w:rPr>
        <w:t>Zolotukhin</w:t>
      </w:r>
      <w:proofErr w:type="spellEnd"/>
      <w:r w:rsidRPr="0051003F">
        <w:rPr>
          <w:vertAlign w:val="superscript"/>
          <w:lang w:val="pl-PL"/>
        </w:rPr>
        <w:footnoteReference w:id="2"/>
      </w:r>
      <w:r w:rsidRPr="0051003F">
        <w:rPr>
          <w:lang w:val="pl-PL"/>
        </w:rPr>
        <w:t xml:space="preserve"> </w:t>
      </w:r>
      <w:r w:rsidR="00257312" w:rsidRPr="0051003F">
        <w:rPr>
          <w:lang w:val="pl-PL"/>
        </w:rPr>
        <w:t xml:space="preserve">oraz jej porównanie z </w:t>
      </w:r>
      <w:r w:rsidR="00257312" w:rsidRPr="0051003F">
        <w:rPr>
          <w:i/>
          <w:lang w:val="pl-PL"/>
        </w:rPr>
        <w:t xml:space="preserve">pro </w:t>
      </w:r>
      <w:proofErr w:type="spellStart"/>
      <w:r w:rsidR="00257312" w:rsidRPr="0051003F">
        <w:rPr>
          <w:i/>
          <w:lang w:val="pl-PL"/>
        </w:rPr>
        <w:t>auctoritate</w:t>
      </w:r>
      <w:proofErr w:type="spellEnd"/>
      <w:r w:rsidR="00257312" w:rsidRPr="0051003F">
        <w:rPr>
          <w:lang w:val="pl-PL"/>
        </w:rPr>
        <w:t xml:space="preserve">, </w:t>
      </w:r>
      <w:r w:rsidR="00257312" w:rsidRPr="0051003F">
        <w:rPr>
          <w:lang w:val="pl-PL"/>
        </w:rPr>
        <w:lastRenderedPageBreak/>
        <w:t>podejściem większości</w:t>
      </w:r>
      <w:r w:rsidRPr="0051003F">
        <w:rPr>
          <w:lang w:val="pl-PL"/>
        </w:rPr>
        <w:t xml:space="preserve"> </w:t>
      </w:r>
      <w:r w:rsidR="00257312" w:rsidRPr="0051003F">
        <w:rPr>
          <w:lang w:val="pl-PL"/>
        </w:rPr>
        <w:t>w niniejszej sprawie, wraz z aktualnymi rozwiązaniami przyjętymi przez Trybunał i Europejski Trybunał Sprawiedliwości w dziedzinie przestępstw podatkowych</w:t>
      </w:r>
      <w:r w:rsidRPr="0051003F">
        <w:rPr>
          <w:vertAlign w:val="superscript"/>
          <w:lang w:val="pl-PL"/>
        </w:rPr>
        <w:footnoteReference w:id="3"/>
      </w:r>
      <w:r w:rsidRPr="0051003F">
        <w:rPr>
          <w:lang w:val="pl-PL"/>
        </w:rPr>
        <w:t xml:space="preserve">, </w:t>
      </w:r>
      <w:r w:rsidR="00257312" w:rsidRPr="0051003F">
        <w:rPr>
          <w:lang w:val="pl-PL"/>
        </w:rPr>
        <w:t>przestępstw giełdowych</w:t>
      </w:r>
      <w:r w:rsidRPr="0051003F">
        <w:rPr>
          <w:vertAlign w:val="superscript"/>
          <w:lang w:val="pl-PL"/>
        </w:rPr>
        <w:footnoteReference w:id="4"/>
      </w:r>
      <w:r w:rsidR="00257312" w:rsidRPr="0051003F">
        <w:rPr>
          <w:lang w:val="pl-PL"/>
        </w:rPr>
        <w:t xml:space="preserve"> oraz</w:t>
      </w:r>
      <w:r w:rsidRPr="0051003F">
        <w:rPr>
          <w:lang w:val="pl-PL"/>
        </w:rPr>
        <w:t xml:space="preserve"> </w:t>
      </w:r>
      <w:r w:rsidR="00257312" w:rsidRPr="0051003F">
        <w:rPr>
          <w:lang w:val="pl-PL"/>
        </w:rPr>
        <w:t>przestępstw celnych</w:t>
      </w:r>
      <w:r w:rsidRPr="0051003F">
        <w:rPr>
          <w:vertAlign w:val="superscript"/>
          <w:lang w:val="pl-PL"/>
        </w:rPr>
        <w:footnoteReference w:id="5"/>
      </w:r>
      <w:r w:rsidRPr="0051003F">
        <w:rPr>
          <w:lang w:val="pl-PL"/>
        </w:rPr>
        <w:t xml:space="preserve">. </w:t>
      </w:r>
      <w:r w:rsidR="00257312" w:rsidRPr="0051003F">
        <w:rPr>
          <w:lang w:val="pl-PL"/>
        </w:rPr>
        <w:t xml:space="preserve">Na zakończenie, wykaże braki jakimi odznacza się rozwiązane przedstawione przez większość w niniejszej sprawie, w oparciu na dogłębnej dyskusji nad celami i elementami przestępstw karnych i administracyjnych, zróżnicowanymi regułami dowodowymi mającymi zastosowanie w norweskim postępowaniu administracyjnym i karnym oraz szczególnymi cechami mechanizmu rzekomego kompensowania przewidzianego w krajowym prawie materialnym i orzecznictwie. W związku z powyższym stwierdzam, że doszło do naruszenia art. 4 Protokołu </w:t>
      </w:r>
      <w:r w:rsidR="00E773E8">
        <w:rPr>
          <w:lang w:val="pl-PL"/>
        </w:rPr>
        <w:t>n</w:t>
      </w:r>
      <w:r w:rsidR="00257312" w:rsidRPr="0051003F">
        <w:rPr>
          <w:lang w:val="pl-PL"/>
        </w:rPr>
        <w:t>7.</w:t>
      </w:r>
    </w:p>
    <w:p w:rsidR="00507696" w:rsidRPr="0051003F" w:rsidRDefault="00507CA8" w:rsidP="00A7252F">
      <w:pPr>
        <w:keepNext/>
        <w:keepLines/>
        <w:spacing w:before="720" w:after="240"/>
        <w:outlineLvl w:val="0"/>
        <w:rPr>
          <w:rFonts w:asciiTheme="majorHAnsi" w:hAnsiTheme="majorHAnsi"/>
          <w:sz w:val="28"/>
          <w:lang w:val="pl-PL" w:eastAsia="fr-FR"/>
        </w:rPr>
      </w:pPr>
      <w:bookmarkStart w:id="204" w:name="_Toc473801918"/>
      <w:bookmarkStart w:id="205" w:name="_Toc473802171"/>
      <w:r w:rsidRPr="0051003F">
        <w:rPr>
          <w:rFonts w:asciiTheme="majorHAnsi" w:hAnsiTheme="majorHAnsi"/>
          <w:sz w:val="28"/>
          <w:lang w:val="pl-PL" w:eastAsia="fr-FR"/>
        </w:rPr>
        <w:t>Część Pierwsza</w:t>
      </w:r>
      <w:r w:rsidR="00E57379" w:rsidRPr="0051003F">
        <w:rPr>
          <w:rFonts w:asciiTheme="majorHAnsi" w:hAnsiTheme="majorHAnsi"/>
          <w:sz w:val="28"/>
          <w:lang w:val="pl-PL" w:eastAsia="fr-FR"/>
        </w:rPr>
        <w:t xml:space="preserve"> (§§  3</w:t>
      </w:r>
      <w:r w:rsidR="00E57379" w:rsidRPr="0051003F">
        <w:rPr>
          <w:rFonts w:asciiTheme="majorHAnsi" w:hAnsiTheme="majorHAnsi"/>
          <w:sz w:val="28"/>
          <w:lang w:val="pl-PL" w:eastAsia="fr-FR"/>
        </w:rPr>
        <w:noBreakHyphen/>
        <w:t>32)</w:t>
      </w:r>
      <w:bookmarkEnd w:id="204"/>
      <w:bookmarkEnd w:id="205"/>
    </w:p>
    <w:p w:rsidR="00507696" w:rsidRPr="0051003F" w:rsidRDefault="001C1232" w:rsidP="00A7252F">
      <w:pPr>
        <w:keepNext/>
        <w:keepLines/>
        <w:spacing w:before="360" w:after="240"/>
        <w:ind w:left="357" w:hanging="357"/>
        <w:outlineLvl w:val="1"/>
        <w:rPr>
          <w:rFonts w:asciiTheme="majorHAnsi" w:eastAsiaTheme="majorEastAsia" w:hAnsiTheme="majorHAnsi" w:cstheme="majorBidi"/>
          <w:b/>
          <w:bCs/>
          <w:szCs w:val="28"/>
          <w:lang w:val="pl-PL" w:eastAsia="fr-FR"/>
        </w:rPr>
      </w:pPr>
      <w:bookmarkStart w:id="206" w:name="_Toc473801919"/>
      <w:bookmarkStart w:id="207" w:name="_Toc473802172"/>
      <w:r w:rsidRPr="0051003F">
        <w:rPr>
          <w:rFonts w:asciiTheme="majorHAnsi" w:eastAsiaTheme="majorEastAsia" w:hAnsiTheme="majorHAnsi" w:cstheme="majorBidi"/>
          <w:b/>
          <w:bCs/>
          <w:szCs w:val="28"/>
          <w:lang w:val="pl-PL" w:eastAsia="fr-FR"/>
        </w:rPr>
        <w:t>II - </w:t>
      </w:r>
      <w:r w:rsidR="00507CA8" w:rsidRPr="0051003F">
        <w:rPr>
          <w:rFonts w:asciiTheme="majorHAnsi" w:eastAsiaTheme="majorEastAsia" w:hAnsiTheme="majorHAnsi" w:cstheme="majorBidi"/>
          <w:b/>
          <w:bCs/>
          <w:szCs w:val="28"/>
          <w:lang w:val="pl-PL" w:eastAsia="fr-FR"/>
        </w:rPr>
        <w:t>Podstawy</w:t>
      </w:r>
      <w:r w:rsidRPr="0051003F">
        <w:rPr>
          <w:rFonts w:asciiTheme="majorHAnsi" w:eastAsiaTheme="majorEastAsia" w:hAnsiTheme="majorHAnsi" w:cstheme="majorBidi"/>
          <w:b/>
          <w:bCs/>
          <w:szCs w:val="28"/>
          <w:lang w:val="pl-PL" w:eastAsia="fr-FR"/>
        </w:rPr>
        <w:t xml:space="preserve"> </w:t>
      </w:r>
      <w:proofErr w:type="spellStart"/>
      <w:r w:rsidRPr="0051003F">
        <w:rPr>
          <w:rFonts w:asciiTheme="majorHAnsi" w:eastAsiaTheme="majorEastAsia" w:hAnsiTheme="majorHAnsi" w:cstheme="majorBidi"/>
          <w:b/>
          <w:bCs/>
          <w:i/>
          <w:szCs w:val="28"/>
          <w:lang w:val="pl-PL" w:eastAsia="fr-FR"/>
        </w:rPr>
        <w:t>ne</w:t>
      </w:r>
      <w:proofErr w:type="spellEnd"/>
      <w:r w:rsidRPr="0051003F">
        <w:rPr>
          <w:rFonts w:asciiTheme="majorHAnsi" w:eastAsiaTheme="majorEastAsia" w:hAnsiTheme="majorHAnsi" w:cstheme="majorBidi"/>
          <w:b/>
          <w:bCs/>
          <w:i/>
          <w:szCs w:val="28"/>
          <w:lang w:val="pl-PL" w:eastAsia="fr-FR"/>
        </w:rPr>
        <w:t xml:space="preserve"> bis in </w:t>
      </w:r>
      <w:proofErr w:type="spellStart"/>
      <w:r w:rsidRPr="0051003F">
        <w:rPr>
          <w:rFonts w:asciiTheme="majorHAnsi" w:eastAsiaTheme="majorEastAsia" w:hAnsiTheme="majorHAnsi" w:cstheme="majorBidi"/>
          <w:b/>
          <w:bCs/>
          <w:i/>
          <w:szCs w:val="28"/>
          <w:lang w:val="pl-PL" w:eastAsia="fr-FR"/>
        </w:rPr>
        <w:t>idem</w:t>
      </w:r>
      <w:proofErr w:type="spellEnd"/>
      <w:r w:rsidR="00E57379" w:rsidRPr="0051003F">
        <w:rPr>
          <w:rFonts w:asciiTheme="majorHAnsi" w:eastAsiaTheme="majorEastAsia" w:hAnsiTheme="majorHAnsi" w:cstheme="majorBidi"/>
          <w:b/>
          <w:bCs/>
          <w:i/>
          <w:szCs w:val="28"/>
          <w:lang w:val="pl-PL" w:eastAsia="fr-FR"/>
        </w:rPr>
        <w:t xml:space="preserve"> </w:t>
      </w:r>
      <w:r w:rsidR="00E57379" w:rsidRPr="0051003F">
        <w:rPr>
          <w:rFonts w:asciiTheme="majorHAnsi" w:eastAsiaTheme="majorEastAsia" w:hAnsiTheme="majorHAnsi" w:cstheme="majorBidi"/>
          <w:b/>
          <w:bCs/>
          <w:szCs w:val="28"/>
          <w:lang w:val="pl-PL" w:eastAsia="fr-FR"/>
        </w:rPr>
        <w:t>(§§ 3</w:t>
      </w:r>
      <w:r w:rsidR="00E57379" w:rsidRPr="0051003F">
        <w:rPr>
          <w:rFonts w:asciiTheme="majorHAnsi" w:eastAsiaTheme="majorEastAsia" w:hAnsiTheme="majorHAnsi" w:cstheme="majorBidi"/>
          <w:b/>
          <w:bCs/>
          <w:szCs w:val="28"/>
          <w:lang w:val="pl-PL" w:eastAsia="fr-FR"/>
        </w:rPr>
        <w:noBreakHyphen/>
        <w:t>15)</w:t>
      </w:r>
      <w:bookmarkEnd w:id="206"/>
      <w:bookmarkEnd w:id="207"/>
    </w:p>
    <w:p w:rsidR="00507696" w:rsidRPr="0051003F" w:rsidRDefault="001C1232" w:rsidP="00A7252F">
      <w:pPr>
        <w:keepNext/>
        <w:keepLines/>
        <w:tabs>
          <w:tab w:val="left" w:pos="584"/>
        </w:tabs>
        <w:spacing w:before="360" w:after="240"/>
        <w:ind w:left="635" w:hanging="357"/>
        <w:outlineLvl w:val="2"/>
        <w:rPr>
          <w:rFonts w:asciiTheme="majorHAnsi" w:eastAsiaTheme="majorEastAsia" w:hAnsiTheme="majorHAnsi" w:cstheme="majorBidi"/>
          <w:b/>
          <w:bCs/>
          <w:szCs w:val="26"/>
          <w:lang w:val="pl-PL" w:eastAsia="fr-FR"/>
        </w:rPr>
      </w:pPr>
      <w:bookmarkStart w:id="208" w:name="_Toc473801920"/>
      <w:bookmarkStart w:id="209" w:name="_Toc473802173"/>
      <w:r w:rsidRPr="0051003F">
        <w:rPr>
          <w:rFonts w:asciiTheme="majorHAnsi" w:eastAsiaTheme="majorEastAsia" w:hAnsiTheme="majorHAnsi" w:cstheme="majorBidi"/>
          <w:b/>
          <w:bCs/>
          <w:szCs w:val="26"/>
          <w:lang w:val="pl-PL" w:eastAsia="fr-FR"/>
        </w:rPr>
        <w:t>A.  </w:t>
      </w:r>
      <w:r w:rsidR="00507CA8" w:rsidRPr="0051003F">
        <w:rPr>
          <w:rFonts w:asciiTheme="majorHAnsi" w:eastAsiaTheme="majorEastAsia" w:hAnsiTheme="majorHAnsi" w:cstheme="majorBidi"/>
          <w:b/>
          <w:bCs/>
          <w:szCs w:val="26"/>
          <w:lang w:val="pl-PL" w:eastAsia="fr-FR"/>
        </w:rPr>
        <w:t xml:space="preserve">Notka </w:t>
      </w:r>
      <w:r w:rsidR="00BC61A9" w:rsidRPr="0051003F">
        <w:rPr>
          <w:rFonts w:asciiTheme="majorHAnsi" w:eastAsiaTheme="majorEastAsia" w:hAnsiTheme="majorHAnsi" w:cstheme="majorBidi"/>
          <w:b/>
          <w:bCs/>
          <w:szCs w:val="26"/>
          <w:lang w:val="pl-PL" w:eastAsia="fr-FR"/>
        </w:rPr>
        <w:t>historyczna</w:t>
      </w:r>
      <w:r w:rsidR="00E57379" w:rsidRPr="0051003F">
        <w:rPr>
          <w:rFonts w:asciiTheme="majorHAnsi" w:eastAsiaTheme="majorEastAsia" w:hAnsiTheme="majorHAnsi" w:cstheme="majorBidi"/>
          <w:b/>
          <w:bCs/>
          <w:szCs w:val="26"/>
          <w:lang w:val="pl-PL" w:eastAsia="fr-FR"/>
        </w:rPr>
        <w:t xml:space="preserve"> (§§ 3</w:t>
      </w:r>
      <w:r w:rsidR="00E57379" w:rsidRPr="0051003F">
        <w:rPr>
          <w:rFonts w:asciiTheme="majorHAnsi" w:eastAsiaTheme="majorEastAsia" w:hAnsiTheme="majorHAnsi" w:cstheme="majorBidi"/>
          <w:b/>
          <w:bCs/>
          <w:szCs w:val="26"/>
          <w:lang w:val="pl-PL" w:eastAsia="fr-FR"/>
        </w:rPr>
        <w:noBreakHyphen/>
        <w:t>5)</w:t>
      </w:r>
      <w:bookmarkEnd w:id="208"/>
      <w:bookmarkEnd w:id="209"/>
    </w:p>
    <w:p w:rsidR="00507696" w:rsidRPr="0051003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val="pl-PL" w:eastAsia="fr-FR"/>
        </w:rPr>
      </w:pPr>
      <w:bookmarkStart w:id="210" w:name="_Toc473801921"/>
      <w:bookmarkStart w:id="211" w:name="_Toc473802174"/>
      <w:r w:rsidRPr="0051003F">
        <w:rPr>
          <w:rFonts w:asciiTheme="majorHAnsi" w:eastAsiaTheme="majorEastAsia" w:hAnsiTheme="majorHAnsi" w:cstheme="majorBidi"/>
          <w:b/>
          <w:bCs/>
          <w:sz w:val="20"/>
          <w:lang w:val="pl-PL" w:eastAsia="fr-FR"/>
        </w:rPr>
        <w:t>a.  </w:t>
      </w:r>
      <w:r w:rsidR="00507CA8" w:rsidRPr="0051003F">
        <w:rPr>
          <w:rFonts w:asciiTheme="majorHAnsi" w:eastAsiaTheme="majorEastAsia" w:hAnsiTheme="majorHAnsi" w:cstheme="majorBidi"/>
          <w:b/>
          <w:bCs/>
          <w:sz w:val="20"/>
          <w:lang w:val="pl-PL" w:eastAsia="fr-FR"/>
        </w:rPr>
        <w:t>Czasy rzymskie</w:t>
      </w:r>
      <w:r w:rsidR="00E57379" w:rsidRPr="0051003F">
        <w:rPr>
          <w:rFonts w:asciiTheme="majorHAnsi" w:eastAsiaTheme="majorEastAsia" w:hAnsiTheme="majorHAnsi" w:cstheme="majorBidi"/>
          <w:b/>
          <w:bCs/>
          <w:sz w:val="20"/>
          <w:lang w:val="pl-PL" w:eastAsia="fr-FR"/>
        </w:rPr>
        <w:t xml:space="preserve"> (§§ 3</w:t>
      </w:r>
      <w:r w:rsidR="00E57379" w:rsidRPr="0051003F">
        <w:rPr>
          <w:rFonts w:asciiTheme="majorHAnsi" w:eastAsiaTheme="majorEastAsia" w:hAnsiTheme="majorHAnsi" w:cstheme="majorBidi"/>
          <w:b/>
          <w:bCs/>
          <w:sz w:val="20"/>
          <w:lang w:val="pl-PL" w:eastAsia="fr-FR"/>
        </w:rPr>
        <w:noBreakHyphen/>
        <w:t>4)</w:t>
      </w:r>
      <w:bookmarkEnd w:id="210"/>
      <w:bookmarkEnd w:id="211"/>
    </w:p>
    <w:p w:rsidR="001C1232" w:rsidRPr="0051003F" w:rsidRDefault="001C1232" w:rsidP="00A7252F">
      <w:pPr>
        <w:ind w:firstLine="284"/>
        <w:rPr>
          <w:lang w:val="pl-PL"/>
        </w:rPr>
      </w:pPr>
      <w:r w:rsidRPr="0051003F">
        <w:rPr>
          <w:lang w:val="pl-PL"/>
        </w:rPr>
        <w:t>3.  </w:t>
      </w:r>
      <w:proofErr w:type="spellStart"/>
      <w:r w:rsidR="00507CA8" w:rsidRPr="0051003F">
        <w:rPr>
          <w:lang w:val="pl-PL"/>
        </w:rPr>
        <w:t>Paremia</w:t>
      </w:r>
      <w:proofErr w:type="spellEnd"/>
      <w:r w:rsidRPr="0051003F">
        <w:rPr>
          <w:lang w:val="pl-PL"/>
        </w:rPr>
        <w:t xml:space="preserve"> </w:t>
      </w:r>
      <w:proofErr w:type="spellStart"/>
      <w:r w:rsidRPr="0051003F">
        <w:rPr>
          <w:i/>
          <w:lang w:val="pl-PL"/>
        </w:rPr>
        <w:t>ne</w:t>
      </w:r>
      <w:proofErr w:type="spellEnd"/>
      <w:r w:rsidRPr="0051003F">
        <w:rPr>
          <w:i/>
          <w:lang w:val="pl-PL"/>
        </w:rPr>
        <w:t xml:space="preserve"> bis in </w:t>
      </w:r>
      <w:proofErr w:type="spellStart"/>
      <w:r w:rsidRPr="0051003F">
        <w:rPr>
          <w:i/>
          <w:lang w:val="pl-PL"/>
        </w:rPr>
        <w:t>idem</w:t>
      </w:r>
      <w:proofErr w:type="spellEnd"/>
      <w:r w:rsidRPr="0051003F">
        <w:rPr>
          <w:lang w:val="pl-PL"/>
        </w:rPr>
        <w:t xml:space="preserve"> </w:t>
      </w:r>
      <w:r w:rsidR="00507CA8" w:rsidRPr="0051003F">
        <w:rPr>
          <w:lang w:val="pl-PL"/>
        </w:rPr>
        <w:t>była respektowana za czasów Republiki Rzymskiej i Pryncypatu</w:t>
      </w:r>
      <w:r w:rsidRPr="0051003F">
        <w:rPr>
          <w:lang w:val="pl-PL"/>
        </w:rPr>
        <w:t xml:space="preserve">, </w:t>
      </w:r>
      <w:r w:rsidR="00507CA8" w:rsidRPr="0051003F">
        <w:rPr>
          <w:lang w:val="pl-PL"/>
        </w:rPr>
        <w:t xml:space="preserve">mimo że </w:t>
      </w:r>
      <w:r w:rsidR="00247A57" w:rsidRPr="0051003F">
        <w:rPr>
          <w:lang w:val="pl-PL"/>
        </w:rPr>
        <w:t xml:space="preserve">istniały </w:t>
      </w:r>
      <w:r w:rsidR="00507CA8" w:rsidRPr="0051003F">
        <w:rPr>
          <w:lang w:val="pl-PL"/>
        </w:rPr>
        <w:t xml:space="preserve">pewne wyjątki w </w:t>
      </w:r>
      <w:r w:rsidR="00BC61A9" w:rsidRPr="0051003F">
        <w:rPr>
          <w:lang w:val="pl-PL"/>
        </w:rPr>
        <w:t>odniesieniu</w:t>
      </w:r>
      <w:r w:rsidR="00507CA8" w:rsidRPr="0051003F">
        <w:rPr>
          <w:lang w:val="pl-PL"/>
        </w:rPr>
        <w:t xml:space="preserve"> do nowych </w:t>
      </w:r>
      <w:r w:rsidR="001216E3">
        <w:rPr>
          <w:lang w:val="pl-PL"/>
        </w:rPr>
        <w:t>postępowań</w:t>
      </w:r>
      <w:r w:rsidR="001216E3" w:rsidRPr="0051003F">
        <w:rPr>
          <w:lang w:val="pl-PL"/>
        </w:rPr>
        <w:t xml:space="preserve"> </w:t>
      </w:r>
      <w:r w:rsidR="00507CA8" w:rsidRPr="0051003F">
        <w:rPr>
          <w:lang w:val="pl-PL"/>
        </w:rPr>
        <w:t>o to samo przestępstwo przeciwko</w:t>
      </w:r>
      <w:r w:rsidR="00247A57" w:rsidRPr="0051003F">
        <w:rPr>
          <w:lang w:val="pl-PL"/>
        </w:rPr>
        <w:t xml:space="preserve"> </w:t>
      </w:r>
      <w:r w:rsidR="00BC61A9" w:rsidRPr="0051003F">
        <w:rPr>
          <w:lang w:val="pl-PL"/>
        </w:rPr>
        <w:t>oskarżonemu, który</w:t>
      </w:r>
      <w:r w:rsidR="00247A57" w:rsidRPr="0051003F">
        <w:rPr>
          <w:lang w:val="pl-PL"/>
        </w:rPr>
        <w:t xml:space="preserve"> został już </w:t>
      </w:r>
      <w:r w:rsidR="00BC61A9" w:rsidRPr="0051003F">
        <w:rPr>
          <w:lang w:val="pl-PL"/>
        </w:rPr>
        <w:t>uniewinniony</w:t>
      </w:r>
      <w:r w:rsidRPr="0051003F">
        <w:rPr>
          <w:vertAlign w:val="superscript"/>
          <w:lang w:val="pl-PL"/>
        </w:rPr>
        <w:footnoteReference w:id="6"/>
      </w:r>
      <w:r w:rsidRPr="0051003F">
        <w:rPr>
          <w:lang w:val="pl-PL"/>
        </w:rPr>
        <w:t xml:space="preserve">. </w:t>
      </w:r>
      <w:r w:rsidR="00507CA8" w:rsidRPr="0051003F">
        <w:rPr>
          <w:lang w:val="pl-PL"/>
        </w:rPr>
        <w:t xml:space="preserve">Pierwotnie, podczas </w:t>
      </w:r>
      <w:r w:rsidRPr="0051003F">
        <w:rPr>
          <w:i/>
          <w:lang w:val="pl-PL"/>
        </w:rPr>
        <w:t xml:space="preserve">legis </w:t>
      </w:r>
      <w:proofErr w:type="spellStart"/>
      <w:r w:rsidRPr="0051003F">
        <w:rPr>
          <w:i/>
          <w:lang w:val="pl-PL"/>
        </w:rPr>
        <w:t>actiones</w:t>
      </w:r>
      <w:proofErr w:type="spellEnd"/>
      <w:r w:rsidRPr="0051003F">
        <w:rPr>
          <w:lang w:val="pl-PL"/>
        </w:rPr>
        <w:t xml:space="preserve">, </w:t>
      </w:r>
      <w:proofErr w:type="spellStart"/>
      <w:r w:rsidR="00BC61A9" w:rsidRPr="0051003F">
        <w:rPr>
          <w:lang w:val="pl-PL"/>
        </w:rPr>
        <w:t>paremia</w:t>
      </w:r>
      <w:proofErr w:type="spellEnd"/>
      <w:r w:rsidR="002B4877" w:rsidRPr="0051003F">
        <w:rPr>
          <w:lang w:val="pl-PL"/>
        </w:rPr>
        <w:t xml:space="preserve"> oznaczała, że </w:t>
      </w:r>
      <w:r w:rsidRPr="0051003F">
        <w:rPr>
          <w:i/>
          <w:lang w:val="pl-PL"/>
        </w:rPr>
        <w:t xml:space="preserve">bis de </w:t>
      </w:r>
      <w:proofErr w:type="spellStart"/>
      <w:r w:rsidRPr="0051003F">
        <w:rPr>
          <w:i/>
          <w:lang w:val="pl-PL"/>
        </w:rPr>
        <w:t>eadem</w:t>
      </w:r>
      <w:proofErr w:type="spellEnd"/>
      <w:r w:rsidRPr="0051003F">
        <w:rPr>
          <w:i/>
          <w:lang w:val="pl-PL"/>
        </w:rPr>
        <w:t xml:space="preserve"> res </w:t>
      </w:r>
      <w:proofErr w:type="spellStart"/>
      <w:r w:rsidRPr="0051003F">
        <w:rPr>
          <w:i/>
          <w:lang w:val="pl-PL"/>
        </w:rPr>
        <w:t>ne</w:t>
      </w:r>
      <w:proofErr w:type="spellEnd"/>
      <w:r w:rsidRPr="0051003F">
        <w:rPr>
          <w:i/>
          <w:lang w:val="pl-PL"/>
        </w:rPr>
        <w:t xml:space="preserve"> sic </w:t>
      </w:r>
      <w:proofErr w:type="spellStart"/>
      <w:r w:rsidRPr="0051003F">
        <w:rPr>
          <w:i/>
          <w:lang w:val="pl-PL"/>
        </w:rPr>
        <w:t>actio</w:t>
      </w:r>
      <w:proofErr w:type="spellEnd"/>
      <w:r w:rsidRPr="0051003F">
        <w:rPr>
          <w:lang w:val="pl-PL"/>
        </w:rPr>
        <w:t xml:space="preserve">, </w:t>
      </w:r>
      <w:r w:rsidR="002B4877" w:rsidRPr="0051003F">
        <w:rPr>
          <w:lang w:val="pl-PL"/>
        </w:rPr>
        <w:t>to znaczy</w:t>
      </w:r>
      <w:r w:rsidRPr="0051003F">
        <w:rPr>
          <w:lang w:val="pl-PL"/>
        </w:rPr>
        <w:t xml:space="preserve">, </w:t>
      </w:r>
      <w:r w:rsidR="002B4877" w:rsidRPr="0051003F">
        <w:rPr>
          <w:lang w:val="pl-PL"/>
        </w:rPr>
        <w:t xml:space="preserve">wszczęcie określonej czynności powoduje wygaśnięcie odpowiedniego prawa, co utrudnia </w:t>
      </w:r>
      <w:r w:rsidR="00DB6A67" w:rsidRPr="0051003F">
        <w:rPr>
          <w:lang w:val="pl-PL"/>
        </w:rPr>
        <w:lastRenderedPageBreak/>
        <w:t>rozpoczęcie</w:t>
      </w:r>
      <w:r w:rsidR="002B4877" w:rsidRPr="0051003F">
        <w:rPr>
          <w:lang w:val="pl-PL"/>
        </w:rPr>
        <w:t xml:space="preserve"> nowych </w:t>
      </w:r>
      <w:proofErr w:type="spellStart"/>
      <w:r w:rsidRPr="0051003F">
        <w:rPr>
          <w:i/>
          <w:lang w:val="pl-PL"/>
        </w:rPr>
        <w:t>actiones</w:t>
      </w:r>
      <w:proofErr w:type="spellEnd"/>
      <w:r w:rsidRPr="0051003F">
        <w:rPr>
          <w:lang w:val="pl-PL"/>
        </w:rPr>
        <w:t xml:space="preserve">, </w:t>
      </w:r>
      <w:r w:rsidR="002B4877" w:rsidRPr="0051003F">
        <w:rPr>
          <w:lang w:val="pl-PL"/>
        </w:rPr>
        <w:t>nawet</w:t>
      </w:r>
      <w:r w:rsidR="001216E3">
        <w:rPr>
          <w:lang w:val="pl-PL"/>
        </w:rPr>
        <w:t>,</w:t>
      </w:r>
      <w:r w:rsidR="002B4877" w:rsidRPr="0051003F">
        <w:rPr>
          <w:lang w:val="pl-PL"/>
        </w:rPr>
        <w:t xml:space="preserve"> jeżeli decyzja co do istoty nie została wydana. </w:t>
      </w:r>
      <w:r w:rsidR="00247A57" w:rsidRPr="0051003F">
        <w:rPr>
          <w:lang w:val="pl-PL"/>
        </w:rPr>
        <w:t xml:space="preserve">W celu ograniczenia wpływu tej </w:t>
      </w:r>
      <w:proofErr w:type="spellStart"/>
      <w:r w:rsidR="00247A57" w:rsidRPr="0051003F">
        <w:rPr>
          <w:lang w:val="pl-PL"/>
        </w:rPr>
        <w:t>parem</w:t>
      </w:r>
      <w:r w:rsidR="00BC61A9" w:rsidRPr="0051003F">
        <w:rPr>
          <w:lang w:val="pl-PL"/>
        </w:rPr>
        <w:t>i</w:t>
      </w:r>
      <w:r w:rsidR="00247A57" w:rsidRPr="0051003F">
        <w:rPr>
          <w:lang w:val="pl-PL"/>
        </w:rPr>
        <w:t>i</w:t>
      </w:r>
      <w:proofErr w:type="spellEnd"/>
      <w:r w:rsidR="00247A57" w:rsidRPr="0051003F">
        <w:rPr>
          <w:lang w:val="pl-PL"/>
        </w:rPr>
        <w:t xml:space="preserve">, został wyprowadzony wyjątek - </w:t>
      </w:r>
      <w:r w:rsidRPr="0051003F">
        <w:rPr>
          <w:lang w:val="pl-PL"/>
        </w:rPr>
        <w:t xml:space="preserve"> </w:t>
      </w:r>
      <w:proofErr w:type="spellStart"/>
      <w:r w:rsidRPr="0051003F">
        <w:rPr>
          <w:i/>
          <w:lang w:val="pl-PL"/>
        </w:rPr>
        <w:t>exceptio</w:t>
      </w:r>
      <w:proofErr w:type="spellEnd"/>
      <w:r w:rsidRPr="0051003F">
        <w:rPr>
          <w:i/>
          <w:lang w:val="pl-PL"/>
        </w:rPr>
        <w:t xml:space="preserve"> rei </w:t>
      </w:r>
      <w:proofErr w:type="spellStart"/>
      <w:r w:rsidRPr="0051003F">
        <w:rPr>
          <w:i/>
          <w:lang w:val="pl-PL"/>
        </w:rPr>
        <w:t>judicatae</w:t>
      </w:r>
      <w:proofErr w:type="spellEnd"/>
      <w:r w:rsidRPr="0051003F">
        <w:rPr>
          <w:lang w:val="pl-PL"/>
        </w:rPr>
        <w:t xml:space="preserve">, </w:t>
      </w:r>
      <w:r w:rsidR="00C83EA2" w:rsidRPr="0051003F">
        <w:rPr>
          <w:lang w:val="pl-PL"/>
        </w:rPr>
        <w:t xml:space="preserve">który był zależny od poprzednich decyzji co do istoty. </w:t>
      </w:r>
      <w:proofErr w:type="spellStart"/>
      <w:r w:rsidR="00C83EA2" w:rsidRPr="0051003F">
        <w:rPr>
          <w:i/>
          <w:lang w:val="pl-PL"/>
        </w:rPr>
        <w:t>E</w:t>
      </w:r>
      <w:r w:rsidRPr="0051003F">
        <w:rPr>
          <w:i/>
          <w:lang w:val="pl-PL"/>
        </w:rPr>
        <w:t>xceptio</w:t>
      </w:r>
      <w:proofErr w:type="spellEnd"/>
      <w:r w:rsidRPr="0051003F">
        <w:rPr>
          <w:lang w:val="pl-PL"/>
        </w:rPr>
        <w:t xml:space="preserve"> </w:t>
      </w:r>
      <w:r w:rsidR="00C83EA2" w:rsidRPr="0051003F">
        <w:rPr>
          <w:lang w:val="pl-PL"/>
        </w:rPr>
        <w:t>utrudnił</w:t>
      </w:r>
      <w:r w:rsidRPr="0051003F">
        <w:rPr>
          <w:lang w:val="pl-PL"/>
        </w:rPr>
        <w:t xml:space="preserve"> </w:t>
      </w:r>
      <w:r w:rsidRPr="0051003F">
        <w:rPr>
          <w:i/>
          <w:lang w:val="pl-PL"/>
        </w:rPr>
        <w:t xml:space="preserve">bis in </w:t>
      </w:r>
      <w:proofErr w:type="spellStart"/>
      <w:r w:rsidRPr="0051003F">
        <w:rPr>
          <w:i/>
          <w:lang w:val="pl-PL"/>
        </w:rPr>
        <w:t>eadem</w:t>
      </w:r>
      <w:proofErr w:type="spellEnd"/>
      <w:r w:rsidRPr="0051003F">
        <w:rPr>
          <w:lang w:val="pl-PL"/>
        </w:rPr>
        <w:t>,</w:t>
      </w:r>
      <w:r w:rsidR="00C83EA2" w:rsidRPr="0051003F">
        <w:rPr>
          <w:lang w:val="pl-PL"/>
        </w:rPr>
        <w:t xml:space="preserve"> pomimo faktu, że wcześniejsze wyroki były skazujące lub uniewinniające. W obydwu sytuacjach </w:t>
      </w:r>
      <w:proofErr w:type="spellStart"/>
      <w:r w:rsidRPr="0051003F">
        <w:rPr>
          <w:i/>
          <w:lang w:val="pl-PL"/>
        </w:rPr>
        <w:t>autoritas</w:t>
      </w:r>
      <w:proofErr w:type="spellEnd"/>
      <w:r w:rsidRPr="0051003F">
        <w:rPr>
          <w:i/>
          <w:lang w:val="pl-PL"/>
        </w:rPr>
        <w:t xml:space="preserve"> rerum </w:t>
      </w:r>
      <w:proofErr w:type="spellStart"/>
      <w:r w:rsidRPr="0051003F">
        <w:rPr>
          <w:i/>
          <w:lang w:val="pl-PL"/>
        </w:rPr>
        <w:t>judicatarum</w:t>
      </w:r>
      <w:proofErr w:type="spellEnd"/>
      <w:r w:rsidRPr="0051003F">
        <w:rPr>
          <w:lang w:val="pl-PL"/>
        </w:rPr>
        <w:t xml:space="preserve"> </w:t>
      </w:r>
      <w:r w:rsidR="00C83EA2" w:rsidRPr="0051003F">
        <w:rPr>
          <w:lang w:val="pl-PL"/>
        </w:rPr>
        <w:t xml:space="preserve">polegały na </w:t>
      </w:r>
      <w:r w:rsidR="00BC61A9" w:rsidRPr="0051003F">
        <w:rPr>
          <w:lang w:val="pl-PL"/>
        </w:rPr>
        <w:t>wygaśnięciu</w:t>
      </w:r>
      <w:r w:rsidR="00C83EA2" w:rsidRPr="0051003F">
        <w:rPr>
          <w:lang w:val="pl-PL"/>
        </w:rPr>
        <w:t xml:space="preserve"> efektu w postaci wszczęcia postępowania karnego. Zakres był ograniczony przez przedmiot poprzedniego postępowania karnego</w:t>
      </w:r>
      <w:r w:rsidRPr="0051003F">
        <w:rPr>
          <w:lang w:val="pl-PL"/>
        </w:rPr>
        <w:t xml:space="preserve">: </w:t>
      </w:r>
      <w:r w:rsidRPr="0051003F">
        <w:rPr>
          <w:i/>
          <w:lang w:val="pl-PL"/>
        </w:rPr>
        <w:t xml:space="preserve">tantum </w:t>
      </w:r>
      <w:proofErr w:type="spellStart"/>
      <w:r w:rsidRPr="0051003F">
        <w:rPr>
          <w:i/>
          <w:lang w:val="pl-PL"/>
        </w:rPr>
        <w:t>consumptum</w:t>
      </w:r>
      <w:proofErr w:type="spellEnd"/>
      <w:r w:rsidRPr="0051003F">
        <w:rPr>
          <w:i/>
          <w:lang w:val="pl-PL"/>
        </w:rPr>
        <w:t xml:space="preserve">, quantum </w:t>
      </w:r>
      <w:proofErr w:type="spellStart"/>
      <w:r w:rsidRPr="0051003F">
        <w:rPr>
          <w:i/>
          <w:lang w:val="pl-PL"/>
        </w:rPr>
        <w:t>judicatum</w:t>
      </w:r>
      <w:proofErr w:type="spellEnd"/>
      <w:r w:rsidRPr="0051003F">
        <w:rPr>
          <w:i/>
          <w:lang w:val="pl-PL"/>
        </w:rPr>
        <w:t xml:space="preserve">, tantum </w:t>
      </w:r>
      <w:proofErr w:type="spellStart"/>
      <w:r w:rsidRPr="0051003F">
        <w:rPr>
          <w:i/>
          <w:lang w:val="pl-PL"/>
        </w:rPr>
        <w:t>judicatum</w:t>
      </w:r>
      <w:proofErr w:type="spellEnd"/>
      <w:r w:rsidRPr="0051003F">
        <w:rPr>
          <w:i/>
          <w:lang w:val="pl-PL"/>
        </w:rPr>
        <w:t xml:space="preserve">, quantum </w:t>
      </w:r>
      <w:proofErr w:type="spellStart"/>
      <w:r w:rsidRPr="0051003F">
        <w:rPr>
          <w:i/>
          <w:lang w:val="pl-PL"/>
        </w:rPr>
        <w:t>litigatum</w:t>
      </w:r>
      <w:proofErr w:type="spellEnd"/>
      <w:r w:rsidR="00C83EA2" w:rsidRPr="0051003F">
        <w:rPr>
          <w:lang w:val="pl-PL"/>
        </w:rPr>
        <w:t xml:space="preserve">. </w:t>
      </w:r>
      <w:proofErr w:type="spellStart"/>
      <w:r w:rsidR="00C83EA2" w:rsidRPr="0051003F">
        <w:rPr>
          <w:i/>
          <w:lang w:val="pl-PL"/>
        </w:rPr>
        <w:t>E</w:t>
      </w:r>
      <w:r w:rsidRPr="0051003F">
        <w:rPr>
          <w:i/>
          <w:lang w:val="pl-PL"/>
        </w:rPr>
        <w:t>adem</w:t>
      </w:r>
      <w:proofErr w:type="spellEnd"/>
      <w:r w:rsidRPr="0051003F">
        <w:rPr>
          <w:i/>
          <w:lang w:val="pl-PL"/>
        </w:rPr>
        <w:t xml:space="preserve"> </w:t>
      </w:r>
      <w:proofErr w:type="spellStart"/>
      <w:r w:rsidRPr="0051003F">
        <w:rPr>
          <w:i/>
          <w:lang w:val="pl-PL"/>
        </w:rPr>
        <w:t>quaestio</w:t>
      </w:r>
      <w:proofErr w:type="spellEnd"/>
      <w:r w:rsidRPr="0051003F">
        <w:rPr>
          <w:lang w:val="pl-PL"/>
        </w:rPr>
        <w:t xml:space="preserve"> </w:t>
      </w:r>
      <w:r w:rsidR="00C83EA2" w:rsidRPr="0051003F">
        <w:rPr>
          <w:lang w:val="pl-PL"/>
        </w:rPr>
        <w:t>był określony przez sam fakt</w:t>
      </w:r>
      <w:r w:rsidRPr="0051003F">
        <w:rPr>
          <w:lang w:val="pl-PL"/>
        </w:rPr>
        <w:t xml:space="preserve">, </w:t>
      </w:r>
      <w:proofErr w:type="spellStart"/>
      <w:r w:rsidRPr="0051003F">
        <w:rPr>
          <w:i/>
          <w:lang w:val="pl-PL"/>
        </w:rPr>
        <w:t>idem</w:t>
      </w:r>
      <w:proofErr w:type="spellEnd"/>
      <w:r w:rsidRPr="0051003F">
        <w:rPr>
          <w:i/>
          <w:lang w:val="pl-PL"/>
        </w:rPr>
        <w:t xml:space="preserve"> factum</w:t>
      </w:r>
      <w:r w:rsidRPr="0051003F">
        <w:rPr>
          <w:vertAlign w:val="superscript"/>
          <w:lang w:val="pl-PL"/>
        </w:rPr>
        <w:footnoteReference w:id="7"/>
      </w:r>
      <w:r w:rsidRPr="0051003F">
        <w:rPr>
          <w:lang w:val="pl-PL"/>
        </w:rPr>
        <w:t>.</w:t>
      </w:r>
    </w:p>
    <w:p w:rsidR="00E02E80" w:rsidRPr="0051003F" w:rsidRDefault="001C1232" w:rsidP="00E02E80">
      <w:pPr>
        <w:ind w:firstLine="284"/>
        <w:rPr>
          <w:lang w:val="pl-PL"/>
        </w:rPr>
      </w:pPr>
      <w:r w:rsidRPr="0051003F">
        <w:rPr>
          <w:lang w:val="pl-PL"/>
        </w:rPr>
        <w:t>4.</w:t>
      </w:r>
      <w:r w:rsidR="00E02E80" w:rsidRPr="0051003F">
        <w:rPr>
          <w:lang w:val="pl-PL"/>
        </w:rPr>
        <w:t xml:space="preserve"> W prawie justyniańskim, domniemanie prawdziwości orzeczenia sądowego stało się nowym uzasadnieniem maksymy. </w:t>
      </w:r>
      <w:proofErr w:type="spellStart"/>
      <w:r w:rsidR="00E02E80" w:rsidRPr="0051003F">
        <w:rPr>
          <w:lang w:val="pl-PL"/>
        </w:rPr>
        <w:t>Ulpian</w:t>
      </w:r>
      <w:proofErr w:type="spellEnd"/>
      <w:r w:rsidR="00E02E80" w:rsidRPr="0051003F">
        <w:rPr>
          <w:lang w:val="pl-PL"/>
        </w:rPr>
        <w:t xml:space="preserve"> jako pierwszy sformułował </w:t>
      </w:r>
      <w:proofErr w:type="spellStart"/>
      <w:r w:rsidR="00E02E80" w:rsidRPr="0051003F">
        <w:rPr>
          <w:lang w:val="pl-PL"/>
        </w:rPr>
        <w:t>paremię</w:t>
      </w:r>
      <w:proofErr w:type="spellEnd"/>
      <w:r w:rsidR="00E02E80" w:rsidRPr="0051003F">
        <w:rPr>
          <w:lang w:val="pl-PL"/>
        </w:rPr>
        <w:t xml:space="preserve"> </w:t>
      </w:r>
      <w:r w:rsidR="00E02E80" w:rsidRPr="0051003F">
        <w:rPr>
          <w:i/>
          <w:lang w:val="pl-PL"/>
        </w:rPr>
        <w:t xml:space="preserve">res iudicata pro </w:t>
      </w:r>
      <w:proofErr w:type="spellStart"/>
      <w:r w:rsidR="00E02E80" w:rsidRPr="0051003F">
        <w:rPr>
          <w:i/>
          <w:lang w:val="pl-PL"/>
        </w:rPr>
        <w:t>veritate</w:t>
      </w:r>
      <w:proofErr w:type="spellEnd"/>
      <w:r w:rsidR="00E02E80" w:rsidRPr="0051003F">
        <w:rPr>
          <w:i/>
          <w:lang w:val="pl-PL"/>
        </w:rPr>
        <w:t xml:space="preserve"> </w:t>
      </w:r>
      <w:proofErr w:type="spellStart"/>
      <w:r w:rsidR="00E02E80" w:rsidRPr="0051003F">
        <w:rPr>
          <w:i/>
          <w:lang w:val="pl-PL"/>
        </w:rPr>
        <w:t>accipitur</w:t>
      </w:r>
      <w:proofErr w:type="spellEnd"/>
      <w:r w:rsidR="00E02E80" w:rsidRPr="0051003F">
        <w:rPr>
          <w:lang w:val="pl-PL"/>
        </w:rPr>
        <w:t xml:space="preserve"> (D. 50,17,207). Wraz z pojawieniem się procesu inkwizycyjnego i sylogistycznej metody stosowania prawa, przesłanki kodyfikacji imperialnej - autorytet sądu i nieomylność ustaleń sądu - wpłynęły negatywnie na indywidualny wymiar tej maksymy. W duchu nowych procedur, we wcześniejszym prawie rzymskim wyjątkowe przypadki wznawiania postępowań karnych na podstawie tych samych faktów stały się wyłącznie przykładami maksymy </w:t>
      </w:r>
      <w:proofErr w:type="spellStart"/>
      <w:r w:rsidR="00E02E80" w:rsidRPr="0051003F">
        <w:rPr>
          <w:i/>
          <w:lang w:val="pl-PL"/>
        </w:rPr>
        <w:t>absolutio</w:t>
      </w:r>
      <w:proofErr w:type="spellEnd"/>
      <w:r w:rsidR="00E02E80" w:rsidRPr="0051003F">
        <w:rPr>
          <w:i/>
          <w:lang w:val="pl-PL"/>
        </w:rPr>
        <w:t xml:space="preserve"> pro nunc, rebus sic </w:t>
      </w:r>
      <w:proofErr w:type="spellStart"/>
      <w:r w:rsidR="00E02E80" w:rsidRPr="0051003F">
        <w:rPr>
          <w:i/>
          <w:lang w:val="pl-PL"/>
        </w:rPr>
        <w:t>stantibus</w:t>
      </w:r>
      <w:proofErr w:type="spellEnd"/>
      <w:r w:rsidR="00E02E80" w:rsidRPr="0051003F">
        <w:rPr>
          <w:lang w:val="pl-PL"/>
        </w:rPr>
        <w:t xml:space="preserve">, która w rzeczywistości potwierdzała, że podstawą wymiaru wyroku karnego jest dążenie do ustalenia prawdy obiektywnej. Na przykład we Francji, zgodnie z zasadą </w:t>
      </w:r>
      <w:r w:rsidR="00E02E80" w:rsidRPr="0051003F">
        <w:rPr>
          <w:i/>
          <w:lang w:val="pl-PL"/>
        </w:rPr>
        <w:t xml:space="preserve">„plus </w:t>
      </w:r>
      <w:proofErr w:type="spellStart"/>
      <w:r w:rsidR="00E02E80" w:rsidRPr="0051003F">
        <w:rPr>
          <w:i/>
          <w:lang w:val="pl-PL"/>
        </w:rPr>
        <w:t>amplement</w:t>
      </w:r>
      <w:proofErr w:type="spellEnd"/>
      <w:r w:rsidR="00E02E80" w:rsidRPr="0051003F">
        <w:rPr>
          <w:i/>
          <w:lang w:val="pl-PL"/>
        </w:rPr>
        <w:t xml:space="preserve"> </w:t>
      </w:r>
      <w:proofErr w:type="spellStart"/>
      <w:r w:rsidR="00E02E80" w:rsidRPr="0051003F">
        <w:rPr>
          <w:i/>
          <w:lang w:val="pl-PL"/>
        </w:rPr>
        <w:t>informé</w:t>
      </w:r>
      <w:proofErr w:type="spellEnd"/>
      <w:r w:rsidR="00E02E80" w:rsidRPr="0051003F">
        <w:rPr>
          <w:lang w:val="pl-PL"/>
        </w:rPr>
        <w:t>", wobec braku udowodnienia niewinności oskarżonego, uniewinnienie miało charakter przejściowy i mogło w każdej chwili zostać obalone nowymi dowodami o charakterze obciążającym. Podobnie we Włoszech oskarżony został uniewinniony przez sąd (</w:t>
      </w:r>
      <w:r w:rsidR="00E02E80" w:rsidRPr="0051003F">
        <w:rPr>
          <w:i/>
          <w:lang w:val="pl-PL"/>
        </w:rPr>
        <w:t xml:space="preserve">At in casu quo </w:t>
      </w:r>
      <w:proofErr w:type="spellStart"/>
      <w:r w:rsidR="00E02E80" w:rsidRPr="0051003F">
        <w:rPr>
          <w:i/>
          <w:lang w:val="pl-PL"/>
        </w:rPr>
        <w:t>reus</w:t>
      </w:r>
      <w:proofErr w:type="spellEnd"/>
      <w:r w:rsidR="00E02E80" w:rsidRPr="0051003F">
        <w:rPr>
          <w:i/>
          <w:lang w:val="pl-PL"/>
        </w:rPr>
        <w:t xml:space="preserve"> </w:t>
      </w:r>
      <w:proofErr w:type="spellStart"/>
      <w:r w:rsidR="00E02E80" w:rsidRPr="0051003F">
        <w:rPr>
          <w:i/>
          <w:lang w:val="pl-PL"/>
        </w:rPr>
        <w:t>absoluendus</w:t>
      </w:r>
      <w:proofErr w:type="spellEnd"/>
      <w:r w:rsidR="00E02E80" w:rsidRPr="0051003F">
        <w:rPr>
          <w:i/>
          <w:lang w:val="pl-PL"/>
        </w:rPr>
        <w:t xml:space="preserve"> </w:t>
      </w:r>
      <w:proofErr w:type="spellStart"/>
      <w:r w:rsidR="00E02E80" w:rsidRPr="0051003F">
        <w:rPr>
          <w:i/>
          <w:lang w:val="pl-PL"/>
        </w:rPr>
        <w:t>est</w:t>
      </w:r>
      <w:proofErr w:type="spellEnd"/>
      <w:r w:rsidR="00E02E80" w:rsidRPr="0051003F">
        <w:rPr>
          <w:i/>
          <w:lang w:val="pl-PL"/>
        </w:rPr>
        <w:t xml:space="preserve"> ab </w:t>
      </w:r>
      <w:proofErr w:type="spellStart"/>
      <w:r w:rsidR="00E02E80" w:rsidRPr="0051003F">
        <w:rPr>
          <w:i/>
          <w:lang w:val="pl-PL"/>
        </w:rPr>
        <w:t>observatione</w:t>
      </w:r>
      <w:proofErr w:type="spellEnd"/>
      <w:r w:rsidR="00E02E80" w:rsidRPr="0051003F">
        <w:rPr>
          <w:i/>
          <w:lang w:val="pl-PL"/>
        </w:rPr>
        <w:t xml:space="preserve"> </w:t>
      </w:r>
      <w:proofErr w:type="spellStart"/>
      <w:r w:rsidR="00E02E80" w:rsidRPr="0051003F">
        <w:rPr>
          <w:i/>
          <w:lang w:val="pl-PL"/>
        </w:rPr>
        <w:t>iudici</w:t>
      </w:r>
      <w:proofErr w:type="spellEnd"/>
      <w:r w:rsidR="00E02E80" w:rsidRPr="0051003F">
        <w:rPr>
          <w:lang w:val="pl-PL"/>
        </w:rPr>
        <w:t>) z zastrzeżeniem „o ile okoliczności się nie zmienią, o ile sprawy tak się mają” (</w:t>
      </w:r>
      <w:proofErr w:type="spellStart"/>
      <w:r w:rsidR="00E02E80" w:rsidRPr="0051003F">
        <w:rPr>
          <w:i/>
          <w:lang w:val="pl-PL"/>
        </w:rPr>
        <w:t>stantibus</w:t>
      </w:r>
      <w:proofErr w:type="spellEnd"/>
      <w:r w:rsidR="00E02E80" w:rsidRPr="0051003F">
        <w:rPr>
          <w:i/>
          <w:lang w:val="pl-PL"/>
        </w:rPr>
        <w:t xml:space="preserve"> rebus </w:t>
      </w:r>
      <w:proofErr w:type="spellStart"/>
      <w:r w:rsidR="00E02E80" w:rsidRPr="0051003F">
        <w:rPr>
          <w:i/>
          <w:lang w:val="pl-PL"/>
        </w:rPr>
        <w:t>prout</w:t>
      </w:r>
      <w:proofErr w:type="spellEnd"/>
      <w:r w:rsidR="00E02E80" w:rsidRPr="0051003F">
        <w:rPr>
          <w:i/>
          <w:lang w:val="pl-PL"/>
        </w:rPr>
        <w:t xml:space="preserve"> </w:t>
      </w:r>
      <w:proofErr w:type="spellStart"/>
      <w:r w:rsidR="00E02E80" w:rsidRPr="0051003F">
        <w:rPr>
          <w:i/>
          <w:lang w:val="pl-PL"/>
        </w:rPr>
        <w:t>stant</w:t>
      </w:r>
      <w:proofErr w:type="spellEnd"/>
      <w:r w:rsidR="00E02E80" w:rsidRPr="0051003F">
        <w:rPr>
          <w:lang w:val="pl-PL"/>
        </w:rPr>
        <w:t>). Oznacza to, że ponowne wszczęcie postępowania miałoby miejsce w każdym przypadku pojawienia się nowych dowodów (</w:t>
      </w:r>
      <w:proofErr w:type="spellStart"/>
      <w:r w:rsidR="00E02E80" w:rsidRPr="0051003F">
        <w:rPr>
          <w:i/>
          <w:lang w:val="pl-PL"/>
        </w:rPr>
        <w:t>supervenient</w:t>
      </w:r>
      <w:proofErr w:type="spellEnd"/>
      <w:r w:rsidR="00E02E80" w:rsidRPr="0051003F">
        <w:rPr>
          <w:i/>
          <w:lang w:val="pl-PL"/>
        </w:rPr>
        <w:t xml:space="preserve"> nova </w:t>
      </w:r>
      <w:proofErr w:type="spellStart"/>
      <w:r w:rsidR="00E02E80" w:rsidRPr="0051003F">
        <w:rPr>
          <w:i/>
          <w:lang w:val="pl-PL"/>
        </w:rPr>
        <w:t>indicia</w:t>
      </w:r>
      <w:proofErr w:type="spellEnd"/>
      <w:r w:rsidR="00E02E80" w:rsidRPr="0051003F">
        <w:rPr>
          <w:lang w:val="pl-PL"/>
        </w:rPr>
        <w:t>).</w:t>
      </w:r>
    </w:p>
    <w:p w:rsidR="001C1232" w:rsidRPr="0051003F" w:rsidRDefault="001C1232" w:rsidP="00A7252F">
      <w:pPr>
        <w:ind w:firstLine="284"/>
        <w:rPr>
          <w:lang w:val="pl-PL"/>
        </w:rPr>
      </w:pPr>
    </w:p>
    <w:p w:rsidR="00507696" w:rsidRPr="0051003F" w:rsidRDefault="00631A0C" w:rsidP="00A7252F">
      <w:pPr>
        <w:keepNext/>
        <w:keepLines/>
        <w:tabs>
          <w:tab w:val="left" w:pos="731"/>
        </w:tabs>
        <w:spacing w:before="240" w:after="120"/>
        <w:ind w:left="833" w:hanging="357"/>
        <w:outlineLvl w:val="3"/>
        <w:rPr>
          <w:rFonts w:asciiTheme="majorHAnsi" w:eastAsiaTheme="majorEastAsia" w:hAnsiTheme="majorHAnsi" w:cstheme="majorBidi"/>
          <w:b/>
          <w:bCs/>
          <w:sz w:val="20"/>
          <w:lang w:val="pl-PL" w:eastAsia="fr-FR"/>
        </w:rPr>
      </w:pPr>
      <w:bookmarkStart w:id="212" w:name="_Toc473801922"/>
      <w:bookmarkStart w:id="213" w:name="_Toc473802175"/>
      <w:r w:rsidRPr="0051003F">
        <w:rPr>
          <w:rFonts w:asciiTheme="majorHAnsi" w:eastAsiaTheme="majorEastAsia" w:hAnsiTheme="majorHAnsi" w:cstheme="majorBidi"/>
          <w:b/>
          <w:bCs/>
          <w:sz w:val="20"/>
          <w:lang w:val="pl-PL" w:eastAsia="fr-FR"/>
        </w:rPr>
        <w:t>b.  </w:t>
      </w:r>
      <w:r w:rsidR="00E02E80" w:rsidRPr="0051003F">
        <w:rPr>
          <w:rFonts w:asciiTheme="majorHAnsi" w:eastAsiaTheme="majorEastAsia" w:hAnsiTheme="majorHAnsi" w:cstheme="majorBidi"/>
          <w:b/>
          <w:bCs/>
          <w:sz w:val="20"/>
          <w:lang w:val="pl-PL" w:eastAsia="fr-FR"/>
        </w:rPr>
        <w:t>Oświecenie</w:t>
      </w:r>
      <w:r w:rsidR="00EE0AC7" w:rsidRPr="0051003F">
        <w:rPr>
          <w:rFonts w:asciiTheme="majorHAnsi" w:eastAsiaTheme="majorEastAsia" w:hAnsiTheme="majorHAnsi" w:cstheme="majorBidi"/>
          <w:b/>
          <w:bCs/>
          <w:sz w:val="20"/>
          <w:lang w:val="pl-PL" w:eastAsia="fr-FR"/>
        </w:rPr>
        <w:t xml:space="preserve"> (§ 5)</w:t>
      </w:r>
      <w:bookmarkEnd w:id="212"/>
      <w:bookmarkEnd w:id="213"/>
    </w:p>
    <w:p w:rsidR="00E02E80" w:rsidRPr="0051003F" w:rsidRDefault="001C1232" w:rsidP="00E02E80">
      <w:pPr>
        <w:ind w:firstLine="284"/>
        <w:rPr>
          <w:lang w:val="pl-PL"/>
        </w:rPr>
      </w:pPr>
      <w:r w:rsidRPr="0051003F">
        <w:rPr>
          <w:lang w:val="pl-PL"/>
        </w:rPr>
        <w:t>5.  </w:t>
      </w:r>
      <w:r w:rsidR="00E02E80" w:rsidRPr="0051003F">
        <w:rPr>
          <w:lang w:val="pl-PL"/>
        </w:rPr>
        <w:t xml:space="preserve">Oświecenie przyniosło odrodzenie indywidualnego wymiaru formuły </w:t>
      </w:r>
      <w:proofErr w:type="spellStart"/>
      <w:r w:rsidR="00E02E80" w:rsidRPr="0051003F">
        <w:rPr>
          <w:i/>
          <w:lang w:val="pl-PL"/>
        </w:rPr>
        <w:t>ne</w:t>
      </w:r>
      <w:proofErr w:type="spellEnd"/>
      <w:r w:rsidR="00E02E80" w:rsidRPr="0051003F">
        <w:rPr>
          <w:i/>
          <w:lang w:val="pl-PL"/>
        </w:rPr>
        <w:t xml:space="preserve"> bis in </w:t>
      </w:r>
      <w:proofErr w:type="spellStart"/>
      <w:r w:rsidR="00E02E80" w:rsidRPr="0051003F">
        <w:rPr>
          <w:i/>
          <w:lang w:val="pl-PL"/>
        </w:rPr>
        <w:t>eadem</w:t>
      </w:r>
      <w:proofErr w:type="spellEnd"/>
      <w:r w:rsidR="00E02E80" w:rsidRPr="0051003F">
        <w:rPr>
          <w:lang w:val="pl-PL"/>
        </w:rPr>
        <w:t>, który został inkorporowany do art. 8 w Rozdziale V, Tytule II Konstytucji Francuskiej z 1791</w:t>
      </w:r>
      <w:r w:rsidR="007D5AEC">
        <w:rPr>
          <w:lang w:val="pl-PL"/>
        </w:rPr>
        <w:t>roku</w:t>
      </w:r>
      <w:r w:rsidR="00E02E80" w:rsidRPr="0051003F">
        <w:rPr>
          <w:lang w:val="pl-PL"/>
        </w:rPr>
        <w:t xml:space="preserve"> (“</w:t>
      </w:r>
      <w:proofErr w:type="spellStart"/>
      <w:r w:rsidR="00E02E80" w:rsidRPr="0051003F">
        <w:rPr>
          <w:i/>
          <w:lang w:val="pl-PL"/>
        </w:rPr>
        <w:t>tout</w:t>
      </w:r>
      <w:proofErr w:type="spellEnd"/>
      <w:r w:rsidR="00E02E80" w:rsidRPr="0051003F">
        <w:rPr>
          <w:i/>
          <w:lang w:val="pl-PL"/>
        </w:rPr>
        <w:t xml:space="preserve"> </w:t>
      </w:r>
      <w:proofErr w:type="spellStart"/>
      <w:r w:rsidR="00E02E80" w:rsidRPr="0051003F">
        <w:rPr>
          <w:i/>
          <w:lang w:val="pl-PL"/>
        </w:rPr>
        <w:t>homme</w:t>
      </w:r>
      <w:proofErr w:type="spellEnd"/>
      <w:r w:rsidR="00E02E80" w:rsidRPr="0051003F">
        <w:rPr>
          <w:i/>
          <w:lang w:val="pl-PL"/>
        </w:rPr>
        <w:t xml:space="preserve"> </w:t>
      </w:r>
      <w:proofErr w:type="spellStart"/>
      <w:r w:rsidR="00E02E80" w:rsidRPr="0051003F">
        <w:rPr>
          <w:i/>
          <w:lang w:val="pl-PL"/>
        </w:rPr>
        <w:t>acquité</w:t>
      </w:r>
      <w:proofErr w:type="spellEnd"/>
      <w:r w:rsidR="00E02E80" w:rsidRPr="0051003F">
        <w:rPr>
          <w:i/>
          <w:lang w:val="pl-PL"/>
        </w:rPr>
        <w:t xml:space="preserve"> par </w:t>
      </w:r>
      <w:proofErr w:type="spellStart"/>
      <w:r w:rsidR="00E02E80" w:rsidRPr="0051003F">
        <w:rPr>
          <w:i/>
          <w:lang w:val="pl-PL"/>
        </w:rPr>
        <w:t>un</w:t>
      </w:r>
      <w:proofErr w:type="spellEnd"/>
      <w:r w:rsidR="00E02E80" w:rsidRPr="0051003F">
        <w:rPr>
          <w:i/>
          <w:lang w:val="pl-PL"/>
        </w:rPr>
        <w:t xml:space="preserve"> jury </w:t>
      </w:r>
      <w:proofErr w:type="spellStart"/>
      <w:r w:rsidR="00E02E80" w:rsidRPr="0051003F">
        <w:rPr>
          <w:i/>
          <w:lang w:val="pl-PL"/>
        </w:rPr>
        <w:t>legal</w:t>
      </w:r>
      <w:proofErr w:type="spellEnd"/>
      <w:r w:rsidR="00E02E80" w:rsidRPr="0051003F">
        <w:rPr>
          <w:i/>
          <w:lang w:val="pl-PL"/>
        </w:rPr>
        <w:t xml:space="preserve"> </w:t>
      </w:r>
      <w:proofErr w:type="spellStart"/>
      <w:r w:rsidR="00E02E80" w:rsidRPr="0051003F">
        <w:rPr>
          <w:i/>
          <w:lang w:val="pl-PL"/>
        </w:rPr>
        <w:t>ne</w:t>
      </w:r>
      <w:proofErr w:type="spellEnd"/>
      <w:r w:rsidR="00E02E80" w:rsidRPr="0051003F">
        <w:rPr>
          <w:i/>
          <w:lang w:val="pl-PL"/>
        </w:rPr>
        <w:t xml:space="preserve"> </w:t>
      </w:r>
      <w:proofErr w:type="spellStart"/>
      <w:r w:rsidR="00E02E80" w:rsidRPr="0051003F">
        <w:rPr>
          <w:i/>
          <w:lang w:val="pl-PL"/>
        </w:rPr>
        <w:t>peut</w:t>
      </w:r>
      <w:proofErr w:type="spellEnd"/>
      <w:r w:rsidR="00E02E80" w:rsidRPr="0051003F">
        <w:rPr>
          <w:i/>
          <w:lang w:val="pl-PL"/>
        </w:rPr>
        <w:t xml:space="preserve"> plus </w:t>
      </w:r>
      <w:proofErr w:type="spellStart"/>
      <w:r w:rsidR="00E02E80" w:rsidRPr="0051003F">
        <w:rPr>
          <w:i/>
          <w:lang w:val="pl-PL"/>
        </w:rPr>
        <w:t>être</w:t>
      </w:r>
      <w:proofErr w:type="spellEnd"/>
      <w:r w:rsidR="00E02E80" w:rsidRPr="0051003F">
        <w:rPr>
          <w:i/>
          <w:lang w:val="pl-PL"/>
        </w:rPr>
        <w:t xml:space="preserve"> </w:t>
      </w:r>
      <w:proofErr w:type="spellStart"/>
      <w:r w:rsidR="00E02E80" w:rsidRPr="0051003F">
        <w:rPr>
          <w:i/>
          <w:lang w:val="pl-PL"/>
        </w:rPr>
        <w:t>repris</w:t>
      </w:r>
      <w:proofErr w:type="spellEnd"/>
      <w:r w:rsidR="00E02E80" w:rsidRPr="0051003F">
        <w:rPr>
          <w:i/>
          <w:lang w:val="pl-PL"/>
        </w:rPr>
        <w:t xml:space="preserve"> ni </w:t>
      </w:r>
      <w:proofErr w:type="spellStart"/>
      <w:r w:rsidR="00E02E80" w:rsidRPr="0051003F">
        <w:rPr>
          <w:i/>
          <w:lang w:val="pl-PL"/>
        </w:rPr>
        <w:t>accusé</w:t>
      </w:r>
      <w:proofErr w:type="spellEnd"/>
      <w:r w:rsidR="00E02E80" w:rsidRPr="0051003F">
        <w:rPr>
          <w:i/>
          <w:lang w:val="pl-PL"/>
        </w:rPr>
        <w:t xml:space="preserve"> à </w:t>
      </w:r>
      <w:proofErr w:type="spellStart"/>
      <w:r w:rsidR="00E02E80" w:rsidRPr="0051003F">
        <w:rPr>
          <w:i/>
          <w:lang w:val="pl-PL"/>
        </w:rPr>
        <w:t>raison</w:t>
      </w:r>
      <w:proofErr w:type="spellEnd"/>
      <w:r w:rsidR="00E02E80" w:rsidRPr="0051003F">
        <w:rPr>
          <w:i/>
          <w:lang w:val="pl-PL"/>
        </w:rPr>
        <w:t xml:space="preserve"> </w:t>
      </w:r>
      <w:proofErr w:type="spellStart"/>
      <w:r w:rsidR="00E02E80" w:rsidRPr="0051003F">
        <w:rPr>
          <w:i/>
          <w:lang w:val="pl-PL"/>
        </w:rPr>
        <w:t>du</w:t>
      </w:r>
      <w:proofErr w:type="spellEnd"/>
      <w:r w:rsidR="00E02E80" w:rsidRPr="0051003F">
        <w:rPr>
          <w:i/>
          <w:lang w:val="pl-PL"/>
        </w:rPr>
        <w:t xml:space="preserve"> </w:t>
      </w:r>
      <w:proofErr w:type="spellStart"/>
      <w:r w:rsidR="00E02E80" w:rsidRPr="0051003F">
        <w:rPr>
          <w:i/>
          <w:lang w:val="pl-PL"/>
        </w:rPr>
        <w:t>même</w:t>
      </w:r>
      <w:proofErr w:type="spellEnd"/>
      <w:r w:rsidR="00E02E80" w:rsidRPr="0051003F">
        <w:rPr>
          <w:i/>
          <w:lang w:val="pl-PL"/>
        </w:rPr>
        <w:t xml:space="preserve"> </w:t>
      </w:r>
      <w:proofErr w:type="spellStart"/>
      <w:r w:rsidR="00E02E80" w:rsidRPr="0051003F">
        <w:rPr>
          <w:i/>
          <w:lang w:val="pl-PL"/>
        </w:rPr>
        <w:t>fait</w:t>
      </w:r>
      <w:proofErr w:type="spellEnd"/>
      <w:r w:rsidR="00E02E80" w:rsidRPr="0051003F">
        <w:rPr>
          <w:lang w:val="pl-PL"/>
        </w:rPr>
        <w:t xml:space="preserve">”)             i art. 246 i 360 </w:t>
      </w:r>
      <w:proofErr w:type="spellStart"/>
      <w:r w:rsidR="00E02E80" w:rsidRPr="0051003F">
        <w:rPr>
          <w:i/>
          <w:lang w:val="pl-PL"/>
        </w:rPr>
        <w:t>Code</w:t>
      </w:r>
      <w:proofErr w:type="spellEnd"/>
      <w:r w:rsidR="00E02E80" w:rsidRPr="0051003F">
        <w:rPr>
          <w:i/>
          <w:lang w:val="pl-PL"/>
        </w:rPr>
        <w:t xml:space="preserve"> </w:t>
      </w:r>
      <w:proofErr w:type="spellStart"/>
      <w:r w:rsidR="00E02E80" w:rsidRPr="0051003F">
        <w:rPr>
          <w:i/>
          <w:lang w:val="pl-PL"/>
        </w:rPr>
        <w:t>d’Instruction</w:t>
      </w:r>
      <w:proofErr w:type="spellEnd"/>
      <w:r w:rsidR="00E02E80" w:rsidRPr="0051003F">
        <w:rPr>
          <w:i/>
          <w:lang w:val="pl-PL"/>
        </w:rPr>
        <w:t xml:space="preserve"> </w:t>
      </w:r>
      <w:proofErr w:type="spellStart"/>
      <w:r w:rsidR="00E02E80" w:rsidRPr="0051003F">
        <w:rPr>
          <w:i/>
          <w:lang w:val="pl-PL"/>
        </w:rPr>
        <w:t>Criminelle</w:t>
      </w:r>
      <w:proofErr w:type="spellEnd"/>
      <w:r w:rsidR="00E02E80" w:rsidRPr="0051003F">
        <w:rPr>
          <w:i/>
          <w:lang w:val="pl-PL"/>
        </w:rPr>
        <w:t xml:space="preserve"> z 1808 </w:t>
      </w:r>
      <w:proofErr w:type="spellStart"/>
      <w:r w:rsidR="007D5AEC">
        <w:rPr>
          <w:i/>
          <w:lang w:val="pl-PL"/>
        </w:rPr>
        <w:t>oku</w:t>
      </w:r>
      <w:r w:rsidR="00E02E80" w:rsidRPr="0051003F">
        <w:rPr>
          <w:i/>
          <w:lang w:val="pl-PL"/>
        </w:rPr>
        <w:t>r</w:t>
      </w:r>
      <w:proofErr w:type="spellEnd"/>
      <w:r w:rsidR="00E02E80" w:rsidRPr="0051003F">
        <w:rPr>
          <w:lang w:val="pl-PL"/>
        </w:rPr>
        <w:t xml:space="preserve">. Praktyczną konsekwencją wprowadzenia tych przepisów było zniesienie niesławnej zasady </w:t>
      </w:r>
      <w:r w:rsidR="00E02E80" w:rsidRPr="0051003F">
        <w:rPr>
          <w:i/>
          <w:lang w:val="pl-PL"/>
        </w:rPr>
        <w:t xml:space="preserve">plus </w:t>
      </w:r>
      <w:proofErr w:type="spellStart"/>
      <w:r w:rsidR="00E02E80" w:rsidRPr="0051003F">
        <w:rPr>
          <w:i/>
          <w:lang w:val="pl-PL"/>
        </w:rPr>
        <w:t>amplement</w:t>
      </w:r>
      <w:proofErr w:type="spellEnd"/>
      <w:r w:rsidR="00E02E80" w:rsidRPr="0051003F">
        <w:rPr>
          <w:i/>
          <w:lang w:val="pl-PL"/>
        </w:rPr>
        <w:t xml:space="preserve"> </w:t>
      </w:r>
      <w:proofErr w:type="spellStart"/>
      <w:r w:rsidR="00E02E80" w:rsidRPr="0051003F">
        <w:rPr>
          <w:i/>
          <w:lang w:val="pl-PL"/>
        </w:rPr>
        <w:t>informé</w:t>
      </w:r>
      <w:proofErr w:type="spellEnd"/>
      <w:r w:rsidR="00E02E80" w:rsidRPr="0051003F">
        <w:rPr>
          <w:i/>
          <w:lang w:val="pl-PL"/>
        </w:rPr>
        <w:t xml:space="preserve">. </w:t>
      </w:r>
      <w:r w:rsidR="00E02E80" w:rsidRPr="0051003F">
        <w:rPr>
          <w:lang w:val="pl-PL"/>
        </w:rPr>
        <w:t xml:space="preserve">Po drugiej stronie </w:t>
      </w:r>
      <w:r w:rsidR="007D5AEC">
        <w:rPr>
          <w:lang w:val="pl-PL"/>
        </w:rPr>
        <w:t>Atlantyku</w:t>
      </w:r>
      <w:r w:rsidR="00E02E80" w:rsidRPr="0051003F">
        <w:rPr>
          <w:lang w:val="pl-PL"/>
        </w:rPr>
        <w:t xml:space="preserve">, w tym </w:t>
      </w:r>
      <w:r w:rsidR="00E02E80" w:rsidRPr="0051003F">
        <w:rPr>
          <w:lang w:val="pl-PL"/>
        </w:rPr>
        <w:lastRenderedPageBreak/>
        <w:t>samym roku 1791, Piąta Poprawka do Konstytucji Stanów Zjednoczonych wprowadziła zakaz podwójnego karania za to samo przestępstwo (“</w:t>
      </w:r>
      <w:r w:rsidR="00E02E80" w:rsidRPr="0051003F">
        <w:rPr>
          <w:i/>
          <w:lang w:val="pl-PL"/>
        </w:rPr>
        <w:t xml:space="preserve">nor </w:t>
      </w:r>
      <w:proofErr w:type="spellStart"/>
      <w:r w:rsidR="00E02E80" w:rsidRPr="0051003F">
        <w:rPr>
          <w:i/>
          <w:lang w:val="pl-PL"/>
        </w:rPr>
        <w:t>shall</w:t>
      </w:r>
      <w:proofErr w:type="spellEnd"/>
      <w:r w:rsidR="00E02E80" w:rsidRPr="0051003F">
        <w:rPr>
          <w:i/>
          <w:lang w:val="pl-PL"/>
        </w:rPr>
        <w:t xml:space="preserve"> </w:t>
      </w:r>
      <w:proofErr w:type="spellStart"/>
      <w:r w:rsidR="00E02E80" w:rsidRPr="0051003F">
        <w:rPr>
          <w:i/>
          <w:lang w:val="pl-PL"/>
        </w:rPr>
        <w:t>any</w:t>
      </w:r>
      <w:proofErr w:type="spellEnd"/>
      <w:r w:rsidR="00E02E80" w:rsidRPr="0051003F">
        <w:rPr>
          <w:i/>
          <w:lang w:val="pl-PL"/>
        </w:rPr>
        <w:t xml:space="preserve"> person be </w:t>
      </w:r>
      <w:proofErr w:type="spellStart"/>
      <w:r w:rsidR="00E02E80" w:rsidRPr="0051003F">
        <w:rPr>
          <w:i/>
          <w:lang w:val="pl-PL"/>
        </w:rPr>
        <w:t>subject</w:t>
      </w:r>
      <w:proofErr w:type="spellEnd"/>
      <w:r w:rsidR="00E02E80" w:rsidRPr="0051003F">
        <w:rPr>
          <w:i/>
          <w:lang w:val="pl-PL"/>
        </w:rPr>
        <w:t xml:space="preserve"> for the same </w:t>
      </w:r>
      <w:proofErr w:type="spellStart"/>
      <w:r w:rsidR="00E02E80" w:rsidRPr="0051003F">
        <w:rPr>
          <w:i/>
          <w:lang w:val="pl-PL"/>
        </w:rPr>
        <w:t>offense</w:t>
      </w:r>
      <w:proofErr w:type="spellEnd"/>
      <w:r w:rsidR="00E02E80" w:rsidRPr="0051003F">
        <w:rPr>
          <w:i/>
          <w:lang w:val="pl-PL"/>
        </w:rPr>
        <w:t xml:space="preserve"> to be </w:t>
      </w:r>
      <w:proofErr w:type="spellStart"/>
      <w:r w:rsidR="00E02E80" w:rsidRPr="0051003F">
        <w:rPr>
          <w:i/>
          <w:lang w:val="pl-PL"/>
        </w:rPr>
        <w:t>twice</w:t>
      </w:r>
      <w:proofErr w:type="spellEnd"/>
      <w:r w:rsidR="00E02E80" w:rsidRPr="0051003F">
        <w:rPr>
          <w:i/>
          <w:lang w:val="pl-PL"/>
        </w:rPr>
        <w:t xml:space="preserve"> </w:t>
      </w:r>
      <w:proofErr w:type="spellStart"/>
      <w:r w:rsidR="00E02E80" w:rsidRPr="0051003F">
        <w:rPr>
          <w:i/>
          <w:lang w:val="pl-PL"/>
        </w:rPr>
        <w:t>put</w:t>
      </w:r>
      <w:proofErr w:type="spellEnd"/>
      <w:r w:rsidR="00E02E80" w:rsidRPr="0051003F">
        <w:rPr>
          <w:i/>
          <w:lang w:val="pl-PL"/>
        </w:rPr>
        <w:t xml:space="preserve"> in </w:t>
      </w:r>
      <w:proofErr w:type="spellStart"/>
      <w:r w:rsidR="00E02E80" w:rsidRPr="0051003F">
        <w:rPr>
          <w:i/>
          <w:lang w:val="pl-PL"/>
        </w:rPr>
        <w:t>jeopardy</w:t>
      </w:r>
      <w:proofErr w:type="spellEnd"/>
      <w:r w:rsidR="00E02E80" w:rsidRPr="0051003F">
        <w:rPr>
          <w:i/>
          <w:lang w:val="pl-PL"/>
        </w:rPr>
        <w:t xml:space="preserve"> of life </w:t>
      </w:r>
      <w:proofErr w:type="spellStart"/>
      <w:r w:rsidR="00E02E80" w:rsidRPr="0051003F">
        <w:rPr>
          <w:i/>
          <w:lang w:val="pl-PL"/>
        </w:rPr>
        <w:t>or</w:t>
      </w:r>
      <w:proofErr w:type="spellEnd"/>
      <w:r w:rsidR="00E02E80" w:rsidRPr="0051003F">
        <w:rPr>
          <w:i/>
          <w:lang w:val="pl-PL"/>
        </w:rPr>
        <w:t xml:space="preserve"> limb</w:t>
      </w:r>
      <w:r w:rsidR="00E02E80" w:rsidRPr="0051003F">
        <w:rPr>
          <w:lang w:val="pl-PL"/>
        </w:rPr>
        <w:t xml:space="preserve">”), </w:t>
      </w:r>
      <w:r w:rsidR="007D5AEC" w:rsidRPr="0051003F">
        <w:rPr>
          <w:lang w:val="pl-PL"/>
        </w:rPr>
        <w:t>któr</w:t>
      </w:r>
      <w:r w:rsidR="007D5AEC">
        <w:rPr>
          <w:lang w:val="pl-PL"/>
        </w:rPr>
        <w:t>y</w:t>
      </w:r>
      <w:r w:rsidR="007D5AEC" w:rsidRPr="0051003F">
        <w:rPr>
          <w:lang w:val="pl-PL"/>
        </w:rPr>
        <w:t xml:space="preserve"> obejmuj</w:t>
      </w:r>
      <w:r w:rsidR="007D5AEC">
        <w:rPr>
          <w:lang w:val="pl-PL"/>
        </w:rPr>
        <w:t>e</w:t>
      </w:r>
      <w:r w:rsidR="007D5AEC" w:rsidRPr="0051003F">
        <w:rPr>
          <w:lang w:val="pl-PL"/>
        </w:rPr>
        <w:t xml:space="preserve"> </w:t>
      </w:r>
      <w:r w:rsidR="00E02E80" w:rsidRPr="0051003F">
        <w:rPr>
          <w:lang w:val="pl-PL"/>
        </w:rPr>
        <w:t xml:space="preserve">zakaz dalszego ścigania i oskarżania zarówno po uniewinnieniu, jak i późniejszego </w:t>
      </w:r>
      <w:r w:rsidR="006F4284" w:rsidRPr="0051003F">
        <w:rPr>
          <w:lang w:val="pl-PL"/>
        </w:rPr>
        <w:t>ścigani</w:t>
      </w:r>
      <w:r w:rsidR="006F4284">
        <w:rPr>
          <w:lang w:val="pl-PL"/>
        </w:rPr>
        <w:t>a</w:t>
      </w:r>
      <w:r w:rsidR="006F4284" w:rsidRPr="0051003F">
        <w:rPr>
          <w:lang w:val="pl-PL"/>
        </w:rPr>
        <w:t xml:space="preserve"> </w:t>
      </w:r>
      <w:r w:rsidR="00E02E80" w:rsidRPr="0051003F">
        <w:rPr>
          <w:lang w:val="pl-PL"/>
        </w:rPr>
        <w:t>po wydaniu wyroku skazującego i zakaz wydawania wielokrotnej kary za to samo przestępstwo</w:t>
      </w:r>
      <w:r w:rsidR="00E02E80" w:rsidRPr="0051003F">
        <w:rPr>
          <w:vertAlign w:val="superscript"/>
          <w:lang w:val="pl-PL"/>
        </w:rPr>
        <w:footnoteReference w:id="8"/>
      </w:r>
      <w:r w:rsidR="00E02E80" w:rsidRPr="0051003F">
        <w:rPr>
          <w:lang w:val="pl-PL"/>
        </w:rPr>
        <w:t xml:space="preserve">. Poprawka została uchwalona w tej treści, aby zapobiegać  dwukrotnemu ukaraniu przestępcy, jak i dwukrotnemu sądzeniu za to samo przestępstwo. Gdy wyrok skazujący został odrzucony z powodu błędu, kara, która została już wymierzona oskarżonemu za dane przestępstwo musi zostać w pełni </w:t>
      </w:r>
      <w:r w:rsidR="006F4284">
        <w:rPr>
          <w:lang w:val="pl-PL"/>
        </w:rPr>
        <w:t>,,</w:t>
      </w:r>
      <w:r w:rsidR="00E02E80" w:rsidRPr="0051003F">
        <w:rPr>
          <w:lang w:val="pl-PL"/>
        </w:rPr>
        <w:t>uwzględniona" przy wymierzaniu nowego wyroku skazującego za to samo przestępstwo</w:t>
      </w:r>
      <w:r w:rsidR="00E02E80" w:rsidRPr="0051003F">
        <w:rPr>
          <w:vertAlign w:val="superscript"/>
          <w:lang w:val="pl-PL"/>
        </w:rPr>
        <w:footnoteReference w:id="9"/>
      </w:r>
      <w:r w:rsidR="00E02E80" w:rsidRPr="0051003F">
        <w:rPr>
          <w:lang w:val="pl-PL"/>
        </w:rPr>
        <w:t>.</w:t>
      </w:r>
    </w:p>
    <w:p w:rsidR="001C1232" w:rsidRPr="0051003F" w:rsidRDefault="001C1232" w:rsidP="00A7252F">
      <w:pPr>
        <w:ind w:firstLine="284"/>
        <w:rPr>
          <w:lang w:val="pl-PL"/>
        </w:rPr>
      </w:pPr>
    </w:p>
    <w:p w:rsidR="008E0858" w:rsidRPr="0051003F" w:rsidRDefault="008E0858" w:rsidP="008E0858">
      <w:pPr>
        <w:keepNext/>
        <w:keepLines/>
        <w:tabs>
          <w:tab w:val="left" w:pos="584"/>
        </w:tabs>
        <w:spacing w:before="360" w:after="240"/>
        <w:ind w:left="635" w:hanging="357"/>
        <w:outlineLvl w:val="2"/>
        <w:rPr>
          <w:rFonts w:asciiTheme="majorHAnsi" w:eastAsiaTheme="majorEastAsia" w:hAnsiTheme="majorHAnsi" w:cstheme="majorBidi"/>
          <w:b/>
          <w:bCs/>
          <w:szCs w:val="26"/>
          <w:lang w:val="pl-PL" w:eastAsia="fr-FR"/>
        </w:rPr>
      </w:pPr>
      <w:bookmarkStart w:id="214" w:name="_Toc473801923"/>
      <w:bookmarkStart w:id="215" w:name="_Toc473802176"/>
      <w:r w:rsidRPr="0051003F">
        <w:rPr>
          <w:rFonts w:asciiTheme="majorHAnsi" w:eastAsiaTheme="majorEastAsia" w:hAnsiTheme="majorHAnsi" w:cstheme="majorBidi"/>
          <w:b/>
          <w:bCs/>
          <w:szCs w:val="26"/>
          <w:lang w:val="pl-PL" w:eastAsia="fr-FR"/>
        </w:rPr>
        <w:t>B.  Zasada zwycza</w:t>
      </w:r>
      <w:r w:rsidR="00CD1449" w:rsidRPr="0051003F">
        <w:rPr>
          <w:rFonts w:asciiTheme="majorHAnsi" w:eastAsiaTheme="majorEastAsia" w:hAnsiTheme="majorHAnsi" w:cstheme="majorBidi"/>
          <w:b/>
          <w:bCs/>
          <w:szCs w:val="26"/>
          <w:lang w:val="pl-PL" w:eastAsia="fr-FR"/>
        </w:rPr>
        <w:t>ju w</w:t>
      </w:r>
      <w:r w:rsidRPr="0051003F">
        <w:rPr>
          <w:rFonts w:asciiTheme="majorHAnsi" w:eastAsiaTheme="majorEastAsia" w:hAnsiTheme="majorHAnsi" w:cstheme="majorBidi"/>
          <w:b/>
          <w:bCs/>
          <w:szCs w:val="26"/>
          <w:lang w:val="pl-PL" w:eastAsia="fr-FR"/>
        </w:rPr>
        <w:t xml:space="preserve"> praw</w:t>
      </w:r>
      <w:r w:rsidR="00CD1449" w:rsidRPr="0051003F">
        <w:rPr>
          <w:rFonts w:asciiTheme="majorHAnsi" w:eastAsiaTheme="majorEastAsia" w:hAnsiTheme="majorHAnsi" w:cstheme="majorBidi"/>
          <w:b/>
          <w:bCs/>
          <w:szCs w:val="26"/>
          <w:lang w:val="pl-PL" w:eastAsia="fr-FR"/>
        </w:rPr>
        <w:t>ie</w:t>
      </w:r>
      <w:r w:rsidRPr="0051003F">
        <w:rPr>
          <w:rFonts w:asciiTheme="majorHAnsi" w:eastAsiaTheme="majorEastAsia" w:hAnsiTheme="majorHAnsi" w:cstheme="majorBidi"/>
          <w:b/>
          <w:bCs/>
          <w:szCs w:val="26"/>
          <w:lang w:val="pl-PL" w:eastAsia="fr-FR"/>
        </w:rPr>
        <w:t xml:space="preserve"> międzynarodow</w:t>
      </w:r>
      <w:r w:rsidR="00CD1449" w:rsidRPr="0051003F">
        <w:rPr>
          <w:rFonts w:asciiTheme="majorHAnsi" w:eastAsiaTheme="majorEastAsia" w:hAnsiTheme="majorHAnsi" w:cstheme="majorBidi"/>
          <w:b/>
          <w:bCs/>
          <w:szCs w:val="26"/>
          <w:lang w:val="pl-PL" w:eastAsia="fr-FR"/>
        </w:rPr>
        <w:t>ym</w:t>
      </w:r>
      <w:r w:rsidRPr="0051003F">
        <w:rPr>
          <w:rFonts w:asciiTheme="majorHAnsi" w:eastAsiaTheme="majorEastAsia" w:hAnsiTheme="majorHAnsi" w:cstheme="majorBidi"/>
          <w:b/>
          <w:bCs/>
          <w:szCs w:val="26"/>
          <w:lang w:val="pl-PL" w:eastAsia="fr-FR"/>
        </w:rPr>
        <w:t xml:space="preserve"> </w:t>
      </w:r>
      <w:r w:rsidRPr="0051003F">
        <w:rPr>
          <w:b/>
          <w:lang w:val="pl-PL"/>
        </w:rPr>
        <w:t>(§§ 6</w:t>
      </w:r>
      <w:r w:rsidRPr="0051003F">
        <w:rPr>
          <w:b/>
          <w:lang w:val="pl-PL"/>
        </w:rPr>
        <w:noBreakHyphen/>
        <w:t>15)</w:t>
      </w:r>
      <w:bookmarkEnd w:id="214"/>
      <w:bookmarkEnd w:id="215"/>
    </w:p>
    <w:p w:rsidR="008E0858" w:rsidRPr="0051003F" w:rsidRDefault="008E0858" w:rsidP="008E0858">
      <w:pPr>
        <w:keepNext/>
        <w:keepLines/>
        <w:tabs>
          <w:tab w:val="left" w:pos="731"/>
        </w:tabs>
        <w:spacing w:before="240" w:after="120"/>
        <w:ind w:left="833" w:hanging="357"/>
        <w:outlineLvl w:val="3"/>
        <w:rPr>
          <w:rFonts w:asciiTheme="majorHAnsi" w:eastAsiaTheme="majorEastAsia" w:hAnsiTheme="majorHAnsi" w:cstheme="majorBidi"/>
          <w:b/>
          <w:bCs/>
          <w:sz w:val="20"/>
          <w:lang w:val="pl-PL" w:eastAsia="fr-FR"/>
        </w:rPr>
      </w:pPr>
      <w:bookmarkStart w:id="216" w:name="_Toc473801924"/>
      <w:bookmarkStart w:id="217" w:name="_Toc473802177"/>
      <w:r w:rsidRPr="0051003F">
        <w:rPr>
          <w:rFonts w:asciiTheme="majorHAnsi" w:eastAsiaTheme="majorEastAsia" w:hAnsiTheme="majorHAnsi" w:cstheme="majorBidi"/>
          <w:b/>
          <w:bCs/>
          <w:sz w:val="20"/>
          <w:lang w:val="pl-PL" w:eastAsia="fr-FR"/>
        </w:rPr>
        <w:t xml:space="preserve">a.  </w:t>
      </w:r>
      <w:r w:rsidR="00CD1449" w:rsidRPr="0051003F">
        <w:rPr>
          <w:rFonts w:asciiTheme="majorHAnsi" w:eastAsiaTheme="majorEastAsia" w:hAnsiTheme="majorHAnsi" w:cstheme="majorBidi"/>
          <w:b/>
          <w:bCs/>
          <w:sz w:val="20"/>
          <w:lang w:val="pl-PL" w:eastAsia="fr-FR"/>
        </w:rPr>
        <w:t>Uniwersalistyczna konsolidacja zasady</w:t>
      </w:r>
      <w:r w:rsidRPr="0051003F">
        <w:rPr>
          <w:rFonts w:asciiTheme="majorHAnsi" w:eastAsiaTheme="majorEastAsia" w:hAnsiTheme="majorHAnsi" w:cstheme="majorBidi"/>
          <w:b/>
          <w:bCs/>
          <w:sz w:val="20"/>
          <w:lang w:val="pl-PL" w:eastAsia="fr-FR"/>
        </w:rPr>
        <w:t>(§§ 6</w:t>
      </w:r>
      <w:r w:rsidRPr="0051003F">
        <w:rPr>
          <w:rFonts w:asciiTheme="majorHAnsi" w:eastAsiaTheme="majorEastAsia" w:hAnsiTheme="majorHAnsi" w:cstheme="majorBidi"/>
          <w:b/>
          <w:bCs/>
          <w:sz w:val="20"/>
          <w:lang w:val="pl-PL" w:eastAsia="fr-FR"/>
        </w:rPr>
        <w:noBreakHyphen/>
        <w:t>7)</w:t>
      </w:r>
      <w:bookmarkEnd w:id="216"/>
      <w:bookmarkEnd w:id="217"/>
    </w:p>
    <w:p w:rsidR="008E0858" w:rsidRPr="0051003F" w:rsidRDefault="008E0858" w:rsidP="008E0858">
      <w:pPr>
        <w:keepNext/>
        <w:keepLines/>
        <w:tabs>
          <w:tab w:val="left" w:pos="731"/>
        </w:tabs>
        <w:spacing w:before="240" w:after="120"/>
        <w:ind w:left="833" w:hanging="357"/>
        <w:outlineLvl w:val="3"/>
        <w:rPr>
          <w:rFonts w:asciiTheme="majorHAnsi" w:eastAsiaTheme="majorEastAsia" w:hAnsiTheme="majorHAnsi" w:cstheme="majorBidi"/>
          <w:b/>
          <w:bCs/>
          <w:sz w:val="20"/>
          <w:lang w:val="pl-PL" w:eastAsia="fr-FR"/>
        </w:rPr>
      </w:pPr>
    </w:p>
    <w:p w:rsidR="008E0858" w:rsidRPr="0051003F" w:rsidRDefault="008E0858" w:rsidP="008E0858">
      <w:pPr>
        <w:ind w:firstLine="284"/>
        <w:rPr>
          <w:lang w:val="pl-PL"/>
        </w:rPr>
      </w:pPr>
      <w:r w:rsidRPr="0051003F">
        <w:rPr>
          <w:lang w:val="pl-PL"/>
        </w:rPr>
        <w:t xml:space="preserve">6.  Zgodnie z utrwaloną i powszechną praktyką państw, zasadą międzynarodowego prawa zwyczajowego jest to, że roszczenie państwa o ściganie, orzekanie i karanie czynu o charakterze przestępnym jest wyczerpane </w:t>
      </w:r>
      <w:r w:rsidRPr="0051003F">
        <w:rPr>
          <w:i/>
          <w:lang w:val="pl-PL"/>
        </w:rPr>
        <w:t>(</w:t>
      </w:r>
      <w:proofErr w:type="spellStart"/>
      <w:r w:rsidRPr="0051003F">
        <w:rPr>
          <w:i/>
          <w:lang w:val="pl-PL"/>
        </w:rPr>
        <w:t>Strafklaglageverbrauch</w:t>
      </w:r>
      <w:proofErr w:type="spellEnd"/>
      <w:r w:rsidRPr="0051003F">
        <w:rPr>
          <w:i/>
          <w:lang w:val="pl-PL"/>
        </w:rPr>
        <w:t>)</w:t>
      </w:r>
      <w:r w:rsidRPr="0051003F">
        <w:rPr>
          <w:lang w:val="pl-PL"/>
        </w:rPr>
        <w:t xml:space="preserve"> po uniewinnieniu oskarżonego lub po uznaniu tego oskarżonego za winnego zarzucane</w:t>
      </w:r>
      <w:r w:rsidR="00A93171">
        <w:rPr>
          <w:lang w:val="pl-PL"/>
        </w:rPr>
        <w:t>go</w:t>
      </w:r>
      <w:r w:rsidRPr="0051003F">
        <w:rPr>
          <w:lang w:val="pl-PL"/>
        </w:rPr>
        <w:t xml:space="preserve"> przestępstw</w:t>
      </w:r>
      <w:r w:rsidR="00A93171">
        <w:rPr>
          <w:lang w:val="pl-PL"/>
        </w:rPr>
        <w:t>a</w:t>
      </w:r>
      <w:r w:rsidRPr="0051003F">
        <w:rPr>
          <w:lang w:val="pl-PL"/>
        </w:rPr>
        <w:t xml:space="preserve"> prawomocnym orzeczeniem wydanym w postępowaniu karnym (zasada wyczerpania postępowania lub </w:t>
      </w:r>
      <w:proofErr w:type="spellStart"/>
      <w:r w:rsidRPr="0051003F">
        <w:rPr>
          <w:i/>
          <w:lang w:val="pl-PL"/>
        </w:rPr>
        <w:t>Erledigungsprinzipt</w:t>
      </w:r>
      <w:proofErr w:type="spellEnd"/>
      <w:r w:rsidRPr="0051003F">
        <w:rPr>
          <w:i/>
          <w:lang w:val="pl-PL"/>
        </w:rPr>
        <w:t>)</w:t>
      </w:r>
      <w:r w:rsidRPr="0051003F">
        <w:rPr>
          <w:i/>
          <w:iCs/>
          <w:vertAlign w:val="superscript"/>
          <w:lang w:val="pl-PL"/>
        </w:rPr>
        <w:footnoteReference w:id="10"/>
      </w:r>
      <w:r w:rsidRPr="0051003F">
        <w:rPr>
          <w:i/>
          <w:lang w:val="pl-PL"/>
        </w:rPr>
        <w:t>.</w:t>
      </w:r>
      <w:r w:rsidRPr="0051003F">
        <w:rPr>
          <w:lang w:val="pl-PL"/>
        </w:rPr>
        <w:t xml:space="preserve"> Zasada ta jest niezależna od wszelkich warunków dotyczących orzekania lub wykonywania kary. W przypadku</w:t>
      </w:r>
      <w:r w:rsidR="00A93171">
        <w:rPr>
          <w:lang w:val="pl-PL"/>
        </w:rPr>
        <w:t>,</w:t>
      </w:r>
      <w:r w:rsidRPr="0051003F">
        <w:rPr>
          <w:lang w:val="pl-PL"/>
        </w:rPr>
        <w:t xml:space="preserve"> gdy ta norma nie ma zastosowania, tak jak w przypadku zakazu podwójnego karania, gdy nie wyklucza się drugiego postępowania i procesu sądowego przeciwko danej osobie, za konkretne przestępstwo, przy wymierzaniu kolejnej kary za ten sam fakt (zasada </w:t>
      </w:r>
      <w:proofErr w:type="spellStart"/>
      <w:r w:rsidR="00537091" w:rsidRPr="0051003F">
        <w:rPr>
          <w:lang w:val="pl-PL"/>
        </w:rPr>
        <w:t>naliczalności</w:t>
      </w:r>
      <w:proofErr w:type="spellEnd"/>
      <w:r w:rsidRPr="0051003F">
        <w:rPr>
          <w:lang w:val="pl-PL"/>
        </w:rPr>
        <w:t xml:space="preserve"> lub </w:t>
      </w:r>
      <w:proofErr w:type="spellStart"/>
      <w:r w:rsidRPr="0051003F">
        <w:rPr>
          <w:i/>
          <w:lang w:val="pl-PL"/>
        </w:rPr>
        <w:t>Anrechnungprinzip</w:t>
      </w:r>
      <w:proofErr w:type="spellEnd"/>
      <w:r w:rsidRPr="0051003F">
        <w:rPr>
          <w:lang w:val="pl-PL"/>
        </w:rPr>
        <w:t>) należy uwzględnić każdą wcześniejszą karę.</w:t>
      </w:r>
    </w:p>
    <w:p w:rsidR="008E0858" w:rsidRPr="0051003F" w:rsidRDefault="008E0858" w:rsidP="008E0858">
      <w:pPr>
        <w:ind w:firstLine="284"/>
        <w:rPr>
          <w:lang w:val="pl-PL"/>
        </w:rPr>
      </w:pPr>
      <w:r w:rsidRPr="0051003F">
        <w:rPr>
          <w:lang w:val="pl-PL"/>
        </w:rPr>
        <w:t xml:space="preserve">7.  Zasada wyczerpania procedury </w:t>
      </w:r>
      <w:r w:rsidRPr="0051003F">
        <w:rPr>
          <w:i/>
          <w:lang w:val="pl-PL"/>
        </w:rPr>
        <w:t>(</w:t>
      </w:r>
      <w:proofErr w:type="spellStart"/>
      <w:r w:rsidRPr="0051003F">
        <w:rPr>
          <w:i/>
          <w:lang w:val="pl-PL"/>
        </w:rPr>
        <w:t>Erledigungsprinzip</w:t>
      </w:r>
      <w:proofErr w:type="spellEnd"/>
      <w:r w:rsidRPr="0051003F">
        <w:rPr>
          <w:i/>
          <w:lang w:val="pl-PL"/>
        </w:rPr>
        <w:t>)</w:t>
      </w:r>
      <w:r w:rsidRPr="0051003F">
        <w:rPr>
          <w:lang w:val="pl-PL"/>
        </w:rPr>
        <w:t xml:space="preserve"> została potwierdzona w art. 14 § 7 Międzynarodowego paktu praw obywatelskich i politycznych z 1966 r</w:t>
      </w:r>
      <w:r w:rsidR="00A93171">
        <w:rPr>
          <w:lang w:val="pl-PL"/>
        </w:rPr>
        <w:t>oku</w:t>
      </w:r>
      <w:r w:rsidRPr="0051003F">
        <w:rPr>
          <w:lang w:val="pl-PL"/>
        </w:rPr>
        <w:t xml:space="preserve"> (ICCPR - </w:t>
      </w:r>
      <w:r w:rsidR="005B0705">
        <w:rPr>
          <w:lang w:val="pl-PL"/>
        </w:rPr>
        <w:t>,,</w:t>
      </w:r>
      <w:r w:rsidRPr="0051003F">
        <w:rPr>
          <w:lang w:val="pl-PL"/>
        </w:rPr>
        <w:t>sądzony lub ukarany")</w:t>
      </w:r>
      <w:r w:rsidR="00EF6E4B">
        <w:rPr>
          <w:rStyle w:val="Odwoanieprzypisudolnego"/>
          <w:lang w:val="pl-PL"/>
        </w:rPr>
        <w:footnoteReference w:id="11"/>
      </w:r>
      <w:r w:rsidRPr="0051003F">
        <w:rPr>
          <w:lang w:val="pl-PL"/>
        </w:rPr>
        <w:t xml:space="preserve">, art. 8 § 4 </w:t>
      </w:r>
      <w:r w:rsidRPr="0051003F">
        <w:rPr>
          <w:lang w:val="pl-PL"/>
        </w:rPr>
        <w:lastRenderedPageBreak/>
        <w:t>Amerykańskiej konwencji praw człowieka z 1969 r</w:t>
      </w:r>
      <w:r w:rsidR="005B0705">
        <w:rPr>
          <w:lang w:val="pl-PL"/>
        </w:rPr>
        <w:t>oku</w:t>
      </w:r>
      <w:r w:rsidRPr="0051003F">
        <w:rPr>
          <w:lang w:val="pl-PL"/>
        </w:rPr>
        <w:t xml:space="preserve"> ("nowy proces"), art. 75 § 4 lit. h) </w:t>
      </w:r>
      <w:r w:rsidR="005B0705">
        <w:rPr>
          <w:lang w:val="pl-PL"/>
        </w:rPr>
        <w:t>P</w:t>
      </w:r>
      <w:r w:rsidRPr="0051003F">
        <w:rPr>
          <w:lang w:val="pl-PL"/>
        </w:rPr>
        <w:t>rotokołu dodatkowego nr I do konwencji genewskich z 1949 r</w:t>
      </w:r>
      <w:r w:rsidR="005B0705">
        <w:rPr>
          <w:lang w:val="pl-PL"/>
        </w:rPr>
        <w:t>oku</w:t>
      </w:r>
      <w:r w:rsidRPr="0051003F">
        <w:rPr>
          <w:lang w:val="pl-PL"/>
        </w:rPr>
        <w:t xml:space="preserve"> (</w:t>
      </w:r>
      <w:r w:rsidR="005B0705">
        <w:rPr>
          <w:lang w:val="pl-PL"/>
        </w:rPr>
        <w:t>,,</w:t>
      </w:r>
      <w:r w:rsidRPr="0051003F">
        <w:rPr>
          <w:lang w:val="pl-PL"/>
        </w:rPr>
        <w:t>oskarżony lub ukarany") z 1977 r</w:t>
      </w:r>
      <w:r w:rsidR="005B0705">
        <w:rPr>
          <w:lang w:val="pl-PL"/>
        </w:rPr>
        <w:t>oku</w:t>
      </w:r>
      <w:r w:rsidRPr="0051003F">
        <w:rPr>
          <w:lang w:val="pl-PL"/>
        </w:rPr>
        <w:t>, art. 10 ust. 1 statutu Międzynarodowego Trybunału Karnego dla byłej Jugosławii (MTKJ) z 1993 r</w:t>
      </w:r>
      <w:r w:rsidR="005B0705">
        <w:rPr>
          <w:lang w:val="pl-PL"/>
        </w:rPr>
        <w:t>oku</w:t>
      </w:r>
      <w:r w:rsidRPr="0051003F">
        <w:rPr>
          <w:lang w:val="pl-PL"/>
        </w:rPr>
        <w:t xml:space="preserve"> </w:t>
      </w:r>
      <w:r w:rsidR="005B0705">
        <w:rPr>
          <w:lang w:val="pl-PL"/>
        </w:rPr>
        <w:t>,,</w:t>
      </w:r>
      <w:r w:rsidRPr="0051003F">
        <w:rPr>
          <w:lang w:val="pl-PL"/>
        </w:rPr>
        <w:t>sądzony")</w:t>
      </w:r>
      <w:r w:rsidRPr="0051003F">
        <w:rPr>
          <w:vertAlign w:val="superscript"/>
          <w:lang w:val="pl-PL"/>
        </w:rPr>
        <w:footnoteReference w:id="12"/>
      </w:r>
      <w:r w:rsidRPr="0051003F">
        <w:rPr>
          <w:lang w:val="pl-PL"/>
        </w:rPr>
        <w:t xml:space="preserve">, </w:t>
      </w:r>
      <w:r w:rsidR="005B0705">
        <w:rPr>
          <w:lang w:val="pl-PL"/>
        </w:rPr>
        <w:t xml:space="preserve">art. </w:t>
      </w:r>
      <w:r w:rsidRPr="0051003F">
        <w:rPr>
          <w:lang w:val="pl-PL"/>
        </w:rPr>
        <w:t>9 § 1 statutu Międzynarodowego Trybunału Karnego dla Ruandy z 1994 r</w:t>
      </w:r>
      <w:r w:rsidR="005B0705">
        <w:rPr>
          <w:lang w:val="pl-PL"/>
        </w:rPr>
        <w:t>oku</w:t>
      </w:r>
      <w:r w:rsidRPr="0051003F">
        <w:rPr>
          <w:lang w:val="pl-PL"/>
        </w:rPr>
        <w:t xml:space="preserve"> (</w:t>
      </w:r>
      <w:r w:rsidR="005B0705">
        <w:rPr>
          <w:lang w:val="pl-PL"/>
        </w:rPr>
        <w:t>,,</w:t>
      </w:r>
      <w:r w:rsidRPr="0051003F">
        <w:rPr>
          <w:lang w:val="pl-PL"/>
        </w:rPr>
        <w:t>sądzony")</w:t>
      </w:r>
      <w:r w:rsidRPr="0051003F">
        <w:rPr>
          <w:vertAlign w:val="superscript"/>
          <w:lang w:val="pl-PL"/>
        </w:rPr>
        <w:footnoteReference w:id="13"/>
      </w:r>
      <w:r w:rsidRPr="0051003F">
        <w:rPr>
          <w:lang w:val="pl-PL"/>
        </w:rPr>
        <w:t>, art. 20 § 2 Statutu Międzynarodowego Trybunału Karnego z 1998 r</w:t>
      </w:r>
      <w:r w:rsidR="005B0705">
        <w:rPr>
          <w:lang w:val="pl-PL"/>
        </w:rPr>
        <w:t>oku</w:t>
      </w:r>
      <w:r w:rsidRPr="0051003F">
        <w:rPr>
          <w:lang w:val="pl-PL"/>
        </w:rPr>
        <w:t xml:space="preserve"> (</w:t>
      </w:r>
      <w:r w:rsidR="005B0705">
        <w:rPr>
          <w:lang w:val="pl-PL"/>
        </w:rPr>
        <w:t>,,</w:t>
      </w:r>
      <w:r w:rsidRPr="0051003F">
        <w:rPr>
          <w:lang w:val="pl-PL"/>
        </w:rPr>
        <w:t>skazany lub uniewinniony"), art. 9 § 1 Statutu Specjalnego Trybunału dla Sierra Leone z 2002 r</w:t>
      </w:r>
      <w:r w:rsidR="005B0705">
        <w:rPr>
          <w:lang w:val="pl-PL"/>
        </w:rPr>
        <w:t>oku</w:t>
      </w:r>
      <w:r w:rsidRPr="0051003F">
        <w:rPr>
          <w:lang w:val="pl-PL"/>
        </w:rPr>
        <w:t xml:space="preserve"> (</w:t>
      </w:r>
      <w:r w:rsidR="005B0705">
        <w:rPr>
          <w:lang w:val="pl-PL"/>
        </w:rPr>
        <w:t>,,</w:t>
      </w:r>
      <w:r w:rsidRPr="0051003F">
        <w:rPr>
          <w:lang w:val="pl-PL"/>
        </w:rPr>
        <w:t>sądzony")</w:t>
      </w:r>
      <w:r w:rsidRPr="0051003F">
        <w:rPr>
          <w:vertAlign w:val="superscript"/>
          <w:lang w:val="pl-PL"/>
        </w:rPr>
        <w:footnoteReference w:id="14"/>
      </w:r>
      <w:r w:rsidRPr="0051003F">
        <w:rPr>
          <w:lang w:val="pl-PL"/>
        </w:rPr>
        <w:t xml:space="preserve"> oraz art. 19 ust. 1 Arabskiej Karty Praw Człowieka z 2004 r</w:t>
      </w:r>
      <w:r w:rsidR="005B0705">
        <w:rPr>
          <w:lang w:val="pl-PL"/>
        </w:rPr>
        <w:t>oku</w:t>
      </w:r>
      <w:r w:rsidRPr="0051003F">
        <w:rPr>
          <w:lang w:val="pl-PL"/>
        </w:rPr>
        <w:t xml:space="preserve"> (</w:t>
      </w:r>
      <w:r w:rsidR="005B0705">
        <w:rPr>
          <w:lang w:val="pl-PL"/>
        </w:rPr>
        <w:t>,,</w:t>
      </w:r>
      <w:r w:rsidRPr="0051003F">
        <w:rPr>
          <w:lang w:val="pl-PL"/>
        </w:rPr>
        <w:t>sądzony"). Art. 86 Trzeciej konwencji genewskiej z 1949 r</w:t>
      </w:r>
      <w:r w:rsidR="005B0705">
        <w:rPr>
          <w:lang w:val="pl-PL"/>
        </w:rPr>
        <w:t>oku</w:t>
      </w:r>
      <w:r w:rsidRPr="0051003F">
        <w:rPr>
          <w:lang w:val="pl-PL"/>
        </w:rPr>
        <w:t xml:space="preserve"> (</w:t>
      </w:r>
      <w:r w:rsidR="005B0705">
        <w:rPr>
          <w:lang w:val="pl-PL"/>
        </w:rPr>
        <w:t>,,</w:t>
      </w:r>
      <w:r w:rsidRPr="0051003F">
        <w:rPr>
          <w:lang w:val="pl-PL"/>
        </w:rPr>
        <w:t>ukarany") i art. 117 ust. 3 Czwartej konwencji genewskiej z 1949 r</w:t>
      </w:r>
      <w:r w:rsidR="005B0705">
        <w:rPr>
          <w:lang w:val="pl-PL"/>
        </w:rPr>
        <w:t>oku</w:t>
      </w:r>
      <w:r w:rsidRPr="0051003F">
        <w:rPr>
          <w:lang w:val="pl-PL"/>
        </w:rPr>
        <w:t xml:space="preserve"> (</w:t>
      </w:r>
      <w:r w:rsidR="005B0705">
        <w:rPr>
          <w:lang w:val="pl-PL"/>
        </w:rPr>
        <w:t>,,</w:t>
      </w:r>
      <w:r w:rsidRPr="0051003F">
        <w:rPr>
          <w:lang w:val="pl-PL"/>
        </w:rPr>
        <w:t>ukarany") nie są aż tak daleko idące, ponieważ zakazują jedynie nowej kary, ale nie odwołują się do zasady zaliczenia kary.</w:t>
      </w:r>
    </w:p>
    <w:p w:rsidR="008E0858" w:rsidRPr="0051003F" w:rsidRDefault="008E0858" w:rsidP="008E0858">
      <w:pPr>
        <w:ind w:firstLine="284"/>
        <w:rPr>
          <w:lang w:val="pl-PL"/>
        </w:rPr>
      </w:pPr>
    </w:p>
    <w:p w:rsidR="008E0858" w:rsidRPr="0051003F" w:rsidRDefault="008E0858" w:rsidP="008E0858">
      <w:pPr>
        <w:keepNext/>
        <w:keepLines/>
        <w:tabs>
          <w:tab w:val="left" w:pos="731"/>
        </w:tabs>
        <w:spacing w:before="240" w:after="120"/>
        <w:ind w:left="833" w:hanging="357"/>
        <w:outlineLvl w:val="3"/>
        <w:rPr>
          <w:rFonts w:asciiTheme="majorHAnsi" w:eastAsiaTheme="majorEastAsia" w:hAnsiTheme="majorHAnsi" w:cstheme="majorBidi"/>
          <w:b/>
          <w:bCs/>
          <w:sz w:val="20"/>
          <w:lang w:val="pl-PL" w:eastAsia="fr-FR"/>
        </w:rPr>
      </w:pPr>
      <w:bookmarkStart w:id="218" w:name="_Toc473801925"/>
      <w:bookmarkStart w:id="219" w:name="_Toc473802178"/>
      <w:r w:rsidRPr="0051003F">
        <w:rPr>
          <w:rFonts w:asciiTheme="majorHAnsi" w:eastAsiaTheme="majorEastAsia" w:hAnsiTheme="majorHAnsi" w:cstheme="majorBidi"/>
          <w:b/>
          <w:bCs/>
          <w:sz w:val="20"/>
          <w:lang w:val="pl-PL" w:eastAsia="fr-FR"/>
        </w:rPr>
        <w:t>b.  Europejska</w:t>
      </w:r>
      <w:r w:rsidR="00CD1449" w:rsidRPr="0051003F">
        <w:rPr>
          <w:rFonts w:asciiTheme="majorHAnsi" w:eastAsiaTheme="majorEastAsia" w:hAnsiTheme="majorHAnsi" w:cstheme="majorBidi"/>
          <w:b/>
          <w:bCs/>
          <w:sz w:val="20"/>
          <w:lang w:val="pl-PL" w:eastAsia="fr-FR"/>
        </w:rPr>
        <w:t xml:space="preserve"> konsolidacja</w:t>
      </w:r>
      <w:r w:rsidRPr="0051003F">
        <w:rPr>
          <w:rFonts w:asciiTheme="majorHAnsi" w:eastAsiaTheme="majorEastAsia" w:hAnsiTheme="majorHAnsi" w:cstheme="majorBidi"/>
          <w:b/>
          <w:bCs/>
          <w:sz w:val="20"/>
          <w:lang w:val="pl-PL" w:eastAsia="fr-FR"/>
        </w:rPr>
        <w:t xml:space="preserve"> zasady  (§§ 8</w:t>
      </w:r>
      <w:r w:rsidRPr="0051003F">
        <w:rPr>
          <w:rFonts w:asciiTheme="majorHAnsi" w:eastAsiaTheme="majorEastAsia" w:hAnsiTheme="majorHAnsi" w:cstheme="majorBidi"/>
          <w:b/>
          <w:bCs/>
          <w:sz w:val="20"/>
          <w:lang w:val="pl-PL" w:eastAsia="fr-FR"/>
        </w:rPr>
        <w:noBreakHyphen/>
        <w:t>15)</w:t>
      </w:r>
      <w:bookmarkEnd w:id="218"/>
      <w:bookmarkEnd w:id="219"/>
    </w:p>
    <w:p w:rsidR="008E0858" w:rsidRPr="0051003F" w:rsidRDefault="008E0858" w:rsidP="00335348">
      <w:pPr>
        <w:rPr>
          <w:lang w:val="pl-PL"/>
        </w:rPr>
      </w:pPr>
      <w:r w:rsidRPr="0051003F">
        <w:rPr>
          <w:lang w:val="pl-PL"/>
        </w:rPr>
        <w:t xml:space="preserve">8.   W Radzie Europy </w:t>
      </w:r>
      <w:proofErr w:type="spellStart"/>
      <w:r w:rsidRPr="0051003F">
        <w:rPr>
          <w:lang w:val="pl-PL"/>
        </w:rPr>
        <w:t>paremia</w:t>
      </w:r>
      <w:proofErr w:type="spellEnd"/>
      <w:r w:rsidRPr="0051003F">
        <w:rPr>
          <w:lang w:val="pl-PL"/>
        </w:rPr>
        <w:t xml:space="preserve"> </w:t>
      </w:r>
      <w:proofErr w:type="spellStart"/>
      <w:r w:rsidRPr="0051003F">
        <w:rPr>
          <w:i/>
          <w:lang w:val="pl-PL"/>
        </w:rPr>
        <w:t>ne</w:t>
      </w:r>
      <w:proofErr w:type="spellEnd"/>
      <w:r w:rsidRPr="0051003F">
        <w:rPr>
          <w:i/>
          <w:lang w:val="pl-PL"/>
        </w:rPr>
        <w:t xml:space="preserve"> bis in </w:t>
      </w:r>
      <w:proofErr w:type="spellStart"/>
      <w:r w:rsidRPr="0051003F">
        <w:rPr>
          <w:i/>
          <w:lang w:val="pl-PL"/>
        </w:rPr>
        <w:t>idem</w:t>
      </w:r>
      <w:proofErr w:type="spellEnd"/>
      <w:r w:rsidRPr="0051003F">
        <w:rPr>
          <w:lang w:val="pl-PL"/>
        </w:rPr>
        <w:t xml:space="preserve"> początkowo istniała jako obowiązkowa lub fakultatywna zasada współpracy w sprawach karnych między państwami członkowskimi. Przykładami tego ograniczonego podejścia są art. 9 Europejskiej konwencji o ekstradycji z 1957 r</w:t>
      </w:r>
      <w:r w:rsidR="00935E54">
        <w:rPr>
          <w:lang w:val="pl-PL"/>
        </w:rPr>
        <w:t>oku</w:t>
      </w:r>
      <w:r w:rsidRPr="0051003F">
        <w:rPr>
          <w:vertAlign w:val="superscript"/>
          <w:lang w:val="pl-PL"/>
        </w:rPr>
        <w:footnoteReference w:id="15"/>
      </w:r>
      <w:r w:rsidRPr="0051003F">
        <w:rPr>
          <w:lang w:val="pl-PL"/>
        </w:rPr>
        <w:t xml:space="preserve">, </w:t>
      </w:r>
      <w:r w:rsidR="00935E54">
        <w:rPr>
          <w:lang w:val="pl-PL"/>
        </w:rPr>
        <w:t>art.</w:t>
      </w:r>
      <w:r w:rsidR="00935E54" w:rsidRPr="0051003F">
        <w:rPr>
          <w:lang w:val="pl-PL"/>
        </w:rPr>
        <w:t xml:space="preserve"> </w:t>
      </w:r>
      <w:r w:rsidRPr="0051003F">
        <w:rPr>
          <w:lang w:val="pl-PL"/>
        </w:rPr>
        <w:t>9 Europejskiej konwencji o karaniu wykroczeń drogowych z 1962 r</w:t>
      </w:r>
      <w:r w:rsidR="00935E54">
        <w:rPr>
          <w:lang w:val="pl-PL"/>
        </w:rPr>
        <w:t>oku</w:t>
      </w:r>
      <w:r w:rsidRPr="0051003F">
        <w:rPr>
          <w:lang w:val="pl-PL"/>
        </w:rPr>
        <w:t xml:space="preserve"> </w:t>
      </w:r>
      <w:r w:rsidRPr="0051003F">
        <w:rPr>
          <w:vertAlign w:val="superscript"/>
          <w:lang w:val="pl-PL"/>
        </w:rPr>
        <w:footnoteReference w:id="16"/>
      </w:r>
      <w:r w:rsidRPr="0051003F">
        <w:rPr>
          <w:lang w:val="pl-PL"/>
        </w:rPr>
        <w:t>, czy artykuł 2 Protokołu dodatkowego do Europejskiej konwencji o ekstradycji z 1975 r</w:t>
      </w:r>
      <w:r w:rsidR="00935E54">
        <w:rPr>
          <w:lang w:val="pl-PL"/>
        </w:rPr>
        <w:t>oku</w:t>
      </w:r>
      <w:r w:rsidRPr="0051003F">
        <w:rPr>
          <w:lang w:val="pl-PL"/>
        </w:rPr>
        <w:t xml:space="preserve"> </w:t>
      </w:r>
      <w:r w:rsidRPr="0051003F">
        <w:rPr>
          <w:vertAlign w:val="superscript"/>
          <w:lang w:val="pl-PL"/>
        </w:rPr>
        <w:footnoteReference w:id="17"/>
      </w:r>
      <w:r w:rsidRPr="0051003F">
        <w:rPr>
          <w:lang w:val="pl-PL"/>
        </w:rPr>
        <w:t>, art.  8 Konwencji o przekazywaniu osób skazanych z 1983 r</w:t>
      </w:r>
      <w:r w:rsidR="00935E54">
        <w:rPr>
          <w:lang w:val="pl-PL"/>
        </w:rPr>
        <w:t>oku.</w:t>
      </w:r>
      <w:r w:rsidRPr="0051003F">
        <w:rPr>
          <w:lang w:val="pl-PL"/>
        </w:rPr>
        <w:t xml:space="preserve"> </w:t>
      </w:r>
      <w:r w:rsidRPr="0051003F">
        <w:rPr>
          <w:vertAlign w:val="superscript"/>
          <w:lang w:val="pl-PL"/>
        </w:rPr>
        <w:footnoteReference w:id="18"/>
      </w:r>
      <w:r w:rsidR="00335348">
        <w:rPr>
          <w:lang w:val="pl-PL"/>
        </w:rPr>
        <w:t>art.</w:t>
      </w:r>
      <w:r w:rsidR="00335348" w:rsidRPr="0051003F">
        <w:rPr>
          <w:lang w:val="pl-PL"/>
        </w:rPr>
        <w:t xml:space="preserve"> </w:t>
      </w:r>
      <w:r w:rsidRPr="0051003F">
        <w:rPr>
          <w:lang w:val="pl-PL"/>
        </w:rPr>
        <w:t>2 ust. 4 umowy o nielegalnym obrocie drogą morską z 1995 r</w:t>
      </w:r>
      <w:r w:rsidR="00335348">
        <w:rPr>
          <w:lang w:val="pl-PL"/>
        </w:rPr>
        <w:t>oku</w:t>
      </w:r>
      <w:r w:rsidRPr="0051003F">
        <w:rPr>
          <w:lang w:val="pl-PL"/>
        </w:rPr>
        <w:t>, wdrażający art. 17 Konwencji Narodów Zjednoczonych o zwalczaniu nielegalnego obrotu środkami odurzającymi i substancjami psychotropowymi</w:t>
      </w:r>
      <w:r w:rsidRPr="0051003F">
        <w:rPr>
          <w:vertAlign w:val="superscript"/>
          <w:lang w:val="pl-PL"/>
        </w:rPr>
        <w:footnoteReference w:id="19"/>
      </w:r>
      <w:r w:rsidRPr="0051003F">
        <w:rPr>
          <w:lang w:val="pl-PL"/>
        </w:rPr>
        <w:t xml:space="preserve"> oraz art. 28 ust. 1 lit. f) Konwencji Rady Europy o praniu, ujawnianiu, zajmowaniu i konfiskacie dochodów pochodzących z przestępstwa oraz o finansowaniu terroryzmu z 2005 r</w:t>
      </w:r>
      <w:r w:rsidR="00335348">
        <w:rPr>
          <w:lang w:val="pl-PL"/>
        </w:rPr>
        <w:t>oku.</w:t>
      </w:r>
      <w:r w:rsidRPr="0051003F">
        <w:rPr>
          <w:vertAlign w:val="superscript"/>
          <w:lang w:val="pl-PL"/>
        </w:rPr>
        <w:footnoteReference w:id="20"/>
      </w:r>
      <w:r w:rsidRPr="0051003F">
        <w:rPr>
          <w:lang w:val="pl-PL"/>
        </w:rPr>
        <w:t>.</w:t>
      </w:r>
    </w:p>
    <w:p w:rsidR="008E0858" w:rsidRPr="0051003F" w:rsidRDefault="008E0858" w:rsidP="008E0858">
      <w:pPr>
        <w:ind w:firstLine="284"/>
        <w:rPr>
          <w:lang w:val="pl-PL"/>
        </w:rPr>
      </w:pPr>
      <w:r w:rsidRPr="0051003F">
        <w:rPr>
          <w:lang w:val="pl-PL"/>
        </w:rPr>
        <w:lastRenderedPageBreak/>
        <w:t>9. Ostatnio zasada wyczerpania procedury (</w:t>
      </w:r>
      <w:proofErr w:type="spellStart"/>
      <w:r w:rsidRPr="0051003F">
        <w:rPr>
          <w:i/>
          <w:lang w:val="pl-PL"/>
        </w:rPr>
        <w:t>Erledigungsprinzip</w:t>
      </w:r>
      <w:proofErr w:type="spellEnd"/>
      <w:r w:rsidRPr="0051003F">
        <w:rPr>
          <w:lang w:val="pl-PL"/>
        </w:rPr>
        <w:t>) została potwierdzona w art. 53 Europejskiej konwencji o międzynarodowej ważności wyroków karnych z 1970 r</w:t>
      </w:r>
      <w:r w:rsidR="00A4796F">
        <w:rPr>
          <w:lang w:val="pl-PL"/>
        </w:rPr>
        <w:t>oku</w:t>
      </w:r>
      <w:r w:rsidRPr="0051003F">
        <w:rPr>
          <w:lang w:val="pl-PL"/>
        </w:rPr>
        <w:t xml:space="preserve"> („nie wolno ścigać, skazywać ani wykonywać sankcji”).</w:t>
      </w:r>
      <w:r w:rsidRPr="0051003F">
        <w:rPr>
          <w:vertAlign w:val="superscript"/>
          <w:lang w:val="pl-PL"/>
        </w:rPr>
        <w:footnoteReference w:id="21"/>
      </w:r>
      <w:r w:rsidRPr="0051003F">
        <w:rPr>
          <w:lang w:val="pl-PL"/>
        </w:rPr>
        <w:t>, Artykuł 35 Europejskiej konwencji o przekazywaniu ścigania i karania w sprawach karnych z 1972 r</w:t>
      </w:r>
      <w:r w:rsidR="00A4796F">
        <w:rPr>
          <w:lang w:val="pl-PL"/>
        </w:rPr>
        <w:t>oku</w:t>
      </w:r>
      <w:r w:rsidRPr="0051003F">
        <w:rPr>
          <w:lang w:val="pl-PL"/>
        </w:rPr>
        <w:t xml:space="preserve"> (</w:t>
      </w:r>
      <w:r w:rsidR="00A4796F">
        <w:rPr>
          <w:lang w:val="pl-PL"/>
        </w:rPr>
        <w:t>,,</w:t>
      </w:r>
      <w:r w:rsidRPr="0051003F">
        <w:rPr>
          <w:lang w:val="pl-PL"/>
        </w:rPr>
        <w:t>Nie wolno ścigać, skazywać ani wykonywać sankcji")</w:t>
      </w:r>
      <w:r w:rsidRPr="0051003F">
        <w:rPr>
          <w:vertAlign w:val="superscript"/>
          <w:lang w:val="pl-PL"/>
        </w:rPr>
        <w:footnoteReference w:id="22"/>
      </w:r>
      <w:r w:rsidRPr="0051003F">
        <w:rPr>
          <w:lang w:val="pl-PL"/>
        </w:rPr>
        <w:t xml:space="preserve"> oraz art. 17 Europejskiej konwencji o przestępstwach związanych z dobrami kultury z 1985 r</w:t>
      </w:r>
      <w:r w:rsidR="00A4796F">
        <w:rPr>
          <w:lang w:val="pl-PL"/>
        </w:rPr>
        <w:t>oku</w:t>
      </w:r>
      <w:r w:rsidRPr="0051003F">
        <w:rPr>
          <w:lang w:val="pl-PL"/>
        </w:rPr>
        <w:t xml:space="preserve"> (</w:t>
      </w:r>
      <w:r w:rsidR="00A4796F">
        <w:rPr>
          <w:lang w:val="pl-PL"/>
        </w:rPr>
        <w:t>,,</w:t>
      </w:r>
      <w:r w:rsidRPr="0051003F">
        <w:rPr>
          <w:lang w:val="pl-PL"/>
        </w:rPr>
        <w:t>nie wolno ścigać, skazywać ani wykonywać sankcji")</w:t>
      </w:r>
      <w:r w:rsidRPr="0051003F">
        <w:rPr>
          <w:vertAlign w:val="superscript"/>
          <w:lang w:val="pl-PL"/>
        </w:rPr>
        <w:footnoteReference w:id="23"/>
      </w:r>
      <w:r w:rsidRPr="0051003F">
        <w:rPr>
          <w:lang w:val="pl-PL"/>
        </w:rPr>
        <w:t xml:space="preserve">. W tych przypadkach, gdy zasada </w:t>
      </w:r>
      <w:proofErr w:type="spellStart"/>
      <w:r w:rsidRPr="0051003F">
        <w:rPr>
          <w:i/>
          <w:lang w:val="pl-PL"/>
        </w:rPr>
        <w:t>ne</w:t>
      </w:r>
      <w:proofErr w:type="spellEnd"/>
      <w:r w:rsidRPr="0051003F">
        <w:rPr>
          <w:i/>
          <w:lang w:val="pl-PL"/>
        </w:rPr>
        <w:t xml:space="preserve"> bis in </w:t>
      </w:r>
      <w:proofErr w:type="spellStart"/>
      <w:r w:rsidRPr="0051003F">
        <w:rPr>
          <w:i/>
          <w:lang w:val="pl-PL"/>
        </w:rPr>
        <w:t>idem</w:t>
      </w:r>
      <w:proofErr w:type="spellEnd"/>
      <w:r w:rsidRPr="0051003F">
        <w:rPr>
          <w:lang w:val="pl-PL"/>
        </w:rPr>
        <w:t xml:space="preserve"> nie ma zastosowania, zasada zaliczania kary musi być zabezpieczona jako gwarancja ostatniej kategorii. </w:t>
      </w:r>
      <w:r w:rsidR="00FE0A50">
        <w:rPr>
          <w:lang w:val="pl-PL"/>
        </w:rPr>
        <w:t xml:space="preserve">Art. </w:t>
      </w:r>
      <w:r w:rsidRPr="0051003F">
        <w:rPr>
          <w:lang w:val="pl-PL"/>
        </w:rPr>
        <w:t>25 Konwencji Rady Europy o przeciwdziałaniu handlowi ludźmi z 2005 r</w:t>
      </w:r>
      <w:r w:rsidR="00FE0A50">
        <w:rPr>
          <w:lang w:val="pl-PL"/>
        </w:rPr>
        <w:t>oku</w:t>
      </w:r>
      <w:r w:rsidRPr="0051003F">
        <w:rPr>
          <w:lang w:val="pl-PL"/>
        </w:rPr>
        <w:t xml:space="preserve"> przewiduje jedynie zasadę zaliczenia już odbytej kary</w:t>
      </w:r>
      <w:r w:rsidRPr="0051003F">
        <w:rPr>
          <w:vertAlign w:val="superscript"/>
          <w:lang w:val="pl-PL"/>
        </w:rPr>
        <w:footnoteReference w:id="24"/>
      </w:r>
      <w:r w:rsidRPr="0051003F">
        <w:rPr>
          <w:lang w:val="pl-PL"/>
        </w:rPr>
        <w:t>.</w:t>
      </w:r>
    </w:p>
    <w:p w:rsidR="008E0858" w:rsidRPr="0051003F" w:rsidRDefault="008E0858" w:rsidP="008E0858">
      <w:pPr>
        <w:ind w:firstLine="284"/>
        <w:rPr>
          <w:lang w:val="pl-PL"/>
        </w:rPr>
      </w:pPr>
      <w:r w:rsidRPr="0051003F">
        <w:rPr>
          <w:lang w:val="pl-PL"/>
        </w:rPr>
        <w:t xml:space="preserve">10.  W zaleceniu nr 791 (1976) Zgromadzenia Parlamentarnego Rady Europy w sprawie ochrony praw człowieka w Europie wzywano Komitet Ministrów do „dołożenia starań, aby jak najwięcej postanowień merytorycznych Paktu [praw obywatelskich i politycznych] zostało włączonych do Konwencji”. </w:t>
      </w:r>
      <w:r w:rsidR="00FE0A50">
        <w:rPr>
          <w:lang w:val="pl-PL"/>
        </w:rPr>
        <w:t>Art.</w:t>
      </w:r>
      <w:r w:rsidR="00FE0A50" w:rsidRPr="0051003F">
        <w:rPr>
          <w:lang w:val="pl-PL"/>
        </w:rPr>
        <w:t xml:space="preserve"> </w:t>
      </w:r>
      <w:r w:rsidRPr="0051003F">
        <w:rPr>
          <w:lang w:val="pl-PL"/>
        </w:rPr>
        <w:t xml:space="preserve">4 Protokołu </w:t>
      </w:r>
      <w:r w:rsidR="00FE0A50">
        <w:rPr>
          <w:lang w:val="pl-PL"/>
        </w:rPr>
        <w:t>n</w:t>
      </w:r>
      <w:r w:rsidRPr="0051003F">
        <w:rPr>
          <w:lang w:val="pl-PL"/>
        </w:rPr>
        <w:t>r 7</w:t>
      </w:r>
      <w:r w:rsidRPr="0051003F">
        <w:rPr>
          <w:vertAlign w:val="superscript"/>
          <w:lang w:val="pl-PL"/>
        </w:rPr>
        <w:footnoteReference w:id="25"/>
      </w:r>
      <w:r w:rsidRPr="0051003F">
        <w:rPr>
          <w:lang w:val="pl-PL"/>
        </w:rPr>
        <w:t xml:space="preserve"> został więc zatwierdzony w 1984 r</w:t>
      </w:r>
      <w:r w:rsidR="00FE0A50">
        <w:rPr>
          <w:lang w:val="pl-PL"/>
        </w:rPr>
        <w:t>oku</w:t>
      </w:r>
      <w:r w:rsidRPr="0051003F">
        <w:rPr>
          <w:lang w:val="pl-PL"/>
        </w:rPr>
        <w:t xml:space="preserve"> pod bezpośrednim wpływem art. 17 § 7 ICCPR. Główną nowością był niepodważalny charakter zasady europejskiej.</w:t>
      </w:r>
    </w:p>
    <w:p w:rsidR="008E0858" w:rsidRPr="0051003F" w:rsidRDefault="008E0858" w:rsidP="008E0858">
      <w:pPr>
        <w:ind w:firstLine="284"/>
        <w:rPr>
          <w:lang w:val="pl-PL"/>
        </w:rPr>
      </w:pPr>
      <w:r w:rsidRPr="0051003F">
        <w:rPr>
          <w:lang w:val="pl-PL"/>
        </w:rPr>
        <w:t>11.  W Unii Europejskiej zasada wyczerpania procedury (</w:t>
      </w:r>
      <w:proofErr w:type="spellStart"/>
      <w:r w:rsidRPr="0051003F">
        <w:rPr>
          <w:i/>
          <w:lang w:val="pl-PL"/>
        </w:rPr>
        <w:t>Erledigungsprinzip</w:t>
      </w:r>
      <w:proofErr w:type="spellEnd"/>
      <w:r w:rsidRPr="0051003F">
        <w:rPr>
          <w:lang w:val="pl-PL"/>
        </w:rPr>
        <w:t>) została potwierdzona w art. 1 Konwencji z 1987 r</w:t>
      </w:r>
      <w:r w:rsidR="00FE0A50">
        <w:rPr>
          <w:lang w:val="pl-PL"/>
        </w:rPr>
        <w:t>oku</w:t>
      </w:r>
      <w:r w:rsidRPr="0051003F">
        <w:rPr>
          <w:lang w:val="pl-PL"/>
        </w:rPr>
        <w:t xml:space="preserve"> między państwami członkowskimi Wspólnot Europejskich o podwójnym karaniu z 1987 r</w:t>
      </w:r>
      <w:r w:rsidR="009D6C7D">
        <w:rPr>
          <w:lang w:val="pl-PL"/>
        </w:rPr>
        <w:t>oku</w:t>
      </w:r>
      <w:r w:rsidRPr="0051003F">
        <w:rPr>
          <w:lang w:val="pl-PL"/>
        </w:rPr>
        <w:t xml:space="preserve"> („nie należy ścigać”)</w:t>
      </w:r>
      <w:r w:rsidRPr="0051003F">
        <w:rPr>
          <w:vertAlign w:val="superscript"/>
          <w:lang w:val="pl-PL"/>
        </w:rPr>
        <w:footnoteReference w:id="26"/>
      </w:r>
      <w:r w:rsidRPr="0051003F">
        <w:rPr>
          <w:lang w:val="pl-PL"/>
        </w:rPr>
        <w:t xml:space="preserve">, art. 54 Konwencji wykonawczej do Układu z </w:t>
      </w:r>
      <w:proofErr w:type="spellStart"/>
      <w:r w:rsidRPr="0051003F">
        <w:rPr>
          <w:lang w:val="pl-PL"/>
        </w:rPr>
        <w:t>Schengen</w:t>
      </w:r>
      <w:proofErr w:type="spellEnd"/>
      <w:r w:rsidRPr="0051003F">
        <w:rPr>
          <w:lang w:val="pl-PL"/>
        </w:rPr>
        <w:t xml:space="preserve"> z 1990 r</w:t>
      </w:r>
      <w:r w:rsidR="009D6C7D">
        <w:rPr>
          <w:lang w:val="pl-PL"/>
        </w:rPr>
        <w:t>oku</w:t>
      </w:r>
      <w:r w:rsidRPr="0051003F">
        <w:rPr>
          <w:lang w:val="pl-PL"/>
        </w:rPr>
        <w:t xml:space="preserve">. (CISA - </w:t>
      </w:r>
      <w:r w:rsidR="009D6C7D">
        <w:rPr>
          <w:lang w:val="pl-PL"/>
        </w:rPr>
        <w:t>,,</w:t>
      </w:r>
      <w:r w:rsidRPr="0051003F">
        <w:rPr>
          <w:lang w:val="pl-PL"/>
        </w:rPr>
        <w:t xml:space="preserve">nie można ścigać" </w:t>
      </w:r>
      <w:r w:rsidRPr="0051003F">
        <w:rPr>
          <w:vertAlign w:val="superscript"/>
          <w:lang w:val="pl-PL"/>
        </w:rPr>
        <w:footnoteReference w:id="27"/>
      </w:r>
      <w:r w:rsidRPr="0051003F">
        <w:rPr>
          <w:lang w:val="pl-PL"/>
        </w:rPr>
        <w:t xml:space="preserve">, </w:t>
      </w:r>
      <w:r w:rsidR="009D6C7D">
        <w:rPr>
          <w:lang w:val="pl-PL"/>
        </w:rPr>
        <w:t>art.</w:t>
      </w:r>
      <w:r w:rsidR="009D6C7D" w:rsidRPr="0051003F">
        <w:rPr>
          <w:lang w:val="pl-PL"/>
        </w:rPr>
        <w:t xml:space="preserve"> </w:t>
      </w:r>
      <w:r w:rsidRPr="0051003F">
        <w:rPr>
          <w:lang w:val="pl-PL"/>
        </w:rPr>
        <w:t>7 Konwencji o ochronie interesów finansowych Wspólnot Europejskich z 1995 r</w:t>
      </w:r>
      <w:r w:rsidR="00D76839">
        <w:rPr>
          <w:lang w:val="pl-PL"/>
        </w:rPr>
        <w:t>oku</w:t>
      </w:r>
      <w:r w:rsidRPr="0051003F">
        <w:rPr>
          <w:lang w:val="pl-PL"/>
        </w:rPr>
        <w:t xml:space="preserve"> („nie należy ścigać”)</w:t>
      </w:r>
      <w:r w:rsidRPr="0051003F">
        <w:rPr>
          <w:vertAlign w:val="superscript"/>
          <w:lang w:val="pl-PL"/>
        </w:rPr>
        <w:footnoteReference w:id="28"/>
      </w:r>
      <w:r w:rsidRPr="0051003F">
        <w:rPr>
          <w:lang w:val="pl-PL"/>
        </w:rPr>
        <w:t xml:space="preserve">, </w:t>
      </w:r>
      <w:r w:rsidR="00D76839">
        <w:rPr>
          <w:lang w:val="pl-PL"/>
        </w:rPr>
        <w:t>art.</w:t>
      </w:r>
      <w:r w:rsidR="00D76839" w:rsidRPr="0051003F">
        <w:rPr>
          <w:lang w:val="pl-PL"/>
        </w:rPr>
        <w:t xml:space="preserve"> </w:t>
      </w:r>
      <w:r w:rsidRPr="0051003F">
        <w:rPr>
          <w:lang w:val="pl-PL"/>
        </w:rPr>
        <w:t xml:space="preserve">10 Konwencji z 1997 </w:t>
      </w:r>
      <w:r w:rsidRPr="0051003F">
        <w:rPr>
          <w:lang w:val="pl-PL"/>
        </w:rPr>
        <w:lastRenderedPageBreak/>
        <w:t>r</w:t>
      </w:r>
      <w:r w:rsidR="00D76839">
        <w:rPr>
          <w:lang w:val="pl-PL"/>
        </w:rPr>
        <w:t>oku</w:t>
      </w:r>
      <w:r w:rsidRPr="0051003F">
        <w:rPr>
          <w:lang w:val="pl-PL"/>
        </w:rPr>
        <w:t xml:space="preserve"> w sprawie zwalczania korupcji urzędników Wspólnot Europejskich lub urzędników państw członkowskich Unii Europejskiej z 1997 r</w:t>
      </w:r>
      <w:r w:rsidR="00D76839">
        <w:rPr>
          <w:lang w:val="pl-PL"/>
        </w:rPr>
        <w:t>oku</w:t>
      </w:r>
      <w:r w:rsidRPr="0051003F">
        <w:rPr>
          <w:lang w:val="pl-PL"/>
        </w:rPr>
        <w:t xml:space="preserve"> („nie należy ścigać”)</w:t>
      </w:r>
      <w:r w:rsidRPr="0051003F">
        <w:rPr>
          <w:vertAlign w:val="superscript"/>
          <w:lang w:val="pl-PL"/>
        </w:rPr>
        <w:footnoteReference w:id="29"/>
      </w:r>
      <w:r w:rsidRPr="0051003F">
        <w:rPr>
          <w:lang w:val="pl-PL"/>
        </w:rPr>
        <w:t xml:space="preserve">, </w:t>
      </w:r>
      <w:r w:rsidR="00D76839">
        <w:rPr>
          <w:lang w:val="pl-PL"/>
        </w:rPr>
        <w:t>art.</w:t>
      </w:r>
      <w:r w:rsidR="00D76839" w:rsidRPr="0051003F">
        <w:rPr>
          <w:lang w:val="pl-PL"/>
        </w:rPr>
        <w:t xml:space="preserve"> </w:t>
      </w:r>
      <w:r w:rsidRPr="0051003F">
        <w:rPr>
          <w:lang w:val="pl-PL"/>
        </w:rPr>
        <w:t>2 § 1 rozporządzenia Europejskiego Banku Centralnego nr 2157/1999 w sprawie uprawnień Europejskiego Banku Centralnego do nakładania sankcji („wszczyna się nie więcej niż jedno postępowanie w sprawie naruszenia”), art. 50 Karty praw podstawowych Unii Europejskiej z 2000 r</w:t>
      </w:r>
      <w:r w:rsidR="00287BD8">
        <w:rPr>
          <w:lang w:val="pl-PL"/>
        </w:rPr>
        <w:t>oku</w:t>
      </w:r>
      <w:r w:rsidRPr="0051003F">
        <w:rPr>
          <w:lang w:val="pl-PL"/>
        </w:rPr>
        <w:t xml:space="preserve"> („Karta” – „sądzony lub ukarany”) oraz inicjatywa Republiki Greckiej z 2003 r</w:t>
      </w:r>
      <w:r w:rsidR="00287BD8">
        <w:rPr>
          <w:lang w:val="pl-PL"/>
        </w:rPr>
        <w:t>oku</w:t>
      </w:r>
      <w:r w:rsidRPr="0051003F">
        <w:rPr>
          <w:lang w:val="pl-PL"/>
        </w:rPr>
        <w:t xml:space="preserve"> mająca na celu przyjęcie decyzji ramowej Rady w sprawie stosowania zasady </w:t>
      </w:r>
      <w:proofErr w:type="spellStart"/>
      <w:r w:rsidRPr="0051003F">
        <w:rPr>
          <w:i/>
          <w:lang w:val="pl-PL"/>
        </w:rPr>
        <w:t>ne</w:t>
      </w:r>
      <w:proofErr w:type="spellEnd"/>
      <w:r w:rsidRPr="0051003F">
        <w:rPr>
          <w:i/>
          <w:lang w:val="pl-PL"/>
        </w:rPr>
        <w:t xml:space="preserve"> bis in </w:t>
      </w:r>
      <w:proofErr w:type="spellStart"/>
      <w:r w:rsidRPr="0051003F">
        <w:rPr>
          <w:i/>
          <w:lang w:val="pl-PL"/>
        </w:rPr>
        <w:t>idem</w:t>
      </w:r>
      <w:proofErr w:type="spellEnd"/>
      <w:r w:rsidRPr="0051003F">
        <w:rPr>
          <w:lang w:val="pl-PL"/>
        </w:rPr>
        <w:t xml:space="preserve"> („nie może być ścigany za te same czyny”)</w:t>
      </w:r>
      <w:r w:rsidRPr="0051003F">
        <w:rPr>
          <w:vertAlign w:val="superscript"/>
          <w:lang w:val="pl-PL"/>
        </w:rPr>
        <w:footnoteReference w:id="30"/>
      </w:r>
      <w:r w:rsidRPr="0051003F">
        <w:rPr>
          <w:lang w:val="pl-PL"/>
        </w:rPr>
        <w:t>.</w:t>
      </w:r>
    </w:p>
    <w:p w:rsidR="008E0858" w:rsidRPr="0051003F" w:rsidRDefault="008E0858" w:rsidP="008E0858">
      <w:pPr>
        <w:ind w:firstLine="284"/>
        <w:rPr>
          <w:lang w:val="pl-PL"/>
        </w:rPr>
      </w:pPr>
      <w:r w:rsidRPr="0051003F">
        <w:rPr>
          <w:lang w:val="pl-PL"/>
        </w:rPr>
        <w:t>12.  Karta radykalnie zmieniła zobowiązania prawne tych państw członkowskich Unii Europejskiej, do których ma ona zastosowanie. Prawo do nie bycia sądzonym lub karanym dwukrotnie w postępowaniu karnym za to samo przestępstwo zostało określone w art. 54 KWS, w art. 50 karty praw podstawowych Unii Europejskiej, a zatem art. 54 należy interpretować w świetle art. 50</w:t>
      </w:r>
      <w:r w:rsidRPr="0051003F">
        <w:rPr>
          <w:vertAlign w:val="superscript"/>
          <w:lang w:val="pl-PL"/>
        </w:rPr>
        <w:footnoteReference w:id="31"/>
      </w:r>
      <w:r w:rsidRPr="0051003F">
        <w:rPr>
          <w:lang w:val="pl-PL"/>
        </w:rPr>
        <w:t xml:space="preserve">. W świetle art. 52 ust. 3 Karty, przy wykonywaniu praw i wolności Karty, które odpowiadają prawom i wolnościom zagwarantowanym w Europejskiej Konwencji Praw Człowieka (zwanej dalej </w:t>
      </w:r>
      <w:r w:rsidR="00287BD8">
        <w:rPr>
          <w:lang w:val="pl-PL"/>
        </w:rPr>
        <w:t>,,</w:t>
      </w:r>
      <w:r w:rsidRPr="0051003F">
        <w:rPr>
          <w:lang w:val="pl-PL"/>
        </w:rPr>
        <w:t>Konwencją") i w protokołach do niej, państwa członkowskie Unii Europejskiej są związane znaczeniem i zakresem tych praw i wolności określonych w Konwencji i protokołach, zgodnie z wykładnią Trybunału</w:t>
      </w:r>
      <w:r w:rsidRPr="0051003F">
        <w:rPr>
          <w:vertAlign w:val="superscript"/>
          <w:lang w:val="pl-PL"/>
        </w:rPr>
        <w:footnoteReference w:id="32"/>
      </w:r>
      <w:r w:rsidRPr="0051003F">
        <w:rPr>
          <w:lang w:val="pl-PL"/>
        </w:rPr>
        <w:t xml:space="preserve">, nawet wtedy, gdy nie ratyfikowały tych protokołów. </w:t>
      </w:r>
    </w:p>
    <w:p w:rsidR="008E0858" w:rsidRPr="0051003F" w:rsidRDefault="008E0858" w:rsidP="008E0858">
      <w:pPr>
        <w:ind w:firstLine="284"/>
        <w:rPr>
          <w:lang w:val="pl-PL"/>
        </w:rPr>
      </w:pPr>
      <w:r w:rsidRPr="0051003F">
        <w:rPr>
          <w:lang w:val="pl-PL"/>
        </w:rPr>
        <w:t xml:space="preserve">Dotyczy to również art. 50 Karty, a w konsekwencji art. 54 </w:t>
      </w:r>
      <w:r w:rsidR="00287BD8">
        <w:rPr>
          <w:lang w:val="pl-PL"/>
        </w:rPr>
        <w:t>K</w:t>
      </w:r>
      <w:r w:rsidRPr="0051003F">
        <w:rPr>
          <w:lang w:val="pl-PL"/>
        </w:rPr>
        <w:t xml:space="preserve">onwencji wykonawczej, który oczywiście powinien być interpretowany i stosowany w świetle orzecznictwa Trybunału dotyczącego art. 4 </w:t>
      </w:r>
      <w:r w:rsidR="00287BD8">
        <w:rPr>
          <w:lang w:val="pl-PL"/>
        </w:rPr>
        <w:t>P</w:t>
      </w:r>
      <w:r w:rsidRPr="0051003F">
        <w:rPr>
          <w:lang w:val="pl-PL"/>
        </w:rPr>
        <w:t>rotokołu nr 7, nawet w przypadku tych państw członkowskich Unii Europejskiej, które nie ratyfikowały tego protokołu.</w:t>
      </w:r>
    </w:p>
    <w:p w:rsidR="008E0858" w:rsidRPr="0051003F" w:rsidRDefault="008E0858" w:rsidP="004A231A">
      <w:pPr>
        <w:ind w:firstLine="284"/>
        <w:rPr>
          <w:lang w:val="pl-PL"/>
        </w:rPr>
      </w:pPr>
      <w:r w:rsidRPr="0051003F">
        <w:rPr>
          <w:lang w:val="pl-PL"/>
        </w:rPr>
        <w:t xml:space="preserve">13.  Ponadto wprowadzono zasadę </w:t>
      </w:r>
      <w:proofErr w:type="spellStart"/>
      <w:r w:rsidRPr="0051003F">
        <w:rPr>
          <w:i/>
          <w:lang w:val="pl-PL"/>
        </w:rPr>
        <w:t>ne</w:t>
      </w:r>
      <w:proofErr w:type="spellEnd"/>
      <w:r w:rsidRPr="0051003F">
        <w:rPr>
          <w:i/>
          <w:lang w:val="pl-PL"/>
        </w:rPr>
        <w:t xml:space="preserve"> bis in </w:t>
      </w:r>
      <w:proofErr w:type="spellStart"/>
      <w:r w:rsidRPr="0051003F">
        <w:rPr>
          <w:i/>
          <w:lang w:val="pl-PL"/>
        </w:rPr>
        <w:t>idem</w:t>
      </w:r>
      <w:proofErr w:type="spellEnd"/>
      <w:r w:rsidRPr="0051003F">
        <w:rPr>
          <w:lang w:val="pl-PL"/>
        </w:rPr>
        <w:t xml:space="preserve"> jako zakaz współpracy w sprawach karnych między państwami w ramach różnych instrumentów, takich jak art. 3 ust. 2 decyzji ramowej z 2002 r</w:t>
      </w:r>
      <w:r w:rsidR="00B30DAC">
        <w:rPr>
          <w:lang w:val="pl-PL"/>
        </w:rPr>
        <w:t>oku</w:t>
      </w:r>
      <w:r w:rsidRPr="0051003F">
        <w:rPr>
          <w:lang w:val="pl-PL"/>
        </w:rPr>
        <w:t xml:space="preserve"> w sprawie europejskiego nakazu aresztowania</w:t>
      </w:r>
      <w:r w:rsidRPr="0051003F">
        <w:rPr>
          <w:vertAlign w:val="superscript"/>
          <w:lang w:val="pl-PL"/>
        </w:rPr>
        <w:footnoteReference w:id="33"/>
      </w:r>
      <w:r w:rsidRPr="0051003F">
        <w:rPr>
          <w:lang w:val="pl-PL"/>
        </w:rPr>
        <w:t xml:space="preserve">, </w:t>
      </w:r>
      <w:r w:rsidR="00BC4DE1">
        <w:rPr>
          <w:lang w:val="pl-PL"/>
        </w:rPr>
        <w:t>art.</w:t>
      </w:r>
      <w:r w:rsidR="00BC4DE1" w:rsidRPr="0051003F">
        <w:rPr>
          <w:lang w:val="pl-PL"/>
        </w:rPr>
        <w:t xml:space="preserve"> </w:t>
      </w:r>
      <w:r w:rsidRPr="0051003F">
        <w:rPr>
          <w:lang w:val="pl-PL"/>
        </w:rPr>
        <w:t>7 ust. 1 lit. c) decyzji ramowej z 2003 r</w:t>
      </w:r>
      <w:r w:rsidR="00BC4DE1">
        <w:rPr>
          <w:lang w:val="pl-PL"/>
        </w:rPr>
        <w:t>oku</w:t>
      </w:r>
      <w:r w:rsidRPr="0051003F">
        <w:rPr>
          <w:lang w:val="pl-PL"/>
        </w:rPr>
        <w:t xml:space="preserve"> w sprawie wykonania w Unii Europejskiej postanowień o </w:t>
      </w:r>
      <w:r w:rsidRPr="0051003F">
        <w:rPr>
          <w:lang w:val="pl-PL"/>
        </w:rPr>
        <w:lastRenderedPageBreak/>
        <w:t xml:space="preserve">zabezpieczeniu mienia i środków dowodowych </w:t>
      </w:r>
      <w:r w:rsidRPr="0051003F">
        <w:rPr>
          <w:vertAlign w:val="superscript"/>
          <w:lang w:val="pl-PL"/>
        </w:rPr>
        <w:footnoteReference w:id="34"/>
      </w:r>
      <w:r w:rsidRPr="0051003F">
        <w:rPr>
          <w:lang w:val="pl-PL"/>
        </w:rPr>
        <w:t xml:space="preserve">, </w:t>
      </w:r>
      <w:r w:rsidR="00BC4DE1">
        <w:rPr>
          <w:lang w:val="pl-PL"/>
        </w:rPr>
        <w:t>art.</w:t>
      </w:r>
      <w:r w:rsidR="00BC4DE1" w:rsidRPr="0051003F">
        <w:rPr>
          <w:lang w:val="pl-PL"/>
        </w:rPr>
        <w:t xml:space="preserve"> </w:t>
      </w:r>
      <w:r w:rsidRPr="0051003F">
        <w:rPr>
          <w:lang w:val="pl-PL"/>
        </w:rPr>
        <w:t>8 ust. 2 lit. b) decyzji ramowej z 2006 r</w:t>
      </w:r>
      <w:r w:rsidR="00BC4DE1">
        <w:rPr>
          <w:lang w:val="pl-PL"/>
        </w:rPr>
        <w:t>oku</w:t>
      </w:r>
      <w:r w:rsidRPr="0051003F">
        <w:rPr>
          <w:lang w:val="pl-PL"/>
        </w:rPr>
        <w:t xml:space="preserve"> w sprawie stosowania zasady wzajemnego uznawania do nakazów konfiskaty </w:t>
      </w:r>
      <w:r w:rsidRPr="0051003F">
        <w:rPr>
          <w:vertAlign w:val="superscript"/>
          <w:lang w:val="pl-PL"/>
        </w:rPr>
        <w:footnoteReference w:id="35"/>
      </w:r>
      <w:r w:rsidRPr="0051003F">
        <w:rPr>
          <w:lang w:val="pl-PL"/>
        </w:rPr>
        <w:t>,</w:t>
      </w:r>
      <w:r w:rsidR="004A231A" w:rsidRPr="0051003F">
        <w:rPr>
          <w:lang w:val="pl-PL"/>
        </w:rPr>
        <w:t xml:space="preserve"> </w:t>
      </w:r>
      <w:r w:rsidR="00BC4DE1">
        <w:rPr>
          <w:lang w:val="pl-PL"/>
        </w:rPr>
        <w:t>art.</w:t>
      </w:r>
      <w:r w:rsidR="00BC4DE1" w:rsidRPr="0051003F">
        <w:rPr>
          <w:lang w:val="pl-PL"/>
        </w:rPr>
        <w:t xml:space="preserve"> </w:t>
      </w:r>
      <w:r w:rsidRPr="0051003F">
        <w:rPr>
          <w:lang w:val="pl-PL"/>
        </w:rPr>
        <w:t>11 ust. 1 lit. c) decyzji ramowej z 2008 r</w:t>
      </w:r>
      <w:r w:rsidR="00BC4DE1">
        <w:rPr>
          <w:lang w:val="pl-PL"/>
        </w:rPr>
        <w:t>oku</w:t>
      </w:r>
      <w:r w:rsidR="00BC4DE1" w:rsidRPr="0051003F">
        <w:rPr>
          <w:lang w:val="pl-PL"/>
        </w:rPr>
        <w:t xml:space="preserve"> </w:t>
      </w:r>
      <w:r w:rsidRPr="0051003F">
        <w:rPr>
          <w:lang w:val="pl-PL"/>
        </w:rPr>
        <w:t>w sprawie stosowania zasady wzajemnego uznawania orzeczeń i decyzji w sprawie zawieszenia lub warunkowego zwolnienia w celu nadzoru nad przestrzeganiem warunków zawieszenia i obowiązków wynikających z kar alternatywnych</w:t>
      </w:r>
      <w:r w:rsidRPr="0051003F">
        <w:rPr>
          <w:vertAlign w:val="superscript"/>
          <w:lang w:val="pl-PL"/>
        </w:rPr>
        <w:footnoteReference w:id="36"/>
      </w:r>
      <w:r w:rsidRPr="0051003F">
        <w:rPr>
          <w:lang w:val="pl-PL"/>
        </w:rPr>
        <w:t>,  art. 13 ust. 1 lit. a) decyzji ramowej z 2008 r</w:t>
      </w:r>
      <w:r w:rsidR="00BC4DE1">
        <w:rPr>
          <w:lang w:val="pl-PL"/>
        </w:rPr>
        <w:t>oku</w:t>
      </w:r>
      <w:r w:rsidRPr="0051003F">
        <w:rPr>
          <w:lang w:val="pl-PL"/>
        </w:rPr>
        <w:t xml:space="preserve"> w sprawie europejskiego nakazu dowodowego do celów uzyskania przedmiotów, dokumentów i danych, które mają zostać wykorzystane w postępowaniu karnym w sprawach karnych</w:t>
      </w:r>
      <w:r w:rsidRPr="0051003F">
        <w:rPr>
          <w:vertAlign w:val="superscript"/>
          <w:lang w:val="pl-PL"/>
        </w:rPr>
        <w:footnoteReference w:id="37"/>
      </w:r>
      <w:r w:rsidRPr="0051003F">
        <w:rPr>
          <w:lang w:val="pl-PL"/>
        </w:rPr>
        <w:t>,</w:t>
      </w:r>
      <w:r w:rsidR="004A231A" w:rsidRPr="0051003F">
        <w:rPr>
          <w:lang w:val="pl-PL"/>
        </w:rPr>
        <w:t xml:space="preserve"> </w:t>
      </w:r>
      <w:r w:rsidR="00BC4DE1">
        <w:rPr>
          <w:lang w:val="pl-PL"/>
        </w:rPr>
        <w:t>art.</w:t>
      </w:r>
      <w:r w:rsidR="00BC4DE1" w:rsidRPr="0051003F">
        <w:rPr>
          <w:lang w:val="pl-PL"/>
        </w:rPr>
        <w:t xml:space="preserve"> </w:t>
      </w:r>
      <w:r w:rsidRPr="0051003F">
        <w:rPr>
          <w:lang w:val="pl-PL"/>
        </w:rPr>
        <w:t>15 ust. 1 lit. c) decyzji ramowej z 2009 r</w:t>
      </w:r>
      <w:r w:rsidR="00BC4DE1">
        <w:rPr>
          <w:lang w:val="pl-PL"/>
        </w:rPr>
        <w:t>oku</w:t>
      </w:r>
      <w:r w:rsidRPr="0051003F">
        <w:rPr>
          <w:lang w:val="pl-PL"/>
        </w:rPr>
        <w:t xml:space="preserve"> w sprawie stosowania między państwami członkowskimi Unii Europejskiej zasady wzajemnego uznawania do decyzji w sprawie środków nadzoru stanowiących alternatywę dla tymczasowego aresztowania</w:t>
      </w:r>
      <w:r w:rsidRPr="0051003F">
        <w:rPr>
          <w:vertAlign w:val="superscript"/>
          <w:lang w:val="pl-PL"/>
        </w:rPr>
        <w:footnoteReference w:id="38"/>
      </w:r>
      <w:r w:rsidRPr="0051003F">
        <w:rPr>
          <w:lang w:val="pl-PL"/>
        </w:rPr>
        <w:t>, oraz art. 1 ust. 2 lit. a) decyzji ramowej z 2009 r</w:t>
      </w:r>
      <w:r w:rsidR="002D5517">
        <w:rPr>
          <w:lang w:val="pl-PL"/>
        </w:rPr>
        <w:t>oku</w:t>
      </w:r>
      <w:r w:rsidRPr="0051003F">
        <w:rPr>
          <w:lang w:val="pl-PL"/>
        </w:rPr>
        <w:t xml:space="preserve"> w sprawie zapobiegania konfliktom jurysdykcji w postępowaniu karnym i rozstrzygania takich konfliktów </w:t>
      </w:r>
      <w:r w:rsidRPr="0051003F">
        <w:rPr>
          <w:vertAlign w:val="superscript"/>
          <w:lang w:val="pl-PL"/>
        </w:rPr>
        <w:footnoteReference w:id="39"/>
      </w:r>
      <w:r w:rsidRPr="0051003F">
        <w:rPr>
          <w:lang w:val="pl-PL"/>
        </w:rPr>
        <w:t xml:space="preserve">. Wreszcie, art. 6 rozporządzenia nr 2988/95 w sprawie ochrony interesów finansowych Wspólnot Europejskich ustanawia zasadę </w:t>
      </w:r>
      <w:r w:rsidRPr="0051003F">
        <w:rPr>
          <w:i/>
          <w:lang w:val="pl-PL"/>
        </w:rPr>
        <w:t xml:space="preserve">le </w:t>
      </w:r>
      <w:proofErr w:type="spellStart"/>
      <w:r w:rsidRPr="0051003F">
        <w:rPr>
          <w:i/>
          <w:lang w:val="pl-PL"/>
        </w:rPr>
        <w:t>le</w:t>
      </w:r>
      <w:proofErr w:type="spellEnd"/>
      <w:r w:rsidRPr="0051003F">
        <w:rPr>
          <w:i/>
          <w:lang w:val="pl-PL"/>
        </w:rPr>
        <w:t xml:space="preserve"> </w:t>
      </w:r>
      <w:proofErr w:type="spellStart"/>
      <w:r w:rsidRPr="0051003F">
        <w:rPr>
          <w:i/>
          <w:lang w:val="pl-PL"/>
        </w:rPr>
        <w:t>pénal</w:t>
      </w:r>
      <w:proofErr w:type="spellEnd"/>
      <w:r w:rsidRPr="0051003F">
        <w:rPr>
          <w:i/>
          <w:lang w:val="pl-PL"/>
        </w:rPr>
        <w:t xml:space="preserve"> </w:t>
      </w:r>
      <w:proofErr w:type="spellStart"/>
      <w:r w:rsidRPr="0051003F">
        <w:rPr>
          <w:i/>
          <w:lang w:val="pl-PL"/>
        </w:rPr>
        <w:t>tient</w:t>
      </w:r>
      <w:proofErr w:type="spellEnd"/>
      <w:r w:rsidRPr="0051003F">
        <w:rPr>
          <w:i/>
          <w:lang w:val="pl-PL"/>
        </w:rPr>
        <w:t xml:space="preserve"> l' </w:t>
      </w:r>
      <w:proofErr w:type="spellStart"/>
      <w:r w:rsidRPr="0051003F">
        <w:rPr>
          <w:i/>
          <w:lang w:val="pl-PL"/>
        </w:rPr>
        <w:t>administratif</w:t>
      </w:r>
      <w:proofErr w:type="spellEnd"/>
      <w:r w:rsidRPr="0051003F">
        <w:rPr>
          <w:lang w:val="pl-PL"/>
        </w:rPr>
        <w:t xml:space="preserve">, w połączeniu z zasadą </w:t>
      </w:r>
      <w:r w:rsidR="002D5517">
        <w:rPr>
          <w:lang w:val="pl-PL"/>
        </w:rPr>
        <w:t>zaliczenia</w:t>
      </w:r>
      <w:r w:rsidR="002D5517" w:rsidRPr="0051003F">
        <w:rPr>
          <w:lang w:val="pl-PL"/>
        </w:rPr>
        <w:t xml:space="preserve"> </w:t>
      </w:r>
      <w:r w:rsidRPr="0051003F">
        <w:rPr>
          <w:lang w:val="pl-PL"/>
        </w:rPr>
        <w:t>na poczet kary.</w:t>
      </w:r>
    </w:p>
    <w:p w:rsidR="008E0858" w:rsidRPr="0051003F" w:rsidRDefault="008E0858" w:rsidP="008E0858">
      <w:pPr>
        <w:ind w:firstLine="284"/>
        <w:rPr>
          <w:lang w:val="pl-PL"/>
        </w:rPr>
      </w:pPr>
      <w:r w:rsidRPr="0051003F">
        <w:rPr>
          <w:lang w:val="pl-PL"/>
        </w:rPr>
        <w:t xml:space="preserve">14. Na arenie sądowej Trybunał Sprawiedliwości Unii Europejskiej orzekł, w sprawie </w:t>
      </w:r>
      <w:r w:rsidRPr="0051003F">
        <w:rPr>
          <w:i/>
          <w:lang w:val="pl-PL"/>
        </w:rPr>
        <w:t xml:space="preserve">Walt Wilhelm i in. przeciwko </w:t>
      </w:r>
      <w:proofErr w:type="spellStart"/>
      <w:r w:rsidRPr="0051003F">
        <w:rPr>
          <w:i/>
          <w:lang w:val="pl-PL"/>
        </w:rPr>
        <w:t>Bundeskartellamt</w:t>
      </w:r>
      <w:proofErr w:type="spellEnd"/>
      <w:r w:rsidRPr="0051003F">
        <w:rPr>
          <w:lang w:val="pl-PL"/>
        </w:rPr>
        <w:t>, że w dwóch równoległych postępowaniach toczących się na różnych etapach można nakładać różne sankcje. W prawie konkurencji możliwość objęcia jednego zestawu faktów dwoma równoległymi postępowaniami, jednym na poziomie wspólnotowym, a drugim na poziomie krajowym, wynikała ze specjalnego systemu podziału jurysdykcji między Wspólnotę i państwa członkowskie w odniesieniu do karteli. Jeżeli jednak możliwość przeprowadzenia dwóch odrębnych postępowań prowadzono by w celu nałożenia kolejnych sankcji, ogólny wymóg sprawiedliwości naturalnej wymagałby, aby każda wcześniejsza decyzja karna była brana pod uwagę przy określaniu sankcji, która ma być nałożona</w:t>
      </w:r>
      <w:r w:rsidRPr="0051003F">
        <w:rPr>
          <w:vertAlign w:val="superscript"/>
          <w:lang w:val="pl-PL"/>
        </w:rPr>
        <w:footnoteReference w:id="40"/>
      </w:r>
      <w:r w:rsidRPr="0051003F">
        <w:rPr>
          <w:lang w:val="pl-PL"/>
        </w:rPr>
        <w:t>.</w:t>
      </w:r>
    </w:p>
    <w:p w:rsidR="008E0858" w:rsidRPr="0051003F" w:rsidRDefault="008E0858" w:rsidP="008E0858">
      <w:pPr>
        <w:ind w:firstLine="284"/>
        <w:rPr>
          <w:lang w:val="pl-PL"/>
        </w:rPr>
      </w:pPr>
      <w:r w:rsidRPr="0051003F">
        <w:rPr>
          <w:lang w:val="pl-PL"/>
        </w:rPr>
        <w:t xml:space="preserve">Później Trybunał Sprawiedliwości rozwinął swoje orzecznictwo w ramach trzeciego filaru dotyczącego </w:t>
      </w:r>
      <w:r w:rsidRPr="0051003F">
        <w:rPr>
          <w:i/>
          <w:lang w:val="pl-PL"/>
        </w:rPr>
        <w:t>bis</w:t>
      </w:r>
      <w:r w:rsidRPr="0051003F">
        <w:rPr>
          <w:lang w:val="pl-PL"/>
        </w:rPr>
        <w:t xml:space="preserve"> (</w:t>
      </w:r>
      <w:proofErr w:type="spellStart"/>
      <w:r w:rsidRPr="0051003F">
        <w:rPr>
          <w:i/>
          <w:lang w:val="pl-PL"/>
        </w:rPr>
        <w:t>Gözütok</w:t>
      </w:r>
      <w:proofErr w:type="spellEnd"/>
      <w:r w:rsidRPr="0051003F">
        <w:rPr>
          <w:i/>
          <w:lang w:val="pl-PL"/>
        </w:rPr>
        <w:t xml:space="preserve"> i </w:t>
      </w:r>
      <w:proofErr w:type="spellStart"/>
      <w:r w:rsidRPr="0051003F">
        <w:rPr>
          <w:i/>
          <w:lang w:val="pl-PL"/>
        </w:rPr>
        <w:t>Brügge</w:t>
      </w:r>
      <w:proofErr w:type="spellEnd"/>
      <w:r w:rsidRPr="0051003F">
        <w:rPr>
          <w:lang w:val="pl-PL"/>
        </w:rPr>
        <w:t>,</w:t>
      </w:r>
      <w:r w:rsidRPr="0051003F">
        <w:rPr>
          <w:vertAlign w:val="superscript"/>
          <w:lang w:val="pl-PL"/>
        </w:rPr>
        <w:footnoteReference w:id="41"/>
      </w:r>
      <w:r w:rsidRPr="0051003F">
        <w:rPr>
          <w:lang w:val="pl-PL"/>
        </w:rPr>
        <w:t xml:space="preserve"> </w:t>
      </w:r>
      <w:proofErr w:type="spellStart"/>
      <w:r w:rsidRPr="0051003F">
        <w:rPr>
          <w:i/>
          <w:lang w:val="pl-PL"/>
        </w:rPr>
        <w:t>Miraglia</w:t>
      </w:r>
      <w:proofErr w:type="spellEnd"/>
      <w:r w:rsidRPr="0051003F">
        <w:rPr>
          <w:i/>
          <w:vertAlign w:val="superscript"/>
          <w:lang w:val="pl-PL"/>
        </w:rPr>
        <w:footnoteReference w:id="42"/>
      </w:r>
      <w:r w:rsidRPr="0051003F">
        <w:rPr>
          <w:lang w:val="pl-PL"/>
        </w:rPr>
        <w:t xml:space="preserve">, </w:t>
      </w:r>
      <w:r w:rsidRPr="0051003F">
        <w:rPr>
          <w:i/>
          <w:lang w:val="pl-PL"/>
        </w:rPr>
        <w:t xml:space="preserve">Van </w:t>
      </w:r>
      <w:proofErr w:type="spellStart"/>
      <w:r w:rsidRPr="0051003F">
        <w:rPr>
          <w:i/>
          <w:lang w:val="pl-PL"/>
        </w:rPr>
        <w:t>Straaten</w:t>
      </w:r>
      <w:proofErr w:type="spellEnd"/>
      <w:r w:rsidRPr="0051003F">
        <w:rPr>
          <w:i/>
          <w:vertAlign w:val="superscript"/>
          <w:lang w:val="pl-PL"/>
        </w:rPr>
        <w:footnoteReference w:id="43"/>
      </w:r>
      <w:r w:rsidRPr="0051003F">
        <w:rPr>
          <w:lang w:val="pl-PL"/>
        </w:rPr>
        <w:t>,</w:t>
      </w:r>
      <w:r w:rsidRPr="0051003F">
        <w:rPr>
          <w:i/>
          <w:lang w:val="pl-PL"/>
        </w:rPr>
        <w:t xml:space="preserve"> </w:t>
      </w:r>
      <w:proofErr w:type="spellStart"/>
      <w:r w:rsidRPr="0051003F">
        <w:rPr>
          <w:i/>
          <w:lang w:val="pl-PL"/>
        </w:rPr>
        <w:t>Turanský</w:t>
      </w:r>
      <w:proofErr w:type="spellEnd"/>
      <w:r w:rsidRPr="0051003F">
        <w:rPr>
          <w:i/>
          <w:vertAlign w:val="superscript"/>
          <w:lang w:val="pl-PL"/>
        </w:rPr>
        <w:footnoteReference w:id="44"/>
      </w:r>
      <w:r w:rsidRPr="0051003F">
        <w:rPr>
          <w:i/>
          <w:lang w:val="pl-PL"/>
        </w:rPr>
        <w:t>, M.</w:t>
      </w:r>
      <w:r w:rsidRPr="0051003F">
        <w:rPr>
          <w:i/>
          <w:vertAlign w:val="superscript"/>
          <w:lang w:val="pl-PL"/>
        </w:rPr>
        <w:footnoteReference w:id="45"/>
      </w:r>
      <w:r w:rsidRPr="0051003F">
        <w:rPr>
          <w:i/>
          <w:lang w:val="pl-PL"/>
        </w:rPr>
        <w:t xml:space="preserve">, </w:t>
      </w:r>
      <w:proofErr w:type="spellStart"/>
      <w:r w:rsidRPr="0051003F">
        <w:rPr>
          <w:i/>
          <w:lang w:val="pl-PL"/>
        </w:rPr>
        <w:t>Kussowski</w:t>
      </w:r>
      <w:proofErr w:type="spellEnd"/>
      <w:r w:rsidRPr="0051003F">
        <w:rPr>
          <w:i/>
          <w:vertAlign w:val="superscript"/>
          <w:lang w:val="pl-PL"/>
        </w:rPr>
        <w:footnoteReference w:id="46"/>
      </w:r>
      <w:r w:rsidRPr="0051003F">
        <w:rPr>
          <w:lang w:val="pl-PL"/>
        </w:rPr>
        <w:t>),  “</w:t>
      </w:r>
      <w:proofErr w:type="spellStart"/>
      <w:r w:rsidRPr="0051003F">
        <w:rPr>
          <w:i/>
          <w:lang w:val="pl-PL"/>
        </w:rPr>
        <w:t>idem</w:t>
      </w:r>
      <w:proofErr w:type="spellEnd"/>
      <w:r w:rsidRPr="0051003F">
        <w:rPr>
          <w:lang w:val="pl-PL"/>
        </w:rPr>
        <w:t>”</w:t>
      </w:r>
      <w:r w:rsidRPr="0051003F">
        <w:rPr>
          <w:i/>
          <w:lang w:val="pl-PL"/>
        </w:rPr>
        <w:t xml:space="preserve"> </w:t>
      </w:r>
      <w:r w:rsidRPr="0051003F">
        <w:rPr>
          <w:lang w:val="pl-PL"/>
        </w:rPr>
        <w:t>(</w:t>
      </w:r>
      <w:r w:rsidRPr="0051003F">
        <w:rPr>
          <w:i/>
          <w:lang w:val="pl-PL"/>
        </w:rPr>
        <w:t xml:space="preserve">Van </w:t>
      </w:r>
      <w:proofErr w:type="spellStart"/>
      <w:r w:rsidRPr="0051003F">
        <w:rPr>
          <w:i/>
          <w:lang w:val="pl-PL"/>
        </w:rPr>
        <w:t>Esbroeck</w:t>
      </w:r>
      <w:proofErr w:type="spellEnd"/>
      <w:r w:rsidRPr="0051003F">
        <w:rPr>
          <w:i/>
          <w:vertAlign w:val="superscript"/>
          <w:lang w:val="pl-PL"/>
        </w:rPr>
        <w:footnoteReference w:id="47"/>
      </w:r>
      <w:r w:rsidRPr="0051003F">
        <w:rPr>
          <w:i/>
          <w:lang w:val="pl-PL"/>
        </w:rPr>
        <w:t xml:space="preserve">, </w:t>
      </w:r>
      <w:r w:rsidRPr="0051003F">
        <w:rPr>
          <w:i/>
          <w:lang w:val="pl-PL"/>
        </w:rPr>
        <w:lastRenderedPageBreak/>
        <w:t xml:space="preserve">Van </w:t>
      </w:r>
      <w:proofErr w:type="spellStart"/>
      <w:r w:rsidRPr="0051003F">
        <w:rPr>
          <w:i/>
          <w:lang w:val="pl-PL"/>
        </w:rPr>
        <w:t>Straaten</w:t>
      </w:r>
      <w:proofErr w:type="spellEnd"/>
      <w:r w:rsidRPr="0051003F">
        <w:rPr>
          <w:i/>
          <w:vertAlign w:val="superscript"/>
          <w:lang w:val="pl-PL"/>
        </w:rPr>
        <w:footnoteReference w:id="48"/>
      </w:r>
      <w:r w:rsidRPr="0051003F">
        <w:rPr>
          <w:lang w:val="pl-PL"/>
        </w:rPr>
        <w:t>,</w:t>
      </w:r>
      <w:r w:rsidRPr="0051003F">
        <w:rPr>
          <w:i/>
          <w:lang w:val="pl-PL"/>
        </w:rPr>
        <w:t xml:space="preserve"> </w:t>
      </w:r>
      <w:proofErr w:type="spellStart"/>
      <w:r w:rsidRPr="0051003F">
        <w:rPr>
          <w:i/>
          <w:lang w:val="pl-PL"/>
        </w:rPr>
        <w:t>Gasparini</w:t>
      </w:r>
      <w:proofErr w:type="spellEnd"/>
      <w:r w:rsidRPr="0051003F">
        <w:rPr>
          <w:i/>
          <w:vertAlign w:val="superscript"/>
          <w:lang w:val="pl-PL"/>
        </w:rPr>
        <w:footnoteReference w:id="49"/>
      </w:r>
      <w:r w:rsidRPr="0051003F">
        <w:rPr>
          <w:i/>
          <w:lang w:val="pl-PL"/>
        </w:rPr>
        <w:t xml:space="preserve">, </w:t>
      </w:r>
      <w:proofErr w:type="spellStart"/>
      <w:r w:rsidRPr="0051003F">
        <w:rPr>
          <w:i/>
          <w:lang w:val="pl-PL"/>
        </w:rPr>
        <w:t>Kretzinger</w:t>
      </w:r>
      <w:proofErr w:type="spellEnd"/>
      <w:r w:rsidRPr="0051003F">
        <w:rPr>
          <w:i/>
          <w:vertAlign w:val="superscript"/>
          <w:lang w:val="pl-PL"/>
        </w:rPr>
        <w:footnoteReference w:id="50"/>
      </w:r>
      <w:r w:rsidRPr="0051003F">
        <w:rPr>
          <w:i/>
          <w:lang w:val="pl-PL"/>
        </w:rPr>
        <w:t xml:space="preserve">, </w:t>
      </w:r>
      <w:proofErr w:type="spellStart"/>
      <w:r w:rsidRPr="0051003F">
        <w:rPr>
          <w:i/>
          <w:lang w:val="pl-PL"/>
        </w:rPr>
        <w:t>Kraaijenbrink</w:t>
      </w:r>
      <w:proofErr w:type="spellEnd"/>
      <w:r w:rsidRPr="0051003F">
        <w:rPr>
          <w:i/>
          <w:vertAlign w:val="superscript"/>
          <w:lang w:val="pl-PL"/>
        </w:rPr>
        <w:footnoteReference w:id="51"/>
      </w:r>
      <w:r w:rsidRPr="0051003F">
        <w:rPr>
          <w:lang w:val="pl-PL"/>
        </w:rPr>
        <w:t xml:space="preserve"> i </w:t>
      </w:r>
      <w:proofErr w:type="spellStart"/>
      <w:r w:rsidRPr="0051003F">
        <w:rPr>
          <w:i/>
          <w:lang w:val="pl-PL"/>
        </w:rPr>
        <w:t>Gasparini</w:t>
      </w:r>
      <w:proofErr w:type="spellEnd"/>
      <w:r w:rsidRPr="0051003F">
        <w:rPr>
          <w:i/>
          <w:vertAlign w:val="superscript"/>
          <w:lang w:val="pl-PL"/>
        </w:rPr>
        <w:footnoteReference w:id="52"/>
      </w:r>
      <w:r w:rsidRPr="0051003F">
        <w:rPr>
          <w:lang w:val="pl-PL"/>
        </w:rPr>
        <w:t>) oraz w sprawie klauzuli wykonalności (</w:t>
      </w:r>
      <w:r w:rsidRPr="0051003F">
        <w:rPr>
          <w:i/>
          <w:lang w:val="pl-PL"/>
        </w:rPr>
        <w:t xml:space="preserve">Klaus </w:t>
      </w:r>
      <w:proofErr w:type="spellStart"/>
      <w:r w:rsidRPr="0051003F">
        <w:rPr>
          <w:i/>
          <w:lang w:val="pl-PL"/>
        </w:rPr>
        <w:t>Bourquain</w:t>
      </w:r>
      <w:proofErr w:type="spellEnd"/>
      <w:r w:rsidRPr="0051003F">
        <w:rPr>
          <w:i/>
          <w:vertAlign w:val="superscript"/>
          <w:lang w:val="pl-PL"/>
        </w:rPr>
        <w:footnoteReference w:id="53"/>
      </w:r>
      <w:r w:rsidRPr="0051003F">
        <w:rPr>
          <w:lang w:val="pl-PL"/>
        </w:rPr>
        <w:t xml:space="preserve">, </w:t>
      </w:r>
      <w:proofErr w:type="spellStart"/>
      <w:r w:rsidRPr="0051003F">
        <w:rPr>
          <w:i/>
          <w:lang w:val="pl-PL"/>
        </w:rPr>
        <w:t>Kretzinger</w:t>
      </w:r>
      <w:proofErr w:type="spellEnd"/>
      <w:r w:rsidRPr="0051003F">
        <w:rPr>
          <w:i/>
          <w:vertAlign w:val="superscript"/>
          <w:lang w:val="pl-PL"/>
        </w:rPr>
        <w:footnoteReference w:id="54"/>
      </w:r>
      <w:r w:rsidRPr="0051003F">
        <w:rPr>
          <w:i/>
          <w:lang w:val="pl-PL"/>
        </w:rPr>
        <w:t xml:space="preserve"> i </w:t>
      </w:r>
      <w:proofErr w:type="spellStart"/>
      <w:r w:rsidRPr="0051003F">
        <w:rPr>
          <w:i/>
          <w:lang w:val="pl-PL"/>
        </w:rPr>
        <w:t>Spasic</w:t>
      </w:r>
      <w:proofErr w:type="spellEnd"/>
      <w:r w:rsidRPr="0051003F">
        <w:rPr>
          <w:i/>
          <w:vertAlign w:val="superscript"/>
          <w:lang w:val="pl-PL"/>
        </w:rPr>
        <w:footnoteReference w:id="55"/>
      </w:r>
      <w:r w:rsidRPr="0051003F">
        <w:rPr>
          <w:lang w:val="pl-PL"/>
        </w:rPr>
        <w:t xml:space="preserve">). W dziedzinie prawa podatkowego przełomowym wyrokiem był wyrok </w:t>
      </w:r>
      <w:r w:rsidRPr="0051003F">
        <w:rPr>
          <w:i/>
          <w:lang w:val="pl-PL"/>
        </w:rPr>
        <w:t xml:space="preserve">Hansa </w:t>
      </w:r>
      <w:proofErr w:type="spellStart"/>
      <w:r w:rsidRPr="0051003F">
        <w:rPr>
          <w:i/>
          <w:lang w:val="pl-PL"/>
        </w:rPr>
        <w:t>Åkeberga</w:t>
      </w:r>
      <w:proofErr w:type="spellEnd"/>
      <w:r w:rsidRPr="0051003F">
        <w:rPr>
          <w:i/>
          <w:lang w:val="pl-PL"/>
        </w:rPr>
        <w:t xml:space="preserve"> </w:t>
      </w:r>
      <w:proofErr w:type="spellStart"/>
      <w:r w:rsidRPr="0051003F">
        <w:rPr>
          <w:i/>
          <w:lang w:val="pl-PL"/>
        </w:rPr>
        <w:t>Franssona</w:t>
      </w:r>
      <w:proofErr w:type="spellEnd"/>
      <w:r w:rsidRPr="0051003F">
        <w:rPr>
          <w:lang w:val="pl-PL"/>
        </w:rPr>
        <w:t>, w któ</w:t>
      </w:r>
      <w:r w:rsidR="004A231A" w:rsidRPr="0051003F">
        <w:rPr>
          <w:lang w:val="pl-PL"/>
        </w:rPr>
        <w:t>rym stwierdzono, że: „</w:t>
      </w:r>
      <w:r w:rsidRPr="0051003F">
        <w:rPr>
          <w:lang w:val="pl-PL"/>
        </w:rPr>
        <w:t>Dopiero jeżeli kara podatkowa ma charakter karny w rozumieniu art. 50 Karty i stała się ostateczna, przepis ten wyklucza wszczęcie postępowania karnego w sprawie tych samych czynów przeciwko tej samej osobie"</w:t>
      </w:r>
      <w:r w:rsidRPr="0051003F">
        <w:rPr>
          <w:vertAlign w:val="superscript"/>
          <w:lang w:val="pl-PL"/>
        </w:rPr>
        <w:footnoteReference w:id="56"/>
      </w:r>
      <w:r w:rsidRPr="0051003F">
        <w:rPr>
          <w:lang w:val="pl-PL"/>
        </w:rPr>
        <w:t>.</w:t>
      </w:r>
    </w:p>
    <w:p w:rsidR="008E0858" w:rsidRPr="0051003F" w:rsidRDefault="008E0858" w:rsidP="008E0858">
      <w:pPr>
        <w:ind w:firstLine="284"/>
        <w:rPr>
          <w:lang w:val="pl-PL"/>
        </w:rPr>
      </w:pPr>
      <w:r w:rsidRPr="0051003F">
        <w:rPr>
          <w:lang w:val="pl-PL"/>
        </w:rPr>
        <w:t>Odrzucając propozycję rzecznika generalnego opartą na zasadzie zaliczania kary</w:t>
      </w:r>
      <w:r w:rsidRPr="0051003F">
        <w:rPr>
          <w:vertAlign w:val="superscript"/>
          <w:lang w:val="pl-PL"/>
        </w:rPr>
        <w:footnoteReference w:id="57"/>
      </w:r>
      <w:r w:rsidRPr="0051003F">
        <w:rPr>
          <w:lang w:val="pl-PL"/>
        </w:rPr>
        <w:t xml:space="preserve">, Sąd w Luksemburgu </w:t>
      </w:r>
      <w:r w:rsidR="004A231A" w:rsidRPr="0051003F">
        <w:rPr>
          <w:lang w:val="pl-PL"/>
        </w:rPr>
        <w:t>zdecydował</w:t>
      </w:r>
      <w:r w:rsidRPr="0051003F">
        <w:rPr>
          <w:lang w:val="pl-PL"/>
        </w:rPr>
        <w:t xml:space="preserve">, dążąc do spójności orzeczniczej  z Trybunałem w Strasburgu, że połączenie sankcji podatkowych o charakterze karnym zgodnie z kryteriami </w:t>
      </w:r>
      <w:proofErr w:type="spellStart"/>
      <w:r w:rsidRPr="0051003F">
        <w:rPr>
          <w:i/>
          <w:lang w:val="pl-PL"/>
        </w:rPr>
        <w:t>Engela</w:t>
      </w:r>
      <w:proofErr w:type="spellEnd"/>
      <w:r w:rsidRPr="0051003F">
        <w:rPr>
          <w:lang w:val="pl-PL"/>
        </w:rPr>
        <w:t xml:space="preserve"> i sankcjami karnymi stanowiłoby naruszenie art. 50 Karty</w:t>
      </w:r>
      <w:r w:rsidRPr="0051003F">
        <w:rPr>
          <w:vertAlign w:val="superscript"/>
          <w:lang w:val="pl-PL"/>
        </w:rPr>
        <w:footnoteReference w:id="58"/>
      </w:r>
      <w:r w:rsidRPr="0051003F">
        <w:rPr>
          <w:lang w:val="pl-PL"/>
        </w:rPr>
        <w:t>.</w:t>
      </w:r>
    </w:p>
    <w:p w:rsidR="008E0858" w:rsidRPr="0051003F" w:rsidRDefault="008E0858" w:rsidP="008E0858">
      <w:pPr>
        <w:ind w:firstLine="284"/>
        <w:rPr>
          <w:lang w:val="pl-PL"/>
        </w:rPr>
      </w:pPr>
      <w:r w:rsidRPr="0051003F">
        <w:rPr>
          <w:lang w:val="pl-PL"/>
        </w:rPr>
        <w:t xml:space="preserve">15.  Podsumowując, obfite występowanie zasady </w:t>
      </w:r>
      <w:proofErr w:type="spellStart"/>
      <w:r w:rsidRPr="0051003F">
        <w:rPr>
          <w:i/>
          <w:lang w:val="pl-PL"/>
        </w:rPr>
        <w:t>ne</w:t>
      </w:r>
      <w:proofErr w:type="spellEnd"/>
      <w:r w:rsidRPr="0051003F">
        <w:rPr>
          <w:i/>
          <w:lang w:val="pl-PL"/>
        </w:rPr>
        <w:t xml:space="preserve"> bis in </w:t>
      </w:r>
      <w:proofErr w:type="spellStart"/>
      <w:r w:rsidRPr="0051003F">
        <w:rPr>
          <w:i/>
          <w:lang w:val="pl-PL"/>
        </w:rPr>
        <w:t>idem</w:t>
      </w:r>
      <w:proofErr w:type="spellEnd"/>
      <w:r w:rsidRPr="0051003F">
        <w:rPr>
          <w:lang w:val="pl-PL"/>
        </w:rPr>
        <w:t xml:space="preserve"> zarówno w prawie międzynarodowym, jak i krajowym oraz w orzecznictwie, dowodzi uznaniu tej zasady jako zasady zwyczajowego prawa międzynarodowego</w:t>
      </w:r>
      <w:r w:rsidRPr="0051003F">
        <w:rPr>
          <w:vertAlign w:val="superscript"/>
          <w:lang w:val="pl-PL"/>
        </w:rPr>
        <w:footnoteReference w:id="59"/>
      </w:r>
      <w:r w:rsidRPr="0051003F">
        <w:rPr>
          <w:lang w:val="pl-PL"/>
        </w:rPr>
        <w:t>. Zasada wyczerpania procedury (</w:t>
      </w:r>
      <w:proofErr w:type="spellStart"/>
      <w:r w:rsidRPr="0051003F">
        <w:rPr>
          <w:i/>
          <w:lang w:val="pl-PL"/>
        </w:rPr>
        <w:t>Erledigungsprinzip</w:t>
      </w:r>
      <w:proofErr w:type="spellEnd"/>
      <w:r w:rsidRPr="0051003F">
        <w:rPr>
          <w:lang w:val="pl-PL"/>
        </w:rPr>
        <w:t xml:space="preserve">) </w:t>
      </w:r>
      <w:r w:rsidRPr="0051003F">
        <w:rPr>
          <w:lang w:val="pl-PL"/>
        </w:rPr>
        <w:lastRenderedPageBreak/>
        <w:t>jest w dużej mierze dominująca w prawie międzynarodowym, zarówno na szczeblu powszechnym, jak i europejskim, ale zasada rozliczenia nałożonej już kary jest uznawana, w węższej formie w ramach Rady Europy (</w:t>
      </w:r>
      <w:r w:rsidR="009E6CDC">
        <w:rPr>
          <w:lang w:val="pl-PL"/>
        </w:rPr>
        <w:t>zaliczanie</w:t>
      </w:r>
      <w:r w:rsidR="009E6CDC" w:rsidRPr="0051003F">
        <w:rPr>
          <w:lang w:val="pl-PL"/>
        </w:rPr>
        <w:t xml:space="preserve"> </w:t>
      </w:r>
      <w:r w:rsidRPr="0051003F">
        <w:rPr>
          <w:lang w:val="pl-PL"/>
        </w:rPr>
        <w:t>kar pozbawienia wolności) i szerszej formie w ramach Unii Europejskiej (</w:t>
      </w:r>
      <w:r w:rsidR="009E6CDC">
        <w:rPr>
          <w:lang w:val="pl-PL"/>
        </w:rPr>
        <w:t>zaliczanie</w:t>
      </w:r>
      <w:r w:rsidR="009E6CDC" w:rsidRPr="0051003F">
        <w:rPr>
          <w:lang w:val="pl-PL"/>
        </w:rPr>
        <w:t xml:space="preserve"> </w:t>
      </w:r>
      <w:r w:rsidRPr="0051003F">
        <w:rPr>
          <w:lang w:val="pl-PL"/>
        </w:rPr>
        <w:t>kar pozbawienia wolności i uwzględnianie sankcji nie pociągających za sobą pozbawienia wolności).</w:t>
      </w:r>
    </w:p>
    <w:p w:rsidR="008E0858" w:rsidRPr="0051003F" w:rsidRDefault="008E0858" w:rsidP="008E0858">
      <w:pPr>
        <w:ind w:firstLine="284"/>
        <w:rPr>
          <w:lang w:val="pl-PL"/>
        </w:rPr>
      </w:pPr>
    </w:p>
    <w:p w:rsidR="008E0858" w:rsidRPr="0051003F" w:rsidRDefault="008E0858" w:rsidP="008E0858">
      <w:pPr>
        <w:keepNext/>
        <w:keepLines/>
        <w:spacing w:before="360" w:after="240"/>
        <w:ind w:left="357" w:hanging="357"/>
        <w:outlineLvl w:val="1"/>
        <w:rPr>
          <w:rFonts w:asciiTheme="majorHAnsi" w:eastAsiaTheme="majorEastAsia" w:hAnsiTheme="majorHAnsi" w:cstheme="majorBidi"/>
          <w:b/>
          <w:bCs/>
          <w:szCs w:val="28"/>
          <w:lang w:val="pl-PL" w:eastAsia="fr-FR"/>
        </w:rPr>
      </w:pPr>
      <w:bookmarkStart w:id="220" w:name="_Toc473801926"/>
      <w:bookmarkStart w:id="221" w:name="_Toc473802179"/>
      <w:r w:rsidRPr="0051003F">
        <w:rPr>
          <w:rFonts w:asciiTheme="majorHAnsi" w:eastAsiaTheme="majorEastAsia" w:hAnsiTheme="majorHAnsi" w:cstheme="majorBidi"/>
          <w:b/>
          <w:bCs/>
          <w:szCs w:val="28"/>
          <w:lang w:val="pl-PL" w:eastAsia="fr-FR"/>
        </w:rPr>
        <w:t>III – Współczesne wyzwania</w:t>
      </w:r>
      <w:r w:rsidR="00CD1449" w:rsidRPr="0051003F">
        <w:rPr>
          <w:rFonts w:asciiTheme="majorHAnsi" w:eastAsiaTheme="majorEastAsia" w:hAnsiTheme="majorHAnsi" w:cstheme="majorBidi"/>
          <w:b/>
          <w:bCs/>
          <w:szCs w:val="28"/>
          <w:lang w:val="pl-PL" w:eastAsia="fr-FR"/>
        </w:rPr>
        <w:t xml:space="preserve"> dla</w:t>
      </w:r>
      <w:r w:rsidRPr="0051003F">
        <w:rPr>
          <w:rFonts w:asciiTheme="majorHAnsi" w:eastAsiaTheme="majorEastAsia" w:hAnsiTheme="majorHAnsi" w:cstheme="majorBidi"/>
          <w:b/>
          <w:bCs/>
          <w:szCs w:val="28"/>
          <w:lang w:val="pl-PL" w:eastAsia="fr-FR"/>
        </w:rPr>
        <w:t xml:space="preserve"> </w:t>
      </w:r>
      <w:proofErr w:type="spellStart"/>
      <w:r w:rsidRPr="0051003F">
        <w:rPr>
          <w:rFonts w:asciiTheme="majorHAnsi" w:eastAsiaTheme="majorEastAsia" w:hAnsiTheme="majorHAnsi" w:cstheme="majorBidi"/>
          <w:b/>
          <w:bCs/>
          <w:i/>
          <w:szCs w:val="28"/>
          <w:lang w:val="pl-PL" w:eastAsia="fr-FR"/>
        </w:rPr>
        <w:t>ne</w:t>
      </w:r>
      <w:proofErr w:type="spellEnd"/>
      <w:r w:rsidRPr="0051003F">
        <w:rPr>
          <w:rFonts w:asciiTheme="majorHAnsi" w:eastAsiaTheme="majorEastAsia" w:hAnsiTheme="majorHAnsi" w:cstheme="majorBidi"/>
          <w:b/>
          <w:bCs/>
          <w:i/>
          <w:szCs w:val="28"/>
          <w:lang w:val="pl-PL" w:eastAsia="fr-FR"/>
        </w:rPr>
        <w:t xml:space="preserve"> bis in </w:t>
      </w:r>
      <w:proofErr w:type="spellStart"/>
      <w:r w:rsidRPr="0051003F">
        <w:rPr>
          <w:rFonts w:asciiTheme="majorHAnsi" w:eastAsiaTheme="majorEastAsia" w:hAnsiTheme="majorHAnsi" w:cstheme="majorBidi"/>
          <w:b/>
          <w:bCs/>
          <w:i/>
          <w:szCs w:val="28"/>
          <w:lang w:val="pl-PL" w:eastAsia="fr-FR"/>
        </w:rPr>
        <w:t>idem</w:t>
      </w:r>
      <w:proofErr w:type="spellEnd"/>
      <w:r w:rsidRPr="0051003F">
        <w:rPr>
          <w:rFonts w:asciiTheme="majorHAnsi" w:eastAsiaTheme="majorEastAsia" w:hAnsiTheme="majorHAnsi" w:cstheme="majorBidi"/>
          <w:b/>
          <w:bCs/>
          <w:i/>
          <w:szCs w:val="28"/>
          <w:lang w:val="pl-PL" w:eastAsia="fr-FR"/>
        </w:rPr>
        <w:t xml:space="preserve"> </w:t>
      </w:r>
      <w:r w:rsidRPr="0051003F">
        <w:rPr>
          <w:rFonts w:asciiTheme="majorHAnsi" w:eastAsiaTheme="majorEastAsia" w:hAnsiTheme="majorHAnsi" w:cstheme="majorBidi"/>
          <w:b/>
          <w:bCs/>
          <w:szCs w:val="28"/>
          <w:lang w:val="pl-PL" w:eastAsia="fr-FR"/>
        </w:rPr>
        <w:t>(§§ 16</w:t>
      </w:r>
      <w:r w:rsidRPr="0051003F">
        <w:rPr>
          <w:rFonts w:asciiTheme="majorHAnsi" w:eastAsiaTheme="majorEastAsia" w:hAnsiTheme="majorHAnsi" w:cstheme="majorBidi"/>
          <w:b/>
          <w:bCs/>
          <w:szCs w:val="28"/>
          <w:lang w:val="pl-PL" w:eastAsia="fr-FR"/>
        </w:rPr>
        <w:noBreakHyphen/>
        <w:t>32)</w:t>
      </w:r>
      <w:bookmarkEnd w:id="220"/>
      <w:bookmarkEnd w:id="221"/>
    </w:p>
    <w:p w:rsidR="008E0858" w:rsidRPr="0051003F" w:rsidRDefault="008E0858" w:rsidP="008E0858">
      <w:pPr>
        <w:keepNext/>
        <w:keepLines/>
        <w:tabs>
          <w:tab w:val="left" w:pos="584"/>
        </w:tabs>
        <w:spacing w:before="360" w:after="240"/>
        <w:ind w:left="635" w:hanging="357"/>
        <w:outlineLvl w:val="2"/>
        <w:rPr>
          <w:rFonts w:asciiTheme="majorHAnsi" w:eastAsiaTheme="majorEastAsia" w:hAnsiTheme="majorHAnsi" w:cstheme="majorBidi"/>
          <w:b/>
          <w:bCs/>
          <w:szCs w:val="26"/>
          <w:lang w:val="pl-PL" w:eastAsia="fr-FR"/>
        </w:rPr>
      </w:pPr>
      <w:bookmarkStart w:id="222" w:name="_Toc473801927"/>
      <w:bookmarkStart w:id="223" w:name="_Toc473802180"/>
      <w:r w:rsidRPr="0051003F">
        <w:rPr>
          <w:rFonts w:asciiTheme="majorHAnsi" w:eastAsiaTheme="majorEastAsia" w:hAnsiTheme="majorHAnsi" w:cstheme="majorBidi"/>
          <w:b/>
          <w:bCs/>
          <w:szCs w:val="26"/>
          <w:lang w:val="pl-PL" w:eastAsia="fr-FR"/>
        </w:rPr>
        <w:t xml:space="preserve">A.  Wykroczenia administracyjne </w:t>
      </w:r>
      <w:r w:rsidR="00CD1449" w:rsidRPr="0051003F">
        <w:rPr>
          <w:rFonts w:asciiTheme="majorHAnsi" w:eastAsiaTheme="majorEastAsia" w:hAnsiTheme="majorHAnsi" w:cstheme="majorBidi"/>
          <w:b/>
          <w:bCs/>
          <w:szCs w:val="26"/>
          <w:lang w:val="pl-PL" w:eastAsia="fr-FR"/>
        </w:rPr>
        <w:t>i</w:t>
      </w:r>
      <w:r w:rsidRPr="0051003F">
        <w:rPr>
          <w:rFonts w:asciiTheme="majorHAnsi" w:eastAsiaTheme="majorEastAsia" w:hAnsiTheme="majorHAnsi" w:cstheme="majorBidi"/>
          <w:b/>
          <w:bCs/>
          <w:szCs w:val="26"/>
          <w:lang w:val="pl-PL" w:eastAsia="fr-FR"/>
        </w:rPr>
        <w:t xml:space="preserve"> polityka karna </w:t>
      </w:r>
      <w:r w:rsidRPr="0051003F">
        <w:rPr>
          <w:rFonts w:asciiTheme="majorHAnsi" w:eastAsiaTheme="majorEastAsia" w:hAnsiTheme="majorHAnsi" w:cstheme="majorBidi"/>
          <w:b/>
          <w:bCs/>
          <w:i/>
          <w:szCs w:val="26"/>
          <w:lang w:val="pl-PL" w:eastAsia="fr-FR"/>
        </w:rPr>
        <w:t xml:space="preserve">à </w:t>
      </w:r>
      <w:proofErr w:type="spellStart"/>
      <w:r w:rsidRPr="0051003F">
        <w:rPr>
          <w:rFonts w:asciiTheme="majorHAnsi" w:eastAsiaTheme="majorEastAsia" w:hAnsiTheme="majorHAnsi" w:cstheme="majorBidi"/>
          <w:b/>
          <w:bCs/>
          <w:i/>
          <w:szCs w:val="26"/>
          <w:lang w:val="pl-PL" w:eastAsia="fr-FR"/>
        </w:rPr>
        <w:t>deux</w:t>
      </w:r>
      <w:proofErr w:type="spellEnd"/>
      <w:r w:rsidRPr="0051003F">
        <w:rPr>
          <w:rFonts w:asciiTheme="majorHAnsi" w:eastAsiaTheme="majorEastAsia" w:hAnsiTheme="majorHAnsi" w:cstheme="majorBidi"/>
          <w:b/>
          <w:bCs/>
          <w:i/>
          <w:szCs w:val="26"/>
          <w:lang w:val="pl-PL" w:eastAsia="fr-FR"/>
        </w:rPr>
        <w:t xml:space="preserve"> </w:t>
      </w:r>
      <w:proofErr w:type="spellStart"/>
      <w:r w:rsidRPr="0051003F">
        <w:rPr>
          <w:rFonts w:asciiTheme="majorHAnsi" w:eastAsiaTheme="majorEastAsia" w:hAnsiTheme="majorHAnsi" w:cstheme="majorBidi"/>
          <w:b/>
          <w:bCs/>
          <w:i/>
          <w:szCs w:val="26"/>
          <w:lang w:val="pl-PL" w:eastAsia="fr-FR"/>
        </w:rPr>
        <w:t>vitesses</w:t>
      </w:r>
      <w:proofErr w:type="spellEnd"/>
      <w:r w:rsidRPr="0051003F">
        <w:rPr>
          <w:rFonts w:asciiTheme="majorHAnsi" w:eastAsiaTheme="majorEastAsia" w:hAnsiTheme="majorHAnsi" w:cstheme="majorBidi"/>
          <w:b/>
          <w:bCs/>
          <w:i/>
          <w:szCs w:val="26"/>
          <w:lang w:val="pl-PL" w:eastAsia="fr-FR"/>
        </w:rPr>
        <w:t xml:space="preserve"> </w:t>
      </w:r>
      <w:r w:rsidRPr="0051003F">
        <w:rPr>
          <w:rFonts w:asciiTheme="majorHAnsi" w:eastAsiaTheme="majorEastAsia" w:hAnsiTheme="majorHAnsi" w:cstheme="majorBidi"/>
          <w:b/>
          <w:bCs/>
          <w:szCs w:val="26"/>
          <w:lang w:val="pl-PL" w:eastAsia="fr-FR"/>
        </w:rPr>
        <w:t>(§§ 16</w:t>
      </w:r>
      <w:r w:rsidRPr="0051003F">
        <w:rPr>
          <w:rFonts w:asciiTheme="majorHAnsi" w:eastAsiaTheme="majorEastAsia" w:hAnsiTheme="majorHAnsi" w:cstheme="majorBidi"/>
          <w:b/>
          <w:bCs/>
          <w:szCs w:val="26"/>
          <w:lang w:val="pl-PL" w:eastAsia="fr-FR"/>
        </w:rPr>
        <w:noBreakHyphen/>
        <w:t>22)</w:t>
      </w:r>
      <w:bookmarkEnd w:id="222"/>
      <w:bookmarkEnd w:id="223"/>
    </w:p>
    <w:p w:rsidR="008E0858" w:rsidRPr="0051003F" w:rsidRDefault="008E0858" w:rsidP="008E0858">
      <w:pPr>
        <w:keepNext/>
        <w:keepLines/>
        <w:tabs>
          <w:tab w:val="left" w:pos="731"/>
        </w:tabs>
        <w:spacing w:before="240" w:after="120"/>
        <w:ind w:left="833" w:hanging="357"/>
        <w:outlineLvl w:val="3"/>
        <w:rPr>
          <w:rFonts w:asciiTheme="majorHAnsi" w:eastAsiaTheme="majorEastAsia" w:hAnsiTheme="majorHAnsi" w:cstheme="majorBidi"/>
          <w:b/>
          <w:bCs/>
          <w:sz w:val="20"/>
          <w:lang w:val="pl-PL" w:eastAsia="fr-FR"/>
        </w:rPr>
      </w:pPr>
      <w:bookmarkStart w:id="224" w:name="_Toc473801928"/>
      <w:bookmarkStart w:id="225" w:name="_Toc473802181"/>
      <w:r w:rsidRPr="0051003F">
        <w:rPr>
          <w:rFonts w:asciiTheme="majorHAnsi" w:eastAsiaTheme="majorEastAsia" w:hAnsiTheme="majorHAnsi" w:cstheme="majorBidi"/>
          <w:b/>
          <w:bCs/>
          <w:sz w:val="20"/>
          <w:lang w:val="pl-PL" w:eastAsia="fr-FR"/>
        </w:rPr>
        <w:t>a.  Polityczna tendencja w kierunku dekryminalizacji (§§ 16</w:t>
      </w:r>
      <w:r w:rsidRPr="0051003F">
        <w:rPr>
          <w:rFonts w:asciiTheme="majorHAnsi" w:eastAsiaTheme="majorEastAsia" w:hAnsiTheme="majorHAnsi" w:cstheme="majorBidi"/>
          <w:b/>
          <w:bCs/>
          <w:sz w:val="20"/>
          <w:lang w:val="pl-PL" w:eastAsia="fr-FR"/>
        </w:rPr>
        <w:noBreakHyphen/>
        <w:t>17)</w:t>
      </w:r>
      <w:bookmarkEnd w:id="224"/>
      <w:bookmarkEnd w:id="225"/>
    </w:p>
    <w:p w:rsidR="008E0858" w:rsidRPr="0051003F" w:rsidRDefault="008E0858" w:rsidP="008E0858">
      <w:pPr>
        <w:ind w:firstLine="284"/>
        <w:rPr>
          <w:lang w:val="pl-PL"/>
        </w:rPr>
      </w:pPr>
      <w:r w:rsidRPr="0051003F">
        <w:rPr>
          <w:lang w:val="pl-PL"/>
        </w:rPr>
        <w:t>16.  Dekryminalizacja jest od lat sześćdziesiątych XX wieku bardzo pożądaną tendencją w prawie karnym w Europie</w:t>
      </w:r>
      <w:r w:rsidRPr="0051003F">
        <w:rPr>
          <w:vertAlign w:val="superscript"/>
          <w:lang w:val="pl-PL"/>
        </w:rPr>
        <w:footnoteReference w:id="60"/>
      </w:r>
      <w:r w:rsidRPr="0051003F">
        <w:rPr>
          <w:lang w:val="pl-PL"/>
        </w:rPr>
        <w:t xml:space="preserve">. Wykroczenia administracyjne stanowią racjonalny instrument polityki kryminalnej. Tendencję tę często charakteryzuje przenoszenie przestępstw o mniejszym stopniu wykroczeń społecznych, takich jak wykroczenia drogowe, do dziedziny prawa administracyjnego, gdzie gwarancje materialne i proceduralne nie są równorzędne z klasycznym prawem karnym i zwykłym postępowaniem karnym. Naruszenia administracyjne są często wymierzane na szeroką i otwartą skalę, a kary </w:t>
      </w:r>
      <w:r w:rsidR="009C7BB3" w:rsidRPr="0051003F">
        <w:rPr>
          <w:lang w:val="pl-PL"/>
        </w:rPr>
        <w:t>administracyjn</w:t>
      </w:r>
      <w:r w:rsidR="009C7BB3">
        <w:rPr>
          <w:lang w:val="pl-PL"/>
        </w:rPr>
        <w:t>e</w:t>
      </w:r>
      <w:r w:rsidR="009C7BB3" w:rsidRPr="0051003F">
        <w:rPr>
          <w:lang w:val="pl-PL"/>
        </w:rPr>
        <w:t xml:space="preserve"> </w:t>
      </w:r>
      <w:r w:rsidRPr="0051003F">
        <w:rPr>
          <w:lang w:val="pl-PL"/>
        </w:rPr>
        <w:t>(</w:t>
      </w:r>
      <w:proofErr w:type="spellStart"/>
      <w:r w:rsidRPr="0051003F">
        <w:rPr>
          <w:i/>
          <w:lang w:val="pl-PL"/>
        </w:rPr>
        <w:t>Geldbusse</w:t>
      </w:r>
      <w:proofErr w:type="spellEnd"/>
      <w:r w:rsidRPr="0051003F">
        <w:rPr>
          <w:lang w:val="pl-PL"/>
        </w:rPr>
        <w:t xml:space="preserve">) </w:t>
      </w:r>
      <w:r w:rsidR="009C7BB3">
        <w:rPr>
          <w:lang w:val="pl-PL"/>
        </w:rPr>
        <w:t>są</w:t>
      </w:r>
      <w:r w:rsidR="009C7BB3" w:rsidRPr="0051003F">
        <w:rPr>
          <w:lang w:val="pl-PL"/>
        </w:rPr>
        <w:t xml:space="preserve"> </w:t>
      </w:r>
      <w:r w:rsidRPr="0051003F">
        <w:rPr>
          <w:lang w:val="pl-PL"/>
        </w:rPr>
        <w:t xml:space="preserve">preferowaną formą sankcji. Pozbawienie wolności nie stanowi alternatywy dla kary grzywny, jak ma to miejsce w prawie karnym i nie można nakazać przymusowego pozbawienia wolności </w:t>
      </w:r>
      <w:r w:rsidRPr="0051003F">
        <w:rPr>
          <w:i/>
          <w:lang w:val="pl-PL"/>
        </w:rPr>
        <w:t>(</w:t>
      </w:r>
      <w:proofErr w:type="spellStart"/>
      <w:r w:rsidRPr="0051003F">
        <w:rPr>
          <w:i/>
          <w:lang w:val="pl-PL"/>
        </w:rPr>
        <w:t>Erzwingungshaft</w:t>
      </w:r>
      <w:proofErr w:type="spellEnd"/>
      <w:r w:rsidRPr="0051003F">
        <w:rPr>
          <w:lang w:val="pl-PL"/>
        </w:rPr>
        <w:t>), chyba</w:t>
      </w:r>
      <w:r w:rsidR="009C7BB3">
        <w:rPr>
          <w:lang w:val="pl-PL"/>
        </w:rPr>
        <w:t>,</w:t>
      </w:r>
      <w:r w:rsidRPr="0051003F">
        <w:rPr>
          <w:lang w:val="pl-PL"/>
        </w:rPr>
        <w:t xml:space="preserve"> że zainteresowany nie uiścił należnej kwoty bez udowodnienia swojej niezdolności do zapłaty. Kary administracyjne nie są wpisywane do krajowego rejestru skazanych, lecz jedynie w pewnych okolicznościach do rejestrów administracyjnych dla poszczególnych sektorów, takich jak rejestr wykroczeń drogowych. Zazwyczaj przestępstwa administracyjne są rozpatrywane w drodze uproszczonej procedury ścigania i karania przed organami administracyjnymi, z wyjątkiem przypadku późniejszego odwołania do sądu. W wielu przypadkach ściganie przestępstw i wykroczeń administracyjnych leży w gestii właściwych organów administracyjnych. Ogólne przepisy dotyczące postępowania karnego mają zasadniczo zastosowanie jedynie na zasadzie analogii. Krótsze terminy przedawnienia </w:t>
      </w:r>
      <w:r w:rsidRPr="0051003F">
        <w:rPr>
          <w:lang w:val="pl-PL"/>
        </w:rPr>
        <w:lastRenderedPageBreak/>
        <w:t xml:space="preserve">mają </w:t>
      </w:r>
      <w:r w:rsidR="0048251B">
        <w:rPr>
          <w:lang w:val="pl-PL"/>
        </w:rPr>
        <w:t xml:space="preserve">większe </w:t>
      </w:r>
      <w:r w:rsidRPr="0051003F">
        <w:rPr>
          <w:lang w:val="pl-PL"/>
        </w:rPr>
        <w:t>zastosowanie do naruszeń administracyjnych niż do przestępstw kryminalnych.</w:t>
      </w:r>
    </w:p>
    <w:p w:rsidR="008E0858" w:rsidRPr="0051003F" w:rsidRDefault="008E0858" w:rsidP="008E0858">
      <w:pPr>
        <w:ind w:firstLine="284"/>
        <w:rPr>
          <w:lang w:val="pl-PL"/>
        </w:rPr>
      </w:pPr>
      <w:r w:rsidRPr="0051003F">
        <w:rPr>
          <w:lang w:val="pl-PL"/>
        </w:rPr>
        <w:t>17.  Zacieranie się granicy między prawem karnym a prawem administracyjnym wiąże się z ryzykiem. Formy postępowania o wysokim stopniu zniewagi społecznej również podlegają prawu administracyjnemu, zwłaszcza</w:t>
      </w:r>
      <w:r w:rsidR="0048251B">
        <w:rPr>
          <w:lang w:val="pl-PL"/>
        </w:rPr>
        <w:t>,</w:t>
      </w:r>
      <w:r w:rsidRPr="0051003F">
        <w:rPr>
          <w:lang w:val="pl-PL"/>
        </w:rPr>
        <w:t xml:space="preserve"> gdy wiążą się one z masowym przetwarzaniem danych, takich jak prawo </w:t>
      </w:r>
      <w:r w:rsidR="00BC61A9" w:rsidRPr="0051003F">
        <w:rPr>
          <w:lang w:val="pl-PL"/>
        </w:rPr>
        <w:t>podatkowe</w:t>
      </w:r>
      <w:r w:rsidRPr="0051003F">
        <w:rPr>
          <w:lang w:val="pl-PL"/>
        </w:rPr>
        <w:t xml:space="preserve"> lub z wysoko wykwalifikowaną wiedzą specjalistyczną, taką jak prawo konkurencji</w:t>
      </w:r>
      <w:r w:rsidRPr="0051003F">
        <w:rPr>
          <w:vertAlign w:val="superscript"/>
          <w:lang w:val="pl-PL"/>
        </w:rPr>
        <w:footnoteReference w:id="61"/>
      </w:r>
      <w:r w:rsidRPr="0051003F">
        <w:rPr>
          <w:lang w:val="pl-PL"/>
        </w:rPr>
        <w:t xml:space="preserve"> czy prawo papierów wartościowych lub prawo giełdowe</w:t>
      </w:r>
      <w:r w:rsidRPr="0051003F">
        <w:rPr>
          <w:vertAlign w:val="superscript"/>
          <w:lang w:val="pl-PL"/>
        </w:rPr>
        <w:footnoteReference w:id="62"/>
      </w:r>
      <w:r w:rsidRPr="0051003F">
        <w:rPr>
          <w:lang w:val="pl-PL"/>
        </w:rPr>
        <w:t>.</w:t>
      </w:r>
    </w:p>
    <w:p w:rsidR="008E0858" w:rsidRPr="0051003F" w:rsidRDefault="008E0858" w:rsidP="008E0858">
      <w:pPr>
        <w:keepNext/>
        <w:keepLines/>
        <w:tabs>
          <w:tab w:val="left" w:pos="731"/>
        </w:tabs>
        <w:spacing w:before="240" w:after="120"/>
        <w:ind w:left="833" w:hanging="357"/>
        <w:outlineLvl w:val="3"/>
        <w:rPr>
          <w:rFonts w:asciiTheme="majorHAnsi" w:eastAsiaTheme="majorEastAsia" w:hAnsiTheme="majorHAnsi" w:cstheme="majorBidi"/>
          <w:b/>
          <w:bCs/>
          <w:sz w:val="20"/>
          <w:lang w:val="pl-PL" w:eastAsia="fr-FR"/>
        </w:rPr>
      </w:pPr>
      <w:bookmarkStart w:id="226" w:name="_Toc473801929"/>
      <w:bookmarkStart w:id="227" w:name="_Toc473802182"/>
      <w:r w:rsidRPr="0051003F">
        <w:rPr>
          <w:rFonts w:asciiTheme="majorHAnsi" w:eastAsiaTheme="majorEastAsia" w:hAnsiTheme="majorHAnsi" w:cstheme="majorBidi"/>
          <w:b/>
          <w:bCs/>
          <w:sz w:val="20"/>
          <w:lang w:val="pl-PL" w:eastAsia="fr-FR"/>
        </w:rPr>
        <w:t>b.  </w:t>
      </w:r>
      <w:proofErr w:type="spellStart"/>
      <w:r w:rsidRPr="0051003F">
        <w:rPr>
          <w:rFonts w:asciiTheme="majorHAnsi" w:eastAsiaTheme="majorEastAsia" w:hAnsiTheme="majorHAnsi" w:cstheme="majorBidi"/>
          <w:b/>
          <w:bCs/>
          <w:i/>
          <w:sz w:val="20"/>
          <w:lang w:val="pl-PL" w:eastAsia="fr-FR"/>
        </w:rPr>
        <w:t>Öztürk</w:t>
      </w:r>
      <w:proofErr w:type="spellEnd"/>
      <w:r w:rsidRPr="0051003F">
        <w:rPr>
          <w:rFonts w:asciiTheme="majorHAnsi" w:eastAsiaTheme="majorEastAsia" w:hAnsiTheme="majorHAnsi" w:cstheme="majorBidi"/>
          <w:b/>
          <w:bCs/>
          <w:i/>
          <w:sz w:val="20"/>
          <w:lang w:val="pl-PL" w:eastAsia="fr-FR"/>
        </w:rPr>
        <w:t xml:space="preserve"> </w:t>
      </w:r>
      <w:r w:rsidRPr="0051003F">
        <w:rPr>
          <w:rFonts w:asciiTheme="majorHAnsi" w:eastAsiaTheme="majorEastAsia" w:hAnsiTheme="majorHAnsi" w:cstheme="majorBidi"/>
          <w:b/>
          <w:bCs/>
          <w:sz w:val="20"/>
          <w:lang w:val="pl-PL" w:eastAsia="fr-FR"/>
        </w:rPr>
        <w:t xml:space="preserve">i </w:t>
      </w:r>
      <w:r w:rsidR="00761535">
        <w:rPr>
          <w:rFonts w:asciiTheme="majorHAnsi" w:eastAsiaTheme="majorEastAsia" w:hAnsiTheme="majorHAnsi" w:cstheme="majorBidi"/>
          <w:b/>
          <w:bCs/>
          <w:sz w:val="20"/>
          <w:lang w:val="pl-PL" w:eastAsia="fr-FR"/>
        </w:rPr>
        <w:t>,,</w:t>
      </w:r>
      <w:r w:rsidRPr="0051003F">
        <w:rPr>
          <w:rFonts w:asciiTheme="majorHAnsi" w:eastAsiaTheme="majorEastAsia" w:hAnsiTheme="majorHAnsi" w:cstheme="majorBidi"/>
          <w:b/>
          <w:bCs/>
          <w:sz w:val="20"/>
          <w:lang w:val="pl-PL" w:eastAsia="fr-FR"/>
        </w:rPr>
        <w:t>kryminalizacja” drobnych przestępstw (§§ 18</w:t>
      </w:r>
      <w:r w:rsidRPr="0051003F">
        <w:rPr>
          <w:rFonts w:asciiTheme="majorHAnsi" w:eastAsiaTheme="majorEastAsia" w:hAnsiTheme="majorHAnsi" w:cstheme="majorBidi"/>
          <w:b/>
          <w:bCs/>
          <w:sz w:val="20"/>
          <w:lang w:val="pl-PL" w:eastAsia="fr-FR"/>
        </w:rPr>
        <w:noBreakHyphen/>
        <w:t>22)</w:t>
      </w:r>
      <w:bookmarkEnd w:id="226"/>
      <w:bookmarkEnd w:id="227"/>
    </w:p>
    <w:p w:rsidR="00CF50A2" w:rsidRPr="0051003F" w:rsidRDefault="00CF50A2" w:rsidP="00CF50A2">
      <w:pPr>
        <w:ind w:firstLine="284"/>
        <w:rPr>
          <w:lang w:val="pl-PL"/>
        </w:rPr>
      </w:pPr>
      <w:r w:rsidRPr="0051003F">
        <w:rPr>
          <w:lang w:val="pl-PL"/>
        </w:rPr>
        <w:t xml:space="preserve">Zgodnie z utrwalonym od dawna orzecznictwem Trybunału wykroczenia administracyjne również podlegają kontroli Trybunału w odniesieniu do gwarancji określonych w art. 6. Na podstawie kryteriów </w:t>
      </w:r>
      <w:proofErr w:type="spellStart"/>
      <w:r w:rsidRPr="0051003F">
        <w:rPr>
          <w:i/>
          <w:lang w:val="pl-PL"/>
        </w:rPr>
        <w:t>Engel</w:t>
      </w:r>
      <w:proofErr w:type="spellEnd"/>
      <w:r w:rsidRPr="0051003F">
        <w:rPr>
          <w:lang w:val="pl-PL"/>
        </w:rPr>
        <w:t xml:space="preserve"> </w:t>
      </w:r>
      <w:r w:rsidRPr="0051003F">
        <w:rPr>
          <w:vertAlign w:val="superscript"/>
          <w:lang w:val="pl-PL"/>
        </w:rPr>
        <w:footnoteReference w:id="63"/>
      </w:r>
      <w:r w:rsidRPr="0051003F">
        <w:rPr>
          <w:lang w:val="pl-PL"/>
        </w:rPr>
        <w:t>, Trybunał wielokrotnie potwierdzał, że czyn zagrożony karą administracyjną musi korzystać z gwarancji proceduralnych przewidzianych w art. 6, niezależnie od osobistego lub zbiorowego charakteru interesów prawnych chronionych przez naruszoną normę</w:t>
      </w:r>
      <w:r w:rsidRPr="0051003F">
        <w:rPr>
          <w:vertAlign w:val="superscript"/>
          <w:lang w:val="pl-PL"/>
        </w:rPr>
        <w:footnoteReference w:id="64"/>
      </w:r>
      <w:r w:rsidRPr="0051003F">
        <w:rPr>
          <w:lang w:val="pl-PL"/>
        </w:rPr>
        <w:t>, względny brak powagi kary</w:t>
      </w:r>
      <w:r w:rsidRPr="0051003F">
        <w:rPr>
          <w:vertAlign w:val="superscript"/>
          <w:lang w:val="pl-PL"/>
        </w:rPr>
        <w:footnoteReference w:id="65"/>
      </w:r>
      <w:r w:rsidRPr="0051003F">
        <w:rPr>
          <w:lang w:val="pl-PL"/>
        </w:rPr>
        <w:t xml:space="preserve"> a także fakt, że kara nie zaszkodzi reputacji sprawcy</w:t>
      </w:r>
      <w:r w:rsidRPr="0051003F">
        <w:rPr>
          <w:vertAlign w:val="superscript"/>
          <w:lang w:val="pl-PL"/>
        </w:rPr>
        <w:footnoteReference w:id="66"/>
      </w:r>
      <w:r w:rsidRPr="0051003F">
        <w:rPr>
          <w:lang w:val="pl-PL"/>
        </w:rPr>
        <w:t>. W przeciwnym razie takie pozbawienie gwarancji proceduralnych byłoby sprzeczne z celem art. 6</w:t>
      </w:r>
      <w:r w:rsidRPr="0051003F">
        <w:rPr>
          <w:vertAlign w:val="superscript"/>
          <w:lang w:val="pl-PL"/>
        </w:rPr>
        <w:footnoteReference w:id="67"/>
      </w:r>
      <w:r w:rsidRPr="0051003F">
        <w:rPr>
          <w:lang w:val="pl-PL"/>
        </w:rPr>
        <w:t>.</w:t>
      </w:r>
    </w:p>
    <w:p w:rsidR="001C1232" w:rsidRPr="0051003F" w:rsidRDefault="001C1232" w:rsidP="00A7252F">
      <w:pPr>
        <w:ind w:firstLine="284"/>
        <w:rPr>
          <w:lang w:val="pl-PL"/>
        </w:rPr>
      </w:pPr>
      <w:r w:rsidRPr="0051003F">
        <w:rPr>
          <w:lang w:val="pl-PL"/>
        </w:rPr>
        <w:t>19.  </w:t>
      </w:r>
      <w:r w:rsidR="00584A5C" w:rsidRPr="0051003F">
        <w:rPr>
          <w:lang w:val="pl-PL"/>
        </w:rPr>
        <w:t xml:space="preserve">W sprawie </w:t>
      </w:r>
      <w:proofErr w:type="spellStart"/>
      <w:r w:rsidR="00584A5C" w:rsidRPr="0051003F">
        <w:rPr>
          <w:i/>
          <w:lang w:val="pl-PL"/>
        </w:rPr>
        <w:t>Öztürk</w:t>
      </w:r>
      <w:proofErr w:type="spellEnd"/>
      <w:r w:rsidR="00584A5C" w:rsidRPr="0051003F">
        <w:rPr>
          <w:vertAlign w:val="superscript"/>
          <w:lang w:val="pl-PL"/>
        </w:rPr>
        <w:footnoteReference w:id="68"/>
      </w:r>
      <w:r w:rsidR="00584A5C" w:rsidRPr="0051003F">
        <w:rPr>
          <w:lang w:val="pl-PL"/>
        </w:rPr>
        <w:t xml:space="preserve"> Trybunał oparł się na trzech zasadniczych argumentach przemawiających przeciwko fali dekryminalizacji i poparł stanowisko, zgodnie z którym dane przestępstwo administracyjne, będące przestępstwem drogowym, jest </w:t>
      </w:r>
      <w:r w:rsidR="00761535">
        <w:rPr>
          <w:lang w:val="pl-PL"/>
        </w:rPr>
        <w:t>,,</w:t>
      </w:r>
      <w:r w:rsidR="00584A5C" w:rsidRPr="0051003F">
        <w:rPr>
          <w:lang w:val="pl-PL"/>
        </w:rPr>
        <w:t xml:space="preserve">przestępstwem" w rozumieniu art. 6: zwykłe znaczenie pojęć, karalność czynów naruszających prawo karne w </w:t>
      </w:r>
      <w:r w:rsidR="00761535">
        <w:rPr>
          <w:lang w:val="pl-PL"/>
        </w:rPr>
        <w:t>,,</w:t>
      </w:r>
      <w:r w:rsidR="00584A5C" w:rsidRPr="0051003F">
        <w:rPr>
          <w:lang w:val="pl-PL"/>
        </w:rPr>
        <w:t xml:space="preserve">zdecydowanej większości </w:t>
      </w:r>
      <w:r w:rsidR="00761535">
        <w:rPr>
          <w:lang w:val="pl-PL"/>
        </w:rPr>
        <w:t>U</w:t>
      </w:r>
      <w:r w:rsidR="00584A5C" w:rsidRPr="0051003F">
        <w:rPr>
          <w:lang w:val="pl-PL"/>
        </w:rPr>
        <w:t xml:space="preserve">kładających się </w:t>
      </w:r>
      <w:r w:rsidR="00761535">
        <w:rPr>
          <w:lang w:val="pl-PL"/>
        </w:rPr>
        <w:t>P</w:t>
      </w:r>
      <w:r w:rsidR="00584A5C" w:rsidRPr="0051003F">
        <w:rPr>
          <w:lang w:val="pl-PL"/>
        </w:rPr>
        <w:t xml:space="preserve">aństw" oraz ogólny zakres </w:t>
      </w:r>
      <w:r w:rsidR="00584A5C" w:rsidRPr="0051003F">
        <w:rPr>
          <w:lang w:val="pl-PL"/>
        </w:rPr>
        <w:lastRenderedPageBreak/>
        <w:t>naruszonej normy - przepis ustawy o ruchu drogowym</w:t>
      </w:r>
      <w:r w:rsidR="00584A5C" w:rsidRPr="0051003F">
        <w:rPr>
          <w:vertAlign w:val="superscript"/>
          <w:lang w:val="pl-PL"/>
        </w:rPr>
        <w:footnoteReference w:id="69"/>
      </w:r>
      <w:r w:rsidR="00584A5C" w:rsidRPr="0051003F">
        <w:rPr>
          <w:lang w:val="pl-PL"/>
        </w:rPr>
        <w:t xml:space="preserve">. Przy bliższej analizie żaden z tych argumentów nie jest przekonujący. Trudno jest ustalić granicę podziału między przestępstwami administracyjnymi i karnymi na podstawie </w:t>
      </w:r>
      <w:r w:rsidR="00852DA1">
        <w:rPr>
          <w:lang w:val="pl-PL"/>
        </w:rPr>
        <w:t>,,</w:t>
      </w:r>
      <w:r w:rsidR="00584A5C" w:rsidRPr="0051003F">
        <w:rPr>
          <w:lang w:val="pl-PL"/>
        </w:rPr>
        <w:t xml:space="preserve">zwykłego znaczenia pojęć", niezależnie od tego, co dla Trybunału oznacza. Co więcej, choć prawdą jest, że konsensus europejski jest z pewnością decydującym kryterium kryminalizacji </w:t>
      </w:r>
      <w:proofErr w:type="spellStart"/>
      <w:r w:rsidR="00584A5C" w:rsidRPr="0051003F">
        <w:rPr>
          <w:lang w:val="pl-PL"/>
        </w:rPr>
        <w:t>zachowań</w:t>
      </w:r>
      <w:proofErr w:type="spellEnd"/>
      <w:r w:rsidR="00584A5C" w:rsidRPr="0051003F">
        <w:rPr>
          <w:lang w:val="pl-PL"/>
        </w:rPr>
        <w:t xml:space="preserve"> o wysokim stopniu </w:t>
      </w:r>
      <w:r w:rsidR="00852DA1">
        <w:rPr>
          <w:lang w:val="pl-PL"/>
        </w:rPr>
        <w:t>społecznej szkodliwości</w:t>
      </w:r>
      <w:r w:rsidR="00584A5C" w:rsidRPr="0051003F">
        <w:rPr>
          <w:lang w:val="pl-PL"/>
        </w:rPr>
        <w:t xml:space="preserve">, trudno jest zrozumieć, dlaczego Trybunał, opierając się na konsensusie europejskim, ma argumentować przeciwko dekryminalizacji drobnych przestępstw, co jest przejawem dążenia do czerpania korzyści nie tylko przez jednostkę, która nie byłaby już odpowiedzialna karnie za swoje postępowanie i mogłaby nawet uniknąć postępowania sądowego, ale także przez jednostkę, która nie byłaby już odpowiedzialna karnie za swoje postępowanie. Przede wszystkim Sąd błędnie porównuje przestępstwa karne z normami o ogólnym zasięgu osobowym. </w:t>
      </w:r>
      <w:r w:rsidR="00E90C75">
        <w:rPr>
          <w:lang w:val="pl-PL"/>
        </w:rPr>
        <w:t xml:space="preserve">Zaskakuje, że w sposób </w:t>
      </w:r>
      <w:proofErr w:type="spellStart"/>
      <w:r w:rsidR="00E90C75">
        <w:rPr>
          <w:lang w:val="pl-PL"/>
        </w:rPr>
        <w:t>lekceważacy</w:t>
      </w:r>
      <w:proofErr w:type="spellEnd"/>
      <w:r w:rsidR="00584A5C" w:rsidRPr="0051003F">
        <w:rPr>
          <w:lang w:val="pl-PL"/>
        </w:rPr>
        <w:t xml:space="preserve"> wydaje się ignorować wieloletnią europejską tradycję przestępstw kryminalnych o ograniczonym zasięgu osobistym, a mianowicie normy mające zastosowanie do niektórych kategorii obywateli, które można odróżnić od siebie pod względem cech osobistych lub zawodowych (</w:t>
      </w:r>
      <w:proofErr w:type="spellStart"/>
      <w:r w:rsidR="00584A5C" w:rsidRPr="0051003F">
        <w:rPr>
          <w:i/>
          <w:lang w:val="pl-PL"/>
        </w:rPr>
        <w:t>Sonderdelikte</w:t>
      </w:r>
      <w:proofErr w:type="spellEnd"/>
      <w:r w:rsidR="00584A5C" w:rsidRPr="0051003F">
        <w:rPr>
          <w:i/>
          <w:lang w:val="pl-PL"/>
        </w:rPr>
        <w:t xml:space="preserve"> </w:t>
      </w:r>
      <w:r w:rsidR="00584A5C" w:rsidRPr="0051003F">
        <w:rPr>
          <w:lang w:val="pl-PL"/>
        </w:rPr>
        <w:t xml:space="preserve">lub </w:t>
      </w:r>
      <w:proofErr w:type="spellStart"/>
      <w:r w:rsidR="00584A5C" w:rsidRPr="0051003F">
        <w:rPr>
          <w:i/>
          <w:lang w:val="pl-PL"/>
        </w:rPr>
        <w:t>Pflichtendelikte</w:t>
      </w:r>
      <w:proofErr w:type="spellEnd"/>
      <w:r w:rsidR="00584A5C" w:rsidRPr="0051003F">
        <w:rPr>
          <w:lang w:val="pl-PL"/>
        </w:rPr>
        <w:t>)</w:t>
      </w:r>
      <w:r w:rsidR="00584A5C" w:rsidRPr="0051003F">
        <w:rPr>
          <w:vertAlign w:val="superscript"/>
          <w:lang w:val="pl-PL"/>
        </w:rPr>
        <w:footnoteReference w:id="70"/>
      </w:r>
      <w:r w:rsidR="00584A5C" w:rsidRPr="0051003F">
        <w:rPr>
          <w:lang w:val="pl-PL"/>
        </w:rPr>
        <w:t>. Przestępstwa kryminalne i normy o ograniczonym podmiotowo zakresie nie są pojęciami wzajemnie się wykluczającymi</w:t>
      </w:r>
      <w:r w:rsidRPr="0051003F">
        <w:rPr>
          <w:lang w:val="pl-PL"/>
        </w:rPr>
        <w:t>.</w:t>
      </w:r>
    </w:p>
    <w:p w:rsidR="00584A5C" w:rsidRPr="0051003F" w:rsidRDefault="001C1232" w:rsidP="00584A5C">
      <w:pPr>
        <w:ind w:firstLine="284"/>
        <w:rPr>
          <w:lang w:val="pl-PL"/>
        </w:rPr>
      </w:pPr>
      <w:r w:rsidRPr="0051003F">
        <w:rPr>
          <w:lang w:val="pl-PL"/>
        </w:rPr>
        <w:t>20.  </w:t>
      </w:r>
      <w:r w:rsidR="00584A5C" w:rsidRPr="0051003F">
        <w:rPr>
          <w:lang w:val="pl-PL"/>
        </w:rPr>
        <w:t xml:space="preserve">Chociaż dekryminalizacja nie stanowi problemu z punktu widzenia gwarancji przewidzianych w art. 6 i 7 </w:t>
      </w:r>
      <w:r w:rsidR="006B28E7">
        <w:rPr>
          <w:lang w:val="pl-PL"/>
        </w:rPr>
        <w:t>K</w:t>
      </w:r>
      <w:r w:rsidR="00584A5C" w:rsidRPr="0051003F">
        <w:rPr>
          <w:lang w:val="pl-PL"/>
        </w:rPr>
        <w:t xml:space="preserve">onwencji i art. 4 </w:t>
      </w:r>
      <w:r w:rsidR="006B28E7">
        <w:rPr>
          <w:lang w:val="pl-PL"/>
        </w:rPr>
        <w:t>P</w:t>
      </w:r>
      <w:r w:rsidR="00584A5C" w:rsidRPr="0051003F">
        <w:rPr>
          <w:lang w:val="pl-PL"/>
        </w:rPr>
        <w:t xml:space="preserve">rotokołu nr 7, to jednak dekryminalizacja odnosi się do drobnych kar administracyjnych, które w mniejszym stopniu wymierzają karę za czyny społecznie </w:t>
      </w:r>
      <w:r w:rsidR="006B28E7">
        <w:rPr>
          <w:lang w:val="pl-PL"/>
        </w:rPr>
        <w:t>szkodliwe</w:t>
      </w:r>
      <w:r w:rsidR="00584A5C" w:rsidRPr="0051003F">
        <w:rPr>
          <w:vertAlign w:val="superscript"/>
          <w:lang w:val="pl-PL"/>
        </w:rPr>
        <w:footnoteReference w:id="71"/>
      </w:r>
      <w:r w:rsidR="00584A5C" w:rsidRPr="0051003F">
        <w:rPr>
          <w:lang w:val="pl-PL"/>
        </w:rPr>
        <w:t>, podnosi bez wątpienia poważną kwestię poruszoną w tych artykułach, gdy dotyczy ona zachowania o większym stopniu społecznego przewinienia,</w:t>
      </w:r>
      <w:r w:rsidR="006B28E7">
        <w:rPr>
          <w:lang w:val="pl-PL"/>
        </w:rPr>
        <w:t xml:space="preserve"> </w:t>
      </w:r>
      <w:r w:rsidR="00584A5C" w:rsidRPr="0051003F">
        <w:rPr>
          <w:lang w:val="pl-PL"/>
        </w:rPr>
        <w:t xml:space="preserve">które dla celów politycznych zostało sprowadzone do sfery prawa administracyjnego. Dzieje się </w:t>
      </w:r>
      <w:r w:rsidR="00BC61A9" w:rsidRPr="0051003F">
        <w:rPr>
          <w:lang w:val="pl-PL"/>
        </w:rPr>
        <w:t>tak, tym bardziej</w:t>
      </w:r>
      <w:r w:rsidR="00584A5C" w:rsidRPr="0051003F">
        <w:rPr>
          <w:lang w:val="pl-PL"/>
        </w:rPr>
        <w:t xml:space="preserve"> </w:t>
      </w:r>
      <w:r w:rsidR="006B28E7">
        <w:rPr>
          <w:lang w:val="pl-PL"/>
        </w:rPr>
        <w:t>dlatego że</w:t>
      </w:r>
      <w:r w:rsidR="006B28E7" w:rsidRPr="0051003F">
        <w:rPr>
          <w:lang w:val="pl-PL"/>
        </w:rPr>
        <w:t xml:space="preserve"> </w:t>
      </w:r>
      <w:r w:rsidR="00584A5C" w:rsidRPr="0051003F">
        <w:rPr>
          <w:lang w:val="pl-PL"/>
        </w:rPr>
        <w:t xml:space="preserve">wykroczenia administracyjne, w tym te popełnione w sposób niedbały, podlegają karze astronomicznych rozmiarów, czasem nawet nieograniczonych kar finansowych, grzywien lub dopłat, często połączonych z zawieszeniem, ograniczeniem lub nawet cofnięciem niektórych praw, także praw zawodowych. Dla osób zgłaszających </w:t>
      </w:r>
      <w:r w:rsidR="00584A5C" w:rsidRPr="0051003F">
        <w:rPr>
          <w:lang w:val="pl-PL"/>
        </w:rPr>
        <w:lastRenderedPageBreak/>
        <w:t>przypadki naruszenia oraz innych osób współpracujących z organami sądowymi dostępne są specjalne systemy łagodzenia sankcji. Niektóre wykroczenia administracyjne nakładają nawet surowsze kary w przypadku recydywy. Ponadto postępowanie administracyjne może obejmować takie inwazyjne środki dochodzeniowe, jak przechwytywanie informacji i przeszukanie domu, które mogą ograniczać prywatność podejrzanego, podobnie jak w najpoważniejszym postępowaniu karnym.</w:t>
      </w:r>
    </w:p>
    <w:p w:rsidR="00584A5C" w:rsidRPr="0051003F" w:rsidRDefault="001C1232" w:rsidP="00584A5C">
      <w:pPr>
        <w:ind w:firstLine="284"/>
        <w:rPr>
          <w:lang w:val="pl-PL"/>
        </w:rPr>
      </w:pPr>
      <w:r w:rsidRPr="0051003F">
        <w:rPr>
          <w:lang w:val="pl-PL"/>
        </w:rPr>
        <w:t>21. </w:t>
      </w:r>
      <w:r w:rsidR="00584A5C" w:rsidRPr="0051003F">
        <w:rPr>
          <w:lang w:val="pl-PL"/>
        </w:rPr>
        <w:t xml:space="preserve">W rzeczywistości ta </w:t>
      </w:r>
      <w:proofErr w:type="spellStart"/>
      <w:r w:rsidR="00584A5C" w:rsidRPr="0051003F">
        <w:rPr>
          <w:i/>
          <w:lang w:val="pl-PL"/>
        </w:rPr>
        <w:t>droit</w:t>
      </w:r>
      <w:proofErr w:type="spellEnd"/>
      <w:r w:rsidR="00584A5C" w:rsidRPr="0051003F">
        <w:rPr>
          <w:i/>
          <w:lang w:val="pl-PL"/>
        </w:rPr>
        <w:t xml:space="preserve"> </w:t>
      </w:r>
      <w:proofErr w:type="spellStart"/>
      <w:r w:rsidR="00584A5C" w:rsidRPr="0051003F">
        <w:rPr>
          <w:i/>
          <w:lang w:val="pl-PL"/>
        </w:rPr>
        <w:t>pénal</w:t>
      </w:r>
      <w:proofErr w:type="spellEnd"/>
      <w:r w:rsidR="00584A5C" w:rsidRPr="0051003F">
        <w:rPr>
          <w:i/>
          <w:lang w:val="pl-PL"/>
        </w:rPr>
        <w:t xml:space="preserve"> à </w:t>
      </w:r>
      <w:proofErr w:type="spellStart"/>
      <w:r w:rsidR="00584A5C" w:rsidRPr="0051003F">
        <w:rPr>
          <w:i/>
          <w:lang w:val="pl-PL"/>
        </w:rPr>
        <w:t>deux</w:t>
      </w:r>
      <w:proofErr w:type="spellEnd"/>
      <w:r w:rsidR="00584A5C" w:rsidRPr="0051003F">
        <w:rPr>
          <w:i/>
          <w:lang w:val="pl-PL"/>
        </w:rPr>
        <w:t xml:space="preserve"> </w:t>
      </w:r>
      <w:proofErr w:type="spellStart"/>
      <w:r w:rsidR="00584A5C" w:rsidRPr="0051003F">
        <w:rPr>
          <w:i/>
          <w:lang w:val="pl-PL"/>
        </w:rPr>
        <w:t>vitesses</w:t>
      </w:r>
      <w:proofErr w:type="spellEnd"/>
      <w:r w:rsidR="00584A5C" w:rsidRPr="0051003F">
        <w:rPr>
          <w:lang w:val="pl-PL"/>
        </w:rPr>
        <w:t xml:space="preserve"> kryje w sobie szeroko zakrojoną politykę represyjną, której celem jest skuteczniejsze i surowsze karanie, przy mniejszych zabezpieczeniach materialnych i proceduralnych. W tym nowym kontekście przypominającym </w:t>
      </w:r>
      <w:r w:rsidR="00584A5C" w:rsidRPr="00486852">
        <w:rPr>
          <w:i/>
          <w:lang w:val="pl-PL"/>
        </w:rPr>
        <w:t>Lewiatan</w:t>
      </w:r>
      <w:r w:rsidR="00584A5C" w:rsidRPr="0051003F">
        <w:rPr>
          <w:lang w:val="pl-PL"/>
        </w:rPr>
        <w:t>, wykroczenia administracyjne nie są niczym innym jak tylko błędnym oznakowaniem surowej strategii karnej, a prawo administracyjne staje się skrótem pozwalającym obejść zwykłe gwarancje prawa karnego i procedury karnej</w:t>
      </w:r>
      <w:r w:rsidR="00584A5C" w:rsidRPr="0051003F">
        <w:rPr>
          <w:vertAlign w:val="superscript"/>
          <w:lang w:val="pl-PL"/>
        </w:rPr>
        <w:footnoteReference w:id="72"/>
      </w:r>
      <w:r w:rsidR="00584A5C" w:rsidRPr="0051003F">
        <w:rPr>
          <w:lang w:val="pl-PL"/>
        </w:rPr>
        <w:t>.</w:t>
      </w:r>
    </w:p>
    <w:p w:rsidR="001C1232" w:rsidRPr="0051003F" w:rsidRDefault="001C1232" w:rsidP="00A7252F">
      <w:pPr>
        <w:ind w:firstLine="284"/>
        <w:rPr>
          <w:lang w:val="pl-PL"/>
        </w:rPr>
      </w:pPr>
      <w:r w:rsidRPr="0051003F">
        <w:rPr>
          <w:lang w:val="pl-PL"/>
        </w:rPr>
        <w:t>22.  </w:t>
      </w:r>
      <w:r w:rsidR="00584A5C" w:rsidRPr="0051003F">
        <w:rPr>
          <w:lang w:val="pl-PL"/>
        </w:rPr>
        <w:t xml:space="preserve">Konwencja nie jest obojętna na tę politykę karną. Wręcz przeciwnie, nie pozostawia ona kwestii praw człowieka na taką skalę w gestii każdego państwa członkowskiego. </w:t>
      </w:r>
      <w:r w:rsidR="00BD26CD">
        <w:rPr>
          <w:lang w:val="pl-PL"/>
        </w:rPr>
        <w:t>Art.</w:t>
      </w:r>
      <w:r w:rsidR="00BD26CD" w:rsidRPr="0051003F">
        <w:rPr>
          <w:lang w:val="pl-PL"/>
        </w:rPr>
        <w:t xml:space="preserve"> </w:t>
      </w:r>
      <w:r w:rsidR="00584A5C" w:rsidRPr="0051003F">
        <w:rPr>
          <w:lang w:val="pl-PL"/>
        </w:rPr>
        <w:t xml:space="preserve">7 Konwencji i art. 4 Protokołu nr 7, które nie stanowią postanowień niepodlegających odstępstwom, nie daje państwom możliwości uznania. Definicja ograniczeń prawa karnego oraz stosowanie zasad legalności i </w:t>
      </w:r>
      <w:proofErr w:type="spellStart"/>
      <w:r w:rsidR="00584A5C" w:rsidRPr="0051003F">
        <w:rPr>
          <w:i/>
          <w:lang w:val="pl-PL"/>
        </w:rPr>
        <w:t>ne</w:t>
      </w:r>
      <w:proofErr w:type="spellEnd"/>
      <w:r w:rsidR="00584A5C" w:rsidRPr="0051003F">
        <w:rPr>
          <w:i/>
          <w:lang w:val="pl-PL"/>
        </w:rPr>
        <w:t xml:space="preserve"> bis in </w:t>
      </w:r>
      <w:proofErr w:type="spellStart"/>
      <w:r w:rsidR="00584A5C" w:rsidRPr="0051003F">
        <w:rPr>
          <w:i/>
          <w:lang w:val="pl-PL"/>
        </w:rPr>
        <w:t>idem</w:t>
      </w:r>
      <w:proofErr w:type="spellEnd"/>
      <w:r w:rsidR="00584A5C" w:rsidRPr="0051003F">
        <w:rPr>
          <w:lang w:val="pl-PL"/>
        </w:rPr>
        <w:t xml:space="preserve"> nie zależy od specyfiki każdego krajowego systemu prawnego. Wręcz przeciwnie, podlegają one ścisłemu nadzorowi europejskiemu sprawowanemu przez Trybunał, co zostanie przedstawione poniżej.</w:t>
      </w:r>
    </w:p>
    <w:p w:rsidR="00507696" w:rsidRPr="0051003F" w:rsidRDefault="001C1232" w:rsidP="00A7252F">
      <w:pPr>
        <w:keepNext/>
        <w:keepLines/>
        <w:tabs>
          <w:tab w:val="left" w:pos="584"/>
        </w:tabs>
        <w:spacing w:before="360" w:after="240"/>
        <w:ind w:left="635" w:hanging="357"/>
        <w:outlineLvl w:val="2"/>
        <w:rPr>
          <w:rFonts w:asciiTheme="majorHAnsi" w:eastAsiaTheme="majorEastAsia" w:hAnsiTheme="majorHAnsi" w:cstheme="majorBidi"/>
          <w:b/>
          <w:bCs/>
          <w:szCs w:val="26"/>
          <w:lang w:val="pl-PL" w:eastAsia="fr-FR"/>
        </w:rPr>
      </w:pPr>
      <w:bookmarkStart w:id="228" w:name="_Toc473801930"/>
      <w:bookmarkStart w:id="229" w:name="_Toc473802183"/>
      <w:r w:rsidRPr="0051003F">
        <w:rPr>
          <w:rFonts w:asciiTheme="majorHAnsi" w:eastAsiaTheme="majorEastAsia" w:hAnsiTheme="majorHAnsi" w:cstheme="majorBidi"/>
          <w:b/>
          <w:bCs/>
          <w:szCs w:val="26"/>
          <w:lang w:val="pl-PL" w:eastAsia="fr-FR"/>
        </w:rPr>
        <w:t>B.  </w:t>
      </w:r>
      <w:r w:rsidR="00584A5C" w:rsidRPr="0051003F">
        <w:rPr>
          <w:rFonts w:asciiTheme="majorHAnsi" w:eastAsiaTheme="majorEastAsia" w:hAnsiTheme="majorHAnsi" w:cstheme="majorBidi"/>
          <w:b/>
          <w:bCs/>
          <w:szCs w:val="26"/>
          <w:lang w:val="pl-PL" w:eastAsia="fr-FR"/>
        </w:rPr>
        <w:t xml:space="preserve">Sankcje podatkowe jako instrument polityki karnej </w:t>
      </w:r>
      <w:r w:rsidR="00EE0AC7" w:rsidRPr="0051003F">
        <w:rPr>
          <w:rFonts w:asciiTheme="majorHAnsi" w:eastAsiaTheme="majorEastAsia" w:hAnsiTheme="majorHAnsi" w:cstheme="majorBidi"/>
          <w:b/>
          <w:bCs/>
          <w:szCs w:val="26"/>
          <w:lang w:val="pl-PL" w:eastAsia="fr-FR"/>
        </w:rPr>
        <w:t>(§§ 23</w:t>
      </w:r>
      <w:r w:rsidR="00EE0AC7" w:rsidRPr="0051003F">
        <w:rPr>
          <w:rFonts w:asciiTheme="majorHAnsi" w:eastAsiaTheme="majorEastAsia" w:hAnsiTheme="majorHAnsi" w:cstheme="majorBidi"/>
          <w:b/>
          <w:bCs/>
          <w:szCs w:val="26"/>
          <w:lang w:val="pl-PL" w:eastAsia="fr-FR"/>
        </w:rPr>
        <w:noBreakHyphen/>
        <w:t>32)</w:t>
      </w:r>
      <w:bookmarkEnd w:id="228"/>
      <w:bookmarkEnd w:id="229"/>
    </w:p>
    <w:p w:rsidR="00507696" w:rsidRPr="0051003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val="pl-PL" w:eastAsia="fr-FR"/>
        </w:rPr>
      </w:pPr>
      <w:bookmarkStart w:id="230" w:name="_Toc473801931"/>
      <w:bookmarkStart w:id="231" w:name="_Toc473802184"/>
      <w:r w:rsidRPr="0051003F">
        <w:rPr>
          <w:rFonts w:asciiTheme="majorHAnsi" w:eastAsiaTheme="majorEastAsia" w:hAnsiTheme="majorHAnsi" w:cstheme="majorBidi"/>
          <w:b/>
          <w:bCs/>
          <w:sz w:val="20"/>
          <w:lang w:val="pl-PL" w:eastAsia="fr-FR"/>
        </w:rPr>
        <w:t>a.  </w:t>
      </w:r>
      <w:r w:rsidR="00584A5C" w:rsidRPr="0051003F">
        <w:rPr>
          <w:rFonts w:asciiTheme="majorHAnsi" w:eastAsiaTheme="majorEastAsia" w:hAnsiTheme="majorHAnsi" w:cstheme="majorBidi"/>
          <w:b/>
          <w:bCs/>
          <w:sz w:val="20"/>
          <w:lang w:val="pl-PL" w:eastAsia="fr-FR"/>
        </w:rPr>
        <w:t xml:space="preserve">Kryminalny charakter sankcji podatkowych </w:t>
      </w:r>
      <w:r w:rsidR="00EE0AC7" w:rsidRPr="0051003F">
        <w:rPr>
          <w:rFonts w:asciiTheme="majorHAnsi" w:eastAsiaTheme="majorEastAsia" w:hAnsiTheme="majorHAnsi" w:cstheme="majorBidi"/>
          <w:b/>
          <w:bCs/>
          <w:sz w:val="20"/>
          <w:lang w:val="pl-PL" w:eastAsia="fr-FR"/>
        </w:rPr>
        <w:t>(§§ 23</w:t>
      </w:r>
      <w:r w:rsidR="00EE0AC7" w:rsidRPr="0051003F">
        <w:rPr>
          <w:rFonts w:asciiTheme="majorHAnsi" w:eastAsiaTheme="majorEastAsia" w:hAnsiTheme="majorHAnsi" w:cstheme="majorBidi"/>
          <w:b/>
          <w:bCs/>
          <w:sz w:val="20"/>
          <w:lang w:val="pl-PL" w:eastAsia="fr-FR"/>
        </w:rPr>
        <w:noBreakHyphen/>
        <w:t>25)</w:t>
      </w:r>
      <w:bookmarkEnd w:id="230"/>
      <w:bookmarkEnd w:id="231"/>
    </w:p>
    <w:p w:rsidR="00584A5C" w:rsidRPr="0051003F" w:rsidRDefault="001C1232" w:rsidP="00584A5C">
      <w:pPr>
        <w:ind w:firstLine="284"/>
        <w:rPr>
          <w:lang w:val="pl-PL"/>
        </w:rPr>
      </w:pPr>
      <w:r w:rsidRPr="0051003F">
        <w:rPr>
          <w:lang w:val="pl-PL"/>
        </w:rPr>
        <w:t>23.  </w:t>
      </w:r>
      <w:r w:rsidR="00584A5C" w:rsidRPr="0051003F">
        <w:rPr>
          <w:lang w:val="pl-PL"/>
        </w:rPr>
        <w:t xml:space="preserve">Podobnie jak brzmienie art. 6 i 7 </w:t>
      </w:r>
      <w:r w:rsidR="00A75B38">
        <w:rPr>
          <w:lang w:val="pl-PL"/>
        </w:rPr>
        <w:t>K</w:t>
      </w:r>
      <w:r w:rsidR="00584A5C" w:rsidRPr="0051003F">
        <w:rPr>
          <w:lang w:val="pl-PL"/>
        </w:rPr>
        <w:t xml:space="preserve">onwencji, pojęcie „postępowania karnego" w art. 4 </w:t>
      </w:r>
      <w:r w:rsidR="00A75B38">
        <w:rPr>
          <w:lang w:val="pl-PL"/>
        </w:rPr>
        <w:t>P</w:t>
      </w:r>
      <w:r w:rsidR="00584A5C" w:rsidRPr="0051003F">
        <w:rPr>
          <w:lang w:val="pl-PL"/>
        </w:rPr>
        <w:t xml:space="preserve">rotokołu nr 7 należy interpretować w sposób autonomiczny. Ponadto, co do zasady, </w:t>
      </w:r>
      <w:r w:rsidR="00A75B38">
        <w:rPr>
          <w:lang w:val="pl-PL"/>
        </w:rPr>
        <w:t>K</w:t>
      </w:r>
      <w:r w:rsidR="00584A5C" w:rsidRPr="0051003F">
        <w:rPr>
          <w:lang w:val="pl-PL"/>
        </w:rPr>
        <w:t>onwencja i protokoły do niej powinny być rozumiane jako całość</w:t>
      </w:r>
      <w:r w:rsidR="00584A5C" w:rsidRPr="0051003F">
        <w:rPr>
          <w:vertAlign w:val="superscript"/>
          <w:lang w:val="pl-PL"/>
        </w:rPr>
        <w:footnoteReference w:id="73"/>
      </w:r>
      <w:r w:rsidR="00584A5C" w:rsidRPr="0051003F">
        <w:rPr>
          <w:lang w:val="pl-PL"/>
        </w:rPr>
        <w:t xml:space="preserve">.  W związku z tym art. 4 </w:t>
      </w:r>
      <w:r w:rsidR="00A75B38">
        <w:rPr>
          <w:lang w:val="pl-PL"/>
        </w:rPr>
        <w:t>P</w:t>
      </w:r>
      <w:r w:rsidR="00584A5C" w:rsidRPr="0051003F">
        <w:rPr>
          <w:lang w:val="pl-PL"/>
        </w:rPr>
        <w:t xml:space="preserve">rotokołu nr 7 należy interpretować w świetle ogólnych zasad dotyczących odpowiadających im słów </w:t>
      </w:r>
      <w:r w:rsidR="00A75B38">
        <w:rPr>
          <w:lang w:val="pl-PL"/>
        </w:rPr>
        <w:t>,,</w:t>
      </w:r>
      <w:r w:rsidR="00584A5C" w:rsidRPr="0051003F">
        <w:rPr>
          <w:lang w:val="pl-PL"/>
        </w:rPr>
        <w:t xml:space="preserve">zarzut karny" i </w:t>
      </w:r>
      <w:r w:rsidR="00A75B38">
        <w:rPr>
          <w:lang w:val="pl-PL"/>
        </w:rPr>
        <w:t>,,</w:t>
      </w:r>
      <w:r w:rsidR="00584A5C" w:rsidRPr="0051003F">
        <w:rPr>
          <w:lang w:val="pl-PL"/>
        </w:rPr>
        <w:t xml:space="preserve">kara" odpowiednio w art. 6 i 7 </w:t>
      </w:r>
      <w:r w:rsidR="00A75B38">
        <w:rPr>
          <w:lang w:val="pl-PL"/>
        </w:rPr>
        <w:t>K</w:t>
      </w:r>
      <w:r w:rsidR="00584A5C" w:rsidRPr="0051003F">
        <w:rPr>
          <w:lang w:val="pl-PL"/>
        </w:rPr>
        <w:t>onwencji</w:t>
      </w:r>
      <w:r w:rsidR="00584A5C" w:rsidRPr="0051003F">
        <w:rPr>
          <w:vertAlign w:val="superscript"/>
          <w:lang w:val="pl-PL"/>
        </w:rPr>
        <w:footnoteReference w:id="74"/>
      </w:r>
      <w:r w:rsidR="00584A5C" w:rsidRPr="0051003F">
        <w:rPr>
          <w:lang w:val="pl-PL"/>
        </w:rPr>
        <w:t xml:space="preserve">. Ponadto opis prawny procedury w prawie krajowym nie może </w:t>
      </w:r>
      <w:r w:rsidR="00584A5C" w:rsidRPr="0051003F">
        <w:rPr>
          <w:lang w:val="pl-PL"/>
        </w:rPr>
        <w:lastRenderedPageBreak/>
        <w:t xml:space="preserve">być jedynym kryterium mającym znaczenie dla stosowania zasady </w:t>
      </w:r>
      <w:proofErr w:type="spellStart"/>
      <w:r w:rsidR="00584A5C" w:rsidRPr="0051003F">
        <w:rPr>
          <w:i/>
          <w:lang w:val="pl-PL"/>
        </w:rPr>
        <w:t>ne</w:t>
      </w:r>
      <w:proofErr w:type="spellEnd"/>
      <w:r w:rsidR="00584A5C" w:rsidRPr="0051003F">
        <w:rPr>
          <w:i/>
          <w:lang w:val="pl-PL"/>
        </w:rPr>
        <w:t xml:space="preserve"> bis in </w:t>
      </w:r>
      <w:proofErr w:type="spellStart"/>
      <w:r w:rsidR="00584A5C" w:rsidRPr="0051003F">
        <w:rPr>
          <w:i/>
          <w:lang w:val="pl-PL"/>
        </w:rPr>
        <w:t>idem</w:t>
      </w:r>
      <w:proofErr w:type="spellEnd"/>
      <w:r w:rsidR="00584A5C" w:rsidRPr="0051003F">
        <w:rPr>
          <w:lang w:val="pl-PL"/>
        </w:rPr>
        <w:t xml:space="preserve"> zgodnie z art. 4 </w:t>
      </w:r>
      <w:r w:rsidR="00D57CDB">
        <w:rPr>
          <w:lang w:val="pl-PL"/>
        </w:rPr>
        <w:t>P</w:t>
      </w:r>
      <w:r w:rsidR="00584A5C" w:rsidRPr="0051003F">
        <w:rPr>
          <w:lang w:val="pl-PL"/>
        </w:rPr>
        <w:t xml:space="preserve">rotokołu nr 7. W przeciwnym razie zastosowanie tego postanowienia pozostawiono by uznaniu Umawiających się Państw w stopniu, który mógłby prowadzić do wyników niezgodnych z przedmiotem i celem </w:t>
      </w:r>
      <w:r w:rsidR="00D57CDB">
        <w:rPr>
          <w:lang w:val="pl-PL"/>
        </w:rPr>
        <w:t>K</w:t>
      </w:r>
      <w:r w:rsidR="00584A5C" w:rsidRPr="0051003F">
        <w:rPr>
          <w:lang w:val="pl-PL"/>
        </w:rPr>
        <w:t>onwencji. W celu uniknięcia tej dyskrecji mogą się zdarzyć przypadki, w których ani ostateczne uniewinnienie nie może mieć miejsca</w:t>
      </w:r>
      <w:r w:rsidR="00584A5C" w:rsidRPr="0051003F">
        <w:rPr>
          <w:vertAlign w:val="superscript"/>
          <w:lang w:val="pl-PL"/>
        </w:rPr>
        <w:footnoteReference w:id="75"/>
      </w:r>
      <w:r w:rsidR="00584A5C" w:rsidRPr="0051003F">
        <w:rPr>
          <w:lang w:val="pl-PL"/>
        </w:rPr>
        <w:t xml:space="preserve"> ani końcowe skazanie </w:t>
      </w:r>
      <w:r w:rsidR="00584A5C" w:rsidRPr="0051003F">
        <w:rPr>
          <w:vertAlign w:val="superscript"/>
          <w:lang w:val="pl-PL"/>
        </w:rPr>
        <w:footnoteReference w:id="76"/>
      </w:r>
      <w:r w:rsidR="00584A5C" w:rsidRPr="0051003F">
        <w:rPr>
          <w:lang w:val="pl-PL"/>
        </w:rPr>
        <w:t xml:space="preserve"> mogłoby zainicjować zastosowanie </w:t>
      </w:r>
      <w:proofErr w:type="spellStart"/>
      <w:r w:rsidR="00584A5C" w:rsidRPr="0051003F">
        <w:rPr>
          <w:i/>
          <w:lang w:val="pl-PL"/>
        </w:rPr>
        <w:t>ne</w:t>
      </w:r>
      <w:proofErr w:type="spellEnd"/>
      <w:r w:rsidR="00584A5C" w:rsidRPr="0051003F">
        <w:rPr>
          <w:i/>
          <w:lang w:val="pl-PL"/>
        </w:rPr>
        <w:t xml:space="preserve"> bis in </w:t>
      </w:r>
      <w:proofErr w:type="spellStart"/>
      <w:r w:rsidR="00584A5C" w:rsidRPr="0051003F">
        <w:rPr>
          <w:i/>
          <w:lang w:val="pl-PL"/>
        </w:rPr>
        <w:t>idem</w:t>
      </w:r>
      <w:proofErr w:type="spellEnd"/>
      <w:r w:rsidR="00584A5C" w:rsidRPr="0051003F">
        <w:rPr>
          <w:lang w:val="pl-PL"/>
        </w:rPr>
        <w:t>.</w:t>
      </w:r>
    </w:p>
    <w:p w:rsidR="00584A5C" w:rsidRPr="0051003F" w:rsidRDefault="001C1232" w:rsidP="00A7252F">
      <w:pPr>
        <w:ind w:firstLine="284"/>
        <w:rPr>
          <w:lang w:val="pl-PL"/>
        </w:rPr>
      </w:pPr>
      <w:r w:rsidRPr="0051003F">
        <w:rPr>
          <w:lang w:val="pl-PL"/>
        </w:rPr>
        <w:t>24.  </w:t>
      </w:r>
      <w:r w:rsidR="00584A5C" w:rsidRPr="0051003F">
        <w:rPr>
          <w:lang w:val="pl-PL"/>
        </w:rPr>
        <w:t xml:space="preserve">W niniejszej sprawie pierwsze postępowanie dotyczyło nałożenia kar podatkowych. W kontekście art. 6 </w:t>
      </w:r>
      <w:r w:rsidR="00251322">
        <w:rPr>
          <w:lang w:val="pl-PL"/>
        </w:rPr>
        <w:t>K</w:t>
      </w:r>
      <w:r w:rsidR="00584A5C" w:rsidRPr="0051003F">
        <w:rPr>
          <w:lang w:val="pl-PL"/>
        </w:rPr>
        <w:t xml:space="preserve">onwencji Trybunał wypowiedział się wyraźnie na temat kryminalnego charakteru kar podatkowych. W sprawie </w:t>
      </w:r>
      <w:proofErr w:type="spellStart"/>
      <w:r w:rsidR="00584A5C" w:rsidRPr="0051003F">
        <w:rPr>
          <w:i/>
          <w:lang w:val="pl-PL"/>
        </w:rPr>
        <w:t>Bendenoun</w:t>
      </w:r>
      <w:proofErr w:type="spellEnd"/>
      <w:r w:rsidR="00584A5C" w:rsidRPr="0051003F">
        <w:rPr>
          <w:vertAlign w:val="superscript"/>
          <w:lang w:val="pl-PL"/>
        </w:rPr>
        <w:footnoteReference w:id="77"/>
      </w:r>
      <w:r w:rsidR="00584A5C" w:rsidRPr="0051003F">
        <w:rPr>
          <w:lang w:val="pl-PL"/>
        </w:rPr>
        <w:t xml:space="preserve">, która dotyczyła </w:t>
      </w:r>
      <w:r w:rsidR="00255F20">
        <w:rPr>
          <w:lang w:val="pl-PL"/>
        </w:rPr>
        <w:t>wymierzania</w:t>
      </w:r>
      <w:r w:rsidR="00255F20" w:rsidRPr="0051003F">
        <w:rPr>
          <w:lang w:val="pl-PL"/>
        </w:rPr>
        <w:t xml:space="preserve"> </w:t>
      </w:r>
      <w:r w:rsidR="00584A5C" w:rsidRPr="0051003F">
        <w:rPr>
          <w:lang w:val="pl-PL"/>
        </w:rPr>
        <w:t xml:space="preserve">sankcji za uchylanie się od płacenia podatków, Sąd nie powołał się wyraźnie na kryteria </w:t>
      </w:r>
      <w:proofErr w:type="spellStart"/>
      <w:r w:rsidR="00584A5C" w:rsidRPr="0051003F">
        <w:rPr>
          <w:i/>
          <w:lang w:val="pl-PL"/>
        </w:rPr>
        <w:t>Engela</w:t>
      </w:r>
      <w:proofErr w:type="spellEnd"/>
      <w:r w:rsidR="00584A5C" w:rsidRPr="0051003F">
        <w:rPr>
          <w:lang w:val="pl-PL"/>
        </w:rPr>
        <w:t xml:space="preserve"> i wymienił cztery aspekty jako istotne dla zastosowania art. 6 w tej sprawie: ustawa określająca kary objęła wszystkich obywateli jako podatników, przedmiotowa dopłata nie miała stanowić zadośćuczynienia pieniężnego za szkody, lecz zasadniczo kara miała na celu zniechęcenie do ponownego popełniania przestępstw, została ona nałożona na podstawie ogólnej zasady, której celem była zarówno odstraszająca, jak i karna i to, że dopłata była znaczna. Trybunał uznał jednak, że </w:t>
      </w:r>
      <w:r w:rsidR="00255F20">
        <w:rPr>
          <w:lang w:val="pl-PL"/>
        </w:rPr>
        <w:t>U</w:t>
      </w:r>
      <w:r w:rsidR="00584A5C" w:rsidRPr="0051003F">
        <w:rPr>
          <w:lang w:val="pl-PL"/>
        </w:rPr>
        <w:t xml:space="preserve">mawiające się </w:t>
      </w:r>
      <w:r w:rsidR="00255F20">
        <w:rPr>
          <w:lang w:val="pl-PL"/>
        </w:rPr>
        <w:t>P</w:t>
      </w:r>
      <w:r w:rsidR="00584A5C" w:rsidRPr="0051003F">
        <w:rPr>
          <w:lang w:val="pl-PL"/>
        </w:rPr>
        <w:t xml:space="preserve">aństwa muszą mieć swobodę upoważniania organów podatkowych do nakładania sankcji, takich jak dopłaty podatkowe, nawet jeśli dotyczą one dużych kwot. System taki nie jest niezgodny z art. 6 ust. 1 tak długo, jak podatnik może wnieść taką decyzję dotyczącą go do organu sądowego posiadającego pełną jurysdykcję, w tym uprawnienie do uchylenia pod każdym względem zaskarżonego orzeczenia </w:t>
      </w:r>
      <w:r w:rsidR="005A27CC">
        <w:rPr>
          <w:lang w:val="pl-PL"/>
        </w:rPr>
        <w:t>z powodów</w:t>
      </w:r>
      <w:r w:rsidR="00584A5C" w:rsidRPr="0051003F">
        <w:rPr>
          <w:lang w:val="pl-PL"/>
        </w:rPr>
        <w:t xml:space="preserve"> faktycznych i prawnych</w:t>
      </w:r>
      <w:r w:rsidR="00584A5C" w:rsidRPr="0051003F">
        <w:rPr>
          <w:vertAlign w:val="superscript"/>
          <w:lang w:val="pl-PL"/>
        </w:rPr>
        <w:footnoteReference w:id="78"/>
      </w:r>
      <w:r w:rsidR="00584A5C" w:rsidRPr="0051003F">
        <w:rPr>
          <w:lang w:val="pl-PL"/>
        </w:rPr>
        <w:t>.</w:t>
      </w:r>
    </w:p>
    <w:p w:rsidR="00584A5C" w:rsidRPr="0051003F" w:rsidRDefault="001C1232" w:rsidP="00584A5C">
      <w:pPr>
        <w:ind w:firstLine="284"/>
        <w:rPr>
          <w:lang w:val="pl-PL"/>
        </w:rPr>
      </w:pPr>
      <w:r w:rsidRPr="0051003F">
        <w:rPr>
          <w:lang w:val="pl-PL"/>
        </w:rPr>
        <w:t>25.  </w:t>
      </w:r>
      <w:bookmarkStart w:id="232" w:name="_Toc473801932"/>
      <w:bookmarkStart w:id="233" w:name="_Toc473802185"/>
      <w:r w:rsidR="00584A5C" w:rsidRPr="0051003F">
        <w:rPr>
          <w:lang w:val="pl-PL"/>
        </w:rPr>
        <w:t xml:space="preserve">W sprawie </w:t>
      </w:r>
      <w:proofErr w:type="spellStart"/>
      <w:r w:rsidR="00584A5C" w:rsidRPr="0051003F">
        <w:rPr>
          <w:i/>
          <w:lang w:val="pl-PL"/>
        </w:rPr>
        <w:t>Janosevic</w:t>
      </w:r>
      <w:proofErr w:type="spellEnd"/>
      <w:r w:rsidR="00584A5C" w:rsidRPr="0051003F">
        <w:rPr>
          <w:vertAlign w:val="superscript"/>
          <w:lang w:val="pl-PL"/>
        </w:rPr>
        <w:footnoteReference w:id="79"/>
      </w:r>
      <w:r w:rsidR="00584A5C" w:rsidRPr="0051003F">
        <w:rPr>
          <w:lang w:val="pl-PL"/>
        </w:rPr>
        <w:t xml:space="preserve"> oraz </w:t>
      </w:r>
      <w:proofErr w:type="spellStart"/>
      <w:r w:rsidR="00584A5C" w:rsidRPr="0051003F">
        <w:rPr>
          <w:i/>
          <w:lang w:val="pl-PL"/>
        </w:rPr>
        <w:t>Västberga</w:t>
      </w:r>
      <w:proofErr w:type="spellEnd"/>
      <w:r w:rsidR="00584A5C" w:rsidRPr="0051003F">
        <w:rPr>
          <w:i/>
          <w:lang w:val="pl-PL"/>
        </w:rPr>
        <w:t xml:space="preserve"> Taxi </w:t>
      </w:r>
      <w:proofErr w:type="spellStart"/>
      <w:r w:rsidR="00584A5C" w:rsidRPr="0051003F">
        <w:rPr>
          <w:i/>
          <w:lang w:val="pl-PL"/>
        </w:rPr>
        <w:t>Aktiebolag</w:t>
      </w:r>
      <w:proofErr w:type="spellEnd"/>
      <w:r w:rsidR="00584A5C" w:rsidRPr="0051003F">
        <w:rPr>
          <w:i/>
          <w:lang w:val="pl-PL"/>
        </w:rPr>
        <w:t xml:space="preserve"> i </w:t>
      </w:r>
      <w:proofErr w:type="spellStart"/>
      <w:r w:rsidR="00584A5C" w:rsidRPr="0051003F">
        <w:rPr>
          <w:i/>
          <w:lang w:val="pl-PL"/>
        </w:rPr>
        <w:t>Vulic</w:t>
      </w:r>
      <w:proofErr w:type="spellEnd"/>
      <w:r w:rsidR="00584A5C" w:rsidRPr="0051003F">
        <w:rPr>
          <w:vertAlign w:val="superscript"/>
          <w:lang w:val="pl-PL"/>
        </w:rPr>
        <w:footnoteReference w:id="80"/>
      </w:r>
      <w:r w:rsidR="00584A5C" w:rsidRPr="0051003F">
        <w:rPr>
          <w:lang w:val="pl-PL"/>
        </w:rPr>
        <w:t xml:space="preserve">, Trybunał nie odwołał się do sprawy </w:t>
      </w:r>
      <w:proofErr w:type="spellStart"/>
      <w:r w:rsidR="00584A5C" w:rsidRPr="0051003F">
        <w:rPr>
          <w:i/>
          <w:lang w:val="pl-PL"/>
        </w:rPr>
        <w:t>Bendenoun</w:t>
      </w:r>
      <w:proofErr w:type="spellEnd"/>
      <w:r w:rsidR="00584A5C" w:rsidRPr="0051003F">
        <w:rPr>
          <w:i/>
          <w:lang w:val="pl-PL"/>
        </w:rPr>
        <w:t xml:space="preserve"> </w:t>
      </w:r>
      <w:r w:rsidR="00584A5C" w:rsidRPr="0051003F">
        <w:rPr>
          <w:lang w:val="pl-PL"/>
        </w:rPr>
        <w:t xml:space="preserve">ani do szczególnego rozumowania podjętego w tej sprawie, ale procedował prosto w oparciu o kryteria </w:t>
      </w:r>
      <w:proofErr w:type="spellStart"/>
      <w:r w:rsidR="00584A5C" w:rsidRPr="0051003F">
        <w:rPr>
          <w:i/>
          <w:lang w:val="pl-PL"/>
        </w:rPr>
        <w:t>Engela</w:t>
      </w:r>
      <w:proofErr w:type="spellEnd"/>
      <w:r w:rsidR="00584A5C" w:rsidRPr="0051003F">
        <w:rPr>
          <w:lang w:val="pl-PL"/>
        </w:rPr>
        <w:t xml:space="preserve"> </w:t>
      </w:r>
      <w:r w:rsidR="00584A5C" w:rsidRPr="0051003F">
        <w:rPr>
          <w:vertAlign w:val="superscript"/>
          <w:lang w:val="pl-PL"/>
        </w:rPr>
        <w:footnoteReference w:id="81"/>
      </w:r>
      <w:r w:rsidR="00584A5C" w:rsidRPr="0051003F">
        <w:rPr>
          <w:lang w:val="pl-PL"/>
        </w:rPr>
        <w:t xml:space="preserve">. Po potwierdzeniu, że postępowanie administracyjne ustaliło </w:t>
      </w:r>
      <w:r w:rsidR="005A27CC">
        <w:rPr>
          <w:lang w:val="pl-PL"/>
        </w:rPr>
        <w:t>,,</w:t>
      </w:r>
      <w:r w:rsidR="00584A5C" w:rsidRPr="0051003F">
        <w:rPr>
          <w:lang w:val="pl-PL"/>
        </w:rPr>
        <w:t xml:space="preserve">oskarżenie karne" skarżącego, Trybunał stwierdził, że postępowanie sądowe w sprawach przed nim </w:t>
      </w:r>
      <w:r w:rsidR="00425298" w:rsidRPr="0051003F">
        <w:rPr>
          <w:lang w:val="pl-PL"/>
        </w:rPr>
        <w:t>tocząc</w:t>
      </w:r>
      <w:r w:rsidR="00425298">
        <w:rPr>
          <w:lang w:val="pl-PL"/>
        </w:rPr>
        <w:t>ych</w:t>
      </w:r>
      <w:r w:rsidR="00425298" w:rsidRPr="0051003F">
        <w:rPr>
          <w:lang w:val="pl-PL"/>
        </w:rPr>
        <w:t xml:space="preserve"> </w:t>
      </w:r>
      <w:r w:rsidR="00584A5C" w:rsidRPr="0051003F">
        <w:rPr>
          <w:lang w:val="pl-PL"/>
        </w:rPr>
        <w:t xml:space="preserve">się było </w:t>
      </w:r>
      <w:r w:rsidR="00584A5C" w:rsidRPr="0051003F">
        <w:rPr>
          <w:lang w:val="pl-PL"/>
        </w:rPr>
        <w:lastRenderedPageBreak/>
        <w:t xml:space="preserve">prowadzone przez sądy, które zapewniły zabezpieczenia wymagane na mocy art. 6 ust. 1, ponieważ sądy administracyjne były właściwe do zbadania wszystkich aspektów rozpatrywanych przez nie spraw. Ich badanie nie ograniczało się do kwestii prawnych, lecz mogło również obejmować kwestie faktyczne, w tym ocenę dowodów. Jeżeli nie zgodzili się z ustaleniami organu podatkowego, mieli prawo uchylić zaskarżone decyzje. Sąd dodał, że punktem wyjścia dla organów podatkowych i sądów musi być fakt, że nieścisłości stwierdzone w ocenie podatkowej wynikały z czynów niewybaczalnych przypisywanych podatnikowi i że nie było oczywiście nierozsądne nakładanie dodatkowego obciążenia podatkowego jako kary za ten czyn. Organy podatkowe i sądy musiały zbadać, czy istnieją podstawy do umorzenia, nawet jeśli podatnik nie wystąpił z takim żądaniem. Ponieważ jednak obowiązek zbadania, czy istniały podstawy do umorzenia powstał jedynie w zakresie, w jakim uzasadniały to okoliczności sprawy, ciężar udowodnienia, że istniały przesłanki do umorzenia dopłaty, spoczywał w rzeczywistości na podatniku. Trybunał stwierdził, że system podatkowy funkcjonujący z takim domniemaniem, którego obalenie należy do podatnika, jest zgodny z art. 6 § 2 </w:t>
      </w:r>
      <w:r w:rsidR="0021781B">
        <w:rPr>
          <w:lang w:val="pl-PL"/>
        </w:rPr>
        <w:t>K</w:t>
      </w:r>
      <w:r w:rsidR="00584A5C" w:rsidRPr="0051003F">
        <w:rPr>
          <w:lang w:val="pl-PL"/>
        </w:rPr>
        <w:t>onwencji.</w:t>
      </w:r>
    </w:p>
    <w:p w:rsidR="00584A5C" w:rsidRPr="0051003F" w:rsidRDefault="00584A5C" w:rsidP="00584A5C">
      <w:pPr>
        <w:ind w:firstLine="284"/>
        <w:rPr>
          <w:lang w:val="pl-PL"/>
        </w:rPr>
      </w:pPr>
    </w:p>
    <w:p w:rsidR="00507696" w:rsidRPr="0051003F" w:rsidRDefault="001C1232" w:rsidP="00584A5C">
      <w:pPr>
        <w:ind w:firstLine="284"/>
        <w:rPr>
          <w:rFonts w:asciiTheme="majorHAnsi" w:eastAsiaTheme="majorEastAsia" w:hAnsiTheme="majorHAnsi" w:cstheme="majorBidi"/>
          <w:b/>
          <w:bCs/>
          <w:sz w:val="20"/>
          <w:lang w:val="pl-PL" w:eastAsia="fr-FR"/>
        </w:rPr>
      </w:pPr>
      <w:r w:rsidRPr="0051003F">
        <w:rPr>
          <w:rFonts w:asciiTheme="majorHAnsi" w:eastAsiaTheme="majorEastAsia" w:hAnsiTheme="majorHAnsi" w:cstheme="majorBidi"/>
          <w:b/>
          <w:bCs/>
          <w:sz w:val="20"/>
          <w:lang w:val="pl-PL" w:eastAsia="fr-FR"/>
        </w:rPr>
        <w:t>b.  </w:t>
      </w:r>
      <w:proofErr w:type="spellStart"/>
      <w:r w:rsidR="00F81449" w:rsidRPr="0051003F">
        <w:rPr>
          <w:rFonts w:asciiTheme="majorHAnsi" w:eastAsiaTheme="majorEastAsia" w:hAnsiTheme="majorHAnsi" w:cstheme="majorBidi"/>
          <w:b/>
          <w:bCs/>
          <w:i/>
          <w:sz w:val="20"/>
          <w:lang w:val="pl-PL" w:eastAsia="fr-FR"/>
        </w:rPr>
        <w:t>Jussila</w:t>
      </w:r>
      <w:proofErr w:type="spellEnd"/>
      <w:r w:rsidR="00F81449" w:rsidRPr="0051003F">
        <w:rPr>
          <w:rFonts w:asciiTheme="majorHAnsi" w:eastAsiaTheme="majorEastAsia" w:hAnsiTheme="majorHAnsi" w:cstheme="majorBidi"/>
          <w:b/>
          <w:bCs/>
          <w:i/>
          <w:sz w:val="20"/>
          <w:lang w:val="pl-PL" w:eastAsia="fr-FR"/>
        </w:rPr>
        <w:t xml:space="preserve"> </w:t>
      </w:r>
      <w:r w:rsidR="00F81449" w:rsidRPr="0051003F">
        <w:rPr>
          <w:rFonts w:asciiTheme="majorHAnsi" w:eastAsiaTheme="majorEastAsia" w:hAnsiTheme="majorHAnsi" w:cstheme="majorBidi"/>
          <w:b/>
          <w:bCs/>
          <w:sz w:val="20"/>
          <w:lang w:val="pl-PL" w:eastAsia="fr-FR"/>
        </w:rPr>
        <w:t xml:space="preserve">oraz linia rozgraniczająca pomiędzy </w:t>
      </w:r>
      <w:proofErr w:type="spellStart"/>
      <w:r w:rsidR="00F81449" w:rsidRPr="0051003F">
        <w:rPr>
          <w:rFonts w:asciiTheme="majorHAnsi" w:eastAsiaTheme="majorEastAsia" w:hAnsiTheme="majorHAnsi" w:cstheme="majorBidi"/>
          <w:b/>
          <w:bCs/>
          <w:i/>
          <w:sz w:val="20"/>
          <w:lang w:val="pl-PL" w:eastAsia="fr-FR"/>
        </w:rPr>
        <w:t>malum</w:t>
      </w:r>
      <w:proofErr w:type="spellEnd"/>
      <w:r w:rsidR="00F81449" w:rsidRPr="0051003F">
        <w:rPr>
          <w:rFonts w:asciiTheme="majorHAnsi" w:eastAsiaTheme="majorEastAsia" w:hAnsiTheme="majorHAnsi" w:cstheme="majorBidi"/>
          <w:b/>
          <w:bCs/>
          <w:i/>
          <w:sz w:val="20"/>
          <w:lang w:val="pl-PL" w:eastAsia="fr-FR"/>
        </w:rPr>
        <w:t xml:space="preserve"> in </w:t>
      </w:r>
      <w:proofErr w:type="spellStart"/>
      <w:r w:rsidR="00F81449" w:rsidRPr="0051003F">
        <w:rPr>
          <w:rFonts w:asciiTheme="majorHAnsi" w:eastAsiaTheme="majorEastAsia" w:hAnsiTheme="majorHAnsi" w:cstheme="majorBidi"/>
          <w:b/>
          <w:bCs/>
          <w:i/>
          <w:sz w:val="20"/>
          <w:lang w:val="pl-PL" w:eastAsia="fr-FR"/>
        </w:rPr>
        <w:t>se</w:t>
      </w:r>
      <w:proofErr w:type="spellEnd"/>
      <w:r w:rsidR="00F81449" w:rsidRPr="0051003F">
        <w:rPr>
          <w:rFonts w:asciiTheme="majorHAnsi" w:eastAsiaTheme="majorEastAsia" w:hAnsiTheme="majorHAnsi" w:cstheme="majorBidi"/>
          <w:b/>
          <w:bCs/>
          <w:sz w:val="20"/>
          <w:lang w:val="pl-PL" w:eastAsia="fr-FR"/>
        </w:rPr>
        <w:t xml:space="preserve"> i </w:t>
      </w:r>
      <w:proofErr w:type="spellStart"/>
      <w:r w:rsidR="00F81449" w:rsidRPr="0051003F">
        <w:rPr>
          <w:rFonts w:asciiTheme="majorHAnsi" w:eastAsiaTheme="majorEastAsia" w:hAnsiTheme="majorHAnsi" w:cstheme="majorBidi"/>
          <w:b/>
          <w:bCs/>
          <w:i/>
          <w:sz w:val="20"/>
          <w:lang w:val="pl-PL" w:eastAsia="fr-FR"/>
        </w:rPr>
        <w:t>malum</w:t>
      </w:r>
      <w:proofErr w:type="spellEnd"/>
      <w:r w:rsidR="00F81449" w:rsidRPr="0051003F">
        <w:rPr>
          <w:rFonts w:asciiTheme="majorHAnsi" w:eastAsiaTheme="majorEastAsia" w:hAnsiTheme="majorHAnsi" w:cstheme="majorBidi"/>
          <w:b/>
          <w:bCs/>
          <w:i/>
          <w:sz w:val="20"/>
          <w:lang w:val="pl-PL" w:eastAsia="fr-FR"/>
        </w:rPr>
        <w:t xml:space="preserve"> </w:t>
      </w:r>
      <w:proofErr w:type="spellStart"/>
      <w:r w:rsidR="00F81449" w:rsidRPr="0051003F">
        <w:rPr>
          <w:rFonts w:asciiTheme="majorHAnsi" w:eastAsiaTheme="majorEastAsia" w:hAnsiTheme="majorHAnsi" w:cstheme="majorBidi"/>
          <w:b/>
          <w:bCs/>
          <w:i/>
          <w:sz w:val="20"/>
          <w:lang w:val="pl-PL" w:eastAsia="fr-FR"/>
        </w:rPr>
        <w:t>quia</w:t>
      </w:r>
      <w:proofErr w:type="spellEnd"/>
      <w:r w:rsidR="00F81449" w:rsidRPr="0051003F">
        <w:rPr>
          <w:rFonts w:asciiTheme="majorHAnsi" w:eastAsiaTheme="majorEastAsia" w:hAnsiTheme="majorHAnsi" w:cstheme="majorBidi"/>
          <w:b/>
          <w:bCs/>
          <w:i/>
          <w:sz w:val="20"/>
          <w:lang w:val="pl-PL" w:eastAsia="fr-FR"/>
        </w:rPr>
        <w:t xml:space="preserve"> </w:t>
      </w:r>
      <w:proofErr w:type="spellStart"/>
      <w:r w:rsidR="00F81449" w:rsidRPr="0051003F">
        <w:rPr>
          <w:rFonts w:asciiTheme="majorHAnsi" w:eastAsiaTheme="majorEastAsia" w:hAnsiTheme="majorHAnsi" w:cstheme="majorBidi"/>
          <w:b/>
          <w:bCs/>
          <w:i/>
          <w:sz w:val="20"/>
          <w:lang w:val="pl-PL" w:eastAsia="fr-FR"/>
        </w:rPr>
        <w:t>prohibitum</w:t>
      </w:r>
      <w:proofErr w:type="spellEnd"/>
      <w:r w:rsidR="00F81449" w:rsidRPr="0051003F">
        <w:rPr>
          <w:rFonts w:asciiTheme="majorHAnsi" w:eastAsiaTheme="majorEastAsia" w:hAnsiTheme="majorHAnsi" w:cstheme="majorBidi"/>
          <w:b/>
          <w:bCs/>
          <w:i/>
          <w:sz w:val="20"/>
          <w:lang w:val="pl-PL" w:eastAsia="fr-FR"/>
        </w:rPr>
        <w:t xml:space="preserve"> </w:t>
      </w:r>
      <w:bookmarkEnd w:id="232"/>
      <w:bookmarkEnd w:id="233"/>
    </w:p>
    <w:p w:rsidR="001C1232" w:rsidRPr="0051003F" w:rsidRDefault="001C1232" w:rsidP="00F81449">
      <w:pPr>
        <w:ind w:firstLine="284"/>
        <w:rPr>
          <w:lang w:val="pl-PL"/>
        </w:rPr>
      </w:pPr>
      <w:r w:rsidRPr="0051003F">
        <w:rPr>
          <w:lang w:val="pl-PL"/>
        </w:rPr>
        <w:t>26.  </w:t>
      </w:r>
      <w:r w:rsidR="00F81449" w:rsidRPr="0051003F">
        <w:rPr>
          <w:lang w:val="pl-PL"/>
        </w:rPr>
        <w:t xml:space="preserve">W sprawie </w:t>
      </w:r>
      <w:proofErr w:type="spellStart"/>
      <w:r w:rsidR="00F81449" w:rsidRPr="0051003F">
        <w:rPr>
          <w:i/>
          <w:lang w:val="pl-PL"/>
        </w:rPr>
        <w:t>Jussila</w:t>
      </w:r>
      <w:proofErr w:type="spellEnd"/>
      <w:r w:rsidR="00F81449" w:rsidRPr="0051003F">
        <w:rPr>
          <w:vertAlign w:val="superscript"/>
          <w:lang w:val="pl-PL"/>
        </w:rPr>
        <w:footnoteReference w:id="82"/>
      </w:r>
      <w:r w:rsidR="00F81449" w:rsidRPr="0051003F">
        <w:rPr>
          <w:lang w:val="pl-PL"/>
        </w:rPr>
        <w:t xml:space="preserve"> Trybunał potwierdził podejście przyjęte w wyroku w sprawie </w:t>
      </w:r>
      <w:proofErr w:type="spellStart"/>
      <w:r w:rsidR="00F81449" w:rsidRPr="0051003F">
        <w:rPr>
          <w:i/>
          <w:lang w:val="pl-PL"/>
        </w:rPr>
        <w:t>Janosevic</w:t>
      </w:r>
      <w:proofErr w:type="spellEnd"/>
      <w:r w:rsidR="00F81449" w:rsidRPr="0051003F">
        <w:rPr>
          <w:lang w:val="pl-PL"/>
        </w:rPr>
        <w:t xml:space="preserve"> i podkreślił, że „w związku z tym w orzecznictwie nie ma ustalonej lub miarodajnej podstawy dla stwierdzenia, że drobny charakter sankcji w postępowaniu podatkowym lub innym,  może mieć decydujące znaczenie dla wykreślenia z zakresu art. 6 przestępstwa, w innym wypadku przestępczego ze względu na jego charakter”.</w:t>
      </w:r>
      <w:r w:rsidR="00F81449" w:rsidRPr="0051003F">
        <w:rPr>
          <w:vertAlign w:val="superscript"/>
          <w:lang w:val="pl-PL"/>
        </w:rPr>
        <w:footnoteReference w:id="83"/>
      </w:r>
      <w:r w:rsidR="00F81449" w:rsidRPr="0051003F">
        <w:rPr>
          <w:lang w:val="pl-PL"/>
        </w:rPr>
        <w:t xml:space="preserve"> Ponadto, wyraźnie sygnalizując swój zamiar niepozbawiania podatników ich podstawowych gwarancji w stosunkach z państwem, Trybunał dodał, że „chociaż nie ma wątpliwości</w:t>
      </w:r>
      <w:r w:rsidR="0021781B">
        <w:rPr>
          <w:lang w:val="pl-PL"/>
        </w:rPr>
        <w:t>,</w:t>
      </w:r>
      <w:r w:rsidR="00F81449" w:rsidRPr="0051003F">
        <w:rPr>
          <w:lang w:val="pl-PL"/>
        </w:rPr>
        <w:t xml:space="preserve"> co do znaczenia opodatkowania dla skutecznego funkcjonowania państwa, Trybunał nie jest przekonany, że zniesienie zabezpieczeń proceduralnych w zakresie nakładania sankcji karnych w tej dziedzinie jest konieczne dla utrzymania skuteczności systemu podatkowego lub może być uznane za zgodne z duchem i celem </w:t>
      </w:r>
      <w:r w:rsidR="0021781B">
        <w:rPr>
          <w:lang w:val="pl-PL"/>
        </w:rPr>
        <w:t>K</w:t>
      </w:r>
      <w:r w:rsidR="00F81449" w:rsidRPr="0051003F">
        <w:rPr>
          <w:lang w:val="pl-PL"/>
        </w:rPr>
        <w:t>onwencji"</w:t>
      </w:r>
      <w:r w:rsidR="00F81449" w:rsidRPr="0051003F">
        <w:rPr>
          <w:vertAlign w:val="superscript"/>
          <w:lang w:val="pl-PL"/>
        </w:rPr>
        <w:footnoteReference w:id="84"/>
      </w:r>
      <w:r w:rsidR="00F81449" w:rsidRPr="0051003F">
        <w:rPr>
          <w:lang w:val="pl-PL"/>
        </w:rPr>
        <w:t xml:space="preserve">. Czyniąc to, Sąd </w:t>
      </w:r>
      <w:r w:rsidR="0021781B">
        <w:rPr>
          <w:lang w:val="pl-PL"/>
        </w:rPr>
        <w:t>,,</w:t>
      </w:r>
      <w:r w:rsidR="00F81449" w:rsidRPr="0051003F">
        <w:rPr>
          <w:lang w:val="pl-PL"/>
        </w:rPr>
        <w:t>do pewnego stopnia"</w:t>
      </w:r>
      <w:r w:rsidR="00F81449" w:rsidRPr="0051003F">
        <w:rPr>
          <w:vertAlign w:val="superscript"/>
          <w:lang w:val="pl-PL"/>
        </w:rPr>
        <w:footnoteReference w:id="85"/>
      </w:r>
      <w:r w:rsidR="00F81449" w:rsidRPr="0051003F">
        <w:rPr>
          <w:lang w:val="pl-PL"/>
        </w:rPr>
        <w:t xml:space="preserve"> zrezygnował z uzasadnienia dla </w:t>
      </w:r>
      <w:proofErr w:type="spellStart"/>
      <w:r w:rsidR="00F81449" w:rsidRPr="0051003F">
        <w:rPr>
          <w:i/>
          <w:lang w:val="pl-PL"/>
        </w:rPr>
        <w:t>Ferrazzini</w:t>
      </w:r>
      <w:proofErr w:type="spellEnd"/>
      <w:r w:rsidR="00F81449" w:rsidRPr="0051003F">
        <w:rPr>
          <w:vertAlign w:val="superscript"/>
          <w:lang w:val="pl-PL"/>
        </w:rPr>
        <w:footnoteReference w:id="86"/>
      </w:r>
      <w:r w:rsidR="00F81449" w:rsidRPr="0051003F">
        <w:rPr>
          <w:lang w:val="pl-PL"/>
        </w:rPr>
        <w:t xml:space="preserve">, ponieważ przyznał, że kwestie czysto </w:t>
      </w:r>
      <w:r w:rsidR="00F81449" w:rsidRPr="0051003F">
        <w:rPr>
          <w:lang w:val="pl-PL"/>
        </w:rPr>
        <w:lastRenderedPageBreak/>
        <w:t xml:space="preserve">podatkowej oceny nie wykraczały poza przedmiotowy zakres zastosowania </w:t>
      </w:r>
      <w:r w:rsidR="00530C85">
        <w:rPr>
          <w:lang w:val="pl-PL"/>
        </w:rPr>
        <w:t>K</w:t>
      </w:r>
      <w:r w:rsidR="00F81449" w:rsidRPr="0051003F">
        <w:rPr>
          <w:lang w:val="pl-PL"/>
        </w:rPr>
        <w:t xml:space="preserve">onwencji. </w:t>
      </w:r>
      <w:proofErr w:type="spellStart"/>
      <w:r w:rsidR="00F81449" w:rsidRPr="0051003F">
        <w:rPr>
          <w:i/>
          <w:lang w:val="pl-PL"/>
        </w:rPr>
        <w:t>Ratione</w:t>
      </w:r>
      <w:proofErr w:type="spellEnd"/>
      <w:r w:rsidR="00F81449" w:rsidRPr="0051003F">
        <w:rPr>
          <w:i/>
          <w:lang w:val="pl-PL"/>
        </w:rPr>
        <w:t xml:space="preserve"> </w:t>
      </w:r>
      <w:proofErr w:type="spellStart"/>
      <w:r w:rsidR="00F81449" w:rsidRPr="0051003F">
        <w:rPr>
          <w:i/>
          <w:lang w:val="pl-PL"/>
        </w:rPr>
        <w:t>materiae</w:t>
      </w:r>
      <w:proofErr w:type="spellEnd"/>
      <w:r w:rsidR="00F81449" w:rsidRPr="0051003F">
        <w:rPr>
          <w:lang w:val="pl-PL"/>
        </w:rPr>
        <w:t xml:space="preserve">, kwestie związane z karami podatkowymi mogą znajdować się pod jurysdykcją Trybunału w ocenie suwerennych uprawnień państw w zakresie ustalania podatków. Neutralizacja prerogatyw władzy publicznej w </w:t>
      </w:r>
      <w:proofErr w:type="spellStart"/>
      <w:r w:rsidR="00F81449" w:rsidRPr="0051003F">
        <w:rPr>
          <w:i/>
          <w:lang w:val="pl-PL"/>
        </w:rPr>
        <w:t>Jussili</w:t>
      </w:r>
      <w:proofErr w:type="spellEnd"/>
      <w:r w:rsidR="00F81449" w:rsidRPr="0051003F">
        <w:rPr>
          <w:lang w:val="pl-PL"/>
        </w:rPr>
        <w:t xml:space="preserve"> doprowadziła Trybunał do wyraźnego przeformułowania specyfiki zobowiązań podatkowych w kontekście europejskiego prawa praw człowieka.</w:t>
      </w:r>
    </w:p>
    <w:p w:rsidR="00F81449" w:rsidRPr="0051003F" w:rsidRDefault="001C1232" w:rsidP="00F81449">
      <w:pPr>
        <w:ind w:firstLine="284"/>
        <w:rPr>
          <w:lang w:val="pl-PL"/>
        </w:rPr>
      </w:pPr>
      <w:r w:rsidRPr="0051003F">
        <w:rPr>
          <w:lang w:val="pl-PL"/>
        </w:rPr>
        <w:t>27.  </w:t>
      </w:r>
      <w:r w:rsidR="00F81449" w:rsidRPr="0051003F">
        <w:rPr>
          <w:lang w:val="pl-PL"/>
        </w:rPr>
        <w:t xml:space="preserve">Nawet jeśli dopłaty podatkowe nie zostały zakwalifikowane w prawie krajowym jako karne, sam ten fakt nie był dla Trybunału rozstrzygający. O wiele istotniejszy był fakt, że dopłaty podatkowe były nakładane na mocy przepisów prawnych mających zastosowanie do podatników ogólnie, w celu odstraszającym. Co do zasady dopłaty podatkowe nie miały służyć wyłącznie jako rekompensata pieniężna za niektóre szkody wyrządzone państwu, lecz jako forma karania przestępców oraz środek odstraszający od recydywy i potencjalnych nowych przestępców. W opinii Sądu dopłaty podatkowe były więc w ten sposób nakładane na mocy przepisu, który miał jednocześnie charakter odstraszający i karny, nawet w </w:t>
      </w:r>
      <w:r w:rsidR="00BC61A9" w:rsidRPr="0051003F">
        <w:rPr>
          <w:lang w:val="pl-PL"/>
        </w:rPr>
        <w:t>przypadku,</w:t>
      </w:r>
      <w:r w:rsidR="00F81449" w:rsidRPr="0051003F">
        <w:rPr>
          <w:lang w:val="pl-PL"/>
        </w:rPr>
        <w:t xml:space="preserve"> gdy nałożono 10% dopłaty podatkowe</w:t>
      </w:r>
      <w:r w:rsidR="00717085">
        <w:rPr>
          <w:lang w:val="pl-PL"/>
        </w:rPr>
        <w:t>j</w:t>
      </w:r>
      <w:r w:rsidR="00F81449" w:rsidRPr="0051003F">
        <w:rPr>
          <w:lang w:val="pl-PL"/>
        </w:rPr>
        <w:t xml:space="preserve">, przy czym </w:t>
      </w:r>
      <w:r w:rsidR="00717085" w:rsidRPr="0051003F">
        <w:rPr>
          <w:lang w:val="pl-PL"/>
        </w:rPr>
        <w:t>łączn</w:t>
      </w:r>
      <w:r w:rsidR="00717085">
        <w:rPr>
          <w:lang w:val="pl-PL"/>
        </w:rPr>
        <w:t>a</w:t>
      </w:r>
      <w:r w:rsidR="00717085" w:rsidRPr="0051003F">
        <w:rPr>
          <w:lang w:val="pl-PL"/>
        </w:rPr>
        <w:t xml:space="preserve"> maksymaln</w:t>
      </w:r>
      <w:r w:rsidR="00717085">
        <w:rPr>
          <w:lang w:val="pl-PL"/>
        </w:rPr>
        <w:t>a</w:t>
      </w:r>
      <w:r w:rsidR="00717085" w:rsidRPr="0051003F">
        <w:rPr>
          <w:lang w:val="pl-PL"/>
        </w:rPr>
        <w:t xml:space="preserve"> </w:t>
      </w:r>
      <w:r w:rsidR="00BC61A9" w:rsidRPr="0051003F">
        <w:rPr>
          <w:lang w:val="pl-PL"/>
        </w:rPr>
        <w:t>możliwa dopłata</w:t>
      </w:r>
      <w:r w:rsidR="00F81449" w:rsidRPr="0051003F">
        <w:rPr>
          <w:lang w:val="pl-PL"/>
        </w:rPr>
        <w:t xml:space="preserve"> wynosił</w:t>
      </w:r>
      <w:r w:rsidR="00717085">
        <w:rPr>
          <w:lang w:val="pl-PL"/>
        </w:rPr>
        <w:t>a</w:t>
      </w:r>
      <w:r w:rsidR="00F81449" w:rsidRPr="0051003F">
        <w:rPr>
          <w:lang w:val="pl-PL"/>
        </w:rPr>
        <w:t xml:space="preserve"> 20%</w:t>
      </w:r>
      <w:r w:rsidR="00F81449" w:rsidRPr="0051003F">
        <w:rPr>
          <w:vertAlign w:val="superscript"/>
          <w:lang w:val="pl-PL"/>
        </w:rPr>
        <w:footnoteReference w:id="87"/>
      </w:r>
      <w:r w:rsidR="00F81449" w:rsidRPr="0051003F">
        <w:rPr>
          <w:lang w:val="pl-PL"/>
        </w:rPr>
        <w:t xml:space="preserve">. Zdaniem Sądu karny charakter dopłat podatkowych przeważał nad zasadą </w:t>
      </w:r>
      <w:r w:rsidR="00F81449" w:rsidRPr="0051003F">
        <w:rPr>
          <w:i/>
          <w:lang w:val="pl-PL"/>
        </w:rPr>
        <w:t xml:space="preserve">de </w:t>
      </w:r>
      <w:proofErr w:type="spellStart"/>
      <w:r w:rsidR="00F81449" w:rsidRPr="0051003F">
        <w:rPr>
          <w:i/>
          <w:lang w:val="pl-PL"/>
        </w:rPr>
        <w:t>minimis</w:t>
      </w:r>
      <w:proofErr w:type="spellEnd"/>
      <w:r w:rsidR="00F81449" w:rsidRPr="0051003F">
        <w:rPr>
          <w:lang w:val="pl-PL"/>
        </w:rPr>
        <w:t xml:space="preserve"> z punktu widzenia </w:t>
      </w:r>
      <w:proofErr w:type="spellStart"/>
      <w:r w:rsidR="00F81449" w:rsidRPr="0051003F">
        <w:rPr>
          <w:i/>
          <w:lang w:val="pl-PL"/>
        </w:rPr>
        <w:t>Bendenoun</w:t>
      </w:r>
      <w:proofErr w:type="spellEnd"/>
      <w:r w:rsidR="00F81449" w:rsidRPr="0051003F">
        <w:rPr>
          <w:lang w:val="pl-PL"/>
        </w:rPr>
        <w:t xml:space="preserve">. W związku z tym postępowanie w sprawie dopłat podatkowych uznano również za </w:t>
      </w:r>
      <w:r w:rsidR="00717085">
        <w:rPr>
          <w:lang w:val="pl-PL"/>
        </w:rPr>
        <w:t>,,</w:t>
      </w:r>
      <w:r w:rsidR="00F81449" w:rsidRPr="0051003F">
        <w:rPr>
          <w:lang w:val="pl-PL"/>
        </w:rPr>
        <w:t xml:space="preserve">postępowanie karne" w rozumieniu art. 6 </w:t>
      </w:r>
      <w:r w:rsidR="00717085">
        <w:rPr>
          <w:lang w:val="pl-PL"/>
        </w:rPr>
        <w:t>K</w:t>
      </w:r>
      <w:r w:rsidR="00F81449" w:rsidRPr="0051003F">
        <w:rPr>
          <w:lang w:val="pl-PL"/>
        </w:rPr>
        <w:t>onwencji.</w:t>
      </w:r>
    </w:p>
    <w:p w:rsidR="00F81449" w:rsidRPr="0051003F" w:rsidRDefault="001C1232" w:rsidP="00F81449">
      <w:pPr>
        <w:ind w:firstLine="284"/>
        <w:rPr>
          <w:lang w:val="pl-PL"/>
        </w:rPr>
      </w:pPr>
      <w:r w:rsidRPr="0051003F">
        <w:rPr>
          <w:lang w:val="pl-PL"/>
        </w:rPr>
        <w:t>28.  </w:t>
      </w:r>
      <w:r w:rsidR="00F81449" w:rsidRPr="0051003F">
        <w:rPr>
          <w:lang w:val="pl-PL"/>
        </w:rPr>
        <w:t xml:space="preserve">Gdyby rozważania Trybunału zatrzymał się na tym stadium, </w:t>
      </w:r>
      <w:proofErr w:type="spellStart"/>
      <w:r w:rsidR="00F81449" w:rsidRPr="0051003F">
        <w:rPr>
          <w:i/>
          <w:lang w:val="pl-PL"/>
        </w:rPr>
        <w:t>Jussila</w:t>
      </w:r>
      <w:proofErr w:type="spellEnd"/>
      <w:r w:rsidR="00F81449" w:rsidRPr="0051003F">
        <w:rPr>
          <w:lang w:val="pl-PL"/>
        </w:rPr>
        <w:t xml:space="preserve"> byłaby prostym rozszerzeniem </w:t>
      </w:r>
      <w:proofErr w:type="spellStart"/>
      <w:r w:rsidR="00F81449" w:rsidRPr="0051003F">
        <w:rPr>
          <w:i/>
          <w:lang w:val="pl-PL"/>
        </w:rPr>
        <w:t>Öztürk</w:t>
      </w:r>
      <w:proofErr w:type="spellEnd"/>
      <w:r w:rsidR="00F81449" w:rsidRPr="0051003F">
        <w:rPr>
          <w:lang w:val="pl-PL"/>
        </w:rPr>
        <w:t xml:space="preserve"> na sferę kar podatkowych. Trybunał jednak nie zatrzymał się tutaj. Zauważono również, że „oczywiste jest, że istnieją sprawy karne, które nie noszą żadnego znaczącego piętna". W związku z tym w wyroku Trybunału gwarancje na wypadek popełnienia przestępstwa niekoniecznie miały zastosowanie przy pełnej surowości zarzutów karnych, bez znaczącego stopnia stygmatyzacji</w:t>
      </w:r>
      <w:r w:rsidR="00F81449" w:rsidRPr="0051003F">
        <w:rPr>
          <w:vertAlign w:val="superscript"/>
          <w:lang w:val="pl-PL"/>
        </w:rPr>
        <w:footnoteReference w:id="88"/>
      </w:r>
      <w:r w:rsidR="00F81449" w:rsidRPr="0051003F">
        <w:rPr>
          <w:lang w:val="pl-PL"/>
        </w:rPr>
        <w:t xml:space="preserve">. Stosując art. 6 w zróżnicowany sposób, w zależności od charakteru sprawy i stopnia stygmatyzacji niektórych wniesionych oskarżeń karnych, Trybunał dokonał rozróżnienia między gwarancjami proceduralnymi przyznanymi przez konwencję jednorazowo i </w:t>
      </w:r>
      <w:proofErr w:type="spellStart"/>
      <w:r w:rsidR="00F81449" w:rsidRPr="0051003F">
        <w:rPr>
          <w:lang w:val="pl-PL"/>
        </w:rPr>
        <w:t>niejednorazowo</w:t>
      </w:r>
      <w:proofErr w:type="spellEnd"/>
      <w:r w:rsidR="00F81449" w:rsidRPr="0051003F">
        <w:rPr>
          <w:lang w:val="pl-PL"/>
        </w:rPr>
        <w:t xml:space="preserve">, przy czym jednym z poprzednich gwarancji jest prawo pozwanego do udziału w rozprawie publicznej. Wykroczenia administracyjne, o ile nie były w znacznym </w:t>
      </w:r>
      <w:r w:rsidR="00F81449" w:rsidRPr="0051003F">
        <w:rPr>
          <w:lang w:val="pl-PL"/>
        </w:rPr>
        <w:lastRenderedPageBreak/>
        <w:t xml:space="preserve">stopniu stygmatyzowane, mogą różnić się od twardego sedna prawa karnego, a zatem gwarancje przewidziane w art. 6 mogą nie mieć do nich pełnego zastosowania. W </w:t>
      </w:r>
      <w:proofErr w:type="spellStart"/>
      <w:r w:rsidR="00F81449" w:rsidRPr="0051003F">
        <w:rPr>
          <w:i/>
          <w:lang w:val="pl-PL"/>
        </w:rPr>
        <w:t>Jussili</w:t>
      </w:r>
      <w:proofErr w:type="spellEnd"/>
      <w:r w:rsidR="00F81449" w:rsidRPr="0051003F">
        <w:rPr>
          <w:lang w:val="pl-PL"/>
        </w:rPr>
        <w:t xml:space="preserve"> powstał drugi rodzaj przestępstwa kryminalnego, który korzystał jedynie z niektórych gwarancji określonych w art. 6.</w:t>
      </w:r>
    </w:p>
    <w:p w:rsidR="00F81449" w:rsidRPr="0051003F" w:rsidRDefault="001C1232" w:rsidP="00F81449">
      <w:pPr>
        <w:ind w:firstLine="284"/>
        <w:rPr>
          <w:lang w:val="pl-PL"/>
        </w:rPr>
      </w:pPr>
      <w:r w:rsidRPr="0051003F">
        <w:rPr>
          <w:lang w:val="pl-PL"/>
        </w:rPr>
        <w:t>29.  </w:t>
      </w:r>
      <w:r w:rsidR="00BC61A9" w:rsidRPr="0051003F">
        <w:rPr>
          <w:lang w:val="pl-PL"/>
        </w:rPr>
        <w:t>Niestety</w:t>
      </w:r>
      <w:r w:rsidR="00F81449" w:rsidRPr="0051003F">
        <w:rPr>
          <w:lang w:val="pl-PL"/>
        </w:rPr>
        <w:t xml:space="preserve"> ani w </w:t>
      </w:r>
      <w:proofErr w:type="spellStart"/>
      <w:r w:rsidR="00F81449" w:rsidRPr="0051003F">
        <w:rPr>
          <w:i/>
          <w:lang w:val="pl-PL"/>
        </w:rPr>
        <w:t>Jussili</w:t>
      </w:r>
      <w:proofErr w:type="spellEnd"/>
      <w:r w:rsidR="00F81449" w:rsidRPr="0051003F">
        <w:rPr>
          <w:lang w:val="pl-PL"/>
        </w:rPr>
        <w:t xml:space="preserve">, ani w późniejszym czasie, Trybunał nie podjął żadnych wysiłków w celu wypracowania spójnego podejścia do </w:t>
      </w:r>
      <w:proofErr w:type="spellStart"/>
      <w:r w:rsidR="00F81449" w:rsidRPr="0051003F">
        <w:rPr>
          <w:i/>
          <w:lang w:val="pl-PL"/>
        </w:rPr>
        <w:t>magna</w:t>
      </w:r>
      <w:proofErr w:type="spellEnd"/>
      <w:r w:rsidR="00F81449" w:rsidRPr="0051003F">
        <w:rPr>
          <w:i/>
          <w:lang w:val="pl-PL"/>
        </w:rPr>
        <w:t xml:space="preserve"> </w:t>
      </w:r>
      <w:proofErr w:type="spellStart"/>
      <w:r w:rsidR="00F81449" w:rsidRPr="0051003F">
        <w:rPr>
          <w:i/>
          <w:lang w:val="pl-PL"/>
        </w:rPr>
        <w:t>quaestio</w:t>
      </w:r>
      <w:proofErr w:type="spellEnd"/>
      <w:r w:rsidR="00F81449" w:rsidRPr="0051003F">
        <w:rPr>
          <w:i/>
          <w:lang w:val="pl-PL"/>
        </w:rPr>
        <w:t>,</w:t>
      </w:r>
      <w:r w:rsidR="00F81449" w:rsidRPr="0051003F">
        <w:rPr>
          <w:lang w:val="pl-PL"/>
        </w:rPr>
        <w:t xml:space="preserve"> granicy między </w:t>
      </w:r>
      <w:r w:rsidR="00974A00">
        <w:rPr>
          <w:lang w:val="pl-PL"/>
        </w:rPr>
        <w:t>,,</w:t>
      </w:r>
      <w:r w:rsidR="00F81449" w:rsidRPr="0051003F">
        <w:rPr>
          <w:lang w:val="pl-PL"/>
        </w:rPr>
        <w:t xml:space="preserve">najpoważniejszym prawem karnym" a pozostałym prawem karnym, co odzwierciedla nieaktualne rozróżnienie między </w:t>
      </w:r>
      <w:proofErr w:type="spellStart"/>
      <w:r w:rsidR="00F81449" w:rsidRPr="0051003F">
        <w:rPr>
          <w:i/>
          <w:lang w:val="pl-PL"/>
        </w:rPr>
        <w:t>mala</w:t>
      </w:r>
      <w:proofErr w:type="spellEnd"/>
      <w:r w:rsidR="00F81449" w:rsidRPr="0051003F">
        <w:rPr>
          <w:i/>
          <w:lang w:val="pl-PL"/>
        </w:rPr>
        <w:t xml:space="preserve"> in </w:t>
      </w:r>
      <w:proofErr w:type="spellStart"/>
      <w:r w:rsidR="00F81449" w:rsidRPr="0051003F">
        <w:rPr>
          <w:i/>
          <w:lang w:val="pl-PL"/>
        </w:rPr>
        <w:t>se</w:t>
      </w:r>
      <w:proofErr w:type="spellEnd"/>
      <w:r w:rsidR="00F81449" w:rsidRPr="0051003F">
        <w:rPr>
          <w:lang w:val="pl-PL"/>
        </w:rPr>
        <w:t xml:space="preserve"> a </w:t>
      </w:r>
      <w:proofErr w:type="spellStart"/>
      <w:r w:rsidR="00F81449" w:rsidRPr="0051003F">
        <w:rPr>
          <w:i/>
          <w:lang w:val="pl-PL"/>
        </w:rPr>
        <w:t>mala</w:t>
      </w:r>
      <w:proofErr w:type="spellEnd"/>
      <w:r w:rsidR="00F81449" w:rsidRPr="0051003F">
        <w:rPr>
          <w:i/>
          <w:lang w:val="pl-PL"/>
        </w:rPr>
        <w:t xml:space="preserve"> prohibita</w:t>
      </w:r>
      <w:r w:rsidR="00F81449" w:rsidRPr="0051003F">
        <w:rPr>
          <w:lang w:val="pl-PL"/>
        </w:rPr>
        <w:t xml:space="preserve">. Mówiąc wprost, rozróżnienie </w:t>
      </w:r>
      <w:r w:rsidR="00E95EAC">
        <w:rPr>
          <w:lang w:val="pl-PL"/>
        </w:rPr>
        <w:t>W</w:t>
      </w:r>
      <w:r w:rsidR="00F81449" w:rsidRPr="0051003F">
        <w:rPr>
          <w:lang w:val="pl-PL"/>
        </w:rPr>
        <w:t xml:space="preserve">ielkiej </w:t>
      </w:r>
      <w:r w:rsidR="00E95EAC">
        <w:rPr>
          <w:lang w:val="pl-PL"/>
        </w:rPr>
        <w:t>I</w:t>
      </w:r>
      <w:r w:rsidR="00F81449" w:rsidRPr="0051003F">
        <w:rPr>
          <w:lang w:val="pl-PL"/>
        </w:rPr>
        <w:t xml:space="preserve">zby, wydaje się raczej sztuczne. W </w:t>
      </w:r>
      <w:proofErr w:type="spellStart"/>
      <w:r w:rsidR="00F81449" w:rsidRPr="0051003F">
        <w:rPr>
          <w:i/>
          <w:lang w:val="pl-PL"/>
        </w:rPr>
        <w:t>Jussili</w:t>
      </w:r>
      <w:proofErr w:type="spellEnd"/>
      <w:r w:rsidR="00F81449" w:rsidRPr="0051003F">
        <w:rPr>
          <w:lang w:val="pl-PL"/>
        </w:rPr>
        <w:t>, podobnie jak w kilku innych sprawach, społeczne kryterium stygmatyzacji przypomina jedynie retoryczny argument, którego Trybunał nie wykorzystuje tak naprawdę przy rozstrzyganiu spraw</w:t>
      </w:r>
      <w:r w:rsidR="00F81449" w:rsidRPr="0051003F">
        <w:rPr>
          <w:vertAlign w:val="superscript"/>
          <w:lang w:val="pl-PL"/>
        </w:rPr>
        <w:footnoteReference w:id="89"/>
      </w:r>
      <w:r w:rsidR="00F81449" w:rsidRPr="0051003F">
        <w:rPr>
          <w:lang w:val="pl-PL"/>
        </w:rPr>
        <w:t xml:space="preserve">. Trybunał w sprawie </w:t>
      </w:r>
      <w:proofErr w:type="spellStart"/>
      <w:r w:rsidR="00F81449" w:rsidRPr="0051003F">
        <w:rPr>
          <w:i/>
          <w:lang w:val="pl-PL"/>
        </w:rPr>
        <w:t>Jussila</w:t>
      </w:r>
      <w:proofErr w:type="spellEnd"/>
      <w:r w:rsidR="00F81449" w:rsidRPr="0051003F">
        <w:rPr>
          <w:lang w:val="pl-PL"/>
        </w:rPr>
        <w:t xml:space="preserve"> bardzo pragmatycznie, </w:t>
      </w:r>
      <w:r w:rsidR="00F81449" w:rsidRPr="0051003F">
        <w:rPr>
          <w:lang w:val="pl-PL"/>
        </w:rPr>
        <w:lastRenderedPageBreak/>
        <w:t>na podstawie tego, że skarżący miał możliwość przedstawienia sprawy na piśmie i skomentowania uwag organów podatkowych.</w:t>
      </w:r>
    </w:p>
    <w:p w:rsidR="00F81449" w:rsidRPr="0051003F" w:rsidRDefault="001C1232" w:rsidP="00F81449">
      <w:pPr>
        <w:ind w:firstLine="284"/>
        <w:rPr>
          <w:lang w:val="pl-PL"/>
        </w:rPr>
      </w:pPr>
      <w:r w:rsidRPr="0051003F">
        <w:rPr>
          <w:lang w:val="pl-PL"/>
        </w:rPr>
        <w:t>30.  </w:t>
      </w:r>
      <w:r w:rsidR="00F81449" w:rsidRPr="0051003F">
        <w:rPr>
          <w:lang w:val="pl-PL"/>
        </w:rPr>
        <w:t xml:space="preserve">Brak jasności pojęciowej w odniesieniu do definicji „twardego prawa karnego" w art. 6 jest jeszcze bardziej pogłębiony przez fakt, że stosowanie kryterium </w:t>
      </w:r>
      <w:proofErr w:type="spellStart"/>
      <w:r w:rsidR="00F81449" w:rsidRPr="0051003F">
        <w:rPr>
          <w:i/>
          <w:lang w:val="pl-PL"/>
        </w:rPr>
        <w:t>Engela</w:t>
      </w:r>
      <w:proofErr w:type="spellEnd"/>
      <w:r w:rsidR="00F81449" w:rsidRPr="0051003F">
        <w:rPr>
          <w:lang w:val="pl-PL"/>
        </w:rPr>
        <w:t xml:space="preserve"> jest zazwyczaj w większym stopniu uzależnione od wagi zastosowanych i mających zastosowanie kar, niż od charakteru zarzutów stawianych pozwanemu. Trybunał częściej niż rzadziej woli nie rozwiązywać kwestii zastosowania kryteriów </w:t>
      </w:r>
      <w:proofErr w:type="spellStart"/>
      <w:r w:rsidR="00F81449" w:rsidRPr="0051003F">
        <w:rPr>
          <w:i/>
          <w:lang w:val="pl-PL"/>
        </w:rPr>
        <w:t>Engela</w:t>
      </w:r>
      <w:proofErr w:type="spellEnd"/>
      <w:r w:rsidR="00F81449" w:rsidRPr="0051003F">
        <w:rPr>
          <w:lang w:val="pl-PL"/>
        </w:rPr>
        <w:t xml:space="preserve">, odwołując się do czysto ilościowej oceny spornych przestępstw, a nie jakościowej. Dokonując analizy merytorycznej charakteru przestępstwa, często posługuje się błędnym argumentem </w:t>
      </w:r>
      <w:proofErr w:type="spellStart"/>
      <w:r w:rsidR="00F81449" w:rsidRPr="0051003F">
        <w:rPr>
          <w:i/>
          <w:lang w:val="pl-PL"/>
        </w:rPr>
        <w:t>Öztürk</w:t>
      </w:r>
      <w:proofErr w:type="spellEnd"/>
      <w:r w:rsidR="00F81449" w:rsidRPr="0051003F">
        <w:rPr>
          <w:lang w:val="pl-PL"/>
        </w:rPr>
        <w:t xml:space="preserve"> dotyczącym ograniczonego zakresu podmiotowego normy</w:t>
      </w:r>
      <w:r w:rsidR="00F81449" w:rsidRPr="0051003F">
        <w:rPr>
          <w:vertAlign w:val="superscript"/>
          <w:lang w:val="pl-PL"/>
        </w:rPr>
        <w:footnoteReference w:id="90"/>
      </w:r>
      <w:r w:rsidR="00F81449" w:rsidRPr="0051003F">
        <w:rPr>
          <w:lang w:val="pl-PL"/>
        </w:rPr>
        <w:t>.</w:t>
      </w:r>
    </w:p>
    <w:p w:rsidR="003864DE" w:rsidRPr="0051003F" w:rsidRDefault="001C1232" w:rsidP="003864DE">
      <w:pPr>
        <w:ind w:firstLine="284"/>
        <w:rPr>
          <w:lang w:val="pl-PL"/>
        </w:rPr>
      </w:pPr>
      <w:r w:rsidRPr="0051003F">
        <w:rPr>
          <w:lang w:val="pl-PL"/>
        </w:rPr>
        <w:t>31.  </w:t>
      </w:r>
      <w:r w:rsidR="003864DE" w:rsidRPr="0051003F">
        <w:rPr>
          <w:lang w:val="pl-PL"/>
        </w:rPr>
        <w:t xml:space="preserve">Podsumowując, wybór polityki </w:t>
      </w:r>
      <w:proofErr w:type="spellStart"/>
      <w:r w:rsidR="003864DE" w:rsidRPr="0051003F">
        <w:rPr>
          <w:i/>
          <w:lang w:val="pl-PL"/>
        </w:rPr>
        <w:t>Öztürk</w:t>
      </w:r>
      <w:proofErr w:type="spellEnd"/>
      <w:r w:rsidR="003864DE" w:rsidRPr="0051003F">
        <w:rPr>
          <w:lang w:val="pl-PL"/>
        </w:rPr>
        <w:t xml:space="preserve"> polegający na </w:t>
      </w:r>
      <w:r w:rsidR="00D47D22" w:rsidRPr="0051003F">
        <w:rPr>
          <w:lang w:val="pl-PL"/>
        </w:rPr>
        <w:t>„</w:t>
      </w:r>
      <w:r w:rsidR="003864DE" w:rsidRPr="0051003F">
        <w:rPr>
          <w:lang w:val="pl-PL"/>
        </w:rPr>
        <w:t xml:space="preserve">kryminalizacji" drobnych wykroczeń administracyjnych w rozumieniu art. 6 został zasadniczo poddany przeglądowi w </w:t>
      </w:r>
      <w:proofErr w:type="spellStart"/>
      <w:r w:rsidR="003864DE" w:rsidRPr="0051003F">
        <w:rPr>
          <w:i/>
          <w:lang w:val="pl-PL"/>
        </w:rPr>
        <w:t>Jussili</w:t>
      </w:r>
      <w:proofErr w:type="spellEnd"/>
      <w:r w:rsidR="003864DE" w:rsidRPr="0051003F">
        <w:rPr>
          <w:lang w:val="pl-PL"/>
        </w:rPr>
        <w:t xml:space="preserve">. Wyraźne rozszerzenie tego wyboru polityki na sankcje podatkowe zostało ostatecznie osłabione przez zorientowane na efektywność i pragmatyczne stanowisko Trybunału, który uznał te drobne przestępstwa za „przestępcze", choć nie „kryminalne", a nie za </w:t>
      </w:r>
      <w:r w:rsidR="00953392">
        <w:rPr>
          <w:lang w:val="pl-PL"/>
        </w:rPr>
        <w:t>,,</w:t>
      </w:r>
      <w:r w:rsidR="003864DE" w:rsidRPr="0051003F">
        <w:rPr>
          <w:lang w:val="pl-PL"/>
        </w:rPr>
        <w:t>twarde przestępstwo", a zatem nie w pełni zasłużył sobie na ochronę kryminalną wymiaru art. 6. Interesy związane z efekt</w:t>
      </w:r>
      <w:r w:rsidR="00953392">
        <w:rPr>
          <w:lang w:val="pl-PL"/>
        </w:rPr>
        <w:t>y</w:t>
      </w:r>
      <w:r w:rsidR="003864DE" w:rsidRPr="0051003F">
        <w:rPr>
          <w:lang w:val="pl-PL"/>
        </w:rPr>
        <w:t>wnym pobieraniem podatków zostały postawione ponad inne sprawy.</w:t>
      </w:r>
    </w:p>
    <w:p w:rsidR="00337211" w:rsidRPr="0051003F" w:rsidRDefault="001C1232" w:rsidP="00337211">
      <w:pPr>
        <w:ind w:firstLine="284"/>
        <w:rPr>
          <w:lang w:val="pl-PL"/>
        </w:rPr>
      </w:pPr>
      <w:r w:rsidRPr="0051003F">
        <w:rPr>
          <w:lang w:val="pl-PL"/>
        </w:rPr>
        <w:t>32.  </w:t>
      </w:r>
      <w:r w:rsidR="00337211" w:rsidRPr="0051003F">
        <w:rPr>
          <w:lang w:val="pl-PL"/>
        </w:rPr>
        <w:t xml:space="preserve">Tak czy inaczej, przesłanie Trybunału w </w:t>
      </w:r>
      <w:proofErr w:type="spellStart"/>
      <w:r w:rsidR="00337211" w:rsidRPr="0051003F">
        <w:rPr>
          <w:i/>
          <w:lang w:val="pl-PL"/>
        </w:rPr>
        <w:t>Jussili</w:t>
      </w:r>
      <w:proofErr w:type="spellEnd"/>
      <w:r w:rsidR="00337211" w:rsidRPr="0051003F">
        <w:rPr>
          <w:lang w:val="pl-PL"/>
        </w:rPr>
        <w:t xml:space="preserve"> jest ważne również dla Norwegii. Nałożone w niniejszej sprawie kary podatkowe miały charakter karny, a odnośne postępowanie podatkowe miało charakter karny w rozumieniu art. 4 </w:t>
      </w:r>
      <w:r w:rsidR="00143FA1">
        <w:rPr>
          <w:lang w:val="pl-PL"/>
        </w:rPr>
        <w:t>P</w:t>
      </w:r>
      <w:r w:rsidR="00337211" w:rsidRPr="0051003F">
        <w:rPr>
          <w:lang w:val="pl-PL"/>
        </w:rPr>
        <w:t xml:space="preserve">rotokołu nr 7. Norweskie kary podatkowe w wysokości 30 %, z ogólną możliwą maksymalną wysokością 60 % za umyślne lub rażące niedbalstwo, są znacznie wyższe od standardu </w:t>
      </w:r>
      <w:proofErr w:type="spellStart"/>
      <w:r w:rsidR="00337211" w:rsidRPr="0051003F">
        <w:rPr>
          <w:i/>
          <w:lang w:val="pl-PL"/>
        </w:rPr>
        <w:t>Jussila</w:t>
      </w:r>
      <w:proofErr w:type="spellEnd"/>
      <w:r w:rsidR="00337211" w:rsidRPr="0051003F">
        <w:rPr>
          <w:lang w:val="pl-PL"/>
        </w:rPr>
        <w:t>.</w:t>
      </w:r>
    </w:p>
    <w:p w:rsidR="00337211" w:rsidRPr="0051003F" w:rsidRDefault="00337211" w:rsidP="00337211">
      <w:pPr>
        <w:rPr>
          <w:lang w:val="pl-PL"/>
        </w:rPr>
      </w:pPr>
      <w:r w:rsidRPr="0051003F">
        <w:rPr>
          <w:lang w:val="pl-PL"/>
        </w:rPr>
        <w:t xml:space="preserve">Takie jest również stanowisko większości </w:t>
      </w:r>
      <w:r w:rsidR="00E95EAC">
        <w:rPr>
          <w:lang w:val="pl-PL"/>
        </w:rPr>
        <w:t>W</w:t>
      </w:r>
      <w:r w:rsidRPr="0051003F">
        <w:rPr>
          <w:lang w:val="pl-PL"/>
        </w:rPr>
        <w:t xml:space="preserve">ielkiej </w:t>
      </w:r>
      <w:r w:rsidR="00E95EAC">
        <w:rPr>
          <w:lang w:val="pl-PL"/>
        </w:rPr>
        <w:t>I</w:t>
      </w:r>
      <w:r w:rsidRPr="0051003F">
        <w:rPr>
          <w:lang w:val="pl-PL"/>
        </w:rPr>
        <w:t xml:space="preserve">zby w niniejszej sprawie, ponieważ potwierdzają </w:t>
      </w:r>
      <w:r w:rsidR="00103C42" w:rsidRPr="0051003F">
        <w:rPr>
          <w:lang w:val="pl-PL"/>
        </w:rPr>
        <w:t>on</w:t>
      </w:r>
      <w:r w:rsidR="00103C42">
        <w:rPr>
          <w:lang w:val="pl-PL"/>
        </w:rPr>
        <w:t>o</w:t>
      </w:r>
      <w:r w:rsidRPr="0051003F">
        <w:rPr>
          <w:lang w:val="pl-PL"/>
        </w:rPr>
        <w:t xml:space="preserve">, wbrew twierdzeniom </w:t>
      </w:r>
      <w:r w:rsidR="00103C42">
        <w:rPr>
          <w:lang w:val="pl-PL"/>
        </w:rPr>
        <w:t>R</w:t>
      </w:r>
      <w:r w:rsidRPr="0051003F">
        <w:rPr>
          <w:lang w:val="pl-PL"/>
        </w:rPr>
        <w:t xml:space="preserve">ządu </w:t>
      </w:r>
      <w:r w:rsidRPr="0051003F">
        <w:rPr>
          <w:vertAlign w:val="superscript"/>
          <w:lang w:val="pl-PL"/>
        </w:rPr>
        <w:footnoteReference w:id="91"/>
      </w:r>
      <w:r w:rsidRPr="0051003F">
        <w:rPr>
          <w:lang w:val="pl-PL"/>
        </w:rPr>
        <w:t xml:space="preserve">, że art. </w:t>
      </w:r>
      <w:r w:rsidRPr="0051003F">
        <w:rPr>
          <w:lang w:val="pl-PL"/>
        </w:rPr>
        <w:lastRenderedPageBreak/>
        <w:t xml:space="preserve">4 </w:t>
      </w:r>
      <w:r w:rsidR="00103C42">
        <w:rPr>
          <w:lang w:val="pl-PL"/>
        </w:rPr>
        <w:t>P</w:t>
      </w:r>
      <w:r w:rsidRPr="0051003F">
        <w:rPr>
          <w:lang w:val="pl-PL"/>
        </w:rPr>
        <w:t xml:space="preserve">rotokołu nr 7 nie zawęża pojęcia </w:t>
      </w:r>
      <w:r w:rsidR="00D47D22" w:rsidRPr="0051003F">
        <w:rPr>
          <w:lang w:val="pl-PL"/>
        </w:rPr>
        <w:t>„</w:t>
      </w:r>
      <w:r w:rsidRPr="0051003F">
        <w:rPr>
          <w:lang w:val="pl-PL"/>
        </w:rPr>
        <w:t xml:space="preserve">przestępczy". Większość głosów odrzuca zatem przyjęte podejście w </w:t>
      </w:r>
      <w:proofErr w:type="spellStart"/>
      <w:r w:rsidRPr="0051003F">
        <w:rPr>
          <w:i/>
          <w:lang w:val="pl-PL"/>
        </w:rPr>
        <w:t>Storbråten</w:t>
      </w:r>
      <w:proofErr w:type="spellEnd"/>
      <w:r w:rsidRPr="0051003F">
        <w:rPr>
          <w:vertAlign w:val="superscript"/>
          <w:lang w:val="pl-PL"/>
        </w:rPr>
        <w:footnoteReference w:id="92"/>
      </w:r>
      <w:r w:rsidRPr="0051003F">
        <w:rPr>
          <w:lang w:val="pl-PL"/>
        </w:rPr>
        <w:t>,</w:t>
      </w:r>
      <w:r w:rsidRPr="0051003F">
        <w:rPr>
          <w:i/>
          <w:lang w:val="pl-PL"/>
        </w:rPr>
        <w:t xml:space="preserve"> </w:t>
      </w:r>
      <w:proofErr w:type="spellStart"/>
      <w:r w:rsidRPr="0051003F">
        <w:rPr>
          <w:i/>
          <w:lang w:val="pl-PL"/>
        </w:rPr>
        <w:t>Mjelde</w:t>
      </w:r>
      <w:proofErr w:type="spellEnd"/>
      <w:r w:rsidRPr="0051003F">
        <w:rPr>
          <w:vertAlign w:val="superscript"/>
          <w:lang w:val="pl-PL"/>
        </w:rPr>
        <w:footnoteReference w:id="93"/>
      </w:r>
      <w:r w:rsidRPr="0051003F">
        <w:rPr>
          <w:i/>
          <w:lang w:val="pl-PL"/>
        </w:rPr>
        <w:t xml:space="preserve"> </w:t>
      </w:r>
      <w:r w:rsidRPr="0051003F">
        <w:rPr>
          <w:lang w:val="pl-PL"/>
        </w:rPr>
        <w:t>i</w:t>
      </w:r>
      <w:r w:rsidRPr="0051003F">
        <w:rPr>
          <w:i/>
          <w:lang w:val="pl-PL"/>
        </w:rPr>
        <w:t xml:space="preserve"> </w:t>
      </w:r>
      <w:proofErr w:type="spellStart"/>
      <w:r w:rsidRPr="0051003F">
        <w:rPr>
          <w:i/>
          <w:lang w:val="pl-PL"/>
        </w:rPr>
        <w:t>Haarvig</w:t>
      </w:r>
      <w:proofErr w:type="spellEnd"/>
      <w:r w:rsidRPr="0051003F">
        <w:rPr>
          <w:vertAlign w:val="superscript"/>
          <w:lang w:val="pl-PL"/>
        </w:rPr>
        <w:footnoteReference w:id="94"/>
      </w:r>
      <w:r w:rsidRPr="0051003F">
        <w:rPr>
          <w:lang w:val="pl-PL"/>
        </w:rPr>
        <w:t xml:space="preserve">, w przypadku gdy Trybunał zaakceptował szerszy zakres kryteriów niż kryteria </w:t>
      </w:r>
      <w:proofErr w:type="spellStart"/>
      <w:r w:rsidRPr="0051003F">
        <w:rPr>
          <w:i/>
          <w:lang w:val="pl-PL"/>
        </w:rPr>
        <w:t>Engela</w:t>
      </w:r>
      <w:proofErr w:type="spellEnd"/>
      <w:r w:rsidRPr="0051003F">
        <w:rPr>
          <w:lang w:val="pl-PL"/>
        </w:rPr>
        <w:t xml:space="preserve"> w celu ustalenia istnienia postępowania karnego na mocy art. 4 </w:t>
      </w:r>
      <w:r w:rsidR="00103C42">
        <w:rPr>
          <w:lang w:val="pl-PL"/>
        </w:rPr>
        <w:t>P</w:t>
      </w:r>
      <w:r w:rsidRPr="0051003F">
        <w:rPr>
          <w:lang w:val="pl-PL"/>
        </w:rPr>
        <w:t>rotokołu nr 7.</w:t>
      </w:r>
    </w:p>
    <w:p w:rsidR="00507696" w:rsidRPr="0051003F" w:rsidRDefault="004F2920" w:rsidP="00A7252F">
      <w:pPr>
        <w:keepNext/>
        <w:keepLines/>
        <w:spacing w:before="720" w:after="240"/>
        <w:outlineLvl w:val="0"/>
        <w:rPr>
          <w:rFonts w:asciiTheme="majorHAnsi" w:hAnsiTheme="majorHAnsi"/>
          <w:sz w:val="28"/>
          <w:lang w:val="pl-PL" w:eastAsia="fr-FR"/>
        </w:rPr>
      </w:pPr>
      <w:bookmarkStart w:id="234" w:name="_Toc473801933"/>
      <w:bookmarkStart w:id="235" w:name="_Toc473802186"/>
      <w:r w:rsidRPr="0051003F">
        <w:rPr>
          <w:rFonts w:asciiTheme="majorHAnsi" w:hAnsiTheme="majorHAnsi"/>
          <w:sz w:val="28"/>
          <w:lang w:val="pl-PL" w:eastAsia="fr-FR"/>
        </w:rPr>
        <w:t>Część druga</w:t>
      </w:r>
      <w:r w:rsidR="00EE0AC7" w:rsidRPr="0051003F">
        <w:rPr>
          <w:rFonts w:asciiTheme="majorHAnsi" w:hAnsiTheme="majorHAnsi"/>
          <w:sz w:val="28"/>
          <w:lang w:val="pl-PL" w:eastAsia="fr-FR"/>
        </w:rPr>
        <w:t xml:space="preserve"> </w:t>
      </w:r>
      <w:r w:rsidR="00EE0AC7" w:rsidRPr="0051003F">
        <w:rPr>
          <w:lang w:val="pl-PL"/>
        </w:rPr>
        <w:t>(§§ 33</w:t>
      </w:r>
      <w:r w:rsidR="00EE0AC7" w:rsidRPr="0051003F">
        <w:rPr>
          <w:lang w:val="pl-PL"/>
        </w:rPr>
        <w:noBreakHyphen/>
        <w:t>80)</w:t>
      </w:r>
      <w:bookmarkEnd w:id="234"/>
      <w:bookmarkEnd w:id="235"/>
    </w:p>
    <w:p w:rsidR="00507696" w:rsidRPr="0051003F" w:rsidRDefault="001C1232" w:rsidP="00A7252F">
      <w:pPr>
        <w:keepNext/>
        <w:keepLines/>
        <w:spacing w:before="360" w:after="240"/>
        <w:ind w:left="357" w:hanging="357"/>
        <w:outlineLvl w:val="1"/>
        <w:rPr>
          <w:rFonts w:asciiTheme="majorHAnsi" w:eastAsiaTheme="majorEastAsia" w:hAnsiTheme="majorHAnsi" w:cstheme="majorBidi"/>
          <w:b/>
          <w:bCs/>
          <w:i/>
          <w:szCs w:val="28"/>
          <w:lang w:val="pl-PL" w:eastAsia="fr-FR"/>
        </w:rPr>
      </w:pPr>
      <w:bookmarkStart w:id="236" w:name="_Toc473801934"/>
      <w:bookmarkStart w:id="237" w:name="_Toc473802187"/>
      <w:r w:rsidRPr="0051003F">
        <w:rPr>
          <w:rFonts w:asciiTheme="majorHAnsi" w:eastAsiaTheme="majorEastAsia" w:hAnsiTheme="majorHAnsi" w:cstheme="majorBidi"/>
          <w:b/>
          <w:bCs/>
          <w:szCs w:val="28"/>
          <w:lang w:val="pl-PL" w:eastAsia="fr-FR"/>
        </w:rPr>
        <w:t>IV </w:t>
      </w:r>
      <w:r w:rsidR="0018606D" w:rsidRPr="0051003F">
        <w:rPr>
          <w:rFonts w:asciiTheme="majorHAnsi" w:eastAsiaTheme="majorEastAsia" w:hAnsiTheme="majorHAnsi" w:cstheme="majorBidi"/>
          <w:b/>
          <w:bCs/>
          <w:szCs w:val="28"/>
          <w:lang w:val="pl-PL" w:eastAsia="fr-FR"/>
        </w:rPr>
        <w:t>–</w:t>
      </w:r>
      <w:r w:rsidRPr="0051003F">
        <w:rPr>
          <w:rFonts w:asciiTheme="majorHAnsi" w:eastAsiaTheme="majorEastAsia" w:hAnsiTheme="majorHAnsi" w:cstheme="majorBidi"/>
          <w:b/>
          <w:bCs/>
          <w:szCs w:val="28"/>
          <w:lang w:val="pl-PL" w:eastAsia="fr-FR"/>
        </w:rPr>
        <w:t> </w:t>
      </w:r>
      <w:r w:rsidR="0018606D" w:rsidRPr="0051003F">
        <w:rPr>
          <w:rFonts w:asciiTheme="majorHAnsi" w:eastAsiaTheme="majorEastAsia" w:hAnsiTheme="majorHAnsi" w:cstheme="majorBidi"/>
          <w:b/>
          <w:bCs/>
          <w:szCs w:val="28"/>
          <w:lang w:val="pl-PL" w:eastAsia="fr-FR"/>
        </w:rPr>
        <w:t xml:space="preserve">Dziedzictwo </w:t>
      </w:r>
      <w:r w:rsidRPr="0051003F">
        <w:rPr>
          <w:rFonts w:asciiTheme="majorHAnsi" w:eastAsiaTheme="majorEastAsia" w:hAnsiTheme="majorHAnsi" w:cstheme="majorBidi"/>
          <w:b/>
          <w:bCs/>
          <w:i/>
          <w:szCs w:val="28"/>
          <w:lang w:val="pl-PL" w:eastAsia="fr-FR"/>
        </w:rPr>
        <w:t>pro persona</w:t>
      </w:r>
      <w:r w:rsidR="004F2920" w:rsidRPr="0051003F">
        <w:rPr>
          <w:rFonts w:asciiTheme="majorHAnsi" w:eastAsiaTheme="majorEastAsia" w:hAnsiTheme="majorHAnsi" w:cstheme="majorBidi"/>
          <w:b/>
          <w:bCs/>
          <w:i/>
          <w:szCs w:val="28"/>
          <w:lang w:val="pl-PL" w:eastAsia="fr-FR"/>
        </w:rPr>
        <w:t xml:space="preserve"> </w:t>
      </w:r>
      <w:r w:rsidR="004F2920" w:rsidRPr="0051003F">
        <w:rPr>
          <w:rFonts w:asciiTheme="majorHAnsi" w:eastAsiaTheme="majorEastAsia" w:hAnsiTheme="majorHAnsi" w:cstheme="majorBidi"/>
          <w:b/>
          <w:bCs/>
          <w:szCs w:val="28"/>
          <w:lang w:val="pl-PL" w:eastAsia="fr-FR"/>
        </w:rPr>
        <w:t>w sprawie</w:t>
      </w:r>
      <w:r w:rsidRPr="0051003F">
        <w:rPr>
          <w:rFonts w:asciiTheme="majorHAnsi" w:eastAsiaTheme="majorEastAsia" w:hAnsiTheme="majorHAnsi" w:cstheme="majorBidi"/>
          <w:b/>
          <w:bCs/>
          <w:i/>
          <w:szCs w:val="28"/>
          <w:lang w:val="pl-PL" w:eastAsia="fr-FR"/>
        </w:rPr>
        <w:t xml:space="preserve"> </w:t>
      </w:r>
      <w:proofErr w:type="spellStart"/>
      <w:r w:rsidRPr="0051003F">
        <w:rPr>
          <w:rFonts w:asciiTheme="majorHAnsi" w:eastAsiaTheme="majorEastAsia" w:hAnsiTheme="majorHAnsi" w:cstheme="majorBidi"/>
          <w:b/>
          <w:bCs/>
          <w:i/>
          <w:szCs w:val="28"/>
          <w:lang w:val="pl-PL" w:eastAsia="fr-FR"/>
        </w:rPr>
        <w:t>Sergey</w:t>
      </w:r>
      <w:proofErr w:type="spellEnd"/>
      <w:r w:rsidRPr="0051003F">
        <w:rPr>
          <w:rFonts w:asciiTheme="majorHAnsi" w:eastAsiaTheme="majorEastAsia" w:hAnsiTheme="majorHAnsi" w:cstheme="majorBidi"/>
          <w:b/>
          <w:bCs/>
          <w:i/>
          <w:szCs w:val="28"/>
          <w:lang w:val="pl-PL" w:eastAsia="fr-FR"/>
        </w:rPr>
        <w:t xml:space="preserve"> </w:t>
      </w:r>
      <w:proofErr w:type="spellStart"/>
      <w:r w:rsidRPr="0051003F">
        <w:rPr>
          <w:rFonts w:asciiTheme="majorHAnsi" w:eastAsiaTheme="majorEastAsia" w:hAnsiTheme="majorHAnsi" w:cstheme="majorBidi"/>
          <w:b/>
          <w:bCs/>
          <w:i/>
          <w:szCs w:val="28"/>
          <w:lang w:val="pl-PL" w:eastAsia="fr-FR"/>
        </w:rPr>
        <w:t>Zolotukhi</w:t>
      </w:r>
      <w:r w:rsidR="00BC61A9" w:rsidRPr="0051003F">
        <w:rPr>
          <w:rFonts w:asciiTheme="majorHAnsi" w:eastAsiaTheme="majorEastAsia" w:hAnsiTheme="majorHAnsi" w:cstheme="majorBidi"/>
          <w:b/>
          <w:bCs/>
          <w:i/>
          <w:szCs w:val="28"/>
          <w:lang w:val="pl-PL" w:eastAsia="fr-FR"/>
        </w:rPr>
        <w:t>n</w:t>
      </w:r>
      <w:proofErr w:type="spellEnd"/>
      <w:r w:rsidR="00EE0AC7" w:rsidRPr="0051003F">
        <w:rPr>
          <w:rFonts w:asciiTheme="majorHAnsi" w:eastAsiaTheme="majorEastAsia" w:hAnsiTheme="majorHAnsi" w:cstheme="majorBidi"/>
          <w:b/>
          <w:bCs/>
          <w:i/>
          <w:szCs w:val="28"/>
          <w:lang w:val="pl-PL" w:eastAsia="fr-FR"/>
        </w:rPr>
        <w:t xml:space="preserve"> </w:t>
      </w:r>
      <w:r w:rsidR="00EE0AC7" w:rsidRPr="0051003F">
        <w:rPr>
          <w:b/>
          <w:lang w:val="pl-PL"/>
        </w:rPr>
        <w:t>(§§ 33</w:t>
      </w:r>
      <w:r w:rsidR="00EE0AC7" w:rsidRPr="0051003F">
        <w:rPr>
          <w:b/>
          <w:lang w:val="pl-PL"/>
        </w:rPr>
        <w:noBreakHyphen/>
        <w:t>49)</w:t>
      </w:r>
      <w:bookmarkEnd w:id="236"/>
      <w:bookmarkEnd w:id="237"/>
    </w:p>
    <w:p w:rsidR="00507696" w:rsidRPr="0051003F" w:rsidRDefault="001C1232" w:rsidP="00A7252F">
      <w:pPr>
        <w:keepNext/>
        <w:keepLines/>
        <w:tabs>
          <w:tab w:val="left" w:pos="584"/>
        </w:tabs>
        <w:spacing w:before="360" w:after="240"/>
        <w:ind w:left="635" w:hanging="357"/>
        <w:outlineLvl w:val="2"/>
        <w:rPr>
          <w:rFonts w:asciiTheme="majorHAnsi" w:eastAsiaTheme="majorEastAsia" w:hAnsiTheme="majorHAnsi" w:cstheme="majorBidi"/>
          <w:b/>
          <w:bCs/>
          <w:szCs w:val="26"/>
          <w:lang w:val="pl-PL" w:eastAsia="fr-FR"/>
        </w:rPr>
      </w:pPr>
      <w:bookmarkStart w:id="238" w:name="_Toc473801935"/>
      <w:bookmarkStart w:id="239" w:name="_Toc473802188"/>
      <w:r w:rsidRPr="0051003F">
        <w:rPr>
          <w:rFonts w:asciiTheme="majorHAnsi" w:eastAsiaTheme="majorEastAsia" w:hAnsiTheme="majorHAnsi" w:cstheme="majorBidi"/>
          <w:b/>
          <w:bCs/>
          <w:szCs w:val="26"/>
          <w:lang w:val="pl-PL" w:eastAsia="fr-FR"/>
        </w:rPr>
        <w:t>A.</w:t>
      </w:r>
      <w:r w:rsidR="0018606D" w:rsidRPr="0051003F">
        <w:rPr>
          <w:rFonts w:asciiTheme="majorHAnsi" w:eastAsiaTheme="majorEastAsia" w:hAnsiTheme="majorHAnsi" w:cstheme="majorBidi"/>
          <w:b/>
          <w:bCs/>
          <w:szCs w:val="26"/>
          <w:lang w:val="pl-PL" w:eastAsia="fr-FR"/>
        </w:rPr>
        <w:t xml:space="preserve"> Połączenie sankcji administracyjnych i karnych </w:t>
      </w:r>
      <w:r w:rsidR="00EE0AC7" w:rsidRPr="0051003F">
        <w:rPr>
          <w:b/>
          <w:lang w:val="pl-PL"/>
        </w:rPr>
        <w:t>(§§ 33</w:t>
      </w:r>
      <w:r w:rsidR="00EE0AC7" w:rsidRPr="0051003F">
        <w:rPr>
          <w:b/>
          <w:lang w:val="pl-PL"/>
        </w:rPr>
        <w:noBreakHyphen/>
        <w:t>39)</w:t>
      </w:r>
      <w:bookmarkEnd w:id="238"/>
      <w:bookmarkEnd w:id="239"/>
      <w:r w:rsidR="0018606D" w:rsidRPr="0051003F">
        <w:rPr>
          <w:b/>
          <w:lang w:val="pl-PL"/>
        </w:rPr>
        <w:t>.</w:t>
      </w:r>
    </w:p>
    <w:p w:rsidR="00507696" w:rsidRPr="0051003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val="pl-PL" w:eastAsia="fr-FR"/>
        </w:rPr>
      </w:pPr>
      <w:bookmarkStart w:id="240" w:name="_Toc473801936"/>
      <w:bookmarkStart w:id="241" w:name="_Toc473802189"/>
      <w:r w:rsidRPr="0051003F">
        <w:rPr>
          <w:rFonts w:asciiTheme="majorHAnsi" w:eastAsiaTheme="majorEastAsia" w:hAnsiTheme="majorHAnsi" w:cstheme="majorBidi"/>
          <w:b/>
          <w:bCs/>
          <w:sz w:val="20"/>
          <w:lang w:val="pl-PL" w:eastAsia="fr-FR"/>
        </w:rPr>
        <w:t xml:space="preserve">a.   </w:t>
      </w:r>
      <w:proofErr w:type="spellStart"/>
      <w:r w:rsidR="0018606D" w:rsidRPr="0051003F">
        <w:rPr>
          <w:rFonts w:asciiTheme="majorHAnsi" w:eastAsiaTheme="majorEastAsia" w:hAnsiTheme="majorHAnsi" w:cstheme="majorBidi"/>
          <w:b/>
          <w:bCs/>
          <w:i/>
          <w:sz w:val="20"/>
          <w:lang w:val="pl-PL" w:eastAsia="fr-FR"/>
        </w:rPr>
        <w:t>I</w:t>
      </w:r>
      <w:r w:rsidRPr="0051003F">
        <w:rPr>
          <w:rFonts w:asciiTheme="majorHAnsi" w:eastAsiaTheme="majorEastAsia" w:hAnsiTheme="majorHAnsi" w:cstheme="majorBidi"/>
          <w:b/>
          <w:bCs/>
          <w:i/>
          <w:sz w:val="20"/>
          <w:lang w:val="pl-PL" w:eastAsia="fr-FR"/>
        </w:rPr>
        <w:t>dem</w:t>
      </w:r>
      <w:proofErr w:type="spellEnd"/>
      <w:r w:rsidRPr="0051003F">
        <w:rPr>
          <w:rFonts w:asciiTheme="majorHAnsi" w:eastAsiaTheme="majorEastAsia" w:hAnsiTheme="majorHAnsi" w:cstheme="majorBidi"/>
          <w:b/>
          <w:bCs/>
          <w:i/>
          <w:sz w:val="20"/>
          <w:lang w:val="pl-PL" w:eastAsia="fr-FR"/>
        </w:rPr>
        <w:t xml:space="preserve"> factum</w:t>
      </w:r>
      <w:r w:rsidRPr="0051003F">
        <w:rPr>
          <w:rFonts w:asciiTheme="majorHAnsi" w:eastAsiaTheme="majorEastAsia" w:hAnsiTheme="majorHAnsi" w:cstheme="majorBidi"/>
          <w:b/>
          <w:bCs/>
          <w:sz w:val="20"/>
          <w:lang w:val="pl-PL" w:eastAsia="fr-FR"/>
        </w:rPr>
        <w:t xml:space="preserve"> </w:t>
      </w:r>
      <w:r w:rsidR="0018606D" w:rsidRPr="0051003F">
        <w:rPr>
          <w:rFonts w:asciiTheme="majorHAnsi" w:eastAsiaTheme="majorEastAsia" w:hAnsiTheme="majorHAnsi" w:cstheme="majorBidi"/>
          <w:b/>
          <w:bCs/>
          <w:sz w:val="20"/>
          <w:lang w:val="pl-PL" w:eastAsia="fr-FR"/>
        </w:rPr>
        <w:t>w procedurach administracyjnych i karnych</w:t>
      </w:r>
      <w:r w:rsidR="00EE0AC7" w:rsidRPr="0051003F">
        <w:rPr>
          <w:rFonts w:asciiTheme="majorHAnsi" w:eastAsiaTheme="majorEastAsia" w:hAnsiTheme="majorHAnsi" w:cstheme="majorBidi"/>
          <w:b/>
          <w:bCs/>
          <w:sz w:val="20"/>
          <w:lang w:val="pl-PL" w:eastAsia="fr-FR"/>
        </w:rPr>
        <w:t xml:space="preserve"> (§§ 33</w:t>
      </w:r>
      <w:r w:rsidR="00EE0AC7" w:rsidRPr="0051003F">
        <w:rPr>
          <w:rFonts w:asciiTheme="majorHAnsi" w:eastAsiaTheme="majorEastAsia" w:hAnsiTheme="majorHAnsi" w:cstheme="majorBidi"/>
          <w:b/>
          <w:bCs/>
          <w:sz w:val="20"/>
          <w:lang w:val="pl-PL" w:eastAsia="fr-FR"/>
        </w:rPr>
        <w:noBreakHyphen/>
        <w:t>36)</w:t>
      </w:r>
      <w:bookmarkEnd w:id="240"/>
      <w:bookmarkEnd w:id="241"/>
    </w:p>
    <w:p w:rsidR="001C1232" w:rsidRPr="0051003F" w:rsidRDefault="001C1232" w:rsidP="0018606D">
      <w:pPr>
        <w:ind w:firstLine="284"/>
        <w:rPr>
          <w:lang w:val="pl-PL"/>
        </w:rPr>
      </w:pPr>
      <w:r w:rsidRPr="0051003F">
        <w:rPr>
          <w:lang w:val="pl-PL"/>
        </w:rPr>
        <w:t>33.  </w:t>
      </w:r>
      <w:r w:rsidR="0018606D" w:rsidRPr="0051003F">
        <w:rPr>
          <w:lang w:val="pl-PL"/>
        </w:rPr>
        <w:t xml:space="preserve">Art. 4 </w:t>
      </w:r>
      <w:r w:rsidR="00103C42">
        <w:rPr>
          <w:lang w:val="pl-PL"/>
        </w:rPr>
        <w:t>P</w:t>
      </w:r>
      <w:r w:rsidR="0018606D" w:rsidRPr="0051003F">
        <w:rPr>
          <w:lang w:val="pl-PL"/>
        </w:rPr>
        <w:t xml:space="preserve">rotokołu nr 7 zakazuje ścigania lub sądzenia osób za przestępstwo, za które zostały już one ostatecznie uniewinnione lub skazane. Podejście podkreślające charakter prawny przestępstwa </w:t>
      </w:r>
      <w:r w:rsidR="0018606D" w:rsidRPr="0051003F">
        <w:rPr>
          <w:i/>
          <w:lang w:val="pl-PL"/>
        </w:rPr>
        <w:t>(</w:t>
      </w:r>
      <w:proofErr w:type="spellStart"/>
      <w:r w:rsidR="0018606D" w:rsidRPr="0051003F">
        <w:rPr>
          <w:i/>
          <w:lang w:val="pl-PL"/>
        </w:rPr>
        <w:t>idem</w:t>
      </w:r>
      <w:proofErr w:type="spellEnd"/>
      <w:r w:rsidR="0018606D" w:rsidRPr="0051003F">
        <w:rPr>
          <w:i/>
          <w:lang w:val="pl-PL"/>
        </w:rPr>
        <w:t xml:space="preserve"> </w:t>
      </w:r>
      <w:proofErr w:type="spellStart"/>
      <w:r w:rsidR="0018606D" w:rsidRPr="0051003F">
        <w:rPr>
          <w:i/>
          <w:lang w:val="pl-PL"/>
        </w:rPr>
        <w:t>crimen</w:t>
      </w:r>
      <w:proofErr w:type="spellEnd"/>
      <w:r w:rsidR="0018606D" w:rsidRPr="0051003F">
        <w:rPr>
          <w:i/>
          <w:lang w:val="pl-PL"/>
        </w:rPr>
        <w:t>)</w:t>
      </w:r>
      <w:r w:rsidR="0018606D" w:rsidRPr="0051003F">
        <w:rPr>
          <w:lang w:val="pl-PL"/>
        </w:rPr>
        <w:t xml:space="preserve"> byłoby zbyt restrykcyjne. Gdyby Trybunał ograniczył się do stwierdzenia, że dana osoba była ścigana za przestępstwa o innej klasyfikacji prawnej, ryzykowałby podważeniem gwarancji zawartej w art. 4 </w:t>
      </w:r>
      <w:r w:rsidR="005C4CB4">
        <w:rPr>
          <w:lang w:val="pl-PL"/>
        </w:rPr>
        <w:t>P</w:t>
      </w:r>
      <w:r w:rsidR="0018606D" w:rsidRPr="0051003F">
        <w:rPr>
          <w:lang w:val="pl-PL"/>
        </w:rPr>
        <w:t>rotokołu nr 7 z dwóch powodów. Po pierwsze, ten sam fakt można uznać za przestępstwo karne w różnych państwach, ale jego elementy składowe mogą się znacznie różnić. Po drugie, różne państwa mogą uznać ten sam fakt za przestępstwo karne lub administracyjne (czyli przestępstwo niemające charakteru karnego)</w:t>
      </w:r>
      <w:r w:rsidRPr="0051003F">
        <w:rPr>
          <w:vertAlign w:val="superscript"/>
          <w:lang w:val="pl-PL"/>
        </w:rPr>
        <w:footnoteReference w:id="95"/>
      </w:r>
      <w:r w:rsidRPr="0051003F">
        <w:rPr>
          <w:lang w:val="pl-PL"/>
        </w:rPr>
        <w:t>.</w:t>
      </w:r>
    </w:p>
    <w:p w:rsidR="007D3385" w:rsidRPr="0051003F" w:rsidRDefault="001C1232" w:rsidP="007D3385">
      <w:pPr>
        <w:ind w:firstLine="284"/>
        <w:rPr>
          <w:lang w:val="pl-PL"/>
        </w:rPr>
      </w:pPr>
      <w:r w:rsidRPr="0051003F">
        <w:rPr>
          <w:lang w:val="pl-PL"/>
        </w:rPr>
        <w:t>34.  </w:t>
      </w:r>
      <w:r w:rsidR="0018606D" w:rsidRPr="0051003F">
        <w:rPr>
          <w:lang w:val="pl-PL"/>
        </w:rPr>
        <w:t xml:space="preserve">W związku z tym art. 4 </w:t>
      </w:r>
      <w:r w:rsidR="005C4CB4">
        <w:rPr>
          <w:lang w:val="pl-PL"/>
        </w:rPr>
        <w:t>P</w:t>
      </w:r>
      <w:r w:rsidR="0018606D" w:rsidRPr="0051003F">
        <w:rPr>
          <w:lang w:val="pl-PL"/>
        </w:rPr>
        <w:t xml:space="preserve">rotokołu nr 7 należy rozumieć w ten sposób, że zakazuje on ponownego ścigania lub sądzenia przestępstwa, o ile wynikło ono z identycznych faktów lub faktów, które były zasadniczo takie same </w:t>
      </w:r>
      <w:r w:rsidR="0018606D" w:rsidRPr="0051003F">
        <w:rPr>
          <w:i/>
          <w:lang w:val="pl-PL"/>
        </w:rPr>
        <w:t>(</w:t>
      </w:r>
      <w:proofErr w:type="spellStart"/>
      <w:r w:rsidR="0018606D" w:rsidRPr="0051003F">
        <w:rPr>
          <w:i/>
          <w:lang w:val="pl-PL"/>
        </w:rPr>
        <w:t>idem</w:t>
      </w:r>
      <w:proofErr w:type="spellEnd"/>
      <w:r w:rsidR="0018606D" w:rsidRPr="0051003F">
        <w:rPr>
          <w:i/>
          <w:lang w:val="pl-PL"/>
        </w:rPr>
        <w:t xml:space="preserve"> factum)</w:t>
      </w:r>
      <w:r w:rsidRPr="0051003F">
        <w:rPr>
          <w:vertAlign w:val="superscript"/>
          <w:lang w:val="pl-PL"/>
        </w:rPr>
        <w:footnoteReference w:id="96"/>
      </w:r>
      <w:r w:rsidRPr="0051003F">
        <w:rPr>
          <w:lang w:val="pl-PL"/>
        </w:rPr>
        <w:t xml:space="preserve">. </w:t>
      </w:r>
      <w:r w:rsidR="0018606D" w:rsidRPr="0051003F">
        <w:rPr>
          <w:lang w:val="pl-PL"/>
        </w:rPr>
        <w:t xml:space="preserve">W związku z tym istotne jest, zdaniem Trybunału, </w:t>
      </w:r>
      <w:r w:rsidR="0018606D" w:rsidRPr="0051003F">
        <w:rPr>
          <w:lang w:val="pl-PL"/>
        </w:rPr>
        <w:lastRenderedPageBreak/>
        <w:t>skoncentrowanie się na faktach, które stanowiły zbiór konkretnych okoliczności faktycznych dotyczących tego samego oskarżonego i nierozerwalnie ze sobą powiązanych w czasie i przestrzeni, których istnienie musi zostać wykazane w celu wydania wyroku skazującego lub wszczęcia postępowania karnego</w:t>
      </w:r>
      <w:r w:rsidRPr="0051003F">
        <w:rPr>
          <w:vertAlign w:val="superscript"/>
          <w:lang w:val="pl-PL"/>
        </w:rPr>
        <w:footnoteReference w:id="97"/>
      </w:r>
      <w:r w:rsidRPr="0051003F">
        <w:rPr>
          <w:lang w:val="pl-PL"/>
        </w:rPr>
        <w:t xml:space="preserve">. </w:t>
      </w:r>
      <w:r w:rsidR="007D3385" w:rsidRPr="0051003F">
        <w:rPr>
          <w:lang w:val="pl-PL"/>
        </w:rPr>
        <w:t xml:space="preserve">Oznacza to, że zakres zakazu obejmuje ściganie nowych przestępstw, które pozostają w związku z oczywistą zbieżnością </w:t>
      </w:r>
      <w:r w:rsidRPr="0051003F">
        <w:rPr>
          <w:lang w:val="pl-PL"/>
        </w:rPr>
        <w:t>(</w:t>
      </w:r>
      <w:proofErr w:type="spellStart"/>
      <w:r w:rsidRPr="0051003F">
        <w:rPr>
          <w:i/>
          <w:lang w:val="pl-PL"/>
        </w:rPr>
        <w:t>concours</w:t>
      </w:r>
      <w:proofErr w:type="spellEnd"/>
      <w:r w:rsidRPr="0051003F">
        <w:rPr>
          <w:i/>
          <w:lang w:val="pl-PL"/>
        </w:rPr>
        <w:t xml:space="preserve"> </w:t>
      </w:r>
      <w:proofErr w:type="spellStart"/>
      <w:r w:rsidRPr="0051003F">
        <w:rPr>
          <w:i/>
          <w:lang w:val="pl-PL"/>
        </w:rPr>
        <w:t>apparent</w:t>
      </w:r>
      <w:proofErr w:type="spellEnd"/>
      <w:r w:rsidRPr="0051003F">
        <w:rPr>
          <w:lang w:val="pl-PL"/>
        </w:rPr>
        <w:t xml:space="preserve">, </w:t>
      </w:r>
      <w:proofErr w:type="spellStart"/>
      <w:r w:rsidRPr="0051003F">
        <w:rPr>
          <w:i/>
          <w:lang w:val="pl-PL"/>
        </w:rPr>
        <w:t>concorso</w:t>
      </w:r>
      <w:proofErr w:type="spellEnd"/>
      <w:r w:rsidRPr="0051003F">
        <w:rPr>
          <w:i/>
          <w:lang w:val="pl-PL"/>
        </w:rPr>
        <w:t xml:space="preserve"> </w:t>
      </w:r>
      <w:proofErr w:type="spellStart"/>
      <w:r w:rsidRPr="0051003F">
        <w:rPr>
          <w:i/>
          <w:lang w:val="pl-PL"/>
        </w:rPr>
        <w:t>apparente</w:t>
      </w:r>
      <w:proofErr w:type="spellEnd"/>
      <w:r w:rsidRPr="0051003F">
        <w:rPr>
          <w:lang w:val="pl-PL"/>
        </w:rPr>
        <w:t xml:space="preserve">, </w:t>
      </w:r>
      <w:proofErr w:type="spellStart"/>
      <w:r w:rsidRPr="0051003F">
        <w:rPr>
          <w:i/>
          <w:lang w:val="pl-PL"/>
        </w:rPr>
        <w:t>Gesetzeskonkurrenz</w:t>
      </w:r>
      <w:proofErr w:type="spellEnd"/>
      <w:r w:rsidRPr="0051003F">
        <w:rPr>
          <w:lang w:val="pl-PL"/>
        </w:rPr>
        <w:t xml:space="preserve">) </w:t>
      </w:r>
      <w:r w:rsidR="007D3385" w:rsidRPr="0051003F">
        <w:rPr>
          <w:lang w:val="pl-PL"/>
        </w:rPr>
        <w:t xml:space="preserve">lub </w:t>
      </w:r>
      <w:r w:rsidR="007414DE">
        <w:rPr>
          <w:lang w:val="pl-PL"/>
        </w:rPr>
        <w:t xml:space="preserve"> w </w:t>
      </w:r>
      <w:r w:rsidR="007D3385" w:rsidRPr="0051003F">
        <w:rPr>
          <w:lang w:val="pl-PL"/>
        </w:rPr>
        <w:t>rzeczywistym współdziałaniu</w:t>
      </w:r>
      <w:r w:rsidRPr="0051003F">
        <w:rPr>
          <w:lang w:val="pl-PL"/>
        </w:rPr>
        <w:t xml:space="preserve"> (</w:t>
      </w:r>
      <w:proofErr w:type="spellStart"/>
      <w:r w:rsidRPr="0051003F">
        <w:rPr>
          <w:i/>
          <w:lang w:val="pl-PL"/>
        </w:rPr>
        <w:t>concours</w:t>
      </w:r>
      <w:proofErr w:type="spellEnd"/>
      <w:r w:rsidRPr="0051003F">
        <w:rPr>
          <w:i/>
          <w:lang w:val="pl-PL"/>
        </w:rPr>
        <w:t xml:space="preserve"> </w:t>
      </w:r>
      <w:proofErr w:type="spellStart"/>
      <w:r w:rsidRPr="0051003F">
        <w:rPr>
          <w:i/>
          <w:lang w:val="pl-PL"/>
        </w:rPr>
        <w:t>idéal</w:t>
      </w:r>
      <w:proofErr w:type="spellEnd"/>
      <w:r w:rsidRPr="0051003F">
        <w:rPr>
          <w:i/>
          <w:lang w:val="pl-PL"/>
        </w:rPr>
        <w:t xml:space="preserve"> de </w:t>
      </w:r>
      <w:proofErr w:type="spellStart"/>
      <w:r w:rsidRPr="0051003F">
        <w:rPr>
          <w:i/>
          <w:lang w:val="pl-PL"/>
        </w:rPr>
        <w:t>crimes</w:t>
      </w:r>
      <w:proofErr w:type="spellEnd"/>
      <w:r w:rsidRPr="0051003F">
        <w:rPr>
          <w:lang w:val="pl-PL"/>
        </w:rPr>
        <w:t xml:space="preserve">, </w:t>
      </w:r>
      <w:proofErr w:type="spellStart"/>
      <w:r w:rsidRPr="0051003F">
        <w:rPr>
          <w:i/>
          <w:lang w:val="pl-PL"/>
        </w:rPr>
        <w:t>concorso</w:t>
      </w:r>
      <w:proofErr w:type="spellEnd"/>
      <w:r w:rsidRPr="0051003F">
        <w:rPr>
          <w:i/>
          <w:lang w:val="pl-PL"/>
        </w:rPr>
        <w:t xml:space="preserve"> ideale di </w:t>
      </w:r>
      <w:proofErr w:type="spellStart"/>
      <w:r w:rsidRPr="0051003F">
        <w:rPr>
          <w:i/>
          <w:lang w:val="pl-PL"/>
        </w:rPr>
        <w:t>reati</w:t>
      </w:r>
      <w:proofErr w:type="spellEnd"/>
      <w:r w:rsidRPr="0051003F">
        <w:rPr>
          <w:i/>
          <w:lang w:val="pl-PL"/>
        </w:rPr>
        <w:t>,</w:t>
      </w:r>
      <w:r w:rsidRPr="0051003F">
        <w:rPr>
          <w:lang w:val="pl-PL"/>
        </w:rPr>
        <w:t xml:space="preserve"> </w:t>
      </w:r>
      <w:proofErr w:type="spellStart"/>
      <w:r w:rsidRPr="0051003F">
        <w:rPr>
          <w:i/>
          <w:lang w:val="pl-PL"/>
        </w:rPr>
        <w:t>Idealkonkurrenz</w:t>
      </w:r>
      <w:proofErr w:type="spellEnd"/>
      <w:r w:rsidRPr="0051003F">
        <w:rPr>
          <w:lang w:val="pl-PL"/>
        </w:rPr>
        <w:t>)</w:t>
      </w:r>
      <w:r w:rsidRPr="0051003F">
        <w:rPr>
          <w:vertAlign w:val="superscript"/>
          <w:lang w:val="pl-PL"/>
        </w:rPr>
        <w:footnoteReference w:id="98"/>
      </w:r>
      <w:r w:rsidRPr="0051003F">
        <w:rPr>
          <w:lang w:val="pl-PL"/>
        </w:rPr>
        <w:t xml:space="preserve"> </w:t>
      </w:r>
      <w:r w:rsidR="007D3385" w:rsidRPr="0051003F">
        <w:rPr>
          <w:lang w:val="pl-PL"/>
        </w:rPr>
        <w:t xml:space="preserve">z przestępstwem czy przestępstwami, które były już przedmiotem </w:t>
      </w:r>
      <w:r w:rsidR="007414DE">
        <w:rPr>
          <w:lang w:val="pl-PL"/>
        </w:rPr>
        <w:t>o</w:t>
      </w:r>
      <w:r w:rsidR="007D3385" w:rsidRPr="0051003F">
        <w:rPr>
          <w:lang w:val="pl-PL"/>
        </w:rPr>
        <w:t xml:space="preserve">sądzenia. Ten sam zakaz obowiązuje w odniesieniu do różnych przestępstw łącznie </w:t>
      </w:r>
      <w:r w:rsidRPr="0051003F">
        <w:rPr>
          <w:lang w:val="pl-PL"/>
        </w:rPr>
        <w:t>(</w:t>
      </w:r>
      <w:proofErr w:type="spellStart"/>
      <w:r w:rsidRPr="0051003F">
        <w:rPr>
          <w:i/>
          <w:lang w:val="pl-PL"/>
        </w:rPr>
        <w:t>concours</w:t>
      </w:r>
      <w:proofErr w:type="spellEnd"/>
      <w:r w:rsidRPr="0051003F">
        <w:rPr>
          <w:i/>
          <w:lang w:val="pl-PL"/>
        </w:rPr>
        <w:t xml:space="preserve"> </w:t>
      </w:r>
      <w:proofErr w:type="spellStart"/>
      <w:r w:rsidRPr="0051003F">
        <w:rPr>
          <w:i/>
          <w:lang w:val="pl-PL"/>
        </w:rPr>
        <w:t>réel</w:t>
      </w:r>
      <w:proofErr w:type="spellEnd"/>
      <w:r w:rsidRPr="0051003F">
        <w:rPr>
          <w:i/>
          <w:lang w:val="pl-PL"/>
        </w:rPr>
        <w:t xml:space="preserve"> de </w:t>
      </w:r>
      <w:proofErr w:type="spellStart"/>
      <w:r w:rsidRPr="0051003F">
        <w:rPr>
          <w:i/>
          <w:lang w:val="pl-PL"/>
        </w:rPr>
        <w:t>crimes</w:t>
      </w:r>
      <w:proofErr w:type="spellEnd"/>
      <w:r w:rsidRPr="0051003F">
        <w:rPr>
          <w:lang w:val="pl-PL"/>
        </w:rPr>
        <w:t xml:space="preserve">, </w:t>
      </w:r>
      <w:proofErr w:type="spellStart"/>
      <w:r w:rsidRPr="0051003F">
        <w:rPr>
          <w:i/>
          <w:lang w:val="pl-PL"/>
        </w:rPr>
        <w:t>concorso</w:t>
      </w:r>
      <w:proofErr w:type="spellEnd"/>
      <w:r w:rsidRPr="0051003F">
        <w:rPr>
          <w:i/>
          <w:lang w:val="pl-PL"/>
        </w:rPr>
        <w:t xml:space="preserve"> materiale di </w:t>
      </w:r>
      <w:proofErr w:type="spellStart"/>
      <w:r w:rsidRPr="0051003F">
        <w:rPr>
          <w:i/>
          <w:lang w:val="pl-PL"/>
        </w:rPr>
        <w:t>reati</w:t>
      </w:r>
      <w:proofErr w:type="spellEnd"/>
      <w:r w:rsidRPr="0051003F">
        <w:rPr>
          <w:i/>
          <w:lang w:val="pl-PL"/>
        </w:rPr>
        <w:t xml:space="preserve">, </w:t>
      </w:r>
      <w:proofErr w:type="spellStart"/>
      <w:r w:rsidRPr="0051003F">
        <w:rPr>
          <w:i/>
          <w:lang w:val="pl-PL"/>
        </w:rPr>
        <w:t>Realkonkurrenz</w:t>
      </w:r>
      <w:proofErr w:type="spellEnd"/>
      <w:r w:rsidRPr="0051003F">
        <w:rPr>
          <w:lang w:val="pl-PL"/>
        </w:rPr>
        <w:t xml:space="preserve">) </w:t>
      </w:r>
      <w:r w:rsidR="007D3385" w:rsidRPr="0051003F">
        <w:rPr>
          <w:lang w:val="pl-PL"/>
        </w:rPr>
        <w:t xml:space="preserve">gdy są one połączone jednością czasową i przestrzenną. Oznacza to również, że skutek </w:t>
      </w:r>
      <w:proofErr w:type="spellStart"/>
      <w:r w:rsidR="007D3385" w:rsidRPr="0051003F">
        <w:rPr>
          <w:i/>
          <w:lang w:val="pl-PL"/>
        </w:rPr>
        <w:t>ne</w:t>
      </w:r>
      <w:proofErr w:type="spellEnd"/>
      <w:r w:rsidR="007D3385" w:rsidRPr="0051003F">
        <w:rPr>
          <w:i/>
          <w:lang w:val="pl-PL"/>
        </w:rPr>
        <w:t xml:space="preserve"> bis in </w:t>
      </w:r>
      <w:proofErr w:type="spellStart"/>
      <w:r w:rsidR="007D3385" w:rsidRPr="0051003F">
        <w:rPr>
          <w:i/>
          <w:lang w:val="pl-PL"/>
        </w:rPr>
        <w:t>idem</w:t>
      </w:r>
      <w:proofErr w:type="spellEnd"/>
      <w:r w:rsidR="007D3385" w:rsidRPr="0051003F">
        <w:rPr>
          <w:lang w:val="pl-PL"/>
        </w:rPr>
        <w:t xml:space="preserve"> orzeczenia dotyczącego ciągłego przestępstwa stoi na przeszkodzie ponownemu postawieniu w stan oskarżenia na rozprawie sądowej w sprawie zarzutów dotyczących wszelkich nowych czynów indywidualnych stanowiących część dziedziczenia po tym przestępstwie</w:t>
      </w:r>
      <w:r w:rsidRPr="0051003F">
        <w:rPr>
          <w:vertAlign w:val="superscript"/>
          <w:lang w:val="pl-PL"/>
        </w:rPr>
        <w:footnoteReference w:id="99"/>
      </w:r>
      <w:r w:rsidRPr="0051003F">
        <w:rPr>
          <w:lang w:val="pl-PL"/>
        </w:rPr>
        <w:t>.</w:t>
      </w:r>
    </w:p>
    <w:p w:rsidR="001C1232" w:rsidRPr="0051003F" w:rsidRDefault="001C1232" w:rsidP="00040872">
      <w:pPr>
        <w:ind w:firstLine="284"/>
        <w:rPr>
          <w:lang w:val="pl-PL"/>
        </w:rPr>
      </w:pPr>
      <w:r w:rsidRPr="0051003F">
        <w:rPr>
          <w:lang w:val="pl-PL"/>
        </w:rPr>
        <w:t>35</w:t>
      </w:r>
      <w:r w:rsidR="007D3385" w:rsidRPr="0051003F">
        <w:rPr>
          <w:lang w:val="pl-PL"/>
        </w:rPr>
        <w:t xml:space="preserve">. Reasumując, </w:t>
      </w:r>
      <w:proofErr w:type="spellStart"/>
      <w:r w:rsidR="007D3385" w:rsidRPr="0051003F">
        <w:rPr>
          <w:i/>
          <w:lang w:val="pl-PL"/>
        </w:rPr>
        <w:t>Sergey</w:t>
      </w:r>
      <w:proofErr w:type="spellEnd"/>
      <w:r w:rsidR="007D3385" w:rsidRPr="0051003F">
        <w:rPr>
          <w:i/>
          <w:lang w:val="pl-PL"/>
        </w:rPr>
        <w:t xml:space="preserve"> </w:t>
      </w:r>
      <w:proofErr w:type="spellStart"/>
      <w:r w:rsidR="007D3385" w:rsidRPr="0051003F">
        <w:rPr>
          <w:i/>
          <w:lang w:val="pl-PL"/>
        </w:rPr>
        <w:t>Zolotukhin</w:t>
      </w:r>
      <w:proofErr w:type="spellEnd"/>
      <w:r w:rsidR="007D3385" w:rsidRPr="0051003F">
        <w:rPr>
          <w:lang w:val="pl-PL"/>
        </w:rPr>
        <w:t xml:space="preserve"> potwierdza zasadę </w:t>
      </w:r>
      <w:proofErr w:type="spellStart"/>
      <w:r w:rsidR="007D3385" w:rsidRPr="0051003F">
        <w:rPr>
          <w:i/>
          <w:lang w:val="pl-PL"/>
        </w:rPr>
        <w:t>ne</w:t>
      </w:r>
      <w:proofErr w:type="spellEnd"/>
      <w:r w:rsidR="007D3385" w:rsidRPr="0051003F">
        <w:rPr>
          <w:i/>
          <w:lang w:val="pl-PL"/>
        </w:rPr>
        <w:t xml:space="preserve"> bis in </w:t>
      </w:r>
      <w:proofErr w:type="spellStart"/>
      <w:r w:rsidR="007D3385" w:rsidRPr="0051003F">
        <w:rPr>
          <w:i/>
          <w:lang w:val="pl-PL"/>
        </w:rPr>
        <w:t>idem</w:t>
      </w:r>
      <w:proofErr w:type="spellEnd"/>
      <w:r w:rsidR="007D3385" w:rsidRPr="0051003F">
        <w:rPr>
          <w:lang w:val="pl-PL"/>
        </w:rPr>
        <w:t xml:space="preserve"> jako prawo indywidualne w kanonie europejskich praw człowieka, w takim samym zakresie jak standardowa zasada wyczerpania procedury (</w:t>
      </w:r>
      <w:proofErr w:type="spellStart"/>
      <w:r w:rsidR="007D3385" w:rsidRPr="0051003F">
        <w:rPr>
          <w:i/>
          <w:lang w:val="pl-PL"/>
        </w:rPr>
        <w:t>Erledigungsprinzip</w:t>
      </w:r>
      <w:proofErr w:type="spellEnd"/>
      <w:r w:rsidR="007D3385" w:rsidRPr="0051003F">
        <w:rPr>
          <w:lang w:val="pl-PL"/>
        </w:rPr>
        <w:t>)</w:t>
      </w:r>
      <w:r w:rsidRPr="0051003F">
        <w:rPr>
          <w:vertAlign w:val="superscript"/>
          <w:lang w:val="pl-PL"/>
        </w:rPr>
        <w:footnoteReference w:id="100"/>
      </w:r>
      <w:r w:rsidRPr="0051003F">
        <w:rPr>
          <w:lang w:val="pl-PL"/>
        </w:rPr>
        <w:t>.</w:t>
      </w:r>
      <w:r w:rsidR="007D3385" w:rsidRPr="0051003F">
        <w:rPr>
          <w:lang w:val="pl-PL"/>
        </w:rPr>
        <w:t xml:space="preserve"> Ta gwarancja rozciąga się na prawo do niebycia dwukrotnie ściganym lub sądzonym</w:t>
      </w:r>
      <w:r w:rsidRPr="0051003F">
        <w:rPr>
          <w:vertAlign w:val="superscript"/>
          <w:lang w:val="pl-PL"/>
        </w:rPr>
        <w:footnoteReference w:id="101"/>
      </w:r>
      <w:r w:rsidRPr="0051003F">
        <w:rPr>
          <w:lang w:val="pl-PL"/>
        </w:rPr>
        <w:t xml:space="preserve">. </w:t>
      </w:r>
      <w:r w:rsidR="007D3385" w:rsidRPr="0051003F">
        <w:rPr>
          <w:lang w:val="pl-PL"/>
        </w:rPr>
        <w:t xml:space="preserve">Europejskie znaczenie tej zasady wykracza szeroko poza maksymę </w:t>
      </w:r>
      <w:r w:rsidRPr="0051003F">
        <w:rPr>
          <w:i/>
          <w:lang w:val="pl-PL"/>
        </w:rPr>
        <w:t xml:space="preserve">res </w:t>
      </w:r>
      <w:proofErr w:type="spellStart"/>
      <w:r w:rsidRPr="0051003F">
        <w:rPr>
          <w:i/>
          <w:lang w:val="pl-PL"/>
        </w:rPr>
        <w:t>judicata</w:t>
      </w:r>
      <w:proofErr w:type="spellEnd"/>
      <w:r w:rsidRPr="0051003F">
        <w:rPr>
          <w:i/>
          <w:lang w:val="pl-PL"/>
        </w:rPr>
        <w:t xml:space="preserve"> pro </w:t>
      </w:r>
      <w:proofErr w:type="spellStart"/>
      <w:r w:rsidRPr="0051003F">
        <w:rPr>
          <w:i/>
          <w:lang w:val="pl-PL"/>
        </w:rPr>
        <w:t>veritate</w:t>
      </w:r>
      <w:proofErr w:type="spellEnd"/>
      <w:r w:rsidRPr="0051003F">
        <w:rPr>
          <w:i/>
          <w:lang w:val="pl-PL"/>
        </w:rPr>
        <w:t xml:space="preserve"> </w:t>
      </w:r>
      <w:proofErr w:type="spellStart"/>
      <w:r w:rsidRPr="0051003F">
        <w:rPr>
          <w:i/>
          <w:lang w:val="pl-PL"/>
        </w:rPr>
        <w:t>habetur</w:t>
      </w:r>
      <w:proofErr w:type="spellEnd"/>
      <w:r w:rsidR="007D3385" w:rsidRPr="0051003F">
        <w:rPr>
          <w:lang w:val="pl-PL"/>
        </w:rPr>
        <w:t xml:space="preserve">, która ma na celu przede wszystkim ochronę ostatecznego, miarodajnego publicznego rozstrzygnięcia w sprawie </w:t>
      </w:r>
      <w:proofErr w:type="spellStart"/>
      <w:r w:rsidR="007D3385" w:rsidRPr="0051003F">
        <w:rPr>
          <w:i/>
          <w:lang w:val="pl-PL"/>
        </w:rPr>
        <w:t>crimen</w:t>
      </w:r>
      <w:proofErr w:type="spellEnd"/>
      <w:r w:rsidR="007D3385" w:rsidRPr="0051003F">
        <w:rPr>
          <w:lang w:val="pl-PL"/>
        </w:rPr>
        <w:t xml:space="preserve">, a tym samym zapewnienie pewności prawa i uniknięcie sprzecznych orzeczeń. Ponadto europejskie rozumienie zasady </w:t>
      </w:r>
      <w:proofErr w:type="spellStart"/>
      <w:r w:rsidR="007D3385" w:rsidRPr="0051003F">
        <w:rPr>
          <w:i/>
          <w:lang w:val="pl-PL"/>
        </w:rPr>
        <w:t>ne</w:t>
      </w:r>
      <w:proofErr w:type="spellEnd"/>
      <w:r w:rsidR="007D3385" w:rsidRPr="0051003F">
        <w:rPr>
          <w:i/>
          <w:lang w:val="pl-PL"/>
        </w:rPr>
        <w:t xml:space="preserve"> bis in </w:t>
      </w:r>
      <w:proofErr w:type="spellStart"/>
      <w:r w:rsidR="007D3385" w:rsidRPr="0051003F">
        <w:rPr>
          <w:i/>
          <w:lang w:val="pl-PL"/>
        </w:rPr>
        <w:t>idem</w:t>
      </w:r>
      <w:proofErr w:type="spellEnd"/>
      <w:r w:rsidR="007D3385" w:rsidRPr="0051003F">
        <w:rPr>
          <w:lang w:val="pl-PL"/>
        </w:rPr>
        <w:t xml:space="preserve"> ma na celu ochronę osoby podejrzanej o popełnienie zarzucanego przestępstwa przed podwójnym zagrożeniem, jeżeli uprzednie uniewinnienie lub skazanie uzyskało już powagę rzeczy osądzonej</w:t>
      </w:r>
      <w:r w:rsidRPr="0051003F">
        <w:rPr>
          <w:vertAlign w:val="superscript"/>
          <w:lang w:val="pl-PL"/>
        </w:rPr>
        <w:footnoteReference w:id="102"/>
      </w:r>
      <w:r w:rsidRPr="0051003F">
        <w:rPr>
          <w:lang w:val="pl-PL"/>
        </w:rPr>
        <w:t>.</w:t>
      </w:r>
      <w:r w:rsidR="00040872" w:rsidRPr="0051003F">
        <w:rPr>
          <w:lang w:val="pl-PL"/>
        </w:rPr>
        <w:t xml:space="preserve"> Niemniej jednak Trybunał zażądał w sprawie </w:t>
      </w:r>
      <w:proofErr w:type="spellStart"/>
      <w:r w:rsidRPr="0051003F">
        <w:rPr>
          <w:i/>
          <w:lang w:val="pl-PL"/>
        </w:rPr>
        <w:t>Sergey</w:t>
      </w:r>
      <w:proofErr w:type="spellEnd"/>
      <w:r w:rsidRPr="0051003F">
        <w:rPr>
          <w:i/>
          <w:lang w:val="pl-PL"/>
        </w:rPr>
        <w:t xml:space="preserve"> </w:t>
      </w:r>
      <w:proofErr w:type="spellStart"/>
      <w:r w:rsidRPr="0051003F">
        <w:rPr>
          <w:i/>
          <w:lang w:val="pl-PL"/>
        </w:rPr>
        <w:lastRenderedPageBreak/>
        <w:t>Zolotukhin</w:t>
      </w:r>
      <w:proofErr w:type="spellEnd"/>
      <w:r w:rsidR="00040872" w:rsidRPr="0051003F">
        <w:rPr>
          <w:i/>
          <w:lang w:val="pl-PL"/>
        </w:rPr>
        <w:t xml:space="preserve"> </w:t>
      </w:r>
      <w:r w:rsidR="00040872" w:rsidRPr="0051003F">
        <w:rPr>
          <w:lang w:val="pl-PL"/>
        </w:rPr>
        <w:t>dokonania porównania pomiędzy decyzj</w:t>
      </w:r>
      <w:r w:rsidR="009D31CD">
        <w:rPr>
          <w:lang w:val="pl-PL"/>
        </w:rPr>
        <w:t>ą</w:t>
      </w:r>
      <w:r w:rsidR="00040872" w:rsidRPr="0051003F">
        <w:rPr>
          <w:lang w:val="pl-PL"/>
        </w:rPr>
        <w:t xml:space="preserve">, na mocy której zakończono pierwsze „postępowanie karne" oraz </w:t>
      </w:r>
      <w:r w:rsidR="009D31CD" w:rsidRPr="0051003F">
        <w:rPr>
          <w:lang w:val="pl-PL"/>
        </w:rPr>
        <w:t>wykaz</w:t>
      </w:r>
      <w:r w:rsidR="009D31CD">
        <w:rPr>
          <w:lang w:val="pl-PL"/>
        </w:rPr>
        <w:t>em</w:t>
      </w:r>
      <w:r w:rsidR="009D31CD" w:rsidRPr="0051003F">
        <w:rPr>
          <w:lang w:val="pl-PL"/>
        </w:rPr>
        <w:t xml:space="preserve"> </w:t>
      </w:r>
      <w:r w:rsidR="00040872" w:rsidRPr="0051003F">
        <w:rPr>
          <w:lang w:val="pl-PL"/>
        </w:rPr>
        <w:t xml:space="preserve">zarzutów wniesionych przeciwko skarżącemu w nowym postępowaniu. W związku z tym, że okoliczności faktyczne w obu postępowaniach różniły się tylko jednym elementem, a mianowicie groźbą przemocy, o której nie wspominano w pierwszym postępowaniu, Trybunał stwierdził, że oskarżenie karne w rozumieniu art. 213 § 2 lit. b) kodeksu karnego obejmowało elementy przestępstwa w rozumieniu art. 158 kodeksu administracyjnego w całości </w:t>
      </w:r>
      <w:r w:rsidR="00786D67">
        <w:rPr>
          <w:lang w:val="pl-PL"/>
        </w:rPr>
        <w:t xml:space="preserve"> i odwrotnie, przestępstwo ,,</w:t>
      </w:r>
      <w:r w:rsidR="00786D67" w:rsidRPr="00786D67">
        <w:rPr>
          <w:lang w:val="pl-PL"/>
        </w:rPr>
        <w:t>drobnych nieuporządkowanych czynów" nie zawierało elementów</w:t>
      </w:r>
      <w:r w:rsidR="00786D67">
        <w:rPr>
          <w:lang w:val="pl-PL"/>
        </w:rPr>
        <w:t xml:space="preserve"> nie zawartych w przestępstwie  ,,aktów nieuporządkowanych" i </w:t>
      </w:r>
      <w:r w:rsidR="00786D67" w:rsidRPr="00786D67">
        <w:rPr>
          <w:lang w:val="pl-PL"/>
        </w:rPr>
        <w:t xml:space="preserve"> dotyczy zasadniczo tego samego przestępstwa </w:t>
      </w:r>
      <w:r w:rsidRPr="0051003F">
        <w:rPr>
          <w:vertAlign w:val="superscript"/>
          <w:lang w:val="pl-PL"/>
        </w:rPr>
        <w:footnoteReference w:id="103"/>
      </w:r>
      <w:r w:rsidR="00040872" w:rsidRPr="0051003F">
        <w:rPr>
          <w:lang w:val="pl-PL"/>
        </w:rPr>
        <w:t>”</w:t>
      </w:r>
      <w:r w:rsidRPr="0051003F">
        <w:rPr>
          <w:lang w:val="pl-PL"/>
        </w:rPr>
        <w:t>.</w:t>
      </w:r>
    </w:p>
    <w:p w:rsidR="00040872" w:rsidRPr="0051003F" w:rsidRDefault="001C1232" w:rsidP="00040872">
      <w:pPr>
        <w:ind w:firstLine="284"/>
        <w:rPr>
          <w:lang w:val="pl-PL"/>
        </w:rPr>
      </w:pPr>
      <w:r w:rsidRPr="0051003F">
        <w:rPr>
          <w:lang w:val="pl-PL"/>
        </w:rPr>
        <w:t>36.  </w:t>
      </w:r>
      <w:r w:rsidR="00040872" w:rsidRPr="0051003F">
        <w:rPr>
          <w:lang w:val="pl-PL"/>
        </w:rPr>
        <w:t xml:space="preserve">W związku z powyższym podzielam pogląd większości wielkiej izby w niniejszej sprawie, że przestępstwa karne, za które ścigano, skazywano i </w:t>
      </w:r>
      <w:r w:rsidR="00786D67">
        <w:rPr>
          <w:lang w:val="pl-PL"/>
        </w:rPr>
        <w:t>karano</w:t>
      </w:r>
      <w:r w:rsidR="00786D67" w:rsidRPr="0051003F">
        <w:rPr>
          <w:lang w:val="pl-PL"/>
        </w:rPr>
        <w:t xml:space="preserve"> </w:t>
      </w:r>
      <w:r w:rsidR="00040872" w:rsidRPr="0051003F">
        <w:rPr>
          <w:lang w:val="pl-PL"/>
        </w:rPr>
        <w:t>skarżących, opierały się na tych samych okolicznościach faktycznych, za które nałożono na nich kary podatkowe.</w:t>
      </w:r>
    </w:p>
    <w:p w:rsidR="00507696" w:rsidRPr="0051003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val="pl-PL" w:eastAsia="fr-FR"/>
        </w:rPr>
      </w:pPr>
      <w:bookmarkStart w:id="242" w:name="_Toc473801937"/>
      <w:bookmarkStart w:id="243" w:name="_Toc473802190"/>
      <w:r w:rsidRPr="0051003F">
        <w:rPr>
          <w:rFonts w:asciiTheme="majorHAnsi" w:eastAsiaTheme="majorEastAsia" w:hAnsiTheme="majorHAnsi" w:cstheme="majorBidi"/>
          <w:b/>
          <w:bCs/>
          <w:sz w:val="20"/>
          <w:lang w:val="pl-PL" w:eastAsia="fr-FR"/>
        </w:rPr>
        <w:t>b.  </w:t>
      </w:r>
      <w:r w:rsidR="00040872" w:rsidRPr="0051003F">
        <w:rPr>
          <w:rFonts w:asciiTheme="majorHAnsi" w:eastAsiaTheme="majorEastAsia" w:hAnsiTheme="majorHAnsi" w:cstheme="majorBidi"/>
          <w:b/>
          <w:bCs/>
          <w:sz w:val="20"/>
          <w:lang w:val="pl-PL" w:eastAsia="fr-FR"/>
        </w:rPr>
        <w:t xml:space="preserve">Ostateczność decyzji w postępowaniu </w:t>
      </w:r>
      <w:r w:rsidR="00BC61A9" w:rsidRPr="0051003F">
        <w:rPr>
          <w:rFonts w:asciiTheme="majorHAnsi" w:eastAsiaTheme="majorEastAsia" w:hAnsiTheme="majorHAnsi" w:cstheme="majorBidi"/>
          <w:b/>
          <w:bCs/>
          <w:sz w:val="20"/>
          <w:lang w:val="pl-PL" w:eastAsia="fr-FR"/>
        </w:rPr>
        <w:t>administracyjnym</w:t>
      </w:r>
      <w:r w:rsidR="00EE0AC7" w:rsidRPr="0051003F">
        <w:rPr>
          <w:rFonts w:asciiTheme="majorHAnsi" w:eastAsiaTheme="majorEastAsia" w:hAnsiTheme="majorHAnsi" w:cstheme="majorBidi"/>
          <w:b/>
          <w:bCs/>
          <w:sz w:val="20"/>
          <w:lang w:val="pl-PL" w:eastAsia="fr-FR"/>
        </w:rPr>
        <w:t xml:space="preserve"> (§§ 37</w:t>
      </w:r>
      <w:r w:rsidR="00EE0AC7" w:rsidRPr="0051003F">
        <w:rPr>
          <w:rFonts w:asciiTheme="majorHAnsi" w:eastAsiaTheme="majorEastAsia" w:hAnsiTheme="majorHAnsi" w:cstheme="majorBidi"/>
          <w:b/>
          <w:bCs/>
          <w:sz w:val="20"/>
          <w:lang w:val="pl-PL" w:eastAsia="fr-FR"/>
        </w:rPr>
        <w:noBreakHyphen/>
        <w:t>39)</w:t>
      </w:r>
      <w:bookmarkEnd w:id="242"/>
      <w:bookmarkEnd w:id="243"/>
    </w:p>
    <w:p w:rsidR="00040872" w:rsidRPr="0051003F" w:rsidRDefault="001C1232" w:rsidP="00040872">
      <w:pPr>
        <w:ind w:firstLine="284"/>
        <w:rPr>
          <w:lang w:val="pl-PL"/>
        </w:rPr>
      </w:pPr>
      <w:r w:rsidRPr="0051003F">
        <w:rPr>
          <w:lang w:val="pl-PL"/>
        </w:rPr>
        <w:t>37. </w:t>
      </w:r>
      <w:r w:rsidR="00040872" w:rsidRPr="0051003F">
        <w:rPr>
          <w:lang w:val="pl-PL"/>
        </w:rPr>
        <w:t xml:space="preserve">Celem art. 4 </w:t>
      </w:r>
      <w:r w:rsidR="00786D67">
        <w:rPr>
          <w:lang w:val="pl-PL"/>
        </w:rPr>
        <w:t>P</w:t>
      </w:r>
      <w:r w:rsidR="00040872" w:rsidRPr="0051003F">
        <w:rPr>
          <w:lang w:val="pl-PL"/>
        </w:rPr>
        <w:t>rotokołu nr 7 jest zakazanie powtarzania postępowań zakończonych „ostateczną" decyzją. Zgodnie z raportem wyjaśniającym w sprawie Protokołu nr 7, który odwołuje się z powrotem do Europejskiej konwencji o międzynarodowej ważności wyroków karnych, decyzja jest ostateczna „jeżeli zgodnie z tradycyjnym wyrażeniem uzyskała powagę rzeczy osądzonej. Dzieje się tak w przypadku, gdy jest to nieodwołalne, tj. gdy nie są dostępne żadne inne zwykłe środki zaradcze lub gdy strony wyczerpały te środki lub dopuściły do upływu terminu bez skorzystania z nich same "</w:t>
      </w:r>
      <w:r w:rsidR="00040872" w:rsidRPr="0051003F">
        <w:rPr>
          <w:vertAlign w:val="superscript"/>
          <w:lang w:val="pl-PL"/>
        </w:rPr>
        <w:footnoteReference w:id="104"/>
      </w:r>
      <w:r w:rsidR="00040872" w:rsidRPr="0051003F">
        <w:rPr>
          <w:lang w:val="pl-PL"/>
        </w:rPr>
        <w:t xml:space="preserve">. W sprawie </w:t>
      </w:r>
      <w:proofErr w:type="spellStart"/>
      <w:r w:rsidR="00040872" w:rsidRPr="0051003F">
        <w:rPr>
          <w:i/>
          <w:lang w:val="pl-PL"/>
        </w:rPr>
        <w:t>Sergey</w:t>
      </w:r>
      <w:proofErr w:type="spellEnd"/>
      <w:r w:rsidR="00040872" w:rsidRPr="0051003F">
        <w:rPr>
          <w:i/>
          <w:lang w:val="pl-PL"/>
        </w:rPr>
        <w:t xml:space="preserve"> </w:t>
      </w:r>
      <w:proofErr w:type="spellStart"/>
      <w:r w:rsidR="00040872" w:rsidRPr="0051003F">
        <w:rPr>
          <w:i/>
          <w:lang w:val="pl-PL"/>
        </w:rPr>
        <w:t>Zolotukhin</w:t>
      </w:r>
      <w:proofErr w:type="spellEnd"/>
      <w:r w:rsidR="00040872" w:rsidRPr="0051003F">
        <w:rPr>
          <w:lang w:val="pl-PL"/>
        </w:rPr>
        <w:t xml:space="preserve"> Trybunał przypomniał, </w:t>
      </w:r>
      <w:r w:rsidR="00B45819">
        <w:rPr>
          <w:lang w:val="pl-PL"/>
        </w:rPr>
        <w:t xml:space="preserve">że decyzje </w:t>
      </w:r>
      <w:r w:rsidR="00B45819" w:rsidRPr="00B45819">
        <w:rPr>
          <w:lang w:val="pl-PL"/>
        </w:rPr>
        <w:t>od których wniesiono zwykłe odwołanie, zostały wyłączone z zakresu</w:t>
      </w:r>
      <w:r w:rsidR="00B45819">
        <w:rPr>
          <w:lang w:val="pl-PL"/>
        </w:rPr>
        <w:t xml:space="preserve"> gwarancji zawartego w art. 4 P</w:t>
      </w:r>
      <w:r w:rsidR="00B45819" w:rsidRPr="00B45819">
        <w:rPr>
          <w:lang w:val="pl-PL"/>
        </w:rPr>
        <w:t>rotokołu nr 7, dopóki nie upłynął termin złożenia takiego odwołania.</w:t>
      </w:r>
      <w:r w:rsidR="00040872" w:rsidRPr="0051003F">
        <w:rPr>
          <w:lang w:val="pl-PL"/>
        </w:rPr>
        <w:t xml:space="preserve"> Z drugiej strony nadzwyczajne środki zaradcze, takie jak wniosek o wznowienie postępowania lub wniosek o przedłużenie terminu wygaśnięcia, nie są brane pod uwagę do celów ustalenia, czy postępowanie zostało ostatecznie zakończone.</w:t>
      </w:r>
    </w:p>
    <w:p w:rsidR="00040872" w:rsidRPr="0051003F" w:rsidRDefault="00040872" w:rsidP="00040872">
      <w:pPr>
        <w:ind w:firstLine="284"/>
        <w:rPr>
          <w:lang w:val="pl-PL"/>
        </w:rPr>
      </w:pPr>
    </w:p>
    <w:p w:rsidR="001C1232" w:rsidRPr="0051003F" w:rsidRDefault="001C1232" w:rsidP="00E90A64">
      <w:pPr>
        <w:ind w:firstLine="284"/>
        <w:rPr>
          <w:lang w:val="pl-PL"/>
        </w:rPr>
      </w:pPr>
      <w:r w:rsidRPr="0051003F">
        <w:rPr>
          <w:lang w:val="pl-PL"/>
        </w:rPr>
        <w:t>38.</w:t>
      </w:r>
      <w:r w:rsidR="00040872" w:rsidRPr="0051003F">
        <w:rPr>
          <w:lang w:val="pl-PL"/>
        </w:rPr>
        <w:t xml:space="preserve"> W przeciwieństwie do większości </w:t>
      </w:r>
      <w:r w:rsidR="00F97DFD">
        <w:rPr>
          <w:lang w:val="pl-PL"/>
        </w:rPr>
        <w:t>W</w:t>
      </w:r>
      <w:r w:rsidR="00040872" w:rsidRPr="0051003F">
        <w:rPr>
          <w:lang w:val="pl-PL"/>
        </w:rPr>
        <w:t xml:space="preserve">ielkiej </w:t>
      </w:r>
      <w:r w:rsidR="00F97DFD">
        <w:rPr>
          <w:lang w:val="pl-PL"/>
        </w:rPr>
        <w:t>I</w:t>
      </w:r>
      <w:r w:rsidR="00040872" w:rsidRPr="0051003F">
        <w:rPr>
          <w:lang w:val="pl-PL"/>
        </w:rPr>
        <w:t xml:space="preserve">zby, nie mogę zgodzić się ze stanowiskiem Sądu Najwyższego i skarżących w odniesieniu do </w:t>
      </w:r>
      <w:r w:rsidR="00040872" w:rsidRPr="0051003F">
        <w:rPr>
          <w:lang w:val="pl-PL"/>
        </w:rPr>
        <w:lastRenderedPageBreak/>
        <w:t>argumentu, jakoby wyroki w sprawie kary podatkowej stały się prawomocne w dniu 15 grudnia 2008 r</w:t>
      </w:r>
      <w:r w:rsidR="00F97DFD">
        <w:rPr>
          <w:lang w:val="pl-PL"/>
        </w:rPr>
        <w:t>oku</w:t>
      </w:r>
      <w:r w:rsidR="00040872" w:rsidRPr="0051003F">
        <w:rPr>
          <w:lang w:val="pl-PL"/>
        </w:rPr>
        <w:t xml:space="preserve"> w odniesieniu do pana A i w dniu 26 grudnia 2008 r</w:t>
      </w:r>
      <w:r w:rsidR="00F97DFD">
        <w:rPr>
          <w:lang w:val="pl-PL"/>
        </w:rPr>
        <w:t>oku</w:t>
      </w:r>
      <w:r w:rsidR="00040872" w:rsidRPr="0051003F">
        <w:rPr>
          <w:lang w:val="pl-PL"/>
        </w:rPr>
        <w:t xml:space="preserve"> w odniesieniu do pana B, tj. zanim sąd okręgowy skazał ich za to samo zachowanie, mimo że sześciomiesięczny termin do wniesienia skargi na podstawie art. 11-1 ust. 4 rozdziału 11 ustawy o kontroli podatkowej jeszcze nie upłynął. Ponieważ skarżący nadal mieli prawo dostępu do pełnej kontroli sądowej, nie rozumiem, jak można uznać, że decyzje administracyjne w sprawie kar podatkowych są </w:t>
      </w:r>
      <w:r w:rsidR="00F97DFD">
        <w:rPr>
          <w:lang w:val="pl-PL"/>
        </w:rPr>
        <w:t>,,</w:t>
      </w:r>
      <w:r w:rsidR="00040872" w:rsidRPr="0051003F">
        <w:rPr>
          <w:lang w:val="pl-PL"/>
        </w:rPr>
        <w:t>nieodwołalne"</w:t>
      </w:r>
      <w:r w:rsidRPr="0051003F">
        <w:rPr>
          <w:vertAlign w:val="superscript"/>
          <w:lang w:val="pl-PL"/>
        </w:rPr>
        <w:footnoteReference w:id="105"/>
      </w:r>
      <w:r w:rsidRPr="0051003F">
        <w:rPr>
          <w:lang w:val="pl-PL"/>
        </w:rPr>
        <w:t xml:space="preserve">. </w:t>
      </w:r>
      <w:r w:rsidR="00E90A64" w:rsidRPr="0051003F">
        <w:rPr>
          <w:lang w:val="pl-PL"/>
        </w:rPr>
        <w:t>Wniosek ten jest tym bardziej zdecydowany, że zważywszy na fakt, iż przedmiotowe organy administracyjne nie są ani niezależne, ani w ogóle nie są sądami, prawo dostępu do postępowania sądowego jest konieczne, aby sankcje</w:t>
      </w:r>
      <w:r w:rsidR="00F97DFD">
        <w:rPr>
          <w:lang w:val="pl-PL"/>
        </w:rPr>
        <w:t xml:space="preserve"> </w:t>
      </w:r>
      <w:proofErr w:type="spellStart"/>
      <w:r w:rsidR="00F97DFD" w:rsidRPr="00F97DFD">
        <w:rPr>
          <w:lang w:val="pl-PL"/>
        </w:rPr>
        <w:t>sankcje</w:t>
      </w:r>
      <w:proofErr w:type="spellEnd"/>
      <w:r w:rsidR="00F97DFD" w:rsidRPr="00F97DFD">
        <w:rPr>
          <w:lang w:val="pl-PL"/>
        </w:rPr>
        <w:t xml:space="preserve"> administracyjne był</w:t>
      </w:r>
      <w:r w:rsidR="00F97DFD">
        <w:rPr>
          <w:lang w:val="pl-PL"/>
        </w:rPr>
        <w:t>y zgodne z art. 6 ust. Konwencji</w:t>
      </w:r>
      <w:r w:rsidR="00F97DFD" w:rsidRPr="00F97DFD">
        <w:rPr>
          <w:lang w:val="pl-PL"/>
        </w:rPr>
        <w:t xml:space="preserve"> .</w:t>
      </w:r>
      <w:r w:rsidRPr="0051003F">
        <w:rPr>
          <w:vertAlign w:val="superscript"/>
          <w:lang w:val="pl-PL"/>
        </w:rPr>
        <w:footnoteReference w:id="106"/>
      </w:r>
      <w:r w:rsidRPr="0051003F">
        <w:rPr>
          <w:lang w:val="pl-PL"/>
        </w:rPr>
        <w:t>.</w:t>
      </w:r>
    </w:p>
    <w:p w:rsidR="00E90A64" w:rsidRPr="0051003F" w:rsidRDefault="00E90A64" w:rsidP="00E90A64">
      <w:pPr>
        <w:ind w:firstLine="284"/>
        <w:rPr>
          <w:lang w:val="pl-PL"/>
        </w:rPr>
      </w:pPr>
    </w:p>
    <w:p w:rsidR="00E90A64" w:rsidRPr="0051003F" w:rsidRDefault="001C1232" w:rsidP="00E90A64">
      <w:pPr>
        <w:ind w:firstLine="284"/>
        <w:rPr>
          <w:lang w:val="pl-PL"/>
        </w:rPr>
      </w:pPr>
      <w:r w:rsidRPr="0051003F">
        <w:rPr>
          <w:lang w:val="pl-PL"/>
        </w:rPr>
        <w:t>39. </w:t>
      </w:r>
      <w:r w:rsidR="00E90A64" w:rsidRPr="0051003F">
        <w:rPr>
          <w:lang w:val="pl-PL"/>
        </w:rPr>
        <w:t xml:space="preserve">Dokładna data uprawomocnienia się decyzji administracyjnych najwyraźniej nie jest faktem </w:t>
      </w:r>
      <w:proofErr w:type="spellStart"/>
      <w:r w:rsidR="00E90A64" w:rsidRPr="0051003F">
        <w:rPr>
          <w:lang w:val="pl-PL"/>
        </w:rPr>
        <w:t>anodynamicznym</w:t>
      </w:r>
      <w:proofErr w:type="spellEnd"/>
      <w:r w:rsidR="00E90A64" w:rsidRPr="0051003F">
        <w:rPr>
          <w:lang w:val="pl-PL"/>
        </w:rPr>
        <w:t xml:space="preserve">. Scenariusz prawny, w którym najpierw decyzja administracyjna o nałożeniu kar podatkowych staje się ostateczna, może różnić się od scenariusza, w którym najpierw zapadnie wyrok skazujący za popełnienie oszustwa podatkowego. Chociaż Trybunał stwierdził, że „kwestia, czy zasada </w:t>
      </w:r>
      <w:r w:rsidR="00E90A64" w:rsidRPr="00486852">
        <w:rPr>
          <w:i/>
          <w:lang w:val="pl-PL"/>
        </w:rPr>
        <w:t xml:space="preserve">non bis in </w:t>
      </w:r>
      <w:proofErr w:type="spellStart"/>
      <w:r w:rsidR="00E90A64" w:rsidRPr="00486852">
        <w:rPr>
          <w:i/>
          <w:lang w:val="pl-PL"/>
        </w:rPr>
        <w:t>idem</w:t>
      </w:r>
      <w:proofErr w:type="spellEnd"/>
      <w:r w:rsidR="00E90A64" w:rsidRPr="0051003F">
        <w:rPr>
          <w:lang w:val="pl-PL"/>
        </w:rPr>
        <w:t xml:space="preserve"> jest naruszona, czy też nie, dotyczy związku między dwoma rozpatrywanymi przestępstwami i dlatego nie może zależeć od kolejności, w jakiej prowadzone jest dane postępowanie"</w:t>
      </w:r>
      <w:r w:rsidRPr="0051003F">
        <w:rPr>
          <w:vertAlign w:val="superscript"/>
          <w:lang w:val="pl-PL"/>
        </w:rPr>
        <w:footnoteReference w:id="107"/>
      </w:r>
      <w:r w:rsidRPr="0051003F">
        <w:rPr>
          <w:lang w:val="pl-PL"/>
        </w:rPr>
        <w:t xml:space="preserve">, </w:t>
      </w:r>
      <w:r w:rsidR="00E90A64" w:rsidRPr="0051003F">
        <w:rPr>
          <w:lang w:val="pl-PL"/>
        </w:rPr>
        <w:t xml:space="preserve">skutki prawne prawomocnego wyroku skazującego w postępowaniu administracyjnym mogą się znacznie różnić od skutków prawnych ostatecznej decyzji administracyjnej w postępowaniu karnym. Większość z nich przymknęła oczy na to </w:t>
      </w:r>
      <w:proofErr w:type="spellStart"/>
      <w:r w:rsidR="00E90A64" w:rsidRPr="0051003F">
        <w:rPr>
          <w:i/>
          <w:lang w:val="pl-PL"/>
        </w:rPr>
        <w:t>distingu</w:t>
      </w:r>
      <w:r w:rsidR="00BC61A9" w:rsidRPr="0051003F">
        <w:rPr>
          <w:i/>
          <w:lang w:val="pl-PL"/>
        </w:rPr>
        <w:t>o</w:t>
      </w:r>
      <w:proofErr w:type="spellEnd"/>
      <w:r w:rsidR="00E90A64" w:rsidRPr="0051003F">
        <w:rPr>
          <w:lang w:val="pl-PL"/>
        </w:rPr>
        <w:t xml:space="preserve">, nie dokonując oceny różnych konsekwencji prawnych każdego z tych scenariuszy prawnych w prawie norweskim. Zakładają one po prostu, że postępowanie administracyjne i karne stanowi część </w:t>
      </w:r>
      <w:r w:rsidR="004C1381">
        <w:rPr>
          <w:lang w:val="pl-PL"/>
        </w:rPr>
        <w:t>,,</w:t>
      </w:r>
      <w:r w:rsidR="00E90A64" w:rsidRPr="0051003F">
        <w:rPr>
          <w:lang w:val="pl-PL"/>
        </w:rPr>
        <w:t>zintegrowanego podejścia do reagowania"</w:t>
      </w:r>
      <w:r w:rsidRPr="0051003F">
        <w:rPr>
          <w:vertAlign w:val="superscript"/>
          <w:lang w:val="pl-PL"/>
        </w:rPr>
        <w:footnoteReference w:id="108"/>
      </w:r>
      <w:r w:rsidRPr="0051003F">
        <w:rPr>
          <w:lang w:val="pl-PL"/>
        </w:rPr>
        <w:t>,</w:t>
      </w:r>
      <w:r w:rsidR="00E90A64" w:rsidRPr="0051003F">
        <w:rPr>
          <w:lang w:val="pl-PL"/>
        </w:rPr>
        <w:t xml:space="preserve"> stwierdzając</w:t>
      </w:r>
      <w:r w:rsidR="004C1381">
        <w:rPr>
          <w:lang w:val="pl-PL"/>
        </w:rPr>
        <w:t>,</w:t>
      </w:r>
      <w:r w:rsidR="00E90A64" w:rsidRPr="0051003F">
        <w:rPr>
          <w:lang w:val="pl-PL"/>
        </w:rPr>
        <w:t xml:space="preserve"> że rozstrzygnięcie kwestii zamknięcia postępowania administracyjnego nie było konieczne. Pokażę kolejne negatywne skutki tego stanowiska.</w:t>
      </w:r>
    </w:p>
    <w:p w:rsidR="00E90A64" w:rsidRPr="0051003F" w:rsidRDefault="00E90A64" w:rsidP="00E90A64">
      <w:pPr>
        <w:ind w:firstLine="284"/>
        <w:rPr>
          <w:lang w:val="pl-PL"/>
        </w:rPr>
      </w:pPr>
    </w:p>
    <w:p w:rsidR="00507696" w:rsidRPr="0051003F" w:rsidRDefault="001C1232" w:rsidP="00E90A64">
      <w:pPr>
        <w:keepNext/>
        <w:keepLines/>
        <w:tabs>
          <w:tab w:val="left" w:pos="584"/>
        </w:tabs>
        <w:spacing w:before="360" w:after="240"/>
        <w:outlineLvl w:val="2"/>
        <w:rPr>
          <w:rFonts w:asciiTheme="majorHAnsi" w:eastAsiaTheme="majorEastAsia" w:hAnsiTheme="majorHAnsi" w:cstheme="majorBidi"/>
          <w:b/>
          <w:bCs/>
          <w:szCs w:val="26"/>
          <w:lang w:val="pl-PL" w:eastAsia="fr-FR"/>
        </w:rPr>
      </w:pPr>
      <w:bookmarkStart w:id="244" w:name="_Toc473801938"/>
      <w:bookmarkStart w:id="245" w:name="_Toc473802191"/>
      <w:r w:rsidRPr="0051003F">
        <w:rPr>
          <w:rFonts w:asciiTheme="majorHAnsi" w:eastAsiaTheme="majorEastAsia" w:hAnsiTheme="majorHAnsi" w:cstheme="majorBidi"/>
          <w:b/>
          <w:bCs/>
          <w:szCs w:val="26"/>
          <w:lang w:val="pl-PL" w:eastAsia="fr-FR"/>
        </w:rPr>
        <w:lastRenderedPageBreak/>
        <w:t>B.  </w:t>
      </w:r>
      <w:r w:rsidR="009D17F8" w:rsidRPr="0051003F">
        <w:rPr>
          <w:rFonts w:asciiTheme="majorHAnsi" w:eastAsiaTheme="majorEastAsia" w:hAnsiTheme="majorHAnsi" w:cstheme="majorBidi"/>
          <w:b/>
          <w:bCs/>
          <w:szCs w:val="26"/>
          <w:lang w:val="pl-PL" w:eastAsia="fr-FR"/>
        </w:rPr>
        <w:t xml:space="preserve">Równoległe postępowania administracyjne i karne </w:t>
      </w:r>
      <w:r w:rsidRPr="0051003F">
        <w:rPr>
          <w:rFonts w:asciiTheme="majorHAnsi" w:eastAsiaTheme="majorEastAsia" w:hAnsiTheme="majorHAnsi" w:cstheme="majorBidi"/>
          <w:b/>
          <w:bCs/>
          <w:szCs w:val="26"/>
          <w:lang w:val="pl-PL" w:eastAsia="fr-FR"/>
        </w:rPr>
        <w:t>(</w:t>
      </w:r>
      <w:r w:rsidRPr="0051003F">
        <w:rPr>
          <w:rFonts w:asciiTheme="majorHAnsi" w:eastAsiaTheme="majorEastAsia" w:hAnsiTheme="majorHAnsi" w:cstheme="majorBidi"/>
          <w:b/>
          <w:bCs/>
          <w:i/>
          <w:szCs w:val="26"/>
          <w:lang w:val="pl-PL" w:eastAsia="fr-FR"/>
        </w:rPr>
        <w:t>bis</w:t>
      </w:r>
      <w:r w:rsidRPr="0051003F">
        <w:rPr>
          <w:rFonts w:asciiTheme="majorHAnsi" w:eastAsiaTheme="majorEastAsia" w:hAnsiTheme="majorHAnsi" w:cstheme="majorBidi"/>
          <w:b/>
          <w:bCs/>
          <w:szCs w:val="26"/>
          <w:lang w:val="pl-PL" w:eastAsia="fr-FR"/>
        </w:rPr>
        <w:t>)</w:t>
      </w:r>
      <w:r w:rsidR="00EE0AC7" w:rsidRPr="0051003F">
        <w:rPr>
          <w:rFonts w:asciiTheme="majorHAnsi" w:eastAsiaTheme="majorEastAsia" w:hAnsiTheme="majorHAnsi" w:cstheme="majorBidi"/>
          <w:b/>
          <w:bCs/>
          <w:szCs w:val="26"/>
          <w:lang w:val="pl-PL" w:eastAsia="fr-FR"/>
        </w:rPr>
        <w:t xml:space="preserve"> </w:t>
      </w:r>
      <w:r w:rsidR="00EE0AC7" w:rsidRPr="0051003F">
        <w:rPr>
          <w:b/>
          <w:lang w:val="pl-PL"/>
        </w:rPr>
        <w:t>(§§ 40</w:t>
      </w:r>
      <w:r w:rsidR="00EE0AC7" w:rsidRPr="0051003F">
        <w:rPr>
          <w:b/>
          <w:lang w:val="pl-PL"/>
        </w:rPr>
        <w:noBreakHyphen/>
        <w:t>49)</w:t>
      </w:r>
      <w:bookmarkEnd w:id="244"/>
      <w:bookmarkEnd w:id="245"/>
    </w:p>
    <w:p w:rsidR="00507696" w:rsidRPr="0051003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val="pl-PL" w:eastAsia="fr-FR"/>
        </w:rPr>
      </w:pPr>
      <w:bookmarkStart w:id="246" w:name="_Toc473801939"/>
      <w:bookmarkStart w:id="247" w:name="_Toc473802192"/>
      <w:r w:rsidRPr="0051003F">
        <w:rPr>
          <w:rFonts w:asciiTheme="majorHAnsi" w:eastAsiaTheme="majorEastAsia" w:hAnsiTheme="majorHAnsi" w:cstheme="majorBidi"/>
          <w:b/>
          <w:bCs/>
          <w:sz w:val="20"/>
          <w:lang w:val="pl-PL" w:eastAsia="fr-FR"/>
        </w:rPr>
        <w:t>a.  </w:t>
      </w:r>
      <w:r w:rsidR="002970C1" w:rsidRPr="0051003F">
        <w:rPr>
          <w:rFonts w:asciiTheme="majorHAnsi" w:eastAsiaTheme="majorEastAsia" w:hAnsiTheme="majorHAnsi" w:cstheme="majorBidi"/>
          <w:b/>
          <w:bCs/>
          <w:sz w:val="20"/>
          <w:lang w:val="pl-PL" w:eastAsia="fr-FR"/>
        </w:rPr>
        <w:t xml:space="preserve">Wystarczający związek czasowy </w:t>
      </w:r>
      <w:r w:rsidR="00EE0AC7" w:rsidRPr="0051003F">
        <w:rPr>
          <w:rFonts w:asciiTheme="majorHAnsi" w:eastAsiaTheme="majorEastAsia" w:hAnsiTheme="majorHAnsi" w:cstheme="majorBidi"/>
          <w:b/>
          <w:bCs/>
          <w:sz w:val="20"/>
          <w:lang w:val="pl-PL" w:eastAsia="fr-FR"/>
        </w:rPr>
        <w:t>(§§ 40</w:t>
      </w:r>
      <w:r w:rsidR="00EE0AC7" w:rsidRPr="0051003F">
        <w:rPr>
          <w:rFonts w:asciiTheme="majorHAnsi" w:eastAsiaTheme="majorEastAsia" w:hAnsiTheme="majorHAnsi" w:cstheme="majorBidi"/>
          <w:b/>
          <w:bCs/>
          <w:sz w:val="20"/>
          <w:lang w:val="pl-PL" w:eastAsia="fr-FR"/>
        </w:rPr>
        <w:noBreakHyphen/>
        <w:t>46)</w:t>
      </w:r>
      <w:bookmarkEnd w:id="246"/>
      <w:bookmarkEnd w:id="247"/>
    </w:p>
    <w:p w:rsidR="001C1232" w:rsidRPr="0051003F" w:rsidRDefault="001C1232" w:rsidP="009D17F8">
      <w:pPr>
        <w:ind w:firstLine="284"/>
        <w:rPr>
          <w:lang w:val="pl-PL"/>
        </w:rPr>
      </w:pPr>
      <w:r w:rsidRPr="0051003F">
        <w:rPr>
          <w:lang w:val="pl-PL"/>
        </w:rPr>
        <w:t>40.  </w:t>
      </w:r>
      <w:r w:rsidR="009D17F8" w:rsidRPr="0051003F">
        <w:rPr>
          <w:lang w:val="pl-PL"/>
        </w:rPr>
        <w:t>Mimo że Trybunał nie ustosunkował się do scenariusza równoległych postępowań</w:t>
      </w:r>
      <w:r w:rsidR="00BC61A9" w:rsidRPr="0051003F">
        <w:rPr>
          <w:lang w:val="pl-PL"/>
        </w:rPr>
        <w:t xml:space="preserve"> </w:t>
      </w:r>
      <w:r w:rsidRPr="0051003F">
        <w:rPr>
          <w:i/>
          <w:lang w:val="pl-PL"/>
        </w:rPr>
        <w:t xml:space="preserve">ex </w:t>
      </w:r>
      <w:proofErr w:type="spellStart"/>
      <w:r w:rsidRPr="0051003F">
        <w:rPr>
          <w:i/>
          <w:lang w:val="pl-PL"/>
        </w:rPr>
        <w:t>professo</w:t>
      </w:r>
      <w:proofErr w:type="spellEnd"/>
      <w:r w:rsidRPr="0051003F">
        <w:rPr>
          <w:lang w:val="pl-PL"/>
        </w:rPr>
        <w:t xml:space="preserve"> </w:t>
      </w:r>
      <w:r w:rsidR="00345DE6">
        <w:rPr>
          <w:lang w:val="pl-PL"/>
        </w:rPr>
        <w:t>w</w:t>
      </w:r>
      <w:r w:rsidR="00345DE6" w:rsidRPr="0051003F">
        <w:rPr>
          <w:lang w:val="pl-PL"/>
        </w:rPr>
        <w:t xml:space="preserve"> </w:t>
      </w:r>
      <w:proofErr w:type="spellStart"/>
      <w:r w:rsidRPr="0051003F">
        <w:rPr>
          <w:i/>
          <w:lang w:val="pl-PL"/>
        </w:rPr>
        <w:t>Sergey</w:t>
      </w:r>
      <w:proofErr w:type="spellEnd"/>
      <w:r w:rsidRPr="0051003F">
        <w:rPr>
          <w:i/>
          <w:lang w:val="pl-PL"/>
        </w:rPr>
        <w:t xml:space="preserve"> </w:t>
      </w:r>
      <w:proofErr w:type="spellStart"/>
      <w:r w:rsidRPr="0051003F">
        <w:rPr>
          <w:i/>
          <w:lang w:val="pl-PL"/>
        </w:rPr>
        <w:t>Zolotukhin</w:t>
      </w:r>
      <w:proofErr w:type="spellEnd"/>
      <w:r w:rsidRPr="0051003F">
        <w:rPr>
          <w:vertAlign w:val="superscript"/>
          <w:lang w:val="pl-PL"/>
        </w:rPr>
        <w:footnoteReference w:id="109"/>
      </w:r>
      <w:r w:rsidRPr="0051003F">
        <w:rPr>
          <w:lang w:val="pl-PL"/>
        </w:rPr>
        <w:t>,</w:t>
      </w:r>
      <w:r w:rsidR="009D17F8" w:rsidRPr="0051003F">
        <w:rPr>
          <w:lang w:val="pl-PL"/>
        </w:rPr>
        <w:t xml:space="preserve"> </w:t>
      </w:r>
      <w:r w:rsidR="00345DE6">
        <w:rPr>
          <w:lang w:val="pl-PL"/>
        </w:rPr>
        <w:t>usunął</w:t>
      </w:r>
      <w:r w:rsidR="00345DE6" w:rsidRPr="0051003F">
        <w:rPr>
          <w:lang w:val="pl-PL"/>
        </w:rPr>
        <w:t xml:space="preserve"> </w:t>
      </w:r>
      <w:r w:rsidR="009D17F8" w:rsidRPr="0051003F">
        <w:rPr>
          <w:lang w:val="pl-PL"/>
        </w:rPr>
        <w:t xml:space="preserve">on mylny, dodatkowy warunek, który </w:t>
      </w:r>
      <w:proofErr w:type="spellStart"/>
      <w:r w:rsidR="009D17F8" w:rsidRPr="0051003F">
        <w:rPr>
          <w:i/>
          <w:lang w:val="pl-PL"/>
        </w:rPr>
        <w:t>Zigarella</w:t>
      </w:r>
      <w:proofErr w:type="spellEnd"/>
      <w:r w:rsidR="009D17F8" w:rsidRPr="0051003F">
        <w:rPr>
          <w:lang w:val="pl-PL"/>
        </w:rPr>
        <w:t xml:space="preserve"> dodała do </w:t>
      </w:r>
      <w:r w:rsidR="009D17F8" w:rsidRPr="0051003F">
        <w:rPr>
          <w:i/>
          <w:lang w:val="pl-PL"/>
        </w:rPr>
        <w:t>bis</w:t>
      </w:r>
      <w:r w:rsidR="009D17F8" w:rsidRPr="0051003F">
        <w:rPr>
          <w:lang w:val="pl-PL"/>
        </w:rPr>
        <w:t xml:space="preserve">: wobec braku jakichkolwiek szkód udowodnionych przez </w:t>
      </w:r>
      <w:r w:rsidR="00E60597">
        <w:rPr>
          <w:lang w:val="pl-PL"/>
        </w:rPr>
        <w:t>skarżącego</w:t>
      </w:r>
      <w:r w:rsidR="009D17F8" w:rsidRPr="0051003F">
        <w:rPr>
          <w:lang w:val="pl-PL"/>
        </w:rPr>
        <w:t xml:space="preserve">, </w:t>
      </w:r>
      <w:r w:rsidR="00E60597">
        <w:rPr>
          <w:lang w:val="pl-PL"/>
        </w:rPr>
        <w:t>tylko</w:t>
      </w:r>
      <w:r w:rsidR="00E60597" w:rsidRPr="0051003F">
        <w:rPr>
          <w:lang w:val="pl-PL"/>
        </w:rPr>
        <w:t xml:space="preserve"> </w:t>
      </w:r>
      <w:r w:rsidR="009D17F8" w:rsidRPr="0051003F">
        <w:rPr>
          <w:lang w:val="pl-PL"/>
        </w:rPr>
        <w:t xml:space="preserve">nowe postępowanie wszczęte z zastrzeżeniem, że </w:t>
      </w:r>
      <w:r w:rsidR="00E60597">
        <w:rPr>
          <w:lang w:val="pl-PL"/>
        </w:rPr>
        <w:t>oskarżony</w:t>
      </w:r>
      <w:r w:rsidR="00E60597" w:rsidRPr="0051003F">
        <w:rPr>
          <w:lang w:val="pl-PL"/>
        </w:rPr>
        <w:t xml:space="preserve"> </w:t>
      </w:r>
      <w:r w:rsidR="009D17F8" w:rsidRPr="0051003F">
        <w:rPr>
          <w:lang w:val="pl-PL"/>
        </w:rPr>
        <w:t xml:space="preserve">był już </w:t>
      </w:r>
      <w:r w:rsidR="00E60597">
        <w:rPr>
          <w:lang w:val="pl-PL"/>
        </w:rPr>
        <w:t>o</w:t>
      </w:r>
      <w:r w:rsidR="009D17F8" w:rsidRPr="0051003F">
        <w:rPr>
          <w:lang w:val="pl-PL"/>
        </w:rPr>
        <w:t>sądzon</w:t>
      </w:r>
      <w:r w:rsidR="00E60597">
        <w:rPr>
          <w:lang w:val="pl-PL"/>
        </w:rPr>
        <w:t>y</w:t>
      </w:r>
      <w:r w:rsidR="009D17F8" w:rsidRPr="0051003F">
        <w:rPr>
          <w:lang w:val="pl-PL"/>
        </w:rPr>
        <w:t xml:space="preserve"> w trakcie poprzedniego postępowania, naruszałoby zasadę </w:t>
      </w:r>
      <w:proofErr w:type="spellStart"/>
      <w:r w:rsidR="009D17F8" w:rsidRPr="0051003F">
        <w:rPr>
          <w:i/>
          <w:lang w:val="pl-PL"/>
        </w:rPr>
        <w:t>ne</w:t>
      </w:r>
      <w:proofErr w:type="spellEnd"/>
      <w:r w:rsidR="009D17F8" w:rsidRPr="0051003F">
        <w:rPr>
          <w:i/>
          <w:lang w:val="pl-PL"/>
        </w:rPr>
        <w:t xml:space="preserve"> bis in </w:t>
      </w:r>
      <w:proofErr w:type="spellStart"/>
      <w:r w:rsidR="009D17F8" w:rsidRPr="0051003F">
        <w:rPr>
          <w:i/>
          <w:lang w:val="pl-PL"/>
        </w:rPr>
        <w:t>idem</w:t>
      </w:r>
      <w:proofErr w:type="spellEnd"/>
      <w:r w:rsidRPr="0051003F">
        <w:rPr>
          <w:vertAlign w:val="superscript"/>
          <w:lang w:val="pl-PL"/>
        </w:rPr>
        <w:footnoteReference w:id="110"/>
      </w:r>
      <w:r w:rsidRPr="0051003F">
        <w:rPr>
          <w:i/>
          <w:lang w:val="pl-PL"/>
        </w:rPr>
        <w:t>.</w:t>
      </w:r>
    </w:p>
    <w:p w:rsidR="001C1232" w:rsidRPr="0051003F" w:rsidRDefault="001C1232" w:rsidP="009D17F8">
      <w:pPr>
        <w:ind w:firstLine="284"/>
        <w:rPr>
          <w:lang w:val="pl-PL"/>
        </w:rPr>
      </w:pPr>
      <w:r w:rsidRPr="0051003F">
        <w:rPr>
          <w:lang w:val="pl-PL"/>
        </w:rPr>
        <w:t>41. </w:t>
      </w:r>
      <w:r w:rsidR="004743C3">
        <w:rPr>
          <w:lang w:val="pl-PL"/>
        </w:rPr>
        <w:t>Praktycznie</w:t>
      </w:r>
      <w:r w:rsidR="004743C3" w:rsidRPr="0051003F">
        <w:rPr>
          <w:lang w:val="pl-PL"/>
        </w:rPr>
        <w:t xml:space="preserve"> </w:t>
      </w:r>
      <w:r w:rsidR="009D17F8" w:rsidRPr="0051003F">
        <w:rPr>
          <w:lang w:val="pl-PL"/>
        </w:rPr>
        <w:t xml:space="preserve">nic w brzmieniu art. 4 </w:t>
      </w:r>
      <w:r w:rsidR="004743C3">
        <w:rPr>
          <w:lang w:val="pl-PL"/>
        </w:rPr>
        <w:t>P</w:t>
      </w:r>
      <w:r w:rsidR="009D17F8" w:rsidRPr="0051003F">
        <w:rPr>
          <w:lang w:val="pl-PL"/>
        </w:rPr>
        <w:t xml:space="preserve">rotokołu nr 7 nie wskazuje na to, aby </w:t>
      </w:r>
      <w:r w:rsidR="004A33FD">
        <w:rPr>
          <w:lang w:val="pl-PL"/>
        </w:rPr>
        <w:t xml:space="preserve">należało </w:t>
      </w:r>
      <w:r w:rsidR="009D17F8" w:rsidRPr="0051003F">
        <w:rPr>
          <w:lang w:val="pl-PL"/>
        </w:rPr>
        <w:t>wprowadzić rozróżnienie między równoległym i kolejnym postępowaniem, między kontynuacją toczącego się równoległego postępowania karnego a wszczęciem nowego postępowania. Przepis ten nie wyklucza możliwości prowadzenia kilku równoległych postępowań przed wydaniem prawomocnego orzeczenia w jednym z nich. W takiej sytuacji nie można powiedzieć, że dana osoba była kilkakrotnie ścigana „za przestępstwo, za które została już ostatecznie uniewinniona lub skazana</w:t>
      </w:r>
      <w:r w:rsidR="004743C3">
        <w:rPr>
          <w:lang w:val="pl-PL"/>
        </w:rPr>
        <w:t>”</w:t>
      </w:r>
      <w:r w:rsidR="009D17F8" w:rsidRPr="0051003F">
        <w:rPr>
          <w:vertAlign w:val="superscript"/>
          <w:lang w:val="pl-PL"/>
        </w:rPr>
        <w:footnoteReference w:id="111"/>
      </w:r>
      <w:r w:rsidR="009D17F8" w:rsidRPr="0051003F">
        <w:rPr>
          <w:lang w:val="pl-PL"/>
        </w:rPr>
        <w:t xml:space="preserve">. W sytuacji dwóch równoległych postępowań </w:t>
      </w:r>
      <w:r w:rsidR="004A33FD">
        <w:rPr>
          <w:lang w:val="pl-PL"/>
        </w:rPr>
        <w:t>K</w:t>
      </w:r>
      <w:r w:rsidR="009D17F8" w:rsidRPr="0051003F">
        <w:rPr>
          <w:lang w:val="pl-PL"/>
        </w:rPr>
        <w:t>onwencja wymaga umorzenia drugiego postępowania, gdy tylko pierwsze postępowanie stanie się prawomocne</w:t>
      </w:r>
      <w:r w:rsidRPr="0051003F">
        <w:rPr>
          <w:vertAlign w:val="superscript"/>
          <w:lang w:val="pl-PL"/>
        </w:rPr>
        <w:footnoteReference w:id="112"/>
      </w:r>
      <w:r w:rsidRPr="0051003F">
        <w:rPr>
          <w:lang w:val="pl-PL"/>
        </w:rPr>
        <w:t xml:space="preserve">. </w:t>
      </w:r>
      <w:r w:rsidR="009D17F8" w:rsidRPr="0051003F">
        <w:rPr>
          <w:lang w:val="pl-PL"/>
        </w:rPr>
        <w:t>Jeśli się to nie stanie, Trybunał bez wątpienia stwierdzi naruszenie</w:t>
      </w:r>
      <w:r w:rsidRPr="0051003F">
        <w:rPr>
          <w:vertAlign w:val="superscript"/>
          <w:lang w:val="pl-PL"/>
        </w:rPr>
        <w:footnoteReference w:id="113"/>
      </w:r>
      <w:r w:rsidRPr="0051003F">
        <w:rPr>
          <w:lang w:val="pl-PL"/>
        </w:rPr>
        <w:t>.</w:t>
      </w:r>
    </w:p>
    <w:p w:rsidR="009D17F8" w:rsidRPr="0051003F" w:rsidRDefault="001C1232" w:rsidP="009D17F8">
      <w:pPr>
        <w:ind w:firstLine="284"/>
        <w:rPr>
          <w:lang w:val="pl-PL"/>
        </w:rPr>
      </w:pPr>
      <w:r w:rsidRPr="0051003F">
        <w:rPr>
          <w:lang w:val="pl-PL"/>
        </w:rPr>
        <w:lastRenderedPageBreak/>
        <w:t>42.  </w:t>
      </w:r>
      <w:r w:rsidR="009D17F8" w:rsidRPr="0051003F">
        <w:rPr>
          <w:lang w:val="pl-PL"/>
        </w:rPr>
        <w:t xml:space="preserve">Jednakże w wielu przypadkach Trybunał ustalił różne standardy dla niektórych równoległych postępowań administracyjnych i karnych. W wyroku w sprawie </w:t>
      </w:r>
      <w:proofErr w:type="spellStart"/>
      <w:r w:rsidR="009D17F8" w:rsidRPr="0051003F">
        <w:rPr>
          <w:i/>
          <w:lang w:val="pl-PL"/>
        </w:rPr>
        <w:t>Nilsson</w:t>
      </w:r>
      <w:proofErr w:type="spellEnd"/>
      <w:r w:rsidR="009D17F8" w:rsidRPr="0051003F">
        <w:rPr>
          <w:lang w:val="pl-PL"/>
        </w:rPr>
        <w:t xml:space="preserve"> Trybunał po raz pierwszy orzekł, że „chociaż różne sankcje zostały nałożone przez dwa różne organy w różnych postępowaniach, istnieją jednak wystarczająco ścisłe powiązania między nimi, zarówno pod względem merytorycznym, jak i czasowym, aby rozważyć możliwość wycofania się z sankcji przewidzianych w szwedzkim prawie w odniesieniu do przestępstw popełnionych w związku z jazdą </w:t>
      </w:r>
      <w:r w:rsidR="00EA40A5">
        <w:rPr>
          <w:lang w:val="pl-PL"/>
        </w:rPr>
        <w:t>w stanie nietrzeźwości</w:t>
      </w:r>
      <w:r w:rsidR="009D17F8" w:rsidRPr="0051003F">
        <w:rPr>
          <w:lang w:val="pl-PL"/>
        </w:rPr>
        <w:t xml:space="preserve"> i bezprawnym prowadzeniem pojazdu"</w:t>
      </w:r>
      <w:r w:rsidRPr="0051003F">
        <w:rPr>
          <w:vertAlign w:val="superscript"/>
          <w:lang w:val="pl-PL"/>
        </w:rPr>
        <w:footnoteReference w:id="114"/>
      </w:r>
      <w:r w:rsidRPr="0051003F">
        <w:rPr>
          <w:lang w:val="pl-PL"/>
        </w:rPr>
        <w:t xml:space="preserve">. </w:t>
      </w:r>
      <w:r w:rsidR="009D17F8" w:rsidRPr="0051003F">
        <w:rPr>
          <w:lang w:val="pl-PL"/>
        </w:rPr>
        <w:t>Nie jest jasne, co ma na myśli Trybunał przez wymóg „wystarczającego powiązania w czasie", ponieważ nie jest jasne, czy Trybunał odnosi się wyraźnie do okresu czasu pomiędzy wydaniem decyzji, która stała się ostateczna (wyrok sądu okręgowego w Morze z dnia 24 czerwca 1999 r</w:t>
      </w:r>
      <w:r w:rsidR="000C4E6B">
        <w:rPr>
          <w:lang w:val="pl-PL"/>
        </w:rPr>
        <w:t>oku</w:t>
      </w:r>
      <w:r w:rsidR="009D17F8" w:rsidRPr="0051003F">
        <w:rPr>
          <w:lang w:val="pl-PL"/>
        </w:rPr>
        <w:t xml:space="preserve"> skazujący skarżącego, a ostatnią decyzją, która stała się ostateczna (wyrok Naczelnego Sądu Administracyjnego z dnia 18 grudnia 2000 r</w:t>
      </w:r>
      <w:r w:rsidR="00400C64">
        <w:rPr>
          <w:lang w:val="pl-PL"/>
        </w:rPr>
        <w:t>oku</w:t>
      </w:r>
      <w:r w:rsidR="009D17F8" w:rsidRPr="0051003F">
        <w:rPr>
          <w:lang w:val="pl-PL"/>
        </w:rPr>
        <w:t xml:space="preserve"> oddalający zażalenie skarżącego), czy też pomiędzy pierwszą decyzją administracyjną (zawiadomienie z dnia 5 maja 1999 r</w:t>
      </w:r>
      <w:r w:rsidR="00400C64">
        <w:rPr>
          <w:lang w:val="pl-PL"/>
        </w:rPr>
        <w:t>oku</w:t>
      </w:r>
      <w:r w:rsidR="009D17F8" w:rsidRPr="0051003F">
        <w:rPr>
          <w:lang w:val="pl-PL"/>
        </w:rPr>
        <w:t xml:space="preserve"> przez powiatowy sąd administracyjny) W rzeczywistości postępowanie administracyjne, które rozpoczęło się dnia 5 maja 1999 r</w:t>
      </w:r>
      <w:r w:rsidR="00400C64">
        <w:rPr>
          <w:lang w:val="pl-PL"/>
        </w:rPr>
        <w:t>oku</w:t>
      </w:r>
      <w:r w:rsidR="009D17F8" w:rsidRPr="0051003F">
        <w:rPr>
          <w:lang w:val="pl-PL"/>
        </w:rPr>
        <w:t xml:space="preserve"> i zakończyło dnia 18 grudnia 2000 r</w:t>
      </w:r>
      <w:r w:rsidR="00400C64">
        <w:rPr>
          <w:lang w:val="pl-PL"/>
        </w:rPr>
        <w:t>oku</w:t>
      </w:r>
      <w:r w:rsidR="009D17F8" w:rsidRPr="0051003F">
        <w:rPr>
          <w:lang w:val="pl-PL"/>
        </w:rPr>
        <w:t>, w bardzo krótkim czasie nakładało się na siebie, a postępowanie karne, które zakończyło się dnia 24 czerwca 1999 r</w:t>
      </w:r>
      <w:r w:rsidR="00400C64">
        <w:rPr>
          <w:lang w:val="pl-PL"/>
        </w:rPr>
        <w:t>oku</w:t>
      </w:r>
      <w:r w:rsidR="009D17F8" w:rsidRPr="0051003F">
        <w:rPr>
          <w:lang w:val="pl-PL"/>
        </w:rPr>
        <w:t xml:space="preserve">, </w:t>
      </w:r>
      <w:r w:rsidR="00C4467B" w:rsidRPr="0051003F">
        <w:rPr>
          <w:lang w:val="pl-PL"/>
        </w:rPr>
        <w:t>trwało w podobnym czasie</w:t>
      </w:r>
      <w:r w:rsidR="009D17F8" w:rsidRPr="0051003F">
        <w:rPr>
          <w:lang w:val="pl-PL"/>
        </w:rPr>
        <w:t>.</w:t>
      </w:r>
    </w:p>
    <w:p w:rsidR="00C4467B" w:rsidRPr="0051003F" w:rsidRDefault="00C4467B" w:rsidP="00C4467B">
      <w:pPr>
        <w:ind w:firstLine="284"/>
        <w:rPr>
          <w:i/>
          <w:lang w:val="pl-PL"/>
        </w:rPr>
      </w:pPr>
      <w:r w:rsidRPr="0051003F">
        <w:rPr>
          <w:lang w:val="pl-PL"/>
        </w:rPr>
        <w:t>W sprawie</w:t>
      </w:r>
      <w:r w:rsidR="001C1232" w:rsidRPr="0051003F">
        <w:rPr>
          <w:lang w:val="pl-PL"/>
        </w:rPr>
        <w:t xml:space="preserve"> </w:t>
      </w:r>
      <w:proofErr w:type="spellStart"/>
      <w:r w:rsidR="001C1232" w:rsidRPr="0051003F">
        <w:rPr>
          <w:i/>
          <w:lang w:val="pl-PL"/>
        </w:rPr>
        <w:t>Boman</w:t>
      </w:r>
      <w:proofErr w:type="spellEnd"/>
      <w:r w:rsidR="001C1232" w:rsidRPr="0051003F">
        <w:rPr>
          <w:vertAlign w:val="superscript"/>
          <w:lang w:val="pl-PL"/>
        </w:rPr>
        <w:footnoteReference w:id="115"/>
      </w:r>
      <w:r w:rsidRPr="0051003F">
        <w:rPr>
          <w:i/>
          <w:lang w:val="pl-PL"/>
        </w:rPr>
        <w:t xml:space="preserve"> </w:t>
      </w:r>
      <w:r w:rsidRPr="0051003F">
        <w:rPr>
          <w:lang w:val="pl-PL"/>
        </w:rPr>
        <w:t>Trybunał uznał również, że istniał taki związek czasowy, ponieważ decyzja policji z dnia 28 maja 2010 r</w:t>
      </w:r>
      <w:r w:rsidR="00B011AC">
        <w:rPr>
          <w:lang w:val="pl-PL"/>
        </w:rPr>
        <w:t>oku</w:t>
      </w:r>
      <w:r w:rsidRPr="0051003F">
        <w:rPr>
          <w:lang w:val="pl-PL"/>
        </w:rPr>
        <w:t xml:space="preserve"> o nałożeniu drugiego zakazu prowadzenia pojazd</w:t>
      </w:r>
      <w:r w:rsidR="00B011AC">
        <w:rPr>
          <w:lang w:val="pl-PL"/>
        </w:rPr>
        <w:t>ów</w:t>
      </w:r>
      <w:r w:rsidRPr="0051003F">
        <w:rPr>
          <w:lang w:val="pl-PL"/>
        </w:rPr>
        <w:t xml:space="preserve"> oparta była bezpośrednio na prawomocnym wyroku Sądu Okręgowego za wykroczenia drogowe wydanym </w:t>
      </w:r>
      <w:r w:rsidR="00B011AC">
        <w:rPr>
          <w:lang w:val="pl-PL"/>
        </w:rPr>
        <w:t xml:space="preserve">przeciwko </w:t>
      </w:r>
      <w:proofErr w:type="spellStart"/>
      <w:r w:rsidR="00B011AC">
        <w:rPr>
          <w:lang w:val="pl-PL"/>
        </w:rPr>
        <w:t>skarżacemu</w:t>
      </w:r>
      <w:proofErr w:type="spellEnd"/>
      <w:r w:rsidRPr="0051003F">
        <w:rPr>
          <w:lang w:val="pl-PL"/>
        </w:rPr>
        <w:t xml:space="preserve"> w dniu 22 kwietnia 2010 r</w:t>
      </w:r>
      <w:r w:rsidR="00B011AC">
        <w:rPr>
          <w:lang w:val="pl-PL"/>
        </w:rPr>
        <w:t>oku</w:t>
      </w:r>
      <w:r w:rsidRPr="0051003F">
        <w:rPr>
          <w:lang w:val="pl-PL"/>
        </w:rPr>
        <w:t xml:space="preserve">, a zatem nie zawierała odrębnego badania wykroczenia lub zachowania będącego przedmiotem sporu przez policję. Wystarczający związek w czasie wiązał się z brakiem niezależnej oceny dowodów, tak jakby obydwie te kwestie </w:t>
      </w:r>
      <w:r w:rsidR="00B011AC">
        <w:rPr>
          <w:lang w:val="pl-PL"/>
        </w:rPr>
        <w:t>szły</w:t>
      </w:r>
      <w:r w:rsidR="00B011AC" w:rsidRPr="0051003F">
        <w:rPr>
          <w:lang w:val="pl-PL"/>
        </w:rPr>
        <w:t xml:space="preserve"> </w:t>
      </w:r>
      <w:r w:rsidRPr="0051003F">
        <w:rPr>
          <w:lang w:val="pl-PL"/>
        </w:rPr>
        <w:t>ze sobą w parze.</w:t>
      </w:r>
    </w:p>
    <w:p w:rsidR="001C1232" w:rsidRPr="0051003F" w:rsidRDefault="001C1232" w:rsidP="00C4467B">
      <w:pPr>
        <w:ind w:firstLine="284"/>
        <w:rPr>
          <w:lang w:val="pl-PL"/>
        </w:rPr>
      </w:pPr>
      <w:r w:rsidRPr="0051003F">
        <w:rPr>
          <w:lang w:val="pl-PL"/>
        </w:rPr>
        <w:t>43. </w:t>
      </w:r>
      <w:r w:rsidR="00C4467B" w:rsidRPr="0051003F">
        <w:rPr>
          <w:lang w:val="pl-PL"/>
        </w:rPr>
        <w:t xml:space="preserve">Natomiast w sprawach </w:t>
      </w:r>
      <w:proofErr w:type="spellStart"/>
      <w:r w:rsidRPr="0051003F">
        <w:rPr>
          <w:i/>
          <w:lang w:val="pl-PL"/>
        </w:rPr>
        <w:t>Glantz</w:t>
      </w:r>
      <w:proofErr w:type="spellEnd"/>
      <w:r w:rsidRPr="0051003F">
        <w:rPr>
          <w:vertAlign w:val="superscript"/>
          <w:lang w:val="pl-PL"/>
        </w:rPr>
        <w:footnoteReference w:id="116"/>
      </w:r>
      <w:r w:rsidRPr="0051003F">
        <w:rPr>
          <w:lang w:val="pl-PL"/>
        </w:rPr>
        <w:t>,</w:t>
      </w:r>
      <w:r w:rsidRPr="0051003F">
        <w:rPr>
          <w:i/>
          <w:lang w:val="pl-PL"/>
        </w:rPr>
        <w:t xml:space="preserve"> </w:t>
      </w:r>
      <w:proofErr w:type="spellStart"/>
      <w:r w:rsidRPr="0051003F">
        <w:rPr>
          <w:i/>
          <w:lang w:val="pl-PL"/>
        </w:rPr>
        <w:t>Nykänen</w:t>
      </w:r>
      <w:proofErr w:type="spellEnd"/>
      <w:r w:rsidRPr="0051003F">
        <w:rPr>
          <w:vertAlign w:val="superscript"/>
          <w:lang w:val="pl-PL"/>
        </w:rPr>
        <w:footnoteReference w:id="117"/>
      </w:r>
      <w:r w:rsidRPr="0051003F">
        <w:rPr>
          <w:lang w:val="pl-PL"/>
        </w:rPr>
        <w:t xml:space="preserve">, </w:t>
      </w:r>
      <w:proofErr w:type="spellStart"/>
      <w:r w:rsidRPr="0051003F">
        <w:rPr>
          <w:i/>
          <w:lang w:val="pl-PL"/>
        </w:rPr>
        <w:t>Lucky</w:t>
      </w:r>
      <w:proofErr w:type="spellEnd"/>
      <w:r w:rsidRPr="0051003F">
        <w:rPr>
          <w:i/>
          <w:lang w:val="pl-PL"/>
        </w:rPr>
        <w:t xml:space="preserve"> </w:t>
      </w:r>
      <w:proofErr w:type="spellStart"/>
      <w:r w:rsidRPr="0051003F">
        <w:rPr>
          <w:i/>
          <w:lang w:val="pl-PL"/>
        </w:rPr>
        <w:t>Dev</w:t>
      </w:r>
      <w:proofErr w:type="spellEnd"/>
      <w:r w:rsidRPr="0051003F">
        <w:rPr>
          <w:vertAlign w:val="superscript"/>
          <w:lang w:val="pl-PL"/>
        </w:rPr>
        <w:footnoteReference w:id="118"/>
      </w:r>
      <w:r w:rsidRPr="0051003F">
        <w:rPr>
          <w:lang w:val="pl-PL"/>
        </w:rPr>
        <w:t>,</w:t>
      </w:r>
      <w:r w:rsidRPr="0051003F">
        <w:rPr>
          <w:i/>
          <w:lang w:val="pl-PL"/>
        </w:rPr>
        <w:t xml:space="preserve"> </w:t>
      </w:r>
      <w:proofErr w:type="spellStart"/>
      <w:r w:rsidRPr="0051003F">
        <w:rPr>
          <w:i/>
          <w:lang w:val="pl-PL"/>
        </w:rPr>
        <w:t>Rinas</w:t>
      </w:r>
      <w:proofErr w:type="spellEnd"/>
      <w:r w:rsidRPr="0051003F">
        <w:rPr>
          <w:vertAlign w:val="superscript"/>
          <w:lang w:val="pl-PL"/>
        </w:rPr>
        <w:footnoteReference w:id="119"/>
      </w:r>
      <w:r w:rsidRPr="0051003F">
        <w:rPr>
          <w:lang w:val="pl-PL"/>
        </w:rPr>
        <w:t xml:space="preserve"> </w:t>
      </w:r>
      <w:r w:rsidR="00C4467B" w:rsidRPr="0051003F">
        <w:rPr>
          <w:lang w:val="pl-PL"/>
        </w:rPr>
        <w:t>i</w:t>
      </w:r>
      <w:r w:rsidRPr="0051003F">
        <w:rPr>
          <w:i/>
          <w:lang w:val="pl-PL"/>
        </w:rPr>
        <w:t xml:space="preserve"> </w:t>
      </w:r>
      <w:proofErr w:type="spellStart"/>
      <w:r w:rsidRPr="0051003F">
        <w:rPr>
          <w:i/>
          <w:lang w:val="pl-PL"/>
        </w:rPr>
        <w:t>Österlund</w:t>
      </w:r>
      <w:proofErr w:type="spellEnd"/>
      <w:r w:rsidRPr="0051003F">
        <w:rPr>
          <w:vertAlign w:val="superscript"/>
          <w:lang w:val="pl-PL"/>
        </w:rPr>
        <w:footnoteReference w:id="120"/>
      </w:r>
      <w:r w:rsidRPr="0051003F">
        <w:rPr>
          <w:lang w:val="pl-PL"/>
        </w:rPr>
        <w:t xml:space="preserve"> </w:t>
      </w:r>
      <w:r w:rsidR="00C4467B" w:rsidRPr="0051003F">
        <w:rPr>
          <w:lang w:val="pl-PL"/>
        </w:rPr>
        <w:t xml:space="preserve">Trybunał wziął pod uwagę daty uprawomocnienia się decyzji administracyjnych i karnych. We wszystkich tych sprawach Trybunał stwierdził naruszenie. W sprawie </w:t>
      </w:r>
      <w:proofErr w:type="spellStart"/>
      <w:r w:rsidRPr="0051003F">
        <w:rPr>
          <w:i/>
          <w:lang w:val="pl-PL"/>
        </w:rPr>
        <w:t>Glantz</w:t>
      </w:r>
      <w:proofErr w:type="spellEnd"/>
      <w:r w:rsidRPr="0051003F">
        <w:rPr>
          <w:vertAlign w:val="superscript"/>
          <w:lang w:val="pl-PL"/>
        </w:rPr>
        <w:footnoteReference w:id="121"/>
      </w:r>
      <w:r w:rsidRPr="0051003F">
        <w:rPr>
          <w:lang w:val="pl-PL"/>
        </w:rPr>
        <w:t xml:space="preserve"> </w:t>
      </w:r>
      <w:r w:rsidR="00C4467B" w:rsidRPr="0051003F">
        <w:rPr>
          <w:lang w:val="pl-PL"/>
        </w:rPr>
        <w:t>postępowanie administracyjne wszczęto w dniu 18 grudnia 2006 r</w:t>
      </w:r>
      <w:r w:rsidR="00112E7E">
        <w:rPr>
          <w:lang w:val="pl-PL"/>
        </w:rPr>
        <w:t>oku</w:t>
      </w:r>
      <w:r w:rsidR="00C4467B" w:rsidRPr="0051003F">
        <w:rPr>
          <w:lang w:val="pl-PL"/>
        </w:rPr>
        <w:t xml:space="preserve"> i zakończyło się w dniu 11 stycznia </w:t>
      </w:r>
      <w:r w:rsidR="00C4467B" w:rsidRPr="0051003F">
        <w:rPr>
          <w:lang w:val="pl-PL"/>
        </w:rPr>
        <w:lastRenderedPageBreak/>
        <w:t>2010 r</w:t>
      </w:r>
      <w:r w:rsidR="00112E7E">
        <w:rPr>
          <w:lang w:val="pl-PL"/>
        </w:rPr>
        <w:t>oku</w:t>
      </w:r>
      <w:r w:rsidR="00C4467B" w:rsidRPr="0051003F">
        <w:rPr>
          <w:lang w:val="pl-PL"/>
        </w:rPr>
        <w:t>, natomiast postępowanie karne wszczęto w dniu 15 grudnia 2008 r</w:t>
      </w:r>
      <w:r w:rsidR="00112E7E">
        <w:rPr>
          <w:lang w:val="pl-PL"/>
        </w:rPr>
        <w:t>oku.</w:t>
      </w:r>
      <w:r w:rsidR="00C4467B" w:rsidRPr="0051003F">
        <w:rPr>
          <w:lang w:val="pl-PL"/>
        </w:rPr>
        <w:t xml:space="preserve"> Oba postępowania toczyły się zatem równolegle do dnia 11 stycznia 2010 r</w:t>
      </w:r>
      <w:r w:rsidR="00112E7E">
        <w:rPr>
          <w:lang w:val="pl-PL"/>
        </w:rPr>
        <w:t>oku</w:t>
      </w:r>
      <w:r w:rsidR="00C4467B" w:rsidRPr="0051003F">
        <w:rPr>
          <w:lang w:val="pl-PL"/>
        </w:rPr>
        <w:t xml:space="preserve">, kiedy to </w:t>
      </w:r>
      <w:r w:rsidR="00112E7E" w:rsidRPr="0051003F">
        <w:rPr>
          <w:lang w:val="pl-PL"/>
        </w:rPr>
        <w:t>pierwsz</w:t>
      </w:r>
      <w:r w:rsidR="00112E7E">
        <w:rPr>
          <w:lang w:val="pl-PL"/>
        </w:rPr>
        <w:t xml:space="preserve">a decyzja </w:t>
      </w:r>
      <w:r w:rsidR="00C4467B" w:rsidRPr="0051003F">
        <w:rPr>
          <w:lang w:val="pl-PL"/>
        </w:rPr>
        <w:t>stał</w:t>
      </w:r>
      <w:r w:rsidR="00112E7E">
        <w:rPr>
          <w:lang w:val="pl-PL"/>
        </w:rPr>
        <w:t>a</w:t>
      </w:r>
      <w:r w:rsidR="00C4467B" w:rsidRPr="0051003F">
        <w:rPr>
          <w:lang w:val="pl-PL"/>
        </w:rPr>
        <w:t xml:space="preserve"> się ostateczn</w:t>
      </w:r>
      <w:r w:rsidR="00112E7E">
        <w:rPr>
          <w:lang w:val="pl-PL"/>
        </w:rPr>
        <w:t>a</w:t>
      </w:r>
      <w:r w:rsidR="00C4467B" w:rsidRPr="0051003F">
        <w:rPr>
          <w:lang w:val="pl-PL"/>
        </w:rPr>
        <w:t xml:space="preserve">. Postępowanie karne nie zostało umorzone po uprawomocnieniu się pierwszego postępowania, lecz </w:t>
      </w:r>
      <w:r w:rsidR="00112E7E">
        <w:rPr>
          <w:lang w:val="pl-PL"/>
        </w:rPr>
        <w:t>toczyło się</w:t>
      </w:r>
      <w:r w:rsidR="00C4467B" w:rsidRPr="0051003F">
        <w:rPr>
          <w:lang w:val="pl-PL"/>
        </w:rPr>
        <w:t xml:space="preserve"> do czasu wydania ostatecznej decyzji w dniu 18 maja 2011 r</w:t>
      </w:r>
      <w:r w:rsidR="00112E7E">
        <w:rPr>
          <w:lang w:val="pl-PL"/>
        </w:rPr>
        <w:t>oku</w:t>
      </w:r>
      <w:r w:rsidR="00C4467B" w:rsidRPr="0051003F">
        <w:rPr>
          <w:lang w:val="pl-PL"/>
        </w:rPr>
        <w:t>, z tego powodu Trybunał orzekł, że w dwóch postępowaniach, które zakończyły się odpowiednio dnia 11 stycznia 2010 r</w:t>
      </w:r>
      <w:r w:rsidR="00112E7E">
        <w:rPr>
          <w:lang w:val="pl-PL"/>
        </w:rPr>
        <w:t>oku</w:t>
      </w:r>
      <w:r w:rsidR="00C4467B" w:rsidRPr="0051003F">
        <w:rPr>
          <w:lang w:val="pl-PL"/>
        </w:rPr>
        <w:t xml:space="preserve"> i 18 maja 2011 r</w:t>
      </w:r>
      <w:r w:rsidR="00112E7E">
        <w:rPr>
          <w:lang w:val="pl-PL"/>
        </w:rPr>
        <w:t>oku</w:t>
      </w:r>
      <w:r w:rsidR="00C4467B" w:rsidRPr="0051003F">
        <w:rPr>
          <w:lang w:val="pl-PL"/>
        </w:rPr>
        <w:t>, skarżący został dwukrotnie skazany za ten sam czyn</w:t>
      </w:r>
      <w:r w:rsidRPr="0051003F">
        <w:rPr>
          <w:vertAlign w:val="superscript"/>
          <w:lang w:val="pl-PL"/>
        </w:rPr>
        <w:footnoteReference w:id="122"/>
      </w:r>
      <w:r w:rsidRPr="0051003F">
        <w:rPr>
          <w:lang w:val="pl-PL"/>
        </w:rPr>
        <w:t>.</w:t>
      </w:r>
    </w:p>
    <w:p w:rsidR="00C4467B" w:rsidRPr="00D65A49" w:rsidRDefault="00C4467B" w:rsidP="00D65A49">
      <w:pPr>
        <w:ind w:firstLine="284"/>
        <w:rPr>
          <w:u w:val="single"/>
          <w:lang w:val="pl-PL"/>
        </w:rPr>
      </w:pPr>
      <w:r w:rsidRPr="0051003F">
        <w:rPr>
          <w:lang w:val="pl-PL"/>
        </w:rPr>
        <w:t xml:space="preserve">W sprawie </w:t>
      </w:r>
      <w:proofErr w:type="spellStart"/>
      <w:r w:rsidR="001C1232" w:rsidRPr="0051003F">
        <w:rPr>
          <w:i/>
          <w:lang w:val="pl-PL"/>
        </w:rPr>
        <w:t>Rinas</w:t>
      </w:r>
      <w:proofErr w:type="spellEnd"/>
      <w:r w:rsidR="001C1232" w:rsidRPr="0051003F">
        <w:rPr>
          <w:vertAlign w:val="superscript"/>
          <w:lang w:val="pl-PL"/>
        </w:rPr>
        <w:footnoteReference w:id="123"/>
      </w:r>
      <w:r w:rsidR="001C1232" w:rsidRPr="0051003F">
        <w:rPr>
          <w:lang w:val="pl-PL"/>
        </w:rPr>
        <w:t xml:space="preserve"> </w:t>
      </w:r>
      <w:r w:rsidRPr="0051003F">
        <w:rPr>
          <w:lang w:val="pl-PL"/>
        </w:rPr>
        <w:t>Trybunał zauważył, że po uprawomocnieniu się w dniu 31 maja 2012 r</w:t>
      </w:r>
      <w:r w:rsidR="00085F85">
        <w:rPr>
          <w:lang w:val="pl-PL"/>
        </w:rPr>
        <w:t>oku</w:t>
      </w:r>
      <w:r w:rsidRPr="0051003F">
        <w:rPr>
          <w:lang w:val="pl-PL"/>
        </w:rPr>
        <w:t xml:space="preserve"> postępowania karnego, odwołanie </w:t>
      </w:r>
      <w:r w:rsidR="00085F85">
        <w:rPr>
          <w:lang w:val="pl-PL"/>
        </w:rPr>
        <w:t>skarżącego</w:t>
      </w:r>
      <w:r w:rsidR="00085F85" w:rsidRPr="0051003F">
        <w:rPr>
          <w:lang w:val="pl-PL"/>
        </w:rPr>
        <w:t xml:space="preserve"> </w:t>
      </w:r>
      <w:r w:rsidRPr="0051003F">
        <w:rPr>
          <w:lang w:val="pl-PL"/>
        </w:rPr>
        <w:t>od decyzji w sprawie dopłaty podatkowej jest nadal rozpatrywane przez Naczelny Sąd Administracyjny. W związku z tym, że postępowanie administracyjne przed Naczelnym Sądem Administracyjnym nie zostało umorzone po uprawomocnieniu się postępowania karnego, lecz zostało przedłużone do czasu wydania ostatecznej decyzji w dniu 13 września 2012 r</w:t>
      </w:r>
      <w:r w:rsidR="00085F85">
        <w:rPr>
          <w:lang w:val="pl-PL"/>
        </w:rPr>
        <w:t>oku</w:t>
      </w:r>
      <w:r w:rsidRPr="0051003F">
        <w:rPr>
          <w:lang w:val="pl-PL"/>
        </w:rPr>
        <w:t>, skarżąc</w:t>
      </w:r>
      <w:r w:rsidR="00085F85">
        <w:rPr>
          <w:lang w:val="pl-PL"/>
        </w:rPr>
        <w:t>y</w:t>
      </w:r>
      <w:r w:rsidRPr="0051003F">
        <w:rPr>
          <w:lang w:val="pl-PL"/>
        </w:rPr>
        <w:t xml:space="preserve"> został dwukrotnie skazan</w:t>
      </w:r>
      <w:r w:rsidR="00085F85">
        <w:rPr>
          <w:lang w:val="pl-PL"/>
        </w:rPr>
        <w:t>y</w:t>
      </w:r>
      <w:r w:rsidRPr="0051003F">
        <w:rPr>
          <w:lang w:val="pl-PL"/>
        </w:rPr>
        <w:t xml:space="preserve"> w dwóch postępowaniach w tej samej sprawie dotyczącej lat podatkowych 2002-2004, które zakończyły się odpowiednio w dniu 31 maja 2012 r</w:t>
      </w:r>
      <w:r w:rsidR="009A2F9C">
        <w:rPr>
          <w:lang w:val="pl-PL"/>
        </w:rPr>
        <w:t>oku</w:t>
      </w:r>
      <w:r w:rsidRPr="0051003F">
        <w:rPr>
          <w:lang w:val="pl-PL"/>
        </w:rPr>
        <w:t xml:space="preserve"> i 13 września 2012 r</w:t>
      </w:r>
      <w:r w:rsidR="009A2F9C">
        <w:rPr>
          <w:lang w:val="pl-PL"/>
        </w:rPr>
        <w:t>oku</w:t>
      </w:r>
      <w:r w:rsidR="001C1232" w:rsidRPr="0051003F">
        <w:rPr>
          <w:vertAlign w:val="superscript"/>
          <w:lang w:val="pl-PL"/>
        </w:rPr>
        <w:footnoteReference w:id="124"/>
      </w:r>
      <w:r w:rsidR="001C1232" w:rsidRPr="0051003F">
        <w:rPr>
          <w:lang w:val="pl-PL"/>
        </w:rPr>
        <w:t>.</w:t>
      </w:r>
    </w:p>
    <w:p w:rsidR="002970C1" w:rsidRPr="0051003F" w:rsidRDefault="001C1232" w:rsidP="002970C1">
      <w:pPr>
        <w:ind w:firstLine="284"/>
        <w:rPr>
          <w:lang w:val="pl-PL"/>
        </w:rPr>
      </w:pPr>
      <w:r w:rsidRPr="0051003F">
        <w:rPr>
          <w:lang w:val="pl-PL"/>
        </w:rPr>
        <w:t>44.  </w:t>
      </w:r>
      <w:r w:rsidR="00C4467B" w:rsidRPr="0051003F">
        <w:rPr>
          <w:lang w:val="pl-PL"/>
        </w:rPr>
        <w:t>Do innego wniosk</w:t>
      </w:r>
      <w:r w:rsidR="00A965AB">
        <w:rPr>
          <w:lang w:val="pl-PL"/>
        </w:rPr>
        <w:t>u</w:t>
      </w:r>
      <w:r w:rsidR="00C4467B" w:rsidRPr="0051003F">
        <w:rPr>
          <w:lang w:val="pl-PL"/>
        </w:rPr>
        <w:t xml:space="preserve"> Trybunał doszedł w sprawie </w:t>
      </w:r>
      <w:proofErr w:type="spellStart"/>
      <w:r w:rsidRPr="0051003F">
        <w:rPr>
          <w:i/>
          <w:lang w:val="pl-PL"/>
        </w:rPr>
        <w:t>Häkkä</w:t>
      </w:r>
      <w:proofErr w:type="spellEnd"/>
      <w:r w:rsidRPr="0051003F">
        <w:rPr>
          <w:vertAlign w:val="superscript"/>
          <w:lang w:val="pl-PL"/>
        </w:rPr>
        <w:footnoteReference w:id="125"/>
      </w:r>
      <w:r w:rsidRPr="0051003F">
        <w:rPr>
          <w:lang w:val="pl-PL"/>
        </w:rPr>
        <w:t xml:space="preserve">. </w:t>
      </w:r>
      <w:r w:rsidR="00C4467B" w:rsidRPr="0051003F">
        <w:rPr>
          <w:lang w:val="pl-PL"/>
        </w:rPr>
        <w:t>Postępowanie administracyjne rozpoczęło się w 2007 r</w:t>
      </w:r>
      <w:r w:rsidR="00A965AB">
        <w:rPr>
          <w:lang w:val="pl-PL"/>
        </w:rPr>
        <w:t>oku</w:t>
      </w:r>
      <w:r w:rsidR="00C4467B" w:rsidRPr="0051003F">
        <w:rPr>
          <w:lang w:val="pl-PL"/>
        </w:rPr>
        <w:t xml:space="preserve">, kiedy to na </w:t>
      </w:r>
      <w:r w:rsidR="00A965AB">
        <w:rPr>
          <w:lang w:val="pl-PL"/>
        </w:rPr>
        <w:t>skarżącego</w:t>
      </w:r>
      <w:r w:rsidR="00A965AB" w:rsidRPr="0051003F">
        <w:rPr>
          <w:lang w:val="pl-PL"/>
        </w:rPr>
        <w:t xml:space="preserve"> </w:t>
      </w:r>
      <w:r w:rsidR="00C4467B" w:rsidRPr="0051003F">
        <w:rPr>
          <w:lang w:val="pl-PL"/>
        </w:rPr>
        <w:t>nałożono dopłaty podatkowe. Najwyraźniej nigdy nie domagał się on sprostowania ani nie wnosił środków zaskarżenia, w związku z czym postępowanie to stało się prawomocne odpowiednio w dniu 31 grudnia 2010 r</w:t>
      </w:r>
      <w:r w:rsidR="00A965AB">
        <w:rPr>
          <w:lang w:val="pl-PL"/>
        </w:rPr>
        <w:t>oku</w:t>
      </w:r>
      <w:r w:rsidR="00C4467B" w:rsidRPr="0051003F">
        <w:rPr>
          <w:lang w:val="pl-PL"/>
        </w:rPr>
        <w:t xml:space="preserve"> i 31 grudnia 2011 r</w:t>
      </w:r>
      <w:r w:rsidR="00A965AB">
        <w:rPr>
          <w:lang w:val="pl-PL"/>
        </w:rPr>
        <w:t>oku</w:t>
      </w:r>
      <w:r w:rsidR="00C4467B" w:rsidRPr="0051003F">
        <w:rPr>
          <w:lang w:val="pl-PL"/>
        </w:rPr>
        <w:t>, po upływie terminów na sprostowanie i wniesienie odwołania. Postępowanie karne zostało wszczęte w dniu 3 kwietnia 2008 r</w:t>
      </w:r>
      <w:r w:rsidR="00A965AB">
        <w:rPr>
          <w:lang w:val="pl-PL"/>
        </w:rPr>
        <w:t>oku</w:t>
      </w:r>
      <w:r w:rsidR="00C4467B" w:rsidRPr="0051003F">
        <w:rPr>
          <w:lang w:val="pl-PL"/>
        </w:rPr>
        <w:t xml:space="preserve"> i zakończone w dniu 29 czerwca 2010 r</w:t>
      </w:r>
      <w:r w:rsidR="00A965AB">
        <w:rPr>
          <w:lang w:val="pl-PL"/>
        </w:rPr>
        <w:t>oku</w:t>
      </w:r>
      <w:r w:rsidR="00C4467B" w:rsidRPr="0051003F">
        <w:rPr>
          <w:lang w:val="pl-PL"/>
        </w:rPr>
        <w:t>, kiedy to Sąd Najwyższy wydał prawomocny wyrok. Oba postępowania toczyły się zatem równolegle do dnia 29 czerwca 2010 r</w:t>
      </w:r>
      <w:r w:rsidR="00321FD8">
        <w:rPr>
          <w:lang w:val="pl-PL"/>
        </w:rPr>
        <w:t>oku</w:t>
      </w:r>
      <w:r w:rsidR="00C4467B" w:rsidRPr="0051003F">
        <w:rPr>
          <w:lang w:val="pl-PL"/>
        </w:rPr>
        <w:t>, kiedy to drugi wyrok stał się ostateczny. Sąd nie stwierdził naruszenia, ponieważ „skarżący miał realną możliwość zapobieżenia podwójnemu zagrożeniu, najpierw domagając się sprostowania, a następnie odwołując się w terminie, który był dla niego wciąż dostępny</w:t>
      </w:r>
      <w:r w:rsidR="002970C1" w:rsidRPr="0051003F">
        <w:rPr>
          <w:lang w:val="pl-PL"/>
        </w:rPr>
        <w:t>”</w:t>
      </w:r>
      <w:r w:rsidRPr="0051003F">
        <w:rPr>
          <w:vertAlign w:val="superscript"/>
          <w:lang w:val="pl-PL"/>
        </w:rPr>
        <w:footnoteReference w:id="126"/>
      </w:r>
      <w:r w:rsidRPr="0051003F">
        <w:rPr>
          <w:lang w:val="pl-PL"/>
        </w:rPr>
        <w:t>.</w:t>
      </w:r>
      <w:r w:rsidR="002970C1" w:rsidRPr="0051003F">
        <w:rPr>
          <w:lang w:val="pl-PL"/>
        </w:rPr>
        <w:t xml:space="preserve"> W związku z tym, zdaniem Trybunału w sprawie </w:t>
      </w:r>
      <w:proofErr w:type="spellStart"/>
      <w:r w:rsidR="002970C1" w:rsidRPr="0051003F">
        <w:rPr>
          <w:i/>
          <w:lang w:val="pl-PL"/>
        </w:rPr>
        <w:t>Häkkä</w:t>
      </w:r>
      <w:proofErr w:type="spellEnd"/>
      <w:r w:rsidR="002970C1" w:rsidRPr="0051003F">
        <w:rPr>
          <w:lang w:val="pl-PL"/>
        </w:rPr>
        <w:t xml:space="preserve">, jeżeli </w:t>
      </w:r>
      <w:r w:rsidR="00321FD8">
        <w:rPr>
          <w:lang w:val="pl-PL"/>
        </w:rPr>
        <w:t>oskarżony</w:t>
      </w:r>
      <w:r w:rsidR="00321FD8" w:rsidRPr="0051003F">
        <w:rPr>
          <w:lang w:val="pl-PL"/>
        </w:rPr>
        <w:t xml:space="preserve"> </w:t>
      </w:r>
      <w:r w:rsidR="002970C1" w:rsidRPr="0051003F">
        <w:rPr>
          <w:lang w:val="pl-PL"/>
        </w:rPr>
        <w:t xml:space="preserve">nie korzysta z </w:t>
      </w:r>
      <w:r w:rsidR="00321FD8">
        <w:rPr>
          <w:lang w:val="pl-PL"/>
        </w:rPr>
        <w:t>administracyjnych środków odwoławczych</w:t>
      </w:r>
      <w:r w:rsidR="002970C1" w:rsidRPr="0051003F">
        <w:rPr>
          <w:lang w:val="pl-PL"/>
        </w:rPr>
        <w:t xml:space="preserve">, </w:t>
      </w:r>
      <w:proofErr w:type="spellStart"/>
      <w:r w:rsidR="002970C1" w:rsidRPr="0051003F">
        <w:rPr>
          <w:i/>
          <w:lang w:val="pl-PL"/>
        </w:rPr>
        <w:t>ne</w:t>
      </w:r>
      <w:proofErr w:type="spellEnd"/>
      <w:r w:rsidR="002970C1" w:rsidRPr="0051003F">
        <w:rPr>
          <w:i/>
          <w:lang w:val="pl-PL"/>
        </w:rPr>
        <w:t xml:space="preserve"> bis in </w:t>
      </w:r>
      <w:proofErr w:type="spellStart"/>
      <w:r w:rsidR="002970C1" w:rsidRPr="0051003F">
        <w:rPr>
          <w:i/>
          <w:lang w:val="pl-PL"/>
        </w:rPr>
        <w:t>idem</w:t>
      </w:r>
      <w:proofErr w:type="spellEnd"/>
      <w:r w:rsidR="002970C1" w:rsidRPr="0051003F">
        <w:rPr>
          <w:lang w:val="pl-PL"/>
        </w:rPr>
        <w:t xml:space="preserve"> nie działa, nawet jeśli został już skazany prawomocnym wyrokiem w postępowaniu karnym.</w:t>
      </w:r>
    </w:p>
    <w:p w:rsidR="002970C1" w:rsidRPr="0051003F" w:rsidRDefault="001C1232" w:rsidP="002970C1">
      <w:pPr>
        <w:ind w:firstLine="284"/>
        <w:rPr>
          <w:lang w:val="pl-PL"/>
        </w:rPr>
      </w:pPr>
      <w:r w:rsidRPr="0051003F">
        <w:rPr>
          <w:lang w:val="pl-PL"/>
        </w:rPr>
        <w:lastRenderedPageBreak/>
        <w:t>45. </w:t>
      </w:r>
      <w:r w:rsidR="002970C1" w:rsidRPr="0051003F">
        <w:rPr>
          <w:lang w:val="pl-PL"/>
        </w:rPr>
        <w:t xml:space="preserve">Wreszcie, w sprawie </w:t>
      </w:r>
      <w:proofErr w:type="spellStart"/>
      <w:r w:rsidR="002970C1" w:rsidRPr="0051003F">
        <w:rPr>
          <w:i/>
          <w:lang w:val="pl-PL"/>
        </w:rPr>
        <w:t>Kiiveri</w:t>
      </w:r>
      <w:proofErr w:type="spellEnd"/>
      <w:r w:rsidR="002970C1" w:rsidRPr="0051003F">
        <w:rPr>
          <w:vertAlign w:val="superscript"/>
          <w:lang w:val="pl-PL"/>
        </w:rPr>
        <w:footnoteReference w:id="127"/>
      </w:r>
      <w:r w:rsidR="002970C1" w:rsidRPr="0051003F">
        <w:rPr>
          <w:lang w:val="pl-PL"/>
        </w:rPr>
        <w:t xml:space="preserve"> Trybunał stwierdził, że </w:t>
      </w:r>
      <w:r w:rsidR="00321FD8" w:rsidRPr="0051003F">
        <w:rPr>
          <w:lang w:val="pl-PL"/>
        </w:rPr>
        <w:t>skarżąc</w:t>
      </w:r>
      <w:r w:rsidR="00321FD8">
        <w:rPr>
          <w:lang w:val="pl-PL"/>
        </w:rPr>
        <w:t>y</w:t>
      </w:r>
      <w:r w:rsidR="00321FD8" w:rsidRPr="0051003F">
        <w:rPr>
          <w:lang w:val="pl-PL"/>
        </w:rPr>
        <w:t xml:space="preserve"> </w:t>
      </w:r>
      <w:r w:rsidR="002970C1" w:rsidRPr="0051003F">
        <w:rPr>
          <w:lang w:val="pl-PL"/>
        </w:rPr>
        <w:t>nie może już twierdzić, że jest ofiarą podwójnego zagrożenia w odniesieniu do roku podatkowego 2002, właśnie dlatego, że Sąd Najwyższy uznał, iż kwestia ta została już ostatecznie rozstrzygnięta w postępowaniu administracyjnym w zakresie podatków i oddalił zarzut karny zaostrzonego oszustwa podatkowego „bez zbadania istoty sprawy"</w:t>
      </w:r>
      <w:r w:rsidR="002970C1" w:rsidRPr="0051003F">
        <w:rPr>
          <w:vertAlign w:val="superscript"/>
          <w:lang w:val="pl-PL"/>
        </w:rPr>
        <w:footnoteReference w:id="128"/>
      </w:r>
      <w:r w:rsidR="002970C1" w:rsidRPr="0051003F">
        <w:rPr>
          <w:lang w:val="pl-PL"/>
        </w:rPr>
        <w:t xml:space="preserve"> w zakresie, w jakim zarzut dotyczył roku podatkowego 2002, w oparciu o zasadę </w:t>
      </w:r>
      <w:proofErr w:type="spellStart"/>
      <w:r w:rsidR="002970C1" w:rsidRPr="0051003F">
        <w:rPr>
          <w:i/>
          <w:lang w:val="pl-PL"/>
        </w:rPr>
        <w:t>ne</w:t>
      </w:r>
      <w:proofErr w:type="spellEnd"/>
      <w:r w:rsidR="002970C1" w:rsidRPr="0051003F">
        <w:rPr>
          <w:i/>
          <w:lang w:val="pl-PL"/>
        </w:rPr>
        <w:t xml:space="preserve"> bis in </w:t>
      </w:r>
      <w:proofErr w:type="spellStart"/>
      <w:r w:rsidR="002970C1" w:rsidRPr="0051003F">
        <w:rPr>
          <w:i/>
          <w:lang w:val="pl-PL"/>
        </w:rPr>
        <w:t>idem</w:t>
      </w:r>
      <w:proofErr w:type="spellEnd"/>
      <w:r w:rsidR="002970C1" w:rsidRPr="0051003F">
        <w:rPr>
          <w:lang w:val="pl-PL"/>
        </w:rPr>
        <w:t>.</w:t>
      </w:r>
    </w:p>
    <w:p w:rsidR="001C1232" w:rsidRPr="0051003F" w:rsidRDefault="001C1232" w:rsidP="002970C1">
      <w:pPr>
        <w:ind w:firstLine="284"/>
        <w:rPr>
          <w:lang w:val="pl-PL"/>
        </w:rPr>
      </w:pPr>
      <w:r w:rsidRPr="0051003F">
        <w:rPr>
          <w:lang w:val="pl-PL"/>
        </w:rPr>
        <w:t> </w:t>
      </w:r>
    </w:p>
    <w:p w:rsidR="002970C1" w:rsidRPr="0051003F" w:rsidRDefault="001C1232" w:rsidP="006B29D9">
      <w:pPr>
        <w:ind w:firstLine="284"/>
        <w:rPr>
          <w:lang w:val="pl-PL"/>
        </w:rPr>
      </w:pPr>
      <w:r w:rsidRPr="0051003F">
        <w:rPr>
          <w:lang w:val="pl-PL"/>
        </w:rPr>
        <w:t>46</w:t>
      </w:r>
      <w:r w:rsidR="002970C1" w:rsidRPr="0051003F">
        <w:rPr>
          <w:lang w:val="pl-PL"/>
        </w:rPr>
        <w:t>. Powyższe wystarczy aby wykazać, że kryterium „wystarczającego połączenia czasowego" jest arbitralne. Właśnie dlatego Trybunał odstąpił od tego w sprawach włoskich i greckich</w:t>
      </w:r>
      <w:r w:rsidRPr="0051003F">
        <w:rPr>
          <w:vertAlign w:val="superscript"/>
          <w:lang w:val="pl-PL"/>
        </w:rPr>
        <w:footnoteReference w:id="129"/>
      </w:r>
      <w:r w:rsidRPr="0051003F">
        <w:rPr>
          <w:lang w:val="pl-PL"/>
        </w:rPr>
        <w:t>.</w:t>
      </w:r>
      <w:r w:rsidR="006B29D9" w:rsidRPr="0051003F">
        <w:rPr>
          <w:lang w:val="pl-PL"/>
        </w:rPr>
        <w:t xml:space="preserve"> </w:t>
      </w:r>
      <w:r w:rsidR="002970C1" w:rsidRPr="0051003F">
        <w:rPr>
          <w:lang w:val="pl-PL"/>
        </w:rPr>
        <w:t xml:space="preserve">W przeciwieństwie do stanowiska </w:t>
      </w:r>
      <w:r w:rsidR="004F0BF2">
        <w:rPr>
          <w:lang w:val="pl-PL"/>
        </w:rPr>
        <w:t>R</w:t>
      </w:r>
      <w:r w:rsidR="002970C1" w:rsidRPr="0051003F">
        <w:rPr>
          <w:lang w:val="pl-PL"/>
        </w:rPr>
        <w:t>ządu francuskiego, który uznał ocenę dokonaną przez organ podatkowy i postępowanie sądowe za dwa etapy, które powinny przebiegać jednocześnie lub w bardzo krótkim odstępie czasu</w:t>
      </w:r>
      <w:r w:rsidRPr="0051003F">
        <w:rPr>
          <w:vertAlign w:val="superscript"/>
          <w:lang w:val="pl-PL"/>
        </w:rPr>
        <w:footnoteReference w:id="130"/>
      </w:r>
      <w:r w:rsidRPr="0051003F">
        <w:rPr>
          <w:lang w:val="pl-PL"/>
        </w:rPr>
        <w:t xml:space="preserve">, </w:t>
      </w:r>
      <w:r w:rsidR="002970C1" w:rsidRPr="0051003F">
        <w:rPr>
          <w:lang w:val="pl-PL"/>
        </w:rPr>
        <w:t>w niniejszej sprawie większość zdecydowała się nadać znaczenie temu dziewięciomiesięcznemu okresowi od dnia, w którym decyzja organów podatkowych z dnia 5 grudnia 2008 r</w:t>
      </w:r>
      <w:r w:rsidR="004F0BF2">
        <w:rPr>
          <w:lang w:val="pl-PL"/>
        </w:rPr>
        <w:t>oku</w:t>
      </w:r>
      <w:r w:rsidR="002970C1" w:rsidRPr="0051003F">
        <w:rPr>
          <w:lang w:val="pl-PL"/>
        </w:rPr>
        <w:t xml:space="preserve"> stała się prawomocna do dnia 30 września 2009 r</w:t>
      </w:r>
      <w:r w:rsidR="00630CE9">
        <w:rPr>
          <w:lang w:val="pl-PL"/>
        </w:rPr>
        <w:t>oku</w:t>
      </w:r>
      <w:r w:rsidR="002970C1" w:rsidRPr="0051003F">
        <w:rPr>
          <w:lang w:val="pl-PL"/>
        </w:rPr>
        <w:t>, w którym to okresie drugi skarżący został skazany. Chociaż okres ten był „nieco dłuższy</w:t>
      </w:r>
      <w:r w:rsidRPr="0051003F">
        <w:rPr>
          <w:lang w:val="pl-PL"/>
        </w:rPr>
        <w:t>”</w:t>
      </w:r>
      <w:r w:rsidRPr="0051003F">
        <w:rPr>
          <w:vertAlign w:val="superscript"/>
          <w:lang w:val="pl-PL"/>
        </w:rPr>
        <w:footnoteReference w:id="131"/>
      </w:r>
      <w:r w:rsidRPr="0051003F">
        <w:rPr>
          <w:lang w:val="pl-PL"/>
        </w:rPr>
        <w:t xml:space="preserve"> </w:t>
      </w:r>
      <w:r w:rsidR="002970C1" w:rsidRPr="0051003F">
        <w:rPr>
          <w:lang w:val="pl-PL"/>
        </w:rPr>
        <w:t xml:space="preserve"> niż </w:t>
      </w:r>
      <w:r w:rsidR="00BC61A9" w:rsidRPr="0051003F">
        <w:rPr>
          <w:lang w:val="pl-PL"/>
        </w:rPr>
        <w:t>dwuipółmiesięczny</w:t>
      </w:r>
      <w:r w:rsidR="002970C1" w:rsidRPr="0051003F">
        <w:rPr>
          <w:lang w:val="pl-PL"/>
        </w:rPr>
        <w:t xml:space="preserve"> termin w przypadku pierwszego skarżącego, to dodatkowe opóźnienie spowodowane jest wycofaniem się </w:t>
      </w:r>
      <w:r w:rsidR="00630CE9">
        <w:rPr>
          <w:lang w:val="pl-PL"/>
        </w:rPr>
        <w:t>w większości przez</w:t>
      </w:r>
      <w:r w:rsidR="002970C1" w:rsidRPr="0051003F">
        <w:rPr>
          <w:lang w:val="pl-PL"/>
        </w:rPr>
        <w:t xml:space="preserve"> drugiego skarżącego z jego </w:t>
      </w:r>
      <w:r w:rsidR="00630CE9">
        <w:rPr>
          <w:lang w:val="pl-PL"/>
        </w:rPr>
        <w:t>zeznań</w:t>
      </w:r>
      <w:r w:rsidR="002970C1" w:rsidRPr="0051003F">
        <w:rPr>
          <w:lang w:val="pl-PL"/>
        </w:rPr>
        <w:t xml:space="preserve">. Zgodnie z tym rozumowaniem gwarancja </w:t>
      </w:r>
      <w:proofErr w:type="spellStart"/>
      <w:r w:rsidR="002970C1" w:rsidRPr="0051003F">
        <w:rPr>
          <w:i/>
          <w:lang w:val="pl-PL"/>
        </w:rPr>
        <w:t>ne</w:t>
      </w:r>
      <w:proofErr w:type="spellEnd"/>
      <w:r w:rsidR="002970C1" w:rsidRPr="0051003F">
        <w:rPr>
          <w:i/>
          <w:lang w:val="pl-PL"/>
        </w:rPr>
        <w:t xml:space="preserve"> bis in </w:t>
      </w:r>
      <w:proofErr w:type="spellStart"/>
      <w:r w:rsidR="002970C1" w:rsidRPr="0051003F">
        <w:rPr>
          <w:i/>
          <w:lang w:val="pl-PL"/>
        </w:rPr>
        <w:t>idem</w:t>
      </w:r>
      <w:proofErr w:type="spellEnd"/>
      <w:r w:rsidR="002970C1" w:rsidRPr="0051003F">
        <w:rPr>
          <w:lang w:val="pl-PL"/>
        </w:rPr>
        <w:t xml:space="preserve"> staje się elastyczna i ma węższy zakres w przypadku wykonywania przez </w:t>
      </w:r>
      <w:r w:rsidR="00630CE9">
        <w:rPr>
          <w:lang w:val="pl-PL"/>
        </w:rPr>
        <w:t>oskarżonego</w:t>
      </w:r>
      <w:r w:rsidR="00630CE9" w:rsidRPr="0051003F">
        <w:rPr>
          <w:lang w:val="pl-PL"/>
        </w:rPr>
        <w:t xml:space="preserve"> </w:t>
      </w:r>
      <w:r w:rsidR="002970C1" w:rsidRPr="0051003F">
        <w:rPr>
          <w:lang w:val="pl-PL"/>
        </w:rPr>
        <w:t xml:space="preserve">jego własnych praw procesowych oraz szerszy zakres, gdy </w:t>
      </w:r>
      <w:r w:rsidR="00630CE9">
        <w:rPr>
          <w:lang w:val="pl-PL"/>
        </w:rPr>
        <w:t>oskarżony</w:t>
      </w:r>
      <w:r w:rsidR="00630CE9" w:rsidRPr="0051003F">
        <w:rPr>
          <w:lang w:val="pl-PL"/>
        </w:rPr>
        <w:t xml:space="preserve"> </w:t>
      </w:r>
      <w:r w:rsidR="002970C1" w:rsidRPr="0051003F">
        <w:rPr>
          <w:lang w:val="pl-PL"/>
        </w:rPr>
        <w:t xml:space="preserve">nie wykonuje tych praw. </w:t>
      </w:r>
      <w:r w:rsidR="00402018">
        <w:rPr>
          <w:lang w:val="pl-PL"/>
        </w:rPr>
        <w:t>Odwetowy</w:t>
      </w:r>
      <w:r w:rsidR="00402018" w:rsidRPr="0051003F">
        <w:rPr>
          <w:lang w:val="pl-PL"/>
        </w:rPr>
        <w:t xml:space="preserve"> </w:t>
      </w:r>
      <w:r w:rsidR="002970C1" w:rsidRPr="0051003F">
        <w:rPr>
          <w:lang w:val="pl-PL"/>
        </w:rPr>
        <w:t>sposób myślenia większości nie mógł być bardziej wymownie przedstawiony.</w:t>
      </w:r>
    </w:p>
    <w:p w:rsidR="00507696" w:rsidRPr="0051003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val="pl-PL" w:eastAsia="fr-FR"/>
        </w:rPr>
      </w:pPr>
      <w:bookmarkStart w:id="248" w:name="_Toc473801940"/>
      <w:bookmarkStart w:id="249" w:name="_Toc473802193"/>
      <w:r w:rsidRPr="0051003F">
        <w:rPr>
          <w:rFonts w:asciiTheme="majorHAnsi" w:eastAsiaTheme="majorEastAsia" w:hAnsiTheme="majorHAnsi" w:cstheme="majorBidi"/>
          <w:b/>
          <w:bCs/>
          <w:sz w:val="20"/>
          <w:lang w:val="pl-PL" w:eastAsia="fr-FR"/>
        </w:rPr>
        <w:t>b.  </w:t>
      </w:r>
      <w:r w:rsidR="002970C1" w:rsidRPr="0051003F">
        <w:rPr>
          <w:rFonts w:asciiTheme="majorHAnsi" w:eastAsiaTheme="majorEastAsia" w:hAnsiTheme="majorHAnsi" w:cstheme="majorBidi"/>
          <w:b/>
          <w:bCs/>
          <w:sz w:val="20"/>
          <w:lang w:val="pl-PL" w:eastAsia="fr-FR"/>
        </w:rPr>
        <w:t xml:space="preserve">Wystarczający związek merytoryczny </w:t>
      </w:r>
      <w:r w:rsidR="00EE0AC7" w:rsidRPr="0051003F">
        <w:rPr>
          <w:rFonts w:asciiTheme="majorHAnsi" w:eastAsiaTheme="majorEastAsia" w:hAnsiTheme="majorHAnsi" w:cstheme="majorBidi"/>
          <w:b/>
          <w:bCs/>
          <w:sz w:val="20"/>
          <w:lang w:val="pl-PL" w:eastAsia="fr-FR"/>
        </w:rPr>
        <w:t>(§§ 47</w:t>
      </w:r>
      <w:r w:rsidR="00EE0AC7" w:rsidRPr="0051003F">
        <w:rPr>
          <w:rFonts w:asciiTheme="majorHAnsi" w:eastAsiaTheme="majorEastAsia" w:hAnsiTheme="majorHAnsi" w:cstheme="majorBidi"/>
          <w:b/>
          <w:bCs/>
          <w:sz w:val="20"/>
          <w:lang w:val="pl-PL" w:eastAsia="fr-FR"/>
        </w:rPr>
        <w:noBreakHyphen/>
        <w:t>49)</w:t>
      </w:r>
      <w:bookmarkEnd w:id="248"/>
      <w:bookmarkEnd w:id="249"/>
    </w:p>
    <w:p w:rsidR="001C1232" w:rsidRPr="0051003F" w:rsidRDefault="001C1232" w:rsidP="006B29D9">
      <w:pPr>
        <w:ind w:firstLine="284"/>
        <w:rPr>
          <w:lang w:val="pl-PL"/>
        </w:rPr>
      </w:pPr>
      <w:r w:rsidRPr="0051003F">
        <w:rPr>
          <w:lang w:val="pl-PL"/>
        </w:rPr>
        <w:t>47.  </w:t>
      </w:r>
      <w:r w:rsidR="002970C1" w:rsidRPr="0051003F">
        <w:rPr>
          <w:lang w:val="pl-PL"/>
        </w:rPr>
        <w:t>Większość wyraźnie zgadza się z argumentacją przedstawioną w sprawach</w:t>
      </w:r>
      <w:r w:rsidRPr="0051003F">
        <w:rPr>
          <w:lang w:val="pl-PL"/>
        </w:rPr>
        <w:t xml:space="preserve"> </w:t>
      </w:r>
      <w:r w:rsidRPr="0051003F">
        <w:rPr>
          <w:i/>
          <w:lang w:val="pl-PL"/>
        </w:rPr>
        <w:t xml:space="preserve">R.T </w:t>
      </w:r>
      <w:r w:rsidR="002970C1" w:rsidRPr="0051003F">
        <w:rPr>
          <w:i/>
          <w:lang w:val="pl-PL"/>
        </w:rPr>
        <w:t>przeciwko Szwajcarii</w:t>
      </w:r>
      <w:r w:rsidRPr="0051003F">
        <w:rPr>
          <w:vertAlign w:val="superscript"/>
          <w:lang w:val="pl-PL"/>
        </w:rPr>
        <w:footnoteReference w:id="132"/>
      </w:r>
      <w:r w:rsidRPr="0051003F">
        <w:rPr>
          <w:lang w:val="pl-PL"/>
        </w:rPr>
        <w:t xml:space="preserve"> </w:t>
      </w:r>
      <w:r w:rsidR="002970C1" w:rsidRPr="0051003F">
        <w:rPr>
          <w:lang w:val="pl-PL"/>
        </w:rPr>
        <w:t xml:space="preserve">i </w:t>
      </w:r>
      <w:proofErr w:type="spellStart"/>
      <w:r w:rsidRPr="0051003F">
        <w:rPr>
          <w:i/>
          <w:lang w:val="pl-PL"/>
        </w:rPr>
        <w:t>Nilsson</w:t>
      </w:r>
      <w:proofErr w:type="spellEnd"/>
      <w:r w:rsidRPr="0051003F">
        <w:rPr>
          <w:i/>
          <w:lang w:val="pl-PL"/>
        </w:rPr>
        <w:t xml:space="preserve"> </w:t>
      </w:r>
      <w:r w:rsidR="002970C1" w:rsidRPr="0051003F">
        <w:rPr>
          <w:i/>
          <w:lang w:val="pl-PL"/>
        </w:rPr>
        <w:t>przeciwko Szwecji</w:t>
      </w:r>
      <w:r w:rsidRPr="0051003F">
        <w:rPr>
          <w:vertAlign w:val="superscript"/>
          <w:lang w:val="pl-PL"/>
        </w:rPr>
        <w:footnoteReference w:id="133"/>
      </w:r>
      <w:r w:rsidR="002970C1" w:rsidRPr="0051003F">
        <w:rPr>
          <w:i/>
          <w:lang w:val="pl-PL"/>
        </w:rPr>
        <w:t xml:space="preserve"> </w:t>
      </w:r>
      <w:r w:rsidR="002970C1" w:rsidRPr="0051003F">
        <w:rPr>
          <w:lang w:val="pl-PL"/>
        </w:rPr>
        <w:t xml:space="preserve">w sprawie podwójnego postępowania administracyjnego i karnego, w którym decyzje o </w:t>
      </w:r>
      <w:r w:rsidR="00402018">
        <w:rPr>
          <w:lang w:val="pl-PL"/>
        </w:rPr>
        <w:t>zakazie</w:t>
      </w:r>
      <w:r w:rsidR="00402018" w:rsidRPr="0051003F">
        <w:rPr>
          <w:lang w:val="pl-PL"/>
        </w:rPr>
        <w:t xml:space="preserve"> </w:t>
      </w:r>
      <w:r w:rsidR="002970C1" w:rsidRPr="0051003F">
        <w:rPr>
          <w:lang w:val="pl-PL"/>
        </w:rPr>
        <w:t xml:space="preserve">prawa jazdy były bezpośrednio oparte na oczekiwanym lub prawomocnym wyroku skazującym za popełnienie przestępstwa lub wykroczenia drogowego, a zatem nie zawierały oddzielnego badania </w:t>
      </w:r>
      <w:r w:rsidR="002970C1" w:rsidRPr="0051003F">
        <w:rPr>
          <w:lang w:val="pl-PL"/>
        </w:rPr>
        <w:lastRenderedPageBreak/>
        <w:t>spornego przestępstwa lub zachowania</w:t>
      </w:r>
      <w:r w:rsidRPr="0051003F">
        <w:rPr>
          <w:vertAlign w:val="superscript"/>
          <w:lang w:val="pl-PL"/>
        </w:rPr>
        <w:footnoteReference w:id="134"/>
      </w:r>
      <w:r w:rsidRPr="0051003F">
        <w:rPr>
          <w:lang w:val="pl-PL"/>
        </w:rPr>
        <w:t xml:space="preserve">. </w:t>
      </w:r>
      <w:r w:rsidR="006B29D9" w:rsidRPr="0051003F">
        <w:rPr>
          <w:lang w:val="pl-PL"/>
        </w:rPr>
        <w:t xml:space="preserve">Orzecznictwo to zostało rozwinięte w sprawach </w:t>
      </w:r>
      <w:proofErr w:type="spellStart"/>
      <w:r w:rsidRPr="0051003F">
        <w:rPr>
          <w:i/>
          <w:lang w:val="pl-PL"/>
        </w:rPr>
        <w:t>Lucky</w:t>
      </w:r>
      <w:proofErr w:type="spellEnd"/>
      <w:r w:rsidRPr="0051003F">
        <w:rPr>
          <w:i/>
          <w:lang w:val="pl-PL"/>
        </w:rPr>
        <w:t xml:space="preserve"> </w:t>
      </w:r>
      <w:proofErr w:type="spellStart"/>
      <w:r w:rsidRPr="0051003F">
        <w:rPr>
          <w:i/>
          <w:lang w:val="pl-PL"/>
        </w:rPr>
        <w:t>Dev</w:t>
      </w:r>
      <w:proofErr w:type="spellEnd"/>
      <w:r w:rsidRPr="0051003F">
        <w:rPr>
          <w:i/>
          <w:lang w:val="pl-PL"/>
        </w:rPr>
        <w:t xml:space="preserve">, </w:t>
      </w:r>
      <w:proofErr w:type="spellStart"/>
      <w:r w:rsidRPr="0051003F">
        <w:rPr>
          <w:i/>
          <w:lang w:val="pl-PL"/>
        </w:rPr>
        <w:t>Nykänen</w:t>
      </w:r>
      <w:proofErr w:type="spellEnd"/>
      <w:r w:rsidRPr="0051003F">
        <w:rPr>
          <w:lang w:val="pl-PL"/>
        </w:rPr>
        <w:t xml:space="preserve"> </w:t>
      </w:r>
      <w:r w:rsidR="006B29D9" w:rsidRPr="0051003F">
        <w:rPr>
          <w:lang w:val="pl-PL"/>
        </w:rPr>
        <w:t>i</w:t>
      </w:r>
      <w:r w:rsidRPr="0051003F">
        <w:rPr>
          <w:lang w:val="pl-PL"/>
        </w:rPr>
        <w:t xml:space="preserve"> </w:t>
      </w:r>
      <w:proofErr w:type="spellStart"/>
      <w:r w:rsidRPr="0051003F">
        <w:rPr>
          <w:i/>
          <w:lang w:val="pl-PL"/>
        </w:rPr>
        <w:t>Häkkä</w:t>
      </w:r>
      <w:proofErr w:type="spellEnd"/>
      <w:r w:rsidRPr="0051003F">
        <w:rPr>
          <w:vertAlign w:val="superscript"/>
          <w:lang w:val="pl-PL"/>
        </w:rPr>
        <w:footnoteReference w:id="135"/>
      </w:r>
      <w:r w:rsidRPr="0051003F">
        <w:rPr>
          <w:lang w:val="pl-PL"/>
        </w:rPr>
        <w:t xml:space="preserve">, </w:t>
      </w:r>
      <w:r w:rsidR="006B29D9" w:rsidRPr="0051003F">
        <w:rPr>
          <w:lang w:val="pl-PL"/>
        </w:rPr>
        <w:t xml:space="preserve">gdzie Trybunał uznał brak ścisłego związku merytorycznego i czasowego pomiędzy postępowaniem karnym a postępowaniem podatkowym. W trzech powyższych sprawach postępowanie podatkowe i postępowanie karne były równoległe i dotyczyły tego samego okresu czasu i zasadniczo tej samej kwoty uchylonych podatków. We wszystkich tych sprawach Trybunał zauważył, że wykroczenia zostały zbadane przez różne organy i sądy bez powiązania postępowań, przy czym oba postępowania toczyły się zgodnie z własnym odrębnym tokiem i </w:t>
      </w:r>
      <w:r w:rsidR="002F5E30">
        <w:rPr>
          <w:lang w:val="pl-PL"/>
        </w:rPr>
        <w:t>zakończyły</w:t>
      </w:r>
      <w:r w:rsidR="002F5E30" w:rsidRPr="0051003F">
        <w:rPr>
          <w:lang w:val="pl-PL"/>
        </w:rPr>
        <w:t xml:space="preserve"> </w:t>
      </w:r>
      <w:r w:rsidR="006B29D9" w:rsidRPr="0051003F">
        <w:rPr>
          <w:lang w:val="pl-PL"/>
        </w:rPr>
        <w:t>się prawomocne w różnym czasie. Wreszcie, w każdym z nich odpowiedzialność karna i obowiązek zapłaty przez skarżące</w:t>
      </w:r>
      <w:r w:rsidR="0063411B">
        <w:rPr>
          <w:lang w:val="pl-PL"/>
        </w:rPr>
        <w:t>go</w:t>
      </w:r>
      <w:r w:rsidR="006B29D9" w:rsidRPr="0051003F">
        <w:rPr>
          <w:lang w:val="pl-PL"/>
        </w:rPr>
        <w:t xml:space="preserve"> kar podatkowych na podstawie właściwych przepisów prawa podatkowego zostały określone w całkowicie od siebie niezależnych postępowaniach. W sprawie </w:t>
      </w:r>
      <w:proofErr w:type="spellStart"/>
      <w:r w:rsidR="006B29D9" w:rsidRPr="0051003F">
        <w:rPr>
          <w:i/>
          <w:lang w:val="pl-PL"/>
        </w:rPr>
        <w:t>Lucky</w:t>
      </w:r>
      <w:proofErr w:type="spellEnd"/>
      <w:r w:rsidR="006B29D9" w:rsidRPr="0051003F">
        <w:rPr>
          <w:i/>
          <w:lang w:val="pl-PL"/>
        </w:rPr>
        <w:t xml:space="preserve"> </w:t>
      </w:r>
      <w:proofErr w:type="spellStart"/>
      <w:r w:rsidR="006B29D9" w:rsidRPr="0051003F">
        <w:rPr>
          <w:i/>
          <w:lang w:val="pl-PL"/>
        </w:rPr>
        <w:t>Dev</w:t>
      </w:r>
      <w:proofErr w:type="spellEnd"/>
      <w:r w:rsidR="006B29D9" w:rsidRPr="0051003F">
        <w:rPr>
          <w:lang w:val="pl-PL"/>
        </w:rPr>
        <w:t xml:space="preserve"> Naczelny Sąd Administracyjny nie wziął pod uwagę okoliczności, że strona skarżąca została uniewinniona od popełnienia przestępstwa podatkowego, odmawiając jej prawa do złożenia odwołania i w związku z tym ostatecznie nałożyła dopłaty podatkowe</w:t>
      </w:r>
      <w:r w:rsidRPr="0051003F">
        <w:rPr>
          <w:vertAlign w:val="superscript"/>
          <w:lang w:val="pl-PL"/>
        </w:rPr>
        <w:footnoteReference w:id="136"/>
      </w:r>
      <w:r w:rsidRPr="0051003F">
        <w:rPr>
          <w:lang w:val="pl-PL"/>
        </w:rPr>
        <w:t xml:space="preserve">. </w:t>
      </w:r>
      <w:r w:rsidR="006B29D9" w:rsidRPr="0051003F">
        <w:rPr>
          <w:lang w:val="pl-PL"/>
        </w:rPr>
        <w:t xml:space="preserve">W sprawach </w:t>
      </w:r>
      <w:proofErr w:type="spellStart"/>
      <w:r w:rsidR="006B29D9" w:rsidRPr="0051003F">
        <w:rPr>
          <w:i/>
          <w:lang w:val="pl-PL"/>
        </w:rPr>
        <w:t>N</w:t>
      </w:r>
      <w:r w:rsidRPr="0051003F">
        <w:rPr>
          <w:i/>
          <w:lang w:val="pl-PL"/>
        </w:rPr>
        <w:t>ykänen</w:t>
      </w:r>
      <w:proofErr w:type="spellEnd"/>
      <w:r w:rsidRPr="0051003F">
        <w:rPr>
          <w:lang w:val="pl-PL"/>
        </w:rPr>
        <w:t xml:space="preserve"> </w:t>
      </w:r>
      <w:r w:rsidR="006B29D9" w:rsidRPr="0051003F">
        <w:rPr>
          <w:lang w:val="pl-PL"/>
        </w:rPr>
        <w:t>i</w:t>
      </w:r>
      <w:r w:rsidRPr="0051003F">
        <w:rPr>
          <w:lang w:val="pl-PL"/>
        </w:rPr>
        <w:t xml:space="preserve"> </w:t>
      </w:r>
      <w:proofErr w:type="spellStart"/>
      <w:r w:rsidRPr="0051003F">
        <w:rPr>
          <w:i/>
          <w:lang w:val="pl-PL"/>
        </w:rPr>
        <w:t>Häkkä</w:t>
      </w:r>
      <w:proofErr w:type="spellEnd"/>
      <w:r w:rsidRPr="0051003F">
        <w:rPr>
          <w:lang w:val="pl-PL"/>
        </w:rPr>
        <w:t xml:space="preserve">, </w:t>
      </w:r>
      <w:r w:rsidR="006B29D9" w:rsidRPr="0051003F">
        <w:rPr>
          <w:lang w:val="pl-PL"/>
        </w:rPr>
        <w:t xml:space="preserve">ani sankcje administracyjne </w:t>
      </w:r>
      <w:r w:rsidR="0063411B">
        <w:rPr>
          <w:lang w:val="pl-PL"/>
        </w:rPr>
        <w:t>ani</w:t>
      </w:r>
      <w:r w:rsidR="0063411B" w:rsidRPr="0051003F">
        <w:rPr>
          <w:lang w:val="pl-PL"/>
        </w:rPr>
        <w:t xml:space="preserve"> </w:t>
      </w:r>
      <w:r w:rsidR="006B29D9" w:rsidRPr="0051003F">
        <w:rPr>
          <w:lang w:val="pl-PL"/>
        </w:rPr>
        <w:t xml:space="preserve">karne nie były brane pod uwagę przez sąd lub </w:t>
      </w:r>
      <w:r w:rsidR="00F5118C">
        <w:rPr>
          <w:lang w:val="pl-PL"/>
        </w:rPr>
        <w:t>komisję</w:t>
      </w:r>
      <w:r w:rsidR="006B29D9" w:rsidRPr="0051003F">
        <w:rPr>
          <w:lang w:val="pl-PL"/>
        </w:rPr>
        <w:t xml:space="preserve"> przy określaniu surowości sankcji, ani też nie istniały żadne inne interakcje między właściwymi organami </w:t>
      </w:r>
      <w:r w:rsidRPr="0051003F">
        <w:rPr>
          <w:vertAlign w:val="superscript"/>
          <w:lang w:val="pl-PL"/>
        </w:rPr>
        <w:footnoteReference w:id="137"/>
      </w:r>
      <w:r w:rsidRPr="0051003F">
        <w:rPr>
          <w:lang w:val="pl-PL"/>
        </w:rPr>
        <w:t>.</w:t>
      </w:r>
    </w:p>
    <w:p w:rsidR="006B29D9" w:rsidRPr="0051003F" w:rsidRDefault="001C1232" w:rsidP="006B29D9">
      <w:pPr>
        <w:ind w:firstLine="284"/>
        <w:rPr>
          <w:lang w:val="pl-PL"/>
        </w:rPr>
      </w:pPr>
      <w:r w:rsidRPr="0051003F">
        <w:rPr>
          <w:lang w:val="pl-PL"/>
        </w:rPr>
        <w:t>48. </w:t>
      </w:r>
      <w:r w:rsidR="006B29D9" w:rsidRPr="0051003F">
        <w:rPr>
          <w:lang w:val="pl-PL"/>
        </w:rPr>
        <w:t xml:space="preserve">Przed szczegółowym omówieniem tej linii rozumowania należy od samego początku odrzucić dwa fałszywe argumenty. Stwierdza się, że jeżeli art. 4 </w:t>
      </w:r>
      <w:r w:rsidR="00F5118C">
        <w:rPr>
          <w:lang w:val="pl-PL"/>
        </w:rPr>
        <w:t>P</w:t>
      </w:r>
      <w:r w:rsidR="006B29D9" w:rsidRPr="0051003F">
        <w:rPr>
          <w:lang w:val="pl-PL"/>
        </w:rPr>
        <w:t>rotokołu nr 7 miałby być interpretowany w ten sposób, że zakazuje on sfinalizowania równoległych postępowań toczących się od momentu zakończenia postępowania administracyjnego lub karnego w drodze ostatecznej decyzji, pociągałoby to za sobą „dalekosiężne, niekorzystne i nieprzewidywalne skutki w wielu dziedzinach prawa administracyjnego"</w:t>
      </w:r>
      <w:r w:rsidRPr="0051003F">
        <w:rPr>
          <w:vertAlign w:val="superscript"/>
          <w:lang w:val="pl-PL"/>
        </w:rPr>
        <w:footnoteReference w:id="138"/>
      </w:r>
      <w:r w:rsidRPr="0051003F">
        <w:rPr>
          <w:lang w:val="pl-PL"/>
        </w:rPr>
        <w:t xml:space="preserve">. </w:t>
      </w:r>
    </w:p>
    <w:p w:rsidR="006B29D9" w:rsidRPr="0051003F" w:rsidRDefault="006B29D9" w:rsidP="006B29D9">
      <w:pPr>
        <w:rPr>
          <w:lang w:val="pl-PL"/>
        </w:rPr>
      </w:pPr>
      <w:r w:rsidRPr="0051003F">
        <w:rPr>
          <w:lang w:val="pl-PL"/>
        </w:rPr>
        <w:t xml:space="preserve">Taki </w:t>
      </w:r>
      <w:r w:rsidR="001C1232" w:rsidRPr="0051003F">
        <w:rPr>
          <w:i/>
          <w:lang w:val="pl-PL"/>
        </w:rPr>
        <w:t>argumentum ad terrorem</w:t>
      </w:r>
      <w:r w:rsidR="001C1232" w:rsidRPr="0051003F">
        <w:rPr>
          <w:lang w:val="pl-PL"/>
        </w:rPr>
        <w:t xml:space="preserve">, </w:t>
      </w:r>
      <w:r w:rsidRPr="00486852">
        <w:rPr>
          <w:lang w:val="pl-PL"/>
        </w:rPr>
        <w:t>kt</w:t>
      </w:r>
      <w:r w:rsidRPr="00F5118C">
        <w:rPr>
          <w:lang w:val="pl-PL"/>
        </w:rPr>
        <w:t>ó</w:t>
      </w:r>
      <w:r w:rsidRPr="0051003F">
        <w:rPr>
          <w:lang w:val="pl-PL"/>
        </w:rPr>
        <w:t xml:space="preserve">ra odgrywa rolę karty odwoływania się z powodu strachu, nie jest argumentem prawnym i dlatego nie powinien być </w:t>
      </w:r>
      <w:r w:rsidRPr="0051003F">
        <w:rPr>
          <w:lang w:val="pl-PL"/>
        </w:rPr>
        <w:lastRenderedPageBreak/>
        <w:t xml:space="preserve">w żadnym wypadku uznawany przez sąd. Innym przykładem niedopuszczalnego błędu jest argument, że kilka państw europejskich, które mają podwójny system sankcji, zwróciło się do Trybunału o jego utrzymanie, wyrażając swoje poglądy i obawy podobne do poglądów i obaw wyrażonych przez </w:t>
      </w:r>
      <w:r w:rsidR="00DA4C5D">
        <w:rPr>
          <w:lang w:val="pl-PL"/>
        </w:rPr>
        <w:t>Rząd</w:t>
      </w:r>
      <w:r w:rsidR="001C1232" w:rsidRPr="0051003F">
        <w:rPr>
          <w:vertAlign w:val="superscript"/>
          <w:lang w:val="pl-PL"/>
        </w:rPr>
        <w:footnoteReference w:id="139"/>
      </w:r>
      <w:r w:rsidR="001C1232" w:rsidRPr="0051003F">
        <w:rPr>
          <w:lang w:val="pl-PL"/>
        </w:rPr>
        <w:t>.</w:t>
      </w:r>
      <w:r w:rsidRPr="0051003F">
        <w:rPr>
          <w:lang w:val="pl-PL"/>
        </w:rPr>
        <w:t xml:space="preserve"> Nazywa się to argumentum </w:t>
      </w:r>
      <w:r w:rsidRPr="0051003F">
        <w:rPr>
          <w:i/>
          <w:lang w:val="pl-PL"/>
        </w:rPr>
        <w:t xml:space="preserve">ad </w:t>
      </w:r>
      <w:proofErr w:type="spellStart"/>
      <w:r w:rsidRPr="0051003F">
        <w:rPr>
          <w:i/>
          <w:lang w:val="pl-PL"/>
        </w:rPr>
        <w:t>nauseam</w:t>
      </w:r>
      <w:proofErr w:type="spellEnd"/>
      <w:r w:rsidRPr="0051003F">
        <w:rPr>
          <w:lang w:val="pl-PL"/>
        </w:rPr>
        <w:t xml:space="preserve">, </w:t>
      </w:r>
      <w:r w:rsidR="00DA4C5D">
        <w:rPr>
          <w:lang w:val="pl-PL"/>
        </w:rPr>
        <w:t>opiera się on</w:t>
      </w:r>
      <w:r w:rsidRPr="0051003F">
        <w:rPr>
          <w:lang w:val="pl-PL"/>
        </w:rPr>
        <w:t xml:space="preserve"> na powtórzeniu argumentu przez kilka zainteresowanych stron, a nie na jego zaletach. Nie powinno to mieć miejsca w orzeczeniu </w:t>
      </w:r>
      <w:r w:rsidR="00DA4C5D">
        <w:rPr>
          <w:lang w:val="pl-PL"/>
        </w:rPr>
        <w:t>Trybunału</w:t>
      </w:r>
      <w:r w:rsidRPr="0051003F">
        <w:rPr>
          <w:lang w:val="pl-PL"/>
        </w:rPr>
        <w:t>.</w:t>
      </w:r>
    </w:p>
    <w:p w:rsidR="001C1232" w:rsidRPr="0051003F" w:rsidRDefault="001C1232" w:rsidP="006B29D9">
      <w:pPr>
        <w:ind w:firstLine="284"/>
        <w:rPr>
          <w:lang w:val="pl-PL"/>
        </w:rPr>
      </w:pPr>
      <w:r w:rsidRPr="0051003F">
        <w:rPr>
          <w:lang w:val="pl-PL"/>
        </w:rPr>
        <w:t>49.  </w:t>
      </w:r>
      <w:r w:rsidR="008005B8" w:rsidRPr="0051003F">
        <w:rPr>
          <w:lang w:val="pl-PL"/>
        </w:rPr>
        <w:t xml:space="preserve">Należy również </w:t>
      </w:r>
      <w:r w:rsidR="00DA4C5D">
        <w:rPr>
          <w:lang w:val="pl-PL"/>
        </w:rPr>
        <w:t>potępić</w:t>
      </w:r>
      <w:r w:rsidR="00DA4C5D" w:rsidRPr="0051003F">
        <w:rPr>
          <w:lang w:val="pl-PL"/>
        </w:rPr>
        <w:t xml:space="preserve"> </w:t>
      </w:r>
      <w:r w:rsidR="008005B8" w:rsidRPr="0051003F">
        <w:rPr>
          <w:lang w:val="pl-PL"/>
        </w:rPr>
        <w:t xml:space="preserve">dwa błędne ogólne założenia. Błędna jest argumentacja art. 4 Protokołu nr 7, że państwa powinny mieć szeroki margines oceny w kwestii, o ile system podwójnych sankcji wydaje się realizować uzasadniony cel i nie pociąga za sobą nadmiernych lub nieproporcjonalnych obciążeń dla </w:t>
      </w:r>
      <w:r w:rsidR="00FF6E80">
        <w:rPr>
          <w:lang w:val="pl-PL"/>
        </w:rPr>
        <w:t>oskarżonego</w:t>
      </w:r>
      <w:r w:rsidR="008005B8" w:rsidRPr="0051003F">
        <w:rPr>
          <w:lang w:val="pl-PL"/>
        </w:rPr>
        <w:t xml:space="preserve">. </w:t>
      </w:r>
      <w:r w:rsidR="008005B8" w:rsidRPr="0051003F">
        <w:rPr>
          <w:i/>
          <w:lang w:val="pl-PL"/>
        </w:rPr>
        <w:t xml:space="preserve">Ne bis in </w:t>
      </w:r>
      <w:proofErr w:type="spellStart"/>
      <w:r w:rsidR="008005B8" w:rsidRPr="0051003F">
        <w:rPr>
          <w:i/>
          <w:lang w:val="pl-PL"/>
        </w:rPr>
        <w:t>idem</w:t>
      </w:r>
      <w:proofErr w:type="spellEnd"/>
      <w:r w:rsidR="008005B8" w:rsidRPr="0051003F">
        <w:rPr>
          <w:lang w:val="pl-PL"/>
        </w:rPr>
        <w:t xml:space="preserve"> jest prawem niezbywalnym, a zatem państwa nie mają żadnego marginesu oceny</w:t>
      </w:r>
      <w:r w:rsidRPr="0051003F">
        <w:rPr>
          <w:vertAlign w:val="superscript"/>
          <w:lang w:val="pl-PL"/>
        </w:rPr>
        <w:footnoteReference w:id="140"/>
      </w:r>
      <w:r w:rsidRPr="0051003F">
        <w:rPr>
          <w:lang w:val="pl-PL"/>
        </w:rPr>
        <w:t>.</w:t>
      </w:r>
    </w:p>
    <w:p w:rsidR="006E5742" w:rsidRPr="0051003F" w:rsidRDefault="006E5742" w:rsidP="006E5742">
      <w:pPr>
        <w:ind w:firstLine="284"/>
        <w:rPr>
          <w:lang w:val="pl-PL"/>
        </w:rPr>
      </w:pPr>
      <w:r w:rsidRPr="0051003F">
        <w:rPr>
          <w:lang w:val="pl-PL"/>
        </w:rPr>
        <w:t xml:space="preserve">Niedopuszczalne jest również twierdzenie, że </w:t>
      </w:r>
      <w:r w:rsidR="007F5C71">
        <w:rPr>
          <w:lang w:val="pl-PL"/>
        </w:rPr>
        <w:t>przypadkiem jest</w:t>
      </w:r>
      <w:r w:rsidRPr="0051003F">
        <w:rPr>
          <w:lang w:val="pl-PL"/>
        </w:rPr>
        <w:t xml:space="preserve">, który z równoległych postępowań jako </w:t>
      </w:r>
      <w:r w:rsidR="007F5C71" w:rsidRPr="0051003F">
        <w:rPr>
          <w:lang w:val="pl-PL"/>
        </w:rPr>
        <w:t>pierwsz</w:t>
      </w:r>
      <w:r w:rsidR="007F5C71">
        <w:rPr>
          <w:lang w:val="pl-PL"/>
        </w:rPr>
        <w:t>e</w:t>
      </w:r>
      <w:r w:rsidR="007F5C71" w:rsidRPr="0051003F">
        <w:rPr>
          <w:lang w:val="pl-PL"/>
        </w:rPr>
        <w:t xml:space="preserve"> </w:t>
      </w:r>
      <w:r w:rsidR="007F5C71">
        <w:rPr>
          <w:lang w:val="pl-PL"/>
        </w:rPr>
        <w:t>stanie</w:t>
      </w:r>
      <w:r w:rsidR="007F5C71" w:rsidRPr="0051003F">
        <w:rPr>
          <w:lang w:val="pl-PL"/>
        </w:rPr>
        <w:t xml:space="preserve"> </w:t>
      </w:r>
      <w:r w:rsidRPr="0051003F">
        <w:rPr>
          <w:lang w:val="pl-PL"/>
        </w:rPr>
        <w:t>się ostateczn</w:t>
      </w:r>
      <w:r w:rsidR="007F5C71">
        <w:rPr>
          <w:lang w:val="pl-PL"/>
        </w:rPr>
        <w:t>e</w:t>
      </w:r>
      <w:r w:rsidRPr="0051003F">
        <w:rPr>
          <w:lang w:val="pl-PL"/>
        </w:rPr>
        <w:t xml:space="preserve">, oraz że gdyby władze publiczne </w:t>
      </w:r>
      <w:r w:rsidR="007F5C71">
        <w:rPr>
          <w:lang w:val="pl-PL"/>
        </w:rPr>
        <w:t>musiały umorzyć jedno</w:t>
      </w:r>
      <w:r w:rsidRPr="0051003F">
        <w:rPr>
          <w:lang w:val="pl-PL"/>
        </w:rPr>
        <w:t xml:space="preserve"> z postępowań po tym, jak drugie stało się ostateczne, mogłoby to prowadzić do arbitralnego rozstrzygnięcia połączonego postępowania. Ta argumentacja </w:t>
      </w:r>
      <w:r w:rsidR="001624EA">
        <w:rPr>
          <w:lang w:val="pl-PL"/>
        </w:rPr>
        <w:t>sama nasuwa to</w:t>
      </w:r>
      <w:r w:rsidRPr="0051003F">
        <w:rPr>
          <w:lang w:val="pl-PL"/>
        </w:rPr>
        <w:t xml:space="preserve"> pytanie, ponieważ zakłada, że mus</w:t>
      </w:r>
      <w:r w:rsidR="008005B8" w:rsidRPr="0051003F">
        <w:rPr>
          <w:lang w:val="pl-PL"/>
        </w:rPr>
        <w:t xml:space="preserve">i istnieć więcej niż </w:t>
      </w:r>
      <w:r w:rsidR="00BC61A9" w:rsidRPr="0051003F">
        <w:rPr>
          <w:lang w:val="pl-PL"/>
        </w:rPr>
        <w:t>jedno</w:t>
      </w:r>
      <w:r w:rsidR="008005B8" w:rsidRPr="0051003F">
        <w:rPr>
          <w:lang w:val="pl-PL"/>
        </w:rPr>
        <w:t xml:space="preserve"> postępowanie dotyczące</w:t>
      </w:r>
      <w:r w:rsidRPr="0051003F">
        <w:rPr>
          <w:lang w:val="pl-PL"/>
        </w:rPr>
        <w:t xml:space="preserve"> tych samych faktów. Ponadto oznacza to, że </w:t>
      </w:r>
      <w:r w:rsidR="008005B8" w:rsidRPr="0051003F">
        <w:rPr>
          <w:lang w:val="pl-PL"/>
        </w:rPr>
        <w:t>oskarżony mógłby</w:t>
      </w:r>
      <w:r w:rsidRPr="0051003F">
        <w:rPr>
          <w:lang w:val="pl-PL"/>
        </w:rPr>
        <w:t xml:space="preserve"> wykorzystać zasadę </w:t>
      </w:r>
      <w:proofErr w:type="spellStart"/>
      <w:r w:rsidRPr="0051003F">
        <w:rPr>
          <w:i/>
          <w:lang w:val="pl-PL"/>
        </w:rPr>
        <w:t>ne</w:t>
      </w:r>
      <w:proofErr w:type="spellEnd"/>
      <w:r w:rsidRPr="0051003F">
        <w:rPr>
          <w:i/>
          <w:lang w:val="pl-PL"/>
        </w:rPr>
        <w:t xml:space="preserve"> bis in </w:t>
      </w:r>
      <w:proofErr w:type="spellStart"/>
      <w:r w:rsidRPr="0051003F">
        <w:rPr>
          <w:i/>
          <w:lang w:val="pl-PL"/>
        </w:rPr>
        <w:t>idem</w:t>
      </w:r>
      <w:proofErr w:type="spellEnd"/>
      <w:r w:rsidR="008005B8" w:rsidRPr="0051003F">
        <w:rPr>
          <w:lang w:val="pl-PL"/>
        </w:rPr>
        <w:t xml:space="preserve"> jako narzędzie „</w:t>
      </w:r>
      <w:r w:rsidRPr="0051003F">
        <w:rPr>
          <w:lang w:val="pl-PL"/>
        </w:rPr>
        <w:t>manipulacji i bezkarności</w:t>
      </w:r>
      <w:r w:rsidR="008005B8" w:rsidRPr="0051003F">
        <w:rPr>
          <w:lang w:val="pl-PL"/>
        </w:rPr>
        <w:t>”</w:t>
      </w:r>
      <w:r w:rsidR="001C1232" w:rsidRPr="0051003F">
        <w:rPr>
          <w:vertAlign w:val="superscript"/>
          <w:lang w:val="pl-PL"/>
        </w:rPr>
        <w:footnoteReference w:id="141"/>
      </w:r>
      <w:r w:rsidR="001C1232" w:rsidRPr="0051003F">
        <w:rPr>
          <w:lang w:val="pl-PL"/>
        </w:rPr>
        <w:t xml:space="preserve">, </w:t>
      </w:r>
      <w:r w:rsidRPr="0051003F">
        <w:rPr>
          <w:lang w:val="pl-PL"/>
        </w:rPr>
        <w:t>jak gdyby oskarżony zawsze był w stanie kontrolować tempo postępowania. Taka wizja podziału kompetencji w postępowaniach administracyjnych jest oderwana od rzeczywistości</w:t>
      </w:r>
      <w:r w:rsidR="001C1232" w:rsidRPr="0051003F">
        <w:rPr>
          <w:vertAlign w:val="superscript"/>
          <w:lang w:val="pl-PL"/>
        </w:rPr>
        <w:footnoteReference w:id="142"/>
      </w:r>
      <w:r w:rsidR="001C1232" w:rsidRPr="0051003F">
        <w:rPr>
          <w:lang w:val="pl-PL"/>
        </w:rPr>
        <w:t xml:space="preserve">. </w:t>
      </w:r>
      <w:r w:rsidRPr="0051003F">
        <w:rPr>
          <w:lang w:val="pl-PL"/>
        </w:rPr>
        <w:t xml:space="preserve">Ostatecznie, podstawowym założeniem rozumowania większości jest założenie, że </w:t>
      </w:r>
      <w:proofErr w:type="spellStart"/>
      <w:r w:rsidRPr="0051003F">
        <w:rPr>
          <w:i/>
          <w:lang w:val="pl-PL"/>
        </w:rPr>
        <w:t>ne</w:t>
      </w:r>
      <w:proofErr w:type="spellEnd"/>
      <w:r w:rsidRPr="0051003F">
        <w:rPr>
          <w:i/>
          <w:lang w:val="pl-PL"/>
        </w:rPr>
        <w:t xml:space="preserve"> bis in </w:t>
      </w:r>
      <w:proofErr w:type="spellStart"/>
      <w:r w:rsidRPr="0051003F">
        <w:rPr>
          <w:i/>
          <w:lang w:val="pl-PL"/>
        </w:rPr>
        <w:t>idem</w:t>
      </w:r>
      <w:proofErr w:type="spellEnd"/>
      <w:r w:rsidRPr="0051003F">
        <w:rPr>
          <w:lang w:val="pl-PL"/>
        </w:rPr>
        <w:t xml:space="preserve"> nie jest wyrażeniem subiektywnego prawa </w:t>
      </w:r>
      <w:r w:rsidR="00AD22F1">
        <w:rPr>
          <w:lang w:val="pl-PL"/>
        </w:rPr>
        <w:t>oskarżonego</w:t>
      </w:r>
      <w:r w:rsidRPr="0051003F">
        <w:rPr>
          <w:lang w:val="pl-PL"/>
        </w:rPr>
        <w:t xml:space="preserve">, lecz jedynie regułą gwarantującą autorytet wybranego </w:t>
      </w:r>
      <w:proofErr w:type="spellStart"/>
      <w:r w:rsidRPr="0051003F">
        <w:rPr>
          <w:i/>
          <w:lang w:val="pl-PL"/>
        </w:rPr>
        <w:t>jugée</w:t>
      </w:r>
      <w:proofErr w:type="spellEnd"/>
      <w:r w:rsidRPr="0051003F">
        <w:rPr>
          <w:lang w:val="pl-PL"/>
        </w:rPr>
        <w:t>, której jedynym celem jest zapewnienie penalnego interesu państwa i niemożliwości orzekania przez państwo. Poniższe rozważania w sposób bardziej szczegółowy dowodzą autorytatywnego stanowiska większości.</w:t>
      </w:r>
    </w:p>
    <w:p w:rsidR="001C1232" w:rsidRPr="0051003F" w:rsidRDefault="001C1232" w:rsidP="006E5742">
      <w:pPr>
        <w:rPr>
          <w:lang w:val="pl-PL"/>
        </w:rPr>
      </w:pPr>
    </w:p>
    <w:p w:rsidR="00507696" w:rsidRPr="0051003F" w:rsidRDefault="001C1232" w:rsidP="00A7252F">
      <w:pPr>
        <w:keepNext/>
        <w:keepLines/>
        <w:spacing w:before="360" w:after="240"/>
        <w:ind w:left="357" w:hanging="357"/>
        <w:outlineLvl w:val="1"/>
        <w:rPr>
          <w:rFonts w:asciiTheme="majorHAnsi" w:eastAsiaTheme="majorEastAsia" w:hAnsiTheme="majorHAnsi" w:cstheme="majorBidi"/>
          <w:b/>
          <w:bCs/>
          <w:szCs w:val="28"/>
          <w:lang w:val="pl-PL" w:eastAsia="fr-FR"/>
        </w:rPr>
      </w:pPr>
      <w:bookmarkStart w:id="250" w:name="_Toc473801941"/>
      <w:bookmarkStart w:id="251" w:name="_Toc473802194"/>
      <w:r w:rsidRPr="0051003F">
        <w:rPr>
          <w:rFonts w:asciiTheme="majorHAnsi" w:eastAsiaTheme="majorEastAsia" w:hAnsiTheme="majorHAnsi" w:cstheme="majorBidi"/>
          <w:b/>
          <w:bCs/>
          <w:szCs w:val="28"/>
          <w:lang w:val="pl-PL" w:eastAsia="fr-FR"/>
        </w:rPr>
        <w:lastRenderedPageBreak/>
        <w:t>V </w:t>
      </w:r>
      <w:r w:rsidR="00537091" w:rsidRPr="0051003F">
        <w:rPr>
          <w:rFonts w:asciiTheme="majorHAnsi" w:eastAsiaTheme="majorEastAsia" w:hAnsiTheme="majorHAnsi" w:cstheme="majorBidi"/>
          <w:b/>
          <w:bCs/>
          <w:szCs w:val="28"/>
          <w:lang w:val="pl-PL" w:eastAsia="fr-FR"/>
        </w:rPr>
        <w:t>–</w:t>
      </w:r>
      <w:r w:rsidRPr="0051003F">
        <w:rPr>
          <w:rFonts w:asciiTheme="majorHAnsi" w:eastAsiaTheme="majorEastAsia" w:hAnsiTheme="majorHAnsi" w:cstheme="majorBidi"/>
          <w:b/>
          <w:bCs/>
          <w:szCs w:val="28"/>
          <w:lang w:val="pl-PL" w:eastAsia="fr-FR"/>
        </w:rPr>
        <w:t> </w:t>
      </w:r>
      <w:r w:rsidR="00537091" w:rsidRPr="0051003F">
        <w:rPr>
          <w:rFonts w:asciiTheme="majorHAnsi" w:eastAsiaTheme="majorEastAsia" w:hAnsiTheme="majorHAnsi" w:cstheme="majorBidi"/>
          <w:b/>
          <w:bCs/>
          <w:szCs w:val="28"/>
          <w:lang w:val="pl-PL" w:eastAsia="fr-FR"/>
        </w:rPr>
        <w:t>Sprawozdanie z</w:t>
      </w:r>
      <w:r w:rsidRPr="0051003F">
        <w:rPr>
          <w:rFonts w:asciiTheme="majorHAnsi" w:eastAsiaTheme="majorEastAsia" w:hAnsiTheme="majorHAnsi" w:cstheme="majorBidi"/>
          <w:b/>
          <w:bCs/>
          <w:szCs w:val="28"/>
          <w:lang w:val="pl-PL" w:eastAsia="fr-FR"/>
        </w:rPr>
        <w:t xml:space="preserve"> </w:t>
      </w:r>
      <w:proofErr w:type="spellStart"/>
      <w:r w:rsidRPr="0051003F">
        <w:rPr>
          <w:rFonts w:asciiTheme="majorHAnsi" w:eastAsiaTheme="majorEastAsia" w:hAnsiTheme="majorHAnsi" w:cstheme="majorBidi"/>
          <w:b/>
          <w:bCs/>
          <w:i/>
          <w:szCs w:val="28"/>
          <w:lang w:val="pl-PL" w:eastAsia="fr-FR"/>
        </w:rPr>
        <w:t>Sergey</w:t>
      </w:r>
      <w:proofErr w:type="spellEnd"/>
      <w:r w:rsidRPr="0051003F">
        <w:rPr>
          <w:rFonts w:asciiTheme="majorHAnsi" w:eastAsiaTheme="majorEastAsia" w:hAnsiTheme="majorHAnsi" w:cstheme="majorBidi"/>
          <w:b/>
          <w:bCs/>
          <w:i/>
          <w:szCs w:val="28"/>
          <w:lang w:val="pl-PL" w:eastAsia="fr-FR"/>
        </w:rPr>
        <w:t xml:space="preserve"> </w:t>
      </w:r>
      <w:proofErr w:type="spellStart"/>
      <w:r w:rsidRPr="0051003F">
        <w:rPr>
          <w:rFonts w:asciiTheme="majorHAnsi" w:eastAsiaTheme="majorEastAsia" w:hAnsiTheme="majorHAnsi" w:cstheme="majorBidi"/>
          <w:b/>
          <w:bCs/>
          <w:i/>
          <w:szCs w:val="28"/>
          <w:lang w:val="pl-PL" w:eastAsia="fr-FR"/>
        </w:rPr>
        <w:t>Zolotukhin</w:t>
      </w:r>
      <w:proofErr w:type="spellEnd"/>
      <w:r w:rsidR="00EE0AC7" w:rsidRPr="0051003F">
        <w:rPr>
          <w:rFonts w:asciiTheme="majorHAnsi" w:eastAsiaTheme="majorEastAsia" w:hAnsiTheme="majorHAnsi" w:cstheme="majorBidi"/>
          <w:b/>
          <w:bCs/>
          <w:i/>
          <w:szCs w:val="28"/>
          <w:lang w:val="pl-PL" w:eastAsia="fr-FR"/>
        </w:rPr>
        <w:t xml:space="preserve"> </w:t>
      </w:r>
      <w:r w:rsidR="00EE0AC7" w:rsidRPr="0051003F">
        <w:rPr>
          <w:rFonts w:asciiTheme="majorHAnsi" w:eastAsiaTheme="majorEastAsia" w:hAnsiTheme="majorHAnsi" w:cstheme="majorBidi"/>
          <w:b/>
          <w:bCs/>
          <w:szCs w:val="28"/>
          <w:lang w:val="pl-PL" w:eastAsia="fr-FR"/>
        </w:rPr>
        <w:t>(§§ 50</w:t>
      </w:r>
      <w:r w:rsidR="00EE0AC7" w:rsidRPr="0051003F">
        <w:rPr>
          <w:rFonts w:asciiTheme="majorHAnsi" w:eastAsiaTheme="majorEastAsia" w:hAnsiTheme="majorHAnsi" w:cstheme="majorBidi"/>
          <w:b/>
          <w:bCs/>
          <w:szCs w:val="28"/>
          <w:lang w:val="pl-PL" w:eastAsia="fr-FR"/>
        </w:rPr>
        <w:noBreakHyphen/>
        <w:t>77)</w:t>
      </w:r>
      <w:bookmarkEnd w:id="250"/>
      <w:bookmarkEnd w:id="251"/>
    </w:p>
    <w:p w:rsidR="00507696" w:rsidRPr="0051003F" w:rsidRDefault="001C1232" w:rsidP="00A7252F">
      <w:pPr>
        <w:keepNext/>
        <w:keepLines/>
        <w:tabs>
          <w:tab w:val="left" w:pos="584"/>
        </w:tabs>
        <w:spacing w:before="360" w:after="240"/>
        <w:ind w:left="635" w:hanging="357"/>
        <w:outlineLvl w:val="2"/>
        <w:rPr>
          <w:rFonts w:asciiTheme="majorHAnsi" w:eastAsiaTheme="majorEastAsia" w:hAnsiTheme="majorHAnsi" w:cstheme="majorBidi"/>
          <w:b/>
          <w:bCs/>
          <w:szCs w:val="26"/>
          <w:lang w:val="pl-PL" w:eastAsia="fr-FR"/>
        </w:rPr>
      </w:pPr>
      <w:bookmarkStart w:id="252" w:name="_Toc473801942"/>
      <w:bookmarkStart w:id="253" w:name="_Toc473802195"/>
      <w:r w:rsidRPr="0051003F">
        <w:rPr>
          <w:rFonts w:asciiTheme="majorHAnsi" w:eastAsiaTheme="majorEastAsia" w:hAnsiTheme="majorHAnsi" w:cstheme="majorBidi"/>
          <w:b/>
          <w:bCs/>
          <w:szCs w:val="26"/>
          <w:lang w:val="pl-PL" w:eastAsia="fr-FR"/>
        </w:rPr>
        <w:t>A.  </w:t>
      </w:r>
      <w:r w:rsidR="00537091" w:rsidRPr="0051003F">
        <w:rPr>
          <w:rFonts w:asciiTheme="majorHAnsi" w:eastAsiaTheme="majorEastAsia" w:hAnsiTheme="majorHAnsi" w:cstheme="majorBidi"/>
          <w:b/>
          <w:bCs/>
          <w:szCs w:val="26"/>
          <w:lang w:val="pl-PL" w:eastAsia="fr-FR"/>
        </w:rPr>
        <w:t>Ograniczenie</w:t>
      </w:r>
      <w:r w:rsidRPr="0051003F">
        <w:rPr>
          <w:rFonts w:asciiTheme="majorHAnsi" w:eastAsiaTheme="majorEastAsia" w:hAnsiTheme="majorHAnsi" w:cstheme="majorBidi"/>
          <w:b/>
          <w:bCs/>
          <w:szCs w:val="26"/>
          <w:lang w:val="pl-PL" w:eastAsia="fr-FR"/>
        </w:rPr>
        <w:t xml:space="preserve"> </w:t>
      </w:r>
      <w:proofErr w:type="spellStart"/>
      <w:r w:rsidRPr="0051003F">
        <w:rPr>
          <w:rFonts w:asciiTheme="majorHAnsi" w:eastAsiaTheme="majorEastAsia" w:hAnsiTheme="majorHAnsi" w:cstheme="majorBidi"/>
          <w:b/>
          <w:bCs/>
          <w:i/>
          <w:szCs w:val="26"/>
          <w:lang w:val="pl-PL" w:eastAsia="fr-FR"/>
        </w:rPr>
        <w:t>idem</w:t>
      </w:r>
      <w:proofErr w:type="spellEnd"/>
      <w:r w:rsidRPr="0051003F">
        <w:rPr>
          <w:rFonts w:asciiTheme="majorHAnsi" w:eastAsiaTheme="majorEastAsia" w:hAnsiTheme="majorHAnsi" w:cstheme="majorBidi"/>
          <w:b/>
          <w:bCs/>
          <w:i/>
          <w:szCs w:val="26"/>
          <w:lang w:val="pl-PL" w:eastAsia="fr-FR"/>
        </w:rPr>
        <w:t xml:space="preserve"> factum</w:t>
      </w:r>
      <w:r w:rsidRPr="0051003F">
        <w:rPr>
          <w:rFonts w:asciiTheme="majorHAnsi" w:eastAsiaTheme="majorEastAsia" w:hAnsiTheme="majorHAnsi" w:cstheme="majorBidi"/>
          <w:b/>
          <w:bCs/>
          <w:szCs w:val="26"/>
          <w:lang w:val="pl-PL" w:eastAsia="fr-FR"/>
        </w:rPr>
        <w:t xml:space="preserve"> </w:t>
      </w:r>
      <w:r w:rsidR="00537091" w:rsidRPr="0051003F">
        <w:rPr>
          <w:rFonts w:asciiTheme="majorHAnsi" w:eastAsiaTheme="majorEastAsia" w:hAnsiTheme="majorHAnsi" w:cstheme="majorBidi"/>
          <w:b/>
          <w:bCs/>
          <w:szCs w:val="26"/>
          <w:lang w:val="pl-PL" w:eastAsia="fr-FR"/>
        </w:rPr>
        <w:t>przez kryterium</w:t>
      </w:r>
      <w:r w:rsidRPr="0051003F">
        <w:rPr>
          <w:rFonts w:asciiTheme="majorHAnsi" w:eastAsiaTheme="majorEastAsia" w:hAnsiTheme="majorHAnsi" w:cstheme="majorBidi"/>
          <w:b/>
          <w:bCs/>
          <w:szCs w:val="26"/>
          <w:lang w:val="pl-PL" w:eastAsia="fr-FR"/>
        </w:rPr>
        <w:t xml:space="preserve"> </w:t>
      </w:r>
      <w:r w:rsidRPr="0051003F">
        <w:rPr>
          <w:rFonts w:asciiTheme="majorHAnsi" w:eastAsiaTheme="majorEastAsia" w:hAnsiTheme="majorHAnsi" w:cstheme="majorBidi"/>
          <w:b/>
          <w:bCs/>
          <w:i/>
          <w:szCs w:val="26"/>
          <w:lang w:val="pl-PL" w:eastAsia="fr-FR"/>
        </w:rPr>
        <w:t>bis</w:t>
      </w:r>
      <w:r w:rsidR="00EE0AC7" w:rsidRPr="0051003F">
        <w:rPr>
          <w:rFonts w:asciiTheme="majorHAnsi" w:eastAsiaTheme="majorEastAsia" w:hAnsiTheme="majorHAnsi" w:cstheme="majorBidi"/>
          <w:b/>
          <w:bCs/>
          <w:szCs w:val="26"/>
          <w:lang w:val="pl-PL" w:eastAsia="fr-FR"/>
        </w:rPr>
        <w:t xml:space="preserve"> (§§ 50</w:t>
      </w:r>
      <w:r w:rsidR="00EE0AC7" w:rsidRPr="0051003F">
        <w:rPr>
          <w:rFonts w:asciiTheme="majorHAnsi" w:eastAsiaTheme="majorEastAsia" w:hAnsiTheme="majorHAnsi" w:cstheme="majorBidi"/>
          <w:b/>
          <w:bCs/>
          <w:szCs w:val="26"/>
          <w:lang w:val="pl-PL" w:eastAsia="fr-FR"/>
        </w:rPr>
        <w:noBreakHyphen/>
        <w:t>59)</w:t>
      </w:r>
      <w:bookmarkEnd w:id="252"/>
      <w:bookmarkEnd w:id="253"/>
    </w:p>
    <w:p w:rsidR="00537091" w:rsidRPr="0051003F" w:rsidRDefault="001C1232" w:rsidP="00537091">
      <w:pPr>
        <w:keepNext/>
        <w:keepLines/>
        <w:tabs>
          <w:tab w:val="left" w:pos="731"/>
        </w:tabs>
        <w:spacing w:before="240" w:after="120"/>
        <w:ind w:left="833" w:hanging="357"/>
        <w:outlineLvl w:val="3"/>
        <w:rPr>
          <w:rFonts w:asciiTheme="majorHAnsi" w:eastAsiaTheme="majorEastAsia" w:hAnsiTheme="majorHAnsi" w:cstheme="majorBidi"/>
          <w:b/>
          <w:bCs/>
          <w:sz w:val="20"/>
          <w:lang w:val="pl-PL" w:eastAsia="fr-FR"/>
        </w:rPr>
      </w:pPr>
      <w:bookmarkStart w:id="254" w:name="_Toc473801943"/>
      <w:bookmarkStart w:id="255" w:name="_Toc473802196"/>
      <w:r w:rsidRPr="0051003F">
        <w:rPr>
          <w:rFonts w:asciiTheme="majorHAnsi" w:eastAsiaTheme="majorEastAsia" w:hAnsiTheme="majorHAnsi" w:cstheme="majorBidi"/>
          <w:b/>
          <w:bCs/>
          <w:sz w:val="20"/>
          <w:lang w:val="pl-PL" w:eastAsia="fr-FR"/>
        </w:rPr>
        <w:t>a.  </w:t>
      </w:r>
      <w:bookmarkEnd w:id="254"/>
      <w:bookmarkEnd w:id="255"/>
      <w:r w:rsidR="00537091" w:rsidRPr="0051003F">
        <w:rPr>
          <w:rFonts w:asciiTheme="majorHAnsi" w:eastAsiaTheme="majorEastAsia" w:hAnsiTheme="majorHAnsi" w:cstheme="majorBidi"/>
          <w:b/>
          <w:bCs/>
          <w:sz w:val="20"/>
          <w:lang w:val="pl-PL" w:eastAsia="fr-FR"/>
        </w:rPr>
        <w:t>Realizacja różnych celów dotyczących różnych aspektów niewłaściwego postępowania społecznego (§§ 50 ust. 50 57</w:t>
      </w:r>
      <w:r w:rsidR="00AD22F1">
        <w:rPr>
          <w:rFonts w:asciiTheme="majorHAnsi" w:eastAsiaTheme="majorEastAsia" w:hAnsiTheme="majorHAnsi" w:cstheme="majorBidi"/>
          <w:b/>
          <w:bCs/>
          <w:sz w:val="20"/>
          <w:lang w:val="pl-PL" w:eastAsia="fr-FR"/>
        </w:rPr>
        <w:t>)</w:t>
      </w:r>
    </w:p>
    <w:p w:rsidR="001C1232" w:rsidRPr="0051003F" w:rsidRDefault="001C1232" w:rsidP="002036B3">
      <w:pPr>
        <w:ind w:firstLine="284"/>
        <w:rPr>
          <w:lang w:val="pl-PL"/>
        </w:rPr>
      </w:pPr>
      <w:r w:rsidRPr="0051003F">
        <w:rPr>
          <w:lang w:val="pl-PL"/>
        </w:rPr>
        <w:t>50.  </w:t>
      </w:r>
      <w:r w:rsidR="00537091" w:rsidRPr="0051003F">
        <w:rPr>
          <w:lang w:val="pl-PL"/>
        </w:rPr>
        <w:t>Zdaniem większości</w:t>
      </w:r>
      <w:r w:rsidR="002036B3" w:rsidRPr="0051003F">
        <w:rPr>
          <w:lang w:val="pl-PL"/>
        </w:rPr>
        <w:t>, aby skumulować</w:t>
      </w:r>
      <w:r w:rsidR="00537091" w:rsidRPr="0051003F">
        <w:rPr>
          <w:lang w:val="pl-PL"/>
        </w:rPr>
        <w:t xml:space="preserve"> sankcje administracyjne i karne, muszą być spełnione cztery warunki merytoryczne: postępowanie mające na celu osiągnięcie komplementarnych celów i odnoszące się do różnych aspektów omawianych </w:t>
      </w:r>
      <w:proofErr w:type="spellStart"/>
      <w:r w:rsidR="00537091" w:rsidRPr="0051003F">
        <w:rPr>
          <w:lang w:val="pl-PL"/>
        </w:rPr>
        <w:t>zachowań</w:t>
      </w:r>
      <w:proofErr w:type="spellEnd"/>
      <w:r w:rsidR="00537091" w:rsidRPr="0051003F">
        <w:rPr>
          <w:lang w:val="pl-PL"/>
        </w:rPr>
        <w:t xml:space="preserve"> społecznych; przewidywalność kombinacji sankcji; brak powielania gromadzenia i oceny dowodów; oraz mechanizm kompensowania między sankcjami administracyjnymi i karnymi.</w:t>
      </w:r>
    </w:p>
    <w:p w:rsidR="002036B3" w:rsidRPr="0051003F" w:rsidRDefault="001C1232" w:rsidP="002036B3">
      <w:pPr>
        <w:ind w:firstLine="284"/>
        <w:rPr>
          <w:lang w:val="pl-PL"/>
        </w:rPr>
      </w:pPr>
      <w:r w:rsidRPr="0051003F">
        <w:rPr>
          <w:lang w:val="pl-PL"/>
        </w:rPr>
        <w:t>51.  </w:t>
      </w:r>
      <w:r w:rsidR="002036B3" w:rsidRPr="0051003F">
        <w:rPr>
          <w:lang w:val="pl-PL"/>
        </w:rPr>
        <w:t>Większość pierwszy warunek odnosi do różnych postępowań mających na celu osiągnięcie komplementarnych celów i odnoszących się do różnych aspektów niewłaściwego postępowania społecznego. Większość określa w paragrafie 144 różne cele, do których dążą kary podatkowe na mocy art. 10 rozdziału 10 ust. 10 (ogólny środek odstraszający i rekompensata za prac</w:t>
      </w:r>
      <w:r w:rsidR="005D42D2">
        <w:rPr>
          <w:lang w:val="pl-PL"/>
        </w:rPr>
        <w:t>ę</w:t>
      </w:r>
      <w:r w:rsidR="002036B3" w:rsidRPr="0051003F">
        <w:rPr>
          <w:lang w:val="pl-PL"/>
        </w:rPr>
        <w:t xml:space="preserve"> i koszty poniesione przez organy podatkowe w celu wykrycia wadliwych oświadczeń) oraz wyrok skazujący zgodnie z art. 12 rozdziału 12 ustawy o rozliczeniach podatkowych z 1980 r</w:t>
      </w:r>
      <w:r w:rsidR="005D42D2">
        <w:rPr>
          <w:lang w:val="pl-PL"/>
        </w:rPr>
        <w:t>oku</w:t>
      </w:r>
      <w:r w:rsidR="002036B3" w:rsidRPr="0051003F">
        <w:rPr>
          <w:lang w:val="pl-PL"/>
        </w:rPr>
        <w:t xml:space="preserve"> (cele karne). Większość wskazuje również w paragrafie 123 na „dodatkowy element” przestępstwa (</w:t>
      </w:r>
      <w:r w:rsidR="005D42D2">
        <w:rPr>
          <w:lang w:val="pl-PL"/>
        </w:rPr>
        <w:t>działania niezgodne</w:t>
      </w:r>
      <w:r w:rsidR="002036B3" w:rsidRPr="0051003F">
        <w:rPr>
          <w:lang w:val="pl-PL"/>
        </w:rPr>
        <w:t xml:space="preserve"> z prawem), którym według niej nie zajmuje się administracyjne wykroczenie podatkowe. Innymi słowy, większość jest po stronie </w:t>
      </w:r>
      <w:r w:rsidR="00062AFE">
        <w:rPr>
          <w:lang w:val="pl-PL"/>
        </w:rPr>
        <w:t>R</w:t>
      </w:r>
      <w:r w:rsidR="002036B3" w:rsidRPr="0051003F">
        <w:rPr>
          <w:lang w:val="pl-PL"/>
        </w:rPr>
        <w:t>ządu, który twierdzi, że zwykłe dopłaty podatkowe są „nakładane obiektywnie, bez względu na winę, w celu wyrównania państwu kosztów poniesionych” w procesie kontroli</w:t>
      </w:r>
      <w:r w:rsidR="00D80D99">
        <w:rPr>
          <w:rStyle w:val="Odwoanieprzypisudolnego"/>
          <w:lang w:val="pl-PL"/>
        </w:rPr>
        <w:footnoteReference w:id="143"/>
      </w:r>
      <w:r w:rsidR="002036B3" w:rsidRPr="0051003F">
        <w:rPr>
          <w:lang w:val="pl-PL"/>
        </w:rPr>
        <w:t>.</w:t>
      </w:r>
    </w:p>
    <w:p w:rsidR="002036B3" w:rsidRPr="0051003F" w:rsidRDefault="001C1232" w:rsidP="002036B3">
      <w:pPr>
        <w:ind w:firstLine="284"/>
        <w:rPr>
          <w:lang w:val="pl-PL"/>
        </w:rPr>
      </w:pPr>
      <w:r w:rsidRPr="0051003F">
        <w:rPr>
          <w:lang w:val="pl-PL"/>
        </w:rPr>
        <w:t>52.  </w:t>
      </w:r>
      <w:r w:rsidR="002036B3" w:rsidRPr="0051003F">
        <w:rPr>
          <w:lang w:val="pl-PL"/>
        </w:rPr>
        <w:t>Twierdzenie to nie jest uzasadnione z dwóch zasadniczych względów prawnych. Po pierwsze, w prawie krajowym nie ma przepisu lub innego wiążącego instrumentu wymagającego proporcjonalności między karami podatkowymi a kosztami poniesionymi przez administrację podatkową w celu wykrycia, zbadania, ścigania i naprawienia konkretnego przestępstwa podatkowego przypisanego sprawcy. Taki wymóg byłby w każdym razie po prostu niemożliwy do zrealizowania, ponieważ mógłby on opierać się jedynie na wirtualnym, zgrubnym oszacowaniu kosztów ponoszonych przez organy podatkowe w przeliczeniu na jednego mieszkańca w związku z całym mechanizmem kontroli i audytów przeprowadzanych w celu wykrycia wadliwych deklaracji. W związku z tym, jeżeli kary podatkowe realizowałyby cel wyrównawczy, oznaczałoby to niedopuszczalny element zbiorowej winy, nakładający na niektórych podatników koszty całego systemu kontroli deklaracji podatkowych.</w:t>
      </w:r>
    </w:p>
    <w:p w:rsidR="001C1232" w:rsidRPr="0051003F" w:rsidRDefault="001C1232" w:rsidP="002036B3">
      <w:pPr>
        <w:ind w:firstLine="284"/>
        <w:rPr>
          <w:lang w:val="pl-PL"/>
        </w:rPr>
      </w:pPr>
      <w:r w:rsidRPr="0051003F">
        <w:rPr>
          <w:lang w:val="pl-PL"/>
        </w:rPr>
        <w:lastRenderedPageBreak/>
        <w:t>53.  </w:t>
      </w:r>
      <w:r w:rsidR="002036B3" w:rsidRPr="0051003F">
        <w:rPr>
          <w:lang w:val="pl-PL"/>
        </w:rPr>
        <w:t xml:space="preserve">Po drugie, stanowisko większości nie uwzględnia faktu, że sporna kara podatkowa nie może w żaden możliwy sposób zostać uznana jedynie za karę wyrównawczą. Kary podatkowe w wysokości do 30% lub nawet 60% są tak surowe, że bez wątpienia zawierają w sobie element kary. W </w:t>
      </w:r>
      <w:proofErr w:type="spellStart"/>
      <w:r w:rsidR="002036B3" w:rsidRPr="0051003F">
        <w:rPr>
          <w:i/>
          <w:lang w:val="pl-PL"/>
        </w:rPr>
        <w:t>Janosevic</w:t>
      </w:r>
      <w:proofErr w:type="spellEnd"/>
      <w:r w:rsidR="002036B3" w:rsidRPr="0051003F">
        <w:rPr>
          <w:lang w:val="pl-PL"/>
        </w:rPr>
        <w:t xml:space="preserve"> dopłaty</w:t>
      </w:r>
      <w:r w:rsidR="00355867">
        <w:rPr>
          <w:lang w:val="pl-PL"/>
        </w:rPr>
        <w:t xml:space="preserve"> </w:t>
      </w:r>
      <w:r w:rsidR="002036B3" w:rsidRPr="0051003F">
        <w:rPr>
          <w:lang w:val="pl-PL"/>
        </w:rPr>
        <w:t xml:space="preserve">ustalone zwykle na poziomie 20% lub 40% </w:t>
      </w:r>
      <w:r w:rsidR="00EA1E59">
        <w:rPr>
          <w:lang w:val="pl-PL"/>
        </w:rPr>
        <w:t xml:space="preserve"> kwoty unikniętego </w:t>
      </w:r>
      <w:r w:rsidR="002036B3" w:rsidRPr="0051003F">
        <w:rPr>
          <w:lang w:val="pl-PL"/>
        </w:rPr>
        <w:t xml:space="preserve">podatku, bez górnego limitu i </w:t>
      </w:r>
      <w:r w:rsidR="00EC3227">
        <w:rPr>
          <w:lang w:val="pl-PL"/>
        </w:rPr>
        <w:t>niepodlegające wymianie na</w:t>
      </w:r>
      <w:r w:rsidR="002036B3" w:rsidRPr="0051003F">
        <w:rPr>
          <w:lang w:val="pl-PL"/>
        </w:rPr>
        <w:t xml:space="preserve"> karę pozbawienia wolności w przypadku niedokonania płatności, zostały uznane za podlegające karnemu ograniczeniu przewidzianemu w art. 6</w:t>
      </w:r>
      <w:r w:rsidRPr="0051003F">
        <w:rPr>
          <w:vertAlign w:val="superscript"/>
          <w:lang w:val="pl-PL"/>
        </w:rPr>
        <w:footnoteReference w:id="144"/>
      </w:r>
      <w:r w:rsidRPr="0051003F">
        <w:rPr>
          <w:lang w:val="pl-PL"/>
        </w:rPr>
        <w:t xml:space="preserve">. </w:t>
      </w:r>
      <w:r w:rsidR="002036B3" w:rsidRPr="0051003F">
        <w:rPr>
          <w:lang w:val="pl-PL"/>
        </w:rPr>
        <w:t xml:space="preserve">Ostatecznie większość nie zdaje sobie sprawy, jaki jest nieodłączny cel karania </w:t>
      </w:r>
      <w:r w:rsidR="00355867">
        <w:rPr>
          <w:lang w:val="pl-PL"/>
        </w:rPr>
        <w:t>jakąkolwiek</w:t>
      </w:r>
      <w:r w:rsidR="00355867" w:rsidRPr="0051003F">
        <w:rPr>
          <w:lang w:val="pl-PL"/>
        </w:rPr>
        <w:t xml:space="preserve"> </w:t>
      </w:r>
      <w:r w:rsidR="00355867">
        <w:rPr>
          <w:lang w:val="pl-PL"/>
        </w:rPr>
        <w:t>karą</w:t>
      </w:r>
      <w:r w:rsidR="00355867" w:rsidRPr="0051003F">
        <w:rPr>
          <w:lang w:val="pl-PL"/>
        </w:rPr>
        <w:t xml:space="preserve"> </w:t>
      </w:r>
      <w:r w:rsidR="00355867">
        <w:rPr>
          <w:lang w:val="pl-PL"/>
        </w:rPr>
        <w:t>podatkową</w:t>
      </w:r>
      <w:r w:rsidR="002036B3" w:rsidRPr="0051003F">
        <w:rPr>
          <w:lang w:val="pl-PL"/>
        </w:rPr>
        <w:t xml:space="preserve">, niezależnie od jej wysokości, jak to miało miejsce w </w:t>
      </w:r>
      <w:proofErr w:type="spellStart"/>
      <w:r w:rsidR="002036B3" w:rsidRPr="0051003F">
        <w:rPr>
          <w:i/>
          <w:lang w:val="pl-PL"/>
        </w:rPr>
        <w:t>Jussili</w:t>
      </w:r>
      <w:proofErr w:type="spellEnd"/>
      <w:r w:rsidR="002036B3" w:rsidRPr="0051003F">
        <w:rPr>
          <w:lang w:val="pl-PL"/>
        </w:rPr>
        <w:t xml:space="preserve"> w przypadku 10 % dopłaty </w:t>
      </w:r>
      <w:r w:rsidR="00355867" w:rsidRPr="0051003F">
        <w:rPr>
          <w:lang w:val="pl-PL"/>
        </w:rPr>
        <w:t>podatkowe</w:t>
      </w:r>
      <w:r w:rsidR="00355867">
        <w:rPr>
          <w:lang w:val="pl-PL"/>
        </w:rPr>
        <w:t>j</w:t>
      </w:r>
      <w:r w:rsidR="002036B3" w:rsidRPr="0051003F">
        <w:rPr>
          <w:lang w:val="pl-PL"/>
        </w:rPr>
        <w:t xml:space="preserve">, </w:t>
      </w:r>
      <w:r w:rsidR="00355867" w:rsidRPr="0051003F">
        <w:rPr>
          <w:lang w:val="pl-PL"/>
        </w:rPr>
        <w:t>któr</w:t>
      </w:r>
      <w:r w:rsidR="00355867">
        <w:rPr>
          <w:lang w:val="pl-PL"/>
        </w:rPr>
        <w:t>a</w:t>
      </w:r>
      <w:r w:rsidR="00355867" w:rsidRPr="0051003F">
        <w:rPr>
          <w:lang w:val="pl-PL"/>
        </w:rPr>
        <w:t xml:space="preserve"> </w:t>
      </w:r>
      <w:r w:rsidR="002036B3" w:rsidRPr="0051003F">
        <w:rPr>
          <w:lang w:val="pl-PL"/>
        </w:rPr>
        <w:t>został</w:t>
      </w:r>
      <w:r w:rsidR="00355867">
        <w:rPr>
          <w:lang w:val="pl-PL"/>
        </w:rPr>
        <w:t>a</w:t>
      </w:r>
      <w:r w:rsidR="002036B3" w:rsidRPr="0051003F">
        <w:rPr>
          <w:lang w:val="pl-PL"/>
        </w:rPr>
        <w:t xml:space="preserve"> już dawno temu nałożon</w:t>
      </w:r>
      <w:r w:rsidR="00355867">
        <w:rPr>
          <w:lang w:val="pl-PL"/>
        </w:rPr>
        <w:t>a</w:t>
      </w:r>
      <w:r w:rsidR="002036B3" w:rsidRPr="0051003F">
        <w:rPr>
          <w:lang w:val="pl-PL"/>
        </w:rPr>
        <w:t>, przy ogólnej maksymalnej możliwej dopłacie w wysokości 20 %</w:t>
      </w:r>
      <w:r w:rsidRPr="0051003F">
        <w:rPr>
          <w:vertAlign w:val="superscript"/>
          <w:lang w:val="pl-PL"/>
        </w:rPr>
        <w:footnoteReference w:id="145"/>
      </w:r>
      <w:r w:rsidRPr="0051003F">
        <w:rPr>
          <w:lang w:val="pl-PL"/>
        </w:rPr>
        <w:t xml:space="preserve">. </w:t>
      </w:r>
      <w:r w:rsidR="002036B3" w:rsidRPr="0051003F">
        <w:rPr>
          <w:lang w:val="pl-PL"/>
        </w:rPr>
        <w:t>Trudno zrozumieć, dlaczego Trybunał powinien nagle odejść od tych ugruntowanych standardów w niniejszej sprawie bez żadnego wyjaśnienia.</w:t>
      </w:r>
    </w:p>
    <w:p w:rsidR="001C1232" w:rsidRPr="0051003F" w:rsidRDefault="002036B3" w:rsidP="002036B3">
      <w:pPr>
        <w:ind w:firstLine="284"/>
        <w:rPr>
          <w:lang w:val="pl-PL"/>
        </w:rPr>
      </w:pPr>
      <w:r w:rsidRPr="0051003F">
        <w:rPr>
          <w:lang w:val="pl-PL"/>
        </w:rPr>
        <w:t xml:space="preserve">Podsumowując, w norweskich ramach prawnych administracyjne postępowania podatkowe mają na celu zniechęcenie potencjalnych oszustów </w:t>
      </w:r>
      <w:r w:rsidR="00EC3227">
        <w:rPr>
          <w:lang w:val="pl-PL"/>
        </w:rPr>
        <w:t>do ponownego</w:t>
      </w:r>
      <w:r w:rsidRPr="0051003F">
        <w:rPr>
          <w:lang w:val="pl-PL"/>
        </w:rPr>
        <w:t xml:space="preserve"> popełniani</w:t>
      </w:r>
      <w:r w:rsidR="00EC3227">
        <w:rPr>
          <w:lang w:val="pl-PL"/>
        </w:rPr>
        <w:t>a</w:t>
      </w:r>
      <w:r w:rsidRPr="0051003F">
        <w:rPr>
          <w:lang w:val="pl-PL"/>
        </w:rPr>
        <w:t xml:space="preserve"> przestępstw. Zapobieganie ogólnym celom polega na tym, że dany rodzaj sankcji podatkowych jest dopuszczalny</w:t>
      </w:r>
      <w:r w:rsidR="001C1232" w:rsidRPr="0051003F">
        <w:rPr>
          <w:vertAlign w:val="superscript"/>
          <w:lang w:val="pl-PL"/>
        </w:rPr>
        <w:footnoteReference w:id="146"/>
      </w:r>
      <w:r w:rsidR="001C1232" w:rsidRPr="0051003F">
        <w:rPr>
          <w:lang w:val="pl-PL"/>
        </w:rPr>
        <w:t xml:space="preserve">. </w:t>
      </w:r>
      <w:r w:rsidRPr="0051003F">
        <w:rPr>
          <w:lang w:val="pl-PL"/>
        </w:rPr>
        <w:t>Dążenie „koniecznie” do ogólnego zapobiegania ma skutki uboczne kary i specjalne zapobieganie w odniesieniu do skazanego przestępcy, a te skutki uboczne są oczywiście zamierzone w polityce państwa.</w:t>
      </w:r>
      <w:r w:rsidRPr="0051003F">
        <w:rPr>
          <w:vertAlign w:val="superscript"/>
          <w:lang w:val="pl-PL"/>
        </w:rPr>
        <w:t xml:space="preserve"> </w:t>
      </w:r>
      <w:r w:rsidR="001C1232" w:rsidRPr="0051003F">
        <w:rPr>
          <w:vertAlign w:val="superscript"/>
          <w:lang w:val="pl-PL"/>
        </w:rPr>
        <w:footnoteReference w:id="147"/>
      </w:r>
      <w:r w:rsidR="001C1232" w:rsidRPr="0051003F">
        <w:rPr>
          <w:lang w:val="pl-PL"/>
        </w:rPr>
        <w:t xml:space="preserve">. </w:t>
      </w:r>
      <w:r w:rsidRPr="0051003F">
        <w:rPr>
          <w:lang w:val="pl-PL"/>
        </w:rPr>
        <w:t>Sąd Najwyższy podjął godny pochwały wysiłek w celu ograniczenia tych wzorcowych, karzących skutków poprzez zasadę proporcjonalności.</w:t>
      </w:r>
      <w:r w:rsidR="001C1232" w:rsidRPr="0051003F">
        <w:rPr>
          <w:vertAlign w:val="superscript"/>
          <w:lang w:val="pl-PL"/>
        </w:rPr>
        <w:footnoteReference w:id="148"/>
      </w:r>
      <w:r w:rsidR="001C1232" w:rsidRPr="0051003F">
        <w:rPr>
          <w:lang w:val="pl-PL"/>
        </w:rPr>
        <w:t xml:space="preserve">. </w:t>
      </w:r>
      <w:r w:rsidRPr="0051003F">
        <w:rPr>
          <w:lang w:val="pl-PL"/>
        </w:rPr>
        <w:t>Trybunał nie powinien jednak angażować się w grę z semantyką. Zamiast tego powin</w:t>
      </w:r>
      <w:r w:rsidR="00852A5E">
        <w:rPr>
          <w:lang w:val="pl-PL"/>
        </w:rPr>
        <w:t>ien</w:t>
      </w:r>
      <w:r w:rsidRPr="0051003F">
        <w:rPr>
          <w:lang w:val="pl-PL"/>
        </w:rPr>
        <w:t xml:space="preserve"> raczej oceniać w miarę możliwości realistyczne, </w:t>
      </w:r>
      <w:r w:rsidR="006E5992">
        <w:rPr>
          <w:lang w:val="pl-PL"/>
        </w:rPr>
        <w:t>najnowsze</w:t>
      </w:r>
      <w:r w:rsidR="006E5992" w:rsidRPr="0051003F">
        <w:rPr>
          <w:lang w:val="pl-PL"/>
        </w:rPr>
        <w:t xml:space="preserve"> </w:t>
      </w:r>
      <w:r w:rsidRPr="0051003F">
        <w:rPr>
          <w:lang w:val="pl-PL"/>
        </w:rPr>
        <w:t>kary podatkowe i ich wpływ na życie podatników. W tym świetle, ogólne zapobieganie poprzez proporcjonalną karę nie jest niczym innym, jak tylko „ukrytą teorią odwetową” (</w:t>
      </w:r>
      <w:proofErr w:type="spellStart"/>
      <w:r w:rsidRPr="0051003F">
        <w:rPr>
          <w:i/>
          <w:lang w:val="pl-PL"/>
        </w:rPr>
        <w:t>verkappte</w:t>
      </w:r>
      <w:proofErr w:type="spellEnd"/>
      <w:r w:rsidRPr="0051003F">
        <w:rPr>
          <w:i/>
          <w:lang w:val="pl-PL"/>
        </w:rPr>
        <w:t xml:space="preserve"> </w:t>
      </w:r>
      <w:proofErr w:type="spellStart"/>
      <w:r w:rsidRPr="0051003F">
        <w:rPr>
          <w:i/>
          <w:lang w:val="pl-PL"/>
        </w:rPr>
        <w:t>Vergeltungstheorie</w:t>
      </w:r>
      <w:proofErr w:type="spellEnd"/>
      <w:r w:rsidRPr="0051003F">
        <w:rPr>
          <w:lang w:val="pl-PL"/>
        </w:rPr>
        <w:t>)</w:t>
      </w:r>
      <w:r w:rsidR="001C1232" w:rsidRPr="0051003F">
        <w:rPr>
          <w:vertAlign w:val="superscript"/>
          <w:lang w:val="pl-PL"/>
        </w:rPr>
        <w:footnoteReference w:id="149"/>
      </w:r>
      <w:r w:rsidR="001C1232" w:rsidRPr="0051003F">
        <w:rPr>
          <w:lang w:val="pl-PL"/>
        </w:rPr>
        <w:t>.</w:t>
      </w:r>
    </w:p>
    <w:p w:rsidR="00022884" w:rsidRPr="0051003F" w:rsidRDefault="001C1232" w:rsidP="00022884">
      <w:pPr>
        <w:ind w:firstLine="284"/>
        <w:rPr>
          <w:lang w:val="pl-PL"/>
        </w:rPr>
      </w:pPr>
      <w:r w:rsidRPr="0051003F">
        <w:rPr>
          <w:lang w:val="pl-PL"/>
        </w:rPr>
        <w:lastRenderedPageBreak/>
        <w:t>54.  </w:t>
      </w:r>
      <w:r w:rsidR="002036B3" w:rsidRPr="0051003F">
        <w:rPr>
          <w:lang w:val="pl-PL"/>
        </w:rPr>
        <w:t xml:space="preserve">Argumentacji </w:t>
      </w:r>
      <w:r w:rsidR="006E5992">
        <w:rPr>
          <w:lang w:val="pl-PL"/>
        </w:rPr>
        <w:t>R</w:t>
      </w:r>
      <w:r w:rsidR="002036B3" w:rsidRPr="0051003F">
        <w:rPr>
          <w:lang w:val="pl-PL"/>
        </w:rPr>
        <w:t>ządu nie można ró</w:t>
      </w:r>
      <w:r w:rsidR="00022884" w:rsidRPr="0051003F">
        <w:rPr>
          <w:lang w:val="pl-PL"/>
        </w:rPr>
        <w:t>wnież przyjąć w odniesieniu do „dodatkowego elementu”</w:t>
      </w:r>
      <w:r w:rsidR="002036B3" w:rsidRPr="0051003F">
        <w:rPr>
          <w:lang w:val="pl-PL"/>
        </w:rPr>
        <w:t xml:space="preserve"> przestępstwa, który stanowi domniemany element zamiaru oszustwa. Przyjęcie argumentacji </w:t>
      </w:r>
      <w:r w:rsidR="006E5992">
        <w:rPr>
          <w:lang w:val="pl-PL"/>
        </w:rPr>
        <w:t>R</w:t>
      </w:r>
      <w:r w:rsidR="002036B3" w:rsidRPr="0051003F">
        <w:rPr>
          <w:lang w:val="pl-PL"/>
        </w:rPr>
        <w:t xml:space="preserve">ządu byłoby sprzeczne z </w:t>
      </w:r>
      <w:r w:rsidR="00022884" w:rsidRPr="0051003F">
        <w:rPr>
          <w:lang w:val="pl-PL"/>
        </w:rPr>
        <w:t>orzeczeniem w sprawie</w:t>
      </w:r>
      <w:r w:rsidR="002036B3" w:rsidRPr="0051003F">
        <w:rPr>
          <w:lang w:val="pl-PL"/>
        </w:rPr>
        <w:t xml:space="preserve"> </w:t>
      </w:r>
      <w:proofErr w:type="spellStart"/>
      <w:r w:rsidR="002036B3" w:rsidRPr="0051003F">
        <w:rPr>
          <w:i/>
          <w:lang w:val="pl-PL"/>
        </w:rPr>
        <w:t>Ruotsalainen</w:t>
      </w:r>
      <w:proofErr w:type="spellEnd"/>
      <w:r w:rsidR="002036B3" w:rsidRPr="0051003F">
        <w:rPr>
          <w:lang w:val="pl-PL"/>
        </w:rPr>
        <w:t xml:space="preserve">. </w:t>
      </w:r>
      <w:r w:rsidRPr="0051003F">
        <w:rPr>
          <w:vertAlign w:val="superscript"/>
          <w:lang w:val="pl-PL"/>
        </w:rPr>
        <w:footnoteReference w:id="150"/>
      </w:r>
      <w:r w:rsidRPr="0051003F">
        <w:rPr>
          <w:lang w:val="pl-PL"/>
        </w:rPr>
        <w:t xml:space="preserve">. </w:t>
      </w:r>
      <w:r w:rsidR="00022884" w:rsidRPr="0051003F">
        <w:rPr>
          <w:lang w:val="pl-PL"/>
        </w:rPr>
        <w:t xml:space="preserve">W tym przypadku </w:t>
      </w:r>
      <w:r w:rsidR="006E5992">
        <w:rPr>
          <w:lang w:val="pl-PL"/>
        </w:rPr>
        <w:t>R</w:t>
      </w:r>
      <w:r w:rsidR="00022884" w:rsidRPr="0051003F">
        <w:rPr>
          <w:lang w:val="pl-PL"/>
        </w:rPr>
        <w:t xml:space="preserve">ząd strony pozwanej argumentował, że oszustwa podatkowe obejmowały element „umyślności”, podczas gdy wykroczenie administracyjne było możliwe wyłącznie z przyczyn obiektywnych. Odpowiedź Trybunału była wymowna: okoliczności faktyczne w obu postępowaniach nie różniły się od siebie, chociaż w postępowaniu karnym istniał wymóg zamiaru, ale nie miało to znaczenia dla celów art. 4 Protokołu </w:t>
      </w:r>
      <w:r w:rsidR="004362AF">
        <w:rPr>
          <w:lang w:val="pl-PL"/>
        </w:rPr>
        <w:t>n</w:t>
      </w:r>
      <w:r w:rsidR="00022884" w:rsidRPr="0051003F">
        <w:rPr>
          <w:lang w:val="pl-PL"/>
        </w:rPr>
        <w:t>r 7. Elementy tych dwóch czynów zabronionych pod groźbą kary musiały zatem zostać uznane za zasadniczo takie same. To samo powinno mieć zastosowanie w niniejszej sprawie.</w:t>
      </w:r>
    </w:p>
    <w:p w:rsidR="00022884" w:rsidRPr="0051003F" w:rsidRDefault="00022884" w:rsidP="00022884">
      <w:pPr>
        <w:ind w:firstLine="284"/>
        <w:rPr>
          <w:lang w:val="pl-PL"/>
        </w:rPr>
      </w:pPr>
      <w:r w:rsidRPr="0051003F">
        <w:rPr>
          <w:lang w:val="pl-PL"/>
        </w:rPr>
        <w:t>55</w:t>
      </w:r>
      <w:r w:rsidR="001C1232" w:rsidRPr="0051003F">
        <w:rPr>
          <w:lang w:val="pl-PL"/>
        </w:rPr>
        <w:t>.  </w:t>
      </w:r>
      <w:r w:rsidRPr="0051003F">
        <w:rPr>
          <w:lang w:val="pl-PL"/>
        </w:rPr>
        <w:t xml:space="preserve">Ponadto większość nie porównuje subiektywnych elementów przestępstw podatkowych podlegających karze podatkowej </w:t>
      </w:r>
      <w:r w:rsidR="00EC4906">
        <w:rPr>
          <w:lang w:val="pl-PL"/>
        </w:rPr>
        <w:t>z przestępstwami</w:t>
      </w:r>
      <w:r w:rsidRPr="0051003F">
        <w:rPr>
          <w:lang w:val="pl-PL"/>
        </w:rPr>
        <w:t xml:space="preserve"> podlegającym karze pozbawienia wolności lub grzywny. W związku z tym pomijają oni </w:t>
      </w:r>
      <w:r w:rsidR="00EC4906">
        <w:rPr>
          <w:lang w:val="pl-PL"/>
        </w:rPr>
        <w:t>to by wziąć pod uwagę zarzuty</w:t>
      </w:r>
      <w:r w:rsidRPr="0051003F">
        <w:rPr>
          <w:lang w:val="pl-PL"/>
        </w:rPr>
        <w:t xml:space="preserve"> </w:t>
      </w:r>
      <w:r w:rsidR="00EC4906" w:rsidRPr="0051003F">
        <w:rPr>
          <w:lang w:val="pl-PL"/>
        </w:rPr>
        <w:t>etyczn</w:t>
      </w:r>
      <w:r w:rsidR="00EC4906">
        <w:rPr>
          <w:lang w:val="pl-PL"/>
        </w:rPr>
        <w:t>e</w:t>
      </w:r>
      <w:r w:rsidR="00EC4906" w:rsidRPr="0051003F">
        <w:rPr>
          <w:lang w:val="pl-PL"/>
        </w:rPr>
        <w:t xml:space="preserve"> związan</w:t>
      </w:r>
      <w:r w:rsidR="00EC4906">
        <w:rPr>
          <w:lang w:val="pl-PL"/>
        </w:rPr>
        <w:t>e</w:t>
      </w:r>
      <w:r w:rsidR="00EC4906" w:rsidRPr="0051003F">
        <w:rPr>
          <w:lang w:val="pl-PL"/>
        </w:rPr>
        <w:t xml:space="preserve"> </w:t>
      </w:r>
      <w:r w:rsidRPr="0051003F">
        <w:rPr>
          <w:lang w:val="pl-PL"/>
        </w:rPr>
        <w:t>z literą i duchem odpowiedniego przepisu ustawy o rozliczeniach podatkowych z 1980 r</w:t>
      </w:r>
      <w:r w:rsidR="00EC4906">
        <w:rPr>
          <w:lang w:val="pl-PL"/>
        </w:rPr>
        <w:t>oku</w:t>
      </w:r>
      <w:r w:rsidRPr="0051003F">
        <w:rPr>
          <w:lang w:val="pl-PL"/>
        </w:rPr>
        <w:t xml:space="preserve"> (rozdział 10-4 rozdziału 10). Artykuł 10-3 odnosi się do „usprawiedliwionego” i „przyczyny, za którą nie można obwiniać” jako przyczyn zwrotu podatku. Nieusprawiedliwienie i nieścisłość są wewnętrznie etycznymi pojęciami wykroczeń administracyjnych, które charakteryzują </w:t>
      </w:r>
      <w:r w:rsidRPr="0051003F">
        <w:rPr>
          <w:i/>
          <w:lang w:val="pl-PL"/>
        </w:rPr>
        <w:t xml:space="preserve">mens </w:t>
      </w:r>
      <w:proofErr w:type="spellStart"/>
      <w:r w:rsidRPr="0051003F">
        <w:rPr>
          <w:i/>
          <w:lang w:val="pl-PL"/>
        </w:rPr>
        <w:t>rea</w:t>
      </w:r>
      <w:proofErr w:type="spellEnd"/>
      <w:r w:rsidRPr="0051003F">
        <w:rPr>
          <w:lang w:val="pl-PL"/>
        </w:rPr>
        <w:t xml:space="preserve"> sprawcy. Znajdują się one również w przestępstwach. Zmiana tego przepisu wprowadzona w 2010 r</w:t>
      </w:r>
      <w:r w:rsidR="00096561">
        <w:rPr>
          <w:lang w:val="pl-PL"/>
        </w:rPr>
        <w:t>oku</w:t>
      </w:r>
      <w:r w:rsidRPr="0051003F">
        <w:rPr>
          <w:lang w:val="pl-PL"/>
        </w:rPr>
        <w:t xml:space="preserve"> usunęła odniesienie do obu pojęć: „niewybaczalności i winy”, ale dodała pojęcie „oczywiście nieumyślnego błędu”, któr</w:t>
      </w:r>
      <w:r w:rsidR="00096561">
        <w:rPr>
          <w:lang w:val="pl-PL"/>
        </w:rPr>
        <w:t>y</w:t>
      </w:r>
      <w:r w:rsidRPr="0051003F">
        <w:rPr>
          <w:lang w:val="pl-PL"/>
        </w:rPr>
        <w:t xml:space="preserve"> w oczywisty sposób zawiera element etycznego wyrzutu za „nieumyślne” lub umyślne błędy.</w:t>
      </w:r>
    </w:p>
    <w:p w:rsidR="00022884" w:rsidRPr="0051003F" w:rsidRDefault="00022884" w:rsidP="00022884">
      <w:pPr>
        <w:ind w:firstLine="284"/>
        <w:rPr>
          <w:lang w:val="pl-PL"/>
        </w:rPr>
      </w:pPr>
      <w:r w:rsidRPr="0051003F">
        <w:rPr>
          <w:lang w:val="pl-PL"/>
        </w:rPr>
        <w:t xml:space="preserve">Ponadto kary podatkowe mogą być nakładane maksymalnie do 60%, jeśli czyny są popełniane umyślnie lub w wyniku rażącego niedbalstwa. W związku z tym wymagają one ustalenia winy i </w:t>
      </w:r>
      <w:r w:rsidRPr="0051003F">
        <w:rPr>
          <w:i/>
          <w:lang w:val="pl-PL"/>
        </w:rPr>
        <w:t xml:space="preserve">mens </w:t>
      </w:r>
      <w:proofErr w:type="spellStart"/>
      <w:r w:rsidRPr="0051003F">
        <w:rPr>
          <w:i/>
          <w:lang w:val="pl-PL"/>
        </w:rPr>
        <w:t>rea</w:t>
      </w:r>
      <w:proofErr w:type="spellEnd"/>
      <w:r w:rsidRPr="0051003F">
        <w:rPr>
          <w:lang w:val="pl-PL"/>
        </w:rPr>
        <w:t>, jak w sprawach karnych. Subiektywny element oszustwa, o którym mowa w art. 12 ust. 1 rozdziału 12 – „jeżeli jest świadomy lub powinien mieć świadomość, że może to prowadzić do korzyści podatkowych lub obciążeń” - pokrywa się z subiektywnym elementem zaostrzonej kary podatkowej w wysokości do 60% (umyślne lub rażące niedbalstwo - pkt 10-4 rozdziału 10). Innymi słowy, subiektywne elementy przestępstw administracyjnych i karnych są zbieżne. Nie ma różnych aspektów wykroczeń społecznych wymierzonych w dane postępowanie administracyjne i karne.</w:t>
      </w:r>
    </w:p>
    <w:p w:rsidR="00022884" w:rsidRPr="0051003F" w:rsidRDefault="00022884" w:rsidP="00022884">
      <w:pPr>
        <w:ind w:firstLine="284"/>
        <w:rPr>
          <w:lang w:val="pl-PL"/>
        </w:rPr>
      </w:pPr>
      <w:r w:rsidRPr="0051003F">
        <w:rPr>
          <w:lang w:val="pl-PL"/>
        </w:rPr>
        <w:t>56</w:t>
      </w:r>
      <w:r w:rsidR="001C1232" w:rsidRPr="0051003F">
        <w:rPr>
          <w:lang w:val="pl-PL"/>
        </w:rPr>
        <w:t>.  </w:t>
      </w:r>
      <w:bookmarkStart w:id="256" w:name="_Toc473801944"/>
      <w:bookmarkStart w:id="257" w:name="_Toc473802197"/>
      <w:r w:rsidRPr="0051003F">
        <w:rPr>
          <w:lang w:val="pl-PL"/>
        </w:rPr>
        <w:t xml:space="preserve">Jedna uwaga: pierwszy warunek większości dotyczy ostatecznie określenia </w:t>
      </w:r>
      <w:proofErr w:type="spellStart"/>
      <w:r w:rsidRPr="0051003F">
        <w:rPr>
          <w:i/>
          <w:lang w:val="pl-PL"/>
        </w:rPr>
        <w:t>idem</w:t>
      </w:r>
      <w:proofErr w:type="spellEnd"/>
      <w:r w:rsidRPr="0051003F">
        <w:rPr>
          <w:lang w:val="pl-PL"/>
        </w:rPr>
        <w:t xml:space="preserve">. Ustalenie „różnych celów”, do których dążą przestępstwa administracyjne i karne oraz „różnych aspektów </w:t>
      </w:r>
      <w:proofErr w:type="spellStart"/>
      <w:r w:rsidRPr="0051003F">
        <w:rPr>
          <w:lang w:val="pl-PL"/>
        </w:rPr>
        <w:t>zachowań</w:t>
      </w:r>
      <w:proofErr w:type="spellEnd"/>
      <w:r w:rsidRPr="0051003F">
        <w:rPr>
          <w:lang w:val="pl-PL"/>
        </w:rPr>
        <w:t xml:space="preserve"> społecznych”, </w:t>
      </w:r>
      <w:r w:rsidRPr="0051003F">
        <w:rPr>
          <w:lang w:val="pl-PL"/>
        </w:rPr>
        <w:lastRenderedPageBreak/>
        <w:t xml:space="preserve">do których dąży każde z tych przestępstw, jest z natury rzeczy istotną kwestią związaną z definicją </w:t>
      </w:r>
      <w:proofErr w:type="spellStart"/>
      <w:r w:rsidRPr="0051003F">
        <w:rPr>
          <w:i/>
          <w:lang w:val="pl-PL"/>
        </w:rPr>
        <w:t>idem</w:t>
      </w:r>
      <w:proofErr w:type="spellEnd"/>
      <w:r w:rsidRPr="0051003F">
        <w:rPr>
          <w:lang w:val="pl-PL"/>
        </w:rPr>
        <w:t xml:space="preserve">. Pytania te należy uznać za odnoszące się bardziej do pojęcia </w:t>
      </w:r>
      <w:proofErr w:type="spellStart"/>
      <w:r w:rsidRPr="0051003F">
        <w:rPr>
          <w:i/>
          <w:lang w:val="pl-PL"/>
        </w:rPr>
        <w:t>idem</w:t>
      </w:r>
      <w:proofErr w:type="spellEnd"/>
      <w:r w:rsidRPr="0051003F">
        <w:rPr>
          <w:lang w:val="pl-PL"/>
        </w:rPr>
        <w:t xml:space="preserve"> niż </w:t>
      </w:r>
      <w:r w:rsidRPr="0051003F">
        <w:rPr>
          <w:i/>
          <w:lang w:val="pl-PL"/>
        </w:rPr>
        <w:t>bis</w:t>
      </w:r>
      <w:r w:rsidRPr="0051003F">
        <w:rPr>
          <w:lang w:val="pl-PL"/>
        </w:rPr>
        <w:t xml:space="preserve">, wbrew konceptualnemu podejściu większości. Pomimo tego </w:t>
      </w:r>
      <w:r w:rsidR="00F86C0A">
        <w:rPr>
          <w:lang w:val="pl-PL"/>
        </w:rPr>
        <w:t>pojęciowego</w:t>
      </w:r>
      <w:r w:rsidR="00F86C0A" w:rsidRPr="0051003F">
        <w:rPr>
          <w:lang w:val="pl-PL"/>
        </w:rPr>
        <w:t xml:space="preserve"> </w:t>
      </w:r>
      <w:r w:rsidRPr="0051003F">
        <w:rPr>
          <w:lang w:val="pl-PL"/>
        </w:rPr>
        <w:t xml:space="preserve">zamieszania, cel większości jest bardzo jasny: ograniczenie zakresu </w:t>
      </w:r>
      <w:proofErr w:type="spellStart"/>
      <w:r w:rsidRPr="0051003F">
        <w:rPr>
          <w:i/>
          <w:lang w:val="pl-PL"/>
        </w:rPr>
        <w:t>idem</w:t>
      </w:r>
      <w:proofErr w:type="spellEnd"/>
      <w:r w:rsidRPr="0051003F">
        <w:rPr>
          <w:i/>
          <w:lang w:val="pl-PL"/>
        </w:rPr>
        <w:t xml:space="preserve"> factum</w:t>
      </w:r>
      <w:r w:rsidRPr="0051003F">
        <w:rPr>
          <w:lang w:val="pl-PL"/>
        </w:rPr>
        <w:t xml:space="preserve">. W ten sposób </w:t>
      </w:r>
      <w:r w:rsidR="0052671D">
        <w:rPr>
          <w:lang w:val="pl-PL"/>
        </w:rPr>
        <w:t>poważnie podważono argumenty wynikające z wyroku</w:t>
      </w:r>
      <w:r w:rsidRPr="0051003F">
        <w:rPr>
          <w:lang w:val="pl-PL"/>
        </w:rPr>
        <w:t xml:space="preserve"> </w:t>
      </w:r>
      <w:proofErr w:type="spellStart"/>
      <w:r w:rsidRPr="0051003F">
        <w:rPr>
          <w:i/>
          <w:lang w:val="pl-PL"/>
        </w:rPr>
        <w:t>SiergiejZołotukhin</w:t>
      </w:r>
      <w:proofErr w:type="spellEnd"/>
    </w:p>
    <w:p w:rsidR="00022884" w:rsidRPr="0051003F" w:rsidRDefault="00022884" w:rsidP="00022884">
      <w:pPr>
        <w:ind w:firstLine="284"/>
        <w:rPr>
          <w:lang w:val="pl-PL"/>
        </w:rPr>
      </w:pPr>
    </w:p>
    <w:p w:rsidR="00507696" w:rsidRPr="0051003F" w:rsidRDefault="001C1232" w:rsidP="00022884">
      <w:pPr>
        <w:ind w:firstLine="284"/>
        <w:rPr>
          <w:rFonts w:asciiTheme="majorHAnsi" w:eastAsiaTheme="majorEastAsia" w:hAnsiTheme="majorHAnsi" w:cstheme="majorBidi"/>
          <w:b/>
          <w:bCs/>
          <w:sz w:val="20"/>
          <w:lang w:val="pl-PL" w:eastAsia="fr-FR"/>
        </w:rPr>
      </w:pPr>
      <w:r w:rsidRPr="0051003F">
        <w:rPr>
          <w:rFonts w:asciiTheme="majorHAnsi" w:eastAsiaTheme="majorEastAsia" w:hAnsiTheme="majorHAnsi" w:cstheme="majorBidi"/>
          <w:b/>
          <w:bCs/>
          <w:sz w:val="20"/>
          <w:lang w:val="pl-PL" w:eastAsia="fr-FR"/>
        </w:rPr>
        <w:t>b.  </w:t>
      </w:r>
      <w:r w:rsidR="00022884" w:rsidRPr="0051003F">
        <w:rPr>
          <w:rFonts w:asciiTheme="majorHAnsi" w:eastAsiaTheme="majorEastAsia" w:hAnsiTheme="majorHAnsi" w:cstheme="majorBidi"/>
          <w:b/>
          <w:bCs/>
          <w:sz w:val="20"/>
          <w:lang w:val="pl-PL" w:eastAsia="fr-FR"/>
        </w:rPr>
        <w:t>Przewidywalność kombinacji kar</w:t>
      </w:r>
      <w:r w:rsidR="00EE0AC7" w:rsidRPr="0051003F">
        <w:rPr>
          <w:rFonts w:asciiTheme="majorHAnsi" w:eastAsiaTheme="majorEastAsia" w:hAnsiTheme="majorHAnsi" w:cstheme="majorBidi"/>
          <w:b/>
          <w:bCs/>
          <w:sz w:val="20"/>
          <w:lang w:val="pl-PL" w:eastAsia="fr-FR"/>
        </w:rPr>
        <w:t xml:space="preserve"> (§§ 57</w:t>
      </w:r>
      <w:r w:rsidR="00EE0AC7" w:rsidRPr="0051003F">
        <w:rPr>
          <w:rFonts w:asciiTheme="majorHAnsi" w:eastAsiaTheme="majorEastAsia" w:hAnsiTheme="majorHAnsi" w:cstheme="majorBidi"/>
          <w:b/>
          <w:bCs/>
          <w:sz w:val="20"/>
          <w:lang w:val="pl-PL" w:eastAsia="fr-FR"/>
        </w:rPr>
        <w:noBreakHyphen/>
        <w:t>59)</w:t>
      </w:r>
      <w:bookmarkEnd w:id="256"/>
      <w:bookmarkEnd w:id="257"/>
    </w:p>
    <w:p w:rsidR="00022884" w:rsidRPr="0051003F" w:rsidRDefault="00022884" w:rsidP="00022884">
      <w:pPr>
        <w:ind w:firstLine="284"/>
        <w:rPr>
          <w:rFonts w:asciiTheme="majorHAnsi" w:eastAsiaTheme="majorEastAsia" w:hAnsiTheme="majorHAnsi" w:cstheme="majorBidi"/>
          <w:b/>
          <w:bCs/>
          <w:sz w:val="20"/>
          <w:lang w:val="pl-PL" w:eastAsia="fr-FR"/>
        </w:rPr>
      </w:pPr>
    </w:p>
    <w:p w:rsidR="00022884" w:rsidRPr="0051003F" w:rsidRDefault="00022884" w:rsidP="00022884">
      <w:pPr>
        <w:ind w:firstLine="284"/>
        <w:rPr>
          <w:lang w:val="pl-PL"/>
        </w:rPr>
      </w:pPr>
      <w:r w:rsidRPr="0051003F">
        <w:rPr>
          <w:lang w:val="pl-PL"/>
        </w:rPr>
        <w:t xml:space="preserve">57.  Drugi warunek większości dotyczy przewidywalności dwoistości postępowania administracyjnego i karnego w konsekwencji, zarówno pod względem prawnym, jak i praktycznym, tego samego wykroczenia społecznego. Przewidywalność taka została potwierdzona od początku w paragrafach: 146 i 152 wyroku, bez najmniejszego wysiłku </w:t>
      </w:r>
      <w:r w:rsidR="006A5F33">
        <w:rPr>
          <w:lang w:val="pl-PL"/>
        </w:rPr>
        <w:t>aby zgłębić</w:t>
      </w:r>
      <w:r w:rsidRPr="0051003F">
        <w:rPr>
          <w:lang w:val="pl-PL"/>
        </w:rPr>
        <w:t xml:space="preserve"> bardzo </w:t>
      </w:r>
      <w:r w:rsidR="006A5F33" w:rsidRPr="0051003F">
        <w:rPr>
          <w:lang w:val="pl-PL"/>
        </w:rPr>
        <w:t>delikatn</w:t>
      </w:r>
      <w:r w:rsidR="006A5F33">
        <w:rPr>
          <w:lang w:val="pl-PL"/>
        </w:rPr>
        <w:t>ą</w:t>
      </w:r>
      <w:r w:rsidR="006A5F33" w:rsidRPr="0051003F">
        <w:rPr>
          <w:lang w:val="pl-PL"/>
        </w:rPr>
        <w:t xml:space="preserve"> </w:t>
      </w:r>
      <w:r w:rsidRPr="0051003F">
        <w:rPr>
          <w:lang w:val="pl-PL"/>
        </w:rPr>
        <w:t>kwesti</w:t>
      </w:r>
      <w:r w:rsidR="006A5F33">
        <w:rPr>
          <w:lang w:val="pl-PL"/>
        </w:rPr>
        <w:t>ę</w:t>
      </w:r>
      <w:r w:rsidRPr="0051003F">
        <w:rPr>
          <w:lang w:val="pl-PL"/>
        </w:rPr>
        <w:t xml:space="preserve"> koniecznego poziomu wiedzy w zakresie odpowiedzialności administracyjnej. Kwestia prawna, która pochłania uwagę społeczności akademickiej od dziesięcioleci, została po prostu pominięta.</w:t>
      </w:r>
      <w:r w:rsidR="001C1232" w:rsidRPr="0051003F">
        <w:rPr>
          <w:vertAlign w:val="superscript"/>
          <w:lang w:val="pl-PL"/>
        </w:rPr>
        <w:footnoteReference w:id="151"/>
      </w:r>
      <w:r w:rsidR="001C1232" w:rsidRPr="0051003F">
        <w:rPr>
          <w:lang w:val="pl-PL"/>
        </w:rPr>
        <w:t xml:space="preserve">. </w:t>
      </w:r>
      <w:r w:rsidRPr="0051003F">
        <w:rPr>
          <w:lang w:val="pl-PL"/>
        </w:rPr>
        <w:t xml:space="preserve">Większość  zakłada po prostu, że obywatele w ogóle, a podatnicy w szczególności, znają lub powinni znać wszystkie administracyjne </w:t>
      </w:r>
      <w:r w:rsidR="00584247">
        <w:rPr>
          <w:lang w:val="pl-PL"/>
        </w:rPr>
        <w:t>przepisy</w:t>
      </w:r>
      <w:r w:rsidR="00584247" w:rsidRPr="0051003F">
        <w:rPr>
          <w:lang w:val="pl-PL"/>
        </w:rPr>
        <w:t xml:space="preserve"> </w:t>
      </w:r>
      <w:r w:rsidRPr="0051003F">
        <w:rPr>
          <w:lang w:val="pl-PL"/>
        </w:rPr>
        <w:t>prawne, w tym kary, i dlatego mogą być pociągnięci do odpowiedzialności za wszelkie błędy i niewłaściwe postępowanie w ich świetle.</w:t>
      </w:r>
    </w:p>
    <w:p w:rsidR="001C1232" w:rsidRPr="0051003F" w:rsidRDefault="001C1232" w:rsidP="00022884">
      <w:pPr>
        <w:ind w:firstLine="284"/>
        <w:rPr>
          <w:lang w:val="pl-PL"/>
        </w:rPr>
      </w:pPr>
      <w:r w:rsidRPr="0051003F">
        <w:rPr>
          <w:lang w:val="pl-PL"/>
        </w:rPr>
        <w:t>58.  </w:t>
      </w:r>
      <w:r w:rsidR="00022884" w:rsidRPr="0051003F">
        <w:rPr>
          <w:lang w:val="pl-PL"/>
        </w:rPr>
        <w:t xml:space="preserve">Większość nie podaje żadnego uzasadnienia korespondującego z argumentem skarżących, że nałożone na nich kary były dyskryminujące, dyskrecjonalne i w związku z tym nie dające się przewidzieć, ponieważ czterech innych </w:t>
      </w:r>
      <w:r w:rsidR="00584247">
        <w:rPr>
          <w:lang w:val="pl-PL"/>
        </w:rPr>
        <w:t>oskarżonych</w:t>
      </w:r>
      <w:r w:rsidR="00584247" w:rsidRPr="0051003F">
        <w:rPr>
          <w:lang w:val="pl-PL"/>
        </w:rPr>
        <w:t xml:space="preserve"> </w:t>
      </w:r>
      <w:r w:rsidR="00022884" w:rsidRPr="0051003F">
        <w:rPr>
          <w:lang w:val="pl-PL"/>
        </w:rPr>
        <w:t>(G. A., T. F., T. F., K. B. i G. N.) uczestniczących w tym samym szeregu zdarzeń nie zostali obarczeni karami podatkowymi, podczas gdy skarżący musieli znieść kary pozbawienia wolności i kary podatkowe</w:t>
      </w:r>
      <w:r w:rsidRPr="0051003F">
        <w:rPr>
          <w:vertAlign w:val="superscript"/>
          <w:lang w:val="pl-PL"/>
        </w:rPr>
        <w:footnoteReference w:id="152"/>
      </w:r>
      <w:r w:rsidRPr="0051003F">
        <w:rPr>
          <w:lang w:val="pl-PL"/>
        </w:rPr>
        <w:t xml:space="preserve">. </w:t>
      </w:r>
      <w:r w:rsidR="00022884" w:rsidRPr="0051003F">
        <w:rPr>
          <w:lang w:val="pl-PL"/>
        </w:rPr>
        <w:t xml:space="preserve">Argument ten trafia w sedno </w:t>
      </w:r>
      <w:r w:rsidR="00C3039B" w:rsidRPr="0051003F">
        <w:rPr>
          <w:lang w:val="pl-PL"/>
        </w:rPr>
        <w:t>warunku wyrażonego przez większość.</w:t>
      </w:r>
    </w:p>
    <w:p w:rsidR="00C3039B" w:rsidRPr="0051003F" w:rsidRDefault="00C3039B" w:rsidP="00C3039B">
      <w:pPr>
        <w:ind w:firstLine="284"/>
        <w:rPr>
          <w:lang w:val="pl-PL"/>
        </w:rPr>
      </w:pPr>
      <w:r w:rsidRPr="0051003F">
        <w:rPr>
          <w:lang w:val="pl-PL"/>
        </w:rPr>
        <w:t xml:space="preserve">Z okoliczności faktycznych niniejszej sprawy wynika, że wytyczne Dyrektora </w:t>
      </w:r>
      <w:r w:rsidR="00D248A2">
        <w:rPr>
          <w:lang w:val="pl-PL"/>
        </w:rPr>
        <w:t>P</w:t>
      </w:r>
      <w:r w:rsidRPr="0051003F">
        <w:rPr>
          <w:lang w:val="pl-PL"/>
        </w:rPr>
        <w:t xml:space="preserve">rokuratury </w:t>
      </w:r>
      <w:r w:rsidR="00D248A2">
        <w:rPr>
          <w:lang w:val="pl-PL"/>
        </w:rPr>
        <w:t>G</w:t>
      </w:r>
      <w:r w:rsidRPr="0051003F">
        <w:rPr>
          <w:lang w:val="pl-PL"/>
        </w:rPr>
        <w:t>eneralnej z dnia 3 kwietnia 2009 r</w:t>
      </w:r>
      <w:r w:rsidR="00D248A2">
        <w:rPr>
          <w:lang w:val="pl-PL"/>
        </w:rPr>
        <w:t>oku</w:t>
      </w:r>
      <w:r w:rsidRPr="0051003F">
        <w:rPr>
          <w:lang w:val="pl-PL"/>
        </w:rPr>
        <w:t xml:space="preserve"> nie miały zastosowania do skarżących, ani do A</w:t>
      </w:r>
      <w:r w:rsidR="00D248A2">
        <w:rPr>
          <w:lang w:val="pl-PL"/>
        </w:rPr>
        <w:t>.</w:t>
      </w:r>
      <w:r w:rsidRPr="0051003F">
        <w:rPr>
          <w:lang w:val="pl-PL"/>
        </w:rPr>
        <w:t>, którego wyrok skazujący w postępowaniu karnym został wydany w dniu 2 marca 2009 r</w:t>
      </w:r>
      <w:r w:rsidR="00D248A2">
        <w:rPr>
          <w:lang w:val="pl-PL"/>
        </w:rPr>
        <w:t>oku</w:t>
      </w:r>
      <w:r w:rsidRPr="0051003F">
        <w:rPr>
          <w:lang w:val="pl-PL"/>
        </w:rPr>
        <w:t>, ani nawet do B</w:t>
      </w:r>
      <w:r w:rsidR="00D248A2">
        <w:rPr>
          <w:lang w:val="pl-PL"/>
        </w:rPr>
        <w:t>.</w:t>
      </w:r>
      <w:r w:rsidRPr="0051003F">
        <w:rPr>
          <w:lang w:val="pl-PL"/>
        </w:rPr>
        <w:t>,</w:t>
      </w:r>
      <w:r w:rsidR="00D248A2">
        <w:rPr>
          <w:lang w:val="pl-PL"/>
        </w:rPr>
        <w:t xml:space="preserve"> w stosunku do</w:t>
      </w:r>
      <w:r w:rsidRPr="0051003F">
        <w:rPr>
          <w:lang w:val="pl-PL"/>
        </w:rPr>
        <w:t xml:space="preserve"> którego wyrok skazujący został wydany w dniu 30 listopada 2009 r</w:t>
      </w:r>
      <w:r w:rsidR="00D248A2">
        <w:rPr>
          <w:lang w:val="pl-PL"/>
        </w:rPr>
        <w:t>oku</w:t>
      </w:r>
      <w:r w:rsidRPr="0051003F">
        <w:rPr>
          <w:lang w:val="pl-PL"/>
        </w:rPr>
        <w:t xml:space="preserve">. Sąd Najwyższy zauważył ten fakt, ale </w:t>
      </w:r>
      <w:r w:rsidR="00BC61A9" w:rsidRPr="0051003F">
        <w:rPr>
          <w:lang w:val="pl-PL"/>
        </w:rPr>
        <w:t>pominął</w:t>
      </w:r>
      <w:r w:rsidRPr="0051003F">
        <w:rPr>
          <w:lang w:val="pl-PL"/>
        </w:rPr>
        <w:t xml:space="preserve"> go z uzasadnieniem, że „organ ścigania publicznego zastrzegł sobie prawo do wszczęcia postępowania w sprawach karnych na podstawie indywidualnej oceny, jeżeli toczą się równoległe postępowania, które nie są sprzeczne [art. </w:t>
      </w:r>
      <w:r w:rsidRPr="0051003F">
        <w:rPr>
          <w:lang w:val="pl-PL"/>
        </w:rPr>
        <w:lastRenderedPageBreak/>
        <w:t xml:space="preserve">4 Protokołu </w:t>
      </w:r>
      <w:r w:rsidR="00D248A2">
        <w:rPr>
          <w:lang w:val="pl-PL"/>
        </w:rPr>
        <w:t>n</w:t>
      </w:r>
      <w:r w:rsidRPr="0051003F">
        <w:rPr>
          <w:lang w:val="pl-PL"/>
        </w:rPr>
        <w:t>r 7]. Stwierdzono, że sprawa przeciwko</w:t>
      </w:r>
      <w:r w:rsidR="00D248A2">
        <w:rPr>
          <w:lang w:val="pl-PL"/>
        </w:rPr>
        <w:t xml:space="preserve"> </w:t>
      </w:r>
      <w:r w:rsidRPr="0051003F">
        <w:rPr>
          <w:lang w:val="pl-PL"/>
        </w:rPr>
        <w:t>[A] była kontynuowana, ponieważ właściwa sankcja była pożądana w stosunku do innych spraw w tych samych powiązanych sprawach. ... W związku z tym podstawą decyzji była zasada równego traktowania w powiązanych sprawach: „Skarżący odrzucili ten argument, wskazując, że na podstawie wytycznych z 2009 r</w:t>
      </w:r>
      <w:r w:rsidR="007C4A02">
        <w:rPr>
          <w:lang w:val="pl-PL"/>
        </w:rPr>
        <w:t>oku</w:t>
      </w:r>
      <w:r w:rsidRPr="0051003F">
        <w:rPr>
          <w:lang w:val="pl-PL"/>
        </w:rPr>
        <w:t xml:space="preserve"> nie nałożono kar podatkowych na czterech innych </w:t>
      </w:r>
      <w:r w:rsidR="007C4A02">
        <w:rPr>
          <w:lang w:val="pl-PL"/>
        </w:rPr>
        <w:t>oskarżonych</w:t>
      </w:r>
      <w:r w:rsidRPr="0051003F">
        <w:rPr>
          <w:lang w:val="pl-PL"/>
        </w:rPr>
        <w:t xml:space="preserve">, którzy uczestniczyli w tych samych wydarzeniach. Rząd nie zakwestionował tego argumentu. Większość nie odniosła się do tego istotnego argumentu przedstawionego przez skarżących. </w:t>
      </w:r>
    </w:p>
    <w:p w:rsidR="00C3039B" w:rsidRPr="0051003F" w:rsidRDefault="00C3039B" w:rsidP="00C3039B">
      <w:pPr>
        <w:ind w:firstLine="284"/>
        <w:rPr>
          <w:lang w:val="pl-PL"/>
        </w:rPr>
      </w:pPr>
      <w:r w:rsidRPr="0051003F">
        <w:rPr>
          <w:lang w:val="pl-PL"/>
        </w:rPr>
        <w:t>59</w:t>
      </w:r>
      <w:r w:rsidR="001C1232" w:rsidRPr="0051003F">
        <w:rPr>
          <w:lang w:val="pl-PL"/>
        </w:rPr>
        <w:t>.  </w:t>
      </w:r>
      <w:r w:rsidRPr="0051003F">
        <w:rPr>
          <w:lang w:val="pl-PL"/>
        </w:rPr>
        <w:t xml:space="preserve">W każdym razie </w:t>
      </w:r>
      <w:r w:rsidR="00E3715A">
        <w:rPr>
          <w:lang w:val="pl-PL"/>
        </w:rPr>
        <w:t>margines uznania</w:t>
      </w:r>
      <w:r w:rsidR="00E3715A" w:rsidRPr="0051003F">
        <w:rPr>
          <w:lang w:val="pl-PL"/>
        </w:rPr>
        <w:t xml:space="preserve"> </w:t>
      </w:r>
      <w:r w:rsidRPr="0051003F">
        <w:rPr>
          <w:lang w:val="pl-PL"/>
        </w:rPr>
        <w:t>pozostawion</w:t>
      </w:r>
      <w:r w:rsidR="00E3715A">
        <w:rPr>
          <w:lang w:val="pl-PL"/>
        </w:rPr>
        <w:t>y</w:t>
      </w:r>
      <w:r w:rsidRPr="0051003F">
        <w:rPr>
          <w:lang w:val="pl-PL"/>
        </w:rPr>
        <w:t xml:space="preserve"> przez wytyczne jest </w:t>
      </w:r>
      <w:r w:rsidR="00E3715A" w:rsidRPr="0051003F">
        <w:rPr>
          <w:lang w:val="pl-PL"/>
        </w:rPr>
        <w:t>niedopuszczaln</w:t>
      </w:r>
      <w:r w:rsidR="00E3715A">
        <w:rPr>
          <w:lang w:val="pl-PL"/>
        </w:rPr>
        <w:t>y</w:t>
      </w:r>
      <w:r w:rsidR="00E3715A" w:rsidRPr="0051003F">
        <w:rPr>
          <w:lang w:val="pl-PL"/>
        </w:rPr>
        <w:t xml:space="preserve"> </w:t>
      </w:r>
      <w:r w:rsidRPr="0051003F">
        <w:rPr>
          <w:lang w:val="pl-PL"/>
        </w:rPr>
        <w:t xml:space="preserve">w świetle </w:t>
      </w:r>
      <w:proofErr w:type="spellStart"/>
      <w:r w:rsidRPr="0051003F">
        <w:rPr>
          <w:i/>
          <w:lang w:val="pl-PL"/>
        </w:rPr>
        <w:t>Camilleri</w:t>
      </w:r>
      <w:proofErr w:type="spellEnd"/>
      <w:r w:rsidR="001C1232" w:rsidRPr="0051003F">
        <w:rPr>
          <w:vertAlign w:val="superscript"/>
          <w:lang w:val="pl-PL"/>
        </w:rPr>
        <w:footnoteReference w:id="153"/>
      </w:r>
      <w:r w:rsidR="001C1232" w:rsidRPr="0051003F">
        <w:rPr>
          <w:lang w:val="pl-PL"/>
        </w:rPr>
        <w:t xml:space="preserve">. </w:t>
      </w:r>
      <w:r w:rsidRPr="0051003F">
        <w:rPr>
          <w:lang w:val="pl-PL"/>
        </w:rPr>
        <w:t>Taka swoboda uznania rodzi problem niepewności prawnej. Wytyczne stworzyły oczekiwanie, że państwo nie uważa już za zgodny z prawem lub zgodny z konwencją norweski</w:t>
      </w:r>
      <w:r w:rsidR="00E3715A">
        <w:rPr>
          <w:lang w:val="pl-PL"/>
        </w:rPr>
        <w:t>ego</w:t>
      </w:r>
      <w:r w:rsidRPr="0051003F">
        <w:rPr>
          <w:lang w:val="pl-PL"/>
        </w:rPr>
        <w:t xml:space="preserve"> dwutorow</w:t>
      </w:r>
      <w:r w:rsidR="00E3715A">
        <w:rPr>
          <w:lang w:val="pl-PL"/>
        </w:rPr>
        <w:t>ego</w:t>
      </w:r>
      <w:r w:rsidRPr="0051003F">
        <w:rPr>
          <w:lang w:val="pl-PL"/>
        </w:rPr>
        <w:t xml:space="preserve"> system karania za oszustwa podatkowe, w związku z czym organy ścigania były prawnie zobowiązane do odwołania się od wyroków skazujących, a przed ich wydaniem do zniesienia zarzutów</w:t>
      </w:r>
      <w:r w:rsidR="001C1232" w:rsidRPr="0051003F">
        <w:rPr>
          <w:vertAlign w:val="superscript"/>
          <w:lang w:val="pl-PL"/>
        </w:rPr>
        <w:footnoteReference w:id="154"/>
      </w:r>
      <w:r w:rsidR="001C1232" w:rsidRPr="0051003F">
        <w:rPr>
          <w:lang w:val="pl-PL"/>
        </w:rPr>
        <w:t xml:space="preserve">. </w:t>
      </w:r>
      <w:bookmarkStart w:id="258" w:name="_Toc473801945"/>
      <w:bookmarkStart w:id="259" w:name="_Toc473802198"/>
      <w:r w:rsidRPr="0051003F">
        <w:rPr>
          <w:lang w:val="pl-PL"/>
        </w:rPr>
        <w:t xml:space="preserve">Decyzja organów ścigania o odmiennym postępowaniu w sprawach skarżących nie była możliwa do przewidzenia. Preferencyjne traktowanie przyznane czterem innym </w:t>
      </w:r>
      <w:r w:rsidR="00BC61A9" w:rsidRPr="0051003F">
        <w:rPr>
          <w:lang w:val="pl-PL"/>
        </w:rPr>
        <w:t>oskarżonym</w:t>
      </w:r>
      <w:r w:rsidRPr="0051003F">
        <w:rPr>
          <w:lang w:val="pl-PL"/>
        </w:rPr>
        <w:t xml:space="preserve"> uczestniczącym w tym samym szeregu zdarzeń, którzy zostali zwolnieni z kar podatkowych (G. A., T. F., T. F., K. B. i G. N.), stanowi jedynie dowód uznaniowego, a tym samym nieprzewidywalnego wyboru dokonanego przez władze krajowe.</w:t>
      </w:r>
    </w:p>
    <w:p w:rsidR="00C3039B" w:rsidRPr="0051003F" w:rsidRDefault="00C3039B" w:rsidP="00C3039B">
      <w:pPr>
        <w:ind w:firstLine="284"/>
        <w:rPr>
          <w:lang w:val="pl-PL"/>
        </w:rPr>
      </w:pPr>
    </w:p>
    <w:p w:rsidR="00507696" w:rsidRPr="0051003F" w:rsidRDefault="001C1232" w:rsidP="00C3039B">
      <w:pPr>
        <w:rPr>
          <w:rFonts w:asciiTheme="majorHAnsi" w:eastAsiaTheme="majorEastAsia" w:hAnsiTheme="majorHAnsi" w:cstheme="majorBidi"/>
          <w:b/>
          <w:bCs/>
          <w:szCs w:val="26"/>
          <w:lang w:val="pl-PL" w:eastAsia="fr-FR"/>
        </w:rPr>
      </w:pPr>
      <w:r w:rsidRPr="0051003F">
        <w:rPr>
          <w:rFonts w:asciiTheme="majorHAnsi" w:eastAsiaTheme="majorEastAsia" w:hAnsiTheme="majorHAnsi" w:cstheme="majorBidi"/>
          <w:b/>
          <w:bCs/>
          <w:szCs w:val="26"/>
          <w:lang w:val="pl-PL" w:eastAsia="fr-FR"/>
        </w:rPr>
        <w:t>B.  </w:t>
      </w:r>
      <w:r w:rsidR="000000CD" w:rsidRPr="0051003F">
        <w:rPr>
          <w:rFonts w:asciiTheme="majorHAnsi" w:eastAsiaTheme="majorEastAsia" w:hAnsiTheme="majorHAnsi" w:cstheme="majorBidi"/>
          <w:b/>
          <w:bCs/>
          <w:szCs w:val="26"/>
          <w:lang w:val="pl-PL" w:eastAsia="fr-FR"/>
        </w:rPr>
        <w:t>Koncept</w:t>
      </w:r>
      <w:r w:rsidR="006E5742" w:rsidRPr="0051003F">
        <w:rPr>
          <w:rFonts w:asciiTheme="majorHAnsi" w:eastAsiaTheme="majorEastAsia" w:hAnsiTheme="majorHAnsi" w:cstheme="majorBidi"/>
          <w:b/>
          <w:bCs/>
          <w:szCs w:val="26"/>
          <w:lang w:val="pl-PL" w:eastAsia="fr-FR"/>
        </w:rPr>
        <w:t xml:space="preserve"> większości </w:t>
      </w:r>
      <w:r w:rsidRPr="0051003F">
        <w:rPr>
          <w:rFonts w:asciiTheme="majorHAnsi" w:eastAsiaTheme="majorEastAsia" w:hAnsiTheme="majorHAnsi" w:cstheme="majorBidi"/>
          <w:b/>
          <w:bCs/>
          <w:szCs w:val="26"/>
          <w:lang w:val="pl-PL" w:eastAsia="fr-FR"/>
        </w:rPr>
        <w:t xml:space="preserve"> </w:t>
      </w:r>
      <w:r w:rsidRPr="0051003F">
        <w:rPr>
          <w:rFonts w:asciiTheme="majorHAnsi" w:eastAsiaTheme="majorEastAsia" w:hAnsiTheme="majorHAnsi" w:cstheme="majorBidi"/>
          <w:b/>
          <w:bCs/>
          <w:i/>
          <w:szCs w:val="26"/>
          <w:lang w:val="pl-PL" w:eastAsia="fr-FR"/>
        </w:rPr>
        <w:t xml:space="preserve">pro </w:t>
      </w:r>
      <w:proofErr w:type="spellStart"/>
      <w:r w:rsidRPr="0051003F">
        <w:rPr>
          <w:rFonts w:asciiTheme="majorHAnsi" w:eastAsiaTheme="majorEastAsia" w:hAnsiTheme="majorHAnsi" w:cstheme="majorBidi"/>
          <w:b/>
          <w:bCs/>
          <w:i/>
          <w:szCs w:val="26"/>
          <w:lang w:val="pl-PL" w:eastAsia="fr-FR"/>
        </w:rPr>
        <w:t>auctoritate</w:t>
      </w:r>
      <w:proofErr w:type="spellEnd"/>
      <w:r w:rsidRPr="0051003F">
        <w:rPr>
          <w:rFonts w:asciiTheme="majorHAnsi" w:eastAsiaTheme="majorEastAsia" w:hAnsiTheme="majorHAnsi" w:cstheme="majorBidi"/>
          <w:b/>
          <w:bCs/>
          <w:szCs w:val="26"/>
          <w:lang w:val="pl-PL" w:eastAsia="fr-FR"/>
        </w:rPr>
        <w:t xml:space="preserve"> </w:t>
      </w:r>
      <w:proofErr w:type="spellStart"/>
      <w:r w:rsidRPr="0051003F">
        <w:rPr>
          <w:rFonts w:asciiTheme="majorHAnsi" w:eastAsiaTheme="majorEastAsia" w:hAnsiTheme="majorHAnsi" w:cstheme="majorBidi"/>
          <w:b/>
          <w:bCs/>
          <w:i/>
          <w:szCs w:val="26"/>
          <w:lang w:val="pl-PL" w:eastAsia="fr-FR"/>
        </w:rPr>
        <w:t>ne</w:t>
      </w:r>
      <w:proofErr w:type="spellEnd"/>
      <w:r w:rsidRPr="0051003F">
        <w:rPr>
          <w:rFonts w:asciiTheme="majorHAnsi" w:eastAsiaTheme="majorEastAsia" w:hAnsiTheme="majorHAnsi" w:cstheme="majorBidi"/>
          <w:b/>
          <w:bCs/>
          <w:i/>
          <w:szCs w:val="26"/>
          <w:lang w:val="pl-PL" w:eastAsia="fr-FR"/>
        </w:rPr>
        <w:t xml:space="preserve"> bis in </w:t>
      </w:r>
      <w:proofErr w:type="spellStart"/>
      <w:r w:rsidRPr="0051003F">
        <w:rPr>
          <w:rFonts w:asciiTheme="majorHAnsi" w:eastAsiaTheme="majorEastAsia" w:hAnsiTheme="majorHAnsi" w:cstheme="majorBidi"/>
          <w:b/>
          <w:bCs/>
          <w:i/>
          <w:szCs w:val="26"/>
          <w:lang w:val="pl-PL" w:eastAsia="fr-FR"/>
        </w:rPr>
        <w:t>idem</w:t>
      </w:r>
      <w:proofErr w:type="spellEnd"/>
      <w:r w:rsidR="00EE0AC7" w:rsidRPr="0051003F">
        <w:rPr>
          <w:rFonts w:asciiTheme="majorHAnsi" w:eastAsiaTheme="majorEastAsia" w:hAnsiTheme="majorHAnsi" w:cstheme="majorBidi"/>
          <w:b/>
          <w:bCs/>
          <w:i/>
          <w:szCs w:val="26"/>
          <w:lang w:val="pl-PL" w:eastAsia="fr-FR"/>
        </w:rPr>
        <w:t xml:space="preserve"> </w:t>
      </w:r>
      <w:r w:rsidR="00EE0AC7" w:rsidRPr="0051003F">
        <w:rPr>
          <w:b/>
          <w:lang w:val="pl-PL"/>
        </w:rPr>
        <w:t>(§§ 60</w:t>
      </w:r>
      <w:r w:rsidR="00EE0AC7" w:rsidRPr="0051003F">
        <w:rPr>
          <w:b/>
          <w:lang w:val="pl-PL"/>
        </w:rPr>
        <w:noBreakHyphen/>
        <w:t>77)</w:t>
      </w:r>
      <w:bookmarkEnd w:id="258"/>
      <w:bookmarkEnd w:id="259"/>
    </w:p>
    <w:p w:rsidR="00507696" w:rsidRPr="0051003F" w:rsidRDefault="001C1232" w:rsidP="006E5742">
      <w:pPr>
        <w:keepNext/>
        <w:keepLines/>
        <w:tabs>
          <w:tab w:val="left" w:pos="731"/>
        </w:tabs>
        <w:spacing w:before="240" w:after="120"/>
        <w:ind w:left="833" w:hanging="357"/>
        <w:outlineLvl w:val="3"/>
        <w:rPr>
          <w:rFonts w:asciiTheme="majorHAnsi" w:eastAsiaTheme="majorEastAsia" w:hAnsiTheme="majorHAnsi" w:cstheme="majorBidi"/>
          <w:b/>
          <w:bCs/>
          <w:sz w:val="20"/>
          <w:lang w:val="pl-PL" w:eastAsia="fr-FR"/>
        </w:rPr>
      </w:pPr>
      <w:bookmarkStart w:id="260" w:name="_Toc473801946"/>
      <w:bookmarkStart w:id="261" w:name="_Toc473802199"/>
      <w:r w:rsidRPr="0051003F">
        <w:rPr>
          <w:rFonts w:asciiTheme="majorHAnsi" w:eastAsiaTheme="majorEastAsia" w:hAnsiTheme="majorHAnsi" w:cstheme="majorBidi"/>
          <w:b/>
          <w:bCs/>
          <w:sz w:val="20"/>
          <w:lang w:val="pl-PL" w:eastAsia="fr-FR"/>
        </w:rPr>
        <w:t>a.  </w:t>
      </w:r>
      <w:r w:rsidR="006E5742" w:rsidRPr="0051003F">
        <w:rPr>
          <w:rFonts w:asciiTheme="majorHAnsi" w:eastAsiaTheme="majorEastAsia" w:hAnsiTheme="majorHAnsi" w:cstheme="majorBidi"/>
          <w:b/>
          <w:bCs/>
          <w:sz w:val="20"/>
          <w:lang w:val="pl-PL" w:eastAsia="fr-FR"/>
        </w:rPr>
        <w:t xml:space="preserve">Brak powielania gromadzenia i oceny dowodów </w:t>
      </w:r>
      <w:r w:rsidR="00EE0AC7" w:rsidRPr="0051003F">
        <w:rPr>
          <w:rFonts w:asciiTheme="majorHAnsi" w:eastAsiaTheme="majorEastAsia" w:hAnsiTheme="majorHAnsi" w:cstheme="majorBidi"/>
          <w:b/>
          <w:bCs/>
          <w:sz w:val="20"/>
          <w:lang w:val="pl-PL" w:eastAsia="fr-FR"/>
        </w:rPr>
        <w:t>(§§ 60</w:t>
      </w:r>
      <w:r w:rsidR="00EE0AC7" w:rsidRPr="0051003F">
        <w:rPr>
          <w:rFonts w:asciiTheme="majorHAnsi" w:eastAsiaTheme="majorEastAsia" w:hAnsiTheme="majorHAnsi" w:cstheme="majorBidi"/>
          <w:b/>
          <w:bCs/>
          <w:sz w:val="20"/>
          <w:lang w:val="pl-PL" w:eastAsia="fr-FR"/>
        </w:rPr>
        <w:noBreakHyphen/>
        <w:t>64)</w:t>
      </w:r>
      <w:bookmarkEnd w:id="260"/>
      <w:bookmarkEnd w:id="261"/>
    </w:p>
    <w:p w:rsidR="001C1232" w:rsidRPr="0051003F" w:rsidRDefault="001C1232" w:rsidP="006E5742">
      <w:pPr>
        <w:ind w:firstLine="284"/>
        <w:rPr>
          <w:lang w:val="pl-PL"/>
        </w:rPr>
      </w:pPr>
      <w:r w:rsidRPr="0051003F">
        <w:rPr>
          <w:lang w:val="pl-PL"/>
        </w:rPr>
        <w:t>60.  </w:t>
      </w:r>
      <w:r w:rsidR="006E5742" w:rsidRPr="0051003F">
        <w:rPr>
          <w:lang w:val="pl-PL"/>
        </w:rPr>
        <w:t>Trzeci warunek większości polega na łagodnym zakazie („w miarę możliwości”) powielania gromadzenia i oceny dowodów, na przykładzie („w szczególności”): interakcji między różnymi organami, administracyjnymi i sądowymi, w celu zapewnienia, że ustalenie faktów w jednym z postępowań jest również wykorzystywane w drugim.</w:t>
      </w:r>
      <w:r w:rsidRPr="0051003F">
        <w:rPr>
          <w:vertAlign w:val="superscript"/>
          <w:lang w:val="pl-PL"/>
        </w:rPr>
        <w:footnoteReference w:id="155"/>
      </w:r>
      <w:r w:rsidRPr="0051003F">
        <w:rPr>
          <w:lang w:val="pl-PL"/>
        </w:rPr>
        <w:t xml:space="preserve">. </w:t>
      </w:r>
      <w:r w:rsidR="006E5742" w:rsidRPr="0051003F">
        <w:rPr>
          <w:lang w:val="pl-PL"/>
        </w:rPr>
        <w:t>W mojej ocenie warunek ten jest problematyczny</w:t>
      </w:r>
      <w:r w:rsidRPr="0051003F">
        <w:rPr>
          <w:lang w:val="pl-PL"/>
        </w:rPr>
        <w:t>.</w:t>
      </w:r>
    </w:p>
    <w:p w:rsidR="001C1232" w:rsidRPr="0051003F" w:rsidRDefault="001C1232" w:rsidP="006E5742">
      <w:pPr>
        <w:ind w:firstLine="284"/>
        <w:rPr>
          <w:lang w:val="pl-PL"/>
        </w:rPr>
      </w:pPr>
      <w:r w:rsidRPr="0051003F">
        <w:rPr>
          <w:lang w:val="pl-PL"/>
        </w:rPr>
        <w:t>61.  </w:t>
      </w:r>
      <w:r w:rsidR="006E5742" w:rsidRPr="0051003F">
        <w:rPr>
          <w:lang w:val="pl-PL"/>
        </w:rPr>
        <w:t>Zasadniczo warunki odnoszące się do ochrony niepodlegającego derogacji prawa indywidualnego, takie</w:t>
      </w:r>
      <w:r w:rsidR="00A24960">
        <w:rPr>
          <w:lang w:val="pl-PL"/>
        </w:rPr>
        <w:t>go</w:t>
      </w:r>
      <w:r w:rsidR="006E5742" w:rsidRPr="0051003F">
        <w:rPr>
          <w:lang w:val="pl-PL"/>
        </w:rPr>
        <w:t xml:space="preserve"> jak </w:t>
      </w:r>
      <w:proofErr w:type="spellStart"/>
      <w:r w:rsidR="006E5742" w:rsidRPr="00486852">
        <w:rPr>
          <w:i/>
          <w:lang w:val="pl-PL"/>
        </w:rPr>
        <w:t>ne</w:t>
      </w:r>
      <w:proofErr w:type="spellEnd"/>
      <w:r w:rsidR="006E5742" w:rsidRPr="00486852">
        <w:rPr>
          <w:i/>
          <w:lang w:val="pl-PL"/>
        </w:rPr>
        <w:t xml:space="preserve"> bis in </w:t>
      </w:r>
      <w:proofErr w:type="spellStart"/>
      <w:r w:rsidR="006E5742" w:rsidRPr="00486852">
        <w:rPr>
          <w:i/>
          <w:lang w:val="pl-PL"/>
        </w:rPr>
        <w:t>idem</w:t>
      </w:r>
      <w:proofErr w:type="spellEnd"/>
      <w:r w:rsidR="006E5742" w:rsidRPr="0051003F">
        <w:rPr>
          <w:lang w:val="pl-PL"/>
        </w:rPr>
        <w:t xml:space="preserve">, nie mogą być pozostawione w gestii państw. Ponieważ trzeci warunek większości jest jedynie zaleceniem </w:t>
      </w:r>
      <w:r w:rsidR="006E5742" w:rsidRPr="0051003F">
        <w:rPr>
          <w:i/>
          <w:lang w:val="pl-PL"/>
        </w:rPr>
        <w:t xml:space="preserve">de iure </w:t>
      </w:r>
      <w:proofErr w:type="spellStart"/>
      <w:r w:rsidR="006E5742" w:rsidRPr="0051003F">
        <w:rPr>
          <w:i/>
          <w:lang w:val="pl-PL"/>
        </w:rPr>
        <w:t>condendo</w:t>
      </w:r>
      <w:proofErr w:type="spellEnd"/>
      <w:r w:rsidR="006E5742" w:rsidRPr="0051003F">
        <w:rPr>
          <w:lang w:val="pl-PL"/>
        </w:rPr>
        <w:t xml:space="preserve">, nie jest to wymóg </w:t>
      </w:r>
      <w:r w:rsidR="00A24960">
        <w:rPr>
          <w:lang w:val="pl-PL"/>
        </w:rPr>
        <w:t>K</w:t>
      </w:r>
      <w:r w:rsidR="006E5742" w:rsidRPr="0051003F">
        <w:rPr>
          <w:lang w:val="pl-PL"/>
        </w:rPr>
        <w:t xml:space="preserve">onwencji. Ma on </w:t>
      </w:r>
      <w:r w:rsidR="006E5742" w:rsidRPr="0051003F">
        <w:rPr>
          <w:lang w:val="pl-PL"/>
        </w:rPr>
        <w:lastRenderedPageBreak/>
        <w:t xml:space="preserve">taki sam skutek jak oświadczenie </w:t>
      </w:r>
      <w:r w:rsidR="006E5742" w:rsidRPr="0051003F">
        <w:rPr>
          <w:i/>
          <w:lang w:val="pl-PL"/>
        </w:rPr>
        <w:t xml:space="preserve">de iure </w:t>
      </w:r>
      <w:proofErr w:type="spellStart"/>
      <w:r w:rsidR="006E5742" w:rsidRPr="0051003F">
        <w:rPr>
          <w:i/>
          <w:lang w:val="pl-PL"/>
        </w:rPr>
        <w:t>condendo</w:t>
      </w:r>
      <w:proofErr w:type="spellEnd"/>
      <w:r w:rsidR="006E5742" w:rsidRPr="0051003F">
        <w:rPr>
          <w:lang w:val="pl-PL"/>
        </w:rPr>
        <w:t>, że „najpewniejszym sposobem zapewnienia zgodności z art. 4 Protokołu nr 7 jest zapewnienie, na pewnym odpowiednim etapie, procedury jednolitej ścieżki postępowania</w:t>
      </w:r>
      <w:r w:rsidRPr="0051003F">
        <w:rPr>
          <w:lang w:val="pl-PL"/>
        </w:rPr>
        <w:t>”</w:t>
      </w:r>
      <w:r w:rsidRPr="0051003F">
        <w:rPr>
          <w:vertAlign w:val="superscript"/>
          <w:lang w:val="pl-PL"/>
        </w:rPr>
        <w:footnoteReference w:id="156"/>
      </w:r>
      <w:r w:rsidRPr="0051003F">
        <w:rPr>
          <w:lang w:val="pl-PL"/>
        </w:rPr>
        <w:t xml:space="preserve">. </w:t>
      </w:r>
      <w:r w:rsidR="006E5742" w:rsidRPr="0051003F">
        <w:rPr>
          <w:lang w:val="pl-PL"/>
        </w:rPr>
        <w:t xml:space="preserve">Oba są </w:t>
      </w:r>
      <w:r w:rsidR="00BC61A9" w:rsidRPr="0051003F">
        <w:rPr>
          <w:lang w:val="pl-PL"/>
        </w:rPr>
        <w:t>niewiążącymi</w:t>
      </w:r>
      <w:r w:rsidRPr="0051003F">
        <w:rPr>
          <w:lang w:val="pl-PL"/>
        </w:rPr>
        <w:t xml:space="preserve"> </w:t>
      </w:r>
      <w:r w:rsidRPr="0051003F">
        <w:rPr>
          <w:i/>
          <w:lang w:val="pl-PL"/>
        </w:rPr>
        <w:t>dicta</w:t>
      </w:r>
      <w:r w:rsidRPr="0051003F">
        <w:rPr>
          <w:lang w:val="pl-PL"/>
        </w:rPr>
        <w:t xml:space="preserve">, </w:t>
      </w:r>
      <w:r w:rsidR="006E5742" w:rsidRPr="0051003F">
        <w:rPr>
          <w:lang w:val="pl-PL"/>
        </w:rPr>
        <w:t xml:space="preserve">co nie wprowadza nic nowego do </w:t>
      </w:r>
      <w:r w:rsidR="00BC61A9" w:rsidRPr="0051003F">
        <w:rPr>
          <w:lang w:val="pl-PL"/>
        </w:rPr>
        <w:t>wiążącego</w:t>
      </w:r>
      <w:r w:rsidR="006E5742" w:rsidRPr="0051003F">
        <w:rPr>
          <w:lang w:val="pl-PL"/>
        </w:rPr>
        <w:t xml:space="preserve"> orzecznictwa Trybunału.</w:t>
      </w:r>
    </w:p>
    <w:p w:rsidR="001C1232" w:rsidRPr="0051003F" w:rsidRDefault="001C1232" w:rsidP="006E5742">
      <w:pPr>
        <w:ind w:firstLine="284"/>
        <w:rPr>
          <w:lang w:val="pl-PL"/>
        </w:rPr>
      </w:pPr>
      <w:r w:rsidRPr="0051003F">
        <w:rPr>
          <w:lang w:val="pl-PL"/>
        </w:rPr>
        <w:t>62.  </w:t>
      </w:r>
      <w:r w:rsidR="006E5742" w:rsidRPr="0051003F">
        <w:rPr>
          <w:lang w:val="pl-PL"/>
        </w:rPr>
        <w:t xml:space="preserve">Ponadto zalecenie to jedynie </w:t>
      </w:r>
      <w:r w:rsidR="00A24960">
        <w:rPr>
          <w:lang w:val="pl-PL"/>
        </w:rPr>
        <w:t>ukazuje wierzchołek góry lodowej</w:t>
      </w:r>
      <w:r w:rsidR="006E5742" w:rsidRPr="0051003F">
        <w:rPr>
          <w:lang w:val="pl-PL"/>
        </w:rPr>
        <w:t xml:space="preserve"> bardzo poważnego problemu. Istnienie odmiennych stwierdzeń organów administracyjnych i sądowych dotyczących tych samych faktów, opartych na odmiennej ocenie tych samych dowodów, podważa autorytet państwa. Co gorsza, odmienna ocena materiału dowodowego w postępowaniu administracyjnym i karnym pozwala na podstępne manipulowanie postępowaniem administracyjnym dla celów postępowania karnego. Manipulacja ta jest jeszcze bardziej niepokojąca</w:t>
      </w:r>
      <w:r w:rsidR="00351274">
        <w:rPr>
          <w:lang w:val="pl-PL"/>
        </w:rPr>
        <w:t>,</w:t>
      </w:r>
      <w:r w:rsidR="006E5742" w:rsidRPr="0051003F">
        <w:rPr>
          <w:lang w:val="pl-PL"/>
        </w:rPr>
        <w:t xml:space="preserve"> niż zagrożenie dla władzy </w:t>
      </w:r>
      <w:r w:rsidR="00A53760" w:rsidRPr="0051003F">
        <w:rPr>
          <w:lang w:val="pl-PL"/>
        </w:rPr>
        <w:t>państw</w:t>
      </w:r>
      <w:r w:rsidR="00A53760">
        <w:rPr>
          <w:lang w:val="pl-PL"/>
        </w:rPr>
        <w:t>owej</w:t>
      </w:r>
      <w:r w:rsidR="006E5742" w:rsidRPr="0051003F">
        <w:rPr>
          <w:lang w:val="pl-PL"/>
        </w:rPr>
        <w:t xml:space="preserve">, ponieważ stawia oskarżonego  w bezbronnej sytuacji. Oznacza to, że wyrok skazujący za popełnienie przestępstwa jest prawie </w:t>
      </w:r>
      <w:r w:rsidR="00A53760">
        <w:rPr>
          <w:lang w:val="pl-PL"/>
        </w:rPr>
        <w:t>przesądzony</w:t>
      </w:r>
      <w:r w:rsidR="006E5742" w:rsidRPr="0051003F">
        <w:rPr>
          <w:lang w:val="pl-PL"/>
        </w:rPr>
        <w:t>, gdy przestępstwo administracyjne podatnika zostało już stwierdzone na podstawie niższego ciężaru dowodu. Obowiązek współpracy podatnika z organami podatkowymi w postępowaniu administracyjnym jeszcze bardziej pogłębia ten wniosek</w:t>
      </w:r>
      <w:r w:rsidRPr="0051003F">
        <w:rPr>
          <w:lang w:val="pl-PL"/>
        </w:rPr>
        <w:t>.</w:t>
      </w:r>
    </w:p>
    <w:p w:rsidR="00C3039B" w:rsidRPr="0051003F" w:rsidRDefault="001C1232" w:rsidP="00C3039B">
      <w:pPr>
        <w:ind w:firstLine="284"/>
        <w:rPr>
          <w:lang w:val="pl-PL"/>
        </w:rPr>
      </w:pPr>
      <w:r w:rsidRPr="0051003F">
        <w:rPr>
          <w:lang w:val="pl-PL"/>
        </w:rPr>
        <w:t>63.  </w:t>
      </w:r>
      <w:r w:rsidR="006E5742" w:rsidRPr="0051003F">
        <w:rPr>
          <w:lang w:val="pl-PL"/>
        </w:rPr>
        <w:t>Większość</w:t>
      </w:r>
      <w:r w:rsidR="00C3039B" w:rsidRPr="0051003F">
        <w:rPr>
          <w:lang w:val="pl-PL"/>
        </w:rPr>
        <w:t xml:space="preserve"> nie porównuje przepisów dowodowych postępowania administracyjnego i </w:t>
      </w:r>
      <w:r w:rsidR="006E5742" w:rsidRPr="0051003F">
        <w:rPr>
          <w:lang w:val="pl-PL"/>
        </w:rPr>
        <w:t xml:space="preserve">postępowania </w:t>
      </w:r>
      <w:r w:rsidR="00C3039B" w:rsidRPr="0051003F">
        <w:rPr>
          <w:lang w:val="pl-PL"/>
        </w:rPr>
        <w:t>karnego w Norwegii w celu ustalenia, czy istnieje ryzyko powielania gromadzenia i oceny dowodów w obu postępowa</w:t>
      </w:r>
      <w:r w:rsidR="006E5742" w:rsidRPr="0051003F">
        <w:rPr>
          <w:lang w:val="pl-PL"/>
        </w:rPr>
        <w:t>niach. Ponadto nie analizują oni</w:t>
      </w:r>
      <w:r w:rsidR="00C3039B" w:rsidRPr="0051003F">
        <w:rPr>
          <w:lang w:val="pl-PL"/>
        </w:rPr>
        <w:t xml:space="preserve"> również ram prawnych regulujących interakcje między różnymi organami administracyjnymi i sądowymi w celu sprawdzenia, czy ustalenie faktów w postępowaniu administracyjnym ma wpływ na post</w:t>
      </w:r>
      <w:r w:rsidR="006E5742" w:rsidRPr="0051003F">
        <w:rPr>
          <w:lang w:val="pl-PL"/>
        </w:rPr>
        <w:t xml:space="preserve">ępowanie karne i odwrotnie. W paragrafach </w:t>
      </w:r>
      <w:r w:rsidR="00C3039B" w:rsidRPr="0051003F">
        <w:rPr>
          <w:lang w:val="pl-PL"/>
        </w:rPr>
        <w:t xml:space="preserve"> 145 i 150 wyroku większość odnosi się po prostu do niektórych przypadków doraźnej wymiany informacji między organami administracyjnymi i sądowymi, i nic więcej.</w:t>
      </w:r>
    </w:p>
    <w:p w:rsidR="00C3039B" w:rsidRPr="0051003F" w:rsidRDefault="001C1232" w:rsidP="00C3039B">
      <w:pPr>
        <w:ind w:firstLine="284"/>
        <w:rPr>
          <w:lang w:val="pl-PL"/>
        </w:rPr>
      </w:pPr>
      <w:r w:rsidRPr="0051003F">
        <w:rPr>
          <w:lang w:val="pl-PL"/>
        </w:rPr>
        <w:t>64.  </w:t>
      </w:r>
      <w:r w:rsidR="00C3039B" w:rsidRPr="0051003F">
        <w:rPr>
          <w:lang w:val="pl-PL"/>
        </w:rPr>
        <w:t>Strony szczegółowo omówiły jednak tę kwestię. Rząd przyznał, że standard ciężaru dowodu jest różny w postępowaniach podatkowych, do których stosuje się standard „kwalifikowanej przyczyny prawdopodobnej”, oraz w postępowaniach karnych, do których stosuje się „rygorystyczny standard dowodu”. W rzeczywistości jest to jedna z „głównych zalet</w:t>
      </w:r>
      <w:r w:rsidR="00112546">
        <w:rPr>
          <w:lang w:val="pl-PL"/>
        </w:rPr>
        <w:t>”</w:t>
      </w:r>
      <w:r w:rsidR="00715366" w:rsidRPr="0051003F">
        <w:rPr>
          <w:lang w:val="pl-PL"/>
        </w:rPr>
        <w:t xml:space="preserve"> </w:t>
      </w:r>
      <w:r w:rsidR="00C3039B" w:rsidRPr="0051003F">
        <w:rPr>
          <w:lang w:val="pl-PL"/>
        </w:rPr>
        <w:t xml:space="preserve">postępowania administracyjnego, które zdaniem </w:t>
      </w:r>
      <w:r w:rsidR="00715366">
        <w:rPr>
          <w:lang w:val="pl-PL"/>
        </w:rPr>
        <w:t>R</w:t>
      </w:r>
      <w:r w:rsidR="00C3039B" w:rsidRPr="0051003F">
        <w:rPr>
          <w:lang w:val="pl-PL"/>
        </w:rPr>
        <w:t>ządu ma do zaoferowania</w:t>
      </w:r>
      <w:r w:rsidRPr="0051003F">
        <w:rPr>
          <w:vertAlign w:val="superscript"/>
          <w:lang w:val="pl-PL"/>
        </w:rPr>
        <w:footnoteReference w:id="157"/>
      </w:r>
      <w:r w:rsidRPr="0051003F">
        <w:rPr>
          <w:lang w:val="pl-PL"/>
        </w:rPr>
        <w:t xml:space="preserve">. </w:t>
      </w:r>
      <w:r w:rsidR="00C3039B" w:rsidRPr="0051003F">
        <w:rPr>
          <w:lang w:val="pl-PL"/>
        </w:rPr>
        <w:t>W takim przypadku trzeci warunek większości nie jest spełniony w prawie norweskim z tego prostego powodu, że skoro obowiązują różne standardy ciężaru dowodów, dowody muszą być oceniane w różny sposób w postępowaniu administracyjnym i karnym, przy czym oczywiste jest ryzyko różnych stwierdzeń dotyczących tych samych faktów.</w:t>
      </w:r>
    </w:p>
    <w:p w:rsidR="001C1232" w:rsidRPr="0051003F" w:rsidRDefault="00C3039B" w:rsidP="00C3039B">
      <w:pPr>
        <w:ind w:firstLine="284"/>
        <w:rPr>
          <w:lang w:val="pl-PL"/>
        </w:rPr>
      </w:pPr>
      <w:r w:rsidRPr="0051003F">
        <w:rPr>
          <w:lang w:val="pl-PL"/>
        </w:rPr>
        <w:lastRenderedPageBreak/>
        <w:t xml:space="preserve">Pomiędzy </w:t>
      </w:r>
      <w:r w:rsidR="002A6FFA">
        <w:rPr>
          <w:lang w:val="pl-PL"/>
        </w:rPr>
        <w:t>Charybdą</w:t>
      </w:r>
      <w:r w:rsidR="00FD5914" w:rsidRPr="0051003F">
        <w:rPr>
          <w:lang w:val="pl-PL"/>
        </w:rPr>
        <w:t xml:space="preserve"> </w:t>
      </w:r>
      <w:r w:rsidRPr="0051003F">
        <w:rPr>
          <w:lang w:val="pl-PL"/>
        </w:rPr>
        <w:t xml:space="preserve">ryzyka sprzecznych ustaleń w postępowaniu administracyjnym i karnym, </w:t>
      </w:r>
      <w:r w:rsidR="00FD5914" w:rsidRPr="0051003F">
        <w:rPr>
          <w:lang w:val="pl-PL"/>
        </w:rPr>
        <w:t>wynikający</w:t>
      </w:r>
      <w:r w:rsidR="00FD5914">
        <w:rPr>
          <w:lang w:val="pl-PL"/>
        </w:rPr>
        <w:t>m</w:t>
      </w:r>
      <w:r w:rsidR="00FD5914" w:rsidRPr="0051003F">
        <w:rPr>
          <w:lang w:val="pl-PL"/>
        </w:rPr>
        <w:t xml:space="preserve"> </w:t>
      </w:r>
      <w:r w:rsidRPr="0051003F">
        <w:rPr>
          <w:lang w:val="pl-PL"/>
        </w:rPr>
        <w:t>z różnych standardów dowodowych (</w:t>
      </w:r>
      <w:proofErr w:type="spellStart"/>
      <w:r w:rsidRPr="0051003F">
        <w:rPr>
          <w:i/>
          <w:lang w:val="pl-PL"/>
        </w:rPr>
        <w:t>deux</w:t>
      </w:r>
      <w:proofErr w:type="spellEnd"/>
      <w:r w:rsidRPr="0051003F">
        <w:rPr>
          <w:i/>
          <w:lang w:val="pl-PL"/>
        </w:rPr>
        <w:t xml:space="preserve"> </w:t>
      </w:r>
      <w:proofErr w:type="spellStart"/>
      <w:r w:rsidRPr="0051003F">
        <w:rPr>
          <w:i/>
          <w:lang w:val="pl-PL"/>
        </w:rPr>
        <w:t>poids</w:t>
      </w:r>
      <w:proofErr w:type="spellEnd"/>
      <w:r w:rsidRPr="0051003F">
        <w:rPr>
          <w:i/>
          <w:lang w:val="pl-PL"/>
        </w:rPr>
        <w:t xml:space="preserve">, </w:t>
      </w:r>
      <w:proofErr w:type="spellStart"/>
      <w:r w:rsidRPr="0051003F">
        <w:rPr>
          <w:i/>
          <w:lang w:val="pl-PL"/>
        </w:rPr>
        <w:t>deux</w:t>
      </w:r>
      <w:proofErr w:type="spellEnd"/>
      <w:r w:rsidRPr="0051003F">
        <w:rPr>
          <w:i/>
          <w:lang w:val="pl-PL"/>
        </w:rPr>
        <w:t xml:space="preserve"> </w:t>
      </w:r>
      <w:proofErr w:type="spellStart"/>
      <w:r w:rsidRPr="0051003F">
        <w:rPr>
          <w:i/>
          <w:lang w:val="pl-PL"/>
        </w:rPr>
        <w:t>mesures</w:t>
      </w:r>
      <w:proofErr w:type="spellEnd"/>
      <w:r w:rsidRPr="0051003F">
        <w:rPr>
          <w:lang w:val="pl-PL"/>
        </w:rPr>
        <w:t>) a Scyllą manipulowania dowodami administracyjnymi w celach karnych, strona skarżona znajduje się w każdym razie w niesprawiedliwej sytuacji w norweskim systemie dwutorowym.</w:t>
      </w:r>
    </w:p>
    <w:p w:rsidR="00507696" w:rsidRPr="0051003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val="pl-PL" w:eastAsia="fr-FR"/>
        </w:rPr>
      </w:pPr>
      <w:bookmarkStart w:id="262" w:name="_Toc473801947"/>
      <w:bookmarkStart w:id="263" w:name="_Toc473802200"/>
      <w:r w:rsidRPr="0051003F">
        <w:rPr>
          <w:rFonts w:asciiTheme="majorHAnsi" w:eastAsiaTheme="majorEastAsia" w:hAnsiTheme="majorHAnsi" w:cstheme="majorBidi"/>
          <w:b/>
          <w:bCs/>
          <w:sz w:val="20"/>
          <w:lang w:val="pl-PL" w:eastAsia="fr-FR"/>
        </w:rPr>
        <w:t>b.  </w:t>
      </w:r>
      <w:r w:rsidR="006B29D9" w:rsidRPr="0051003F">
        <w:rPr>
          <w:rFonts w:asciiTheme="majorHAnsi" w:eastAsiaTheme="majorEastAsia" w:hAnsiTheme="majorHAnsi" w:cstheme="majorBidi"/>
          <w:b/>
          <w:bCs/>
          <w:sz w:val="20"/>
          <w:lang w:val="pl-PL" w:eastAsia="fr-FR"/>
        </w:rPr>
        <w:t xml:space="preserve">Mechanizm kompensowania sankcji administracyjnych i karnych </w:t>
      </w:r>
      <w:r w:rsidR="00EE0AC7" w:rsidRPr="0051003F">
        <w:rPr>
          <w:rFonts w:asciiTheme="majorHAnsi" w:eastAsiaTheme="majorEastAsia" w:hAnsiTheme="majorHAnsi" w:cstheme="majorBidi"/>
          <w:b/>
          <w:bCs/>
          <w:sz w:val="20"/>
          <w:lang w:val="pl-PL" w:eastAsia="fr-FR"/>
        </w:rPr>
        <w:t>(§§ 65</w:t>
      </w:r>
      <w:r w:rsidR="00EE0AC7" w:rsidRPr="0051003F">
        <w:rPr>
          <w:rFonts w:asciiTheme="majorHAnsi" w:eastAsiaTheme="majorEastAsia" w:hAnsiTheme="majorHAnsi" w:cstheme="majorBidi"/>
          <w:b/>
          <w:bCs/>
          <w:sz w:val="20"/>
          <w:lang w:val="pl-PL" w:eastAsia="fr-FR"/>
        </w:rPr>
        <w:noBreakHyphen/>
        <w:t>77)</w:t>
      </w:r>
      <w:bookmarkEnd w:id="262"/>
      <w:bookmarkEnd w:id="263"/>
    </w:p>
    <w:p w:rsidR="00C27EA5" w:rsidRPr="0051003F" w:rsidRDefault="001C1232" w:rsidP="00C27EA5">
      <w:pPr>
        <w:ind w:firstLine="284"/>
        <w:rPr>
          <w:lang w:val="pl-PL"/>
        </w:rPr>
      </w:pPr>
      <w:r w:rsidRPr="0051003F">
        <w:rPr>
          <w:lang w:val="pl-PL"/>
        </w:rPr>
        <w:t>65.  </w:t>
      </w:r>
      <w:r w:rsidR="00BC61A9" w:rsidRPr="0051003F">
        <w:rPr>
          <w:lang w:val="pl-PL"/>
        </w:rPr>
        <w:t>Większość jako czwart</w:t>
      </w:r>
      <w:r w:rsidR="00183227">
        <w:rPr>
          <w:lang w:val="pl-PL"/>
        </w:rPr>
        <w:t>y</w:t>
      </w:r>
      <w:r w:rsidR="00BC61A9" w:rsidRPr="0051003F">
        <w:rPr>
          <w:lang w:val="pl-PL"/>
        </w:rPr>
        <w:t xml:space="preserve"> warunek uznaje </w:t>
      </w:r>
      <w:r w:rsidR="00C27EA5" w:rsidRPr="0051003F">
        <w:rPr>
          <w:lang w:val="pl-PL"/>
        </w:rPr>
        <w:t>istnienie „mechanizmu kompensacyjnego mającego na celu zapewnienie proporcjonalności kwoty wszelkich nałożonych kar</w:t>
      </w:r>
      <w:r w:rsidRPr="0051003F">
        <w:rPr>
          <w:lang w:val="pl-PL"/>
        </w:rPr>
        <w:t>”</w:t>
      </w:r>
      <w:r w:rsidRPr="0051003F">
        <w:rPr>
          <w:vertAlign w:val="superscript"/>
          <w:lang w:val="pl-PL"/>
        </w:rPr>
        <w:footnoteReference w:id="158"/>
      </w:r>
      <w:r w:rsidRPr="0051003F">
        <w:rPr>
          <w:lang w:val="pl-PL"/>
        </w:rPr>
        <w:t xml:space="preserve">. </w:t>
      </w:r>
    </w:p>
    <w:p w:rsidR="001C1232" w:rsidRPr="0051003F" w:rsidRDefault="00C27EA5" w:rsidP="00C27EA5">
      <w:pPr>
        <w:ind w:firstLine="284"/>
        <w:rPr>
          <w:lang w:val="pl-PL"/>
        </w:rPr>
      </w:pPr>
      <w:r w:rsidRPr="0051003F">
        <w:rPr>
          <w:lang w:val="pl-PL"/>
        </w:rPr>
        <w:t>Bez wcześniejszego wyjaśnienia, dlaczego wybrano tę opcję, większość nie bierze pod uwagę innych dobrze znanych rozwiązań proceduralnych, takich jak zawieszenie jednego z postępowań, podczas gdy inne postępowania są w toku</w:t>
      </w:r>
      <w:r w:rsidR="001C1232" w:rsidRPr="0051003F">
        <w:rPr>
          <w:vertAlign w:val="superscript"/>
          <w:lang w:val="pl-PL"/>
        </w:rPr>
        <w:footnoteReference w:id="159"/>
      </w:r>
      <w:r w:rsidR="001C1232" w:rsidRPr="0051003F">
        <w:rPr>
          <w:lang w:val="pl-PL"/>
        </w:rPr>
        <w:t xml:space="preserve">, </w:t>
      </w:r>
      <w:r w:rsidRPr="0051003F">
        <w:rPr>
          <w:lang w:val="pl-PL"/>
        </w:rPr>
        <w:t xml:space="preserve">lub innych istotnych rozwiązań, takich jak zasada specjalności lub określenie granic karalności w przypadku kombinacji przestępstw i wykroczeń, takich jak wymóg, aby całkowita kwota nałożonych kar nie przekraczała najwyższej kwoty, jaka mogłaby zostać nałożona w odniesieniu do któregokolwiek z rodzajów kar, lub wymóg, aby maksymalny wymiar kary podatkowej został ustalony na poziomie minimalnym dla przestępstwa. </w:t>
      </w:r>
      <w:r w:rsidR="00AE71EB" w:rsidRPr="0051003F">
        <w:rPr>
          <w:lang w:val="pl-PL"/>
        </w:rPr>
        <w:t>Zakres i cechy proponowanego mechanizmu kompensacji są co najmniej bardzo problematyczne.</w:t>
      </w:r>
    </w:p>
    <w:p w:rsidR="001C1232" w:rsidRPr="0051003F" w:rsidRDefault="001C1232" w:rsidP="00AE71EB">
      <w:pPr>
        <w:ind w:firstLine="284"/>
        <w:rPr>
          <w:lang w:val="pl-PL"/>
        </w:rPr>
      </w:pPr>
      <w:r w:rsidRPr="0051003F">
        <w:rPr>
          <w:lang w:val="pl-PL"/>
        </w:rPr>
        <w:t>66.  </w:t>
      </w:r>
      <w:r w:rsidR="00AE71EB" w:rsidRPr="0051003F">
        <w:rPr>
          <w:lang w:val="pl-PL"/>
        </w:rPr>
        <w:t xml:space="preserve">Stanowisko większości w swoim rozumowaniu jest sprzeczne z niedawnym stanowiskiem Trybunału w sprawie </w:t>
      </w:r>
      <w:r w:rsidR="00AE71EB" w:rsidRPr="0051003F">
        <w:rPr>
          <w:i/>
          <w:lang w:val="pl-PL"/>
        </w:rPr>
        <w:t>Grande Stevens i in</w:t>
      </w:r>
      <w:r w:rsidR="00AE71EB" w:rsidRPr="0051003F">
        <w:rPr>
          <w:lang w:val="pl-PL"/>
        </w:rPr>
        <w:t xml:space="preserve">., które dotyczy równoległych postępowań administracyjnych i karnych. Rząd włoski bezskutecznie argumentował w tej sprawie, że aby zapewnić proporcjonalność sankcji do zarzutów, włoskie sądy karne mogły wziąć pod uwagę </w:t>
      </w:r>
      <w:r w:rsidR="00934479" w:rsidRPr="0051003F">
        <w:rPr>
          <w:lang w:val="pl-PL"/>
        </w:rPr>
        <w:t>uprzedni</w:t>
      </w:r>
      <w:r w:rsidR="00934479">
        <w:rPr>
          <w:lang w:val="pl-PL"/>
        </w:rPr>
        <w:t>o</w:t>
      </w:r>
      <w:r w:rsidR="00934479" w:rsidRPr="0051003F">
        <w:rPr>
          <w:lang w:val="pl-PL"/>
        </w:rPr>
        <w:t xml:space="preserve"> </w:t>
      </w:r>
      <w:r w:rsidR="00934479">
        <w:rPr>
          <w:lang w:val="pl-PL"/>
        </w:rPr>
        <w:t>nałożoną</w:t>
      </w:r>
      <w:r w:rsidR="00934479" w:rsidRPr="0051003F">
        <w:rPr>
          <w:lang w:val="pl-PL"/>
        </w:rPr>
        <w:t xml:space="preserve"> kar</w:t>
      </w:r>
      <w:r w:rsidR="00934479">
        <w:rPr>
          <w:lang w:val="pl-PL"/>
        </w:rPr>
        <w:t>ę</w:t>
      </w:r>
      <w:r w:rsidR="00934479" w:rsidRPr="0051003F">
        <w:rPr>
          <w:lang w:val="pl-PL"/>
        </w:rPr>
        <w:t xml:space="preserve"> administracyjn</w:t>
      </w:r>
      <w:r w:rsidR="00934479">
        <w:rPr>
          <w:lang w:val="pl-PL"/>
        </w:rPr>
        <w:t>ą</w:t>
      </w:r>
      <w:r w:rsidR="00934479" w:rsidRPr="0051003F">
        <w:rPr>
          <w:lang w:val="pl-PL"/>
        </w:rPr>
        <w:t xml:space="preserve"> </w:t>
      </w:r>
      <w:r w:rsidR="00AE71EB" w:rsidRPr="0051003F">
        <w:rPr>
          <w:lang w:val="pl-PL"/>
        </w:rPr>
        <w:t xml:space="preserve">i zmniejszyć </w:t>
      </w:r>
      <w:r w:rsidR="00934479">
        <w:rPr>
          <w:lang w:val="pl-PL"/>
        </w:rPr>
        <w:t>sankcję</w:t>
      </w:r>
      <w:r w:rsidR="00934479" w:rsidRPr="0051003F">
        <w:rPr>
          <w:lang w:val="pl-PL"/>
        </w:rPr>
        <w:t xml:space="preserve"> </w:t>
      </w:r>
      <w:r w:rsidR="00AE71EB" w:rsidRPr="0051003F">
        <w:rPr>
          <w:lang w:val="pl-PL"/>
        </w:rPr>
        <w:t xml:space="preserve">karną. W szczególności kwota grzywny administracyjnej została odliczona od </w:t>
      </w:r>
      <w:r w:rsidR="00934479">
        <w:rPr>
          <w:lang w:val="pl-PL"/>
        </w:rPr>
        <w:t>sankcji</w:t>
      </w:r>
      <w:r w:rsidR="00934479" w:rsidRPr="0051003F">
        <w:rPr>
          <w:lang w:val="pl-PL"/>
        </w:rPr>
        <w:t xml:space="preserve"> </w:t>
      </w:r>
      <w:r w:rsidR="00AE71EB" w:rsidRPr="0051003F">
        <w:rPr>
          <w:lang w:val="pl-PL"/>
        </w:rPr>
        <w:t xml:space="preserve">kary finansowej (art. 187 </w:t>
      </w:r>
      <w:proofErr w:type="spellStart"/>
      <w:r w:rsidR="00AE71EB" w:rsidRPr="0051003F">
        <w:rPr>
          <w:lang w:val="pl-PL"/>
        </w:rPr>
        <w:t>terdecies</w:t>
      </w:r>
      <w:proofErr w:type="spellEnd"/>
      <w:r w:rsidR="00AE71EB" w:rsidRPr="0051003F">
        <w:rPr>
          <w:lang w:val="pl-PL"/>
        </w:rPr>
        <w:t xml:space="preserve"> of </w:t>
      </w:r>
      <w:proofErr w:type="spellStart"/>
      <w:r w:rsidR="00AE71EB" w:rsidRPr="0051003F">
        <w:rPr>
          <w:lang w:val="pl-PL"/>
        </w:rPr>
        <w:t>Legislative</w:t>
      </w:r>
      <w:proofErr w:type="spellEnd"/>
      <w:r w:rsidR="00AE71EB" w:rsidRPr="0051003F">
        <w:rPr>
          <w:lang w:val="pl-PL"/>
        </w:rPr>
        <w:t xml:space="preserve"> </w:t>
      </w:r>
      <w:proofErr w:type="spellStart"/>
      <w:r w:rsidR="00AE71EB" w:rsidRPr="0051003F">
        <w:rPr>
          <w:lang w:val="pl-PL"/>
        </w:rPr>
        <w:t>Decreto</w:t>
      </w:r>
      <w:proofErr w:type="spellEnd"/>
      <w:r w:rsidR="00AE71EB" w:rsidRPr="0051003F">
        <w:rPr>
          <w:lang w:val="pl-PL"/>
        </w:rPr>
        <w:t xml:space="preserve"> nr 58 z 1998 r</w:t>
      </w:r>
      <w:r w:rsidR="00934479">
        <w:rPr>
          <w:lang w:val="pl-PL"/>
        </w:rPr>
        <w:t>oku</w:t>
      </w:r>
      <w:r w:rsidR="00AE71EB" w:rsidRPr="0051003F">
        <w:rPr>
          <w:lang w:val="pl-PL"/>
        </w:rPr>
        <w:t>), a majątek już zajęty w ramach postępowania administracyjnego nie mógł zostać skonfiskowany</w:t>
      </w:r>
      <w:r w:rsidRPr="0051003F">
        <w:rPr>
          <w:vertAlign w:val="superscript"/>
          <w:lang w:val="pl-PL"/>
        </w:rPr>
        <w:footnoteReference w:id="160"/>
      </w:r>
      <w:r w:rsidRPr="0051003F">
        <w:rPr>
          <w:lang w:val="pl-PL"/>
        </w:rPr>
        <w:t xml:space="preserve">. </w:t>
      </w:r>
      <w:r w:rsidR="000F05E5" w:rsidRPr="0051003F">
        <w:rPr>
          <w:lang w:val="pl-PL"/>
        </w:rPr>
        <w:t>Argument ten, który n</w:t>
      </w:r>
      <w:r w:rsidR="00AE71EB" w:rsidRPr="0051003F">
        <w:rPr>
          <w:lang w:val="pl-PL"/>
        </w:rPr>
        <w:t>ie został uwzględniony przez Trybunał</w:t>
      </w:r>
      <w:r w:rsidR="000F05E5" w:rsidRPr="0051003F">
        <w:rPr>
          <w:lang w:val="pl-PL"/>
        </w:rPr>
        <w:t xml:space="preserve"> w wyroku w sprawie </w:t>
      </w:r>
      <w:r w:rsidR="000F05E5" w:rsidRPr="0051003F">
        <w:rPr>
          <w:i/>
          <w:lang w:val="pl-PL"/>
        </w:rPr>
        <w:t>Grande Stevens i in</w:t>
      </w:r>
      <w:r w:rsidR="000F05E5" w:rsidRPr="0051003F">
        <w:rPr>
          <w:lang w:val="pl-PL"/>
        </w:rPr>
        <w:t>., zos</w:t>
      </w:r>
      <w:r w:rsidR="00AE71EB" w:rsidRPr="0051003F">
        <w:rPr>
          <w:lang w:val="pl-PL"/>
        </w:rPr>
        <w:t xml:space="preserve">tał teraz umieszczony </w:t>
      </w:r>
      <w:r w:rsidR="00473BB3">
        <w:rPr>
          <w:lang w:val="pl-PL"/>
        </w:rPr>
        <w:t>jako główny</w:t>
      </w:r>
      <w:r w:rsidR="00AE71EB" w:rsidRPr="0051003F">
        <w:rPr>
          <w:lang w:val="pl-PL"/>
        </w:rPr>
        <w:t xml:space="preserve">, </w:t>
      </w:r>
      <w:r w:rsidR="000F05E5" w:rsidRPr="0051003F">
        <w:rPr>
          <w:lang w:val="pl-PL"/>
        </w:rPr>
        <w:t>w kontekście norweskim, bez żadnego uzasadnienia większ</w:t>
      </w:r>
      <w:r w:rsidR="00AE71EB" w:rsidRPr="0051003F">
        <w:rPr>
          <w:lang w:val="pl-PL"/>
        </w:rPr>
        <w:t>ości dla tej nagłej zmiany</w:t>
      </w:r>
      <w:r w:rsidR="000F05E5" w:rsidRPr="0051003F">
        <w:rPr>
          <w:lang w:val="pl-PL"/>
        </w:rPr>
        <w:t xml:space="preserve">. Wydaje się, że większość zapomniała, iż w sprawie </w:t>
      </w:r>
      <w:r w:rsidR="000F05E5" w:rsidRPr="0051003F">
        <w:rPr>
          <w:i/>
          <w:lang w:val="pl-PL"/>
        </w:rPr>
        <w:t>Grande Stevens</w:t>
      </w:r>
      <w:r w:rsidR="000F05E5" w:rsidRPr="0051003F">
        <w:rPr>
          <w:lang w:val="pl-PL"/>
        </w:rPr>
        <w:t xml:space="preserve"> Trybunał orzekł, że pozwane państwo musi dopilnować, aby nowe postępowanie karne wszczęte przeciwko skarżącym z naruszeniem zasady </w:t>
      </w:r>
      <w:proofErr w:type="spellStart"/>
      <w:r w:rsidR="000F05E5" w:rsidRPr="0051003F">
        <w:rPr>
          <w:i/>
          <w:lang w:val="pl-PL"/>
        </w:rPr>
        <w:t>ne</w:t>
      </w:r>
      <w:proofErr w:type="spellEnd"/>
      <w:r w:rsidR="000F05E5" w:rsidRPr="0051003F">
        <w:rPr>
          <w:i/>
          <w:lang w:val="pl-PL"/>
        </w:rPr>
        <w:t xml:space="preserve"> bis in </w:t>
      </w:r>
      <w:proofErr w:type="spellStart"/>
      <w:r w:rsidR="000F05E5" w:rsidRPr="0051003F">
        <w:rPr>
          <w:i/>
          <w:lang w:val="pl-PL"/>
        </w:rPr>
        <w:t>idem</w:t>
      </w:r>
      <w:proofErr w:type="spellEnd"/>
      <w:r w:rsidR="000F05E5" w:rsidRPr="0051003F">
        <w:rPr>
          <w:lang w:val="pl-PL"/>
        </w:rPr>
        <w:t xml:space="preserve"> zostało </w:t>
      </w:r>
      <w:r w:rsidR="000F05E5" w:rsidRPr="0051003F">
        <w:rPr>
          <w:lang w:val="pl-PL"/>
        </w:rPr>
        <w:lastRenderedPageBreak/>
        <w:t>zamknięte możliwie jak najszybciej i bez negatywnych skutków dla skarżących.</w:t>
      </w:r>
      <w:r w:rsidRPr="0051003F">
        <w:rPr>
          <w:vertAlign w:val="superscript"/>
          <w:lang w:val="pl-PL"/>
        </w:rPr>
        <w:footnoteReference w:id="161"/>
      </w:r>
      <w:r w:rsidRPr="0051003F">
        <w:rPr>
          <w:lang w:val="pl-PL"/>
        </w:rPr>
        <w:t>.</w:t>
      </w:r>
    </w:p>
    <w:p w:rsidR="000F05E5" w:rsidRPr="0051003F" w:rsidRDefault="001C1232" w:rsidP="000F05E5">
      <w:pPr>
        <w:ind w:firstLine="284"/>
        <w:rPr>
          <w:lang w:val="pl-PL"/>
        </w:rPr>
      </w:pPr>
      <w:r w:rsidRPr="0051003F">
        <w:rPr>
          <w:lang w:val="pl-PL"/>
        </w:rPr>
        <w:t>67.  </w:t>
      </w:r>
      <w:r w:rsidR="000F05E5" w:rsidRPr="0051003F">
        <w:rPr>
          <w:lang w:val="pl-PL"/>
        </w:rPr>
        <w:t>Rząd włoski argumentował również, że system podwójnej ścieżki działania jest wymagany na mocy dyrektywy 2003/6/WE z dnia 28 stycznia 2003 r</w:t>
      </w:r>
      <w:r w:rsidR="00535816">
        <w:rPr>
          <w:lang w:val="pl-PL"/>
        </w:rPr>
        <w:t>oku</w:t>
      </w:r>
      <w:r w:rsidR="000F05E5" w:rsidRPr="0051003F">
        <w:rPr>
          <w:lang w:val="pl-PL"/>
        </w:rPr>
        <w:t xml:space="preserve"> w sprawie wykorzystywania poufnych informacji i manipulacji na rynku, w celu skuteczniejszego zwalczania manipulacji i nadużyć na rynku, powołując się na opinię rzecznika generalnego w sprawie </w:t>
      </w:r>
      <w:r w:rsidR="000F05E5" w:rsidRPr="0051003F">
        <w:rPr>
          <w:i/>
          <w:lang w:val="pl-PL"/>
        </w:rPr>
        <w:t xml:space="preserve">Hansa </w:t>
      </w:r>
      <w:proofErr w:type="spellStart"/>
      <w:r w:rsidR="000F05E5" w:rsidRPr="0051003F">
        <w:rPr>
          <w:i/>
          <w:lang w:val="pl-PL"/>
        </w:rPr>
        <w:t>Åkerberga</w:t>
      </w:r>
      <w:proofErr w:type="spellEnd"/>
      <w:r w:rsidR="000F05E5" w:rsidRPr="0051003F">
        <w:rPr>
          <w:i/>
          <w:lang w:val="pl-PL"/>
        </w:rPr>
        <w:t xml:space="preserve"> </w:t>
      </w:r>
      <w:proofErr w:type="spellStart"/>
      <w:r w:rsidR="000F05E5" w:rsidRPr="0051003F">
        <w:rPr>
          <w:i/>
          <w:lang w:val="pl-PL"/>
        </w:rPr>
        <w:t>Fransson</w:t>
      </w:r>
      <w:proofErr w:type="spellEnd"/>
      <w:r w:rsidRPr="0051003F">
        <w:rPr>
          <w:vertAlign w:val="superscript"/>
          <w:lang w:val="pl-PL"/>
        </w:rPr>
        <w:footnoteReference w:id="162"/>
      </w:r>
      <w:r w:rsidRPr="0051003F">
        <w:rPr>
          <w:lang w:val="pl-PL"/>
        </w:rPr>
        <w:t xml:space="preserve">. </w:t>
      </w:r>
      <w:r w:rsidR="000F05E5" w:rsidRPr="0051003F">
        <w:rPr>
          <w:lang w:val="pl-PL"/>
        </w:rPr>
        <w:t>Trybunał łatwo uznał ten argument za nieważny</w:t>
      </w:r>
      <w:r w:rsidR="00737926">
        <w:rPr>
          <w:lang w:val="pl-PL"/>
        </w:rPr>
        <w:t xml:space="preserve"> </w:t>
      </w:r>
      <w:r w:rsidR="00737926">
        <w:rPr>
          <w:rStyle w:val="Odwoanieprzypisudolnego"/>
          <w:lang w:val="pl-PL"/>
        </w:rPr>
        <w:footnoteReference w:id="163"/>
      </w:r>
      <w:r w:rsidR="000F05E5" w:rsidRPr="0051003F">
        <w:rPr>
          <w:lang w:val="pl-PL"/>
        </w:rPr>
        <w:t xml:space="preserve">. W tym kontekście dość zastanawiające jest, że Trybunał przedstawia teraz opinię rzecznika generalnego we </w:t>
      </w:r>
      <w:proofErr w:type="spellStart"/>
      <w:r w:rsidR="000F05E5" w:rsidRPr="0051003F">
        <w:rPr>
          <w:i/>
          <w:lang w:val="pl-PL"/>
        </w:rPr>
        <w:t>Fransson</w:t>
      </w:r>
      <w:proofErr w:type="spellEnd"/>
      <w:r w:rsidR="000F05E5" w:rsidRPr="0051003F">
        <w:rPr>
          <w:lang w:val="pl-PL"/>
        </w:rPr>
        <w:t xml:space="preserve"> jako popierającą jego poglądy.</w:t>
      </w:r>
      <w:r w:rsidRPr="0051003F">
        <w:rPr>
          <w:vertAlign w:val="superscript"/>
          <w:lang w:val="pl-PL"/>
        </w:rPr>
        <w:footnoteReference w:id="164"/>
      </w:r>
      <w:r w:rsidRPr="0051003F">
        <w:rPr>
          <w:lang w:val="pl-PL"/>
        </w:rPr>
        <w:t xml:space="preserve">. </w:t>
      </w:r>
      <w:r w:rsidR="000F05E5" w:rsidRPr="0051003F">
        <w:rPr>
          <w:lang w:val="pl-PL"/>
        </w:rPr>
        <w:t>Mimo że Trybunał w Luksemburgu odrzucił punkt widzenia rzecznika generalnego i wydał orzeczenie zgodnie z orzecznictwem Trybunału w Strasburgu, a także pomimo</w:t>
      </w:r>
      <w:r w:rsidR="00C1654C">
        <w:rPr>
          <w:lang w:val="pl-PL"/>
        </w:rPr>
        <w:t xml:space="preserve"> tego,</w:t>
      </w:r>
      <w:r w:rsidR="000F05E5" w:rsidRPr="0051003F">
        <w:rPr>
          <w:lang w:val="pl-PL"/>
        </w:rPr>
        <w:t xml:space="preserve"> że w sprawie </w:t>
      </w:r>
      <w:r w:rsidR="000F05E5" w:rsidRPr="0051003F">
        <w:rPr>
          <w:i/>
          <w:lang w:val="pl-PL"/>
        </w:rPr>
        <w:t>Grande Stevens</w:t>
      </w:r>
      <w:r w:rsidR="000F05E5" w:rsidRPr="0051003F">
        <w:rPr>
          <w:lang w:val="pl-PL"/>
        </w:rPr>
        <w:t xml:space="preserve"> Trybunał odrzucił tę samą perspektywę rzecznika generalnego, większość w niniejszej sprawie popiera jego stanowisko. Trybunał w Strasburgu chętnie oddala się od Trybunału Luksemburskiego, który podjął starania w celu ujednolicenia stanowisk obu sądów w </w:t>
      </w:r>
      <w:proofErr w:type="spellStart"/>
      <w:r w:rsidR="000F05E5" w:rsidRPr="0051003F">
        <w:rPr>
          <w:i/>
          <w:lang w:val="pl-PL"/>
        </w:rPr>
        <w:t>Fransson</w:t>
      </w:r>
      <w:r w:rsidR="000F05E5" w:rsidRPr="0051003F">
        <w:rPr>
          <w:lang w:val="pl-PL"/>
        </w:rPr>
        <w:t>Sędziowie</w:t>
      </w:r>
      <w:proofErr w:type="spellEnd"/>
      <w:r w:rsidR="000F05E5" w:rsidRPr="0051003F">
        <w:rPr>
          <w:lang w:val="pl-PL"/>
        </w:rPr>
        <w:t xml:space="preserve"> Trybunału wolą opowiedzieć się za opinią rzecznika generalnego, który ostro krytykował orzecznictwo Trybunału za sprzeczność z europejską tradycją konstytucyjną. Niewyjaśniona zmiana </w:t>
      </w:r>
      <w:r w:rsidR="006D7B46">
        <w:rPr>
          <w:lang w:val="pl-PL"/>
        </w:rPr>
        <w:t>poglądów</w:t>
      </w:r>
      <w:r w:rsidR="006D7B46" w:rsidRPr="0051003F">
        <w:rPr>
          <w:lang w:val="pl-PL"/>
        </w:rPr>
        <w:t xml:space="preserve"> </w:t>
      </w:r>
      <w:r w:rsidR="000F05E5" w:rsidRPr="0051003F">
        <w:rPr>
          <w:lang w:val="pl-PL"/>
        </w:rPr>
        <w:t>w Strasburgu stanowi poważne utrudnienie dla stosunków między dwoma europejskimi sądami.</w:t>
      </w:r>
    </w:p>
    <w:p w:rsidR="001C1232" w:rsidRPr="0051003F" w:rsidRDefault="001C1232" w:rsidP="000F05E5">
      <w:pPr>
        <w:ind w:firstLine="284"/>
        <w:rPr>
          <w:lang w:val="pl-PL"/>
        </w:rPr>
      </w:pPr>
      <w:r w:rsidRPr="0051003F">
        <w:rPr>
          <w:lang w:val="pl-PL"/>
        </w:rPr>
        <w:t>68.  </w:t>
      </w:r>
      <w:r w:rsidR="000F05E5" w:rsidRPr="0051003F">
        <w:rPr>
          <w:lang w:val="pl-PL"/>
        </w:rPr>
        <w:t>Ponadto mechanizm kompensacyjny większości stosuje się jedynie do potrącania kar nakładanych w postępowaniu, które jako pierwsze staje się ostateczne. Nie ma on zastosowania w przypadku, gdy najpierw rozstrzygnięcie sprawy stanie się prawomocne, a mianowicie gdy sąd wyda wyrok uniewinniający lub podejmie decyzję o umorzeniu sprawy. Powód jest oczywisty. W tych przypadkach nie ma nic do skompensowania - to znaczy zrekompensowania lub odliczenia - w późniejszych lub równoległych postępowaniach administracyjnych</w:t>
      </w:r>
      <w:r w:rsidRPr="0051003F">
        <w:rPr>
          <w:lang w:val="pl-PL"/>
        </w:rPr>
        <w:t>.</w:t>
      </w:r>
    </w:p>
    <w:p w:rsidR="001C1232" w:rsidRPr="0051003F" w:rsidRDefault="001C1232" w:rsidP="000F05E5">
      <w:pPr>
        <w:ind w:firstLine="284"/>
        <w:rPr>
          <w:lang w:val="pl-PL"/>
        </w:rPr>
      </w:pPr>
      <w:r w:rsidRPr="0051003F">
        <w:rPr>
          <w:lang w:val="pl-PL"/>
        </w:rPr>
        <w:lastRenderedPageBreak/>
        <w:t>69.  </w:t>
      </w:r>
      <w:r w:rsidR="000F05E5" w:rsidRPr="0051003F">
        <w:rPr>
          <w:lang w:val="pl-PL"/>
        </w:rPr>
        <w:t>Kwestia ta jest oczywiście istotna w świetle niedawnych greckich spraw, w których sądy administracyjne nakładające kary administracyjne nie uwzględniły równoległego uniewinnienia skarżących (skargi nr 3453/12 i 42941/12) i późniejszych (skarga nr 9028/13) postępowań karnych dotyczących tego samego zachowania</w:t>
      </w:r>
      <w:r w:rsidRPr="0051003F">
        <w:rPr>
          <w:vertAlign w:val="superscript"/>
          <w:lang w:val="pl-PL"/>
        </w:rPr>
        <w:footnoteReference w:id="165"/>
      </w:r>
      <w:r w:rsidRPr="0051003F">
        <w:rPr>
          <w:lang w:val="pl-PL"/>
        </w:rPr>
        <w:t xml:space="preserve">. </w:t>
      </w:r>
      <w:r w:rsidR="004A231A" w:rsidRPr="0051003F">
        <w:rPr>
          <w:lang w:val="pl-PL"/>
        </w:rPr>
        <w:t>Zgodnie z uzasadnieniem</w:t>
      </w:r>
      <w:r w:rsidR="009D1F2C">
        <w:rPr>
          <w:lang w:val="pl-PL"/>
        </w:rPr>
        <w:t xml:space="preserve"> zawartym w</w:t>
      </w:r>
      <w:r w:rsidR="004A231A" w:rsidRPr="0051003F">
        <w:rPr>
          <w:lang w:val="pl-PL"/>
        </w:rPr>
        <w:t xml:space="preserve"> </w:t>
      </w:r>
      <w:proofErr w:type="spellStart"/>
      <w:r w:rsidR="004A231A" w:rsidRPr="0051003F">
        <w:rPr>
          <w:i/>
          <w:lang w:val="pl-PL"/>
        </w:rPr>
        <w:t>Kapetanios</w:t>
      </w:r>
      <w:proofErr w:type="spellEnd"/>
      <w:r w:rsidR="004A231A" w:rsidRPr="0051003F">
        <w:rPr>
          <w:i/>
          <w:lang w:val="pl-PL"/>
        </w:rPr>
        <w:t xml:space="preserve"> i in</w:t>
      </w:r>
      <w:r w:rsidR="004A231A" w:rsidRPr="0051003F">
        <w:rPr>
          <w:lang w:val="pl-PL"/>
        </w:rPr>
        <w:t xml:space="preserve">., każde uniewinnienie lub umorzenie sprawy karnej miałoby </w:t>
      </w:r>
      <w:proofErr w:type="spellStart"/>
      <w:r w:rsidR="004A231A" w:rsidRPr="0051003F">
        <w:rPr>
          <w:i/>
          <w:lang w:val="pl-PL"/>
        </w:rPr>
        <w:t>Sperrwirkung</w:t>
      </w:r>
      <w:proofErr w:type="spellEnd"/>
      <w:r w:rsidR="004A231A" w:rsidRPr="0051003F">
        <w:rPr>
          <w:lang w:val="pl-PL"/>
        </w:rPr>
        <w:t xml:space="preserve"> w innych równoległych lub późniejszych postępowaniach administracyjnych, </w:t>
      </w:r>
      <w:r w:rsidR="000F05E5" w:rsidRPr="0051003F">
        <w:rPr>
          <w:lang w:val="pl-PL"/>
        </w:rPr>
        <w:t>tak jak zostało</w:t>
      </w:r>
      <w:r w:rsidR="004A231A" w:rsidRPr="0051003F">
        <w:rPr>
          <w:lang w:val="pl-PL"/>
        </w:rPr>
        <w:t xml:space="preserve"> </w:t>
      </w:r>
      <w:r w:rsidR="009D1F2C">
        <w:rPr>
          <w:lang w:val="pl-PL"/>
        </w:rPr>
        <w:t xml:space="preserve">to </w:t>
      </w:r>
      <w:r w:rsidR="000F05E5" w:rsidRPr="0051003F">
        <w:rPr>
          <w:lang w:val="pl-PL"/>
        </w:rPr>
        <w:t xml:space="preserve">skonkludowane przez Trybunał </w:t>
      </w:r>
      <w:r w:rsidR="004A231A" w:rsidRPr="0051003F">
        <w:rPr>
          <w:lang w:val="pl-PL"/>
        </w:rPr>
        <w:t xml:space="preserve"> również w sprawach </w:t>
      </w:r>
      <w:proofErr w:type="spellStart"/>
      <w:r w:rsidR="004A231A" w:rsidRPr="0051003F">
        <w:rPr>
          <w:i/>
          <w:lang w:val="pl-PL"/>
        </w:rPr>
        <w:t>Sismanidis</w:t>
      </w:r>
      <w:proofErr w:type="spellEnd"/>
      <w:r w:rsidR="004A231A" w:rsidRPr="0051003F">
        <w:rPr>
          <w:i/>
          <w:lang w:val="pl-PL"/>
        </w:rPr>
        <w:t xml:space="preserve"> i </w:t>
      </w:r>
      <w:proofErr w:type="spellStart"/>
      <w:r w:rsidR="004A231A" w:rsidRPr="0051003F">
        <w:rPr>
          <w:i/>
          <w:lang w:val="pl-PL"/>
        </w:rPr>
        <w:t>Sitaridis</w:t>
      </w:r>
      <w:proofErr w:type="spellEnd"/>
      <w:r w:rsidR="004A231A" w:rsidRPr="0051003F">
        <w:rPr>
          <w:lang w:val="pl-PL"/>
        </w:rPr>
        <w:t>, które dotyczą również dwóch spraw (skargi nr 66604/09 i 71879/12)</w:t>
      </w:r>
      <w:r w:rsidR="009D1F2C">
        <w:rPr>
          <w:lang w:val="pl-PL"/>
        </w:rPr>
        <w:t xml:space="preserve"> w</w:t>
      </w:r>
      <w:r w:rsidR="004A231A" w:rsidRPr="0051003F">
        <w:rPr>
          <w:lang w:val="pl-PL"/>
        </w:rPr>
        <w:t xml:space="preserve"> prowadzonych równolegle postępowa</w:t>
      </w:r>
      <w:r w:rsidR="009D1F2C">
        <w:rPr>
          <w:lang w:val="pl-PL"/>
        </w:rPr>
        <w:t>niach</w:t>
      </w:r>
      <w:r w:rsidR="004A231A" w:rsidRPr="0051003F">
        <w:rPr>
          <w:lang w:val="pl-PL"/>
        </w:rPr>
        <w:t xml:space="preserve"> administracyjnych i karnych</w:t>
      </w:r>
      <w:r w:rsidR="00A64AA8">
        <w:rPr>
          <w:lang w:val="pl-PL"/>
        </w:rPr>
        <w:t xml:space="preserve"> </w:t>
      </w:r>
      <w:r w:rsidR="00A64AA8">
        <w:rPr>
          <w:rStyle w:val="Odwoanieprzypisudolnego"/>
          <w:lang w:val="pl-PL"/>
        </w:rPr>
        <w:footnoteReference w:id="166"/>
      </w:r>
      <w:r w:rsidR="004A231A" w:rsidRPr="0051003F">
        <w:rPr>
          <w:lang w:val="pl-PL"/>
        </w:rPr>
        <w:t>. Uniewinniony oskarżony ma prawo nie doznać ponownego zamieszania w związku z tymi samymi okolicznościami faktycznymi, co wiąże się z ryzykiem nowego ścigania, niezależnie od odmiennego charakteru zaangażowanych organów (sądowych i administracyjnych)</w:t>
      </w:r>
      <w:r w:rsidRPr="0051003F">
        <w:rPr>
          <w:vertAlign w:val="superscript"/>
          <w:lang w:val="pl-PL"/>
        </w:rPr>
        <w:footnoteReference w:id="167"/>
      </w:r>
      <w:r w:rsidRPr="0051003F">
        <w:rPr>
          <w:lang w:val="pl-PL"/>
        </w:rPr>
        <w:t xml:space="preserve">. </w:t>
      </w:r>
      <w:r w:rsidR="004A231A" w:rsidRPr="0051003F">
        <w:rPr>
          <w:lang w:val="pl-PL"/>
        </w:rPr>
        <w:t xml:space="preserve">Innymi słowy, istnieje całkowity zakaz ponownego orzekania w odniesieniu do tych samych faktów. Ponadto, biorąc pod uwagę </w:t>
      </w:r>
      <w:r w:rsidR="004A231A" w:rsidRPr="0051003F">
        <w:rPr>
          <w:i/>
          <w:lang w:val="pl-PL"/>
        </w:rPr>
        <w:t>res iudicata</w:t>
      </w:r>
      <w:r w:rsidR="004A231A" w:rsidRPr="0051003F">
        <w:rPr>
          <w:lang w:val="pl-PL"/>
        </w:rPr>
        <w:t xml:space="preserve"> uniewinnienia, na sądy i organy administracyjne nałożony został </w:t>
      </w:r>
      <w:r w:rsidR="004A231A" w:rsidRPr="0051003F">
        <w:rPr>
          <w:i/>
          <w:lang w:val="pl-PL"/>
        </w:rPr>
        <w:t xml:space="preserve">ex officio </w:t>
      </w:r>
      <w:r w:rsidR="004A231A" w:rsidRPr="0051003F">
        <w:rPr>
          <w:lang w:val="pl-PL"/>
        </w:rPr>
        <w:t xml:space="preserve">obowiązek uwzględnienia bezwzględnego i </w:t>
      </w:r>
      <w:r w:rsidR="005F3484">
        <w:rPr>
          <w:lang w:val="pl-PL"/>
        </w:rPr>
        <w:t>nieusuwalnego</w:t>
      </w:r>
      <w:r w:rsidR="005F3484" w:rsidRPr="0051003F">
        <w:rPr>
          <w:lang w:val="pl-PL"/>
        </w:rPr>
        <w:t xml:space="preserve"> </w:t>
      </w:r>
      <w:r w:rsidR="004A231A" w:rsidRPr="0051003F">
        <w:rPr>
          <w:lang w:val="pl-PL"/>
        </w:rPr>
        <w:t>prawa oskarżonego.</w:t>
      </w:r>
      <w:r w:rsidR="00EE55DE">
        <w:rPr>
          <w:rStyle w:val="Odwoanieprzypisudolnego"/>
          <w:lang w:val="pl-PL"/>
        </w:rPr>
        <w:footnoteReference w:id="168"/>
      </w:r>
    </w:p>
    <w:p w:rsidR="004A231A" w:rsidRPr="0051003F" w:rsidRDefault="001C1232" w:rsidP="004A231A">
      <w:pPr>
        <w:ind w:firstLine="284"/>
        <w:rPr>
          <w:lang w:val="pl-PL"/>
        </w:rPr>
      </w:pPr>
      <w:r w:rsidRPr="0051003F">
        <w:rPr>
          <w:lang w:val="pl-PL"/>
        </w:rPr>
        <w:t>70.  </w:t>
      </w:r>
      <w:r w:rsidR="004A231A" w:rsidRPr="0051003F">
        <w:rPr>
          <w:lang w:val="pl-PL"/>
        </w:rPr>
        <w:t xml:space="preserve">Orzecznictwo greckie jest również, co do zasady,  zgodne z jasnym stwierdzeniem, o którym mowa w paragrafie 60 </w:t>
      </w:r>
      <w:proofErr w:type="spellStart"/>
      <w:r w:rsidR="004A231A" w:rsidRPr="0051003F">
        <w:rPr>
          <w:i/>
          <w:lang w:val="pl-PL"/>
        </w:rPr>
        <w:t>Lucky</w:t>
      </w:r>
      <w:proofErr w:type="spellEnd"/>
      <w:r w:rsidR="004A231A" w:rsidRPr="0051003F">
        <w:rPr>
          <w:i/>
          <w:lang w:val="pl-PL"/>
        </w:rPr>
        <w:t xml:space="preserve"> </w:t>
      </w:r>
      <w:proofErr w:type="spellStart"/>
      <w:r w:rsidR="004A231A" w:rsidRPr="0051003F">
        <w:rPr>
          <w:i/>
          <w:lang w:val="pl-PL"/>
        </w:rPr>
        <w:t>Dev</w:t>
      </w:r>
      <w:proofErr w:type="spellEnd"/>
      <w:r w:rsidR="004A231A" w:rsidRPr="0051003F">
        <w:rPr>
          <w:lang w:val="pl-PL"/>
        </w:rPr>
        <w:t xml:space="preserve">, </w:t>
      </w:r>
      <w:r w:rsidR="004A231A" w:rsidRPr="0051003F">
        <w:rPr>
          <w:lang w:val="pl-PL"/>
        </w:rPr>
        <w:lastRenderedPageBreak/>
        <w:t xml:space="preserve">podkreślającego, że art. 4 Protokołu </w:t>
      </w:r>
      <w:r w:rsidR="005F3484">
        <w:rPr>
          <w:lang w:val="pl-PL"/>
        </w:rPr>
        <w:t>n</w:t>
      </w:r>
      <w:r w:rsidR="004A231A" w:rsidRPr="0051003F">
        <w:rPr>
          <w:lang w:val="pl-PL"/>
        </w:rPr>
        <w:t xml:space="preserve">r 7 zostałby naruszony, gdyby </w:t>
      </w:r>
      <w:r w:rsidR="00C27EA5" w:rsidRPr="0051003F">
        <w:rPr>
          <w:lang w:val="pl-PL"/>
        </w:rPr>
        <w:t>jedno</w:t>
      </w:r>
      <w:r w:rsidR="004A231A" w:rsidRPr="0051003F">
        <w:rPr>
          <w:lang w:val="pl-PL"/>
        </w:rPr>
        <w:t xml:space="preserve"> postępowanie było kontynuowane po dniu, w którym drugie postępowanie zostałoby zakończone wydaniem ostatecznej decyzji. W </w:t>
      </w:r>
      <w:proofErr w:type="spellStart"/>
      <w:r w:rsidR="004A231A" w:rsidRPr="0051003F">
        <w:rPr>
          <w:i/>
          <w:lang w:val="pl-PL"/>
        </w:rPr>
        <w:t>Lucky</w:t>
      </w:r>
      <w:proofErr w:type="spellEnd"/>
      <w:r w:rsidR="004A231A" w:rsidRPr="0051003F">
        <w:rPr>
          <w:i/>
          <w:lang w:val="pl-PL"/>
        </w:rPr>
        <w:t xml:space="preserve"> </w:t>
      </w:r>
      <w:proofErr w:type="spellStart"/>
      <w:r w:rsidR="004A231A" w:rsidRPr="0051003F">
        <w:rPr>
          <w:i/>
          <w:lang w:val="pl-PL"/>
        </w:rPr>
        <w:t>Dev</w:t>
      </w:r>
      <w:proofErr w:type="spellEnd"/>
      <w:r w:rsidR="004A231A" w:rsidRPr="0051003F">
        <w:rPr>
          <w:lang w:val="pl-PL"/>
        </w:rPr>
        <w:t xml:space="preserve"> dopłaty podatkowe zostały pobrane po prawomocnym uniewinnieniu w równoległym postępowaniu karnym, a zasadniczy zarzut Trybunału jest całkowicie jasny: </w:t>
      </w:r>
      <w:r w:rsidR="00AE71EB" w:rsidRPr="0051003F">
        <w:rPr>
          <w:lang w:val="pl-PL"/>
        </w:rPr>
        <w:t>„</w:t>
      </w:r>
      <w:r w:rsidR="004A231A" w:rsidRPr="0051003F">
        <w:rPr>
          <w:lang w:val="pl-PL"/>
        </w:rPr>
        <w:t>Ta ostateczna decyzja wymagałaby umorzenia innego postępowania.</w:t>
      </w:r>
      <w:r w:rsidR="00D62865">
        <w:rPr>
          <w:lang w:val="pl-PL"/>
        </w:rPr>
        <w:t xml:space="preserve"> </w:t>
      </w:r>
      <w:r w:rsidR="00D62865">
        <w:rPr>
          <w:rStyle w:val="Odwoanieprzypisudolnego"/>
          <w:lang w:val="pl-PL"/>
        </w:rPr>
        <w:footnoteReference w:id="169"/>
      </w:r>
      <w:r w:rsidR="004A231A" w:rsidRPr="0051003F">
        <w:rPr>
          <w:lang w:val="pl-PL"/>
        </w:rPr>
        <w:t>”</w:t>
      </w:r>
    </w:p>
    <w:p w:rsidR="001C1232" w:rsidRPr="0051003F" w:rsidRDefault="001C1232" w:rsidP="004A231A">
      <w:pPr>
        <w:ind w:firstLine="284"/>
        <w:rPr>
          <w:lang w:val="pl-PL"/>
        </w:rPr>
      </w:pPr>
      <w:r w:rsidRPr="0051003F">
        <w:rPr>
          <w:lang w:val="pl-PL"/>
        </w:rPr>
        <w:t>71.  </w:t>
      </w:r>
      <w:r w:rsidR="004A231A" w:rsidRPr="0051003F">
        <w:rPr>
          <w:lang w:val="pl-PL"/>
        </w:rPr>
        <w:t xml:space="preserve">Podsumowując, niniejszy wyrok jest sprzeczny z istotą orzecznictwa w sprawach </w:t>
      </w:r>
      <w:proofErr w:type="spellStart"/>
      <w:r w:rsidR="004A231A" w:rsidRPr="0051003F">
        <w:rPr>
          <w:i/>
          <w:lang w:val="pl-PL"/>
        </w:rPr>
        <w:t>Kapetanios</w:t>
      </w:r>
      <w:proofErr w:type="spellEnd"/>
      <w:r w:rsidR="004A231A" w:rsidRPr="0051003F">
        <w:rPr>
          <w:i/>
          <w:lang w:val="pl-PL"/>
        </w:rPr>
        <w:t xml:space="preserve"> i Inni</w:t>
      </w:r>
      <w:r w:rsidR="004A231A" w:rsidRPr="0051003F">
        <w:rPr>
          <w:lang w:val="pl-PL"/>
        </w:rPr>
        <w:t xml:space="preserve">, </w:t>
      </w:r>
      <w:proofErr w:type="spellStart"/>
      <w:r w:rsidR="004A231A" w:rsidRPr="0051003F">
        <w:rPr>
          <w:i/>
          <w:lang w:val="pl-PL"/>
        </w:rPr>
        <w:t>Sismanidis</w:t>
      </w:r>
      <w:proofErr w:type="spellEnd"/>
      <w:r w:rsidR="004A231A" w:rsidRPr="0051003F">
        <w:rPr>
          <w:i/>
          <w:lang w:val="pl-PL"/>
        </w:rPr>
        <w:t xml:space="preserve">, </w:t>
      </w:r>
      <w:proofErr w:type="spellStart"/>
      <w:r w:rsidR="004A231A" w:rsidRPr="0051003F">
        <w:rPr>
          <w:i/>
          <w:lang w:val="pl-PL"/>
        </w:rPr>
        <w:t>Sitaridis</w:t>
      </w:r>
      <w:proofErr w:type="spellEnd"/>
      <w:r w:rsidR="004A231A" w:rsidRPr="0051003F">
        <w:rPr>
          <w:i/>
          <w:lang w:val="pl-PL"/>
        </w:rPr>
        <w:t xml:space="preserve"> i </w:t>
      </w:r>
      <w:proofErr w:type="spellStart"/>
      <w:r w:rsidR="004A231A" w:rsidRPr="0051003F">
        <w:rPr>
          <w:i/>
          <w:lang w:val="pl-PL"/>
        </w:rPr>
        <w:t>Sitaridis</w:t>
      </w:r>
      <w:proofErr w:type="spellEnd"/>
      <w:r w:rsidR="004A231A" w:rsidRPr="0051003F">
        <w:rPr>
          <w:i/>
          <w:lang w:val="pl-PL"/>
        </w:rPr>
        <w:t xml:space="preserve"> oraz </w:t>
      </w:r>
      <w:proofErr w:type="spellStart"/>
      <w:r w:rsidR="004A231A" w:rsidRPr="0051003F">
        <w:rPr>
          <w:i/>
          <w:lang w:val="pl-PL"/>
        </w:rPr>
        <w:t>Lucky</w:t>
      </w:r>
      <w:proofErr w:type="spellEnd"/>
      <w:r w:rsidR="004A231A" w:rsidRPr="0051003F">
        <w:rPr>
          <w:i/>
          <w:lang w:val="pl-PL"/>
        </w:rPr>
        <w:t xml:space="preserve"> </w:t>
      </w:r>
      <w:proofErr w:type="spellStart"/>
      <w:r w:rsidR="004A231A" w:rsidRPr="0051003F">
        <w:rPr>
          <w:i/>
          <w:lang w:val="pl-PL"/>
        </w:rPr>
        <w:t>Dev</w:t>
      </w:r>
      <w:proofErr w:type="spellEnd"/>
      <w:r w:rsidR="004A231A" w:rsidRPr="0051003F">
        <w:rPr>
          <w:i/>
          <w:lang w:val="pl-PL"/>
        </w:rPr>
        <w:t>.</w:t>
      </w:r>
      <w:r w:rsidR="004A231A" w:rsidRPr="0051003F">
        <w:rPr>
          <w:lang w:val="pl-PL"/>
        </w:rPr>
        <w:t xml:space="preserve"> W większości przypadków uniewinnienie </w:t>
      </w:r>
      <w:r w:rsidR="00C27EA5" w:rsidRPr="0051003F">
        <w:rPr>
          <w:lang w:val="pl-PL"/>
        </w:rPr>
        <w:t>oskarżonego</w:t>
      </w:r>
      <w:r w:rsidR="004A231A" w:rsidRPr="0051003F">
        <w:rPr>
          <w:lang w:val="pl-PL"/>
        </w:rPr>
        <w:t xml:space="preserve">, czy to ze względu na to, że czyny nie stanowią przestępstwa, </w:t>
      </w:r>
      <w:r w:rsidR="005F3484">
        <w:rPr>
          <w:lang w:val="pl-PL"/>
        </w:rPr>
        <w:t xml:space="preserve">czy też z powodu tego, </w:t>
      </w:r>
      <w:proofErr w:type="spellStart"/>
      <w:r w:rsidR="005F3484">
        <w:rPr>
          <w:lang w:val="pl-PL"/>
        </w:rPr>
        <w:t>że</w:t>
      </w:r>
      <w:r w:rsidR="004A231A" w:rsidRPr="0051003F">
        <w:rPr>
          <w:lang w:val="pl-PL"/>
        </w:rPr>
        <w:t>oskarżony</w:t>
      </w:r>
      <w:proofErr w:type="spellEnd"/>
      <w:r w:rsidR="004A231A" w:rsidRPr="0051003F">
        <w:rPr>
          <w:lang w:val="pl-PL"/>
        </w:rPr>
        <w:t xml:space="preserve"> ich nie popełnił lub nie udowodniono że </w:t>
      </w:r>
      <w:r w:rsidR="00A52C9C">
        <w:rPr>
          <w:lang w:val="pl-PL"/>
        </w:rPr>
        <w:t xml:space="preserve"> je </w:t>
      </w:r>
      <w:r w:rsidR="004A231A" w:rsidRPr="0051003F">
        <w:rPr>
          <w:lang w:val="pl-PL"/>
        </w:rPr>
        <w:t>popełnił, nie musi być brane pod uwagę w późniejszych lub równoległych postępowaniach administracyjnych. Wywołuje to również oczywisty problem w odniesieniu do art. 6 ust. 2 Konwencji. Każde nowe orzeczenie co do istoty sprawy podważałoby domniemanie niewinności wynikające z uniewinnienia</w:t>
      </w:r>
      <w:r w:rsidRPr="0051003F">
        <w:rPr>
          <w:vertAlign w:val="superscript"/>
          <w:lang w:val="pl-PL"/>
        </w:rPr>
        <w:footnoteReference w:id="170"/>
      </w:r>
      <w:r w:rsidRPr="0051003F">
        <w:rPr>
          <w:lang w:val="pl-PL"/>
        </w:rPr>
        <w:t>.</w:t>
      </w:r>
    </w:p>
    <w:p w:rsidR="004A231A" w:rsidRPr="0051003F" w:rsidRDefault="001C1232" w:rsidP="004A231A">
      <w:pPr>
        <w:ind w:firstLine="284"/>
        <w:rPr>
          <w:lang w:val="pl-PL"/>
        </w:rPr>
      </w:pPr>
      <w:r w:rsidRPr="0051003F">
        <w:rPr>
          <w:lang w:val="pl-PL"/>
        </w:rPr>
        <w:t>72.  </w:t>
      </w:r>
      <w:r w:rsidR="004A231A" w:rsidRPr="0051003F">
        <w:rPr>
          <w:lang w:val="pl-PL"/>
        </w:rPr>
        <w:t>Mechanizm kompensacji stosowany przez większość nie ma również zastosowania w sytuacji, gdy postępowanie, które jako pierwsze staje się ostateczne, jest postępowaniem administracyjnym i nie nakłada się</w:t>
      </w:r>
      <w:r w:rsidR="006F3275">
        <w:rPr>
          <w:lang w:val="pl-PL"/>
        </w:rPr>
        <w:t xml:space="preserve"> w nim</w:t>
      </w:r>
      <w:r w:rsidR="004A231A" w:rsidRPr="0051003F">
        <w:rPr>
          <w:lang w:val="pl-PL"/>
        </w:rPr>
        <w:t xml:space="preserve"> kar podatkowych, ponieważ nie udowodniono istnienia takiego obowiązku administracyjnego. Większość uważa, że podatnik nadal może być skazany za te same czyny i skazany w postępowaniu karnym w tym scenariuszu.</w:t>
      </w:r>
    </w:p>
    <w:p w:rsidR="00FA66AA" w:rsidRPr="0051003F" w:rsidRDefault="001C1232" w:rsidP="004A231A">
      <w:pPr>
        <w:ind w:firstLine="284"/>
        <w:rPr>
          <w:lang w:val="pl-PL"/>
        </w:rPr>
      </w:pPr>
      <w:r w:rsidRPr="0051003F">
        <w:rPr>
          <w:lang w:val="pl-PL"/>
        </w:rPr>
        <w:t>73.  </w:t>
      </w:r>
      <w:r w:rsidR="00FA66AA" w:rsidRPr="0051003F">
        <w:rPr>
          <w:lang w:val="pl-PL"/>
        </w:rPr>
        <w:t xml:space="preserve">Obecnie </w:t>
      </w:r>
      <w:r w:rsidR="00084979" w:rsidRPr="0051003F">
        <w:rPr>
          <w:lang w:val="pl-PL"/>
        </w:rPr>
        <w:t>oczywist</w:t>
      </w:r>
      <w:r w:rsidR="00084979">
        <w:rPr>
          <w:lang w:val="pl-PL"/>
        </w:rPr>
        <w:t>ym</w:t>
      </w:r>
      <w:r w:rsidR="00084979" w:rsidRPr="0051003F">
        <w:rPr>
          <w:lang w:val="pl-PL"/>
        </w:rPr>
        <w:t xml:space="preserve"> </w:t>
      </w:r>
      <w:r w:rsidR="00FA66AA" w:rsidRPr="0051003F">
        <w:rPr>
          <w:lang w:val="pl-PL"/>
        </w:rPr>
        <w:t>jest, że czwarty</w:t>
      </w:r>
      <w:r w:rsidR="00084979">
        <w:rPr>
          <w:lang w:val="pl-PL"/>
        </w:rPr>
        <w:t>m</w:t>
      </w:r>
      <w:r w:rsidR="00FA66AA" w:rsidRPr="0051003F">
        <w:rPr>
          <w:lang w:val="pl-PL"/>
        </w:rPr>
        <w:t xml:space="preserve"> </w:t>
      </w:r>
      <w:r w:rsidR="00084979">
        <w:rPr>
          <w:lang w:val="pl-PL"/>
        </w:rPr>
        <w:t>warunkiem</w:t>
      </w:r>
      <w:r w:rsidR="00084979" w:rsidRPr="0051003F">
        <w:rPr>
          <w:lang w:val="pl-PL"/>
        </w:rPr>
        <w:t xml:space="preserve"> </w:t>
      </w:r>
      <w:proofErr w:type="spellStart"/>
      <w:r w:rsidR="00FA66AA" w:rsidRPr="0051003F">
        <w:rPr>
          <w:i/>
          <w:lang w:val="pl-PL"/>
        </w:rPr>
        <w:t>chèque</w:t>
      </w:r>
      <w:proofErr w:type="spellEnd"/>
      <w:r w:rsidR="00FA66AA" w:rsidRPr="0051003F">
        <w:rPr>
          <w:i/>
          <w:lang w:val="pl-PL"/>
        </w:rPr>
        <w:t xml:space="preserve"> en </w:t>
      </w:r>
      <w:proofErr w:type="spellStart"/>
      <w:r w:rsidR="00FA66AA" w:rsidRPr="0051003F">
        <w:rPr>
          <w:i/>
          <w:lang w:val="pl-PL"/>
        </w:rPr>
        <w:t>blanc</w:t>
      </w:r>
      <w:proofErr w:type="spellEnd"/>
      <w:r w:rsidR="00084979">
        <w:rPr>
          <w:i/>
          <w:lang w:val="pl-PL"/>
        </w:rPr>
        <w:t xml:space="preserve"> </w:t>
      </w:r>
      <w:r w:rsidR="00084979" w:rsidRPr="00486852">
        <w:rPr>
          <w:lang w:val="pl-PL"/>
        </w:rPr>
        <w:t>jest</w:t>
      </w:r>
      <w:r w:rsidR="00FA66AA" w:rsidRPr="00084979">
        <w:rPr>
          <w:lang w:val="pl-PL"/>
        </w:rPr>
        <w:t>, aby</w:t>
      </w:r>
      <w:r w:rsidR="00FA66AA" w:rsidRPr="0051003F">
        <w:rPr>
          <w:lang w:val="pl-PL"/>
        </w:rPr>
        <w:t xml:space="preserve"> państwa </w:t>
      </w:r>
      <w:r w:rsidR="00084979">
        <w:rPr>
          <w:lang w:val="pl-PL"/>
        </w:rPr>
        <w:t>z</w:t>
      </w:r>
      <w:r w:rsidR="00FA66AA" w:rsidRPr="0051003F">
        <w:rPr>
          <w:lang w:val="pl-PL"/>
        </w:rPr>
        <w:t xml:space="preserve">robiły to, co chcą. Ale jeszcze gorsze jest to, że większość nie wyjaśnia, w jaki sposób mechanizm kompensacji funkcjonuje w prawie norweskim. </w:t>
      </w:r>
      <w:r w:rsidR="00084979">
        <w:rPr>
          <w:lang w:val="pl-PL"/>
        </w:rPr>
        <w:t>Paragraf</w:t>
      </w:r>
      <w:r w:rsidR="00084979" w:rsidRPr="0051003F">
        <w:rPr>
          <w:lang w:val="pl-PL"/>
        </w:rPr>
        <w:t xml:space="preserve"> </w:t>
      </w:r>
      <w:r w:rsidR="00FA66AA" w:rsidRPr="0051003F">
        <w:rPr>
          <w:lang w:val="pl-PL"/>
        </w:rPr>
        <w:t xml:space="preserve">50 wyroku zawiera streszczenie orzecznictwa, które pozostawia czytelnikowi wrażenie, że swoboda uznania króluje w sposobie, w jaki sądy karne czasami decydują się uwzględnić poprzednie kary administracyjne, a czasem </w:t>
      </w:r>
      <w:r w:rsidR="00080F53">
        <w:rPr>
          <w:lang w:val="pl-PL"/>
        </w:rPr>
        <w:t>ich nie uwzględnić</w:t>
      </w:r>
      <w:r w:rsidR="00FA66AA" w:rsidRPr="0051003F">
        <w:rPr>
          <w:lang w:val="pl-PL"/>
        </w:rPr>
        <w:t>. Takie wrażenie potwierdza się w niniejszej sprawie, jak wykazano poniżej. Ponadto w wyroku nie ma żadnych przesłanek świadczących o tym, że w postępowaniu podatkowym istnieje podobny mechanizm kompensowania, zgodnie z którym wcześniejsze sankcje karne musiałyby być brane pod uwagę przy ustalaniu kar podatkowych.</w:t>
      </w:r>
    </w:p>
    <w:p w:rsidR="00FA66AA" w:rsidRPr="0051003F" w:rsidRDefault="001C1232" w:rsidP="00FA66AA">
      <w:pPr>
        <w:ind w:firstLine="284"/>
        <w:rPr>
          <w:lang w:val="pl-PL"/>
        </w:rPr>
      </w:pPr>
      <w:r w:rsidRPr="0051003F">
        <w:rPr>
          <w:lang w:val="pl-PL"/>
        </w:rPr>
        <w:t>74.  </w:t>
      </w:r>
      <w:r w:rsidR="00FA66AA" w:rsidRPr="0051003F">
        <w:rPr>
          <w:lang w:val="pl-PL"/>
        </w:rPr>
        <w:t xml:space="preserve">Rząd stwierdził, że </w:t>
      </w:r>
      <w:r w:rsidR="000000CD" w:rsidRPr="0051003F">
        <w:rPr>
          <w:lang w:val="pl-PL"/>
        </w:rPr>
        <w:t>„</w:t>
      </w:r>
      <w:r w:rsidR="00FA66AA" w:rsidRPr="0051003F">
        <w:rPr>
          <w:lang w:val="pl-PL"/>
        </w:rPr>
        <w:t xml:space="preserve">nałożone dopłaty podatkowe będą brane pod uwagę przy dokonywaniu przez sądy oceny, co jest sprawiedliwą i odpowiednią sankcją dla </w:t>
      </w:r>
      <w:r w:rsidR="00B81E21">
        <w:rPr>
          <w:lang w:val="pl-PL"/>
        </w:rPr>
        <w:t>firmy</w:t>
      </w:r>
      <w:r w:rsidR="00FA66AA" w:rsidRPr="0051003F">
        <w:rPr>
          <w:lang w:val="pl-PL"/>
        </w:rPr>
        <w:t>, zob. art. 28 litra g kodeksu karnego z 2005 r</w:t>
      </w:r>
      <w:r w:rsidR="00B81E21">
        <w:rPr>
          <w:lang w:val="pl-PL"/>
        </w:rPr>
        <w:t>oku</w:t>
      </w:r>
      <w:r w:rsidR="00FA66AA" w:rsidRPr="0051003F">
        <w:rPr>
          <w:lang w:val="pl-PL"/>
        </w:rPr>
        <w:t>”. W przypadku skazania osoby fizycznej, sądy wezmą pod uwagę wszelkie obowiązki uiszczenia dopłat podatkowych, które zostały nałożone zgodnie z art. 27 Kodeksu karnego z 1902 r</w:t>
      </w:r>
      <w:r w:rsidR="00B81E21">
        <w:rPr>
          <w:lang w:val="pl-PL"/>
        </w:rPr>
        <w:t>oku</w:t>
      </w:r>
      <w:r w:rsidR="00FA66AA" w:rsidRPr="0051003F">
        <w:rPr>
          <w:lang w:val="pl-PL"/>
        </w:rPr>
        <w:t xml:space="preserve">, </w:t>
      </w:r>
      <w:r w:rsidR="00B81E21">
        <w:rPr>
          <w:lang w:val="pl-PL"/>
        </w:rPr>
        <w:t>recypowanym</w:t>
      </w:r>
      <w:r w:rsidR="00B81E21" w:rsidRPr="0051003F">
        <w:rPr>
          <w:lang w:val="pl-PL"/>
        </w:rPr>
        <w:t xml:space="preserve"> </w:t>
      </w:r>
      <w:r w:rsidR="00FA66AA" w:rsidRPr="0051003F">
        <w:rPr>
          <w:lang w:val="pl-PL"/>
        </w:rPr>
        <w:t xml:space="preserve">do art. 53 </w:t>
      </w:r>
      <w:r w:rsidR="00FA66AA" w:rsidRPr="0051003F">
        <w:rPr>
          <w:lang w:val="pl-PL"/>
        </w:rPr>
        <w:lastRenderedPageBreak/>
        <w:t>Kodeksu karnego z 2005 r</w:t>
      </w:r>
      <w:r w:rsidR="00B81E21">
        <w:rPr>
          <w:lang w:val="pl-PL"/>
        </w:rPr>
        <w:t>oku</w:t>
      </w:r>
      <w:r w:rsidRPr="0051003F">
        <w:rPr>
          <w:lang w:val="pl-PL"/>
        </w:rPr>
        <w:t>”</w:t>
      </w:r>
      <w:r w:rsidRPr="0051003F">
        <w:rPr>
          <w:vertAlign w:val="superscript"/>
          <w:lang w:val="pl-PL"/>
        </w:rPr>
        <w:footnoteReference w:id="171"/>
      </w:r>
      <w:r w:rsidRPr="0051003F">
        <w:rPr>
          <w:lang w:val="pl-PL"/>
        </w:rPr>
        <w:t xml:space="preserve"> </w:t>
      </w:r>
      <w:r w:rsidR="00B81E21">
        <w:rPr>
          <w:lang w:val="pl-PL"/>
        </w:rPr>
        <w:t>Art.</w:t>
      </w:r>
      <w:r w:rsidR="00B81E21" w:rsidRPr="0051003F">
        <w:rPr>
          <w:lang w:val="pl-PL"/>
        </w:rPr>
        <w:t xml:space="preserve"> </w:t>
      </w:r>
      <w:r w:rsidR="00FA66AA" w:rsidRPr="0051003F">
        <w:rPr>
          <w:lang w:val="pl-PL"/>
        </w:rPr>
        <w:t>27 przewiduje następująco: „Kiedy nakładana jest grzywna, należy zwrócić należytą uwagę nie tylko na charakter przestępstwa, ale także w szczególności na sytuację materialną osoby skazanej oraz na to, na co przypuszczalnie może ona sobie pozwolić w jej okolicznościach.” Nie wspomina się o karach nakładanych równolegle lub we wcześniejszych postępowaniach dotyczących tych samych faktów, a tym bardziej karach podatkowych. Nie wspomina się ani o ograniczeniach kombinacji kar, takich jak na przykład wymóg, aby całkowita kwota nałożonych kar nie przekraczała najwyższej kwoty, jaka mogłaby zostać nałożona w odniesieniu do każdego z tych rodzajów kar. W rzeczywistości nie wspomina się nawet o uwzględnianiu wcześniejszych kar w przypadku skazania na karę pozbawienia wolności.</w:t>
      </w:r>
    </w:p>
    <w:p w:rsidR="001C1232" w:rsidRPr="0051003F" w:rsidRDefault="00FA66AA" w:rsidP="00FA66AA">
      <w:pPr>
        <w:ind w:firstLine="284"/>
        <w:rPr>
          <w:lang w:val="pl-PL"/>
        </w:rPr>
      </w:pPr>
      <w:r w:rsidRPr="0051003F">
        <w:rPr>
          <w:lang w:val="pl-PL"/>
        </w:rPr>
        <w:t>Mówiąc wprost, prawo norweskie nie przewiduje mechanizmu kompensacyjnego, lecz ogólne, niezróżnicowane wskazanie przekazane przez ustawodawcę sędziemu, że przy wymierzaniu kary grzywny należy uwzględnić sytuację materialną skazanego. Ni mniej, ni więcej</w:t>
      </w:r>
      <w:r w:rsidR="001C1232" w:rsidRPr="0051003F">
        <w:rPr>
          <w:lang w:val="pl-PL"/>
        </w:rPr>
        <w:t>.</w:t>
      </w:r>
    </w:p>
    <w:p w:rsidR="00FA66AA" w:rsidRPr="0051003F" w:rsidRDefault="001C1232" w:rsidP="00FA66AA">
      <w:pPr>
        <w:ind w:firstLine="284"/>
        <w:rPr>
          <w:lang w:val="pl-PL"/>
        </w:rPr>
      </w:pPr>
      <w:r w:rsidRPr="0051003F">
        <w:rPr>
          <w:lang w:val="pl-PL"/>
        </w:rPr>
        <w:t>75.  </w:t>
      </w:r>
      <w:r w:rsidR="00FA66AA" w:rsidRPr="0051003F">
        <w:rPr>
          <w:lang w:val="pl-PL"/>
        </w:rPr>
        <w:t xml:space="preserve">Orzecznictwo Sądu Najwyższego oparte na wyżej wymienionych przepisach kodeksu karnego, tak jak zostało udostępnione sędziom Wielkiej Izby, może być twórcze, ale z pewnością nie jest przewidywalne. Jest tak szerokie, że nawet najbardziej doświadczony prawnik nie może przewidzieć, czy i w jaki sposób kary podatkowe będą brane pod uwagę przy nakładaniu kar pieniężnych. Ponadto jego oddziaływanie jest bardzo ograniczone pod względem praktycznym. Ponieważ orzecznictwo Sądu Najwyższego nie pozwala na jakiekolwiek </w:t>
      </w:r>
      <w:r w:rsidR="00236AA2" w:rsidRPr="0051003F">
        <w:rPr>
          <w:lang w:val="pl-PL"/>
        </w:rPr>
        <w:t>kompensacje</w:t>
      </w:r>
      <w:r w:rsidR="00FA66AA" w:rsidRPr="0051003F">
        <w:rPr>
          <w:lang w:val="pl-PL"/>
        </w:rPr>
        <w:t xml:space="preserve"> w sprawach dotyczących pozbawienia wolności, ogranicza domniemany wpływ skutku wyrównawczego do przypadków mniejszej wagi, ale zaprzecza mu w najpoważniejszych przypadkach.</w:t>
      </w:r>
    </w:p>
    <w:p w:rsidR="005C3FF2" w:rsidRPr="0051003F" w:rsidRDefault="005C3FF2" w:rsidP="00FA66AA">
      <w:pPr>
        <w:ind w:firstLine="284"/>
        <w:rPr>
          <w:lang w:val="pl-PL"/>
        </w:rPr>
      </w:pPr>
      <w:r w:rsidRPr="0051003F">
        <w:rPr>
          <w:lang w:val="pl-PL"/>
        </w:rPr>
        <w:t xml:space="preserve">Mając na uwadze słabości krajowych </w:t>
      </w:r>
      <w:r w:rsidR="00EE2DBF">
        <w:rPr>
          <w:lang w:val="pl-PL"/>
        </w:rPr>
        <w:t>uregulowań</w:t>
      </w:r>
      <w:r w:rsidR="00EE2DBF" w:rsidRPr="0051003F">
        <w:rPr>
          <w:lang w:val="pl-PL"/>
        </w:rPr>
        <w:t xml:space="preserve"> </w:t>
      </w:r>
      <w:r w:rsidRPr="0051003F">
        <w:rPr>
          <w:lang w:val="pl-PL"/>
        </w:rPr>
        <w:t xml:space="preserve">prawnych, norwescy sędziowie poczynili godne pochwały wysiłki w celu wypełnienia luki prawnej i wprowadzenia pewnej proporcji do arbitralnego, nadmiernego i niesprawiedliwego systemu: arbitralnego wyboru jednej lub podwójnej kary, nadmiernej w stosowanych karach i niesprawiedliwej pod względem proceduralnym w sposobie traktowania oskarżonych. Ale </w:t>
      </w:r>
      <w:proofErr w:type="spellStart"/>
      <w:r w:rsidRPr="0051003F">
        <w:rPr>
          <w:i/>
          <w:lang w:val="pl-PL"/>
        </w:rPr>
        <w:t>ne</w:t>
      </w:r>
      <w:proofErr w:type="spellEnd"/>
      <w:r w:rsidRPr="0051003F">
        <w:rPr>
          <w:i/>
          <w:lang w:val="pl-PL"/>
        </w:rPr>
        <w:t xml:space="preserve"> bis in </w:t>
      </w:r>
      <w:proofErr w:type="spellStart"/>
      <w:r w:rsidRPr="0051003F">
        <w:rPr>
          <w:i/>
          <w:lang w:val="pl-PL"/>
        </w:rPr>
        <w:t>idem</w:t>
      </w:r>
      <w:proofErr w:type="spellEnd"/>
      <w:r w:rsidRPr="0051003F">
        <w:rPr>
          <w:i/>
          <w:lang w:val="pl-PL"/>
        </w:rPr>
        <w:t xml:space="preserve"> </w:t>
      </w:r>
      <w:r w:rsidR="00EE2DBF">
        <w:rPr>
          <w:lang w:val="pl-PL"/>
        </w:rPr>
        <w:t>,,</w:t>
      </w:r>
      <w:r w:rsidRPr="0051003F">
        <w:rPr>
          <w:lang w:val="pl-PL"/>
        </w:rPr>
        <w:t>nie jest regułą proceduralną, która działa jako środek łagodzący zasadę proporcjonalności w przypadku dwukrotnego procesu i dwukrotnego ukarania osoby za to samo zachowanie, lecz jest pod</w:t>
      </w:r>
      <w:r w:rsidR="00FA66AA" w:rsidRPr="0051003F">
        <w:rPr>
          <w:lang w:val="pl-PL"/>
        </w:rPr>
        <w:t>stawową gwarancją przysługującą obywatelom</w:t>
      </w:r>
      <w:r w:rsidR="00E60972">
        <w:rPr>
          <w:rStyle w:val="Odwoanieprzypisudolnego"/>
          <w:lang w:val="pl-PL"/>
        </w:rPr>
        <w:footnoteReference w:id="172"/>
      </w:r>
      <w:r w:rsidRPr="0051003F">
        <w:rPr>
          <w:lang w:val="pl-PL"/>
        </w:rPr>
        <w:t>”.</w:t>
      </w:r>
    </w:p>
    <w:p w:rsidR="001C1232" w:rsidRPr="0051003F" w:rsidRDefault="001C1232" w:rsidP="005C3FF2">
      <w:pPr>
        <w:ind w:firstLine="284"/>
        <w:rPr>
          <w:lang w:val="pl-PL"/>
        </w:rPr>
      </w:pPr>
      <w:r w:rsidRPr="0051003F">
        <w:rPr>
          <w:lang w:val="pl-PL"/>
        </w:rPr>
        <w:lastRenderedPageBreak/>
        <w:t>76.  </w:t>
      </w:r>
      <w:r w:rsidR="005C3FF2" w:rsidRPr="0051003F">
        <w:rPr>
          <w:lang w:val="pl-PL"/>
        </w:rPr>
        <w:t xml:space="preserve">Podobnie jak rząd, większość jest uwiedziona </w:t>
      </w:r>
      <w:r w:rsidR="00EE2DBF">
        <w:rPr>
          <w:lang w:val="pl-PL"/>
        </w:rPr>
        <w:t>,,</w:t>
      </w:r>
      <w:r w:rsidR="005C3FF2" w:rsidRPr="0051003F">
        <w:rPr>
          <w:lang w:val="pl-PL"/>
        </w:rPr>
        <w:t>interesami efektywnościowymi", opartymi na podejściu ukierunkowanym na efektywność</w:t>
      </w:r>
      <w:r w:rsidRPr="0051003F">
        <w:rPr>
          <w:vertAlign w:val="superscript"/>
          <w:lang w:val="pl-PL"/>
        </w:rPr>
        <w:footnoteReference w:id="173"/>
      </w:r>
      <w:r w:rsidRPr="0051003F">
        <w:rPr>
          <w:lang w:val="pl-PL"/>
        </w:rPr>
        <w:t xml:space="preserve">, </w:t>
      </w:r>
      <w:r w:rsidR="005C3FF2" w:rsidRPr="0051003F">
        <w:rPr>
          <w:lang w:val="pl-PL"/>
        </w:rPr>
        <w:t xml:space="preserve">zgodnie z którym racjonalne uzasadnienie zasady </w:t>
      </w:r>
      <w:proofErr w:type="spellStart"/>
      <w:r w:rsidR="005C3FF2" w:rsidRPr="00486852">
        <w:rPr>
          <w:i/>
          <w:lang w:val="pl-PL"/>
        </w:rPr>
        <w:t>ne</w:t>
      </w:r>
      <w:proofErr w:type="spellEnd"/>
      <w:r w:rsidR="005C3FF2" w:rsidRPr="00486852">
        <w:rPr>
          <w:i/>
          <w:lang w:val="pl-PL"/>
        </w:rPr>
        <w:t xml:space="preserve"> bis in </w:t>
      </w:r>
      <w:proofErr w:type="spellStart"/>
      <w:r w:rsidR="005C3FF2" w:rsidRPr="00486852">
        <w:rPr>
          <w:i/>
          <w:lang w:val="pl-PL"/>
        </w:rPr>
        <w:t>idem</w:t>
      </w:r>
      <w:proofErr w:type="spellEnd"/>
      <w:r w:rsidR="005C3FF2" w:rsidRPr="0051003F">
        <w:rPr>
          <w:lang w:val="pl-PL"/>
        </w:rPr>
        <w:t xml:space="preserve"> stosuje się </w:t>
      </w:r>
      <w:r w:rsidR="00AC3310">
        <w:rPr>
          <w:lang w:val="pl-PL"/>
        </w:rPr>
        <w:t>,,</w:t>
      </w:r>
      <w:r w:rsidR="005C3FF2" w:rsidRPr="0051003F">
        <w:rPr>
          <w:lang w:val="pl-PL"/>
        </w:rPr>
        <w:t xml:space="preserve">w mniejszym stopniu do sankcji wykraczających poza twardy </w:t>
      </w:r>
      <w:r w:rsidR="00AC3310">
        <w:rPr>
          <w:lang w:val="pl-PL"/>
        </w:rPr>
        <w:t>rdzeń</w:t>
      </w:r>
      <w:r w:rsidR="00AC3310" w:rsidRPr="0051003F">
        <w:rPr>
          <w:lang w:val="pl-PL"/>
        </w:rPr>
        <w:t xml:space="preserve"> </w:t>
      </w:r>
      <w:r w:rsidR="005C3FF2" w:rsidRPr="0051003F">
        <w:rPr>
          <w:lang w:val="pl-PL"/>
        </w:rPr>
        <w:t>prawa karnego, takich jak kary podatkowe</w:t>
      </w:r>
      <w:r w:rsidRPr="0051003F">
        <w:rPr>
          <w:lang w:val="pl-PL"/>
        </w:rPr>
        <w:t>”</w:t>
      </w:r>
      <w:r w:rsidRPr="0051003F">
        <w:rPr>
          <w:vertAlign w:val="superscript"/>
          <w:lang w:val="pl-PL"/>
        </w:rPr>
        <w:footnoteReference w:id="174"/>
      </w:r>
      <w:r w:rsidRPr="0051003F">
        <w:rPr>
          <w:lang w:val="pl-PL"/>
        </w:rPr>
        <w:t xml:space="preserve">. </w:t>
      </w:r>
      <w:r w:rsidR="005C3FF2" w:rsidRPr="0051003F">
        <w:rPr>
          <w:lang w:val="pl-PL"/>
        </w:rPr>
        <w:t xml:space="preserve">Pomijają one fakt, że </w:t>
      </w:r>
      <w:r w:rsidR="00AC3310">
        <w:rPr>
          <w:lang w:val="pl-PL"/>
        </w:rPr>
        <w:t>nieusuwalne</w:t>
      </w:r>
      <w:r w:rsidR="00AC3310" w:rsidRPr="0051003F">
        <w:rPr>
          <w:lang w:val="pl-PL"/>
        </w:rPr>
        <w:t xml:space="preserve"> </w:t>
      </w:r>
      <w:r w:rsidR="005C3FF2" w:rsidRPr="0051003F">
        <w:rPr>
          <w:lang w:val="pl-PL"/>
        </w:rPr>
        <w:t xml:space="preserve">prawa konwencyjne, takie jak </w:t>
      </w:r>
      <w:proofErr w:type="spellStart"/>
      <w:r w:rsidR="005C3FF2" w:rsidRPr="0051003F">
        <w:rPr>
          <w:i/>
          <w:lang w:val="pl-PL"/>
        </w:rPr>
        <w:t>ne</w:t>
      </w:r>
      <w:proofErr w:type="spellEnd"/>
      <w:r w:rsidR="005C3FF2" w:rsidRPr="0051003F">
        <w:rPr>
          <w:i/>
          <w:lang w:val="pl-PL"/>
        </w:rPr>
        <w:t xml:space="preserve"> bis in </w:t>
      </w:r>
      <w:proofErr w:type="spellStart"/>
      <w:r w:rsidR="005C3FF2" w:rsidRPr="0051003F">
        <w:rPr>
          <w:i/>
          <w:lang w:val="pl-PL"/>
        </w:rPr>
        <w:t>idem</w:t>
      </w:r>
      <w:proofErr w:type="spellEnd"/>
      <w:r w:rsidR="005C3FF2" w:rsidRPr="0051003F">
        <w:rPr>
          <w:lang w:val="pl-PL"/>
        </w:rPr>
        <w:t xml:space="preserve">, nie może znacznie różnić się w zależności od dziedziny prawa. W art. 4 ust. 3 Protokołu </w:t>
      </w:r>
      <w:r w:rsidR="00AC3310">
        <w:rPr>
          <w:lang w:val="pl-PL"/>
        </w:rPr>
        <w:t>n</w:t>
      </w:r>
      <w:r w:rsidR="005C3FF2" w:rsidRPr="0051003F">
        <w:rPr>
          <w:lang w:val="pl-PL"/>
        </w:rPr>
        <w:t>r 7 nie ma możliwości przyjęcia takiego podejścia.</w:t>
      </w:r>
    </w:p>
    <w:p w:rsidR="003B047A" w:rsidRPr="0051003F" w:rsidRDefault="001C1232" w:rsidP="00334BBF">
      <w:pPr>
        <w:ind w:firstLine="284"/>
        <w:rPr>
          <w:lang w:val="pl-PL"/>
        </w:rPr>
      </w:pPr>
      <w:r w:rsidRPr="0051003F">
        <w:rPr>
          <w:lang w:val="pl-PL"/>
        </w:rPr>
        <w:t>77.  </w:t>
      </w:r>
      <w:r w:rsidR="00334BBF" w:rsidRPr="0051003F">
        <w:rPr>
          <w:lang w:val="pl-PL"/>
        </w:rPr>
        <w:t xml:space="preserve">Wreszcie, co najważniejsze, w rozpatrywanym przypadku, kary podatkowe zostały uwzględnione przez sąd krajowy w następujący sposób w odniesieniu do pierwszego ze skarżących: „Na </w:t>
      </w:r>
      <w:r w:rsidR="00AC3310">
        <w:rPr>
          <w:lang w:val="pl-PL"/>
        </w:rPr>
        <w:t>oskarżonego</w:t>
      </w:r>
      <w:r w:rsidR="00AC3310" w:rsidRPr="0051003F">
        <w:rPr>
          <w:lang w:val="pl-PL"/>
        </w:rPr>
        <w:t xml:space="preserve"> </w:t>
      </w:r>
      <w:r w:rsidR="00334BBF" w:rsidRPr="0051003F">
        <w:rPr>
          <w:lang w:val="pl-PL"/>
        </w:rPr>
        <w:t>nałożono już znaczną sankcję, wydając decyzję w sprawie dopłaty podatkowej Większa część podatku została już zapłacona</w:t>
      </w:r>
      <w:r w:rsidR="005F3BD8">
        <w:rPr>
          <w:lang w:val="pl-PL"/>
        </w:rPr>
        <w:t>”</w:t>
      </w:r>
      <w:r w:rsidR="00334BBF" w:rsidRPr="0051003F">
        <w:rPr>
          <w:lang w:val="pl-PL"/>
        </w:rPr>
        <w:t xml:space="preserve"> Uwzględnienie kary podatkowej w przypadku drugiego skarżącego jest jeszcze bardziej zwięzłe:</w:t>
      </w:r>
      <w:r w:rsidR="00DD74F9">
        <w:rPr>
          <w:lang w:val="pl-PL"/>
        </w:rPr>
        <w:t xml:space="preserve"> ,,</w:t>
      </w:r>
      <w:r w:rsidR="00334BBF" w:rsidRPr="0051003F">
        <w:rPr>
          <w:lang w:val="pl-PL"/>
        </w:rPr>
        <w:t>Należy wziąć pod uwagę fakt, że na pozwanego nałożono dopłatę podatkową w wysokości 30%</w:t>
      </w:r>
      <w:r w:rsidRPr="0051003F">
        <w:rPr>
          <w:lang w:val="pl-PL"/>
        </w:rPr>
        <w:t>”</w:t>
      </w:r>
      <w:r w:rsidRPr="0051003F">
        <w:rPr>
          <w:vertAlign w:val="superscript"/>
          <w:lang w:val="pl-PL"/>
        </w:rPr>
        <w:footnoteReference w:id="175"/>
      </w:r>
      <w:r w:rsidRPr="0051003F">
        <w:rPr>
          <w:lang w:val="pl-PL"/>
        </w:rPr>
        <w:t xml:space="preserve">. </w:t>
      </w:r>
      <w:r w:rsidR="00334BBF" w:rsidRPr="0051003F">
        <w:rPr>
          <w:lang w:val="pl-PL"/>
        </w:rPr>
        <w:t>W żadnej ze spraw</w:t>
      </w:r>
      <w:r w:rsidR="005C3FF2" w:rsidRPr="0051003F">
        <w:rPr>
          <w:lang w:val="pl-PL"/>
        </w:rPr>
        <w:t>,</w:t>
      </w:r>
      <w:r w:rsidR="00334BBF" w:rsidRPr="0051003F">
        <w:rPr>
          <w:lang w:val="pl-PL"/>
        </w:rPr>
        <w:t xml:space="preserve"> </w:t>
      </w:r>
      <w:r w:rsidR="003B047A" w:rsidRPr="0051003F">
        <w:rPr>
          <w:lang w:val="pl-PL"/>
        </w:rPr>
        <w:t xml:space="preserve">sądy krajowe nie </w:t>
      </w:r>
      <w:r w:rsidR="00334BBF" w:rsidRPr="0051003F">
        <w:rPr>
          <w:lang w:val="pl-PL"/>
        </w:rPr>
        <w:t>wyjaśniły</w:t>
      </w:r>
      <w:r w:rsidR="003B047A" w:rsidRPr="0051003F">
        <w:rPr>
          <w:lang w:val="pl-PL"/>
        </w:rPr>
        <w:t xml:space="preserve"> wpływu wcześniejszych kar podatkowych na sankcje karne. Kosmetyczne odniesienie do wcześniej nałożonych kar podatkowych może uspokajać mniej wymagające sumienia, ale z pewnością nie jest to na pewno przewidywalne i możliwe do zweryfikowania </w:t>
      </w:r>
      <w:r w:rsidR="00334BBF" w:rsidRPr="0051003F">
        <w:rPr>
          <w:lang w:val="pl-PL"/>
        </w:rPr>
        <w:t xml:space="preserve">prawnie. </w:t>
      </w:r>
      <w:r w:rsidR="003B047A" w:rsidRPr="0051003F">
        <w:rPr>
          <w:lang w:val="pl-PL"/>
        </w:rPr>
        <w:t>W tym kontekście warunki, stopień i ograniczenia wpływu sankcji podatkowych na sankcje karne mogą być jedynie przedmiotem czystej spekulacji, pozostającej w sferze nieznanego, wewnętrznego przekonania sędziów, niedostępnego dla oskarżonych.</w:t>
      </w:r>
    </w:p>
    <w:p w:rsidR="00507696" w:rsidRPr="0051003F" w:rsidRDefault="001C1232" w:rsidP="00A7252F">
      <w:pPr>
        <w:keepNext/>
        <w:keepLines/>
        <w:spacing w:before="360" w:after="240"/>
        <w:ind w:left="357" w:hanging="357"/>
        <w:outlineLvl w:val="1"/>
        <w:rPr>
          <w:rFonts w:asciiTheme="majorHAnsi" w:eastAsiaTheme="majorEastAsia" w:hAnsiTheme="majorHAnsi" w:cstheme="majorBidi"/>
          <w:b/>
          <w:bCs/>
          <w:szCs w:val="28"/>
          <w:lang w:val="pl-PL" w:eastAsia="fr-FR"/>
        </w:rPr>
      </w:pPr>
      <w:bookmarkStart w:id="264" w:name="_Toc473801948"/>
      <w:bookmarkStart w:id="265" w:name="_Toc473802201"/>
      <w:r w:rsidRPr="0051003F">
        <w:rPr>
          <w:rFonts w:asciiTheme="majorHAnsi" w:eastAsiaTheme="majorEastAsia" w:hAnsiTheme="majorHAnsi" w:cstheme="majorBidi"/>
          <w:b/>
          <w:bCs/>
          <w:szCs w:val="28"/>
          <w:lang w:val="pl-PL" w:eastAsia="fr-FR"/>
        </w:rPr>
        <w:t>VI – </w:t>
      </w:r>
      <w:r w:rsidR="00334BBF" w:rsidRPr="0051003F">
        <w:rPr>
          <w:rFonts w:asciiTheme="majorHAnsi" w:eastAsiaTheme="majorEastAsia" w:hAnsiTheme="majorHAnsi" w:cstheme="majorBidi"/>
          <w:b/>
          <w:bCs/>
          <w:szCs w:val="28"/>
          <w:lang w:val="pl-PL" w:eastAsia="fr-FR"/>
        </w:rPr>
        <w:t>Konkluzja</w:t>
      </w:r>
      <w:r w:rsidR="009C5970" w:rsidRPr="0051003F">
        <w:rPr>
          <w:rFonts w:asciiTheme="majorHAnsi" w:eastAsiaTheme="majorEastAsia" w:hAnsiTheme="majorHAnsi" w:cstheme="majorBidi"/>
          <w:b/>
          <w:bCs/>
          <w:szCs w:val="28"/>
          <w:lang w:val="pl-PL" w:eastAsia="fr-FR"/>
        </w:rPr>
        <w:t xml:space="preserve"> (§§ 78</w:t>
      </w:r>
      <w:r w:rsidR="009C5970" w:rsidRPr="0051003F">
        <w:rPr>
          <w:rFonts w:asciiTheme="majorHAnsi" w:eastAsiaTheme="majorEastAsia" w:hAnsiTheme="majorHAnsi" w:cstheme="majorBidi"/>
          <w:b/>
          <w:bCs/>
          <w:szCs w:val="28"/>
          <w:lang w:val="pl-PL" w:eastAsia="fr-FR"/>
        </w:rPr>
        <w:noBreakHyphen/>
        <w:t>80)</w:t>
      </w:r>
      <w:bookmarkEnd w:id="264"/>
      <w:bookmarkEnd w:id="265"/>
    </w:p>
    <w:p w:rsidR="00334BBF" w:rsidRPr="0051003F" w:rsidRDefault="001C1232" w:rsidP="00334BBF">
      <w:pPr>
        <w:ind w:firstLine="284"/>
        <w:rPr>
          <w:lang w:val="pl-PL"/>
        </w:rPr>
      </w:pPr>
      <w:r w:rsidRPr="0051003F">
        <w:rPr>
          <w:lang w:val="pl-PL"/>
        </w:rPr>
        <w:t>78.  </w:t>
      </w:r>
      <w:r w:rsidR="00334BBF" w:rsidRPr="0051003F">
        <w:rPr>
          <w:lang w:val="pl-PL"/>
        </w:rPr>
        <w:t xml:space="preserve">Mimo że sprawa </w:t>
      </w:r>
      <w:proofErr w:type="spellStart"/>
      <w:r w:rsidR="00334BBF" w:rsidRPr="0051003F">
        <w:rPr>
          <w:i/>
          <w:lang w:val="pl-PL"/>
        </w:rPr>
        <w:t>Öztürk</w:t>
      </w:r>
      <w:proofErr w:type="spellEnd"/>
      <w:r w:rsidR="00334BBF" w:rsidRPr="0051003F">
        <w:rPr>
          <w:lang w:val="pl-PL"/>
        </w:rPr>
        <w:t xml:space="preserve"> była </w:t>
      </w:r>
      <w:r w:rsidR="009973CE" w:rsidRPr="0051003F">
        <w:rPr>
          <w:lang w:val="pl-PL"/>
        </w:rPr>
        <w:t>zorientowan</w:t>
      </w:r>
      <w:r w:rsidR="009973CE">
        <w:rPr>
          <w:lang w:val="pl-PL"/>
        </w:rPr>
        <w:t xml:space="preserve">a </w:t>
      </w:r>
      <w:r w:rsidR="00334BBF" w:rsidRPr="0051003F">
        <w:rPr>
          <w:lang w:val="pl-PL"/>
        </w:rPr>
        <w:t xml:space="preserve">na prawa człowieka, nie zapewniła jasnych ram koncepcyjnych dla określenia granicy podziału między przestępstwami administracyjnymi a karnymi. Ze względu na pewne niepewności w </w:t>
      </w:r>
      <w:r w:rsidR="00C27EA5" w:rsidRPr="0051003F">
        <w:rPr>
          <w:lang w:val="pl-PL"/>
        </w:rPr>
        <w:t>linii</w:t>
      </w:r>
      <w:r w:rsidR="00334BBF" w:rsidRPr="0051003F">
        <w:rPr>
          <w:lang w:val="pl-PL"/>
        </w:rPr>
        <w:t xml:space="preserve"> orzeczniczej, </w:t>
      </w:r>
      <w:proofErr w:type="spellStart"/>
      <w:r w:rsidR="00334BBF" w:rsidRPr="0051003F">
        <w:rPr>
          <w:i/>
          <w:lang w:val="pl-PL"/>
        </w:rPr>
        <w:t>Jussila</w:t>
      </w:r>
      <w:proofErr w:type="spellEnd"/>
      <w:r w:rsidR="00334BBF" w:rsidRPr="0051003F">
        <w:rPr>
          <w:lang w:val="pl-PL"/>
        </w:rPr>
        <w:t xml:space="preserve">, zaproponowała zawężające rozwiązanie, które miało na celu rozróżnienie najpoważniejszych spraw karnych, w których występuje znaczny stopień </w:t>
      </w:r>
      <w:r w:rsidR="009973CE">
        <w:rPr>
          <w:lang w:val="pl-PL"/>
        </w:rPr>
        <w:t>szkodliwości</w:t>
      </w:r>
      <w:r w:rsidR="00334BBF" w:rsidRPr="0051003F">
        <w:rPr>
          <w:lang w:val="pl-PL"/>
        </w:rPr>
        <w:t xml:space="preserve">, od tych, w których nie występuje </w:t>
      </w:r>
      <w:r w:rsidR="009973CE">
        <w:rPr>
          <w:lang w:val="pl-PL"/>
        </w:rPr>
        <w:t>szkodliwość</w:t>
      </w:r>
      <w:r w:rsidR="00334BBF" w:rsidRPr="0051003F">
        <w:rPr>
          <w:lang w:val="pl-PL"/>
        </w:rPr>
        <w:t>, ograniczając tym samym możliwość stosowania gwarancji karnych w przypadku tej ostatniej grupy</w:t>
      </w:r>
      <w:r w:rsidRPr="0051003F">
        <w:rPr>
          <w:lang w:val="pl-PL"/>
        </w:rPr>
        <w:t xml:space="preserve">. </w:t>
      </w:r>
      <w:r w:rsidR="00334BBF" w:rsidRPr="0051003F">
        <w:rPr>
          <w:lang w:val="pl-PL"/>
        </w:rPr>
        <w:t xml:space="preserve">Późniejsze </w:t>
      </w:r>
      <w:r w:rsidR="00334BBF" w:rsidRPr="0051003F">
        <w:rPr>
          <w:lang w:val="pl-PL"/>
        </w:rPr>
        <w:lastRenderedPageBreak/>
        <w:t xml:space="preserve">orzecznictwo nie wyjaśniło ani materialnego kryterium znacznego stopnia stygmatyzacji, ani rozróżnienia między jednorazowymi oraz </w:t>
      </w:r>
      <w:r w:rsidR="00C27EA5" w:rsidRPr="0051003F">
        <w:rPr>
          <w:lang w:val="pl-PL"/>
        </w:rPr>
        <w:t>nie jednorazowymi</w:t>
      </w:r>
      <w:r w:rsidR="00334BBF" w:rsidRPr="0051003F">
        <w:rPr>
          <w:lang w:val="pl-PL"/>
        </w:rPr>
        <w:t xml:space="preserve"> gwarancjami proceduralnymi. </w:t>
      </w:r>
    </w:p>
    <w:p w:rsidR="001C1232" w:rsidRPr="0051003F" w:rsidRDefault="00334BBF" w:rsidP="005C3FF2">
      <w:pPr>
        <w:ind w:firstLine="284"/>
        <w:rPr>
          <w:lang w:val="pl-PL"/>
        </w:rPr>
      </w:pPr>
      <w:r w:rsidRPr="0051003F">
        <w:rPr>
          <w:lang w:val="pl-PL"/>
        </w:rPr>
        <w:t>79.</w:t>
      </w:r>
      <w:r w:rsidR="001C1232" w:rsidRPr="0051003F">
        <w:rPr>
          <w:b/>
          <w:lang w:val="pl-PL"/>
        </w:rPr>
        <w:t>  </w:t>
      </w:r>
      <w:r w:rsidR="005C3FF2" w:rsidRPr="0051003F">
        <w:rPr>
          <w:lang w:val="pl-PL"/>
        </w:rPr>
        <w:t xml:space="preserve">Podobnie jak </w:t>
      </w:r>
      <w:proofErr w:type="spellStart"/>
      <w:r w:rsidR="005C3FF2" w:rsidRPr="0051003F">
        <w:rPr>
          <w:i/>
          <w:lang w:val="pl-PL"/>
        </w:rPr>
        <w:t>Jussila</w:t>
      </w:r>
      <w:proofErr w:type="spellEnd"/>
      <w:r w:rsidR="005C3FF2" w:rsidRPr="0051003F">
        <w:rPr>
          <w:lang w:val="pl-PL"/>
        </w:rPr>
        <w:t xml:space="preserve"> określiła i ograniczyła wpływ </w:t>
      </w:r>
      <w:proofErr w:type="spellStart"/>
      <w:r w:rsidR="005C3FF2" w:rsidRPr="0051003F">
        <w:rPr>
          <w:i/>
          <w:lang w:val="pl-PL"/>
        </w:rPr>
        <w:t>Öztürk</w:t>
      </w:r>
      <w:proofErr w:type="spellEnd"/>
      <w:r w:rsidR="005C3FF2" w:rsidRPr="0051003F">
        <w:rPr>
          <w:lang w:val="pl-PL"/>
        </w:rPr>
        <w:t xml:space="preserve">, tak samo również </w:t>
      </w:r>
      <w:r w:rsidR="005C3FF2" w:rsidRPr="0051003F">
        <w:rPr>
          <w:i/>
          <w:lang w:val="pl-PL"/>
        </w:rPr>
        <w:t>A i B przeciwko</w:t>
      </w:r>
      <w:r w:rsidR="005C3FF2" w:rsidRPr="0051003F">
        <w:rPr>
          <w:lang w:val="pl-PL"/>
        </w:rPr>
        <w:t xml:space="preserve"> </w:t>
      </w:r>
      <w:r w:rsidR="005C3FF2" w:rsidRPr="0051003F">
        <w:rPr>
          <w:i/>
          <w:lang w:val="pl-PL"/>
        </w:rPr>
        <w:t>Norwegii</w:t>
      </w:r>
      <w:r w:rsidR="005C3FF2" w:rsidRPr="0051003F">
        <w:rPr>
          <w:lang w:val="pl-PL"/>
        </w:rPr>
        <w:t xml:space="preserve"> ogranicza wpływ </w:t>
      </w:r>
      <w:proofErr w:type="spellStart"/>
      <w:r w:rsidR="005C3FF2" w:rsidRPr="0051003F">
        <w:rPr>
          <w:i/>
          <w:lang w:val="pl-PL"/>
        </w:rPr>
        <w:t>Sergeya</w:t>
      </w:r>
      <w:proofErr w:type="spellEnd"/>
      <w:r w:rsidR="005C3FF2" w:rsidRPr="0051003F">
        <w:rPr>
          <w:i/>
          <w:lang w:val="pl-PL"/>
        </w:rPr>
        <w:t xml:space="preserve"> </w:t>
      </w:r>
      <w:proofErr w:type="spellStart"/>
      <w:r w:rsidR="005C3FF2" w:rsidRPr="0051003F">
        <w:rPr>
          <w:i/>
          <w:lang w:val="pl-PL"/>
        </w:rPr>
        <w:t>Zołotukhina</w:t>
      </w:r>
      <w:proofErr w:type="spellEnd"/>
      <w:r w:rsidR="005C3FF2" w:rsidRPr="0051003F">
        <w:rPr>
          <w:lang w:val="pl-PL"/>
        </w:rPr>
        <w:t xml:space="preserve">. Poprzednie stanowisko w sprawie </w:t>
      </w:r>
      <w:proofErr w:type="spellStart"/>
      <w:r w:rsidR="005C3FF2" w:rsidRPr="0051003F">
        <w:rPr>
          <w:i/>
          <w:lang w:val="pl-PL"/>
        </w:rPr>
        <w:t>idem</w:t>
      </w:r>
      <w:proofErr w:type="spellEnd"/>
      <w:r w:rsidR="005C3FF2" w:rsidRPr="0051003F">
        <w:rPr>
          <w:lang w:val="pl-PL"/>
        </w:rPr>
        <w:t xml:space="preserve"> </w:t>
      </w:r>
      <w:r w:rsidR="005C3FF2" w:rsidRPr="0051003F">
        <w:rPr>
          <w:i/>
          <w:lang w:val="pl-PL"/>
        </w:rPr>
        <w:t>factum</w:t>
      </w:r>
      <w:r w:rsidR="005C3FF2" w:rsidRPr="0051003F">
        <w:rPr>
          <w:lang w:val="pl-PL"/>
        </w:rPr>
        <w:t xml:space="preserve"> zostało znacznie ograniczone przez proponowany nowy kaftan bezpieczeństwa. Nieufna wobec oskarżonych większość zdecydowała się porzucić podstawową w europejskiej kulturze prawnej zasadę, zgodnie z którą ta sama osoba nie może być więcej niż jeden raz ścigana za te same czyny (zasada jedności represji lub </w:t>
      </w:r>
      <w:proofErr w:type="spellStart"/>
      <w:r w:rsidR="005C3FF2" w:rsidRPr="0051003F">
        <w:rPr>
          <w:i/>
          <w:lang w:val="pl-PL"/>
        </w:rPr>
        <w:t>Einmaligkeit</w:t>
      </w:r>
      <w:proofErr w:type="spellEnd"/>
      <w:r w:rsidR="005C3FF2" w:rsidRPr="0051003F">
        <w:rPr>
          <w:i/>
          <w:lang w:val="pl-PL"/>
        </w:rPr>
        <w:t xml:space="preserve"> der </w:t>
      </w:r>
      <w:proofErr w:type="spellStart"/>
      <w:r w:rsidR="005C3FF2" w:rsidRPr="0051003F">
        <w:rPr>
          <w:i/>
          <w:lang w:val="pl-PL"/>
        </w:rPr>
        <w:t>Strafverfolgung</w:t>
      </w:r>
      <w:proofErr w:type="spellEnd"/>
      <w:r w:rsidR="005C3FF2" w:rsidRPr="0051003F">
        <w:rPr>
          <w:lang w:val="pl-PL"/>
        </w:rPr>
        <w:t xml:space="preserve">). </w:t>
      </w:r>
      <w:r w:rsidR="005C3FF2" w:rsidRPr="0051003F">
        <w:rPr>
          <w:i/>
          <w:lang w:val="pl-PL"/>
        </w:rPr>
        <w:t>Ne</w:t>
      </w:r>
      <w:r w:rsidR="005C3FF2" w:rsidRPr="0051003F">
        <w:rPr>
          <w:lang w:val="pl-PL"/>
        </w:rPr>
        <w:t xml:space="preserve"> </w:t>
      </w:r>
      <w:r w:rsidR="005C3FF2" w:rsidRPr="0051003F">
        <w:rPr>
          <w:i/>
          <w:lang w:val="pl-PL"/>
        </w:rPr>
        <w:t xml:space="preserve">bis in </w:t>
      </w:r>
      <w:proofErr w:type="spellStart"/>
      <w:r w:rsidR="005C3FF2" w:rsidRPr="0051003F">
        <w:rPr>
          <w:i/>
          <w:lang w:val="pl-PL"/>
        </w:rPr>
        <w:t>idem</w:t>
      </w:r>
      <w:proofErr w:type="spellEnd"/>
      <w:r w:rsidR="005C3FF2" w:rsidRPr="0051003F">
        <w:rPr>
          <w:lang w:val="pl-PL"/>
        </w:rPr>
        <w:t xml:space="preserve"> traci swój </w:t>
      </w:r>
      <w:r w:rsidR="005C3FF2" w:rsidRPr="0051003F">
        <w:rPr>
          <w:i/>
          <w:lang w:val="pl-PL"/>
        </w:rPr>
        <w:t>pro persona</w:t>
      </w:r>
      <w:r w:rsidR="005C3FF2" w:rsidRPr="0051003F">
        <w:rPr>
          <w:lang w:val="pl-PL"/>
        </w:rPr>
        <w:t xml:space="preserve"> charakter, </w:t>
      </w:r>
      <w:r w:rsidR="00B67AF1">
        <w:rPr>
          <w:lang w:val="pl-PL"/>
        </w:rPr>
        <w:t>obalony</w:t>
      </w:r>
      <w:r w:rsidR="00B67AF1" w:rsidRPr="0051003F">
        <w:rPr>
          <w:lang w:val="pl-PL"/>
        </w:rPr>
        <w:t xml:space="preserve"> </w:t>
      </w:r>
      <w:r w:rsidR="005C3FF2" w:rsidRPr="0051003F">
        <w:rPr>
          <w:lang w:val="pl-PL"/>
        </w:rPr>
        <w:t xml:space="preserve">przez ścisłe stanowisko </w:t>
      </w:r>
      <w:r w:rsidR="005C3FF2" w:rsidRPr="0051003F">
        <w:rPr>
          <w:i/>
          <w:lang w:val="pl-PL"/>
        </w:rPr>
        <w:t xml:space="preserve">pro </w:t>
      </w:r>
      <w:proofErr w:type="spellStart"/>
      <w:r w:rsidR="005C3FF2" w:rsidRPr="0051003F">
        <w:rPr>
          <w:i/>
          <w:lang w:val="pl-PL"/>
        </w:rPr>
        <w:t>auctoritate</w:t>
      </w:r>
      <w:proofErr w:type="spellEnd"/>
      <w:r w:rsidR="005C3FF2" w:rsidRPr="0051003F">
        <w:rPr>
          <w:lang w:val="pl-PL"/>
        </w:rPr>
        <w:t xml:space="preserve"> Trybunału. Nie jest to już gwarancja indywidualna, lecz narzędzie pozwalające uniknąć </w:t>
      </w:r>
      <w:r w:rsidR="00B67AF1">
        <w:rPr>
          <w:lang w:val="pl-PL"/>
        </w:rPr>
        <w:t>,,</w:t>
      </w:r>
      <w:r w:rsidR="005C3FF2" w:rsidRPr="0051003F">
        <w:rPr>
          <w:lang w:val="pl-PL"/>
        </w:rPr>
        <w:t>manipulowania i bezkarności” oskarżonych.</w:t>
      </w:r>
      <w:r w:rsidR="001C1232" w:rsidRPr="0051003F">
        <w:rPr>
          <w:vertAlign w:val="superscript"/>
          <w:lang w:val="pl-PL"/>
        </w:rPr>
        <w:footnoteReference w:id="176"/>
      </w:r>
      <w:r w:rsidR="001C1232" w:rsidRPr="0051003F">
        <w:rPr>
          <w:lang w:val="pl-PL"/>
        </w:rPr>
        <w:t xml:space="preserve">. </w:t>
      </w:r>
      <w:r w:rsidR="004F298B" w:rsidRPr="0051003F">
        <w:rPr>
          <w:lang w:val="pl-PL"/>
        </w:rPr>
        <w:t xml:space="preserve">Po odwróceniu </w:t>
      </w:r>
      <w:r w:rsidR="00D000FE" w:rsidRPr="0051003F">
        <w:rPr>
          <w:lang w:val="pl-PL"/>
        </w:rPr>
        <w:t>zasady</w:t>
      </w:r>
      <w:r w:rsidR="004F298B" w:rsidRPr="0051003F">
        <w:rPr>
          <w:lang w:val="pl-PL"/>
        </w:rPr>
        <w:t xml:space="preserve"> </w:t>
      </w:r>
      <w:proofErr w:type="spellStart"/>
      <w:r w:rsidR="004F298B" w:rsidRPr="0051003F">
        <w:rPr>
          <w:i/>
          <w:lang w:val="pl-PL"/>
        </w:rPr>
        <w:t>ne</w:t>
      </w:r>
      <w:proofErr w:type="spellEnd"/>
      <w:r w:rsidR="004F298B" w:rsidRPr="0051003F">
        <w:rPr>
          <w:i/>
          <w:lang w:val="pl-PL"/>
        </w:rPr>
        <w:t xml:space="preserve"> bis in </w:t>
      </w:r>
      <w:proofErr w:type="spellStart"/>
      <w:r w:rsidR="004F298B" w:rsidRPr="0051003F">
        <w:rPr>
          <w:i/>
          <w:lang w:val="pl-PL"/>
        </w:rPr>
        <w:t>idem</w:t>
      </w:r>
      <w:proofErr w:type="spellEnd"/>
      <w:r w:rsidR="004F298B" w:rsidRPr="0051003F">
        <w:rPr>
          <w:lang w:val="pl-PL"/>
        </w:rPr>
        <w:t xml:space="preserve"> do góry nogami, niniejszy wyrok otwiera drogę do bezprecedensowej, przypominającej </w:t>
      </w:r>
      <w:r w:rsidR="004F298B" w:rsidRPr="009331E8">
        <w:rPr>
          <w:lang w:val="pl-PL"/>
        </w:rPr>
        <w:t>Lewiatan</w:t>
      </w:r>
      <w:r w:rsidR="00D000FE" w:rsidRPr="00AC5CE9">
        <w:rPr>
          <w:lang w:val="pl-PL"/>
        </w:rPr>
        <w:t>a</w:t>
      </w:r>
      <w:r w:rsidR="004F298B" w:rsidRPr="00AC5CE9">
        <w:rPr>
          <w:lang w:val="pl-PL"/>
        </w:rPr>
        <w:t>,</w:t>
      </w:r>
      <w:r w:rsidR="004F298B" w:rsidRPr="0051003F">
        <w:rPr>
          <w:lang w:val="pl-PL"/>
        </w:rPr>
        <w:t xml:space="preserve"> polityki karnej opartej na wielu postępowaniach prowadzonych przez państwo, strategicznie powiązanej i wprowadzonej w celu osiągnięcia maksymalnego możliwego skutku represyjnego. Polityka ta może zamienić się w niekończącą się, mściwą historię dwóch lub więcej postępowań prowadzonych stopniowo lub kolejno przeciwko temu samemu </w:t>
      </w:r>
      <w:r w:rsidR="00D000FE" w:rsidRPr="0051003F">
        <w:rPr>
          <w:lang w:val="pl-PL"/>
        </w:rPr>
        <w:t>oskarżonemu</w:t>
      </w:r>
      <w:r w:rsidR="004F298B" w:rsidRPr="0051003F">
        <w:rPr>
          <w:lang w:val="pl-PL"/>
        </w:rPr>
        <w:t xml:space="preserve"> w odniesieniu do tych samych faktów, z perspektywą, że zostanie </w:t>
      </w:r>
      <w:r w:rsidR="00D000FE" w:rsidRPr="0051003F">
        <w:rPr>
          <w:lang w:val="pl-PL"/>
        </w:rPr>
        <w:t xml:space="preserve">on </w:t>
      </w:r>
      <w:r w:rsidR="004F298B" w:rsidRPr="0051003F">
        <w:rPr>
          <w:lang w:val="pl-PL"/>
        </w:rPr>
        <w:t>nawet w sposób odwetowy ukarany za skorzystanie z przysługujących mu praw procesowych, a w szczególności z prawa do odwołania się.</w:t>
      </w:r>
    </w:p>
    <w:p w:rsidR="00507696" w:rsidRPr="0051003F" w:rsidRDefault="001C1232" w:rsidP="005C3FF2">
      <w:pPr>
        <w:ind w:firstLine="284"/>
        <w:rPr>
          <w:lang w:val="pl-PL"/>
        </w:rPr>
      </w:pPr>
      <w:r w:rsidRPr="0051003F">
        <w:rPr>
          <w:lang w:val="pl-PL"/>
        </w:rPr>
        <w:t>80.  </w:t>
      </w:r>
      <w:r w:rsidR="004F298B" w:rsidRPr="0051003F">
        <w:rPr>
          <w:lang w:val="pl-PL"/>
        </w:rPr>
        <w:t xml:space="preserve">Jedynym prawdziwym warunkiem podejścia większościowego ukierunkowanego na </w:t>
      </w:r>
      <w:r w:rsidR="00AC5CE9">
        <w:rPr>
          <w:lang w:val="pl-PL"/>
        </w:rPr>
        <w:t>,,</w:t>
      </w:r>
      <w:r w:rsidR="004F298B" w:rsidRPr="0051003F">
        <w:rPr>
          <w:lang w:val="pl-PL"/>
        </w:rPr>
        <w:t>efektywność"</w:t>
      </w:r>
      <w:r w:rsidRPr="0051003F">
        <w:rPr>
          <w:vertAlign w:val="superscript"/>
          <w:lang w:val="pl-PL"/>
        </w:rPr>
        <w:footnoteReference w:id="177"/>
      </w:r>
      <w:r w:rsidRPr="0051003F">
        <w:rPr>
          <w:lang w:val="pl-PL"/>
        </w:rPr>
        <w:t xml:space="preserve"> </w:t>
      </w:r>
      <w:r w:rsidR="00C27EA5" w:rsidRPr="0051003F">
        <w:rPr>
          <w:lang w:val="pl-PL"/>
        </w:rPr>
        <w:t>są symulacje</w:t>
      </w:r>
      <w:r w:rsidR="004F298B" w:rsidRPr="0051003F">
        <w:rPr>
          <w:lang w:val="pl-PL"/>
        </w:rPr>
        <w:t xml:space="preserve"> proporcjonalności, ograniczone do niejasnego wskazania, by wziąć pod uwagę poprzednie kary administracyjne nakładane w postępowaniu karnym, podejście bardzo odległe od znanych historycznych korzeni </w:t>
      </w:r>
      <w:proofErr w:type="spellStart"/>
      <w:r w:rsidR="004F298B" w:rsidRPr="0051003F">
        <w:rPr>
          <w:i/>
          <w:lang w:val="pl-PL"/>
        </w:rPr>
        <w:t>ne</w:t>
      </w:r>
      <w:proofErr w:type="spellEnd"/>
      <w:r w:rsidR="004F298B" w:rsidRPr="0051003F">
        <w:rPr>
          <w:i/>
          <w:lang w:val="pl-PL"/>
        </w:rPr>
        <w:t xml:space="preserve"> bis in </w:t>
      </w:r>
      <w:proofErr w:type="spellStart"/>
      <w:r w:rsidR="004F298B" w:rsidRPr="0051003F">
        <w:rPr>
          <w:i/>
          <w:lang w:val="pl-PL"/>
        </w:rPr>
        <w:t>idem</w:t>
      </w:r>
      <w:proofErr w:type="spellEnd"/>
      <w:r w:rsidR="004F298B" w:rsidRPr="0051003F">
        <w:rPr>
          <w:lang w:val="pl-PL"/>
        </w:rPr>
        <w:t xml:space="preserve"> i jego konsolidacji jako zasady zwyczaju w prawie międzynarodowym. Połączenie </w:t>
      </w:r>
      <w:r w:rsidR="00DC6BB9" w:rsidRPr="0051003F">
        <w:rPr>
          <w:lang w:val="pl-PL"/>
        </w:rPr>
        <w:t xml:space="preserve">sankcji karnych i sankcji administracyjnych o charakterze karnym zostało wyraźnie odrzucone przez Trybunał w wyroku w sprawie </w:t>
      </w:r>
      <w:r w:rsidR="00DC6BB9" w:rsidRPr="0051003F">
        <w:rPr>
          <w:i/>
          <w:lang w:val="pl-PL"/>
        </w:rPr>
        <w:t>Grande Stevens i In.</w:t>
      </w:r>
      <w:r w:rsidR="00DC6BB9" w:rsidRPr="0051003F">
        <w:rPr>
          <w:lang w:val="pl-PL"/>
        </w:rPr>
        <w:t xml:space="preserve"> oraz w wyroku Trybunału w Luksemburgu, w sprawie </w:t>
      </w:r>
      <w:r w:rsidR="00DC6BB9" w:rsidRPr="0051003F">
        <w:rPr>
          <w:i/>
          <w:lang w:val="pl-PL"/>
        </w:rPr>
        <w:t xml:space="preserve">Hans </w:t>
      </w:r>
      <w:proofErr w:type="spellStart"/>
      <w:r w:rsidR="00DC6BB9" w:rsidRPr="0051003F">
        <w:rPr>
          <w:i/>
          <w:lang w:val="pl-PL"/>
        </w:rPr>
        <w:t>Åkeberg</w:t>
      </w:r>
      <w:proofErr w:type="spellEnd"/>
      <w:r w:rsidR="00DC6BB9" w:rsidRPr="0051003F">
        <w:rPr>
          <w:i/>
          <w:lang w:val="pl-PL"/>
        </w:rPr>
        <w:t xml:space="preserve"> </w:t>
      </w:r>
      <w:proofErr w:type="spellStart"/>
      <w:r w:rsidR="00DC6BB9" w:rsidRPr="0051003F">
        <w:rPr>
          <w:i/>
          <w:lang w:val="pl-PL"/>
        </w:rPr>
        <w:t>Fransson</w:t>
      </w:r>
      <w:proofErr w:type="spellEnd"/>
      <w:r w:rsidR="00DC6BB9" w:rsidRPr="0051003F">
        <w:rPr>
          <w:lang w:val="pl-PL"/>
        </w:rPr>
        <w:t xml:space="preserve">. Po wydaniu aktu zgonu w sprawie włoskiej, takie podejście jest obecnie rekonstruowane jako </w:t>
      </w:r>
      <w:r w:rsidR="00CC4642">
        <w:rPr>
          <w:lang w:val="pl-PL"/>
        </w:rPr>
        <w:t>,,</w:t>
      </w:r>
      <w:r w:rsidR="00DC6BB9" w:rsidRPr="0051003F">
        <w:rPr>
          <w:lang w:val="pl-PL"/>
        </w:rPr>
        <w:t>wyskalowane podejście regulacyjne</w:t>
      </w:r>
      <w:r w:rsidRPr="0051003F">
        <w:rPr>
          <w:lang w:val="pl-PL"/>
        </w:rPr>
        <w:t>”</w:t>
      </w:r>
      <w:r w:rsidRPr="0051003F">
        <w:rPr>
          <w:vertAlign w:val="superscript"/>
          <w:lang w:val="pl-PL"/>
        </w:rPr>
        <w:footnoteReference w:id="178"/>
      </w:r>
      <w:r w:rsidRPr="0051003F">
        <w:rPr>
          <w:lang w:val="pl-PL"/>
        </w:rPr>
        <w:t xml:space="preserve">. </w:t>
      </w:r>
      <w:bookmarkEnd w:id="203"/>
      <w:r w:rsidR="00DC6BB9" w:rsidRPr="0051003F">
        <w:rPr>
          <w:lang w:val="pl-PL"/>
        </w:rPr>
        <w:t xml:space="preserve">Postępowa i wzajemna współpraca między dwoma europejskimi sądami będzie ewidentnie ponownie głęboko zakłócona, Strasburg pójdzie niewłaściwą drogą, a Luksemburg pójdzie właściwą drogą. Wielka Izba badając sprawę </w:t>
      </w:r>
      <w:r w:rsidR="00DC6BB9" w:rsidRPr="0051003F">
        <w:rPr>
          <w:i/>
          <w:lang w:val="pl-PL"/>
        </w:rPr>
        <w:t xml:space="preserve">Siergieja </w:t>
      </w:r>
      <w:proofErr w:type="spellStart"/>
      <w:r w:rsidR="00DC6BB9" w:rsidRPr="0051003F">
        <w:rPr>
          <w:i/>
          <w:lang w:val="pl-PL"/>
        </w:rPr>
        <w:t>Zołotukinina</w:t>
      </w:r>
      <w:proofErr w:type="spellEnd"/>
      <w:r w:rsidR="00DC6BB9" w:rsidRPr="0051003F">
        <w:rPr>
          <w:lang w:val="pl-PL"/>
        </w:rPr>
        <w:t xml:space="preserve"> nie zgodziła się na zdegradowanie indywidualnego </w:t>
      </w:r>
      <w:r w:rsidR="00DC6BB9" w:rsidRPr="0051003F">
        <w:rPr>
          <w:lang w:val="pl-PL"/>
        </w:rPr>
        <w:lastRenderedPageBreak/>
        <w:t xml:space="preserve">niezbywalnego prawa </w:t>
      </w:r>
      <w:proofErr w:type="spellStart"/>
      <w:r w:rsidR="00DC6BB9" w:rsidRPr="0051003F">
        <w:rPr>
          <w:i/>
          <w:lang w:val="pl-PL"/>
        </w:rPr>
        <w:t>ne</w:t>
      </w:r>
      <w:proofErr w:type="spellEnd"/>
      <w:r w:rsidR="00DC6BB9" w:rsidRPr="0051003F">
        <w:rPr>
          <w:i/>
          <w:lang w:val="pl-PL"/>
        </w:rPr>
        <w:t xml:space="preserve"> bis in </w:t>
      </w:r>
      <w:proofErr w:type="spellStart"/>
      <w:r w:rsidR="00DC6BB9" w:rsidRPr="0051003F">
        <w:rPr>
          <w:i/>
          <w:lang w:val="pl-PL"/>
        </w:rPr>
        <w:t>idem</w:t>
      </w:r>
      <w:proofErr w:type="spellEnd"/>
      <w:r w:rsidR="00DC6BB9" w:rsidRPr="0051003F">
        <w:rPr>
          <w:lang w:val="pl-PL"/>
        </w:rPr>
        <w:t xml:space="preserve"> do swoistego płynnego, wąsko interpretowanego, jednym słowem iluzorycznego prawa. Ja również nie. </w:t>
      </w:r>
      <w:bookmarkEnd w:id="0"/>
    </w:p>
    <w:sectPr w:rsidR="00507696" w:rsidRPr="0051003F" w:rsidSect="006201F4">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F7D" w:rsidRDefault="00F73F7D" w:rsidP="00014566">
      <w:r>
        <w:separator/>
      </w:r>
    </w:p>
  </w:endnote>
  <w:endnote w:type="continuationSeparator" w:id="0">
    <w:p w:rsidR="00F73F7D" w:rsidRDefault="00F73F7D"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Times New (W1)">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310" w:rsidRDefault="00AC3310" w:rsidP="005C3FF2">
    <w:pPr>
      <w:pStyle w:val="Stopka"/>
      <w:ind w:left="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310" w:rsidRPr="00150BFA" w:rsidRDefault="00AC3310" w:rsidP="00003542">
    <w:pPr>
      <w:jc w:val="center"/>
    </w:pPr>
    <w:r>
      <w:rPr>
        <w:noProof/>
        <w:lang w:val="pl-PL" w:eastAsia="pl-PL"/>
      </w:rPr>
      <w:drawing>
        <wp:inline distT="0" distB="0" distL="0" distR="0" wp14:anchorId="1B4FC439" wp14:editId="5E278DC1">
          <wp:extent cx="771525" cy="619125"/>
          <wp:effectExtent l="0" t="0" r="9525" b="9525"/>
          <wp:docPr id="59" name="Picture 5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C3310" w:rsidRDefault="00AC331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F7D" w:rsidRDefault="00F73F7D" w:rsidP="00014566">
      <w:r>
        <w:separator/>
      </w:r>
    </w:p>
  </w:footnote>
  <w:footnote w:type="continuationSeparator" w:id="0">
    <w:p w:rsidR="00F73F7D" w:rsidRDefault="00F73F7D" w:rsidP="00014566">
      <w:r>
        <w:continuationSeparator/>
      </w:r>
    </w:p>
  </w:footnote>
  <w:footnote w:id="1">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Zobacz istotny paragraf 132 wyroku</w:t>
      </w:r>
    </w:p>
  </w:footnote>
  <w:footnote w:id="2">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Sergey</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Zolotukhin</w:t>
      </w:r>
      <w:proofErr w:type="spellEnd"/>
      <w:r w:rsidRPr="00D47D22">
        <w:rPr>
          <w:rFonts w:ascii="Times New Roman" w:hAnsi="Times New Roman" w:cs="Times New Roman"/>
          <w:i/>
          <w:lang w:val="pl-PL"/>
        </w:rPr>
        <w:t xml:space="preserve"> przeciwko Rosji </w:t>
      </w:r>
      <w:r w:rsidRPr="00D47D22">
        <w:rPr>
          <w:rFonts w:ascii="Times New Roman" w:hAnsi="Times New Roman" w:cs="Times New Roman"/>
          <w:lang w:val="pl-PL"/>
        </w:rPr>
        <w:t xml:space="preserve">[WI], nr 14939/03, §§ 82 oraz 84, </w:t>
      </w:r>
      <w:proofErr w:type="spellStart"/>
      <w:r w:rsidRPr="00D47D22">
        <w:rPr>
          <w:rFonts w:ascii="Times New Roman" w:hAnsi="Times New Roman" w:cs="Times New Roman"/>
          <w:lang w:val="pl-PL"/>
        </w:rPr>
        <w:t>ETPCz</w:t>
      </w:r>
      <w:proofErr w:type="spellEnd"/>
      <w:r w:rsidRPr="00D47D22">
        <w:rPr>
          <w:rFonts w:ascii="Times New Roman" w:hAnsi="Times New Roman" w:cs="Times New Roman"/>
          <w:lang w:val="pl-PL"/>
        </w:rPr>
        <w:t xml:space="preserve"> 2009.</w:t>
      </w:r>
    </w:p>
  </w:footnote>
  <w:footnote w:id="3">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r w:rsidRPr="00D47D22">
        <w:rPr>
          <w:rFonts w:ascii="Times New Roman" w:hAnsi="Times New Roman" w:cs="Times New Roman"/>
          <w:i/>
          <w:lang w:val="pl-PL"/>
        </w:rPr>
        <w:t xml:space="preserve">Hans </w:t>
      </w:r>
      <w:proofErr w:type="spellStart"/>
      <w:r w:rsidRPr="00D47D22">
        <w:rPr>
          <w:rFonts w:ascii="Times New Roman" w:hAnsi="Times New Roman" w:cs="Times New Roman"/>
          <w:i/>
          <w:lang w:val="pl-PL"/>
        </w:rPr>
        <w:t>Åkeberg</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Fransson</w:t>
      </w:r>
      <w:proofErr w:type="spellEnd"/>
      <w:r w:rsidRPr="00D47D22">
        <w:rPr>
          <w:rFonts w:ascii="Times New Roman" w:hAnsi="Times New Roman" w:cs="Times New Roman"/>
          <w:lang w:val="pl-PL"/>
        </w:rPr>
        <w:t xml:space="preserve"> (C-617⁄10, wyrok Wielkiej Izby Europejskiego Trybunału Sprawiedliwości UE, 26 lutego 2013, oraz </w:t>
      </w:r>
      <w:proofErr w:type="spellStart"/>
      <w:r w:rsidRPr="00D47D22">
        <w:rPr>
          <w:rFonts w:ascii="Times New Roman" w:hAnsi="Times New Roman" w:cs="Times New Roman"/>
          <w:i/>
          <w:lang w:val="pl-PL"/>
        </w:rPr>
        <w:t>Lucky</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Dev</w:t>
      </w:r>
      <w:proofErr w:type="spellEnd"/>
      <w:r w:rsidRPr="00D47D22">
        <w:rPr>
          <w:rFonts w:ascii="Times New Roman" w:hAnsi="Times New Roman" w:cs="Times New Roman"/>
          <w:lang w:val="pl-PL"/>
        </w:rPr>
        <w:t xml:space="preserve"> </w:t>
      </w:r>
      <w:r w:rsidRPr="00D47D22">
        <w:rPr>
          <w:rFonts w:ascii="Times New Roman" w:hAnsi="Times New Roman" w:cs="Times New Roman"/>
          <w:i/>
          <w:lang w:val="pl-PL"/>
        </w:rPr>
        <w:t>przeciwko Szwecji</w:t>
      </w:r>
      <w:r w:rsidRPr="00D47D22">
        <w:rPr>
          <w:rFonts w:ascii="Times New Roman" w:hAnsi="Times New Roman" w:cs="Times New Roman"/>
          <w:lang w:val="pl-PL"/>
        </w:rPr>
        <w:t>, nr 7356/10</w:t>
      </w:r>
      <w:r w:rsidRPr="00D47D22">
        <w:rPr>
          <w:rFonts w:ascii="Times New Roman" w:hAnsi="Times New Roman" w:cs="Times New Roman"/>
          <w:snapToGrid w:val="0"/>
          <w:lang w:val="pl-PL"/>
        </w:rPr>
        <w:t>, § 58, 27 listopada 2014</w:t>
      </w:r>
      <w:r w:rsidRPr="00D47D22">
        <w:rPr>
          <w:rFonts w:ascii="Times New Roman" w:hAnsi="Times New Roman" w:cs="Times New Roman"/>
          <w:lang w:val="pl-PL"/>
        </w:rPr>
        <w:t>.</w:t>
      </w:r>
    </w:p>
  </w:footnote>
  <w:footnote w:id="4">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r w:rsidRPr="00D47D22">
        <w:rPr>
          <w:rFonts w:ascii="Times New Roman" w:hAnsi="Times New Roman" w:cs="Times New Roman"/>
          <w:i/>
          <w:lang w:val="pl-PL"/>
        </w:rPr>
        <w:t>Grande Stevens</w:t>
      </w:r>
      <w:r w:rsidRPr="00D47D22">
        <w:rPr>
          <w:rFonts w:ascii="Times New Roman" w:hAnsi="Times New Roman" w:cs="Times New Roman"/>
          <w:lang w:val="pl-PL"/>
        </w:rPr>
        <w:t xml:space="preserve"> </w:t>
      </w:r>
      <w:r w:rsidRPr="00D47D22">
        <w:rPr>
          <w:rFonts w:ascii="Times New Roman" w:hAnsi="Times New Roman" w:cs="Times New Roman"/>
          <w:i/>
          <w:lang w:val="pl-PL"/>
        </w:rPr>
        <w:t>i Inni przeciwko Włochom</w:t>
      </w:r>
      <w:r w:rsidRPr="00D47D22">
        <w:rPr>
          <w:rFonts w:ascii="Times New Roman" w:hAnsi="Times New Roman" w:cs="Times New Roman"/>
          <w:lang w:val="pl-PL"/>
        </w:rPr>
        <w:t>, nr 18640/10, 18647/10, 18663/10, 18668/10 i 18698/10</w:t>
      </w:r>
      <w:r w:rsidRPr="00D47D22">
        <w:rPr>
          <w:rFonts w:ascii="Times New Roman" w:hAnsi="Times New Roman" w:cs="Times New Roman"/>
          <w:snapToGrid w:val="0"/>
          <w:lang w:val="pl-PL"/>
        </w:rPr>
        <w:t>, 4 marca 2014</w:t>
      </w:r>
      <w:r w:rsidRPr="00D47D22">
        <w:rPr>
          <w:rFonts w:ascii="Times New Roman" w:hAnsi="Times New Roman" w:cs="Times New Roman"/>
          <w:lang w:val="pl-PL"/>
        </w:rPr>
        <w:t>.</w:t>
      </w:r>
    </w:p>
  </w:footnote>
  <w:footnote w:id="5">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Kapetanios</w:t>
      </w:r>
      <w:proofErr w:type="spellEnd"/>
      <w:r w:rsidRPr="00D47D22">
        <w:rPr>
          <w:rFonts w:ascii="Times New Roman" w:hAnsi="Times New Roman" w:cs="Times New Roman"/>
          <w:i/>
          <w:lang w:val="pl-PL"/>
        </w:rPr>
        <w:t xml:space="preserve"> and </w:t>
      </w:r>
      <w:proofErr w:type="spellStart"/>
      <w:r w:rsidRPr="00D47D22">
        <w:rPr>
          <w:rFonts w:ascii="Times New Roman" w:hAnsi="Times New Roman" w:cs="Times New Roman"/>
          <w:i/>
          <w:lang w:val="pl-PL"/>
        </w:rPr>
        <w:t>Others</w:t>
      </w:r>
      <w:proofErr w:type="spellEnd"/>
      <w:r w:rsidRPr="00D47D22">
        <w:rPr>
          <w:rFonts w:ascii="Times New Roman" w:hAnsi="Times New Roman" w:cs="Times New Roman"/>
          <w:i/>
          <w:lang w:val="pl-PL"/>
        </w:rPr>
        <w:t xml:space="preserve"> v. Greece</w:t>
      </w:r>
      <w:r w:rsidRPr="00D47D22">
        <w:rPr>
          <w:rFonts w:ascii="Times New Roman" w:hAnsi="Times New Roman" w:cs="Times New Roman"/>
          <w:lang w:val="pl-PL"/>
        </w:rPr>
        <w:t>, nos. 3453/12, 42941/12 and 9028/13</w:t>
      </w:r>
      <w:r w:rsidRPr="00D47D22">
        <w:rPr>
          <w:rFonts w:ascii="Times New Roman" w:hAnsi="Times New Roman" w:cs="Times New Roman"/>
          <w:snapToGrid w:val="0"/>
          <w:lang w:val="pl-PL"/>
        </w:rPr>
        <w:t xml:space="preserve">, § 72, 30 </w:t>
      </w:r>
      <w:r w:rsidRPr="00D47D22">
        <w:rPr>
          <w:rFonts w:ascii="Times New Roman" w:hAnsi="Times New Roman" w:cs="Times New Roman"/>
          <w:lang w:val="pl-PL"/>
        </w:rPr>
        <w:t>kwietnia</w:t>
      </w:r>
      <w:r w:rsidRPr="00D47D22">
        <w:rPr>
          <w:rFonts w:ascii="Times New Roman" w:hAnsi="Times New Roman" w:cs="Times New Roman"/>
          <w:snapToGrid w:val="0"/>
          <w:lang w:val="pl-PL"/>
        </w:rPr>
        <w:t xml:space="preserve"> 2015</w:t>
      </w:r>
      <w:r w:rsidRPr="00D47D22">
        <w:rPr>
          <w:rFonts w:ascii="Times New Roman" w:hAnsi="Times New Roman" w:cs="Times New Roman"/>
          <w:lang w:val="pl-PL"/>
        </w:rPr>
        <w:t xml:space="preserve">, i </w:t>
      </w:r>
      <w:proofErr w:type="spellStart"/>
      <w:r w:rsidRPr="00D47D22">
        <w:rPr>
          <w:rFonts w:ascii="Times New Roman" w:hAnsi="Times New Roman" w:cs="Times New Roman"/>
          <w:i/>
          <w:lang w:val="pl-PL"/>
        </w:rPr>
        <w:t>Sismanidis</w:t>
      </w:r>
      <w:proofErr w:type="spellEnd"/>
      <w:r w:rsidRPr="00D47D22">
        <w:rPr>
          <w:rFonts w:ascii="Times New Roman" w:hAnsi="Times New Roman" w:cs="Times New Roman"/>
          <w:i/>
          <w:lang w:val="pl-PL"/>
        </w:rPr>
        <w:t xml:space="preserve"> i </w:t>
      </w:r>
      <w:proofErr w:type="spellStart"/>
      <w:r w:rsidRPr="00D47D22">
        <w:rPr>
          <w:rFonts w:ascii="Times New Roman" w:hAnsi="Times New Roman" w:cs="Times New Roman"/>
          <w:i/>
          <w:lang w:val="pl-PL"/>
        </w:rPr>
        <w:t>Sitaridis</w:t>
      </w:r>
      <w:proofErr w:type="spellEnd"/>
      <w:r w:rsidRPr="00D47D22">
        <w:rPr>
          <w:rFonts w:ascii="Times New Roman" w:hAnsi="Times New Roman" w:cs="Times New Roman"/>
          <w:i/>
          <w:lang w:val="pl-PL"/>
        </w:rPr>
        <w:t xml:space="preserve"> przeciwko Grecji</w:t>
      </w:r>
      <w:r w:rsidRPr="00D47D22">
        <w:rPr>
          <w:rFonts w:ascii="Times New Roman" w:hAnsi="Times New Roman" w:cs="Times New Roman"/>
          <w:lang w:val="pl-PL"/>
        </w:rPr>
        <w:t xml:space="preserve">, nr. 66602/09 i 71879/12, 9 czerwca 2016. </w:t>
      </w:r>
    </w:p>
  </w:footnote>
  <w:footnote w:id="6">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Historyczna rozważania, zobacz : </w:t>
      </w:r>
      <w:proofErr w:type="spellStart"/>
      <w:r w:rsidRPr="00D47D22">
        <w:rPr>
          <w:rFonts w:ascii="Times New Roman" w:hAnsi="Times New Roman" w:cs="Times New Roman"/>
          <w:lang w:val="pl-PL"/>
        </w:rPr>
        <w:t>Laurens</w:t>
      </w:r>
      <w:proofErr w:type="spellEnd"/>
      <w:r w:rsidRPr="00D47D22">
        <w:rPr>
          <w:rFonts w:ascii="Times New Roman" w:hAnsi="Times New Roman" w:cs="Times New Roman"/>
          <w:lang w:val="pl-PL"/>
        </w:rPr>
        <w:t xml:space="preserve">, </w:t>
      </w:r>
      <w:r w:rsidRPr="00D47D22">
        <w:rPr>
          <w:rFonts w:ascii="Times New Roman" w:hAnsi="Times New Roman" w:cs="Times New Roman"/>
          <w:i/>
          <w:lang w:val="pl-PL"/>
        </w:rPr>
        <w:t xml:space="preserve">De </w:t>
      </w:r>
      <w:proofErr w:type="spellStart"/>
      <w:r w:rsidRPr="00D47D22">
        <w:rPr>
          <w:rFonts w:ascii="Times New Roman" w:hAnsi="Times New Roman" w:cs="Times New Roman"/>
          <w:i/>
          <w:lang w:val="pl-PL"/>
        </w:rPr>
        <w:t>l’autorité</w:t>
      </w:r>
      <w:proofErr w:type="spellEnd"/>
      <w:r w:rsidRPr="00D47D22">
        <w:rPr>
          <w:rFonts w:ascii="Times New Roman" w:hAnsi="Times New Roman" w:cs="Times New Roman"/>
          <w:i/>
          <w:lang w:val="pl-PL"/>
        </w:rPr>
        <w:t xml:space="preserve"> de la </w:t>
      </w:r>
      <w:proofErr w:type="spellStart"/>
      <w:r w:rsidRPr="00D47D22">
        <w:rPr>
          <w:rFonts w:ascii="Times New Roman" w:hAnsi="Times New Roman" w:cs="Times New Roman"/>
          <w:i/>
          <w:lang w:val="pl-PL"/>
        </w:rPr>
        <w:t>chose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jugée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considerée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comme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mode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d’extinction</w:t>
      </w:r>
      <w:proofErr w:type="spellEnd"/>
      <w:r w:rsidRPr="00D47D22">
        <w:rPr>
          <w:rFonts w:ascii="Times New Roman" w:hAnsi="Times New Roman" w:cs="Times New Roman"/>
          <w:i/>
          <w:lang w:val="pl-PL"/>
        </w:rPr>
        <w:t xml:space="preserve"> de </w:t>
      </w:r>
      <w:proofErr w:type="spellStart"/>
      <w:r w:rsidRPr="00D47D22">
        <w:rPr>
          <w:rFonts w:ascii="Times New Roman" w:hAnsi="Times New Roman" w:cs="Times New Roman"/>
          <w:i/>
          <w:lang w:val="pl-PL"/>
        </w:rPr>
        <w:t>l’action</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publique</w:t>
      </w:r>
      <w:proofErr w:type="spellEnd"/>
      <w:r w:rsidRPr="00D47D22">
        <w:rPr>
          <w:rFonts w:ascii="Times New Roman" w:hAnsi="Times New Roman" w:cs="Times New Roman"/>
          <w:lang w:val="pl-PL"/>
        </w:rPr>
        <w:t xml:space="preserve">, Paryż, 1885; </w:t>
      </w:r>
      <w:proofErr w:type="spellStart"/>
      <w:r w:rsidRPr="00D47D22">
        <w:rPr>
          <w:rFonts w:ascii="Times New Roman" w:hAnsi="Times New Roman" w:cs="Times New Roman"/>
          <w:lang w:val="pl-PL"/>
        </w:rPr>
        <w:t>Mommsen</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Römisches</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Strafrecht</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Aalen</w:t>
      </w:r>
      <w:proofErr w:type="spellEnd"/>
      <w:r w:rsidRPr="00D47D22">
        <w:rPr>
          <w:rFonts w:ascii="Times New Roman" w:hAnsi="Times New Roman" w:cs="Times New Roman"/>
          <w:lang w:val="pl-PL"/>
        </w:rPr>
        <w:t xml:space="preserve">, 1899; </w:t>
      </w:r>
      <w:proofErr w:type="spellStart"/>
      <w:r w:rsidRPr="00D47D22">
        <w:rPr>
          <w:rFonts w:ascii="Times New Roman" w:hAnsi="Times New Roman" w:cs="Times New Roman"/>
          <w:lang w:val="pl-PL"/>
        </w:rPr>
        <w:t>Arturo</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Rocco</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Trattato</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della</w:t>
      </w:r>
      <w:proofErr w:type="spellEnd"/>
      <w:r w:rsidRPr="00D47D22">
        <w:rPr>
          <w:rFonts w:ascii="Times New Roman" w:hAnsi="Times New Roman" w:cs="Times New Roman"/>
          <w:i/>
          <w:lang w:val="pl-PL"/>
        </w:rPr>
        <w:t xml:space="preserve"> Cosa </w:t>
      </w:r>
      <w:proofErr w:type="spellStart"/>
      <w:r w:rsidRPr="00D47D22">
        <w:rPr>
          <w:rFonts w:ascii="Times New Roman" w:hAnsi="Times New Roman" w:cs="Times New Roman"/>
          <w:i/>
          <w:lang w:val="pl-PL"/>
        </w:rPr>
        <w:t>Giudicata</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come</w:t>
      </w:r>
      <w:proofErr w:type="spellEnd"/>
      <w:r w:rsidRPr="00D47D22">
        <w:rPr>
          <w:rFonts w:ascii="Times New Roman" w:hAnsi="Times New Roman" w:cs="Times New Roman"/>
          <w:i/>
          <w:lang w:val="pl-PL"/>
        </w:rPr>
        <w:t xml:space="preserve"> Causa di </w:t>
      </w:r>
      <w:proofErr w:type="spellStart"/>
      <w:r w:rsidRPr="00D47D22">
        <w:rPr>
          <w:rFonts w:ascii="Times New Roman" w:hAnsi="Times New Roman" w:cs="Times New Roman"/>
          <w:i/>
          <w:lang w:val="pl-PL"/>
        </w:rPr>
        <w:t>Estinzione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dell’Azione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Penale</w:t>
      </w:r>
      <w:proofErr w:type="spellEnd"/>
      <w:r w:rsidRPr="00D47D22">
        <w:rPr>
          <w:rFonts w:ascii="Times New Roman" w:hAnsi="Times New Roman" w:cs="Times New Roman"/>
          <w:lang w:val="pl-PL"/>
        </w:rPr>
        <w:t xml:space="preserve">, Rzym, 1900; </w:t>
      </w:r>
      <w:proofErr w:type="spellStart"/>
      <w:r w:rsidRPr="00D47D22">
        <w:rPr>
          <w:rFonts w:ascii="Times New Roman" w:hAnsi="Times New Roman" w:cs="Times New Roman"/>
          <w:lang w:val="pl-PL"/>
        </w:rPr>
        <w:t>Danan</w:t>
      </w:r>
      <w:proofErr w:type="spellEnd"/>
      <w:r w:rsidRPr="00D47D22">
        <w:rPr>
          <w:rFonts w:ascii="Times New Roman" w:hAnsi="Times New Roman" w:cs="Times New Roman"/>
          <w:lang w:val="pl-PL"/>
        </w:rPr>
        <w:t xml:space="preserve">, </w:t>
      </w:r>
      <w:r w:rsidRPr="00D47D22">
        <w:rPr>
          <w:rFonts w:ascii="Times New Roman" w:hAnsi="Times New Roman" w:cs="Times New Roman"/>
          <w:i/>
          <w:lang w:val="pl-PL"/>
        </w:rPr>
        <w:t xml:space="preserve">La </w:t>
      </w:r>
      <w:proofErr w:type="spellStart"/>
      <w:r w:rsidRPr="00D47D22">
        <w:rPr>
          <w:rFonts w:ascii="Times New Roman" w:hAnsi="Times New Roman" w:cs="Times New Roman"/>
          <w:i/>
          <w:lang w:val="pl-PL"/>
        </w:rPr>
        <w:t>régle</w:t>
      </w:r>
      <w:proofErr w:type="spellEnd"/>
      <w:r w:rsidRPr="00D47D22">
        <w:rPr>
          <w:rFonts w:ascii="Times New Roman" w:hAnsi="Times New Roman" w:cs="Times New Roman"/>
          <w:i/>
          <w:lang w:val="pl-PL"/>
        </w:rPr>
        <w:t xml:space="preserve"> </w:t>
      </w:r>
      <w:r w:rsidRPr="00D47D22">
        <w:rPr>
          <w:rFonts w:ascii="Times New Roman" w:hAnsi="Times New Roman" w:cs="Times New Roman"/>
          <w:lang w:val="pl-PL"/>
        </w:rPr>
        <w:t xml:space="preserve">non bis in </w:t>
      </w:r>
      <w:proofErr w:type="spellStart"/>
      <w:r w:rsidRPr="00D47D22">
        <w:rPr>
          <w:rFonts w:ascii="Times New Roman" w:hAnsi="Times New Roman" w:cs="Times New Roman"/>
          <w:lang w:val="pl-PL"/>
        </w:rPr>
        <w:t>idem</w:t>
      </w:r>
      <w:proofErr w:type="spellEnd"/>
      <w:r w:rsidRPr="00D47D22">
        <w:rPr>
          <w:rFonts w:ascii="Times New Roman" w:hAnsi="Times New Roman" w:cs="Times New Roman"/>
          <w:i/>
          <w:lang w:val="pl-PL"/>
        </w:rPr>
        <w:t xml:space="preserve"> en </w:t>
      </w:r>
      <w:proofErr w:type="spellStart"/>
      <w:r w:rsidRPr="00D47D22">
        <w:rPr>
          <w:rFonts w:ascii="Times New Roman" w:hAnsi="Times New Roman" w:cs="Times New Roman"/>
          <w:i/>
          <w:lang w:val="pl-PL"/>
        </w:rPr>
        <w:t>droit</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pénal</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français</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Rennes</w:t>
      </w:r>
      <w:proofErr w:type="spellEnd"/>
      <w:r w:rsidRPr="00D47D22">
        <w:rPr>
          <w:rFonts w:ascii="Times New Roman" w:hAnsi="Times New Roman" w:cs="Times New Roman"/>
          <w:lang w:val="pl-PL"/>
        </w:rPr>
        <w:t xml:space="preserve">, 1971; </w:t>
      </w:r>
      <w:proofErr w:type="spellStart"/>
      <w:r w:rsidRPr="00D47D22">
        <w:rPr>
          <w:rFonts w:ascii="Times New Roman" w:hAnsi="Times New Roman" w:cs="Times New Roman"/>
          <w:lang w:val="pl-PL"/>
        </w:rPr>
        <w:t>Spinellis</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Die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materielle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Rechtskraft</w:t>
      </w:r>
      <w:proofErr w:type="spellEnd"/>
      <w:r w:rsidRPr="00D47D22">
        <w:rPr>
          <w:rFonts w:ascii="Times New Roman" w:hAnsi="Times New Roman" w:cs="Times New Roman"/>
          <w:i/>
          <w:lang w:val="pl-PL"/>
        </w:rPr>
        <w:t xml:space="preserve"> des </w:t>
      </w:r>
      <w:proofErr w:type="spellStart"/>
      <w:r w:rsidRPr="00D47D22">
        <w:rPr>
          <w:rFonts w:ascii="Times New Roman" w:hAnsi="Times New Roman" w:cs="Times New Roman"/>
          <w:i/>
          <w:lang w:val="pl-PL"/>
        </w:rPr>
        <w:t>Strafurteils</w:t>
      </w:r>
      <w:proofErr w:type="spellEnd"/>
      <w:r w:rsidRPr="00D47D22">
        <w:rPr>
          <w:rFonts w:ascii="Times New Roman" w:hAnsi="Times New Roman" w:cs="Times New Roman"/>
          <w:lang w:val="pl-PL"/>
        </w:rPr>
        <w:t xml:space="preserve">, Monachium, 1962; </w:t>
      </w:r>
      <w:proofErr w:type="spellStart"/>
      <w:r w:rsidRPr="00D47D22">
        <w:rPr>
          <w:rFonts w:ascii="Times New Roman" w:hAnsi="Times New Roman" w:cs="Times New Roman"/>
          <w:lang w:val="pl-PL"/>
        </w:rPr>
        <w:t>Mansdörfer</w:t>
      </w:r>
      <w:proofErr w:type="spellEnd"/>
      <w:r w:rsidRPr="00D47D22">
        <w:rPr>
          <w:rFonts w:ascii="Times New Roman" w:hAnsi="Times New Roman" w:cs="Times New Roman"/>
          <w:lang w:val="pl-PL"/>
        </w:rPr>
        <w:t xml:space="preserve">, </w:t>
      </w:r>
      <w:r w:rsidRPr="00D47D22">
        <w:rPr>
          <w:rFonts w:ascii="Times New Roman" w:hAnsi="Times New Roman" w:cs="Times New Roman"/>
          <w:i/>
          <w:lang w:val="pl-PL"/>
        </w:rPr>
        <w:t xml:space="preserve">Das </w:t>
      </w:r>
      <w:proofErr w:type="spellStart"/>
      <w:r w:rsidRPr="00D47D22">
        <w:rPr>
          <w:rFonts w:ascii="Times New Roman" w:hAnsi="Times New Roman" w:cs="Times New Roman"/>
          <w:i/>
          <w:lang w:val="pl-PL"/>
        </w:rPr>
        <w:t>Prinzip</w:t>
      </w:r>
      <w:proofErr w:type="spellEnd"/>
      <w:r w:rsidRPr="00D47D22">
        <w:rPr>
          <w:rFonts w:ascii="Times New Roman" w:hAnsi="Times New Roman" w:cs="Times New Roman"/>
          <w:i/>
          <w:lang w:val="pl-PL"/>
        </w:rPr>
        <w:t xml:space="preserve"> des </w:t>
      </w:r>
      <w:proofErr w:type="spellStart"/>
      <w:r w:rsidRPr="00D47D22">
        <w:rPr>
          <w:rFonts w:ascii="Times New Roman" w:hAnsi="Times New Roman" w:cs="Times New Roman"/>
          <w:i/>
          <w:lang w:val="pl-PL"/>
        </w:rPr>
        <w:t>ne</w:t>
      </w:r>
      <w:proofErr w:type="spellEnd"/>
      <w:r w:rsidRPr="00D47D22">
        <w:rPr>
          <w:rFonts w:ascii="Times New Roman" w:hAnsi="Times New Roman" w:cs="Times New Roman"/>
          <w:i/>
          <w:lang w:val="pl-PL"/>
        </w:rPr>
        <w:t xml:space="preserve"> bis in </w:t>
      </w:r>
      <w:proofErr w:type="spellStart"/>
      <w:r w:rsidRPr="00D47D22">
        <w:rPr>
          <w:rFonts w:ascii="Times New Roman" w:hAnsi="Times New Roman" w:cs="Times New Roman"/>
          <w:i/>
          <w:lang w:val="pl-PL"/>
        </w:rPr>
        <w:t>idem</w:t>
      </w:r>
      <w:proofErr w:type="spellEnd"/>
      <w:r w:rsidRPr="00D47D22">
        <w:rPr>
          <w:rFonts w:ascii="Times New Roman" w:hAnsi="Times New Roman" w:cs="Times New Roman"/>
          <w:i/>
          <w:lang w:val="pl-PL"/>
        </w:rPr>
        <w:t xml:space="preserve"> im </w:t>
      </w:r>
      <w:proofErr w:type="spellStart"/>
      <w:r w:rsidRPr="00D47D22">
        <w:rPr>
          <w:rFonts w:ascii="Times New Roman" w:hAnsi="Times New Roman" w:cs="Times New Roman"/>
          <w:i/>
          <w:lang w:val="pl-PL"/>
        </w:rPr>
        <w:t>europäischen</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Strafrecht</w:t>
      </w:r>
      <w:proofErr w:type="spellEnd"/>
      <w:r w:rsidRPr="00D47D22">
        <w:rPr>
          <w:rFonts w:ascii="Times New Roman" w:hAnsi="Times New Roman" w:cs="Times New Roman"/>
          <w:lang w:val="pl-PL"/>
        </w:rPr>
        <w:t xml:space="preserve">, Berlin, 2004; i </w:t>
      </w:r>
      <w:proofErr w:type="spellStart"/>
      <w:r w:rsidRPr="00D47D22">
        <w:rPr>
          <w:rFonts w:ascii="Times New Roman" w:hAnsi="Times New Roman" w:cs="Times New Roman"/>
          <w:lang w:val="pl-PL"/>
        </w:rPr>
        <w:t>Lelieur</w:t>
      </w:r>
      <w:proofErr w:type="spellEnd"/>
      <w:r w:rsidRPr="00D47D22">
        <w:rPr>
          <w:rFonts w:ascii="Times New Roman" w:hAnsi="Times New Roman" w:cs="Times New Roman"/>
          <w:lang w:val="pl-PL"/>
        </w:rPr>
        <w:t xml:space="preserve">-Fischer, </w:t>
      </w:r>
      <w:r w:rsidRPr="00D47D22">
        <w:rPr>
          <w:rFonts w:ascii="Times New Roman" w:hAnsi="Times New Roman" w:cs="Times New Roman"/>
          <w:i/>
          <w:lang w:val="pl-PL"/>
        </w:rPr>
        <w:t xml:space="preserve">La </w:t>
      </w:r>
      <w:proofErr w:type="spellStart"/>
      <w:r w:rsidRPr="00D47D22">
        <w:rPr>
          <w:rFonts w:ascii="Times New Roman" w:hAnsi="Times New Roman" w:cs="Times New Roman"/>
          <w:i/>
          <w:lang w:val="pl-PL"/>
        </w:rPr>
        <w:t>règle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ne</w:t>
      </w:r>
      <w:proofErr w:type="spellEnd"/>
      <w:r w:rsidRPr="00D47D22">
        <w:rPr>
          <w:rFonts w:ascii="Times New Roman" w:hAnsi="Times New Roman" w:cs="Times New Roman"/>
          <w:i/>
          <w:lang w:val="pl-PL"/>
        </w:rPr>
        <w:t xml:space="preserve"> bis in </w:t>
      </w:r>
      <w:proofErr w:type="spellStart"/>
      <w:r w:rsidRPr="00D47D22">
        <w:rPr>
          <w:rFonts w:ascii="Times New Roman" w:hAnsi="Times New Roman" w:cs="Times New Roman"/>
          <w:i/>
          <w:lang w:val="pl-PL"/>
        </w:rPr>
        <w:t>idem</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Du</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principe</w:t>
      </w:r>
      <w:proofErr w:type="spellEnd"/>
      <w:r w:rsidRPr="00D47D22">
        <w:rPr>
          <w:rFonts w:ascii="Times New Roman" w:hAnsi="Times New Roman" w:cs="Times New Roman"/>
          <w:i/>
          <w:lang w:val="pl-PL"/>
        </w:rPr>
        <w:t xml:space="preserve"> de </w:t>
      </w:r>
      <w:proofErr w:type="spellStart"/>
      <w:r w:rsidRPr="00D47D22">
        <w:rPr>
          <w:rFonts w:ascii="Times New Roman" w:hAnsi="Times New Roman" w:cs="Times New Roman"/>
          <w:i/>
          <w:lang w:val="pl-PL"/>
        </w:rPr>
        <w:t>l’autorité</w:t>
      </w:r>
      <w:proofErr w:type="spellEnd"/>
      <w:r w:rsidRPr="00D47D22">
        <w:rPr>
          <w:rFonts w:ascii="Times New Roman" w:hAnsi="Times New Roman" w:cs="Times New Roman"/>
          <w:i/>
          <w:lang w:val="pl-PL"/>
        </w:rPr>
        <w:t xml:space="preserve"> de la </w:t>
      </w:r>
      <w:proofErr w:type="spellStart"/>
      <w:r w:rsidRPr="00D47D22">
        <w:rPr>
          <w:rFonts w:ascii="Times New Roman" w:hAnsi="Times New Roman" w:cs="Times New Roman"/>
          <w:i/>
          <w:lang w:val="pl-PL"/>
        </w:rPr>
        <w:t>chose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jugée</w:t>
      </w:r>
      <w:proofErr w:type="spellEnd"/>
      <w:r w:rsidRPr="00D47D22">
        <w:rPr>
          <w:rFonts w:ascii="Times New Roman" w:hAnsi="Times New Roman" w:cs="Times New Roman"/>
          <w:i/>
          <w:lang w:val="pl-PL"/>
        </w:rPr>
        <w:t xml:space="preserve"> au </w:t>
      </w:r>
      <w:proofErr w:type="spellStart"/>
      <w:r w:rsidRPr="00D47D22">
        <w:rPr>
          <w:rFonts w:ascii="Times New Roman" w:hAnsi="Times New Roman" w:cs="Times New Roman"/>
          <w:i/>
          <w:lang w:val="pl-PL"/>
        </w:rPr>
        <w:t>principe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d’unicité</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d’action</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répressive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Etude</w:t>
      </w:r>
      <w:proofErr w:type="spellEnd"/>
      <w:r w:rsidRPr="00D47D22">
        <w:rPr>
          <w:rFonts w:ascii="Times New Roman" w:hAnsi="Times New Roman" w:cs="Times New Roman"/>
          <w:i/>
          <w:lang w:val="pl-PL"/>
        </w:rPr>
        <w:t xml:space="preserve"> à la </w:t>
      </w:r>
      <w:proofErr w:type="spellStart"/>
      <w:r w:rsidRPr="00D47D22">
        <w:rPr>
          <w:rFonts w:ascii="Times New Roman" w:hAnsi="Times New Roman" w:cs="Times New Roman"/>
          <w:i/>
          <w:lang w:val="pl-PL"/>
        </w:rPr>
        <w:t>lumière</w:t>
      </w:r>
      <w:proofErr w:type="spellEnd"/>
      <w:r w:rsidRPr="00D47D22">
        <w:rPr>
          <w:rFonts w:ascii="Times New Roman" w:hAnsi="Times New Roman" w:cs="Times New Roman"/>
          <w:i/>
          <w:lang w:val="pl-PL"/>
        </w:rPr>
        <w:t xml:space="preserve"> des </w:t>
      </w:r>
      <w:proofErr w:type="spellStart"/>
      <w:r w:rsidRPr="00D47D22">
        <w:rPr>
          <w:rFonts w:ascii="Times New Roman" w:hAnsi="Times New Roman" w:cs="Times New Roman"/>
          <w:i/>
          <w:lang w:val="pl-PL"/>
        </w:rPr>
        <w:t>droits</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français</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allemand</w:t>
      </w:r>
      <w:proofErr w:type="spellEnd"/>
      <w:r w:rsidRPr="00D47D22">
        <w:rPr>
          <w:rFonts w:ascii="Times New Roman" w:hAnsi="Times New Roman" w:cs="Times New Roman"/>
          <w:i/>
          <w:lang w:val="pl-PL"/>
        </w:rPr>
        <w:t xml:space="preserve"> et </w:t>
      </w:r>
      <w:proofErr w:type="spellStart"/>
      <w:r w:rsidRPr="00D47D22">
        <w:rPr>
          <w:rFonts w:ascii="Times New Roman" w:hAnsi="Times New Roman" w:cs="Times New Roman"/>
          <w:i/>
          <w:lang w:val="pl-PL"/>
        </w:rPr>
        <w:t>européen</w:t>
      </w:r>
      <w:proofErr w:type="spellEnd"/>
      <w:r w:rsidRPr="00D47D22">
        <w:rPr>
          <w:rFonts w:ascii="Times New Roman" w:hAnsi="Times New Roman" w:cs="Times New Roman"/>
          <w:lang w:val="pl-PL"/>
        </w:rPr>
        <w:t xml:space="preserve">, Paryż, 2005. </w:t>
      </w:r>
    </w:p>
  </w:footnote>
  <w:footnote w:id="7">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lang w:val="pl-PL"/>
        </w:rPr>
        <w:t>Laurens</w:t>
      </w:r>
      <w:proofErr w:type="spellEnd"/>
      <w:r w:rsidRPr="00D47D22">
        <w:rPr>
          <w:rFonts w:ascii="Times New Roman" w:hAnsi="Times New Roman" w:cs="Times New Roman"/>
          <w:lang w:val="pl-PL"/>
        </w:rPr>
        <w:t xml:space="preserve">, cytowany powyżej, s. 50-51; </w:t>
      </w:r>
      <w:proofErr w:type="spellStart"/>
      <w:r w:rsidRPr="00D47D22">
        <w:rPr>
          <w:rFonts w:ascii="Times New Roman" w:hAnsi="Times New Roman" w:cs="Times New Roman"/>
          <w:lang w:val="pl-PL"/>
        </w:rPr>
        <w:t>Arturo</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Rocco</w:t>
      </w:r>
      <w:proofErr w:type="spellEnd"/>
      <w:r w:rsidRPr="00D47D22">
        <w:rPr>
          <w:rFonts w:ascii="Times New Roman" w:hAnsi="Times New Roman" w:cs="Times New Roman"/>
          <w:lang w:val="pl-PL"/>
        </w:rPr>
        <w:t xml:space="preserve">, cytowany powyżej, s. 76; i </w:t>
      </w:r>
      <w:proofErr w:type="spellStart"/>
      <w:r w:rsidRPr="00D47D22">
        <w:rPr>
          <w:rFonts w:ascii="Times New Roman" w:hAnsi="Times New Roman" w:cs="Times New Roman"/>
          <w:lang w:val="pl-PL"/>
        </w:rPr>
        <w:t>Mommsen</w:t>
      </w:r>
      <w:proofErr w:type="spellEnd"/>
      <w:r w:rsidRPr="00D47D22">
        <w:rPr>
          <w:rFonts w:ascii="Times New Roman" w:hAnsi="Times New Roman" w:cs="Times New Roman"/>
          <w:lang w:val="pl-PL"/>
        </w:rPr>
        <w:t>, cytowany powyżej, s. 450</w:t>
      </w:r>
    </w:p>
  </w:footnote>
  <w:footnote w:id="8">
    <w:p w:rsidR="00AC3310" w:rsidRPr="00D47D22" w:rsidRDefault="00AC3310" w:rsidP="00E02E80">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North</w:t>
      </w:r>
      <w:proofErr w:type="spellEnd"/>
      <w:r w:rsidRPr="00D47D22">
        <w:rPr>
          <w:rFonts w:ascii="Times New Roman" w:hAnsi="Times New Roman" w:cs="Times New Roman"/>
          <w:i/>
          <w:lang w:val="pl-PL"/>
        </w:rPr>
        <w:t xml:space="preserve"> Carolina v. </w:t>
      </w:r>
      <w:proofErr w:type="spellStart"/>
      <w:r w:rsidRPr="00D47D22">
        <w:rPr>
          <w:rFonts w:ascii="Times New Roman" w:hAnsi="Times New Roman" w:cs="Times New Roman"/>
          <w:i/>
          <w:lang w:val="pl-PL"/>
        </w:rPr>
        <w:t>Pearce</w:t>
      </w:r>
      <w:proofErr w:type="spellEnd"/>
      <w:r w:rsidRPr="00D47D22">
        <w:rPr>
          <w:rFonts w:ascii="Times New Roman" w:hAnsi="Times New Roman" w:cs="Times New Roman"/>
          <w:lang w:val="pl-PL"/>
        </w:rPr>
        <w:t>, 395 U.S. 711, 717 (1969).</w:t>
      </w:r>
    </w:p>
  </w:footnote>
  <w:footnote w:id="9">
    <w:p w:rsidR="00AC3310" w:rsidRPr="00D47D22" w:rsidRDefault="00AC3310" w:rsidP="00E02E80">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Ibid., 718. </w:t>
      </w:r>
    </w:p>
  </w:footnote>
  <w:footnote w:id="10">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praktyka konstytucyjna </w:t>
      </w:r>
      <w:proofErr w:type="spellStart"/>
      <w:r w:rsidRPr="00D47D22">
        <w:rPr>
          <w:rFonts w:ascii="Times New Roman" w:hAnsi="Times New Roman" w:cs="Times New Roman"/>
          <w:lang w:val="pl-PL"/>
        </w:rPr>
        <w:t>Bassiouni</w:t>
      </w:r>
      <w:proofErr w:type="spellEnd"/>
      <w:r w:rsidRPr="00D47D22">
        <w:rPr>
          <w:rFonts w:ascii="Times New Roman" w:hAnsi="Times New Roman" w:cs="Times New Roman"/>
          <w:lang w:val="pl-PL"/>
        </w:rPr>
        <w:t xml:space="preserve">,"Human </w:t>
      </w:r>
      <w:proofErr w:type="spellStart"/>
      <w:r w:rsidRPr="00D47D22">
        <w:rPr>
          <w:rFonts w:ascii="Times New Roman" w:hAnsi="Times New Roman" w:cs="Times New Roman"/>
          <w:lang w:val="pl-PL"/>
        </w:rPr>
        <w:t>Rights</w:t>
      </w:r>
      <w:proofErr w:type="spellEnd"/>
      <w:r w:rsidRPr="00D47D22">
        <w:rPr>
          <w:rFonts w:ascii="Times New Roman" w:hAnsi="Times New Roman" w:cs="Times New Roman"/>
          <w:lang w:val="pl-PL"/>
        </w:rPr>
        <w:t xml:space="preserve"> in the </w:t>
      </w:r>
      <w:proofErr w:type="spellStart"/>
      <w:r w:rsidRPr="00D47D22">
        <w:rPr>
          <w:rFonts w:ascii="Times New Roman" w:hAnsi="Times New Roman" w:cs="Times New Roman"/>
          <w:lang w:val="pl-PL"/>
        </w:rPr>
        <w:t>Context</w:t>
      </w:r>
      <w:proofErr w:type="spellEnd"/>
      <w:r w:rsidRPr="00D47D22">
        <w:rPr>
          <w:rFonts w:ascii="Times New Roman" w:hAnsi="Times New Roman" w:cs="Times New Roman"/>
          <w:lang w:val="pl-PL"/>
        </w:rPr>
        <w:t xml:space="preserve"> of </w:t>
      </w:r>
      <w:proofErr w:type="spellStart"/>
      <w:r w:rsidRPr="00D47D22">
        <w:rPr>
          <w:rFonts w:ascii="Times New Roman" w:hAnsi="Times New Roman" w:cs="Times New Roman"/>
          <w:lang w:val="pl-PL"/>
        </w:rPr>
        <w:t>Criminal</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Justice</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Identifying</w:t>
      </w:r>
      <w:proofErr w:type="spellEnd"/>
      <w:r w:rsidRPr="00D47D22">
        <w:rPr>
          <w:rFonts w:ascii="Times New Roman" w:hAnsi="Times New Roman" w:cs="Times New Roman"/>
          <w:lang w:val="pl-PL"/>
        </w:rPr>
        <w:t xml:space="preserve"> International </w:t>
      </w:r>
      <w:proofErr w:type="spellStart"/>
      <w:r w:rsidRPr="00D47D22">
        <w:rPr>
          <w:rFonts w:ascii="Times New Roman" w:hAnsi="Times New Roman" w:cs="Times New Roman"/>
          <w:lang w:val="pl-PL"/>
        </w:rPr>
        <w:t>Procedural</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Protections</w:t>
      </w:r>
      <w:proofErr w:type="spellEnd"/>
      <w:r w:rsidRPr="00D47D22">
        <w:rPr>
          <w:rFonts w:ascii="Times New Roman" w:hAnsi="Times New Roman" w:cs="Times New Roman"/>
          <w:lang w:val="pl-PL"/>
        </w:rPr>
        <w:t xml:space="preserve"> and </w:t>
      </w:r>
      <w:proofErr w:type="spellStart"/>
      <w:r w:rsidRPr="00D47D22">
        <w:rPr>
          <w:rFonts w:ascii="Times New Roman" w:hAnsi="Times New Roman" w:cs="Times New Roman"/>
          <w:lang w:val="pl-PL"/>
        </w:rPr>
        <w:t>Equivalent</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Protections</w:t>
      </w:r>
      <w:proofErr w:type="spellEnd"/>
      <w:r w:rsidRPr="00D47D22">
        <w:rPr>
          <w:rFonts w:ascii="Times New Roman" w:hAnsi="Times New Roman" w:cs="Times New Roman"/>
          <w:lang w:val="pl-PL"/>
        </w:rPr>
        <w:t xml:space="preserve"> in </w:t>
      </w:r>
      <w:proofErr w:type="spellStart"/>
      <w:r w:rsidRPr="00D47D22">
        <w:rPr>
          <w:rFonts w:ascii="Times New Roman" w:hAnsi="Times New Roman" w:cs="Times New Roman"/>
          <w:lang w:val="pl-PL"/>
        </w:rPr>
        <w:t>National</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Constitutions</w:t>
      </w:r>
      <w:proofErr w:type="spellEnd"/>
      <w:r w:rsidRPr="00D47D22">
        <w:rPr>
          <w:rFonts w:ascii="Times New Roman" w:hAnsi="Times New Roman" w:cs="Times New Roman"/>
          <w:lang w:val="pl-PL"/>
        </w:rPr>
        <w:t xml:space="preserve">" (1993), 3 </w:t>
      </w:r>
      <w:proofErr w:type="spellStart"/>
      <w:r w:rsidRPr="00D47D22">
        <w:rPr>
          <w:rFonts w:ascii="Times New Roman" w:hAnsi="Times New Roman" w:cs="Times New Roman"/>
          <w:lang w:val="pl-PL"/>
        </w:rPr>
        <w:t>Duke</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Journal</w:t>
      </w:r>
      <w:proofErr w:type="spellEnd"/>
      <w:r w:rsidRPr="00D47D22">
        <w:rPr>
          <w:rFonts w:ascii="Times New Roman" w:hAnsi="Times New Roman" w:cs="Times New Roman"/>
          <w:lang w:val="pl-PL"/>
        </w:rPr>
        <w:t xml:space="preserve"> of </w:t>
      </w:r>
      <w:proofErr w:type="spellStart"/>
      <w:r w:rsidRPr="00D47D22">
        <w:rPr>
          <w:rFonts w:ascii="Times New Roman" w:hAnsi="Times New Roman" w:cs="Times New Roman"/>
          <w:lang w:val="pl-PL"/>
        </w:rPr>
        <w:t>Comparative</w:t>
      </w:r>
      <w:proofErr w:type="spellEnd"/>
      <w:r w:rsidRPr="00D47D22">
        <w:rPr>
          <w:rFonts w:ascii="Times New Roman" w:hAnsi="Times New Roman" w:cs="Times New Roman"/>
          <w:lang w:val="pl-PL"/>
        </w:rPr>
        <w:t xml:space="preserve"> &amp; International Law 247.</w:t>
      </w:r>
    </w:p>
  </w:footnote>
  <w:footnote w:id="11">
    <w:p w:rsidR="00AC3310" w:rsidRPr="00486852" w:rsidRDefault="00AC3310">
      <w:pPr>
        <w:pStyle w:val="Tekstprzypisudolnego"/>
        <w:rPr>
          <w:lang w:val="pl-PL"/>
        </w:rPr>
      </w:pPr>
      <w:r>
        <w:rPr>
          <w:rStyle w:val="Odwoanieprzypisudolnego"/>
        </w:rPr>
        <w:footnoteRef/>
      </w:r>
      <w:r>
        <w:t xml:space="preserve"> </w:t>
      </w:r>
      <w:proofErr w:type="spellStart"/>
      <w:r w:rsidRPr="00D437CA">
        <w:t>Zobacz</w:t>
      </w:r>
      <w:proofErr w:type="spellEnd"/>
      <w:r w:rsidRPr="00D437CA">
        <w:t xml:space="preserve"> </w:t>
      </w:r>
      <w:proofErr w:type="spellStart"/>
      <w:r w:rsidRPr="00D437CA">
        <w:t>Komitet</w:t>
      </w:r>
      <w:proofErr w:type="spellEnd"/>
      <w:r w:rsidRPr="00D437CA">
        <w:t xml:space="preserve"> </w:t>
      </w:r>
      <w:proofErr w:type="spellStart"/>
      <w:r w:rsidRPr="00D437CA">
        <w:t>Praw</w:t>
      </w:r>
      <w:proofErr w:type="spellEnd"/>
      <w:r w:rsidRPr="00D437CA">
        <w:t xml:space="preserve"> </w:t>
      </w:r>
      <w:proofErr w:type="spellStart"/>
      <w:r w:rsidRPr="00D437CA">
        <w:t>Człowieka</w:t>
      </w:r>
      <w:proofErr w:type="spellEnd"/>
      <w:r w:rsidRPr="00D437CA">
        <w:t xml:space="preserve"> </w:t>
      </w:r>
      <w:proofErr w:type="spellStart"/>
      <w:r w:rsidRPr="00D437CA">
        <w:t>Komentarz</w:t>
      </w:r>
      <w:proofErr w:type="spellEnd"/>
      <w:r w:rsidRPr="00D437CA">
        <w:t xml:space="preserve"> </w:t>
      </w:r>
      <w:proofErr w:type="spellStart"/>
      <w:r w:rsidRPr="00D437CA">
        <w:t>ogólny</w:t>
      </w:r>
      <w:proofErr w:type="spellEnd"/>
      <w:r w:rsidRPr="00D437CA">
        <w:t xml:space="preserve"> </w:t>
      </w:r>
      <w:proofErr w:type="spellStart"/>
      <w:r w:rsidRPr="00D437CA">
        <w:t>nr</w:t>
      </w:r>
      <w:proofErr w:type="spellEnd"/>
      <w:r w:rsidRPr="00D437CA">
        <w:t xml:space="preserve">. 32, </w:t>
      </w:r>
      <w:proofErr w:type="spellStart"/>
      <w:r w:rsidRPr="00D437CA">
        <w:t>artykuł</w:t>
      </w:r>
      <w:proofErr w:type="spellEnd"/>
      <w:r w:rsidRPr="00D437CA">
        <w:t xml:space="preserve"> 14, </w:t>
      </w:r>
      <w:proofErr w:type="spellStart"/>
      <w:r w:rsidRPr="00D437CA">
        <w:t>Prawo</w:t>
      </w:r>
      <w:proofErr w:type="spellEnd"/>
      <w:r w:rsidRPr="00D437CA">
        <w:t xml:space="preserve"> do </w:t>
      </w:r>
      <w:proofErr w:type="spellStart"/>
      <w:r w:rsidRPr="00D437CA">
        <w:t>równości</w:t>
      </w:r>
      <w:proofErr w:type="spellEnd"/>
      <w:r w:rsidRPr="00D437CA">
        <w:t xml:space="preserve"> </w:t>
      </w:r>
      <w:proofErr w:type="spellStart"/>
      <w:r w:rsidRPr="00D437CA">
        <w:t>wobec</w:t>
      </w:r>
      <w:proofErr w:type="spellEnd"/>
      <w:r w:rsidRPr="00D437CA">
        <w:t xml:space="preserve"> </w:t>
      </w:r>
      <w:proofErr w:type="spellStart"/>
      <w:r w:rsidRPr="00D437CA">
        <w:t>sądów</w:t>
      </w:r>
      <w:proofErr w:type="spellEnd"/>
      <w:r w:rsidRPr="00D437CA">
        <w:t xml:space="preserve"> </w:t>
      </w:r>
      <w:proofErr w:type="spellStart"/>
      <w:r w:rsidRPr="00D437CA">
        <w:t>i</w:t>
      </w:r>
      <w:proofErr w:type="spellEnd"/>
      <w:r w:rsidRPr="00D437CA">
        <w:t xml:space="preserve"> </w:t>
      </w:r>
      <w:proofErr w:type="spellStart"/>
      <w:r w:rsidRPr="00D437CA">
        <w:t>trybunałów</w:t>
      </w:r>
      <w:proofErr w:type="spellEnd"/>
      <w:r w:rsidRPr="00D437CA">
        <w:t xml:space="preserve"> </w:t>
      </w:r>
      <w:proofErr w:type="spellStart"/>
      <w:r w:rsidRPr="00D437CA">
        <w:t>oraz</w:t>
      </w:r>
      <w:proofErr w:type="spellEnd"/>
      <w:r w:rsidRPr="00D437CA">
        <w:t xml:space="preserve"> do </w:t>
      </w:r>
      <w:proofErr w:type="spellStart"/>
      <w:r w:rsidRPr="00D437CA">
        <w:t>rzetelnego</w:t>
      </w:r>
      <w:proofErr w:type="spellEnd"/>
      <w:r w:rsidRPr="00D437CA">
        <w:t xml:space="preserve"> </w:t>
      </w:r>
      <w:proofErr w:type="spellStart"/>
      <w:r w:rsidRPr="00D437CA">
        <w:t>procesu</w:t>
      </w:r>
      <w:proofErr w:type="spellEnd"/>
      <w:r w:rsidRPr="00D437CA">
        <w:t xml:space="preserve"> </w:t>
      </w:r>
      <w:proofErr w:type="spellStart"/>
      <w:r w:rsidRPr="00D437CA">
        <w:t>sądowego</w:t>
      </w:r>
      <w:proofErr w:type="spellEnd"/>
      <w:r w:rsidRPr="00D437CA">
        <w:t xml:space="preserve">, 23 </w:t>
      </w:r>
      <w:proofErr w:type="spellStart"/>
      <w:r w:rsidRPr="00D437CA">
        <w:t>sierpnia</w:t>
      </w:r>
      <w:proofErr w:type="spellEnd"/>
      <w:r w:rsidRPr="00D437CA">
        <w:t xml:space="preserve"> 2007 r., CCPR / C / GC / 32, §§ 54-57.</w:t>
      </w:r>
    </w:p>
  </w:footnote>
  <w:footnote w:id="12">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„Rozważając karę, która zgodnie z niniejszym Statutem ma być nałożona na osobę skazaną za przestępstwo, Trybunał Międzynarodowy weźmie pod uwagę zakres, w jakim kara nałożona już na tę samą osobę przez sąd krajowy za ten sam czyn została wykonana”.</w:t>
      </w:r>
    </w:p>
  </w:footnote>
  <w:footnote w:id="13">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„Rozważając karę, która zgodnie z niniejszym Statutem ma być nałożona na osobę skazaną za przestępstwo, Międzynarodowy Trybunał w Rwandzie weźmie pod uwagę zakres, w jakim kara nałożona już na tę samą osobę przez sąd krajowy za ten sam czyn została wykonana”.</w:t>
      </w:r>
    </w:p>
  </w:footnote>
  <w:footnote w:id="14">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 Rozważając karę, która zgodnie z niniejszym Statutem ma być nałożona na osobę skazaną za przestępstwo, Trybunał Specjalny weźmie pod uwagę zakres, w jakim kara nałożona już na tę samą osobę przez sąd krajowy za ten sam czyn została wykonana”.</w:t>
      </w:r>
    </w:p>
  </w:footnote>
  <w:footnote w:id="15">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ETS no. 24.</w:t>
      </w:r>
    </w:p>
  </w:footnote>
  <w:footnote w:id="16">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ETS no. 52.</w:t>
      </w:r>
    </w:p>
  </w:footnote>
  <w:footnote w:id="17">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ETS no. 86.</w:t>
      </w:r>
    </w:p>
  </w:footnote>
  <w:footnote w:id="18">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ETS no. 112.</w:t>
      </w:r>
    </w:p>
  </w:footnote>
  <w:footnote w:id="19">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ETS no. 156.</w:t>
      </w:r>
    </w:p>
  </w:footnote>
  <w:footnote w:id="20">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CETS no. 198. </w:t>
      </w:r>
    </w:p>
  </w:footnote>
  <w:footnote w:id="21">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ETS no. 70. Jeżeli zasada ta nie ma zastosowania, art. 54 przewiduje zasadę rozliczania na poczet kary okresu rzeczywistego pozbawienia wolności.</w:t>
      </w:r>
    </w:p>
  </w:footnote>
  <w:footnote w:id="22">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ETS no. 73. Jeżeli zasada ta nie ma zastosowania, art. 36 przewiduje zasadę rozliczania na poczet kary okresu rzeczywistego pozbawienia wolności..</w:t>
      </w:r>
    </w:p>
  </w:footnote>
  <w:footnote w:id="23">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ETS no. 119. Jeżeli zasada ta nie ma zastosowania, art. 18 przewiduje zasadę rozliczania na poczet kary okresu rzeczywistego pozbawienia wolności.</w:t>
      </w:r>
    </w:p>
  </w:footnote>
  <w:footnote w:id="24">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CETS no. 197.</w:t>
      </w:r>
    </w:p>
  </w:footnote>
  <w:footnote w:id="25">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ETS nr 117. Protokół wszedł w życie dnia 1 listopada 1988 r</w:t>
      </w:r>
      <w:r>
        <w:rPr>
          <w:rFonts w:ascii="Times New Roman" w:hAnsi="Times New Roman" w:cs="Times New Roman"/>
          <w:lang w:val="pl-PL"/>
        </w:rPr>
        <w:t>oku</w:t>
      </w:r>
    </w:p>
  </w:footnote>
  <w:footnote w:id="26">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W art. 3 przewidziano zasadę rozliczania kary pozbawienia wolności, jak również kary nieobejmujące pozbawienia wolności.  </w:t>
      </w:r>
    </w:p>
  </w:footnote>
  <w:footnote w:id="27">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W przypadkach, w których zasada ta nie ma zastosowania, art. 56 przewiduje zasadę rozliczania na poczet kary rzeczywistego okresu pozbawienia wolności oraz kary nieobejmującej pozbawienia wolności. </w:t>
      </w:r>
      <w:r>
        <w:rPr>
          <w:rFonts w:ascii="Times New Roman" w:hAnsi="Times New Roman" w:cs="Times New Roman"/>
          <w:lang w:val="pl-PL"/>
        </w:rPr>
        <w:t>Art.</w:t>
      </w:r>
      <w:r w:rsidRPr="00D47D22">
        <w:rPr>
          <w:rFonts w:ascii="Times New Roman" w:hAnsi="Times New Roman" w:cs="Times New Roman"/>
          <w:lang w:val="pl-PL"/>
        </w:rPr>
        <w:t xml:space="preserve"> 54-57 Konwencji wykonawczej do Układu z </w:t>
      </w:r>
      <w:proofErr w:type="spellStart"/>
      <w:r w:rsidRPr="00D47D22">
        <w:rPr>
          <w:rFonts w:ascii="Times New Roman" w:hAnsi="Times New Roman" w:cs="Times New Roman"/>
          <w:lang w:val="pl-PL"/>
        </w:rPr>
        <w:t>Schengen</w:t>
      </w:r>
      <w:proofErr w:type="spellEnd"/>
      <w:r w:rsidRPr="00D47D22">
        <w:rPr>
          <w:rFonts w:ascii="Times New Roman" w:hAnsi="Times New Roman" w:cs="Times New Roman"/>
          <w:lang w:val="pl-PL"/>
        </w:rPr>
        <w:t xml:space="preserve"> (KWS) zostały przejęte z Konwencji między Państwami Członkowskimi Wspólnot Europejskich o podwójnym karaniu. Traktat amsterdamski włączył </w:t>
      </w:r>
      <w:proofErr w:type="spellStart"/>
      <w:r w:rsidRPr="00486852">
        <w:rPr>
          <w:rFonts w:ascii="Times New Roman" w:hAnsi="Times New Roman" w:cs="Times New Roman"/>
          <w:i/>
          <w:lang w:val="pl-PL"/>
        </w:rPr>
        <w:t>ne</w:t>
      </w:r>
      <w:proofErr w:type="spellEnd"/>
      <w:r w:rsidRPr="00486852">
        <w:rPr>
          <w:rFonts w:ascii="Times New Roman" w:hAnsi="Times New Roman" w:cs="Times New Roman"/>
          <w:i/>
          <w:lang w:val="pl-PL"/>
        </w:rPr>
        <w:t xml:space="preserve"> bis in </w:t>
      </w:r>
      <w:proofErr w:type="spellStart"/>
      <w:r w:rsidRPr="00486852">
        <w:rPr>
          <w:rFonts w:ascii="Times New Roman" w:hAnsi="Times New Roman" w:cs="Times New Roman"/>
          <w:i/>
          <w:lang w:val="pl-PL"/>
        </w:rPr>
        <w:t>idem</w:t>
      </w:r>
      <w:proofErr w:type="spellEnd"/>
      <w:r w:rsidRPr="00D47D22">
        <w:rPr>
          <w:rFonts w:ascii="Times New Roman" w:hAnsi="Times New Roman" w:cs="Times New Roman"/>
          <w:lang w:val="pl-PL"/>
        </w:rPr>
        <w:t xml:space="preserve"> do trzeciego filaru. Od tego momentu zasada ta stała się celem wspólnej przestrzeni wolności, bezpieczeństwa i sprawiedliwości. Zob. również Program działań mających na celu wdrożenie zasady wzajemnego respektowania orzeczeń w sprawach karnych (2001 r</w:t>
      </w:r>
      <w:r>
        <w:rPr>
          <w:rFonts w:ascii="Times New Roman" w:hAnsi="Times New Roman" w:cs="Times New Roman"/>
          <w:lang w:val="pl-PL"/>
        </w:rPr>
        <w:t>oku</w:t>
      </w:r>
      <w:r w:rsidRPr="00D47D22">
        <w:rPr>
          <w:rFonts w:ascii="Times New Roman" w:hAnsi="Times New Roman" w:cs="Times New Roman"/>
          <w:lang w:val="pl-PL"/>
        </w:rPr>
        <w:t xml:space="preserve"> C 12</w:t>
      </w:r>
      <w:r>
        <w:rPr>
          <w:rFonts w:ascii="Times New Roman" w:hAnsi="Times New Roman" w:cs="Times New Roman"/>
          <w:lang w:val="pl-PL"/>
        </w:rPr>
        <w:t>/</w:t>
      </w:r>
      <w:r w:rsidRPr="00D47D22">
        <w:rPr>
          <w:rFonts w:ascii="Times New Roman" w:hAnsi="Times New Roman" w:cs="Times New Roman"/>
          <w:lang w:val="pl-PL"/>
        </w:rPr>
        <w:t xml:space="preserve">02) oraz Zielona księga Komisji w sprawie kolizji jurysdykcji i zasady </w:t>
      </w:r>
      <w:proofErr w:type="spellStart"/>
      <w:r w:rsidRPr="00486852">
        <w:rPr>
          <w:rFonts w:ascii="Times New Roman" w:hAnsi="Times New Roman" w:cs="Times New Roman"/>
          <w:i/>
          <w:lang w:val="pl-PL"/>
        </w:rPr>
        <w:t>ne</w:t>
      </w:r>
      <w:proofErr w:type="spellEnd"/>
      <w:r w:rsidRPr="00486852">
        <w:rPr>
          <w:rFonts w:ascii="Times New Roman" w:hAnsi="Times New Roman" w:cs="Times New Roman"/>
          <w:i/>
          <w:lang w:val="pl-PL"/>
        </w:rPr>
        <w:t xml:space="preserve"> bis in </w:t>
      </w:r>
      <w:proofErr w:type="spellStart"/>
      <w:r w:rsidRPr="00486852">
        <w:rPr>
          <w:rFonts w:ascii="Times New Roman" w:hAnsi="Times New Roman" w:cs="Times New Roman"/>
          <w:i/>
          <w:lang w:val="pl-PL"/>
        </w:rPr>
        <w:t>idem</w:t>
      </w:r>
      <w:proofErr w:type="spellEnd"/>
      <w:r w:rsidRPr="00D47D22">
        <w:rPr>
          <w:rFonts w:ascii="Times New Roman" w:hAnsi="Times New Roman" w:cs="Times New Roman"/>
          <w:lang w:val="pl-PL"/>
        </w:rPr>
        <w:t xml:space="preserve"> w postępowaniu karnym, COM (2005)696 wersja ostateczna.</w:t>
      </w:r>
    </w:p>
  </w:footnote>
  <w:footnote w:id="28">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Akt Rady z dnia 26 lipca 1995 r</w:t>
      </w:r>
      <w:r>
        <w:rPr>
          <w:rFonts w:ascii="Times New Roman" w:hAnsi="Times New Roman" w:cs="Times New Roman"/>
          <w:lang w:val="pl-PL"/>
        </w:rPr>
        <w:t>oku</w:t>
      </w:r>
    </w:p>
  </w:footnote>
  <w:footnote w:id="29">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Akt Rady z dnia 26 maja 1997 r</w:t>
      </w:r>
      <w:r>
        <w:rPr>
          <w:rFonts w:ascii="Times New Roman" w:hAnsi="Times New Roman" w:cs="Times New Roman"/>
          <w:lang w:val="pl-PL"/>
        </w:rPr>
        <w:t>oku</w:t>
      </w:r>
      <w:r w:rsidRPr="00D47D22">
        <w:rPr>
          <w:rFonts w:ascii="Times New Roman" w:hAnsi="Times New Roman" w:cs="Times New Roman"/>
          <w:lang w:val="pl-PL"/>
        </w:rPr>
        <w:t xml:space="preserve"> w art. 10 przewidziano zasadę zaliczenia kar pozbawienia wolności oraz kar niepozbawionych wolności.</w:t>
      </w:r>
    </w:p>
  </w:footnote>
  <w:footnote w:id="30">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r>
        <w:rPr>
          <w:rFonts w:ascii="Times New Roman" w:hAnsi="Times New Roman" w:cs="Times New Roman"/>
          <w:lang w:val="pl-PL"/>
        </w:rPr>
        <w:t>Art.</w:t>
      </w:r>
      <w:r w:rsidRPr="00D47D22">
        <w:rPr>
          <w:rFonts w:ascii="Times New Roman" w:hAnsi="Times New Roman" w:cs="Times New Roman"/>
          <w:lang w:val="pl-PL"/>
        </w:rPr>
        <w:t xml:space="preserve"> 3 zawiera przepisy dotyczące </w:t>
      </w:r>
      <w:r w:rsidRPr="00D47D22">
        <w:rPr>
          <w:rFonts w:ascii="Times New Roman" w:hAnsi="Times New Roman" w:cs="Times New Roman"/>
          <w:i/>
          <w:lang w:val="pl-PL"/>
        </w:rPr>
        <w:t xml:space="preserve">lis </w:t>
      </w:r>
      <w:proofErr w:type="spellStart"/>
      <w:r w:rsidRPr="00D47D22">
        <w:rPr>
          <w:rFonts w:ascii="Times New Roman" w:hAnsi="Times New Roman" w:cs="Times New Roman"/>
          <w:i/>
          <w:lang w:val="pl-PL"/>
        </w:rPr>
        <w:t>pendens</w:t>
      </w:r>
      <w:proofErr w:type="spellEnd"/>
      <w:r w:rsidRPr="00D47D22">
        <w:rPr>
          <w:rFonts w:ascii="Times New Roman" w:hAnsi="Times New Roman" w:cs="Times New Roman"/>
          <w:lang w:val="pl-PL"/>
        </w:rPr>
        <w:t xml:space="preserve">. </w:t>
      </w:r>
      <w:r>
        <w:rPr>
          <w:rFonts w:ascii="Times New Roman" w:hAnsi="Times New Roman" w:cs="Times New Roman"/>
          <w:lang w:val="pl-PL"/>
        </w:rPr>
        <w:t>Art.</w:t>
      </w:r>
      <w:r w:rsidRPr="00D47D22">
        <w:rPr>
          <w:rFonts w:ascii="Times New Roman" w:hAnsi="Times New Roman" w:cs="Times New Roman"/>
          <w:lang w:val="pl-PL"/>
        </w:rPr>
        <w:t xml:space="preserve"> 5 przewiduje zaliczania kar, w tym kary innej niż pozbawienie wolności, które zostały nałożone oraz kary nałożone w ramach procedur administracyjnych.</w:t>
      </w:r>
    </w:p>
  </w:footnote>
  <w:footnote w:id="31">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r>
        <w:rPr>
          <w:rFonts w:ascii="Times New Roman" w:hAnsi="Times New Roman" w:cs="Times New Roman"/>
          <w:lang w:val="pl-PL"/>
        </w:rPr>
        <w:t>paragraf</w:t>
      </w:r>
      <w:r w:rsidRPr="00D47D22">
        <w:rPr>
          <w:rFonts w:ascii="Times New Roman" w:hAnsi="Times New Roman" w:cs="Times New Roman"/>
          <w:lang w:val="pl-PL"/>
        </w:rPr>
        <w:t xml:space="preserve"> 35 wyroku z dnia 5 czerwca 2014 r</w:t>
      </w:r>
      <w:r>
        <w:rPr>
          <w:rFonts w:ascii="Times New Roman" w:hAnsi="Times New Roman" w:cs="Times New Roman"/>
          <w:lang w:val="pl-PL"/>
        </w:rPr>
        <w:t>oku</w:t>
      </w:r>
      <w:r w:rsidRPr="00D47D22">
        <w:rPr>
          <w:rFonts w:ascii="Times New Roman" w:hAnsi="Times New Roman" w:cs="Times New Roman"/>
          <w:lang w:val="pl-PL"/>
        </w:rPr>
        <w:t xml:space="preserve"> w sprawie M (C-398/12).</w:t>
      </w:r>
    </w:p>
  </w:footnote>
  <w:footnote w:id="32">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Patrz Nota z Prezydium Konwencji: wyjaśnienia dotyczące </w:t>
      </w:r>
      <w:r>
        <w:rPr>
          <w:rFonts w:ascii="Times New Roman" w:hAnsi="Times New Roman" w:cs="Times New Roman"/>
          <w:lang w:val="pl-PL"/>
        </w:rPr>
        <w:t>K</w:t>
      </w:r>
      <w:r w:rsidRPr="00D47D22">
        <w:rPr>
          <w:rFonts w:ascii="Times New Roman" w:hAnsi="Times New Roman" w:cs="Times New Roman"/>
          <w:lang w:val="pl-PL"/>
        </w:rPr>
        <w:t>arty praw podstawowych Unii Europejskiej (Bruksela, 11 października 2000 r</w:t>
      </w:r>
      <w:r>
        <w:rPr>
          <w:rFonts w:ascii="Times New Roman" w:hAnsi="Times New Roman" w:cs="Times New Roman"/>
          <w:lang w:val="pl-PL"/>
        </w:rPr>
        <w:t>oku</w:t>
      </w:r>
      <w:r w:rsidRPr="00D47D22">
        <w:rPr>
          <w:rFonts w:ascii="Times New Roman" w:hAnsi="Times New Roman" w:cs="Times New Roman"/>
          <w:lang w:val="pl-PL"/>
        </w:rPr>
        <w:t>):</w:t>
      </w:r>
      <w:r>
        <w:rPr>
          <w:rFonts w:ascii="Times New Roman" w:hAnsi="Times New Roman" w:cs="Times New Roman"/>
          <w:lang w:val="pl-PL"/>
        </w:rPr>
        <w:t>,,</w:t>
      </w:r>
      <w:r w:rsidRPr="00D47D22">
        <w:rPr>
          <w:rFonts w:ascii="Times New Roman" w:hAnsi="Times New Roman" w:cs="Times New Roman"/>
          <w:lang w:val="pl-PL"/>
        </w:rPr>
        <w:t xml:space="preserve">Odniesienie do </w:t>
      </w:r>
      <w:proofErr w:type="spellStart"/>
      <w:r w:rsidRPr="00D47D22">
        <w:rPr>
          <w:rFonts w:ascii="Times New Roman" w:hAnsi="Times New Roman" w:cs="Times New Roman"/>
          <w:lang w:val="pl-PL"/>
        </w:rPr>
        <w:t>ETPCz</w:t>
      </w:r>
      <w:proofErr w:type="spellEnd"/>
      <w:r w:rsidRPr="00D47D22">
        <w:rPr>
          <w:rFonts w:ascii="Times New Roman" w:hAnsi="Times New Roman" w:cs="Times New Roman"/>
          <w:lang w:val="pl-PL"/>
        </w:rPr>
        <w:t xml:space="preserve"> obejmuje zarówno konwencję, jak i protokoły do niej. Znaczenie i zakres gwarantowanych praw określają nie tylko teksty tych aktów, ale również orzecznictwo Europejskiego Trybunału Praw Człowieka i Trybunału Sprawiedliwości Wspólnot Europejskich ". </w:t>
      </w:r>
    </w:p>
  </w:footnote>
  <w:footnote w:id="33">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Decyzja Ramowa Rady 2002/584/JHA z 13 czerwca  2002</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34">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Decyzja Ramowa Rady 2003/577/JHA z 22 lipca 2003</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35">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Decyzja Ramowa Rady 2006/783/JHA z 6 października 2006</w:t>
      </w:r>
      <w:r>
        <w:rPr>
          <w:rFonts w:ascii="Times New Roman" w:hAnsi="Times New Roman" w:cs="Times New Roman"/>
          <w:lang w:val="pl-PL"/>
        </w:rPr>
        <w:t xml:space="preserve"> roku</w:t>
      </w:r>
      <w:r w:rsidRPr="00D47D22">
        <w:rPr>
          <w:rFonts w:ascii="Times New Roman" w:hAnsi="Times New Roman" w:cs="Times New Roman"/>
          <w:lang w:val="pl-PL"/>
        </w:rPr>
        <w:t xml:space="preserve">. </w:t>
      </w:r>
    </w:p>
  </w:footnote>
  <w:footnote w:id="36">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Decyzja Ramowa Rady 2008/947/JHA z  27 listopada 2008</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37">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Decyzja Ramowa Rady 2008/978/JHA z 18 grudnia 2008</w:t>
      </w:r>
      <w:r>
        <w:rPr>
          <w:rFonts w:ascii="Times New Roman" w:hAnsi="Times New Roman" w:cs="Times New Roman"/>
          <w:lang w:val="pl-PL"/>
        </w:rPr>
        <w:t xml:space="preserve"> roku</w:t>
      </w:r>
      <w:r w:rsidRPr="00D47D22">
        <w:rPr>
          <w:rFonts w:ascii="Times New Roman" w:hAnsi="Times New Roman" w:cs="Times New Roman"/>
          <w:lang w:val="pl-PL"/>
        </w:rPr>
        <w:t xml:space="preserve">. </w:t>
      </w:r>
    </w:p>
  </w:footnote>
  <w:footnote w:id="38">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Decyzja Ramowa Rady 2009/829/JHA z 23 października 2009</w:t>
      </w:r>
      <w:r>
        <w:rPr>
          <w:rFonts w:ascii="Times New Roman" w:hAnsi="Times New Roman" w:cs="Times New Roman"/>
          <w:lang w:val="pl-PL"/>
        </w:rPr>
        <w:t xml:space="preserve"> roku</w:t>
      </w:r>
      <w:r w:rsidRPr="00D47D22">
        <w:rPr>
          <w:rFonts w:ascii="Times New Roman" w:hAnsi="Times New Roman" w:cs="Times New Roman"/>
          <w:lang w:val="pl-PL"/>
        </w:rPr>
        <w:t>.</w:t>
      </w:r>
      <w:r w:rsidRPr="00D47D22">
        <w:rPr>
          <w:rFonts w:ascii="Times New Roman" w:hAnsi="Times New Roman" w:cs="Times New Roman"/>
          <w:color w:val="000000"/>
          <w:sz w:val="19"/>
          <w:szCs w:val="19"/>
          <w:lang w:val="pl-PL"/>
        </w:rPr>
        <w:t xml:space="preserve"> </w:t>
      </w:r>
    </w:p>
  </w:footnote>
  <w:footnote w:id="39">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Decyzja Ramowa Rady 2009/948/JHA z 30 listopada 2009</w:t>
      </w:r>
      <w:r>
        <w:rPr>
          <w:rFonts w:ascii="Times New Roman" w:hAnsi="Times New Roman" w:cs="Times New Roman"/>
          <w:lang w:val="pl-PL"/>
        </w:rPr>
        <w:t xml:space="preserve"> roku</w:t>
      </w:r>
      <w:r w:rsidRPr="00D47D22">
        <w:rPr>
          <w:rFonts w:ascii="Times New Roman" w:hAnsi="Times New Roman" w:cs="Times New Roman"/>
          <w:lang w:val="pl-PL"/>
        </w:rPr>
        <w:t xml:space="preserve">.  </w:t>
      </w:r>
    </w:p>
  </w:footnote>
  <w:footnote w:id="40">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Sprawa 14⁄68, 13 lutego 1969</w:t>
      </w:r>
      <w:r>
        <w:rPr>
          <w:rFonts w:ascii="Times New Roman" w:hAnsi="Times New Roman" w:cs="Times New Roman"/>
          <w:lang w:val="pl-PL"/>
        </w:rPr>
        <w:t xml:space="preserve"> roku</w:t>
      </w:r>
      <w:r w:rsidRPr="00D47D22">
        <w:rPr>
          <w:rFonts w:ascii="Times New Roman" w:hAnsi="Times New Roman" w:cs="Times New Roman"/>
          <w:lang w:val="pl-PL"/>
        </w:rPr>
        <w:t>, § 11.</w:t>
      </w:r>
    </w:p>
  </w:footnote>
  <w:footnote w:id="41">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Sprawa C-187⁄01 i Sprawa C-385⁄01, 11 lutego 2003</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42">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Sprawa C-469⁄03, 10 marca 2005</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43">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Sprawa C-150⁄05, 28 września 2006</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44">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Sprawa C-491⁄07, 22 grudnia 2008</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45">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Sprawa C</w:t>
      </w:r>
      <w:r w:rsidRPr="00D47D22">
        <w:rPr>
          <w:rFonts w:ascii="MS Mincho" w:eastAsia="MS Mincho" w:hAnsi="MS Mincho" w:cs="MS Mincho"/>
          <w:lang w:val="pl-PL"/>
        </w:rPr>
        <w:t>‑</w:t>
      </w:r>
      <w:r w:rsidRPr="00D47D22">
        <w:rPr>
          <w:rFonts w:ascii="Times New Roman" w:hAnsi="Times New Roman" w:cs="Times New Roman"/>
          <w:lang w:val="pl-PL"/>
        </w:rPr>
        <w:t>398⁄12, 5 czerwca 2014</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46">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Sprawa C-486⁄14, 29 czerwca 2016</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47">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Sprawa C-436⁄04, 9 marca 2006</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48">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Wspomniany powyżej</w:t>
      </w:r>
    </w:p>
  </w:footnote>
  <w:footnote w:id="49">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Sprawa C-467⁄04, 28 września 2006</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50">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Sprawa C-288⁄05, 18 lipca 2007</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51">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Sprawa C-367⁄05, 18 lipca 2007</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52">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Wspomniany powyżej.</w:t>
      </w:r>
    </w:p>
  </w:footnote>
  <w:footnote w:id="53">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Sprawa C-297⁄07, 11 grudnia 2008</w:t>
      </w:r>
      <w:r>
        <w:rPr>
          <w:rFonts w:ascii="Times New Roman" w:hAnsi="Times New Roman" w:cs="Times New Roman"/>
          <w:lang w:val="pl-PL"/>
        </w:rPr>
        <w:t xml:space="preserve"> roku</w:t>
      </w:r>
    </w:p>
  </w:footnote>
  <w:footnote w:id="54">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Sprawa C-288⁄05, 18 lipca 2007</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55">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Sprawa C-129⁄14 PPU, 27 maja 2014</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56">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r w:rsidRPr="00D47D22">
        <w:rPr>
          <w:rFonts w:ascii="Times New Roman" w:hAnsi="Times New Roman" w:cs="Times New Roman"/>
          <w:i/>
          <w:lang w:val="pl-PL"/>
        </w:rPr>
        <w:t xml:space="preserve">Hans </w:t>
      </w:r>
      <w:proofErr w:type="spellStart"/>
      <w:r w:rsidRPr="00D47D22">
        <w:rPr>
          <w:rFonts w:ascii="Times New Roman" w:hAnsi="Times New Roman" w:cs="Times New Roman"/>
          <w:i/>
          <w:lang w:val="pl-PL"/>
        </w:rPr>
        <w:t>Åkeberg</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Fransson</w:t>
      </w:r>
      <w:proofErr w:type="spellEnd"/>
      <w:r w:rsidRPr="00D47D22">
        <w:rPr>
          <w:rFonts w:ascii="Times New Roman" w:hAnsi="Times New Roman" w:cs="Times New Roman"/>
          <w:lang w:val="pl-PL"/>
        </w:rPr>
        <w:t xml:space="preserve">, wspomniany wyżej, §§ 34 i 37. </w:t>
      </w:r>
    </w:p>
  </w:footnote>
  <w:footnote w:id="57">
    <w:p w:rsidR="00AC3310" w:rsidRPr="00D47D22" w:rsidRDefault="00AC3310" w:rsidP="008E0858">
      <w:pPr>
        <w:rPr>
          <w:rFonts w:ascii="Times New Roman" w:hAnsi="Times New Roman" w:cs="Times New Roman"/>
          <w:sz w:val="20"/>
          <w:szCs w:val="20"/>
          <w:lang w:val="pl-PL"/>
        </w:rPr>
      </w:pPr>
      <w:r w:rsidRPr="00D47D22">
        <w:rPr>
          <w:rStyle w:val="Odwoanieprzypisudolnego"/>
          <w:rFonts w:ascii="Times New Roman" w:hAnsi="Times New Roman" w:cs="Times New Roman"/>
          <w:sz w:val="20"/>
          <w:szCs w:val="20"/>
          <w:vertAlign w:val="baseline"/>
          <w:lang w:val="pl-PL"/>
        </w:rPr>
        <w:footnoteRef/>
      </w:r>
      <w:r w:rsidRPr="00D47D22">
        <w:rPr>
          <w:rFonts w:ascii="Times New Roman" w:hAnsi="Times New Roman" w:cs="Times New Roman"/>
          <w:sz w:val="20"/>
          <w:szCs w:val="20"/>
          <w:lang w:val="pl-PL"/>
        </w:rPr>
        <w:t xml:space="preserve">. W pkt. 86 i 87 swojej opinii rzecznik generalny powołał się na „częściową autonomiczną wykładnię” art. 50 Karty, podnosząc, że istnieje tradycja konstytucyjna wspólna dla państw członkowskich i sprzeczna z ówczesną wykładnią art. 4 Protokołu nr 1 do Traktatu ustanawiającego Wspólnotę Europejską, przyjętą przez Trybunał w Strasburgu. które </w:t>
      </w:r>
      <w:r>
        <w:rPr>
          <w:rFonts w:ascii="Times New Roman" w:hAnsi="Times New Roman" w:cs="Times New Roman"/>
          <w:sz w:val="20"/>
          <w:szCs w:val="20"/>
          <w:lang w:val="pl-PL"/>
        </w:rPr>
        <w:t>,,</w:t>
      </w:r>
      <w:r w:rsidRPr="00D47D22">
        <w:rPr>
          <w:rFonts w:ascii="Times New Roman" w:hAnsi="Times New Roman" w:cs="Times New Roman"/>
          <w:sz w:val="20"/>
          <w:szCs w:val="20"/>
          <w:lang w:val="pl-PL"/>
        </w:rPr>
        <w:t xml:space="preserve">koliduje z powszechnym istnieniem i istnieniem w państwach członkowskich systemów, w których za to samo przestępstwo mogą być nakładane zarówno kary administracyjne, jak i karne". </w:t>
      </w:r>
    </w:p>
  </w:footnote>
  <w:footnote w:id="58">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Tak właśnie brzmi cytowany powyżej wyrok Trybunału </w:t>
      </w:r>
      <w:proofErr w:type="spellStart"/>
      <w:r w:rsidRPr="00D47D22">
        <w:rPr>
          <w:rFonts w:ascii="Times New Roman" w:hAnsi="Times New Roman" w:cs="Times New Roman"/>
          <w:i/>
          <w:lang w:val="pl-PL"/>
        </w:rPr>
        <w:t>Fransson</w:t>
      </w:r>
      <w:proofErr w:type="spellEnd"/>
      <w:r w:rsidRPr="00D47D22">
        <w:rPr>
          <w:rFonts w:ascii="Times New Roman" w:hAnsi="Times New Roman" w:cs="Times New Roman"/>
          <w:lang w:val="pl-PL"/>
        </w:rPr>
        <w:t xml:space="preserve"> w sprawie </w:t>
      </w:r>
      <w:r w:rsidRPr="00D47D22">
        <w:rPr>
          <w:rFonts w:ascii="Times New Roman" w:hAnsi="Times New Roman" w:cs="Times New Roman"/>
          <w:i/>
          <w:lang w:val="pl-PL"/>
        </w:rPr>
        <w:t>Grande Stevens i in</w:t>
      </w:r>
      <w:r w:rsidRPr="00D47D22">
        <w:rPr>
          <w:rFonts w:ascii="Times New Roman" w:hAnsi="Times New Roman" w:cs="Times New Roman"/>
          <w:lang w:val="pl-PL"/>
        </w:rPr>
        <w:t xml:space="preserve">., § 229; cytowany powyżej wyrok w sprawie </w:t>
      </w:r>
      <w:proofErr w:type="spellStart"/>
      <w:r w:rsidRPr="00D47D22">
        <w:rPr>
          <w:rFonts w:ascii="Times New Roman" w:hAnsi="Times New Roman" w:cs="Times New Roman"/>
          <w:i/>
          <w:lang w:val="pl-PL"/>
        </w:rPr>
        <w:t>Kapetanios</w:t>
      </w:r>
      <w:proofErr w:type="spellEnd"/>
      <w:r w:rsidRPr="00D47D22">
        <w:rPr>
          <w:rFonts w:ascii="Times New Roman" w:hAnsi="Times New Roman" w:cs="Times New Roman"/>
          <w:lang w:val="pl-PL"/>
        </w:rPr>
        <w:t xml:space="preserve"> i in., § 73; oraz cytowane powyżej wyroki w sprawie </w:t>
      </w:r>
      <w:proofErr w:type="spellStart"/>
      <w:r w:rsidRPr="00D47D22">
        <w:rPr>
          <w:rFonts w:ascii="Times New Roman" w:hAnsi="Times New Roman" w:cs="Times New Roman"/>
          <w:i/>
          <w:lang w:val="pl-PL"/>
        </w:rPr>
        <w:t>Sismanidis</w:t>
      </w:r>
      <w:proofErr w:type="spellEnd"/>
      <w:r w:rsidRPr="00D47D22">
        <w:rPr>
          <w:rFonts w:ascii="Times New Roman" w:hAnsi="Times New Roman" w:cs="Times New Roman"/>
          <w:i/>
          <w:lang w:val="pl-PL"/>
        </w:rPr>
        <w:t xml:space="preserve"> i </w:t>
      </w:r>
      <w:proofErr w:type="spellStart"/>
      <w:r w:rsidRPr="00D47D22">
        <w:rPr>
          <w:rFonts w:ascii="Times New Roman" w:hAnsi="Times New Roman" w:cs="Times New Roman"/>
          <w:i/>
          <w:lang w:val="pl-PL"/>
        </w:rPr>
        <w:t>Sitaridis</w:t>
      </w:r>
      <w:proofErr w:type="spellEnd"/>
      <w:r w:rsidRPr="00D47D22">
        <w:rPr>
          <w:rFonts w:ascii="Times New Roman" w:hAnsi="Times New Roman" w:cs="Times New Roman"/>
          <w:lang w:val="pl-PL"/>
        </w:rPr>
        <w:t xml:space="preserve">, § 73. </w:t>
      </w:r>
    </w:p>
  </w:footnote>
  <w:footnote w:id="59">
    <w:p w:rsidR="00AC3310" w:rsidRPr="00D47D22" w:rsidRDefault="00AC3310" w:rsidP="008E0858">
      <w:pPr>
        <w:pStyle w:val="Tekstprzypisudolnego"/>
        <w:rPr>
          <w:rFonts w:ascii="Times New Roman" w:hAnsi="Times New Roman" w:cs="Times New Roman"/>
          <w:u w:val="single"/>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wśród wielu źródeł </w:t>
      </w:r>
      <w:r w:rsidRPr="00D47D22">
        <w:rPr>
          <w:rFonts w:ascii="Times New Roman" w:hAnsi="Times New Roman" w:cs="Times New Roman"/>
          <w:i/>
          <w:lang w:val="pl-PL"/>
        </w:rPr>
        <w:t>opinio iuris</w:t>
      </w:r>
      <w:r w:rsidRPr="00D47D22">
        <w:rPr>
          <w:rFonts w:ascii="Times New Roman" w:hAnsi="Times New Roman" w:cs="Times New Roman"/>
          <w:lang w:val="pl-PL"/>
        </w:rPr>
        <w:t xml:space="preserve"> w tym względzie wnioski Międzynarodowego Stowarzyszenia Prawa Karnego (IAPL) na Czternastym Międzynarodowym Kongresie Prawa Karnego w październiku 1989 r</w:t>
      </w:r>
      <w:r>
        <w:rPr>
          <w:rFonts w:ascii="Times New Roman" w:hAnsi="Times New Roman" w:cs="Times New Roman"/>
          <w:lang w:val="pl-PL"/>
        </w:rPr>
        <w:t>oku</w:t>
      </w:r>
      <w:r w:rsidRPr="00D47D22">
        <w:rPr>
          <w:rFonts w:ascii="Times New Roman" w:hAnsi="Times New Roman" w:cs="Times New Roman"/>
          <w:lang w:val="pl-PL"/>
        </w:rPr>
        <w:t xml:space="preserve"> („Jeżeli czyn spełnia kryteria zarówno definicji przestępstwa karnego, jak i wykroczenia administracyjnego wykroczenia karnego, przestępca nie powinien być karany dwukrotnie; co najmniej należy przyznać pełne zasądzenie kary za kolejne wyroki skazujące za wszelkie sankcje już nałożone w związku z tym samym czynem ") oraz Siedemnasty Międzynarodowy Kongres Prawa Karnego we wrześniu 2004 r</w:t>
      </w:r>
      <w:r>
        <w:rPr>
          <w:rFonts w:ascii="Times New Roman" w:hAnsi="Times New Roman" w:cs="Times New Roman"/>
          <w:lang w:val="pl-PL"/>
        </w:rPr>
        <w:t>oku</w:t>
      </w:r>
      <w:r w:rsidRPr="00D47D22">
        <w:rPr>
          <w:rFonts w:ascii="Times New Roman" w:hAnsi="Times New Roman" w:cs="Times New Roman"/>
          <w:lang w:val="pl-PL"/>
        </w:rPr>
        <w:t xml:space="preserve"> („W każdym razie należy unikać podwójnego ścigania i sankcji o charakterze karnym "); zasada 9 zasad </w:t>
      </w:r>
      <w:proofErr w:type="spellStart"/>
      <w:r w:rsidRPr="00D47D22">
        <w:rPr>
          <w:rFonts w:ascii="Times New Roman" w:hAnsi="Times New Roman" w:cs="Times New Roman"/>
          <w:lang w:val="pl-PL"/>
        </w:rPr>
        <w:t>Princeton</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Principles</w:t>
      </w:r>
      <w:proofErr w:type="spellEnd"/>
      <w:r w:rsidRPr="00D47D22">
        <w:rPr>
          <w:rFonts w:ascii="Times New Roman" w:hAnsi="Times New Roman" w:cs="Times New Roman"/>
          <w:lang w:val="pl-PL"/>
        </w:rPr>
        <w:t xml:space="preserve"> on Universal </w:t>
      </w:r>
      <w:proofErr w:type="spellStart"/>
      <w:r w:rsidRPr="00D47D22">
        <w:rPr>
          <w:rFonts w:ascii="Times New Roman" w:hAnsi="Times New Roman" w:cs="Times New Roman"/>
          <w:lang w:val="pl-PL"/>
        </w:rPr>
        <w:t>Jurisdiction</w:t>
      </w:r>
      <w:proofErr w:type="spellEnd"/>
      <w:r w:rsidRPr="00D47D22">
        <w:rPr>
          <w:rFonts w:ascii="Times New Roman" w:hAnsi="Times New Roman" w:cs="Times New Roman"/>
          <w:lang w:val="pl-PL"/>
        </w:rPr>
        <w:t>, 2001</w:t>
      </w:r>
      <w:r>
        <w:rPr>
          <w:rFonts w:ascii="Times New Roman" w:hAnsi="Times New Roman" w:cs="Times New Roman"/>
          <w:lang w:val="pl-PL"/>
        </w:rPr>
        <w:t xml:space="preserve"> roku</w:t>
      </w:r>
      <w:r w:rsidRPr="00D47D22">
        <w:rPr>
          <w:rFonts w:ascii="Times New Roman" w:hAnsi="Times New Roman" w:cs="Times New Roman"/>
          <w:lang w:val="pl-PL"/>
        </w:rPr>
        <w:t xml:space="preserve">; oraz </w:t>
      </w:r>
      <w:proofErr w:type="spellStart"/>
      <w:r w:rsidRPr="00D47D22">
        <w:rPr>
          <w:rFonts w:ascii="Times New Roman" w:hAnsi="Times New Roman" w:cs="Times New Roman"/>
          <w:lang w:val="pl-PL"/>
        </w:rPr>
        <w:t>Anke</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Biehler</w:t>
      </w:r>
      <w:proofErr w:type="spellEnd"/>
      <w:r w:rsidRPr="00D47D22">
        <w:rPr>
          <w:rFonts w:ascii="Times New Roman" w:hAnsi="Times New Roman" w:cs="Times New Roman"/>
          <w:lang w:val="pl-PL"/>
        </w:rPr>
        <w:t xml:space="preserve"> et al. (red.), Freiburg </w:t>
      </w:r>
      <w:proofErr w:type="spellStart"/>
      <w:r w:rsidRPr="00D47D22">
        <w:rPr>
          <w:rFonts w:ascii="Times New Roman" w:hAnsi="Times New Roman" w:cs="Times New Roman"/>
          <w:lang w:val="pl-PL"/>
        </w:rPr>
        <w:t>Proposal</w:t>
      </w:r>
      <w:proofErr w:type="spellEnd"/>
      <w:r w:rsidRPr="00D47D22">
        <w:rPr>
          <w:rFonts w:ascii="Times New Roman" w:hAnsi="Times New Roman" w:cs="Times New Roman"/>
          <w:lang w:val="pl-PL"/>
        </w:rPr>
        <w:t xml:space="preserve"> on </w:t>
      </w:r>
      <w:proofErr w:type="spellStart"/>
      <w:r w:rsidRPr="00D47D22">
        <w:rPr>
          <w:rFonts w:ascii="Times New Roman" w:hAnsi="Times New Roman" w:cs="Times New Roman"/>
          <w:lang w:val="pl-PL"/>
        </w:rPr>
        <w:t>Concurrent</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Jurisdictions</w:t>
      </w:r>
      <w:proofErr w:type="spellEnd"/>
      <w:r w:rsidRPr="00D47D22">
        <w:rPr>
          <w:rFonts w:ascii="Times New Roman" w:hAnsi="Times New Roman" w:cs="Times New Roman"/>
          <w:lang w:val="pl-PL"/>
        </w:rPr>
        <w:t xml:space="preserve"> and the </w:t>
      </w:r>
      <w:proofErr w:type="spellStart"/>
      <w:r w:rsidRPr="00D47D22">
        <w:rPr>
          <w:rFonts w:ascii="Times New Roman" w:hAnsi="Times New Roman" w:cs="Times New Roman"/>
          <w:lang w:val="pl-PL"/>
        </w:rPr>
        <w:t>Prohibition</w:t>
      </w:r>
      <w:proofErr w:type="spellEnd"/>
      <w:r w:rsidRPr="00D47D22">
        <w:rPr>
          <w:rFonts w:ascii="Times New Roman" w:hAnsi="Times New Roman" w:cs="Times New Roman"/>
          <w:lang w:val="pl-PL"/>
        </w:rPr>
        <w:t xml:space="preserve"> of </w:t>
      </w:r>
      <w:proofErr w:type="spellStart"/>
      <w:r w:rsidRPr="00D47D22">
        <w:rPr>
          <w:rFonts w:ascii="Times New Roman" w:hAnsi="Times New Roman" w:cs="Times New Roman"/>
          <w:lang w:val="pl-PL"/>
        </w:rPr>
        <w:t>Multiple</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Prosecutions</w:t>
      </w:r>
      <w:proofErr w:type="spellEnd"/>
      <w:r w:rsidRPr="00D47D22">
        <w:rPr>
          <w:rFonts w:ascii="Times New Roman" w:hAnsi="Times New Roman" w:cs="Times New Roman"/>
          <w:lang w:val="pl-PL"/>
        </w:rPr>
        <w:t xml:space="preserve"> in the </w:t>
      </w:r>
      <w:proofErr w:type="spellStart"/>
      <w:r w:rsidRPr="00D47D22">
        <w:rPr>
          <w:rFonts w:ascii="Times New Roman" w:hAnsi="Times New Roman" w:cs="Times New Roman"/>
          <w:lang w:val="pl-PL"/>
        </w:rPr>
        <w:t>European</w:t>
      </w:r>
      <w:proofErr w:type="spellEnd"/>
      <w:r w:rsidRPr="00D47D22">
        <w:rPr>
          <w:rFonts w:ascii="Times New Roman" w:hAnsi="Times New Roman" w:cs="Times New Roman"/>
          <w:lang w:val="pl-PL"/>
        </w:rPr>
        <w:t xml:space="preserve"> Union, 2003.</w:t>
      </w:r>
    </w:p>
  </w:footnote>
  <w:footnote w:id="60">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IAPL, Czternasty Kongres Międzynarodowy, cytowany powyżej: „Dekryminalizacja naruszeń jest zgodna z zasadą pomocniczości prawa karnego i w związku z tym przyjmuje się ją z zadowoleniem".</w:t>
      </w:r>
    </w:p>
  </w:footnote>
  <w:footnote w:id="61">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r w:rsidRPr="00D47D22">
        <w:rPr>
          <w:rFonts w:ascii="Times New Roman" w:hAnsi="Times New Roman" w:cs="Times New Roman"/>
          <w:i/>
          <w:lang w:val="pl-PL"/>
        </w:rPr>
        <w:t xml:space="preserve">A. </w:t>
      </w:r>
      <w:proofErr w:type="spellStart"/>
      <w:r w:rsidRPr="00D47D22">
        <w:rPr>
          <w:rFonts w:ascii="Times New Roman" w:hAnsi="Times New Roman" w:cs="Times New Roman"/>
          <w:i/>
          <w:lang w:val="pl-PL"/>
        </w:rPr>
        <w:t>Menarini</w:t>
      </w:r>
      <w:proofErr w:type="spellEnd"/>
      <w:r w:rsidRPr="00D47D22">
        <w:rPr>
          <w:rFonts w:ascii="Times New Roman" w:hAnsi="Times New Roman" w:cs="Times New Roman"/>
          <w:i/>
          <w:lang w:val="pl-PL"/>
        </w:rPr>
        <w:t xml:space="preserve"> Diagnostics S.R.L. przeciwko Włochom </w:t>
      </w:r>
      <w:proofErr w:type="spellStart"/>
      <w:r w:rsidRPr="00D47D22">
        <w:rPr>
          <w:rFonts w:ascii="Times New Roman" w:hAnsi="Times New Roman" w:cs="Times New Roman"/>
          <w:i/>
          <w:lang w:val="pl-PL"/>
        </w:rPr>
        <w:t>Italy</w:t>
      </w:r>
      <w:proofErr w:type="spellEnd"/>
      <w:r w:rsidRPr="00D47D22">
        <w:rPr>
          <w:rFonts w:ascii="Times New Roman" w:hAnsi="Times New Roman" w:cs="Times New Roman"/>
          <w:lang w:val="pl-PL"/>
        </w:rPr>
        <w:t>, no. 43509/08, 27 września 2011</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62">
    <w:p w:rsidR="00AC3310" w:rsidRPr="00D47D22" w:rsidRDefault="00AC3310" w:rsidP="008E085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r w:rsidRPr="00D47D22">
        <w:rPr>
          <w:rFonts w:ascii="Times New Roman" w:hAnsi="Times New Roman" w:cs="Times New Roman"/>
          <w:i/>
          <w:lang w:val="pl-PL"/>
        </w:rPr>
        <w:t>Grande Stevens i Inni,</w:t>
      </w:r>
      <w:r w:rsidRPr="00D47D22">
        <w:rPr>
          <w:rFonts w:ascii="Times New Roman" w:hAnsi="Times New Roman" w:cs="Times New Roman"/>
          <w:lang w:val="pl-PL"/>
        </w:rPr>
        <w:t xml:space="preserve"> cytowane wyżej.</w:t>
      </w:r>
    </w:p>
  </w:footnote>
  <w:footnote w:id="63">
    <w:p w:rsidR="00AC3310" w:rsidRPr="00D47D22" w:rsidRDefault="00AC3310" w:rsidP="00CF50A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Engel</w:t>
      </w:r>
      <w:proofErr w:type="spellEnd"/>
      <w:r w:rsidRPr="00D47D22">
        <w:rPr>
          <w:rFonts w:ascii="Times New Roman" w:hAnsi="Times New Roman" w:cs="Times New Roman"/>
          <w:i/>
          <w:lang w:val="pl-PL"/>
        </w:rPr>
        <w:t xml:space="preserve"> I inni p. Niderlandom</w:t>
      </w:r>
      <w:r w:rsidRPr="00D47D22">
        <w:rPr>
          <w:rFonts w:ascii="Times New Roman" w:hAnsi="Times New Roman" w:cs="Times New Roman"/>
          <w:lang w:val="pl-PL"/>
        </w:rPr>
        <w:t>, 8 czerwca 1976</w:t>
      </w:r>
      <w:r>
        <w:rPr>
          <w:rFonts w:ascii="Times New Roman" w:hAnsi="Times New Roman" w:cs="Times New Roman"/>
          <w:lang w:val="pl-PL"/>
        </w:rPr>
        <w:t xml:space="preserve"> roku</w:t>
      </w:r>
      <w:r w:rsidRPr="00D47D22">
        <w:rPr>
          <w:rFonts w:ascii="Times New Roman" w:hAnsi="Times New Roman" w:cs="Times New Roman"/>
          <w:lang w:val="pl-PL"/>
        </w:rPr>
        <w:t>, Series A no. 22.</w:t>
      </w:r>
    </w:p>
  </w:footnote>
  <w:footnote w:id="64">
    <w:p w:rsidR="00AC3310" w:rsidRPr="00D47D22" w:rsidRDefault="00AC3310" w:rsidP="00CF50A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Öztürk</w:t>
      </w:r>
      <w:proofErr w:type="spellEnd"/>
      <w:r w:rsidRPr="00D47D22">
        <w:rPr>
          <w:rFonts w:ascii="Times New Roman" w:hAnsi="Times New Roman" w:cs="Times New Roman"/>
          <w:i/>
          <w:lang w:val="pl-PL"/>
        </w:rPr>
        <w:t xml:space="preserve"> p Niemcom</w:t>
      </w:r>
      <w:r w:rsidRPr="00D47D22">
        <w:rPr>
          <w:rFonts w:ascii="Times New Roman" w:hAnsi="Times New Roman" w:cs="Times New Roman"/>
          <w:lang w:val="pl-PL"/>
        </w:rPr>
        <w:t>, 21 lutego 1984</w:t>
      </w:r>
      <w:r>
        <w:rPr>
          <w:rFonts w:ascii="Times New Roman" w:hAnsi="Times New Roman" w:cs="Times New Roman"/>
          <w:lang w:val="pl-PL"/>
        </w:rPr>
        <w:t xml:space="preserve"> roku</w:t>
      </w:r>
      <w:r w:rsidRPr="00D47D22">
        <w:rPr>
          <w:rFonts w:ascii="Times New Roman" w:hAnsi="Times New Roman" w:cs="Times New Roman"/>
          <w:lang w:val="pl-PL"/>
        </w:rPr>
        <w:t>, § 53, Series A no. 73:</w:t>
      </w:r>
      <w:r w:rsidRPr="00D47D22">
        <w:rPr>
          <w:lang w:val="pl-PL"/>
        </w:rPr>
        <w:t xml:space="preserve"> </w:t>
      </w:r>
      <w:r w:rsidRPr="00D47D22">
        <w:rPr>
          <w:rFonts w:ascii="Times New Roman" w:hAnsi="Times New Roman" w:cs="Times New Roman"/>
          <w:lang w:val="pl-PL"/>
        </w:rPr>
        <w:t xml:space="preserve">„Nie ma znaczenia, czy przepis prawny naruszony przez pana </w:t>
      </w:r>
      <w:proofErr w:type="spellStart"/>
      <w:r w:rsidRPr="00D47D22">
        <w:rPr>
          <w:rFonts w:ascii="Times New Roman" w:hAnsi="Times New Roman" w:cs="Times New Roman"/>
          <w:lang w:val="pl-PL"/>
        </w:rPr>
        <w:t>Öztürka</w:t>
      </w:r>
      <w:proofErr w:type="spellEnd"/>
      <w:r w:rsidRPr="00D47D22">
        <w:rPr>
          <w:rFonts w:ascii="Times New Roman" w:hAnsi="Times New Roman" w:cs="Times New Roman"/>
          <w:lang w:val="pl-PL"/>
        </w:rPr>
        <w:t xml:space="preserve"> ma na celu ochronę praw i interesów innych osób, czy też wyłącznie zaspokojenie potrzeb ruchu drogowego”.  </w:t>
      </w:r>
    </w:p>
  </w:footnote>
  <w:footnote w:id="65">
    <w:p w:rsidR="00AC3310" w:rsidRPr="00D47D22" w:rsidRDefault="00AC3310" w:rsidP="00CF50A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Ibid., § 54 „Względny brak powagi danej kary (....) nie może pozbawiać się przestępstwa o charakterze karnym” Zob. również </w:t>
      </w:r>
      <w:r w:rsidRPr="00D47D22">
        <w:rPr>
          <w:rFonts w:ascii="Times New Roman" w:hAnsi="Times New Roman" w:cs="Times New Roman"/>
          <w:i/>
          <w:lang w:val="pl-PL"/>
        </w:rPr>
        <w:t xml:space="preserve">Lutz p.. Niemcom, </w:t>
      </w:r>
      <w:r w:rsidRPr="00D47D22">
        <w:rPr>
          <w:rFonts w:ascii="Times New Roman" w:hAnsi="Times New Roman" w:cs="Times New Roman"/>
          <w:lang w:val="pl-PL"/>
        </w:rPr>
        <w:t xml:space="preserve"> 25 sierpnia 1987</w:t>
      </w:r>
      <w:r>
        <w:rPr>
          <w:rFonts w:ascii="Times New Roman" w:hAnsi="Times New Roman" w:cs="Times New Roman"/>
          <w:lang w:val="pl-PL"/>
        </w:rPr>
        <w:t xml:space="preserve"> roku</w:t>
      </w:r>
      <w:r w:rsidRPr="00D47D22">
        <w:rPr>
          <w:rFonts w:ascii="Times New Roman" w:hAnsi="Times New Roman" w:cs="Times New Roman"/>
          <w:lang w:val="pl-PL"/>
        </w:rPr>
        <w:t xml:space="preserve">, § 55, Seria A no. 123, and </w:t>
      </w:r>
      <w:proofErr w:type="spellStart"/>
      <w:r w:rsidRPr="00D47D22">
        <w:rPr>
          <w:rFonts w:ascii="Times New Roman" w:hAnsi="Times New Roman" w:cs="Times New Roman"/>
          <w:i/>
          <w:lang w:val="pl-PL"/>
        </w:rPr>
        <w:t>Jussila</w:t>
      </w:r>
      <w:proofErr w:type="spellEnd"/>
      <w:r w:rsidRPr="00D47D22">
        <w:rPr>
          <w:rFonts w:ascii="Times New Roman" w:hAnsi="Times New Roman" w:cs="Times New Roman"/>
          <w:i/>
          <w:lang w:val="pl-PL"/>
        </w:rPr>
        <w:t xml:space="preserve"> p. Finlandii  </w:t>
      </w:r>
      <w:r w:rsidRPr="00D47D22">
        <w:rPr>
          <w:rFonts w:ascii="Times New Roman" w:hAnsi="Times New Roman" w:cs="Times New Roman"/>
          <w:lang w:val="pl-PL"/>
        </w:rPr>
        <w:t>[GC], no. 73053/01, § 31, ECHR 2006</w:t>
      </w:r>
      <w:r w:rsidRPr="00D47D22">
        <w:rPr>
          <w:rFonts w:ascii="Times New Roman" w:hAnsi="Times New Roman" w:cs="Times New Roman"/>
          <w:lang w:val="pl-PL"/>
        </w:rPr>
        <w:noBreakHyphen/>
        <w:t>XIII.</w:t>
      </w:r>
    </w:p>
  </w:footnote>
  <w:footnote w:id="66">
    <w:p w:rsidR="00AC3310" w:rsidRPr="00D47D22" w:rsidRDefault="00AC3310" w:rsidP="00CF50A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Öztürk</w:t>
      </w:r>
      <w:proofErr w:type="spellEnd"/>
      <w:r w:rsidRPr="00D47D22">
        <w:rPr>
          <w:rFonts w:ascii="Times New Roman" w:hAnsi="Times New Roman" w:cs="Times New Roman"/>
          <w:lang w:val="pl-PL"/>
        </w:rPr>
        <w:t>, cytowane wyżej § 53: „Okoliczność, że bezsprzecznie było to drobne przestępstwo, które nie zaszkodzi reputacji sprawcy, nie wykracza poza zakres zastosowania art. 6. W rzeczywistości nic nie wskazuje na to, że przestępstwo, o którym mowa w konwencji, musi implikować pewien stopień powagi ".</w:t>
      </w:r>
    </w:p>
  </w:footnote>
  <w:footnote w:id="67">
    <w:p w:rsidR="00AC3310" w:rsidRPr="00D47D22" w:rsidRDefault="00AC3310" w:rsidP="00CF50A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lang w:val="pl-PL"/>
        </w:rPr>
        <w:t>Ibid</w:t>
      </w:r>
      <w:proofErr w:type="spellEnd"/>
      <w:r w:rsidRPr="00D47D22">
        <w:rPr>
          <w:rFonts w:ascii="Times New Roman" w:hAnsi="Times New Roman" w:cs="Times New Roman"/>
          <w:lang w:val="pl-PL"/>
        </w:rPr>
        <w:t>: „Byłoby to sprzeczne z przedmiotem i celem art. 6, który gwarantuje "każdemu oskarżonemu o popełnienie przestępstwa" prawo do sądu i do rzetelnego procesu sądowego, gdyby państwo mogło usunąć z zakresu tego artykułu całą kategorię przestępstw jedynie na podstawie uznania ich za drobne”.</w:t>
      </w:r>
    </w:p>
  </w:footnote>
  <w:footnote w:id="68">
    <w:p w:rsidR="00AC3310" w:rsidRPr="00D47D22" w:rsidRDefault="00AC3310" w:rsidP="00584A5C">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Ibid.</w:t>
      </w:r>
    </w:p>
  </w:footnote>
  <w:footnote w:id="69">
    <w:p w:rsidR="00AC3310" w:rsidRPr="00D47D22" w:rsidRDefault="00AC3310" w:rsidP="00584A5C">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Ibid. </w:t>
      </w:r>
    </w:p>
  </w:footnote>
  <w:footnote w:id="70">
    <w:p w:rsidR="00AC3310" w:rsidRPr="00D47D22" w:rsidRDefault="00AC3310" w:rsidP="00F81449">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Jeśli chodzi o tego rodzaju przestępstwa zob. </w:t>
      </w:r>
      <w:proofErr w:type="spellStart"/>
      <w:r w:rsidRPr="00D47D22">
        <w:rPr>
          <w:rFonts w:ascii="Times New Roman" w:hAnsi="Times New Roman" w:cs="Times New Roman"/>
          <w:lang w:val="pl-PL"/>
        </w:rPr>
        <w:t>Roxin</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Täterschaft</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und</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Tatherrschaft</w:t>
      </w:r>
      <w:proofErr w:type="spellEnd"/>
      <w:r w:rsidRPr="00D47D22">
        <w:rPr>
          <w:rFonts w:ascii="Times New Roman" w:hAnsi="Times New Roman" w:cs="Times New Roman"/>
          <w:lang w:val="pl-PL"/>
        </w:rPr>
        <w:t>, Berlin, 9 wydanie, 2015</w:t>
      </w:r>
      <w:r>
        <w:rPr>
          <w:rFonts w:ascii="Times New Roman" w:hAnsi="Times New Roman" w:cs="Times New Roman"/>
          <w:lang w:val="pl-PL"/>
        </w:rPr>
        <w:t xml:space="preserve"> roku</w:t>
      </w:r>
      <w:r w:rsidRPr="00D47D22">
        <w:rPr>
          <w:rFonts w:ascii="Times New Roman" w:hAnsi="Times New Roman" w:cs="Times New Roman"/>
          <w:lang w:val="pl-PL"/>
        </w:rPr>
        <w:t xml:space="preserve">, i </w:t>
      </w:r>
      <w:proofErr w:type="spellStart"/>
      <w:r w:rsidRPr="00D47D22">
        <w:rPr>
          <w:rFonts w:ascii="Times New Roman" w:hAnsi="Times New Roman" w:cs="Times New Roman"/>
          <w:lang w:val="pl-PL"/>
        </w:rPr>
        <w:t>Langer</w:t>
      </w:r>
      <w:proofErr w:type="spellEnd"/>
      <w:r w:rsidRPr="00D47D22">
        <w:rPr>
          <w:rFonts w:ascii="Times New Roman" w:hAnsi="Times New Roman" w:cs="Times New Roman"/>
          <w:lang w:val="pl-PL"/>
        </w:rPr>
        <w:t xml:space="preserve">, </w:t>
      </w:r>
      <w:r w:rsidRPr="00D47D22">
        <w:rPr>
          <w:rFonts w:ascii="Times New Roman" w:hAnsi="Times New Roman" w:cs="Times New Roman"/>
          <w:i/>
          <w:lang w:val="pl-PL"/>
        </w:rPr>
        <w:t xml:space="preserve">Das </w:t>
      </w:r>
      <w:proofErr w:type="spellStart"/>
      <w:r w:rsidRPr="00D47D22">
        <w:rPr>
          <w:rFonts w:ascii="Times New Roman" w:hAnsi="Times New Roman" w:cs="Times New Roman"/>
          <w:i/>
          <w:lang w:val="pl-PL"/>
        </w:rPr>
        <w:t>Sonderverbrechen</w:t>
      </w:r>
      <w:proofErr w:type="spellEnd"/>
      <w:r w:rsidRPr="00D47D22">
        <w:rPr>
          <w:rFonts w:ascii="Times New Roman" w:hAnsi="Times New Roman" w:cs="Times New Roman"/>
          <w:lang w:val="pl-PL"/>
        </w:rPr>
        <w:t>, Berlin, 1972</w:t>
      </w:r>
      <w:r>
        <w:rPr>
          <w:rFonts w:ascii="Times New Roman" w:hAnsi="Times New Roman" w:cs="Times New Roman"/>
          <w:lang w:val="pl-PL"/>
        </w:rPr>
        <w:t xml:space="preserve"> rok</w:t>
      </w:r>
      <w:r w:rsidRPr="00D47D22">
        <w:rPr>
          <w:rFonts w:ascii="Times New Roman" w:hAnsi="Times New Roman" w:cs="Times New Roman"/>
          <w:lang w:val="pl-PL"/>
        </w:rPr>
        <w:t xml:space="preserve">. W literaturze naukowej rozróżnia się „prawidłowe przestępstwa szczególne" </w:t>
      </w:r>
      <w:r w:rsidRPr="00D47D22">
        <w:rPr>
          <w:rFonts w:ascii="Times New Roman" w:hAnsi="Times New Roman" w:cs="Times New Roman"/>
          <w:i/>
          <w:lang w:val="pl-PL"/>
        </w:rPr>
        <w:t>(</w:t>
      </w:r>
      <w:proofErr w:type="spellStart"/>
      <w:r w:rsidRPr="00D47D22">
        <w:rPr>
          <w:rFonts w:ascii="Times New Roman" w:hAnsi="Times New Roman" w:cs="Times New Roman"/>
          <w:i/>
          <w:lang w:val="pl-PL"/>
        </w:rPr>
        <w:t>echte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Sonderdelikte</w:t>
      </w:r>
      <w:proofErr w:type="spellEnd"/>
      <w:r w:rsidRPr="00D47D22">
        <w:rPr>
          <w:rFonts w:ascii="Times New Roman" w:hAnsi="Times New Roman" w:cs="Times New Roman"/>
          <w:i/>
          <w:lang w:val="pl-PL"/>
        </w:rPr>
        <w:t>)</w:t>
      </w:r>
      <w:r w:rsidRPr="00D47D22">
        <w:rPr>
          <w:rFonts w:ascii="Times New Roman" w:hAnsi="Times New Roman" w:cs="Times New Roman"/>
          <w:lang w:val="pl-PL"/>
        </w:rPr>
        <w:t xml:space="preserve">, które mogą być popełniane wyłącznie przez osobę posiadającą określony status lub znajdującą się w określonej sytuacji, a „nieprawidłowe przestępstwa szczególne" </w:t>
      </w:r>
      <w:r w:rsidRPr="00D47D22">
        <w:rPr>
          <w:rFonts w:ascii="Times New Roman" w:hAnsi="Times New Roman" w:cs="Times New Roman"/>
          <w:i/>
          <w:lang w:val="pl-PL"/>
        </w:rPr>
        <w:t>(</w:t>
      </w:r>
      <w:proofErr w:type="spellStart"/>
      <w:r w:rsidRPr="00D47D22">
        <w:rPr>
          <w:rFonts w:ascii="Times New Roman" w:hAnsi="Times New Roman" w:cs="Times New Roman"/>
          <w:i/>
          <w:lang w:val="pl-PL"/>
        </w:rPr>
        <w:t>unechte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Sonderdelikte</w:t>
      </w:r>
      <w:proofErr w:type="spellEnd"/>
      <w:r w:rsidRPr="00D47D22">
        <w:rPr>
          <w:rFonts w:ascii="Times New Roman" w:hAnsi="Times New Roman" w:cs="Times New Roman"/>
          <w:i/>
          <w:lang w:val="pl-PL"/>
        </w:rPr>
        <w:t>)</w:t>
      </w:r>
      <w:r w:rsidRPr="00D47D22">
        <w:rPr>
          <w:rFonts w:ascii="Times New Roman" w:hAnsi="Times New Roman" w:cs="Times New Roman"/>
          <w:lang w:val="pl-PL"/>
        </w:rPr>
        <w:t xml:space="preserve">, które mogą zostać popełnione przez każdą osobę, ale podlegają zaostrzonej karze, jeżeli zostały popełnione przez osobę o określonym statusie lub w określonej sytuacji. Trybunał nie wspomniał o tym rozróżnieniu w sprawie </w:t>
      </w:r>
      <w:proofErr w:type="spellStart"/>
      <w:r w:rsidRPr="00D47D22">
        <w:rPr>
          <w:rFonts w:ascii="Times New Roman" w:hAnsi="Times New Roman" w:cs="Times New Roman"/>
          <w:i/>
          <w:lang w:val="pl-PL"/>
        </w:rPr>
        <w:t>Öztürk</w:t>
      </w:r>
      <w:proofErr w:type="spellEnd"/>
      <w:r w:rsidRPr="00D47D22">
        <w:rPr>
          <w:rFonts w:ascii="Times New Roman" w:hAnsi="Times New Roman" w:cs="Times New Roman"/>
          <w:lang w:val="pl-PL"/>
        </w:rPr>
        <w:t xml:space="preserve">. </w:t>
      </w:r>
      <w:r w:rsidRPr="00D47D22">
        <w:rPr>
          <w:rFonts w:ascii="Times New Roman" w:hAnsi="Times New Roman" w:cs="Times New Roman"/>
          <w:u w:val="single"/>
          <w:lang w:val="pl-PL"/>
        </w:rPr>
        <w:t xml:space="preserve"> </w:t>
      </w:r>
    </w:p>
  </w:footnote>
  <w:footnote w:id="71">
    <w:p w:rsidR="00AC3310" w:rsidRPr="00D47D22" w:rsidRDefault="00AC3310" w:rsidP="00F81449">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Dla Trybunału jest oczywiste, że dekryminalizacja wiąże się z drobnymi przestępstwami, które nie mają stygmatyzacji społecznej (zob. </w:t>
      </w:r>
      <w:r w:rsidRPr="00D47D22">
        <w:rPr>
          <w:rFonts w:ascii="Times New Roman" w:hAnsi="Times New Roman" w:cs="Times New Roman"/>
          <w:i/>
          <w:lang w:val="pl-PL"/>
        </w:rPr>
        <w:t>Lutz</w:t>
      </w:r>
      <w:r w:rsidRPr="00D47D22">
        <w:rPr>
          <w:rFonts w:ascii="Times New Roman" w:hAnsi="Times New Roman" w:cs="Times New Roman"/>
          <w:lang w:val="pl-PL"/>
        </w:rPr>
        <w:t>, cytowany wyżej,§ 57).</w:t>
      </w:r>
    </w:p>
  </w:footnote>
  <w:footnote w:id="72">
    <w:p w:rsidR="00AC3310" w:rsidRPr="00D47D22" w:rsidRDefault="00AC3310" w:rsidP="00584A5C">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Krytykowałem już ten trend w moich opiniach dołączonych do cytowanych wyżej A. </w:t>
      </w:r>
      <w:proofErr w:type="spellStart"/>
      <w:r w:rsidRPr="00D47D22">
        <w:rPr>
          <w:rFonts w:ascii="Times New Roman" w:hAnsi="Times New Roman" w:cs="Times New Roman"/>
          <w:i/>
          <w:lang w:val="pl-PL"/>
        </w:rPr>
        <w:t>Menarini</w:t>
      </w:r>
      <w:proofErr w:type="spellEnd"/>
      <w:r w:rsidRPr="00D47D22">
        <w:rPr>
          <w:rFonts w:ascii="Times New Roman" w:hAnsi="Times New Roman" w:cs="Times New Roman"/>
          <w:i/>
          <w:lang w:val="pl-PL"/>
        </w:rPr>
        <w:t xml:space="preserve"> Diagnostics S. R. L. </w:t>
      </w:r>
      <w:r w:rsidRPr="00D47D22">
        <w:rPr>
          <w:rFonts w:ascii="Times New Roman" w:hAnsi="Times New Roman" w:cs="Times New Roman"/>
          <w:lang w:val="pl-PL"/>
        </w:rPr>
        <w:t xml:space="preserve">i </w:t>
      </w:r>
      <w:r w:rsidRPr="00D47D22">
        <w:rPr>
          <w:rFonts w:ascii="Times New Roman" w:hAnsi="Times New Roman" w:cs="Times New Roman"/>
          <w:i/>
          <w:lang w:val="pl-PL"/>
        </w:rPr>
        <w:t>Grande Stevens</w:t>
      </w:r>
      <w:r w:rsidRPr="00D47D22">
        <w:rPr>
          <w:rFonts w:ascii="Times New Roman" w:hAnsi="Times New Roman" w:cs="Times New Roman"/>
          <w:lang w:val="pl-PL"/>
        </w:rPr>
        <w:t xml:space="preserve"> i inni, cytowanych powyżej.  </w:t>
      </w:r>
    </w:p>
  </w:footnote>
  <w:footnote w:id="73">
    <w:p w:rsidR="00AC3310" w:rsidRPr="00D47D22" w:rsidRDefault="00AC3310" w:rsidP="00584A5C">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M.in., </w:t>
      </w:r>
      <w:proofErr w:type="spellStart"/>
      <w:r w:rsidRPr="00D47D22">
        <w:rPr>
          <w:rFonts w:ascii="Times New Roman" w:hAnsi="Times New Roman" w:cs="Times New Roman"/>
          <w:i/>
          <w:lang w:val="pl-PL"/>
        </w:rPr>
        <w:t>Hirsi</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Jamaa</w:t>
      </w:r>
      <w:proofErr w:type="spellEnd"/>
      <w:r w:rsidRPr="00D47D22">
        <w:rPr>
          <w:rFonts w:ascii="Times New Roman" w:hAnsi="Times New Roman" w:cs="Times New Roman"/>
          <w:i/>
          <w:lang w:val="pl-PL"/>
        </w:rPr>
        <w:t xml:space="preserve"> i Inni p. Włochom </w:t>
      </w:r>
      <w:r w:rsidRPr="00D47D22">
        <w:rPr>
          <w:rFonts w:ascii="Times New Roman" w:hAnsi="Times New Roman" w:cs="Times New Roman"/>
          <w:lang w:val="pl-PL"/>
        </w:rPr>
        <w:t xml:space="preserve">[GC], no. 27765/09, § 178, ECHR 2012,                  i </w:t>
      </w:r>
      <w:proofErr w:type="spellStart"/>
      <w:r w:rsidRPr="00D47D22">
        <w:rPr>
          <w:rFonts w:ascii="Times New Roman" w:hAnsi="Times New Roman" w:cs="Times New Roman"/>
          <w:i/>
          <w:lang w:val="pl-PL"/>
        </w:rPr>
        <w:t>Ferrazzini</w:t>
      </w:r>
      <w:proofErr w:type="spellEnd"/>
      <w:r w:rsidRPr="00D47D22">
        <w:rPr>
          <w:rFonts w:ascii="Times New Roman" w:hAnsi="Times New Roman" w:cs="Times New Roman"/>
          <w:i/>
          <w:lang w:val="pl-PL"/>
        </w:rPr>
        <w:t xml:space="preserve"> p. Włochom  </w:t>
      </w:r>
      <w:r w:rsidRPr="00D47D22">
        <w:rPr>
          <w:rFonts w:ascii="Times New Roman" w:hAnsi="Times New Roman" w:cs="Times New Roman"/>
          <w:lang w:val="pl-PL"/>
        </w:rPr>
        <w:t>[GC], no. 44759/98, § 29, ECHR 2001-VII.</w:t>
      </w:r>
    </w:p>
  </w:footnote>
  <w:footnote w:id="74">
    <w:p w:rsidR="00AC3310" w:rsidRPr="00D47D22" w:rsidRDefault="00AC3310" w:rsidP="00584A5C">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Nykänen</w:t>
      </w:r>
      <w:proofErr w:type="spellEnd"/>
      <w:r w:rsidRPr="00D47D22">
        <w:rPr>
          <w:rFonts w:ascii="Times New Roman" w:hAnsi="Times New Roman" w:cs="Times New Roman"/>
          <w:i/>
          <w:lang w:val="pl-PL"/>
        </w:rPr>
        <w:t xml:space="preserve"> </w:t>
      </w:r>
      <w:r>
        <w:rPr>
          <w:rFonts w:ascii="Times New Roman" w:hAnsi="Times New Roman" w:cs="Times New Roman"/>
          <w:i/>
          <w:lang w:val="pl-PL"/>
        </w:rPr>
        <w:t>przeciwko Finlandii</w:t>
      </w:r>
      <w:r w:rsidRPr="00D47D22">
        <w:rPr>
          <w:rFonts w:ascii="Times New Roman" w:hAnsi="Times New Roman" w:cs="Times New Roman"/>
          <w:lang w:val="pl-PL"/>
        </w:rPr>
        <w:t>, n</w:t>
      </w:r>
      <w:r>
        <w:rPr>
          <w:rFonts w:ascii="Times New Roman" w:hAnsi="Times New Roman" w:cs="Times New Roman"/>
          <w:lang w:val="pl-PL"/>
        </w:rPr>
        <w:t>r</w:t>
      </w:r>
      <w:r w:rsidRPr="00D47D22">
        <w:rPr>
          <w:rFonts w:ascii="Times New Roman" w:hAnsi="Times New Roman" w:cs="Times New Roman"/>
          <w:lang w:val="pl-PL"/>
        </w:rPr>
        <w:t xml:space="preserve"> 11828/11, § 38, 20 maja 2014</w:t>
      </w:r>
      <w:r>
        <w:rPr>
          <w:rFonts w:ascii="Times New Roman" w:hAnsi="Times New Roman" w:cs="Times New Roman"/>
          <w:lang w:val="pl-PL"/>
        </w:rPr>
        <w:t xml:space="preserve"> roku</w:t>
      </w:r>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Haarvig</w:t>
      </w:r>
      <w:proofErr w:type="spellEnd"/>
      <w:r w:rsidRPr="00D47D22">
        <w:rPr>
          <w:rFonts w:ascii="Times New Roman" w:hAnsi="Times New Roman" w:cs="Times New Roman"/>
          <w:i/>
          <w:lang w:val="pl-PL"/>
        </w:rPr>
        <w:t xml:space="preserve"> przeciwko</w:t>
      </w:r>
      <w:r>
        <w:rPr>
          <w:rFonts w:ascii="Times New Roman" w:hAnsi="Times New Roman" w:cs="Times New Roman"/>
          <w:i/>
          <w:lang w:val="pl-PL"/>
        </w:rPr>
        <w:t xml:space="preserve"> </w:t>
      </w:r>
      <w:r w:rsidRPr="00D47D22">
        <w:rPr>
          <w:rFonts w:ascii="Times New Roman" w:hAnsi="Times New Roman" w:cs="Times New Roman"/>
          <w:i/>
          <w:lang w:val="pl-PL"/>
        </w:rPr>
        <w:t xml:space="preserve">Norwegii </w:t>
      </w:r>
      <w:r>
        <w:rPr>
          <w:rFonts w:ascii="Times New Roman" w:hAnsi="Times New Roman" w:cs="Times New Roman"/>
          <w:lang w:val="pl-PL"/>
        </w:rPr>
        <w:t>(</w:t>
      </w:r>
      <w:proofErr w:type="spellStart"/>
      <w:r>
        <w:rPr>
          <w:rFonts w:ascii="Times New Roman" w:hAnsi="Times New Roman" w:cs="Times New Roman"/>
          <w:lang w:val="pl-PL"/>
        </w:rPr>
        <w:t>dec</w:t>
      </w:r>
      <w:proofErr w:type="spellEnd"/>
      <w:r>
        <w:rPr>
          <w:rFonts w:ascii="Times New Roman" w:hAnsi="Times New Roman" w:cs="Times New Roman"/>
          <w:lang w:val="pl-PL"/>
        </w:rPr>
        <w:t>.), nr</w:t>
      </w:r>
      <w:r w:rsidRPr="00D47D22">
        <w:rPr>
          <w:rFonts w:ascii="Times New Roman" w:hAnsi="Times New Roman" w:cs="Times New Roman"/>
          <w:lang w:val="pl-PL"/>
        </w:rPr>
        <w:t xml:space="preserve"> </w:t>
      </w:r>
      <w:hyperlink r:id="rId1" w:anchor="%7B" w:tgtFrame="_blank" w:history="1">
        <w:r w:rsidRPr="00D47D22">
          <w:rPr>
            <w:rFonts w:ascii="Times New Roman" w:hAnsi="Times New Roman" w:cs="Times New Roman"/>
            <w:lang w:val="pl-PL"/>
          </w:rPr>
          <w:t>11187/05</w:t>
        </w:r>
      </w:hyperlink>
      <w:r w:rsidRPr="00D47D22">
        <w:rPr>
          <w:rFonts w:ascii="Times New Roman" w:hAnsi="Times New Roman" w:cs="Times New Roman"/>
          <w:lang w:val="pl-PL"/>
        </w:rPr>
        <w:t>, 11 grudnia 2007</w:t>
      </w:r>
      <w:r>
        <w:rPr>
          <w:rFonts w:ascii="Times New Roman" w:hAnsi="Times New Roman" w:cs="Times New Roman"/>
          <w:lang w:val="pl-PL"/>
        </w:rPr>
        <w:t xml:space="preserve"> roku</w:t>
      </w:r>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Nilsson</w:t>
      </w:r>
      <w:proofErr w:type="spellEnd"/>
      <w:r w:rsidRPr="00D47D22">
        <w:rPr>
          <w:rFonts w:ascii="Times New Roman" w:hAnsi="Times New Roman" w:cs="Times New Roman"/>
          <w:i/>
          <w:lang w:val="pl-PL"/>
        </w:rPr>
        <w:t xml:space="preserve"> przeciwko Szwecji </w:t>
      </w:r>
      <w:r>
        <w:rPr>
          <w:rFonts w:ascii="Times New Roman" w:hAnsi="Times New Roman" w:cs="Times New Roman"/>
          <w:lang w:val="pl-PL"/>
        </w:rPr>
        <w:t>(</w:t>
      </w:r>
      <w:proofErr w:type="spellStart"/>
      <w:r>
        <w:rPr>
          <w:rFonts w:ascii="Times New Roman" w:hAnsi="Times New Roman" w:cs="Times New Roman"/>
          <w:lang w:val="pl-PL"/>
        </w:rPr>
        <w:t>dec</w:t>
      </w:r>
      <w:proofErr w:type="spellEnd"/>
      <w:r>
        <w:rPr>
          <w:rFonts w:ascii="Times New Roman" w:hAnsi="Times New Roman" w:cs="Times New Roman"/>
          <w:lang w:val="pl-PL"/>
        </w:rPr>
        <w:t>.), nr</w:t>
      </w:r>
      <w:r w:rsidRPr="00D47D22">
        <w:rPr>
          <w:rFonts w:ascii="Times New Roman" w:hAnsi="Times New Roman" w:cs="Times New Roman"/>
          <w:lang w:val="pl-PL"/>
        </w:rPr>
        <w:t xml:space="preserve"> 73661/01, ECHR 2005</w:t>
      </w:r>
      <w:r w:rsidRPr="00D47D22">
        <w:rPr>
          <w:rFonts w:ascii="Times New Roman" w:hAnsi="Times New Roman" w:cs="Times New Roman"/>
          <w:lang w:val="pl-PL"/>
        </w:rPr>
        <w:noBreakHyphen/>
        <w:t xml:space="preserve">XIII; </w:t>
      </w:r>
      <w:r w:rsidRPr="00D47D22">
        <w:rPr>
          <w:rFonts w:ascii="Times New Roman" w:hAnsi="Times New Roman" w:cs="Times New Roman"/>
          <w:i/>
          <w:lang w:val="pl-PL"/>
        </w:rPr>
        <w:t xml:space="preserve">Rosenquist przeciwko Szwecji </w:t>
      </w:r>
      <w:r>
        <w:rPr>
          <w:rFonts w:ascii="Times New Roman" w:hAnsi="Times New Roman" w:cs="Times New Roman"/>
          <w:lang w:val="pl-PL"/>
        </w:rPr>
        <w:t>(</w:t>
      </w:r>
      <w:proofErr w:type="spellStart"/>
      <w:r>
        <w:rPr>
          <w:rFonts w:ascii="Times New Roman" w:hAnsi="Times New Roman" w:cs="Times New Roman"/>
          <w:lang w:val="pl-PL"/>
        </w:rPr>
        <w:t>dec</w:t>
      </w:r>
      <w:proofErr w:type="spellEnd"/>
      <w:r>
        <w:rPr>
          <w:rFonts w:ascii="Times New Roman" w:hAnsi="Times New Roman" w:cs="Times New Roman"/>
          <w:lang w:val="pl-PL"/>
        </w:rPr>
        <w:t>.), nr</w:t>
      </w:r>
      <w:r w:rsidRPr="00D47D22">
        <w:rPr>
          <w:rFonts w:ascii="Times New Roman" w:hAnsi="Times New Roman" w:cs="Times New Roman"/>
          <w:lang w:val="pl-PL"/>
        </w:rPr>
        <w:t xml:space="preserve"> </w:t>
      </w:r>
      <w:hyperlink r:id="rId2" w:anchor="%7B" w:tgtFrame="_blank" w:history="1">
        <w:r w:rsidRPr="00D47D22">
          <w:rPr>
            <w:rFonts w:ascii="Times New Roman" w:hAnsi="Times New Roman" w:cs="Times New Roman"/>
            <w:lang w:val="pl-PL"/>
          </w:rPr>
          <w:t>60619/00</w:t>
        </w:r>
      </w:hyperlink>
      <w:r w:rsidRPr="00D47D22">
        <w:rPr>
          <w:rFonts w:ascii="Times New Roman" w:hAnsi="Times New Roman" w:cs="Times New Roman"/>
          <w:lang w:val="pl-PL"/>
        </w:rPr>
        <w:t xml:space="preserve">, 14 </w:t>
      </w:r>
      <w:r>
        <w:rPr>
          <w:rFonts w:ascii="Times New Roman" w:hAnsi="Times New Roman" w:cs="Times New Roman"/>
          <w:lang w:val="pl-PL"/>
        </w:rPr>
        <w:t>wrzesień</w:t>
      </w:r>
      <w:r w:rsidRPr="00D47D22">
        <w:rPr>
          <w:rFonts w:ascii="Times New Roman" w:hAnsi="Times New Roman" w:cs="Times New Roman"/>
          <w:lang w:val="pl-PL"/>
        </w:rPr>
        <w:t xml:space="preserve"> 2004</w:t>
      </w:r>
      <w:r>
        <w:rPr>
          <w:rFonts w:ascii="Times New Roman" w:hAnsi="Times New Roman" w:cs="Times New Roman"/>
          <w:lang w:val="pl-PL"/>
        </w:rPr>
        <w:t xml:space="preserve"> roku</w:t>
      </w:r>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Manasson</w:t>
      </w:r>
      <w:proofErr w:type="spellEnd"/>
      <w:r w:rsidRPr="00D47D22">
        <w:rPr>
          <w:rFonts w:ascii="Times New Roman" w:hAnsi="Times New Roman" w:cs="Times New Roman"/>
          <w:i/>
          <w:lang w:val="pl-PL"/>
        </w:rPr>
        <w:t xml:space="preserve"> przeciwko Szwecji </w:t>
      </w:r>
      <w:r>
        <w:rPr>
          <w:rFonts w:ascii="Times New Roman" w:hAnsi="Times New Roman" w:cs="Times New Roman"/>
          <w:lang w:val="pl-PL"/>
        </w:rPr>
        <w:t>(</w:t>
      </w:r>
      <w:proofErr w:type="spellStart"/>
      <w:r>
        <w:rPr>
          <w:rFonts w:ascii="Times New Roman" w:hAnsi="Times New Roman" w:cs="Times New Roman"/>
          <w:lang w:val="pl-PL"/>
        </w:rPr>
        <w:t>dec</w:t>
      </w:r>
      <w:proofErr w:type="spellEnd"/>
      <w:r>
        <w:rPr>
          <w:rFonts w:ascii="Times New Roman" w:hAnsi="Times New Roman" w:cs="Times New Roman"/>
          <w:lang w:val="pl-PL"/>
        </w:rPr>
        <w:t>.), nr</w:t>
      </w:r>
      <w:r w:rsidRPr="00D47D22">
        <w:rPr>
          <w:rFonts w:ascii="Times New Roman" w:hAnsi="Times New Roman" w:cs="Times New Roman"/>
          <w:lang w:val="pl-PL"/>
        </w:rPr>
        <w:t xml:space="preserve"> </w:t>
      </w:r>
      <w:hyperlink r:id="rId3" w:anchor="%7B" w:tgtFrame="_blank" w:history="1">
        <w:r w:rsidRPr="00D47D22">
          <w:rPr>
            <w:rFonts w:ascii="Times New Roman" w:hAnsi="Times New Roman" w:cs="Times New Roman"/>
            <w:lang w:val="pl-PL"/>
          </w:rPr>
          <w:t>41265/98</w:t>
        </w:r>
      </w:hyperlink>
      <w:r w:rsidRPr="00D47D22">
        <w:rPr>
          <w:rFonts w:ascii="Times New Roman" w:hAnsi="Times New Roman" w:cs="Times New Roman"/>
          <w:lang w:val="pl-PL"/>
        </w:rPr>
        <w:t>, 8 kwietnia 2003</w:t>
      </w:r>
      <w:r>
        <w:rPr>
          <w:rFonts w:ascii="Times New Roman" w:hAnsi="Times New Roman" w:cs="Times New Roman"/>
          <w:lang w:val="pl-PL"/>
        </w:rPr>
        <w:t xml:space="preserve"> roku</w:t>
      </w:r>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Göktan</w:t>
      </w:r>
      <w:proofErr w:type="spellEnd"/>
      <w:r w:rsidRPr="00D47D22">
        <w:rPr>
          <w:rFonts w:ascii="Times New Roman" w:hAnsi="Times New Roman" w:cs="Times New Roman"/>
          <w:i/>
          <w:lang w:val="pl-PL"/>
        </w:rPr>
        <w:t xml:space="preserve"> przeciwko Francji</w:t>
      </w:r>
      <w:r w:rsidRPr="00D47D22">
        <w:rPr>
          <w:rFonts w:ascii="Times New Roman" w:hAnsi="Times New Roman" w:cs="Times New Roman"/>
          <w:lang w:val="pl-PL"/>
        </w:rPr>
        <w:t xml:space="preserve">, no. </w:t>
      </w:r>
      <w:hyperlink r:id="rId4" w:anchor="%7B" w:tgtFrame="_blank" w:history="1">
        <w:r w:rsidRPr="00D47D22">
          <w:rPr>
            <w:rFonts w:ascii="Times New Roman" w:hAnsi="Times New Roman" w:cs="Times New Roman"/>
            <w:lang w:val="pl-PL"/>
          </w:rPr>
          <w:t>33402/96</w:t>
        </w:r>
      </w:hyperlink>
      <w:r w:rsidRPr="00D47D22">
        <w:rPr>
          <w:rFonts w:ascii="Times New Roman" w:hAnsi="Times New Roman" w:cs="Times New Roman"/>
          <w:lang w:val="pl-PL"/>
        </w:rPr>
        <w:t xml:space="preserve">, § 48, ECHR 2002-V; and </w:t>
      </w:r>
      <w:proofErr w:type="spellStart"/>
      <w:r w:rsidRPr="00D47D22">
        <w:rPr>
          <w:rFonts w:ascii="Times New Roman" w:hAnsi="Times New Roman" w:cs="Times New Roman"/>
          <w:i/>
          <w:lang w:val="pl-PL"/>
        </w:rPr>
        <w:t>Malige</w:t>
      </w:r>
      <w:proofErr w:type="spellEnd"/>
      <w:r w:rsidRPr="00D47D22">
        <w:rPr>
          <w:rFonts w:ascii="Times New Roman" w:hAnsi="Times New Roman" w:cs="Times New Roman"/>
          <w:i/>
          <w:lang w:val="pl-PL"/>
        </w:rPr>
        <w:t xml:space="preserve"> przeciwko Francji</w:t>
      </w:r>
      <w:r w:rsidRPr="00D47D22">
        <w:rPr>
          <w:rFonts w:ascii="Times New Roman" w:hAnsi="Times New Roman" w:cs="Times New Roman"/>
          <w:lang w:val="pl-PL"/>
        </w:rPr>
        <w:t>, 23 września 1998</w:t>
      </w:r>
      <w:r>
        <w:rPr>
          <w:rFonts w:ascii="Times New Roman" w:hAnsi="Times New Roman" w:cs="Times New Roman"/>
          <w:lang w:val="pl-PL"/>
        </w:rPr>
        <w:t xml:space="preserve"> roku</w:t>
      </w:r>
      <w:r w:rsidRPr="00D47D22">
        <w:rPr>
          <w:rFonts w:ascii="Times New Roman" w:hAnsi="Times New Roman" w:cs="Times New Roman"/>
          <w:lang w:val="pl-PL"/>
        </w:rPr>
        <w:t xml:space="preserve">, § 35, </w:t>
      </w:r>
      <w:proofErr w:type="spellStart"/>
      <w:r w:rsidRPr="00D47D22">
        <w:rPr>
          <w:rFonts w:ascii="Times New Roman" w:hAnsi="Times New Roman" w:cs="Times New Roman"/>
          <w:i/>
          <w:lang w:val="pl-PL"/>
        </w:rPr>
        <w:t>Reports</w:t>
      </w:r>
      <w:proofErr w:type="spellEnd"/>
      <w:r w:rsidRPr="00D47D22">
        <w:rPr>
          <w:rFonts w:ascii="Times New Roman" w:hAnsi="Times New Roman" w:cs="Times New Roman"/>
          <w:i/>
          <w:lang w:val="pl-PL"/>
        </w:rPr>
        <w:t xml:space="preserve"> of </w:t>
      </w:r>
      <w:proofErr w:type="spellStart"/>
      <w:r w:rsidRPr="00D47D22">
        <w:rPr>
          <w:rFonts w:ascii="Times New Roman" w:hAnsi="Times New Roman" w:cs="Times New Roman"/>
          <w:i/>
          <w:lang w:val="pl-PL"/>
        </w:rPr>
        <w:t>Judgments</w:t>
      </w:r>
      <w:proofErr w:type="spellEnd"/>
      <w:r w:rsidRPr="00D47D22">
        <w:rPr>
          <w:rFonts w:ascii="Times New Roman" w:hAnsi="Times New Roman" w:cs="Times New Roman"/>
          <w:i/>
          <w:lang w:val="pl-PL"/>
        </w:rPr>
        <w:t xml:space="preserve"> and </w:t>
      </w:r>
      <w:proofErr w:type="spellStart"/>
      <w:r w:rsidRPr="00D47D22">
        <w:rPr>
          <w:rFonts w:ascii="Times New Roman" w:hAnsi="Times New Roman" w:cs="Times New Roman"/>
          <w:i/>
          <w:lang w:val="pl-PL"/>
        </w:rPr>
        <w:t>Decisions</w:t>
      </w:r>
      <w:proofErr w:type="spellEnd"/>
      <w:r w:rsidRPr="00D47D22">
        <w:rPr>
          <w:rFonts w:ascii="Times New Roman" w:hAnsi="Times New Roman" w:cs="Times New Roman"/>
          <w:lang w:val="pl-PL"/>
        </w:rPr>
        <w:t xml:space="preserve"> 1998</w:t>
      </w:r>
      <w:r w:rsidRPr="00D47D22">
        <w:rPr>
          <w:rFonts w:ascii="Times New Roman" w:hAnsi="Times New Roman" w:cs="Times New Roman"/>
          <w:lang w:val="pl-PL"/>
        </w:rPr>
        <w:noBreakHyphen/>
        <w:t xml:space="preserve">VII. </w:t>
      </w:r>
    </w:p>
  </w:footnote>
  <w:footnote w:id="75">
    <w:p w:rsidR="00AC3310" w:rsidRPr="00D47D22" w:rsidRDefault="00AC3310" w:rsidP="00584A5C">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Marguš</w:t>
      </w:r>
      <w:proofErr w:type="spellEnd"/>
      <w:r w:rsidRPr="00D47D22">
        <w:rPr>
          <w:rFonts w:ascii="Times New Roman" w:hAnsi="Times New Roman" w:cs="Times New Roman"/>
          <w:i/>
          <w:lang w:val="pl-PL"/>
        </w:rPr>
        <w:t xml:space="preserve"> przeciwko Chorwacji  </w:t>
      </w:r>
      <w:r w:rsidRPr="00D47D22">
        <w:rPr>
          <w:rFonts w:ascii="Times New Roman" w:hAnsi="Times New Roman" w:cs="Times New Roman"/>
          <w:lang w:val="pl-PL"/>
        </w:rPr>
        <w:t>[GC], no. 4455/10, § 139, ECHR 2014.</w:t>
      </w:r>
    </w:p>
  </w:footnote>
  <w:footnote w:id="76">
    <w:p w:rsidR="00AC3310" w:rsidRPr="00D47D22" w:rsidRDefault="00AC3310" w:rsidP="00584A5C">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Kurdov</w:t>
      </w:r>
      <w:proofErr w:type="spellEnd"/>
      <w:r w:rsidRPr="00D47D22">
        <w:rPr>
          <w:rFonts w:ascii="Times New Roman" w:hAnsi="Times New Roman" w:cs="Times New Roman"/>
          <w:i/>
          <w:lang w:val="pl-PL"/>
        </w:rPr>
        <w:t xml:space="preserve"> i </w:t>
      </w:r>
      <w:proofErr w:type="spellStart"/>
      <w:r w:rsidRPr="00D47D22">
        <w:rPr>
          <w:rFonts w:ascii="Times New Roman" w:hAnsi="Times New Roman" w:cs="Times New Roman"/>
          <w:i/>
          <w:lang w:val="pl-PL"/>
        </w:rPr>
        <w:t>Ivanovprzeciwko</w:t>
      </w:r>
      <w:proofErr w:type="spellEnd"/>
      <w:r w:rsidRPr="00D47D22">
        <w:rPr>
          <w:rFonts w:ascii="Times New Roman" w:hAnsi="Times New Roman" w:cs="Times New Roman"/>
          <w:i/>
          <w:lang w:val="pl-PL"/>
        </w:rPr>
        <w:t xml:space="preserve"> Bułgarii</w:t>
      </w:r>
      <w:r w:rsidRPr="00D47D22">
        <w:rPr>
          <w:rFonts w:ascii="Times New Roman" w:hAnsi="Times New Roman" w:cs="Times New Roman"/>
          <w:lang w:val="pl-PL"/>
        </w:rPr>
        <w:t>, no. 16137/04, § 44, 31 maja 2011.</w:t>
      </w:r>
    </w:p>
  </w:footnote>
  <w:footnote w:id="77">
    <w:p w:rsidR="00AC3310" w:rsidRPr="00D47D22" w:rsidRDefault="00AC3310" w:rsidP="00584A5C">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Bendenoun</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przecwiko</w:t>
      </w:r>
      <w:proofErr w:type="spellEnd"/>
      <w:r w:rsidRPr="00D47D22">
        <w:rPr>
          <w:rFonts w:ascii="Times New Roman" w:hAnsi="Times New Roman" w:cs="Times New Roman"/>
          <w:i/>
          <w:lang w:val="pl-PL"/>
        </w:rPr>
        <w:t xml:space="preserve"> Francji</w:t>
      </w:r>
      <w:r w:rsidRPr="00D47D22">
        <w:rPr>
          <w:rFonts w:ascii="Times New Roman" w:hAnsi="Times New Roman" w:cs="Times New Roman"/>
          <w:lang w:val="pl-PL"/>
        </w:rPr>
        <w:t>, 24 lutego 1994</w:t>
      </w:r>
      <w:r>
        <w:rPr>
          <w:rFonts w:ascii="Times New Roman" w:hAnsi="Times New Roman" w:cs="Times New Roman"/>
          <w:lang w:val="pl-PL"/>
        </w:rPr>
        <w:t xml:space="preserve"> roku</w:t>
      </w:r>
      <w:r w:rsidRPr="00D47D22">
        <w:rPr>
          <w:rFonts w:ascii="Times New Roman" w:hAnsi="Times New Roman" w:cs="Times New Roman"/>
          <w:lang w:val="pl-PL"/>
        </w:rPr>
        <w:t>, Series A no. 284.</w:t>
      </w:r>
    </w:p>
  </w:footnote>
  <w:footnote w:id="78">
    <w:p w:rsidR="00AC3310" w:rsidRPr="00D47D22" w:rsidRDefault="00AC3310" w:rsidP="00584A5C">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Ibid., § 46.</w:t>
      </w:r>
    </w:p>
  </w:footnote>
  <w:footnote w:id="79">
    <w:p w:rsidR="00AC3310" w:rsidRPr="00D47D22" w:rsidRDefault="00AC3310" w:rsidP="00584A5C">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Janosevic</w:t>
      </w:r>
      <w:proofErr w:type="spellEnd"/>
      <w:r w:rsidRPr="00D47D22">
        <w:rPr>
          <w:rFonts w:ascii="Times New Roman" w:hAnsi="Times New Roman" w:cs="Times New Roman"/>
          <w:i/>
          <w:lang w:val="pl-PL"/>
        </w:rPr>
        <w:t xml:space="preserve"> przeciwko  Szwecji</w:t>
      </w:r>
      <w:r w:rsidRPr="00D47D22">
        <w:rPr>
          <w:rFonts w:ascii="Times New Roman" w:hAnsi="Times New Roman" w:cs="Times New Roman"/>
          <w:lang w:val="pl-PL"/>
        </w:rPr>
        <w:t>, no. 34619/97, ECHR 2002</w:t>
      </w:r>
      <w:r w:rsidRPr="00D47D22">
        <w:rPr>
          <w:rFonts w:ascii="MS Mincho" w:eastAsia="MS Mincho" w:hAnsi="MS Mincho" w:cs="MS Mincho"/>
          <w:lang w:val="pl-PL"/>
        </w:rPr>
        <w:t>‑</w:t>
      </w:r>
      <w:r w:rsidRPr="00D47D22">
        <w:rPr>
          <w:rFonts w:ascii="Times New Roman" w:hAnsi="Times New Roman" w:cs="Times New Roman"/>
          <w:lang w:val="pl-PL"/>
        </w:rPr>
        <w:t>VII.</w:t>
      </w:r>
    </w:p>
  </w:footnote>
  <w:footnote w:id="80">
    <w:p w:rsidR="00AC3310" w:rsidRPr="00D47D22" w:rsidRDefault="00AC3310" w:rsidP="00584A5C">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Västberga</w:t>
      </w:r>
      <w:proofErr w:type="spellEnd"/>
      <w:r w:rsidRPr="00D47D22">
        <w:rPr>
          <w:rFonts w:ascii="Times New Roman" w:hAnsi="Times New Roman" w:cs="Times New Roman"/>
          <w:i/>
          <w:lang w:val="pl-PL"/>
        </w:rPr>
        <w:t xml:space="preserve"> Taxi </w:t>
      </w:r>
      <w:proofErr w:type="spellStart"/>
      <w:r w:rsidRPr="00D47D22">
        <w:rPr>
          <w:rFonts w:ascii="Times New Roman" w:hAnsi="Times New Roman" w:cs="Times New Roman"/>
          <w:i/>
          <w:lang w:val="pl-PL"/>
        </w:rPr>
        <w:t>Aktiebolag</w:t>
      </w:r>
      <w:proofErr w:type="spellEnd"/>
      <w:r w:rsidRPr="00D47D22">
        <w:rPr>
          <w:rFonts w:ascii="Times New Roman" w:hAnsi="Times New Roman" w:cs="Times New Roman"/>
          <w:i/>
          <w:lang w:val="pl-PL"/>
        </w:rPr>
        <w:t xml:space="preserve"> and </w:t>
      </w:r>
      <w:proofErr w:type="spellStart"/>
      <w:r w:rsidRPr="00D47D22">
        <w:rPr>
          <w:rFonts w:ascii="Times New Roman" w:hAnsi="Times New Roman" w:cs="Times New Roman"/>
          <w:i/>
          <w:lang w:val="pl-PL"/>
        </w:rPr>
        <w:t>Vulic</w:t>
      </w:r>
      <w:proofErr w:type="spellEnd"/>
      <w:r w:rsidRPr="00D47D22">
        <w:rPr>
          <w:rFonts w:ascii="Times New Roman" w:hAnsi="Times New Roman" w:cs="Times New Roman"/>
          <w:i/>
          <w:lang w:val="pl-PL"/>
        </w:rPr>
        <w:t xml:space="preserve"> p. Szwecji</w:t>
      </w:r>
      <w:r w:rsidRPr="00D47D22">
        <w:rPr>
          <w:rFonts w:ascii="Times New Roman" w:hAnsi="Times New Roman" w:cs="Times New Roman"/>
          <w:lang w:val="pl-PL"/>
        </w:rPr>
        <w:t xml:space="preserve">, no. 36985/97, 23 </w:t>
      </w:r>
      <w:proofErr w:type="spellStart"/>
      <w:r w:rsidRPr="00D47D22">
        <w:rPr>
          <w:rFonts w:ascii="Times New Roman" w:hAnsi="Times New Roman" w:cs="Times New Roman"/>
          <w:lang w:val="pl-PL"/>
        </w:rPr>
        <w:t>July</w:t>
      </w:r>
      <w:proofErr w:type="spellEnd"/>
      <w:r w:rsidRPr="00D47D22">
        <w:rPr>
          <w:rFonts w:ascii="Times New Roman" w:hAnsi="Times New Roman" w:cs="Times New Roman"/>
          <w:lang w:val="pl-PL"/>
        </w:rPr>
        <w:t xml:space="preserve"> 2002.</w:t>
      </w:r>
    </w:p>
  </w:footnote>
  <w:footnote w:id="81">
    <w:p w:rsidR="00AC3310" w:rsidRPr="00D47D22" w:rsidRDefault="00AC3310" w:rsidP="00584A5C">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Sąd podkreślił błędny argument: „Wynikające z tego dopłaty podatkowe zostały nałożone zgodnie z przepisami podatkowymi... skierowane były do wszystkich osób zobowiązanych do zapłaty podatku w Szwecji, a nie wobec danej grupy o specjalnym statusie" (patrz: </w:t>
      </w:r>
      <w:proofErr w:type="spellStart"/>
      <w:r w:rsidRPr="00D47D22">
        <w:rPr>
          <w:rFonts w:ascii="Times New Roman" w:hAnsi="Times New Roman" w:cs="Times New Roman"/>
          <w:i/>
          <w:lang w:val="pl-PL"/>
        </w:rPr>
        <w:t>Janosevic</w:t>
      </w:r>
      <w:proofErr w:type="spellEnd"/>
      <w:r w:rsidRPr="00D47D22">
        <w:rPr>
          <w:rFonts w:ascii="Times New Roman" w:hAnsi="Times New Roman" w:cs="Times New Roman"/>
          <w:lang w:val="pl-PL"/>
        </w:rPr>
        <w:t xml:space="preserve">, cytowany powyżej § 68; </w:t>
      </w:r>
      <w:proofErr w:type="spellStart"/>
      <w:r w:rsidRPr="00D47D22">
        <w:rPr>
          <w:rFonts w:ascii="Times New Roman" w:hAnsi="Times New Roman" w:cs="Times New Roman"/>
          <w:i/>
          <w:lang w:val="pl-PL"/>
        </w:rPr>
        <w:t>Västberga</w:t>
      </w:r>
      <w:proofErr w:type="spellEnd"/>
      <w:r w:rsidRPr="00D47D22">
        <w:rPr>
          <w:rFonts w:ascii="Times New Roman" w:hAnsi="Times New Roman" w:cs="Times New Roman"/>
          <w:lang w:val="pl-PL"/>
        </w:rPr>
        <w:t xml:space="preserve"> </w:t>
      </w:r>
      <w:r w:rsidRPr="00D47D22">
        <w:rPr>
          <w:rFonts w:ascii="Times New Roman" w:hAnsi="Times New Roman" w:cs="Times New Roman"/>
          <w:i/>
          <w:lang w:val="pl-PL"/>
        </w:rPr>
        <w:t>Taxi</w:t>
      </w:r>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Aktiebolag</w:t>
      </w:r>
      <w:proofErr w:type="spellEnd"/>
      <w:r w:rsidRPr="00D47D22">
        <w:rPr>
          <w:rFonts w:ascii="Times New Roman" w:hAnsi="Times New Roman" w:cs="Times New Roman"/>
          <w:lang w:val="pl-PL"/>
        </w:rPr>
        <w:t xml:space="preserve"> i </w:t>
      </w:r>
      <w:proofErr w:type="spellStart"/>
      <w:r w:rsidRPr="00D47D22">
        <w:rPr>
          <w:rFonts w:ascii="Times New Roman" w:hAnsi="Times New Roman" w:cs="Times New Roman"/>
          <w:i/>
          <w:lang w:val="pl-PL"/>
        </w:rPr>
        <w:t>Vulic</w:t>
      </w:r>
      <w:proofErr w:type="spellEnd"/>
      <w:r w:rsidRPr="00D47D22">
        <w:rPr>
          <w:rFonts w:ascii="Times New Roman" w:hAnsi="Times New Roman" w:cs="Times New Roman"/>
          <w:lang w:val="pl-PL"/>
        </w:rPr>
        <w:t xml:space="preserve">, cytowane powyżej § 79; i ponownie, na przykład w </w:t>
      </w:r>
      <w:r w:rsidRPr="00D47D22">
        <w:rPr>
          <w:rFonts w:ascii="Times New Roman" w:hAnsi="Times New Roman" w:cs="Times New Roman"/>
          <w:i/>
          <w:lang w:val="pl-PL"/>
        </w:rPr>
        <w:t xml:space="preserve">S.C. IMH </w:t>
      </w:r>
      <w:proofErr w:type="spellStart"/>
      <w:r w:rsidRPr="00D47D22">
        <w:rPr>
          <w:rFonts w:ascii="Times New Roman" w:hAnsi="Times New Roman" w:cs="Times New Roman"/>
          <w:i/>
          <w:lang w:val="pl-PL"/>
        </w:rPr>
        <w:t>Suceava</w:t>
      </w:r>
      <w:proofErr w:type="spellEnd"/>
      <w:r w:rsidRPr="00D47D22">
        <w:rPr>
          <w:rFonts w:ascii="Times New Roman" w:hAnsi="Times New Roman" w:cs="Times New Roman"/>
          <w:i/>
          <w:lang w:val="pl-PL"/>
        </w:rPr>
        <w:t xml:space="preserve"> S. R. L. L.</w:t>
      </w:r>
      <w:r w:rsidRPr="00D47D22">
        <w:rPr>
          <w:rFonts w:ascii="Times New Roman" w:hAnsi="Times New Roman" w:cs="Times New Roman"/>
          <w:lang w:val="pl-PL"/>
        </w:rPr>
        <w:t xml:space="preserve"> </w:t>
      </w:r>
      <w:r w:rsidRPr="00D47D22">
        <w:rPr>
          <w:rFonts w:ascii="Times New Roman" w:hAnsi="Times New Roman" w:cs="Times New Roman"/>
          <w:i/>
          <w:lang w:val="pl-PL"/>
        </w:rPr>
        <w:t>przeciwko Rumunii</w:t>
      </w:r>
      <w:r w:rsidRPr="00D47D22">
        <w:rPr>
          <w:rFonts w:ascii="Times New Roman" w:hAnsi="Times New Roman" w:cs="Times New Roman"/>
          <w:lang w:val="pl-PL"/>
        </w:rPr>
        <w:t>, nr 24935/04, § 51,29 października 2013 r</w:t>
      </w:r>
      <w:r>
        <w:rPr>
          <w:rFonts w:ascii="Times New Roman" w:hAnsi="Times New Roman" w:cs="Times New Roman"/>
          <w:lang w:val="pl-PL"/>
        </w:rPr>
        <w:t>oku</w:t>
      </w:r>
      <w:r w:rsidRPr="00D47D22">
        <w:rPr>
          <w:rFonts w:ascii="Times New Roman" w:hAnsi="Times New Roman" w:cs="Times New Roman"/>
          <w:lang w:val="pl-PL"/>
        </w:rPr>
        <w:t xml:space="preserve">).  </w:t>
      </w:r>
    </w:p>
  </w:footnote>
  <w:footnote w:id="82">
    <w:p w:rsidR="00AC3310" w:rsidRPr="00D47D22" w:rsidRDefault="00AC3310" w:rsidP="00F81449">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Jussila</w:t>
      </w:r>
      <w:proofErr w:type="spellEnd"/>
      <w:r w:rsidRPr="00D47D22">
        <w:rPr>
          <w:rFonts w:ascii="Times New Roman" w:hAnsi="Times New Roman" w:cs="Times New Roman"/>
          <w:lang w:val="pl-PL"/>
        </w:rPr>
        <w:t>, cytowane wyżej, § 41.</w:t>
      </w:r>
    </w:p>
  </w:footnote>
  <w:footnote w:id="83">
    <w:p w:rsidR="00AC3310" w:rsidRPr="00D47D22" w:rsidRDefault="00AC3310" w:rsidP="00F81449">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Ibid., § 35.</w:t>
      </w:r>
    </w:p>
  </w:footnote>
  <w:footnote w:id="84">
    <w:p w:rsidR="00AC3310" w:rsidRPr="00D47D22" w:rsidRDefault="00AC3310" w:rsidP="00F81449">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Ibid., § 36. </w:t>
      </w:r>
    </w:p>
  </w:footnote>
  <w:footnote w:id="85">
    <w:p w:rsidR="00AC3310" w:rsidRPr="00D47D22" w:rsidRDefault="00AC3310" w:rsidP="00F81449">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Ibid., § 45.</w:t>
      </w:r>
    </w:p>
  </w:footnote>
  <w:footnote w:id="86">
    <w:p w:rsidR="00AC3310" w:rsidRPr="00D47D22" w:rsidRDefault="00AC3310" w:rsidP="00F81449">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Ferrazzini</w:t>
      </w:r>
      <w:proofErr w:type="spellEnd"/>
      <w:r w:rsidRPr="00D47D22">
        <w:rPr>
          <w:rFonts w:ascii="Times New Roman" w:hAnsi="Times New Roman" w:cs="Times New Roman"/>
          <w:lang w:val="pl-PL"/>
        </w:rPr>
        <w:t>, cytowane wyżej, § 29.</w:t>
      </w:r>
      <w:r w:rsidRPr="00D47D22">
        <w:rPr>
          <w:lang w:val="pl-PL"/>
        </w:rPr>
        <w:t xml:space="preserve"> </w:t>
      </w:r>
      <w:r w:rsidRPr="00D47D22">
        <w:rPr>
          <w:rFonts w:ascii="Times New Roman" w:hAnsi="Times New Roman" w:cs="Times New Roman"/>
          <w:lang w:val="pl-PL"/>
        </w:rPr>
        <w:t xml:space="preserve">W rzeczywistości Trybunał kilkakrotnie </w:t>
      </w:r>
      <w:proofErr w:type="spellStart"/>
      <w:r w:rsidRPr="00D47D22">
        <w:rPr>
          <w:rFonts w:ascii="Times New Roman" w:hAnsi="Times New Roman" w:cs="Times New Roman"/>
          <w:lang w:val="pl-PL"/>
        </w:rPr>
        <w:t>kilkakrotnie</w:t>
      </w:r>
      <w:proofErr w:type="spellEnd"/>
      <w:r w:rsidRPr="00D47D22">
        <w:rPr>
          <w:rFonts w:ascii="Times New Roman" w:hAnsi="Times New Roman" w:cs="Times New Roman"/>
          <w:lang w:val="pl-PL"/>
        </w:rPr>
        <w:t xml:space="preserve"> oceniał zgodność środków polityki podatkowej z art. 1 Protokołu nr 1 (wśród najważniejszych, </w:t>
      </w:r>
      <w:r w:rsidRPr="00D47D22">
        <w:rPr>
          <w:rFonts w:ascii="Times New Roman" w:hAnsi="Times New Roman" w:cs="Times New Roman"/>
          <w:i/>
          <w:lang w:val="pl-PL"/>
        </w:rPr>
        <w:t>NKM przeciwko Komisji</w:t>
      </w:r>
      <w:r w:rsidRPr="00D47D22">
        <w:rPr>
          <w:rFonts w:ascii="Times New Roman" w:hAnsi="Times New Roman" w:cs="Times New Roman"/>
          <w:lang w:val="pl-PL"/>
        </w:rPr>
        <w:t xml:space="preserve">. </w:t>
      </w:r>
      <w:r w:rsidRPr="00D47D22">
        <w:rPr>
          <w:rFonts w:ascii="Times New Roman" w:hAnsi="Times New Roman" w:cs="Times New Roman"/>
          <w:i/>
          <w:lang w:val="pl-PL"/>
        </w:rPr>
        <w:t>Węgry</w:t>
      </w:r>
      <w:r w:rsidRPr="00D47D22">
        <w:rPr>
          <w:rFonts w:ascii="Times New Roman" w:hAnsi="Times New Roman" w:cs="Times New Roman"/>
          <w:lang w:val="pl-PL"/>
        </w:rPr>
        <w:t>, nr 66529/11 z dnia 14 maja 2013 r</w:t>
      </w:r>
      <w:r>
        <w:rPr>
          <w:rFonts w:ascii="Times New Roman" w:hAnsi="Times New Roman" w:cs="Times New Roman"/>
          <w:lang w:val="pl-PL"/>
        </w:rPr>
        <w:t>oku</w:t>
      </w:r>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Koufaki</w:t>
      </w:r>
      <w:proofErr w:type="spellEnd"/>
      <w:r w:rsidRPr="00D47D22">
        <w:rPr>
          <w:rFonts w:ascii="Times New Roman" w:hAnsi="Times New Roman" w:cs="Times New Roman"/>
          <w:i/>
          <w:lang w:val="pl-PL"/>
        </w:rPr>
        <w:t xml:space="preserve"> i ADEDY przeciwko Grecji</w:t>
      </w:r>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dec</w:t>
      </w:r>
      <w:proofErr w:type="spellEnd"/>
      <w:r w:rsidRPr="00D47D22">
        <w:rPr>
          <w:rFonts w:ascii="Times New Roman" w:hAnsi="Times New Roman" w:cs="Times New Roman"/>
          <w:lang w:val="pl-PL"/>
        </w:rPr>
        <w:t xml:space="preserve">.), nr 5766565/12 i 57657/12 z dnia 7 maja 2013 r.; </w:t>
      </w:r>
      <w:r w:rsidRPr="00D47D22">
        <w:rPr>
          <w:rFonts w:ascii="Times New Roman" w:hAnsi="Times New Roman" w:cs="Times New Roman"/>
          <w:i/>
          <w:lang w:val="pl-PL"/>
        </w:rPr>
        <w:t xml:space="preserve">Da </w:t>
      </w:r>
      <w:proofErr w:type="spellStart"/>
      <w:r w:rsidRPr="00D47D22">
        <w:rPr>
          <w:rFonts w:ascii="Times New Roman" w:hAnsi="Times New Roman" w:cs="Times New Roman"/>
          <w:i/>
          <w:lang w:val="pl-PL"/>
        </w:rPr>
        <w:t>Conceição</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Mateus</w:t>
      </w:r>
      <w:proofErr w:type="spellEnd"/>
      <w:r w:rsidRPr="00D47D22">
        <w:rPr>
          <w:rFonts w:ascii="Times New Roman" w:hAnsi="Times New Roman" w:cs="Times New Roman"/>
          <w:i/>
          <w:lang w:val="pl-PL"/>
        </w:rPr>
        <w:t xml:space="preserve"> przeciwko Portugalii</w:t>
      </w:r>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dec</w:t>
      </w:r>
      <w:proofErr w:type="spellEnd"/>
      <w:r w:rsidRPr="00D47D22">
        <w:rPr>
          <w:rFonts w:ascii="Times New Roman" w:hAnsi="Times New Roman" w:cs="Times New Roman"/>
          <w:lang w:val="pl-PL"/>
        </w:rPr>
        <w:t xml:space="preserve">.), nos. 62235/12 i 57725/12 z dnia 8 października 2013 r.; oraz </w:t>
      </w:r>
      <w:r w:rsidRPr="00D47D22">
        <w:rPr>
          <w:rFonts w:ascii="Times New Roman" w:hAnsi="Times New Roman" w:cs="Times New Roman"/>
          <w:i/>
          <w:lang w:val="pl-PL"/>
        </w:rPr>
        <w:t xml:space="preserve">Da Silva </w:t>
      </w:r>
      <w:proofErr w:type="spellStart"/>
      <w:r w:rsidRPr="00D47D22">
        <w:rPr>
          <w:rFonts w:ascii="Times New Roman" w:hAnsi="Times New Roman" w:cs="Times New Roman"/>
          <w:i/>
          <w:lang w:val="pl-PL"/>
        </w:rPr>
        <w:t>Carvalho</w:t>
      </w:r>
      <w:proofErr w:type="spellEnd"/>
      <w:r w:rsidRPr="00D47D22">
        <w:rPr>
          <w:rFonts w:ascii="Times New Roman" w:hAnsi="Times New Roman" w:cs="Times New Roman"/>
          <w:i/>
          <w:lang w:val="pl-PL"/>
        </w:rPr>
        <w:t xml:space="preserve"> Rico przeciwko Portugalii</w:t>
      </w:r>
      <w:r w:rsidRPr="00D47D22">
        <w:rPr>
          <w:rFonts w:ascii="Times New Roman" w:hAnsi="Times New Roman" w:cs="Times New Roman"/>
          <w:lang w:val="pl-PL"/>
        </w:rPr>
        <w:t xml:space="preserve"> (decyzja) nr 13341/14 z dnia 1 września 2014 r</w:t>
      </w:r>
      <w:r>
        <w:rPr>
          <w:rFonts w:ascii="Times New Roman" w:hAnsi="Times New Roman" w:cs="Times New Roman"/>
          <w:lang w:val="pl-PL"/>
        </w:rPr>
        <w:t>oku</w:t>
      </w:r>
      <w:r w:rsidRPr="00D47D22">
        <w:rPr>
          <w:rFonts w:ascii="Times New Roman" w:hAnsi="Times New Roman" w:cs="Times New Roman"/>
          <w:lang w:val="pl-PL"/>
        </w:rPr>
        <w:t>)</w:t>
      </w:r>
      <w:r w:rsidRPr="00D47D22">
        <w:rPr>
          <w:rFonts w:ascii="Times New Roman" w:hAnsi="Times New Roman" w:cs="Times New Roman"/>
          <w:u w:val="single"/>
          <w:lang w:val="pl-PL"/>
        </w:rPr>
        <w:t xml:space="preserve"> </w:t>
      </w:r>
    </w:p>
  </w:footnote>
  <w:footnote w:id="87">
    <w:p w:rsidR="00AC3310" w:rsidRPr="00D47D22" w:rsidRDefault="00AC3310" w:rsidP="00F81449">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Jussila</w:t>
      </w:r>
      <w:proofErr w:type="spellEnd"/>
      <w:r w:rsidRPr="00D47D22">
        <w:rPr>
          <w:rFonts w:ascii="Times New Roman" w:hAnsi="Times New Roman" w:cs="Times New Roman"/>
          <w:lang w:val="pl-PL"/>
        </w:rPr>
        <w:t>, cytowane wyżej, § 38.</w:t>
      </w:r>
    </w:p>
  </w:footnote>
  <w:footnote w:id="88">
    <w:p w:rsidR="00AC3310" w:rsidRPr="00D47D22" w:rsidRDefault="00AC3310" w:rsidP="00F81449">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Ibid., § 43; zob. również </w:t>
      </w:r>
      <w:r w:rsidRPr="00D47D22">
        <w:rPr>
          <w:rFonts w:ascii="Times New Roman" w:hAnsi="Times New Roman" w:cs="Times New Roman"/>
          <w:i/>
          <w:lang w:val="pl-PL"/>
        </w:rPr>
        <w:t xml:space="preserve">Grande Stevens and </w:t>
      </w:r>
      <w:proofErr w:type="spellStart"/>
      <w:r w:rsidRPr="00D47D22">
        <w:rPr>
          <w:rFonts w:ascii="Times New Roman" w:hAnsi="Times New Roman" w:cs="Times New Roman"/>
          <w:i/>
          <w:lang w:val="pl-PL"/>
        </w:rPr>
        <w:t>Others</w:t>
      </w:r>
      <w:proofErr w:type="spellEnd"/>
      <w:r w:rsidRPr="00D47D22">
        <w:rPr>
          <w:rFonts w:ascii="Times New Roman" w:hAnsi="Times New Roman" w:cs="Times New Roman"/>
          <w:lang w:val="pl-PL"/>
        </w:rPr>
        <w:t xml:space="preserve">, cytowane wyżej, § 120; </w:t>
      </w:r>
      <w:proofErr w:type="spellStart"/>
      <w:r w:rsidRPr="00D47D22">
        <w:rPr>
          <w:rFonts w:ascii="Times New Roman" w:hAnsi="Times New Roman" w:cs="Times New Roman"/>
          <w:i/>
          <w:lang w:val="pl-PL"/>
        </w:rPr>
        <w:t>Kammerer</w:t>
      </w:r>
      <w:proofErr w:type="spellEnd"/>
      <w:r w:rsidRPr="00D47D22">
        <w:rPr>
          <w:rFonts w:ascii="Times New Roman" w:hAnsi="Times New Roman" w:cs="Times New Roman"/>
          <w:i/>
          <w:lang w:val="pl-PL"/>
        </w:rPr>
        <w:t xml:space="preserve"> v. Austria</w:t>
      </w:r>
      <w:r w:rsidRPr="00D47D22">
        <w:rPr>
          <w:rFonts w:ascii="Times New Roman" w:hAnsi="Times New Roman" w:cs="Times New Roman"/>
          <w:lang w:val="pl-PL"/>
        </w:rPr>
        <w:t>, no. 32435/06, § 26, 12 maja 2010</w:t>
      </w:r>
      <w:r>
        <w:rPr>
          <w:rFonts w:ascii="Times New Roman" w:hAnsi="Times New Roman" w:cs="Times New Roman"/>
          <w:lang w:val="pl-PL"/>
        </w:rPr>
        <w:t xml:space="preserve"> roku</w:t>
      </w:r>
      <w:r w:rsidRPr="00D47D22">
        <w:rPr>
          <w:rFonts w:ascii="Times New Roman" w:hAnsi="Times New Roman" w:cs="Times New Roman"/>
          <w:lang w:val="pl-PL"/>
        </w:rPr>
        <w:t xml:space="preserve">; and </w:t>
      </w:r>
      <w:proofErr w:type="spellStart"/>
      <w:r w:rsidRPr="00D47D22">
        <w:rPr>
          <w:rFonts w:ascii="Times New Roman" w:hAnsi="Times New Roman" w:cs="Times New Roman"/>
          <w:i/>
          <w:lang w:val="pl-PL"/>
        </w:rPr>
        <w:t>Flisar</w:t>
      </w:r>
      <w:proofErr w:type="spellEnd"/>
      <w:r w:rsidRPr="00D47D22">
        <w:rPr>
          <w:rFonts w:ascii="Times New Roman" w:hAnsi="Times New Roman" w:cs="Times New Roman"/>
          <w:i/>
          <w:lang w:val="pl-PL"/>
        </w:rPr>
        <w:t xml:space="preserve"> v. </w:t>
      </w:r>
      <w:proofErr w:type="spellStart"/>
      <w:r w:rsidRPr="00D47D22">
        <w:rPr>
          <w:rFonts w:ascii="Times New Roman" w:hAnsi="Times New Roman" w:cs="Times New Roman"/>
          <w:i/>
          <w:lang w:val="pl-PL"/>
        </w:rPr>
        <w:t>Slovenia</w:t>
      </w:r>
      <w:proofErr w:type="spellEnd"/>
      <w:r w:rsidRPr="00D47D22">
        <w:rPr>
          <w:rFonts w:ascii="Times New Roman" w:hAnsi="Times New Roman" w:cs="Times New Roman"/>
          <w:lang w:val="pl-PL"/>
        </w:rPr>
        <w:t>, no. 3127/09, § 36, 29 września 2011</w:t>
      </w:r>
      <w:r>
        <w:rPr>
          <w:rFonts w:ascii="Times New Roman" w:hAnsi="Times New Roman" w:cs="Times New Roman"/>
          <w:lang w:val="pl-PL"/>
        </w:rPr>
        <w:t xml:space="preserve"> roku</w:t>
      </w:r>
      <w:r w:rsidRPr="00D47D22">
        <w:rPr>
          <w:rFonts w:ascii="Times New Roman" w:hAnsi="Times New Roman" w:cs="Times New Roman"/>
          <w:lang w:val="pl-PL"/>
        </w:rPr>
        <w:t xml:space="preserve">. Wniosek w </w:t>
      </w:r>
      <w:proofErr w:type="spellStart"/>
      <w:r w:rsidRPr="00D47D22">
        <w:rPr>
          <w:rFonts w:ascii="Times New Roman" w:hAnsi="Times New Roman" w:cs="Times New Roman"/>
          <w:i/>
          <w:lang w:val="pl-PL"/>
        </w:rPr>
        <w:t>Jussila</w:t>
      </w:r>
      <w:proofErr w:type="spellEnd"/>
      <w:r w:rsidRPr="00D47D22">
        <w:rPr>
          <w:rFonts w:ascii="Times New Roman" w:hAnsi="Times New Roman" w:cs="Times New Roman"/>
          <w:i/>
          <w:lang w:val="pl-PL"/>
        </w:rPr>
        <w:t xml:space="preserve">, </w:t>
      </w:r>
      <w:r w:rsidRPr="00D47D22">
        <w:rPr>
          <w:rFonts w:ascii="Times New Roman" w:hAnsi="Times New Roman" w:cs="Times New Roman"/>
          <w:lang w:val="pl-PL"/>
        </w:rPr>
        <w:t xml:space="preserve">że rozprawa publiczna nie była konieczna w celu zajęcia się wykroczeniami administracyjnymi, została rozszerzona na inne kwestie proceduralne objęte spectrum art. 6, takie jak te w sprawach </w:t>
      </w:r>
      <w:proofErr w:type="spellStart"/>
      <w:r w:rsidRPr="00D47D22">
        <w:rPr>
          <w:rFonts w:ascii="Times New Roman" w:hAnsi="Times New Roman" w:cs="Times New Roman"/>
          <w:i/>
          <w:lang w:val="pl-PL"/>
        </w:rPr>
        <w:t>Kammerer</w:t>
      </w:r>
      <w:proofErr w:type="spellEnd"/>
      <w:r w:rsidRPr="00D47D22">
        <w:rPr>
          <w:rFonts w:ascii="Times New Roman" w:hAnsi="Times New Roman" w:cs="Times New Roman"/>
          <w:i/>
          <w:lang w:val="pl-PL"/>
        </w:rPr>
        <w:t xml:space="preserve"> I </w:t>
      </w:r>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Flisar</w:t>
      </w:r>
      <w:proofErr w:type="spellEnd"/>
      <w:r w:rsidRPr="00D47D22">
        <w:rPr>
          <w:rFonts w:ascii="Times New Roman" w:hAnsi="Times New Roman" w:cs="Times New Roman"/>
          <w:lang w:val="pl-PL"/>
        </w:rPr>
        <w:t>, obecność oskarżonego na rozprawie.</w:t>
      </w:r>
    </w:p>
  </w:footnote>
  <w:footnote w:id="89">
    <w:p w:rsidR="00AC3310" w:rsidRPr="00D47D22" w:rsidRDefault="00AC3310" w:rsidP="00F81449">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Zastosowanie kryterium stygmatyzacji społecznej w orzecznictwie Trybunału jest bowiem bardzo ograniczone. Prawdą jest, że Trybunał wielokrotnie zwracał uwagę na szczególne społeczne piętno, jakie niesie za sobą przestępstwo tortur (zob. m.in., </w:t>
      </w:r>
      <w:proofErr w:type="spellStart"/>
      <w:r w:rsidRPr="00D47D22">
        <w:rPr>
          <w:rFonts w:ascii="Times New Roman" w:hAnsi="Times New Roman" w:cs="Times New Roman"/>
          <w:i/>
          <w:lang w:val="pl-PL"/>
        </w:rPr>
        <w:t>Ireland</w:t>
      </w:r>
      <w:proofErr w:type="spellEnd"/>
      <w:r w:rsidRPr="00D47D22">
        <w:rPr>
          <w:rFonts w:ascii="Times New Roman" w:hAnsi="Times New Roman" w:cs="Times New Roman"/>
          <w:i/>
          <w:lang w:val="pl-PL"/>
        </w:rPr>
        <w:t xml:space="preserve"> v. Wielka Brytania</w:t>
      </w:r>
      <w:r w:rsidRPr="00D47D22">
        <w:rPr>
          <w:rFonts w:ascii="Times New Roman" w:hAnsi="Times New Roman" w:cs="Times New Roman"/>
          <w:lang w:val="pl-PL"/>
        </w:rPr>
        <w:t>, 18 stycznia 1978</w:t>
      </w:r>
      <w:r>
        <w:rPr>
          <w:rFonts w:ascii="Times New Roman" w:hAnsi="Times New Roman" w:cs="Times New Roman"/>
          <w:lang w:val="pl-PL"/>
        </w:rPr>
        <w:t xml:space="preserve"> roku</w:t>
      </w:r>
      <w:r w:rsidRPr="00D47D22">
        <w:rPr>
          <w:rFonts w:ascii="Times New Roman" w:hAnsi="Times New Roman" w:cs="Times New Roman"/>
          <w:lang w:val="pl-PL"/>
        </w:rPr>
        <w:t xml:space="preserve">, § 167, Seria A no. 25; </w:t>
      </w:r>
      <w:proofErr w:type="spellStart"/>
      <w:r w:rsidRPr="00D47D22">
        <w:rPr>
          <w:rFonts w:ascii="Times New Roman" w:hAnsi="Times New Roman" w:cs="Times New Roman"/>
          <w:i/>
          <w:lang w:val="pl-PL"/>
        </w:rPr>
        <w:t>Aksoy</w:t>
      </w:r>
      <w:proofErr w:type="spellEnd"/>
      <w:r w:rsidRPr="00D47D22">
        <w:rPr>
          <w:rFonts w:ascii="Times New Roman" w:hAnsi="Times New Roman" w:cs="Times New Roman"/>
          <w:i/>
          <w:lang w:val="pl-PL"/>
        </w:rPr>
        <w:t xml:space="preserve"> v. Turcja</w:t>
      </w:r>
      <w:r w:rsidRPr="00D47D22">
        <w:rPr>
          <w:rFonts w:ascii="Times New Roman" w:hAnsi="Times New Roman" w:cs="Times New Roman"/>
          <w:lang w:val="pl-PL"/>
        </w:rPr>
        <w:t xml:space="preserve">, 18 grudnia 1996, § 64, </w:t>
      </w:r>
      <w:proofErr w:type="spellStart"/>
      <w:r w:rsidRPr="00D47D22">
        <w:rPr>
          <w:rFonts w:ascii="Times New Roman" w:hAnsi="Times New Roman" w:cs="Times New Roman"/>
          <w:i/>
          <w:lang w:val="pl-PL"/>
        </w:rPr>
        <w:t>Reports</w:t>
      </w:r>
      <w:proofErr w:type="spellEnd"/>
      <w:r w:rsidRPr="00D47D22">
        <w:rPr>
          <w:rFonts w:ascii="Times New Roman" w:hAnsi="Times New Roman" w:cs="Times New Roman"/>
          <w:lang w:val="pl-PL"/>
        </w:rPr>
        <w:t xml:space="preserve"> 1996-VI; </w:t>
      </w:r>
      <w:r w:rsidRPr="00D47D22">
        <w:rPr>
          <w:rFonts w:ascii="Times New Roman" w:hAnsi="Times New Roman" w:cs="Times New Roman"/>
          <w:i/>
          <w:lang w:val="pl-PL"/>
        </w:rPr>
        <w:t>Aydın v. Turcja</w:t>
      </w:r>
      <w:r w:rsidRPr="00D47D22">
        <w:rPr>
          <w:rFonts w:ascii="Times New Roman" w:hAnsi="Times New Roman" w:cs="Times New Roman"/>
          <w:lang w:val="pl-PL"/>
        </w:rPr>
        <w:t>, 25 września 1997</w:t>
      </w:r>
      <w:r>
        <w:rPr>
          <w:rFonts w:ascii="Times New Roman" w:hAnsi="Times New Roman" w:cs="Times New Roman"/>
          <w:lang w:val="pl-PL"/>
        </w:rPr>
        <w:t xml:space="preserve"> roku</w:t>
      </w:r>
      <w:r w:rsidRPr="00D47D22">
        <w:rPr>
          <w:rFonts w:ascii="Times New Roman" w:hAnsi="Times New Roman" w:cs="Times New Roman"/>
          <w:lang w:val="pl-PL"/>
        </w:rPr>
        <w:t xml:space="preserve">, §§ 83-84 and 86, </w:t>
      </w:r>
      <w:proofErr w:type="spellStart"/>
      <w:r w:rsidRPr="00D47D22">
        <w:rPr>
          <w:rFonts w:ascii="Times New Roman" w:hAnsi="Times New Roman" w:cs="Times New Roman"/>
          <w:i/>
          <w:lang w:val="pl-PL"/>
        </w:rPr>
        <w:t>Reports</w:t>
      </w:r>
      <w:proofErr w:type="spellEnd"/>
      <w:r w:rsidRPr="00D47D22">
        <w:rPr>
          <w:rFonts w:ascii="Times New Roman" w:hAnsi="Times New Roman" w:cs="Times New Roman"/>
          <w:lang w:val="pl-PL"/>
        </w:rPr>
        <w:t xml:space="preserve"> 1997-VI; </w:t>
      </w:r>
      <w:proofErr w:type="spellStart"/>
      <w:r w:rsidRPr="00D47D22">
        <w:rPr>
          <w:rFonts w:ascii="Times New Roman" w:hAnsi="Times New Roman" w:cs="Times New Roman"/>
          <w:i/>
          <w:lang w:val="pl-PL"/>
        </w:rPr>
        <w:t>Selmouni</w:t>
      </w:r>
      <w:proofErr w:type="spellEnd"/>
      <w:r w:rsidRPr="00D47D22">
        <w:rPr>
          <w:rFonts w:ascii="Times New Roman" w:hAnsi="Times New Roman" w:cs="Times New Roman"/>
          <w:i/>
          <w:lang w:val="pl-PL"/>
        </w:rPr>
        <w:t xml:space="preserve"> v. Francja </w:t>
      </w:r>
      <w:r w:rsidRPr="00D47D22">
        <w:rPr>
          <w:rFonts w:ascii="Times New Roman" w:hAnsi="Times New Roman" w:cs="Times New Roman"/>
          <w:lang w:val="pl-PL"/>
        </w:rPr>
        <w:t xml:space="preserve">[GC], no. 25803/94, § 74, </w:t>
      </w:r>
      <w:proofErr w:type="spellStart"/>
      <w:r>
        <w:rPr>
          <w:rFonts w:ascii="Times New Roman" w:hAnsi="Times New Roman" w:cs="Times New Roman"/>
          <w:lang w:val="pl-PL"/>
        </w:rPr>
        <w:t>ETPCz</w:t>
      </w:r>
      <w:proofErr w:type="spellEnd"/>
      <w:r w:rsidRPr="00D47D22">
        <w:rPr>
          <w:rFonts w:ascii="Times New Roman" w:hAnsi="Times New Roman" w:cs="Times New Roman"/>
          <w:lang w:val="pl-PL"/>
        </w:rPr>
        <w:t xml:space="preserve"> 1999-V; </w:t>
      </w:r>
      <w:proofErr w:type="spellStart"/>
      <w:r w:rsidRPr="00D47D22">
        <w:rPr>
          <w:rFonts w:ascii="Times New Roman" w:hAnsi="Times New Roman" w:cs="Times New Roman"/>
          <w:i/>
          <w:lang w:val="pl-PL"/>
        </w:rPr>
        <w:t>Dikme</w:t>
      </w:r>
      <w:proofErr w:type="spellEnd"/>
      <w:r w:rsidRPr="00D47D22">
        <w:rPr>
          <w:rFonts w:ascii="Times New Roman" w:hAnsi="Times New Roman" w:cs="Times New Roman"/>
          <w:i/>
          <w:lang w:val="pl-PL"/>
        </w:rPr>
        <w:t xml:space="preserve"> v. Turcja</w:t>
      </w:r>
      <w:r w:rsidRPr="00D47D22">
        <w:rPr>
          <w:rFonts w:ascii="Times New Roman" w:hAnsi="Times New Roman" w:cs="Times New Roman"/>
          <w:lang w:val="pl-PL"/>
        </w:rPr>
        <w:t xml:space="preserve">, no. 20869/92, §§ 94-96, ECHR 2000-VIII; and </w:t>
      </w:r>
      <w:proofErr w:type="spellStart"/>
      <w:r w:rsidRPr="00D47D22">
        <w:rPr>
          <w:rFonts w:ascii="Times New Roman" w:hAnsi="Times New Roman" w:cs="Times New Roman"/>
          <w:i/>
          <w:lang w:val="pl-PL"/>
        </w:rPr>
        <w:t>Batı</w:t>
      </w:r>
      <w:proofErr w:type="spellEnd"/>
      <w:r w:rsidRPr="00D47D22">
        <w:rPr>
          <w:rFonts w:ascii="Times New Roman" w:hAnsi="Times New Roman" w:cs="Times New Roman"/>
          <w:i/>
          <w:lang w:val="pl-PL"/>
        </w:rPr>
        <w:t xml:space="preserve"> i Inni v. Turcja</w:t>
      </w:r>
      <w:r w:rsidRPr="00D47D22">
        <w:rPr>
          <w:rFonts w:ascii="Times New Roman" w:hAnsi="Times New Roman" w:cs="Times New Roman"/>
          <w:lang w:val="pl-PL"/>
        </w:rPr>
        <w:t>, nos. 33097/96 i 57834/00, § 116, ECHR 2004-IV).</w:t>
      </w:r>
      <w:r w:rsidRPr="00D47D22">
        <w:rPr>
          <w:lang w:val="pl-PL"/>
        </w:rPr>
        <w:t xml:space="preserve"> </w:t>
      </w:r>
      <w:r w:rsidRPr="00D47D22">
        <w:rPr>
          <w:rFonts w:ascii="Times New Roman" w:hAnsi="Times New Roman" w:cs="Times New Roman"/>
          <w:lang w:val="pl-PL"/>
        </w:rPr>
        <w:t>Jednak poza tymi przypadkami stosowanie kryterium jest rzadkie. Czasami Trybunał odwołuje się do społecznego piętna związanego z wyrokiem skazującym</w:t>
      </w:r>
      <w:r>
        <w:rPr>
          <w:rFonts w:ascii="Times New Roman" w:hAnsi="Times New Roman" w:cs="Times New Roman"/>
          <w:lang w:val="pl-PL"/>
        </w:rPr>
        <w:t>,</w:t>
      </w:r>
      <w:r w:rsidRPr="00D47D22">
        <w:rPr>
          <w:rFonts w:ascii="Times New Roman" w:hAnsi="Times New Roman" w:cs="Times New Roman"/>
          <w:lang w:val="pl-PL"/>
        </w:rPr>
        <w:t xml:space="preserve"> jako czynnika pozwalającego uznać konieczność osobistego udziału pozwanego w postępowaniu. (w sprawie o zabójstwo, zob. </w:t>
      </w:r>
      <w:proofErr w:type="spellStart"/>
      <w:r w:rsidRPr="00D47D22">
        <w:rPr>
          <w:rFonts w:ascii="Times New Roman" w:hAnsi="Times New Roman" w:cs="Times New Roman"/>
          <w:i/>
          <w:lang w:val="pl-PL"/>
        </w:rPr>
        <w:t>Chopenko</w:t>
      </w:r>
      <w:proofErr w:type="spellEnd"/>
      <w:r w:rsidRPr="00D47D22">
        <w:rPr>
          <w:rFonts w:ascii="Times New Roman" w:hAnsi="Times New Roman" w:cs="Times New Roman"/>
          <w:i/>
          <w:lang w:val="pl-PL"/>
        </w:rPr>
        <w:t xml:space="preserve"> v. Ukraina</w:t>
      </w:r>
      <w:r w:rsidRPr="00D47D22">
        <w:rPr>
          <w:rFonts w:ascii="Times New Roman" w:hAnsi="Times New Roman" w:cs="Times New Roman"/>
          <w:lang w:val="pl-PL"/>
        </w:rPr>
        <w:t>, no. 17735/06, § 64, 15 stycznia 2015</w:t>
      </w:r>
      <w:r>
        <w:rPr>
          <w:rFonts w:ascii="Times New Roman" w:hAnsi="Times New Roman" w:cs="Times New Roman"/>
          <w:lang w:val="pl-PL"/>
        </w:rPr>
        <w:t xml:space="preserve"> roku</w:t>
      </w:r>
      <w:r w:rsidRPr="00D47D22">
        <w:rPr>
          <w:rFonts w:ascii="Times New Roman" w:hAnsi="Times New Roman" w:cs="Times New Roman"/>
          <w:lang w:val="pl-PL"/>
        </w:rPr>
        <w:t xml:space="preserve">; w sprawie o korupcję, zob. </w:t>
      </w:r>
      <w:proofErr w:type="spellStart"/>
      <w:r w:rsidRPr="00D47D22">
        <w:rPr>
          <w:rFonts w:ascii="Times New Roman" w:hAnsi="Times New Roman" w:cs="Times New Roman"/>
          <w:i/>
          <w:lang w:val="pl-PL"/>
        </w:rPr>
        <w:t>Suuripää</w:t>
      </w:r>
      <w:proofErr w:type="spellEnd"/>
      <w:r w:rsidRPr="00D47D22">
        <w:rPr>
          <w:rFonts w:ascii="Times New Roman" w:hAnsi="Times New Roman" w:cs="Times New Roman"/>
          <w:i/>
          <w:lang w:val="pl-PL"/>
        </w:rPr>
        <w:t xml:space="preserve"> v. Finlandia</w:t>
      </w:r>
      <w:r w:rsidRPr="00D47D22">
        <w:rPr>
          <w:rFonts w:ascii="Times New Roman" w:hAnsi="Times New Roman" w:cs="Times New Roman"/>
          <w:lang w:val="pl-PL"/>
        </w:rPr>
        <w:t>, no. 43151/02, § 45, 12 stycznia 2010</w:t>
      </w:r>
      <w:r>
        <w:rPr>
          <w:rFonts w:ascii="Times New Roman" w:hAnsi="Times New Roman" w:cs="Times New Roman"/>
          <w:lang w:val="pl-PL"/>
        </w:rPr>
        <w:t xml:space="preserve"> roku</w:t>
      </w:r>
      <w:r w:rsidRPr="00D47D22">
        <w:rPr>
          <w:rFonts w:ascii="Times New Roman" w:hAnsi="Times New Roman" w:cs="Times New Roman"/>
          <w:lang w:val="pl-PL"/>
        </w:rPr>
        <w:t xml:space="preserve">), lub w celu ustalenia, że środki podjęte przez policję w ramach postępowania przygotowawczego musiały już znacząco wpłynąć na sytuację wnioskodawcy (w wykorzystywania seksualnego osoby nieletniej, patrz: </w:t>
      </w:r>
      <w:proofErr w:type="spellStart"/>
      <w:r w:rsidRPr="00486852">
        <w:rPr>
          <w:rFonts w:ascii="Times New Roman" w:hAnsi="Times New Roman" w:cs="Times New Roman"/>
          <w:i/>
          <w:lang w:val="pl-PL"/>
        </w:rPr>
        <w:t>Subinski</w:t>
      </w:r>
      <w:proofErr w:type="spellEnd"/>
      <w:r w:rsidRPr="00486852">
        <w:rPr>
          <w:rFonts w:ascii="Times New Roman" w:hAnsi="Times New Roman" w:cs="Times New Roman"/>
          <w:i/>
          <w:lang w:val="pl-PL"/>
        </w:rPr>
        <w:t xml:space="preserve"> v. Słowenia</w:t>
      </w:r>
      <w:r w:rsidRPr="00D47D22">
        <w:rPr>
          <w:rFonts w:ascii="Times New Roman" w:hAnsi="Times New Roman" w:cs="Times New Roman"/>
          <w:lang w:val="pl-PL"/>
        </w:rPr>
        <w:t>, nr 19611/04, § 68,18 stycznia 2007 r</w:t>
      </w:r>
      <w:r>
        <w:rPr>
          <w:rFonts w:ascii="Times New Roman" w:hAnsi="Times New Roman" w:cs="Times New Roman"/>
          <w:lang w:val="pl-PL"/>
        </w:rPr>
        <w:t>oku</w:t>
      </w:r>
      <w:r w:rsidRPr="00D47D22">
        <w:rPr>
          <w:rFonts w:ascii="Times New Roman" w:hAnsi="Times New Roman" w:cs="Times New Roman"/>
          <w:lang w:val="pl-PL"/>
        </w:rPr>
        <w:t xml:space="preserve">.). Ustalenie </w:t>
      </w:r>
      <w:proofErr w:type="spellStart"/>
      <w:r w:rsidRPr="00486852">
        <w:rPr>
          <w:rFonts w:ascii="Times New Roman" w:hAnsi="Times New Roman" w:cs="Times New Roman"/>
          <w:i/>
          <w:lang w:val="pl-PL"/>
        </w:rPr>
        <w:t>Suuripäää</w:t>
      </w:r>
      <w:proofErr w:type="spellEnd"/>
      <w:r w:rsidRPr="00486852">
        <w:rPr>
          <w:rFonts w:ascii="Times New Roman" w:hAnsi="Times New Roman" w:cs="Times New Roman"/>
          <w:i/>
          <w:lang w:val="pl-PL"/>
        </w:rPr>
        <w:t xml:space="preserve"> </w:t>
      </w:r>
      <w:r w:rsidRPr="00D47D22">
        <w:rPr>
          <w:rFonts w:ascii="Times New Roman" w:hAnsi="Times New Roman" w:cs="Times New Roman"/>
          <w:lang w:val="pl-PL"/>
        </w:rPr>
        <w:t xml:space="preserve">zostało rozszerzone na przypadek wykroczenia podatkowego w </w:t>
      </w:r>
      <w:proofErr w:type="spellStart"/>
      <w:r w:rsidRPr="00486852">
        <w:rPr>
          <w:rFonts w:ascii="Times New Roman" w:hAnsi="Times New Roman" w:cs="Times New Roman"/>
          <w:i/>
          <w:lang w:val="pl-PL"/>
        </w:rPr>
        <w:t>Pákozdi</w:t>
      </w:r>
      <w:proofErr w:type="spellEnd"/>
      <w:r w:rsidRPr="00D47D22">
        <w:rPr>
          <w:rFonts w:ascii="Times New Roman" w:hAnsi="Times New Roman" w:cs="Times New Roman"/>
          <w:lang w:val="pl-PL"/>
        </w:rPr>
        <w:t xml:space="preserve"> przeciwko Węgrom (nr 51269/07, § 39,25 listopada 2014 r</w:t>
      </w:r>
      <w:r>
        <w:rPr>
          <w:rFonts w:ascii="Times New Roman" w:hAnsi="Times New Roman" w:cs="Times New Roman"/>
          <w:lang w:val="pl-PL"/>
        </w:rPr>
        <w:t>oku</w:t>
      </w:r>
      <w:r w:rsidRPr="00D47D22">
        <w:rPr>
          <w:rFonts w:ascii="Times New Roman" w:hAnsi="Times New Roman" w:cs="Times New Roman"/>
          <w:lang w:val="pl-PL"/>
        </w:rPr>
        <w:t>.). W innych przypadkach Trybunał stwierdził, że przestępstwa kryminalne zagrożone karą pozbawienia wolności nosiła znamiona stygmatyzacji, gdy osoba skazana została skazana na siedmioletnią kadencję (</w:t>
      </w:r>
      <w:r w:rsidRPr="00486852">
        <w:rPr>
          <w:rFonts w:ascii="Times New Roman" w:hAnsi="Times New Roman" w:cs="Times New Roman"/>
          <w:i/>
          <w:lang w:val="pl-PL"/>
        </w:rPr>
        <w:t xml:space="preserve">Popa i </w:t>
      </w:r>
      <w:proofErr w:type="spellStart"/>
      <w:r w:rsidRPr="00486852">
        <w:rPr>
          <w:rFonts w:ascii="Times New Roman" w:hAnsi="Times New Roman" w:cs="Times New Roman"/>
          <w:i/>
          <w:lang w:val="pl-PL"/>
        </w:rPr>
        <w:t>Tanasescu</w:t>
      </w:r>
      <w:proofErr w:type="spellEnd"/>
      <w:r w:rsidRPr="00486852">
        <w:rPr>
          <w:rFonts w:ascii="Times New Roman" w:hAnsi="Times New Roman" w:cs="Times New Roman"/>
          <w:i/>
          <w:lang w:val="pl-PL"/>
        </w:rPr>
        <w:t xml:space="preserve"> przeciwko Rumunii</w:t>
      </w:r>
      <w:r w:rsidRPr="00D47D22">
        <w:rPr>
          <w:rFonts w:ascii="Times New Roman" w:hAnsi="Times New Roman" w:cs="Times New Roman"/>
          <w:lang w:val="pl-PL"/>
        </w:rPr>
        <w:t>, nr 19946/04, § 46,10 kwietnia 2012 r</w:t>
      </w:r>
      <w:r>
        <w:rPr>
          <w:rFonts w:ascii="Times New Roman" w:hAnsi="Times New Roman" w:cs="Times New Roman"/>
          <w:lang w:val="pl-PL"/>
        </w:rPr>
        <w:t>oku</w:t>
      </w:r>
      <w:r w:rsidRPr="00D47D22">
        <w:rPr>
          <w:rFonts w:ascii="Times New Roman" w:hAnsi="Times New Roman" w:cs="Times New Roman"/>
          <w:lang w:val="pl-PL"/>
        </w:rPr>
        <w:t>.), czteroletnią kadencję (</w:t>
      </w:r>
      <w:proofErr w:type="spellStart"/>
      <w:r w:rsidRPr="00486852">
        <w:rPr>
          <w:rFonts w:ascii="Times New Roman" w:hAnsi="Times New Roman" w:cs="Times New Roman"/>
          <w:i/>
          <w:lang w:val="pl-PL"/>
        </w:rPr>
        <w:t>Sándor</w:t>
      </w:r>
      <w:proofErr w:type="spellEnd"/>
      <w:r w:rsidRPr="00486852">
        <w:rPr>
          <w:rFonts w:ascii="Times New Roman" w:hAnsi="Times New Roman" w:cs="Times New Roman"/>
          <w:i/>
          <w:lang w:val="pl-PL"/>
        </w:rPr>
        <w:t xml:space="preserve"> Lajos Kiss przeciwko Węgrom</w:t>
      </w:r>
      <w:r w:rsidRPr="00D47D22">
        <w:rPr>
          <w:rFonts w:ascii="Times New Roman" w:hAnsi="Times New Roman" w:cs="Times New Roman"/>
          <w:lang w:val="pl-PL"/>
        </w:rPr>
        <w:t>, nie. 26958/05, § 24,29 września 2009 r</w:t>
      </w:r>
      <w:r>
        <w:rPr>
          <w:rFonts w:ascii="Times New Roman" w:hAnsi="Times New Roman" w:cs="Times New Roman"/>
          <w:lang w:val="pl-PL"/>
        </w:rPr>
        <w:t>oku</w:t>
      </w:r>
      <w:r w:rsidRPr="00D47D22">
        <w:rPr>
          <w:rFonts w:ascii="Times New Roman" w:hAnsi="Times New Roman" w:cs="Times New Roman"/>
          <w:lang w:val="pl-PL"/>
        </w:rPr>
        <w:t>.) lub karą pozbawienia wolności w zawieszeniu (</w:t>
      </w:r>
      <w:r w:rsidRPr="00486852">
        <w:rPr>
          <w:rFonts w:ascii="Times New Roman" w:hAnsi="Times New Roman" w:cs="Times New Roman"/>
          <w:i/>
          <w:lang w:val="pl-PL"/>
        </w:rPr>
        <w:t xml:space="preserve">Goldmann i </w:t>
      </w:r>
      <w:proofErr w:type="spellStart"/>
      <w:r w:rsidRPr="00486852">
        <w:rPr>
          <w:rFonts w:ascii="Times New Roman" w:hAnsi="Times New Roman" w:cs="Times New Roman"/>
          <w:i/>
          <w:lang w:val="pl-PL"/>
        </w:rPr>
        <w:t>Szénászky</w:t>
      </w:r>
      <w:proofErr w:type="spellEnd"/>
      <w:r w:rsidRPr="00486852">
        <w:rPr>
          <w:rFonts w:ascii="Times New Roman" w:hAnsi="Times New Roman" w:cs="Times New Roman"/>
          <w:i/>
          <w:lang w:val="pl-PL"/>
        </w:rPr>
        <w:t xml:space="preserve"> przeciwko Węgrom</w:t>
      </w:r>
      <w:r w:rsidRPr="00D47D22">
        <w:rPr>
          <w:rFonts w:ascii="Times New Roman" w:hAnsi="Times New Roman" w:cs="Times New Roman"/>
          <w:lang w:val="pl-PL"/>
        </w:rPr>
        <w:t>, nr 17604/05, § 20,30 listopada 2010 r</w:t>
      </w:r>
      <w:r>
        <w:rPr>
          <w:rFonts w:ascii="Times New Roman" w:hAnsi="Times New Roman" w:cs="Times New Roman"/>
          <w:lang w:val="pl-PL"/>
        </w:rPr>
        <w:t>oku</w:t>
      </w:r>
      <w:r w:rsidRPr="00D47D22">
        <w:rPr>
          <w:rFonts w:ascii="Times New Roman" w:hAnsi="Times New Roman" w:cs="Times New Roman"/>
          <w:lang w:val="pl-PL"/>
        </w:rPr>
        <w:t>.), a nawet karą grzywny (</w:t>
      </w:r>
      <w:proofErr w:type="spellStart"/>
      <w:r w:rsidRPr="00486852">
        <w:rPr>
          <w:rFonts w:ascii="Times New Roman" w:hAnsi="Times New Roman" w:cs="Times New Roman"/>
          <w:i/>
          <w:lang w:val="pl-PL"/>
        </w:rPr>
        <w:t>Taláber</w:t>
      </w:r>
      <w:proofErr w:type="spellEnd"/>
      <w:r w:rsidRPr="00486852">
        <w:rPr>
          <w:rFonts w:ascii="Times New Roman" w:hAnsi="Times New Roman" w:cs="Times New Roman"/>
          <w:i/>
          <w:lang w:val="pl-PL"/>
        </w:rPr>
        <w:t xml:space="preserve"> przeciwko Węgrom</w:t>
      </w:r>
      <w:r w:rsidRPr="00D47D22">
        <w:rPr>
          <w:rFonts w:ascii="Times New Roman" w:hAnsi="Times New Roman" w:cs="Times New Roman"/>
          <w:lang w:val="pl-PL"/>
        </w:rPr>
        <w:t>, nr 37376/05, § 27,</w:t>
      </w:r>
      <w:r>
        <w:rPr>
          <w:rFonts w:ascii="Times New Roman" w:hAnsi="Times New Roman" w:cs="Times New Roman"/>
          <w:lang w:val="pl-PL"/>
        </w:rPr>
        <w:t xml:space="preserve"> </w:t>
      </w:r>
      <w:r w:rsidRPr="00D47D22">
        <w:rPr>
          <w:rFonts w:ascii="Times New Roman" w:hAnsi="Times New Roman" w:cs="Times New Roman"/>
          <w:lang w:val="pl-PL"/>
        </w:rPr>
        <w:t>29 września 2009 r</w:t>
      </w:r>
      <w:r>
        <w:rPr>
          <w:rFonts w:ascii="Times New Roman" w:hAnsi="Times New Roman" w:cs="Times New Roman"/>
          <w:lang w:val="pl-PL"/>
        </w:rPr>
        <w:t>oku</w:t>
      </w:r>
      <w:r w:rsidRPr="00D47D22">
        <w:rPr>
          <w:rFonts w:ascii="Times New Roman" w:hAnsi="Times New Roman" w:cs="Times New Roman"/>
          <w:lang w:val="pl-PL"/>
        </w:rPr>
        <w:t xml:space="preserve">.). Przy innych okazjach Trybunał po prostu potwierdził, że niektóre interesy prawne, takie jak przestrzeganie przepisów dotyczących bezpieczeństwa pożarowego, ochrony konsumentów lub polityki budowlanej w zakresie planowania przestrzennego miast, nie wchodzą w zakres prawa karnego, nie wspominając o braku stygmatyzacji społecznej (zob. </w:t>
      </w:r>
      <w:proofErr w:type="spellStart"/>
      <w:r w:rsidRPr="00D47D22">
        <w:rPr>
          <w:rFonts w:ascii="Times New Roman" w:hAnsi="Times New Roman" w:cs="Times New Roman"/>
          <w:lang w:val="pl-PL"/>
        </w:rPr>
        <w:t>Kurdov</w:t>
      </w:r>
      <w:proofErr w:type="spellEnd"/>
      <w:r w:rsidRPr="00D47D22">
        <w:rPr>
          <w:rFonts w:ascii="Times New Roman" w:hAnsi="Times New Roman" w:cs="Times New Roman"/>
          <w:lang w:val="pl-PL"/>
        </w:rPr>
        <w:t xml:space="preserve"> i Iwanow, cytowane powyżej, § 43; S. C. IMH </w:t>
      </w:r>
      <w:proofErr w:type="spellStart"/>
      <w:r w:rsidRPr="00D47D22">
        <w:rPr>
          <w:rFonts w:ascii="Times New Roman" w:hAnsi="Times New Roman" w:cs="Times New Roman"/>
          <w:lang w:val="pl-PL"/>
        </w:rPr>
        <w:t>Suceava</w:t>
      </w:r>
      <w:proofErr w:type="spellEnd"/>
      <w:r w:rsidRPr="00D47D22">
        <w:rPr>
          <w:rFonts w:ascii="Times New Roman" w:hAnsi="Times New Roman" w:cs="Times New Roman"/>
          <w:lang w:val="pl-PL"/>
        </w:rPr>
        <w:t xml:space="preserve"> S. R. L.), cytowany powyżej, ust. 51; oraz </w:t>
      </w:r>
      <w:proofErr w:type="spellStart"/>
      <w:r w:rsidRPr="00486852">
        <w:rPr>
          <w:rFonts w:ascii="Times New Roman" w:hAnsi="Times New Roman" w:cs="Times New Roman"/>
          <w:i/>
          <w:lang w:val="pl-PL"/>
        </w:rPr>
        <w:t>Inocêncio</w:t>
      </w:r>
      <w:proofErr w:type="spellEnd"/>
      <w:r w:rsidRPr="00486852">
        <w:rPr>
          <w:rFonts w:ascii="Times New Roman" w:hAnsi="Times New Roman" w:cs="Times New Roman"/>
          <w:i/>
          <w:lang w:val="pl-PL"/>
        </w:rPr>
        <w:t xml:space="preserve"> przeciwko Portugalii</w:t>
      </w:r>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dec</w:t>
      </w:r>
      <w:proofErr w:type="spellEnd"/>
      <w:r w:rsidRPr="00D47D22">
        <w:rPr>
          <w:rFonts w:ascii="Times New Roman" w:hAnsi="Times New Roman" w:cs="Times New Roman"/>
          <w:lang w:val="pl-PL"/>
        </w:rPr>
        <w:t xml:space="preserve">.), nr 43862/98, EKPC 2001-I. W sprawie </w:t>
      </w:r>
      <w:proofErr w:type="spellStart"/>
      <w:r w:rsidRPr="00D47D22">
        <w:rPr>
          <w:rFonts w:ascii="Times New Roman" w:hAnsi="Times New Roman" w:cs="Times New Roman"/>
          <w:lang w:val="pl-PL"/>
        </w:rPr>
        <w:t>Segame</w:t>
      </w:r>
      <w:proofErr w:type="spellEnd"/>
      <w:r w:rsidRPr="00D47D22">
        <w:rPr>
          <w:rFonts w:ascii="Times New Roman" w:hAnsi="Times New Roman" w:cs="Times New Roman"/>
          <w:lang w:val="pl-PL"/>
        </w:rPr>
        <w:t xml:space="preserve"> SA przeciwko Francji (nr 4837/06, § 59,7 czerwca 2012 r</w:t>
      </w:r>
      <w:r>
        <w:rPr>
          <w:rFonts w:ascii="Times New Roman" w:hAnsi="Times New Roman" w:cs="Times New Roman"/>
          <w:lang w:val="pl-PL"/>
        </w:rPr>
        <w:t>oku</w:t>
      </w:r>
      <w:r w:rsidRPr="00D47D22">
        <w:rPr>
          <w:rFonts w:ascii="Times New Roman" w:hAnsi="Times New Roman" w:cs="Times New Roman"/>
          <w:lang w:val="pl-PL"/>
        </w:rPr>
        <w:t xml:space="preserve">.) Trybunał stwierdził, że dodatkowe podatki od dzieł sztuki i związane z nimi kary </w:t>
      </w:r>
      <w:r>
        <w:rPr>
          <w:rFonts w:ascii="Times New Roman" w:hAnsi="Times New Roman" w:cs="Times New Roman"/>
          <w:lang w:val="pl-PL"/>
        </w:rPr>
        <w:t>,,</w:t>
      </w:r>
      <w:r w:rsidRPr="00D47D22">
        <w:rPr>
          <w:rFonts w:ascii="Times New Roman" w:hAnsi="Times New Roman" w:cs="Times New Roman"/>
          <w:lang w:val="pl-PL"/>
        </w:rPr>
        <w:t xml:space="preserve">różnią się" od twardego rdzenia prawa karnego na potrzeby konwencji ". W sprawie Grande Stevens i in. (cytowany powyżej, pkt. 122) Trybunał przypomniał, że poza powagą finansową kary, które mogły zostać nałożone na niektórych skarżących, miały „znaczny stopień stygmatyzacji" i mogły mieć negatywny wpływ na honor i reputację zawodową zainteresowanych osób. Stąd też materialne kryterium piętnowania społecznego wiąże się czasami z karami mającymi zastosowanie do przestępstwa, podczas gdy w przypadku zabójstwa, tortur, korupcji lub wykorzystywania seksualnego małoletnich wiąże się z samym charakterem czynu. Wreszcie Trybunał odrzucił również tautologiczne, organiczne kryterium, zgodnie z którym przestępstwa, którymi zajmują się sądy administracyjne lub sądy </w:t>
      </w:r>
      <w:r>
        <w:rPr>
          <w:rFonts w:ascii="Times New Roman" w:hAnsi="Times New Roman" w:cs="Times New Roman"/>
          <w:lang w:val="pl-PL"/>
        </w:rPr>
        <w:t>,,</w:t>
      </w:r>
      <w:r w:rsidRPr="00D47D22">
        <w:rPr>
          <w:rFonts w:ascii="Times New Roman" w:hAnsi="Times New Roman" w:cs="Times New Roman"/>
          <w:lang w:val="pl-PL"/>
        </w:rPr>
        <w:t xml:space="preserve">drobnych przestępstw", mają charakter administracyjny i w związku z tym ich zakwalifikowanie jako </w:t>
      </w:r>
      <w:r>
        <w:rPr>
          <w:rFonts w:ascii="Times New Roman" w:hAnsi="Times New Roman" w:cs="Times New Roman"/>
          <w:lang w:val="pl-PL"/>
        </w:rPr>
        <w:t>,,</w:t>
      </w:r>
      <w:r w:rsidRPr="00D47D22">
        <w:rPr>
          <w:rFonts w:ascii="Times New Roman" w:hAnsi="Times New Roman" w:cs="Times New Roman"/>
          <w:lang w:val="pl-PL"/>
        </w:rPr>
        <w:t xml:space="preserve">karne" jest wykluczone (zob. </w:t>
      </w:r>
      <w:proofErr w:type="spellStart"/>
      <w:r w:rsidRPr="00486852">
        <w:rPr>
          <w:rFonts w:ascii="Times New Roman" w:hAnsi="Times New Roman" w:cs="Times New Roman"/>
          <w:i/>
          <w:lang w:val="pl-PL"/>
        </w:rPr>
        <w:t>Tomasović</w:t>
      </w:r>
      <w:proofErr w:type="spellEnd"/>
      <w:r w:rsidRPr="00486852">
        <w:rPr>
          <w:rFonts w:ascii="Times New Roman" w:hAnsi="Times New Roman" w:cs="Times New Roman"/>
          <w:i/>
          <w:lang w:val="pl-PL"/>
        </w:rPr>
        <w:t xml:space="preserve"> przeciwko Chorwacji</w:t>
      </w:r>
      <w:r w:rsidRPr="00D47D22">
        <w:rPr>
          <w:rFonts w:ascii="Times New Roman" w:hAnsi="Times New Roman" w:cs="Times New Roman"/>
          <w:lang w:val="pl-PL"/>
        </w:rPr>
        <w:t>, nr 53785/09, § 22,18 października 2011 r</w:t>
      </w:r>
      <w:r>
        <w:rPr>
          <w:rFonts w:ascii="Times New Roman" w:hAnsi="Times New Roman" w:cs="Times New Roman"/>
          <w:lang w:val="pl-PL"/>
        </w:rPr>
        <w:t>oku</w:t>
      </w:r>
      <w:r w:rsidRPr="00D47D22">
        <w:rPr>
          <w:rFonts w:ascii="Times New Roman" w:hAnsi="Times New Roman" w:cs="Times New Roman"/>
          <w:lang w:val="pl-PL"/>
        </w:rPr>
        <w:t>.)</w:t>
      </w:r>
    </w:p>
  </w:footnote>
  <w:footnote w:id="90">
    <w:p w:rsidR="00AC3310" w:rsidRPr="00D47D22" w:rsidRDefault="00AC3310" w:rsidP="00F81449">
      <w:pPr>
        <w:pStyle w:val="Tekstprzypisudolnego"/>
        <w:rPr>
          <w:rFonts w:ascii="Times New Roman" w:hAnsi="Times New Roman" w:cs="Times New Roman"/>
          <w:u w:val="single"/>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Zastosowanie tego kryterium doprowadziło do niefortunnych decyzji, takich jak wydana w sprawie </w:t>
      </w:r>
      <w:proofErr w:type="spellStart"/>
      <w:r w:rsidRPr="00D47D22">
        <w:rPr>
          <w:rFonts w:ascii="Times New Roman" w:hAnsi="Times New Roman" w:cs="Times New Roman"/>
          <w:i/>
          <w:lang w:val="pl-PL"/>
        </w:rPr>
        <w:t>Inocêncio</w:t>
      </w:r>
      <w:proofErr w:type="spellEnd"/>
      <w:r w:rsidRPr="00D47D22">
        <w:rPr>
          <w:rFonts w:ascii="Times New Roman" w:hAnsi="Times New Roman" w:cs="Times New Roman"/>
          <w:lang w:val="pl-PL"/>
        </w:rPr>
        <w:t xml:space="preserve"> (cytowane wyżej, gdzie rozważano, że dane wykroczenia </w:t>
      </w:r>
      <w:proofErr w:type="spellStart"/>
      <w:r w:rsidRPr="00D47D22">
        <w:rPr>
          <w:rFonts w:ascii="Times New Roman" w:hAnsi="Times New Roman" w:cs="Times New Roman"/>
          <w:lang w:val="pl-PL"/>
        </w:rPr>
        <w:t>adminitracyjne</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contraordenações</w:t>
      </w:r>
      <w:proofErr w:type="spellEnd"/>
      <w:r w:rsidRPr="00D47D22">
        <w:rPr>
          <w:rFonts w:ascii="Times New Roman" w:hAnsi="Times New Roman" w:cs="Times New Roman"/>
          <w:lang w:val="pl-PL"/>
        </w:rPr>
        <w:t xml:space="preserve">) nie mają charakteru karnego, pomimo, że portugalskie </w:t>
      </w:r>
      <w:proofErr w:type="spellStart"/>
      <w:r w:rsidRPr="00D47D22">
        <w:rPr>
          <w:rFonts w:ascii="Times New Roman" w:hAnsi="Times New Roman" w:cs="Times New Roman"/>
          <w:i/>
          <w:lang w:val="pl-PL"/>
        </w:rPr>
        <w:t>contraordenações</w:t>
      </w:r>
      <w:proofErr w:type="spellEnd"/>
      <w:r w:rsidRPr="00D47D22">
        <w:rPr>
          <w:rFonts w:ascii="Times New Roman" w:hAnsi="Times New Roman" w:cs="Times New Roman"/>
          <w:i/>
          <w:lang w:val="pl-PL"/>
        </w:rPr>
        <w:t xml:space="preserve"> </w:t>
      </w:r>
      <w:r w:rsidRPr="00D47D22">
        <w:rPr>
          <w:rFonts w:ascii="Times New Roman" w:hAnsi="Times New Roman" w:cs="Times New Roman"/>
          <w:lang w:val="pl-PL"/>
        </w:rPr>
        <w:t xml:space="preserve">były skonstruowane idealnie tak jak niemieckie </w:t>
      </w:r>
      <w:proofErr w:type="spellStart"/>
      <w:r w:rsidRPr="00D47D22">
        <w:rPr>
          <w:rFonts w:ascii="Times New Roman" w:hAnsi="Times New Roman" w:cs="Times New Roman"/>
          <w:i/>
          <w:lang w:val="pl-PL"/>
        </w:rPr>
        <w:t>Ordnungswidrigkeiten</w:t>
      </w:r>
      <w:proofErr w:type="spellEnd"/>
      <w:r w:rsidRPr="00D47D22">
        <w:rPr>
          <w:rFonts w:ascii="Times New Roman" w:hAnsi="Times New Roman" w:cs="Times New Roman"/>
          <w:lang w:val="pl-PL"/>
        </w:rPr>
        <w:t xml:space="preserve"> a te zostały zakwalifikowane jako karne w </w:t>
      </w:r>
      <w:proofErr w:type="spellStart"/>
      <w:r w:rsidRPr="00D47D22">
        <w:rPr>
          <w:rFonts w:ascii="Times New Roman" w:hAnsi="Times New Roman" w:cs="Times New Roman"/>
          <w:lang w:val="pl-PL"/>
        </w:rPr>
        <w:t>sprawiethat</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Öztürk</w:t>
      </w:r>
      <w:proofErr w:type="spellEnd"/>
      <w:r w:rsidRPr="00D47D22">
        <w:rPr>
          <w:rFonts w:ascii="Times New Roman" w:hAnsi="Times New Roman" w:cs="Times New Roman"/>
          <w:i/>
          <w:lang w:val="pl-PL"/>
        </w:rPr>
        <w:t xml:space="preserve"> </w:t>
      </w:r>
      <w:r w:rsidRPr="00D47D22">
        <w:rPr>
          <w:rFonts w:ascii="Times New Roman" w:hAnsi="Times New Roman" w:cs="Times New Roman"/>
          <w:lang w:val="pl-PL"/>
        </w:rPr>
        <w:t xml:space="preserve">(porównaj niemieckie </w:t>
      </w:r>
      <w:proofErr w:type="spellStart"/>
      <w:r w:rsidRPr="00D47D22">
        <w:rPr>
          <w:rFonts w:ascii="Times New Roman" w:hAnsi="Times New Roman" w:cs="Times New Roman"/>
          <w:i/>
          <w:lang w:val="pl-PL"/>
        </w:rPr>
        <w:t>Gesetz</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über</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Ordnungswidrigkeiten</w:t>
      </w:r>
      <w:proofErr w:type="spellEnd"/>
      <w:r w:rsidRPr="00D47D22">
        <w:rPr>
          <w:rFonts w:ascii="Times New Roman" w:hAnsi="Times New Roman" w:cs="Times New Roman"/>
          <w:lang w:val="pl-PL"/>
        </w:rPr>
        <w:t xml:space="preserve">, i portugalskie </w:t>
      </w:r>
      <w:r w:rsidRPr="00D47D22">
        <w:rPr>
          <w:rFonts w:ascii="Times New Roman" w:hAnsi="Times New Roman" w:cs="Times New Roman"/>
          <w:i/>
          <w:lang w:val="pl-PL"/>
        </w:rPr>
        <w:t xml:space="preserve">Regime </w:t>
      </w:r>
      <w:proofErr w:type="spellStart"/>
      <w:r w:rsidRPr="00D47D22">
        <w:rPr>
          <w:rFonts w:ascii="Times New Roman" w:hAnsi="Times New Roman" w:cs="Times New Roman"/>
          <w:i/>
          <w:lang w:val="pl-PL"/>
        </w:rPr>
        <w:t>Geral</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das</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Contraordenações</w:t>
      </w:r>
      <w:proofErr w:type="spellEnd"/>
      <w:r w:rsidRPr="00D47D22">
        <w:rPr>
          <w:rFonts w:ascii="Times New Roman" w:hAnsi="Times New Roman" w:cs="Times New Roman"/>
          <w:lang w:val="pl-PL"/>
        </w:rPr>
        <w:t>).</w:t>
      </w:r>
    </w:p>
  </w:footnote>
  <w:footnote w:id="91">
    <w:p w:rsidR="00AC3310" w:rsidRPr="00D47D22" w:rsidRDefault="00AC3310" w:rsidP="00337211">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Zob. par. 66 i 67 wyroku.</w:t>
      </w:r>
    </w:p>
  </w:footnote>
  <w:footnote w:id="92">
    <w:p w:rsidR="00AC3310" w:rsidRPr="00D47D22" w:rsidRDefault="00AC3310" w:rsidP="00337211">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Storbråten</w:t>
      </w:r>
      <w:proofErr w:type="spellEnd"/>
      <w:r w:rsidRPr="00D47D22">
        <w:rPr>
          <w:rFonts w:ascii="Times New Roman" w:hAnsi="Times New Roman" w:cs="Times New Roman"/>
          <w:i/>
          <w:lang w:val="pl-PL"/>
        </w:rPr>
        <w:t xml:space="preserve"> v. Norwegia </w:t>
      </w:r>
      <w:r w:rsidRPr="00D47D22">
        <w:rPr>
          <w:rFonts w:ascii="Times New Roman" w:hAnsi="Times New Roman" w:cs="Times New Roman"/>
          <w:lang w:val="pl-PL"/>
        </w:rPr>
        <w:t>(</w:t>
      </w:r>
      <w:proofErr w:type="spellStart"/>
      <w:r w:rsidRPr="00D47D22">
        <w:rPr>
          <w:rFonts w:ascii="Times New Roman" w:hAnsi="Times New Roman" w:cs="Times New Roman"/>
          <w:lang w:val="pl-PL"/>
        </w:rPr>
        <w:t>dec</w:t>
      </w:r>
      <w:proofErr w:type="spellEnd"/>
      <w:r w:rsidRPr="00D47D22">
        <w:rPr>
          <w:rFonts w:ascii="Times New Roman" w:hAnsi="Times New Roman" w:cs="Times New Roman"/>
          <w:lang w:val="pl-PL"/>
        </w:rPr>
        <w:t>.), no. 12277/04, 11 lutego 2007</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93">
    <w:p w:rsidR="00AC3310" w:rsidRPr="00D47D22" w:rsidRDefault="00AC3310" w:rsidP="00337211">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Mjelde</w:t>
      </w:r>
      <w:proofErr w:type="spellEnd"/>
      <w:r w:rsidRPr="00D47D22">
        <w:rPr>
          <w:rFonts w:ascii="Times New Roman" w:hAnsi="Times New Roman" w:cs="Times New Roman"/>
          <w:i/>
          <w:lang w:val="pl-PL"/>
        </w:rPr>
        <w:t xml:space="preserve"> v. Norwegia </w:t>
      </w:r>
      <w:r w:rsidRPr="00D47D22">
        <w:rPr>
          <w:rFonts w:ascii="Times New Roman" w:hAnsi="Times New Roman" w:cs="Times New Roman"/>
          <w:lang w:val="pl-PL"/>
        </w:rPr>
        <w:t>(</w:t>
      </w:r>
      <w:proofErr w:type="spellStart"/>
      <w:r w:rsidRPr="00D47D22">
        <w:rPr>
          <w:rFonts w:ascii="Times New Roman" w:hAnsi="Times New Roman" w:cs="Times New Roman"/>
          <w:lang w:val="pl-PL"/>
        </w:rPr>
        <w:t>dec</w:t>
      </w:r>
      <w:proofErr w:type="spellEnd"/>
      <w:r w:rsidRPr="00D47D22">
        <w:rPr>
          <w:rFonts w:ascii="Times New Roman" w:hAnsi="Times New Roman" w:cs="Times New Roman"/>
          <w:lang w:val="pl-PL"/>
        </w:rPr>
        <w:t>.), no. 11143/04, 11 lutego 2007</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94">
    <w:p w:rsidR="00AC3310" w:rsidRPr="00D47D22" w:rsidRDefault="00AC3310" w:rsidP="00337211">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Haarvig</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op.cit</w:t>
      </w:r>
      <w:proofErr w:type="spellEnd"/>
      <w:r w:rsidRPr="00D47D22">
        <w:rPr>
          <w:rFonts w:ascii="Times New Roman" w:hAnsi="Times New Roman" w:cs="Times New Roman"/>
          <w:lang w:val="pl-PL"/>
        </w:rPr>
        <w:t>.</w:t>
      </w:r>
    </w:p>
  </w:footnote>
  <w:footnote w:id="95">
    <w:p w:rsidR="00AC3310" w:rsidRPr="00D47D22" w:rsidRDefault="00AC3310" w:rsidP="00D47D2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Na przykład art. 4 </w:t>
      </w:r>
      <w:r>
        <w:rPr>
          <w:rFonts w:ascii="Times New Roman" w:hAnsi="Times New Roman" w:cs="Times New Roman"/>
          <w:lang w:val="pl-PL"/>
        </w:rPr>
        <w:t>P</w:t>
      </w:r>
      <w:r w:rsidRPr="00D47D22">
        <w:rPr>
          <w:rFonts w:ascii="Times New Roman" w:hAnsi="Times New Roman" w:cs="Times New Roman"/>
          <w:lang w:val="pl-PL"/>
        </w:rPr>
        <w:t xml:space="preserve">rotokołu nr 7 został rozszerzony o kary administracyjne, takie jak kary podatkowe w wysokości 40 % i 80 % należnych kwot (zob. </w:t>
      </w:r>
      <w:proofErr w:type="spellStart"/>
      <w:r w:rsidRPr="00D47D22">
        <w:rPr>
          <w:rFonts w:ascii="Times New Roman" w:hAnsi="Times New Roman" w:cs="Times New Roman"/>
          <w:i/>
          <w:lang w:val="pl-PL"/>
        </w:rPr>
        <w:t>Ponsetti</w:t>
      </w:r>
      <w:proofErr w:type="spellEnd"/>
      <w:r w:rsidRPr="00D47D22">
        <w:rPr>
          <w:rFonts w:ascii="Times New Roman" w:hAnsi="Times New Roman" w:cs="Times New Roman"/>
          <w:i/>
          <w:lang w:val="pl-PL"/>
        </w:rPr>
        <w:t xml:space="preserve"> i </w:t>
      </w:r>
      <w:proofErr w:type="spellStart"/>
      <w:r w:rsidRPr="00D47D22">
        <w:rPr>
          <w:rFonts w:ascii="Times New Roman" w:hAnsi="Times New Roman" w:cs="Times New Roman"/>
          <w:i/>
          <w:lang w:val="pl-PL"/>
        </w:rPr>
        <w:t>Chesnel</w:t>
      </w:r>
      <w:proofErr w:type="spellEnd"/>
      <w:r w:rsidRPr="00D47D22">
        <w:rPr>
          <w:rFonts w:ascii="Times New Roman" w:hAnsi="Times New Roman" w:cs="Times New Roman"/>
          <w:i/>
          <w:lang w:val="pl-PL"/>
        </w:rPr>
        <w:t xml:space="preserve"> przeciwko Francji </w:t>
      </w:r>
      <w:r w:rsidRPr="00D47D22">
        <w:rPr>
          <w:rFonts w:ascii="Times New Roman" w:hAnsi="Times New Roman" w:cs="Times New Roman"/>
          <w:lang w:val="pl-PL"/>
        </w:rPr>
        <w:t>(</w:t>
      </w:r>
      <w:proofErr w:type="spellStart"/>
      <w:r w:rsidRPr="00D47D22">
        <w:rPr>
          <w:rFonts w:ascii="Times New Roman" w:hAnsi="Times New Roman" w:cs="Times New Roman"/>
          <w:lang w:val="pl-PL"/>
        </w:rPr>
        <w:t>dec</w:t>
      </w:r>
      <w:proofErr w:type="spellEnd"/>
      <w:r w:rsidRPr="00D47D22">
        <w:rPr>
          <w:rFonts w:ascii="Times New Roman" w:hAnsi="Times New Roman" w:cs="Times New Roman"/>
          <w:lang w:val="pl-PL"/>
        </w:rPr>
        <w:t xml:space="preserve">.), nie. 36855/97 i 41731/98, ECHR 1999-VI), kary administracyjne uzupełniające sankcje karne (zob. </w:t>
      </w:r>
      <w:proofErr w:type="spellStart"/>
      <w:r w:rsidRPr="00D47D22">
        <w:rPr>
          <w:rFonts w:ascii="Times New Roman" w:hAnsi="Times New Roman" w:cs="Times New Roman"/>
          <w:i/>
          <w:lang w:val="pl-PL"/>
        </w:rPr>
        <w:t>Maszni</w:t>
      </w:r>
      <w:proofErr w:type="spellEnd"/>
      <w:r w:rsidRPr="00D47D22">
        <w:rPr>
          <w:rFonts w:ascii="Times New Roman" w:hAnsi="Times New Roman" w:cs="Times New Roman"/>
          <w:i/>
          <w:lang w:val="pl-PL"/>
        </w:rPr>
        <w:t xml:space="preserve"> przeciwko Rumunii</w:t>
      </w:r>
      <w:r w:rsidRPr="00D47D22">
        <w:rPr>
          <w:rFonts w:ascii="Times New Roman" w:hAnsi="Times New Roman" w:cs="Times New Roman"/>
          <w:lang w:val="pl-PL"/>
        </w:rPr>
        <w:t>, nr 59892/00,21 września 2006 r</w:t>
      </w:r>
      <w:r>
        <w:rPr>
          <w:rFonts w:ascii="Times New Roman" w:hAnsi="Times New Roman" w:cs="Times New Roman"/>
          <w:lang w:val="pl-PL"/>
        </w:rPr>
        <w:t>oku</w:t>
      </w:r>
      <w:r w:rsidRPr="00D47D22">
        <w:rPr>
          <w:rFonts w:ascii="Times New Roman" w:hAnsi="Times New Roman" w:cs="Times New Roman"/>
          <w:lang w:val="pl-PL"/>
        </w:rPr>
        <w:t xml:space="preserve">.) oraz kary cywilne (zob. przytoczony powyżej wyrok w sprawie </w:t>
      </w:r>
      <w:proofErr w:type="spellStart"/>
      <w:r w:rsidRPr="00D47D22">
        <w:rPr>
          <w:rFonts w:ascii="Times New Roman" w:hAnsi="Times New Roman" w:cs="Times New Roman"/>
          <w:i/>
          <w:lang w:val="pl-PL"/>
        </w:rPr>
        <w:t>Storbråten</w:t>
      </w:r>
      <w:proofErr w:type="spellEnd"/>
      <w:r w:rsidRPr="00D47D22">
        <w:rPr>
          <w:rFonts w:ascii="Times New Roman" w:hAnsi="Times New Roman" w:cs="Times New Roman"/>
          <w:lang w:val="pl-PL"/>
        </w:rPr>
        <w:t xml:space="preserve">).  </w:t>
      </w:r>
    </w:p>
  </w:footnote>
  <w:footnote w:id="96">
    <w:p w:rsidR="00AC3310" w:rsidRPr="00D47D22" w:rsidRDefault="00AC3310" w:rsidP="00D47D2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Trybunał zdefiniował </w:t>
      </w:r>
      <w:proofErr w:type="spellStart"/>
      <w:r w:rsidRPr="00D47D22">
        <w:rPr>
          <w:rFonts w:ascii="Times New Roman" w:hAnsi="Times New Roman" w:cs="Times New Roman"/>
          <w:i/>
          <w:lang w:val="pl-PL"/>
        </w:rPr>
        <w:t>idem</w:t>
      </w:r>
      <w:proofErr w:type="spellEnd"/>
      <w:r w:rsidRPr="00D47D22">
        <w:rPr>
          <w:rFonts w:ascii="Times New Roman" w:hAnsi="Times New Roman" w:cs="Times New Roman"/>
          <w:i/>
          <w:lang w:val="pl-PL"/>
        </w:rPr>
        <w:t xml:space="preserve"> factum</w:t>
      </w:r>
      <w:r w:rsidRPr="00D47D22">
        <w:rPr>
          <w:rFonts w:ascii="Times New Roman" w:hAnsi="Times New Roman" w:cs="Times New Roman"/>
          <w:lang w:val="pl-PL"/>
        </w:rPr>
        <w:t xml:space="preserve"> jako „to samo postępowanie tych samych osób w tym samym dniu" (zob. </w:t>
      </w:r>
      <w:proofErr w:type="spellStart"/>
      <w:r w:rsidRPr="00D47D22">
        <w:rPr>
          <w:rFonts w:ascii="Times New Roman" w:hAnsi="Times New Roman" w:cs="Times New Roman"/>
          <w:i/>
          <w:lang w:val="pl-PL"/>
        </w:rPr>
        <w:t>Maresti</w:t>
      </w:r>
      <w:proofErr w:type="spellEnd"/>
      <w:r w:rsidRPr="00D47D22">
        <w:rPr>
          <w:rFonts w:ascii="Times New Roman" w:hAnsi="Times New Roman" w:cs="Times New Roman"/>
          <w:lang w:val="pl-PL"/>
        </w:rPr>
        <w:t xml:space="preserve"> </w:t>
      </w:r>
      <w:r w:rsidRPr="00D47D22">
        <w:rPr>
          <w:rFonts w:ascii="Times New Roman" w:hAnsi="Times New Roman" w:cs="Times New Roman"/>
          <w:i/>
          <w:lang w:val="pl-PL"/>
        </w:rPr>
        <w:t>przeciwko</w:t>
      </w:r>
      <w:r w:rsidRPr="00D47D22">
        <w:rPr>
          <w:rFonts w:ascii="Times New Roman" w:hAnsi="Times New Roman" w:cs="Times New Roman"/>
          <w:lang w:val="pl-PL"/>
        </w:rPr>
        <w:t xml:space="preserve"> </w:t>
      </w:r>
      <w:r w:rsidRPr="00D47D22">
        <w:rPr>
          <w:rFonts w:ascii="Times New Roman" w:hAnsi="Times New Roman" w:cs="Times New Roman"/>
          <w:i/>
          <w:lang w:val="pl-PL"/>
        </w:rPr>
        <w:t>Chorwacji</w:t>
      </w:r>
      <w:r w:rsidRPr="00D47D22">
        <w:rPr>
          <w:rFonts w:ascii="Times New Roman" w:hAnsi="Times New Roman" w:cs="Times New Roman"/>
          <w:lang w:val="pl-PL"/>
        </w:rPr>
        <w:t>, nr 55759/07, § 63,</w:t>
      </w:r>
      <w:r>
        <w:rPr>
          <w:rFonts w:ascii="Times New Roman" w:hAnsi="Times New Roman" w:cs="Times New Roman"/>
          <w:lang w:val="pl-PL"/>
        </w:rPr>
        <w:t xml:space="preserve"> </w:t>
      </w:r>
      <w:r w:rsidRPr="00D47D22">
        <w:rPr>
          <w:rFonts w:ascii="Times New Roman" w:hAnsi="Times New Roman" w:cs="Times New Roman"/>
          <w:lang w:val="pl-PL"/>
        </w:rPr>
        <w:t>25 czerwca 2009 r</w:t>
      </w:r>
      <w:r>
        <w:rPr>
          <w:rFonts w:ascii="Times New Roman" w:hAnsi="Times New Roman" w:cs="Times New Roman"/>
          <w:lang w:val="pl-PL"/>
        </w:rPr>
        <w:t>oku</w:t>
      </w:r>
      <w:r w:rsidRPr="00D47D22">
        <w:rPr>
          <w:rFonts w:ascii="Times New Roman" w:hAnsi="Times New Roman" w:cs="Times New Roman"/>
          <w:lang w:val="pl-PL"/>
        </w:rPr>
        <w:t xml:space="preserve">, oraz </w:t>
      </w:r>
      <w:proofErr w:type="spellStart"/>
      <w:r w:rsidRPr="00D47D22">
        <w:rPr>
          <w:rFonts w:ascii="Times New Roman" w:hAnsi="Times New Roman" w:cs="Times New Roman"/>
          <w:i/>
          <w:lang w:val="pl-PL"/>
        </w:rPr>
        <w:t>Muslija</w:t>
      </w:r>
      <w:proofErr w:type="spellEnd"/>
      <w:r w:rsidRPr="00D47D22">
        <w:rPr>
          <w:rFonts w:ascii="Times New Roman" w:hAnsi="Times New Roman" w:cs="Times New Roman"/>
          <w:i/>
          <w:lang w:val="pl-PL"/>
        </w:rPr>
        <w:t xml:space="preserve"> przeciwko Bośni i Hercegowinie</w:t>
      </w:r>
      <w:r w:rsidRPr="00D47D22">
        <w:rPr>
          <w:rFonts w:ascii="Times New Roman" w:hAnsi="Times New Roman" w:cs="Times New Roman"/>
          <w:lang w:val="pl-PL"/>
        </w:rPr>
        <w:t>, nr 32042/11, § 34,14 stycznia 2014 r</w:t>
      </w:r>
      <w:r>
        <w:rPr>
          <w:rFonts w:ascii="Times New Roman" w:hAnsi="Times New Roman" w:cs="Times New Roman"/>
          <w:lang w:val="pl-PL"/>
        </w:rPr>
        <w:t>oku</w:t>
      </w:r>
      <w:r w:rsidRPr="00D47D22">
        <w:rPr>
          <w:rFonts w:ascii="Times New Roman" w:hAnsi="Times New Roman" w:cs="Times New Roman"/>
          <w:lang w:val="pl-PL"/>
        </w:rPr>
        <w:t>.). Podobne stanowisko przyjęło orzecznictwo luksemburskie dla celów art. 54 konwencji wykonawczej (zob. cytowane wyżej</w:t>
      </w:r>
      <w:r w:rsidRPr="00D47D22">
        <w:rPr>
          <w:rFonts w:ascii="Times New Roman" w:hAnsi="Times New Roman" w:cs="Times New Roman"/>
          <w:i/>
          <w:lang w:val="pl-PL"/>
        </w:rPr>
        <w:t xml:space="preserve">: Van </w:t>
      </w:r>
      <w:proofErr w:type="spellStart"/>
      <w:r w:rsidRPr="00D47D22">
        <w:rPr>
          <w:rFonts w:ascii="Times New Roman" w:hAnsi="Times New Roman" w:cs="Times New Roman"/>
          <w:i/>
          <w:lang w:val="pl-PL"/>
        </w:rPr>
        <w:t>Esbroeck</w:t>
      </w:r>
      <w:proofErr w:type="spellEnd"/>
      <w:r w:rsidRPr="00D47D22">
        <w:rPr>
          <w:rFonts w:ascii="Times New Roman" w:hAnsi="Times New Roman" w:cs="Times New Roman"/>
          <w:lang w:val="pl-PL"/>
        </w:rPr>
        <w:t xml:space="preserve">, §§ 27,32 i 36; </w:t>
      </w:r>
      <w:proofErr w:type="spellStart"/>
      <w:r w:rsidRPr="00D47D22">
        <w:rPr>
          <w:rFonts w:ascii="Times New Roman" w:hAnsi="Times New Roman" w:cs="Times New Roman"/>
          <w:i/>
          <w:lang w:val="pl-PL"/>
        </w:rPr>
        <w:t>Kretzinger</w:t>
      </w:r>
      <w:proofErr w:type="spellEnd"/>
      <w:r w:rsidRPr="00D47D22">
        <w:rPr>
          <w:rFonts w:ascii="Times New Roman" w:hAnsi="Times New Roman" w:cs="Times New Roman"/>
          <w:lang w:val="pl-PL"/>
        </w:rPr>
        <w:t xml:space="preserve">, cytowany powyżej, §§ 33 i 34; </w:t>
      </w:r>
      <w:r w:rsidRPr="00D47D22">
        <w:rPr>
          <w:rFonts w:ascii="Times New Roman" w:hAnsi="Times New Roman" w:cs="Times New Roman"/>
          <w:i/>
          <w:lang w:val="pl-PL"/>
        </w:rPr>
        <w:t>Van</w:t>
      </w:r>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Straaten</w:t>
      </w:r>
      <w:proofErr w:type="spellEnd"/>
      <w:r w:rsidRPr="00D47D22">
        <w:rPr>
          <w:rFonts w:ascii="Times New Roman" w:hAnsi="Times New Roman" w:cs="Times New Roman"/>
          <w:lang w:val="pl-PL"/>
        </w:rPr>
        <w:t xml:space="preserve">, cytowany powyżej, §§ 41,47 i 48; oraz </w:t>
      </w:r>
      <w:proofErr w:type="spellStart"/>
      <w:r w:rsidRPr="00D47D22">
        <w:rPr>
          <w:rFonts w:ascii="Times New Roman" w:hAnsi="Times New Roman" w:cs="Times New Roman"/>
          <w:i/>
          <w:lang w:val="pl-PL"/>
        </w:rPr>
        <w:t>Kraaijenbrink</w:t>
      </w:r>
      <w:proofErr w:type="spellEnd"/>
      <w:r w:rsidRPr="00D47D22">
        <w:rPr>
          <w:rFonts w:ascii="Times New Roman" w:hAnsi="Times New Roman" w:cs="Times New Roman"/>
          <w:lang w:val="pl-PL"/>
        </w:rPr>
        <w:t xml:space="preserve">, cytowany powyżej, § 30). </w:t>
      </w:r>
    </w:p>
  </w:footnote>
  <w:footnote w:id="97">
    <w:p w:rsidR="00AC3310" w:rsidRPr="00D47D22" w:rsidRDefault="00AC3310" w:rsidP="003E0731">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Patrz cytowany wyżej </w:t>
      </w:r>
      <w:r w:rsidRPr="00486852">
        <w:rPr>
          <w:rFonts w:ascii="Times New Roman" w:hAnsi="Times New Roman" w:cs="Times New Roman"/>
          <w:i/>
          <w:lang w:val="pl-PL"/>
        </w:rPr>
        <w:t xml:space="preserve">Siergiej </w:t>
      </w:r>
      <w:proofErr w:type="spellStart"/>
      <w:r w:rsidRPr="00486852">
        <w:rPr>
          <w:rFonts w:ascii="Times New Roman" w:hAnsi="Times New Roman" w:cs="Times New Roman"/>
          <w:i/>
          <w:lang w:val="pl-PL"/>
        </w:rPr>
        <w:t>Zołotukhin</w:t>
      </w:r>
      <w:proofErr w:type="spellEnd"/>
      <w:r w:rsidRPr="00D47D22">
        <w:rPr>
          <w:rFonts w:ascii="Times New Roman" w:hAnsi="Times New Roman" w:cs="Times New Roman"/>
          <w:lang w:val="pl-PL"/>
        </w:rPr>
        <w:t xml:space="preserve">, §§ 82 i 84. Nie jest to miejsce, w którym można analizować sztuczny charakter podziału summa pomiędzy </w:t>
      </w:r>
      <w:proofErr w:type="spellStart"/>
      <w:r w:rsidRPr="00D47D22">
        <w:rPr>
          <w:rFonts w:ascii="Times New Roman" w:hAnsi="Times New Roman" w:cs="Times New Roman"/>
          <w:lang w:val="pl-PL"/>
        </w:rPr>
        <w:t>idem</w:t>
      </w:r>
      <w:proofErr w:type="spellEnd"/>
      <w:r w:rsidRPr="00D47D22">
        <w:rPr>
          <w:rFonts w:ascii="Times New Roman" w:hAnsi="Times New Roman" w:cs="Times New Roman"/>
          <w:lang w:val="pl-PL"/>
        </w:rPr>
        <w:t xml:space="preserve"> factum i </w:t>
      </w:r>
      <w:proofErr w:type="spellStart"/>
      <w:r w:rsidRPr="00D47D22">
        <w:rPr>
          <w:rFonts w:ascii="Times New Roman" w:hAnsi="Times New Roman" w:cs="Times New Roman"/>
          <w:lang w:val="pl-PL"/>
        </w:rPr>
        <w:t>idem</w:t>
      </w:r>
      <w:proofErr w:type="spellEnd"/>
      <w:r w:rsidRPr="00D47D22">
        <w:rPr>
          <w:rFonts w:ascii="Times New Roman" w:hAnsi="Times New Roman" w:cs="Times New Roman"/>
          <w:lang w:val="pl-PL"/>
        </w:rPr>
        <w:t xml:space="preserve"> legem. </w:t>
      </w:r>
      <w:proofErr w:type="spellStart"/>
      <w:r w:rsidRPr="00D47D22">
        <w:rPr>
          <w:rFonts w:ascii="Times New Roman" w:hAnsi="Times New Roman" w:cs="Times New Roman"/>
          <w:lang w:val="pl-PL"/>
        </w:rPr>
        <w:t>Idem</w:t>
      </w:r>
      <w:proofErr w:type="spellEnd"/>
      <w:r w:rsidRPr="00D47D22">
        <w:rPr>
          <w:rFonts w:ascii="Times New Roman" w:hAnsi="Times New Roman" w:cs="Times New Roman"/>
          <w:lang w:val="pl-PL"/>
        </w:rPr>
        <w:t xml:space="preserve"> factum jest do pewnego stopnia uwarunkowane a priori zrozumieniem istotnych faktów w świetle prawa karnego. Dotyczy to zwłaszcza przestępstw o charakterze ciągłym. </w:t>
      </w:r>
    </w:p>
  </w:footnote>
  <w:footnote w:id="98">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r w:rsidRPr="00D47D22">
        <w:rPr>
          <w:rFonts w:ascii="Times New Roman" w:hAnsi="Times New Roman" w:cs="Times New Roman"/>
          <w:i/>
          <w:lang w:val="pl-PL"/>
        </w:rPr>
        <w:t xml:space="preserve">Oliveira v. </w:t>
      </w:r>
      <w:proofErr w:type="spellStart"/>
      <w:r w:rsidRPr="00D47D22">
        <w:rPr>
          <w:rFonts w:ascii="Times New Roman" w:hAnsi="Times New Roman" w:cs="Times New Roman"/>
          <w:i/>
          <w:lang w:val="pl-PL"/>
        </w:rPr>
        <w:t>Switzerland</w:t>
      </w:r>
      <w:proofErr w:type="spellEnd"/>
      <w:r w:rsidRPr="00D47D22">
        <w:rPr>
          <w:rFonts w:ascii="Times New Roman" w:hAnsi="Times New Roman" w:cs="Times New Roman"/>
          <w:lang w:val="pl-PL"/>
        </w:rPr>
        <w:t xml:space="preserve">, n°25711/94, 30 </w:t>
      </w:r>
      <w:r>
        <w:rPr>
          <w:rFonts w:ascii="Times New Roman" w:hAnsi="Times New Roman" w:cs="Times New Roman"/>
          <w:lang w:val="pl-PL"/>
        </w:rPr>
        <w:t xml:space="preserve">lipiec </w:t>
      </w:r>
      <w:r w:rsidRPr="00D47D22">
        <w:rPr>
          <w:rFonts w:ascii="Times New Roman" w:hAnsi="Times New Roman" w:cs="Times New Roman"/>
          <w:lang w:val="pl-PL"/>
        </w:rPr>
        <w:t>1998</w:t>
      </w:r>
      <w:r>
        <w:rPr>
          <w:rFonts w:ascii="Times New Roman" w:hAnsi="Times New Roman" w:cs="Times New Roman"/>
          <w:lang w:val="pl-PL"/>
        </w:rPr>
        <w:t xml:space="preserve"> roku</w:t>
      </w:r>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Reports</w:t>
      </w:r>
      <w:proofErr w:type="spellEnd"/>
      <w:r w:rsidRPr="00D47D22">
        <w:rPr>
          <w:rFonts w:ascii="Times New Roman" w:hAnsi="Times New Roman" w:cs="Times New Roman"/>
          <w:i/>
          <w:lang w:val="pl-PL"/>
        </w:rPr>
        <w:t xml:space="preserve"> </w:t>
      </w:r>
      <w:r w:rsidRPr="00D47D22">
        <w:rPr>
          <w:rFonts w:ascii="Times New Roman" w:hAnsi="Times New Roman" w:cs="Times New Roman"/>
          <w:lang w:val="pl-PL"/>
        </w:rPr>
        <w:t xml:space="preserve">1998-V. </w:t>
      </w:r>
    </w:p>
  </w:footnote>
  <w:footnote w:id="99">
    <w:p w:rsidR="00AC3310" w:rsidRPr="00D47D22" w:rsidRDefault="00AC3310" w:rsidP="003E0731">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moja odrębna opinia w sprawie </w:t>
      </w:r>
      <w:proofErr w:type="spellStart"/>
      <w:r w:rsidRPr="00D47D22">
        <w:rPr>
          <w:rFonts w:ascii="Times New Roman" w:hAnsi="Times New Roman" w:cs="Times New Roman"/>
          <w:i/>
          <w:lang w:val="pl-PL"/>
        </w:rPr>
        <w:t>Rohlena</w:t>
      </w:r>
      <w:proofErr w:type="spellEnd"/>
      <w:r w:rsidRPr="00D47D22">
        <w:rPr>
          <w:rFonts w:ascii="Times New Roman" w:hAnsi="Times New Roman" w:cs="Times New Roman"/>
          <w:i/>
          <w:lang w:val="pl-PL"/>
        </w:rPr>
        <w:t xml:space="preserve"> przeciwko Republice Czeskiej</w:t>
      </w:r>
      <w:r w:rsidRPr="00D47D22">
        <w:rPr>
          <w:rFonts w:ascii="Times New Roman" w:hAnsi="Times New Roman" w:cs="Times New Roman"/>
          <w:lang w:val="pl-PL"/>
        </w:rPr>
        <w:t>[GC], nr 59552/08, ECHR 2015</w:t>
      </w:r>
      <w:r>
        <w:rPr>
          <w:rFonts w:ascii="Times New Roman" w:hAnsi="Times New Roman" w:cs="Times New Roman"/>
          <w:lang w:val="pl-PL"/>
        </w:rPr>
        <w:t xml:space="preserve"> roku</w:t>
      </w:r>
      <w:r w:rsidRPr="00D47D22">
        <w:rPr>
          <w:rFonts w:ascii="Times New Roman" w:hAnsi="Times New Roman" w:cs="Times New Roman"/>
          <w:lang w:val="pl-PL"/>
        </w:rPr>
        <w:t>, § 9.</w:t>
      </w:r>
    </w:p>
  </w:footnote>
  <w:footnote w:id="100">
    <w:p w:rsidR="00AC3310" w:rsidRPr="00D47D22" w:rsidRDefault="00AC3310" w:rsidP="003E0731">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Mówiąc dosłownie o indywidualnym charakterze prawicy: patrz cytowany powyżej </w:t>
      </w:r>
      <w:proofErr w:type="spellStart"/>
      <w:r w:rsidRPr="00D47D22">
        <w:rPr>
          <w:rFonts w:ascii="Times New Roman" w:hAnsi="Times New Roman" w:cs="Times New Roman"/>
          <w:i/>
          <w:lang w:val="pl-PL"/>
        </w:rPr>
        <w:t>Sergey</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Zolotukhin</w:t>
      </w:r>
      <w:proofErr w:type="spellEnd"/>
      <w:r w:rsidRPr="00D47D22">
        <w:rPr>
          <w:rFonts w:ascii="Times New Roman" w:hAnsi="Times New Roman" w:cs="Times New Roman"/>
          <w:lang w:val="pl-PL"/>
        </w:rPr>
        <w:t>, § 81..</w:t>
      </w:r>
    </w:p>
  </w:footnote>
  <w:footnote w:id="101">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Ibid., § 110, i na wcześniejszy przykład zob. </w:t>
      </w:r>
      <w:r w:rsidRPr="00D47D22">
        <w:rPr>
          <w:rFonts w:ascii="Times New Roman" w:hAnsi="Times New Roman" w:cs="Times New Roman"/>
          <w:i/>
          <w:lang w:val="pl-PL"/>
        </w:rPr>
        <w:t>Franz Fischer v. Austria</w:t>
      </w:r>
      <w:r w:rsidRPr="00D47D22">
        <w:rPr>
          <w:rFonts w:ascii="Times New Roman" w:hAnsi="Times New Roman" w:cs="Times New Roman"/>
          <w:lang w:val="pl-PL"/>
        </w:rPr>
        <w:t>, no. 37950/97, § 29, 29 maja 2001</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102">
    <w:p w:rsidR="00AC3310" w:rsidRPr="00D47D22" w:rsidRDefault="00AC3310" w:rsidP="003E0731">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Tak wykazano powyżej, jest to ideologia leżąca u podstaw siódmej poprawki do konstytucji Stanów Zjednoczonych oraz art. 8 rozdziału V tytułu II Konstytucji Francji z 1791 r</w:t>
      </w:r>
      <w:r>
        <w:rPr>
          <w:rFonts w:ascii="Times New Roman" w:hAnsi="Times New Roman" w:cs="Times New Roman"/>
          <w:lang w:val="pl-PL"/>
        </w:rPr>
        <w:t>oku</w:t>
      </w:r>
      <w:r w:rsidRPr="00D47D22">
        <w:rPr>
          <w:rFonts w:ascii="Times New Roman" w:hAnsi="Times New Roman" w:cs="Times New Roman"/>
          <w:lang w:val="pl-PL"/>
        </w:rPr>
        <w:t xml:space="preserve">, który pokazuje, że </w:t>
      </w:r>
      <w:r w:rsidRPr="00D47D22">
        <w:rPr>
          <w:rFonts w:ascii="Times New Roman" w:hAnsi="Times New Roman" w:cs="Times New Roman"/>
          <w:i/>
          <w:lang w:val="pl-PL"/>
        </w:rPr>
        <w:t xml:space="preserve">Siergiej </w:t>
      </w:r>
      <w:proofErr w:type="spellStart"/>
      <w:r w:rsidRPr="00D47D22">
        <w:rPr>
          <w:rFonts w:ascii="Times New Roman" w:hAnsi="Times New Roman" w:cs="Times New Roman"/>
          <w:i/>
          <w:lang w:val="pl-PL"/>
        </w:rPr>
        <w:t>Zołotukhin</w:t>
      </w:r>
      <w:proofErr w:type="spellEnd"/>
      <w:r w:rsidRPr="00D47D22">
        <w:rPr>
          <w:rFonts w:ascii="Times New Roman" w:hAnsi="Times New Roman" w:cs="Times New Roman"/>
          <w:lang w:val="pl-PL"/>
        </w:rPr>
        <w:t xml:space="preserve"> jest zgodny z historycznym, pro persona rozumieniem tej zasady w czasach nowożytnych. </w:t>
      </w:r>
    </w:p>
  </w:footnote>
  <w:footnote w:id="103">
    <w:p w:rsidR="00AC3310" w:rsidRPr="00D47D22" w:rsidRDefault="00AC3310" w:rsidP="003E0731">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Patrz cytowany wyżej Siergiej </w:t>
      </w:r>
      <w:proofErr w:type="spellStart"/>
      <w:r w:rsidRPr="00D47D22">
        <w:rPr>
          <w:rFonts w:ascii="Times New Roman" w:hAnsi="Times New Roman" w:cs="Times New Roman"/>
          <w:lang w:val="pl-PL"/>
        </w:rPr>
        <w:t>Zołotukhin</w:t>
      </w:r>
      <w:proofErr w:type="spellEnd"/>
      <w:r w:rsidRPr="00D47D22">
        <w:rPr>
          <w:rFonts w:ascii="Times New Roman" w:hAnsi="Times New Roman" w:cs="Times New Roman"/>
          <w:lang w:val="pl-PL"/>
        </w:rPr>
        <w:t xml:space="preserve">, §§ 97 i 121. Może to być nieumyślne, ale faktem jest jednak, że w niektórych innych przypadkach Trybunał porównuje „istotne elementy" domniemanych przestępstw w celu ustalenia </w:t>
      </w:r>
      <w:proofErr w:type="spellStart"/>
      <w:r w:rsidRPr="00486852">
        <w:rPr>
          <w:rFonts w:ascii="Times New Roman" w:hAnsi="Times New Roman" w:cs="Times New Roman"/>
          <w:i/>
          <w:lang w:val="pl-PL"/>
        </w:rPr>
        <w:t>idem</w:t>
      </w:r>
      <w:proofErr w:type="spellEnd"/>
      <w:r w:rsidRPr="00D47D22">
        <w:rPr>
          <w:rFonts w:ascii="Times New Roman" w:hAnsi="Times New Roman" w:cs="Times New Roman"/>
          <w:lang w:val="pl-PL"/>
        </w:rPr>
        <w:t xml:space="preserve"> (zob. niektóre przykłady po </w:t>
      </w:r>
      <w:proofErr w:type="spellStart"/>
      <w:r w:rsidRPr="00486852">
        <w:rPr>
          <w:rFonts w:ascii="Times New Roman" w:hAnsi="Times New Roman" w:cs="Times New Roman"/>
          <w:i/>
          <w:lang w:val="pl-PL"/>
        </w:rPr>
        <w:t>Zołotukhin</w:t>
      </w:r>
      <w:proofErr w:type="spellEnd"/>
      <w:r w:rsidRPr="00D47D22">
        <w:rPr>
          <w:rFonts w:ascii="Times New Roman" w:hAnsi="Times New Roman" w:cs="Times New Roman"/>
          <w:lang w:val="pl-PL"/>
        </w:rPr>
        <w:t xml:space="preserve">, muzułmańskie, cytowane powyżej, § 34; </w:t>
      </w:r>
      <w:proofErr w:type="spellStart"/>
      <w:r w:rsidRPr="00D47D22">
        <w:rPr>
          <w:rFonts w:ascii="Times New Roman" w:hAnsi="Times New Roman" w:cs="Times New Roman"/>
          <w:lang w:val="pl-PL"/>
        </w:rPr>
        <w:t>Asadbeyli</w:t>
      </w:r>
      <w:proofErr w:type="spellEnd"/>
      <w:r w:rsidRPr="00D47D22">
        <w:rPr>
          <w:rFonts w:ascii="Times New Roman" w:hAnsi="Times New Roman" w:cs="Times New Roman"/>
          <w:lang w:val="pl-PL"/>
        </w:rPr>
        <w:t xml:space="preserve"> i in. przeciwko Azerbejdżanowi, nos. 3653/05,14729/05,20908/05,26242/05,26242/05,36083/05 i 16519/06, § 157,11 grudnia 2012 r</w:t>
      </w:r>
      <w:r>
        <w:rPr>
          <w:rFonts w:ascii="Times New Roman" w:hAnsi="Times New Roman" w:cs="Times New Roman"/>
          <w:lang w:val="pl-PL"/>
        </w:rPr>
        <w:t>oku</w:t>
      </w:r>
      <w:r w:rsidRPr="00D47D22">
        <w:rPr>
          <w:rFonts w:ascii="Times New Roman" w:hAnsi="Times New Roman" w:cs="Times New Roman"/>
          <w:lang w:val="pl-PL"/>
        </w:rPr>
        <w:t xml:space="preserve">; oraz </w:t>
      </w:r>
      <w:proofErr w:type="spellStart"/>
      <w:r w:rsidRPr="00486852">
        <w:rPr>
          <w:rFonts w:ascii="Times New Roman" w:hAnsi="Times New Roman" w:cs="Times New Roman"/>
          <w:i/>
          <w:lang w:val="pl-PL"/>
        </w:rPr>
        <w:t>Ruotsalainen</w:t>
      </w:r>
      <w:proofErr w:type="spellEnd"/>
      <w:r w:rsidRPr="00486852">
        <w:rPr>
          <w:rFonts w:ascii="Times New Roman" w:hAnsi="Times New Roman" w:cs="Times New Roman"/>
          <w:i/>
          <w:lang w:val="pl-PL"/>
        </w:rPr>
        <w:t xml:space="preserve"> przeciwko Finlandii</w:t>
      </w:r>
      <w:r w:rsidRPr="00D47D22">
        <w:rPr>
          <w:rFonts w:ascii="Times New Roman" w:hAnsi="Times New Roman" w:cs="Times New Roman"/>
          <w:lang w:val="pl-PL"/>
        </w:rPr>
        <w:t>, nr 13079/03, § 56,16 czerwca 2009 r.).</w:t>
      </w:r>
    </w:p>
  </w:footnote>
  <w:footnote w:id="104">
    <w:p w:rsidR="00AC3310" w:rsidRPr="00D47D22" w:rsidRDefault="00AC3310" w:rsidP="0004087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Sergey</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Zolotukhin</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op.cit</w:t>
      </w:r>
      <w:proofErr w:type="spellEnd"/>
      <w:r w:rsidRPr="00D47D22">
        <w:rPr>
          <w:rFonts w:ascii="Times New Roman" w:hAnsi="Times New Roman" w:cs="Times New Roman"/>
          <w:lang w:val="pl-PL"/>
        </w:rPr>
        <w:t xml:space="preserve">., §§ 107 and 108. </w:t>
      </w:r>
    </w:p>
  </w:footnote>
  <w:footnote w:id="105">
    <w:p w:rsidR="00AC3310" w:rsidRPr="00D47D22" w:rsidRDefault="00AC3310" w:rsidP="00C42987">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Taki był również argument </w:t>
      </w:r>
      <w:r>
        <w:rPr>
          <w:rFonts w:ascii="Times New Roman" w:hAnsi="Times New Roman" w:cs="Times New Roman"/>
          <w:lang w:val="pl-PL"/>
        </w:rPr>
        <w:t>R</w:t>
      </w:r>
      <w:r w:rsidRPr="00D47D22">
        <w:rPr>
          <w:rFonts w:ascii="Times New Roman" w:hAnsi="Times New Roman" w:cs="Times New Roman"/>
          <w:lang w:val="pl-PL"/>
        </w:rPr>
        <w:t>ządu (zob. pkt 72 wyroku).</w:t>
      </w:r>
    </w:p>
  </w:footnote>
  <w:footnote w:id="106">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Västberga</w:t>
      </w:r>
      <w:proofErr w:type="spellEnd"/>
      <w:r w:rsidRPr="00D47D22">
        <w:rPr>
          <w:rFonts w:ascii="Times New Roman" w:hAnsi="Times New Roman" w:cs="Times New Roman"/>
          <w:i/>
          <w:lang w:val="pl-PL"/>
        </w:rPr>
        <w:t xml:space="preserve"> Taxi </w:t>
      </w:r>
      <w:proofErr w:type="spellStart"/>
      <w:r w:rsidRPr="00D47D22">
        <w:rPr>
          <w:rFonts w:ascii="Times New Roman" w:hAnsi="Times New Roman" w:cs="Times New Roman"/>
          <w:i/>
          <w:lang w:val="pl-PL"/>
        </w:rPr>
        <w:t>Aktiebolag</w:t>
      </w:r>
      <w:proofErr w:type="spellEnd"/>
      <w:r w:rsidRPr="00D47D22">
        <w:rPr>
          <w:rFonts w:ascii="Times New Roman" w:hAnsi="Times New Roman" w:cs="Times New Roman"/>
          <w:i/>
          <w:lang w:val="pl-PL"/>
        </w:rPr>
        <w:t xml:space="preserve"> and </w:t>
      </w:r>
      <w:proofErr w:type="spellStart"/>
      <w:r w:rsidRPr="00D47D22">
        <w:rPr>
          <w:rFonts w:ascii="Times New Roman" w:hAnsi="Times New Roman" w:cs="Times New Roman"/>
          <w:i/>
          <w:lang w:val="pl-PL"/>
        </w:rPr>
        <w:t>Vulic</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cited</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above</w:t>
      </w:r>
      <w:proofErr w:type="spellEnd"/>
      <w:r w:rsidRPr="00D47D22">
        <w:rPr>
          <w:rFonts w:ascii="Times New Roman" w:hAnsi="Times New Roman" w:cs="Times New Roman"/>
          <w:lang w:val="pl-PL"/>
        </w:rPr>
        <w:t>, § 93.</w:t>
      </w:r>
    </w:p>
  </w:footnote>
  <w:footnote w:id="107">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r w:rsidRPr="00D47D22">
        <w:rPr>
          <w:rFonts w:ascii="Times New Roman" w:hAnsi="Times New Roman" w:cs="Times New Roman"/>
          <w:i/>
          <w:lang w:val="pl-PL"/>
        </w:rPr>
        <w:t>Franz Fischer</w:t>
      </w:r>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o</w:t>
      </w:r>
      <w:r>
        <w:rPr>
          <w:rFonts w:ascii="Times New Roman" w:hAnsi="Times New Roman" w:cs="Times New Roman"/>
          <w:lang w:val="pl-PL"/>
        </w:rPr>
        <w:t>p</w:t>
      </w:r>
      <w:r w:rsidRPr="00D47D22">
        <w:rPr>
          <w:rFonts w:ascii="Times New Roman" w:hAnsi="Times New Roman" w:cs="Times New Roman"/>
          <w:lang w:val="pl-PL"/>
        </w:rPr>
        <w:t>.</w:t>
      </w:r>
      <w:r>
        <w:rPr>
          <w:rFonts w:ascii="Times New Roman" w:hAnsi="Times New Roman" w:cs="Times New Roman"/>
          <w:lang w:val="pl-PL"/>
        </w:rPr>
        <w:t>cit</w:t>
      </w:r>
      <w:proofErr w:type="spellEnd"/>
      <w:r w:rsidRPr="00D47D22">
        <w:rPr>
          <w:rFonts w:ascii="Times New Roman" w:hAnsi="Times New Roman" w:cs="Times New Roman"/>
          <w:lang w:val="pl-PL"/>
        </w:rPr>
        <w:t>., § 29.</w:t>
      </w:r>
    </w:p>
  </w:footnote>
  <w:footnote w:id="108">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Zob. par. 141 wyroku.</w:t>
      </w:r>
    </w:p>
  </w:footnote>
  <w:footnote w:id="109">
    <w:p w:rsidR="00AC3310" w:rsidRPr="00D47D22" w:rsidRDefault="00AC3310" w:rsidP="00C42987">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Sergey</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Zolotukhin</w:t>
      </w:r>
      <w:proofErr w:type="spellEnd"/>
      <w:r w:rsidRPr="00D47D22">
        <w:rPr>
          <w:rFonts w:ascii="Times New Roman" w:hAnsi="Times New Roman" w:cs="Times New Roman"/>
          <w:i/>
          <w:lang w:val="pl-PL"/>
        </w:rPr>
        <w:t xml:space="preserve"> </w:t>
      </w:r>
      <w:r w:rsidRPr="00D47D22">
        <w:rPr>
          <w:rFonts w:ascii="Times New Roman" w:hAnsi="Times New Roman" w:cs="Times New Roman"/>
          <w:lang w:val="pl-PL"/>
        </w:rPr>
        <w:t>zajmuje się dwoma kolejnymi postępowaniami: postępowanie administracyjne zostało zakończone w dniu 4 stycznia 2002 r</w:t>
      </w:r>
      <w:r>
        <w:rPr>
          <w:rFonts w:ascii="Times New Roman" w:hAnsi="Times New Roman" w:cs="Times New Roman"/>
          <w:lang w:val="pl-PL"/>
        </w:rPr>
        <w:t>oku</w:t>
      </w:r>
      <w:r w:rsidRPr="00D47D22">
        <w:rPr>
          <w:rFonts w:ascii="Times New Roman" w:hAnsi="Times New Roman" w:cs="Times New Roman"/>
          <w:lang w:val="pl-PL"/>
        </w:rPr>
        <w:t>, a postępowanie karne rozpoczęło się w dniu 23 stycznia 2002 r</w:t>
      </w:r>
      <w:r>
        <w:rPr>
          <w:rFonts w:ascii="Times New Roman" w:hAnsi="Times New Roman" w:cs="Times New Roman"/>
          <w:lang w:val="pl-PL"/>
        </w:rPr>
        <w:t>oku</w:t>
      </w:r>
      <w:r w:rsidRPr="00D47D22">
        <w:rPr>
          <w:rFonts w:ascii="Times New Roman" w:hAnsi="Times New Roman" w:cs="Times New Roman"/>
          <w:lang w:val="pl-PL"/>
        </w:rPr>
        <w:t xml:space="preserve"> i zakończyło w dniu 15 kwietnia 2003 r</w:t>
      </w:r>
      <w:r>
        <w:rPr>
          <w:rFonts w:ascii="Times New Roman" w:hAnsi="Times New Roman" w:cs="Times New Roman"/>
          <w:lang w:val="pl-PL"/>
        </w:rPr>
        <w:t>oku</w:t>
      </w:r>
    </w:p>
  </w:footnote>
  <w:footnote w:id="110">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Patrz: </w:t>
      </w:r>
      <w:proofErr w:type="spellStart"/>
      <w:r w:rsidRPr="00D47D22">
        <w:rPr>
          <w:rFonts w:ascii="Times New Roman" w:hAnsi="Times New Roman" w:cs="Times New Roman"/>
          <w:i/>
          <w:lang w:val="pl-PL"/>
        </w:rPr>
        <w:t>Zigarella</w:t>
      </w:r>
      <w:proofErr w:type="spellEnd"/>
      <w:r w:rsidRPr="00D47D22">
        <w:rPr>
          <w:rFonts w:ascii="Times New Roman" w:hAnsi="Times New Roman" w:cs="Times New Roman"/>
          <w:i/>
          <w:lang w:val="pl-PL"/>
        </w:rPr>
        <w:t xml:space="preserve"> przeciwko Włochom</w:t>
      </w:r>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dec</w:t>
      </w:r>
      <w:proofErr w:type="spellEnd"/>
      <w:r w:rsidRPr="00D47D22">
        <w:rPr>
          <w:rFonts w:ascii="Times New Roman" w:hAnsi="Times New Roman" w:cs="Times New Roman"/>
          <w:lang w:val="pl-PL"/>
        </w:rPr>
        <w:t xml:space="preserve">.), nr 48154/99, ECHR 2002-IX (wyciągi) i </w:t>
      </w:r>
      <w:r w:rsidRPr="00D47D22">
        <w:rPr>
          <w:rFonts w:ascii="Times New Roman" w:hAnsi="Times New Roman" w:cs="Times New Roman"/>
          <w:i/>
          <w:lang w:val="pl-PL"/>
        </w:rPr>
        <w:t>Falkner przeciwko Austrii</w:t>
      </w:r>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dec</w:t>
      </w:r>
      <w:proofErr w:type="spellEnd"/>
      <w:r w:rsidRPr="00D47D22">
        <w:rPr>
          <w:rFonts w:ascii="Times New Roman" w:hAnsi="Times New Roman" w:cs="Times New Roman"/>
          <w:lang w:val="pl-PL"/>
        </w:rPr>
        <w:t>.), nr 6072/02,30 września 2004 r</w:t>
      </w:r>
      <w:r>
        <w:rPr>
          <w:rFonts w:ascii="Times New Roman" w:hAnsi="Times New Roman" w:cs="Times New Roman"/>
          <w:lang w:val="pl-PL"/>
        </w:rPr>
        <w:t>oku</w:t>
      </w:r>
      <w:r w:rsidRPr="00D47D22">
        <w:rPr>
          <w:rFonts w:ascii="Times New Roman" w:hAnsi="Times New Roman" w:cs="Times New Roman"/>
          <w:lang w:val="pl-PL"/>
        </w:rPr>
        <w:t xml:space="preserve"> W </w:t>
      </w:r>
      <w:proofErr w:type="spellStart"/>
      <w:r>
        <w:rPr>
          <w:rFonts w:ascii="Times New Roman" w:hAnsi="Times New Roman" w:cs="Times New Roman"/>
          <w:lang w:val="pl-PL"/>
        </w:rPr>
        <w:t>aragrafie</w:t>
      </w:r>
      <w:proofErr w:type="spellEnd"/>
      <w:r w:rsidRPr="00D47D22">
        <w:rPr>
          <w:rFonts w:ascii="Times New Roman" w:hAnsi="Times New Roman" w:cs="Times New Roman"/>
          <w:lang w:val="pl-PL"/>
        </w:rPr>
        <w:t xml:space="preserve">. 36 wyroku </w:t>
      </w:r>
      <w:r>
        <w:rPr>
          <w:rFonts w:ascii="Times New Roman" w:hAnsi="Times New Roman" w:cs="Times New Roman"/>
          <w:lang w:val="pl-PL"/>
        </w:rPr>
        <w:t>I</w:t>
      </w:r>
      <w:r w:rsidRPr="00D47D22">
        <w:rPr>
          <w:rFonts w:ascii="Times New Roman" w:hAnsi="Times New Roman" w:cs="Times New Roman"/>
          <w:lang w:val="pl-PL"/>
        </w:rPr>
        <w:t xml:space="preserve">zby w sprawie </w:t>
      </w:r>
      <w:proofErr w:type="spellStart"/>
      <w:r w:rsidRPr="00D47D22">
        <w:rPr>
          <w:rFonts w:ascii="Times New Roman" w:hAnsi="Times New Roman" w:cs="Times New Roman"/>
          <w:i/>
          <w:lang w:val="pl-PL"/>
        </w:rPr>
        <w:t>Sergey</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Zolotukhin</w:t>
      </w:r>
      <w:proofErr w:type="spellEnd"/>
      <w:r w:rsidRPr="00D47D22">
        <w:rPr>
          <w:rFonts w:ascii="Times New Roman" w:hAnsi="Times New Roman" w:cs="Times New Roman"/>
          <w:lang w:val="pl-PL"/>
        </w:rPr>
        <w:t xml:space="preserve"> zajęto takie samo stanowisko, lecz w </w:t>
      </w:r>
      <w:r>
        <w:rPr>
          <w:rFonts w:ascii="Times New Roman" w:hAnsi="Times New Roman" w:cs="Times New Roman"/>
          <w:lang w:val="pl-PL"/>
        </w:rPr>
        <w:t>paragrafie</w:t>
      </w:r>
      <w:r w:rsidRPr="00D47D22">
        <w:rPr>
          <w:rFonts w:ascii="Times New Roman" w:hAnsi="Times New Roman" w:cs="Times New Roman"/>
          <w:lang w:val="pl-PL"/>
        </w:rPr>
        <w:t xml:space="preserve">. 115 wyroku </w:t>
      </w:r>
      <w:r>
        <w:rPr>
          <w:rFonts w:ascii="Times New Roman" w:hAnsi="Times New Roman" w:cs="Times New Roman"/>
          <w:lang w:val="pl-PL"/>
        </w:rPr>
        <w:t>W</w:t>
      </w:r>
      <w:r w:rsidRPr="00D47D22">
        <w:rPr>
          <w:rFonts w:ascii="Times New Roman" w:hAnsi="Times New Roman" w:cs="Times New Roman"/>
          <w:lang w:val="pl-PL"/>
        </w:rPr>
        <w:t xml:space="preserve">ielkiej </w:t>
      </w:r>
      <w:r>
        <w:rPr>
          <w:rFonts w:ascii="Times New Roman" w:hAnsi="Times New Roman" w:cs="Times New Roman"/>
          <w:lang w:val="pl-PL"/>
        </w:rPr>
        <w:t>I</w:t>
      </w:r>
      <w:r w:rsidRPr="00D47D22">
        <w:rPr>
          <w:rFonts w:ascii="Times New Roman" w:hAnsi="Times New Roman" w:cs="Times New Roman"/>
          <w:lang w:val="pl-PL"/>
        </w:rPr>
        <w:t xml:space="preserve">zby wstrzymano się od powtórzenia tego samego zdania. Wielka </w:t>
      </w:r>
      <w:proofErr w:type="spellStart"/>
      <w:r>
        <w:rPr>
          <w:rFonts w:ascii="Times New Roman" w:hAnsi="Times New Roman" w:cs="Times New Roman"/>
          <w:lang w:val="pl-PL"/>
        </w:rPr>
        <w:t>I</w:t>
      </w:r>
      <w:r w:rsidRPr="00D47D22">
        <w:rPr>
          <w:rFonts w:ascii="Times New Roman" w:hAnsi="Times New Roman" w:cs="Times New Roman"/>
          <w:lang w:val="pl-PL"/>
        </w:rPr>
        <w:t>izba</w:t>
      </w:r>
      <w:proofErr w:type="spellEnd"/>
      <w:r w:rsidRPr="00D47D22">
        <w:rPr>
          <w:rFonts w:ascii="Times New Roman" w:hAnsi="Times New Roman" w:cs="Times New Roman"/>
          <w:lang w:val="pl-PL"/>
        </w:rPr>
        <w:t xml:space="preserve"> przyznaje jedynie, że może uznać, iż skarżący utracił swój status „ofiary" w przypadkach, gdy władze krajowe wszczynają dwa postępowania, ale później uznają naruszenie zasady </w:t>
      </w:r>
      <w:proofErr w:type="spellStart"/>
      <w:r w:rsidRPr="00486852">
        <w:rPr>
          <w:rFonts w:ascii="Times New Roman" w:hAnsi="Times New Roman" w:cs="Times New Roman"/>
          <w:i/>
          <w:lang w:val="pl-PL"/>
        </w:rPr>
        <w:t>ne</w:t>
      </w:r>
      <w:proofErr w:type="spellEnd"/>
      <w:r w:rsidRPr="00486852">
        <w:rPr>
          <w:rFonts w:ascii="Times New Roman" w:hAnsi="Times New Roman" w:cs="Times New Roman"/>
          <w:i/>
          <w:lang w:val="pl-PL"/>
        </w:rPr>
        <w:t xml:space="preserve"> bis in </w:t>
      </w:r>
      <w:proofErr w:type="spellStart"/>
      <w:r w:rsidRPr="00486852">
        <w:rPr>
          <w:rFonts w:ascii="Times New Roman" w:hAnsi="Times New Roman" w:cs="Times New Roman"/>
          <w:i/>
          <w:lang w:val="pl-PL"/>
        </w:rPr>
        <w:t>idem</w:t>
      </w:r>
      <w:proofErr w:type="spellEnd"/>
      <w:r w:rsidRPr="00D47D22">
        <w:rPr>
          <w:rFonts w:ascii="Times New Roman" w:hAnsi="Times New Roman" w:cs="Times New Roman"/>
          <w:lang w:val="pl-PL"/>
        </w:rPr>
        <w:t xml:space="preserve"> i oferują odpowiednie zadośćuczynienie na przykład w drodze zakończenia lub unieważnienia drugiego postępowania i usunięcia jego skutków. W związku z tym Trybunał nie powołuje się na dobrowolne wszczęcie drugiego postępowania jako warunek stwierdzenia naruszenia zasady </w:t>
      </w:r>
      <w:proofErr w:type="spellStart"/>
      <w:r w:rsidRPr="00486852">
        <w:rPr>
          <w:rFonts w:ascii="Times New Roman" w:hAnsi="Times New Roman" w:cs="Times New Roman"/>
          <w:i/>
          <w:lang w:val="pl-PL"/>
        </w:rPr>
        <w:t>ne</w:t>
      </w:r>
      <w:proofErr w:type="spellEnd"/>
      <w:r w:rsidRPr="00486852">
        <w:rPr>
          <w:rFonts w:ascii="Times New Roman" w:hAnsi="Times New Roman" w:cs="Times New Roman"/>
          <w:i/>
          <w:lang w:val="pl-PL"/>
        </w:rPr>
        <w:t xml:space="preserve"> bis in </w:t>
      </w:r>
      <w:proofErr w:type="spellStart"/>
      <w:r w:rsidRPr="00486852">
        <w:rPr>
          <w:rFonts w:ascii="Times New Roman" w:hAnsi="Times New Roman" w:cs="Times New Roman"/>
          <w:i/>
          <w:lang w:val="pl-PL"/>
        </w:rPr>
        <w:t>idem</w:t>
      </w:r>
      <w:proofErr w:type="spellEnd"/>
      <w:r w:rsidRPr="00D47D22">
        <w:rPr>
          <w:rFonts w:ascii="Times New Roman" w:hAnsi="Times New Roman" w:cs="Times New Roman"/>
          <w:lang w:val="pl-PL"/>
        </w:rPr>
        <w:t xml:space="preserve"> i wymaga jedynie wyraźnego uznania naruszenia na szczeblu krajowym jako warunku niedopuszczalności skargi. Później Trybunał powrócił niestety do sformułowania </w:t>
      </w:r>
      <w:proofErr w:type="spellStart"/>
      <w:r w:rsidRPr="00D47D22">
        <w:rPr>
          <w:rFonts w:ascii="Times New Roman" w:hAnsi="Times New Roman" w:cs="Times New Roman"/>
          <w:i/>
          <w:lang w:val="pl-PL"/>
        </w:rPr>
        <w:t>Zigarella</w:t>
      </w:r>
      <w:proofErr w:type="spellEnd"/>
      <w:r w:rsidRPr="00D47D22">
        <w:rPr>
          <w:rFonts w:ascii="Times New Roman" w:hAnsi="Times New Roman" w:cs="Times New Roman"/>
          <w:lang w:val="pl-PL"/>
        </w:rPr>
        <w:t xml:space="preserve"> w </w:t>
      </w:r>
      <w:proofErr w:type="spellStart"/>
      <w:r w:rsidRPr="00D47D22">
        <w:rPr>
          <w:rFonts w:ascii="Times New Roman" w:hAnsi="Times New Roman" w:cs="Times New Roman"/>
          <w:i/>
          <w:lang w:val="pl-PL"/>
        </w:rPr>
        <w:t>Maresti</w:t>
      </w:r>
      <w:proofErr w:type="spellEnd"/>
      <w:r w:rsidRPr="00D47D22">
        <w:rPr>
          <w:rFonts w:ascii="Times New Roman" w:hAnsi="Times New Roman" w:cs="Times New Roman"/>
          <w:lang w:val="pl-PL"/>
        </w:rPr>
        <w:t xml:space="preserve"> (cytowany powyżej § 66) i </w:t>
      </w:r>
      <w:proofErr w:type="spellStart"/>
      <w:r w:rsidRPr="00D47D22">
        <w:rPr>
          <w:rFonts w:ascii="Times New Roman" w:hAnsi="Times New Roman" w:cs="Times New Roman"/>
          <w:i/>
          <w:lang w:val="pl-PL"/>
        </w:rPr>
        <w:t>Tomasović</w:t>
      </w:r>
      <w:proofErr w:type="spellEnd"/>
      <w:r w:rsidRPr="00D47D22">
        <w:rPr>
          <w:rFonts w:ascii="Times New Roman" w:hAnsi="Times New Roman" w:cs="Times New Roman"/>
          <w:lang w:val="pl-PL"/>
        </w:rPr>
        <w:t xml:space="preserve"> (cytowany powyżej § 29), ale zobacz ważną oddzielną opinię sędziego </w:t>
      </w:r>
      <w:proofErr w:type="spellStart"/>
      <w:r w:rsidRPr="00D47D22">
        <w:rPr>
          <w:rFonts w:ascii="Times New Roman" w:hAnsi="Times New Roman" w:cs="Times New Roman"/>
          <w:lang w:val="pl-PL"/>
        </w:rPr>
        <w:t>Sicilianosa</w:t>
      </w:r>
      <w:proofErr w:type="spellEnd"/>
      <w:r w:rsidRPr="00D47D22">
        <w:rPr>
          <w:rFonts w:ascii="Times New Roman" w:hAnsi="Times New Roman" w:cs="Times New Roman"/>
          <w:lang w:val="pl-PL"/>
        </w:rPr>
        <w:t xml:space="preserve"> w tej ostatniej sprawie.</w:t>
      </w:r>
    </w:p>
  </w:footnote>
  <w:footnote w:id="111">
    <w:p w:rsidR="00AC3310" w:rsidRPr="00D47D22" w:rsidRDefault="00AC3310" w:rsidP="009D17F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Garaudy</w:t>
      </w:r>
      <w:proofErr w:type="spellEnd"/>
      <w:r w:rsidRPr="00D47D22">
        <w:rPr>
          <w:rFonts w:ascii="Times New Roman" w:hAnsi="Times New Roman" w:cs="Times New Roman"/>
          <w:i/>
          <w:lang w:val="pl-PL"/>
        </w:rPr>
        <w:t xml:space="preserve"> v. France </w:t>
      </w:r>
      <w:r w:rsidRPr="00D47D22">
        <w:rPr>
          <w:rFonts w:ascii="Times New Roman" w:hAnsi="Times New Roman" w:cs="Times New Roman"/>
          <w:lang w:val="pl-PL"/>
        </w:rPr>
        <w:t>(</w:t>
      </w:r>
      <w:proofErr w:type="spellStart"/>
      <w:r w:rsidRPr="00D47D22">
        <w:rPr>
          <w:rFonts w:ascii="Times New Roman" w:hAnsi="Times New Roman" w:cs="Times New Roman"/>
          <w:lang w:val="pl-PL"/>
        </w:rPr>
        <w:t>dec</w:t>
      </w:r>
      <w:proofErr w:type="spellEnd"/>
      <w:r w:rsidRPr="00D47D22">
        <w:rPr>
          <w:rFonts w:ascii="Times New Roman" w:hAnsi="Times New Roman" w:cs="Times New Roman"/>
          <w:lang w:val="pl-PL"/>
        </w:rPr>
        <w:t>.), no. 65831/01, ECHR 2003-IX (</w:t>
      </w:r>
      <w:r>
        <w:rPr>
          <w:rFonts w:ascii="Times New Roman" w:hAnsi="Times New Roman" w:cs="Times New Roman"/>
          <w:lang w:val="pl-PL"/>
        </w:rPr>
        <w:t>fragmenty</w:t>
      </w:r>
      <w:r w:rsidRPr="00D47D22">
        <w:rPr>
          <w:rFonts w:ascii="Times New Roman" w:hAnsi="Times New Roman" w:cs="Times New Roman"/>
          <w:lang w:val="pl-PL"/>
        </w:rPr>
        <w:t>).</w:t>
      </w:r>
    </w:p>
  </w:footnote>
  <w:footnote w:id="112">
    <w:p w:rsidR="00AC3310" w:rsidRPr="00D47D22" w:rsidRDefault="00AC3310" w:rsidP="00C42987">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Zigarella</w:t>
      </w:r>
      <w:proofErr w:type="spellEnd"/>
      <w:r w:rsidRPr="00D47D22">
        <w:rPr>
          <w:rFonts w:ascii="Times New Roman" w:hAnsi="Times New Roman" w:cs="Times New Roman"/>
          <w:lang w:val="pl-PL"/>
        </w:rPr>
        <w:t xml:space="preserve">, op. Kwestią sporną z </w:t>
      </w:r>
      <w:r>
        <w:rPr>
          <w:rFonts w:ascii="Times New Roman" w:hAnsi="Times New Roman" w:cs="Times New Roman"/>
          <w:lang w:val="pl-PL"/>
        </w:rPr>
        <w:t>K</w:t>
      </w:r>
      <w:r w:rsidRPr="00D47D22">
        <w:rPr>
          <w:rFonts w:ascii="Times New Roman" w:hAnsi="Times New Roman" w:cs="Times New Roman"/>
          <w:lang w:val="pl-PL"/>
        </w:rPr>
        <w:t xml:space="preserve">onwencją może być sytuacja, w której co najmniej dwa postępowania karne prowadzone są równolegle przeciwko temu samemu </w:t>
      </w:r>
      <w:r>
        <w:rPr>
          <w:rFonts w:ascii="Times New Roman" w:hAnsi="Times New Roman" w:cs="Times New Roman"/>
          <w:lang w:val="pl-PL"/>
        </w:rPr>
        <w:t>oskarżonemu</w:t>
      </w:r>
      <w:r w:rsidRPr="00D47D22">
        <w:rPr>
          <w:rFonts w:ascii="Times New Roman" w:hAnsi="Times New Roman" w:cs="Times New Roman"/>
          <w:lang w:val="pl-PL"/>
        </w:rPr>
        <w:t xml:space="preserve"> za te same czyny, nawet przed wydaniem prawomocnego orzeczenia w jednym z nich. Sytuacja zawisłości sprawy, zmuszająca </w:t>
      </w:r>
      <w:r>
        <w:rPr>
          <w:rFonts w:ascii="Times New Roman" w:hAnsi="Times New Roman" w:cs="Times New Roman"/>
          <w:lang w:val="pl-PL"/>
        </w:rPr>
        <w:t>oskarżonego</w:t>
      </w:r>
      <w:r w:rsidRPr="00D47D22">
        <w:rPr>
          <w:rFonts w:ascii="Times New Roman" w:hAnsi="Times New Roman" w:cs="Times New Roman"/>
          <w:lang w:val="pl-PL"/>
        </w:rPr>
        <w:t xml:space="preserve"> do przedstawienia kilku strategii obrony w tym samym czasie przed różnymi organami, podnosi kwestię nieuczciwości.</w:t>
      </w:r>
    </w:p>
  </w:footnote>
  <w:footnote w:id="113">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Tomasović</w:t>
      </w:r>
      <w:proofErr w:type="spellEnd"/>
      <w:r w:rsidRPr="00D47D22">
        <w:rPr>
          <w:rFonts w:ascii="Times New Roman" w:hAnsi="Times New Roman" w:cs="Times New Roman"/>
          <w:lang w:val="pl-PL"/>
        </w:rPr>
        <w:t xml:space="preserve">, op., §§ 30 and 32; </w:t>
      </w:r>
      <w:proofErr w:type="spellStart"/>
      <w:r w:rsidRPr="00D47D22">
        <w:rPr>
          <w:rFonts w:ascii="Times New Roman" w:hAnsi="Times New Roman" w:cs="Times New Roman"/>
          <w:i/>
          <w:lang w:val="pl-PL"/>
        </w:rPr>
        <w:t>Muslija</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o.p</w:t>
      </w:r>
      <w:proofErr w:type="spellEnd"/>
      <w:r w:rsidRPr="00D47D22">
        <w:rPr>
          <w:rFonts w:ascii="Times New Roman" w:hAnsi="Times New Roman" w:cs="Times New Roman"/>
          <w:lang w:val="pl-PL"/>
        </w:rPr>
        <w:t xml:space="preserve">, § 37; and </w:t>
      </w:r>
      <w:proofErr w:type="spellStart"/>
      <w:r w:rsidRPr="00D47D22">
        <w:rPr>
          <w:rFonts w:ascii="Times New Roman" w:hAnsi="Times New Roman" w:cs="Times New Roman"/>
          <w:i/>
          <w:lang w:val="pl-PL"/>
        </w:rPr>
        <w:t>Milenković</w:t>
      </w:r>
      <w:proofErr w:type="spellEnd"/>
      <w:r w:rsidRPr="00D47D22">
        <w:rPr>
          <w:rFonts w:ascii="Times New Roman" w:hAnsi="Times New Roman" w:cs="Times New Roman"/>
          <w:i/>
          <w:lang w:val="pl-PL"/>
        </w:rPr>
        <w:t xml:space="preserve"> v. Serbia</w:t>
      </w:r>
      <w:r w:rsidRPr="00D47D22">
        <w:rPr>
          <w:rFonts w:ascii="Times New Roman" w:hAnsi="Times New Roman" w:cs="Times New Roman"/>
          <w:lang w:val="pl-PL"/>
        </w:rPr>
        <w:t>, no. 50124/13, § 46, 1 maja 2016.</w:t>
      </w:r>
    </w:p>
  </w:footnote>
  <w:footnote w:id="114">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lang w:val="pl-PL"/>
        </w:rPr>
        <w:t>See</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Nilsson</w:t>
      </w:r>
      <w:proofErr w:type="spellEnd"/>
      <w:r w:rsidRPr="00D47D22">
        <w:rPr>
          <w:rFonts w:ascii="Times New Roman" w:hAnsi="Times New Roman" w:cs="Times New Roman"/>
          <w:lang w:val="pl-PL"/>
        </w:rPr>
        <w:t xml:space="preserve">, </w:t>
      </w:r>
      <w:r>
        <w:rPr>
          <w:rFonts w:ascii="Times New Roman" w:hAnsi="Times New Roman" w:cs="Times New Roman"/>
          <w:lang w:val="pl-PL"/>
        </w:rPr>
        <w:t>cytowany wyżej</w:t>
      </w:r>
      <w:r w:rsidRPr="00D47D22">
        <w:rPr>
          <w:rFonts w:ascii="Times New Roman" w:hAnsi="Times New Roman" w:cs="Times New Roman"/>
          <w:lang w:val="pl-PL"/>
        </w:rPr>
        <w:t>.</w:t>
      </w:r>
    </w:p>
  </w:footnote>
  <w:footnote w:id="115">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Boman</w:t>
      </w:r>
      <w:proofErr w:type="spellEnd"/>
      <w:r w:rsidRPr="00D47D22">
        <w:rPr>
          <w:rFonts w:ascii="Times New Roman" w:hAnsi="Times New Roman" w:cs="Times New Roman"/>
          <w:i/>
          <w:lang w:val="pl-PL"/>
        </w:rPr>
        <w:t xml:space="preserve"> </w:t>
      </w:r>
      <w:r>
        <w:rPr>
          <w:rFonts w:ascii="Times New Roman" w:hAnsi="Times New Roman" w:cs="Times New Roman"/>
          <w:i/>
          <w:lang w:val="pl-PL"/>
        </w:rPr>
        <w:t>przeciwko Finlandii</w:t>
      </w:r>
      <w:r>
        <w:rPr>
          <w:rFonts w:ascii="Times New Roman" w:hAnsi="Times New Roman" w:cs="Times New Roman"/>
          <w:lang w:val="pl-PL"/>
        </w:rPr>
        <w:t>, nr</w:t>
      </w:r>
      <w:r w:rsidRPr="00D47D22">
        <w:rPr>
          <w:rFonts w:ascii="Times New Roman" w:hAnsi="Times New Roman" w:cs="Times New Roman"/>
          <w:lang w:val="pl-PL"/>
        </w:rPr>
        <w:t xml:space="preserve"> 41604/11, 17 </w:t>
      </w:r>
      <w:r>
        <w:rPr>
          <w:rFonts w:ascii="Times New Roman" w:hAnsi="Times New Roman" w:cs="Times New Roman"/>
          <w:lang w:val="pl-PL"/>
        </w:rPr>
        <w:t>luty</w:t>
      </w:r>
      <w:r w:rsidRPr="00D47D22">
        <w:rPr>
          <w:rFonts w:ascii="Times New Roman" w:hAnsi="Times New Roman" w:cs="Times New Roman"/>
          <w:lang w:val="pl-PL"/>
        </w:rPr>
        <w:t xml:space="preserve"> 2015</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116">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Pr>
          <w:rFonts w:ascii="Times New Roman" w:hAnsi="Times New Roman" w:cs="Times New Roman"/>
          <w:i/>
          <w:lang w:val="pl-PL"/>
        </w:rPr>
        <w:t>Glantz</w:t>
      </w:r>
      <w:proofErr w:type="spellEnd"/>
      <w:r>
        <w:rPr>
          <w:rFonts w:ascii="Times New Roman" w:hAnsi="Times New Roman" w:cs="Times New Roman"/>
          <w:i/>
          <w:lang w:val="pl-PL"/>
        </w:rPr>
        <w:t xml:space="preserve"> przeciwko Finlandii</w:t>
      </w:r>
      <w:r>
        <w:rPr>
          <w:rFonts w:ascii="Times New Roman" w:hAnsi="Times New Roman" w:cs="Times New Roman"/>
          <w:lang w:val="pl-PL"/>
        </w:rPr>
        <w:t>, nr</w:t>
      </w:r>
      <w:r w:rsidRPr="00D47D22">
        <w:rPr>
          <w:rFonts w:ascii="Times New Roman" w:hAnsi="Times New Roman" w:cs="Times New Roman"/>
          <w:lang w:val="pl-PL"/>
        </w:rPr>
        <w:t xml:space="preserve"> 37394/11, 20 </w:t>
      </w:r>
      <w:r>
        <w:rPr>
          <w:rFonts w:ascii="Times New Roman" w:hAnsi="Times New Roman" w:cs="Times New Roman"/>
          <w:lang w:val="pl-PL"/>
        </w:rPr>
        <w:t>maj</w:t>
      </w:r>
      <w:r w:rsidRPr="00D47D22">
        <w:rPr>
          <w:rFonts w:ascii="Times New Roman" w:hAnsi="Times New Roman" w:cs="Times New Roman"/>
          <w:lang w:val="pl-PL"/>
        </w:rPr>
        <w:t xml:space="preserve"> 2014</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117">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Nykänen</w:t>
      </w:r>
      <w:proofErr w:type="spellEnd"/>
      <w:r w:rsidRPr="00D47D22">
        <w:rPr>
          <w:rFonts w:ascii="Times New Roman" w:hAnsi="Times New Roman" w:cs="Times New Roman"/>
          <w:lang w:val="pl-PL"/>
        </w:rPr>
        <w:t xml:space="preserve">, </w:t>
      </w:r>
      <w:r>
        <w:rPr>
          <w:rFonts w:ascii="Times New Roman" w:hAnsi="Times New Roman" w:cs="Times New Roman"/>
          <w:lang w:val="pl-PL"/>
        </w:rPr>
        <w:t>cytowany wyżej.</w:t>
      </w:r>
    </w:p>
  </w:footnote>
  <w:footnote w:id="118">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Lucky</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Dev</w:t>
      </w:r>
      <w:proofErr w:type="spellEnd"/>
      <w:r w:rsidRPr="00D47D22">
        <w:rPr>
          <w:rFonts w:ascii="Times New Roman" w:hAnsi="Times New Roman" w:cs="Times New Roman"/>
          <w:lang w:val="pl-PL"/>
        </w:rPr>
        <w:t xml:space="preserve">, </w:t>
      </w:r>
      <w:r>
        <w:rPr>
          <w:rFonts w:ascii="Times New Roman" w:hAnsi="Times New Roman" w:cs="Times New Roman"/>
          <w:lang w:val="pl-PL"/>
        </w:rPr>
        <w:t>cytowany wyżej.</w:t>
      </w:r>
    </w:p>
  </w:footnote>
  <w:footnote w:id="119">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Rinas</w:t>
      </w:r>
      <w:proofErr w:type="spellEnd"/>
      <w:r w:rsidRPr="00D47D22">
        <w:rPr>
          <w:rFonts w:ascii="Times New Roman" w:hAnsi="Times New Roman" w:cs="Times New Roman"/>
          <w:i/>
          <w:lang w:val="pl-PL"/>
        </w:rPr>
        <w:t xml:space="preserve"> </w:t>
      </w:r>
      <w:r>
        <w:rPr>
          <w:rFonts w:ascii="Times New Roman" w:hAnsi="Times New Roman" w:cs="Times New Roman"/>
          <w:i/>
          <w:lang w:val="pl-PL"/>
        </w:rPr>
        <w:t>przeciwko Finlandii</w:t>
      </w:r>
      <w:r>
        <w:rPr>
          <w:rFonts w:ascii="Times New Roman" w:hAnsi="Times New Roman" w:cs="Times New Roman"/>
          <w:lang w:val="pl-PL"/>
        </w:rPr>
        <w:t>, nr</w:t>
      </w:r>
      <w:r w:rsidRPr="00D47D22">
        <w:rPr>
          <w:rFonts w:ascii="Times New Roman" w:hAnsi="Times New Roman" w:cs="Times New Roman"/>
          <w:lang w:val="pl-PL"/>
        </w:rPr>
        <w:t xml:space="preserve"> 17039/13, 27 </w:t>
      </w:r>
      <w:r>
        <w:rPr>
          <w:rFonts w:ascii="Times New Roman" w:hAnsi="Times New Roman" w:cs="Times New Roman"/>
          <w:lang w:val="pl-PL"/>
        </w:rPr>
        <w:t>styczeń</w:t>
      </w:r>
      <w:r w:rsidRPr="00D47D22">
        <w:rPr>
          <w:rFonts w:ascii="Times New Roman" w:hAnsi="Times New Roman" w:cs="Times New Roman"/>
          <w:lang w:val="pl-PL"/>
        </w:rPr>
        <w:t xml:space="preserve"> 2015</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120">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Österlund</w:t>
      </w:r>
      <w:proofErr w:type="spellEnd"/>
      <w:r w:rsidRPr="00D47D22">
        <w:rPr>
          <w:rFonts w:ascii="Times New Roman" w:hAnsi="Times New Roman" w:cs="Times New Roman"/>
          <w:i/>
          <w:lang w:val="pl-PL"/>
        </w:rPr>
        <w:t xml:space="preserve"> </w:t>
      </w:r>
      <w:r>
        <w:rPr>
          <w:rFonts w:ascii="Times New Roman" w:hAnsi="Times New Roman" w:cs="Times New Roman"/>
          <w:i/>
          <w:lang w:val="pl-PL"/>
        </w:rPr>
        <w:t>przeciwko Finlandii</w:t>
      </w:r>
      <w:r>
        <w:rPr>
          <w:rFonts w:ascii="Times New Roman" w:hAnsi="Times New Roman" w:cs="Times New Roman"/>
          <w:lang w:val="pl-PL"/>
        </w:rPr>
        <w:t>, nr</w:t>
      </w:r>
      <w:r w:rsidRPr="00D47D22">
        <w:rPr>
          <w:rFonts w:ascii="Times New Roman" w:hAnsi="Times New Roman" w:cs="Times New Roman"/>
          <w:lang w:val="pl-PL"/>
        </w:rPr>
        <w:t xml:space="preserve"> 53197/13, 10 </w:t>
      </w:r>
      <w:r>
        <w:rPr>
          <w:rFonts w:ascii="Times New Roman" w:hAnsi="Times New Roman" w:cs="Times New Roman"/>
          <w:lang w:val="pl-PL"/>
        </w:rPr>
        <w:t>luty</w:t>
      </w:r>
      <w:r w:rsidRPr="00D47D22">
        <w:rPr>
          <w:rFonts w:ascii="Times New Roman" w:hAnsi="Times New Roman" w:cs="Times New Roman"/>
          <w:lang w:val="pl-PL"/>
        </w:rPr>
        <w:t xml:space="preserve"> 2015</w:t>
      </w:r>
      <w:r>
        <w:rPr>
          <w:rFonts w:ascii="Times New Roman" w:hAnsi="Times New Roman" w:cs="Times New Roman"/>
          <w:lang w:val="pl-PL"/>
        </w:rPr>
        <w:t xml:space="preserve"> roku</w:t>
      </w:r>
      <w:r w:rsidRPr="00D47D22">
        <w:rPr>
          <w:rFonts w:ascii="Times New Roman" w:hAnsi="Times New Roman" w:cs="Times New Roman"/>
          <w:lang w:val="pl-PL"/>
        </w:rPr>
        <w:t>.</w:t>
      </w:r>
    </w:p>
  </w:footnote>
  <w:footnote w:id="121">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Glantz</w:t>
      </w:r>
      <w:proofErr w:type="spellEnd"/>
      <w:r w:rsidRPr="00D47D22">
        <w:rPr>
          <w:rFonts w:ascii="Times New Roman" w:hAnsi="Times New Roman" w:cs="Times New Roman"/>
          <w:lang w:val="pl-PL"/>
        </w:rPr>
        <w:t>, op.,§ 62.</w:t>
      </w:r>
    </w:p>
  </w:footnote>
  <w:footnote w:id="122">
    <w:p w:rsidR="00AC3310" w:rsidRPr="00D47D22" w:rsidRDefault="00AC3310" w:rsidP="00C42987">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To samo rozumowanie zastosowano w </w:t>
      </w:r>
      <w:proofErr w:type="spellStart"/>
      <w:r w:rsidRPr="00D47D22">
        <w:rPr>
          <w:rFonts w:ascii="Times New Roman" w:hAnsi="Times New Roman" w:cs="Times New Roman"/>
          <w:lang w:val="pl-PL"/>
        </w:rPr>
        <w:t>Nykänen</w:t>
      </w:r>
      <w:proofErr w:type="spellEnd"/>
      <w:r w:rsidRPr="00D47D22">
        <w:rPr>
          <w:rFonts w:ascii="Times New Roman" w:hAnsi="Times New Roman" w:cs="Times New Roman"/>
          <w:lang w:val="pl-PL"/>
        </w:rPr>
        <w:t xml:space="preserve"> (cytowany powyżej § 52 - postępowanie podatkowe rozpoczęło się w dniu 28 listopada 2005 r</w:t>
      </w:r>
      <w:r>
        <w:rPr>
          <w:rFonts w:ascii="Times New Roman" w:hAnsi="Times New Roman" w:cs="Times New Roman"/>
          <w:lang w:val="pl-PL"/>
        </w:rPr>
        <w:t>oku</w:t>
      </w:r>
      <w:r w:rsidRPr="00D47D22">
        <w:rPr>
          <w:rFonts w:ascii="Times New Roman" w:hAnsi="Times New Roman" w:cs="Times New Roman"/>
          <w:lang w:val="pl-PL"/>
        </w:rPr>
        <w:t xml:space="preserve"> i zakończyło się w dniu 1 kwietnia 2009 r</w:t>
      </w:r>
      <w:r>
        <w:rPr>
          <w:rFonts w:ascii="Times New Roman" w:hAnsi="Times New Roman" w:cs="Times New Roman"/>
          <w:lang w:val="pl-PL"/>
        </w:rPr>
        <w:t>oku</w:t>
      </w:r>
      <w:r w:rsidRPr="00D47D22">
        <w:rPr>
          <w:rFonts w:ascii="Times New Roman" w:hAnsi="Times New Roman" w:cs="Times New Roman"/>
          <w:lang w:val="pl-PL"/>
        </w:rPr>
        <w:t>, natomiast postępowanie karne wszczęto w dniu 19 sierpnia 2008 r</w:t>
      </w:r>
      <w:r>
        <w:rPr>
          <w:rFonts w:ascii="Times New Roman" w:hAnsi="Times New Roman" w:cs="Times New Roman"/>
          <w:lang w:val="pl-PL"/>
        </w:rPr>
        <w:t>oku</w:t>
      </w:r>
      <w:r w:rsidRPr="00D47D22">
        <w:rPr>
          <w:rFonts w:ascii="Times New Roman" w:hAnsi="Times New Roman" w:cs="Times New Roman"/>
          <w:lang w:val="pl-PL"/>
        </w:rPr>
        <w:t>, a zakończyło się w dniu 1 września 2010 r</w:t>
      </w:r>
      <w:r>
        <w:rPr>
          <w:rFonts w:ascii="Times New Roman" w:hAnsi="Times New Roman" w:cs="Times New Roman"/>
          <w:lang w:val="pl-PL"/>
        </w:rPr>
        <w:t>oku</w:t>
      </w:r>
      <w:r w:rsidRPr="00D47D22">
        <w:rPr>
          <w:rFonts w:ascii="Times New Roman" w:hAnsi="Times New Roman" w:cs="Times New Roman"/>
          <w:lang w:val="pl-PL"/>
        </w:rPr>
        <w:t xml:space="preserve">.), a </w:t>
      </w:r>
      <w:proofErr w:type="spellStart"/>
      <w:r w:rsidRPr="00D47D22">
        <w:rPr>
          <w:rFonts w:ascii="Times New Roman" w:hAnsi="Times New Roman" w:cs="Times New Roman"/>
          <w:i/>
          <w:lang w:val="pl-PL"/>
        </w:rPr>
        <w:t>Lucky</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Dev</w:t>
      </w:r>
      <w:proofErr w:type="spellEnd"/>
      <w:r w:rsidRPr="00D47D22">
        <w:rPr>
          <w:rFonts w:ascii="Times New Roman" w:hAnsi="Times New Roman" w:cs="Times New Roman"/>
          <w:lang w:val="pl-PL"/>
        </w:rPr>
        <w:t xml:space="preserve"> (cytowany powyżej § 63 - postępowanie podatkowe rozpoczęło się w dniu 1 czerwca 2004 r</w:t>
      </w:r>
      <w:r>
        <w:rPr>
          <w:rFonts w:ascii="Times New Roman" w:hAnsi="Times New Roman" w:cs="Times New Roman"/>
          <w:lang w:val="pl-PL"/>
        </w:rPr>
        <w:t>oku</w:t>
      </w:r>
      <w:r w:rsidRPr="00D47D22">
        <w:rPr>
          <w:rFonts w:ascii="Times New Roman" w:hAnsi="Times New Roman" w:cs="Times New Roman"/>
          <w:lang w:val="pl-PL"/>
        </w:rPr>
        <w:t>.). .</w:t>
      </w:r>
    </w:p>
  </w:footnote>
  <w:footnote w:id="123">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Rinas</w:t>
      </w:r>
      <w:proofErr w:type="spellEnd"/>
      <w:r w:rsidRPr="00D47D22">
        <w:rPr>
          <w:rFonts w:ascii="Times New Roman" w:hAnsi="Times New Roman" w:cs="Times New Roman"/>
          <w:lang w:val="pl-PL"/>
        </w:rPr>
        <w:t>, cytowany wyżej, § 56.</w:t>
      </w:r>
    </w:p>
  </w:footnote>
  <w:footnote w:id="124">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Podobnie w </w:t>
      </w:r>
      <w:proofErr w:type="spellStart"/>
      <w:r w:rsidRPr="00D47D22">
        <w:rPr>
          <w:rFonts w:ascii="Times New Roman" w:hAnsi="Times New Roman" w:cs="Times New Roman"/>
          <w:i/>
          <w:lang w:val="pl-PL"/>
        </w:rPr>
        <w:t>Österlund</w:t>
      </w:r>
      <w:proofErr w:type="spellEnd"/>
      <w:r w:rsidRPr="00D47D22">
        <w:rPr>
          <w:rFonts w:ascii="Times New Roman" w:hAnsi="Times New Roman" w:cs="Times New Roman"/>
          <w:lang w:val="pl-PL"/>
        </w:rPr>
        <w:t xml:space="preserve"> (</w:t>
      </w:r>
      <w:r>
        <w:rPr>
          <w:rFonts w:ascii="Times New Roman" w:hAnsi="Times New Roman" w:cs="Times New Roman"/>
          <w:lang w:val="pl-PL"/>
        </w:rPr>
        <w:t>cytowany wyżej</w:t>
      </w:r>
      <w:r w:rsidRPr="00D47D22">
        <w:rPr>
          <w:rFonts w:ascii="Times New Roman" w:hAnsi="Times New Roman" w:cs="Times New Roman"/>
          <w:lang w:val="pl-PL"/>
        </w:rPr>
        <w:t>, § 51).</w:t>
      </w:r>
    </w:p>
  </w:footnote>
  <w:footnote w:id="125">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Häkkä</w:t>
      </w:r>
      <w:proofErr w:type="spellEnd"/>
      <w:r w:rsidRPr="00D47D22">
        <w:rPr>
          <w:rFonts w:ascii="Times New Roman" w:hAnsi="Times New Roman" w:cs="Times New Roman"/>
          <w:i/>
          <w:lang w:val="pl-PL"/>
        </w:rPr>
        <w:t xml:space="preserve"> </w:t>
      </w:r>
      <w:r>
        <w:rPr>
          <w:rFonts w:ascii="Times New Roman" w:hAnsi="Times New Roman" w:cs="Times New Roman"/>
          <w:i/>
          <w:lang w:val="pl-PL"/>
        </w:rPr>
        <w:t>przeciwko Finlandii</w:t>
      </w:r>
      <w:r>
        <w:rPr>
          <w:rFonts w:ascii="Times New Roman" w:hAnsi="Times New Roman" w:cs="Times New Roman"/>
          <w:lang w:val="pl-PL"/>
        </w:rPr>
        <w:t>, nr</w:t>
      </w:r>
      <w:r w:rsidRPr="00D47D22">
        <w:rPr>
          <w:rFonts w:ascii="Times New Roman" w:hAnsi="Times New Roman" w:cs="Times New Roman"/>
          <w:lang w:val="pl-PL"/>
        </w:rPr>
        <w:t xml:space="preserve"> 758/11, §§ 50-52, 20 maj 2014</w:t>
      </w:r>
      <w:r>
        <w:rPr>
          <w:rFonts w:ascii="Times New Roman" w:hAnsi="Times New Roman" w:cs="Times New Roman"/>
          <w:lang w:val="pl-PL"/>
        </w:rPr>
        <w:t xml:space="preserve"> rok</w:t>
      </w:r>
      <w:r w:rsidRPr="00D47D22">
        <w:rPr>
          <w:rFonts w:ascii="Times New Roman" w:hAnsi="Times New Roman" w:cs="Times New Roman"/>
          <w:lang w:val="pl-PL"/>
        </w:rPr>
        <w:t>.</w:t>
      </w:r>
    </w:p>
  </w:footnote>
  <w:footnote w:id="126">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Ibid., § 52.</w:t>
      </w:r>
    </w:p>
  </w:footnote>
  <w:footnote w:id="127">
    <w:p w:rsidR="00AC3310" w:rsidRPr="00D47D22" w:rsidRDefault="00AC3310" w:rsidP="002970C1">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Kiiveri</w:t>
      </w:r>
      <w:proofErr w:type="spellEnd"/>
      <w:r w:rsidRPr="00D47D22">
        <w:rPr>
          <w:rFonts w:ascii="Times New Roman" w:hAnsi="Times New Roman" w:cs="Times New Roman"/>
          <w:i/>
          <w:lang w:val="pl-PL"/>
        </w:rPr>
        <w:t xml:space="preserve"> </w:t>
      </w:r>
      <w:r>
        <w:rPr>
          <w:rFonts w:ascii="Times New Roman" w:hAnsi="Times New Roman" w:cs="Times New Roman"/>
          <w:i/>
          <w:lang w:val="pl-PL"/>
        </w:rPr>
        <w:t>przeciwko Finlandii</w:t>
      </w:r>
      <w:r>
        <w:rPr>
          <w:rFonts w:ascii="Times New Roman" w:hAnsi="Times New Roman" w:cs="Times New Roman"/>
          <w:lang w:val="pl-PL"/>
        </w:rPr>
        <w:t>, nr</w:t>
      </w:r>
      <w:r w:rsidRPr="00D47D22">
        <w:rPr>
          <w:rFonts w:ascii="Times New Roman" w:hAnsi="Times New Roman" w:cs="Times New Roman"/>
          <w:lang w:val="pl-PL"/>
        </w:rPr>
        <w:t xml:space="preserve"> 53753/12, 10 luty 2015</w:t>
      </w:r>
      <w:r>
        <w:rPr>
          <w:rFonts w:ascii="Times New Roman" w:hAnsi="Times New Roman" w:cs="Times New Roman"/>
          <w:lang w:val="pl-PL"/>
        </w:rPr>
        <w:t xml:space="preserve"> rok</w:t>
      </w:r>
      <w:r w:rsidRPr="00D47D22">
        <w:rPr>
          <w:rFonts w:ascii="Times New Roman" w:hAnsi="Times New Roman" w:cs="Times New Roman"/>
          <w:lang w:val="pl-PL"/>
        </w:rPr>
        <w:t>.</w:t>
      </w:r>
    </w:p>
  </w:footnote>
  <w:footnote w:id="128">
    <w:p w:rsidR="00AC3310" w:rsidRPr="00D47D22" w:rsidRDefault="00AC3310" w:rsidP="002970C1">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Ibid., § 36.</w:t>
      </w:r>
    </w:p>
  </w:footnote>
  <w:footnote w:id="129">
    <w:p w:rsidR="00AC3310" w:rsidRPr="006F7CEF"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r w:rsidRPr="006F7CEF">
        <w:rPr>
          <w:lang w:val="pl-PL"/>
        </w:rPr>
        <w:t xml:space="preserve">Odnoszę się do </w:t>
      </w:r>
      <w:r w:rsidRPr="006F7CEF">
        <w:rPr>
          <w:rFonts w:ascii="Times New Roman" w:hAnsi="Times New Roman" w:cs="Times New Roman"/>
          <w:i/>
          <w:lang w:val="pl-PL"/>
        </w:rPr>
        <w:t xml:space="preserve">Grande </w:t>
      </w:r>
      <w:r w:rsidRPr="006F7CEF">
        <w:rPr>
          <w:rFonts w:ascii="Times New Roman" w:hAnsi="Times New Roman" w:cs="Times New Roman"/>
          <w:lang w:val="pl-PL"/>
        </w:rPr>
        <w:t xml:space="preserve">Stevens </w:t>
      </w:r>
      <w:r w:rsidRPr="006F7CEF">
        <w:rPr>
          <w:lang w:val="pl-PL"/>
        </w:rPr>
        <w:t xml:space="preserve">i Inni (cytowane powyżej), </w:t>
      </w:r>
      <w:proofErr w:type="spellStart"/>
      <w:r w:rsidRPr="006F7CEF">
        <w:rPr>
          <w:i/>
          <w:lang w:val="pl-PL"/>
        </w:rPr>
        <w:t>Kapetanios</w:t>
      </w:r>
      <w:proofErr w:type="spellEnd"/>
      <w:r w:rsidRPr="006F7CEF">
        <w:rPr>
          <w:lang w:val="pl-PL"/>
        </w:rPr>
        <w:t xml:space="preserve"> </w:t>
      </w:r>
      <w:r w:rsidRPr="006F7CEF">
        <w:rPr>
          <w:i/>
          <w:lang w:val="pl-PL"/>
        </w:rPr>
        <w:t>i Inni</w:t>
      </w:r>
      <w:r w:rsidRPr="006F7CEF">
        <w:rPr>
          <w:lang w:val="pl-PL"/>
        </w:rPr>
        <w:t xml:space="preserve"> (cyt. Powyżej) oraz </w:t>
      </w:r>
      <w:proofErr w:type="spellStart"/>
      <w:r w:rsidRPr="006F7CEF">
        <w:rPr>
          <w:i/>
          <w:lang w:val="pl-PL"/>
        </w:rPr>
        <w:t>Sismanidisa</w:t>
      </w:r>
      <w:proofErr w:type="spellEnd"/>
      <w:r w:rsidRPr="006F7CEF">
        <w:rPr>
          <w:i/>
          <w:lang w:val="pl-PL"/>
        </w:rPr>
        <w:t xml:space="preserve"> i </w:t>
      </w:r>
      <w:proofErr w:type="spellStart"/>
      <w:r w:rsidRPr="006F7CEF">
        <w:rPr>
          <w:i/>
          <w:lang w:val="pl-PL"/>
        </w:rPr>
        <w:t>Sitaridisa</w:t>
      </w:r>
      <w:proofErr w:type="spellEnd"/>
      <w:r w:rsidRPr="006F7CEF">
        <w:rPr>
          <w:lang w:val="pl-PL"/>
        </w:rPr>
        <w:t xml:space="preserve"> (cytowane powyżej), w których Trybunał był jednomyślny.</w:t>
      </w:r>
    </w:p>
  </w:footnote>
  <w:footnote w:id="130">
    <w:p w:rsidR="00AC3310" w:rsidRPr="006F7CEF" w:rsidRDefault="00AC3310" w:rsidP="001C1232">
      <w:pPr>
        <w:pStyle w:val="Tekstprzypisudolnego"/>
        <w:rPr>
          <w:rFonts w:ascii="Times New Roman" w:hAnsi="Times New Roman" w:cs="Times New Roman"/>
          <w:lang w:val="pl-PL"/>
        </w:rPr>
      </w:pPr>
      <w:r w:rsidRPr="006F7CEF">
        <w:rPr>
          <w:rStyle w:val="Odwoanieprzypisudolnego"/>
          <w:rFonts w:ascii="Times New Roman" w:hAnsi="Times New Roman" w:cs="Times New Roman"/>
          <w:vertAlign w:val="baseline"/>
          <w:lang w:val="pl-PL"/>
        </w:rPr>
        <w:footnoteRef/>
      </w:r>
      <w:r w:rsidRPr="006F7CEF">
        <w:rPr>
          <w:rFonts w:ascii="Times New Roman" w:hAnsi="Times New Roman" w:cs="Times New Roman"/>
          <w:lang w:val="pl-PL"/>
        </w:rPr>
        <w:t>.  Zob. paragraf 96 wyroku.</w:t>
      </w:r>
    </w:p>
  </w:footnote>
  <w:footnote w:id="131">
    <w:p w:rsidR="00AC3310" w:rsidRPr="006F7CEF" w:rsidRDefault="00AC3310" w:rsidP="001C1232">
      <w:pPr>
        <w:pStyle w:val="Tekstprzypisudolnego"/>
        <w:rPr>
          <w:rFonts w:ascii="Times New Roman" w:hAnsi="Times New Roman" w:cs="Times New Roman"/>
          <w:lang w:val="pl-PL"/>
        </w:rPr>
      </w:pPr>
      <w:r w:rsidRPr="006F7CEF">
        <w:rPr>
          <w:rStyle w:val="Odwoanieprzypisudolnego"/>
          <w:rFonts w:ascii="Times New Roman" w:hAnsi="Times New Roman" w:cs="Times New Roman"/>
          <w:vertAlign w:val="baseline"/>
          <w:lang w:val="pl-PL"/>
        </w:rPr>
        <w:footnoteRef/>
      </w:r>
      <w:r w:rsidRPr="006F7CEF">
        <w:rPr>
          <w:rFonts w:ascii="Times New Roman" w:hAnsi="Times New Roman" w:cs="Times New Roman"/>
          <w:lang w:val="pl-PL"/>
        </w:rPr>
        <w:t>.  Zob. paragraf 150 wyroku.</w:t>
      </w:r>
    </w:p>
  </w:footnote>
  <w:footnote w:id="132">
    <w:p w:rsidR="00AC3310" w:rsidRPr="006F7CEF" w:rsidRDefault="00AC3310" w:rsidP="001C1232">
      <w:pPr>
        <w:pStyle w:val="Tekstprzypisudolnego"/>
        <w:rPr>
          <w:rFonts w:ascii="Times New Roman" w:hAnsi="Times New Roman" w:cs="Times New Roman"/>
          <w:lang w:val="pl-PL"/>
        </w:rPr>
      </w:pPr>
      <w:r w:rsidRPr="006F7CEF">
        <w:rPr>
          <w:rStyle w:val="Odwoanieprzypisudolnego"/>
          <w:rFonts w:ascii="Times New Roman" w:hAnsi="Times New Roman" w:cs="Times New Roman"/>
          <w:vertAlign w:val="baseline"/>
          <w:lang w:val="pl-PL"/>
        </w:rPr>
        <w:footnoteRef/>
      </w:r>
      <w:r w:rsidRPr="006F7CEF">
        <w:rPr>
          <w:rFonts w:ascii="Times New Roman" w:hAnsi="Times New Roman" w:cs="Times New Roman"/>
          <w:lang w:val="pl-PL"/>
        </w:rPr>
        <w:t>.  </w:t>
      </w:r>
      <w:r w:rsidRPr="006F7CEF">
        <w:rPr>
          <w:rFonts w:ascii="Times New Roman" w:hAnsi="Times New Roman" w:cs="Times New Roman"/>
          <w:i/>
          <w:lang w:val="pl-PL"/>
        </w:rPr>
        <w:t xml:space="preserve">R.T. przeciwko Szwajcarii  </w:t>
      </w:r>
      <w:r w:rsidRPr="006F7CEF">
        <w:rPr>
          <w:rFonts w:ascii="Times New Roman" w:hAnsi="Times New Roman" w:cs="Times New Roman"/>
          <w:lang w:val="pl-PL"/>
        </w:rPr>
        <w:t>(</w:t>
      </w:r>
      <w:proofErr w:type="spellStart"/>
      <w:r w:rsidRPr="006F7CEF">
        <w:rPr>
          <w:rFonts w:ascii="Times New Roman" w:hAnsi="Times New Roman" w:cs="Times New Roman"/>
          <w:lang w:val="pl-PL"/>
        </w:rPr>
        <w:t>dec</w:t>
      </w:r>
      <w:proofErr w:type="spellEnd"/>
      <w:r w:rsidRPr="006F7CEF">
        <w:rPr>
          <w:rFonts w:ascii="Times New Roman" w:hAnsi="Times New Roman" w:cs="Times New Roman"/>
          <w:lang w:val="pl-PL"/>
        </w:rPr>
        <w:t>.), nr 31982/96, 30 maj 2000</w:t>
      </w:r>
      <w:r>
        <w:rPr>
          <w:rFonts w:ascii="Times New Roman" w:hAnsi="Times New Roman" w:cs="Times New Roman"/>
          <w:lang w:val="pl-PL"/>
        </w:rPr>
        <w:t xml:space="preserve"> roku</w:t>
      </w:r>
      <w:r w:rsidRPr="006F7CEF">
        <w:rPr>
          <w:rFonts w:ascii="Times New Roman" w:hAnsi="Times New Roman" w:cs="Times New Roman"/>
          <w:lang w:val="pl-PL"/>
        </w:rPr>
        <w:t>.</w:t>
      </w:r>
    </w:p>
  </w:footnote>
  <w:footnote w:id="133">
    <w:p w:rsidR="00AC3310" w:rsidRPr="006F7CEF" w:rsidRDefault="00AC3310" w:rsidP="001C1232">
      <w:pPr>
        <w:pStyle w:val="Tekstprzypisudolnego"/>
        <w:rPr>
          <w:rFonts w:ascii="Times New Roman" w:hAnsi="Times New Roman" w:cs="Times New Roman"/>
          <w:lang w:val="pl-PL"/>
        </w:rPr>
      </w:pPr>
      <w:r w:rsidRPr="006F7CEF">
        <w:rPr>
          <w:rStyle w:val="Odwoanieprzypisudolnego"/>
          <w:rFonts w:ascii="Times New Roman" w:hAnsi="Times New Roman" w:cs="Times New Roman"/>
          <w:vertAlign w:val="baseline"/>
          <w:lang w:val="pl-PL"/>
        </w:rPr>
        <w:footnoteRef/>
      </w:r>
      <w:r w:rsidRPr="006F7CEF">
        <w:rPr>
          <w:rFonts w:ascii="Times New Roman" w:hAnsi="Times New Roman" w:cs="Times New Roman"/>
          <w:lang w:val="pl-PL"/>
        </w:rPr>
        <w:t>.  </w:t>
      </w:r>
      <w:proofErr w:type="spellStart"/>
      <w:r w:rsidRPr="006F7CEF">
        <w:rPr>
          <w:rFonts w:ascii="Times New Roman" w:hAnsi="Times New Roman" w:cs="Times New Roman"/>
          <w:i/>
          <w:lang w:val="pl-PL"/>
        </w:rPr>
        <w:t>Nilsson</w:t>
      </w:r>
      <w:proofErr w:type="spellEnd"/>
      <w:r w:rsidRPr="006F7CEF">
        <w:rPr>
          <w:rFonts w:ascii="Times New Roman" w:hAnsi="Times New Roman" w:cs="Times New Roman"/>
          <w:lang w:val="pl-PL"/>
        </w:rPr>
        <w:t xml:space="preserve">, cytowane wyżej. </w:t>
      </w:r>
    </w:p>
  </w:footnote>
  <w:footnote w:id="134">
    <w:p w:rsidR="00AC3310" w:rsidRPr="00D47D22" w:rsidRDefault="00AC3310" w:rsidP="001C1232">
      <w:pPr>
        <w:pStyle w:val="Tekstprzypisudolnego"/>
        <w:rPr>
          <w:rFonts w:ascii="Times New Roman" w:hAnsi="Times New Roman" w:cs="Times New Roman"/>
          <w:lang w:val="pl-PL"/>
        </w:rPr>
      </w:pPr>
      <w:r w:rsidRPr="006F7CEF">
        <w:rPr>
          <w:rStyle w:val="Odwoanieprzypisudolnego"/>
          <w:rFonts w:ascii="Times New Roman" w:hAnsi="Times New Roman" w:cs="Times New Roman"/>
          <w:vertAlign w:val="baseline"/>
          <w:lang w:val="pl-PL"/>
        </w:rPr>
        <w:footnoteRef/>
      </w:r>
      <w:r w:rsidRPr="006F7CEF">
        <w:rPr>
          <w:rFonts w:ascii="Times New Roman" w:hAnsi="Times New Roman" w:cs="Times New Roman"/>
          <w:lang w:val="pl-PL"/>
        </w:rPr>
        <w:t>.  </w:t>
      </w:r>
      <w:r w:rsidRPr="006F7CEF">
        <w:rPr>
          <w:lang w:val="pl-PL"/>
        </w:rPr>
        <w:t xml:space="preserve">W </w:t>
      </w:r>
      <w:r w:rsidRPr="006F7CEF">
        <w:rPr>
          <w:i/>
          <w:lang w:val="pl-PL"/>
        </w:rPr>
        <w:t>R.T. przeciwko Szwajcarii</w:t>
      </w:r>
      <w:r w:rsidRPr="006F7CEF">
        <w:rPr>
          <w:lang w:val="pl-PL"/>
        </w:rPr>
        <w:t xml:space="preserve"> postępowanie administracyjne rozpoczęło się 11 maja 1993 r</w:t>
      </w:r>
      <w:r>
        <w:rPr>
          <w:lang w:val="pl-PL"/>
        </w:rPr>
        <w:t>oku</w:t>
      </w:r>
      <w:r w:rsidRPr="006F7CEF">
        <w:rPr>
          <w:lang w:val="pl-PL"/>
        </w:rPr>
        <w:t xml:space="preserve"> i zostało zakończone postanowieniem Sądu Federalnego w dniu 5 grudnia 1995 r</w:t>
      </w:r>
      <w:r>
        <w:rPr>
          <w:lang w:val="pl-PL"/>
        </w:rPr>
        <w:t>oku</w:t>
      </w:r>
      <w:r w:rsidRPr="006F7CEF">
        <w:rPr>
          <w:lang w:val="pl-PL"/>
        </w:rPr>
        <w:t>., natomiast postępowanie karne zakończono nałożeniem postanowienia karnego w dniu 9 czerwca 1993 r</w:t>
      </w:r>
      <w:r>
        <w:rPr>
          <w:lang w:val="pl-PL"/>
        </w:rPr>
        <w:t>oku</w:t>
      </w:r>
      <w:r w:rsidRPr="006F7CEF">
        <w:rPr>
          <w:lang w:val="pl-PL"/>
        </w:rPr>
        <w:t xml:space="preserve">, od którego nie wniesiono odwołania. W </w:t>
      </w:r>
      <w:proofErr w:type="spellStart"/>
      <w:r w:rsidRPr="006F7CEF">
        <w:rPr>
          <w:i/>
          <w:lang w:val="pl-PL"/>
        </w:rPr>
        <w:t>Nilsson</w:t>
      </w:r>
      <w:proofErr w:type="spellEnd"/>
      <w:r w:rsidRPr="006F7CEF">
        <w:rPr>
          <w:lang w:val="pl-PL"/>
        </w:rPr>
        <w:t xml:space="preserve"> postępowanie karne zakończ</w:t>
      </w:r>
      <w:r>
        <w:rPr>
          <w:lang w:val="pl-PL"/>
        </w:rPr>
        <w:t>ono w dniu 24 czerwca 1999 roku, p</w:t>
      </w:r>
      <w:r w:rsidRPr="006F7CEF">
        <w:rPr>
          <w:lang w:val="pl-PL"/>
        </w:rPr>
        <w:t>onieważ wyrok Sądu Okręgowego w Mora nie został zaskarżony, natomiast postępowanie administracyjne rozpoc</w:t>
      </w:r>
      <w:r>
        <w:rPr>
          <w:lang w:val="pl-PL"/>
        </w:rPr>
        <w:t>zęło się w dniu 5 maja 1999 roku i</w:t>
      </w:r>
      <w:r w:rsidRPr="006F7CEF">
        <w:rPr>
          <w:lang w:val="pl-PL"/>
        </w:rPr>
        <w:t xml:space="preserve"> zakończyło 11 listopada 1999 r</w:t>
      </w:r>
      <w:r>
        <w:rPr>
          <w:lang w:val="pl-PL"/>
        </w:rPr>
        <w:t>oku</w:t>
      </w:r>
      <w:r w:rsidRPr="006F7CEF">
        <w:rPr>
          <w:lang w:val="pl-PL"/>
        </w:rPr>
        <w:t xml:space="preserve"> W tym ostatnim przypadku nałożono karę administracyjną po tym, jak </w:t>
      </w:r>
      <w:r>
        <w:rPr>
          <w:lang w:val="pl-PL"/>
        </w:rPr>
        <w:t>sankcja</w:t>
      </w:r>
      <w:r w:rsidRPr="006F7CEF">
        <w:rPr>
          <w:lang w:val="pl-PL"/>
        </w:rPr>
        <w:t xml:space="preserve"> karna stała się ostateczna. W pierwszym przypadku kara administracyjna została nałożona przed nałożeniem sankcji karnej. </w:t>
      </w:r>
      <w:r>
        <w:rPr>
          <w:lang w:val="pl-PL"/>
        </w:rPr>
        <w:t>Te p</w:t>
      </w:r>
      <w:r w:rsidRPr="006F7CEF">
        <w:rPr>
          <w:lang w:val="pl-PL"/>
        </w:rPr>
        <w:t xml:space="preserve">rzypadki nie są podobne. Jednak większość traktuje </w:t>
      </w:r>
      <w:r>
        <w:rPr>
          <w:lang w:val="pl-PL"/>
        </w:rPr>
        <w:t>je tak, jakby były</w:t>
      </w:r>
      <w:r w:rsidRPr="006F7CEF">
        <w:rPr>
          <w:lang w:val="pl-PL"/>
        </w:rPr>
        <w:t>.</w:t>
      </w:r>
      <w:r w:rsidRPr="00D47D22">
        <w:rPr>
          <w:rFonts w:ascii="Times New Roman" w:hAnsi="Times New Roman" w:cs="Times New Roman"/>
          <w:lang w:val="pl-PL"/>
        </w:rPr>
        <w:t xml:space="preserve"> </w:t>
      </w:r>
    </w:p>
  </w:footnote>
  <w:footnote w:id="135">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Lucky</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Dev</w:t>
      </w:r>
      <w:proofErr w:type="spellEnd"/>
      <w:r w:rsidRPr="00D47D22">
        <w:rPr>
          <w:rFonts w:ascii="Times New Roman" w:hAnsi="Times New Roman" w:cs="Times New Roman"/>
          <w:lang w:val="pl-PL"/>
        </w:rPr>
        <w:t xml:space="preserve">, cytowane wyżej, § 54; </w:t>
      </w:r>
      <w:proofErr w:type="spellStart"/>
      <w:r w:rsidRPr="00D47D22">
        <w:rPr>
          <w:rFonts w:ascii="Times New Roman" w:hAnsi="Times New Roman" w:cs="Times New Roman"/>
          <w:i/>
          <w:lang w:val="pl-PL"/>
        </w:rPr>
        <w:t>Nykänen</w:t>
      </w:r>
      <w:proofErr w:type="spellEnd"/>
      <w:r w:rsidRPr="00D47D22">
        <w:rPr>
          <w:rFonts w:ascii="Times New Roman" w:hAnsi="Times New Roman" w:cs="Times New Roman"/>
          <w:lang w:val="pl-PL"/>
        </w:rPr>
        <w:t xml:space="preserve">, cytowane wyżej, § 43; and </w:t>
      </w:r>
      <w:proofErr w:type="spellStart"/>
      <w:r w:rsidRPr="00D47D22">
        <w:rPr>
          <w:rFonts w:ascii="Times New Roman" w:hAnsi="Times New Roman" w:cs="Times New Roman"/>
          <w:i/>
          <w:lang w:val="pl-PL"/>
        </w:rPr>
        <w:t>Häkkä</w:t>
      </w:r>
      <w:proofErr w:type="spellEnd"/>
      <w:r w:rsidRPr="00D47D22">
        <w:rPr>
          <w:rFonts w:ascii="Times New Roman" w:hAnsi="Times New Roman" w:cs="Times New Roman"/>
          <w:lang w:val="pl-PL"/>
        </w:rPr>
        <w:t>, cytowane wyżej, §§ 50-52.</w:t>
      </w:r>
    </w:p>
  </w:footnote>
  <w:footnote w:id="136">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Lucky</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Dev</w:t>
      </w:r>
      <w:proofErr w:type="spellEnd"/>
      <w:r w:rsidRPr="00D47D22">
        <w:rPr>
          <w:rFonts w:ascii="Times New Roman" w:hAnsi="Times New Roman" w:cs="Times New Roman"/>
          <w:lang w:val="pl-PL"/>
        </w:rPr>
        <w:t xml:space="preserve">, cytowane wyżej, § 62; </w:t>
      </w:r>
      <w:proofErr w:type="spellStart"/>
      <w:r w:rsidRPr="00D47D22">
        <w:rPr>
          <w:rFonts w:ascii="Times New Roman" w:hAnsi="Times New Roman" w:cs="Times New Roman"/>
          <w:i/>
          <w:lang w:val="pl-PL"/>
        </w:rPr>
        <w:t>Österlund</w:t>
      </w:r>
      <w:proofErr w:type="spellEnd"/>
      <w:r w:rsidRPr="00D47D22">
        <w:rPr>
          <w:rFonts w:ascii="Times New Roman" w:hAnsi="Times New Roman" w:cs="Times New Roman"/>
          <w:lang w:val="pl-PL"/>
        </w:rPr>
        <w:t xml:space="preserve">, cytowane wyżej, § 50; 51; i </w:t>
      </w:r>
      <w:proofErr w:type="spellStart"/>
      <w:r w:rsidRPr="00D47D22">
        <w:rPr>
          <w:rFonts w:ascii="Times New Roman" w:hAnsi="Times New Roman" w:cs="Times New Roman"/>
          <w:i/>
          <w:lang w:val="pl-PL"/>
        </w:rPr>
        <w:t>Rinas</w:t>
      </w:r>
      <w:proofErr w:type="spellEnd"/>
      <w:r w:rsidRPr="00D47D22">
        <w:rPr>
          <w:rFonts w:ascii="Times New Roman" w:hAnsi="Times New Roman" w:cs="Times New Roman"/>
          <w:lang w:val="pl-PL"/>
        </w:rPr>
        <w:t>, cytowane wyżej, §§ 55 i 56.</w:t>
      </w:r>
    </w:p>
  </w:footnote>
  <w:footnote w:id="137">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r>
        <w:rPr>
          <w:rFonts w:ascii="Times New Roman" w:hAnsi="Times New Roman" w:cs="Times New Roman"/>
          <w:lang w:val="pl-PL"/>
        </w:rPr>
        <w:t>Zob.</w:t>
      </w:r>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Nykänen</w:t>
      </w:r>
      <w:proofErr w:type="spellEnd"/>
      <w:r w:rsidRPr="00D47D22">
        <w:rPr>
          <w:rFonts w:ascii="Times New Roman" w:hAnsi="Times New Roman" w:cs="Times New Roman"/>
          <w:lang w:val="pl-PL"/>
        </w:rPr>
        <w:t xml:space="preserve">, cytowane wyżej, §§ 51 </w:t>
      </w:r>
      <w:r>
        <w:rPr>
          <w:rFonts w:ascii="Times New Roman" w:hAnsi="Times New Roman" w:cs="Times New Roman"/>
          <w:lang w:val="pl-PL"/>
        </w:rPr>
        <w:t>oraz</w:t>
      </w:r>
      <w:r w:rsidRPr="00D47D22">
        <w:rPr>
          <w:rFonts w:ascii="Times New Roman" w:hAnsi="Times New Roman" w:cs="Times New Roman"/>
          <w:lang w:val="pl-PL"/>
        </w:rPr>
        <w:t xml:space="preserve"> 52, and </w:t>
      </w:r>
      <w:proofErr w:type="spellStart"/>
      <w:r w:rsidRPr="00D47D22">
        <w:rPr>
          <w:rFonts w:ascii="Times New Roman" w:hAnsi="Times New Roman" w:cs="Times New Roman"/>
          <w:i/>
          <w:lang w:val="pl-PL"/>
        </w:rPr>
        <w:t>Häkkä</w:t>
      </w:r>
      <w:proofErr w:type="spellEnd"/>
      <w:r w:rsidRPr="00D47D22">
        <w:rPr>
          <w:rFonts w:ascii="Times New Roman" w:hAnsi="Times New Roman" w:cs="Times New Roman"/>
          <w:lang w:val="pl-PL"/>
        </w:rPr>
        <w:t xml:space="preserve">, cytowane wyżej, §§ 50 </w:t>
      </w:r>
      <w:r>
        <w:rPr>
          <w:rFonts w:ascii="Times New Roman" w:hAnsi="Times New Roman" w:cs="Times New Roman"/>
          <w:lang w:val="pl-PL"/>
        </w:rPr>
        <w:t>i</w:t>
      </w:r>
      <w:r w:rsidRPr="00D47D22">
        <w:rPr>
          <w:rFonts w:ascii="Times New Roman" w:hAnsi="Times New Roman" w:cs="Times New Roman"/>
          <w:lang w:val="pl-PL"/>
        </w:rPr>
        <w:t xml:space="preserve"> 52.</w:t>
      </w:r>
    </w:p>
  </w:footnote>
  <w:footnote w:id="138">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argument Rządu w par. 84 wyroku. </w:t>
      </w:r>
    </w:p>
  </w:footnote>
  <w:footnote w:id="139">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Zob. ten argument w par. 119 wyroku.</w:t>
      </w:r>
    </w:p>
  </w:footnote>
  <w:footnote w:id="140">
    <w:p w:rsidR="00AC3310" w:rsidRPr="00D47D22" w:rsidRDefault="00AC3310" w:rsidP="00C42987">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 podobnym duchu uzasadnienie opinii Zgromadzenia Parlamentarnego Rady Europy w sprawie projektu </w:t>
      </w:r>
      <w:r>
        <w:rPr>
          <w:rFonts w:ascii="Times New Roman" w:hAnsi="Times New Roman" w:cs="Times New Roman"/>
          <w:lang w:val="pl-PL"/>
        </w:rPr>
        <w:t>P</w:t>
      </w:r>
      <w:r w:rsidRPr="00D47D22">
        <w:rPr>
          <w:rFonts w:ascii="Times New Roman" w:hAnsi="Times New Roman" w:cs="Times New Roman"/>
          <w:lang w:val="pl-PL"/>
        </w:rPr>
        <w:t>rotokołu nr 15 zmieniającego Konwencję o ochronie praw człowieka i podstawowych wolności, dokument. 13154,28 marca 2013 r</w:t>
      </w:r>
      <w:r>
        <w:rPr>
          <w:rFonts w:ascii="Times New Roman" w:hAnsi="Times New Roman" w:cs="Times New Roman"/>
          <w:lang w:val="pl-PL"/>
        </w:rPr>
        <w:t>oku</w:t>
      </w:r>
      <w:r w:rsidRPr="00D47D22">
        <w:rPr>
          <w:rFonts w:ascii="Times New Roman" w:hAnsi="Times New Roman" w:cs="Times New Roman"/>
          <w:lang w:val="pl-PL"/>
        </w:rPr>
        <w:t xml:space="preserve"> § 8. </w:t>
      </w:r>
    </w:p>
  </w:footnote>
  <w:footnote w:id="141">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Zob. par. 127 wyroku.</w:t>
      </w:r>
    </w:p>
  </w:footnote>
  <w:footnote w:id="142">
    <w:p w:rsidR="00AC3310" w:rsidRPr="00D47D22" w:rsidRDefault="00AC3310" w:rsidP="00C42987">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Dobry przykład nierównowagi uprawnień między organami administracyjnymi a pozwanym w postępowaniu administracyjnym można znaleźć w mojej opinii dołączonej do przytoczonego powyżej </w:t>
      </w:r>
      <w:r w:rsidRPr="00D47D22">
        <w:rPr>
          <w:rFonts w:ascii="Times New Roman" w:hAnsi="Times New Roman" w:cs="Times New Roman"/>
          <w:i/>
          <w:lang w:val="pl-PL"/>
        </w:rPr>
        <w:t>Grande Stevens i in.</w:t>
      </w:r>
      <w:r w:rsidRPr="00D47D22">
        <w:rPr>
          <w:rFonts w:ascii="Times New Roman" w:hAnsi="Times New Roman" w:cs="Times New Roman"/>
          <w:lang w:val="pl-PL"/>
        </w:rPr>
        <w:t xml:space="preserve"> </w:t>
      </w:r>
    </w:p>
    <w:p w:rsidR="00AC3310" w:rsidRPr="00D47D22" w:rsidRDefault="00AC3310" w:rsidP="00C42987">
      <w:pPr>
        <w:pStyle w:val="Tekstprzypisudolnego"/>
        <w:rPr>
          <w:rFonts w:ascii="Times New Roman" w:hAnsi="Times New Roman" w:cs="Times New Roman"/>
          <w:lang w:val="pl-PL"/>
        </w:rPr>
      </w:pPr>
    </w:p>
  </w:footnote>
  <w:footnote w:id="143">
    <w:p w:rsidR="00D80D99" w:rsidRPr="00486852" w:rsidRDefault="00D80D99">
      <w:pPr>
        <w:pStyle w:val="Tekstprzypisudolnego"/>
        <w:rPr>
          <w:lang w:val="pl-PL"/>
        </w:rPr>
      </w:pPr>
      <w:r>
        <w:rPr>
          <w:rStyle w:val="Odwoanieprzypisudolnego"/>
        </w:rPr>
        <w:footnoteRef/>
      </w:r>
      <w:r>
        <w:t xml:space="preserve"> </w:t>
      </w:r>
      <w:proofErr w:type="spellStart"/>
      <w:r>
        <w:t>Zobacz</w:t>
      </w:r>
      <w:proofErr w:type="spellEnd"/>
      <w:r>
        <w:t xml:space="preserve"> </w:t>
      </w:r>
      <w:proofErr w:type="spellStart"/>
      <w:r>
        <w:t>uwagi</w:t>
      </w:r>
      <w:proofErr w:type="spellEnd"/>
      <w:r>
        <w:t xml:space="preserve"> </w:t>
      </w:r>
      <w:proofErr w:type="spellStart"/>
      <w:r>
        <w:t>R</w:t>
      </w:r>
      <w:r w:rsidRPr="00D80D99">
        <w:t>ządu</w:t>
      </w:r>
      <w:proofErr w:type="spellEnd"/>
      <w:r w:rsidRPr="00D80D99">
        <w:t xml:space="preserve"> z </w:t>
      </w:r>
      <w:proofErr w:type="spellStart"/>
      <w:r w:rsidRPr="00D80D99">
        <w:t>dnia</w:t>
      </w:r>
      <w:proofErr w:type="spellEnd"/>
      <w:r w:rsidRPr="00D80D99">
        <w:t xml:space="preserve"> 11 </w:t>
      </w:r>
      <w:proofErr w:type="spellStart"/>
      <w:r w:rsidRPr="00D80D99">
        <w:t>listopada</w:t>
      </w:r>
      <w:proofErr w:type="spellEnd"/>
      <w:r w:rsidRPr="00D80D99">
        <w:t xml:space="preserve"> 2015 </w:t>
      </w:r>
      <w:proofErr w:type="spellStart"/>
      <w:r w:rsidRPr="00D80D99">
        <w:t>roku</w:t>
      </w:r>
      <w:proofErr w:type="spellEnd"/>
      <w:r w:rsidRPr="00D80D99">
        <w:t xml:space="preserve">, </w:t>
      </w:r>
      <w:proofErr w:type="spellStart"/>
      <w:r w:rsidRPr="00D80D99">
        <w:t>na</w:t>
      </w:r>
      <w:proofErr w:type="spellEnd"/>
      <w:r w:rsidRPr="00D80D99">
        <w:t xml:space="preserve"> </w:t>
      </w:r>
      <w:proofErr w:type="spellStart"/>
      <w:r w:rsidRPr="00D80D99">
        <w:t>stronie</w:t>
      </w:r>
      <w:proofErr w:type="spellEnd"/>
      <w:r w:rsidRPr="00D80D99">
        <w:t xml:space="preserve"> 29.</w:t>
      </w:r>
    </w:p>
  </w:footnote>
  <w:footnote w:id="144">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Janosevic</w:t>
      </w:r>
      <w:proofErr w:type="spellEnd"/>
      <w:r w:rsidRPr="00D47D22">
        <w:rPr>
          <w:rFonts w:ascii="Times New Roman" w:hAnsi="Times New Roman" w:cs="Times New Roman"/>
          <w:lang w:val="pl-PL"/>
        </w:rPr>
        <w:t>, cytowany powyżej, § 69.</w:t>
      </w:r>
    </w:p>
  </w:footnote>
  <w:footnote w:id="145">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Jussila</w:t>
      </w:r>
      <w:proofErr w:type="spellEnd"/>
      <w:r w:rsidRPr="00D47D22">
        <w:rPr>
          <w:rFonts w:ascii="Times New Roman" w:hAnsi="Times New Roman" w:cs="Times New Roman"/>
          <w:lang w:val="pl-PL"/>
        </w:rPr>
        <w:t>, cytowany powyżej, § 38.</w:t>
      </w:r>
    </w:p>
  </w:footnote>
  <w:footnote w:id="146">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Zob. paragraf 47 wyroku.</w:t>
      </w:r>
    </w:p>
  </w:footnote>
  <w:footnote w:id="147">
    <w:p w:rsidR="00AC3310" w:rsidRPr="00D47D22" w:rsidRDefault="00AC3310" w:rsidP="0076133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Jak Trybunał sam wyraźnie przyznał w </w:t>
      </w:r>
      <w:proofErr w:type="spellStart"/>
      <w:r w:rsidRPr="00D47D22">
        <w:rPr>
          <w:rFonts w:ascii="Times New Roman" w:hAnsi="Times New Roman" w:cs="Times New Roman"/>
          <w:i/>
          <w:lang w:val="pl-PL"/>
        </w:rPr>
        <w:t>Kurdov</w:t>
      </w:r>
      <w:proofErr w:type="spellEnd"/>
      <w:r w:rsidRPr="00D47D22">
        <w:rPr>
          <w:rFonts w:ascii="Times New Roman" w:hAnsi="Times New Roman" w:cs="Times New Roman"/>
          <w:i/>
          <w:lang w:val="pl-PL"/>
        </w:rPr>
        <w:t xml:space="preserve"> i </w:t>
      </w:r>
      <w:proofErr w:type="spellStart"/>
      <w:r w:rsidRPr="00D47D22">
        <w:rPr>
          <w:rFonts w:ascii="Times New Roman" w:hAnsi="Times New Roman" w:cs="Times New Roman"/>
          <w:i/>
          <w:lang w:val="pl-PL"/>
        </w:rPr>
        <w:t>Ivanov</w:t>
      </w:r>
      <w:proofErr w:type="spellEnd"/>
      <w:r w:rsidRPr="00D47D22">
        <w:rPr>
          <w:rFonts w:ascii="Times New Roman" w:hAnsi="Times New Roman" w:cs="Times New Roman"/>
          <w:lang w:val="pl-PL"/>
        </w:rPr>
        <w:t xml:space="preserve"> (cytowany powyżej § 40), powołując się na konieczn</w:t>
      </w:r>
      <w:r>
        <w:rPr>
          <w:rFonts w:ascii="Times New Roman" w:hAnsi="Times New Roman" w:cs="Times New Roman"/>
          <w:lang w:val="pl-PL"/>
        </w:rPr>
        <w:t>y</w:t>
      </w:r>
      <w:r w:rsidRPr="00D47D22">
        <w:rPr>
          <w:rFonts w:ascii="Times New Roman" w:hAnsi="Times New Roman" w:cs="Times New Roman"/>
          <w:lang w:val="pl-PL"/>
        </w:rPr>
        <w:t xml:space="preserve"> karny cel kar administracyjnych o charakterze pieniężnym. </w:t>
      </w:r>
    </w:p>
  </w:footnote>
  <w:footnote w:id="148">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Zob. par</w:t>
      </w:r>
      <w:r>
        <w:rPr>
          <w:rFonts w:ascii="Times New Roman" w:hAnsi="Times New Roman" w:cs="Times New Roman"/>
          <w:lang w:val="pl-PL"/>
        </w:rPr>
        <w:t>agraf</w:t>
      </w:r>
      <w:r w:rsidRPr="00D47D22">
        <w:rPr>
          <w:rFonts w:ascii="Times New Roman" w:hAnsi="Times New Roman" w:cs="Times New Roman"/>
          <w:lang w:val="pl-PL"/>
        </w:rPr>
        <w:t>50 wyroku.</w:t>
      </w:r>
    </w:p>
  </w:footnote>
  <w:footnote w:id="149">
    <w:p w:rsidR="00AC3310" w:rsidRPr="00D47D22" w:rsidRDefault="00AC3310" w:rsidP="0076133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W granicach niniejszej opinii nie jest możliwe wejście w bezkompromisową dyskusję naukową na temat celów wykroczeń administracyjnych, a w szczególności ich </w:t>
      </w:r>
      <w:r>
        <w:rPr>
          <w:rFonts w:ascii="Times New Roman" w:hAnsi="Times New Roman" w:cs="Times New Roman"/>
          <w:lang w:val="pl-PL"/>
        </w:rPr>
        <w:t>,,</w:t>
      </w:r>
      <w:r w:rsidRPr="00D47D22">
        <w:rPr>
          <w:rFonts w:ascii="Times New Roman" w:hAnsi="Times New Roman" w:cs="Times New Roman"/>
          <w:lang w:val="pl-PL"/>
        </w:rPr>
        <w:t xml:space="preserve">ukrytych" celów. Jako wstęp do tej </w:t>
      </w:r>
      <w:r>
        <w:rPr>
          <w:rFonts w:ascii="Times New Roman" w:hAnsi="Times New Roman" w:cs="Times New Roman"/>
          <w:lang w:val="pl-PL"/>
        </w:rPr>
        <w:t>dyskusji</w:t>
      </w:r>
      <w:r w:rsidRPr="00D47D22">
        <w:rPr>
          <w:rFonts w:ascii="Times New Roman" w:hAnsi="Times New Roman" w:cs="Times New Roman"/>
          <w:lang w:val="pl-PL"/>
        </w:rPr>
        <w:t xml:space="preserve"> zob. James Goldschmidt, </w:t>
      </w:r>
      <w:r w:rsidRPr="00D47D22">
        <w:rPr>
          <w:rFonts w:ascii="Times New Roman" w:hAnsi="Times New Roman" w:cs="Times New Roman"/>
          <w:i/>
          <w:lang w:val="pl-PL"/>
        </w:rPr>
        <w:t xml:space="preserve">Das </w:t>
      </w:r>
      <w:proofErr w:type="spellStart"/>
      <w:r w:rsidRPr="00D47D22">
        <w:rPr>
          <w:rFonts w:ascii="Times New Roman" w:hAnsi="Times New Roman" w:cs="Times New Roman"/>
          <w:i/>
          <w:lang w:val="pl-PL"/>
        </w:rPr>
        <w:t>Verwaltungsstrafrecht</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Eine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Untersuchung</w:t>
      </w:r>
      <w:proofErr w:type="spellEnd"/>
      <w:r w:rsidRPr="00D47D22">
        <w:rPr>
          <w:rFonts w:ascii="Times New Roman" w:hAnsi="Times New Roman" w:cs="Times New Roman"/>
          <w:i/>
          <w:lang w:val="pl-PL"/>
        </w:rPr>
        <w:t xml:space="preserve"> der </w:t>
      </w:r>
      <w:proofErr w:type="spellStart"/>
      <w:r w:rsidRPr="00D47D22">
        <w:rPr>
          <w:rFonts w:ascii="Times New Roman" w:hAnsi="Times New Roman" w:cs="Times New Roman"/>
          <w:i/>
          <w:lang w:val="pl-PL"/>
        </w:rPr>
        <w:t>Grenzgebiete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zwischen</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Strafrecht</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und</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Verwaltungsrecht</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auf</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rechtsgeschichtlicher</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und</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rechtsvergleichender</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Grundlage</w:t>
      </w:r>
      <w:proofErr w:type="spellEnd"/>
      <w:r w:rsidRPr="00D47D22">
        <w:rPr>
          <w:rFonts w:ascii="Times New Roman" w:hAnsi="Times New Roman" w:cs="Times New Roman"/>
          <w:lang w:val="pl-PL"/>
        </w:rPr>
        <w:t>, Berlin, 1902; Erik Wolf, “</w:t>
      </w:r>
      <w:proofErr w:type="spellStart"/>
      <w:r w:rsidRPr="00D47D22">
        <w:rPr>
          <w:rFonts w:ascii="Times New Roman" w:hAnsi="Times New Roman" w:cs="Times New Roman"/>
          <w:lang w:val="pl-PL"/>
        </w:rPr>
        <w:t>Die</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Stellung</w:t>
      </w:r>
      <w:proofErr w:type="spellEnd"/>
      <w:r w:rsidRPr="00D47D22">
        <w:rPr>
          <w:rFonts w:ascii="Times New Roman" w:hAnsi="Times New Roman" w:cs="Times New Roman"/>
          <w:lang w:val="pl-PL"/>
        </w:rPr>
        <w:t xml:space="preserve"> der </w:t>
      </w:r>
      <w:proofErr w:type="spellStart"/>
      <w:r w:rsidRPr="00D47D22">
        <w:rPr>
          <w:rFonts w:ascii="Times New Roman" w:hAnsi="Times New Roman" w:cs="Times New Roman"/>
          <w:lang w:val="pl-PL"/>
        </w:rPr>
        <w:t>Verwaktungsdelikte</w:t>
      </w:r>
      <w:proofErr w:type="spellEnd"/>
      <w:r w:rsidRPr="00D47D22">
        <w:rPr>
          <w:rFonts w:ascii="Times New Roman" w:hAnsi="Times New Roman" w:cs="Times New Roman"/>
          <w:lang w:val="pl-PL"/>
        </w:rPr>
        <w:t xml:space="preserve"> im </w:t>
      </w:r>
      <w:proofErr w:type="spellStart"/>
      <w:r w:rsidRPr="00D47D22">
        <w:rPr>
          <w:rFonts w:ascii="Times New Roman" w:hAnsi="Times New Roman" w:cs="Times New Roman"/>
          <w:lang w:val="pl-PL"/>
        </w:rPr>
        <w:t>Strafrechtssystem</w:t>
      </w:r>
      <w:proofErr w:type="spellEnd"/>
      <w:r w:rsidRPr="00D47D22">
        <w:rPr>
          <w:rFonts w:ascii="Times New Roman" w:hAnsi="Times New Roman" w:cs="Times New Roman"/>
          <w:lang w:val="pl-PL"/>
        </w:rPr>
        <w:t>”, in</w:t>
      </w:r>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Beiträge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zur</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Strafrechtswissenschaft</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Festgabe</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für</w:t>
      </w:r>
      <w:proofErr w:type="spellEnd"/>
      <w:r w:rsidRPr="00D47D22">
        <w:rPr>
          <w:rFonts w:ascii="Times New Roman" w:hAnsi="Times New Roman" w:cs="Times New Roman"/>
          <w:i/>
          <w:lang w:val="pl-PL"/>
        </w:rPr>
        <w:t xml:space="preserve"> Reinhard von Frank</w:t>
      </w:r>
      <w:r w:rsidRPr="00D47D22">
        <w:rPr>
          <w:rFonts w:ascii="Times New Roman" w:hAnsi="Times New Roman" w:cs="Times New Roman"/>
          <w:lang w:val="pl-PL"/>
        </w:rPr>
        <w:t xml:space="preserve">, II, </w:t>
      </w:r>
      <w:proofErr w:type="spellStart"/>
      <w:r w:rsidRPr="00D47D22">
        <w:rPr>
          <w:rFonts w:ascii="Times New Roman" w:hAnsi="Times New Roman" w:cs="Times New Roman"/>
          <w:lang w:val="pl-PL"/>
        </w:rPr>
        <w:t>Tübingen</w:t>
      </w:r>
      <w:proofErr w:type="spellEnd"/>
      <w:r w:rsidRPr="00D47D22">
        <w:rPr>
          <w:rFonts w:ascii="Times New Roman" w:hAnsi="Times New Roman" w:cs="Times New Roman"/>
          <w:lang w:val="pl-PL"/>
        </w:rPr>
        <w:t>, 1930; Schmidt, “</w:t>
      </w:r>
      <w:proofErr w:type="spellStart"/>
      <w:r w:rsidRPr="00D47D22">
        <w:rPr>
          <w:rFonts w:ascii="Times New Roman" w:hAnsi="Times New Roman" w:cs="Times New Roman"/>
          <w:lang w:val="pl-PL"/>
        </w:rPr>
        <w:t>Straftaten</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und</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lang w:val="pl-PL"/>
        </w:rPr>
        <w:t>Ordnungswidrigkeiten</w:t>
      </w:r>
      <w:proofErr w:type="spellEnd"/>
      <w:r w:rsidRPr="00D47D22">
        <w:rPr>
          <w:rFonts w:ascii="Times New Roman" w:hAnsi="Times New Roman" w:cs="Times New Roman"/>
          <w:lang w:val="pl-PL"/>
        </w:rPr>
        <w:t xml:space="preserve">”, in </w:t>
      </w:r>
      <w:proofErr w:type="spellStart"/>
      <w:r w:rsidRPr="00D47D22">
        <w:rPr>
          <w:rFonts w:ascii="Times New Roman" w:hAnsi="Times New Roman" w:cs="Times New Roman"/>
          <w:i/>
          <w:lang w:val="pl-PL"/>
        </w:rPr>
        <w:t>Juristen</w:t>
      </w:r>
      <w:proofErr w:type="spellEnd"/>
      <w:r w:rsidRPr="00D47D22">
        <w:rPr>
          <w:rFonts w:ascii="Times New Roman" w:hAnsi="Times New Roman" w:cs="Times New Roman"/>
          <w:i/>
          <w:lang w:val="pl-PL"/>
        </w:rPr>
        <w:t xml:space="preserve"> Zeitung</w:t>
      </w:r>
      <w:r w:rsidRPr="00D47D22">
        <w:rPr>
          <w:rFonts w:ascii="Times New Roman" w:hAnsi="Times New Roman" w:cs="Times New Roman"/>
          <w:lang w:val="pl-PL"/>
        </w:rPr>
        <w:t xml:space="preserve">, 1951; </w:t>
      </w:r>
      <w:proofErr w:type="spellStart"/>
      <w:r w:rsidRPr="00D47D22">
        <w:rPr>
          <w:rFonts w:ascii="Times New Roman" w:hAnsi="Times New Roman" w:cs="Times New Roman"/>
          <w:lang w:val="pl-PL"/>
        </w:rPr>
        <w:t>Mattes</w:t>
      </w:r>
      <w:proofErr w:type="spellEnd"/>
      <w:r w:rsidRPr="00D47D22">
        <w:rPr>
          <w:rFonts w:ascii="Times New Roman" w:hAnsi="Times New Roman" w:cs="Times New Roman"/>
          <w:lang w:val="pl-PL"/>
        </w:rPr>
        <w:t xml:space="preserve">, </w:t>
      </w:r>
      <w:proofErr w:type="spellStart"/>
      <w:r w:rsidRPr="00D47D22">
        <w:rPr>
          <w:rFonts w:ascii="Times New Roman" w:hAnsi="Times New Roman" w:cs="Times New Roman"/>
          <w:i/>
          <w:lang w:val="pl-PL"/>
        </w:rPr>
        <w:t>Untersuchungen</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zur</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Lehre</w:t>
      </w:r>
      <w:proofErr w:type="spellEnd"/>
      <w:r w:rsidRPr="00D47D22">
        <w:rPr>
          <w:rFonts w:ascii="Times New Roman" w:hAnsi="Times New Roman" w:cs="Times New Roman"/>
          <w:i/>
          <w:lang w:val="pl-PL"/>
        </w:rPr>
        <w:t xml:space="preserve"> von der </w:t>
      </w:r>
      <w:proofErr w:type="spellStart"/>
      <w:r w:rsidRPr="00D47D22">
        <w:rPr>
          <w:rFonts w:ascii="Times New Roman" w:hAnsi="Times New Roman" w:cs="Times New Roman"/>
          <w:i/>
          <w:lang w:val="pl-PL"/>
        </w:rPr>
        <w:t>Ordnungswidrigkeiten</w:t>
      </w:r>
      <w:proofErr w:type="spellEnd"/>
      <w:r w:rsidRPr="00D47D22">
        <w:rPr>
          <w:rFonts w:ascii="Times New Roman" w:hAnsi="Times New Roman" w:cs="Times New Roman"/>
          <w:lang w:val="pl-PL"/>
        </w:rPr>
        <w:t xml:space="preserve">, Berlin, 1972; </w:t>
      </w:r>
      <w:proofErr w:type="spellStart"/>
      <w:r w:rsidRPr="00D47D22">
        <w:rPr>
          <w:rFonts w:ascii="Times New Roman" w:hAnsi="Times New Roman" w:cs="Times New Roman"/>
          <w:lang w:val="pl-PL"/>
        </w:rPr>
        <w:t>Paliero</w:t>
      </w:r>
      <w:proofErr w:type="spellEnd"/>
      <w:r w:rsidRPr="00D47D22">
        <w:rPr>
          <w:rFonts w:ascii="Times New Roman" w:hAnsi="Times New Roman" w:cs="Times New Roman"/>
          <w:lang w:val="pl-PL"/>
        </w:rPr>
        <w:t xml:space="preserve">, </w:t>
      </w:r>
      <w:r w:rsidRPr="00D47D22">
        <w:rPr>
          <w:rFonts w:ascii="Times New Roman" w:hAnsi="Times New Roman" w:cs="Times New Roman"/>
          <w:i/>
          <w:lang w:val="pl-PL"/>
        </w:rPr>
        <w:t xml:space="preserve">Minima non </w:t>
      </w:r>
      <w:proofErr w:type="spellStart"/>
      <w:r w:rsidRPr="00D47D22">
        <w:rPr>
          <w:rFonts w:ascii="Times New Roman" w:hAnsi="Times New Roman" w:cs="Times New Roman"/>
          <w:i/>
          <w:lang w:val="pl-PL"/>
        </w:rPr>
        <w:t>curat</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praetor</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Ipertrofia</w:t>
      </w:r>
      <w:proofErr w:type="spellEnd"/>
      <w:r w:rsidRPr="00D47D22">
        <w:rPr>
          <w:rFonts w:ascii="Times New Roman" w:hAnsi="Times New Roman" w:cs="Times New Roman"/>
          <w:i/>
          <w:lang w:val="pl-PL"/>
        </w:rPr>
        <w:t xml:space="preserve"> del </w:t>
      </w:r>
      <w:proofErr w:type="spellStart"/>
      <w:r w:rsidRPr="00D47D22">
        <w:rPr>
          <w:rFonts w:ascii="Times New Roman" w:hAnsi="Times New Roman" w:cs="Times New Roman"/>
          <w:i/>
          <w:lang w:val="pl-PL"/>
        </w:rPr>
        <w:t>diritto</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penale</w:t>
      </w:r>
      <w:proofErr w:type="spellEnd"/>
      <w:r w:rsidRPr="00D47D22">
        <w:rPr>
          <w:rFonts w:ascii="Times New Roman" w:hAnsi="Times New Roman" w:cs="Times New Roman"/>
          <w:i/>
          <w:lang w:val="pl-PL"/>
        </w:rPr>
        <w:t xml:space="preserve"> e </w:t>
      </w:r>
      <w:proofErr w:type="spellStart"/>
      <w:r w:rsidRPr="00D47D22">
        <w:rPr>
          <w:rFonts w:ascii="Times New Roman" w:hAnsi="Times New Roman" w:cs="Times New Roman"/>
          <w:i/>
          <w:lang w:val="pl-PL"/>
        </w:rPr>
        <w:t>decriminalizzazione</w:t>
      </w:r>
      <w:proofErr w:type="spellEnd"/>
      <w:r w:rsidRPr="00D47D22">
        <w:rPr>
          <w:rFonts w:ascii="Times New Roman" w:hAnsi="Times New Roman" w:cs="Times New Roman"/>
          <w:i/>
          <w:lang w:val="pl-PL"/>
        </w:rPr>
        <w:t xml:space="preserve"> dei </w:t>
      </w:r>
      <w:proofErr w:type="spellStart"/>
      <w:r w:rsidRPr="00D47D22">
        <w:rPr>
          <w:rFonts w:ascii="Times New Roman" w:hAnsi="Times New Roman" w:cs="Times New Roman"/>
          <w:i/>
          <w:lang w:val="pl-PL"/>
        </w:rPr>
        <w:t>reatti</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bagatellari</w:t>
      </w:r>
      <w:proofErr w:type="spellEnd"/>
      <w:r w:rsidRPr="00D47D22">
        <w:rPr>
          <w:rFonts w:ascii="Times New Roman" w:hAnsi="Times New Roman" w:cs="Times New Roman"/>
          <w:lang w:val="pl-PL"/>
        </w:rPr>
        <w:t xml:space="preserve">, Padwa, 1985; and </w:t>
      </w:r>
      <w:proofErr w:type="spellStart"/>
      <w:r w:rsidRPr="00D47D22">
        <w:rPr>
          <w:rFonts w:ascii="Times New Roman" w:hAnsi="Times New Roman" w:cs="Times New Roman"/>
          <w:lang w:val="pl-PL"/>
        </w:rPr>
        <w:t>Delmas</w:t>
      </w:r>
      <w:proofErr w:type="spellEnd"/>
      <w:r w:rsidRPr="00D47D22">
        <w:rPr>
          <w:rFonts w:ascii="Times New Roman" w:hAnsi="Times New Roman" w:cs="Times New Roman"/>
          <w:lang w:val="pl-PL"/>
        </w:rPr>
        <w:t xml:space="preserve">-Marty et al., </w:t>
      </w:r>
      <w:proofErr w:type="spellStart"/>
      <w:r w:rsidRPr="00D47D22">
        <w:rPr>
          <w:rFonts w:ascii="Times New Roman" w:hAnsi="Times New Roman" w:cs="Times New Roman"/>
          <w:i/>
          <w:lang w:val="pl-PL"/>
        </w:rPr>
        <w:t>Punir</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sans</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juger</w:t>
      </w:r>
      <w:proofErr w:type="spellEnd"/>
      <w:r w:rsidRPr="00D47D22">
        <w:rPr>
          <w:rFonts w:ascii="Times New Roman" w:hAnsi="Times New Roman" w:cs="Times New Roman"/>
          <w:i/>
          <w:lang w:val="pl-PL"/>
        </w:rPr>
        <w:t xml:space="preserve">? De la </w:t>
      </w:r>
      <w:proofErr w:type="spellStart"/>
      <w:r w:rsidRPr="00D47D22">
        <w:rPr>
          <w:rFonts w:ascii="Times New Roman" w:hAnsi="Times New Roman" w:cs="Times New Roman"/>
          <w:i/>
          <w:lang w:val="pl-PL"/>
        </w:rPr>
        <w:t>répression</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administrative</w:t>
      </w:r>
      <w:proofErr w:type="spellEnd"/>
      <w:r w:rsidRPr="00D47D22">
        <w:rPr>
          <w:rFonts w:ascii="Times New Roman" w:hAnsi="Times New Roman" w:cs="Times New Roman"/>
          <w:i/>
          <w:lang w:val="pl-PL"/>
        </w:rPr>
        <w:t xml:space="preserve"> au </w:t>
      </w:r>
      <w:proofErr w:type="spellStart"/>
      <w:r w:rsidRPr="00D47D22">
        <w:rPr>
          <w:rFonts w:ascii="Times New Roman" w:hAnsi="Times New Roman" w:cs="Times New Roman"/>
          <w:i/>
          <w:lang w:val="pl-PL"/>
        </w:rPr>
        <w:t>droit</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administratif</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pénal</w:t>
      </w:r>
      <w:proofErr w:type="spellEnd"/>
      <w:r w:rsidRPr="00D47D22">
        <w:rPr>
          <w:rFonts w:ascii="Times New Roman" w:hAnsi="Times New Roman" w:cs="Times New Roman"/>
          <w:lang w:val="pl-PL"/>
        </w:rPr>
        <w:t>, Paryż, 1992.</w:t>
      </w:r>
    </w:p>
  </w:footnote>
  <w:footnote w:id="150">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Ruotsalainen</w:t>
      </w:r>
      <w:proofErr w:type="spellEnd"/>
      <w:r w:rsidRPr="00D47D22">
        <w:rPr>
          <w:rFonts w:ascii="Times New Roman" w:hAnsi="Times New Roman" w:cs="Times New Roman"/>
          <w:lang w:val="pl-PL"/>
        </w:rPr>
        <w:t>, cytowany powyżej, § 56.</w:t>
      </w:r>
    </w:p>
  </w:footnote>
  <w:footnote w:id="151">
    <w:p w:rsidR="00AC3310" w:rsidRPr="00D47D22" w:rsidRDefault="00AC3310" w:rsidP="00761338">
      <w:pPr>
        <w:ind w:right="57"/>
        <w:rPr>
          <w:rFonts w:ascii="Times New Roman" w:hAnsi="Times New Roman" w:cs="Times New Roman"/>
          <w:sz w:val="20"/>
          <w:szCs w:val="20"/>
          <w:lang w:val="pl-PL"/>
        </w:rPr>
      </w:pPr>
      <w:r w:rsidRPr="00D47D22">
        <w:rPr>
          <w:rStyle w:val="Odwoanieprzypisudolnego"/>
          <w:rFonts w:ascii="Times New Roman" w:hAnsi="Times New Roman" w:cs="Times New Roman"/>
          <w:sz w:val="20"/>
          <w:szCs w:val="20"/>
          <w:vertAlign w:val="baseline"/>
          <w:lang w:val="pl-PL"/>
        </w:rPr>
        <w:footnoteRef/>
      </w:r>
      <w:r w:rsidRPr="00D47D22">
        <w:rPr>
          <w:rFonts w:ascii="Times New Roman" w:hAnsi="Times New Roman" w:cs="Times New Roman"/>
          <w:sz w:val="20"/>
          <w:szCs w:val="20"/>
          <w:lang w:val="pl-PL"/>
        </w:rPr>
        <w:t>.</w:t>
      </w:r>
      <w:r>
        <w:rPr>
          <w:rFonts w:ascii="Times New Roman" w:hAnsi="Times New Roman" w:cs="Times New Roman"/>
          <w:sz w:val="20"/>
          <w:szCs w:val="20"/>
          <w:lang w:val="pl-PL"/>
        </w:rPr>
        <w:t xml:space="preserve"> </w:t>
      </w:r>
      <w:r w:rsidRPr="00D47D22">
        <w:rPr>
          <w:rFonts w:ascii="Times New Roman" w:hAnsi="Times New Roman" w:cs="Times New Roman"/>
          <w:sz w:val="20"/>
          <w:szCs w:val="20"/>
          <w:lang w:val="pl-PL"/>
        </w:rPr>
        <w:t xml:space="preserve"> Zob. jako wstęp do tej kwestii prawnej, adnotacje do ustępów 10 i 11 w </w:t>
      </w:r>
      <w:proofErr w:type="spellStart"/>
      <w:r w:rsidRPr="00D47D22">
        <w:rPr>
          <w:rFonts w:ascii="Times New Roman" w:hAnsi="Times New Roman" w:cs="Times New Roman"/>
          <w:i/>
          <w:sz w:val="20"/>
          <w:szCs w:val="20"/>
          <w:lang w:val="pl-PL"/>
        </w:rPr>
        <w:t>Rebman</w:t>
      </w:r>
      <w:proofErr w:type="spellEnd"/>
      <w:r w:rsidRPr="00D47D22">
        <w:rPr>
          <w:rFonts w:ascii="Times New Roman" w:hAnsi="Times New Roman" w:cs="Times New Roman"/>
          <w:sz w:val="20"/>
          <w:szCs w:val="20"/>
          <w:lang w:val="pl-PL"/>
        </w:rPr>
        <w:t xml:space="preserve"> et al., Ustawa o przestępstwach administracyjnych, Komentarz, wydanie trzecie, Stuttgart, 2016 i komentarz z </w:t>
      </w:r>
      <w:proofErr w:type="spellStart"/>
      <w:r w:rsidRPr="00D47D22">
        <w:rPr>
          <w:rFonts w:ascii="Times New Roman" w:hAnsi="Times New Roman" w:cs="Times New Roman"/>
          <w:sz w:val="20"/>
          <w:szCs w:val="20"/>
          <w:lang w:val="pl-PL"/>
        </w:rPr>
        <w:t>Karlsruher</w:t>
      </w:r>
      <w:proofErr w:type="spellEnd"/>
      <w:r w:rsidRPr="00D47D22">
        <w:rPr>
          <w:rFonts w:ascii="Times New Roman" w:hAnsi="Times New Roman" w:cs="Times New Roman"/>
          <w:sz w:val="20"/>
          <w:szCs w:val="20"/>
          <w:lang w:val="pl-PL"/>
        </w:rPr>
        <w:t xml:space="preserve"> </w:t>
      </w:r>
      <w:proofErr w:type="spellStart"/>
      <w:r w:rsidRPr="00D47D22">
        <w:rPr>
          <w:rFonts w:ascii="Times New Roman" w:hAnsi="Times New Roman" w:cs="Times New Roman"/>
          <w:sz w:val="20"/>
          <w:szCs w:val="20"/>
          <w:lang w:val="pl-PL"/>
        </w:rPr>
        <w:t>Commentary</w:t>
      </w:r>
      <w:proofErr w:type="spellEnd"/>
      <w:r w:rsidRPr="00D47D22">
        <w:rPr>
          <w:rFonts w:ascii="Times New Roman" w:hAnsi="Times New Roman" w:cs="Times New Roman"/>
          <w:sz w:val="20"/>
          <w:szCs w:val="20"/>
          <w:lang w:val="pl-PL"/>
        </w:rPr>
        <w:t xml:space="preserve"> on the Law on </w:t>
      </w:r>
      <w:proofErr w:type="spellStart"/>
      <w:r w:rsidRPr="00D47D22">
        <w:rPr>
          <w:rFonts w:ascii="Times New Roman" w:hAnsi="Times New Roman" w:cs="Times New Roman"/>
          <w:sz w:val="20"/>
          <w:szCs w:val="20"/>
          <w:lang w:val="pl-PL"/>
        </w:rPr>
        <w:t>Administrative</w:t>
      </w:r>
      <w:proofErr w:type="spellEnd"/>
      <w:r w:rsidRPr="00D47D22">
        <w:rPr>
          <w:rFonts w:ascii="Times New Roman" w:hAnsi="Times New Roman" w:cs="Times New Roman"/>
          <w:sz w:val="20"/>
          <w:szCs w:val="20"/>
          <w:lang w:val="pl-PL"/>
        </w:rPr>
        <w:t xml:space="preserve"> </w:t>
      </w:r>
      <w:proofErr w:type="spellStart"/>
      <w:r w:rsidRPr="00D47D22">
        <w:rPr>
          <w:rFonts w:ascii="Times New Roman" w:hAnsi="Times New Roman" w:cs="Times New Roman"/>
          <w:sz w:val="20"/>
          <w:szCs w:val="20"/>
          <w:lang w:val="pl-PL"/>
        </w:rPr>
        <w:t>Offences</w:t>
      </w:r>
      <w:proofErr w:type="spellEnd"/>
      <w:r w:rsidRPr="00D47D22">
        <w:rPr>
          <w:rFonts w:ascii="Times New Roman" w:hAnsi="Times New Roman" w:cs="Times New Roman"/>
          <w:sz w:val="20"/>
          <w:szCs w:val="20"/>
          <w:lang w:val="pl-PL"/>
        </w:rPr>
        <w:t>, wydanie czwarte, Monachium, 2014.</w:t>
      </w:r>
    </w:p>
  </w:footnote>
  <w:footnote w:id="152">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w:t>
      </w:r>
      <w:r>
        <w:rPr>
          <w:rFonts w:ascii="Times New Roman" w:hAnsi="Times New Roman" w:cs="Times New Roman"/>
          <w:lang w:val="pl-PL"/>
        </w:rPr>
        <w:t xml:space="preserve"> </w:t>
      </w:r>
      <w:r w:rsidRPr="00D47D22">
        <w:rPr>
          <w:rFonts w:ascii="Times New Roman" w:hAnsi="Times New Roman" w:cs="Times New Roman"/>
          <w:lang w:val="pl-PL"/>
        </w:rPr>
        <w:t>Zob. par. 64 wyroku..</w:t>
      </w:r>
    </w:p>
  </w:footnote>
  <w:footnote w:id="153">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Camilleri</w:t>
      </w:r>
      <w:proofErr w:type="spellEnd"/>
      <w:r w:rsidRPr="00D47D22">
        <w:rPr>
          <w:rFonts w:ascii="Times New Roman" w:hAnsi="Times New Roman" w:cs="Times New Roman"/>
          <w:i/>
          <w:lang w:val="pl-PL"/>
        </w:rPr>
        <w:t xml:space="preserve"> przeciwko </w:t>
      </w:r>
      <w:proofErr w:type="spellStart"/>
      <w:r w:rsidRPr="00D47D22">
        <w:rPr>
          <w:rFonts w:ascii="Times New Roman" w:hAnsi="Times New Roman" w:cs="Times New Roman"/>
          <w:i/>
          <w:lang w:val="pl-PL"/>
        </w:rPr>
        <w:t>Maltcie</w:t>
      </w:r>
      <w:proofErr w:type="spellEnd"/>
      <w:r w:rsidRPr="00D47D22">
        <w:rPr>
          <w:rFonts w:ascii="Times New Roman" w:hAnsi="Times New Roman" w:cs="Times New Roman"/>
          <w:lang w:val="pl-PL"/>
        </w:rPr>
        <w:t>, no. 42931/10, 22 stycznia 2013.</w:t>
      </w:r>
    </w:p>
  </w:footnote>
  <w:footnote w:id="154">
    <w:p w:rsidR="00AC3310" w:rsidRPr="00D47D22" w:rsidRDefault="00AC3310" w:rsidP="0076133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Stanowisko norweskiego dyrektora ds. prokuratury po </w:t>
      </w:r>
      <w:r w:rsidRPr="00D47D22">
        <w:rPr>
          <w:rFonts w:ascii="Times New Roman" w:hAnsi="Times New Roman" w:cs="Times New Roman"/>
          <w:i/>
          <w:lang w:val="pl-PL"/>
        </w:rPr>
        <w:t xml:space="preserve">Siergieju </w:t>
      </w:r>
      <w:proofErr w:type="spellStart"/>
      <w:r w:rsidRPr="00D47D22">
        <w:rPr>
          <w:rFonts w:ascii="Times New Roman" w:hAnsi="Times New Roman" w:cs="Times New Roman"/>
          <w:i/>
          <w:lang w:val="pl-PL"/>
        </w:rPr>
        <w:t>Zołotukhinie</w:t>
      </w:r>
      <w:proofErr w:type="spellEnd"/>
      <w:r w:rsidRPr="00D47D22">
        <w:rPr>
          <w:rFonts w:ascii="Times New Roman" w:hAnsi="Times New Roman" w:cs="Times New Roman"/>
          <w:lang w:val="pl-PL"/>
        </w:rPr>
        <w:t xml:space="preserve"> nie mogło być </w:t>
      </w:r>
      <w:r>
        <w:rPr>
          <w:rFonts w:ascii="Times New Roman" w:hAnsi="Times New Roman" w:cs="Times New Roman"/>
          <w:lang w:val="pl-PL"/>
        </w:rPr>
        <w:t>bardziej wyraźne</w:t>
      </w:r>
      <w:r w:rsidRPr="00D47D22">
        <w:rPr>
          <w:rFonts w:ascii="Times New Roman" w:hAnsi="Times New Roman" w:cs="Times New Roman"/>
          <w:lang w:val="pl-PL"/>
        </w:rPr>
        <w:t>: „W związku ze zmianą orzecznictwa Europejskiego Trybunału Sprawiedliwości konieczne jest stosowanie jednolitego systemu" jednolitej ścieżki „również w odniesieniu do zwykłych kar podatkowych" (zob. pkt 48 i 64 wyroku).</w:t>
      </w:r>
    </w:p>
  </w:footnote>
  <w:footnote w:id="155">
    <w:p w:rsidR="00AC3310" w:rsidRPr="00D47D22" w:rsidRDefault="00AC3310" w:rsidP="0076133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Zob. par</w:t>
      </w:r>
      <w:r>
        <w:rPr>
          <w:rFonts w:ascii="Times New Roman" w:hAnsi="Times New Roman" w:cs="Times New Roman"/>
          <w:lang w:val="pl-PL"/>
        </w:rPr>
        <w:t>agraf</w:t>
      </w:r>
      <w:r w:rsidRPr="00D47D22">
        <w:rPr>
          <w:rFonts w:ascii="Times New Roman" w:hAnsi="Times New Roman" w:cs="Times New Roman"/>
          <w:lang w:val="pl-PL"/>
        </w:rPr>
        <w:t xml:space="preserve"> 132 wyroku. Większość nie </w:t>
      </w:r>
      <w:r>
        <w:rPr>
          <w:rFonts w:ascii="Times New Roman" w:hAnsi="Times New Roman" w:cs="Times New Roman"/>
          <w:lang w:val="pl-PL"/>
        </w:rPr>
        <w:t>wspomina</w:t>
      </w:r>
      <w:r w:rsidRPr="00D47D22">
        <w:rPr>
          <w:rFonts w:ascii="Times New Roman" w:hAnsi="Times New Roman" w:cs="Times New Roman"/>
          <w:lang w:val="pl-PL"/>
        </w:rPr>
        <w:t xml:space="preserve"> o istniejącym w niektórych krajach rozwiązaniu dotyczącym współpracy między organami administracyjnymi a organami ścigania w celu określenia właściwej drogi.</w:t>
      </w:r>
    </w:p>
  </w:footnote>
  <w:footnote w:id="156">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Zob. par</w:t>
      </w:r>
      <w:r>
        <w:rPr>
          <w:rFonts w:ascii="Times New Roman" w:hAnsi="Times New Roman" w:cs="Times New Roman"/>
          <w:lang w:val="pl-PL"/>
        </w:rPr>
        <w:t>agraf</w:t>
      </w:r>
      <w:r w:rsidRPr="00D47D22">
        <w:rPr>
          <w:rFonts w:ascii="Times New Roman" w:hAnsi="Times New Roman" w:cs="Times New Roman"/>
          <w:lang w:val="pl-PL"/>
        </w:rPr>
        <w:t xml:space="preserve"> 130 wyroku.</w:t>
      </w:r>
    </w:p>
  </w:footnote>
  <w:footnote w:id="157">
    <w:p w:rsidR="00AC3310" w:rsidRPr="00D47D22" w:rsidRDefault="00AC3310" w:rsidP="00761338">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uwagi </w:t>
      </w:r>
      <w:r>
        <w:rPr>
          <w:rFonts w:ascii="Times New Roman" w:hAnsi="Times New Roman" w:cs="Times New Roman"/>
          <w:lang w:val="pl-PL"/>
        </w:rPr>
        <w:t>R</w:t>
      </w:r>
      <w:r w:rsidRPr="00D47D22">
        <w:rPr>
          <w:rFonts w:ascii="Times New Roman" w:hAnsi="Times New Roman" w:cs="Times New Roman"/>
          <w:lang w:val="pl-PL"/>
        </w:rPr>
        <w:t>ządu federalnego z dnia 11 listopada 2015 r</w:t>
      </w:r>
      <w:r>
        <w:rPr>
          <w:rFonts w:ascii="Times New Roman" w:hAnsi="Times New Roman" w:cs="Times New Roman"/>
          <w:lang w:val="pl-PL"/>
        </w:rPr>
        <w:t>oku</w:t>
      </w:r>
      <w:r w:rsidRPr="00D47D22">
        <w:rPr>
          <w:rFonts w:ascii="Times New Roman" w:hAnsi="Times New Roman" w:cs="Times New Roman"/>
          <w:lang w:val="pl-PL"/>
        </w:rPr>
        <w:t>, s. 8. Rząd twierdzi również, że postępowanie administracyjne ma tę zaletę, że przyspiesza postępowanie wyjaśniające i postępowanie arbitrażowe.</w:t>
      </w:r>
    </w:p>
  </w:footnote>
  <w:footnote w:id="158">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par. 132 wyroku. </w:t>
      </w:r>
    </w:p>
  </w:footnote>
  <w:footnote w:id="159">
    <w:p w:rsidR="00AC3310" w:rsidRPr="00D47D22" w:rsidRDefault="00AC3310" w:rsidP="00696D83">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Był to wniosek złożony w </w:t>
      </w:r>
      <w:proofErr w:type="spellStart"/>
      <w:r w:rsidRPr="00486852">
        <w:rPr>
          <w:rFonts w:ascii="Times New Roman" w:hAnsi="Times New Roman" w:cs="Times New Roman"/>
          <w:i/>
          <w:lang w:val="pl-PL"/>
        </w:rPr>
        <w:t>Kapetanios</w:t>
      </w:r>
      <w:proofErr w:type="spellEnd"/>
      <w:r w:rsidRPr="00486852">
        <w:rPr>
          <w:rFonts w:ascii="Times New Roman" w:hAnsi="Times New Roman" w:cs="Times New Roman"/>
          <w:i/>
          <w:lang w:val="pl-PL"/>
        </w:rPr>
        <w:t xml:space="preserve"> i in</w:t>
      </w:r>
      <w:r w:rsidRPr="00D47D22">
        <w:rPr>
          <w:rFonts w:ascii="Times New Roman" w:hAnsi="Times New Roman" w:cs="Times New Roman"/>
          <w:lang w:val="pl-PL"/>
        </w:rPr>
        <w:t xml:space="preserve">. (cytowany powyżej, § 72) oraz </w:t>
      </w:r>
      <w:proofErr w:type="spellStart"/>
      <w:r w:rsidRPr="00486852">
        <w:rPr>
          <w:rFonts w:ascii="Times New Roman" w:hAnsi="Times New Roman" w:cs="Times New Roman"/>
          <w:i/>
          <w:lang w:val="pl-PL"/>
        </w:rPr>
        <w:t>Sismanidis</w:t>
      </w:r>
      <w:proofErr w:type="spellEnd"/>
      <w:r w:rsidRPr="00486852">
        <w:rPr>
          <w:rFonts w:ascii="Times New Roman" w:hAnsi="Times New Roman" w:cs="Times New Roman"/>
          <w:i/>
          <w:lang w:val="pl-PL"/>
        </w:rPr>
        <w:t xml:space="preserve"> i </w:t>
      </w:r>
      <w:proofErr w:type="spellStart"/>
      <w:r w:rsidRPr="00486852">
        <w:rPr>
          <w:rFonts w:ascii="Times New Roman" w:hAnsi="Times New Roman" w:cs="Times New Roman"/>
          <w:i/>
          <w:lang w:val="pl-PL"/>
        </w:rPr>
        <w:t>Sitaridis</w:t>
      </w:r>
      <w:proofErr w:type="spellEnd"/>
      <w:r w:rsidRPr="00D47D22">
        <w:rPr>
          <w:rFonts w:ascii="Times New Roman" w:hAnsi="Times New Roman" w:cs="Times New Roman"/>
          <w:lang w:val="pl-PL"/>
        </w:rPr>
        <w:t xml:space="preserve"> (cytowany powyżej, § 72).</w:t>
      </w:r>
    </w:p>
  </w:footnote>
  <w:footnote w:id="160">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r w:rsidRPr="00D47D22">
        <w:rPr>
          <w:rFonts w:ascii="Times New Roman" w:hAnsi="Times New Roman" w:cs="Times New Roman"/>
          <w:i/>
          <w:lang w:val="pl-PL"/>
        </w:rPr>
        <w:t>Grande Stevens i Inni</w:t>
      </w:r>
      <w:r w:rsidRPr="00D47D22">
        <w:rPr>
          <w:rFonts w:ascii="Times New Roman" w:hAnsi="Times New Roman" w:cs="Times New Roman"/>
          <w:lang w:val="pl-PL"/>
        </w:rPr>
        <w:t>, cytowane powyżej, § 218.</w:t>
      </w:r>
    </w:p>
  </w:footnote>
  <w:footnote w:id="161">
    <w:p w:rsidR="00AC3310" w:rsidRPr="00D47D22" w:rsidRDefault="00AC3310" w:rsidP="00766186">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Ibid., § 237. Należy pamiętać o konkluzjach IAPL z 2004 r</w:t>
      </w:r>
      <w:r>
        <w:rPr>
          <w:rFonts w:ascii="Times New Roman" w:hAnsi="Times New Roman" w:cs="Times New Roman"/>
          <w:lang w:val="pl-PL"/>
        </w:rPr>
        <w:t>oku</w:t>
      </w:r>
      <w:r w:rsidRPr="00D47D22">
        <w:rPr>
          <w:rFonts w:ascii="Times New Roman" w:hAnsi="Times New Roman" w:cs="Times New Roman"/>
          <w:lang w:val="pl-PL"/>
        </w:rPr>
        <w:t>, cytowanych powyżej:</w:t>
      </w:r>
      <w:r>
        <w:rPr>
          <w:rFonts w:ascii="Times New Roman" w:hAnsi="Times New Roman" w:cs="Times New Roman"/>
          <w:lang w:val="pl-PL"/>
        </w:rPr>
        <w:t xml:space="preserve"> „</w:t>
      </w:r>
      <w:r w:rsidRPr="00D47D22">
        <w:rPr>
          <w:rFonts w:ascii="Times New Roman" w:hAnsi="Times New Roman" w:cs="Times New Roman"/>
          <w:lang w:val="pl-PL"/>
        </w:rPr>
        <w:t>W odniesieniu do podwójnego zagrożenia, któremu należy zapobiec, „</w:t>
      </w:r>
      <w:r w:rsidRPr="00D47D22">
        <w:rPr>
          <w:rFonts w:ascii="Times New Roman" w:hAnsi="Times New Roman" w:cs="Times New Roman"/>
          <w:i/>
          <w:lang w:val="pl-PL"/>
        </w:rPr>
        <w:t>bis</w:t>
      </w:r>
      <w:r w:rsidRPr="00D47D22">
        <w:rPr>
          <w:rFonts w:ascii="Times New Roman" w:hAnsi="Times New Roman" w:cs="Times New Roman"/>
          <w:lang w:val="pl-PL"/>
        </w:rPr>
        <w:t>” „nie będzie dotyczył jedynie nowej sankcji, lecz powinien już zakazać nowego ścigania".</w:t>
      </w:r>
    </w:p>
  </w:footnote>
  <w:footnote w:id="162">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r w:rsidRPr="00D47D22">
        <w:rPr>
          <w:rFonts w:ascii="Times New Roman" w:hAnsi="Times New Roman" w:cs="Times New Roman"/>
          <w:i/>
          <w:lang w:val="pl-PL"/>
        </w:rPr>
        <w:t>Grande Stevens i Inni</w:t>
      </w:r>
      <w:r w:rsidRPr="00D47D22">
        <w:rPr>
          <w:rFonts w:ascii="Times New Roman" w:hAnsi="Times New Roman" w:cs="Times New Roman"/>
          <w:lang w:val="pl-PL"/>
        </w:rPr>
        <w:t>, cytowane powyżej, § 216.</w:t>
      </w:r>
    </w:p>
  </w:footnote>
  <w:footnote w:id="163">
    <w:p w:rsidR="00737926" w:rsidRPr="00486852" w:rsidRDefault="00737926">
      <w:pPr>
        <w:pStyle w:val="Tekstprzypisudolnego"/>
        <w:rPr>
          <w:lang w:val="pl-PL"/>
        </w:rPr>
      </w:pPr>
      <w:r>
        <w:rPr>
          <w:rStyle w:val="Odwoanieprzypisudolnego"/>
        </w:rPr>
        <w:footnoteRef/>
      </w:r>
      <w:r w:rsidR="00B45EF3" w:rsidRPr="00B45EF3">
        <w:t xml:space="preserve">  Ibid., § 229.</w:t>
      </w:r>
    </w:p>
  </w:footnote>
  <w:footnote w:id="164">
    <w:p w:rsidR="00AC3310" w:rsidRPr="00D47D22" w:rsidRDefault="00AC3310" w:rsidP="00766186">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Zob. pkt. 118 niniejszego wyroku. Dyrektywę Parlamentu Europejskiego i Rady 2014/57/UE z dnia 16 kwietnia 2014 r</w:t>
      </w:r>
      <w:r>
        <w:rPr>
          <w:rFonts w:ascii="Times New Roman" w:hAnsi="Times New Roman" w:cs="Times New Roman"/>
          <w:lang w:val="pl-PL"/>
        </w:rPr>
        <w:t>oku</w:t>
      </w:r>
      <w:r w:rsidRPr="00D47D22">
        <w:rPr>
          <w:rFonts w:ascii="Times New Roman" w:hAnsi="Times New Roman" w:cs="Times New Roman"/>
          <w:lang w:val="pl-PL"/>
        </w:rPr>
        <w:t xml:space="preserve"> w sprawie sankcji karnych za nadużycia na rynku, która akceptuje podwójny system (motyw 23), należy czytać w powiązaniu z rozporządzeniem Parlamentu Europejskiego i Rady (UE) nr 596/2014 z dnia 16 kwietnia 2014 r</w:t>
      </w:r>
      <w:r>
        <w:rPr>
          <w:rFonts w:ascii="Times New Roman" w:hAnsi="Times New Roman" w:cs="Times New Roman"/>
          <w:lang w:val="pl-PL"/>
        </w:rPr>
        <w:t>oku</w:t>
      </w:r>
      <w:r w:rsidRPr="00D47D22">
        <w:rPr>
          <w:rFonts w:ascii="Times New Roman" w:hAnsi="Times New Roman" w:cs="Times New Roman"/>
          <w:lang w:val="pl-PL"/>
        </w:rPr>
        <w:t xml:space="preserve"> w sprawie nadużyć na rynku (motyw 72). Prawodawstwo europejskie nie rozwiązało problemu </w:t>
      </w:r>
      <w:proofErr w:type="spellStart"/>
      <w:r w:rsidRPr="00D47D22">
        <w:rPr>
          <w:rFonts w:ascii="Times New Roman" w:hAnsi="Times New Roman" w:cs="Times New Roman"/>
          <w:i/>
          <w:lang w:val="pl-PL"/>
        </w:rPr>
        <w:t>ne</w:t>
      </w:r>
      <w:proofErr w:type="spellEnd"/>
      <w:r w:rsidRPr="00D47D22">
        <w:rPr>
          <w:rFonts w:ascii="Times New Roman" w:hAnsi="Times New Roman" w:cs="Times New Roman"/>
          <w:i/>
          <w:lang w:val="pl-PL"/>
        </w:rPr>
        <w:t xml:space="preserve"> bis in </w:t>
      </w:r>
      <w:proofErr w:type="spellStart"/>
      <w:r w:rsidRPr="00D47D22">
        <w:rPr>
          <w:rFonts w:ascii="Times New Roman" w:hAnsi="Times New Roman" w:cs="Times New Roman"/>
          <w:i/>
          <w:lang w:val="pl-PL"/>
        </w:rPr>
        <w:t>idem</w:t>
      </w:r>
      <w:proofErr w:type="spellEnd"/>
      <w:r w:rsidRPr="00D47D22">
        <w:rPr>
          <w:rFonts w:ascii="Times New Roman" w:hAnsi="Times New Roman" w:cs="Times New Roman"/>
          <w:lang w:val="pl-PL"/>
        </w:rPr>
        <w:t xml:space="preserve">, </w:t>
      </w:r>
      <w:r>
        <w:rPr>
          <w:rFonts w:ascii="Times New Roman" w:hAnsi="Times New Roman" w:cs="Times New Roman"/>
          <w:lang w:val="pl-PL"/>
        </w:rPr>
        <w:t>woli</w:t>
      </w:r>
      <w:r w:rsidRPr="00D47D22">
        <w:rPr>
          <w:rFonts w:ascii="Times New Roman" w:hAnsi="Times New Roman" w:cs="Times New Roman"/>
          <w:lang w:val="pl-PL"/>
        </w:rPr>
        <w:t xml:space="preserve"> </w:t>
      </w:r>
      <w:r>
        <w:rPr>
          <w:rFonts w:ascii="Times New Roman" w:hAnsi="Times New Roman" w:cs="Times New Roman"/>
          <w:lang w:val="pl-PL"/>
        </w:rPr>
        <w:t>przekazać</w:t>
      </w:r>
      <w:r w:rsidRPr="00D47D22">
        <w:rPr>
          <w:rFonts w:ascii="Times New Roman" w:hAnsi="Times New Roman" w:cs="Times New Roman"/>
          <w:lang w:val="pl-PL"/>
        </w:rPr>
        <w:t xml:space="preserve"> </w:t>
      </w:r>
      <w:r>
        <w:rPr>
          <w:rFonts w:ascii="Times New Roman" w:hAnsi="Times New Roman" w:cs="Times New Roman"/>
          <w:lang w:val="pl-PL"/>
        </w:rPr>
        <w:t>,, parzącego ziemniaka”</w:t>
      </w:r>
      <w:r w:rsidRPr="00D47D22">
        <w:rPr>
          <w:rFonts w:ascii="Times New Roman" w:hAnsi="Times New Roman" w:cs="Times New Roman"/>
          <w:lang w:val="pl-PL"/>
        </w:rPr>
        <w:t xml:space="preserve"> państwom. Niemniej jednak nałożenie sankcji karnych na podstawie przestępstw obowiązkowych określonych w nowej dyrektywie oraz sankcji administracyjnych zgodnie z przestępstwami fakultatywnymi przewidzianymi w nowym rozporządzeniu (art. 30 ust. 1: „może zdecydować nie") nie powinno prowadzić do naruszenia zasady </w:t>
      </w:r>
      <w:proofErr w:type="spellStart"/>
      <w:r w:rsidRPr="00486852">
        <w:rPr>
          <w:rFonts w:ascii="Times New Roman" w:hAnsi="Times New Roman" w:cs="Times New Roman"/>
          <w:i/>
          <w:lang w:val="pl-PL"/>
        </w:rPr>
        <w:t>ne</w:t>
      </w:r>
      <w:proofErr w:type="spellEnd"/>
      <w:r w:rsidRPr="00486852">
        <w:rPr>
          <w:rFonts w:ascii="Times New Roman" w:hAnsi="Times New Roman" w:cs="Times New Roman"/>
          <w:i/>
          <w:lang w:val="pl-PL"/>
        </w:rPr>
        <w:t xml:space="preserve"> bis in </w:t>
      </w:r>
      <w:proofErr w:type="spellStart"/>
      <w:r w:rsidRPr="00486852">
        <w:rPr>
          <w:rFonts w:ascii="Times New Roman" w:hAnsi="Times New Roman" w:cs="Times New Roman"/>
          <w:i/>
          <w:lang w:val="pl-PL"/>
        </w:rPr>
        <w:t>idem</w:t>
      </w:r>
      <w:proofErr w:type="spellEnd"/>
      <w:r w:rsidRPr="00486852">
        <w:rPr>
          <w:rFonts w:ascii="Times New Roman" w:hAnsi="Times New Roman" w:cs="Times New Roman"/>
          <w:i/>
          <w:lang w:val="pl-PL"/>
        </w:rPr>
        <w:t>.</w:t>
      </w:r>
    </w:p>
  </w:footnote>
  <w:footnote w:id="165">
    <w:p w:rsidR="00AC3310" w:rsidRPr="00D47D22" w:rsidRDefault="00AC3310" w:rsidP="00766186">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W sprawie </w:t>
      </w:r>
      <w:proofErr w:type="spellStart"/>
      <w:r w:rsidRPr="00D47D22">
        <w:rPr>
          <w:rFonts w:ascii="Times New Roman" w:hAnsi="Times New Roman" w:cs="Times New Roman"/>
          <w:i/>
          <w:lang w:val="pl-PL"/>
        </w:rPr>
        <w:t>Kapetanios</w:t>
      </w:r>
      <w:proofErr w:type="spellEnd"/>
      <w:r w:rsidRPr="00D47D22">
        <w:rPr>
          <w:rFonts w:ascii="Times New Roman" w:hAnsi="Times New Roman" w:cs="Times New Roman"/>
          <w:i/>
          <w:lang w:val="pl-PL"/>
        </w:rPr>
        <w:t xml:space="preserve"> i in</w:t>
      </w:r>
      <w:r w:rsidRPr="00D47D22">
        <w:rPr>
          <w:rFonts w:ascii="Times New Roman" w:hAnsi="Times New Roman" w:cs="Times New Roman"/>
          <w:lang w:val="pl-PL"/>
        </w:rPr>
        <w:t>. (cytowany powyżej); zob. wniosek nr 3453/12 w sprawie postępowań administracyjnych toczących się od listopada 1989 r</w:t>
      </w:r>
      <w:r>
        <w:rPr>
          <w:rFonts w:ascii="Times New Roman" w:hAnsi="Times New Roman" w:cs="Times New Roman"/>
          <w:lang w:val="pl-PL"/>
        </w:rPr>
        <w:t>oku</w:t>
      </w:r>
      <w:r w:rsidRPr="00D47D22">
        <w:rPr>
          <w:rFonts w:ascii="Times New Roman" w:hAnsi="Times New Roman" w:cs="Times New Roman"/>
          <w:lang w:val="pl-PL"/>
        </w:rPr>
        <w:t xml:space="preserve"> do czerwca 2011 r</w:t>
      </w:r>
      <w:r>
        <w:rPr>
          <w:rFonts w:ascii="Times New Roman" w:hAnsi="Times New Roman" w:cs="Times New Roman"/>
          <w:lang w:val="pl-PL"/>
        </w:rPr>
        <w:t>oku</w:t>
      </w:r>
      <w:r w:rsidRPr="00D47D22">
        <w:rPr>
          <w:rFonts w:ascii="Times New Roman" w:hAnsi="Times New Roman" w:cs="Times New Roman"/>
          <w:lang w:val="pl-PL"/>
        </w:rPr>
        <w:t xml:space="preserve"> i w sprawie karnej toczących się od 1986 r</w:t>
      </w:r>
      <w:r>
        <w:rPr>
          <w:rFonts w:ascii="Times New Roman" w:hAnsi="Times New Roman" w:cs="Times New Roman"/>
          <w:lang w:val="pl-PL"/>
        </w:rPr>
        <w:t>oku</w:t>
      </w:r>
      <w:r w:rsidRPr="00D47D22">
        <w:rPr>
          <w:rFonts w:ascii="Times New Roman" w:hAnsi="Times New Roman" w:cs="Times New Roman"/>
          <w:lang w:val="pl-PL"/>
        </w:rPr>
        <w:t xml:space="preserve"> do listopada 1992 r</w:t>
      </w:r>
      <w:r>
        <w:rPr>
          <w:rFonts w:ascii="Times New Roman" w:hAnsi="Times New Roman" w:cs="Times New Roman"/>
          <w:lang w:val="pl-PL"/>
        </w:rPr>
        <w:t>oku</w:t>
      </w:r>
      <w:r w:rsidRPr="00D47D22">
        <w:rPr>
          <w:rFonts w:ascii="Times New Roman" w:hAnsi="Times New Roman" w:cs="Times New Roman"/>
          <w:lang w:val="pl-PL"/>
        </w:rPr>
        <w:t>; wniosek nr 42941/12, w sprawie postępowań administracyjnych toczących się od września 1996 r</w:t>
      </w:r>
      <w:r>
        <w:rPr>
          <w:rFonts w:ascii="Times New Roman" w:hAnsi="Times New Roman" w:cs="Times New Roman"/>
          <w:lang w:val="pl-PL"/>
        </w:rPr>
        <w:t>oku</w:t>
      </w:r>
      <w:r w:rsidRPr="00D47D22">
        <w:rPr>
          <w:rFonts w:ascii="Times New Roman" w:hAnsi="Times New Roman" w:cs="Times New Roman"/>
          <w:lang w:val="pl-PL"/>
        </w:rPr>
        <w:t xml:space="preserve"> do listopada 2011 r</w:t>
      </w:r>
      <w:r>
        <w:rPr>
          <w:rFonts w:ascii="Times New Roman" w:hAnsi="Times New Roman" w:cs="Times New Roman"/>
          <w:lang w:val="pl-PL"/>
        </w:rPr>
        <w:t>oku</w:t>
      </w:r>
      <w:r w:rsidRPr="00D47D22">
        <w:rPr>
          <w:rFonts w:ascii="Times New Roman" w:hAnsi="Times New Roman" w:cs="Times New Roman"/>
          <w:lang w:val="pl-PL"/>
        </w:rPr>
        <w:t xml:space="preserve"> oraz w sprawie postępowań karnych toczących się od 1988 r. do czerwca 2000 r</w:t>
      </w:r>
      <w:r>
        <w:rPr>
          <w:rFonts w:ascii="Times New Roman" w:hAnsi="Times New Roman" w:cs="Times New Roman"/>
          <w:lang w:val="pl-PL"/>
        </w:rPr>
        <w:t>oku</w:t>
      </w:r>
      <w:r w:rsidRPr="00D47D22">
        <w:rPr>
          <w:rFonts w:ascii="Times New Roman" w:hAnsi="Times New Roman" w:cs="Times New Roman"/>
          <w:lang w:val="pl-PL"/>
        </w:rPr>
        <w:t>; oraz w sprawie wniosku nr 9028/13, w sprawie postępowań administracyjnych toczących się od 2011 r</w:t>
      </w:r>
      <w:r>
        <w:rPr>
          <w:rFonts w:ascii="Times New Roman" w:hAnsi="Times New Roman" w:cs="Times New Roman"/>
          <w:lang w:val="pl-PL"/>
        </w:rPr>
        <w:t>oku</w:t>
      </w:r>
      <w:r w:rsidRPr="00D47D22">
        <w:rPr>
          <w:rFonts w:ascii="Times New Roman" w:hAnsi="Times New Roman" w:cs="Times New Roman"/>
          <w:lang w:val="pl-PL"/>
        </w:rPr>
        <w:t xml:space="preserve"> do lutego 2012 r</w:t>
      </w:r>
      <w:r>
        <w:rPr>
          <w:rFonts w:ascii="Times New Roman" w:hAnsi="Times New Roman" w:cs="Times New Roman"/>
          <w:lang w:val="pl-PL"/>
        </w:rPr>
        <w:t>oku</w:t>
      </w:r>
      <w:r w:rsidRPr="00D47D22">
        <w:rPr>
          <w:rFonts w:ascii="Times New Roman" w:hAnsi="Times New Roman" w:cs="Times New Roman"/>
          <w:lang w:val="pl-PL"/>
        </w:rPr>
        <w:t xml:space="preserve"> oraz w sprawie postępowań karnych zakończonych w maju 1998 r</w:t>
      </w:r>
      <w:r>
        <w:rPr>
          <w:rFonts w:ascii="Times New Roman" w:hAnsi="Times New Roman" w:cs="Times New Roman"/>
          <w:lang w:val="pl-PL"/>
        </w:rPr>
        <w:t>oku.</w:t>
      </w:r>
    </w:p>
    <w:p w:rsidR="00AC3310" w:rsidRPr="00D47D22" w:rsidRDefault="00AC3310" w:rsidP="00766186">
      <w:pPr>
        <w:pStyle w:val="Tekstprzypisudolnego"/>
        <w:rPr>
          <w:rFonts w:ascii="Times New Roman" w:hAnsi="Times New Roman" w:cs="Times New Roman"/>
          <w:lang w:val="pl-PL"/>
        </w:rPr>
      </w:pPr>
    </w:p>
  </w:footnote>
  <w:footnote w:id="166">
    <w:p w:rsidR="00A64AA8" w:rsidRPr="00486852" w:rsidRDefault="00A64AA8">
      <w:pPr>
        <w:pStyle w:val="Tekstprzypisudolnego"/>
        <w:rPr>
          <w:lang w:val="pl-PL"/>
        </w:rPr>
      </w:pPr>
      <w:r>
        <w:rPr>
          <w:rStyle w:val="Odwoanieprzypisudolnego"/>
        </w:rPr>
        <w:footnoteRef/>
      </w:r>
      <w:r>
        <w:t xml:space="preserve"> </w:t>
      </w:r>
      <w:proofErr w:type="spellStart"/>
      <w:r w:rsidR="00F51ECD" w:rsidRPr="00F51ECD">
        <w:t>Sismanidis</w:t>
      </w:r>
      <w:proofErr w:type="spellEnd"/>
      <w:r w:rsidR="00F51ECD" w:rsidRPr="00F51ECD">
        <w:t xml:space="preserve"> </w:t>
      </w:r>
      <w:proofErr w:type="spellStart"/>
      <w:r w:rsidR="00F51ECD" w:rsidRPr="00F51ECD">
        <w:t>i</w:t>
      </w:r>
      <w:proofErr w:type="spellEnd"/>
      <w:r w:rsidR="00F51ECD" w:rsidRPr="00F51ECD">
        <w:t xml:space="preserve"> </w:t>
      </w:r>
      <w:proofErr w:type="spellStart"/>
      <w:r w:rsidR="00F51ECD" w:rsidRPr="00F51ECD">
        <w:t>Sitaridis</w:t>
      </w:r>
      <w:proofErr w:type="spellEnd"/>
      <w:r w:rsidR="00F51ECD" w:rsidRPr="00F51ECD">
        <w:t xml:space="preserve"> (</w:t>
      </w:r>
      <w:proofErr w:type="spellStart"/>
      <w:r w:rsidR="00F51ECD" w:rsidRPr="00F51ECD">
        <w:t>cytowane</w:t>
      </w:r>
      <w:proofErr w:type="spellEnd"/>
      <w:r w:rsidR="00F51ECD" w:rsidRPr="00F51ECD">
        <w:t xml:space="preserve"> </w:t>
      </w:r>
      <w:proofErr w:type="spellStart"/>
      <w:r w:rsidR="00F51ECD" w:rsidRPr="00F51ECD">
        <w:t>wyżej</w:t>
      </w:r>
      <w:proofErr w:type="spellEnd"/>
      <w:r w:rsidR="00F51ECD" w:rsidRPr="00F51ECD">
        <w:t xml:space="preserve">): </w:t>
      </w:r>
      <w:proofErr w:type="spellStart"/>
      <w:r w:rsidR="00F51ECD" w:rsidRPr="00F51ECD">
        <w:t>patrz</w:t>
      </w:r>
      <w:proofErr w:type="spellEnd"/>
      <w:r w:rsidR="00F51ECD" w:rsidRPr="00F51ECD">
        <w:t xml:space="preserve"> </w:t>
      </w:r>
      <w:proofErr w:type="spellStart"/>
      <w:r w:rsidR="00F51ECD" w:rsidRPr="00F51ECD">
        <w:t>zgłoszenie</w:t>
      </w:r>
      <w:proofErr w:type="spellEnd"/>
      <w:r w:rsidR="00F51ECD" w:rsidRPr="00F51ECD">
        <w:t xml:space="preserve"> </w:t>
      </w:r>
      <w:proofErr w:type="spellStart"/>
      <w:r w:rsidR="00F51ECD" w:rsidRPr="00F51ECD">
        <w:t>nr</w:t>
      </w:r>
      <w:proofErr w:type="spellEnd"/>
      <w:r w:rsidR="00F51ECD" w:rsidRPr="00F51ECD">
        <w:t xml:space="preserve">. 66602/09, w </w:t>
      </w:r>
      <w:proofErr w:type="spellStart"/>
      <w:r w:rsidR="00F51ECD" w:rsidRPr="00F51ECD">
        <w:t>sprawie</w:t>
      </w:r>
      <w:proofErr w:type="spellEnd"/>
      <w:r w:rsidR="00F51ECD" w:rsidRPr="00F51ECD">
        <w:t xml:space="preserve"> </w:t>
      </w:r>
      <w:proofErr w:type="spellStart"/>
      <w:r w:rsidR="00F51ECD" w:rsidRPr="00F51ECD">
        <w:t>postępowania</w:t>
      </w:r>
      <w:proofErr w:type="spellEnd"/>
      <w:r w:rsidR="00F51ECD" w:rsidRPr="00F51ECD">
        <w:t xml:space="preserve"> </w:t>
      </w:r>
      <w:proofErr w:type="spellStart"/>
      <w:r w:rsidR="00F51ECD" w:rsidRPr="00F51ECD">
        <w:t>administracyjnego</w:t>
      </w:r>
      <w:proofErr w:type="spellEnd"/>
      <w:r w:rsidR="00F51ECD" w:rsidRPr="00F51ECD">
        <w:t xml:space="preserve"> </w:t>
      </w:r>
      <w:proofErr w:type="spellStart"/>
      <w:r w:rsidR="00F51ECD" w:rsidRPr="00F51ECD">
        <w:t>toczącego</w:t>
      </w:r>
      <w:proofErr w:type="spellEnd"/>
      <w:r w:rsidR="00F51ECD" w:rsidRPr="00F51ECD">
        <w:t xml:space="preserve"> </w:t>
      </w:r>
      <w:proofErr w:type="spellStart"/>
      <w:r w:rsidR="00F51ECD" w:rsidRPr="00F51ECD">
        <w:t>się</w:t>
      </w:r>
      <w:proofErr w:type="spellEnd"/>
      <w:r w:rsidR="00F51ECD" w:rsidRPr="00F51ECD">
        <w:t xml:space="preserve"> </w:t>
      </w:r>
      <w:proofErr w:type="spellStart"/>
      <w:r w:rsidR="00F51ECD" w:rsidRPr="00F51ECD">
        <w:t>między</w:t>
      </w:r>
      <w:proofErr w:type="spellEnd"/>
      <w:r w:rsidR="00F51ECD" w:rsidRPr="00F51ECD">
        <w:t xml:space="preserve"> </w:t>
      </w:r>
      <w:proofErr w:type="spellStart"/>
      <w:r w:rsidR="00F51ECD" w:rsidRPr="00F51ECD">
        <w:t>wrześniem</w:t>
      </w:r>
      <w:proofErr w:type="spellEnd"/>
      <w:r w:rsidR="00F51ECD" w:rsidRPr="00F51ECD">
        <w:t xml:space="preserve"> 1996 </w:t>
      </w:r>
      <w:proofErr w:type="spellStart"/>
      <w:r w:rsidR="00F51ECD" w:rsidRPr="00F51ECD">
        <w:t>roku</w:t>
      </w:r>
      <w:proofErr w:type="spellEnd"/>
      <w:r w:rsidR="00F51ECD" w:rsidRPr="00F51ECD">
        <w:t xml:space="preserve"> a </w:t>
      </w:r>
      <w:proofErr w:type="spellStart"/>
      <w:r w:rsidR="00F51ECD" w:rsidRPr="00F51ECD">
        <w:t>majem</w:t>
      </w:r>
      <w:proofErr w:type="spellEnd"/>
      <w:r w:rsidR="00F51ECD" w:rsidRPr="00F51ECD">
        <w:t xml:space="preserve"> 2009 </w:t>
      </w:r>
      <w:proofErr w:type="spellStart"/>
      <w:r w:rsidR="00F51ECD" w:rsidRPr="00F51ECD">
        <w:t>roku</w:t>
      </w:r>
      <w:proofErr w:type="spellEnd"/>
      <w:r w:rsidR="00F51ECD" w:rsidRPr="00F51ECD">
        <w:t xml:space="preserve"> </w:t>
      </w:r>
      <w:proofErr w:type="spellStart"/>
      <w:r w:rsidR="00F51ECD" w:rsidRPr="00F51ECD">
        <w:t>oraz</w:t>
      </w:r>
      <w:proofErr w:type="spellEnd"/>
      <w:r w:rsidR="00F51ECD" w:rsidRPr="00F51ECD">
        <w:t xml:space="preserve"> </w:t>
      </w:r>
      <w:proofErr w:type="spellStart"/>
      <w:r w:rsidR="00F51ECD" w:rsidRPr="00F51ECD">
        <w:t>postępowaniach</w:t>
      </w:r>
      <w:proofErr w:type="spellEnd"/>
      <w:r w:rsidR="00F51ECD" w:rsidRPr="00F51ECD">
        <w:t xml:space="preserve"> </w:t>
      </w:r>
      <w:proofErr w:type="spellStart"/>
      <w:r w:rsidR="00F51ECD" w:rsidRPr="00F51ECD">
        <w:t>karnych</w:t>
      </w:r>
      <w:proofErr w:type="spellEnd"/>
      <w:r w:rsidR="00F51ECD" w:rsidRPr="00F51ECD">
        <w:t xml:space="preserve"> </w:t>
      </w:r>
      <w:proofErr w:type="spellStart"/>
      <w:r w:rsidR="00F51ECD" w:rsidRPr="00F51ECD">
        <w:t>toczących</w:t>
      </w:r>
      <w:proofErr w:type="spellEnd"/>
      <w:r w:rsidR="00F51ECD" w:rsidRPr="00F51ECD">
        <w:t xml:space="preserve"> </w:t>
      </w:r>
      <w:proofErr w:type="spellStart"/>
      <w:r w:rsidR="00F51ECD" w:rsidRPr="00F51ECD">
        <w:t>się</w:t>
      </w:r>
      <w:proofErr w:type="spellEnd"/>
      <w:r w:rsidR="00F51ECD" w:rsidRPr="00F51ECD">
        <w:t xml:space="preserve"> od </w:t>
      </w:r>
      <w:proofErr w:type="spellStart"/>
      <w:r w:rsidR="00F51ECD" w:rsidRPr="00F51ECD">
        <w:t>grudnia</w:t>
      </w:r>
      <w:proofErr w:type="spellEnd"/>
      <w:r w:rsidR="00F51ECD" w:rsidRPr="00F51ECD">
        <w:t xml:space="preserve"> 1994 </w:t>
      </w:r>
      <w:proofErr w:type="spellStart"/>
      <w:r w:rsidR="00F51ECD" w:rsidRPr="00F51ECD">
        <w:t>roku</w:t>
      </w:r>
      <w:proofErr w:type="spellEnd"/>
      <w:r w:rsidR="00F51ECD" w:rsidRPr="00F51ECD">
        <w:t xml:space="preserve"> do </w:t>
      </w:r>
      <w:proofErr w:type="spellStart"/>
      <w:r w:rsidR="00F51ECD" w:rsidRPr="00F51ECD">
        <w:t>kwietnia</w:t>
      </w:r>
      <w:proofErr w:type="spellEnd"/>
      <w:r w:rsidR="00F51ECD" w:rsidRPr="00F51ECD">
        <w:t xml:space="preserve"> 1997 </w:t>
      </w:r>
      <w:proofErr w:type="spellStart"/>
      <w:r w:rsidR="00F51ECD" w:rsidRPr="00F51ECD">
        <w:t>roku</w:t>
      </w:r>
      <w:proofErr w:type="spellEnd"/>
      <w:r w:rsidR="00F51ECD" w:rsidRPr="00F51ECD">
        <w:t xml:space="preserve">; </w:t>
      </w:r>
      <w:proofErr w:type="spellStart"/>
      <w:r w:rsidR="00F51ECD" w:rsidRPr="00F51ECD">
        <w:t>i</w:t>
      </w:r>
      <w:proofErr w:type="spellEnd"/>
      <w:r w:rsidR="00F51ECD" w:rsidRPr="00F51ECD">
        <w:t xml:space="preserve"> </w:t>
      </w:r>
      <w:proofErr w:type="spellStart"/>
      <w:r w:rsidR="00F51ECD" w:rsidRPr="00F51ECD">
        <w:t>skarga</w:t>
      </w:r>
      <w:proofErr w:type="spellEnd"/>
      <w:r w:rsidR="00F51ECD" w:rsidRPr="00F51ECD">
        <w:t xml:space="preserve"> </w:t>
      </w:r>
      <w:proofErr w:type="spellStart"/>
      <w:r w:rsidR="00F51ECD" w:rsidRPr="00F51ECD">
        <w:t>nr</w:t>
      </w:r>
      <w:proofErr w:type="spellEnd"/>
      <w:r w:rsidR="00F51ECD" w:rsidRPr="00F51ECD">
        <w:t xml:space="preserve">. 71879/12, w </w:t>
      </w:r>
      <w:proofErr w:type="spellStart"/>
      <w:r w:rsidR="00F51ECD" w:rsidRPr="00F51ECD">
        <w:t>sprawie</w:t>
      </w:r>
      <w:proofErr w:type="spellEnd"/>
      <w:r w:rsidR="00F51ECD" w:rsidRPr="00F51ECD">
        <w:t xml:space="preserve"> </w:t>
      </w:r>
      <w:proofErr w:type="spellStart"/>
      <w:r w:rsidR="00F51ECD" w:rsidRPr="00F51ECD">
        <w:t>postępowania</w:t>
      </w:r>
      <w:proofErr w:type="spellEnd"/>
      <w:r w:rsidR="00F51ECD" w:rsidRPr="00F51ECD">
        <w:t xml:space="preserve"> </w:t>
      </w:r>
      <w:proofErr w:type="spellStart"/>
      <w:r w:rsidR="00F51ECD" w:rsidRPr="00F51ECD">
        <w:t>administracyjnego</w:t>
      </w:r>
      <w:proofErr w:type="spellEnd"/>
      <w:r w:rsidR="00F51ECD" w:rsidRPr="00F51ECD">
        <w:t xml:space="preserve"> </w:t>
      </w:r>
      <w:proofErr w:type="spellStart"/>
      <w:r w:rsidR="00F51ECD" w:rsidRPr="00F51ECD">
        <w:t>toczącego</w:t>
      </w:r>
      <w:proofErr w:type="spellEnd"/>
      <w:r w:rsidR="00F51ECD" w:rsidRPr="00F51ECD">
        <w:t xml:space="preserve"> </w:t>
      </w:r>
      <w:proofErr w:type="spellStart"/>
      <w:r w:rsidR="00F51ECD" w:rsidRPr="00F51ECD">
        <w:t>się</w:t>
      </w:r>
      <w:proofErr w:type="spellEnd"/>
      <w:r w:rsidR="00F51ECD" w:rsidRPr="00F51ECD">
        <w:t xml:space="preserve"> od </w:t>
      </w:r>
      <w:proofErr w:type="spellStart"/>
      <w:r w:rsidR="00F51ECD" w:rsidRPr="00F51ECD">
        <w:t>października</w:t>
      </w:r>
      <w:proofErr w:type="spellEnd"/>
      <w:r w:rsidR="00F51ECD" w:rsidRPr="00F51ECD">
        <w:t xml:space="preserve"> 1996 </w:t>
      </w:r>
      <w:proofErr w:type="spellStart"/>
      <w:r w:rsidR="00F51ECD" w:rsidRPr="00F51ECD">
        <w:t>roku</w:t>
      </w:r>
      <w:proofErr w:type="spellEnd"/>
      <w:r w:rsidR="00F51ECD" w:rsidRPr="00F51ECD">
        <w:t xml:space="preserve"> do </w:t>
      </w:r>
      <w:proofErr w:type="spellStart"/>
      <w:r w:rsidR="00F51ECD" w:rsidRPr="00F51ECD">
        <w:t>marca</w:t>
      </w:r>
      <w:proofErr w:type="spellEnd"/>
      <w:r w:rsidR="00F51ECD" w:rsidRPr="00F51ECD">
        <w:t xml:space="preserve"> 2012 </w:t>
      </w:r>
      <w:proofErr w:type="spellStart"/>
      <w:r w:rsidR="00F51ECD" w:rsidRPr="00F51ECD">
        <w:t>roku</w:t>
      </w:r>
      <w:proofErr w:type="spellEnd"/>
      <w:r w:rsidR="00F51ECD" w:rsidRPr="00F51ECD">
        <w:t xml:space="preserve"> </w:t>
      </w:r>
      <w:proofErr w:type="spellStart"/>
      <w:r w:rsidR="00F51ECD" w:rsidRPr="00F51ECD">
        <w:t>oraz</w:t>
      </w:r>
      <w:proofErr w:type="spellEnd"/>
      <w:r w:rsidR="00F51ECD" w:rsidRPr="00F51ECD">
        <w:t xml:space="preserve"> w </w:t>
      </w:r>
      <w:proofErr w:type="spellStart"/>
      <w:r w:rsidR="00F51ECD" w:rsidRPr="00F51ECD">
        <w:t>postępowaniu</w:t>
      </w:r>
      <w:proofErr w:type="spellEnd"/>
      <w:r w:rsidR="00F51ECD" w:rsidRPr="00F51ECD">
        <w:t xml:space="preserve"> </w:t>
      </w:r>
      <w:proofErr w:type="spellStart"/>
      <w:r w:rsidR="00F51ECD" w:rsidRPr="00F51ECD">
        <w:t>karnym</w:t>
      </w:r>
      <w:proofErr w:type="spellEnd"/>
      <w:r w:rsidR="00F51ECD" w:rsidRPr="00F51ECD">
        <w:t xml:space="preserve"> </w:t>
      </w:r>
      <w:proofErr w:type="spellStart"/>
      <w:r w:rsidR="00F51ECD" w:rsidRPr="00F51ECD">
        <w:t>toczącym</w:t>
      </w:r>
      <w:proofErr w:type="spellEnd"/>
      <w:r w:rsidR="00F51ECD" w:rsidRPr="00F51ECD">
        <w:t xml:space="preserve"> </w:t>
      </w:r>
      <w:proofErr w:type="spellStart"/>
      <w:r w:rsidR="00F51ECD" w:rsidRPr="00F51ECD">
        <w:t>się</w:t>
      </w:r>
      <w:proofErr w:type="spellEnd"/>
      <w:r w:rsidR="00F51ECD" w:rsidRPr="00F51ECD">
        <w:t xml:space="preserve"> od 1998 </w:t>
      </w:r>
      <w:proofErr w:type="spellStart"/>
      <w:r w:rsidR="00F51ECD" w:rsidRPr="00F51ECD">
        <w:t>roku</w:t>
      </w:r>
      <w:proofErr w:type="spellEnd"/>
      <w:r w:rsidR="00F51ECD" w:rsidRPr="00F51ECD">
        <w:t xml:space="preserve"> do </w:t>
      </w:r>
      <w:proofErr w:type="spellStart"/>
      <w:r w:rsidR="00F51ECD" w:rsidRPr="00F51ECD">
        <w:t>lutego</w:t>
      </w:r>
      <w:proofErr w:type="spellEnd"/>
      <w:r w:rsidR="00F51ECD" w:rsidRPr="00F51ECD">
        <w:t xml:space="preserve"> 1999 </w:t>
      </w:r>
      <w:proofErr w:type="spellStart"/>
      <w:r w:rsidR="00F51ECD" w:rsidRPr="00F51ECD">
        <w:t>roku</w:t>
      </w:r>
      <w:proofErr w:type="spellEnd"/>
      <w:r w:rsidR="00F51ECD" w:rsidRPr="00F51ECD">
        <w:t>.</w:t>
      </w:r>
    </w:p>
  </w:footnote>
  <w:footnote w:id="167">
    <w:p w:rsidR="00AC3310" w:rsidRPr="00D47D22" w:rsidRDefault="00AC3310" w:rsidP="00766186">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w:t>
      </w:r>
      <w:proofErr w:type="spellStart"/>
      <w:r w:rsidRPr="00D47D22">
        <w:rPr>
          <w:rFonts w:ascii="Times New Roman" w:hAnsi="Times New Roman" w:cs="Times New Roman"/>
          <w:i/>
          <w:lang w:val="pl-PL"/>
        </w:rPr>
        <w:t>Kapetanios</w:t>
      </w:r>
      <w:proofErr w:type="spellEnd"/>
      <w:r w:rsidRPr="00D47D22">
        <w:rPr>
          <w:rFonts w:ascii="Times New Roman" w:hAnsi="Times New Roman" w:cs="Times New Roman"/>
          <w:i/>
          <w:lang w:val="pl-PL"/>
        </w:rPr>
        <w:t xml:space="preserve"> i Inni</w:t>
      </w:r>
      <w:r w:rsidRPr="00D47D22">
        <w:rPr>
          <w:rFonts w:ascii="Times New Roman" w:hAnsi="Times New Roman" w:cs="Times New Roman"/>
          <w:lang w:val="pl-PL"/>
        </w:rPr>
        <w:t xml:space="preserve">, cytowany wyżej, §§ 71 i 72. Francuska wersja językowa </w:t>
      </w:r>
      <w:proofErr w:type="spellStart"/>
      <w:r w:rsidRPr="00D47D22">
        <w:rPr>
          <w:rFonts w:ascii="Times New Roman" w:hAnsi="Times New Roman" w:cs="Times New Roman"/>
          <w:i/>
          <w:lang w:val="pl-PL"/>
        </w:rPr>
        <w:t>Sergeya</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Zołotukhina</w:t>
      </w:r>
      <w:proofErr w:type="spellEnd"/>
      <w:r w:rsidRPr="00D47D22">
        <w:rPr>
          <w:rFonts w:ascii="Times New Roman" w:hAnsi="Times New Roman" w:cs="Times New Roman"/>
          <w:lang w:val="pl-PL"/>
        </w:rPr>
        <w:t xml:space="preserve"> jest bardziej ekspresyjna, ponieważ uwzględnia w ust. 83 ryzyko nowego ścigania </w:t>
      </w:r>
      <w:r w:rsidRPr="00D47D22">
        <w:rPr>
          <w:rFonts w:ascii="Times New Roman" w:hAnsi="Times New Roman" w:cs="Times New Roman"/>
          <w:i/>
          <w:lang w:val="pl-PL"/>
        </w:rPr>
        <w:t>(</w:t>
      </w:r>
      <w:proofErr w:type="spellStart"/>
      <w:r w:rsidRPr="00D47D22">
        <w:rPr>
          <w:rFonts w:ascii="Times New Roman" w:hAnsi="Times New Roman" w:cs="Times New Roman"/>
          <w:i/>
          <w:lang w:val="pl-PL"/>
        </w:rPr>
        <w:t>risque</w:t>
      </w:r>
      <w:proofErr w:type="spellEnd"/>
      <w:r w:rsidRPr="00D47D22">
        <w:rPr>
          <w:rFonts w:ascii="Times New Roman" w:hAnsi="Times New Roman" w:cs="Times New Roman"/>
          <w:i/>
          <w:lang w:val="pl-PL"/>
        </w:rPr>
        <w:t xml:space="preserve"> de </w:t>
      </w:r>
      <w:proofErr w:type="spellStart"/>
      <w:r w:rsidRPr="00D47D22">
        <w:rPr>
          <w:rFonts w:ascii="Times New Roman" w:hAnsi="Times New Roman" w:cs="Times New Roman"/>
          <w:i/>
          <w:lang w:val="pl-PL"/>
        </w:rPr>
        <w:t>nouvelles</w:t>
      </w:r>
      <w:proofErr w:type="spellEnd"/>
      <w:r w:rsidRPr="00D47D22">
        <w:rPr>
          <w:rFonts w:ascii="Times New Roman" w:hAnsi="Times New Roman" w:cs="Times New Roman"/>
          <w:i/>
          <w:lang w:val="pl-PL"/>
        </w:rPr>
        <w:t xml:space="preserve"> </w:t>
      </w:r>
      <w:proofErr w:type="spellStart"/>
      <w:r w:rsidRPr="00D47D22">
        <w:rPr>
          <w:rFonts w:ascii="Times New Roman" w:hAnsi="Times New Roman" w:cs="Times New Roman"/>
          <w:i/>
          <w:lang w:val="pl-PL"/>
        </w:rPr>
        <w:t>poursuites</w:t>
      </w:r>
      <w:proofErr w:type="spellEnd"/>
      <w:r w:rsidRPr="00D47D22">
        <w:rPr>
          <w:rFonts w:ascii="Times New Roman" w:hAnsi="Times New Roman" w:cs="Times New Roman"/>
          <w:lang w:val="pl-PL"/>
        </w:rPr>
        <w:t xml:space="preserve">) obok nowych procesów. Zob. również pkt. 59 cytowanego powyżej wyroku Trybunału Sprawiedliwości Unii Europejskiej w sprawie </w:t>
      </w:r>
      <w:r w:rsidRPr="00D47D22">
        <w:rPr>
          <w:rFonts w:ascii="Times New Roman" w:hAnsi="Times New Roman" w:cs="Times New Roman"/>
          <w:i/>
          <w:lang w:val="pl-PL"/>
        </w:rPr>
        <w:t xml:space="preserve">Van </w:t>
      </w:r>
      <w:proofErr w:type="spellStart"/>
      <w:r w:rsidRPr="00D47D22">
        <w:rPr>
          <w:rFonts w:ascii="Times New Roman" w:hAnsi="Times New Roman" w:cs="Times New Roman"/>
          <w:i/>
          <w:lang w:val="pl-PL"/>
        </w:rPr>
        <w:t>Straaten</w:t>
      </w:r>
      <w:proofErr w:type="spellEnd"/>
      <w:r w:rsidRPr="00D47D22">
        <w:rPr>
          <w:rFonts w:ascii="Times New Roman" w:hAnsi="Times New Roman" w:cs="Times New Roman"/>
          <w:i/>
          <w:lang w:val="pl-PL"/>
        </w:rPr>
        <w:t>:</w:t>
      </w:r>
      <w:r w:rsidRPr="00D47D22">
        <w:rPr>
          <w:rFonts w:ascii="Times New Roman" w:hAnsi="Times New Roman" w:cs="Times New Roman"/>
          <w:lang w:val="pl-PL"/>
        </w:rPr>
        <w:t>„w przypadku ostatecznego uniewinnienia za brak dowodów wszczęcie postępowania karnego w innym Umawiającym się Państwie w związku z tymi samymi czynami naruszyłoby zasady pewności prawa i ochrony uzasadnionych oczekiwań".</w:t>
      </w:r>
    </w:p>
  </w:footnote>
  <w:footnote w:id="168">
    <w:p w:rsidR="00EE55DE" w:rsidRPr="00486852" w:rsidRDefault="00EE55DE">
      <w:pPr>
        <w:pStyle w:val="Tekstprzypisudolnego"/>
        <w:rPr>
          <w:lang w:val="pl-PL"/>
        </w:rPr>
      </w:pPr>
      <w:r>
        <w:rPr>
          <w:rStyle w:val="Odwoanieprzypisudolnego"/>
        </w:rPr>
        <w:footnoteRef/>
      </w:r>
      <w:r>
        <w:t xml:space="preserve"> </w:t>
      </w:r>
      <w:proofErr w:type="spellStart"/>
      <w:r w:rsidR="00F51ECD" w:rsidRPr="00F51ECD">
        <w:rPr>
          <w:i/>
        </w:rPr>
        <w:t>Zobacz</w:t>
      </w:r>
      <w:proofErr w:type="spellEnd"/>
      <w:r w:rsidR="00F51ECD" w:rsidRPr="00F51ECD">
        <w:rPr>
          <w:i/>
        </w:rPr>
        <w:t xml:space="preserve"> </w:t>
      </w:r>
      <w:proofErr w:type="spellStart"/>
      <w:r w:rsidR="00F51ECD" w:rsidRPr="00F51ECD">
        <w:rPr>
          <w:i/>
        </w:rPr>
        <w:t>Kapetanios</w:t>
      </w:r>
      <w:proofErr w:type="spellEnd"/>
      <w:r w:rsidR="00F51ECD" w:rsidRPr="00F51ECD">
        <w:rPr>
          <w:i/>
        </w:rPr>
        <w:t xml:space="preserve"> </w:t>
      </w:r>
      <w:proofErr w:type="spellStart"/>
      <w:r w:rsidR="00F51ECD" w:rsidRPr="00F51ECD">
        <w:rPr>
          <w:i/>
        </w:rPr>
        <w:t>i</w:t>
      </w:r>
      <w:proofErr w:type="spellEnd"/>
      <w:r w:rsidR="00F51ECD" w:rsidRPr="00F51ECD">
        <w:rPr>
          <w:i/>
        </w:rPr>
        <w:t xml:space="preserve"> </w:t>
      </w:r>
      <w:proofErr w:type="spellStart"/>
      <w:r w:rsidR="00F51ECD" w:rsidRPr="00F51ECD">
        <w:rPr>
          <w:i/>
        </w:rPr>
        <w:t>inni</w:t>
      </w:r>
      <w:proofErr w:type="spellEnd"/>
      <w:r w:rsidR="00F51ECD" w:rsidRPr="00F51ECD">
        <w:rPr>
          <w:i/>
        </w:rPr>
        <w:t xml:space="preserve">, </w:t>
      </w:r>
      <w:proofErr w:type="spellStart"/>
      <w:r w:rsidR="00F51ECD" w:rsidRPr="00F51ECD">
        <w:rPr>
          <w:i/>
        </w:rPr>
        <w:t>cytowany</w:t>
      </w:r>
      <w:proofErr w:type="spellEnd"/>
      <w:r w:rsidR="00F51ECD" w:rsidRPr="00F51ECD">
        <w:rPr>
          <w:i/>
        </w:rPr>
        <w:t xml:space="preserve"> </w:t>
      </w:r>
      <w:proofErr w:type="spellStart"/>
      <w:r w:rsidR="00F51ECD" w:rsidRPr="00F51ECD">
        <w:rPr>
          <w:i/>
        </w:rPr>
        <w:t>powyżej</w:t>
      </w:r>
      <w:proofErr w:type="spellEnd"/>
      <w:r w:rsidR="00F51ECD" w:rsidRPr="00F51ECD">
        <w:rPr>
          <w:i/>
        </w:rPr>
        <w:t xml:space="preserve">, § 66. To jest </w:t>
      </w:r>
      <w:proofErr w:type="spellStart"/>
      <w:r w:rsidR="00F51ECD" w:rsidRPr="00F51ECD">
        <w:rPr>
          <w:i/>
        </w:rPr>
        <w:t>właśnie</w:t>
      </w:r>
      <w:proofErr w:type="spellEnd"/>
      <w:r w:rsidR="00F51ECD" w:rsidRPr="00F51ECD">
        <w:rPr>
          <w:i/>
        </w:rPr>
        <w:t xml:space="preserve"> </w:t>
      </w:r>
      <w:proofErr w:type="spellStart"/>
      <w:r w:rsidR="00F51ECD" w:rsidRPr="00F51ECD">
        <w:rPr>
          <w:i/>
        </w:rPr>
        <w:t>konkluzja</w:t>
      </w:r>
      <w:proofErr w:type="spellEnd"/>
      <w:r w:rsidR="00F51ECD" w:rsidRPr="00F51ECD">
        <w:rPr>
          <w:i/>
        </w:rPr>
        <w:t xml:space="preserve"> </w:t>
      </w:r>
      <w:proofErr w:type="spellStart"/>
      <w:r w:rsidR="00F51ECD" w:rsidRPr="00F51ECD">
        <w:rPr>
          <w:i/>
        </w:rPr>
        <w:t>osiągnięta</w:t>
      </w:r>
      <w:proofErr w:type="spellEnd"/>
      <w:r w:rsidR="00F51ECD" w:rsidRPr="00F51ECD">
        <w:rPr>
          <w:i/>
        </w:rPr>
        <w:t xml:space="preserve"> w </w:t>
      </w:r>
      <w:proofErr w:type="spellStart"/>
      <w:r w:rsidR="00F51ECD" w:rsidRPr="00F51ECD">
        <w:rPr>
          <w:i/>
        </w:rPr>
        <w:t>Tadeu</w:t>
      </w:r>
      <w:proofErr w:type="spellEnd"/>
      <w:r w:rsidR="00F51ECD" w:rsidRPr="00F51ECD">
        <w:rPr>
          <w:i/>
        </w:rPr>
        <w:t xml:space="preserve"> </w:t>
      </w:r>
      <w:proofErr w:type="spellStart"/>
      <w:r w:rsidR="00F51ECD" w:rsidRPr="00F51ECD">
        <w:rPr>
          <w:i/>
        </w:rPr>
        <w:t>Melo</w:t>
      </w:r>
      <w:proofErr w:type="spellEnd"/>
      <w:r w:rsidR="00F51ECD" w:rsidRPr="00F51ECD">
        <w:rPr>
          <w:i/>
        </w:rPr>
        <w:t xml:space="preserve"> v. </w:t>
      </w:r>
      <w:proofErr w:type="spellStart"/>
      <w:r w:rsidR="00F51ECD" w:rsidRPr="00F51ECD">
        <w:rPr>
          <w:i/>
        </w:rPr>
        <w:t>Portugalia</w:t>
      </w:r>
      <w:proofErr w:type="spellEnd"/>
      <w:r w:rsidR="00F51ECD" w:rsidRPr="00F51ECD">
        <w:rPr>
          <w:i/>
        </w:rPr>
        <w:t xml:space="preserve"> (</w:t>
      </w:r>
      <w:proofErr w:type="spellStart"/>
      <w:r w:rsidR="00F51ECD" w:rsidRPr="00F51ECD">
        <w:rPr>
          <w:i/>
        </w:rPr>
        <w:t>nr</w:t>
      </w:r>
      <w:proofErr w:type="spellEnd"/>
      <w:r w:rsidR="00F51ECD" w:rsidRPr="00F51ECD">
        <w:rPr>
          <w:i/>
        </w:rPr>
        <w:t xml:space="preserve"> 27785/10, § 64, 23 </w:t>
      </w:r>
      <w:proofErr w:type="spellStart"/>
      <w:r w:rsidR="00F51ECD" w:rsidRPr="00F51ECD">
        <w:rPr>
          <w:i/>
        </w:rPr>
        <w:t>października</w:t>
      </w:r>
      <w:proofErr w:type="spellEnd"/>
      <w:r w:rsidR="00F51ECD" w:rsidRPr="00F51ECD">
        <w:rPr>
          <w:i/>
        </w:rPr>
        <w:t xml:space="preserve"> 2014 r.): "La </w:t>
      </w:r>
      <w:proofErr w:type="spellStart"/>
      <w:r w:rsidR="00F51ECD" w:rsidRPr="00F51ECD">
        <w:rPr>
          <w:i/>
        </w:rPr>
        <w:t>Cour</w:t>
      </w:r>
      <w:proofErr w:type="spellEnd"/>
      <w:r w:rsidR="00F51ECD" w:rsidRPr="00F51ECD">
        <w:rPr>
          <w:i/>
        </w:rPr>
        <w:t xml:space="preserve"> </w:t>
      </w:r>
      <w:proofErr w:type="spellStart"/>
      <w:r w:rsidR="00F51ECD" w:rsidRPr="00F51ECD">
        <w:rPr>
          <w:i/>
        </w:rPr>
        <w:t>estinie</w:t>
      </w:r>
      <w:proofErr w:type="spellEnd"/>
      <w:r w:rsidR="00F51ECD" w:rsidRPr="00F51ECD">
        <w:rPr>
          <w:i/>
        </w:rPr>
        <w:t xml:space="preserve"> </w:t>
      </w:r>
      <w:proofErr w:type="spellStart"/>
      <w:r w:rsidR="00F51ECD" w:rsidRPr="00F51ECD">
        <w:rPr>
          <w:i/>
        </w:rPr>
        <w:t>qu'un</w:t>
      </w:r>
      <w:proofErr w:type="spellEnd"/>
      <w:r w:rsidR="00F51ECD" w:rsidRPr="00F51ECD">
        <w:rPr>
          <w:i/>
        </w:rPr>
        <w:t xml:space="preserve"> </w:t>
      </w:r>
      <w:proofErr w:type="spellStart"/>
      <w:r w:rsidR="00F51ECD" w:rsidRPr="00F51ECD">
        <w:rPr>
          <w:i/>
        </w:rPr>
        <w:t>acquittement</w:t>
      </w:r>
      <w:proofErr w:type="spellEnd"/>
      <w:r w:rsidR="00F51ECD" w:rsidRPr="00F51ECD">
        <w:rPr>
          <w:i/>
        </w:rPr>
        <w:t xml:space="preserve"> </w:t>
      </w:r>
      <w:proofErr w:type="spellStart"/>
      <w:r w:rsidR="00F51ECD" w:rsidRPr="00F51ECD">
        <w:rPr>
          <w:i/>
        </w:rPr>
        <w:t>pénal</w:t>
      </w:r>
      <w:proofErr w:type="spellEnd"/>
      <w:r w:rsidR="00F51ECD" w:rsidRPr="00F51ECD">
        <w:rPr>
          <w:i/>
        </w:rPr>
        <w:t xml:space="preserve"> </w:t>
      </w:r>
      <w:proofErr w:type="spellStart"/>
      <w:r w:rsidR="00F51ECD" w:rsidRPr="00F51ECD">
        <w:rPr>
          <w:i/>
        </w:rPr>
        <w:t>doit</w:t>
      </w:r>
      <w:proofErr w:type="spellEnd"/>
      <w:r w:rsidR="00F51ECD" w:rsidRPr="00F51ECD">
        <w:rPr>
          <w:i/>
        </w:rPr>
        <w:t xml:space="preserve"> </w:t>
      </w:r>
      <w:proofErr w:type="spellStart"/>
      <w:r w:rsidR="00F51ECD" w:rsidRPr="00F51ECD">
        <w:rPr>
          <w:i/>
        </w:rPr>
        <w:t>être</w:t>
      </w:r>
      <w:proofErr w:type="spellEnd"/>
      <w:r w:rsidR="00F51ECD" w:rsidRPr="00F51ECD">
        <w:rPr>
          <w:i/>
        </w:rPr>
        <w:t xml:space="preserve"> </w:t>
      </w:r>
      <w:proofErr w:type="spellStart"/>
      <w:r w:rsidR="00F51ECD" w:rsidRPr="00F51ECD">
        <w:rPr>
          <w:i/>
        </w:rPr>
        <w:t>pris</w:t>
      </w:r>
      <w:proofErr w:type="spellEnd"/>
      <w:r w:rsidR="00F51ECD" w:rsidRPr="00F51ECD">
        <w:rPr>
          <w:i/>
        </w:rPr>
        <w:t xml:space="preserve"> </w:t>
      </w:r>
      <w:proofErr w:type="spellStart"/>
      <w:r w:rsidR="00F51ECD" w:rsidRPr="00F51ECD">
        <w:rPr>
          <w:i/>
        </w:rPr>
        <w:t>en</w:t>
      </w:r>
      <w:proofErr w:type="spellEnd"/>
      <w:r w:rsidR="00F51ECD" w:rsidRPr="00F51ECD">
        <w:rPr>
          <w:i/>
        </w:rPr>
        <w:t xml:space="preserve"> </w:t>
      </w:r>
      <w:proofErr w:type="spellStart"/>
      <w:r w:rsidR="00F51ECD" w:rsidRPr="00F51ECD">
        <w:rPr>
          <w:i/>
        </w:rPr>
        <w:t>compte</w:t>
      </w:r>
      <w:proofErr w:type="spellEnd"/>
      <w:r w:rsidR="00F51ECD" w:rsidRPr="00F51ECD">
        <w:rPr>
          <w:i/>
        </w:rPr>
        <w:t xml:space="preserve"> </w:t>
      </w:r>
      <w:proofErr w:type="spellStart"/>
      <w:r w:rsidR="00F51ECD" w:rsidRPr="00F51ECD">
        <w:rPr>
          <w:i/>
        </w:rPr>
        <w:t>dans</w:t>
      </w:r>
      <w:proofErr w:type="spellEnd"/>
      <w:r w:rsidR="00F51ECD" w:rsidRPr="00F51ECD">
        <w:rPr>
          <w:i/>
        </w:rPr>
        <w:t xml:space="preserve"> </w:t>
      </w:r>
      <w:proofErr w:type="spellStart"/>
      <w:r w:rsidR="00F51ECD" w:rsidRPr="00F51ECD">
        <w:rPr>
          <w:i/>
        </w:rPr>
        <w:t>toute</w:t>
      </w:r>
      <w:proofErr w:type="spellEnd"/>
      <w:r w:rsidR="00F51ECD" w:rsidRPr="00F51ECD">
        <w:rPr>
          <w:i/>
        </w:rPr>
        <w:t xml:space="preserve"> PROCÉDURE </w:t>
      </w:r>
      <w:proofErr w:type="spellStart"/>
      <w:r w:rsidR="00F51ECD" w:rsidRPr="00F51ECD">
        <w:rPr>
          <w:i/>
        </w:rPr>
        <w:t>ulterieure</w:t>
      </w:r>
      <w:proofErr w:type="spellEnd"/>
      <w:r w:rsidR="00F51ECD" w:rsidRPr="00F51ECD">
        <w:rPr>
          <w:i/>
        </w:rPr>
        <w:t xml:space="preserve">, </w:t>
      </w:r>
      <w:proofErr w:type="spellStart"/>
      <w:r w:rsidR="00F51ECD" w:rsidRPr="00F51ECD">
        <w:rPr>
          <w:i/>
        </w:rPr>
        <w:t>bolesne</w:t>
      </w:r>
      <w:proofErr w:type="spellEnd"/>
      <w:r w:rsidR="00F51ECD" w:rsidRPr="00F51ECD">
        <w:rPr>
          <w:i/>
        </w:rPr>
        <w:t xml:space="preserve"> </w:t>
      </w:r>
      <w:proofErr w:type="spellStart"/>
      <w:r w:rsidR="00F51ECD" w:rsidRPr="00F51ECD">
        <w:rPr>
          <w:i/>
        </w:rPr>
        <w:t>lub</w:t>
      </w:r>
      <w:proofErr w:type="spellEnd"/>
      <w:r w:rsidR="00F51ECD" w:rsidRPr="00F51ECD">
        <w:rPr>
          <w:i/>
        </w:rPr>
        <w:t xml:space="preserve"> </w:t>
      </w:r>
      <w:proofErr w:type="spellStart"/>
      <w:r w:rsidR="00F51ECD" w:rsidRPr="00F51ECD">
        <w:rPr>
          <w:i/>
        </w:rPr>
        <w:t>nie</w:t>
      </w:r>
      <w:proofErr w:type="spellEnd"/>
      <w:r w:rsidR="00F51ECD" w:rsidRPr="00F51ECD">
        <w:rPr>
          <w:i/>
        </w:rPr>
        <w:t xml:space="preserve"> </w:t>
      </w:r>
      <w:proofErr w:type="spellStart"/>
      <w:r w:rsidR="00F51ECD" w:rsidRPr="00F51ECD">
        <w:rPr>
          <w:i/>
        </w:rPr>
        <w:t>karnej</w:t>
      </w:r>
      <w:proofErr w:type="spellEnd"/>
      <w:r w:rsidR="00F51ECD" w:rsidRPr="00F51ECD">
        <w:rPr>
          <w:i/>
        </w:rPr>
        <w:t>".</w:t>
      </w:r>
    </w:p>
  </w:footnote>
  <w:footnote w:id="169">
    <w:p w:rsidR="00D62865" w:rsidRPr="00486852" w:rsidRDefault="00D62865">
      <w:pPr>
        <w:pStyle w:val="Tekstprzypisudolnego"/>
        <w:rPr>
          <w:lang w:val="pl-PL"/>
        </w:rPr>
      </w:pPr>
      <w:r>
        <w:rPr>
          <w:rStyle w:val="Odwoanieprzypisudolnego"/>
        </w:rPr>
        <w:footnoteRef/>
      </w:r>
      <w:r>
        <w:t xml:space="preserve"> </w:t>
      </w:r>
      <w:proofErr w:type="spellStart"/>
      <w:r w:rsidRPr="00D62865">
        <w:t>Zobacz</w:t>
      </w:r>
      <w:proofErr w:type="spellEnd"/>
      <w:r w:rsidRPr="00D62865">
        <w:t xml:space="preserve"> </w:t>
      </w:r>
      <w:r w:rsidRPr="00486852">
        <w:rPr>
          <w:i/>
        </w:rPr>
        <w:t>Lucky Dev</w:t>
      </w:r>
      <w:r w:rsidRPr="00D62865">
        <w:t xml:space="preserve">, </w:t>
      </w:r>
      <w:proofErr w:type="spellStart"/>
      <w:r w:rsidRPr="00D62865">
        <w:t>cytowany</w:t>
      </w:r>
      <w:proofErr w:type="spellEnd"/>
      <w:r w:rsidRPr="00D62865">
        <w:t xml:space="preserve"> </w:t>
      </w:r>
      <w:proofErr w:type="spellStart"/>
      <w:r w:rsidRPr="00D62865">
        <w:t>powyżej</w:t>
      </w:r>
      <w:proofErr w:type="spellEnd"/>
      <w:r w:rsidRPr="00D62865">
        <w:t>, § 60.</w:t>
      </w:r>
    </w:p>
  </w:footnote>
  <w:footnote w:id="170">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t>
      </w:r>
      <w:proofErr w:type="spellStart"/>
      <w:r w:rsidRPr="00D47D22">
        <w:rPr>
          <w:rFonts w:ascii="Times New Roman" w:hAnsi="Times New Roman" w:cs="Times New Roman"/>
          <w:i/>
          <w:lang w:val="pl-PL"/>
        </w:rPr>
        <w:t>Kapetanios</w:t>
      </w:r>
      <w:proofErr w:type="spellEnd"/>
      <w:r w:rsidRPr="00D47D22">
        <w:rPr>
          <w:rFonts w:ascii="Times New Roman" w:hAnsi="Times New Roman" w:cs="Times New Roman"/>
          <w:i/>
          <w:lang w:val="pl-PL"/>
        </w:rPr>
        <w:t xml:space="preserve"> i Inni, cytowany wyżej</w:t>
      </w:r>
      <w:r w:rsidRPr="00D47D22">
        <w:rPr>
          <w:rFonts w:ascii="Times New Roman" w:hAnsi="Times New Roman" w:cs="Times New Roman"/>
          <w:lang w:val="pl-PL"/>
        </w:rPr>
        <w:t xml:space="preserve">, § 88, i </w:t>
      </w:r>
      <w:proofErr w:type="spellStart"/>
      <w:r w:rsidRPr="00D47D22">
        <w:rPr>
          <w:rFonts w:ascii="Times New Roman" w:hAnsi="Times New Roman" w:cs="Times New Roman"/>
          <w:i/>
          <w:lang w:val="pl-PL"/>
        </w:rPr>
        <w:t>Sismanidis</w:t>
      </w:r>
      <w:proofErr w:type="spellEnd"/>
      <w:r w:rsidRPr="00D47D22">
        <w:rPr>
          <w:rFonts w:ascii="Times New Roman" w:hAnsi="Times New Roman" w:cs="Times New Roman"/>
          <w:i/>
          <w:lang w:val="pl-PL"/>
        </w:rPr>
        <w:t xml:space="preserve"> i </w:t>
      </w:r>
      <w:proofErr w:type="spellStart"/>
      <w:r w:rsidRPr="00D47D22">
        <w:rPr>
          <w:rFonts w:ascii="Times New Roman" w:hAnsi="Times New Roman" w:cs="Times New Roman"/>
          <w:i/>
          <w:lang w:val="pl-PL"/>
        </w:rPr>
        <w:t>Sitaridis</w:t>
      </w:r>
      <w:proofErr w:type="spellEnd"/>
      <w:r w:rsidRPr="00D47D22">
        <w:rPr>
          <w:rFonts w:ascii="Times New Roman" w:hAnsi="Times New Roman" w:cs="Times New Roman"/>
          <w:lang w:val="pl-PL"/>
        </w:rPr>
        <w:t>, cytowany wyżej, § 58.</w:t>
      </w:r>
    </w:p>
  </w:footnote>
  <w:footnote w:id="171">
    <w:p w:rsidR="00AC3310" w:rsidRPr="00D47D22" w:rsidRDefault="00AC3310" w:rsidP="00766186">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Zob. uwagi rządu z dnia 11 listopada 2015 r</w:t>
      </w:r>
      <w:r>
        <w:rPr>
          <w:rFonts w:ascii="Times New Roman" w:hAnsi="Times New Roman" w:cs="Times New Roman"/>
          <w:lang w:val="pl-PL"/>
        </w:rPr>
        <w:t>oku</w:t>
      </w:r>
      <w:r w:rsidRPr="00D47D22">
        <w:rPr>
          <w:rFonts w:ascii="Times New Roman" w:hAnsi="Times New Roman" w:cs="Times New Roman"/>
          <w:lang w:val="pl-PL"/>
        </w:rPr>
        <w:t xml:space="preserve">, s. 1. </w:t>
      </w:r>
    </w:p>
  </w:footnote>
  <w:footnote w:id="172">
    <w:p w:rsidR="00E60972" w:rsidRPr="00486852" w:rsidRDefault="00E60972">
      <w:pPr>
        <w:pStyle w:val="Tekstprzypisudolnego"/>
        <w:rPr>
          <w:lang w:val="pl-PL"/>
        </w:rPr>
      </w:pPr>
      <w:r>
        <w:rPr>
          <w:rStyle w:val="Odwoanieprzypisudolnego"/>
        </w:rPr>
        <w:footnoteRef/>
      </w:r>
      <w:r>
        <w:t xml:space="preserve"> </w:t>
      </w:r>
      <w:proofErr w:type="spellStart"/>
      <w:r w:rsidR="00B800DF">
        <w:t>Sprawa</w:t>
      </w:r>
      <w:proofErr w:type="spellEnd"/>
      <w:r w:rsidR="00B800DF">
        <w:t xml:space="preserve"> </w:t>
      </w:r>
      <w:r w:rsidR="00B800DF" w:rsidRPr="00B800DF">
        <w:t xml:space="preserve">100-213 / 00 P ITALCEMENTI </w:t>
      </w:r>
      <w:proofErr w:type="spellStart"/>
      <w:r w:rsidR="00B800DF" w:rsidRPr="00B800DF">
        <w:t>SpA</w:t>
      </w:r>
      <w:proofErr w:type="spellEnd"/>
      <w:r w:rsidR="00B800DF" w:rsidRPr="00B800DF">
        <w:t xml:space="preserve"> v. </w:t>
      </w:r>
      <w:proofErr w:type="spellStart"/>
      <w:r w:rsidR="00B800DF" w:rsidRPr="00B800DF">
        <w:t>Komisja</w:t>
      </w:r>
      <w:proofErr w:type="spellEnd"/>
      <w:r w:rsidR="00B800DF" w:rsidRPr="00B800DF">
        <w:t xml:space="preserve"> </w:t>
      </w:r>
      <w:proofErr w:type="spellStart"/>
      <w:r w:rsidR="00B800DF" w:rsidRPr="00B800DF">
        <w:t>Wspólnot</w:t>
      </w:r>
      <w:proofErr w:type="spellEnd"/>
      <w:r w:rsidR="00B800DF" w:rsidRPr="00B800DF">
        <w:t xml:space="preserve"> </w:t>
      </w:r>
      <w:proofErr w:type="spellStart"/>
      <w:r w:rsidR="00B800DF" w:rsidRPr="00B800DF">
        <w:t>Europejskich</w:t>
      </w:r>
      <w:proofErr w:type="spellEnd"/>
      <w:r w:rsidR="00B800DF" w:rsidRPr="00B800DF">
        <w:t xml:space="preserve">, </w:t>
      </w:r>
      <w:proofErr w:type="spellStart"/>
      <w:r w:rsidR="00B800DF" w:rsidRPr="00B800DF">
        <w:t>opinią</w:t>
      </w:r>
      <w:proofErr w:type="spellEnd"/>
      <w:r w:rsidR="00B800DF" w:rsidRPr="00B800DF">
        <w:t xml:space="preserve"> </w:t>
      </w:r>
      <w:proofErr w:type="spellStart"/>
      <w:r w:rsidR="00B800DF" w:rsidRPr="00B800DF">
        <w:t>rzecznika</w:t>
      </w:r>
      <w:proofErr w:type="spellEnd"/>
      <w:r w:rsidR="00B800DF" w:rsidRPr="00B800DF">
        <w:t xml:space="preserve"> </w:t>
      </w:r>
      <w:proofErr w:type="spellStart"/>
      <w:r w:rsidR="00B800DF" w:rsidRPr="00B800DF">
        <w:t>generalnego</w:t>
      </w:r>
      <w:proofErr w:type="spellEnd"/>
      <w:r w:rsidR="00B800DF" w:rsidRPr="00B800DF">
        <w:t xml:space="preserve"> Ruiz-</w:t>
      </w:r>
      <w:proofErr w:type="spellStart"/>
      <w:r w:rsidR="00B800DF" w:rsidRPr="00B800DF">
        <w:t>Jarabe</w:t>
      </w:r>
      <w:proofErr w:type="spellEnd"/>
      <w:r w:rsidR="00B800DF" w:rsidRPr="00B800DF">
        <w:t xml:space="preserve"> </w:t>
      </w:r>
      <w:proofErr w:type="spellStart"/>
      <w:r w:rsidR="00B800DF" w:rsidRPr="00B800DF">
        <w:t>Colomera</w:t>
      </w:r>
      <w:proofErr w:type="spellEnd"/>
      <w:r w:rsidR="00B800DF" w:rsidRPr="00B800DF">
        <w:t xml:space="preserve"> w </w:t>
      </w:r>
      <w:proofErr w:type="spellStart"/>
      <w:r w:rsidR="00B800DF" w:rsidRPr="00B800DF">
        <w:t>dniu</w:t>
      </w:r>
      <w:proofErr w:type="spellEnd"/>
      <w:r w:rsidR="00B800DF" w:rsidRPr="00B800DF">
        <w:t xml:space="preserve"> 11 </w:t>
      </w:r>
      <w:proofErr w:type="spellStart"/>
      <w:r w:rsidR="00B800DF" w:rsidRPr="00B800DF">
        <w:t>lutego</w:t>
      </w:r>
      <w:proofErr w:type="spellEnd"/>
      <w:r w:rsidR="00B800DF" w:rsidRPr="00B800DF">
        <w:t xml:space="preserve"> 2003 </w:t>
      </w:r>
      <w:proofErr w:type="spellStart"/>
      <w:r w:rsidR="00B800DF" w:rsidRPr="00B800DF">
        <w:t>roku</w:t>
      </w:r>
      <w:proofErr w:type="spellEnd"/>
      <w:r w:rsidR="00B800DF" w:rsidRPr="00B800DF">
        <w:t xml:space="preserve">, § 96, </w:t>
      </w:r>
      <w:proofErr w:type="spellStart"/>
      <w:r w:rsidR="00B800DF" w:rsidRPr="00B800DF">
        <w:t>oraz</w:t>
      </w:r>
      <w:proofErr w:type="spellEnd"/>
      <w:r w:rsidR="00B800DF" w:rsidRPr="00B800DF">
        <w:t xml:space="preserve"> </w:t>
      </w:r>
      <w:proofErr w:type="spellStart"/>
      <w:r w:rsidR="00B800DF" w:rsidRPr="00B800DF">
        <w:t>sprawa</w:t>
      </w:r>
      <w:proofErr w:type="spellEnd"/>
      <w:r w:rsidR="00B800DF" w:rsidRPr="00B800DF">
        <w:t xml:space="preserve"> 100-150 / 05, </w:t>
      </w:r>
      <w:proofErr w:type="spellStart"/>
      <w:r w:rsidR="00B800DF" w:rsidRPr="00B800DF">
        <w:t>cytowany</w:t>
      </w:r>
      <w:proofErr w:type="spellEnd"/>
      <w:r w:rsidR="00B800DF" w:rsidRPr="00B800DF">
        <w:t xml:space="preserve"> </w:t>
      </w:r>
      <w:proofErr w:type="spellStart"/>
      <w:r w:rsidR="00B800DF" w:rsidRPr="00B800DF">
        <w:t>powyżej</w:t>
      </w:r>
      <w:proofErr w:type="spellEnd"/>
      <w:r w:rsidR="00B800DF" w:rsidRPr="00B800DF">
        <w:t xml:space="preserve">, </w:t>
      </w:r>
      <w:proofErr w:type="spellStart"/>
      <w:r w:rsidR="00B800DF" w:rsidRPr="00B800DF">
        <w:t>opinia</w:t>
      </w:r>
      <w:proofErr w:type="spellEnd"/>
      <w:r w:rsidR="00B800DF" w:rsidRPr="00B800DF">
        <w:t xml:space="preserve"> </w:t>
      </w:r>
      <w:proofErr w:type="spellStart"/>
      <w:r w:rsidR="00B800DF" w:rsidRPr="00B800DF">
        <w:t>samego</w:t>
      </w:r>
      <w:proofErr w:type="spellEnd"/>
      <w:r w:rsidR="00B800DF" w:rsidRPr="00B800DF">
        <w:t xml:space="preserve"> </w:t>
      </w:r>
      <w:proofErr w:type="spellStart"/>
      <w:r w:rsidR="00B800DF" w:rsidRPr="00B800DF">
        <w:t>rzecznika</w:t>
      </w:r>
      <w:proofErr w:type="spellEnd"/>
      <w:r w:rsidR="00B800DF" w:rsidRPr="00B800DF">
        <w:t xml:space="preserve"> </w:t>
      </w:r>
      <w:proofErr w:type="spellStart"/>
      <w:r w:rsidR="00B800DF" w:rsidRPr="00B800DF">
        <w:t>generalnego</w:t>
      </w:r>
      <w:proofErr w:type="spellEnd"/>
      <w:r w:rsidR="00B800DF" w:rsidRPr="00B800DF">
        <w:t xml:space="preserve"> w </w:t>
      </w:r>
      <w:proofErr w:type="spellStart"/>
      <w:r w:rsidR="00B800DF" w:rsidRPr="00B800DF">
        <w:t>dniu</w:t>
      </w:r>
      <w:proofErr w:type="spellEnd"/>
      <w:r w:rsidR="00B800DF" w:rsidRPr="00B800DF">
        <w:t xml:space="preserve"> 8 </w:t>
      </w:r>
      <w:proofErr w:type="spellStart"/>
      <w:r w:rsidR="00B800DF" w:rsidRPr="00B800DF">
        <w:t>czerwca</w:t>
      </w:r>
      <w:proofErr w:type="spellEnd"/>
      <w:r w:rsidR="00B800DF" w:rsidRPr="00B800DF">
        <w:t xml:space="preserve"> 2006 </w:t>
      </w:r>
      <w:proofErr w:type="spellStart"/>
      <w:r w:rsidR="00B800DF" w:rsidRPr="00B800DF">
        <w:t>roku</w:t>
      </w:r>
      <w:proofErr w:type="spellEnd"/>
      <w:r w:rsidR="00B800DF" w:rsidRPr="00B800DF">
        <w:t xml:space="preserve">, § 58. W </w:t>
      </w:r>
      <w:proofErr w:type="spellStart"/>
      <w:r w:rsidR="00B800DF" w:rsidRPr="00B800DF">
        <w:t>związku</w:t>
      </w:r>
      <w:proofErr w:type="spellEnd"/>
      <w:r w:rsidR="00B800DF" w:rsidRPr="00B800DF">
        <w:t xml:space="preserve"> z </w:t>
      </w:r>
      <w:proofErr w:type="spellStart"/>
      <w:r w:rsidR="00B800DF" w:rsidRPr="00B800DF">
        <w:t>tym</w:t>
      </w:r>
      <w:proofErr w:type="spellEnd"/>
      <w:r w:rsidR="00B800DF" w:rsidRPr="00B800DF">
        <w:t xml:space="preserve"> </w:t>
      </w:r>
      <w:proofErr w:type="spellStart"/>
      <w:r w:rsidR="00B800DF" w:rsidRPr="00B800DF">
        <w:t>pogląd</w:t>
      </w:r>
      <w:proofErr w:type="spellEnd"/>
      <w:r w:rsidR="00B800DF" w:rsidRPr="00B800DF">
        <w:t xml:space="preserve"> </w:t>
      </w:r>
      <w:proofErr w:type="spellStart"/>
      <w:r w:rsidR="00B800DF" w:rsidRPr="00B800DF">
        <w:t>wyrażony</w:t>
      </w:r>
      <w:proofErr w:type="spellEnd"/>
      <w:r w:rsidR="00B800DF" w:rsidRPr="00B800DF">
        <w:t xml:space="preserve"> w </w:t>
      </w:r>
      <w:proofErr w:type="spellStart"/>
      <w:r w:rsidR="00B800DF" w:rsidRPr="00B800DF">
        <w:t>pkt</w:t>
      </w:r>
      <w:proofErr w:type="spellEnd"/>
      <w:r w:rsidR="00B800DF" w:rsidRPr="00B800DF">
        <w:t xml:space="preserve"> 107 </w:t>
      </w:r>
      <w:proofErr w:type="spellStart"/>
      <w:r w:rsidR="00B800DF" w:rsidRPr="00B800DF">
        <w:t>niniejszego</w:t>
      </w:r>
      <w:proofErr w:type="spellEnd"/>
      <w:r w:rsidR="00B800DF" w:rsidRPr="00B800DF">
        <w:t xml:space="preserve"> </w:t>
      </w:r>
      <w:proofErr w:type="spellStart"/>
      <w:r w:rsidR="00B800DF" w:rsidRPr="00B800DF">
        <w:t>wyroku</w:t>
      </w:r>
      <w:proofErr w:type="spellEnd"/>
      <w:r w:rsidR="00B800DF" w:rsidRPr="00B800DF">
        <w:t xml:space="preserve">, </w:t>
      </w:r>
      <w:proofErr w:type="spellStart"/>
      <w:r w:rsidR="00B800DF" w:rsidRPr="00B800DF">
        <w:t>że</w:t>
      </w:r>
      <w:proofErr w:type="spellEnd"/>
      <w:r w:rsidR="00B800DF" w:rsidRPr="00B800DF">
        <w:t xml:space="preserve"> </w:t>
      </w:r>
      <w:proofErr w:type="spellStart"/>
      <w:r w:rsidR="00B800DF" w:rsidRPr="00B800DF">
        <w:t>dwa</w:t>
      </w:r>
      <w:proofErr w:type="spellEnd"/>
      <w:r w:rsidR="00B800DF" w:rsidRPr="00B800DF">
        <w:t xml:space="preserve"> </w:t>
      </w:r>
      <w:proofErr w:type="spellStart"/>
      <w:r w:rsidR="00B800DF" w:rsidRPr="00B800DF">
        <w:t>razy</w:t>
      </w:r>
      <w:proofErr w:type="spellEnd"/>
      <w:r w:rsidR="00B800DF" w:rsidRPr="00B800DF">
        <w:t xml:space="preserve"> w </w:t>
      </w:r>
      <w:proofErr w:type="spellStart"/>
      <w:r w:rsidR="00B800DF" w:rsidRPr="00B800DF">
        <w:t>tych</w:t>
      </w:r>
      <w:proofErr w:type="spellEnd"/>
      <w:r w:rsidR="00B800DF" w:rsidRPr="00B800DF">
        <w:t xml:space="preserve"> </w:t>
      </w:r>
      <w:proofErr w:type="spellStart"/>
      <w:r w:rsidR="00B800DF" w:rsidRPr="00B800DF">
        <w:t>samych</w:t>
      </w:r>
      <w:proofErr w:type="spellEnd"/>
      <w:r w:rsidR="00B800DF" w:rsidRPr="00B800DF">
        <w:t xml:space="preserve"> </w:t>
      </w:r>
      <w:proofErr w:type="spellStart"/>
      <w:r w:rsidR="00B800DF" w:rsidRPr="00B800DF">
        <w:t>obaw</w:t>
      </w:r>
      <w:proofErr w:type="spellEnd"/>
      <w:r w:rsidR="00B800DF" w:rsidRPr="00B800DF">
        <w:t xml:space="preserve"> </w:t>
      </w:r>
      <w:proofErr w:type="spellStart"/>
      <w:r w:rsidR="00B800DF" w:rsidRPr="00B800DF">
        <w:t>głównie</w:t>
      </w:r>
      <w:proofErr w:type="spellEnd"/>
      <w:r w:rsidR="00B800DF" w:rsidRPr="00B800DF">
        <w:t xml:space="preserve"> </w:t>
      </w:r>
      <w:proofErr w:type="spellStart"/>
      <w:r w:rsidR="00B800DF" w:rsidRPr="00B800DF">
        <w:t>kwestię</w:t>
      </w:r>
      <w:proofErr w:type="spellEnd"/>
      <w:r w:rsidR="00B800DF" w:rsidRPr="00B800DF">
        <w:t xml:space="preserve"> </w:t>
      </w:r>
      <w:proofErr w:type="spellStart"/>
      <w:r w:rsidR="00B800DF" w:rsidRPr="00B800DF">
        <w:t>proceduralną</w:t>
      </w:r>
      <w:proofErr w:type="spellEnd"/>
      <w:r w:rsidR="00B800DF" w:rsidRPr="00B800DF">
        <w:t xml:space="preserve"> ( „</w:t>
      </w:r>
      <w:proofErr w:type="spellStart"/>
      <w:r w:rsidR="00B800DF" w:rsidRPr="00B800DF">
        <w:t>dotyczy</w:t>
      </w:r>
      <w:proofErr w:type="spellEnd"/>
      <w:r w:rsidR="00B800DF" w:rsidRPr="00B800DF">
        <w:t xml:space="preserve"> </w:t>
      </w:r>
      <w:proofErr w:type="spellStart"/>
      <w:r w:rsidR="00B800DF" w:rsidRPr="00B800DF">
        <w:t>przede</w:t>
      </w:r>
      <w:proofErr w:type="spellEnd"/>
      <w:r w:rsidR="00B800DF" w:rsidRPr="00B800DF">
        <w:t xml:space="preserve"> </w:t>
      </w:r>
      <w:proofErr w:type="spellStart"/>
      <w:r w:rsidR="00B800DF" w:rsidRPr="00B800DF">
        <w:t>wszystkim</w:t>
      </w:r>
      <w:proofErr w:type="spellEnd"/>
      <w:r w:rsidR="00B800DF" w:rsidRPr="00B800DF">
        <w:t xml:space="preserve"> </w:t>
      </w:r>
      <w:proofErr w:type="spellStart"/>
      <w:r w:rsidR="00B800DF" w:rsidRPr="00B800DF">
        <w:t>rzetelnego</w:t>
      </w:r>
      <w:proofErr w:type="spellEnd"/>
      <w:r w:rsidR="00B800DF" w:rsidRPr="00B800DF">
        <w:t xml:space="preserve"> </w:t>
      </w:r>
      <w:proofErr w:type="spellStart"/>
      <w:r w:rsidR="00B800DF" w:rsidRPr="00B800DF">
        <w:t>procesu</w:t>
      </w:r>
      <w:proofErr w:type="spellEnd"/>
      <w:r w:rsidR="00B800DF" w:rsidRPr="00B800DF">
        <w:t xml:space="preserve">”), a </w:t>
      </w:r>
      <w:proofErr w:type="spellStart"/>
      <w:r w:rsidR="00B800DF" w:rsidRPr="00B800DF">
        <w:t>nie</w:t>
      </w:r>
      <w:proofErr w:type="spellEnd"/>
      <w:r w:rsidR="00B800DF" w:rsidRPr="00B800DF">
        <w:t xml:space="preserve"> </w:t>
      </w:r>
      <w:proofErr w:type="spellStart"/>
      <w:r w:rsidR="00B800DF" w:rsidRPr="00B800DF">
        <w:t>istoty</w:t>
      </w:r>
      <w:proofErr w:type="spellEnd"/>
      <w:r w:rsidR="00B800DF" w:rsidRPr="00B800DF">
        <w:t xml:space="preserve"> </w:t>
      </w:r>
      <w:proofErr w:type="spellStart"/>
      <w:r w:rsidR="00B800DF" w:rsidRPr="00B800DF">
        <w:t>sprawy</w:t>
      </w:r>
      <w:proofErr w:type="spellEnd"/>
      <w:r w:rsidR="00B800DF" w:rsidRPr="00B800DF">
        <w:t xml:space="preserve"> ( „jest </w:t>
      </w:r>
      <w:proofErr w:type="spellStart"/>
      <w:r w:rsidR="00B800DF" w:rsidRPr="00B800DF">
        <w:t>mniej</w:t>
      </w:r>
      <w:proofErr w:type="spellEnd"/>
      <w:r w:rsidR="00B800DF" w:rsidRPr="00B800DF">
        <w:t xml:space="preserve"> </w:t>
      </w:r>
      <w:proofErr w:type="spellStart"/>
      <w:r w:rsidR="00B800DF" w:rsidRPr="00B800DF">
        <w:t>dotyczy</w:t>
      </w:r>
      <w:proofErr w:type="spellEnd"/>
      <w:r w:rsidR="00B800DF" w:rsidRPr="00B800DF">
        <w:t xml:space="preserve"> </w:t>
      </w:r>
      <w:proofErr w:type="spellStart"/>
      <w:r w:rsidR="00B800DF" w:rsidRPr="00B800DF">
        <w:t>istoty</w:t>
      </w:r>
      <w:proofErr w:type="spellEnd"/>
      <w:r w:rsidR="00B800DF" w:rsidRPr="00B800DF">
        <w:t xml:space="preserve"> </w:t>
      </w:r>
      <w:proofErr w:type="spellStart"/>
      <w:r w:rsidR="00B800DF" w:rsidRPr="00B800DF">
        <w:t>prawa</w:t>
      </w:r>
      <w:proofErr w:type="spellEnd"/>
      <w:r w:rsidR="00B800DF" w:rsidRPr="00B800DF">
        <w:t xml:space="preserve"> </w:t>
      </w:r>
      <w:proofErr w:type="spellStart"/>
      <w:r w:rsidR="00B800DF" w:rsidRPr="00B800DF">
        <w:t>karnego</w:t>
      </w:r>
      <w:proofErr w:type="spellEnd"/>
      <w:r w:rsidR="00B800DF" w:rsidRPr="00B800DF">
        <w:t xml:space="preserve"> </w:t>
      </w:r>
      <w:proofErr w:type="spellStart"/>
      <w:r w:rsidR="00B800DF" w:rsidRPr="00B800DF">
        <w:t>niż</w:t>
      </w:r>
      <w:proofErr w:type="spellEnd"/>
      <w:r w:rsidR="00B800DF" w:rsidRPr="00B800DF">
        <w:t xml:space="preserve"> </w:t>
      </w:r>
      <w:proofErr w:type="spellStart"/>
      <w:r w:rsidR="00B800DF" w:rsidRPr="00B800DF">
        <w:t>Artykuł</w:t>
      </w:r>
      <w:proofErr w:type="spellEnd"/>
      <w:r w:rsidR="00B800DF" w:rsidRPr="00B800DF">
        <w:t xml:space="preserve"> 7 „), jest </w:t>
      </w:r>
      <w:proofErr w:type="spellStart"/>
      <w:r w:rsidR="00B800DF" w:rsidRPr="00B800DF">
        <w:t>zasadniczo</w:t>
      </w:r>
      <w:proofErr w:type="spellEnd"/>
      <w:r w:rsidR="00B800DF" w:rsidRPr="00B800DF">
        <w:t xml:space="preserve"> </w:t>
      </w:r>
      <w:proofErr w:type="spellStart"/>
      <w:r w:rsidR="00B800DF" w:rsidRPr="00B800DF">
        <w:t>błędne</w:t>
      </w:r>
      <w:proofErr w:type="spellEnd"/>
      <w:r w:rsidR="00B800DF" w:rsidRPr="00B800DF">
        <w:t>.</w:t>
      </w:r>
    </w:p>
  </w:footnote>
  <w:footnote w:id="173">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„Interesy efektywności” są podkreślane przez większość (patrz. par</w:t>
      </w:r>
      <w:r w:rsidR="00CF266F">
        <w:rPr>
          <w:rFonts w:ascii="Times New Roman" w:hAnsi="Times New Roman" w:cs="Times New Roman"/>
          <w:lang w:val="pl-PL"/>
        </w:rPr>
        <w:t>agraf</w:t>
      </w:r>
      <w:r w:rsidRPr="00D47D22">
        <w:rPr>
          <w:rFonts w:ascii="Times New Roman" w:hAnsi="Times New Roman" w:cs="Times New Roman"/>
          <w:lang w:val="pl-PL"/>
        </w:rPr>
        <w:t xml:space="preserve"> 134 wyroku).</w:t>
      </w:r>
    </w:p>
  </w:footnote>
  <w:footnote w:id="174">
    <w:p w:rsidR="00AC3310" w:rsidRPr="00D47D22" w:rsidRDefault="00AC3310" w:rsidP="00766186">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Zob. par</w:t>
      </w:r>
      <w:r w:rsidR="00CF266F">
        <w:rPr>
          <w:rFonts w:ascii="Times New Roman" w:hAnsi="Times New Roman" w:cs="Times New Roman"/>
          <w:lang w:val="pl-PL"/>
        </w:rPr>
        <w:t>agraf</w:t>
      </w:r>
      <w:r w:rsidRPr="00D47D22">
        <w:rPr>
          <w:rFonts w:ascii="Times New Roman" w:hAnsi="Times New Roman" w:cs="Times New Roman"/>
          <w:lang w:val="pl-PL"/>
        </w:rPr>
        <w:t xml:space="preserve"> 85 wyroku, gdzie wspomniano argument rządu, że </w:t>
      </w:r>
      <w:proofErr w:type="spellStart"/>
      <w:r w:rsidRPr="00D47D22">
        <w:rPr>
          <w:rFonts w:ascii="Times New Roman" w:hAnsi="Times New Roman" w:cs="Times New Roman"/>
          <w:i/>
          <w:lang w:val="pl-PL"/>
        </w:rPr>
        <w:t>Jussila</w:t>
      </w:r>
      <w:proofErr w:type="spellEnd"/>
      <w:r w:rsidRPr="00D47D22">
        <w:rPr>
          <w:rFonts w:ascii="Times New Roman" w:hAnsi="Times New Roman" w:cs="Times New Roman"/>
          <w:lang w:val="pl-PL"/>
        </w:rPr>
        <w:t xml:space="preserve"> rozumowanie uzasadniające art. 6 można było transponować do art. 4 </w:t>
      </w:r>
      <w:r w:rsidR="00CF266F">
        <w:rPr>
          <w:rFonts w:ascii="Times New Roman" w:hAnsi="Times New Roman" w:cs="Times New Roman"/>
          <w:lang w:val="pl-PL"/>
        </w:rPr>
        <w:t>P</w:t>
      </w:r>
      <w:r w:rsidRPr="00D47D22">
        <w:rPr>
          <w:rFonts w:ascii="Times New Roman" w:hAnsi="Times New Roman" w:cs="Times New Roman"/>
          <w:lang w:val="pl-PL"/>
        </w:rPr>
        <w:t>rotokołu nr 7. Argument ten w oczywisty sposób pomija bezwzględny i niepodlegający odstępstwu charakter tego ostatniego artykułu.</w:t>
      </w:r>
    </w:p>
  </w:footnote>
  <w:footnote w:id="175">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xml:space="preserve">. Zob. wyroki Sądu Okręgowego w </w:t>
      </w:r>
      <w:proofErr w:type="spellStart"/>
      <w:r w:rsidRPr="00D47D22">
        <w:rPr>
          <w:rFonts w:ascii="Times New Roman" w:hAnsi="Times New Roman" w:cs="Times New Roman"/>
          <w:lang w:val="pl-PL"/>
        </w:rPr>
        <w:t>Follo</w:t>
      </w:r>
      <w:proofErr w:type="spellEnd"/>
      <w:r w:rsidRPr="00D47D22">
        <w:rPr>
          <w:rFonts w:ascii="Times New Roman" w:hAnsi="Times New Roman" w:cs="Times New Roman"/>
          <w:lang w:val="pl-PL"/>
        </w:rPr>
        <w:t xml:space="preserve"> z 2 marca 2009</w:t>
      </w:r>
      <w:r w:rsidR="00EF3C3A">
        <w:rPr>
          <w:rFonts w:ascii="Times New Roman" w:hAnsi="Times New Roman" w:cs="Times New Roman"/>
          <w:lang w:val="pl-PL"/>
        </w:rPr>
        <w:t xml:space="preserve"> roku</w:t>
      </w:r>
      <w:r w:rsidRPr="00D47D22">
        <w:rPr>
          <w:rFonts w:ascii="Times New Roman" w:hAnsi="Times New Roman" w:cs="Times New Roman"/>
          <w:lang w:val="pl-PL"/>
        </w:rPr>
        <w:t xml:space="preserve"> i  Oslo City Court z 30 sierpnia 2009</w:t>
      </w:r>
      <w:r w:rsidR="00EF3C3A">
        <w:rPr>
          <w:rFonts w:ascii="Times New Roman" w:hAnsi="Times New Roman" w:cs="Times New Roman"/>
          <w:lang w:val="pl-PL"/>
        </w:rPr>
        <w:t xml:space="preserve"> roku</w:t>
      </w:r>
      <w:r w:rsidRPr="00D47D22">
        <w:rPr>
          <w:rFonts w:ascii="Times New Roman" w:hAnsi="Times New Roman" w:cs="Times New Roman"/>
          <w:lang w:val="pl-PL"/>
        </w:rPr>
        <w:t>.</w:t>
      </w:r>
    </w:p>
  </w:footnote>
  <w:footnote w:id="176">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Zobacz paragraf 127 wyroku.</w:t>
      </w:r>
    </w:p>
  </w:footnote>
  <w:footnote w:id="177">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Zobacz paragraf 134 wyroku.</w:t>
      </w:r>
    </w:p>
  </w:footnote>
  <w:footnote w:id="178">
    <w:p w:rsidR="00AC3310" w:rsidRPr="00D47D22" w:rsidRDefault="00AC3310" w:rsidP="001C1232">
      <w:pPr>
        <w:pStyle w:val="Tekstprzypisudolnego"/>
        <w:rPr>
          <w:rFonts w:ascii="Times New Roman" w:hAnsi="Times New Roman" w:cs="Times New Roman"/>
          <w:lang w:val="pl-PL"/>
        </w:rPr>
      </w:pPr>
      <w:r w:rsidRPr="00D47D22">
        <w:rPr>
          <w:rStyle w:val="Odwoanieprzypisudolnego"/>
          <w:rFonts w:ascii="Times New Roman" w:hAnsi="Times New Roman" w:cs="Times New Roman"/>
          <w:vertAlign w:val="baseline"/>
          <w:lang w:val="pl-PL"/>
        </w:rPr>
        <w:footnoteRef/>
      </w:r>
      <w:r w:rsidRPr="00D47D22">
        <w:rPr>
          <w:rFonts w:ascii="Times New Roman" w:hAnsi="Times New Roman" w:cs="Times New Roman"/>
          <w:lang w:val="pl-PL"/>
        </w:rPr>
        <w:t>.  Zobacz paragraf 124 wyroku.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310" w:rsidRPr="00003542" w:rsidRDefault="00AC3310" w:rsidP="00003542">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310" w:rsidRPr="00A45145" w:rsidRDefault="00AC3310" w:rsidP="00003542">
    <w:pPr>
      <w:jc w:val="center"/>
    </w:pPr>
    <w:r>
      <w:rPr>
        <w:noProof/>
        <w:lang w:val="pl-PL" w:eastAsia="pl-PL"/>
      </w:rPr>
      <w:drawing>
        <wp:inline distT="0" distB="0" distL="0" distR="0" wp14:anchorId="48944925" wp14:editId="7BC6F91D">
          <wp:extent cx="2962275" cy="1219200"/>
          <wp:effectExtent l="0" t="0" r="9525" b="0"/>
          <wp:docPr id="58" name="Picture 5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C3310" w:rsidRDefault="00AC331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310" w:rsidRPr="00FF2306" w:rsidRDefault="00AC3310"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86852">
      <w:rPr>
        <w:rStyle w:val="Numerstrony"/>
        <w:noProof/>
        <w:szCs w:val="18"/>
        <w:lang w:val="en-GB"/>
      </w:rPr>
      <w:t>54</w:t>
    </w:r>
    <w:r>
      <w:rPr>
        <w:rStyle w:val="Numerstrony"/>
        <w:szCs w:val="18"/>
        <w:lang w:val="en-GB"/>
      </w:rPr>
      <w:fldChar w:fldCharType="end"/>
    </w:r>
    <w:r w:rsidRPr="00FF2306">
      <w:rPr>
        <w:lang w:val="en-GB"/>
      </w:rPr>
      <w:tab/>
    </w:r>
    <w:r>
      <w:rPr>
        <w:lang w:val="en-GB"/>
      </w:rPr>
      <w:t>WYROK W SPRAWIE A I B PRZECIWKO NORWEGII</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310" w:rsidRPr="00D60D87" w:rsidRDefault="00AC3310" w:rsidP="00D60D87">
    <w:pPr>
      <w:pStyle w:val="ECHRHeader"/>
      <w:rPr>
        <w:lang w:val="en-GB"/>
      </w:rPr>
    </w:pPr>
    <w:r w:rsidRPr="00D60D87">
      <w:rPr>
        <w:lang w:val="en-GB"/>
      </w:rPr>
      <w:tab/>
    </w:r>
    <w:r>
      <w:rPr>
        <w:lang w:val="en-GB"/>
      </w:rPr>
      <w:t>A AND B v. NORWAY</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86852">
      <w:rPr>
        <w:rStyle w:val="Numerstrony"/>
        <w:noProof/>
        <w:szCs w:val="18"/>
        <w:lang w:val="en-GB"/>
      </w:rPr>
      <w:t>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310" w:rsidRPr="00FF2306" w:rsidRDefault="00AC3310"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86852">
      <w:rPr>
        <w:rStyle w:val="Numerstrony"/>
        <w:noProof/>
        <w:szCs w:val="18"/>
        <w:lang w:val="en-GB"/>
      </w:rPr>
      <w:t>98</w:t>
    </w:r>
    <w:r>
      <w:rPr>
        <w:rStyle w:val="Numerstrony"/>
        <w:szCs w:val="18"/>
        <w:lang w:val="en-GB"/>
      </w:rPr>
      <w:fldChar w:fldCharType="end"/>
    </w:r>
    <w:r w:rsidRPr="00FF2306">
      <w:rPr>
        <w:lang w:val="en-GB"/>
      </w:rPr>
      <w:tab/>
    </w:r>
    <w:r>
      <w:rPr>
        <w:lang w:val="en-GB"/>
      </w:rPr>
      <w:t>A AND B v. NORWAY</w:t>
    </w:r>
    <w:r w:rsidRPr="00FF2306">
      <w:rPr>
        <w:lang w:val="en-GB"/>
      </w:rPr>
      <w:t xml:space="preserve"> </w:t>
    </w:r>
    <w:r>
      <w:rPr>
        <w:lang w:val="en-GB"/>
      </w:rPr>
      <w:t xml:space="preserve">JUDGMENT </w:t>
    </w:r>
    <w:r w:rsidRPr="001C1232">
      <w:rPr>
        <w:lang w:val="en-GB"/>
      </w:rPr>
      <w:t>–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310" w:rsidRPr="00D60D87" w:rsidRDefault="00AC3310" w:rsidP="00D60D87">
    <w:pPr>
      <w:pStyle w:val="ECHRHeader"/>
      <w:rPr>
        <w:lang w:val="en-GB"/>
      </w:rPr>
    </w:pPr>
    <w:r w:rsidRPr="00D60D87">
      <w:rPr>
        <w:lang w:val="en-GB"/>
      </w:rPr>
      <w:tab/>
    </w:r>
    <w:r>
      <w:rPr>
        <w:lang w:val="en-GB"/>
      </w:rPr>
      <w:t>A AND B v. NORWAY</w:t>
    </w:r>
    <w:r w:rsidRPr="00D60D87">
      <w:rPr>
        <w:lang w:val="en-GB"/>
      </w:rPr>
      <w:t xml:space="preserve"> </w:t>
    </w:r>
    <w:r>
      <w:rPr>
        <w:lang w:val="en-GB"/>
      </w:rPr>
      <w:t>JUDGMENT –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86852">
      <w:rPr>
        <w:rStyle w:val="Numerstrony"/>
        <w:noProof/>
        <w:szCs w:val="18"/>
        <w:lang w:val="en-GB"/>
      </w:rPr>
      <w:t>97</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B8E4E9E"/>
    <w:multiLevelType w:val="multilevel"/>
    <w:tmpl w:val="0409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88D47DE"/>
    <w:multiLevelType w:val="multilevel"/>
    <w:tmpl w:val="F7F2C62E"/>
    <w:lvl w:ilvl="0">
      <w:start w:val="1"/>
      <w:numFmt w:val="decimal"/>
      <w:pStyle w:val="ECHRList"/>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57366F8"/>
    <w:multiLevelType w:val="multilevel"/>
    <w:tmpl w:val="0409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56B63CA1"/>
    <w:multiLevelType w:val="multilevel"/>
    <w:tmpl w:val="0409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8"/>
  </w:num>
  <w:num w:numId="2">
    <w:abstractNumId w:val="11"/>
  </w:num>
  <w:num w:numId="3">
    <w:abstractNumId w:val="10"/>
  </w:num>
  <w:num w:numId="4">
    <w:abstractNumId w:val="20"/>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9"/>
  </w:num>
  <w:num w:numId="15">
    <w:abstractNumId w:val="9"/>
  </w:num>
  <w:num w:numId="16">
    <w:abstractNumId w:val="13"/>
  </w:num>
  <w:num w:numId="17">
    <w:abstractNumId w:val="14"/>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17"/>
  </w:num>
  <w:num w:numId="21">
    <w:abstractNumId w:val="12"/>
  </w:num>
  <w:num w:numId="22">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E97440"/>
    <w:rsid w:val="000000CD"/>
    <w:rsid w:val="00000F6B"/>
    <w:rsid w:val="000010ED"/>
    <w:rsid w:val="00001173"/>
    <w:rsid w:val="00001BD6"/>
    <w:rsid w:val="00001CDB"/>
    <w:rsid w:val="00003542"/>
    <w:rsid w:val="000041F8"/>
    <w:rsid w:val="000042A8"/>
    <w:rsid w:val="000042CB"/>
    <w:rsid w:val="00004308"/>
    <w:rsid w:val="00004BC2"/>
    <w:rsid w:val="00005BF0"/>
    <w:rsid w:val="00006659"/>
    <w:rsid w:val="00006D03"/>
    <w:rsid w:val="00007154"/>
    <w:rsid w:val="00010068"/>
    <w:rsid w:val="000103AE"/>
    <w:rsid w:val="00011B78"/>
    <w:rsid w:val="00011D69"/>
    <w:rsid w:val="00012743"/>
    <w:rsid w:val="00012AD3"/>
    <w:rsid w:val="0001383A"/>
    <w:rsid w:val="000144B6"/>
    <w:rsid w:val="00014566"/>
    <w:rsid w:val="00015C2D"/>
    <w:rsid w:val="00015F00"/>
    <w:rsid w:val="000161E0"/>
    <w:rsid w:val="0001665D"/>
    <w:rsid w:val="00017B21"/>
    <w:rsid w:val="00020906"/>
    <w:rsid w:val="00020D99"/>
    <w:rsid w:val="00021DA4"/>
    <w:rsid w:val="0002260B"/>
    <w:rsid w:val="00022884"/>
    <w:rsid w:val="00022C1D"/>
    <w:rsid w:val="00022DFD"/>
    <w:rsid w:val="00024576"/>
    <w:rsid w:val="0002578F"/>
    <w:rsid w:val="00027490"/>
    <w:rsid w:val="0002775E"/>
    <w:rsid w:val="0003011F"/>
    <w:rsid w:val="0003046E"/>
    <w:rsid w:val="00030501"/>
    <w:rsid w:val="0003158C"/>
    <w:rsid w:val="00032201"/>
    <w:rsid w:val="00033BF1"/>
    <w:rsid w:val="00034809"/>
    <w:rsid w:val="00034987"/>
    <w:rsid w:val="00037120"/>
    <w:rsid w:val="00040233"/>
    <w:rsid w:val="00040872"/>
    <w:rsid w:val="0004098A"/>
    <w:rsid w:val="00041506"/>
    <w:rsid w:val="000415FF"/>
    <w:rsid w:val="00042212"/>
    <w:rsid w:val="000425D2"/>
    <w:rsid w:val="00042B23"/>
    <w:rsid w:val="00044A75"/>
    <w:rsid w:val="00044E98"/>
    <w:rsid w:val="0004561D"/>
    <w:rsid w:val="00045D6C"/>
    <w:rsid w:val="0004627D"/>
    <w:rsid w:val="00047FC7"/>
    <w:rsid w:val="00050A02"/>
    <w:rsid w:val="000515CD"/>
    <w:rsid w:val="00051A66"/>
    <w:rsid w:val="00051B5A"/>
    <w:rsid w:val="00051B9D"/>
    <w:rsid w:val="00051C34"/>
    <w:rsid w:val="000530AB"/>
    <w:rsid w:val="0005310C"/>
    <w:rsid w:val="00053A2E"/>
    <w:rsid w:val="000602DF"/>
    <w:rsid w:val="0006168A"/>
    <w:rsid w:val="00061B05"/>
    <w:rsid w:val="00061B12"/>
    <w:rsid w:val="00061E98"/>
    <w:rsid w:val="000626E6"/>
    <w:rsid w:val="00062973"/>
    <w:rsid w:val="00062AFE"/>
    <w:rsid w:val="00062D5D"/>
    <w:rsid w:val="000632D5"/>
    <w:rsid w:val="00063A5D"/>
    <w:rsid w:val="000643E7"/>
    <w:rsid w:val="000644EE"/>
    <w:rsid w:val="00064CCC"/>
    <w:rsid w:val="00067FF3"/>
    <w:rsid w:val="00071EAF"/>
    <w:rsid w:val="000728AC"/>
    <w:rsid w:val="00072B88"/>
    <w:rsid w:val="00074055"/>
    <w:rsid w:val="0007428E"/>
    <w:rsid w:val="0007567E"/>
    <w:rsid w:val="000768C6"/>
    <w:rsid w:val="00080CED"/>
    <w:rsid w:val="00080F53"/>
    <w:rsid w:val="00081026"/>
    <w:rsid w:val="000815E5"/>
    <w:rsid w:val="00083D04"/>
    <w:rsid w:val="00084979"/>
    <w:rsid w:val="000856D7"/>
    <w:rsid w:val="00085F85"/>
    <w:rsid w:val="00087294"/>
    <w:rsid w:val="00090B11"/>
    <w:rsid w:val="00090E27"/>
    <w:rsid w:val="000925AD"/>
    <w:rsid w:val="00096561"/>
    <w:rsid w:val="00096689"/>
    <w:rsid w:val="000A0937"/>
    <w:rsid w:val="000A1B25"/>
    <w:rsid w:val="000A24EB"/>
    <w:rsid w:val="000A76C8"/>
    <w:rsid w:val="000B055C"/>
    <w:rsid w:val="000B0FBF"/>
    <w:rsid w:val="000B1A04"/>
    <w:rsid w:val="000B1AEF"/>
    <w:rsid w:val="000B1F86"/>
    <w:rsid w:val="000B4E30"/>
    <w:rsid w:val="000B5E3C"/>
    <w:rsid w:val="000B6923"/>
    <w:rsid w:val="000C033C"/>
    <w:rsid w:val="000C2A51"/>
    <w:rsid w:val="000C4E6B"/>
    <w:rsid w:val="000C5247"/>
    <w:rsid w:val="000C5F3C"/>
    <w:rsid w:val="000C660A"/>
    <w:rsid w:val="000C6DCC"/>
    <w:rsid w:val="000D2C34"/>
    <w:rsid w:val="000D47AA"/>
    <w:rsid w:val="000D6509"/>
    <w:rsid w:val="000D6DD5"/>
    <w:rsid w:val="000D704D"/>
    <w:rsid w:val="000D721F"/>
    <w:rsid w:val="000D7FD6"/>
    <w:rsid w:val="000E069B"/>
    <w:rsid w:val="000E0E82"/>
    <w:rsid w:val="000E182F"/>
    <w:rsid w:val="000E1DC5"/>
    <w:rsid w:val="000E223F"/>
    <w:rsid w:val="000E35AC"/>
    <w:rsid w:val="000E530F"/>
    <w:rsid w:val="000E5719"/>
    <w:rsid w:val="000E6A51"/>
    <w:rsid w:val="000E6BB2"/>
    <w:rsid w:val="000E7D45"/>
    <w:rsid w:val="000F05E5"/>
    <w:rsid w:val="000F1544"/>
    <w:rsid w:val="000F307A"/>
    <w:rsid w:val="000F3374"/>
    <w:rsid w:val="000F4D79"/>
    <w:rsid w:val="000F6B76"/>
    <w:rsid w:val="000F7851"/>
    <w:rsid w:val="00100FC6"/>
    <w:rsid w:val="00103C42"/>
    <w:rsid w:val="00104E23"/>
    <w:rsid w:val="00105EBF"/>
    <w:rsid w:val="00107940"/>
    <w:rsid w:val="0011056C"/>
    <w:rsid w:val="00110C4B"/>
    <w:rsid w:val="00111896"/>
    <w:rsid w:val="00111B0C"/>
    <w:rsid w:val="00112546"/>
    <w:rsid w:val="00112E7E"/>
    <w:rsid w:val="00113D47"/>
    <w:rsid w:val="00113FB4"/>
    <w:rsid w:val="001167C8"/>
    <w:rsid w:val="00116CDB"/>
    <w:rsid w:val="001170AD"/>
    <w:rsid w:val="00120905"/>
    <w:rsid w:val="00120D6C"/>
    <w:rsid w:val="001216E3"/>
    <w:rsid w:val="00122941"/>
    <w:rsid w:val="00122C10"/>
    <w:rsid w:val="001249B8"/>
    <w:rsid w:val="001257EC"/>
    <w:rsid w:val="00126A04"/>
    <w:rsid w:val="00127FE6"/>
    <w:rsid w:val="00127FFD"/>
    <w:rsid w:val="00131B59"/>
    <w:rsid w:val="00131DB6"/>
    <w:rsid w:val="00132C6A"/>
    <w:rsid w:val="00133D33"/>
    <w:rsid w:val="0013480F"/>
    <w:rsid w:val="00134D64"/>
    <w:rsid w:val="00134ED4"/>
    <w:rsid w:val="00135A30"/>
    <w:rsid w:val="0013612C"/>
    <w:rsid w:val="00137FF6"/>
    <w:rsid w:val="001406E2"/>
    <w:rsid w:val="00140DE0"/>
    <w:rsid w:val="0014136F"/>
    <w:rsid w:val="00141650"/>
    <w:rsid w:val="00141C36"/>
    <w:rsid w:val="00142017"/>
    <w:rsid w:val="00143FA1"/>
    <w:rsid w:val="00146536"/>
    <w:rsid w:val="00151F11"/>
    <w:rsid w:val="0015310E"/>
    <w:rsid w:val="00157129"/>
    <w:rsid w:val="0016088B"/>
    <w:rsid w:val="001624EA"/>
    <w:rsid w:val="00162A12"/>
    <w:rsid w:val="00163451"/>
    <w:rsid w:val="001637BD"/>
    <w:rsid w:val="00163D10"/>
    <w:rsid w:val="0016556F"/>
    <w:rsid w:val="00165B23"/>
    <w:rsid w:val="00166530"/>
    <w:rsid w:val="00166A60"/>
    <w:rsid w:val="00173131"/>
    <w:rsid w:val="00174237"/>
    <w:rsid w:val="001750E2"/>
    <w:rsid w:val="0017701F"/>
    <w:rsid w:val="00180C69"/>
    <w:rsid w:val="0018142C"/>
    <w:rsid w:val="0018145E"/>
    <w:rsid w:val="00181975"/>
    <w:rsid w:val="00183227"/>
    <w:rsid w:val="001832BD"/>
    <w:rsid w:val="00183960"/>
    <w:rsid w:val="0018606D"/>
    <w:rsid w:val="001865B9"/>
    <w:rsid w:val="001917C7"/>
    <w:rsid w:val="00191C6B"/>
    <w:rsid w:val="0019216F"/>
    <w:rsid w:val="00192AE4"/>
    <w:rsid w:val="001932EC"/>
    <w:rsid w:val="001943B5"/>
    <w:rsid w:val="00194727"/>
    <w:rsid w:val="00195134"/>
    <w:rsid w:val="00196CF3"/>
    <w:rsid w:val="001A145B"/>
    <w:rsid w:val="001A1BFB"/>
    <w:rsid w:val="001A2854"/>
    <w:rsid w:val="001A620B"/>
    <w:rsid w:val="001A648A"/>
    <w:rsid w:val="001A6548"/>
    <w:rsid w:val="001A65AC"/>
    <w:rsid w:val="001A674C"/>
    <w:rsid w:val="001A697E"/>
    <w:rsid w:val="001A7ACF"/>
    <w:rsid w:val="001B0AF9"/>
    <w:rsid w:val="001B14A9"/>
    <w:rsid w:val="001B2BB5"/>
    <w:rsid w:val="001B3B24"/>
    <w:rsid w:val="001B4259"/>
    <w:rsid w:val="001B6F1C"/>
    <w:rsid w:val="001C0F98"/>
    <w:rsid w:val="001C0FC9"/>
    <w:rsid w:val="001C1232"/>
    <w:rsid w:val="001C13AE"/>
    <w:rsid w:val="001C1E1D"/>
    <w:rsid w:val="001C2A42"/>
    <w:rsid w:val="001C2BB6"/>
    <w:rsid w:val="001C302D"/>
    <w:rsid w:val="001C3032"/>
    <w:rsid w:val="001C44AC"/>
    <w:rsid w:val="001C5143"/>
    <w:rsid w:val="001C623C"/>
    <w:rsid w:val="001C66D5"/>
    <w:rsid w:val="001D18E9"/>
    <w:rsid w:val="001D63ED"/>
    <w:rsid w:val="001D70D3"/>
    <w:rsid w:val="001D7348"/>
    <w:rsid w:val="001D7A54"/>
    <w:rsid w:val="001E035B"/>
    <w:rsid w:val="001E0961"/>
    <w:rsid w:val="001E1368"/>
    <w:rsid w:val="001E1A19"/>
    <w:rsid w:val="001E3EAE"/>
    <w:rsid w:val="001E5348"/>
    <w:rsid w:val="001E59BC"/>
    <w:rsid w:val="001E6F32"/>
    <w:rsid w:val="001E756B"/>
    <w:rsid w:val="001E7816"/>
    <w:rsid w:val="001E78E2"/>
    <w:rsid w:val="001F1F34"/>
    <w:rsid w:val="001F2145"/>
    <w:rsid w:val="001F41CD"/>
    <w:rsid w:val="001F4A80"/>
    <w:rsid w:val="001F541E"/>
    <w:rsid w:val="001F6262"/>
    <w:rsid w:val="001F67B0"/>
    <w:rsid w:val="001F6C1B"/>
    <w:rsid w:val="001F7314"/>
    <w:rsid w:val="001F7B3D"/>
    <w:rsid w:val="0020098F"/>
    <w:rsid w:val="0020171A"/>
    <w:rsid w:val="00202633"/>
    <w:rsid w:val="002036B3"/>
    <w:rsid w:val="00205A7D"/>
    <w:rsid w:val="00205F9F"/>
    <w:rsid w:val="002072BD"/>
    <w:rsid w:val="0020734C"/>
    <w:rsid w:val="00210338"/>
    <w:rsid w:val="002115FC"/>
    <w:rsid w:val="0021227E"/>
    <w:rsid w:val="00213284"/>
    <w:rsid w:val="002133F8"/>
    <w:rsid w:val="00214229"/>
    <w:rsid w:val="0021423C"/>
    <w:rsid w:val="002145AF"/>
    <w:rsid w:val="00215155"/>
    <w:rsid w:val="00216638"/>
    <w:rsid w:val="0021676C"/>
    <w:rsid w:val="002167C4"/>
    <w:rsid w:val="00216F04"/>
    <w:rsid w:val="0021781B"/>
    <w:rsid w:val="0022019B"/>
    <w:rsid w:val="00222E1B"/>
    <w:rsid w:val="00226818"/>
    <w:rsid w:val="00226B47"/>
    <w:rsid w:val="00227B1A"/>
    <w:rsid w:val="00230538"/>
    <w:rsid w:val="0023072F"/>
    <w:rsid w:val="00230D00"/>
    <w:rsid w:val="002319B3"/>
    <w:rsid w:val="00231DF7"/>
    <w:rsid w:val="00231FD1"/>
    <w:rsid w:val="002339E0"/>
    <w:rsid w:val="00233B98"/>
    <w:rsid w:val="00233CF8"/>
    <w:rsid w:val="002343A1"/>
    <w:rsid w:val="0023575D"/>
    <w:rsid w:val="00236576"/>
    <w:rsid w:val="00236AA2"/>
    <w:rsid w:val="00237148"/>
    <w:rsid w:val="002404A1"/>
    <w:rsid w:val="00240E7B"/>
    <w:rsid w:val="0024222D"/>
    <w:rsid w:val="00242257"/>
    <w:rsid w:val="002428A0"/>
    <w:rsid w:val="00243EEA"/>
    <w:rsid w:val="00244A78"/>
    <w:rsid w:val="00244B0E"/>
    <w:rsid w:val="00244F6C"/>
    <w:rsid w:val="0024590B"/>
    <w:rsid w:val="00245EFA"/>
    <w:rsid w:val="00246A84"/>
    <w:rsid w:val="00247A57"/>
    <w:rsid w:val="00250EC1"/>
    <w:rsid w:val="00251322"/>
    <w:rsid w:val="0025188B"/>
    <w:rsid w:val="0025212C"/>
    <w:rsid w:val="002532C5"/>
    <w:rsid w:val="00255F20"/>
    <w:rsid w:val="00256135"/>
    <w:rsid w:val="00257312"/>
    <w:rsid w:val="00260C03"/>
    <w:rsid w:val="00262493"/>
    <w:rsid w:val="002639A4"/>
    <w:rsid w:val="0026540E"/>
    <w:rsid w:val="0026561A"/>
    <w:rsid w:val="00266F4B"/>
    <w:rsid w:val="00267AB8"/>
    <w:rsid w:val="002706EF"/>
    <w:rsid w:val="00270A43"/>
    <w:rsid w:val="0027225C"/>
    <w:rsid w:val="00275123"/>
    <w:rsid w:val="00276A78"/>
    <w:rsid w:val="00276B04"/>
    <w:rsid w:val="00277C10"/>
    <w:rsid w:val="0028085B"/>
    <w:rsid w:val="00280D99"/>
    <w:rsid w:val="00280F4A"/>
    <w:rsid w:val="0028133E"/>
    <w:rsid w:val="00282240"/>
    <w:rsid w:val="0028572A"/>
    <w:rsid w:val="00286454"/>
    <w:rsid w:val="00287BD8"/>
    <w:rsid w:val="00290D77"/>
    <w:rsid w:val="00290E70"/>
    <w:rsid w:val="00290F24"/>
    <w:rsid w:val="0029211D"/>
    <w:rsid w:val="002948AD"/>
    <w:rsid w:val="00294C05"/>
    <w:rsid w:val="00294C92"/>
    <w:rsid w:val="00295172"/>
    <w:rsid w:val="002960BC"/>
    <w:rsid w:val="002970C1"/>
    <w:rsid w:val="002A01CC"/>
    <w:rsid w:val="002A36C1"/>
    <w:rsid w:val="002A4CAB"/>
    <w:rsid w:val="002A54DB"/>
    <w:rsid w:val="002A61B1"/>
    <w:rsid w:val="002A663C"/>
    <w:rsid w:val="002A6FFA"/>
    <w:rsid w:val="002A7670"/>
    <w:rsid w:val="002A77E4"/>
    <w:rsid w:val="002B0425"/>
    <w:rsid w:val="002B05AC"/>
    <w:rsid w:val="002B1E6C"/>
    <w:rsid w:val="002B1E9A"/>
    <w:rsid w:val="002B2C04"/>
    <w:rsid w:val="002B37F7"/>
    <w:rsid w:val="002B444B"/>
    <w:rsid w:val="002B44DD"/>
    <w:rsid w:val="002B4877"/>
    <w:rsid w:val="002B496A"/>
    <w:rsid w:val="002B5887"/>
    <w:rsid w:val="002B5CE5"/>
    <w:rsid w:val="002B7A66"/>
    <w:rsid w:val="002C04A9"/>
    <w:rsid w:val="002C0692"/>
    <w:rsid w:val="002C0E27"/>
    <w:rsid w:val="002C262C"/>
    <w:rsid w:val="002C2CFE"/>
    <w:rsid w:val="002C3040"/>
    <w:rsid w:val="002C4044"/>
    <w:rsid w:val="002C43D3"/>
    <w:rsid w:val="002C5453"/>
    <w:rsid w:val="002D022D"/>
    <w:rsid w:val="002D13C2"/>
    <w:rsid w:val="002D17F5"/>
    <w:rsid w:val="002D24BB"/>
    <w:rsid w:val="002D2662"/>
    <w:rsid w:val="002D29B3"/>
    <w:rsid w:val="002D2C39"/>
    <w:rsid w:val="002D413E"/>
    <w:rsid w:val="002D4B63"/>
    <w:rsid w:val="002D5517"/>
    <w:rsid w:val="002D5BE0"/>
    <w:rsid w:val="002D697D"/>
    <w:rsid w:val="002E00BA"/>
    <w:rsid w:val="002E5737"/>
    <w:rsid w:val="002E6C65"/>
    <w:rsid w:val="002E6FFD"/>
    <w:rsid w:val="002F03EF"/>
    <w:rsid w:val="002F07A4"/>
    <w:rsid w:val="002F11BB"/>
    <w:rsid w:val="002F1560"/>
    <w:rsid w:val="002F186B"/>
    <w:rsid w:val="002F240B"/>
    <w:rsid w:val="002F2AF7"/>
    <w:rsid w:val="002F5777"/>
    <w:rsid w:val="002F5E30"/>
    <w:rsid w:val="002F5E7B"/>
    <w:rsid w:val="002F7893"/>
    <w:rsid w:val="002F7E1C"/>
    <w:rsid w:val="00301A75"/>
    <w:rsid w:val="00302F70"/>
    <w:rsid w:val="0030336F"/>
    <w:rsid w:val="0030338A"/>
    <w:rsid w:val="0030375E"/>
    <w:rsid w:val="0030389D"/>
    <w:rsid w:val="00303B85"/>
    <w:rsid w:val="00303BC2"/>
    <w:rsid w:val="003045BE"/>
    <w:rsid w:val="0030507F"/>
    <w:rsid w:val="0031000E"/>
    <w:rsid w:val="00310BB3"/>
    <w:rsid w:val="00310CD6"/>
    <w:rsid w:val="003115D6"/>
    <w:rsid w:val="00312154"/>
    <w:rsid w:val="00312A30"/>
    <w:rsid w:val="00312AB6"/>
    <w:rsid w:val="00315401"/>
    <w:rsid w:val="003177DE"/>
    <w:rsid w:val="00320581"/>
    <w:rsid w:val="00320F72"/>
    <w:rsid w:val="0032165C"/>
    <w:rsid w:val="00321FD8"/>
    <w:rsid w:val="00322592"/>
    <w:rsid w:val="0032463E"/>
    <w:rsid w:val="00325C8B"/>
    <w:rsid w:val="00326224"/>
    <w:rsid w:val="00326523"/>
    <w:rsid w:val="003271C7"/>
    <w:rsid w:val="00327F80"/>
    <w:rsid w:val="00330589"/>
    <w:rsid w:val="00330B6E"/>
    <w:rsid w:val="00333192"/>
    <w:rsid w:val="00334B7B"/>
    <w:rsid w:val="00334BBF"/>
    <w:rsid w:val="00335348"/>
    <w:rsid w:val="00335A38"/>
    <w:rsid w:val="00335D0D"/>
    <w:rsid w:val="00336009"/>
    <w:rsid w:val="00337211"/>
    <w:rsid w:val="00337EE4"/>
    <w:rsid w:val="00340FFD"/>
    <w:rsid w:val="0034146B"/>
    <w:rsid w:val="003418FB"/>
    <w:rsid w:val="00342AE5"/>
    <w:rsid w:val="003441C9"/>
    <w:rsid w:val="0034492E"/>
    <w:rsid w:val="00344C18"/>
    <w:rsid w:val="00345DE6"/>
    <w:rsid w:val="00346623"/>
    <w:rsid w:val="00347A8C"/>
    <w:rsid w:val="003506B1"/>
    <w:rsid w:val="003508D9"/>
    <w:rsid w:val="00351274"/>
    <w:rsid w:val="003549E5"/>
    <w:rsid w:val="00355867"/>
    <w:rsid w:val="00356AC7"/>
    <w:rsid w:val="00356B34"/>
    <w:rsid w:val="00356F43"/>
    <w:rsid w:val="00357181"/>
    <w:rsid w:val="00357D89"/>
    <w:rsid w:val="003604DC"/>
    <w:rsid w:val="003609FA"/>
    <w:rsid w:val="00363CEC"/>
    <w:rsid w:val="00365196"/>
    <w:rsid w:val="00365C21"/>
    <w:rsid w:val="003667CB"/>
    <w:rsid w:val="003705BA"/>
    <w:rsid w:val="0037077F"/>
    <w:rsid w:val="00370E9E"/>
    <w:rsid w:val="003710C8"/>
    <w:rsid w:val="00372795"/>
    <w:rsid w:val="00374420"/>
    <w:rsid w:val="003745E5"/>
    <w:rsid w:val="00374BF9"/>
    <w:rsid w:val="003750BE"/>
    <w:rsid w:val="0037606C"/>
    <w:rsid w:val="0038483E"/>
    <w:rsid w:val="00385400"/>
    <w:rsid w:val="003864DE"/>
    <w:rsid w:val="00387867"/>
    <w:rsid w:val="00387B9D"/>
    <w:rsid w:val="00390322"/>
    <w:rsid w:val="00390704"/>
    <w:rsid w:val="00390AD6"/>
    <w:rsid w:val="00391CAE"/>
    <w:rsid w:val="0039291E"/>
    <w:rsid w:val="0039357D"/>
    <w:rsid w:val="0039364F"/>
    <w:rsid w:val="00393776"/>
    <w:rsid w:val="00393B7D"/>
    <w:rsid w:val="00394A30"/>
    <w:rsid w:val="003957A4"/>
    <w:rsid w:val="00395D2B"/>
    <w:rsid w:val="00396686"/>
    <w:rsid w:val="00396C36"/>
    <w:rsid w:val="003970B6"/>
    <w:rsid w:val="0039778E"/>
    <w:rsid w:val="003A1376"/>
    <w:rsid w:val="003A22D1"/>
    <w:rsid w:val="003A32A6"/>
    <w:rsid w:val="003A74D0"/>
    <w:rsid w:val="003A766E"/>
    <w:rsid w:val="003A7B49"/>
    <w:rsid w:val="003A7F19"/>
    <w:rsid w:val="003A7F90"/>
    <w:rsid w:val="003B047A"/>
    <w:rsid w:val="003B09E2"/>
    <w:rsid w:val="003B1CBB"/>
    <w:rsid w:val="003B28F8"/>
    <w:rsid w:val="003B2C46"/>
    <w:rsid w:val="003B4941"/>
    <w:rsid w:val="003B5E52"/>
    <w:rsid w:val="003B5F6D"/>
    <w:rsid w:val="003B686B"/>
    <w:rsid w:val="003B71BC"/>
    <w:rsid w:val="003C0385"/>
    <w:rsid w:val="003C0EC5"/>
    <w:rsid w:val="003C1797"/>
    <w:rsid w:val="003C2B7A"/>
    <w:rsid w:val="003C3981"/>
    <w:rsid w:val="003C44CE"/>
    <w:rsid w:val="003C5714"/>
    <w:rsid w:val="003C6B9F"/>
    <w:rsid w:val="003C6E2A"/>
    <w:rsid w:val="003C6FFC"/>
    <w:rsid w:val="003C7901"/>
    <w:rsid w:val="003D0299"/>
    <w:rsid w:val="003D05C3"/>
    <w:rsid w:val="003D0C85"/>
    <w:rsid w:val="003D51FF"/>
    <w:rsid w:val="003D5C80"/>
    <w:rsid w:val="003E0731"/>
    <w:rsid w:val="003E1801"/>
    <w:rsid w:val="003E20D6"/>
    <w:rsid w:val="003E322C"/>
    <w:rsid w:val="003E324F"/>
    <w:rsid w:val="003E39B3"/>
    <w:rsid w:val="003E4761"/>
    <w:rsid w:val="003E6D80"/>
    <w:rsid w:val="003E71E8"/>
    <w:rsid w:val="003E7E74"/>
    <w:rsid w:val="003F05FA"/>
    <w:rsid w:val="003F0C25"/>
    <w:rsid w:val="003F1BAF"/>
    <w:rsid w:val="003F244A"/>
    <w:rsid w:val="003F2984"/>
    <w:rsid w:val="003F2A42"/>
    <w:rsid w:val="003F30B8"/>
    <w:rsid w:val="003F4C45"/>
    <w:rsid w:val="003F5F7B"/>
    <w:rsid w:val="003F6745"/>
    <w:rsid w:val="003F7D64"/>
    <w:rsid w:val="00400C64"/>
    <w:rsid w:val="004019D8"/>
    <w:rsid w:val="00402018"/>
    <w:rsid w:val="00403510"/>
    <w:rsid w:val="0040540B"/>
    <w:rsid w:val="0040560A"/>
    <w:rsid w:val="004066EB"/>
    <w:rsid w:val="00406E01"/>
    <w:rsid w:val="00414300"/>
    <w:rsid w:val="0041587E"/>
    <w:rsid w:val="004159C4"/>
    <w:rsid w:val="00415E3F"/>
    <w:rsid w:val="00416482"/>
    <w:rsid w:val="00417BAC"/>
    <w:rsid w:val="00421D72"/>
    <w:rsid w:val="00423C5D"/>
    <w:rsid w:val="00425298"/>
    <w:rsid w:val="004254E6"/>
    <w:rsid w:val="00425AF9"/>
    <w:rsid w:val="00425B7A"/>
    <w:rsid w:val="00425C67"/>
    <w:rsid w:val="00425FAD"/>
    <w:rsid w:val="00427E7A"/>
    <w:rsid w:val="00430DB3"/>
    <w:rsid w:val="004318CB"/>
    <w:rsid w:val="00432BBA"/>
    <w:rsid w:val="00433327"/>
    <w:rsid w:val="0043333B"/>
    <w:rsid w:val="004341D1"/>
    <w:rsid w:val="004362AF"/>
    <w:rsid w:val="00436307"/>
    <w:rsid w:val="00436993"/>
    <w:rsid w:val="00436C49"/>
    <w:rsid w:val="004370CF"/>
    <w:rsid w:val="00440DA8"/>
    <w:rsid w:val="00441C48"/>
    <w:rsid w:val="004424CE"/>
    <w:rsid w:val="0044276C"/>
    <w:rsid w:val="00445366"/>
    <w:rsid w:val="004466DB"/>
    <w:rsid w:val="00446804"/>
    <w:rsid w:val="00447005"/>
    <w:rsid w:val="00447F5B"/>
    <w:rsid w:val="00450D03"/>
    <w:rsid w:val="0045218A"/>
    <w:rsid w:val="00452EB7"/>
    <w:rsid w:val="00453177"/>
    <w:rsid w:val="00453FEE"/>
    <w:rsid w:val="00456760"/>
    <w:rsid w:val="00460583"/>
    <w:rsid w:val="00460A29"/>
    <w:rsid w:val="0046138D"/>
    <w:rsid w:val="00461ADE"/>
    <w:rsid w:val="00461DB0"/>
    <w:rsid w:val="00461EE4"/>
    <w:rsid w:val="004638D5"/>
    <w:rsid w:val="00463926"/>
    <w:rsid w:val="004639F0"/>
    <w:rsid w:val="004646E0"/>
    <w:rsid w:val="00464C9A"/>
    <w:rsid w:val="00465CC5"/>
    <w:rsid w:val="00470EE8"/>
    <w:rsid w:val="00471623"/>
    <w:rsid w:val="004719E7"/>
    <w:rsid w:val="0047248D"/>
    <w:rsid w:val="00472FE9"/>
    <w:rsid w:val="00473AF5"/>
    <w:rsid w:val="00473BB3"/>
    <w:rsid w:val="00473C3A"/>
    <w:rsid w:val="00474188"/>
    <w:rsid w:val="004743C3"/>
    <w:rsid w:val="00474A9F"/>
    <w:rsid w:val="00474F3D"/>
    <w:rsid w:val="00475B99"/>
    <w:rsid w:val="0047736F"/>
    <w:rsid w:val="00477E3A"/>
    <w:rsid w:val="00480236"/>
    <w:rsid w:val="0048251B"/>
    <w:rsid w:val="00482FF5"/>
    <w:rsid w:val="00483E5F"/>
    <w:rsid w:val="00485FF9"/>
    <w:rsid w:val="00486852"/>
    <w:rsid w:val="00486891"/>
    <w:rsid w:val="004907F0"/>
    <w:rsid w:val="0049140B"/>
    <w:rsid w:val="004923A5"/>
    <w:rsid w:val="00493C10"/>
    <w:rsid w:val="00496222"/>
    <w:rsid w:val="00496BFB"/>
    <w:rsid w:val="00496F5B"/>
    <w:rsid w:val="004972BF"/>
    <w:rsid w:val="004A0987"/>
    <w:rsid w:val="004A0C42"/>
    <w:rsid w:val="004A15C7"/>
    <w:rsid w:val="004A231A"/>
    <w:rsid w:val="004A33FD"/>
    <w:rsid w:val="004A351B"/>
    <w:rsid w:val="004A3587"/>
    <w:rsid w:val="004A59F2"/>
    <w:rsid w:val="004A5CF9"/>
    <w:rsid w:val="004A6994"/>
    <w:rsid w:val="004B013B"/>
    <w:rsid w:val="004B090E"/>
    <w:rsid w:val="004B112B"/>
    <w:rsid w:val="004B2742"/>
    <w:rsid w:val="004B2966"/>
    <w:rsid w:val="004B52F3"/>
    <w:rsid w:val="004B5930"/>
    <w:rsid w:val="004B5D17"/>
    <w:rsid w:val="004C01E4"/>
    <w:rsid w:val="004C086C"/>
    <w:rsid w:val="004C1381"/>
    <w:rsid w:val="004C1F56"/>
    <w:rsid w:val="004C2226"/>
    <w:rsid w:val="004C2760"/>
    <w:rsid w:val="004C27BC"/>
    <w:rsid w:val="004C3142"/>
    <w:rsid w:val="004C4004"/>
    <w:rsid w:val="004C45E6"/>
    <w:rsid w:val="004C4A40"/>
    <w:rsid w:val="004C7A78"/>
    <w:rsid w:val="004C7CE4"/>
    <w:rsid w:val="004D15F3"/>
    <w:rsid w:val="004D24D8"/>
    <w:rsid w:val="004D24F2"/>
    <w:rsid w:val="004D2A61"/>
    <w:rsid w:val="004D34D5"/>
    <w:rsid w:val="004D4D4D"/>
    <w:rsid w:val="004D504F"/>
    <w:rsid w:val="004D5311"/>
    <w:rsid w:val="004D5C23"/>
    <w:rsid w:val="004D5DCC"/>
    <w:rsid w:val="004D62EC"/>
    <w:rsid w:val="004E10BD"/>
    <w:rsid w:val="004E3CB6"/>
    <w:rsid w:val="004E4A1C"/>
    <w:rsid w:val="004E6A26"/>
    <w:rsid w:val="004E7908"/>
    <w:rsid w:val="004F003D"/>
    <w:rsid w:val="004F0BF2"/>
    <w:rsid w:val="004F0EF4"/>
    <w:rsid w:val="004F10AF"/>
    <w:rsid w:val="004F11A4"/>
    <w:rsid w:val="004F1639"/>
    <w:rsid w:val="004F2389"/>
    <w:rsid w:val="004F2920"/>
    <w:rsid w:val="004F298B"/>
    <w:rsid w:val="004F304D"/>
    <w:rsid w:val="004F44D0"/>
    <w:rsid w:val="004F61BE"/>
    <w:rsid w:val="004F66B1"/>
    <w:rsid w:val="004F74E6"/>
    <w:rsid w:val="00501221"/>
    <w:rsid w:val="00501873"/>
    <w:rsid w:val="00504820"/>
    <w:rsid w:val="00504A1D"/>
    <w:rsid w:val="00505674"/>
    <w:rsid w:val="00505846"/>
    <w:rsid w:val="00505DC8"/>
    <w:rsid w:val="005062DA"/>
    <w:rsid w:val="00506EBF"/>
    <w:rsid w:val="00507696"/>
    <w:rsid w:val="00507AC7"/>
    <w:rsid w:val="00507CA8"/>
    <w:rsid w:val="0051003F"/>
    <w:rsid w:val="0051136A"/>
    <w:rsid w:val="005117FC"/>
    <w:rsid w:val="00511C07"/>
    <w:rsid w:val="00512708"/>
    <w:rsid w:val="00513BAD"/>
    <w:rsid w:val="00514BA4"/>
    <w:rsid w:val="005165E5"/>
    <w:rsid w:val="005173A6"/>
    <w:rsid w:val="00520BAA"/>
    <w:rsid w:val="00520C85"/>
    <w:rsid w:val="00522250"/>
    <w:rsid w:val="005247C2"/>
    <w:rsid w:val="00524A92"/>
    <w:rsid w:val="00525208"/>
    <w:rsid w:val="005257A5"/>
    <w:rsid w:val="00525D6F"/>
    <w:rsid w:val="005264C0"/>
    <w:rsid w:val="0052671D"/>
    <w:rsid w:val="00526A8A"/>
    <w:rsid w:val="00526C82"/>
    <w:rsid w:val="00527693"/>
    <w:rsid w:val="00527AE0"/>
    <w:rsid w:val="00530BE4"/>
    <w:rsid w:val="00530C85"/>
    <w:rsid w:val="00531400"/>
    <w:rsid w:val="00531A74"/>
    <w:rsid w:val="00531DF2"/>
    <w:rsid w:val="005322FB"/>
    <w:rsid w:val="005323C1"/>
    <w:rsid w:val="0053311E"/>
    <w:rsid w:val="0053325C"/>
    <w:rsid w:val="00533FCA"/>
    <w:rsid w:val="00535816"/>
    <w:rsid w:val="00536AC8"/>
    <w:rsid w:val="00536C99"/>
    <w:rsid w:val="00536E20"/>
    <w:rsid w:val="00537091"/>
    <w:rsid w:val="00537773"/>
    <w:rsid w:val="005379D7"/>
    <w:rsid w:val="00537D08"/>
    <w:rsid w:val="005422B8"/>
    <w:rsid w:val="005426FE"/>
    <w:rsid w:val="00542FE8"/>
    <w:rsid w:val="00544191"/>
    <w:rsid w:val="005442EE"/>
    <w:rsid w:val="0054533C"/>
    <w:rsid w:val="00546521"/>
    <w:rsid w:val="00547353"/>
    <w:rsid w:val="005474E7"/>
    <w:rsid w:val="005512A3"/>
    <w:rsid w:val="00551AA8"/>
    <w:rsid w:val="0055224C"/>
    <w:rsid w:val="00552999"/>
    <w:rsid w:val="0055557C"/>
    <w:rsid w:val="0055607D"/>
    <w:rsid w:val="005561AB"/>
    <w:rsid w:val="00556FB9"/>
    <w:rsid w:val="005578CE"/>
    <w:rsid w:val="00561091"/>
    <w:rsid w:val="00562781"/>
    <w:rsid w:val="005630BA"/>
    <w:rsid w:val="00563197"/>
    <w:rsid w:val="00563E83"/>
    <w:rsid w:val="0056450C"/>
    <w:rsid w:val="00564AEA"/>
    <w:rsid w:val="0056630D"/>
    <w:rsid w:val="005721D2"/>
    <w:rsid w:val="0057271C"/>
    <w:rsid w:val="00572845"/>
    <w:rsid w:val="00573019"/>
    <w:rsid w:val="00575F59"/>
    <w:rsid w:val="005765D2"/>
    <w:rsid w:val="00576A06"/>
    <w:rsid w:val="0058039B"/>
    <w:rsid w:val="00584247"/>
    <w:rsid w:val="00584A5C"/>
    <w:rsid w:val="005855FF"/>
    <w:rsid w:val="00585831"/>
    <w:rsid w:val="00585854"/>
    <w:rsid w:val="0058597E"/>
    <w:rsid w:val="00585C1D"/>
    <w:rsid w:val="00591214"/>
    <w:rsid w:val="005922D3"/>
    <w:rsid w:val="00592772"/>
    <w:rsid w:val="005928E6"/>
    <w:rsid w:val="005937BB"/>
    <w:rsid w:val="005942FF"/>
    <w:rsid w:val="0059574A"/>
    <w:rsid w:val="0059594A"/>
    <w:rsid w:val="00595F99"/>
    <w:rsid w:val="005A1B9B"/>
    <w:rsid w:val="005A27CC"/>
    <w:rsid w:val="005A30F3"/>
    <w:rsid w:val="005A4289"/>
    <w:rsid w:val="005A5FAC"/>
    <w:rsid w:val="005A6751"/>
    <w:rsid w:val="005A7499"/>
    <w:rsid w:val="005B0705"/>
    <w:rsid w:val="005B092E"/>
    <w:rsid w:val="005B152C"/>
    <w:rsid w:val="005B1BFE"/>
    <w:rsid w:val="005B1C05"/>
    <w:rsid w:val="005B1EE0"/>
    <w:rsid w:val="005B2433"/>
    <w:rsid w:val="005B24A4"/>
    <w:rsid w:val="005B26B5"/>
    <w:rsid w:val="005B2B24"/>
    <w:rsid w:val="005B4425"/>
    <w:rsid w:val="005B4B94"/>
    <w:rsid w:val="005C2A62"/>
    <w:rsid w:val="005C2AC2"/>
    <w:rsid w:val="005C31C1"/>
    <w:rsid w:val="005C3EE8"/>
    <w:rsid w:val="005C3FF2"/>
    <w:rsid w:val="005C4AA6"/>
    <w:rsid w:val="005C4CB4"/>
    <w:rsid w:val="005C61B4"/>
    <w:rsid w:val="005C62F3"/>
    <w:rsid w:val="005C7157"/>
    <w:rsid w:val="005C71D0"/>
    <w:rsid w:val="005C7AB9"/>
    <w:rsid w:val="005D0927"/>
    <w:rsid w:val="005D1DE3"/>
    <w:rsid w:val="005D2109"/>
    <w:rsid w:val="005D34F9"/>
    <w:rsid w:val="005D3663"/>
    <w:rsid w:val="005D4190"/>
    <w:rsid w:val="005D42D2"/>
    <w:rsid w:val="005D431E"/>
    <w:rsid w:val="005D50FB"/>
    <w:rsid w:val="005D67A3"/>
    <w:rsid w:val="005D6F54"/>
    <w:rsid w:val="005E1ED0"/>
    <w:rsid w:val="005E2988"/>
    <w:rsid w:val="005E2A43"/>
    <w:rsid w:val="005E2BC2"/>
    <w:rsid w:val="005E2D03"/>
    <w:rsid w:val="005E3085"/>
    <w:rsid w:val="005E438A"/>
    <w:rsid w:val="005E44F9"/>
    <w:rsid w:val="005E5BF4"/>
    <w:rsid w:val="005E730A"/>
    <w:rsid w:val="005E74F4"/>
    <w:rsid w:val="005F16CD"/>
    <w:rsid w:val="005F3484"/>
    <w:rsid w:val="005F35D5"/>
    <w:rsid w:val="005F385C"/>
    <w:rsid w:val="005F3BD8"/>
    <w:rsid w:val="005F49AB"/>
    <w:rsid w:val="005F51E1"/>
    <w:rsid w:val="005F79D9"/>
    <w:rsid w:val="00601148"/>
    <w:rsid w:val="00601974"/>
    <w:rsid w:val="00602540"/>
    <w:rsid w:val="0061046A"/>
    <w:rsid w:val="00610AFA"/>
    <w:rsid w:val="00611C80"/>
    <w:rsid w:val="00612078"/>
    <w:rsid w:val="00613C53"/>
    <w:rsid w:val="006151CF"/>
    <w:rsid w:val="006153AE"/>
    <w:rsid w:val="00615B80"/>
    <w:rsid w:val="006178EF"/>
    <w:rsid w:val="006201F4"/>
    <w:rsid w:val="006205E5"/>
    <w:rsid w:val="00620692"/>
    <w:rsid w:val="00620C7F"/>
    <w:rsid w:val="00620F17"/>
    <w:rsid w:val="00621CB7"/>
    <w:rsid w:val="00623869"/>
    <w:rsid w:val="006239C0"/>
    <w:rsid w:val="006242CA"/>
    <w:rsid w:val="00626422"/>
    <w:rsid w:val="00626ADA"/>
    <w:rsid w:val="00626F20"/>
    <w:rsid w:val="006272C3"/>
    <w:rsid w:val="00627507"/>
    <w:rsid w:val="00627C93"/>
    <w:rsid w:val="006300CF"/>
    <w:rsid w:val="00630948"/>
    <w:rsid w:val="00630CE9"/>
    <w:rsid w:val="00631A0C"/>
    <w:rsid w:val="00632125"/>
    <w:rsid w:val="006322A0"/>
    <w:rsid w:val="00633717"/>
    <w:rsid w:val="0063411B"/>
    <w:rsid w:val="006344E1"/>
    <w:rsid w:val="00634D4C"/>
    <w:rsid w:val="006350E7"/>
    <w:rsid w:val="006358D3"/>
    <w:rsid w:val="00640901"/>
    <w:rsid w:val="00640AD0"/>
    <w:rsid w:val="00640B8F"/>
    <w:rsid w:val="0064163A"/>
    <w:rsid w:val="006425E0"/>
    <w:rsid w:val="0064320E"/>
    <w:rsid w:val="006436C8"/>
    <w:rsid w:val="00643BA4"/>
    <w:rsid w:val="00647176"/>
    <w:rsid w:val="006477C8"/>
    <w:rsid w:val="0065077D"/>
    <w:rsid w:val="006508A8"/>
    <w:rsid w:val="00650C93"/>
    <w:rsid w:val="0065244C"/>
    <w:rsid w:val="006545C4"/>
    <w:rsid w:val="00654923"/>
    <w:rsid w:val="0065493D"/>
    <w:rsid w:val="00655878"/>
    <w:rsid w:val="00655F13"/>
    <w:rsid w:val="006565B0"/>
    <w:rsid w:val="00656FFC"/>
    <w:rsid w:val="0065735A"/>
    <w:rsid w:val="006573EA"/>
    <w:rsid w:val="00660314"/>
    <w:rsid w:val="006616D2"/>
    <w:rsid w:val="00661971"/>
    <w:rsid w:val="00661CE8"/>
    <w:rsid w:val="006623D9"/>
    <w:rsid w:val="00662A41"/>
    <w:rsid w:val="00663314"/>
    <w:rsid w:val="0066550C"/>
    <w:rsid w:val="00666441"/>
    <w:rsid w:val="00666E54"/>
    <w:rsid w:val="00667FDB"/>
    <w:rsid w:val="006716F2"/>
    <w:rsid w:val="00672D81"/>
    <w:rsid w:val="00673165"/>
    <w:rsid w:val="0067350B"/>
    <w:rsid w:val="006738C7"/>
    <w:rsid w:val="00674103"/>
    <w:rsid w:val="00676CFB"/>
    <w:rsid w:val="0068026D"/>
    <w:rsid w:val="00680AD4"/>
    <w:rsid w:val="00680AE0"/>
    <w:rsid w:val="00682BF2"/>
    <w:rsid w:val="006859CE"/>
    <w:rsid w:val="00690C9E"/>
    <w:rsid w:val="00690F11"/>
    <w:rsid w:val="006910CB"/>
    <w:rsid w:val="00691270"/>
    <w:rsid w:val="006931B6"/>
    <w:rsid w:val="006942CC"/>
    <w:rsid w:val="006949FE"/>
    <w:rsid w:val="00694BA8"/>
    <w:rsid w:val="00696D83"/>
    <w:rsid w:val="006A037C"/>
    <w:rsid w:val="006A1390"/>
    <w:rsid w:val="006A1E5B"/>
    <w:rsid w:val="006A2D73"/>
    <w:rsid w:val="006A2F5B"/>
    <w:rsid w:val="006A368B"/>
    <w:rsid w:val="006A36F4"/>
    <w:rsid w:val="006A3DD4"/>
    <w:rsid w:val="006A406F"/>
    <w:rsid w:val="006A43C6"/>
    <w:rsid w:val="006A49EA"/>
    <w:rsid w:val="006A5D3A"/>
    <w:rsid w:val="006A5E39"/>
    <w:rsid w:val="006A5F33"/>
    <w:rsid w:val="006A70C4"/>
    <w:rsid w:val="006A7E4E"/>
    <w:rsid w:val="006B14AF"/>
    <w:rsid w:val="006B28E7"/>
    <w:rsid w:val="006B29D9"/>
    <w:rsid w:val="006B36C3"/>
    <w:rsid w:val="006B43DA"/>
    <w:rsid w:val="006B5A81"/>
    <w:rsid w:val="006B622E"/>
    <w:rsid w:val="006C23D4"/>
    <w:rsid w:val="006C44D6"/>
    <w:rsid w:val="006C5588"/>
    <w:rsid w:val="006C6CF5"/>
    <w:rsid w:val="006C76F9"/>
    <w:rsid w:val="006C7BB0"/>
    <w:rsid w:val="006C7EBE"/>
    <w:rsid w:val="006D3237"/>
    <w:rsid w:val="006D3DA9"/>
    <w:rsid w:val="006D5127"/>
    <w:rsid w:val="006D7616"/>
    <w:rsid w:val="006D7B1E"/>
    <w:rsid w:val="006D7B46"/>
    <w:rsid w:val="006D7C5E"/>
    <w:rsid w:val="006E03AA"/>
    <w:rsid w:val="006E0A5F"/>
    <w:rsid w:val="006E1770"/>
    <w:rsid w:val="006E1B44"/>
    <w:rsid w:val="006E23FB"/>
    <w:rsid w:val="006E2E37"/>
    <w:rsid w:val="006E2EC9"/>
    <w:rsid w:val="006E3CF1"/>
    <w:rsid w:val="006E4735"/>
    <w:rsid w:val="006E5157"/>
    <w:rsid w:val="006E5679"/>
    <w:rsid w:val="006E5742"/>
    <w:rsid w:val="006E5992"/>
    <w:rsid w:val="006E610E"/>
    <w:rsid w:val="006E67E6"/>
    <w:rsid w:val="006E7472"/>
    <w:rsid w:val="006E7E80"/>
    <w:rsid w:val="006E7F28"/>
    <w:rsid w:val="006F15C5"/>
    <w:rsid w:val="006F1888"/>
    <w:rsid w:val="006F18AE"/>
    <w:rsid w:val="006F1DF9"/>
    <w:rsid w:val="006F24DB"/>
    <w:rsid w:val="006F3275"/>
    <w:rsid w:val="006F3803"/>
    <w:rsid w:val="006F3AF0"/>
    <w:rsid w:val="006F4284"/>
    <w:rsid w:val="006F48CA"/>
    <w:rsid w:val="006F5DD4"/>
    <w:rsid w:val="006F64DD"/>
    <w:rsid w:val="006F7CEF"/>
    <w:rsid w:val="00700140"/>
    <w:rsid w:val="007001D0"/>
    <w:rsid w:val="00702960"/>
    <w:rsid w:val="00703159"/>
    <w:rsid w:val="007042B5"/>
    <w:rsid w:val="00704407"/>
    <w:rsid w:val="0070534F"/>
    <w:rsid w:val="00706269"/>
    <w:rsid w:val="0071177A"/>
    <w:rsid w:val="00712C39"/>
    <w:rsid w:val="00712E56"/>
    <w:rsid w:val="00713313"/>
    <w:rsid w:val="00715127"/>
    <w:rsid w:val="00715366"/>
    <w:rsid w:val="00715E8E"/>
    <w:rsid w:val="00716C9C"/>
    <w:rsid w:val="00717013"/>
    <w:rsid w:val="00717085"/>
    <w:rsid w:val="0071765D"/>
    <w:rsid w:val="007213B3"/>
    <w:rsid w:val="00721429"/>
    <w:rsid w:val="00721559"/>
    <w:rsid w:val="00721EDC"/>
    <w:rsid w:val="00722B62"/>
    <w:rsid w:val="00723580"/>
    <w:rsid w:val="00723755"/>
    <w:rsid w:val="00725AF6"/>
    <w:rsid w:val="0072693B"/>
    <w:rsid w:val="007305E7"/>
    <w:rsid w:val="0073136C"/>
    <w:rsid w:val="00731836"/>
    <w:rsid w:val="00731F0F"/>
    <w:rsid w:val="00733250"/>
    <w:rsid w:val="00735DBA"/>
    <w:rsid w:val="00736DD0"/>
    <w:rsid w:val="00737926"/>
    <w:rsid w:val="00741404"/>
    <w:rsid w:val="007414DE"/>
    <w:rsid w:val="00741963"/>
    <w:rsid w:val="00742A92"/>
    <w:rsid w:val="00742AE1"/>
    <w:rsid w:val="00742D54"/>
    <w:rsid w:val="00743082"/>
    <w:rsid w:val="007449E5"/>
    <w:rsid w:val="00746C5A"/>
    <w:rsid w:val="00747FF0"/>
    <w:rsid w:val="00750904"/>
    <w:rsid w:val="00751400"/>
    <w:rsid w:val="00751722"/>
    <w:rsid w:val="00751B5D"/>
    <w:rsid w:val="00753C33"/>
    <w:rsid w:val="00753CC8"/>
    <w:rsid w:val="007544DC"/>
    <w:rsid w:val="007556A0"/>
    <w:rsid w:val="007575E9"/>
    <w:rsid w:val="00761338"/>
    <w:rsid w:val="00761535"/>
    <w:rsid w:val="0076168C"/>
    <w:rsid w:val="00762987"/>
    <w:rsid w:val="00764D4E"/>
    <w:rsid w:val="00765A1F"/>
    <w:rsid w:val="00766186"/>
    <w:rsid w:val="00767F53"/>
    <w:rsid w:val="00770764"/>
    <w:rsid w:val="007715BB"/>
    <w:rsid w:val="00774F97"/>
    <w:rsid w:val="00775B6D"/>
    <w:rsid w:val="00775E66"/>
    <w:rsid w:val="007763DD"/>
    <w:rsid w:val="00776D68"/>
    <w:rsid w:val="00780B7D"/>
    <w:rsid w:val="00780BCE"/>
    <w:rsid w:val="007817DC"/>
    <w:rsid w:val="0078344E"/>
    <w:rsid w:val="007841FB"/>
    <w:rsid w:val="00784A34"/>
    <w:rsid w:val="007850EE"/>
    <w:rsid w:val="00785B95"/>
    <w:rsid w:val="00786D67"/>
    <w:rsid w:val="007873EE"/>
    <w:rsid w:val="007874F2"/>
    <w:rsid w:val="00790E96"/>
    <w:rsid w:val="00791419"/>
    <w:rsid w:val="00791BC0"/>
    <w:rsid w:val="0079226F"/>
    <w:rsid w:val="0079234C"/>
    <w:rsid w:val="007927C6"/>
    <w:rsid w:val="00792D2B"/>
    <w:rsid w:val="00793366"/>
    <w:rsid w:val="00794E14"/>
    <w:rsid w:val="007962AF"/>
    <w:rsid w:val="007A0246"/>
    <w:rsid w:val="007A3A41"/>
    <w:rsid w:val="007A3E40"/>
    <w:rsid w:val="007A3F8B"/>
    <w:rsid w:val="007A52E1"/>
    <w:rsid w:val="007A56E1"/>
    <w:rsid w:val="007A63F6"/>
    <w:rsid w:val="007A716F"/>
    <w:rsid w:val="007A75F2"/>
    <w:rsid w:val="007B12BF"/>
    <w:rsid w:val="007B206E"/>
    <w:rsid w:val="007B270A"/>
    <w:rsid w:val="007B2ABF"/>
    <w:rsid w:val="007B43F5"/>
    <w:rsid w:val="007B66B1"/>
    <w:rsid w:val="007C0695"/>
    <w:rsid w:val="007C0BA1"/>
    <w:rsid w:val="007C122F"/>
    <w:rsid w:val="007C1FA9"/>
    <w:rsid w:val="007C22CE"/>
    <w:rsid w:val="007C242A"/>
    <w:rsid w:val="007C3109"/>
    <w:rsid w:val="007C33CE"/>
    <w:rsid w:val="007C37C3"/>
    <w:rsid w:val="007C419A"/>
    <w:rsid w:val="007C4A02"/>
    <w:rsid w:val="007C4BCB"/>
    <w:rsid w:val="007C4CC8"/>
    <w:rsid w:val="007C4FC0"/>
    <w:rsid w:val="007C51F9"/>
    <w:rsid w:val="007C5426"/>
    <w:rsid w:val="007C5798"/>
    <w:rsid w:val="007C653E"/>
    <w:rsid w:val="007C68B4"/>
    <w:rsid w:val="007C6BD6"/>
    <w:rsid w:val="007D070D"/>
    <w:rsid w:val="007D0FE6"/>
    <w:rsid w:val="007D32D4"/>
    <w:rsid w:val="007D3385"/>
    <w:rsid w:val="007D386F"/>
    <w:rsid w:val="007D45D1"/>
    <w:rsid w:val="007D4832"/>
    <w:rsid w:val="007D5AEC"/>
    <w:rsid w:val="007D62B9"/>
    <w:rsid w:val="007E07C2"/>
    <w:rsid w:val="007E0D38"/>
    <w:rsid w:val="007E21B2"/>
    <w:rsid w:val="007E23A0"/>
    <w:rsid w:val="007E2C4E"/>
    <w:rsid w:val="007E2CFB"/>
    <w:rsid w:val="007E4264"/>
    <w:rsid w:val="007E4302"/>
    <w:rsid w:val="007E4699"/>
    <w:rsid w:val="007E6CE4"/>
    <w:rsid w:val="007F1905"/>
    <w:rsid w:val="007F4C54"/>
    <w:rsid w:val="007F4EAF"/>
    <w:rsid w:val="007F562C"/>
    <w:rsid w:val="007F5AEE"/>
    <w:rsid w:val="007F5C71"/>
    <w:rsid w:val="007F688B"/>
    <w:rsid w:val="007F6CC1"/>
    <w:rsid w:val="007F7393"/>
    <w:rsid w:val="007F7982"/>
    <w:rsid w:val="008005B8"/>
    <w:rsid w:val="00800D50"/>
    <w:rsid w:val="00801300"/>
    <w:rsid w:val="00801FB8"/>
    <w:rsid w:val="008026CC"/>
    <w:rsid w:val="00802C64"/>
    <w:rsid w:val="00803E74"/>
    <w:rsid w:val="00805E52"/>
    <w:rsid w:val="008061D0"/>
    <w:rsid w:val="0080633F"/>
    <w:rsid w:val="008069EC"/>
    <w:rsid w:val="00806D7E"/>
    <w:rsid w:val="00810B38"/>
    <w:rsid w:val="008113B7"/>
    <w:rsid w:val="00811779"/>
    <w:rsid w:val="00811898"/>
    <w:rsid w:val="00813E99"/>
    <w:rsid w:val="00817F44"/>
    <w:rsid w:val="008204C7"/>
    <w:rsid w:val="00820605"/>
    <w:rsid w:val="00820992"/>
    <w:rsid w:val="0082123B"/>
    <w:rsid w:val="00822C13"/>
    <w:rsid w:val="00823602"/>
    <w:rsid w:val="00824A30"/>
    <w:rsid w:val="00824E0C"/>
    <w:rsid w:val="008255F5"/>
    <w:rsid w:val="0082609F"/>
    <w:rsid w:val="008267E0"/>
    <w:rsid w:val="0083014E"/>
    <w:rsid w:val="0083023E"/>
    <w:rsid w:val="00830D03"/>
    <w:rsid w:val="0083214A"/>
    <w:rsid w:val="008335AB"/>
    <w:rsid w:val="00834220"/>
    <w:rsid w:val="00834B3B"/>
    <w:rsid w:val="008361D1"/>
    <w:rsid w:val="00840402"/>
    <w:rsid w:val="0084180D"/>
    <w:rsid w:val="00841DBC"/>
    <w:rsid w:val="0084375C"/>
    <w:rsid w:val="008446A1"/>
    <w:rsid w:val="00845723"/>
    <w:rsid w:val="00845B76"/>
    <w:rsid w:val="00846A04"/>
    <w:rsid w:val="008476F2"/>
    <w:rsid w:val="008479FE"/>
    <w:rsid w:val="008514F6"/>
    <w:rsid w:val="00851EF9"/>
    <w:rsid w:val="008521E5"/>
    <w:rsid w:val="00852A5E"/>
    <w:rsid w:val="00852DA1"/>
    <w:rsid w:val="008534B5"/>
    <w:rsid w:val="00854052"/>
    <w:rsid w:val="008543E2"/>
    <w:rsid w:val="008577FD"/>
    <w:rsid w:val="00857A10"/>
    <w:rsid w:val="00857CAB"/>
    <w:rsid w:val="008600E0"/>
    <w:rsid w:val="0086030F"/>
    <w:rsid w:val="008603EE"/>
    <w:rsid w:val="008604E7"/>
    <w:rsid w:val="00860B03"/>
    <w:rsid w:val="00860C68"/>
    <w:rsid w:val="00860F33"/>
    <w:rsid w:val="0086108F"/>
    <w:rsid w:val="0086194D"/>
    <w:rsid w:val="00861A31"/>
    <w:rsid w:val="00861EEF"/>
    <w:rsid w:val="008625C1"/>
    <w:rsid w:val="0086497A"/>
    <w:rsid w:val="00864AD3"/>
    <w:rsid w:val="00865AFB"/>
    <w:rsid w:val="00865C02"/>
    <w:rsid w:val="00867325"/>
    <w:rsid w:val="008713A1"/>
    <w:rsid w:val="00871B34"/>
    <w:rsid w:val="00874162"/>
    <w:rsid w:val="00874D17"/>
    <w:rsid w:val="00874ED1"/>
    <w:rsid w:val="008754AB"/>
    <w:rsid w:val="00876F37"/>
    <w:rsid w:val="00876FDA"/>
    <w:rsid w:val="00877ADF"/>
    <w:rsid w:val="0088060C"/>
    <w:rsid w:val="00880DC4"/>
    <w:rsid w:val="00881D6F"/>
    <w:rsid w:val="008822F4"/>
    <w:rsid w:val="00883BF2"/>
    <w:rsid w:val="00884AB1"/>
    <w:rsid w:val="00885092"/>
    <w:rsid w:val="00885D94"/>
    <w:rsid w:val="00887E84"/>
    <w:rsid w:val="00892731"/>
    <w:rsid w:val="00892F22"/>
    <w:rsid w:val="00893576"/>
    <w:rsid w:val="00893921"/>
    <w:rsid w:val="00893E73"/>
    <w:rsid w:val="0089481A"/>
    <w:rsid w:val="00897A00"/>
    <w:rsid w:val="008A43C4"/>
    <w:rsid w:val="008A68B2"/>
    <w:rsid w:val="008B02DC"/>
    <w:rsid w:val="008B446C"/>
    <w:rsid w:val="008B53FB"/>
    <w:rsid w:val="008B57CE"/>
    <w:rsid w:val="008B659F"/>
    <w:rsid w:val="008B65F1"/>
    <w:rsid w:val="008B7056"/>
    <w:rsid w:val="008B7852"/>
    <w:rsid w:val="008B7F05"/>
    <w:rsid w:val="008C120C"/>
    <w:rsid w:val="008C26DE"/>
    <w:rsid w:val="008C4B04"/>
    <w:rsid w:val="008C7DEC"/>
    <w:rsid w:val="008D04E6"/>
    <w:rsid w:val="008D1CD5"/>
    <w:rsid w:val="008D2225"/>
    <w:rsid w:val="008D2AD8"/>
    <w:rsid w:val="008D3A60"/>
    <w:rsid w:val="008D4752"/>
    <w:rsid w:val="008D552A"/>
    <w:rsid w:val="008D6D26"/>
    <w:rsid w:val="008D6E5B"/>
    <w:rsid w:val="008E000B"/>
    <w:rsid w:val="008E024F"/>
    <w:rsid w:val="008E0858"/>
    <w:rsid w:val="008E1FDC"/>
    <w:rsid w:val="008E271C"/>
    <w:rsid w:val="008E29DE"/>
    <w:rsid w:val="008E3597"/>
    <w:rsid w:val="008E3774"/>
    <w:rsid w:val="008E3F2B"/>
    <w:rsid w:val="008E418E"/>
    <w:rsid w:val="008E4844"/>
    <w:rsid w:val="008E5BC6"/>
    <w:rsid w:val="008E6A25"/>
    <w:rsid w:val="008E7F81"/>
    <w:rsid w:val="008F1458"/>
    <w:rsid w:val="008F1D66"/>
    <w:rsid w:val="008F22D4"/>
    <w:rsid w:val="008F3B24"/>
    <w:rsid w:val="008F4972"/>
    <w:rsid w:val="008F4ABE"/>
    <w:rsid w:val="008F5193"/>
    <w:rsid w:val="008F79C4"/>
    <w:rsid w:val="00900A07"/>
    <w:rsid w:val="00900D85"/>
    <w:rsid w:val="009013A7"/>
    <w:rsid w:val="00901738"/>
    <w:rsid w:val="009017FB"/>
    <w:rsid w:val="009017FC"/>
    <w:rsid w:val="00901E0A"/>
    <w:rsid w:val="00903843"/>
    <w:rsid w:val="00903B43"/>
    <w:rsid w:val="0090506B"/>
    <w:rsid w:val="009050C9"/>
    <w:rsid w:val="009066FC"/>
    <w:rsid w:val="009070A8"/>
    <w:rsid w:val="00907873"/>
    <w:rsid w:val="009101D5"/>
    <w:rsid w:val="00910E58"/>
    <w:rsid w:val="00912C0F"/>
    <w:rsid w:val="009140A3"/>
    <w:rsid w:val="009144A2"/>
    <w:rsid w:val="0091510C"/>
    <w:rsid w:val="00916D19"/>
    <w:rsid w:val="009174C0"/>
    <w:rsid w:val="00917586"/>
    <w:rsid w:val="00920730"/>
    <w:rsid w:val="00920F8F"/>
    <w:rsid w:val="00921A14"/>
    <w:rsid w:val="00921BE5"/>
    <w:rsid w:val="009226C0"/>
    <w:rsid w:val="00922E55"/>
    <w:rsid w:val="009233A9"/>
    <w:rsid w:val="00923ABC"/>
    <w:rsid w:val="00924A9B"/>
    <w:rsid w:val="00924ACA"/>
    <w:rsid w:val="009253F4"/>
    <w:rsid w:val="00925677"/>
    <w:rsid w:val="009259AC"/>
    <w:rsid w:val="00926211"/>
    <w:rsid w:val="00926F38"/>
    <w:rsid w:val="0092753A"/>
    <w:rsid w:val="009331E8"/>
    <w:rsid w:val="00933586"/>
    <w:rsid w:val="00934301"/>
    <w:rsid w:val="00934479"/>
    <w:rsid w:val="0093561B"/>
    <w:rsid w:val="00935E04"/>
    <w:rsid w:val="00935E54"/>
    <w:rsid w:val="00936166"/>
    <w:rsid w:val="00936576"/>
    <w:rsid w:val="00936CD1"/>
    <w:rsid w:val="0093776D"/>
    <w:rsid w:val="009377E2"/>
    <w:rsid w:val="00941747"/>
    <w:rsid w:val="00941EFB"/>
    <w:rsid w:val="00942304"/>
    <w:rsid w:val="0094267E"/>
    <w:rsid w:val="00943DC9"/>
    <w:rsid w:val="009441D2"/>
    <w:rsid w:val="00944B3E"/>
    <w:rsid w:val="009454C3"/>
    <w:rsid w:val="00947AFB"/>
    <w:rsid w:val="00950F1E"/>
    <w:rsid w:val="00951D7D"/>
    <w:rsid w:val="0095267E"/>
    <w:rsid w:val="00952C12"/>
    <w:rsid w:val="00952F21"/>
    <w:rsid w:val="009532F1"/>
    <w:rsid w:val="00953392"/>
    <w:rsid w:val="009574BE"/>
    <w:rsid w:val="0096059D"/>
    <w:rsid w:val="009606CB"/>
    <w:rsid w:val="009630C7"/>
    <w:rsid w:val="00963D43"/>
    <w:rsid w:val="00965A9A"/>
    <w:rsid w:val="00965F49"/>
    <w:rsid w:val="00971447"/>
    <w:rsid w:val="00971BBF"/>
    <w:rsid w:val="009725FD"/>
    <w:rsid w:val="00972B55"/>
    <w:rsid w:val="009743B7"/>
    <w:rsid w:val="00974703"/>
    <w:rsid w:val="00974A00"/>
    <w:rsid w:val="00977772"/>
    <w:rsid w:val="009821FA"/>
    <w:rsid w:val="0098228B"/>
    <w:rsid w:val="00982299"/>
    <w:rsid w:val="009828DA"/>
    <w:rsid w:val="009831B7"/>
    <w:rsid w:val="00983A8A"/>
    <w:rsid w:val="00985B31"/>
    <w:rsid w:val="00985BAB"/>
    <w:rsid w:val="00991701"/>
    <w:rsid w:val="00994190"/>
    <w:rsid w:val="00997164"/>
    <w:rsid w:val="009973CE"/>
    <w:rsid w:val="00997F03"/>
    <w:rsid w:val="009A2F9C"/>
    <w:rsid w:val="009A2FEC"/>
    <w:rsid w:val="009A44B0"/>
    <w:rsid w:val="009A46DF"/>
    <w:rsid w:val="009A5DC4"/>
    <w:rsid w:val="009A735C"/>
    <w:rsid w:val="009B0A5B"/>
    <w:rsid w:val="009B1B5F"/>
    <w:rsid w:val="009B2C47"/>
    <w:rsid w:val="009B2EC2"/>
    <w:rsid w:val="009B3FA5"/>
    <w:rsid w:val="009B5469"/>
    <w:rsid w:val="009B5E0F"/>
    <w:rsid w:val="009B62E9"/>
    <w:rsid w:val="009B6673"/>
    <w:rsid w:val="009C191B"/>
    <w:rsid w:val="009C2168"/>
    <w:rsid w:val="009C2BD6"/>
    <w:rsid w:val="009C39A3"/>
    <w:rsid w:val="009C5961"/>
    <w:rsid w:val="009C5970"/>
    <w:rsid w:val="009C7388"/>
    <w:rsid w:val="009C7BB3"/>
    <w:rsid w:val="009D0C7F"/>
    <w:rsid w:val="009D17F8"/>
    <w:rsid w:val="009D1F2C"/>
    <w:rsid w:val="009D31CD"/>
    <w:rsid w:val="009D4038"/>
    <w:rsid w:val="009D4209"/>
    <w:rsid w:val="009D48DE"/>
    <w:rsid w:val="009D4F74"/>
    <w:rsid w:val="009D6C7D"/>
    <w:rsid w:val="009E0540"/>
    <w:rsid w:val="009E06A2"/>
    <w:rsid w:val="009E1F32"/>
    <w:rsid w:val="009E36EF"/>
    <w:rsid w:val="009E5829"/>
    <w:rsid w:val="009E6CDC"/>
    <w:rsid w:val="009E776C"/>
    <w:rsid w:val="009E7D8D"/>
    <w:rsid w:val="009F11DD"/>
    <w:rsid w:val="009F316E"/>
    <w:rsid w:val="009F3F7F"/>
    <w:rsid w:val="009F4CBC"/>
    <w:rsid w:val="009F69A1"/>
    <w:rsid w:val="009F71C2"/>
    <w:rsid w:val="009F7DE2"/>
    <w:rsid w:val="009F7E3F"/>
    <w:rsid w:val="00A00D6F"/>
    <w:rsid w:val="00A01F89"/>
    <w:rsid w:val="00A02494"/>
    <w:rsid w:val="00A03233"/>
    <w:rsid w:val="00A06A71"/>
    <w:rsid w:val="00A1084A"/>
    <w:rsid w:val="00A10A87"/>
    <w:rsid w:val="00A110FA"/>
    <w:rsid w:val="00A11486"/>
    <w:rsid w:val="00A1256A"/>
    <w:rsid w:val="00A151A9"/>
    <w:rsid w:val="00A152D2"/>
    <w:rsid w:val="00A16708"/>
    <w:rsid w:val="00A1695E"/>
    <w:rsid w:val="00A1726E"/>
    <w:rsid w:val="00A204CF"/>
    <w:rsid w:val="00A209A3"/>
    <w:rsid w:val="00A20D19"/>
    <w:rsid w:val="00A216DB"/>
    <w:rsid w:val="00A21C11"/>
    <w:rsid w:val="00A21CFC"/>
    <w:rsid w:val="00A23D49"/>
    <w:rsid w:val="00A24122"/>
    <w:rsid w:val="00A24960"/>
    <w:rsid w:val="00A27004"/>
    <w:rsid w:val="00A3016D"/>
    <w:rsid w:val="00A30C29"/>
    <w:rsid w:val="00A31273"/>
    <w:rsid w:val="00A33974"/>
    <w:rsid w:val="00A34DD6"/>
    <w:rsid w:val="00A34F64"/>
    <w:rsid w:val="00A36429"/>
    <w:rsid w:val="00A36819"/>
    <w:rsid w:val="00A36989"/>
    <w:rsid w:val="00A4155F"/>
    <w:rsid w:val="00A419E9"/>
    <w:rsid w:val="00A41CD1"/>
    <w:rsid w:val="00A426CA"/>
    <w:rsid w:val="00A42C3D"/>
    <w:rsid w:val="00A432B6"/>
    <w:rsid w:val="00A43628"/>
    <w:rsid w:val="00A4796F"/>
    <w:rsid w:val="00A52C9C"/>
    <w:rsid w:val="00A534A0"/>
    <w:rsid w:val="00A53760"/>
    <w:rsid w:val="00A54192"/>
    <w:rsid w:val="00A5447B"/>
    <w:rsid w:val="00A5516B"/>
    <w:rsid w:val="00A567B5"/>
    <w:rsid w:val="00A6035E"/>
    <w:rsid w:val="00A60B83"/>
    <w:rsid w:val="00A6144C"/>
    <w:rsid w:val="00A64AA8"/>
    <w:rsid w:val="00A64D0E"/>
    <w:rsid w:val="00A66617"/>
    <w:rsid w:val="00A671F8"/>
    <w:rsid w:val="00A673A4"/>
    <w:rsid w:val="00A679AA"/>
    <w:rsid w:val="00A7094B"/>
    <w:rsid w:val="00A7177A"/>
    <w:rsid w:val="00A71BAE"/>
    <w:rsid w:val="00A724AE"/>
    <w:rsid w:val="00A7252F"/>
    <w:rsid w:val="00A73329"/>
    <w:rsid w:val="00A734CD"/>
    <w:rsid w:val="00A73858"/>
    <w:rsid w:val="00A743C5"/>
    <w:rsid w:val="00A7544E"/>
    <w:rsid w:val="00A7553D"/>
    <w:rsid w:val="00A75B38"/>
    <w:rsid w:val="00A76D29"/>
    <w:rsid w:val="00A779DE"/>
    <w:rsid w:val="00A77CA9"/>
    <w:rsid w:val="00A82359"/>
    <w:rsid w:val="00A82708"/>
    <w:rsid w:val="00A83970"/>
    <w:rsid w:val="00A83A4F"/>
    <w:rsid w:val="00A849DB"/>
    <w:rsid w:val="00A85F6B"/>
    <w:rsid w:val="00A865D2"/>
    <w:rsid w:val="00A867EA"/>
    <w:rsid w:val="00A868E5"/>
    <w:rsid w:val="00A871A7"/>
    <w:rsid w:val="00A87D86"/>
    <w:rsid w:val="00A90937"/>
    <w:rsid w:val="00A93171"/>
    <w:rsid w:val="00A94C20"/>
    <w:rsid w:val="00A960A0"/>
    <w:rsid w:val="00A965AB"/>
    <w:rsid w:val="00A965DC"/>
    <w:rsid w:val="00A96A32"/>
    <w:rsid w:val="00A96ED6"/>
    <w:rsid w:val="00AA1697"/>
    <w:rsid w:val="00AA1AA5"/>
    <w:rsid w:val="00AA227F"/>
    <w:rsid w:val="00AA2EDA"/>
    <w:rsid w:val="00AA345C"/>
    <w:rsid w:val="00AA368B"/>
    <w:rsid w:val="00AA3BC7"/>
    <w:rsid w:val="00AA59B4"/>
    <w:rsid w:val="00AA5E09"/>
    <w:rsid w:val="00AA61DC"/>
    <w:rsid w:val="00AA6B16"/>
    <w:rsid w:val="00AA6DC8"/>
    <w:rsid w:val="00AA754A"/>
    <w:rsid w:val="00AB099E"/>
    <w:rsid w:val="00AB25B7"/>
    <w:rsid w:val="00AB3AE5"/>
    <w:rsid w:val="00AB4328"/>
    <w:rsid w:val="00AB5FA0"/>
    <w:rsid w:val="00AC1057"/>
    <w:rsid w:val="00AC1094"/>
    <w:rsid w:val="00AC17C6"/>
    <w:rsid w:val="00AC25EB"/>
    <w:rsid w:val="00AC3310"/>
    <w:rsid w:val="00AC3E1C"/>
    <w:rsid w:val="00AC57F9"/>
    <w:rsid w:val="00AC5CE9"/>
    <w:rsid w:val="00AC604E"/>
    <w:rsid w:val="00AC66D3"/>
    <w:rsid w:val="00AC6757"/>
    <w:rsid w:val="00AD22F1"/>
    <w:rsid w:val="00AD2BA5"/>
    <w:rsid w:val="00AD4E79"/>
    <w:rsid w:val="00AD66B8"/>
    <w:rsid w:val="00AD6C7D"/>
    <w:rsid w:val="00AE0A2E"/>
    <w:rsid w:val="00AE135F"/>
    <w:rsid w:val="00AE187F"/>
    <w:rsid w:val="00AE2A30"/>
    <w:rsid w:val="00AE354C"/>
    <w:rsid w:val="00AE71EB"/>
    <w:rsid w:val="00AF144C"/>
    <w:rsid w:val="00AF39E1"/>
    <w:rsid w:val="00AF4B07"/>
    <w:rsid w:val="00AF6186"/>
    <w:rsid w:val="00AF7A3A"/>
    <w:rsid w:val="00AF7F97"/>
    <w:rsid w:val="00B00044"/>
    <w:rsid w:val="00B011AC"/>
    <w:rsid w:val="00B01E1B"/>
    <w:rsid w:val="00B02236"/>
    <w:rsid w:val="00B03197"/>
    <w:rsid w:val="00B03D9D"/>
    <w:rsid w:val="00B03DA0"/>
    <w:rsid w:val="00B03E1F"/>
    <w:rsid w:val="00B04DDF"/>
    <w:rsid w:val="00B0611C"/>
    <w:rsid w:val="00B06711"/>
    <w:rsid w:val="00B06720"/>
    <w:rsid w:val="00B07DC5"/>
    <w:rsid w:val="00B1005C"/>
    <w:rsid w:val="00B1016F"/>
    <w:rsid w:val="00B10A39"/>
    <w:rsid w:val="00B11559"/>
    <w:rsid w:val="00B12015"/>
    <w:rsid w:val="00B13A4E"/>
    <w:rsid w:val="00B14866"/>
    <w:rsid w:val="00B15AA9"/>
    <w:rsid w:val="00B160DB"/>
    <w:rsid w:val="00B17C3A"/>
    <w:rsid w:val="00B205A3"/>
    <w:rsid w:val="00B20836"/>
    <w:rsid w:val="00B2154A"/>
    <w:rsid w:val="00B21F99"/>
    <w:rsid w:val="00B22873"/>
    <w:rsid w:val="00B235BB"/>
    <w:rsid w:val="00B2475E"/>
    <w:rsid w:val="00B24CC2"/>
    <w:rsid w:val="00B2518F"/>
    <w:rsid w:val="00B26715"/>
    <w:rsid w:val="00B27795"/>
    <w:rsid w:val="00B27A44"/>
    <w:rsid w:val="00B27E56"/>
    <w:rsid w:val="00B305C1"/>
    <w:rsid w:val="00B305C7"/>
    <w:rsid w:val="00B30BBF"/>
    <w:rsid w:val="00B30DAC"/>
    <w:rsid w:val="00B33C03"/>
    <w:rsid w:val="00B366DD"/>
    <w:rsid w:val="00B4000F"/>
    <w:rsid w:val="00B426CD"/>
    <w:rsid w:val="00B43B41"/>
    <w:rsid w:val="00B44866"/>
    <w:rsid w:val="00B44E56"/>
    <w:rsid w:val="00B45819"/>
    <w:rsid w:val="00B4591C"/>
    <w:rsid w:val="00B45EF3"/>
    <w:rsid w:val="00B46543"/>
    <w:rsid w:val="00B46F36"/>
    <w:rsid w:val="00B47D33"/>
    <w:rsid w:val="00B501D1"/>
    <w:rsid w:val="00B518AA"/>
    <w:rsid w:val="00B52BE0"/>
    <w:rsid w:val="00B53CAA"/>
    <w:rsid w:val="00B54133"/>
    <w:rsid w:val="00B56950"/>
    <w:rsid w:val="00B60F62"/>
    <w:rsid w:val="00B63741"/>
    <w:rsid w:val="00B637B9"/>
    <w:rsid w:val="00B63D9F"/>
    <w:rsid w:val="00B64A09"/>
    <w:rsid w:val="00B66E44"/>
    <w:rsid w:val="00B66EDA"/>
    <w:rsid w:val="00B677DE"/>
    <w:rsid w:val="00B67AF1"/>
    <w:rsid w:val="00B701ED"/>
    <w:rsid w:val="00B71147"/>
    <w:rsid w:val="00B71AE8"/>
    <w:rsid w:val="00B72E3E"/>
    <w:rsid w:val="00B74718"/>
    <w:rsid w:val="00B755F9"/>
    <w:rsid w:val="00B76D2F"/>
    <w:rsid w:val="00B77D1C"/>
    <w:rsid w:val="00B800DF"/>
    <w:rsid w:val="00B80221"/>
    <w:rsid w:val="00B8086C"/>
    <w:rsid w:val="00B80D8B"/>
    <w:rsid w:val="00B81E21"/>
    <w:rsid w:val="00B8456D"/>
    <w:rsid w:val="00B84C09"/>
    <w:rsid w:val="00B861B4"/>
    <w:rsid w:val="00B8679B"/>
    <w:rsid w:val="00B86DFE"/>
    <w:rsid w:val="00B87D80"/>
    <w:rsid w:val="00B90990"/>
    <w:rsid w:val="00B911C6"/>
    <w:rsid w:val="00B91306"/>
    <w:rsid w:val="00B922FF"/>
    <w:rsid w:val="00B9281E"/>
    <w:rsid w:val="00B92C93"/>
    <w:rsid w:val="00B93925"/>
    <w:rsid w:val="00B93928"/>
    <w:rsid w:val="00B948F1"/>
    <w:rsid w:val="00B95187"/>
    <w:rsid w:val="00B97887"/>
    <w:rsid w:val="00BA0155"/>
    <w:rsid w:val="00BA0617"/>
    <w:rsid w:val="00BA0717"/>
    <w:rsid w:val="00BA0871"/>
    <w:rsid w:val="00BA0A40"/>
    <w:rsid w:val="00BA15C4"/>
    <w:rsid w:val="00BA2793"/>
    <w:rsid w:val="00BA2D55"/>
    <w:rsid w:val="00BA48BB"/>
    <w:rsid w:val="00BA48C2"/>
    <w:rsid w:val="00BA4A66"/>
    <w:rsid w:val="00BA5190"/>
    <w:rsid w:val="00BA5BC8"/>
    <w:rsid w:val="00BA64D4"/>
    <w:rsid w:val="00BA71B1"/>
    <w:rsid w:val="00BA7CB1"/>
    <w:rsid w:val="00BA7E3A"/>
    <w:rsid w:val="00BB0525"/>
    <w:rsid w:val="00BB0637"/>
    <w:rsid w:val="00BB0C59"/>
    <w:rsid w:val="00BB173C"/>
    <w:rsid w:val="00BB1CA1"/>
    <w:rsid w:val="00BB3239"/>
    <w:rsid w:val="00BB345F"/>
    <w:rsid w:val="00BB3513"/>
    <w:rsid w:val="00BB5883"/>
    <w:rsid w:val="00BB5C02"/>
    <w:rsid w:val="00BB68EA"/>
    <w:rsid w:val="00BC0F00"/>
    <w:rsid w:val="00BC1C27"/>
    <w:rsid w:val="00BC3665"/>
    <w:rsid w:val="00BC4D1F"/>
    <w:rsid w:val="00BC4DE1"/>
    <w:rsid w:val="00BC61A9"/>
    <w:rsid w:val="00BC6BBF"/>
    <w:rsid w:val="00BD1072"/>
    <w:rsid w:val="00BD1572"/>
    <w:rsid w:val="00BD1F10"/>
    <w:rsid w:val="00BD203C"/>
    <w:rsid w:val="00BD26CD"/>
    <w:rsid w:val="00BD395F"/>
    <w:rsid w:val="00BD4815"/>
    <w:rsid w:val="00BD4F32"/>
    <w:rsid w:val="00BD632F"/>
    <w:rsid w:val="00BD6AC8"/>
    <w:rsid w:val="00BE0341"/>
    <w:rsid w:val="00BE078C"/>
    <w:rsid w:val="00BE126A"/>
    <w:rsid w:val="00BE14E3"/>
    <w:rsid w:val="00BE2A0E"/>
    <w:rsid w:val="00BE31B7"/>
    <w:rsid w:val="00BE326C"/>
    <w:rsid w:val="00BE3774"/>
    <w:rsid w:val="00BE41E5"/>
    <w:rsid w:val="00BE5B85"/>
    <w:rsid w:val="00BE6962"/>
    <w:rsid w:val="00BF09AB"/>
    <w:rsid w:val="00BF0BBB"/>
    <w:rsid w:val="00BF16B9"/>
    <w:rsid w:val="00BF4109"/>
    <w:rsid w:val="00BF4CC3"/>
    <w:rsid w:val="00BF55DC"/>
    <w:rsid w:val="00BF5A6F"/>
    <w:rsid w:val="00BF7AFD"/>
    <w:rsid w:val="00C004C0"/>
    <w:rsid w:val="00C034C2"/>
    <w:rsid w:val="00C03ACD"/>
    <w:rsid w:val="00C04976"/>
    <w:rsid w:val="00C054C7"/>
    <w:rsid w:val="00C0565E"/>
    <w:rsid w:val="00C057B5"/>
    <w:rsid w:val="00C06629"/>
    <w:rsid w:val="00C06C69"/>
    <w:rsid w:val="00C0771D"/>
    <w:rsid w:val="00C11936"/>
    <w:rsid w:val="00C11CFD"/>
    <w:rsid w:val="00C13A41"/>
    <w:rsid w:val="00C14275"/>
    <w:rsid w:val="00C1552F"/>
    <w:rsid w:val="00C15E3F"/>
    <w:rsid w:val="00C15FA5"/>
    <w:rsid w:val="00C161EB"/>
    <w:rsid w:val="00C1628E"/>
    <w:rsid w:val="00C1654C"/>
    <w:rsid w:val="00C20D61"/>
    <w:rsid w:val="00C20EF1"/>
    <w:rsid w:val="00C211B0"/>
    <w:rsid w:val="00C21D64"/>
    <w:rsid w:val="00C22020"/>
    <w:rsid w:val="00C22440"/>
    <w:rsid w:val="00C22687"/>
    <w:rsid w:val="00C2401E"/>
    <w:rsid w:val="00C24C3B"/>
    <w:rsid w:val="00C24D69"/>
    <w:rsid w:val="00C252BC"/>
    <w:rsid w:val="00C25C70"/>
    <w:rsid w:val="00C2693D"/>
    <w:rsid w:val="00C27EA5"/>
    <w:rsid w:val="00C3039B"/>
    <w:rsid w:val="00C30555"/>
    <w:rsid w:val="00C312CF"/>
    <w:rsid w:val="00C319AA"/>
    <w:rsid w:val="00C31D8F"/>
    <w:rsid w:val="00C3203E"/>
    <w:rsid w:val="00C32E4D"/>
    <w:rsid w:val="00C333A0"/>
    <w:rsid w:val="00C341E9"/>
    <w:rsid w:val="00C352A5"/>
    <w:rsid w:val="00C36A81"/>
    <w:rsid w:val="00C37213"/>
    <w:rsid w:val="00C37B80"/>
    <w:rsid w:val="00C41898"/>
    <w:rsid w:val="00C41974"/>
    <w:rsid w:val="00C42987"/>
    <w:rsid w:val="00C4382A"/>
    <w:rsid w:val="00C43BA8"/>
    <w:rsid w:val="00C4467B"/>
    <w:rsid w:val="00C447AD"/>
    <w:rsid w:val="00C4582E"/>
    <w:rsid w:val="00C465AD"/>
    <w:rsid w:val="00C50018"/>
    <w:rsid w:val="00C512D5"/>
    <w:rsid w:val="00C5232B"/>
    <w:rsid w:val="00C53F4A"/>
    <w:rsid w:val="00C54125"/>
    <w:rsid w:val="00C5449D"/>
    <w:rsid w:val="00C55B54"/>
    <w:rsid w:val="00C57D83"/>
    <w:rsid w:val="00C6098E"/>
    <w:rsid w:val="00C60FA6"/>
    <w:rsid w:val="00C6152C"/>
    <w:rsid w:val="00C621C2"/>
    <w:rsid w:val="00C6298F"/>
    <w:rsid w:val="00C6371B"/>
    <w:rsid w:val="00C664FB"/>
    <w:rsid w:val="00C66799"/>
    <w:rsid w:val="00C71068"/>
    <w:rsid w:val="00C73F90"/>
    <w:rsid w:val="00C74810"/>
    <w:rsid w:val="00C74BDC"/>
    <w:rsid w:val="00C7545A"/>
    <w:rsid w:val="00C75894"/>
    <w:rsid w:val="00C80BEA"/>
    <w:rsid w:val="00C8168C"/>
    <w:rsid w:val="00C82440"/>
    <w:rsid w:val="00C83522"/>
    <w:rsid w:val="00C83EA2"/>
    <w:rsid w:val="00C8411A"/>
    <w:rsid w:val="00C85AEE"/>
    <w:rsid w:val="00C86EB3"/>
    <w:rsid w:val="00C870D8"/>
    <w:rsid w:val="00C875BC"/>
    <w:rsid w:val="00C87677"/>
    <w:rsid w:val="00C9031B"/>
    <w:rsid w:val="00C907D3"/>
    <w:rsid w:val="00C90ADA"/>
    <w:rsid w:val="00C90D0C"/>
    <w:rsid w:val="00C90D68"/>
    <w:rsid w:val="00C939FE"/>
    <w:rsid w:val="00C9709D"/>
    <w:rsid w:val="00CA0AEF"/>
    <w:rsid w:val="00CA3332"/>
    <w:rsid w:val="00CA3B32"/>
    <w:rsid w:val="00CA479A"/>
    <w:rsid w:val="00CA4BDA"/>
    <w:rsid w:val="00CA7D9F"/>
    <w:rsid w:val="00CB10B0"/>
    <w:rsid w:val="00CB1F66"/>
    <w:rsid w:val="00CB2951"/>
    <w:rsid w:val="00CB2C29"/>
    <w:rsid w:val="00CB3137"/>
    <w:rsid w:val="00CB37E7"/>
    <w:rsid w:val="00CB42B5"/>
    <w:rsid w:val="00CB5246"/>
    <w:rsid w:val="00CB5C03"/>
    <w:rsid w:val="00CC0632"/>
    <w:rsid w:val="00CC0C0B"/>
    <w:rsid w:val="00CC4642"/>
    <w:rsid w:val="00CC597E"/>
    <w:rsid w:val="00CC709E"/>
    <w:rsid w:val="00CC7AA7"/>
    <w:rsid w:val="00CD0C56"/>
    <w:rsid w:val="00CD0E41"/>
    <w:rsid w:val="00CD0F7A"/>
    <w:rsid w:val="00CD1449"/>
    <w:rsid w:val="00CD18A6"/>
    <w:rsid w:val="00CD282B"/>
    <w:rsid w:val="00CD2EAB"/>
    <w:rsid w:val="00CD354A"/>
    <w:rsid w:val="00CD4C35"/>
    <w:rsid w:val="00CD53B4"/>
    <w:rsid w:val="00CD5C17"/>
    <w:rsid w:val="00CD61F7"/>
    <w:rsid w:val="00CD702B"/>
    <w:rsid w:val="00CD7369"/>
    <w:rsid w:val="00CD7CDD"/>
    <w:rsid w:val="00CE07D7"/>
    <w:rsid w:val="00CE0B0E"/>
    <w:rsid w:val="00CE0D5D"/>
    <w:rsid w:val="00CE3831"/>
    <w:rsid w:val="00CE4448"/>
    <w:rsid w:val="00CE45B5"/>
    <w:rsid w:val="00CE74FF"/>
    <w:rsid w:val="00CF12B9"/>
    <w:rsid w:val="00CF1EA5"/>
    <w:rsid w:val="00CF2280"/>
    <w:rsid w:val="00CF266F"/>
    <w:rsid w:val="00CF4D15"/>
    <w:rsid w:val="00CF50A2"/>
    <w:rsid w:val="00CF6243"/>
    <w:rsid w:val="00D000FE"/>
    <w:rsid w:val="00D00ABB"/>
    <w:rsid w:val="00D02663"/>
    <w:rsid w:val="00D02846"/>
    <w:rsid w:val="00D02EEC"/>
    <w:rsid w:val="00D03551"/>
    <w:rsid w:val="00D05048"/>
    <w:rsid w:val="00D0641A"/>
    <w:rsid w:val="00D068D0"/>
    <w:rsid w:val="00D06A63"/>
    <w:rsid w:val="00D06C24"/>
    <w:rsid w:val="00D074D8"/>
    <w:rsid w:val="00D07B29"/>
    <w:rsid w:val="00D07E0E"/>
    <w:rsid w:val="00D11478"/>
    <w:rsid w:val="00D1364B"/>
    <w:rsid w:val="00D15219"/>
    <w:rsid w:val="00D15ED0"/>
    <w:rsid w:val="00D16F15"/>
    <w:rsid w:val="00D17838"/>
    <w:rsid w:val="00D21B3E"/>
    <w:rsid w:val="00D21FED"/>
    <w:rsid w:val="00D24251"/>
    <w:rsid w:val="00D248A2"/>
    <w:rsid w:val="00D2575C"/>
    <w:rsid w:val="00D26026"/>
    <w:rsid w:val="00D31F78"/>
    <w:rsid w:val="00D3282A"/>
    <w:rsid w:val="00D32D14"/>
    <w:rsid w:val="00D33F76"/>
    <w:rsid w:val="00D343E2"/>
    <w:rsid w:val="00D3495E"/>
    <w:rsid w:val="00D350A4"/>
    <w:rsid w:val="00D356C9"/>
    <w:rsid w:val="00D361A2"/>
    <w:rsid w:val="00D41112"/>
    <w:rsid w:val="00D435D6"/>
    <w:rsid w:val="00D437CA"/>
    <w:rsid w:val="00D44C2E"/>
    <w:rsid w:val="00D45414"/>
    <w:rsid w:val="00D46B2A"/>
    <w:rsid w:val="00D47D22"/>
    <w:rsid w:val="00D51C9E"/>
    <w:rsid w:val="00D51D37"/>
    <w:rsid w:val="00D51E40"/>
    <w:rsid w:val="00D52097"/>
    <w:rsid w:val="00D52205"/>
    <w:rsid w:val="00D5225A"/>
    <w:rsid w:val="00D525C4"/>
    <w:rsid w:val="00D52F6F"/>
    <w:rsid w:val="00D5341D"/>
    <w:rsid w:val="00D53C0F"/>
    <w:rsid w:val="00D53ED9"/>
    <w:rsid w:val="00D54882"/>
    <w:rsid w:val="00D56243"/>
    <w:rsid w:val="00D56322"/>
    <w:rsid w:val="00D566BD"/>
    <w:rsid w:val="00D57A4D"/>
    <w:rsid w:val="00D57CDB"/>
    <w:rsid w:val="00D60317"/>
    <w:rsid w:val="00D60AA7"/>
    <w:rsid w:val="00D60D87"/>
    <w:rsid w:val="00D60F9E"/>
    <w:rsid w:val="00D62647"/>
    <w:rsid w:val="00D62865"/>
    <w:rsid w:val="00D6435F"/>
    <w:rsid w:val="00D64CD9"/>
    <w:rsid w:val="00D64DBF"/>
    <w:rsid w:val="00D65A49"/>
    <w:rsid w:val="00D66966"/>
    <w:rsid w:val="00D674DB"/>
    <w:rsid w:val="00D7230B"/>
    <w:rsid w:val="00D75E28"/>
    <w:rsid w:val="00D76839"/>
    <w:rsid w:val="00D772C2"/>
    <w:rsid w:val="00D77BE8"/>
    <w:rsid w:val="00D8008E"/>
    <w:rsid w:val="00D80230"/>
    <w:rsid w:val="00D80D99"/>
    <w:rsid w:val="00D814C7"/>
    <w:rsid w:val="00D82085"/>
    <w:rsid w:val="00D82C45"/>
    <w:rsid w:val="00D82CE2"/>
    <w:rsid w:val="00D835EA"/>
    <w:rsid w:val="00D83FDF"/>
    <w:rsid w:val="00D863D0"/>
    <w:rsid w:val="00D8679A"/>
    <w:rsid w:val="00D8711A"/>
    <w:rsid w:val="00D87EAA"/>
    <w:rsid w:val="00D908A8"/>
    <w:rsid w:val="00D935F0"/>
    <w:rsid w:val="00D964DA"/>
    <w:rsid w:val="00D977B6"/>
    <w:rsid w:val="00DA1496"/>
    <w:rsid w:val="00DA44C9"/>
    <w:rsid w:val="00DA4A31"/>
    <w:rsid w:val="00DA4C5D"/>
    <w:rsid w:val="00DA61F2"/>
    <w:rsid w:val="00DA63E1"/>
    <w:rsid w:val="00DA7B04"/>
    <w:rsid w:val="00DB0DFE"/>
    <w:rsid w:val="00DB0FB0"/>
    <w:rsid w:val="00DB14FF"/>
    <w:rsid w:val="00DB36C2"/>
    <w:rsid w:val="00DB46BC"/>
    <w:rsid w:val="00DB5EB0"/>
    <w:rsid w:val="00DB6102"/>
    <w:rsid w:val="00DB675B"/>
    <w:rsid w:val="00DB6A67"/>
    <w:rsid w:val="00DB7196"/>
    <w:rsid w:val="00DB79E7"/>
    <w:rsid w:val="00DC09FD"/>
    <w:rsid w:val="00DC0F32"/>
    <w:rsid w:val="00DC169B"/>
    <w:rsid w:val="00DC2633"/>
    <w:rsid w:val="00DC2AB9"/>
    <w:rsid w:val="00DC2EF7"/>
    <w:rsid w:val="00DC4D7A"/>
    <w:rsid w:val="00DC598A"/>
    <w:rsid w:val="00DC5DC4"/>
    <w:rsid w:val="00DC60CE"/>
    <w:rsid w:val="00DC63F0"/>
    <w:rsid w:val="00DC6BB9"/>
    <w:rsid w:val="00DC780D"/>
    <w:rsid w:val="00DC7887"/>
    <w:rsid w:val="00DD2E7E"/>
    <w:rsid w:val="00DD4FAF"/>
    <w:rsid w:val="00DD587A"/>
    <w:rsid w:val="00DD6EE5"/>
    <w:rsid w:val="00DD74E8"/>
    <w:rsid w:val="00DD74F9"/>
    <w:rsid w:val="00DE1410"/>
    <w:rsid w:val="00DE1B55"/>
    <w:rsid w:val="00DE1B8E"/>
    <w:rsid w:val="00DE35F3"/>
    <w:rsid w:val="00DE386C"/>
    <w:rsid w:val="00DE3F2F"/>
    <w:rsid w:val="00DE4D35"/>
    <w:rsid w:val="00DE5A13"/>
    <w:rsid w:val="00DE6CAF"/>
    <w:rsid w:val="00DF0549"/>
    <w:rsid w:val="00DF081C"/>
    <w:rsid w:val="00DF098B"/>
    <w:rsid w:val="00DF11C4"/>
    <w:rsid w:val="00DF210C"/>
    <w:rsid w:val="00DF2D9A"/>
    <w:rsid w:val="00DF363A"/>
    <w:rsid w:val="00DF46E9"/>
    <w:rsid w:val="00DF4B6A"/>
    <w:rsid w:val="00DF60D2"/>
    <w:rsid w:val="00DF71BA"/>
    <w:rsid w:val="00E00AEA"/>
    <w:rsid w:val="00E00DFC"/>
    <w:rsid w:val="00E0127D"/>
    <w:rsid w:val="00E02C09"/>
    <w:rsid w:val="00E02E80"/>
    <w:rsid w:val="00E041E4"/>
    <w:rsid w:val="00E04D59"/>
    <w:rsid w:val="00E05FE4"/>
    <w:rsid w:val="00E064D0"/>
    <w:rsid w:val="00E07DA1"/>
    <w:rsid w:val="00E07EF4"/>
    <w:rsid w:val="00E07EFB"/>
    <w:rsid w:val="00E11C96"/>
    <w:rsid w:val="00E123CB"/>
    <w:rsid w:val="00E140C0"/>
    <w:rsid w:val="00E14530"/>
    <w:rsid w:val="00E1557C"/>
    <w:rsid w:val="00E15A0C"/>
    <w:rsid w:val="00E16561"/>
    <w:rsid w:val="00E17A31"/>
    <w:rsid w:val="00E20E13"/>
    <w:rsid w:val="00E217D8"/>
    <w:rsid w:val="00E21DBC"/>
    <w:rsid w:val="00E275D7"/>
    <w:rsid w:val="00E27DBE"/>
    <w:rsid w:val="00E30D79"/>
    <w:rsid w:val="00E314D3"/>
    <w:rsid w:val="00E32256"/>
    <w:rsid w:val="00E32AB1"/>
    <w:rsid w:val="00E32DCC"/>
    <w:rsid w:val="00E332AB"/>
    <w:rsid w:val="00E36C71"/>
    <w:rsid w:val="00E3715A"/>
    <w:rsid w:val="00E37DB5"/>
    <w:rsid w:val="00E40404"/>
    <w:rsid w:val="00E423A9"/>
    <w:rsid w:val="00E42981"/>
    <w:rsid w:val="00E4301B"/>
    <w:rsid w:val="00E446DD"/>
    <w:rsid w:val="00E456E2"/>
    <w:rsid w:val="00E459C6"/>
    <w:rsid w:val="00E47589"/>
    <w:rsid w:val="00E50DE5"/>
    <w:rsid w:val="00E512E8"/>
    <w:rsid w:val="00E53E8D"/>
    <w:rsid w:val="00E5660F"/>
    <w:rsid w:val="00E568A5"/>
    <w:rsid w:val="00E57379"/>
    <w:rsid w:val="00E60597"/>
    <w:rsid w:val="00E60972"/>
    <w:rsid w:val="00E61174"/>
    <w:rsid w:val="00E6230D"/>
    <w:rsid w:val="00E6287A"/>
    <w:rsid w:val="00E62DE7"/>
    <w:rsid w:val="00E632F7"/>
    <w:rsid w:val="00E64915"/>
    <w:rsid w:val="00E661D4"/>
    <w:rsid w:val="00E6632F"/>
    <w:rsid w:val="00E67407"/>
    <w:rsid w:val="00E67D73"/>
    <w:rsid w:val="00E70091"/>
    <w:rsid w:val="00E702EB"/>
    <w:rsid w:val="00E70F1C"/>
    <w:rsid w:val="00E71C7C"/>
    <w:rsid w:val="00E720F5"/>
    <w:rsid w:val="00E72B9C"/>
    <w:rsid w:val="00E74395"/>
    <w:rsid w:val="00E74A34"/>
    <w:rsid w:val="00E76D47"/>
    <w:rsid w:val="00E773E8"/>
    <w:rsid w:val="00E823EF"/>
    <w:rsid w:val="00E825D1"/>
    <w:rsid w:val="00E82A0B"/>
    <w:rsid w:val="00E838C5"/>
    <w:rsid w:val="00E849F7"/>
    <w:rsid w:val="00E84FEC"/>
    <w:rsid w:val="00E85D63"/>
    <w:rsid w:val="00E85D67"/>
    <w:rsid w:val="00E866CD"/>
    <w:rsid w:val="00E86FD0"/>
    <w:rsid w:val="00E876A9"/>
    <w:rsid w:val="00E900A8"/>
    <w:rsid w:val="00E90302"/>
    <w:rsid w:val="00E90866"/>
    <w:rsid w:val="00E90A64"/>
    <w:rsid w:val="00E90C75"/>
    <w:rsid w:val="00E9178A"/>
    <w:rsid w:val="00E91B57"/>
    <w:rsid w:val="00E93362"/>
    <w:rsid w:val="00E93DBF"/>
    <w:rsid w:val="00E9578F"/>
    <w:rsid w:val="00E9597F"/>
    <w:rsid w:val="00E95D4D"/>
    <w:rsid w:val="00E95EAC"/>
    <w:rsid w:val="00E95F30"/>
    <w:rsid w:val="00E96B7B"/>
    <w:rsid w:val="00E97396"/>
    <w:rsid w:val="00E97440"/>
    <w:rsid w:val="00E97EF2"/>
    <w:rsid w:val="00EA05C0"/>
    <w:rsid w:val="00EA185E"/>
    <w:rsid w:val="00EA1E59"/>
    <w:rsid w:val="00EA23CB"/>
    <w:rsid w:val="00EA2941"/>
    <w:rsid w:val="00EA2D05"/>
    <w:rsid w:val="00EA40A5"/>
    <w:rsid w:val="00EA4B71"/>
    <w:rsid w:val="00EA4C2A"/>
    <w:rsid w:val="00EA592A"/>
    <w:rsid w:val="00EA77C4"/>
    <w:rsid w:val="00EB14E4"/>
    <w:rsid w:val="00EB19AF"/>
    <w:rsid w:val="00EB2184"/>
    <w:rsid w:val="00EB232E"/>
    <w:rsid w:val="00EB32A5"/>
    <w:rsid w:val="00EB34ED"/>
    <w:rsid w:val="00EB7BE0"/>
    <w:rsid w:val="00EC14D8"/>
    <w:rsid w:val="00EC315E"/>
    <w:rsid w:val="00EC3227"/>
    <w:rsid w:val="00EC4906"/>
    <w:rsid w:val="00EC5491"/>
    <w:rsid w:val="00EC5B5B"/>
    <w:rsid w:val="00EC628F"/>
    <w:rsid w:val="00EC6DCA"/>
    <w:rsid w:val="00EC7D47"/>
    <w:rsid w:val="00ED077C"/>
    <w:rsid w:val="00ED1190"/>
    <w:rsid w:val="00ED16D0"/>
    <w:rsid w:val="00ED1B66"/>
    <w:rsid w:val="00ED1E0D"/>
    <w:rsid w:val="00ED6077"/>
    <w:rsid w:val="00ED6544"/>
    <w:rsid w:val="00ED6714"/>
    <w:rsid w:val="00ED68C6"/>
    <w:rsid w:val="00ED75EE"/>
    <w:rsid w:val="00ED7842"/>
    <w:rsid w:val="00EE0277"/>
    <w:rsid w:val="00EE0AC7"/>
    <w:rsid w:val="00EE1247"/>
    <w:rsid w:val="00EE17AC"/>
    <w:rsid w:val="00EE1DA9"/>
    <w:rsid w:val="00EE2DBF"/>
    <w:rsid w:val="00EE3E00"/>
    <w:rsid w:val="00EE55DE"/>
    <w:rsid w:val="00EE5DD2"/>
    <w:rsid w:val="00EE737D"/>
    <w:rsid w:val="00EE7F99"/>
    <w:rsid w:val="00EF0299"/>
    <w:rsid w:val="00EF25F5"/>
    <w:rsid w:val="00EF2B90"/>
    <w:rsid w:val="00EF2E67"/>
    <w:rsid w:val="00EF3565"/>
    <w:rsid w:val="00EF3C3A"/>
    <w:rsid w:val="00EF41F1"/>
    <w:rsid w:val="00EF4C66"/>
    <w:rsid w:val="00EF4F08"/>
    <w:rsid w:val="00EF6CA3"/>
    <w:rsid w:val="00EF6E4B"/>
    <w:rsid w:val="00EF6EBD"/>
    <w:rsid w:val="00F00A79"/>
    <w:rsid w:val="00F00E86"/>
    <w:rsid w:val="00F00F8B"/>
    <w:rsid w:val="00F01428"/>
    <w:rsid w:val="00F04B65"/>
    <w:rsid w:val="00F04DE7"/>
    <w:rsid w:val="00F059E9"/>
    <w:rsid w:val="00F05E1B"/>
    <w:rsid w:val="00F07C1E"/>
    <w:rsid w:val="00F105DB"/>
    <w:rsid w:val="00F123A3"/>
    <w:rsid w:val="00F12D1D"/>
    <w:rsid w:val="00F132BC"/>
    <w:rsid w:val="00F1352B"/>
    <w:rsid w:val="00F1399D"/>
    <w:rsid w:val="00F13D80"/>
    <w:rsid w:val="00F16AAA"/>
    <w:rsid w:val="00F21161"/>
    <w:rsid w:val="00F218EF"/>
    <w:rsid w:val="00F21BC7"/>
    <w:rsid w:val="00F24F70"/>
    <w:rsid w:val="00F266A2"/>
    <w:rsid w:val="00F26D32"/>
    <w:rsid w:val="00F30C2F"/>
    <w:rsid w:val="00F32269"/>
    <w:rsid w:val="00F324D1"/>
    <w:rsid w:val="00F339C5"/>
    <w:rsid w:val="00F3453D"/>
    <w:rsid w:val="00F36EFF"/>
    <w:rsid w:val="00F372FE"/>
    <w:rsid w:val="00F411D3"/>
    <w:rsid w:val="00F42684"/>
    <w:rsid w:val="00F42C25"/>
    <w:rsid w:val="00F42DB6"/>
    <w:rsid w:val="00F43477"/>
    <w:rsid w:val="00F4457E"/>
    <w:rsid w:val="00F46CAD"/>
    <w:rsid w:val="00F478F7"/>
    <w:rsid w:val="00F5118C"/>
    <w:rsid w:val="00F51ECD"/>
    <w:rsid w:val="00F56A6F"/>
    <w:rsid w:val="00F56BE4"/>
    <w:rsid w:val="00F5709C"/>
    <w:rsid w:val="00F615DC"/>
    <w:rsid w:val="00F64168"/>
    <w:rsid w:val="00F643F2"/>
    <w:rsid w:val="00F64EF1"/>
    <w:rsid w:val="00F71755"/>
    <w:rsid w:val="00F7303E"/>
    <w:rsid w:val="00F73F7D"/>
    <w:rsid w:val="00F746AB"/>
    <w:rsid w:val="00F77592"/>
    <w:rsid w:val="00F7773E"/>
    <w:rsid w:val="00F77A72"/>
    <w:rsid w:val="00F77DDB"/>
    <w:rsid w:val="00F81449"/>
    <w:rsid w:val="00F819D7"/>
    <w:rsid w:val="00F824F6"/>
    <w:rsid w:val="00F83868"/>
    <w:rsid w:val="00F84697"/>
    <w:rsid w:val="00F85758"/>
    <w:rsid w:val="00F8612E"/>
    <w:rsid w:val="00F86C0A"/>
    <w:rsid w:val="00F87194"/>
    <w:rsid w:val="00F8765F"/>
    <w:rsid w:val="00F9011A"/>
    <w:rsid w:val="00F90767"/>
    <w:rsid w:val="00F9177C"/>
    <w:rsid w:val="00F924C5"/>
    <w:rsid w:val="00F92B14"/>
    <w:rsid w:val="00F94ABA"/>
    <w:rsid w:val="00F95997"/>
    <w:rsid w:val="00F97862"/>
    <w:rsid w:val="00F979FF"/>
    <w:rsid w:val="00F97DFD"/>
    <w:rsid w:val="00F97EA2"/>
    <w:rsid w:val="00FA0729"/>
    <w:rsid w:val="00FA1278"/>
    <w:rsid w:val="00FA12B7"/>
    <w:rsid w:val="00FA31FD"/>
    <w:rsid w:val="00FA44A1"/>
    <w:rsid w:val="00FA4833"/>
    <w:rsid w:val="00FA5B47"/>
    <w:rsid w:val="00FA6070"/>
    <w:rsid w:val="00FA66AA"/>
    <w:rsid w:val="00FA685B"/>
    <w:rsid w:val="00FA6E6A"/>
    <w:rsid w:val="00FA71F4"/>
    <w:rsid w:val="00FB00E8"/>
    <w:rsid w:val="00FB0681"/>
    <w:rsid w:val="00FB0C01"/>
    <w:rsid w:val="00FB14E5"/>
    <w:rsid w:val="00FB374C"/>
    <w:rsid w:val="00FB6255"/>
    <w:rsid w:val="00FC164C"/>
    <w:rsid w:val="00FC18F2"/>
    <w:rsid w:val="00FC1F5E"/>
    <w:rsid w:val="00FC22F0"/>
    <w:rsid w:val="00FC274F"/>
    <w:rsid w:val="00FC39E5"/>
    <w:rsid w:val="00FC3A78"/>
    <w:rsid w:val="00FC3BA3"/>
    <w:rsid w:val="00FC4826"/>
    <w:rsid w:val="00FC566A"/>
    <w:rsid w:val="00FC5FFE"/>
    <w:rsid w:val="00FC7CEA"/>
    <w:rsid w:val="00FD1005"/>
    <w:rsid w:val="00FD3180"/>
    <w:rsid w:val="00FD5914"/>
    <w:rsid w:val="00FD6392"/>
    <w:rsid w:val="00FD643A"/>
    <w:rsid w:val="00FD6C75"/>
    <w:rsid w:val="00FD7707"/>
    <w:rsid w:val="00FE0A50"/>
    <w:rsid w:val="00FE0AF1"/>
    <w:rsid w:val="00FE12A7"/>
    <w:rsid w:val="00FE2196"/>
    <w:rsid w:val="00FE29A4"/>
    <w:rsid w:val="00FE31DF"/>
    <w:rsid w:val="00FE368B"/>
    <w:rsid w:val="00FE37AF"/>
    <w:rsid w:val="00FE5430"/>
    <w:rsid w:val="00FE5B3F"/>
    <w:rsid w:val="00FE6AE1"/>
    <w:rsid w:val="00FE71B3"/>
    <w:rsid w:val="00FE72D1"/>
    <w:rsid w:val="00FE7603"/>
    <w:rsid w:val="00FF2ECD"/>
    <w:rsid w:val="00FF2F34"/>
    <w:rsid w:val="00FF353E"/>
    <w:rsid w:val="00FF42C5"/>
    <w:rsid w:val="00FF5033"/>
    <w:rsid w:val="00FF65F0"/>
    <w:rsid w:val="00FF6E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8" w:uiPriority="0"/>
    <w:lsdException w:name="toc 9" w:uiPriority="0"/>
    <w:lsdException w:name="Normal Indent" w:uiPriority="0"/>
    <w:lsdException w:name="annotation text" w:uiPriority="0"/>
    <w:lsdException w:name="header" w:uiPriority="57"/>
    <w:lsdException w:name="footer" w:uiPriority="57"/>
    <w:lsdException w:name="index heading" w:uiPriority="0"/>
    <w:lsdException w:name="caption" w:qFormat="1"/>
    <w:lsdException w:name="table of figures" w:uiPriority="0"/>
    <w:lsdException w:name="envelope address" w:uiPriority="0"/>
    <w:lsdException w:name="envelope return" w:uiPriority="0"/>
    <w:lsdException w:name="annotation reference" w:uiPriority="0"/>
    <w:lsdException w:name="line number" w:uiPriority="0"/>
    <w:lsdException w:name="page number" w:uiPriority="0"/>
    <w:lsdException w:name="endnote reference" w:uiPriority="0"/>
    <w:lsdException w:name="endnote text" w:uiPriority="0"/>
    <w:lsdException w:name="table of authorities" w:uiPriority="0"/>
    <w:lsdException w:name="macro" w:uiPriority="0"/>
    <w:lsdException w:name="List" w:uiPriority="0"/>
    <w:lsdException w:name="List Bullet" w:uiPriority="0"/>
    <w:lsdException w:name="List Number" w:uiPriority="0" w:unhideWhenUsed="0"/>
    <w:lsdException w:name="List 2" w:uiPriority="0"/>
    <w:lsdException w:name="List 3" w:uiPriority="0"/>
    <w:lsdException w:name="List 4" w:uiPriority="0" w:unhideWhenUsed="0"/>
    <w:lsdException w:name="List 5"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nhideWhenUsed="0" w:qFormat="1"/>
    <w:lsdException w:name="Salutation" w:uiPriority="0" w:unhideWhenUsed="0"/>
    <w:lsdException w:name="Date" w:uiPriority="0" w:unhideWhenUsed="0"/>
    <w:lsdException w:name="Body Text First Indent" w:uiPriority="0" w:unhideWhenUsed="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Plain Text" w:uiPriority="0"/>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ny">
    <w:name w:val="Normal"/>
    <w:semiHidden/>
    <w:rsid w:val="00B8456D"/>
    <w:pPr>
      <w:jc w:val="both"/>
    </w:pPr>
    <w:rPr>
      <w:rFonts w:eastAsiaTheme="minorEastAsia"/>
      <w:sz w:val="24"/>
    </w:rPr>
  </w:style>
  <w:style w:type="paragraph" w:styleId="Nagwek1">
    <w:name w:val="heading 1"/>
    <w:basedOn w:val="Normalny"/>
    <w:next w:val="Normalny"/>
    <w:link w:val="Nagwek1Znak"/>
    <w:uiPriority w:val="99"/>
    <w:semiHidden/>
    <w:rsid w:val="00B8456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8456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8456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8456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8456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8456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8456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8456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8456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8456D"/>
    <w:rPr>
      <w:rFonts w:ascii="Tahoma" w:hAnsi="Tahoma" w:cs="Tahoma"/>
      <w:sz w:val="16"/>
      <w:szCs w:val="16"/>
    </w:rPr>
  </w:style>
  <w:style w:type="character" w:customStyle="1" w:styleId="TekstdymkaZnak">
    <w:name w:val="Tekst dymka Znak"/>
    <w:basedOn w:val="Domylnaczcionkaakapitu"/>
    <w:link w:val="Tekstdymka"/>
    <w:uiPriority w:val="99"/>
    <w:semiHidden/>
    <w:rsid w:val="00B8456D"/>
    <w:rPr>
      <w:rFonts w:ascii="Tahoma" w:eastAsiaTheme="minorEastAsia" w:hAnsi="Tahoma" w:cs="Tahoma"/>
      <w:sz w:val="16"/>
      <w:szCs w:val="16"/>
    </w:rPr>
  </w:style>
  <w:style w:type="character" w:styleId="Tytuksiki">
    <w:name w:val="Book Title"/>
    <w:uiPriority w:val="99"/>
    <w:semiHidden/>
    <w:qFormat/>
    <w:rsid w:val="00B8456D"/>
    <w:rPr>
      <w:i/>
      <w:iCs/>
      <w:smallCaps/>
      <w:spacing w:val="5"/>
    </w:rPr>
  </w:style>
  <w:style w:type="paragraph" w:customStyle="1" w:styleId="ECHRHeader">
    <w:name w:val="ECHR_Header"/>
    <w:aliases w:val="Ju_Header,Top_Header"/>
    <w:basedOn w:val="Nagwek"/>
    <w:uiPriority w:val="4"/>
    <w:qFormat/>
    <w:rsid w:val="00B8456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B8456D"/>
    <w:pPr>
      <w:jc w:val="left"/>
    </w:pPr>
    <w:rPr>
      <w:sz w:val="8"/>
    </w:rPr>
  </w:style>
  <w:style w:type="character" w:styleId="Pogrubienie">
    <w:name w:val="Strong"/>
    <w:uiPriority w:val="99"/>
    <w:semiHidden/>
    <w:qFormat/>
    <w:rsid w:val="00B8456D"/>
    <w:rPr>
      <w:b/>
      <w:bCs/>
    </w:rPr>
  </w:style>
  <w:style w:type="paragraph" w:styleId="Bezodstpw">
    <w:name w:val="No Spacing"/>
    <w:basedOn w:val="Normalny"/>
    <w:link w:val="BezodstpwZnak"/>
    <w:semiHidden/>
    <w:qFormat/>
    <w:rsid w:val="00B8456D"/>
    <w:rPr>
      <w:sz w:val="22"/>
    </w:rPr>
  </w:style>
  <w:style w:type="character" w:customStyle="1" w:styleId="BezodstpwZnak">
    <w:name w:val="Bez odstępów Znak"/>
    <w:basedOn w:val="Domylnaczcionkaakapitu"/>
    <w:link w:val="Bezodstpw"/>
    <w:semiHidden/>
    <w:rsid w:val="00B8456D"/>
    <w:rPr>
      <w:rFonts w:eastAsiaTheme="minorEastAsia"/>
    </w:rPr>
  </w:style>
  <w:style w:type="paragraph" w:customStyle="1" w:styleId="ECHRFooterLine">
    <w:name w:val="ECHR_Footer_Line"/>
    <w:aliases w:val="Footer_Line"/>
    <w:basedOn w:val="Normalny"/>
    <w:next w:val="ECHRFooter"/>
    <w:uiPriority w:val="57"/>
    <w:rsid w:val="00B8456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B8456D"/>
    <w:pPr>
      <w:numPr>
        <w:numId w:val="14"/>
      </w:numPr>
      <w:jc w:val="left"/>
    </w:pPr>
    <w:rPr>
      <w:b/>
    </w:rPr>
  </w:style>
  <w:style w:type="paragraph" w:customStyle="1" w:styleId="OpiPara">
    <w:name w:val="Opi_Para"/>
    <w:basedOn w:val="ECHRPara"/>
    <w:uiPriority w:val="46"/>
    <w:qFormat/>
    <w:rsid w:val="00B8456D"/>
  </w:style>
  <w:style w:type="paragraph" w:customStyle="1" w:styleId="JuParaSub">
    <w:name w:val="Ju_Para_Sub"/>
    <w:basedOn w:val="ECHRPara"/>
    <w:uiPriority w:val="13"/>
    <w:unhideWhenUsed/>
    <w:qFormat/>
    <w:rsid w:val="00B8456D"/>
    <w:pPr>
      <w:ind w:left="284"/>
    </w:pPr>
  </w:style>
  <w:style w:type="paragraph" w:customStyle="1" w:styleId="ECHRTitleCentre3">
    <w:name w:val="ECHR_Title_Centre_3"/>
    <w:aliases w:val="Ju_H_Article,Title_C_3"/>
    <w:basedOn w:val="Normalny"/>
    <w:next w:val="ECHRParaQuote"/>
    <w:uiPriority w:val="27"/>
    <w:qFormat/>
    <w:rsid w:val="00B8456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B8456D"/>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unhideWhenUsed/>
    <w:qFormat/>
    <w:rsid w:val="00B8456D"/>
  </w:style>
  <w:style w:type="paragraph" w:customStyle="1" w:styleId="OpiQuot">
    <w:name w:val="Opi_Quot"/>
    <w:basedOn w:val="ECHRParaQuote"/>
    <w:uiPriority w:val="48"/>
    <w:qFormat/>
    <w:rsid w:val="00B8456D"/>
  </w:style>
  <w:style w:type="paragraph" w:customStyle="1" w:styleId="OpiQuotSub">
    <w:name w:val="Opi_Quot_Sub"/>
    <w:basedOn w:val="JuQuotSub"/>
    <w:uiPriority w:val="49"/>
    <w:qFormat/>
    <w:rsid w:val="00B8456D"/>
  </w:style>
  <w:style w:type="paragraph" w:customStyle="1" w:styleId="ECHRTitleCentre2">
    <w:name w:val="ECHR_Title_Centre_2"/>
    <w:aliases w:val="Dec_H_Case,Title_C_2"/>
    <w:basedOn w:val="Normalny"/>
    <w:next w:val="ECHRPara"/>
    <w:uiPriority w:val="8"/>
    <w:qFormat/>
    <w:rsid w:val="00B8456D"/>
    <w:pPr>
      <w:spacing w:after="240"/>
      <w:jc w:val="center"/>
      <w:outlineLvl w:val="0"/>
    </w:pPr>
    <w:rPr>
      <w:rFonts w:asciiTheme="majorHAnsi" w:hAnsiTheme="majorHAnsi"/>
      <w:i/>
    </w:rPr>
  </w:style>
  <w:style w:type="paragraph" w:customStyle="1" w:styleId="JuTitle">
    <w:name w:val="Ju_Title"/>
    <w:basedOn w:val="Normalny"/>
    <w:next w:val="ECHRPara"/>
    <w:uiPriority w:val="3"/>
    <w:qFormat/>
    <w:rsid w:val="00B8456D"/>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B8456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8456D"/>
    <w:rPr>
      <w:rFonts w:asciiTheme="majorHAnsi" w:eastAsiaTheme="majorEastAsia" w:hAnsiTheme="majorHAnsi" w:cstheme="majorBidi"/>
      <w:spacing w:val="5"/>
      <w:sz w:val="52"/>
      <w:szCs w:val="52"/>
      <w:lang w:bidi="en-US"/>
    </w:rPr>
  </w:style>
  <w:style w:type="paragraph" w:customStyle="1" w:styleId="ECHRHeading3">
    <w:name w:val="ECHR_Heading_3"/>
    <w:aliases w:val="Ju_H_1.,Head_3"/>
    <w:basedOn w:val="Nagwek3"/>
    <w:next w:val="ECHRPara"/>
    <w:uiPriority w:val="21"/>
    <w:qFormat/>
    <w:rsid w:val="00B8456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Head_4"/>
    <w:basedOn w:val="Nagwek4"/>
    <w:next w:val="ECHRPara"/>
    <w:uiPriority w:val="22"/>
    <w:qFormat/>
    <w:rsid w:val="00B8456D"/>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23"/>
    <w:qFormat/>
    <w:rsid w:val="00B8456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Head_6"/>
    <w:basedOn w:val="Nagwek6"/>
    <w:next w:val="ECHRPara"/>
    <w:uiPriority w:val="24"/>
    <w:qFormat/>
    <w:rsid w:val="00B8456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Head_7"/>
    <w:basedOn w:val="Nagwek7"/>
    <w:next w:val="ECHRPara"/>
    <w:uiPriority w:val="25"/>
    <w:qFormat/>
    <w:rsid w:val="00B8456D"/>
    <w:pPr>
      <w:keepNext/>
      <w:keepLines/>
      <w:spacing w:before="240" w:after="120"/>
      <w:ind w:left="1236"/>
    </w:pPr>
    <w:rPr>
      <w:sz w:val="20"/>
    </w:rPr>
  </w:style>
  <w:style w:type="paragraph" w:customStyle="1" w:styleId="JuQuotSub">
    <w:name w:val="Ju_Quot_Sub"/>
    <w:basedOn w:val="ECHRParaQuote"/>
    <w:uiPriority w:val="15"/>
    <w:qFormat/>
    <w:rsid w:val="00B8456D"/>
    <w:pPr>
      <w:ind w:left="567"/>
    </w:pPr>
  </w:style>
  <w:style w:type="paragraph" w:customStyle="1" w:styleId="JuInitialled">
    <w:name w:val="Ju_Initialled"/>
    <w:basedOn w:val="Normalny"/>
    <w:uiPriority w:val="31"/>
    <w:qFormat/>
    <w:rsid w:val="00B8456D"/>
    <w:pPr>
      <w:tabs>
        <w:tab w:val="center" w:pos="6407"/>
      </w:tabs>
      <w:spacing w:before="720"/>
      <w:jc w:val="right"/>
    </w:pPr>
  </w:style>
  <w:style w:type="paragraph" w:customStyle="1" w:styleId="OpiHA">
    <w:name w:val="Opi_H_A"/>
    <w:basedOn w:val="ECHRHeading1"/>
    <w:next w:val="OpiPara"/>
    <w:uiPriority w:val="41"/>
    <w:qFormat/>
    <w:rsid w:val="00B8456D"/>
    <w:pPr>
      <w:tabs>
        <w:tab w:val="clear" w:pos="357"/>
      </w:tabs>
      <w:outlineLvl w:val="1"/>
    </w:pPr>
    <w:rPr>
      <w:b/>
    </w:rPr>
  </w:style>
  <w:style w:type="paragraph" w:styleId="Nagwek">
    <w:name w:val="header"/>
    <w:basedOn w:val="Normalny"/>
    <w:link w:val="NagwekZnak"/>
    <w:uiPriority w:val="57"/>
    <w:semiHidden/>
    <w:rsid w:val="00B8456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8456D"/>
    <w:rPr>
      <w:sz w:val="24"/>
    </w:rPr>
  </w:style>
  <w:style w:type="character" w:customStyle="1" w:styleId="Nagwek1Znak">
    <w:name w:val="Nagłówek 1 Znak"/>
    <w:basedOn w:val="Domylnaczcionkaakapitu"/>
    <w:link w:val="Nagwek1"/>
    <w:uiPriority w:val="99"/>
    <w:semiHidden/>
    <w:rsid w:val="00B8456D"/>
    <w:rPr>
      <w:rFonts w:asciiTheme="majorHAnsi" w:eastAsiaTheme="majorEastAsia" w:hAnsiTheme="majorHAnsi" w:cstheme="majorBidi"/>
      <w:b/>
      <w:bCs/>
      <w:color w:val="333333"/>
      <w:sz w:val="28"/>
      <w:szCs w:val="28"/>
    </w:rPr>
  </w:style>
  <w:style w:type="paragraph" w:customStyle="1" w:styleId="ECHRHeading1">
    <w:name w:val="ECHR_Heading_1"/>
    <w:aliases w:val="Ju_H_I_Roman,Head_1"/>
    <w:basedOn w:val="Nagwek1"/>
    <w:next w:val="ECHRPara"/>
    <w:uiPriority w:val="19"/>
    <w:qFormat/>
    <w:rsid w:val="00B8456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B8456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8456D"/>
    <w:rPr>
      <w:rFonts w:asciiTheme="majorHAnsi" w:eastAsiaTheme="majorEastAsia" w:hAnsiTheme="majorHAnsi" w:cstheme="majorBidi"/>
      <w:b/>
      <w:bCs/>
      <w:color w:val="4D4D4D"/>
      <w:sz w:val="26"/>
      <w:szCs w:val="26"/>
    </w:rPr>
  </w:style>
  <w:style w:type="character" w:customStyle="1" w:styleId="JUNAMES">
    <w:name w:val="JU_NAMES"/>
    <w:uiPriority w:val="17"/>
    <w:qFormat/>
    <w:rsid w:val="00B8456D"/>
    <w:rPr>
      <w:caps w:val="0"/>
      <w:smallCaps/>
    </w:rPr>
  </w:style>
  <w:style w:type="paragraph" w:customStyle="1" w:styleId="JuCase">
    <w:name w:val="Ju_Case"/>
    <w:basedOn w:val="Normalny"/>
    <w:next w:val="ECHRPara"/>
    <w:uiPriority w:val="10"/>
    <w:rsid w:val="00B8456D"/>
    <w:pPr>
      <w:ind w:firstLine="284"/>
    </w:pPr>
    <w:rPr>
      <w:b/>
    </w:rPr>
  </w:style>
  <w:style w:type="character" w:customStyle="1" w:styleId="Nagwek3Znak">
    <w:name w:val="Nagłówek 3 Znak"/>
    <w:basedOn w:val="Domylnaczcionkaakapitu"/>
    <w:link w:val="Nagwek3"/>
    <w:uiPriority w:val="99"/>
    <w:semiHidden/>
    <w:rsid w:val="00B8456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8456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8456D"/>
    <w:rPr>
      <w:rFonts w:asciiTheme="majorHAnsi" w:eastAsiaTheme="majorEastAsia" w:hAnsiTheme="majorHAnsi" w:cstheme="majorBidi"/>
      <w:b/>
      <w:bCs/>
      <w:color w:val="808080"/>
    </w:rPr>
  </w:style>
  <w:style w:type="character" w:styleId="Wyrnieniedelikatne">
    <w:name w:val="Subtle Emphasis"/>
    <w:uiPriority w:val="99"/>
    <w:semiHidden/>
    <w:qFormat/>
    <w:rsid w:val="00B8456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B8456D"/>
    <w:pPr>
      <w:keepNext/>
      <w:keepLines/>
      <w:spacing w:before="720" w:after="240"/>
      <w:outlineLvl w:val="0"/>
    </w:pPr>
    <w:rPr>
      <w:rFonts w:asciiTheme="majorHAnsi" w:hAnsiTheme="majorHAnsi"/>
      <w:sz w:val="28"/>
    </w:rPr>
  </w:style>
  <w:style w:type="character" w:styleId="Uwydatnienie">
    <w:name w:val="Emphasis"/>
    <w:uiPriority w:val="99"/>
    <w:semiHidden/>
    <w:qFormat/>
    <w:rsid w:val="00B8456D"/>
    <w:rPr>
      <w:b/>
      <w:bCs/>
      <w:i/>
      <w:iCs/>
      <w:spacing w:val="10"/>
      <w:bdr w:val="none" w:sz="0" w:space="0" w:color="auto"/>
      <w:shd w:val="clear" w:color="auto" w:fill="auto"/>
    </w:rPr>
  </w:style>
  <w:style w:type="paragraph" w:styleId="Stopka">
    <w:name w:val="footer"/>
    <w:basedOn w:val="Normalny"/>
    <w:link w:val="StopkaZnak"/>
    <w:uiPriority w:val="57"/>
    <w:semiHidden/>
    <w:rsid w:val="00B8456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8456D"/>
    <w:rPr>
      <w:sz w:val="24"/>
    </w:rPr>
  </w:style>
  <w:style w:type="character" w:styleId="Odwoanieprzypisudolnego">
    <w:name w:val="footnote reference"/>
    <w:basedOn w:val="Domylnaczcionkaakapitu"/>
    <w:uiPriority w:val="99"/>
    <w:semiHidden/>
    <w:rsid w:val="00B8456D"/>
    <w:rPr>
      <w:vertAlign w:val="superscript"/>
    </w:rPr>
  </w:style>
  <w:style w:type="paragraph" w:styleId="Tekstprzypisudolnego">
    <w:name w:val="footnote text"/>
    <w:basedOn w:val="Normalny"/>
    <w:link w:val="TekstprzypisudolnegoZnak"/>
    <w:uiPriority w:val="99"/>
    <w:semiHidden/>
    <w:rsid w:val="00B8456D"/>
    <w:rPr>
      <w:sz w:val="20"/>
      <w:szCs w:val="20"/>
    </w:rPr>
  </w:style>
  <w:style w:type="character" w:customStyle="1" w:styleId="TekstprzypisudolnegoZnak">
    <w:name w:val="Tekst przypisu dolnego Znak"/>
    <w:basedOn w:val="Domylnaczcionkaakapitu"/>
    <w:link w:val="Tekstprzypisudolnego"/>
    <w:uiPriority w:val="99"/>
    <w:semiHidden/>
    <w:rsid w:val="00B8456D"/>
    <w:rPr>
      <w:rFonts w:eastAsiaTheme="minorEastAsia"/>
      <w:sz w:val="20"/>
      <w:szCs w:val="20"/>
    </w:rPr>
  </w:style>
  <w:style w:type="character" w:customStyle="1" w:styleId="Nagwek6Znak">
    <w:name w:val="Nagłówek 6 Znak"/>
    <w:basedOn w:val="Domylnaczcionkaakapitu"/>
    <w:link w:val="Nagwek6"/>
    <w:uiPriority w:val="99"/>
    <w:semiHidden/>
    <w:rsid w:val="00B8456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8456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8456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8456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B8456D"/>
    <w:rPr>
      <w:color w:val="0072BC" w:themeColor="hyperlink"/>
      <w:u w:val="single"/>
    </w:rPr>
  </w:style>
  <w:style w:type="character" w:styleId="Wyrnienieintensywne">
    <w:name w:val="Intense Emphasis"/>
    <w:uiPriority w:val="99"/>
    <w:semiHidden/>
    <w:qFormat/>
    <w:rsid w:val="00B8456D"/>
    <w:rPr>
      <w:b/>
      <w:bCs/>
    </w:rPr>
  </w:style>
  <w:style w:type="paragraph" w:styleId="Cytatintensywny">
    <w:name w:val="Intense Quote"/>
    <w:basedOn w:val="Normalny"/>
    <w:next w:val="Normalny"/>
    <w:link w:val="CytatintensywnyZnak"/>
    <w:uiPriority w:val="99"/>
    <w:semiHidden/>
    <w:qFormat/>
    <w:rsid w:val="00B8456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8456D"/>
    <w:rPr>
      <w:rFonts w:eastAsiaTheme="minorEastAsia"/>
      <w:b/>
      <w:bCs/>
      <w:i/>
      <w:iCs/>
      <w:lang w:bidi="en-US"/>
    </w:rPr>
  </w:style>
  <w:style w:type="character" w:styleId="Odwoanieintensywne">
    <w:name w:val="Intense Reference"/>
    <w:uiPriority w:val="99"/>
    <w:semiHidden/>
    <w:qFormat/>
    <w:rsid w:val="00B8456D"/>
    <w:rPr>
      <w:smallCaps/>
      <w:spacing w:val="5"/>
      <w:u w:val="single"/>
    </w:rPr>
  </w:style>
  <w:style w:type="paragraph" w:styleId="Akapitzlist">
    <w:name w:val="List Paragraph"/>
    <w:basedOn w:val="Normalny"/>
    <w:uiPriority w:val="99"/>
    <w:semiHidden/>
    <w:qFormat/>
    <w:rsid w:val="00B8456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8456D"/>
    <w:pPr>
      <w:spacing w:before="200"/>
      <w:ind w:left="360" w:right="360"/>
    </w:pPr>
    <w:rPr>
      <w:i/>
      <w:iCs/>
      <w:sz w:val="22"/>
      <w:lang w:bidi="en-US"/>
    </w:rPr>
  </w:style>
  <w:style w:type="character" w:customStyle="1" w:styleId="CytatZnak">
    <w:name w:val="Cytat Znak"/>
    <w:basedOn w:val="Domylnaczcionkaakapitu"/>
    <w:link w:val="Cytat"/>
    <w:uiPriority w:val="99"/>
    <w:semiHidden/>
    <w:rsid w:val="00B8456D"/>
    <w:rPr>
      <w:rFonts w:eastAsiaTheme="minorEastAsia"/>
      <w:i/>
      <w:iCs/>
      <w:lang w:bidi="en-US"/>
    </w:rPr>
  </w:style>
  <w:style w:type="character" w:styleId="Odwoaniedelikatne">
    <w:name w:val="Subtle Reference"/>
    <w:uiPriority w:val="99"/>
    <w:semiHidden/>
    <w:qFormat/>
    <w:rsid w:val="00B8456D"/>
    <w:rPr>
      <w:smallCaps/>
    </w:rPr>
  </w:style>
  <w:style w:type="table" w:styleId="Tabela-Siatka">
    <w:name w:val="Table Grid"/>
    <w:basedOn w:val="Standardowy"/>
    <w:uiPriority w:val="59"/>
    <w:semiHidden/>
    <w:rsid w:val="00B8456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D15219"/>
    <w:pPr>
      <w:keepNext/>
      <w:tabs>
        <w:tab w:val="right" w:leader="dot" w:pos="7371"/>
      </w:tabs>
      <w:spacing w:before="240" w:after="60" w:line="240" w:lineRule="exact"/>
      <w:ind w:left="340" w:right="567" w:hanging="340"/>
    </w:pPr>
    <w:rPr>
      <w:rFonts w:asciiTheme="majorHAnsi" w:hAnsiTheme="majorHAnsi"/>
      <w:noProof/>
      <w:sz w:val="22"/>
      <w:lang w:eastAsia="fr-FR"/>
    </w:rPr>
  </w:style>
  <w:style w:type="paragraph" w:styleId="Spistreci2">
    <w:name w:val="toc 2"/>
    <w:basedOn w:val="Normalny"/>
    <w:next w:val="Normalny"/>
    <w:autoRedefine/>
    <w:uiPriority w:val="39"/>
    <w:rsid w:val="00D15219"/>
    <w:pPr>
      <w:keepNext/>
      <w:tabs>
        <w:tab w:val="right" w:leader="dot" w:pos="7371"/>
      </w:tabs>
      <w:spacing w:before="180" w:after="60" w:line="240" w:lineRule="exact"/>
      <w:ind w:left="680" w:right="567" w:hanging="340"/>
    </w:pPr>
    <w:rPr>
      <w:rFonts w:asciiTheme="majorHAnsi" w:eastAsiaTheme="majorEastAsia" w:hAnsiTheme="majorHAnsi" w:cstheme="majorBidi"/>
      <w:b/>
      <w:bCs/>
      <w:noProof/>
      <w:sz w:val="22"/>
      <w:lang w:val="en-GB" w:eastAsia="fr-FR"/>
    </w:rPr>
  </w:style>
  <w:style w:type="paragraph" w:styleId="Spistreci3">
    <w:name w:val="toc 3"/>
    <w:basedOn w:val="Normalny"/>
    <w:next w:val="Normalny"/>
    <w:autoRedefine/>
    <w:uiPriority w:val="39"/>
    <w:rsid w:val="00B8456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39"/>
    <w:rsid w:val="00B8456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39"/>
    <w:rsid w:val="00B8456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B8456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8456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Para_Quote"/>
    <w:basedOn w:val="Normalny"/>
    <w:uiPriority w:val="14"/>
    <w:qFormat/>
    <w:rsid w:val="00B8456D"/>
    <w:pPr>
      <w:spacing w:before="120" w:after="120"/>
      <w:ind w:left="425" w:firstLine="142"/>
    </w:pPr>
    <w:rPr>
      <w:sz w:val="20"/>
    </w:rPr>
  </w:style>
  <w:style w:type="paragraph" w:customStyle="1" w:styleId="ECHRPara">
    <w:name w:val="ECHR_Para"/>
    <w:aliases w:val="Ju_Para"/>
    <w:basedOn w:val="Normalny"/>
    <w:link w:val="ECHRParaChar"/>
    <w:uiPriority w:val="12"/>
    <w:qFormat/>
    <w:rsid w:val="00B8456D"/>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8456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8456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8456D"/>
    <w:pPr>
      <w:ind w:left="340" w:hanging="340"/>
    </w:pPr>
  </w:style>
  <w:style w:type="paragraph" w:customStyle="1" w:styleId="JuSigned">
    <w:name w:val="Ju_Signed"/>
    <w:basedOn w:val="Normalny"/>
    <w:next w:val="JuParaLast"/>
    <w:uiPriority w:val="32"/>
    <w:qFormat/>
    <w:rsid w:val="00B8456D"/>
    <w:pPr>
      <w:tabs>
        <w:tab w:val="center" w:pos="851"/>
        <w:tab w:val="center" w:pos="6407"/>
      </w:tabs>
      <w:spacing w:before="720"/>
      <w:jc w:val="left"/>
    </w:pPr>
  </w:style>
  <w:style w:type="paragraph" w:customStyle="1" w:styleId="JuParaLast">
    <w:name w:val="Ju_Para_Last"/>
    <w:basedOn w:val="Normalny"/>
    <w:next w:val="ECHRPara"/>
    <w:uiPriority w:val="30"/>
    <w:qFormat/>
    <w:rsid w:val="00B8456D"/>
    <w:pPr>
      <w:keepNext/>
      <w:keepLines/>
      <w:spacing w:before="240"/>
      <w:ind w:firstLine="284"/>
    </w:pPr>
  </w:style>
  <w:style w:type="paragraph" w:customStyle="1" w:styleId="JuCourt">
    <w:name w:val="Ju_Court"/>
    <w:basedOn w:val="Normalny"/>
    <w:next w:val="Normalny"/>
    <w:uiPriority w:val="16"/>
    <w:qFormat/>
    <w:rsid w:val="00B8456D"/>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character" w:customStyle="1" w:styleId="JuITMark">
    <w:name w:val="Ju_ITMark"/>
    <w:basedOn w:val="Domylnaczcionkaakapitu"/>
    <w:uiPriority w:val="38"/>
    <w:qFormat/>
    <w:rsid w:val="00B8456D"/>
    <w:rPr>
      <w:vanish w:val="0"/>
      <w:color w:val="auto"/>
      <w:sz w:val="14"/>
    </w:rPr>
  </w:style>
  <w:style w:type="paragraph" w:customStyle="1" w:styleId="OpiTranslation">
    <w:name w:val="Opi_Translation"/>
    <w:basedOn w:val="Normalny"/>
    <w:next w:val="OpiPara"/>
    <w:uiPriority w:val="40"/>
    <w:qFormat/>
    <w:rsid w:val="00B8456D"/>
    <w:pPr>
      <w:jc w:val="center"/>
      <w:outlineLvl w:val="0"/>
    </w:pPr>
    <w:rPr>
      <w:i/>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semiHidden/>
    <w:rsid w:val="00014566"/>
    <w:rPr>
      <w:rFonts w:eastAsiaTheme="minorEastAsia"/>
      <w:b/>
      <w:bCs/>
      <w:sz w:val="20"/>
    </w:rPr>
  </w:style>
  <w:style w:type="character" w:styleId="Odwoanieprzypisukocowego">
    <w:name w:val="endnote reference"/>
    <w:semiHidden/>
    <w:rsid w:val="00014566"/>
    <w:rPr>
      <w:vertAlign w:val="superscript"/>
    </w:rPr>
  </w:style>
  <w:style w:type="paragraph" w:styleId="Tekstprzypisukocowego">
    <w:name w:val="endnote text"/>
    <w:basedOn w:val="Normalny"/>
    <w:link w:val="TekstprzypisukocowegoZnak"/>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semiHidden/>
    <w:rsid w:val="00014566"/>
    <w:rPr>
      <w:color w:val="800080"/>
      <w:u w:val="single"/>
    </w:rPr>
  </w:style>
  <w:style w:type="paragraph" w:styleId="Mapadokumentu">
    <w:name w:val="Document Map"/>
    <w:basedOn w:val="Normalny"/>
    <w:link w:val="MapadokumentuZnak"/>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semiHidden/>
    <w:rsid w:val="00014566"/>
    <w:pPr>
      <w:numPr>
        <w:numId w:val="1"/>
      </w:numPr>
    </w:pPr>
  </w:style>
  <w:style w:type="paragraph" w:customStyle="1" w:styleId="DecHTitle">
    <w:name w:val="Dec_H_Title"/>
    <w:basedOn w:val="ECHRTitleCentre1"/>
    <w:uiPriority w:val="7"/>
    <w:qFormat/>
    <w:rsid w:val="00B8456D"/>
  </w:style>
  <w:style w:type="paragraph" w:styleId="Podtytu">
    <w:name w:val="Subtitle"/>
    <w:basedOn w:val="Normalny"/>
    <w:next w:val="Normalny"/>
    <w:link w:val="PodtytuZnak"/>
    <w:uiPriority w:val="99"/>
    <w:semiHidden/>
    <w:qFormat/>
    <w:rsid w:val="00B8456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8456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37"/>
    <w:semiHidden/>
    <w:unhideWhenUsed/>
    <w:rsid w:val="00014566"/>
  </w:style>
  <w:style w:type="paragraph" w:styleId="Tekstblokowy">
    <w:name w:val="Block Text"/>
    <w:basedOn w:val="Normalny"/>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semiHidden/>
    <w:rsid w:val="00014566"/>
    <w:pPr>
      <w:spacing w:after="120"/>
    </w:pPr>
  </w:style>
  <w:style w:type="character" w:customStyle="1" w:styleId="TekstpodstawowyZnak">
    <w:name w:val="Tekst podstawowy Znak"/>
    <w:basedOn w:val="Domylnaczcionkaakapitu"/>
    <w:link w:val="Tekstpodstawowy"/>
    <w:semiHidden/>
    <w:rsid w:val="00014566"/>
    <w:rPr>
      <w:rFonts w:eastAsiaTheme="minorEastAsia"/>
      <w:sz w:val="24"/>
    </w:rPr>
  </w:style>
  <w:style w:type="paragraph" w:styleId="Tekstpodstawowy2">
    <w:name w:val="Body Text 2"/>
    <w:basedOn w:val="Normalny"/>
    <w:link w:val="Tekstpodstawowy2Znak"/>
    <w:semiHidden/>
    <w:rsid w:val="00014566"/>
    <w:pPr>
      <w:spacing w:after="120" w:line="480" w:lineRule="auto"/>
    </w:pPr>
  </w:style>
  <w:style w:type="character" w:customStyle="1" w:styleId="Tekstpodstawowy2Znak">
    <w:name w:val="Tekst podstawowy 2 Znak"/>
    <w:basedOn w:val="Domylnaczcionkaakapitu"/>
    <w:link w:val="Tekstpodstawowy2"/>
    <w:semiHidden/>
    <w:rsid w:val="00014566"/>
    <w:rPr>
      <w:rFonts w:eastAsiaTheme="minorEastAsia"/>
      <w:sz w:val="24"/>
    </w:rPr>
  </w:style>
  <w:style w:type="paragraph" w:styleId="Tekstpodstawowy3">
    <w:name w:val="Body Text 3"/>
    <w:basedOn w:val="Normalny"/>
    <w:link w:val="Tekstpodstawowy3Znak"/>
    <w:semiHidden/>
    <w:rsid w:val="00014566"/>
    <w:pPr>
      <w:spacing w:after="120"/>
    </w:pPr>
    <w:rPr>
      <w:sz w:val="16"/>
      <w:szCs w:val="16"/>
    </w:rPr>
  </w:style>
  <w:style w:type="character" w:customStyle="1" w:styleId="Tekstpodstawowy3Znak">
    <w:name w:val="Tekst podstawowy 3 Znak"/>
    <w:basedOn w:val="Domylnaczcionkaakapitu"/>
    <w:link w:val="Tekstpodstawowy3"/>
    <w:semiHidden/>
    <w:rsid w:val="00014566"/>
    <w:rPr>
      <w:rFonts w:eastAsiaTheme="minorEastAsia"/>
      <w:sz w:val="16"/>
      <w:szCs w:val="16"/>
    </w:rPr>
  </w:style>
  <w:style w:type="paragraph" w:styleId="Tekstpodstawowyzwciciem">
    <w:name w:val="Body Text First Indent"/>
    <w:basedOn w:val="Tekstpodstawowy"/>
    <w:link w:val="TekstpodstawowyzwciciemZnak"/>
    <w:semiHidden/>
    <w:rsid w:val="00014566"/>
    <w:pPr>
      <w:spacing w:after="0"/>
      <w:ind w:firstLine="360"/>
    </w:pPr>
  </w:style>
  <w:style w:type="character" w:customStyle="1" w:styleId="TekstpodstawowyzwciciemZnak">
    <w:name w:val="Tekst podstawowy z wcięciem Znak"/>
    <w:basedOn w:val="TekstpodstawowyZnak"/>
    <w:link w:val="Tekstpodstawowyzwciciem"/>
    <w:semiHidden/>
    <w:rsid w:val="00014566"/>
    <w:rPr>
      <w:rFonts w:eastAsiaTheme="minorEastAsia"/>
      <w:sz w:val="24"/>
    </w:rPr>
  </w:style>
  <w:style w:type="paragraph" w:styleId="Tekstpodstawowywcity">
    <w:name w:val="Body Text Indent"/>
    <w:basedOn w:val="Normalny"/>
    <w:link w:val="TekstpodstawowywcityZnak"/>
    <w:semiHidden/>
    <w:rsid w:val="00014566"/>
    <w:pPr>
      <w:spacing w:after="120"/>
      <w:ind w:left="283"/>
    </w:pPr>
  </w:style>
  <w:style w:type="character" w:customStyle="1" w:styleId="TekstpodstawowywcityZnak">
    <w:name w:val="Tekst podstawowy wcięty Znak"/>
    <w:basedOn w:val="Domylnaczcionkaakapitu"/>
    <w:link w:val="Tekstpodstawowywcity"/>
    <w:semiHidden/>
    <w:rsid w:val="00014566"/>
    <w:rPr>
      <w:rFonts w:eastAsiaTheme="minorEastAsia"/>
      <w:sz w:val="24"/>
    </w:rPr>
  </w:style>
  <w:style w:type="paragraph" w:styleId="Tekstpodstawowyzwciciem2">
    <w:name w:val="Body Text First Indent 2"/>
    <w:basedOn w:val="Tekstpodstawowywcity"/>
    <w:link w:val="Tekstpodstawowyzwciciem2Znak"/>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semiHidden/>
    <w:rsid w:val="00014566"/>
    <w:rPr>
      <w:rFonts w:eastAsiaTheme="minorEastAsia"/>
      <w:sz w:val="24"/>
    </w:rPr>
  </w:style>
  <w:style w:type="paragraph" w:styleId="Tekstpodstawowywcity2">
    <w:name w:val="Body Text Indent 2"/>
    <w:basedOn w:val="Normalny"/>
    <w:link w:val="Tekstpodstawowywcity2Znak"/>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semiHidden/>
    <w:rsid w:val="00014566"/>
    <w:rPr>
      <w:rFonts w:eastAsiaTheme="minorEastAsia"/>
      <w:sz w:val="24"/>
    </w:rPr>
  </w:style>
  <w:style w:type="paragraph" w:styleId="Tekstpodstawowywcity3">
    <w:name w:val="Body Text Indent 3"/>
    <w:basedOn w:val="Normalny"/>
    <w:link w:val="Tekstpodstawowywcity3Znak"/>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semiHidden/>
    <w:rsid w:val="00014566"/>
    <w:pPr>
      <w:ind w:left="4252"/>
    </w:pPr>
  </w:style>
  <w:style w:type="character" w:customStyle="1" w:styleId="ZwrotpoegnalnyZnak">
    <w:name w:val="Zwrot pożegnalny Znak"/>
    <w:basedOn w:val="Domylnaczcionkaakapitu"/>
    <w:link w:val="Zwrotpoegnalny"/>
    <w:semiHidden/>
    <w:rsid w:val="00014566"/>
    <w:rPr>
      <w:rFonts w:eastAsiaTheme="minorEastAsia"/>
      <w:sz w:val="24"/>
    </w:rPr>
  </w:style>
  <w:style w:type="table" w:customStyle="1" w:styleId="Kolorowasiatka1">
    <w:name w:val="Kolorowa siatka1"/>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72"/>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70"/>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014566"/>
  </w:style>
  <w:style w:type="character" w:customStyle="1" w:styleId="DataZnak">
    <w:name w:val="Data Znak"/>
    <w:basedOn w:val="Domylnaczcionkaakapitu"/>
    <w:link w:val="Data"/>
    <w:semiHidden/>
    <w:rsid w:val="00014566"/>
    <w:rPr>
      <w:rFonts w:eastAsiaTheme="minorEastAsia"/>
      <w:sz w:val="24"/>
    </w:rPr>
  </w:style>
  <w:style w:type="paragraph" w:styleId="Podpise-mail">
    <w:name w:val="E-mail Signature"/>
    <w:basedOn w:val="Normalny"/>
    <w:link w:val="Podpise-mailZnak"/>
    <w:semiHidden/>
    <w:rsid w:val="00014566"/>
  </w:style>
  <w:style w:type="character" w:customStyle="1" w:styleId="Podpise-mailZnak">
    <w:name w:val="Podpis e-mail Znak"/>
    <w:basedOn w:val="Domylnaczcionkaakapitu"/>
    <w:link w:val="Podpise-mail"/>
    <w:semiHidden/>
    <w:rsid w:val="00014566"/>
    <w:rPr>
      <w:rFonts w:eastAsiaTheme="minorEastAsia"/>
      <w:sz w:val="24"/>
    </w:rPr>
  </w:style>
  <w:style w:type="paragraph" w:styleId="Adresnakopercie">
    <w:name w:val="envelope address"/>
    <w:basedOn w:val="Normalny"/>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014566"/>
    <w:rPr>
      <w:rFonts w:asciiTheme="majorHAnsi" w:eastAsiaTheme="majorEastAsia" w:hAnsiTheme="majorHAnsi" w:cstheme="majorBidi"/>
      <w:sz w:val="20"/>
      <w:szCs w:val="20"/>
    </w:rPr>
  </w:style>
  <w:style w:type="character" w:styleId="HTML-akronim">
    <w:name w:val="HTML Acronym"/>
    <w:basedOn w:val="Domylnaczcionkaakapitu"/>
    <w:semiHidden/>
    <w:rsid w:val="00014566"/>
  </w:style>
  <w:style w:type="paragraph" w:styleId="HTML-adres">
    <w:name w:val="HTML Address"/>
    <w:basedOn w:val="Normalny"/>
    <w:link w:val="HTML-adresZnak"/>
    <w:semiHidden/>
    <w:rsid w:val="00014566"/>
    <w:rPr>
      <w:i/>
      <w:iCs/>
    </w:rPr>
  </w:style>
  <w:style w:type="character" w:customStyle="1" w:styleId="HTML-adresZnak">
    <w:name w:val="HTML - adres Znak"/>
    <w:basedOn w:val="Domylnaczcionkaakapitu"/>
    <w:link w:val="HTML-adres"/>
    <w:semiHidden/>
    <w:rsid w:val="00014566"/>
    <w:rPr>
      <w:rFonts w:eastAsiaTheme="minorEastAsia"/>
      <w:i/>
      <w:iCs/>
      <w:sz w:val="24"/>
    </w:rPr>
  </w:style>
  <w:style w:type="character" w:styleId="HTML-cytat">
    <w:name w:val="HTML Cite"/>
    <w:basedOn w:val="Domylnaczcionkaakapitu"/>
    <w:semiHidden/>
    <w:rsid w:val="00014566"/>
    <w:rPr>
      <w:i/>
      <w:iCs/>
    </w:rPr>
  </w:style>
  <w:style w:type="character" w:styleId="HTML-kod">
    <w:name w:val="HTML Code"/>
    <w:basedOn w:val="Domylnaczcionkaakapitu"/>
    <w:semiHidden/>
    <w:rsid w:val="00014566"/>
    <w:rPr>
      <w:rFonts w:ascii="Consolas" w:hAnsi="Consolas" w:cs="Consolas"/>
      <w:sz w:val="20"/>
      <w:szCs w:val="20"/>
    </w:rPr>
  </w:style>
  <w:style w:type="character" w:styleId="HTML-definicja">
    <w:name w:val="HTML Definition"/>
    <w:basedOn w:val="Domylnaczcionkaakapitu"/>
    <w:semiHidden/>
    <w:rsid w:val="00014566"/>
    <w:rPr>
      <w:i/>
      <w:iCs/>
    </w:rPr>
  </w:style>
  <w:style w:type="character" w:styleId="HTML-klawiatura">
    <w:name w:val="HTML Keyboard"/>
    <w:basedOn w:val="Domylnaczcionkaakapitu"/>
    <w:semiHidden/>
    <w:rsid w:val="00014566"/>
    <w:rPr>
      <w:rFonts w:ascii="Consolas" w:hAnsi="Consolas" w:cs="Consolas"/>
      <w:sz w:val="20"/>
      <w:szCs w:val="20"/>
    </w:rPr>
  </w:style>
  <w:style w:type="paragraph" w:styleId="HTML-wstpniesformatowany">
    <w:name w:val="HTML Preformatted"/>
    <w:basedOn w:val="Normalny"/>
    <w:link w:val="HTML-wstpniesformatowanyZnak"/>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semiHidden/>
    <w:rsid w:val="00014566"/>
    <w:rPr>
      <w:rFonts w:ascii="Consolas" w:eastAsiaTheme="minorEastAsia" w:hAnsi="Consolas" w:cs="Consolas"/>
      <w:sz w:val="20"/>
      <w:szCs w:val="20"/>
    </w:rPr>
  </w:style>
  <w:style w:type="character" w:styleId="HTML-przykad">
    <w:name w:val="HTML Sample"/>
    <w:basedOn w:val="Domylnaczcionkaakapitu"/>
    <w:semiHidden/>
    <w:rsid w:val="00014566"/>
    <w:rPr>
      <w:rFonts w:ascii="Consolas" w:hAnsi="Consolas" w:cs="Consolas"/>
      <w:sz w:val="24"/>
      <w:szCs w:val="24"/>
    </w:rPr>
  </w:style>
  <w:style w:type="character" w:styleId="HTML-staaszeroko">
    <w:name w:val="HTML Typewriter"/>
    <w:basedOn w:val="Domylnaczcionkaakapitu"/>
    <w:semiHidden/>
    <w:rsid w:val="00014566"/>
    <w:rPr>
      <w:rFonts w:ascii="Consolas" w:hAnsi="Consolas" w:cs="Consolas"/>
      <w:sz w:val="20"/>
      <w:szCs w:val="20"/>
    </w:rPr>
  </w:style>
  <w:style w:type="character" w:styleId="HTML-zmienna">
    <w:name w:val="HTML Variable"/>
    <w:basedOn w:val="Domylnaczcionkaakapitu"/>
    <w:semiHidden/>
    <w:rsid w:val="00014566"/>
    <w:rPr>
      <w:i/>
      <w:iCs/>
    </w:rPr>
  </w:style>
  <w:style w:type="paragraph" w:styleId="Indeks1">
    <w:name w:val="index 1"/>
    <w:basedOn w:val="Normalny"/>
    <w:next w:val="Normalny"/>
    <w:autoRedefine/>
    <w:semiHidden/>
    <w:rsid w:val="00014566"/>
    <w:pPr>
      <w:ind w:left="240" w:hanging="240"/>
    </w:pPr>
  </w:style>
  <w:style w:type="paragraph" w:styleId="Indeks2">
    <w:name w:val="index 2"/>
    <w:basedOn w:val="Normalny"/>
    <w:next w:val="Normalny"/>
    <w:autoRedefine/>
    <w:semiHidden/>
    <w:rsid w:val="00014566"/>
    <w:pPr>
      <w:ind w:left="480" w:hanging="240"/>
    </w:pPr>
  </w:style>
  <w:style w:type="paragraph" w:styleId="Indeks3">
    <w:name w:val="index 3"/>
    <w:basedOn w:val="Normalny"/>
    <w:next w:val="Normalny"/>
    <w:autoRedefine/>
    <w:semiHidden/>
    <w:rsid w:val="00014566"/>
    <w:pPr>
      <w:ind w:left="720" w:hanging="240"/>
    </w:pPr>
  </w:style>
  <w:style w:type="paragraph" w:styleId="Indeks4">
    <w:name w:val="index 4"/>
    <w:basedOn w:val="Normalny"/>
    <w:next w:val="Normalny"/>
    <w:autoRedefine/>
    <w:semiHidden/>
    <w:rsid w:val="00014566"/>
    <w:pPr>
      <w:ind w:left="960" w:hanging="240"/>
    </w:pPr>
  </w:style>
  <w:style w:type="paragraph" w:styleId="Indeks5">
    <w:name w:val="index 5"/>
    <w:basedOn w:val="Normalny"/>
    <w:next w:val="Normalny"/>
    <w:autoRedefine/>
    <w:semiHidden/>
    <w:rsid w:val="00014566"/>
    <w:pPr>
      <w:ind w:left="1200" w:hanging="240"/>
    </w:pPr>
  </w:style>
  <w:style w:type="paragraph" w:styleId="Indeks6">
    <w:name w:val="index 6"/>
    <w:basedOn w:val="Normalny"/>
    <w:next w:val="Normalny"/>
    <w:autoRedefine/>
    <w:semiHidden/>
    <w:rsid w:val="00014566"/>
    <w:pPr>
      <w:ind w:left="1440" w:hanging="240"/>
    </w:pPr>
  </w:style>
  <w:style w:type="paragraph" w:styleId="Indeks7">
    <w:name w:val="index 7"/>
    <w:basedOn w:val="Normalny"/>
    <w:next w:val="Normalny"/>
    <w:autoRedefine/>
    <w:semiHidden/>
    <w:rsid w:val="00014566"/>
    <w:pPr>
      <w:ind w:left="1680" w:hanging="240"/>
    </w:pPr>
  </w:style>
  <w:style w:type="paragraph" w:styleId="Indeks8">
    <w:name w:val="index 8"/>
    <w:basedOn w:val="Normalny"/>
    <w:next w:val="Normalny"/>
    <w:autoRedefine/>
    <w:semiHidden/>
    <w:rsid w:val="00014566"/>
    <w:pPr>
      <w:ind w:left="1920" w:hanging="240"/>
    </w:pPr>
  </w:style>
  <w:style w:type="paragraph" w:styleId="Indeks9">
    <w:name w:val="index 9"/>
    <w:basedOn w:val="Normalny"/>
    <w:next w:val="Normalny"/>
    <w:autoRedefine/>
    <w:semiHidden/>
    <w:rsid w:val="00014566"/>
    <w:pPr>
      <w:ind w:left="2160" w:hanging="240"/>
    </w:pPr>
  </w:style>
  <w:style w:type="paragraph" w:styleId="Nagwekindeksu">
    <w:name w:val="index heading"/>
    <w:basedOn w:val="Normalny"/>
    <w:next w:val="Indeks1"/>
    <w:semiHidden/>
    <w:rsid w:val="00014566"/>
    <w:rPr>
      <w:rFonts w:asciiTheme="majorHAnsi" w:eastAsiaTheme="majorEastAsia" w:hAnsiTheme="majorHAnsi" w:cstheme="majorBidi"/>
      <w:b/>
      <w:bCs/>
    </w:rPr>
  </w:style>
  <w:style w:type="table" w:customStyle="1" w:styleId="Jasnasiatka1">
    <w:name w:val="Jasna siatka1"/>
    <w:basedOn w:val="Standardowy"/>
    <w:uiPriority w:val="62"/>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62"/>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61"/>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61"/>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60"/>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60"/>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014566"/>
  </w:style>
  <w:style w:type="paragraph" w:styleId="Lista">
    <w:name w:val="List"/>
    <w:basedOn w:val="Normalny"/>
    <w:semiHidden/>
    <w:rsid w:val="00014566"/>
    <w:pPr>
      <w:ind w:left="283" w:hanging="283"/>
      <w:contextualSpacing/>
    </w:pPr>
  </w:style>
  <w:style w:type="paragraph" w:styleId="Lista2">
    <w:name w:val="List 2"/>
    <w:basedOn w:val="Normalny"/>
    <w:semiHidden/>
    <w:rsid w:val="00014566"/>
    <w:pPr>
      <w:ind w:left="566" w:hanging="283"/>
      <w:contextualSpacing/>
    </w:pPr>
  </w:style>
  <w:style w:type="paragraph" w:styleId="Lista3">
    <w:name w:val="List 3"/>
    <w:basedOn w:val="Normalny"/>
    <w:semiHidden/>
    <w:rsid w:val="00014566"/>
    <w:pPr>
      <w:ind w:left="849" w:hanging="283"/>
      <w:contextualSpacing/>
    </w:pPr>
  </w:style>
  <w:style w:type="paragraph" w:styleId="Lista4">
    <w:name w:val="List 4"/>
    <w:basedOn w:val="Normalny"/>
    <w:semiHidden/>
    <w:rsid w:val="00014566"/>
    <w:pPr>
      <w:ind w:left="1132" w:hanging="283"/>
      <w:contextualSpacing/>
    </w:pPr>
  </w:style>
  <w:style w:type="paragraph" w:styleId="Lista5">
    <w:name w:val="List 5"/>
    <w:basedOn w:val="Normalny"/>
    <w:semiHidden/>
    <w:rsid w:val="00014566"/>
    <w:pPr>
      <w:ind w:left="1415" w:hanging="283"/>
      <w:contextualSpacing/>
    </w:pPr>
  </w:style>
  <w:style w:type="paragraph" w:styleId="Listapunktowana2">
    <w:name w:val="List Bullet 2"/>
    <w:basedOn w:val="Normalny"/>
    <w:semiHidden/>
    <w:rsid w:val="00014566"/>
    <w:pPr>
      <w:numPr>
        <w:numId w:val="5"/>
      </w:numPr>
      <w:contextualSpacing/>
    </w:pPr>
  </w:style>
  <w:style w:type="paragraph" w:styleId="Listapunktowana3">
    <w:name w:val="List Bullet 3"/>
    <w:basedOn w:val="Normalny"/>
    <w:semiHidden/>
    <w:rsid w:val="00014566"/>
    <w:pPr>
      <w:numPr>
        <w:numId w:val="6"/>
      </w:numPr>
      <w:contextualSpacing/>
    </w:pPr>
  </w:style>
  <w:style w:type="paragraph" w:styleId="Listapunktowana4">
    <w:name w:val="List Bullet 4"/>
    <w:basedOn w:val="Normalny"/>
    <w:semiHidden/>
    <w:rsid w:val="00014566"/>
    <w:pPr>
      <w:numPr>
        <w:numId w:val="7"/>
      </w:numPr>
      <w:contextualSpacing/>
    </w:pPr>
  </w:style>
  <w:style w:type="paragraph" w:styleId="Listapunktowana5">
    <w:name w:val="List Bullet 5"/>
    <w:basedOn w:val="Normalny"/>
    <w:semiHidden/>
    <w:rsid w:val="00014566"/>
    <w:pPr>
      <w:numPr>
        <w:numId w:val="8"/>
      </w:numPr>
      <w:contextualSpacing/>
    </w:pPr>
  </w:style>
  <w:style w:type="paragraph" w:styleId="Lista-kontynuacja">
    <w:name w:val="List Continue"/>
    <w:basedOn w:val="Normalny"/>
    <w:semiHidden/>
    <w:rsid w:val="00014566"/>
    <w:pPr>
      <w:spacing w:after="120"/>
      <w:ind w:left="283"/>
      <w:contextualSpacing/>
    </w:pPr>
  </w:style>
  <w:style w:type="paragraph" w:styleId="Lista-kontynuacja2">
    <w:name w:val="List Continue 2"/>
    <w:basedOn w:val="Normalny"/>
    <w:semiHidden/>
    <w:rsid w:val="00014566"/>
    <w:pPr>
      <w:spacing w:after="120"/>
      <w:ind w:left="566"/>
      <w:contextualSpacing/>
    </w:pPr>
  </w:style>
  <w:style w:type="paragraph" w:styleId="Lista-kontynuacja3">
    <w:name w:val="List Continue 3"/>
    <w:basedOn w:val="Normalny"/>
    <w:semiHidden/>
    <w:rsid w:val="00014566"/>
    <w:pPr>
      <w:spacing w:after="120"/>
      <w:ind w:left="849"/>
      <w:contextualSpacing/>
    </w:pPr>
  </w:style>
  <w:style w:type="paragraph" w:styleId="Lista-kontynuacja4">
    <w:name w:val="List Continue 4"/>
    <w:basedOn w:val="Normalny"/>
    <w:semiHidden/>
    <w:rsid w:val="00014566"/>
    <w:pPr>
      <w:spacing w:after="120"/>
      <w:ind w:left="1132"/>
      <w:contextualSpacing/>
    </w:pPr>
  </w:style>
  <w:style w:type="paragraph" w:styleId="Lista-kontynuacja5">
    <w:name w:val="List Continue 5"/>
    <w:basedOn w:val="Normalny"/>
    <w:semiHidden/>
    <w:rsid w:val="00014566"/>
    <w:pPr>
      <w:spacing w:after="120"/>
      <w:ind w:left="1415"/>
      <w:contextualSpacing/>
    </w:pPr>
  </w:style>
  <w:style w:type="paragraph" w:styleId="Listanumerowana">
    <w:name w:val="List Number"/>
    <w:basedOn w:val="Normalny"/>
    <w:semiHidden/>
    <w:rsid w:val="00014566"/>
    <w:pPr>
      <w:numPr>
        <w:numId w:val="9"/>
      </w:numPr>
      <w:contextualSpacing/>
    </w:pPr>
  </w:style>
  <w:style w:type="paragraph" w:styleId="Listanumerowana2">
    <w:name w:val="List Number 2"/>
    <w:basedOn w:val="Normalny"/>
    <w:semiHidden/>
    <w:rsid w:val="00014566"/>
    <w:pPr>
      <w:numPr>
        <w:numId w:val="10"/>
      </w:numPr>
      <w:contextualSpacing/>
    </w:pPr>
  </w:style>
  <w:style w:type="paragraph" w:styleId="Listanumerowana3">
    <w:name w:val="List Number 3"/>
    <w:basedOn w:val="Normalny"/>
    <w:semiHidden/>
    <w:rsid w:val="00014566"/>
    <w:pPr>
      <w:numPr>
        <w:numId w:val="11"/>
      </w:numPr>
      <w:contextualSpacing/>
    </w:pPr>
  </w:style>
  <w:style w:type="paragraph" w:styleId="Listanumerowana4">
    <w:name w:val="List Number 4"/>
    <w:basedOn w:val="Normalny"/>
    <w:semiHidden/>
    <w:rsid w:val="00014566"/>
    <w:pPr>
      <w:numPr>
        <w:numId w:val="12"/>
      </w:numPr>
      <w:contextualSpacing/>
    </w:pPr>
  </w:style>
  <w:style w:type="paragraph" w:styleId="Listanumerowana5">
    <w:name w:val="List Number 5"/>
    <w:basedOn w:val="Normalny"/>
    <w:semiHidden/>
    <w:rsid w:val="00014566"/>
    <w:pPr>
      <w:numPr>
        <w:numId w:val="13"/>
      </w:numPr>
      <w:contextualSpacing/>
    </w:pPr>
  </w:style>
  <w:style w:type="paragraph" w:styleId="Tekstmakra">
    <w:name w:val="macro"/>
    <w:link w:val="TekstmakraZnak"/>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semiHidden/>
    <w:rsid w:val="00014566"/>
    <w:rPr>
      <w:rFonts w:ascii="Consolas" w:hAnsi="Consolas" w:cs="Consolas"/>
      <w:sz w:val="20"/>
      <w:szCs w:val="20"/>
      <w:lang w:val="en-GB" w:eastAsia="fr-FR"/>
    </w:rPr>
  </w:style>
  <w:style w:type="table" w:customStyle="1" w:styleId="redniasiatka11">
    <w:name w:val="Średnia siatka 11"/>
    <w:basedOn w:val="Standardowy"/>
    <w:uiPriority w:val="67"/>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65"/>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65"/>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63"/>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63"/>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014566"/>
    <w:rPr>
      <w:rFonts w:ascii="Times New Roman" w:hAnsi="Times New Roman" w:cs="Times New Roman"/>
      <w:szCs w:val="24"/>
    </w:rPr>
  </w:style>
  <w:style w:type="paragraph" w:styleId="Wcicienormalne">
    <w:name w:val="Normal Indent"/>
    <w:basedOn w:val="Normalny"/>
    <w:semiHidden/>
    <w:rsid w:val="00014566"/>
    <w:pPr>
      <w:ind w:left="720"/>
    </w:pPr>
  </w:style>
  <w:style w:type="paragraph" w:styleId="Nagweknotatki">
    <w:name w:val="Note Heading"/>
    <w:basedOn w:val="Normalny"/>
    <w:next w:val="Normalny"/>
    <w:link w:val="NagweknotatkiZnak"/>
    <w:semiHidden/>
    <w:rsid w:val="00014566"/>
  </w:style>
  <w:style w:type="character" w:customStyle="1" w:styleId="NagweknotatkiZnak">
    <w:name w:val="Nagłówek notatki Znak"/>
    <w:basedOn w:val="Domylnaczcionkaakapitu"/>
    <w:link w:val="Nagweknotatki"/>
    <w:semiHidden/>
    <w:rsid w:val="00014566"/>
    <w:rPr>
      <w:rFonts w:eastAsiaTheme="minorEastAsia"/>
      <w:sz w:val="24"/>
    </w:rPr>
  </w:style>
  <w:style w:type="character" w:styleId="Tekstzastpczy">
    <w:name w:val="Placeholder Text"/>
    <w:basedOn w:val="Domylnaczcionkaakapitu"/>
    <w:uiPriority w:val="99"/>
    <w:semiHidden/>
    <w:rsid w:val="00B8456D"/>
    <w:rPr>
      <w:color w:val="auto"/>
      <w:bdr w:val="none" w:sz="0" w:space="0" w:color="auto"/>
      <w:shd w:val="clear" w:color="auto" w:fill="DFDFDF" w:themeFill="background2" w:themeFillShade="E6"/>
    </w:rPr>
  </w:style>
  <w:style w:type="paragraph" w:styleId="Zwykytekst">
    <w:name w:val="Plain Text"/>
    <w:basedOn w:val="Normalny"/>
    <w:link w:val="ZwykytekstZnak"/>
    <w:semiHidden/>
    <w:rsid w:val="00014566"/>
    <w:rPr>
      <w:rFonts w:ascii="Consolas" w:hAnsi="Consolas" w:cs="Consolas"/>
      <w:sz w:val="21"/>
      <w:szCs w:val="21"/>
    </w:rPr>
  </w:style>
  <w:style w:type="character" w:customStyle="1" w:styleId="ZwykytekstZnak">
    <w:name w:val="Zwykły tekst Znak"/>
    <w:basedOn w:val="Domylnaczcionkaakapitu"/>
    <w:link w:val="Zwykytekst"/>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014566"/>
  </w:style>
  <w:style w:type="character" w:customStyle="1" w:styleId="ZwrotgrzecznociowyZnak">
    <w:name w:val="Zwrot grzecznościowy Znak"/>
    <w:basedOn w:val="Domylnaczcionkaakapitu"/>
    <w:link w:val="Zwrotgrzecznociowy"/>
    <w:semiHidden/>
    <w:rsid w:val="00014566"/>
    <w:rPr>
      <w:rFonts w:eastAsiaTheme="minorEastAsia"/>
      <w:sz w:val="24"/>
    </w:rPr>
  </w:style>
  <w:style w:type="paragraph" w:styleId="Podpis">
    <w:name w:val="Signature"/>
    <w:basedOn w:val="Normalny"/>
    <w:link w:val="PodpisZnak"/>
    <w:semiHidden/>
    <w:rsid w:val="00014566"/>
    <w:pPr>
      <w:ind w:left="4252"/>
    </w:pPr>
  </w:style>
  <w:style w:type="character" w:customStyle="1" w:styleId="PodpisZnak">
    <w:name w:val="Podpis Znak"/>
    <w:basedOn w:val="Domylnaczcionkaakapitu"/>
    <w:link w:val="Podpis"/>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014566"/>
    <w:pPr>
      <w:ind w:left="240" w:hanging="240"/>
    </w:pPr>
  </w:style>
  <w:style w:type="paragraph" w:styleId="Spisilustracji">
    <w:name w:val="table of figures"/>
    <w:basedOn w:val="Normalny"/>
    <w:next w:val="Normalny"/>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8456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8456D"/>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014566"/>
    <w:pPr>
      <w:spacing w:after="100"/>
      <w:ind w:left="1680"/>
    </w:pPr>
  </w:style>
  <w:style w:type="paragraph" w:styleId="Spistreci9">
    <w:name w:val="toc 9"/>
    <w:basedOn w:val="Normalny"/>
    <w:next w:val="Normalny"/>
    <w:autoRedefine/>
    <w:semiHidden/>
    <w:rsid w:val="00014566"/>
    <w:pPr>
      <w:spacing w:after="100"/>
      <w:ind w:left="1920"/>
    </w:pPr>
  </w:style>
  <w:style w:type="paragraph" w:customStyle="1" w:styleId="DecList">
    <w:name w:val="Dec_List"/>
    <w:basedOn w:val="Normalny"/>
    <w:uiPriority w:val="9"/>
    <w:qFormat/>
    <w:rsid w:val="00B8456D"/>
    <w:pPr>
      <w:spacing w:before="240"/>
      <w:ind w:left="284"/>
    </w:pPr>
  </w:style>
  <w:style w:type="paragraph" w:customStyle="1" w:styleId="JuLista">
    <w:name w:val="Ju_List_a"/>
    <w:basedOn w:val="JuList"/>
    <w:uiPriority w:val="28"/>
    <w:qFormat/>
    <w:rsid w:val="00B8456D"/>
    <w:pPr>
      <w:ind w:left="346" w:firstLine="0"/>
    </w:pPr>
  </w:style>
  <w:style w:type="paragraph" w:customStyle="1" w:styleId="JuListi">
    <w:name w:val="Ju_List_i"/>
    <w:basedOn w:val="Normalny"/>
    <w:next w:val="JuLista"/>
    <w:uiPriority w:val="28"/>
    <w:qFormat/>
    <w:rsid w:val="00B8456D"/>
    <w:pPr>
      <w:ind w:left="794"/>
    </w:pPr>
  </w:style>
  <w:style w:type="paragraph" w:customStyle="1" w:styleId="OpiH1">
    <w:name w:val="Opi_H_1"/>
    <w:basedOn w:val="ECHRHeading2"/>
    <w:uiPriority w:val="42"/>
    <w:qFormat/>
    <w:rsid w:val="00B8456D"/>
    <w:pPr>
      <w:ind w:left="635" w:hanging="357"/>
      <w:outlineLvl w:val="2"/>
    </w:pPr>
  </w:style>
  <w:style w:type="paragraph" w:customStyle="1" w:styleId="OpiHa0">
    <w:name w:val="Opi_H_a"/>
    <w:basedOn w:val="ECHRHeading3"/>
    <w:uiPriority w:val="43"/>
    <w:qFormat/>
    <w:rsid w:val="00B8456D"/>
    <w:pPr>
      <w:ind w:left="833" w:hanging="357"/>
      <w:outlineLvl w:val="3"/>
    </w:pPr>
    <w:rPr>
      <w:b/>
      <w:i w:val="0"/>
      <w:sz w:val="20"/>
    </w:rPr>
  </w:style>
  <w:style w:type="paragraph" w:customStyle="1" w:styleId="OpiHi">
    <w:name w:val="Opi_H_i"/>
    <w:basedOn w:val="ECHRHeading4"/>
    <w:uiPriority w:val="44"/>
    <w:qFormat/>
    <w:rsid w:val="00B8456D"/>
    <w:pPr>
      <w:ind w:left="1037" w:hanging="357"/>
      <w:outlineLvl w:val="4"/>
    </w:pPr>
    <w:rPr>
      <w:b w:val="0"/>
      <w:i/>
    </w:rPr>
  </w:style>
  <w:style w:type="paragraph" w:customStyle="1" w:styleId="DummyStyle">
    <w:name w:val="Dummy_Style"/>
    <w:basedOn w:val="Normalny"/>
    <w:semiHidden/>
    <w:qFormat/>
    <w:rsid w:val="00B8456D"/>
    <w:rPr>
      <w:color w:val="00B050"/>
    </w:rPr>
  </w:style>
  <w:style w:type="paragraph" w:customStyle="1" w:styleId="JuHeaderLandscape">
    <w:name w:val="Ju_Header_Landscape"/>
    <w:basedOn w:val="ECHRHeader"/>
    <w:uiPriority w:val="4"/>
    <w:qFormat/>
    <w:rsid w:val="00B8456D"/>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703159"/>
    <w:rPr>
      <w:rFonts w:eastAsiaTheme="minorEastAsia"/>
      <w:sz w:val="24"/>
    </w:rPr>
  </w:style>
  <w:style w:type="paragraph" w:styleId="Poprawka">
    <w:name w:val="Revision"/>
    <w:hidden/>
    <w:uiPriority w:val="99"/>
    <w:semiHidden/>
    <w:rsid w:val="004A351B"/>
    <w:rPr>
      <w:rFonts w:eastAsiaTheme="minorEastAsia"/>
      <w:sz w:val="24"/>
    </w:rPr>
  </w:style>
  <w:style w:type="numbering" w:customStyle="1" w:styleId="ECHRA1StyleBulletedSquare">
    <w:name w:val="ECHR_A1_Style_Bulleted_Square"/>
    <w:basedOn w:val="Bezlisty"/>
    <w:rsid w:val="001C1232"/>
    <w:pPr>
      <w:numPr>
        <w:numId w:val="17"/>
      </w:numPr>
    </w:pPr>
  </w:style>
  <w:style w:type="numbering" w:customStyle="1" w:styleId="ECHRA1StyleNumberedList">
    <w:name w:val="ECHR_A1_Style_Numbered_List"/>
    <w:basedOn w:val="Bezlisty"/>
    <w:rsid w:val="001C1232"/>
    <w:pPr>
      <w:numPr>
        <w:numId w:val="19"/>
      </w:numPr>
    </w:pPr>
  </w:style>
  <w:style w:type="paragraph" w:customStyle="1" w:styleId="ECHRBullet1">
    <w:name w:val="ECHR_Bullet_1"/>
    <w:aliases w:val="Bul_1"/>
    <w:basedOn w:val="Normalny"/>
    <w:uiPriority w:val="8"/>
    <w:rsid w:val="001C1232"/>
    <w:pPr>
      <w:numPr>
        <w:numId w:val="17"/>
      </w:numPr>
      <w:spacing w:before="60" w:after="60"/>
    </w:pPr>
    <w:rPr>
      <w:sz w:val="22"/>
    </w:rPr>
  </w:style>
  <w:style w:type="paragraph" w:customStyle="1" w:styleId="ECHRBullet2">
    <w:name w:val="ECHR_Bullet_2"/>
    <w:aliases w:val="Bul_2"/>
    <w:basedOn w:val="ECHRBullet1"/>
    <w:uiPriority w:val="8"/>
    <w:rsid w:val="001C1232"/>
    <w:pPr>
      <w:numPr>
        <w:ilvl w:val="1"/>
      </w:numPr>
    </w:pPr>
  </w:style>
  <w:style w:type="paragraph" w:customStyle="1" w:styleId="ECHRBullet3">
    <w:name w:val="ECHR_Bullet_3"/>
    <w:aliases w:val="Bul_3"/>
    <w:basedOn w:val="ECHRBullet2"/>
    <w:uiPriority w:val="8"/>
    <w:rsid w:val="001C1232"/>
    <w:pPr>
      <w:numPr>
        <w:ilvl w:val="2"/>
      </w:numPr>
    </w:pPr>
  </w:style>
  <w:style w:type="paragraph" w:customStyle="1" w:styleId="ECHRBullet4">
    <w:name w:val="ECHR_Bullet_4"/>
    <w:aliases w:val="Bul_4"/>
    <w:basedOn w:val="ECHRBullet3"/>
    <w:uiPriority w:val="8"/>
    <w:rsid w:val="001C1232"/>
    <w:pPr>
      <w:numPr>
        <w:ilvl w:val="3"/>
      </w:numPr>
    </w:pPr>
  </w:style>
  <w:style w:type="paragraph" w:customStyle="1" w:styleId="ECHRNumberedList1">
    <w:name w:val="ECHR_Numbered_List_1"/>
    <w:aliases w:val="Num_1"/>
    <w:basedOn w:val="Normalny"/>
    <w:uiPriority w:val="9"/>
    <w:rsid w:val="001C1232"/>
    <w:pPr>
      <w:numPr>
        <w:numId w:val="18"/>
      </w:numPr>
      <w:spacing w:before="60" w:after="60"/>
      <w:jc w:val="left"/>
    </w:pPr>
    <w:rPr>
      <w:sz w:val="22"/>
    </w:rPr>
  </w:style>
  <w:style w:type="paragraph" w:customStyle="1" w:styleId="ECHRNumberedList2">
    <w:name w:val="ECHR_Numbered_List_2"/>
    <w:aliases w:val="Num_2"/>
    <w:basedOn w:val="ECHRNumberedList1"/>
    <w:uiPriority w:val="9"/>
    <w:rsid w:val="001C1232"/>
    <w:pPr>
      <w:numPr>
        <w:ilvl w:val="1"/>
      </w:numPr>
    </w:pPr>
  </w:style>
  <w:style w:type="paragraph" w:customStyle="1" w:styleId="ECHRNumberedList3">
    <w:name w:val="ECHR_Numbered_List_3"/>
    <w:aliases w:val="Num_3"/>
    <w:basedOn w:val="ECHRNumberedList2"/>
    <w:uiPriority w:val="9"/>
    <w:rsid w:val="001C1232"/>
    <w:pPr>
      <w:numPr>
        <w:ilvl w:val="2"/>
      </w:numPr>
    </w:pPr>
  </w:style>
  <w:style w:type="paragraph" w:customStyle="1" w:styleId="ECHRCoverTitle1">
    <w:name w:val="ECHR_Cover_Title_1"/>
    <w:aliases w:val="Cover_1"/>
    <w:basedOn w:val="Normalny"/>
    <w:next w:val="ECHRCoverTitle2"/>
    <w:uiPriority w:val="24"/>
    <w:rsid w:val="001C1232"/>
    <w:pPr>
      <w:spacing w:before="840"/>
      <w:contextualSpacing/>
      <w:jc w:val="center"/>
    </w:pPr>
    <w:rPr>
      <w:rFonts w:eastAsiaTheme="minorHAnsi"/>
      <w:color w:val="2F2F2F" w:themeColor="accent3" w:themeShade="80"/>
      <w:sz w:val="36"/>
    </w:rPr>
  </w:style>
  <w:style w:type="paragraph" w:customStyle="1" w:styleId="ECHRCoverTitle2">
    <w:name w:val="ECHR_Cover_Title_2"/>
    <w:aliases w:val="Cover_2"/>
    <w:basedOn w:val="Normalny"/>
    <w:next w:val="ECHRCoverTitle3"/>
    <w:uiPriority w:val="24"/>
    <w:rsid w:val="001C1232"/>
    <w:pPr>
      <w:spacing w:before="600"/>
      <w:contextualSpacing/>
      <w:jc w:val="center"/>
    </w:pPr>
    <w:rPr>
      <w:rFonts w:asciiTheme="majorHAnsi" w:eastAsiaTheme="minorHAnsi" w:hAnsiTheme="majorHAnsi"/>
      <w:color w:val="474747" w:themeColor="accent3" w:themeShade="BF"/>
      <w:sz w:val="28"/>
    </w:rPr>
  </w:style>
  <w:style w:type="paragraph" w:customStyle="1" w:styleId="ECHRCoverTitle3">
    <w:name w:val="ECHR_Cover_Title_3"/>
    <w:aliases w:val="Cover_3"/>
    <w:basedOn w:val="Normalny"/>
    <w:next w:val="Normalny"/>
    <w:uiPriority w:val="24"/>
    <w:rsid w:val="001C1232"/>
    <w:pPr>
      <w:spacing w:before="1080" w:after="1080"/>
      <w:contextualSpacing/>
      <w:jc w:val="center"/>
    </w:pPr>
    <w:rPr>
      <w:rFonts w:eastAsiaTheme="minorHAnsi"/>
      <w:b/>
      <w:color w:val="474747" w:themeColor="accent3" w:themeShade="BF"/>
    </w:rPr>
  </w:style>
  <w:style w:type="paragraph" w:customStyle="1" w:styleId="ECHRTitle2">
    <w:name w:val="ECHR_Title_2"/>
    <w:aliases w:val="Title_L_2"/>
    <w:basedOn w:val="Normalny"/>
    <w:next w:val="ECHRParaSpaced"/>
    <w:uiPriority w:val="20"/>
    <w:rsid w:val="001C1232"/>
    <w:pPr>
      <w:keepNext/>
      <w:keepLines/>
      <w:spacing w:before="240"/>
      <w:contextualSpacing/>
      <w:jc w:val="left"/>
    </w:pPr>
    <w:rPr>
      <w:rFonts w:asciiTheme="majorHAnsi" w:eastAsiaTheme="minorHAnsi" w:hAnsiTheme="majorHAnsi"/>
      <w:b/>
      <w:color w:val="474747" w:themeColor="accent3" w:themeShade="BF"/>
      <w:sz w:val="28"/>
    </w:rPr>
  </w:style>
  <w:style w:type="paragraph" w:customStyle="1" w:styleId="ECHRTitle3">
    <w:name w:val="ECHR_Title_3"/>
    <w:aliases w:val="Title_L_3"/>
    <w:basedOn w:val="Normalny"/>
    <w:next w:val="ECHRParaSpaced"/>
    <w:uiPriority w:val="20"/>
    <w:rsid w:val="001C1232"/>
    <w:pPr>
      <w:keepNext/>
      <w:keepLines/>
      <w:spacing w:before="240"/>
      <w:contextualSpacing/>
      <w:jc w:val="left"/>
    </w:pPr>
    <w:rPr>
      <w:rFonts w:asciiTheme="majorHAnsi" w:eastAsiaTheme="minorHAnsi" w:hAnsiTheme="majorHAnsi"/>
      <w:b/>
      <w:color w:val="474747" w:themeColor="accent3" w:themeShade="BF"/>
    </w:rPr>
  </w:style>
  <w:style w:type="paragraph" w:customStyle="1" w:styleId="ECHRDivisionName">
    <w:name w:val="ECHR_DivisionName"/>
    <w:aliases w:val="Div_Name"/>
    <w:basedOn w:val="Normalny"/>
    <w:link w:val="ECHRDivisionNameChar"/>
    <w:uiPriority w:val="29"/>
    <w:rsid w:val="001C1232"/>
    <w:pPr>
      <w:jc w:val="left"/>
    </w:pPr>
    <w:rPr>
      <w:rFonts w:eastAsiaTheme="minorHAnsi"/>
      <w:b/>
      <w:color w:val="0072BC" w:themeColor="accent1"/>
      <w:sz w:val="22"/>
    </w:rPr>
  </w:style>
  <w:style w:type="character" w:customStyle="1" w:styleId="ECHRDivisionNameChar">
    <w:name w:val="ECHR_DivisionName Char"/>
    <w:aliases w:val="Div_Name Char"/>
    <w:basedOn w:val="Domylnaczcionkaakapitu"/>
    <w:link w:val="ECHRDivisionName"/>
    <w:uiPriority w:val="29"/>
    <w:rsid w:val="001C1232"/>
    <w:rPr>
      <w:b/>
      <w:color w:val="0072BC" w:themeColor="accent1"/>
    </w:rPr>
  </w:style>
  <w:style w:type="paragraph" w:customStyle="1" w:styleId="ECHRParaSpaced">
    <w:name w:val="ECHR_Para_Spaced"/>
    <w:aliases w:val="Para_Spaced"/>
    <w:basedOn w:val="ECHRPara"/>
    <w:uiPriority w:val="5"/>
    <w:rsid w:val="001C1232"/>
    <w:pPr>
      <w:spacing w:before="120" w:after="120"/>
      <w:ind w:firstLine="0"/>
    </w:pPr>
    <w:rPr>
      <w:rFonts w:eastAsiaTheme="minorHAnsi"/>
      <w:sz w:val="22"/>
    </w:rPr>
  </w:style>
  <w:style w:type="paragraph" w:customStyle="1" w:styleId="ECHRHeaderDate">
    <w:name w:val="ECHR_Header_Date"/>
    <w:aliases w:val="Ref_Date"/>
    <w:basedOn w:val="Normalny"/>
    <w:uiPriority w:val="32"/>
    <w:rsid w:val="001C1232"/>
    <w:pPr>
      <w:jc w:val="right"/>
    </w:pPr>
    <w:rPr>
      <w:rFonts w:eastAsiaTheme="minorHAnsi"/>
      <w:sz w:val="20"/>
    </w:rPr>
  </w:style>
  <w:style w:type="paragraph" w:customStyle="1" w:styleId="ECHRHeaderRefIt">
    <w:name w:val="ECHR_Header_Ref_It"/>
    <w:aliases w:val="Ref_Ital"/>
    <w:basedOn w:val="Normalny"/>
    <w:next w:val="ECHRHeaderDate"/>
    <w:uiPriority w:val="31"/>
    <w:rsid w:val="001C1232"/>
    <w:pPr>
      <w:jc w:val="right"/>
    </w:pPr>
    <w:rPr>
      <w:rFonts w:eastAsiaTheme="minorHAnsi"/>
      <w:i/>
      <w:sz w:val="20"/>
    </w:rPr>
  </w:style>
  <w:style w:type="character" w:customStyle="1" w:styleId="ECHRRed">
    <w:name w:val="ECHR_Red"/>
    <w:aliases w:val="Red"/>
    <w:basedOn w:val="Domylnaczcionkaakapitu"/>
    <w:uiPriority w:val="13"/>
    <w:rsid w:val="001C1232"/>
    <w:rPr>
      <w:color w:val="C00000" w:themeColor="accent2"/>
    </w:rPr>
  </w:style>
  <w:style w:type="paragraph" w:customStyle="1" w:styleId="ECHRConfidential">
    <w:name w:val="ECHR_Confidential"/>
    <w:aliases w:val="Confidential"/>
    <w:basedOn w:val="ECHRPara"/>
    <w:next w:val="ECHRPara"/>
    <w:uiPriority w:val="30"/>
    <w:rsid w:val="001C1232"/>
    <w:pPr>
      <w:ind w:firstLine="0"/>
      <w:jc w:val="right"/>
    </w:pPr>
    <w:rPr>
      <w:rFonts w:eastAsiaTheme="minorHAnsi"/>
      <w:color w:val="C00000"/>
      <w:sz w:val="20"/>
    </w:rPr>
  </w:style>
  <w:style w:type="paragraph" w:customStyle="1" w:styleId="ECHRList">
    <w:name w:val="ECHR_List"/>
    <w:aliases w:val="List_Simple"/>
    <w:basedOn w:val="Normalny"/>
    <w:uiPriority w:val="10"/>
    <w:rsid w:val="001C1232"/>
    <w:pPr>
      <w:numPr>
        <w:numId w:val="16"/>
      </w:numPr>
      <w:jc w:val="left"/>
    </w:pPr>
    <w:rPr>
      <w:rFonts w:eastAsiaTheme="minorHAnsi"/>
      <w:sz w:val="22"/>
    </w:rPr>
  </w:style>
  <w:style w:type="paragraph" w:customStyle="1" w:styleId="ECHRCoverTitle4">
    <w:name w:val="ECHR_Cover_Title_4"/>
    <w:aliases w:val="Cover_4"/>
    <w:basedOn w:val="Normalny"/>
    <w:uiPriority w:val="24"/>
    <w:rsid w:val="001C1232"/>
    <w:pPr>
      <w:tabs>
        <w:tab w:val="right" w:pos="7938"/>
      </w:tabs>
      <w:spacing w:before="120" w:after="120"/>
      <w:ind w:left="1134" w:right="1134"/>
      <w:jc w:val="left"/>
    </w:pPr>
    <w:rPr>
      <w:rFonts w:eastAsiaTheme="minorHAnsi"/>
      <w:color w:val="2F2F2F" w:themeColor="accent3" w:themeShade="80"/>
      <w:sz w:val="22"/>
    </w:rPr>
  </w:style>
  <w:style w:type="paragraph" w:customStyle="1" w:styleId="ECHRSpacer">
    <w:name w:val="ECHR_Spacer"/>
    <w:basedOn w:val="Normalny"/>
    <w:uiPriority w:val="38"/>
    <w:rsid w:val="001C1232"/>
    <w:pPr>
      <w:jc w:val="left"/>
    </w:pPr>
    <w:rPr>
      <w:rFonts w:eastAsiaTheme="minorHAnsi"/>
      <w:sz w:val="4"/>
    </w:rPr>
  </w:style>
  <w:style w:type="paragraph" w:customStyle="1" w:styleId="ECHRFooterLineLandscape">
    <w:name w:val="ECHR_Footer_Line_Landscape"/>
    <w:aliases w:val="Footer_Line_Landscape"/>
    <w:basedOn w:val="ECHRFooterLine"/>
    <w:uiPriority w:val="42"/>
    <w:rsid w:val="001C1232"/>
    <w:pPr>
      <w:pBdr>
        <w:top w:val="single" w:sz="8" w:space="1" w:color="7F7F7F" w:themeColor="text1" w:themeTint="80"/>
      </w:pBdr>
      <w:tabs>
        <w:tab w:val="clear" w:pos="4536"/>
        <w:tab w:val="clear" w:pos="9696"/>
        <w:tab w:val="center" w:pos="6787"/>
        <w:tab w:val="right" w:pos="14640"/>
      </w:tabs>
    </w:pPr>
    <w:rPr>
      <w:rFonts w:eastAsiaTheme="minorHAnsi"/>
      <w:color w:val="474747" w:themeColor="accent3" w:themeShade="BF"/>
      <w:sz w:val="22"/>
    </w:rPr>
  </w:style>
  <w:style w:type="paragraph" w:customStyle="1" w:styleId="ECHRHeaderLandscape">
    <w:name w:val="ECHR_Header_Landscape"/>
    <w:aliases w:val="Header_Landscape"/>
    <w:basedOn w:val="Nagwek"/>
    <w:uiPriority w:val="39"/>
    <w:rsid w:val="001C1232"/>
    <w:pPr>
      <w:tabs>
        <w:tab w:val="clear" w:pos="4536"/>
        <w:tab w:val="clear" w:pos="9072"/>
        <w:tab w:val="center" w:pos="6787"/>
        <w:tab w:val="right" w:pos="14640"/>
      </w:tabs>
      <w:ind w:left="-680" w:right="-680"/>
      <w:jc w:val="left"/>
    </w:pPr>
    <w:rPr>
      <w:sz w:val="22"/>
    </w:rPr>
  </w:style>
  <w:style w:type="table" w:customStyle="1" w:styleId="ECHRHeaderTable1">
    <w:name w:val="ECHR_Header_Table1"/>
    <w:basedOn w:val="Standardowy"/>
    <w:uiPriority w:val="99"/>
    <w:rsid w:val="001C1232"/>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right"/>
      </w:pPr>
    </w:tblStylePr>
  </w:style>
  <w:style w:type="paragraph" w:customStyle="1" w:styleId="ECHRLine">
    <w:name w:val="ECHR_Line"/>
    <w:basedOn w:val="Normalny"/>
    <w:next w:val="ECHRParaSpaced"/>
    <w:uiPriority w:val="15"/>
    <w:rsid w:val="001C1232"/>
    <w:pPr>
      <w:pBdr>
        <w:bottom w:val="single" w:sz="12" w:space="1" w:color="949494" w:themeColor="text2" w:themeShade="BF"/>
      </w:pBdr>
      <w:spacing w:after="120"/>
    </w:pPr>
    <w:rPr>
      <w:rFonts w:eastAsiaTheme="minorHAnsi"/>
      <w:sz w:val="12"/>
    </w:rPr>
  </w:style>
  <w:style w:type="numbering" w:customStyle="1" w:styleId="1111111">
    <w:name w:val="1 / 1.1 / 1.1.11"/>
    <w:basedOn w:val="Bezlisty"/>
    <w:next w:val="111111"/>
    <w:semiHidden/>
    <w:rsid w:val="001C1232"/>
    <w:pPr>
      <w:numPr>
        <w:numId w:val="20"/>
      </w:numPr>
    </w:pPr>
  </w:style>
  <w:style w:type="table" w:customStyle="1" w:styleId="ECHRHeaderTableReduced1">
    <w:name w:val="ECHR_Header_Table_Reduced1"/>
    <w:basedOn w:val="Standardowy"/>
    <w:uiPriority w:val="99"/>
    <w:rsid w:val="001C1232"/>
    <w:tblPr>
      <w:tblInd w:w="-680"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ECHRTitleCentreTOC1">
    <w:name w:val="ECHR_Title_Centre_TOC_1"/>
    <w:aliases w:val="Title_C_TOC"/>
    <w:basedOn w:val="ECHRTitleCentre1"/>
    <w:next w:val="ECHRHeading1"/>
    <w:uiPriority w:val="16"/>
    <w:rsid w:val="001C1232"/>
    <w:pPr>
      <w:spacing w:before="240" w:after="0"/>
      <w:contextualSpacing/>
    </w:pPr>
    <w:rPr>
      <w:rFonts w:eastAsiaTheme="minorHAnsi"/>
      <w:b/>
      <w:color w:val="2F2F2F" w:themeColor="accent3" w:themeShade="80"/>
      <w:sz w:val="32"/>
      <w:lang w:val="fr-FR" w:eastAsia="fr-FR"/>
    </w:rPr>
  </w:style>
  <w:style w:type="paragraph" w:customStyle="1" w:styleId="ECHRTitleTOC1">
    <w:name w:val="ECHR_Title_TOC_1"/>
    <w:aliases w:val="Title_L_TOC"/>
    <w:basedOn w:val="ECHRTitle1"/>
    <w:next w:val="ECHRHeading1"/>
    <w:uiPriority w:val="19"/>
    <w:rsid w:val="001C1232"/>
    <w:pPr>
      <w:spacing w:before="240" w:after="0"/>
      <w:contextualSpacing/>
      <w:jc w:val="left"/>
    </w:pPr>
    <w:rPr>
      <w:rFonts w:eastAsiaTheme="minorHAnsi"/>
      <w:b/>
      <w:color w:val="2F2F2F" w:themeColor="accent3" w:themeShade="80"/>
      <w:sz w:val="32"/>
      <w:lang w:val="fr-FR" w:eastAsia="fr-FR"/>
    </w:rPr>
  </w:style>
  <w:style w:type="numbering" w:customStyle="1" w:styleId="1ai1">
    <w:name w:val="1 / a / i1"/>
    <w:basedOn w:val="Bezlisty"/>
    <w:next w:val="1ai"/>
    <w:semiHidden/>
    <w:rsid w:val="001C1232"/>
    <w:pPr>
      <w:numPr>
        <w:numId w:val="21"/>
      </w:numPr>
    </w:pPr>
  </w:style>
  <w:style w:type="numbering" w:customStyle="1" w:styleId="ArticleSection1">
    <w:name w:val="Article / Section1"/>
    <w:basedOn w:val="Bezlisty"/>
    <w:next w:val="Artykusekcja"/>
    <w:semiHidden/>
    <w:rsid w:val="001C1232"/>
    <w:pPr>
      <w:numPr>
        <w:numId w:val="22"/>
      </w:numPr>
    </w:pPr>
  </w:style>
  <w:style w:type="table" w:customStyle="1" w:styleId="Table3Deffects11">
    <w:name w:val="Table 3D effects 11"/>
    <w:basedOn w:val="Standardowy"/>
    <w:next w:val="Tabela-Efekty3W1"/>
    <w:semiHidden/>
    <w:rsid w:val="001C1232"/>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semiHidden/>
    <w:rsid w:val="001C1232"/>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semiHidden/>
    <w:rsid w:val="001C1232"/>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semiHidden/>
    <w:rsid w:val="001C1232"/>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semiHidden/>
    <w:rsid w:val="001C1232"/>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semiHidden/>
    <w:rsid w:val="001C1232"/>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semiHidden/>
    <w:rsid w:val="001C1232"/>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semiHidden/>
    <w:rsid w:val="001C1232"/>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semiHidden/>
    <w:rsid w:val="001C1232"/>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semiHidden/>
    <w:rsid w:val="001C1232"/>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semiHidden/>
    <w:rsid w:val="001C1232"/>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semiHidden/>
    <w:rsid w:val="001C1232"/>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semiHidden/>
    <w:rsid w:val="001C1232"/>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semiHidden/>
    <w:rsid w:val="001C1232"/>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semiHidden/>
    <w:rsid w:val="001C1232"/>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semiHidden/>
    <w:rsid w:val="001C1232"/>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semiHidden/>
    <w:rsid w:val="001C1232"/>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semiHidden/>
    <w:rsid w:val="001C1232"/>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semiHidden/>
    <w:rsid w:val="001C1232"/>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semiHidden/>
    <w:rsid w:val="001C1232"/>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semiHidden/>
    <w:rsid w:val="001C1232"/>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semiHidden/>
    <w:rsid w:val="001C1232"/>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semiHidden/>
    <w:rsid w:val="001C1232"/>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semiHidden/>
    <w:rsid w:val="001C1232"/>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semiHidden/>
    <w:rsid w:val="001C1232"/>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semiHidden/>
    <w:rsid w:val="001C1232"/>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semiHidden/>
    <w:rsid w:val="001C1232"/>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semiHidden/>
    <w:rsid w:val="001C1232"/>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semiHidden/>
    <w:rsid w:val="001C1232"/>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semiHidden/>
    <w:rsid w:val="001C1232"/>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semiHidden/>
    <w:rsid w:val="001C1232"/>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semiHidden/>
    <w:rsid w:val="001C1232"/>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semiHidden/>
    <w:rsid w:val="001C1232"/>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semiHidden/>
    <w:rsid w:val="001C1232"/>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semiHidden/>
    <w:rsid w:val="001C1232"/>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semiHidden/>
    <w:rsid w:val="001C1232"/>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semiHidden/>
    <w:rsid w:val="001C1232"/>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semiHidden/>
    <w:rsid w:val="001C1232"/>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semiHidden/>
    <w:rsid w:val="001C1232"/>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semiHidden/>
    <w:rsid w:val="001C1232"/>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semiHidden/>
    <w:rsid w:val="001C1232"/>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semiHidden/>
    <w:rsid w:val="001C1232"/>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semiHidden/>
    <w:rsid w:val="001C1232"/>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8" w:uiPriority="0"/>
    <w:lsdException w:name="toc 9" w:uiPriority="0"/>
    <w:lsdException w:name="Normal Indent" w:uiPriority="0"/>
    <w:lsdException w:name="annotation text" w:uiPriority="0"/>
    <w:lsdException w:name="header" w:uiPriority="57"/>
    <w:lsdException w:name="footer" w:uiPriority="57"/>
    <w:lsdException w:name="index heading" w:uiPriority="0"/>
    <w:lsdException w:name="caption" w:qFormat="1"/>
    <w:lsdException w:name="table of figures" w:uiPriority="0"/>
    <w:lsdException w:name="envelope address" w:uiPriority="0"/>
    <w:lsdException w:name="envelope return" w:uiPriority="0"/>
    <w:lsdException w:name="annotation reference" w:uiPriority="0"/>
    <w:lsdException w:name="line number" w:uiPriority="0"/>
    <w:lsdException w:name="page number" w:uiPriority="0"/>
    <w:lsdException w:name="endnote reference" w:uiPriority="0"/>
    <w:lsdException w:name="endnote text" w:uiPriority="0"/>
    <w:lsdException w:name="table of authorities" w:uiPriority="0"/>
    <w:lsdException w:name="macro" w:uiPriority="0"/>
    <w:lsdException w:name="List" w:uiPriority="0"/>
    <w:lsdException w:name="List Bullet" w:uiPriority="0"/>
    <w:lsdException w:name="List Number" w:uiPriority="0" w:unhideWhenUsed="0"/>
    <w:lsdException w:name="List 2" w:uiPriority="0"/>
    <w:lsdException w:name="List 3" w:uiPriority="0"/>
    <w:lsdException w:name="List 4" w:uiPriority="0" w:unhideWhenUsed="0"/>
    <w:lsdException w:name="List 5"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nhideWhenUsed="0" w:qFormat="1"/>
    <w:lsdException w:name="Salutation" w:uiPriority="0" w:unhideWhenUsed="0"/>
    <w:lsdException w:name="Date" w:uiPriority="0" w:unhideWhenUsed="0"/>
    <w:lsdException w:name="Body Text First Indent" w:uiPriority="0" w:unhideWhenUsed="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Plain Text" w:uiPriority="0"/>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ny">
    <w:name w:val="Normal"/>
    <w:semiHidden/>
    <w:rsid w:val="00B8456D"/>
    <w:pPr>
      <w:jc w:val="both"/>
    </w:pPr>
    <w:rPr>
      <w:rFonts w:eastAsiaTheme="minorEastAsia"/>
      <w:sz w:val="24"/>
    </w:rPr>
  </w:style>
  <w:style w:type="paragraph" w:styleId="Nagwek1">
    <w:name w:val="heading 1"/>
    <w:basedOn w:val="Normalny"/>
    <w:next w:val="Normalny"/>
    <w:link w:val="Nagwek1Znak"/>
    <w:uiPriority w:val="99"/>
    <w:semiHidden/>
    <w:rsid w:val="00B8456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8456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8456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8456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8456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8456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8456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8456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8456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8456D"/>
    <w:rPr>
      <w:rFonts w:ascii="Tahoma" w:hAnsi="Tahoma" w:cs="Tahoma"/>
      <w:sz w:val="16"/>
      <w:szCs w:val="16"/>
    </w:rPr>
  </w:style>
  <w:style w:type="character" w:customStyle="1" w:styleId="TekstdymkaZnak">
    <w:name w:val="Tekst dymka Znak"/>
    <w:basedOn w:val="Domylnaczcionkaakapitu"/>
    <w:link w:val="Tekstdymka"/>
    <w:uiPriority w:val="99"/>
    <w:semiHidden/>
    <w:rsid w:val="00B8456D"/>
    <w:rPr>
      <w:rFonts w:ascii="Tahoma" w:eastAsiaTheme="minorEastAsia" w:hAnsi="Tahoma" w:cs="Tahoma"/>
      <w:sz w:val="16"/>
      <w:szCs w:val="16"/>
    </w:rPr>
  </w:style>
  <w:style w:type="character" w:styleId="Tytuksiki">
    <w:name w:val="Book Title"/>
    <w:uiPriority w:val="99"/>
    <w:semiHidden/>
    <w:qFormat/>
    <w:rsid w:val="00B8456D"/>
    <w:rPr>
      <w:i/>
      <w:iCs/>
      <w:smallCaps/>
      <w:spacing w:val="5"/>
    </w:rPr>
  </w:style>
  <w:style w:type="paragraph" w:customStyle="1" w:styleId="ECHRHeader">
    <w:name w:val="ECHR_Header"/>
    <w:aliases w:val="Ju_Header,Top_Header"/>
    <w:basedOn w:val="Nagwek"/>
    <w:uiPriority w:val="4"/>
    <w:qFormat/>
    <w:rsid w:val="00B8456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B8456D"/>
    <w:pPr>
      <w:jc w:val="left"/>
    </w:pPr>
    <w:rPr>
      <w:sz w:val="8"/>
    </w:rPr>
  </w:style>
  <w:style w:type="character" w:styleId="Pogrubienie">
    <w:name w:val="Strong"/>
    <w:uiPriority w:val="99"/>
    <w:semiHidden/>
    <w:qFormat/>
    <w:rsid w:val="00B8456D"/>
    <w:rPr>
      <w:b/>
      <w:bCs/>
    </w:rPr>
  </w:style>
  <w:style w:type="paragraph" w:styleId="Bezodstpw">
    <w:name w:val="No Spacing"/>
    <w:basedOn w:val="Normalny"/>
    <w:link w:val="BezodstpwZnak"/>
    <w:semiHidden/>
    <w:qFormat/>
    <w:rsid w:val="00B8456D"/>
    <w:rPr>
      <w:sz w:val="22"/>
    </w:rPr>
  </w:style>
  <w:style w:type="character" w:customStyle="1" w:styleId="BezodstpwZnak">
    <w:name w:val="Bez odstępów Znak"/>
    <w:basedOn w:val="Domylnaczcionkaakapitu"/>
    <w:link w:val="Bezodstpw"/>
    <w:semiHidden/>
    <w:rsid w:val="00B8456D"/>
    <w:rPr>
      <w:rFonts w:eastAsiaTheme="minorEastAsia"/>
    </w:rPr>
  </w:style>
  <w:style w:type="paragraph" w:customStyle="1" w:styleId="ECHRFooterLine">
    <w:name w:val="ECHR_Footer_Line"/>
    <w:aliases w:val="Footer_Line"/>
    <w:basedOn w:val="Normalny"/>
    <w:next w:val="ECHRFooter"/>
    <w:uiPriority w:val="57"/>
    <w:rsid w:val="00B8456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B8456D"/>
    <w:pPr>
      <w:numPr>
        <w:numId w:val="14"/>
      </w:numPr>
      <w:jc w:val="left"/>
    </w:pPr>
    <w:rPr>
      <w:b/>
    </w:rPr>
  </w:style>
  <w:style w:type="paragraph" w:customStyle="1" w:styleId="OpiPara">
    <w:name w:val="Opi_Para"/>
    <w:basedOn w:val="ECHRPara"/>
    <w:uiPriority w:val="46"/>
    <w:qFormat/>
    <w:rsid w:val="00B8456D"/>
  </w:style>
  <w:style w:type="paragraph" w:customStyle="1" w:styleId="JuParaSub">
    <w:name w:val="Ju_Para_Sub"/>
    <w:basedOn w:val="ECHRPara"/>
    <w:uiPriority w:val="13"/>
    <w:unhideWhenUsed/>
    <w:qFormat/>
    <w:rsid w:val="00B8456D"/>
    <w:pPr>
      <w:ind w:left="284"/>
    </w:pPr>
  </w:style>
  <w:style w:type="paragraph" w:customStyle="1" w:styleId="ECHRTitleCentre3">
    <w:name w:val="ECHR_Title_Centre_3"/>
    <w:aliases w:val="Ju_H_Article,Title_C_3"/>
    <w:basedOn w:val="Normalny"/>
    <w:next w:val="ECHRParaQuote"/>
    <w:uiPriority w:val="27"/>
    <w:qFormat/>
    <w:rsid w:val="00B8456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B8456D"/>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unhideWhenUsed/>
    <w:qFormat/>
    <w:rsid w:val="00B8456D"/>
  </w:style>
  <w:style w:type="paragraph" w:customStyle="1" w:styleId="OpiQuot">
    <w:name w:val="Opi_Quot"/>
    <w:basedOn w:val="ECHRParaQuote"/>
    <w:uiPriority w:val="48"/>
    <w:qFormat/>
    <w:rsid w:val="00B8456D"/>
  </w:style>
  <w:style w:type="paragraph" w:customStyle="1" w:styleId="OpiQuotSub">
    <w:name w:val="Opi_Quot_Sub"/>
    <w:basedOn w:val="JuQuotSub"/>
    <w:uiPriority w:val="49"/>
    <w:qFormat/>
    <w:rsid w:val="00B8456D"/>
  </w:style>
  <w:style w:type="paragraph" w:customStyle="1" w:styleId="ECHRTitleCentre2">
    <w:name w:val="ECHR_Title_Centre_2"/>
    <w:aliases w:val="Dec_H_Case,Title_C_2"/>
    <w:basedOn w:val="Normalny"/>
    <w:next w:val="ECHRPara"/>
    <w:uiPriority w:val="8"/>
    <w:qFormat/>
    <w:rsid w:val="00B8456D"/>
    <w:pPr>
      <w:spacing w:after="240"/>
      <w:jc w:val="center"/>
      <w:outlineLvl w:val="0"/>
    </w:pPr>
    <w:rPr>
      <w:rFonts w:asciiTheme="majorHAnsi" w:hAnsiTheme="majorHAnsi"/>
      <w:i/>
    </w:rPr>
  </w:style>
  <w:style w:type="paragraph" w:customStyle="1" w:styleId="JuTitle">
    <w:name w:val="Ju_Title"/>
    <w:basedOn w:val="Normalny"/>
    <w:next w:val="ECHRPara"/>
    <w:uiPriority w:val="3"/>
    <w:qFormat/>
    <w:rsid w:val="00B8456D"/>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B8456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8456D"/>
    <w:rPr>
      <w:rFonts w:asciiTheme="majorHAnsi" w:eastAsiaTheme="majorEastAsia" w:hAnsiTheme="majorHAnsi" w:cstheme="majorBidi"/>
      <w:spacing w:val="5"/>
      <w:sz w:val="52"/>
      <w:szCs w:val="52"/>
      <w:lang w:bidi="en-US"/>
    </w:rPr>
  </w:style>
  <w:style w:type="paragraph" w:customStyle="1" w:styleId="ECHRHeading3">
    <w:name w:val="ECHR_Heading_3"/>
    <w:aliases w:val="Ju_H_1.,Head_3"/>
    <w:basedOn w:val="Nagwek3"/>
    <w:next w:val="ECHRPara"/>
    <w:uiPriority w:val="21"/>
    <w:qFormat/>
    <w:rsid w:val="00B8456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Head_4"/>
    <w:basedOn w:val="Nagwek4"/>
    <w:next w:val="ECHRPara"/>
    <w:uiPriority w:val="22"/>
    <w:qFormat/>
    <w:rsid w:val="00B8456D"/>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23"/>
    <w:qFormat/>
    <w:rsid w:val="00B8456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Head_6"/>
    <w:basedOn w:val="Nagwek6"/>
    <w:next w:val="ECHRPara"/>
    <w:uiPriority w:val="24"/>
    <w:qFormat/>
    <w:rsid w:val="00B8456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Head_7"/>
    <w:basedOn w:val="Nagwek7"/>
    <w:next w:val="ECHRPara"/>
    <w:uiPriority w:val="25"/>
    <w:qFormat/>
    <w:rsid w:val="00B8456D"/>
    <w:pPr>
      <w:keepNext/>
      <w:keepLines/>
      <w:spacing w:before="240" w:after="120"/>
      <w:ind w:left="1236"/>
    </w:pPr>
    <w:rPr>
      <w:sz w:val="20"/>
    </w:rPr>
  </w:style>
  <w:style w:type="paragraph" w:customStyle="1" w:styleId="JuQuotSub">
    <w:name w:val="Ju_Quot_Sub"/>
    <w:basedOn w:val="ECHRParaQuote"/>
    <w:uiPriority w:val="15"/>
    <w:qFormat/>
    <w:rsid w:val="00B8456D"/>
    <w:pPr>
      <w:ind w:left="567"/>
    </w:pPr>
  </w:style>
  <w:style w:type="paragraph" w:customStyle="1" w:styleId="JuInitialled">
    <w:name w:val="Ju_Initialled"/>
    <w:basedOn w:val="Normalny"/>
    <w:uiPriority w:val="31"/>
    <w:qFormat/>
    <w:rsid w:val="00B8456D"/>
    <w:pPr>
      <w:tabs>
        <w:tab w:val="center" w:pos="6407"/>
      </w:tabs>
      <w:spacing w:before="720"/>
      <w:jc w:val="right"/>
    </w:pPr>
  </w:style>
  <w:style w:type="paragraph" w:customStyle="1" w:styleId="OpiHA">
    <w:name w:val="Opi_H_A"/>
    <w:basedOn w:val="ECHRHeading1"/>
    <w:next w:val="OpiPara"/>
    <w:uiPriority w:val="41"/>
    <w:qFormat/>
    <w:rsid w:val="00B8456D"/>
    <w:pPr>
      <w:tabs>
        <w:tab w:val="clear" w:pos="357"/>
      </w:tabs>
      <w:outlineLvl w:val="1"/>
    </w:pPr>
    <w:rPr>
      <w:b/>
    </w:rPr>
  </w:style>
  <w:style w:type="paragraph" w:styleId="Nagwek">
    <w:name w:val="header"/>
    <w:basedOn w:val="Normalny"/>
    <w:link w:val="NagwekZnak"/>
    <w:uiPriority w:val="57"/>
    <w:semiHidden/>
    <w:rsid w:val="00B8456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8456D"/>
    <w:rPr>
      <w:sz w:val="24"/>
    </w:rPr>
  </w:style>
  <w:style w:type="character" w:customStyle="1" w:styleId="Nagwek1Znak">
    <w:name w:val="Nagłówek 1 Znak"/>
    <w:basedOn w:val="Domylnaczcionkaakapitu"/>
    <w:link w:val="Nagwek1"/>
    <w:uiPriority w:val="99"/>
    <w:semiHidden/>
    <w:rsid w:val="00B8456D"/>
    <w:rPr>
      <w:rFonts w:asciiTheme="majorHAnsi" w:eastAsiaTheme="majorEastAsia" w:hAnsiTheme="majorHAnsi" w:cstheme="majorBidi"/>
      <w:b/>
      <w:bCs/>
      <w:color w:val="333333"/>
      <w:sz w:val="28"/>
      <w:szCs w:val="28"/>
    </w:rPr>
  </w:style>
  <w:style w:type="paragraph" w:customStyle="1" w:styleId="ECHRHeading1">
    <w:name w:val="ECHR_Heading_1"/>
    <w:aliases w:val="Ju_H_I_Roman,Head_1"/>
    <w:basedOn w:val="Nagwek1"/>
    <w:next w:val="ECHRPara"/>
    <w:uiPriority w:val="19"/>
    <w:qFormat/>
    <w:rsid w:val="00B8456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B8456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8456D"/>
    <w:rPr>
      <w:rFonts w:asciiTheme="majorHAnsi" w:eastAsiaTheme="majorEastAsia" w:hAnsiTheme="majorHAnsi" w:cstheme="majorBidi"/>
      <w:b/>
      <w:bCs/>
      <w:color w:val="4D4D4D"/>
      <w:sz w:val="26"/>
      <w:szCs w:val="26"/>
    </w:rPr>
  </w:style>
  <w:style w:type="character" w:customStyle="1" w:styleId="JUNAMES">
    <w:name w:val="JU_NAMES"/>
    <w:uiPriority w:val="17"/>
    <w:qFormat/>
    <w:rsid w:val="00B8456D"/>
    <w:rPr>
      <w:caps w:val="0"/>
      <w:smallCaps/>
    </w:rPr>
  </w:style>
  <w:style w:type="paragraph" w:customStyle="1" w:styleId="JuCase">
    <w:name w:val="Ju_Case"/>
    <w:basedOn w:val="Normalny"/>
    <w:next w:val="ECHRPara"/>
    <w:uiPriority w:val="10"/>
    <w:rsid w:val="00B8456D"/>
    <w:pPr>
      <w:ind w:firstLine="284"/>
    </w:pPr>
    <w:rPr>
      <w:b/>
    </w:rPr>
  </w:style>
  <w:style w:type="character" w:customStyle="1" w:styleId="Nagwek3Znak">
    <w:name w:val="Nagłówek 3 Znak"/>
    <w:basedOn w:val="Domylnaczcionkaakapitu"/>
    <w:link w:val="Nagwek3"/>
    <w:uiPriority w:val="99"/>
    <w:semiHidden/>
    <w:rsid w:val="00B8456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8456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8456D"/>
    <w:rPr>
      <w:rFonts w:asciiTheme="majorHAnsi" w:eastAsiaTheme="majorEastAsia" w:hAnsiTheme="majorHAnsi" w:cstheme="majorBidi"/>
      <w:b/>
      <w:bCs/>
      <w:color w:val="808080"/>
    </w:rPr>
  </w:style>
  <w:style w:type="character" w:styleId="Wyrnieniedelikatne">
    <w:name w:val="Subtle Emphasis"/>
    <w:uiPriority w:val="99"/>
    <w:semiHidden/>
    <w:qFormat/>
    <w:rsid w:val="00B8456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B8456D"/>
    <w:pPr>
      <w:keepNext/>
      <w:keepLines/>
      <w:spacing w:before="720" w:after="240"/>
      <w:outlineLvl w:val="0"/>
    </w:pPr>
    <w:rPr>
      <w:rFonts w:asciiTheme="majorHAnsi" w:hAnsiTheme="majorHAnsi"/>
      <w:sz w:val="28"/>
    </w:rPr>
  </w:style>
  <w:style w:type="character" w:styleId="Uwydatnienie">
    <w:name w:val="Emphasis"/>
    <w:uiPriority w:val="99"/>
    <w:semiHidden/>
    <w:qFormat/>
    <w:rsid w:val="00B8456D"/>
    <w:rPr>
      <w:b/>
      <w:bCs/>
      <w:i/>
      <w:iCs/>
      <w:spacing w:val="10"/>
      <w:bdr w:val="none" w:sz="0" w:space="0" w:color="auto"/>
      <w:shd w:val="clear" w:color="auto" w:fill="auto"/>
    </w:rPr>
  </w:style>
  <w:style w:type="paragraph" w:styleId="Stopka">
    <w:name w:val="footer"/>
    <w:basedOn w:val="Normalny"/>
    <w:link w:val="StopkaZnak"/>
    <w:uiPriority w:val="57"/>
    <w:semiHidden/>
    <w:rsid w:val="00B8456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8456D"/>
    <w:rPr>
      <w:sz w:val="24"/>
    </w:rPr>
  </w:style>
  <w:style w:type="character" w:styleId="Odwoanieprzypisudolnego">
    <w:name w:val="footnote reference"/>
    <w:basedOn w:val="Domylnaczcionkaakapitu"/>
    <w:uiPriority w:val="99"/>
    <w:semiHidden/>
    <w:rsid w:val="00B8456D"/>
    <w:rPr>
      <w:vertAlign w:val="superscript"/>
    </w:rPr>
  </w:style>
  <w:style w:type="paragraph" w:styleId="Tekstprzypisudolnego">
    <w:name w:val="footnote text"/>
    <w:basedOn w:val="Normalny"/>
    <w:link w:val="TekstprzypisudolnegoZnak"/>
    <w:uiPriority w:val="99"/>
    <w:semiHidden/>
    <w:rsid w:val="00B8456D"/>
    <w:rPr>
      <w:sz w:val="20"/>
      <w:szCs w:val="20"/>
    </w:rPr>
  </w:style>
  <w:style w:type="character" w:customStyle="1" w:styleId="TekstprzypisudolnegoZnak">
    <w:name w:val="Tekst przypisu dolnego Znak"/>
    <w:basedOn w:val="Domylnaczcionkaakapitu"/>
    <w:link w:val="Tekstprzypisudolnego"/>
    <w:uiPriority w:val="99"/>
    <w:semiHidden/>
    <w:rsid w:val="00B8456D"/>
    <w:rPr>
      <w:rFonts w:eastAsiaTheme="minorEastAsia"/>
      <w:sz w:val="20"/>
      <w:szCs w:val="20"/>
    </w:rPr>
  </w:style>
  <w:style w:type="character" w:customStyle="1" w:styleId="Nagwek6Znak">
    <w:name w:val="Nagłówek 6 Znak"/>
    <w:basedOn w:val="Domylnaczcionkaakapitu"/>
    <w:link w:val="Nagwek6"/>
    <w:uiPriority w:val="99"/>
    <w:semiHidden/>
    <w:rsid w:val="00B8456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8456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8456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8456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B8456D"/>
    <w:rPr>
      <w:color w:val="0072BC" w:themeColor="hyperlink"/>
      <w:u w:val="single"/>
    </w:rPr>
  </w:style>
  <w:style w:type="character" w:styleId="Wyrnienieintensywne">
    <w:name w:val="Intense Emphasis"/>
    <w:uiPriority w:val="99"/>
    <w:semiHidden/>
    <w:qFormat/>
    <w:rsid w:val="00B8456D"/>
    <w:rPr>
      <w:b/>
      <w:bCs/>
    </w:rPr>
  </w:style>
  <w:style w:type="paragraph" w:styleId="Cytatintensywny">
    <w:name w:val="Intense Quote"/>
    <w:basedOn w:val="Normalny"/>
    <w:next w:val="Normalny"/>
    <w:link w:val="CytatintensywnyZnak"/>
    <w:uiPriority w:val="99"/>
    <w:semiHidden/>
    <w:qFormat/>
    <w:rsid w:val="00B8456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8456D"/>
    <w:rPr>
      <w:rFonts w:eastAsiaTheme="minorEastAsia"/>
      <w:b/>
      <w:bCs/>
      <w:i/>
      <w:iCs/>
      <w:lang w:bidi="en-US"/>
    </w:rPr>
  </w:style>
  <w:style w:type="character" w:styleId="Odwoanieintensywne">
    <w:name w:val="Intense Reference"/>
    <w:uiPriority w:val="99"/>
    <w:semiHidden/>
    <w:qFormat/>
    <w:rsid w:val="00B8456D"/>
    <w:rPr>
      <w:smallCaps/>
      <w:spacing w:val="5"/>
      <w:u w:val="single"/>
    </w:rPr>
  </w:style>
  <w:style w:type="paragraph" w:styleId="Akapitzlist">
    <w:name w:val="List Paragraph"/>
    <w:basedOn w:val="Normalny"/>
    <w:uiPriority w:val="99"/>
    <w:semiHidden/>
    <w:qFormat/>
    <w:rsid w:val="00B8456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8456D"/>
    <w:pPr>
      <w:spacing w:before="200"/>
      <w:ind w:left="360" w:right="360"/>
    </w:pPr>
    <w:rPr>
      <w:i/>
      <w:iCs/>
      <w:sz w:val="22"/>
      <w:lang w:bidi="en-US"/>
    </w:rPr>
  </w:style>
  <w:style w:type="character" w:customStyle="1" w:styleId="CytatZnak">
    <w:name w:val="Cytat Znak"/>
    <w:basedOn w:val="Domylnaczcionkaakapitu"/>
    <w:link w:val="Cytat"/>
    <w:uiPriority w:val="99"/>
    <w:semiHidden/>
    <w:rsid w:val="00B8456D"/>
    <w:rPr>
      <w:rFonts w:eastAsiaTheme="minorEastAsia"/>
      <w:i/>
      <w:iCs/>
      <w:lang w:bidi="en-US"/>
    </w:rPr>
  </w:style>
  <w:style w:type="character" w:styleId="Odwoaniedelikatne">
    <w:name w:val="Subtle Reference"/>
    <w:uiPriority w:val="99"/>
    <w:semiHidden/>
    <w:qFormat/>
    <w:rsid w:val="00B8456D"/>
    <w:rPr>
      <w:smallCaps/>
    </w:rPr>
  </w:style>
  <w:style w:type="table" w:styleId="Tabela-Siatka">
    <w:name w:val="Table Grid"/>
    <w:basedOn w:val="Standardowy"/>
    <w:uiPriority w:val="59"/>
    <w:semiHidden/>
    <w:rsid w:val="00B8456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D15219"/>
    <w:pPr>
      <w:keepNext/>
      <w:tabs>
        <w:tab w:val="right" w:leader="dot" w:pos="7371"/>
      </w:tabs>
      <w:spacing w:before="240" w:after="60" w:line="240" w:lineRule="exact"/>
      <w:ind w:left="340" w:right="567" w:hanging="340"/>
    </w:pPr>
    <w:rPr>
      <w:rFonts w:asciiTheme="majorHAnsi" w:hAnsiTheme="majorHAnsi"/>
      <w:noProof/>
      <w:sz w:val="22"/>
      <w:lang w:eastAsia="fr-FR"/>
    </w:rPr>
  </w:style>
  <w:style w:type="paragraph" w:styleId="Spistreci2">
    <w:name w:val="toc 2"/>
    <w:basedOn w:val="Normalny"/>
    <w:next w:val="Normalny"/>
    <w:autoRedefine/>
    <w:uiPriority w:val="39"/>
    <w:rsid w:val="00D15219"/>
    <w:pPr>
      <w:keepNext/>
      <w:tabs>
        <w:tab w:val="right" w:leader="dot" w:pos="7371"/>
      </w:tabs>
      <w:spacing w:before="180" w:after="60" w:line="240" w:lineRule="exact"/>
      <w:ind w:left="680" w:right="567" w:hanging="340"/>
    </w:pPr>
    <w:rPr>
      <w:rFonts w:asciiTheme="majorHAnsi" w:eastAsiaTheme="majorEastAsia" w:hAnsiTheme="majorHAnsi" w:cstheme="majorBidi"/>
      <w:b/>
      <w:bCs/>
      <w:noProof/>
      <w:sz w:val="22"/>
      <w:lang w:val="en-GB" w:eastAsia="fr-FR"/>
    </w:rPr>
  </w:style>
  <w:style w:type="paragraph" w:styleId="Spistreci3">
    <w:name w:val="toc 3"/>
    <w:basedOn w:val="Normalny"/>
    <w:next w:val="Normalny"/>
    <w:autoRedefine/>
    <w:uiPriority w:val="39"/>
    <w:rsid w:val="00B8456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39"/>
    <w:rsid w:val="00B8456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39"/>
    <w:rsid w:val="00B8456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B8456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8456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Para_Quote"/>
    <w:basedOn w:val="Normalny"/>
    <w:uiPriority w:val="14"/>
    <w:qFormat/>
    <w:rsid w:val="00B8456D"/>
    <w:pPr>
      <w:spacing w:before="120" w:after="120"/>
      <w:ind w:left="425" w:firstLine="142"/>
    </w:pPr>
    <w:rPr>
      <w:sz w:val="20"/>
    </w:rPr>
  </w:style>
  <w:style w:type="paragraph" w:customStyle="1" w:styleId="ECHRPara">
    <w:name w:val="ECHR_Para"/>
    <w:aliases w:val="Ju_Para"/>
    <w:basedOn w:val="Normalny"/>
    <w:link w:val="ECHRParaChar"/>
    <w:uiPriority w:val="12"/>
    <w:qFormat/>
    <w:rsid w:val="00B8456D"/>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8456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8456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8456D"/>
    <w:pPr>
      <w:ind w:left="340" w:hanging="340"/>
    </w:pPr>
  </w:style>
  <w:style w:type="paragraph" w:customStyle="1" w:styleId="JuSigned">
    <w:name w:val="Ju_Signed"/>
    <w:basedOn w:val="Normalny"/>
    <w:next w:val="JuParaLast"/>
    <w:uiPriority w:val="32"/>
    <w:qFormat/>
    <w:rsid w:val="00B8456D"/>
    <w:pPr>
      <w:tabs>
        <w:tab w:val="center" w:pos="851"/>
        <w:tab w:val="center" w:pos="6407"/>
      </w:tabs>
      <w:spacing w:before="720"/>
      <w:jc w:val="left"/>
    </w:pPr>
  </w:style>
  <w:style w:type="paragraph" w:customStyle="1" w:styleId="JuParaLast">
    <w:name w:val="Ju_Para_Last"/>
    <w:basedOn w:val="Normalny"/>
    <w:next w:val="ECHRPara"/>
    <w:uiPriority w:val="30"/>
    <w:qFormat/>
    <w:rsid w:val="00B8456D"/>
    <w:pPr>
      <w:keepNext/>
      <w:keepLines/>
      <w:spacing w:before="240"/>
      <w:ind w:firstLine="284"/>
    </w:pPr>
  </w:style>
  <w:style w:type="paragraph" w:customStyle="1" w:styleId="JuCourt">
    <w:name w:val="Ju_Court"/>
    <w:basedOn w:val="Normalny"/>
    <w:next w:val="Normalny"/>
    <w:uiPriority w:val="16"/>
    <w:qFormat/>
    <w:rsid w:val="00B8456D"/>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character" w:customStyle="1" w:styleId="JuITMark">
    <w:name w:val="Ju_ITMark"/>
    <w:basedOn w:val="Domylnaczcionkaakapitu"/>
    <w:uiPriority w:val="38"/>
    <w:qFormat/>
    <w:rsid w:val="00B8456D"/>
    <w:rPr>
      <w:vanish w:val="0"/>
      <w:color w:val="auto"/>
      <w:sz w:val="14"/>
    </w:rPr>
  </w:style>
  <w:style w:type="paragraph" w:customStyle="1" w:styleId="OpiTranslation">
    <w:name w:val="Opi_Translation"/>
    <w:basedOn w:val="Normalny"/>
    <w:next w:val="OpiPara"/>
    <w:uiPriority w:val="40"/>
    <w:qFormat/>
    <w:rsid w:val="00B8456D"/>
    <w:pPr>
      <w:jc w:val="center"/>
      <w:outlineLvl w:val="0"/>
    </w:pPr>
    <w:rPr>
      <w:i/>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semiHidden/>
    <w:rsid w:val="00014566"/>
    <w:rPr>
      <w:rFonts w:eastAsiaTheme="minorEastAsia"/>
      <w:b/>
      <w:bCs/>
      <w:sz w:val="20"/>
    </w:rPr>
  </w:style>
  <w:style w:type="character" w:styleId="Odwoanieprzypisukocowego">
    <w:name w:val="endnote reference"/>
    <w:semiHidden/>
    <w:rsid w:val="00014566"/>
    <w:rPr>
      <w:vertAlign w:val="superscript"/>
    </w:rPr>
  </w:style>
  <w:style w:type="paragraph" w:styleId="Tekstprzypisukocowego">
    <w:name w:val="endnote text"/>
    <w:basedOn w:val="Normalny"/>
    <w:link w:val="TekstprzypisukocowegoZnak"/>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semiHidden/>
    <w:rsid w:val="00014566"/>
    <w:rPr>
      <w:color w:val="800080"/>
      <w:u w:val="single"/>
    </w:rPr>
  </w:style>
  <w:style w:type="paragraph" w:styleId="Mapadokumentu">
    <w:name w:val="Document Map"/>
    <w:basedOn w:val="Normalny"/>
    <w:link w:val="MapadokumentuZnak"/>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semiHidden/>
    <w:rsid w:val="00014566"/>
    <w:pPr>
      <w:numPr>
        <w:numId w:val="1"/>
      </w:numPr>
    </w:pPr>
  </w:style>
  <w:style w:type="paragraph" w:customStyle="1" w:styleId="DecHTitle">
    <w:name w:val="Dec_H_Title"/>
    <w:basedOn w:val="ECHRTitleCentre1"/>
    <w:uiPriority w:val="7"/>
    <w:qFormat/>
    <w:rsid w:val="00B8456D"/>
  </w:style>
  <w:style w:type="paragraph" w:styleId="Podtytu">
    <w:name w:val="Subtitle"/>
    <w:basedOn w:val="Normalny"/>
    <w:next w:val="Normalny"/>
    <w:link w:val="PodtytuZnak"/>
    <w:uiPriority w:val="99"/>
    <w:semiHidden/>
    <w:qFormat/>
    <w:rsid w:val="00B8456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8456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37"/>
    <w:semiHidden/>
    <w:unhideWhenUsed/>
    <w:rsid w:val="00014566"/>
  </w:style>
  <w:style w:type="paragraph" w:styleId="Tekstblokowy">
    <w:name w:val="Block Text"/>
    <w:basedOn w:val="Normalny"/>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semiHidden/>
    <w:rsid w:val="00014566"/>
    <w:pPr>
      <w:spacing w:after="120"/>
    </w:pPr>
  </w:style>
  <w:style w:type="character" w:customStyle="1" w:styleId="TekstpodstawowyZnak">
    <w:name w:val="Tekst podstawowy Znak"/>
    <w:basedOn w:val="Domylnaczcionkaakapitu"/>
    <w:link w:val="Tekstpodstawowy"/>
    <w:semiHidden/>
    <w:rsid w:val="00014566"/>
    <w:rPr>
      <w:rFonts w:eastAsiaTheme="minorEastAsia"/>
      <w:sz w:val="24"/>
    </w:rPr>
  </w:style>
  <w:style w:type="paragraph" w:styleId="Tekstpodstawowy2">
    <w:name w:val="Body Text 2"/>
    <w:basedOn w:val="Normalny"/>
    <w:link w:val="Tekstpodstawowy2Znak"/>
    <w:semiHidden/>
    <w:rsid w:val="00014566"/>
    <w:pPr>
      <w:spacing w:after="120" w:line="480" w:lineRule="auto"/>
    </w:pPr>
  </w:style>
  <w:style w:type="character" w:customStyle="1" w:styleId="Tekstpodstawowy2Znak">
    <w:name w:val="Tekst podstawowy 2 Znak"/>
    <w:basedOn w:val="Domylnaczcionkaakapitu"/>
    <w:link w:val="Tekstpodstawowy2"/>
    <w:semiHidden/>
    <w:rsid w:val="00014566"/>
    <w:rPr>
      <w:rFonts w:eastAsiaTheme="minorEastAsia"/>
      <w:sz w:val="24"/>
    </w:rPr>
  </w:style>
  <w:style w:type="paragraph" w:styleId="Tekstpodstawowy3">
    <w:name w:val="Body Text 3"/>
    <w:basedOn w:val="Normalny"/>
    <w:link w:val="Tekstpodstawowy3Znak"/>
    <w:semiHidden/>
    <w:rsid w:val="00014566"/>
    <w:pPr>
      <w:spacing w:after="120"/>
    </w:pPr>
    <w:rPr>
      <w:sz w:val="16"/>
      <w:szCs w:val="16"/>
    </w:rPr>
  </w:style>
  <w:style w:type="character" w:customStyle="1" w:styleId="Tekstpodstawowy3Znak">
    <w:name w:val="Tekst podstawowy 3 Znak"/>
    <w:basedOn w:val="Domylnaczcionkaakapitu"/>
    <w:link w:val="Tekstpodstawowy3"/>
    <w:semiHidden/>
    <w:rsid w:val="00014566"/>
    <w:rPr>
      <w:rFonts w:eastAsiaTheme="minorEastAsia"/>
      <w:sz w:val="16"/>
      <w:szCs w:val="16"/>
    </w:rPr>
  </w:style>
  <w:style w:type="paragraph" w:styleId="Tekstpodstawowyzwciciem">
    <w:name w:val="Body Text First Indent"/>
    <w:basedOn w:val="Tekstpodstawowy"/>
    <w:link w:val="TekstpodstawowyzwciciemZnak"/>
    <w:semiHidden/>
    <w:rsid w:val="00014566"/>
    <w:pPr>
      <w:spacing w:after="0"/>
      <w:ind w:firstLine="360"/>
    </w:pPr>
  </w:style>
  <w:style w:type="character" w:customStyle="1" w:styleId="TekstpodstawowyzwciciemZnak">
    <w:name w:val="Tekst podstawowy z wcięciem Znak"/>
    <w:basedOn w:val="TekstpodstawowyZnak"/>
    <w:link w:val="Tekstpodstawowyzwciciem"/>
    <w:semiHidden/>
    <w:rsid w:val="00014566"/>
    <w:rPr>
      <w:rFonts w:eastAsiaTheme="minorEastAsia"/>
      <w:sz w:val="24"/>
    </w:rPr>
  </w:style>
  <w:style w:type="paragraph" w:styleId="Tekstpodstawowywcity">
    <w:name w:val="Body Text Indent"/>
    <w:basedOn w:val="Normalny"/>
    <w:link w:val="TekstpodstawowywcityZnak"/>
    <w:semiHidden/>
    <w:rsid w:val="00014566"/>
    <w:pPr>
      <w:spacing w:after="120"/>
      <w:ind w:left="283"/>
    </w:pPr>
  </w:style>
  <w:style w:type="character" w:customStyle="1" w:styleId="TekstpodstawowywcityZnak">
    <w:name w:val="Tekst podstawowy wcięty Znak"/>
    <w:basedOn w:val="Domylnaczcionkaakapitu"/>
    <w:link w:val="Tekstpodstawowywcity"/>
    <w:semiHidden/>
    <w:rsid w:val="00014566"/>
    <w:rPr>
      <w:rFonts w:eastAsiaTheme="minorEastAsia"/>
      <w:sz w:val="24"/>
    </w:rPr>
  </w:style>
  <w:style w:type="paragraph" w:styleId="Tekstpodstawowyzwciciem2">
    <w:name w:val="Body Text First Indent 2"/>
    <w:basedOn w:val="Tekstpodstawowywcity"/>
    <w:link w:val="Tekstpodstawowyzwciciem2Znak"/>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semiHidden/>
    <w:rsid w:val="00014566"/>
    <w:rPr>
      <w:rFonts w:eastAsiaTheme="minorEastAsia"/>
      <w:sz w:val="24"/>
    </w:rPr>
  </w:style>
  <w:style w:type="paragraph" w:styleId="Tekstpodstawowywcity2">
    <w:name w:val="Body Text Indent 2"/>
    <w:basedOn w:val="Normalny"/>
    <w:link w:val="Tekstpodstawowywcity2Znak"/>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semiHidden/>
    <w:rsid w:val="00014566"/>
    <w:rPr>
      <w:rFonts w:eastAsiaTheme="minorEastAsia"/>
      <w:sz w:val="24"/>
    </w:rPr>
  </w:style>
  <w:style w:type="paragraph" w:styleId="Tekstpodstawowywcity3">
    <w:name w:val="Body Text Indent 3"/>
    <w:basedOn w:val="Normalny"/>
    <w:link w:val="Tekstpodstawowywcity3Znak"/>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semiHidden/>
    <w:rsid w:val="00014566"/>
    <w:pPr>
      <w:ind w:left="4252"/>
    </w:pPr>
  </w:style>
  <w:style w:type="character" w:customStyle="1" w:styleId="ZwrotpoegnalnyZnak">
    <w:name w:val="Zwrot pożegnalny Znak"/>
    <w:basedOn w:val="Domylnaczcionkaakapitu"/>
    <w:link w:val="Zwrotpoegnalny"/>
    <w:semiHidden/>
    <w:rsid w:val="00014566"/>
    <w:rPr>
      <w:rFonts w:eastAsiaTheme="minorEastAsia"/>
      <w:sz w:val="24"/>
    </w:rPr>
  </w:style>
  <w:style w:type="table" w:customStyle="1" w:styleId="Kolorowasiatka1">
    <w:name w:val="Kolorowa siatka1"/>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72"/>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70"/>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014566"/>
  </w:style>
  <w:style w:type="character" w:customStyle="1" w:styleId="DataZnak">
    <w:name w:val="Data Znak"/>
    <w:basedOn w:val="Domylnaczcionkaakapitu"/>
    <w:link w:val="Data"/>
    <w:semiHidden/>
    <w:rsid w:val="00014566"/>
    <w:rPr>
      <w:rFonts w:eastAsiaTheme="minorEastAsia"/>
      <w:sz w:val="24"/>
    </w:rPr>
  </w:style>
  <w:style w:type="paragraph" w:styleId="Podpise-mail">
    <w:name w:val="E-mail Signature"/>
    <w:basedOn w:val="Normalny"/>
    <w:link w:val="Podpise-mailZnak"/>
    <w:semiHidden/>
    <w:rsid w:val="00014566"/>
  </w:style>
  <w:style w:type="character" w:customStyle="1" w:styleId="Podpise-mailZnak">
    <w:name w:val="Podpis e-mail Znak"/>
    <w:basedOn w:val="Domylnaczcionkaakapitu"/>
    <w:link w:val="Podpise-mail"/>
    <w:semiHidden/>
    <w:rsid w:val="00014566"/>
    <w:rPr>
      <w:rFonts w:eastAsiaTheme="minorEastAsia"/>
      <w:sz w:val="24"/>
    </w:rPr>
  </w:style>
  <w:style w:type="paragraph" w:styleId="Adresnakopercie">
    <w:name w:val="envelope address"/>
    <w:basedOn w:val="Normalny"/>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014566"/>
    <w:rPr>
      <w:rFonts w:asciiTheme="majorHAnsi" w:eastAsiaTheme="majorEastAsia" w:hAnsiTheme="majorHAnsi" w:cstheme="majorBidi"/>
      <w:sz w:val="20"/>
      <w:szCs w:val="20"/>
    </w:rPr>
  </w:style>
  <w:style w:type="character" w:styleId="HTML-akronim">
    <w:name w:val="HTML Acronym"/>
    <w:basedOn w:val="Domylnaczcionkaakapitu"/>
    <w:semiHidden/>
    <w:rsid w:val="00014566"/>
  </w:style>
  <w:style w:type="paragraph" w:styleId="HTML-adres">
    <w:name w:val="HTML Address"/>
    <w:basedOn w:val="Normalny"/>
    <w:link w:val="HTML-adresZnak"/>
    <w:semiHidden/>
    <w:rsid w:val="00014566"/>
    <w:rPr>
      <w:i/>
      <w:iCs/>
    </w:rPr>
  </w:style>
  <w:style w:type="character" w:customStyle="1" w:styleId="HTML-adresZnak">
    <w:name w:val="HTML - adres Znak"/>
    <w:basedOn w:val="Domylnaczcionkaakapitu"/>
    <w:link w:val="HTML-adres"/>
    <w:semiHidden/>
    <w:rsid w:val="00014566"/>
    <w:rPr>
      <w:rFonts w:eastAsiaTheme="minorEastAsia"/>
      <w:i/>
      <w:iCs/>
      <w:sz w:val="24"/>
    </w:rPr>
  </w:style>
  <w:style w:type="character" w:styleId="HTML-cytat">
    <w:name w:val="HTML Cite"/>
    <w:basedOn w:val="Domylnaczcionkaakapitu"/>
    <w:semiHidden/>
    <w:rsid w:val="00014566"/>
    <w:rPr>
      <w:i/>
      <w:iCs/>
    </w:rPr>
  </w:style>
  <w:style w:type="character" w:styleId="HTML-kod">
    <w:name w:val="HTML Code"/>
    <w:basedOn w:val="Domylnaczcionkaakapitu"/>
    <w:semiHidden/>
    <w:rsid w:val="00014566"/>
    <w:rPr>
      <w:rFonts w:ascii="Consolas" w:hAnsi="Consolas" w:cs="Consolas"/>
      <w:sz w:val="20"/>
      <w:szCs w:val="20"/>
    </w:rPr>
  </w:style>
  <w:style w:type="character" w:styleId="HTML-definicja">
    <w:name w:val="HTML Definition"/>
    <w:basedOn w:val="Domylnaczcionkaakapitu"/>
    <w:semiHidden/>
    <w:rsid w:val="00014566"/>
    <w:rPr>
      <w:i/>
      <w:iCs/>
    </w:rPr>
  </w:style>
  <w:style w:type="character" w:styleId="HTML-klawiatura">
    <w:name w:val="HTML Keyboard"/>
    <w:basedOn w:val="Domylnaczcionkaakapitu"/>
    <w:semiHidden/>
    <w:rsid w:val="00014566"/>
    <w:rPr>
      <w:rFonts w:ascii="Consolas" w:hAnsi="Consolas" w:cs="Consolas"/>
      <w:sz w:val="20"/>
      <w:szCs w:val="20"/>
    </w:rPr>
  </w:style>
  <w:style w:type="paragraph" w:styleId="HTML-wstpniesformatowany">
    <w:name w:val="HTML Preformatted"/>
    <w:basedOn w:val="Normalny"/>
    <w:link w:val="HTML-wstpniesformatowanyZnak"/>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semiHidden/>
    <w:rsid w:val="00014566"/>
    <w:rPr>
      <w:rFonts w:ascii="Consolas" w:eastAsiaTheme="minorEastAsia" w:hAnsi="Consolas" w:cs="Consolas"/>
      <w:sz w:val="20"/>
      <w:szCs w:val="20"/>
    </w:rPr>
  </w:style>
  <w:style w:type="character" w:styleId="HTML-przykad">
    <w:name w:val="HTML Sample"/>
    <w:basedOn w:val="Domylnaczcionkaakapitu"/>
    <w:semiHidden/>
    <w:rsid w:val="00014566"/>
    <w:rPr>
      <w:rFonts w:ascii="Consolas" w:hAnsi="Consolas" w:cs="Consolas"/>
      <w:sz w:val="24"/>
      <w:szCs w:val="24"/>
    </w:rPr>
  </w:style>
  <w:style w:type="character" w:styleId="HTML-staaszeroko">
    <w:name w:val="HTML Typewriter"/>
    <w:basedOn w:val="Domylnaczcionkaakapitu"/>
    <w:semiHidden/>
    <w:rsid w:val="00014566"/>
    <w:rPr>
      <w:rFonts w:ascii="Consolas" w:hAnsi="Consolas" w:cs="Consolas"/>
      <w:sz w:val="20"/>
      <w:szCs w:val="20"/>
    </w:rPr>
  </w:style>
  <w:style w:type="character" w:styleId="HTML-zmienna">
    <w:name w:val="HTML Variable"/>
    <w:basedOn w:val="Domylnaczcionkaakapitu"/>
    <w:semiHidden/>
    <w:rsid w:val="00014566"/>
    <w:rPr>
      <w:i/>
      <w:iCs/>
    </w:rPr>
  </w:style>
  <w:style w:type="paragraph" w:styleId="Indeks1">
    <w:name w:val="index 1"/>
    <w:basedOn w:val="Normalny"/>
    <w:next w:val="Normalny"/>
    <w:autoRedefine/>
    <w:semiHidden/>
    <w:rsid w:val="00014566"/>
    <w:pPr>
      <w:ind w:left="240" w:hanging="240"/>
    </w:pPr>
  </w:style>
  <w:style w:type="paragraph" w:styleId="Indeks2">
    <w:name w:val="index 2"/>
    <w:basedOn w:val="Normalny"/>
    <w:next w:val="Normalny"/>
    <w:autoRedefine/>
    <w:semiHidden/>
    <w:rsid w:val="00014566"/>
    <w:pPr>
      <w:ind w:left="480" w:hanging="240"/>
    </w:pPr>
  </w:style>
  <w:style w:type="paragraph" w:styleId="Indeks3">
    <w:name w:val="index 3"/>
    <w:basedOn w:val="Normalny"/>
    <w:next w:val="Normalny"/>
    <w:autoRedefine/>
    <w:semiHidden/>
    <w:rsid w:val="00014566"/>
    <w:pPr>
      <w:ind w:left="720" w:hanging="240"/>
    </w:pPr>
  </w:style>
  <w:style w:type="paragraph" w:styleId="Indeks4">
    <w:name w:val="index 4"/>
    <w:basedOn w:val="Normalny"/>
    <w:next w:val="Normalny"/>
    <w:autoRedefine/>
    <w:semiHidden/>
    <w:rsid w:val="00014566"/>
    <w:pPr>
      <w:ind w:left="960" w:hanging="240"/>
    </w:pPr>
  </w:style>
  <w:style w:type="paragraph" w:styleId="Indeks5">
    <w:name w:val="index 5"/>
    <w:basedOn w:val="Normalny"/>
    <w:next w:val="Normalny"/>
    <w:autoRedefine/>
    <w:semiHidden/>
    <w:rsid w:val="00014566"/>
    <w:pPr>
      <w:ind w:left="1200" w:hanging="240"/>
    </w:pPr>
  </w:style>
  <w:style w:type="paragraph" w:styleId="Indeks6">
    <w:name w:val="index 6"/>
    <w:basedOn w:val="Normalny"/>
    <w:next w:val="Normalny"/>
    <w:autoRedefine/>
    <w:semiHidden/>
    <w:rsid w:val="00014566"/>
    <w:pPr>
      <w:ind w:left="1440" w:hanging="240"/>
    </w:pPr>
  </w:style>
  <w:style w:type="paragraph" w:styleId="Indeks7">
    <w:name w:val="index 7"/>
    <w:basedOn w:val="Normalny"/>
    <w:next w:val="Normalny"/>
    <w:autoRedefine/>
    <w:semiHidden/>
    <w:rsid w:val="00014566"/>
    <w:pPr>
      <w:ind w:left="1680" w:hanging="240"/>
    </w:pPr>
  </w:style>
  <w:style w:type="paragraph" w:styleId="Indeks8">
    <w:name w:val="index 8"/>
    <w:basedOn w:val="Normalny"/>
    <w:next w:val="Normalny"/>
    <w:autoRedefine/>
    <w:semiHidden/>
    <w:rsid w:val="00014566"/>
    <w:pPr>
      <w:ind w:left="1920" w:hanging="240"/>
    </w:pPr>
  </w:style>
  <w:style w:type="paragraph" w:styleId="Indeks9">
    <w:name w:val="index 9"/>
    <w:basedOn w:val="Normalny"/>
    <w:next w:val="Normalny"/>
    <w:autoRedefine/>
    <w:semiHidden/>
    <w:rsid w:val="00014566"/>
    <w:pPr>
      <w:ind w:left="2160" w:hanging="240"/>
    </w:pPr>
  </w:style>
  <w:style w:type="paragraph" w:styleId="Nagwekindeksu">
    <w:name w:val="index heading"/>
    <w:basedOn w:val="Normalny"/>
    <w:next w:val="Indeks1"/>
    <w:semiHidden/>
    <w:rsid w:val="00014566"/>
    <w:rPr>
      <w:rFonts w:asciiTheme="majorHAnsi" w:eastAsiaTheme="majorEastAsia" w:hAnsiTheme="majorHAnsi" w:cstheme="majorBidi"/>
      <w:b/>
      <w:bCs/>
    </w:rPr>
  </w:style>
  <w:style w:type="table" w:customStyle="1" w:styleId="Jasnasiatka1">
    <w:name w:val="Jasna siatka1"/>
    <w:basedOn w:val="Standardowy"/>
    <w:uiPriority w:val="62"/>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62"/>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61"/>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61"/>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60"/>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60"/>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014566"/>
  </w:style>
  <w:style w:type="paragraph" w:styleId="Lista">
    <w:name w:val="List"/>
    <w:basedOn w:val="Normalny"/>
    <w:semiHidden/>
    <w:rsid w:val="00014566"/>
    <w:pPr>
      <w:ind w:left="283" w:hanging="283"/>
      <w:contextualSpacing/>
    </w:pPr>
  </w:style>
  <w:style w:type="paragraph" w:styleId="Lista2">
    <w:name w:val="List 2"/>
    <w:basedOn w:val="Normalny"/>
    <w:semiHidden/>
    <w:rsid w:val="00014566"/>
    <w:pPr>
      <w:ind w:left="566" w:hanging="283"/>
      <w:contextualSpacing/>
    </w:pPr>
  </w:style>
  <w:style w:type="paragraph" w:styleId="Lista3">
    <w:name w:val="List 3"/>
    <w:basedOn w:val="Normalny"/>
    <w:semiHidden/>
    <w:rsid w:val="00014566"/>
    <w:pPr>
      <w:ind w:left="849" w:hanging="283"/>
      <w:contextualSpacing/>
    </w:pPr>
  </w:style>
  <w:style w:type="paragraph" w:styleId="Lista4">
    <w:name w:val="List 4"/>
    <w:basedOn w:val="Normalny"/>
    <w:semiHidden/>
    <w:rsid w:val="00014566"/>
    <w:pPr>
      <w:ind w:left="1132" w:hanging="283"/>
      <w:contextualSpacing/>
    </w:pPr>
  </w:style>
  <w:style w:type="paragraph" w:styleId="Lista5">
    <w:name w:val="List 5"/>
    <w:basedOn w:val="Normalny"/>
    <w:semiHidden/>
    <w:rsid w:val="00014566"/>
    <w:pPr>
      <w:ind w:left="1415" w:hanging="283"/>
      <w:contextualSpacing/>
    </w:pPr>
  </w:style>
  <w:style w:type="paragraph" w:styleId="Listapunktowana2">
    <w:name w:val="List Bullet 2"/>
    <w:basedOn w:val="Normalny"/>
    <w:semiHidden/>
    <w:rsid w:val="00014566"/>
    <w:pPr>
      <w:numPr>
        <w:numId w:val="5"/>
      </w:numPr>
      <w:contextualSpacing/>
    </w:pPr>
  </w:style>
  <w:style w:type="paragraph" w:styleId="Listapunktowana3">
    <w:name w:val="List Bullet 3"/>
    <w:basedOn w:val="Normalny"/>
    <w:semiHidden/>
    <w:rsid w:val="00014566"/>
    <w:pPr>
      <w:numPr>
        <w:numId w:val="6"/>
      </w:numPr>
      <w:contextualSpacing/>
    </w:pPr>
  </w:style>
  <w:style w:type="paragraph" w:styleId="Listapunktowana4">
    <w:name w:val="List Bullet 4"/>
    <w:basedOn w:val="Normalny"/>
    <w:semiHidden/>
    <w:rsid w:val="00014566"/>
    <w:pPr>
      <w:numPr>
        <w:numId w:val="7"/>
      </w:numPr>
      <w:contextualSpacing/>
    </w:pPr>
  </w:style>
  <w:style w:type="paragraph" w:styleId="Listapunktowana5">
    <w:name w:val="List Bullet 5"/>
    <w:basedOn w:val="Normalny"/>
    <w:semiHidden/>
    <w:rsid w:val="00014566"/>
    <w:pPr>
      <w:numPr>
        <w:numId w:val="8"/>
      </w:numPr>
      <w:contextualSpacing/>
    </w:pPr>
  </w:style>
  <w:style w:type="paragraph" w:styleId="Lista-kontynuacja">
    <w:name w:val="List Continue"/>
    <w:basedOn w:val="Normalny"/>
    <w:semiHidden/>
    <w:rsid w:val="00014566"/>
    <w:pPr>
      <w:spacing w:after="120"/>
      <w:ind w:left="283"/>
      <w:contextualSpacing/>
    </w:pPr>
  </w:style>
  <w:style w:type="paragraph" w:styleId="Lista-kontynuacja2">
    <w:name w:val="List Continue 2"/>
    <w:basedOn w:val="Normalny"/>
    <w:semiHidden/>
    <w:rsid w:val="00014566"/>
    <w:pPr>
      <w:spacing w:after="120"/>
      <w:ind w:left="566"/>
      <w:contextualSpacing/>
    </w:pPr>
  </w:style>
  <w:style w:type="paragraph" w:styleId="Lista-kontynuacja3">
    <w:name w:val="List Continue 3"/>
    <w:basedOn w:val="Normalny"/>
    <w:semiHidden/>
    <w:rsid w:val="00014566"/>
    <w:pPr>
      <w:spacing w:after="120"/>
      <w:ind w:left="849"/>
      <w:contextualSpacing/>
    </w:pPr>
  </w:style>
  <w:style w:type="paragraph" w:styleId="Lista-kontynuacja4">
    <w:name w:val="List Continue 4"/>
    <w:basedOn w:val="Normalny"/>
    <w:semiHidden/>
    <w:rsid w:val="00014566"/>
    <w:pPr>
      <w:spacing w:after="120"/>
      <w:ind w:left="1132"/>
      <w:contextualSpacing/>
    </w:pPr>
  </w:style>
  <w:style w:type="paragraph" w:styleId="Lista-kontynuacja5">
    <w:name w:val="List Continue 5"/>
    <w:basedOn w:val="Normalny"/>
    <w:semiHidden/>
    <w:rsid w:val="00014566"/>
    <w:pPr>
      <w:spacing w:after="120"/>
      <w:ind w:left="1415"/>
      <w:contextualSpacing/>
    </w:pPr>
  </w:style>
  <w:style w:type="paragraph" w:styleId="Listanumerowana">
    <w:name w:val="List Number"/>
    <w:basedOn w:val="Normalny"/>
    <w:semiHidden/>
    <w:rsid w:val="00014566"/>
    <w:pPr>
      <w:numPr>
        <w:numId w:val="9"/>
      </w:numPr>
      <w:contextualSpacing/>
    </w:pPr>
  </w:style>
  <w:style w:type="paragraph" w:styleId="Listanumerowana2">
    <w:name w:val="List Number 2"/>
    <w:basedOn w:val="Normalny"/>
    <w:semiHidden/>
    <w:rsid w:val="00014566"/>
    <w:pPr>
      <w:numPr>
        <w:numId w:val="10"/>
      </w:numPr>
      <w:contextualSpacing/>
    </w:pPr>
  </w:style>
  <w:style w:type="paragraph" w:styleId="Listanumerowana3">
    <w:name w:val="List Number 3"/>
    <w:basedOn w:val="Normalny"/>
    <w:semiHidden/>
    <w:rsid w:val="00014566"/>
    <w:pPr>
      <w:numPr>
        <w:numId w:val="11"/>
      </w:numPr>
      <w:contextualSpacing/>
    </w:pPr>
  </w:style>
  <w:style w:type="paragraph" w:styleId="Listanumerowana4">
    <w:name w:val="List Number 4"/>
    <w:basedOn w:val="Normalny"/>
    <w:semiHidden/>
    <w:rsid w:val="00014566"/>
    <w:pPr>
      <w:numPr>
        <w:numId w:val="12"/>
      </w:numPr>
      <w:contextualSpacing/>
    </w:pPr>
  </w:style>
  <w:style w:type="paragraph" w:styleId="Listanumerowana5">
    <w:name w:val="List Number 5"/>
    <w:basedOn w:val="Normalny"/>
    <w:semiHidden/>
    <w:rsid w:val="00014566"/>
    <w:pPr>
      <w:numPr>
        <w:numId w:val="13"/>
      </w:numPr>
      <w:contextualSpacing/>
    </w:pPr>
  </w:style>
  <w:style w:type="paragraph" w:styleId="Tekstmakra">
    <w:name w:val="macro"/>
    <w:link w:val="TekstmakraZnak"/>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semiHidden/>
    <w:rsid w:val="00014566"/>
    <w:rPr>
      <w:rFonts w:ascii="Consolas" w:hAnsi="Consolas" w:cs="Consolas"/>
      <w:sz w:val="20"/>
      <w:szCs w:val="20"/>
      <w:lang w:val="en-GB" w:eastAsia="fr-FR"/>
    </w:rPr>
  </w:style>
  <w:style w:type="table" w:customStyle="1" w:styleId="redniasiatka11">
    <w:name w:val="Średnia siatka 11"/>
    <w:basedOn w:val="Standardowy"/>
    <w:uiPriority w:val="67"/>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65"/>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65"/>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63"/>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63"/>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014566"/>
    <w:rPr>
      <w:rFonts w:ascii="Times New Roman" w:hAnsi="Times New Roman" w:cs="Times New Roman"/>
      <w:szCs w:val="24"/>
    </w:rPr>
  </w:style>
  <w:style w:type="paragraph" w:styleId="Wcicienormalne">
    <w:name w:val="Normal Indent"/>
    <w:basedOn w:val="Normalny"/>
    <w:semiHidden/>
    <w:rsid w:val="00014566"/>
    <w:pPr>
      <w:ind w:left="720"/>
    </w:pPr>
  </w:style>
  <w:style w:type="paragraph" w:styleId="Nagweknotatki">
    <w:name w:val="Note Heading"/>
    <w:basedOn w:val="Normalny"/>
    <w:next w:val="Normalny"/>
    <w:link w:val="NagweknotatkiZnak"/>
    <w:semiHidden/>
    <w:rsid w:val="00014566"/>
  </w:style>
  <w:style w:type="character" w:customStyle="1" w:styleId="NagweknotatkiZnak">
    <w:name w:val="Nagłówek notatki Znak"/>
    <w:basedOn w:val="Domylnaczcionkaakapitu"/>
    <w:link w:val="Nagweknotatki"/>
    <w:semiHidden/>
    <w:rsid w:val="00014566"/>
    <w:rPr>
      <w:rFonts w:eastAsiaTheme="minorEastAsia"/>
      <w:sz w:val="24"/>
    </w:rPr>
  </w:style>
  <w:style w:type="character" w:styleId="Tekstzastpczy">
    <w:name w:val="Placeholder Text"/>
    <w:basedOn w:val="Domylnaczcionkaakapitu"/>
    <w:uiPriority w:val="99"/>
    <w:semiHidden/>
    <w:rsid w:val="00B8456D"/>
    <w:rPr>
      <w:color w:val="auto"/>
      <w:bdr w:val="none" w:sz="0" w:space="0" w:color="auto"/>
      <w:shd w:val="clear" w:color="auto" w:fill="DFDFDF" w:themeFill="background2" w:themeFillShade="E6"/>
    </w:rPr>
  </w:style>
  <w:style w:type="paragraph" w:styleId="Zwykytekst">
    <w:name w:val="Plain Text"/>
    <w:basedOn w:val="Normalny"/>
    <w:link w:val="ZwykytekstZnak"/>
    <w:semiHidden/>
    <w:rsid w:val="00014566"/>
    <w:rPr>
      <w:rFonts w:ascii="Consolas" w:hAnsi="Consolas" w:cs="Consolas"/>
      <w:sz w:val="21"/>
      <w:szCs w:val="21"/>
    </w:rPr>
  </w:style>
  <w:style w:type="character" w:customStyle="1" w:styleId="ZwykytekstZnak">
    <w:name w:val="Zwykły tekst Znak"/>
    <w:basedOn w:val="Domylnaczcionkaakapitu"/>
    <w:link w:val="Zwykytekst"/>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014566"/>
  </w:style>
  <w:style w:type="character" w:customStyle="1" w:styleId="ZwrotgrzecznociowyZnak">
    <w:name w:val="Zwrot grzecznościowy Znak"/>
    <w:basedOn w:val="Domylnaczcionkaakapitu"/>
    <w:link w:val="Zwrotgrzecznociowy"/>
    <w:semiHidden/>
    <w:rsid w:val="00014566"/>
    <w:rPr>
      <w:rFonts w:eastAsiaTheme="minorEastAsia"/>
      <w:sz w:val="24"/>
    </w:rPr>
  </w:style>
  <w:style w:type="paragraph" w:styleId="Podpis">
    <w:name w:val="Signature"/>
    <w:basedOn w:val="Normalny"/>
    <w:link w:val="PodpisZnak"/>
    <w:semiHidden/>
    <w:rsid w:val="00014566"/>
    <w:pPr>
      <w:ind w:left="4252"/>
    </w:pPr>
  </w:style>
  <w:style w:type="character" w:customStyle="1" w:styleId="PodpisZnak">
    <w:name w:val="Podpis Znak"/>
    <w:basedOn w:val="Domylnaczcionkaakapitu"/>
    <w:link w:val="Podpis"/>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014566"/>
    <w:pPr>
      <w:ind w:left="240" w:hanging="240"/>
    </w:pPr>
  </w:style>
  <w:style w:type="paragraph" w:styleId="Spisilustracji">
    <w:name w:val="table of figures"/>
    <w:basedOn w:val="Normalny"/>
    <w:next w:val="Normalny"/>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8456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8456D"/>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014566"/>
    <w:pPr>
      <w:spacing w:after="100"/>
      <w:ind w:left="1680"/>
    </w:pPr>
  </w:style>
  <w:style w:type="paragraph" w:styleId="Spistreci9">
    <w:name w:val="toc 9"/>
    <w:basedOn w:val="Normalny"/>
    <w:next w:val="Normalny"/>
    <w:autoRedefine/>
    <w:semiHidden/>
    <w:rsid w:val="00014566"/>
    <w:pPr>
      <w:spacing w:after="100"/>
      <w:ind w:left="1920"/>
    </w:pPr>
  </w:style>
  <w:style w:type="paragraph" w:customStyle="1" w:styleId="DecList">
    <w:name w:val="Dec_List"/>
    <w:basedOn w:val="Normalny"/>
    <w:uiPriority w:val="9"/>
    <w:qFormat/>
    <w:rsid w:val="00B8456D"/>
    <w:pPr>
      <w:spacing w:before="240"/>
      <w:ind w:left="284"/>
    </w:pPr>
  </w:style>
  <w:style w:type="paragraph" w:customStyle="1" w:styleId="JuLista">
    <w:name w:val="Ju_List_a"/>
    <w:basedOn w:val="JuList"/>
    <w:uiPriority w:val="28"/>
    <w:qFormat/>
    <w:rsid w:val="00B8456D"/>
    <w:pPr>
      <w:ind w:left="346" w:firstLine="0"/>
    </w:pPr>
  </w:style>
  <w:style w:type="paragraph" w:customStyle="1" w:styleId="JuListi">
    <w:name w:val="Ju_List_i"/>
    <w:basedOn w:val="Normalny"/>
    <w:next w:val="JuLista"/>
    <w:uiPriority w:val="28"/>
    <w:qFormat/>
    <w:rsid w:val="00B8456D"/>
    <w:pPr>
      <w:ind w:left="794"/>
    </w:pPr>
  </w:style>
  <w:style w:type="paragraph" w:customStyle="1" w:styleId="OpiH1">
    <w:name w:val="Opi_H_1"/>
    <w:basedOn w:val="ECHRHeading2"/>
    <w:uiPriority w:val="42"/>
    <w:qFormat/>
    <w:rsid w:val="00B8456D"/>
    <w:pPr>
      <w:ind w:left="635" w:hanging="357"/>
      <w:outlineLvl w:val="2"/>
    </w:pPr>
  </w:style>
  <w:style w:type="paragraph" w:customStyle="1" w:styleId="OpiHa0">
    <w:name w:val="Opi_H_a"/>
    <w:basedOn w:val="ECHRHeading3"/>
    <w:uiPriority w:val="43"/>
    <w:qFormat/>
    <w:rsid w:val="00B8456D"/>
    <w:pPr>
      <w:ind w:left="833" w:hanging="357"/>
      <w:outlineLvl w:val="3"/>
    </w:pPr>
    <w:rPr>
      <w:b/>
      <w:i w:val="0"/>
      <w:sz w:val="20"/>
    </w:rPr>
  </w:style>
  <w:style w:type="paragraph" w:customStyle="1" w:styleId="OpiHi">
    <w:name w:val="Opi_H_i"/>
    <w:basedOn w:val="ECHRHeading4"/>
    <w:uiPriority w:val="44"/>
    <w:qFormat/>
    <w:rsid w:val="00B8456D"/>
    <w:pPr>
      <w:ind w:left="1037" w:hanging="357"/>
      <w:outlineLvl w:val="4"/>
    </w:pPr>
    <w:rPr>
      <w:b w:val="0"/>
      <w:i/>
    </w:rPr>
  </w:style>
  <w:style w:type="paragraph" w:customStyle="1" w:styleId="DummyStyle">
    <w:name w:val="Dummy_Style"/>
    <w:basedOn w:val="Normalny"/>
    <w:semiHidden/>
    <w:qFormat/>
    <w:rsid w:val="00B8456D"/>
    <w:rPr>
      <w:color w:val="00B050"/>
    </w:rPr>
  </w:style>
  <w:style w:type="paragraph" w:customStyle="1" w:styleId="JuHeaderLandscape">
    <w:name w:val="Ju_Header_Landscape"/>
    <w:basedOn w:val="ECHRHeader"/>
    <w:uiPriority w:val="4"/>
    <w:qFormat/>
    <w:rsid w:val="00B8456D"/>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703159"/>
    <w:rPr>
      <w:rFonts w:eastAsiaTheme="minorEastAsia"/>
      <w:sz w:val="24"/>
    </w:rPr>
  </w:style>
  <w:style w:type="paragraph" w:styleId="Poprawka">
    <w:name w:val="Revision"/>
    <w:hidden/>
    <w:uiPriority w:val="99"/>
    <w:semiHidden/>
    <w:rsid w:val="004A351B"/>
    <w:rPr>
      <w:rFonts w:eastAsiaTheme="minorEastAsia"/>
      <w:sz w:val="24"/>
    </w:rPr>
  </w:style>
  <w:style w:type="numbering" w:customStyle="1" w:styleId="ECHRA1StyleBulletedSquare">
    <w:name w:val="ECHR_A1_Style_Bulleted_Square"/>
    <w:basedOn w:val="Bezlisty"/>
    <w:rsid w:val="001C1232"/>
    <w:pPr>
      <w:numPr>
        <w:numId w:val="17"/>
      </w:numPr>
    </w:pPr>
  </w:style>
  <w:style w:type="numbering" w:customStyle="1" w:styleId="ECHRA1StyleNumberedList">
    <w:name w:val="ECHR_A1_Style_Numbered_List"/>
    <w:basedOn w:val="Bezlisty"/>
    <w:rsid w:val="001C1232"/>
    <w:pPr>
      <w:numPr>
        <w:numId w:val="19"/>
      </w:numPr>
    </w:pPr>
  </w:style>
  <w:style w:type="paragraph" w:customStyle="1" w:styleId="ECHRBullet1">
    <w:name w:val="ECHR_Bullet_1"/>
    <w:aliases w:val="Bul_1"/>
    <w:basedOn w:val="Normalny"/>
    <w:uiPriority w:val="8"/>
    <w:rsid w:val="001C1232"/>
    <w:pPr>
      <w:numPr>
        <w:numId w:val="17"/>
      </w:numPr>
      <w:spacing w:before="60" w:after="60"/>
    </w:pPr>
    <w:rPr>
      <w:sz w:val="22"/>
    </w:rPr>
  </w:style>
  <w:style w:type="paragraph" w:customStyle="1" w:styleId="ECHRBullet2">
    <w:name w:val="ECHR_Bullet_2"/>
    <w:aliases w:val="Bul_2"/>
    <w:basedOn w:val="ECHRBullet1"/>
    <w:uiPriority w:val="8"/>
    <w:rsid w:val="001C1232"/>
    <w:pPr>
      <w:numPr>
        <w:ilvl w:val="1"/>
      </w:numPr>
    </w:pPr>
  </w:style>
  <w:style w:type="paragraph" w:customStyle="1" w:styleId="ECHRBullet3">
    <w:name w:val="ECHR_Bullet_3"/>
    <w:aliases w:val="Bul_3"/>
    <w:basedOn w:val="ECHRBullet2"/>
    <w:uiPriority w:val="8"/>
    <w:rsid w:val="001C1232"/>
    <w:pPr>
      <w:numPr>
        <w:ilvl w:val="2"/>
      </w:numPr>
    </w:pPr>
  </w:style>
  <w:style w:type="paragraph" w:customStyle="1" w:styleId="ECHRBullet4">
    <w:name w:val="ECHR_Bullet_4"/>
    <w:aliases w:val="Bul_4"/>
    <w:basedOn w:val="ECHRBullet3"/>
    <w:uiPriority w:val="8"/>
    <w:rsid w:val="001C1232"/>
    <w:pPr>
      <w:numPr>
        <w:ilvl w:val="3"/>
      </w:numPr>
    </w:pPr>
  </w:style>
  <w:style w:type="paragraph" w:customStyle="1" w:styleId="ECHRNumberedList1">
    <w:name w:val="ECHR_Numbered_List_1"/>
    <w:aliases w:val="Num_1"/>
    <w:basedOn w:val="Normalny"/>
    <w:uiPriority w:val="9"/>
    <w:rsid w:val="001C1232"/>
    <w:pPr>
      <w:numPr>
        <w:numId w:val="18"/>
      </w:numPr>
      <w:spacing w:before="60" w:after="60"/>
      <w:jc w:val="left"/>
    </w:pPr>
    <w:rPr>
      <w:sz w:val="22"/>
    </w:rPr>
  </w:style>
  <w:style w:type="paragraph" w:customStyle="1" w:styleId="ECHRNumberedList2">
    <w:name w:val="ECHR_Numbered_List_2"/>
    <w:aliases w:val="Num_2"/>
    <w:basedOn w:val="ECHRNumberedList1"/>
    <w:uiPriority w:val="9"/>
    <w:rsid w:val="001C1232"/>
    <w:pPr>
      <w:numPr>
        <w:ilvl w:val="1"/>
      </w:numPr>
    </w:pPr>
  </w:style>
  <w:style w:type="paragraph" w:customStyle="1" w:styleId="ECHRNumberedList3">
    <w:name w:val="ECHR_Numbered_List_3"/>
    <w:aliases w:val="Num_3"/>
    <w:basedOn w:val="ECHRNumberedList2"/>
    <w:uiPriority w:val="9"/>
    <w:rsid w:val="001C1232"/>
    <w:pPr>
      <w:numPr>
        <w:ilvl w:val="2"/>
      </w:numPr>
    </w:pPr>
  </w:style>
  <w:style w:type="paragraph" w:customStyle="1" w:styleId="ECHRCoverTitle1">
    <w:name w:val="ECHR_Cover_Title_1"/>
    <w:aliases w:val="Cover_1"/>
    <w:basedOn w:val="Normalny"/>
    <w:next w:val="ECHRCoverTitle2"/>
    <w:uiPriority w:val="24"/>
    <w:rsid w:val="001C1232"/>
    <w:pPr>
      <w:spacing w:before="840"/>
      <w:contextualSpacing/>
      <w:jc w:val="center"/>
    </w:pPr>
    <w:rPr>
      <w:rFonts w:eastAsiaTheme="minorHAnsi"/>
      <w:color w:val="2F2F2F" w:themeColor="accent3" w:themeShade="80"/>
      <w:sz w:val="36"/>
    </w:rPr>
  </w:style>
  <w:style w:type="paragraph" w:customStyle="1" w:styleId="ECHRCoverTitle2">
    <w:name w:val="ECHR_Cover_Title_2"/>
    <w:aliases w:val="Cover_2"/>
    <w:basedOn w:val="Normalny"/>
    <w:next w:val="ECHRCoverTitle3"/>
    <w:uiPriority w:val="24"/>
    <w:rsid w:val="001C1232"/>
    <w:pPr>
      <w:spacing w:before="600"/>
      <w:contextualSpacing/>
      <w:jc w:val="center"/>
    </w:pPr>
    <w:rPr>
      <w:rFonts w:asciiTheme="majorHAnsi" w:eastAsiaTheme="minorHAnsi" w:hAnsiTheme="majorHAnsi"/>
      <w:color w:val="474747" w:themeColor="accent3" w:themeShade="BF"/>
      <w:sz w:val="28"/>
    </w:rPr>
  </w:style>
  <w:style w:type="paragraph" w:customStyle="1" w:styleId="ECHRCoverTitle3">
    <w:name w:val="ECHR_Cover_Title_3"/>
    <w:aliases w:val="Cover_3"/>
    <w:basedOn w:val="Normalny"/>
    <w:next w:val="Normalny"/>
    <w:uiPriority w:val="24"/>
    <w:rsid w:val="001C1232"/>
    <w:pPr>
      <w:spacing w:before="1080" w:after="1080"/>
      <w:contextualSpacing/>
      <w:jc w:val="center"/>
    </w:pPr>
    <w:rPr>
      <w:rFonts w:eastAsiaTheme="minorHAnsi"/>
      <w:b/>
      <w:color w:val="474747" w:themeColor="accent3" w:themeShade="BF"/>
    </w:rPr>
  </w:style>
  <w:style w:type="paragraph" w:customStyle="1" w:styleId="ECHRTitle2">
    <w:name w:val="ECHR_Title_2"/>
    <w:aliases w:val="Title_L_2"/>
    <w:basedOn w:val="Normalny"/>
    <w:next w:val="ECHRParaSpaced"/>
    <w:uiPriority w:val="20"/>
    <w:rsid w:val="001C1232"/>
    <w:pPr>
      <w:keepNext/>
      <w:keepLines/>
      <w:spacing w:before="240"/>
      <w:contextualSpacing/>
      <w:jc w:val="left"/>
    </w:pPr>
    <w:rPr>
      <w:rFonts w:asciiTheme="majorHAnsi" w:eastAsiaTheme="minorHAnsi" w:hAnsiTheme="majorHAnsi"/>
      <w:b/>
      <w:color w:val="474747" w:themeColor="accent3" w:themeShade="BF"/>
      <w:sz w:val="28"/>
    </w:rPr>
  </w:style>
  <w:style w:type="paragraph" w:customStyle="1" w:styleId="ECHRTitle3">
    <w:name w:val="ECHR_Title_3"/>
    <w:aliases w:val="Title_L_3"/>
    <w:basedOn w:val="Normalny"/>
    <w:next w:val="ECHRParaSpaced"/>
    <w:uiPriority w:val="20"/>
    <w:rsid w:val="001C1232"/>
    <w:pPr>
      <w:keepNext/>
      <w:keepLines/>
      <w:spacing w:before="240"/>
      <w:contextualSpacing/>
      <w:jc w:val="left"/>
    </w:pPr>
    <w:rPr>
      <w:rFonts w:asciiTheme="majorHAnsi" w:eastAsiaTheme="minorHAnsi" w:hAnsiTheme="majorHAnsi"/>
      <w:b/>
      <w:color w:val="474747" w:themeColor="accent3" w:themeShade="BF"/>
    </w:rPr>
  </w:style>
  <w:style w:type="paragraph" w:customStyle="1" w:styleId="ECHRDivisionName">
    <w:name w:val="ECHR_DivisionName"/>
    <w:aliases w:val="Div_Name"/>
    <w:basedOn w:val="Normalny"/>
    <w:link w:val="ECHRDivisionNameChar"/>
    <w:uiPriority w:val="29"/>
    <w:rsid w:val="001C1232"/>
    <w:pPr>
      <w:jc w:val="left"/>
    </w:pPr>
    <w:rPr>
      <w:rFonts w:eastAsiaTheme="minorHAnsi"/>
      <w:b/>
      <w:color w:val="0072BC" w:themeColor="accent1"/>
      <w:sz w:val="22"/>
    </w:rPr>
  </w:style>
  <w:style w:type="character" w:customStyle="1" w:styleId="ECHRDivisionNameChar">
    <w:name w:val="ECHR_DivisionName Char"/>
    <w:aliases w:val="Div_Name Char"/>
    <w:basedOn w:val="Domylnaczcionkaakapitu"/>
    <w:link w:val="ECHRDivisionName"/>
    <w:uiPriority w:val="29"/>
    <w:rsid w:val="001C1232"/>
    <w:rPr>
      <w:b/>
      <w:color w:val="0072BC" w:themeColor="accent1"/>
    </w:rPr>
  </w:style>
  <w:style w:type="paragraph" w:customStyle="1" w:styleId="ECHRParaSpaced">
    <w:name w:val="ECHR_Para_Spaced"/>
    <w:aliases w:val="Para_Spaced"/>
    <w:basedOn w:val="ECHRPara"/>
    <w:uiPriority w:val="5"/>
    <w:rsid w:val="001C1232"/>
    <w:pPr>
      <w:spacing w:before="120" w:after="120"/>
      <w:ind w:firstLine="0"/>
    </w:pPr>
    <w:rPr>
      <w:rFonts w:eastAsiaTheme="minorHAnsi"/>
      <w:sz w:val="22"/>
    </w:rPr>
  </w:style>
  <w:style w:type="paragraph" w:customStyle="1" w:styleId="ECHRHeaderDate">
    <w:name w:val="ECHR_Header_Date"/>
    <w:aliases w:val="Ref_Date"/>
    <w:basedOn w:val="Normalny"/>
    <w:uiPriority w:val="32"/>
    <w:rsid w:val="001C1232"/>
    <w:pPr>
      <w:jc w:val="right"/>
    </w:pPr>
    <w:rPr>
      <w:rFonts w:eastAsiaTheme="minorHAnsi"/>
      <w:sz w:val="20"/>
    </w:rPr>
  </w:style>
  <w:style w:type="paragraph" w:customStyle="1" w:styleId="ECHRHeaderRefIt">
    <w:name w:val="ECHR_Header_Ref_It"/>
    <w:aliases w:val="Ref_Ital"/>
    <w:basedOn w:val="Normalny"/>
    <w:next w:val="ECHRHeaderDate"/>
    <w:uiPriority w:val="31"/>
    <w:rsid w:val="001C1232"/>
    <w:pPr>
      <w:jc w:val="right"/>
    </w:pPr>
    <w:rPr>
      <w:rFonts w:eastAsiaTheme="minorHAnsi"/>
      <w:i/>
      <w:sz w:val="20"/>
    </w:rPr>
  </w:style>
  <w:style w:type="character" w:customStyle="1" w:styleId="ECHRRed">
    <w:name w:val="ECHR_Red"/>
    <w:aliases w:val="Red"/>
    <w:basedOn w:val="Domylnaczcionkaakapitu"/>
    <w:uiPriority w:val="13"/>
    <w:rsid w:val="001C1232"/>
    <w:rPr>
      <w:color w:val="C00000" w:themeColor="accent2"/>
    </w:rPr>
  </w:style>
  <w:style w:type="paragraph" w:customStyle="1" w:styleId="ECHRConfidential">
    <w:name w:val="ECHR_Confidential"/>
    <w:aliases w:val="Confidential"/>
    <w:basedOn w:val="ECHRPara"/>
    <w:next w:val="ECHRPara"/>
    <w:uiPriority w:val="30"/>
    <w:rsid w:val="001C1232"/>
    <w:pPr>
      <w:ind w:firstLine="0"/>
      <w:jc w:val="right"/>
    </w:pPr>
    <w:rPr>
      <w:rFonts w:eastAsiaTheme="minorHAnsi"/>
      <w:color w:val="C00000"/>
      <w:sz w:val="20"/>
    </w:rPr>
  </w:style>
  <w:style w:type="paragraph" w:customStyle="1" w:styleId="ECHRList">
    <w:name w:val="ECHR_List"/>
    <w:aliases w:val="List_Simple"/>
    <w:basedOn w:val="Normalny"/>
    <w:uiPriority w:val="10"/>
    <w:rsid w:val="001C1232"/>
    <w:pPr>
      <w:numPr>
        <w:numId w:val="16"/>
      </w:numPr>
      <w:jc w:val="left"/>
    </w:pPr>
    <w:rPr>
      <w:rFonts w:eastAsiaTheme="minorHAnsi"/>
      <w:sz w:val="22"/>
    </w:rPr>
  </w:style>
  <w:style w:type="paragraph" w:customStyle="1" w:styleId="ECHRCoverTitle4">
    <w:name w:val="ECHR_Cover_Title_4"/>
    <w:aliases w:val="Cover_4"/>
    <w:basedOn w:val="Normalny"/>
    <w:uiPriority w:val="24"/>
    <w:rsid w:val="001C1232"/>
    <w:pPr>
      <w:tabs>
        <w:tab w:val="right" w:pos="7938"/>
      </w:tabs>
      <w:spacing w:before="120" w:after="120"/>
      <w:ind w:left="1134" w:right="1134"/>
      <w:jc w:val="left"/>
    </w:pPr>
    <w:rPr>
      <w:rFonts w:eastAsiaTheme="minorHAnsi"/>
      <w:color w:val="2F2F2F" w:themeColor="accent3" w:themeShade="80"/>
      <w:sz w:val="22"/>
    </w:rPr>
  </w:style>
  <w:style w:type="paragraph" w:customStyle="1" w:styleId="ECHRSpacer">
    <w:name w:val="ECHR_Spacer"/>
    <w:basedOn w:val="Normalny"/>
    <w:uiPriority w:val="38"/>
    <w:rsid w:val="001C1232"/>
    <w:pPr>
      <w:jc w:val="left"/>
    </w:pPr>
    <w:rPr>
      <w:rFonts w:eastAsiaTheme="minorHAnsi"/>
      <w:sz w:val="4"/>
    </w:rPr>
  </w:style>
  <w:style w:type="paragraph" w:customStyle="1" w:styleId="ECHRFooterLineLandscape">
    <w:name w:val="ECHR_Footer_Line_Landscape"/>
    <w:aliases w:val="Footer_Line_Landscape"/>
    <w:basedOn w:val="ECHRFooterLine"/>
    <w:uiPriority w:val="42"/>
    <w:rsid w:val="001C1232"/>
    <w:pPr>
      <w:pBdr>
        <w:top w:val="single" w:sz="8" w:space="1" w:color="7F7F7F" w:themeColor="text1" w:themeTint="80"/>
      </w:pBdr>
      <w:tabs>
        <w:tab w:val="clear" w:pos="4536"/>
        <w:tab w:val="clear" w:pos="9696"/>
        <w:tab w:val="center" w:pos="6787"/>
        <w:tab w:val="right" w:pos="14640"/>
      </w:tabs>
    </w:pPr>
    <w:rPr>
      <w:rFonts w:eastAsiaTheme="minorHAnsi"/>
      <w:color w:val="474747" w:themeColor="accent3" w:themeShade="BF"/>
      <w:sz w:val="22"/>
    </w:rPr>
  </w:style>
  <w:style w:type="paragraph" w:customStyle="1" w:styleId="ECHRHeaderLandscape">
    <w:name w:val="ECHR_Header_Landscape"/>
    <w:aliases w:val="Header_Landscape"/>
    <w:basedOn w:val="Nagwek"/>
    <w:uiPriority w:val="39"/>
    <w:rsid w:val="001C1232"/>
    <w:pPr>
      <w:tabs>
        <w:tab w:val="clear" w:pos="4536"/>
        <w:tab w:val="clear" w:pos="9072"/>
        <w:tab w:val="center" w:pos="6787"/>
        <w:tab w:val="right" w:pos="14640"/>
      </w:tabs>
      <w:ind w:left="-680" w:right="-680"/>
      <w:jc w:val="left"/>
    </w:pPr>
    <w:rPr>
      <w:sz w:val="22"/>
    </w:rPr>
  </w:style>
  <w:style w:type="table" w:customStyle="1" w:styleId="ECHRHeaderTable1">
    <w:name w:val="ECHR_Header_Table1"/>
    <w:basedOn w:val="Standardowy"/>
    <w:uiPriority w:val="99"/>
    <w:rsid w:val="001C1232"/>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right"/>
      </w:pPr>
    </w:tblStylePr>
  </w:style>
  <w:style w:type="paragraph" w:customStyle="1" w:styleId="ECHRLine">
    <w:name w:val="ECHR_Line"/>
    <w:basedOn w:val="Normalny"/>
    <w:next w:val="ECHRParaSpaced"/>
    <w:uiPriority w:val="15"/>
    <w:rsid w:val="001C1232"/>
    <w:pPr>
      <w:pBdr>
        <w:bottom w:val="single" w:sz="12" w:space="1" w:color="949494" w:themeColor="text2" w:themeShade="BF"/>
      </w:pBdr>
      <w:spacing w:after="120"/>
    </w:pPr>
    <w:rPr>
      <w:rFonts w:eastAsiaTheme="minorHAnsi"/>
      <w:sz w:val="12"/>
    </w:rPr>
  </w:style>
  <w:style w:type="numbering" w:customStyle="1" w:styleId="1111111">
    <w:name w:val="1 / 1.1 / 1.1.11"/>
    <w:basedOn w:val="Bezlisty"/>
    <w:next w:val="111111"/>
    <w:semiHidden/>
    <w:rsid w:val="001C1232"/>
    <w:pPr>
      <w:numPr>
        <w:numId w:val="20"/>
      </w:numPr>
    </w:pPr>
  </w:style>
  <w:style w:type="table" w:customStyle="1" w:styleId="ECHRHeaderTableReduced1">
    <w:name w:val="ECHR_Header_Table_Reduced1"/>
    <w:basedOn w:val="Standardowy"/>
    <w:uiPriority w:val="99"/>
    <w:rsid w:val="001C1232"/>
    <w:tblPr>
      <w:tblInd w:w="-680"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ECHRTitleCentreTOC1">
    <w:name w:val="ECHR_Title_Centre_TOC_1"/>
    <w:aliases w:val="Title_C_TOC"/>
    <w:basedOn w:val="ECHRTitleCentre1"/>
    <w:next w:val="ECHRHeading1"/>
    <w:uiPriority w:val="16"/>
    <w:rsid w:val="001C1232"/>
    <w:pPr>
      <w:spacing w:before="240" w:after="0"/>
      <w:contextualSpacing/>
    </w:pPr>
    <w:rPr>
      <w:rFonts w:eastAsiaTheme="minorHAnsi"/>
      <w:b/>
      <w:color w:val="2F2F2F" w:themeColor="accent3" w:themeShade="80"/>
      <w:sz w:val="32"/>
      <w:lang w:val="fr-FR" w:eastAsia="fr-FR"/>
    </w:rPr>
  </w:style>
  <w:style w:type="paragraph" w:customStyle="1" w:styleId="ECHRTitleTOC1">
    <w:name w:val="ECHR_Title_TOC_1"/>
    <w:aliases w:val="Title_L_TOC"/>
    <w:basedOn w:val="ECHRTitle1"/>
    <w:next w:val="ECHRHeading1"/>
    <w:uiPriority w:val="19"/>
    <w:rsid w:val="001C1232"/>
    <w:pPr>
      <w:spacing w:before="240" w:after="0"/>
      <w:contextualSpacing/>
      <w:jc w:val="left"/>
    </w:pPr>
    <w:rPr>
      <w:rFonts w:eastAsiaTheme="minorHAnsi"/>
      <w:b/>
      <w:color w:val="2F2F2F" w:themeColor="accent3" w:themeShade="80"/>
      <w:sz w:val="32"/>
      <w:lang w:val="fr-FR" w:eastAsia="fr-FR"/>
    </w:rPr>
  </w:style>
  <w:style w:type="numbering" w:customStyle="1" w:styleId="1ai1">
    <w:name w:val="1 / a / i1"/>
    <w:basedOn w:val="Bezlisty"/>
    <w:next w:val="1ai"/>
    <w:semiHidden/>
    <w:rsid w:val="001C1232"/>
    <w:pPr>
      <w:numPr>
        <w:numId w:val="21"/>
      </w:numPr>
    </w:pPr>
  </w:style>
  <w:style w:type="numbering" w:customStyle="1" w:styleId="ArticleSection1">
    <w:name w:val="Article / Section1"/>
    <w:basedOn w:val="Bezlisty"/>
    <w:next w:val="Artykusekcja"/>
    <w:semiHidden/>
    <w:rsid w:val="001C1232"/>
    <w:pPr>
      <w:numPr>
        <w:numId w:val="22"/>
      </w:numPr>
    </w:pPr>
  </w:style>
  <w:style w:type="table" w:customStyle="1" w:styleId="Table3Deffects11">
    <w:name w:val="Table 3D effects 11"/>
    <w:basedOn w:val="Standardowy"/>
    <w:next w:val="Tabela-Efekty3W1"/>
    <w:semiHidden/>
    <w:rsid w:val="001C1232"/>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semiHidden/>
    <w:rsid w:val="001C1232"/>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semiHidden/>
    <w:rsid w:val="001C1232"/>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semiHidden/>
    <w:rsid w:val="001C1232"/>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semiHidden/>
    <w:rsid w:val="001C1232"/>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semiHidden/>
    <w:rsid w:val="001C1232"/>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semiHidden/>
    <w:rsid w:val="001C1232"/>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semiHidden/>
    <w:rsid w:val="001C1232"/>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semiHidden/>
    <w:rsid w:val="001C1232"/>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semiHidden/>
    <w:rsid w:val="001C1232"/>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semiHidden/>
    <w:rsid w:val="001C1232"/>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semiHidden/>
    <w:rsid w:val="001C1232"/>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semiHidden/>
    <w:rsid w:val="001C1232"/>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semiHidden/>
    <w:rsid w:val="001C1232"/>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semiHidden/>
    <w:rsid w:val="001C1232"/>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semiHidden/>
    <w:rsid w:val="001C1232"/>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semiHidden/>
    <w:rsid w:val="001C1232"/>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semiHidden/>
    <w:rsid w:val="001C1232"/>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semiHidden/>
    <w:rsid w:val="001C1232"/>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semiHidden/>
    <w:rsid w:val="001C1232"/>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semiHidden/>
    <w:rsid w:val="001C1232"/>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semiHidden/>
    <w:rsid w:val="001C1232"/>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semiHidden/>
    <w:rsid w:val="001C1232"/>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semiHidden/>
    <w:rsid w:val="001C1232"/>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semiHidden/>
    <w:rsid w:val="001C1232"/>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semiHidden/>
    <w:rsid w:val="001C1232"/>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semiHidden/>
    <w:rsid w:val="001C1232"/>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semiHidden/>
    <w:rsid w:val="001C1232"/>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semiHidden/>
    <w:rsid w:val="001C1232"/>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semiHidden/>
    <w:rsid w:val="001C1232"/>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semiHidden/>
    <w:rsid w:val="001C1232"/>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semiHidden/>
    <w:rsid w:val="001C1232"/>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semiHidden/>
    <w:rsid w:val="001C1232"/>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semiHidden/>
    <w:rsid w:val="001C1232"/>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semiHidden/>
    <w:rsid w:val="001C1232"/>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semiHidden/>
    <w:rsid w:val="001C1232"/>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semiHidden/>
    <w:rsid w:val="001C1232"/>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semiHidden/>
    <w:rsid w:val="001C1232"/>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semiHidden/>
    <w:rsid w:val="001C1232"/>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semiHidden/>
    <w:rsid w:val="001C1232"/>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semiHidden/>
    <w:rsid w:val="001C1232"/>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semiHidden/>
    <w:rsid w:val="001C1232"/>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semiHidden/>
    <w:rsid w:val="001C1232"/>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442824">
      <w:bodyDiv w:val="1"/>
      <w:marLeft w:val="0"/>
      <w:marRight w:val="0"/>
      <w:marTop w:val="0"/>
      <w:marBottom w:val="0"/>
      <w:divBdr>
        <w:top w:val="none" w:sz="0" w:space="0" w:color="auto"/>
        <w:left w:val="none" w:sz="0" w:space="0" w:color="auto"/>
        <w:bottom w:val="none" w:sz="0" w:space="0" w:color="auto"/>
        <w:right w:val="none" w:sz="0" w:space="0" w:color="auto"/>
      </w:divBdr>
    </w:div>
    <w:div w:id="413163035">
      <w:bodyDiv w:val="1"/>
      <w:marLeft w:val="0"/>
      <w:marRight w:val="0"/>
      <w:marTop w:val="0"/>
      <w:marBottom w:val="0"/>
      <w:divBdr>
        <w:top w:val="none" w:sz="0" w:space="0" w:color="auto"/>
        <w:left w:val="none" w:sz="0" w:space="0" w:color="auto"/>
        <w:bottom w:val="none" w:sz="0" w:space="0" w:color="auto"/>
        <w:right w:val="none" w:sz="0" w:space="0" w:color="auto"/>
      </w:divBdr>
    </w:div>
    <w:div w:id="549073265">
      <w:bodyDiv w:val="1"/>
      <w:marLeft w:val="0"/>
      <w:marRight w:val="0"/>
      <w:marTop w:val="0"/>
      <w:marBottom w:val="0"/>
      <w:divBdr>
        <w:top w:val="none" w:sz="0" w:space="0" w:color="auto"/>
        <w:left w:val="none" w:sz="0" w:space="0" w:color="auto"/>
        <w:bottom w:val="none" w:sz="0" w:space="0" w:color="auto"/>
        <w:right w:val="none" w:sz="0" w:space="0" w:color="auto"/>
      </w:divBdr>
    </w:div>
    <w:div w:id="1207639392">
      <w:bodyDiv w:val="1"/>
      <w:marLeft w:val="0"/>
      <w:marRight w:val="0"/>
      <w:marTop w:val="0"/>
      <w:marBottom w:val="0"/>
      <w:divBdr>
        <w:top w:val="none" w:sz="0" w:space="0" w:color="auto"/>
        <w:left w:val="none" w:sz="0" w:space="0" w:color="auto"/>
        <w:bottom w:val="none" w:sz="0" w:space="0" w:color="auto"/>
        <w:right w:val="none" w:sz="0" w:space="0" w:color="auto"/>
      </w:divBdr>
    </w:div>
    <w:div w:id="1297180378">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1120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hudoc.echr.coe.int/sites/eng/Pages/search.aspx" TargetMode="External"/><Relationship Id="rId2" Type="http://schemas.openxmlformats.org/officeDocument/2006/relationships/hyperlink" Target="http://hudoc.echr.coe.int/sites/eng/Pages/search.aspx" TargetMode="External"/><Relationship Id="rId1" Type="http://schemas.openxmlformats.org/officeDocument/2006/relationships/hyperlink" Target="http://hudoc.echr.coe.int/sites/eng/Pages/search.aspx" TargetMode="External"/><Relationship Id="rId4" Type="http://schemas.openxmlformats.org/officeDocument/2006/relationships/hyperlink" Target="http://hudoc.echr.coe.int/sites/eng/Pages/search.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D3EA9-65DC-408E-AB78-A06EDC05CC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2DE88B-131D-4F80-B88E-7E8668912181}">
  <ds:schemaRefs>
    <ds:schemaRef ds:uri="http://schemas.microsoft.com/sharepoint/v3/contenttype/forms"/>
  </ds:schemaRefs>
</ds:datastoreItem>
</file>

<file path=customXml/itemProps3.xml><?xml version="1.0" encoding="utf-8"?>
<ds:datastoreItem xmlns:ds="http://schemas.openxmlformats.org/officeDocument/2006/customXml" ds:itemID="{10678BBB-C939-438D-A79F-8D2B7D6092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A261F58-C073-4F0D-A79B-20BE6FD66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34044</Words>
  <Characters>204267</Characters>
  <Application>Microsoft Office Word</Application>
  <DocSecurity>0</DocSecurity>
  <Lines>1702</Lines>
  <Paragraphs>475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237836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2018-01-11T10:20:00Z</dcterms:created>
  <dcterms:modified xsi:type="dcterms:W3CDTF">2018-01-11T10:20:00Z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