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06738" w14:textId="77777777" w:rsidR="00D146AC" w:rsidRPr="00AA4881" w:rsidRDefault="00D146AC" w:rsidP="00D146AC">
      <w:pPr>
        <w:pStyle w:val="s746c8714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A4881">
        <w:rPr>
          <w:rStyle w:val="s4f807e54"/>
          <w:rFonts w:ascii="Arial" w:hAnsi="Arial" w:cs="Arial"/>
          <w:sz w:val="20"/>
          <w:szCs w:val="20"/>
        </w:rPr>
        <w:t xml:space="preserve">© </w:t>
      </w:r>
      <w:r w:rsidRPr="00AA4881"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 w:rsidRPr="00AA4881">
        <w:rPr>
          <w:rStyle w:val="s4f807e54"/>
          <w:rFonts w:ascii="Arial" w:hAnsi="Arial" w:cs="Arial"/>
          <w:sz w:val="20"/>
          <w:szCs w:val="20"/>
        </w:rPr>
        <w:t xml:space="preserve">, </w:t>
      </w:r>
      <w:hyperlink r:id="rId7" w:history="1">
        <w:r w:rsidRPr="00AA4881">
          <w:rPr>
            <w:rStyle w:val="Hipercze"/>
            <w:rFonts w:ascii="Arial" w:eastAsia="MS Mincho" w:hAnsi="Arial" w:cs="Arial"/>
            <w:sz w:val="20"/>
            <w:szCs w:val="20"/>
          </w:rPr>
          <w:t>www.msz</w:t>
        </w:r>
        <w:r w:rsidRPr="00AA4881">
          <w:rPr>
            <w:rStyle w:val="Hipercze"/>
            <w:rFonts w:ascii="Arial" w:hAnsi="Arial" w:cs="Arial"/>
            <w:sz w:val="20"/>
            <w:szCs w:val="20"/>
          </w:rPr>
          <w:t>.gov.pl</w:t>
        </w:r>
      </w:hyperlink>
      <w:r w:rsidRPr="00AA4881"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 w:rsidRPr="00AA488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1A4D04C" w14:textId="77777777" w:rsidR="00D146AC" w:rsidRPr="00AA4881" w:rsidRDefault="00D146AC" w:rsidP="00D146AC">
      <w:pPr>
        <w:pStyle w:val="ClinEditionNumber"/>
        <w:jc w:val="center"/>
        <w:rPr>
          <w:lang w:val="pl-PL"/>
        </w:rPr>
      </w:pPr>
      <w:r w:rsidRPr="00AA4881">
        <w:rPr>
          <w:lang w:val="pl-PL"/>
        </w:rPr>
        <w:t>EUROPEJSKI TRYBUNAŁ PRAW CZŁOWIEKA</w:t>
      </w:r>
    </w:p>
    <w:p w14:paraId="1AD7BE51" w14:textId="77777777" w:rsidR="00D146AC" w:rsidRPr="00AA4881" w:rsidRDefault="00D146AC" w:rsidP="00D146AC">
      <w:pPr>
        <w:pStyle w:val="ClinEditionNumber"/>
        <w:rPr>
          <w:lang w:val="pl-PL"/>
        </w:rPr>
      </w:pPr>
      <w:r w:rsidRPr="00AA4881">
        <w:rPr>
          <w:lang w:val="pl-PL"/>
        </w:rPr>
        <w:t xml:space="preserve">Nota informacyjna nt. orzecznictwa Trybunału nr 204 </w:t>
      </w:r>
    </w:p>
    <w:p w14:paraId="61ACE092" w14:textId="626D1080" w:rsidR="005F51C3" w:rsidRPr="00AA4881" w:rsidRDefault="00D146AC">
      <w:pPr>
        <w:pStyle w:val="ClinEditionMonth"/>
        <w:rPr>
          <w:lang w:val="pl-PL"/>
        </w:rPr>
      </w:pPr>
      <w:r w:rsidRPr="00AA4881">
        <w:rPr>
          <w:lang w:val="pl-PL"/>
        </w:rPr>
        <w:t xml:space="preserve">Luty </w:t>
      </w:r>
      <w:r w:rsidR="003E6698" w:rsidRPr="00AA4881">
        <w:rPr>
          <w:lang w:val="pl-PL"/>
        </w:rPr>
        <w:t>2017</w:t>
      </w:r>
      <w:r w:rsidR="003A297D">
        <w:rPr>
          <w:lang w:val="pl-PL"/>
        </w:rPr>
        <w:t xml:space="preserve"> r.</w:t>
      </w:r>
    </w:p>
    <w:p w14:paraId="40303541" w14:textId="77777777" w:rsidR="005F51C3" w:rsidRPr="00AA4881" w:rsidRDefault="003E6698">
      <w:pPr>
        <w:rPr>
          <w:lang w:val="pl-PL"/>
        </w:rPr>
      </w:pPr>
      <w:r w:rsidRPr="00AA4881">
        <w:rPr>
          <w:rStyle w:val="ClinCaseTitle"/>
          <w:lang w:val="pl-PL"/>
        </w:rPr>
        <w:t xml:space="preserve">De Tommaso </w:t>
      </w:r>
      <w:r w:rsidR="00D146AC" w:rsidRPr="00AA4881">
        <w:rPr>
          <w:rStyle w:val="ClinCaseTitle"/>
          <w:lang w:val="pl-PL"/>
        </w:rPr>
        <w:t>p</w:t>
      </w:r>
      <w:r w:rsidRPr="00AA4881">
        <w:rPr>
          <w:rStyle w:val="ClinCaseTitle"/>
          <w:lang w:val="pl-PL"/>
        </w:rPr>
        <w:t xml:space="preserve">. </w:t>
      </w:r>
      <w:r w:rsidR="00D146AC" w:rsidRPr="00AA4881">
        <w:rPr>
          <w:rStyle w:val="ClinCaseTitle"/>
          <w:lang w:val="pl-PL"/>
        </w:rPr>
        <w:t>Włochom</w:t>
      </w:r>
      <w:r w:rsidRPr="00AA4881">
        <w:rPr>
          <w:rStyle w:val="ClinCaseTitle"/>
          <w:lang w:val="pl-PL"/>
        </w:rPr>
        <w:t xml:space="preserve"> [</w:t>
      </w:r>
      <w:r w:rsidR="00D146AC" w:rsidRPr="00AA4881">
        <w:rPr>
          <w:rStyle w:val="ClinCaseTitle"/>
          <w:lang w:val="pl-PL"/>
        </w:rPr>
        <w:t>Wielka Izba</w:t>
      </w:r>
      <w:r w:rsidRPr="00AA4881">
        <w:rPr>
          <w:rStyle w:val="ClinCaseTitle"/>
          <w:lang w:val="pl-PL"/>
        </w:rPr>
        <w:t>]</w:t>
      </w:r>
      <w:r w:rsidRPr="00AA4881">
        <w:rPr>
          <w:rStyle w:val="ClinApplicationNumber"/>
          <w:lang w:val="pl-PL"/>
        </w:rPr>
        <w:t xml:space="preserve"> </w:t>
      </w:r>
      <w:r w:rsidR="00D146AC" w:rsidRPr="00AA4881">
        <w:rPr>
          <w:rStyle w:val="ClinApplicationNumber"/>
          <w:lang w:val="pl-PL"/>
        </w:rPr>
        <w:t>–</w:t>
      </w:r>
      <w:r w:rsidRPr="00AA4881">
        <w:rPr>
          <w:rStyle w:val="ClinApplicationNumber"/>
          <w:lang w:val="pl-PL"/>
        </w:rPr>
        <w:t xml:space="preserve"> </w:t>
      </w:r>
      <w:r w:rsidR="00D146AC" w:rsidRPr="00AA4881">
        <w:rPr>
          <w:rStyle w:val="ClinApplicationNumber"/>
          <w:lang w:val="pl-PL"/>
        </w:rPr>
        <w:t xml:space="preserve">skarga nr </w:t>
      </w:r>
      <w:r w:rsidRPr="00AA4881">
        <w:rPr>
          <w:rStyle w:val="ClinApplicationNumber"/>
          <w:lang w:val="pl-PL"/>
        </w:rPr>
        <w:t>43395/09</w:t>
      </w:r>
    </w:p>
    <w:p w14:paraId="1477CDE4" w14:textId="77777777" w:rsidR="005F51C3" w:rsidRPr="00AA4881" w:rsidRDefault="00D146AC">
      <w:pPr>
        <w:rPr>
          <w:lang w:val="pl-PL"/>
        </w:rPr>
      </w:pPr>
      <w:r w:rsidRPr="00AA4881">
        <w:rPr>
          <w:rStyle w:val="ClinHudocDocumentTitle"/>
          <w:lang w:val="pl-PL"/>
        </w:rPr>
        <w:t>Wyrok z</w:t>
      </w:r>
      <w:r w:rsidR="003E6698" w:rsidRPr="00AA4881">
        <w:rPr>
          <w:rStyle w:val="ClinHudocDocumentTitle"/>
          <w:lang w:val="pl-PL"/>
        </w:rPr>
        <w:t xml:space="preserve"> 23.</w:t>
      </w:r>
      <w:r w:rsidRPr="00AA4881">
        <w:rPr>
          <w:rStyle w:val="ClinHudocDocumentTitle"/>
          <w:lang w:val="pl-PL"/>
        </w:rPr>
        <w:t>0</w:t>
      </w:r>
      <w:r w:rsidR="003E6698" w:rsidRPr="00AA4881">
        <w:rPr>
          <w:rStyle w:val="ClinHudocDocumentTitle"/>
          <w:lang w:val="pl-PL"/>
        </w:rPr>
        <w:t>2.2017</w:t>
      </w:r>
      <w:r w:rsidRPr="00AA4881">
        <w:rPr>
          <w:rStyle w:val="ClinHudocDocumentTitle"/>
          <w:lang w:val="pl-PL"/>
        </w:rPr>
        <w:t xml:space="preserve"> r.</w:t>
      </w:r>
      <w:r w:rsidR="003E6698" w:rsidRPr="00AA4881">
        <w:rPr>
          <w:rStyle w:val="ClinSectionName"/>
          <w:lang w:val="pl-PL"/>
        </w:rPr>
        <w:t xml:space="preserve"> [</w:t>
      </w:r>
      <w:r w:rsidRPr="00AA4881">
        <w:rPr>
          <w:rStyle w:val="ClinSectionName"/>
          <w:lang w:val="pl-PL"/>
        </w:rPr>
        <w:t>Wielka Izba</w:t>
      </w:r>
      <w:r w:rsidR="003E6698" w:rsidRPr="00AA4881">
        <w:rPr>
          <w:rStyle w:val="ClinSectionName"/>
          <w:lang w:val="pl-PL"/>
        </w:rPr>
        <w:t>]</w:t>
      </w:r>
    </w:p>
    <w:p w14:paraId="53225E0C" w14:textId="77777777" w:rsidR="005F51C3" w:rsidRPr="00AA4881" w:rsidRDefault="003E6698">
      <w:pPr>
        <w:pStyle w:val="ClinMainKeywordCode"/>
        <w:rPr>
          <w:lang w:val="pl-PL"/>
        </w:rPr>
      </w:pPr>
      <w:r w:rsidRPr="00AA4881">
        <w:rPr>
          <w:lang w:val="pl-PL"/>
        </w:rPr>
        <w:t>Art</w:t>
      </w:r>
      <w:r w:rsidR="00D146AC" w:rsidRPr="00AA4881">
        <w:rPr>
          <w:lang w:val="pl-PL"/>
        </w:rPr>
        <w:t>.</w:t>
      </w:r>
      <w:r w:rsidRPr="00AA4881">
        <w:rPr>
          <w:lang w:val="pl-PL"/>
        </w:rPr>
        <w:t xml:space="preserve"> 2 Proto</w:t>
      </w:r>
      <w:r w:rsidR="00D146AC" w:rsidRPr="00AA4881">
        <w:rPr>
          <w:lang w:val="pl-PL"/>
        </w:rPr>
        <w:t>kołu nr</w:t>
      </w:r>
      <w:r w:rsidRPr="00AA4881">
        <w:rPr>
          <w:lang w:val="pl-PL"/>
        </w:rPr>
        <w:t xml:space="preserve"> 4</w:t>
      </w:r>
    </w:p>
    <w:p w14:paraId="687ED15E" w14:textId="77777777" w:rsidR="005F51C3" w:rsidRPr="00AA4881" w:rsidRDefault="003E6698">
      <w:pPr>
        <w:pStyle w:val="ClinChildKeywordCode"/>
        <w:rPr>
          <w:lang w:val="pl-PL"/>
        </w:rPr>
      </w:pPr>
      <w:r w:rsidRPr="00AA4881">
        <w:rPr>
          <w:lang w:val="pl-PL"/>
        </w:rPr>
        <w:t>Art</w:t>
      </w:r>
      <w:r w:rsidR="00D146AC" w:rsidRPr="00AA4881">
        <w:rPr>
          <w:lang w:val="pl-PL"/>
        </w:rPr>
        <w:t>.</w:t>
      </w:r>
      <w:r w:rsidRPr="00AA4881">
        <w:rPr>
          <w:lang w:val="pl-PL"/>
        </w:rPr>
        <w:t xml:space="preserve"> 2 </w:t>
      </w:r>
      <w:r w:rsidR="00D146AC" w:rsidRPr="00AA4881">
        <w:rPr>
          <w:lang w:val="pl-PL"/>
        </w:rPr>
        <w:t>ust</w:t>
      </w:r>
      <w:r w:rsidRPr="00AA4881">
        <w:rPr>
          <w:lang w:val="pl-PL"/>
        </w:rPr>
        <w:t>. 1 Proto</w:t>
      </w:r>
      <w:r w:rsidR="00D146AC" w:rsidRPr="00AA4881">
        <w:rPr>
          <w:lang w:val="pl-PL"/>
        </w:rPr>
        <w:t>kołu</w:t>
      </w:r>
      <w:r w:rsidRPr="00AA4881">
        <w:rPr>
          <w:lang w:val="pl-PL"/>
        </w:rPr>
        <w:t xml:space="preserve"> </w:t>
      </w:r>
      <w:r w:rsidR="00D146AC" w:rsidRPr="00AA4881">
        <w:rPr>
          <w:lang w:val="pl-PL"/>
        </w:rPr>
        <w:t>nr</w:t>
      </w:r>
      <w:r w:rsidRPr="00AA4881">
        <w:rPr>
          <w:lang w:val="pl-PL"/>
        </w:rPr>
        <w:t xml:space="preserve"> 4</w:t>
      </w:r>
    </w:p>
    <w:p w14:paraId="6432E946" w14:textId="77777777" w:rsidR="005F51C3" w:rsidRPr="00AA4881" w:rsidRDefault="00D146AC">
      <w:pPr>
        <w:pStyle w:val="ClinKeyword"/>
        <w:rPr>
          <w:lang w:val="pl-PL"/>
        </w:rPr>
      </w:pPr>
      <w:r w:rsidRPr="00AA4881">
        <w:rPr>
          <w:lang w:val="pl-PL"/>
        </w:rPr>
        <w:t xml:space="preserve">Prawo do swobodnego poruszania się </w:t>
      </w:r>
    </w:p>
    <w:p w14:paraId="102C1260" w14:textId="2CB2D707" w:rsidR="00D146AC" w:rsidRPr="00AA4881" w:rsidRDefault="00D146AC" w:rsidP="00E66034">
      <w:pPr>
        <w:jc w:val="both"/>
        <w:rPr>
          <w:i/>
          <w:lang w:val="pl-PL"/>
        </w:rPr>
      </w:pPr>
      <w:r w:rsidRPr="00AA4881">
        <w:rPr>
          <w:rStyle w:val="ClinConclusions"/>
          <w:i w:val="0"/>
          <w:lang w:val="pl-PL"/>
        </w:rPr>
        <w:t>Brak jasności ustawodawstwa włoskiego dotyczącego stosowania zarządzeń</w:t>
      </w:r>
      <w:r w:rsidR="00E66034" w:rsidRPr="00AA4881">
        <w:rPr>
          <w:rStyle w:val="ClinConclusions"/>
          <w:i w:val="0"/>
          <w:lang w:val="pl-PL"/>
        </w:rPr>
        <w:t xml:space="preserve"> </w:t>
      </w:r>
      <w:proofErr w:type="spellStart"/>
      <w:r w:rsidR="00E66034" w:rsidRPr="00AA4881">
        <w:rPr>
          <w:rStyle w:val="ClinConclusions"/>
          <w:i w:val="0"/>
          <w:lang w:val="pl-PL"/>
        </w:rPr>
        <w:t>ws</w:t>
      </w:r>
      <w:proofErr w:type="spellEnd"/>
      <w:r w:rsidR="00E66034" w:rsidRPr="00AA4881">
        <w:rPr>
          <w:rStyle w:val="ClinConclusions"/>
          <w:i w:val="0"/>
          <w:lang w:val="pl-PL"/>
        </w:rPr>
        <w:t>.</w:t>
      </w:r>
      <w:r w:rsidR="003A297D">
        <w:rPr>
          <w:rStyle w:val="ClinConclusions"/>
          <w:i w:val="0"/>
          <w:lang w:val="pl-PL"/>
        </w:rPr>
        <w:t> </w:t>
      </w:r>
      <w:r w:rsidR="005A2E97">
        <w:rPr>
          <w:rStyle w:val="ClinConclusions"/>
          <w:i w:val="0"/>
          <w:lang w:val="pl-PL"/>
        </w:rPr>
        <w:t>„</w:t>
      </w:r>
      <w:r w:rsidR="00FA0857" w:rsidRPr="00AA4881">
        <w:rPr>
          <w:rStyle w:val="ClinConclusions"/>
          <w:i w:val="0"/>
          <w:lang w:val="pl-PL"/>
        </w:rPr>
        <w:t>szczególnego</w:t>
      </w:r>
      <w:r w:rsidRPr="00AA4881">
        <w:rPr>
          <w:rStyle w:val="ClinConclusions"/>
          <w:i w:val="0"/>
          <w:lang w:val="pl-PL"/>
        </w:rPr>
        <w:t xml:space="preserve"> dozoru policyjnego” wobec osób uznawanych za zagrożenie dla</w:t>
      </w:r>
      <w:r w:rsidR="005003FF">
        <w:rPr>
          <w:rStyle w:val="ClinConclusions"/>
          <w:i w:val="0"/>
          <w:lang w:val="pl-PL"/>
        </w:rPr>
        <w:t> </w:t>
      </w:r>
      <w:r w:rsidRPr="00AA4881">
        <w:rPr>
          <w:rStyle w:val="ClinConclusions"/>
          <w:i w:val="0"/>
          <w:lang w:val="pl-PL"/>
        </w:rPr>
        <w:t xml:space="preserve">społeczeństwa: </w:t>
      </w:r>
      <w:r w:rsidRPr="00AA4881">
        <w:rPr>
          <w:rStyle w:val="ClinConclusions"/>
          <w:lang w:val="pl-PL"/>
        </w:rPr>
        <w:t>naruszenie</w:t>
      </w:r>
    </w:p>
    <w:p w14:paraId="05C9AE97" w14:textId="77777777" w:rsidR="005F51C3" w:rsidRPr="00AA4881" w:rsidRDefault="003E6698">
      <w:pPr>
        <w:pStyle w:val="ClinMainKeywordCode"/>
        <w:rPr>
          <w:lang w:val="pl-PL"/>
        </w:rPr>
      </w:pPr>
      <w:r w:rsidRPr="00AA4881">
        <w:rPr>
          <w:lang w:val="pl-PL"/>
        </w:rPr>
        <w:t>Art</w:t>
      </w:r>
      <w:r w:rsidR="00D146AC" w:rsidRPr="00AA4881">
        <w:rPr>
          <w:lang w:val="pl-PL"/>
        </w:rPr>
        <w:t>.</w:t>
      </w:r>
      <w:r w:rsidRPr="00AA4881">
        <w:rPr>
          <w:lang w:val="pl-PL"/>
        </w:rPr>
        <w:t xml:space="preserve"> 5</w:t>
      </w:r>
    </w:p>
    <w:p w14:paraId="253B95CC" w14:textId="77777777" w:rsidR="005F51C3" w:rsidRPr="00AA4881" w:rsidRDefault="003E6698">
      <w:pPr>
        <w:pStyle w:val="ClinChildKeywordCode"/>
        <w:rPr>
          <w:lang w:val="pl-PL"/>
        </w:rPr>
      </w:pPr>
      <w:r w:rsidRPr="00AA4881">
        <w:rPr>
          <w:lang w:val="pl-PL"/>
        </w:rPr>
        <w:t>Art</w:t>
      </w:r>
      <w:r w:rsidR="00D146AC" w:rsidRPr="00AA4881">
        <w:rPr>
          <w:lang w:val="pl-PL"/>
        </w:rPr>
        <w:t>.</w:t>
      </w:r>
      <w:r w:rsidRPr="00AA4881">
        <w:rPr>
          <w:lang w:val="pl-PL"/>
        </w:rPr>
        <w:t xml:space="preserve"> 5</w:t>
      </w:r>
      <w:r w:rsidR="00D146AC" w:rsidRPr="00AA4881">
        <w:rPr>
          <w:lang w:val="pl-PL"/>
        </w:rPr>
        <w:t xml:space="preserve"> ust. </w:t>
      </w:r>
      <w:r w:rsidRPr="00AA4881">
        <w:rPr>
          <w:lang w:val="pl-PL"/>
        </w:rPr>
        <w:t>1</w:t>
      </w:r>
    </w:p>
    <w:p w14:paraId="79EE7CC3" w14:textId="20BB0507" w:rsidR="005F51C3" w:rsidRPr="00AA4881" w:rsidRDefault="003A297D">
      <w:pPr>
        <w:pStyle w:val="ClinKeyword"/>
        <w:rPr>
          <w:lang w:val="pl-PL"/>
        </w:rPr>
      </w:pPr>
      <w:r>
        <w:rPr>
          <w:lang w:val="pl-PL"/>
        </w:rPr>
        <w:t>Pozbawienie wolności</w:t>
      </w:r>
    </w:p>
    <w:p w14:paraId="0D144670" w14:textId="77777777" w:rsidR="00D146AC" w:rsidRPr="00AA4881" w:rsidRDefault="00D146AC" w:rsidP="00E66034">
      <w:pPr>
        <w:jc w:val="both"/>
        <w:rPr>
          <w:lang w:val="pl-PL"/>
        </w:rPr>
      </w:pPr>
      <w:r w:rsidRPr="00AA4881">
        <w:rPr>
          <w:rStyle w:val="ClinConclusions"/>
          <w:i w:val="0"/>
          <w:lang w:val="pl-PL"/>
        </w:rPr>
        <w:t>Nałożenie na osobę uznaną za zagrożenie dla społeczeństwa środków za</w:t>
      </w:r>
      <w:r w:rsidR="007C4541" w:rsidRPr="00AA4881">
        <w:rPr>
          <w:rStyle w:val="ClinConclusions"/>
          <w:i w:val="0"/>
          <w:lang w:val="pl-PL"/>
        </w:rPr>
        <w:t>bezpieczających</w:t>
      </w:r>
      <w:r w:rsidRPr="00AA4881">
        <w:rPr>
          <w:rStyle w:val="ClinConclusions"/>
          <w:i w:val="0"/>
          <w:lang w:val="pl-PL"/>
        </w:rPr>
        <w:t xml:space="preserve"> pociągających za sobą ograniczeni</w:t>
      </w:r>
      <w:r w:rsidR="00E66034" w:rsidRPr="00AA4881">
        <w:rPr>
          <w:rStyle w:val="ClinConclusions"/>
          <w:i w:val="0"/>
          <w:lang w:val="pl-PL"/>
        </w:rPr>
        <w:t>e</w:t>
      </w:r>
      <w:r w:rsidRPr="00AA4881">
        <w:rPr>
          <w:rStyle w:val="ClinConclusions"/>
          <w:i w:val="0"/>
          <w:lang w:val="pl-PL"/>
        </w:rPr>
        <w:t xml:space="preserve"> prawa do swobodnego poruszania się:</w:t>
      </w:r>
      <w:r w:rsidRPr="00AA4881">
        <w:rPr>
          <w:rStyle w:val="ClinConclusions"/>
          <w:lang w:val="pl-PL"/>
        </w:rPr>
        <w:t xml:space="preserve"> art. 5 nie ma zastosowania</w:t>
      </w:r>
    </w:p>
    <w:p w14:paraId="5DDEE84A" w14:textId="77777777" w:rsidR="005F51C3" w:rsidRPr="00AA4881" w:rsidRDefault="003E6698">
      <w:pPr>
        <w:pStyle w:val="ClinMainKeywordCode"/>
        <w:rPr>
          <w:lang w:val="pl-PL"/>
        </w:rPr>
      </w:pPr>
      <w:r w:rsidRPr="00AA4881">
        <w:rPr>
          <w:lang w:val="pl-PL"/>
        </w:rPr>
        <w:t>Art</w:t>
      </w:r>
      <w:r w:rsidR="00D146AC" w:rsidRPr="00AA4881">
        <w:rPr>
          <w:lang w:val="pl-PL"/>
        </w:rPr>
        <w:t>.</w:t>
      </w:r>
      <w:r w:rsidRPr="00AA4881">
        <w:rPr>
          <w:lang w:val="pl-PL"/>
        </w:rPr>
        <w:t xml:space="preserve"> 6</w:t>
      </w:r>
    </w:p>
    <w:p w14:paraId="4B82422A" w14:textId="77777777" w:rsidR="005F51C3" w:rsidRPr="00AA4881" w:rsidRDefault="00D146AC">
      <w:pPr>
        <w:pStyle w:val="ClinKeyword"/>
        <w:rPr>
          <w:lang w:val="pl-PL"/>
        </w:rPr>
      </w:pPr>
      <w:r w:rsidRPr="00AA4881">
        <w:rPr>
          <w:lang w:val="pl-PL"/>
        </w:rPr>
        <w:t>Postępowanie cywilne</w:t>
      </w:r>
    </w:p>
    <w:p w14:paraId="5F311295" w14:textId="77777777" w:rsidR="005F51C3" w:rsidRPr="00AA4881" w:rsidRDefault="003E6698">
      <w:pPr>
        <w:pStyle w:val="ClinChildKeywordCode"/>
        <w:rPr>
          <w:lang w:val="pl-PL"/>
        </w:rPr>
      </w:pPr>
      <w:r w:rsidRPr="00AA4881">
        <w:rPr>
          <w:lang w:val="pl-PL"/>
        </w:rPr>
        <w:t>Art</w:t>
      </w:r>
      <w:r w:rsidR="00D146AC" w:rsidRPr="00AA4881">
        <w:rPr>
          <w:lang w:val="pl-PL"/>
        </w:rPr>
        <w:t>.</w:t>
      </w:r>
      <w:r w:rsidRPr="00AA4881">
        <w:rPr>
          <w:lang w:val="pl-PL"/>
        </w:rPr>
        <w:t xml:space="preserve"> 6</w:t>
      </w:r>
      <w:r w:rsidR="00D146AC" w:rsidRPr="00AA4881">
        <w:rPr>
          <w:lang w:val="pl-PL"/>
        </w:rPr>
        <w:t xml:space="preserve"> ust. </w:t>
      </w:r>
      <w:r w:rsidRPr="00AA4881">
        <w:rPr>
          <w:lang w:val="pl-PL"/>
        </w:rPr>
        <w:t>1</w:t>
      </w:r>
    </w:p>
    <w:p w14:paraId="78A2C959" w14:textId="77777777" w:rsidR="005F51C3" w:rsidRPr="00AA4881" w:rsidRDefault="00D146AC">
      <w:pPr>
        <w:pStyle w:val="ClinKeyword"/>
        <w:rPr>
          <w:lang w:val="pl-PL"/>
        </w:rPr>
      </w:pPr>
      <w:r w:rsidRPr="00AA4881">
        <w:rPr>
          <w:lang w:val="pl-PL"/>
        </w:rPr>
        <w:t xml:space="preserve">Prawa i obowiązki o charakterze cywilnym </w:t>
      </w:r>
    </w:p>
    <w:p w14:paraId="181358C4" w14:textId="77777777" w:rsidR="005F51C3" w:rsidRPr="00AA4881" w:rsidRDefault="00D146AC">
      <w:pPr>
        <w:pStyle w:val="ClinKeyword"/>
        <w:rPr>
          <w:lang w:val="pl-PL"/>
        </w:rPr>
      </w:pPr>
      <w:r w:rsidRPr="00AA4881">
        <w:rPr>
          <w:lang w:val="pl-PL"/>
        </w:rPr>
        <w:t xml:space="preserve">Publiczne rozpatrzenie sprawy </w:t>
      </w:r>
    </w:p>
    <w:p w14:paraId="39410D61" w14:textId="155B07B7" w:rsidR="00D146AC" w:rsidRPr="00AA4881" w:rsidRDefault="00D146AC" w:rsidP="005003FF">
      <w:pPr>
        <w:jc w:val="both"/>
        <w:rPr>
          <w:lang w:val="pl-PL"/>
        </w:rPr>
      </w:pPr>
      <w:r w:rsidRPr="00AA4881">
        <w:rPr>
          <w:rStyle w:val="ClinConclusions"/>
          <w:i w:val="0"/>
          <w:lang w:val="pl-PL"/>
        </w:rPr>
        <w:t>Nałożenie środków za</w:t>
      </w:r>
      <w:r w:rsidR="007C4541" w:rsidRPr="00AA4881">
        <w:rPr>
          <w:rStyle w:val="ClinConclusions"/>
          <w:i w:val="0"/>
          <w:lang w:val="pl-PL"/>
        </w:rPr>
        <w:t>bezpieczających</w:t>
      </w:r>
      <w:r w:rsidRPr="00AA4881">
        <w:rPr>
          <w:rStyle w:val="ClinConclusions"/>
          <w:i w:val="0"/>
          <w:lang w:val="pl-PL"/>
        </w:rPr>
        <w:t xml:space="preserve"> bez publiczne</w:t>
      </w:r>
      <w:r w:rsidR="00E66034" w:rsidRPr="00AA4881">
        <w:rPr>
          <w:rStyle w:val="ClinConclusions"/>
          <w:i w:val="0"/>
          <w:lang w:val="pl-PL"/>
        </w:rPr>
        <w:t>go rozpatrzenia sprawy</w:t>
      </w:r>
      <w:r w:rsidRPr="00AA4881">
        <w:rPr>
          <w:rStyle w:val="ClinConclusions"/>
          <w:i w:val="0"/>
          <w:lang w:val="pl-PL"/>
        </w:rPr>
        <w:t xml:space="preserve">: </w:t>
      </w:r>
      <w:r w:rsidR="000929E7">
        <w:rPr>
          <w:rStyle w:val="ClinConclusions"/>
          <w:lang w:val="pl-PL"/>
        </w:rPr>
        <w:t>a</w:t>
      </w:r>
      <w:r w:rsidRPr="00AA4881">
        <w:rPr>
          <w:rStyle w:val="ClinConclusions"/>
          <w:lang w:val="pl-PL"/>
        </w:rPr>
        <w:t>rt. 6 ma</w:t>
      </w:r>
      <w:r w:rsidR="005003FF">
        <w:rPr>
          <w:rStyle w:val="ClinConclusions"/>
          <w:lang w:val="pl-PL"/>
        </w:rPr>
        <w:t> </w:t>
      </w:r>
      <w:r w:rsidRPr="00AA4881">
        <w:rPr>
          <w:rStyle w:val="ClinConclusions"/>
          <w:lang w:val="pl-PL"/>
        </w:rPr>
        <w:t xml:space="preserve">zastosowanie; naruszenie </w:t>
      </w:r>
    </w:p>
    <w:p w14:paraId="0FAB023B" w14:textId="20556C8E" w:rsidR="00D146AC" w:rsidRPr="00AA4881" w:rsidRDefault="00D146AC">
      <w:pPr>
        <w:pStyle w:val="ClinContent"/>
        <w:rPr>
          <w:lang w:val="pl-PL"/>
        </w:rPr>
      </w:pPr>
      <w:r w:rsidRPr="00AA4881">
        <w:rPr>
          <w:lang w:val="pl-PL"/>
        </w:rPr>
        <w:t xml:space="preserve">Fakty – Prawo włoskie przewiduje możliwość nałożenia </w:t>
      </w:r>
      <w:r w:rsidRPr="003A297D">
        <w:rPr>
          <w:lang w:val="pl-PL"/>
        </w:rPr>
        <w:t xml:space="preserve">środków </w:t>
      </w:r>
      <w:r w:rsidR="002E5CAA" w:rsidRPr="003A297D">
        <w:rPr>
          <w:lang w:val="pl-PL"/>
        </w:rPr>
        <w:t>„</w:t>
      </w:r>
      <w:r w:rsidRPr="003A297D">
        <w:rPr>
          <w:lang w:val="pl-PL"/>
        </w:rPr>
        <w:t>za</w:t>
      </w:r>
      <w:r w:rsidR="007C4541" w:rsidRPr="003A297D">
        <w:rPr>
          <w:lang w:val="pl-PL"/>
        </w:rPr>
        <w:t>bezpieczających</w:t>
      </w:r>
      <w:r w:rsidRPr="003A297D">
        <w:rPr>
          <w:lang w:val="pl-PL"/>
        </w:rPr>
        <w:t>” –</w:t>
      </w:r>
      <w:r w:rsidRPr="00AA4881">
        <w:rPr>
          <w:lang w:val="pl-PL"/>
        </w:rPr>
        <w:t>obejmujących ograniczeni</w:t>
      </w:r>
      <w:r w:rsidR="003B7C72" w:rsidRPr="00AA4881">
        <w:rPr>
          <w:lang w:val="pl-PL"/>
        </w:rPr>
        <w:t>a</w:t>
      </w:r>
      <w:r w:rsidRPr="00AA4881">
        <w:rPr>
          <w:lang w:val="pl-PL"/>
        </w:rPr>
        <w:t xml:space="preserve"> różnych wolności – na „osoby stanowiące zagrożenie dla</w:t>
      </w:r>
      <w:r w:rsidR="005003FF">
        <w:rPr>
          <w:lang w:val="pl-PL"/>
        </w:rPr>
        <w:t> </w:t>
      </w:r>
      <w:r w:rsidRPr="00AA4881">
        <w:rPr>
          <w:lang w:val="pl-PL"/>
        </w:rPr>
        <w:t>bezpieczeństwa i moralności publicznej” (ustawa nr 1423 z dnia 27 grudnia 1956 r.).</w:t>
      </w:r>
    </w:p>
    <w:p w14:paraId="2E81498E" w14:textId="0C68509B" w:rsidR="00D146AC" w:rsidRPr="00AA4881" w:rsidRDefault="00D146AC">
      <w:pPr>
        <w:pStyle w:val="ClinContent"/>
        <w:rPr>
          <w:lang w:val="pl-PL"/>
        </w:rPr>
      </w:pPr>
      <w:r w:rsidRPr="00AA4881">
        <w:rPr>
          <w:lang w:val="pl-PL"/>
        </w:rPr>
        <w:t xml:space="preserve">Skarżący został wcześniej kilkakrotnie skazany za przestępstwa, w tym handel narkotykami oraz nielegalne posiadanie broni. W 2007 r. </w:t>
      </w:r>
      <w:r w:rsidR="00CB7AAE" w:rsidRPr="00AA4881">
        <w:rPr>
          <w:lang w:val="pl-PL"/>
        </w:rPr>
        <w:t xml:space="preserve">w oparciu o utrzymujące się </w:t>
      </w:r>
      <w:r w:rsidR="00CB7AAE" w:rsidRPr="00AA4881">
        <w:rPr>
          <w:lang w:val="pl-PL"/>
        </w:rPr>
        <w:lastRenderedPageBreak/>
        <w:t xml:space="preserve">podejrzenia co do zachowania skarżącego i źródeł </w:t>
      </w:r>
      <w:r w:rsidR="00E66034" w:rsidRPr="00AA4881">
        <w:rPr>
          <w:lang w:val="pl-PL"/>
        </w:rPr>
        <w:t xml:space="preserve">jego </w:t>
      </w:r>
      <w:r w:rsidR="00CB7AAE" w:rsidRPr="00AA4881">
        <w:rPr>
          <w:lang w:val="pl-PL"/>
        </w:rPr>
        <w:t xml:space="preserve">dochodów </w:t>
      </w:r>
      <w:r w:rsidRPr="00AA4881">
        <w:rPr>
          <w:lang w:val="pl-PL"/>
        </w:rPr>
        <w:t xml:space="preserve">prokurator </w:t>
      </w:r>
      <w:r w:rsidR="002B1655" w:rsidRPr="00AA4881">
        <w:rPr>
          <w:lang w:val="pl-PL"/>
        </w:rPr>
        <w:t>zalecił poddanie go „s</w:t>
      </w:r>
      <w:r w:rsidR="00FA0857" w:rsidRPr="00AA4881">
        <w:rPr>
          <w:lang w:val="pl-PL"/>
        </w:rPr>
        <w:t>zczególnemu</w:t>
      </w:r>
      <w:r w:rsidR="002B1655" w:rsidRPr="00AA4881">
        <w:rPr>
          <w:lang w:val="pl-PL"/>
        </w:rPr>
        <w:t xml:space="preserve"> dozorowi policyjnemu” zgodnie ze wskazaną wyżej ustawą. W 2008 r. sąd rejonowy nałożył wnioskowany środek, obejmujący następujący zestaw obowiązków </w:t>
      </w:r>
      <w:r w:rsidR="00E66034" w:rsidRPr="00AA4881">
        <w:rPr>
          <w:lang w:val="pl-PL"/>
        </w:rPr>
        <w:t>przez</w:t>
      </w:r>
      <w:r w:rsidR="002B1655" w:rsidRPr="00AA4881">
        <w:rPr>
          <w:lang w:val="pl-PL"/>
        </w:rPr>
        <w:t xml:space="preserve"> okres dwóch lat: st</w:t>
      </w:r>
      <w:r w:rsidR="00E66034" w:rsidRPr="00AA4881">
        <w:rPr>
          <w:lang w:val="pl-PL"/>
        </w:rPr>
        <w:t>awianie się raz na tydzień w jednostce</w:t>
      </w:r>
      <w:r w:rsidR="002B1655" w:rsidRPr="00AA4881">
        <w:rPr>
          <w:lang w:val="pl-PL"/>
        </w:rPr>
        <w:t xml:space="preserve"> policji wła</w:t>
      </w:r>
      <w:r w:rsidR="00E66034" w:rsidRPr="00AA4881">
        <w:rPr>
          <w:lang w:val="pl-PL"/>
        </w:rPr>
        <w:t>ściwej</w:t>
      </w:r>
      <w:r w:rsidR="00CB7AAE" w:rsidRPr="00AA4881">
        <w:rPr>
          <w:lang w:val="pl-PL"/>
        </w:rPr>
        <w:t xml:space="preserve"> w sprawie nadzoru; </w:t>
      </w:r>
      <w:r w:rsidR="00CC66F4">
        <w:rPr>
          <w:lang w:val="pl-PL"/>
        </w:rPr>
        <w:t xml:space="preserve">podjęcie </w:t>
      </w:r>
      <w:r w:rsidR="00CB7AAE" w:rsidRPr="00AA4881">
        <w:rPr>
          <w:lang w:val="pl-PL"/>
        </w:rPr>
        <w:t>poszuk</w:t>
      </w:r>
      <w:r w:rsidR="00CC66F4">
        <w:rPr>
          <w:lang w:val="pl-PL"/>
        </w:rPr>
        <w:t>iwania</w:t>
      </w:r>
      <w:r w:rsidR="002B1655" w:rsidRPr="00AA4881">
        <w:rPr>
          <w:lang w:val="pl-PL"/>
        </w:rPr>
        <w:t xml:space="preserve"> pracy w ciągu miesiąca; niezmienianie miejsca zamieszkania; prowadzenie </w:t>
      </w:r>
      <w:r w:rsidR="00E66034" w:rsidRPr="00AA4881">
        <w:rPr>
          <w:lang w:val="pl-PL"/>
        </w:rPr>
        <w:t xml:space="preserve">życia </w:t>
      </w:r>
      <w:r w:rsidR="002B1655" w:rsidRPr="00AA4881">
        <w:rPr>
          <w:lang w:val="pl-PL"/>
        </w:rPr>
        <w:t xml:space="preserve">uczciwego i </w:t>
      </w:r>
      <w:r w:rsidR="00CB7AAE" w:rsidRPr="00AA4881">
        <w:rPr>
          <w:lang w:val="pl-PL"/>
        </w:rPr>
        <w:t xml:space="preserve">w zgodzie </w:t>
      </w:r>
      <w:r w:rsidR="002B1655" w:rsidRPr="00AA4881">
        <w:rPr>
          <w:lang w:val="pl-PL"/>
        </w:rPr>
        <w:t xml:space="preserve">z prawem </w:t>
      </w:r>
      <w:r w:rsidR="00E66034" w:rsidRPr="00AA4881">
        <w:rPr>
          <w:lang w:val="pl-PL"/>
        </w:rPr>
        <w:t>oraz</w:t>
      </w:r>
      <w:r w:rsidR="002B1655" w:rsidRPr="00AA4881">
        <w:rPr>
          <w:lang w:val="pl-PL"/>
        </w:rPr>
        <w:t xml:space="preserve"> niedawanie podstaw do podejrzeń; niezadawanie się z osobami mającymi przeszłość kryminalną i podlegający</w:t>
      </w:r>
      <w:r w:rsidR="00104AF8">
        <w:rPr>
          <w:lang w:val="pl-PL"/>
        </w:rPr>
        <w:t>mi</w:t>
      </w:r>
      <w:r w:rsidR="002B1655" w:rsidRPr="00AA4881">
        <w:rPr>
          <w:lang w:val="pl-PL"/>
        </w:rPr>
        <w:t xml:space="preserve"> środkom za</w:t>
      </w:r>
      <w:r w:rsidR="00C4396C" w:rsidRPr="00AA4881">
        <w:rPr>
          <w:lang w:val="pl-PL"/>
        </w:rPr>
        <w:t>bezpieczającym</w:t>
      </w:r>
      <w:r w:rsidR="002B1655" w:rsidRPr="00AA4881">
        <w:rPr>
          <w:lang w:val="pl-PL"/>
        </w:rPr>
        <w:t xml:space="preserve"> lub bezpieczeństwa; </w:t>
      </w:r>
      <w:r w:rsidR="00104AF8">
        <w:rPr>
          <w:lang w:val="pl-PL"/>
        </w:rPr>
        <w:t xml:space="preserve">pozostawanie w </w:t>
      </w:r>
      <w:r w:rsidR="002B1655" w:rsidRPr="00AA4881">
        <w:rPr>
          <w:lang w:val="pl-PL"/>
        </w:rPr>
        <w:t xml:space="preserve">domu </w:t>
      </w:r>
      <w:r w:rsidR="00104AF8">
        <w:rPr>
          <w:lang w:val="pl-PL"/>
        </w:rPr>
        <w:t>w</w:t>
      </w:r>
      <w:r w:rsidR="00104AF8" w:rsidRPr="00AA4881">
        <w:rPr>
          <w:lang w:val="pl-PL"/>
        </w:rPr>
        <w:t xml:space="preserve"> </w:t>
      </w:r>
      <w:r w:rsidR="002B1655" w:rsidRPr="00AA4881">
        <w:rPr>
          <w:lang w:val="pl-PL"/>
        </w:rPr>
        <w:t>godz. 22</w:t>
      </w:r>
      <w:r w:rsidR="001F1C68">
        <w:rPr>
          <w:lang w:val="pl-PL"/>
        </w:rPr>
        <w:t>:</w:t>
      </w:r>
      <w:r w:rsidR="002B1655" w:rsidRPr="00AA4881">
        <w:rPr>
          <w:lang w:val="pl-PL"/>
        </w:rPr>
        <w:t>00</w:t>
      </w:r>
      <w:r w:rsidR="00104AF8">
        <w:rPr>
          <w:lang w:val="pl-PL"/>
        </w:rPr>
        <w:t>–</w:t>
      </w:r>
      <w:r w:rsidR="002B1655" w:rsidRPr="00AA4881">
        <w:rPr>
          <w:lang w:val="pl-PL"/>
        </w:rPr>
        <w:t>6</w:t>
      </w:r>
      <w:r w:rsidR="001F1C68">
        <w:rPr>
          <w:lang w:val="pl-PL"/>
        </w:rPr>
        <w:t>:</w:t>
      </w:r>
      <w:r w:rsidR="002B1655" w:rsidRPr="00AA4881">
        <w:rPr>
          <w:lang w:val="pl-PL"/>
        </w:rPr>
        <w:t>00</w:t>
      </w:r>
      <w:r w:rsidR="00104AF8">
        <w:rPr>
          <w:lang w:val="pl-PL"/>
        </w:rPr>
        <w:t>,</w:t>
      </w:r>
      <w:r w:rsidR="002B1655" w:rsidRPr="00AA4881">
        <w:rPr>
          <w:lang w:val="pl-PL"/>
        </w:rPr>
        <w:t xml:space="preserve"> </w:t>
      </w:r>
      <w:r w:rsidR="00104AF8">
        <w:rPr>
          <w:lang w:val="pl-PL"/>
        </w:rPr>
        <w:t xml:space="preserve">z wyjątkiem przypadków </w:t>
      </w:r>
      <w:r w:rsidR="002B1655" w:rsidRPr="00AA4881">
        <w:rPr>
          <w:lang w:val="pl-PL"/>
        </w:rPr>
        <w:t>konieczn</w:t>
      </w:r>
      <w:r w:rsidR="00104AF8">
        <w:rPr>
          <w:lang w:val="pl-PL"/>
        </w:rPr>
        <w:t>ości</w:t>
      </w:r>
      <w:r w:rsidR="002B1655" w:rsidRPr="00AA4881">
        <w:rPr>
          <w:lang w:val="pl-PL"/>
        </w:rPr>
        <w:t xml:space="preserve"> i</w:t>
      </w:r>
      <w:r w:rsidR="00E3473C">
        <w:rPr>
          <w:lang w:val="pl-PL"/>
        </w:rPr>
        <w:t> </w:t>
      </w:r>
      <w:r w:rsidR="00CB7AAE" w:rsidRPr="00AA4881">
        <w:rPr>
          <w:lang w:val="pl-PL"/>
        </w:rPr>
        <w:t xml:space="preserve">wyłącznie </w:t>
      </w:r>
      <w:r w:rsidR="002B1655" w:rsidRPr="00AA4881">
        <w:rPr>
          <w:lang w:val="pl-PL"/>
        </w:rPr>
        <w:t>po uprzedzeniu w odpowiednim czasie władz; nieprzechowywanie ani</w:t>
      </w:r>
      <w:r w:rsidR="005003FF">
        <w:rPr>
          <w:lang w:val="pl-PL"/>
        </w:rPr>
        <w:t> </w:t>
      </w:r>
      <w:r w:rsidR="002B1655" w:rsidRPr="00AA4881">
        <w:rPr>
          <w:lang w:val="pl-PL"/>
        </w:rPr>
        <w:t xml:space="preserve">nienoszenie broni; niechodzenie do barów, klubów nocnych, salonów gier lub domów publicznych oraz nieuczęszczanie na </w:t>
      </w:r>
      <w:r w:rsidR="00CB7AAE" w:rsidRPr="00AA4881">
        <w:rPr>
          <w:lang w:val="pl-PL"/>
        </w:rPr>
        <w:t>spotkania</w:t>
      </w:r>
      <w:r w:rsidR="002B1655" w:rsidRPr="00AA4881">
        <w:rPr>
          <w:lang w:val="pl-PL"/>
        </w:rPr>
        <w:t xml:space="preserve"> publiczne; niekorzystanie z telefonów komórkowych lub urządzeń komunikacji radiowej; noszenie przy sobie zawsze dokumentu wskazującego te obowiązki (</w:t>
      </w:r>
      <w:proofErr w:type="spellStart"/>
      <w:r w:rsidR="002B1655" w:rsidRPr="00AA4881">
        <w:rPr>
          <w:i/>
          <w:lang w:val="pl-PL"/>
        </w:rPr>
        <w:t>carta</w:t>
      </w:r>
      <w:proofErr w:type="spellEnd"/>
      <w:r w:rsidR="002B1655" w:rsidRPr="00AA4881">
        <w:rPr>
          <w:i/>
          <w:lang w:val="pl-PL"/>
        </w:rPr>
        <w:t xml:space="preserve"> </w:t>
      </w:r>
      <w:proofErr w:type="spellStart"/>
      <w:r w:rsidR="002B1655" w:rsidRPr="00AA4881">
        <w:rPr>
          <w:i/>
          <w:lang w:val="pl-PL"/>
        </w:rPr>
        <w:t>precettiva</w:t>
      </w:r>
      <w:proofErr w:type="spellEnd"/>
      <w:r w:rsidR="002B1655" w:rsidRPr="00AA4881">
        <w:rPr>
          <w:lang w:val="pl-PL"/>
        </w:rPr>
        <w:t xml:space="preserve">) i </w:t>
      </w:r>
      <w:r w:rsidR="00E55EB3">
        <w:rPr>
          <w:lang w:val="pl-PL"/>
        </w:rPr>
        <w:t>okazywanie</w:t>
      </w:r>
      <w:r w:rsidR="00E55EB3" w:rsidRPr="00AA4881">
        <w:rPr>
          <w:lang w:val="pl-PL"/>
        </w:rPr>
        <w:t xml:space="preserve"> </w:t>
      </w:r>
      <w:r w:rsidR="002B1655" w:rsidRPr="00AA4881">
        <w:rPr>
          <w:lang w:val="pl-PL"/>
        </w:rPr>
        <w:t>go policji na</w:t>
      </w:r>
      <w:r w:rsidR="00E3473C">
        <w:rPr>
          <w:lang w:val="pl-PL"/>
        </w:rPr>
        <w:t> </w:t>
      </w:r>
      <w:r w:rsidR="002B1655" w:rsidRPr="00AA4881">
        <w:rPr>
          <w:lang w:val="pl-PL"/>
        </w:rPr>
        <w:t xml:space="preserve">żądanie.   </w:t>
      </w:r>
    </w:p>
    <w:p w14:paraId="30EFA84D" w14:textId="47C64D27" w:rsidR="002B1655" w:rsidRPr="00AA4881" w:rsidRDefault="002B1655">
      <w:pPr>
        <w:pStyle w:val="ClinContent"/>
        <w:rPr>
          <w:lang w:val="pl-PL"/>
        </w:rPr>
      </w:pPr>
      <w:r w:rsidRPr="00AA4881">
        <w:rPr>
          <w:lang w:val="pl-PL"/>
        </w:rPr>
        <w:t>Siedem miesięcy później postanowienie to zostało uchylone przez Sąd Apelacyjny, który</w:t>
      </w:r>
      <w:r w:rsidR="00E3473C">
        <w:rPr>
          <w:lang w:val="pl-PL"/>
        </w:rPr>
        <w:t> </w:t>
      </w:r>
      <w:r w:rsidRPr="00AA4881">
        <w:rPr>
          <w:lang w:val="pl-PL"/>
        </w:rPr>
        <w:t>uznał, że w czasie, gdy środek ten został nałożony, zagrożenie stwarzane przez</w:t>
      </w:r>
      <w:r w:rsidR="00E3473C">
        <w:rPr>
          <w:lang w:val="pl-PL"/>
        </w:rPr>
        <w:t> </w:t>
      </w:r>
      <w:r w:rsidRPr="00AA4881">
        <w:rPr>
          <w:lang w:val="pl-PL"/>
        </w:rPr>
        <w:t xml:space="preserve">skarżącego nie zostało </w:t>
      </w:r>
      <w:r w:rsidR="00E66034" w:rsidRPr="00AA4881">
        <w:rPr>
          <w:lang w:val="pl-PL"/>
        </w:rPr>
        <w:t>poparte</w:t>
      </w:r>
      <w:r w:rsidRPr="00AA4881">
        <w:rPr>
          <w:lang w:val="pl-PL"/>
        </w:rPr>
        <w:t xml:space="preserve"> </w:t>
      </w:r>
      <w:r w:rsidR="00893505">
        <w:rPr>
          <w:lang w:val="pl-PL"/>
        </w:rPr>
        <w:t xml:space="preserve">dowodami </w:t>
      </w:r>
      <w:r w:rsidRPr="00AA4881">
        <w:rPr>
          <w:lang w:val="pl-PL"/>
        </w:rPr>
        <w:t>jak</w:t>
      </w:r>
      <w:r w:rsidR="00893505">
        <w:rPr>
          <w:lang w:val="pl-PL"/>
        </w:rPr>
        <w:t>iej</w:t>
      </w:r>
      <w:r w:rsidRPr="00AA4881">
        <w:rPr>
          <w:lang w:val="pl-PL"/>
        </w:rPr>
        <w:t xml:space="preserve">kolwiek </w:t>
      </w:r>
      <w:r w:rsidR="00893505">
        <w:rPr>
          <w:lang w:val="pl-PL"/>
        </w:rPr>
        <w:t>działalności</w:t>
      </w:r>
      <w:r w:rsidR="00893505" w:rsidRPr="00893505">
        <w:rPr>
          <w:lang w:val="pl-PL"/>
        </w:rPr>
        <w:t xml:space="preserve"> </w:t>
      </w:r>
      <w:r w:rsidRPr="00AA4881">
        <w:rPr>
          <w:lang w:val="pl-PL"/>
        </w:rPr>
        <w:t>przestępcz</w:t>
      </w:r>
      <w:r w:rsidR="00893505">
        <w:rPr>
          <w:lang w:val="pl-PL"/>
        </w:rPr>
        <w:t>ej</w:t>
      </w:r>
      <w:r w:rsidRPr="00AA4881">
        <w:rPr>
          <w:lang w:val="pl-PL"/>
        </w:rPr>
        <w:t xml:space="preserve"> z</w:t>
      </w:r>
      <w:r w:rsidR="00E3473C">
        <w:rPr>
          <w:lang w:val="pl-PL"/>
        </w:rPr>
        <w:t> </w:t>
      </w:r>
      <w:r w:rsidRPr="00AA4881">
        <w:rPr>
          <w:lang w:val="pl-PL"/>
        </w:rPr>
        <w:t xml:space="preserve">jego strony. </w:t>
      </w:r>
    </w:p>
    <w:p w14:paraId="75185209" w14:textId="77777777" w:rsidR="005F51C3" w:rsidRPr="00AA4881" w:rsidRDefault="00D13945">
      <w:pPr>
        <w:pStyle w:val="ClinContent"/>
        <w:rPr>
          <w:lang w:val="pl-PL"/>
        </w:rPr>
      </w:pPr>
      <w:r w:rsidRPr="00AA4881">
        <w:rPr>
          <w:i/>
          <w:lang w:val="pl-PL"/>
        </w:rPr>
        <w:t>Prawo</w:t>
      </w:r>
    </w:p>
    <w:p w14:paraId="411008B9" w14:textId="1D8AAEFB" w:rsidR="0094444B" w:rsidRPr="00AA4881" w:rsidRDefault="0094444B">
      <w:pPr>
        <w:pStyle w:val="ClinContent"/>
        <w:rPr>
          <w:lang w:val="pl-PL"/>
        </w:rPr>
      </w:pPr>
      <w:r w:rsidRPr="00AA4881">
        <w:rPr>
          <w:lang w:val="pl-PL"/>
        </w:rPr>
        <w:t xml:space="preserve">Art. 5 ust. 1: Art. 5 nie zajmuje się ograniczeniami </w:t>
      </w:r>
      <w:r w:rsidR="00B85861" w:rsidRPr="00AA4881">
        <w:rPr>
          <w:lang w:val="pl-PL"/>
        </w:rPr>
        <w:t>jedynie</w:t>
      </w:r>
      <w:r w:rsidRPr="00AA4881">
        <w:rPr>
          <w:lang w:val="pl-PL"/>
        </w:rPr>
        <w:t xml:space="preserve"> swobody poruszania się, któr</w:t>
      </w:r>
      <w:r w:rsidR="00B85861" w:rsidRPr="00AA4881">
        <w:rPr>
          <w:lang w:val="pl-PL"/>
        </w:rPr>
        <w:t>ych</w:t>
      </w:r>
      <w:r w:rsidRPr="00AA4881">
        <w:rPr>
          <w:lang w:val="pl-PL"/>
        </w:rPr>
        <w:t xml:space="preserve"> dotyczy art. 2 Protokołu nr  4. Wyjątkowo w sprawie </w:t>
      </w:r>
      <w:r w:rsidRPr="00AA4881">
        <w:rPr>
          <w:i/>
          <w:lang w:val="pl-PL"/>
        </w:rPr>
        <w:t>Guzzardi p. Włochom</w:t>
      </w:r>
      <w:r w:rsidRPr="00AA4881">
        <w:rPr>
          <w:lang w:val="pl-PL"/>
        </w:rPr>
        <w:t xml:space="preserve"> (skarga nr </w:t>
      </w:r>
      <w:hyperlink r:id="rId8" w:history="1">
        <w:r w:rsidRPr="00AA4881">
          <w:rPr>
            <w:rStyle w:val="Hipercze"/>
            <w:lang w:val="pl-PL"/>
          </w:rPr>
          <w:t>7367/76</w:t>
        </w:r>
      </w:hyperlink>
      <w:r w:rsidRPr="00AA4881">
        <w:rPr>
          <w:lang w:val="pl-PL"/>
        </w:rPr>
        <w:t>, 6 listopada 1980 r.) Trybunał stwierdził</w:t>
      </w:r>
      <w:r w:rsidR="00BA54FC" w:rsidRPr="00AA4881">
        <w:rPr>
          <w:lang w:val="pl-PL"/>
        </w:rPr>
        <w:t xml:space="preserve"> jednak</w:t>
      </w:r>
      <w:r w:rsidRPr="00AA4881">
        <w:rPr>
          <w:lang w:val="pl-PL"/>
        </w:rPr>
        <w:t xml:space="preserve">, że środki tego rodzaju mogą zostać uznane za naruszenie wolności </w:t>
      </w:r>
      <w:r w:rsidR="00B85861" w:rsidRPr="00AA4881">
        <w:rPr>
          <w:lang w:val="pl-PL"/>
        </w:rPr>
        <w:t xml:space="preserve">z uwagi na </w:t>
      </w:r>
      <w:r w:rsidR="00BA54FC" w:rsidRPr="00AA4881">
        <w:rPr>
          <w:lang w:val="pl-PL"/>
        </w:rPr>
        <w:t xml:space="preserve">pozostawienie </w:t>
      </w:r>
      <w:r w:rsidR="00B85861" w:rsidRPr="00AA4881">
        <w:rPr>
          <w:lang w:val="pl-PL"/>
        </w:rPr>
        <w:t>skarżące</w:t>
      </w:r>
      <w:r w:rsidR="00BA54FC" w:rsidRPr="00AA4881">
        <w:rPr>
          <w:lang w:val="pl-PL"/>
        </w:rPr>
        <w:t>mu</w:t>
      </w:r>
      <w:r w:rsidR="00B85861" w:rsidRPr="00AA4881">
        <w:rPr>
          <w:lang w:val="pl-PL"/>
        </w:rPr>
        <w:t xml:space="preserve"> </w:t>
      </w:r>
      <w:r w:rsidRPr="00AA4881">
        <w:rPr>
          <w:lang w:val="pl-PL"/>
        </w:rPr>
        <w:t>nadzwyczaj małe</w:t>
      </w:r>
      <w:r w:rsidR="00A716DC">
        <w:rPr>
          <w:lang w:val="pl-PL"/>
        </w:rPr>
        <w:t>j</w:t>
      </w:r>
      <w:r w:rsidRPr="00AA4881">
        <w:rPr>
          <w:lang w:val="pl-PL"/>
        </w:rPr>
        <w:t xml:space="preserve"> </w:t>
      </w:r>
      <w:r w:rsidR="00A716DC">
        <w:rPr>
          <w:lang w:val="pl-PL"/>
        </w:rPr>
        <w:t>przestrzeni</w:t>
      </w:r>
      <w:r w:rsidRPr="00AA4881">
        <w:rPr>
          <w:lang w:val="pl-PL"/>
        </w:rPr>
        <w:t xml:space="preserve">, </w:t>
      </w:r>
      <w:r w:rsidR="00B85861" w:rsidRPr="00AA4881">
        <w:rPr>
          <w:lang w:val="pl-PL"/>
        </w:rPr>
        <w:t>prawie stały nadzór</w:t>
      </w:r>
      <w:r w:rsidRPr="00AA4881">
        <w:rPr>
          <w:lang w:val="pl-PL"/>
        </w:rPr>
        <w:t>, któremu</w:t>
      </w:r>
      <w:r w:rsidR="00B85861" w:rsidRPr="00AA4881">
        <w:rPr>
          <w:lang w:val="pl-PL"/>
        </w:rPr>
        <w:t xml:space="preserve"> został</w:t>
      </w:r>
      <w:r w:rsidRPr="00AA4881">
        <w:rPr>
          <w:lang w:val="pl-PL"/>
        </w:rPr>
        <w:t xml:space="preserve"> poddany, i prawie c</w:t>
      </w:r>
      <w:r w:rsidR="00B85861" w:rsidRPr="00AA4881">
        <w:rPr>
          <w:lang w:val="pl-PL"/>
        </w:rPr>
        <w:t>ałkowite uniemożliwienie</w:t>
      </w:r>
      <w:r w:rsidRPr="00AA4881">
        <w:rPr>
          <w:lang w:val="pl-PL"/>
        </w:rPr>
        <w:t xml:space="preserve"> mu kontaktów społecznych. We wszystkich </w:t>
      </w:r>
      <w:r w:rsidR="005E30F4">
        <w:rPr>
          <w:lang w:val="pl-PL"/>
        </w:rPr>
        <w:t>następnych</w:t>
      </w:r>
      <w:r w:rsidR="005E30F4" w:rsidRPr="00AA4881">
        <w:rPr>
          <w:lang w:val="pl-PL"/>
        </w:rPr>
        <w:t xml:space="preserve"> </w:t>
      </w:r>
      <w:r w:rsidRPr="00AA4881">
        <w:rPr>
          <w:lang w:val="pl-PL"/>
        </w:rPr>
        <w:t>sprawach Trybunał nie stwierdził</w:t>
      </w:r>
      <w:r w:rsidR="005E30F4">
        <w:rPr>
          <w:lang w:val="pl-PL"/>
        </w:rPr>
        <w:t xml:space="preserve"> </w:t>
      </w:r>
      <w:r w:rsidRPr="00AA4881">
        <w:rPr>
          <w:lang w:val="pl-PL"/>
        </w:rPr>
        <w:t>porównywaln</w:t>
      </w:r>
      <w:r w:rsidR="005E30F4">
        <w:rPr>
          <w:lang w:val="pl-PL"/>
        </w:rPr>
        <w:t>ych</w:t>
      </w:r>
      <w:r w:rsidR="00B85861" w:rsidRPr="00AA4881">
        <w:rPr>
          <w:lang w:val="pl-PL"/>
        </w:rPr>
        <w:t xml:space="preserve"> </w:t>
      </w:r>
      <w:r w:rsidRPr="00AA4881">
        <w:rPr>
          <w:lang w:val="pl-PL"/>
        </w:rPr>
        <w:t>szczególn</w:t>
      </w:r>
      <w:r w:rsidR="005E30F4">
        <w:rPr>
          <w:lang w:val="pl-PL"/>
        </w:rPr>
        <w:t>ych</w:t>
      </w:r>
      <w:r w:rsidRPr="00AA4881">
        <w:rPr>
          <w:lang w:val="pl-PL"/>
        </w:rPr>
        <w:t xml:space="preserve"> okoliczności</w:t>
      </w:r>
      <w:r w:rsidR="00B85861" w:rsidRPr="00AA4881">
        <w:rPr>
          <w:lang w:val="pl-PL"/>
        </w:rPr>
        <w:t xml:space="preserve">, </w:t>
      </w:r>
      <w:r w:rsidRPr="00AA4881">
        <w:rPr>
          <w:lang w:val="pl-PL"/>
        </w:rPr>
        <w:t xml:space="preserve">także w przypadkach, gdy skarżącym zakazano opuszczania domu na noc. </w:t>
      </w:r>
    </w:p>
    <w:p w14:paraId="1F2B78F3" w14:textId="5D0737A6" w:rsidR="0094444B" w:rsidRPr="00AA4881" w:rsidRDefault="0094444B">
      <w:pPr>
        <w:pStyle w:val="ClinContent"/>
        <w:rPr>
          <w:lang w:val="pl-PL"/>
        </w:rPr>
      </w:pPr>
      <w:r w:rsidRPr="00AA4881">
        <w:rPr>
          <w:lang w:val="pl-PL"/>
        </w:rPr>
        <w:t>W obecnej s</w:t>
      </w:r>
      <w:r w:rsidR="00B85861" w:rsidRPr="00AA4881">
        <w:rPr>
          <w:lang w:val="pl-PL"/>
        </w:rPr>
        <w:t>prawie</w:t>
      </w:r>
      <w:r w:rsidRPr="00AA4881">
        <w:rPr>
          <w:lang w:val="pl-PL"/>
        </w:rPr>
        <w:t xml:space="preserve"> Trybunał </w:t>
      </w:r>
      <w:r w:rsidR="00BA54FC" w:rsidRPr="00AA4881">
        <w:rPr>
          <w:lang w:val="pl-PL"/>
        </w:rPr>
        <w:t xml:space="preserve">z następujących powodów </w:t>
      </w:r>
      <w:r w:rsidRPr="00AA4881">
        <w:rPr>
          <w:lang w:val="pl-PL"/>
        </w:rPr>
        <w:t xml:space="preserve">stwierdził, że zaskarżone środki </w:t>
      </w:r>
      <w:r w:rsidR="00B85861" w:rsidRPr="00AA4881">
        <w:rPr>
          <w:lang w:val="pl-PL"/>
        </w:rPr>
        <w:t xml:space="preserve">nie </w:t>
      </w:r>
      <w:r w:rsidR="00BA54FC" w:rsidRPr="00AA4881">
        <w:rPr>
          <w:lang w:val="pl-PL"/>
        </w:rPr>
        <w:t>stanowiły pozbawienia</w:t>
      </w:r>
      <w:r w:rsidRPr="00AA4881">
        <w:rPr>
          <w:lang w:val="pl-PL"/>
        </w:rPr>
        <w:t xml:space="preserve"> </w:t>
      </w:r>
      <w:r w:rsidR="00473A8F" w:rsidRPr="00AA4881">
        <w:rPr>
          <w:lang w:val="pl-PL"/>
        </w:rPr>
        <w:t>wolności: a) skarżący nie został zmuszony do życia na</w:t>
      </w:r>
      <w:r w:rsidR="00E3473C">
        <w:rPr>
          <w:lang w:val="pl-PL"/>
        </w:rPr>
        <w:t> </w:t>
      </w:r>
      <w:r w:rsidR="00473A8F" w:rsidRPr="00AA4881">
        <w:rPr>
          <w:lang w:val="pl-PL"/>
        </w:rPr>
        <w:t xml:space="preserve">ograniczonym obszarze; b) był w stanie prowadzić życie społeczne i utrzymywać relacje ze światem zewnętrznym, </w:t>
      </w:r>
      <w:r w:rsidR="001F1C68">
        <w:rPr>
          <w:lang w:val="pl-PL"/>
        </w:rPr>
        <w:t>ponieważ</w:t>
      </w:r>
      <w:r w:rsidR="00B85861" w:rsidRPr="00AA4881">
        <w:rPr>
          <w:lang w:val="pl-PL"/>
        </w:rPr>
        <w:t xml:space="preserve"> miał</w:t>
      </w:r>
      <w:r w:rsidR="00473A8F" w:rsidRPr="00AA4881">
        <w:rPr>
          <w:lang w:val="pl-PL"/>
        </w:rPr>
        <w:t xml:space="preserve"> swobodę wychodzenia z domu w c</w:t>
      </w:r>
      <w:r w:rsidR="00BA54FC" w:rsidRPr="00AA4881">
        <w:rPr>
          <w:lang w:val="pl-PL"/>
        </w:rPr>
        <w:t xml:space="preserve">iągu dnia; c) zakaz opuszczania, poza przypadkami koniecznymi, </w:t>
      </w:r>
      <w:r w:rsidR="00473A8F" w:rsidRPr="00AA4881">
        <w:rPr>
          <w:lang w:val="pl-PL"/>
        </w:rPr>
        <w:t>domu w nocy (między godz. 22</w:t>
      </w:r>
      <w:r w:rsidR="001F1C68">
        <w:rPr>
          <w:lang w:val="pl-PL"/>
        </w:rPr>
        <w:t>:</w:t>
      </w:r>
      <w:r w:rsidR="00473A8F" w:rsidRPr="00AA4881">
        <w:rPr>
          <w:lang w:val="pl-PL"/>
        </w:rPr>
        <w:t>00 a 6</w:t>
      </w:r>
      <w:r w:rsidR="001F1C68">
        <w:rPr>
          <w:lang w:val="pl-PL"/>
        </w:rPr>
        <w:t>:</w:t>
      </w:r>
      <w:r w:rsidR="00473A8F" w:rsidRPr="00AA4881">
        <w:rPr>
          <w:lang w:val="pl-PL"/>
        </w:rPr>
        <w:t xml:space="preserve">00) nie może być traktowany na równi z aresztem domowym; d) skarżący nigdy nie wnioskował do władz o </w:t>
      </w:r>
      <w:r w:rsidR="00B85861" w:rsidRPr="00AA4881">
        <w:rPr>
          <w:lang w:val="pl-PL"/>
        </w:rPr>
        <w:t>pozwolenie na wyjechanie</w:t>
      </w:r>
      <w:r w:rsidR="00473A8F" w:rsidRPr="00AA4881">
        <w:rPr>
          <w:lang w:val="pl-PL"/>
        </w:rPr>
        <w:t xml:space="preserve"> z miejsca zamieszkania.  </w:t>
      </w:r>
    </w:p>
    <w:p w14:paraId="61CBD0A7" w14:textId="77777777" w:rsidR="005F51C3" w:rsidRPr="00AA4881" w:rsidRDefault="003E6698">
      <w:pPr>
        <w:pStyle w:val="ClinContent"/>
        <w:rPr>
          <w:lang w:val="pl-PL"/>
        </w:rPr>
      </w:pPr>
      <w:r w:rsidRPr="00AA4881">
        <w:rPr>
          <w:lang w:val="pl-PL"/>
        </w:rPr>
        <w:t>Art</w:t>
      </w:r>
      <w:r w:rsidR="00473A8F" w:rsidRPr="00AA4881">
        <w:rPr>
          <w:lang w:val="pl-PL"/>
        </w:rPr>
        <w:t xml:space="preserve">. </w:t>
      </w:r>
      <w:r w:rsidRPr="00AA4881">
        <w:rPr>
          <w:lang w:val="pl-PL"/>
        </w:rPr>
        <w:t xml:space="preserve">5 </w:t>
      </w:r>
      <w:r w:rsidR="00473A8F" w:rsidRPr="00AA4881">
        <w:rPr>
          <w:lang w:val="pl-PL"/>
        </w:rPr>
        <w:t>nie miał zatem zastosowania</w:t>
      </w:r>
      <w:r w:rsidRPr="00AA4881">
        <w:rPr>
          <w:lang w:val="pl-PL"/>
        </w:rPr>
        <w:t>.</w:t>
      </w:r>
    </w:p>
    <w:p w14:paraId="6310705B" w14:textId="0A2700F6" w:rsidR="00473A8F" w:rsidRPr="00AA4881" w:rsidRDefault="00616291">
      <w:pPr>
        <w:pStyle w:val="ClinContent"/>
        <w:rPr>
          <w:lang w:val="pl-PL"/>
        </w:rPr>
      </w:pPr>
      <w:r w:rsidRPr="00986592">
        <w:rPr>
          <w:i/>
          <w:lang w:val="pl-PL"/>
        </w:rPr>
        <w:t>Rozstrzygnięcie</w:t>
      </w:r>
      <w:r w:rsidR="00473A8F" w:rsidRPr="00AA4881">
        <w:rPr>
          <w:lang w:val="pl-PL"/>
        </w:rPr>
        <w:t xml:space="preserve">: </w:t>
      </w:r>
      <w:r w:rsidR="00BA54FC" w:rsidRPr="00AA4881">
        <w:rPr>
          <w:lang w:val="pl-PL"/>
        </w:rPr>
        <w:t>zarzut niedopuszczalny</w:t>
      </w:r>
      <w:r w:rsidR="001F1C68">
        <w:rPr>
          <w:lang w:val="pl-PL"/>
        </w:rPr>
        <w:t xml:space="preserve"> </w:t>
      </w:r>
      <w:r w:rsidR="00FA0857" w:rsidRPr="00AA4881">
        <w:rPr>
          <w:lang w:val="pl-PL"/>
        </w:rPr>
        <w:t>(większością głosów</w:t>
      </w:r>
      <w:r w:rsidR="00473A8F" w:rsidRPr="00AA4881">
        <w:rPr>
          <w:lang w:val="pl-PL"/>
        </w:rPr>
        <w:t>)</w:t>
      </w:r>
      <w:r w:rsidR="00B85861" w:rsidRPr="00AA4881">
        <w:rPr>
          <w:lang w:val="pl-PL"/>
        </w:rPr>
        <w:t>.</w:t>
      </w:r>
    </w:p>
    <w:p w14:paraId="08B33D29" w14:textId="77777777" w:rsidR="00A02E5E" w:rsidRPr="00AA4881" w:rsidRDefault="00A02E5E">
      <w:pPr>
        <w:pStyle w:val="ClinContent"/>
        <w:rPr>
          <w:lang w:val="pl-PL"/>
        </w:rPr>
      </w:pPr>
      <w:r w:rsidRPr="00AA4881">
        <w:rPr>
          <w:lang w:val="pl-PL"/>
        </w:rPr>
        <w:t>Art. 2 Protokołu nr 4: Przedmiotowe środki miały podstawę prawną, mianowicie ustaw</w:t>
      </w:r>
      <w:r w:rsidR="00B85861" w:rsidRPr="00AA4881">
        <w:rPr>
          <w:lang w:val="pl-PL"/>
        </w:rPr>
        <w:t>ę</w:t>
      </w:r>
      <w:r w:rsidRPr="00AA4881">
        <w:rPr>
          <w:lang w:val="pl-PL"/>
        </w:rPr>
        <w:t xml:space="preserve"> nr 1423/1956, zgodnie z jej wykładnią w świetle wyroków Trybunału Konstytucyjnego. </w:t>
      </w:r>
    </w:p>
    <w:p w14:paraId="5F3E0929" w14:textId="18E8F7CB" w:rsidR="00A02E5E" w:rsidRPr="00AA4881" w:rsidRDefault="00A02E5E">
      <w:pPr>
        <w:pStyle w:val="ClinContent"/>
        <w:rPr>
          <w:lang w:val="pl-PL"/>
        </w:rPr>
      </w:pPr>
      <w:r w:rsidRPr="00AA4881">
        <w:rPr>
          <w:lang w:val="pl-PL"/>
        </w:rPr>
        <w:t>Jednakże, w opinii Trybunału, nałożenie na skarżącego środków za</w:t>
      </w:r>
      <w:r w:rsidR="00C4396C" w:rsidRPr="00AA4881">
        <w:rPr>
          <w:lang w:val="pl-PL"/>
        </w:rPr>
        <w:t>bezpieczających</w:t>
      </w:r>
      <w:r w:rsidRPr="00AA4881">
        <w:rPr>
          <w:lang w:val="pl-PL"/>
        </w:rPr>
        <w:t xml:space="preserve"> nie</w:t>
      </w:r>
      <w:r w:rsidR="00E3473C">
        <w:rPr>
          <w:lang w:val="pl-PL"/>
        </w:rPr>
        <w:t> </w:t>
      </w:r>
      <w:r w:rsidRPr="00AA4881">
        <w:rPr>
          <w:lang w:val="pl-PL"/>
        </w:rPr>
        <w:t xml:space="preserve">było wystarczająco przewidywalne </w:t>
      </w:r>
      <w:r w:rsidR="00B85861" w:rsidRPr="00AA4881">
        <w:rPr>
          <w:lang w:val="pl-PL"/>
        </w:rPr>
        <w:t>ani</w:t>
      </w:r>
      <w:r w:rsidRPr="00AA4881">
        <w:rPr>
          <w:lang w:val="pl-PL"/>
        </w:rPr>
        <w:t xml:space="preserve"> nie towarzyszyły temu odpowiednie gwarancje chroniące przed różnymi możliwymi nadużyciami. Przedmiotowa ustawa została zredagowana w sposób ogólny i z użyciem zbyt szerokich przesłanek </w:t>
      </w:r>
      <w:r w:rsidR="00BA54FC" w:rsidRPr="00AA4881">
        <w:rPr>
          <w:lang w:val="pl-PL"/>
        </w:rPr>
        <w:t xml:space="preserve">i nie była </w:t>
      </w:r>
      <w:r w:rsidRPr="00AA4881">
        <w:rPr>
          <w:lang w:val="pl-PL"/>
        </w:rPr>
        <w:t>wystarczająco jasna i precyzyjna w odniesieniu tak co do osób, wobec k</w:t>
      </w:r>
      <w:r w:rsidR="00B85861" w:rsidRPr="00AA4881">
        <w:rPr>
          <w:lang w:val="pl-PL"/>
        </w:rPr>
        <w:t>tórych środki za</w:t>
      </w:r>
      <w:r w:rsidR="00C4396C" w:rsidRPr="00AA4881">
        <w:rPr>
          <w:lang w:val="pl-PL"/>
        </w:rPr>
        <w:t>bezpieczające</w:t>
      </w:r>
      <w:r w:rsidR="00B85861" w:rsidRPr="00AA4881">
        <w:rPr>
          <w:lang w:val="pl-PL"/>
        </w:rPr>
        <w:t xml:space="preserve"> miały</w:t>
      </w:r>
      <w:r w:rsidRPr="00AA4881">
        <w:rPr>
          <w:lang w:val="pl-PL"/>
        </w:rPr>
        <w:t xml:space="preserve"> zastosowanie (art. 1 ustawy), jak też </w:t>
      </w:r>
      <w:r w:rsidR="00B85861" w:rsidRPr="00AA4881">
        <w:rPr>
          <w:lang w:val="pl-PL"/>
        </w:rPr>
        <w:t xml:space="preserve">co do </w:t>
      </w:r>
      <w:r w:rsidR="00972E57" w:rsidRPr="00AA4881">
        <w:rPr>
          <w:lang w:val="pl-PL"/>
        </w:rPr>
        <w:t>zakresu</w:t>
      </w:r>
      <w:r w:rsidRPr="00AA4881">
        <w:rPr>
          <w:lang w:val="pl-PL"/>
        </w:rPr>
        <w:t xml:space="preserve"> niektórych z</w:t>
      </w:r>
      <w:r w:rsidR="00E3473C">
        <w:rPr>
          <w:lang w:val="pl-PL"/>
        </w:rPr>
        <w:t> </w:t>
      </w:r>
      <w:r w:rsidRPr="00AA4881">
        <w:rPr>
          <w:lang w:val="pl-PL"/>
        </w:rPr>
        <w:t xml:space="preserve">tych środków (art. 3-5 ustawy). </w:t>
      </w:r>
    </w:p>
    <w:p w14:paraId="69F25DBB" w14:textId="6B658D6B" w:rsidR="00A02E5E" w:rsidRPr="00AA4881" w:rsidRDefault="00A02E5E">
      <w:pPr>
        <w:pStyle w:val="ClinContent"/>
        <w:rPr>
          <w:lang w:val="pl-PL"/>
        </w:rPr>
      </w:pPr>
      <w:r w:rsidRPr="00AA4881">
        <w:rPr>
          <w:lang w:val="pl-PL"/>
        </w:rPr>
        <w:t xml:space="preserve">(a) </w:t>
      </w:r>
      <w:r w:rsidRPr="00AA4881">
        <w:rPr>
          <w:i/>
          <w:lang w:val="pl-PL"/>
        </w:rPr>
        <w:t>Osoby objęte środkami</w:t>
      </w:r>
      <w:r w:rsidRPr="00AA4881">
        <w:rPr>
          <w:lang w:val="pl-PL"/>
        </w:rPr>
        <w:t xml:space="preserve"> – </w:t>
      </w:r>
      <w:r w:rsidR="002C48CF" w:rsidRPr="00AA4881">
        <w:rPr>
          <w:lang w:val="pl-PL"/>
        </w:rPr>
        <w:t xml:space="preserve">W oparciu o poniższe względy </w:t>
      </w:r>
      <w:r w:rsidRPr="00AA4881">
        <w:rPr>
          <w:lang w:val="pl-PL"/>
        </w:rPr>
        <w:t xml:space="preserve">Trybunał uznał, że z uwagi na brak jasnej </w:t>
      </w:r>
      <w:r w:rsidR="002C48CF" w:rsidRPr="00AA4881">
        <w:rPr>
          <w:lang w:val="pl-PL"/>
        </w:rPr>
        <w:t xml:space="preserve">definicji zakresu i sposobu wykonywania przez sądy </w:t>
      </w:r>
      <w:r w:rsidR="00F8561D" w:rsidRPr="00AA4881">
        <w:rPr>
          <w:lang w:val="pl-PL"/>
        </w:rPr>
        <w:t xml:space="preserve">bardzo </w:t>
      </w:r>
      <w:r w:rsidR="002C48CF" w:rsidRPr="00AA4881">
        <w:rPr>
          <w:lang w:val="pl-PL"/>
        </w:rPr>
        <w:t xml:space="preserve">szerokiego </w:t>
      </w:r>
      <w:r w:rsidR="00C82239">
        <w:rPr>
          <w:lang w:val="pl-PL"/>
        </w:rPr>
        <w:lastRenderedPageBreak/>
        <w:t>zakresu uznania</w:t>
      </w:r>
      <w:r w:rsidR="002C48CF" w:rsidRPr="00AA4881">
        <w:rPr>
          <w:lang w:val="pl-PL"/>
        </w:rPr>
        <w:t xml:space="preserve"> im pozostawionego, ustawa nie zapewni</w:t>
      </w:r>
      <w:r w:rsidR="00E3473C">
        <w:rPr>
          <w:lang w:val="pl-PL"/>
        </w:rPr>
        <w:t>a</w:t>
      </w:r>
      <w:r w:rsidR="002C48CF" w:rsidRPr="00AA4881">
        <w:rPr>
          <w:lang w:val="pl-PL"/>
        </w:rPr>
        <w:t>ła wystarczającej ochrony przed arbitralną ingerencją i nie umożliwi</w:t>
      </w:r>
      <w:r w:rsidR="00E3473C">
        <w:rPr>
          <w:lang w:val="pl-PL"/>
        </w:rPr>
        <w:t>a</w:t>
      </w:r>
      <w:r w:rsidR="002C48CF" w:rsidRPr="00AA4881">
        <w:rPr>
          <w:lang w:val="pl-PL"/>
        </w:rPr>
        <w:t xml:space="preserve">ła skarżącemu </w:t>
      </w:r>
      <w:r w:rsidR="00E83EFC">
        <w:rPr>
          <w:lang w:val="pl-PL"/>
        </w:rPr>
        <w:t>regu</w:t>
      </w:r>
      <w:r w:rsidR="00925DEB">
        <w:rPr>
          <w:lang w:val="pl-PL"/>
        </w:rPr>
        <w:t>lowania</w:t>
      </w:r>
      <w:r w:rsidR="00925DEB" w:rsidRPr="00AA4881">
        <w:rPr>
          <w:lang w:val="pl-PL"/>
        </w:rPr>
        <w:t xml:space="preserve"> </w:t>
      </w:r>
      <w:r w:rsidR="002C48CF" w:rsidRPr="00AA4881">
        <w:rPr>
          <w:lang w:val="pl-PL"/>
        </w:rPr>
        <w:t xml:space="preserve">swego zachowania i przewidzenia z wystarczającą pewnością </w:t>
      </w:r>
      <w:r w:rsidR="006D20DC">
        <w:rPr>
          <w:lang w:val="pl-PL"/>
        </w:rPr>
        <w:t>nałożenia</w:t>
      </w:r>
      <w:r w:rsidR="006D20DC" w:rsidRPr="00AA4881">
        <w:rPr>
          <w:lang w:val="pl-PL"/>
        </w:rPr>
        <w:t xml:space="preserve"> </w:t>
      </w:r>
      <w:r w:rsidR="002C48CF" w:rsidRPr="00AA4881">
        <w:rPr>
          <w:lang w:val="pl-PL"/>
        </w:rPr>
        <w:t>środków za</w:t>
      </w:r>
      <w:r w:rsidR="00C4396C" w:rsidRPr="00AA4881">
        <w:rPr>
          <w:lang w:val="pl-PL"/>
        </w:rPr>
        <w:t>bezpieczających</w:t>
      </w:r>
      <w:r w:rsidR="002C48CF" w:rsidRPr="00AA4881">
        <w:rPr>
          <w:lang w:val="pl-PL"/>
        </w:rPr>
        <w:t xml:space="preserve">: </w:t>
      </w:r>
    </w:p>
    <w:p w14:paraId="1202C819" w14:textId="4B8B4384" w:rsidR="002C48CF" w:rsidRPr="00AA4881" w:rsidRDefault="00416FBC">
      <w:pPr>
        <w:pStyle w:val="ClinContent"/>
        <w:rPr>
          <w:lang w:val="pl-PL"/>
        </w:rPr>
      </w:pPr>
      <w:r w:rsidRPr="00AA4881">
        <w:rPr>
          <w:lang w:val="pl-PL"/>
        </w:rPr>
        <w:t>(i)  </w:t>
      </w:r>
      <w:r w:rsidR="00B83DF7" w:rsidRPr="00AA4881">
        <w:rPr>
          <w:lang w:val="pl-PL"/>
        </w:rPr>
        <w:t xml:space="preserve">W odpowiedzi na </w:t>
      </w:r>
      <w:r w:rsidRPr="00AA4881">
        <w:rPr>
          <w:lang w:val="pl-PL"/>
        </w:rPr>
        <w:t>twierdzenie</w:t>
      </w:r>
      <w:r w:rsidR="00B83DF7" w:rsidRPr="00AA4881">
        <w:rPr>
          <w:lang w:val="pl-PL"/>
        </w:rPr>
        <w:t xml:space="preserve">, że właściwe przepisy nie </w:t>
      </w:r>
      <w:r w:rsidR="00BA54FC" w:rsidRPr="00AA4881">
        <w:rPr>
          <w:lang w:val="pl-PL"/>
        </w:rPr>
        <w:t xml:space="preserve">były </w:t>
      </w:r>
      <w:r w:rsidR="00B83DF7" w:rsidRPr="00AA4881">
        <w:rPr>
          <w:lang w:val="pl-PL"/>
        </w:rPr>
        <w:t>wystarczająco precyzyjne</w:t>
      </w:r>
      <w:r w:rsidR="00F8561D" w:rsidRPr="00AA4881">
        <w:rPr>
          <w:lang w:val="pl-PL"/>
        </w:rPr>
        <w:t>,</w:t>
      </w:r>
      <w:r w:rsidR="00B83DF7" w:rsidRPr="00AA4881">
        <w:rPr>
          <w:lang w:val="pl-PL"/>
        </w:rPr>
        <w:t xml:space="preserve"> w</w:t>
      </w:r>
      <w:r w:rsidR="002C48CF" w:rsidRPr="00AA4881">
        <w:rPr>
          <w:lang w:val="pl-PL"/>
        </w:rPr>
        <w:t>łoski Trybunał Konstytucyjny uznał</w:t>
      </w:r>
      <w:r w:rsidR="00B83DF7" w:rsidRPr="00AA4881">
        <w:rPr>
          <w:lang w:val="pl-PL"/>
        </w:rPr>
        <w:t xml:space="preserve"> w swym niedawnym orzecznictwie, </w:t>
      </w:r>
      <w:r w:rsidR="002C48CF" w:rsidRPr="00AA4881">
        <w:rPr>
          <w:lang w:val="pl-PL"/>
        </w:rPr>
        <w:t>że</w:t>
      </w:r>
      <w:r w:rsidR="00E3473C">
        <w:rPr>
          <w:lang w:val="pl-PL"/>
        </w:rPr>
        <w:t> </w:t>
      </w:r>
      <w:r w:rsidR="002C48CF" w:rsidRPr="00AA4881">
        <w:rPr>
          <w:lang w:val="pl-PL"/>
        </w:rPr>
        <w:t>sam fakt przynależności do jednej z kategorii osób, o których mowa w art. 1 ustawy, nie jest wystarczający do uzasadnienia nałożenia środka za</w:t>
      </w:r>
      <w:r w:rsidR="00C4396C" w:rsidRPr="00AA4881">
        <w:rPr>
          <w:lang w:val="pl-PL"/>
        </w:rPr>
        <w:t>bezpieczającego</w:t>
      </w:r>
      <w:r w:rsidR="00E3473C">
        <w:rPr>
          <w:lang w:val="pl-PL"/>
        </w:rPr>
        <w:t>, a także,</w:t>
      </w:r>
      <w:r w:rsidR="002C48CF" w:rsidRPr="00AA4881">
        <w:rPr>
          <w:lang w:val="pl-PL"/>
        </w:rPr>
        <w:t xml:space="preserve"> że</w:t>
      </w:r>
      <w:r w:rsidR="00E3473C">
        <w:rPr>
          <w:lang w:val="pl-PL"/>
        </w:rPr>
        <w:t> </w:t>
      </w:r>
      <w:r w:rsidR="00C82239" w:rsidRPr="00CF10BC">
        <w:rPr>
          <w:lang w:val="pl-PL"/>
        </w:rPr>
        <w:t>zatem</w:t>
      </w:r>
      <w:r w:rsidR="00C82239" w:rsidRPr="00AA4881">
        <w:rPr>
          <w:lang w:val="pl-PL"/>
        </w:rPr>
        <w:t xml:space="preserve"> </w:t>
      </w:r>
      <w:r w:rsidR="002C48CF" w:rsidRPr="00AA4881">
        <w:rPr>
          <w:lang w:val="pl-PL"/>
        </w:rPr>
        <w:t>środek za</w:t>
      </w:r>
      <w:r w:rsidR="00C4396C" w:rsidRPr="00AA4881">
        <w:rPr>
          <w:lang w:val="pl-PL"/>
        </w:rPr>
        <w:t>bezpieczający</w:t>
      </w:r>
      <w:r w:rsidR="002C48CF" w:rsidRPr="00AA4881">
        <w:rPr>
          <w:lang w:val="pl-PL"/>
        </w:rPr>
        <w:t xml:space="preserve"> nie może być nałożony na podstawie jedynie podejrzenia. </w:t>
      </w:r>
    </w:p>
    <w:p w14:paraId="0FC30F8C" w14:textId="18041147" w:rsidR="00B83DF7" w:rsidRPr="00AA4881" w:rsidRDefault="00B83DF7">
      <w:pPr>
        <w:pStyle w:val="ClinContent"/>
        <w:rPr>
          <w:lang w:val="pl-PL"/>
        </w:rPr>
      </w:pPr>
      <w:r w:rsidRPr="00AA4881">
        <w:rPr>
          <w:lang w:val="pl-PL"/>
        </w:rPr>
        <w:t>Pomimo tych wskazań w dalszym ciągu ani ustawa, ani Try</w:t>
      </w:r>
      <w:r w:rsidR="00E3473C">
        <w:rPr>
          <w:lang w:val="pl-PL"/>
        </w:rPr>
        <w:t>bunał Konstytucyjny nie</w:t>
      </w:r>
      <w:r w:rsidR="005003FF">
        <w:rPr>
          <w:lang w:val="pl-PL"/>
        </w:rPr>
        <w:t> </w:t>
      </w:r>
      <w:r w:rsidR="00E3473C">
        <w:rPr>
          <w:lang w:val="pl-PL"/>
        </w:rPr>
        <w:t>określili</w:t>
      </w:r>
      <w:r w:rsidRPr="00AA4881">
        <w:rPr>
          <w:lang w:val="pl-PL"/>
        </w:rPr>
        <w:t xml:space="preserve"> </w:t>
      </w:r>
      <w:r w:rsidR="00972E57" w:rsidRPr="00AA4881">
        <w:rPr>
          <w:lang w:val="pl-PL"/>
        </w:rPr>
        <w:t xml:space="preserve">w sposób </w:t>
      </w:r>
      <w:r w:rsidR="00972E57" w:rsidRPr="003A42D6">
        <w:rPr>
          <w:lang w:val="pl-PL"/>
        </w:rPr>
        <w:t>jasny</w:t>
      </w:r>
      <w:r w:rsidRPr="003A42D6">
        <w:rPr>
          <w:lang w:val="pl-PL"/>
        </w:rPr>
        <w:t xml:space="preserve"> </w:t>
      </w:r>
      <w:r w:rsidR="002D63D1" w:rsidRPr="003A42D6">
        <w:rPr>
          <w:lang w:val="pl-PL"/>
        </w:rPr>
        <w:t>„</w:t>
      </w:r>
      <w:r w:rsidR="00825CBB" w:rsidRPr="003A42D6">
        <w:rPr>
          <w:lang w:val="pl-PL"/>
        </w:rPr>
        <w:t xml:space="preserve">odpowiednich </w:t>
      </w:r>
      <w:r w:rsidRPr="003A42D6">
        <w:rPr>
          <w:lang w:val="pl-PL"/>
        </w:rPr>
        <w:t>dowodów” lub</w:t>
      </w:r>
      <w:r w:rsidRPr="00AA4881">
        <w:rPr>
          <w:lang w:val="pl-PL"/>
        </w:rPr>
        <w:t xml:space="preserve"> określonych rodzajów zachowania, które należałoby wziąć pod uwagę w celu oceny zagrożenia dla</w:t>
      </w:r>
      <w:r w:rsidR="005003FF">
        <w:rPr>
          <w:lang w:val="pl-PL"/>
        </w:rPr>
        <w:t> </w:t>
      </w:r>
      <w:r w:rsidRPr="00AA4881">
        <w:rPr>
          <w:lang w:val="pl-PL"/>
        </w:rPr>
        <w:t xml:space="preserve">społeczeństwa stwarzanego przez </w:t>
      </w:r>
      <w:r w:rsidR="00F8561D" w:rsidRPr="00AA4881">
        <w:rPr>
          <w:lang w:val="pl-PL"/>
        </w:rPr>
        <w:t>jednostkę</w:t>
      </w:r>
      <w:r w:rsidRPr="00AA4881">
        <w:rPr>
          <w:lang w:val="pl-PL"/>
        </w:rPr>
        <w:t xml:space="preserve">. </w:t>
      </w:r>
    </w:p>
    <w:p w14:paraId="493824A2" w14:textId="77777777" w:rsidR="00B83DF7" w:rsidRPr="00AA4881" w:rsidRDefault="00B83DF7">
      <w:pPr>
        <w:pStyle w:val="ClinContent"/>
        <w:rPr>
          <w:lang w:val="pl-PL"/>
        </w:rPr>
      </w:pPr>
      <w:r w:rsidRPr="00AA4881">
        <w:rPr>
          <w:lang w:val="pl-PL"/>
        </w:rPr>
        <w:t xml:space="preserve">(ii) W obecnej sprawie Sąd Rejonowy oparł swe postanowienie na istnieniu „aktywnych” tendencji </w:t>
      </w:r>
      <w:r w:rsidR="00FE2818" w:rsidRPr="00AA4881">
        <w:rPr>
          <w:lang w:val="pl-PL"/>
        </w:rPr>
        <w:t>przestępczych</w:t>
      </w:r>
      <w:r w:rsidRPr="00AA4881">
        <w:rPr>
          <w:lang w:val="pl-PL"/>
        </w:rPr>
        <w:t xml:space="preserve"> po stronie skarżącego, jednakże nie przypisał mu żadnego określonego zachowania lub działalności przestępczej.</w:t>
      </w:r>
    </w:p>
    <w:p w14:paraId="09E22C3A" w14:textId="593AA1D4" w:rsidR="00B83DF7" w:rsidRPr="00AA4881" w:rsidRDefault="00B83DF7">
      <w:pPr>
        <w:pStyle w:val="ClinContent"/>
        <w:rPr>
          <w:lang w:val="pl-PL"/>
        </w:rPr>
      </w:pPr>
      <w:r w:rsidRPr="00AA4881">
        <w:rPr>
          <w:lang w:val="pl-PL"/>
        </w:rPr>
        <w:t>Ponadto sąd wymienił – jako podstawę do zastosowania środka za</w:t>
      </w:r>
      <w:r w:rsidR="00C4396C" w:rsidRPr="00AA4881">
        <w:rPr>
          <w:lang w:val="pl-PL"/>
        </w:rPr>
        <w:t>bezpieczającego</w:t>
      </w:r>
      <w:r w:rsidRPr="00AA4881">
        <w:rPr>
          <w:lang w:val="pl-PL"/>
        </w:rPr>
        <w:t xml:space="preserve"> – fakt, że skarżący nie ma „stałego i legalnego zatrudnienia”, a także, że jego życie charakteryzowa</w:t>
      </w:r>
      <w:r w:rsidR="00972E57" w:rsidRPr="00AA4881">
        <w:rPr>
          <w:lang w:val="pl-PL"/>
        </w:rPr>
        <w:t xml:space="preserve">ło się regularnymi kontaktami z </w:t>
      </w:r>
      <w:r w:rsidR="006E4341">
        <w:rPr>
          <w:lang w:val="pl-PL"/>
        </w:rPr>
        <w:t xml:space="preserve">prominentnymi </w:t>
      </w:r>
      <w:r w:rsidRPr="00AA4881">
        <w:rPr>
          <w:lang w:val="pl-PL"/>
        </w:rPr>
        <w:t>lokalnymi przestępcami (</w:t>
      </w:r>
      <w:proofErr w:type="spellStart"/>
      <w:r w:rsidRPr="00AA4881">
        <w:rPr>
          <w:i/>
          <w:lang w:val="pl-PL"/>
        </w:rPr>
        <w:t>malavita</w:t>
      </w:r>
      <w:proofErr w:type="spellEnd"/>
      <w:r w:rsidRPr="00AA4881">
        <w:rPr>
          <w:lang w:val="pl-PL"/>
        </w:rPr>
        <w:t xml:space="preserve">) oraz popełnianiem przestępstw. </w:t>
      </w:r>
    </w:p>
    <w:p w14:paraId="44C76A96" w14:textId="3B7D03A0" w:rsidR="00FE2818" w:rsidRPr="00AA4881" w:rsidRDefault="00FE2818">
      <w:pPr>
        <w:pStyle w:val="ClinContent"/>
        <w:rPr>
          <w:lang w:val="pl-PL"/>
        </w:rPr>
      </w:pPr>
      <w:r w:rsidRPr="00AA4881">
        <w:rPr>
          <w:lang w:val="pl-PL"/>
        </w:rPr>
        <w:t xml:space="preserve">Innymi słowy, sąd oparł swe uzasadnienie na założeniu istnienia </w:t>
      </w:r>
      <w:r w:rsidR="006E4341">
        <w:rPr>
          <w:lang w:val="pl-PL"/>
        </w:rPr>
        <w:br/>
        <w:t>„</w:t>
      </w:r>
      <w:r w:rsidRPr="00AA4881">
        <w:rPr>
          <w:lang w:val="pl-PL"/>
        </w:rPr>
        <w:t xml:space="preserve">przestępczych tendencji”, a więc kryterium, które Trybunał Konstytucyjny uznał </w:t>
      </w:r>
      <w:r w:rsidR="005003FF" w:rsidRPr="00AA4881">
        <w:rPr>
          <w:lang w:val="pl-PL"/>
        </w:rPr>
        <w:t xml:space="preserve">już </w:t>
      </w:r>
      <w:r w:rsidRPr="00AA4881">
        <w:rPr>
          <w:lang w:val="pl-PL"/>
        </w:rPr>
        <w:t>za</w:t>
      </w:r>
      <w:r w:rsidR="00E3473C">
        <w:rPr>
          <w:lang w:val="pl-PL"/>
        </w:rPr>
        <w:t> </w:t>
      </w:r>
      <w:r w:rsidRPr="00AA4881">
        <w:rPr>
          <w:lang w:val="pl-PL"/>
        </w:rPr>
        <w:t xml:space="preserve">niewystarczające. </w:t>
      </w:r>
    </w:p>
    <w:p w14:paraId="3150DB34" w14:textId="77777777" w:rsidR="005F51C3" w:rsidRPr="00AA4881" w:rsidRDefault="003E6698">
      <w:pPr>
        <w:pStyle w:val="ClinContent"/>
        <w:rPr>
          <w:lang w:val="pl-PL"/>
        </w:rPr>
      </w:pPr>
      <w:r w:rsidRPr="00AA4881">
        <w:rPr>
          <w:lang w:val="pl-PL"/>
        </w:rPr>
        <w:t>(b)</w:t>
      </w:r>
      <w:r w:rsidR="00972E57" w:rsidRPr="00AA4881">
        <w:rPr>
          <w:lang w:val="pl-PL"/>
        </w:rPr>
        <w:t xml:space="preserve"> </w:t>
      </w:r>
      <w:r w:rsidR="00972E57" w:rsidRPr="00AA4881">
        <w:rPr>
          <w:i/>
          <w:lang w:val="pl-PL"/>
        </w:rPr>
        <w:t xml:space="preserve">Zakres </w:t>
      </w:r>
      <w:r w:rsidR="00FE2818" w:rsidRPr="00AA4881">
        <w:rPr>
          <w:i/>
          <w:lang w:val="pl-PL"/>
        </w:rPr>
        <w:t xml:space="preserve">środków </w:t>
      </w:r>
    </w:p>
    <w:p w14:paraId="05F62426" w14:textId="1B179E6F" w:rsidR="00FE2818" w:rsidRPr="00AA4881" w:rsidRDefault="00FE2818">
      <w:pPr>
        <w:pStyle w:val="ClinContent"/>
        <w:rPr>
          <w:lang w:val="pl-PL"/>
        </w:rPr>
      </w:pPr>
      <w:r w:rsidRPr="00AA4881">
        <w:rPr>
          <w:lang w:val="pl-PL"/>
        </w:rPr>
        <w:t xml:space="preserve">(i) </w:t>
      </w:r>
      <w:r w:rsidRPr="00AA4881">
        <w:rPr>
          <w:i/>
          <w:lang w:val="pl-PL"/>
        </w:rPr>
        <w:t>Nieprecyzyjna definicja niektórych obowiązków</w:t>
      </w:r>
      <w:r w:rsidRPr="00AA4881">
        <w:rPr>
          <w:lang w:val="pl-PL"/>
        </w:rPr>
        <w:t xml:space="preserve"> – </w:t>
      </w:r>
      <w:r w:rsidR="00972E57" w:rsidRPr="00AA4881">
        <w:rPr>
          <w:lang w:val="pl-PL"/>
        </w:rPr>
        <w:t xml:space="preserve">Ustawa </w:t>
      </w:r>
      <w:r w:rsidRPr="00AA4881">
        <w:rPr>
          <w:lang w:val="pl-PL"/>
        </w:rPr>
        <w:t xml:space="preserve">przewidywała </w:t>
      </w:r>
      <w:r w:rsidR="00CB62F5" w:rsidRPr="00AA4881">
        <w:rPr>
          <w:lang w:val="pl-PL"/>
        </w:rPr>
        <w:t>możliwość nałożenia</w:t>
      </w:r>
      <w:r w:rsidRPr="00AA4881">
        <w:rPr>
          <w:lang w:val="pl-PL"/>
        </w:rPr>
        <w:t xml:space="preserve"> ogólnych i niejasnych obowiązków, takich jak „prowadzenie </w:t>
      </w:r>
      <w:r w:rsidR="00CB62F5" w:rsidRPr="00AA4881">
        <w:rPr>
          <w:lang w:val="pl-PL"/>
        </w:rPr>
        <w:t xml:space="preserve">życia </w:t>
      </w:r>
      <w:r w:rsidRPr="00AA4881">
        <w:rPr>
          <w:lang w:val="pl-PL"/>
        </w:rPr>
        <w:t>uczciwego i</w:t>
      </w:r>
      <w:r w:rsidR="00E3473C">
        <w:rPr>
          <w:lang w:val="pl-PL"/>
        </w:rPr>
        <w:t> </w:t>
      </w:r>
      <w:r w:rsidR="00CB62F5" w:rsidRPr="00AA4881">
        <w:rPr>
          <w:lang w:val="pl-PL"/>
        </w:rPr>
        <w:t xml:space="preserve">w </w:t>
      </w:r>
      <w:r w:rsidRPr="00AA4881">
        <w:rPr>
          <w:lang w:val="pl-PL"/>
        </w:rPr>
        <w:t>zgod</w:t>
      </w:r>
      <w:r w:rsidR="00CB62F5" w:rsidRPr="00AA4881">
        <w:rPr>
          <w:lang w:val="pl-PL"/>
        </w:rPr>
        <w:t>zie</w:t>
      </w:r>
      <w:r w:rsidRPr="00AA4881">
        <w:rPr>
          <w:lang w:val="pl-PL"/>
        </w:rPr>
        <w:t xml:space="preserve"> z prawem” oraz „niedawanie </w:t>
      </w:r>
      <w:r w:rsidR="00F8561D" w:rsidRPr="00AA4881">
        <w:rPr>
          <w:lang w:val="pl-PL"/>
        </w:rPr>
        <w:t>podstaw do podejrzeń</w:t>
      </w:r>
      <w:r w:rsidRPr="00AA4881">
        <w:rPr>
          <w:lang w:val="pl-PL"/>
        </w:rPr>
        <w:t xml:space="preserve">”, pozwalając </w:t>
      </w:r>
      <w:r w:rsidR="00CB62F5" w:rsidRPr="00AA4881">
        <w:rPr>
          <w:lang w:val="pl-PL"/>
        </w:rPr>
        <w:t xml:space="preserve">także </w:t>
      </w:r>
      <w:r w:rsidRPr="00AA4881">
        <w:rPr>
          <w:lang w:val="pl-PL"/>
        </w:rPr>
        <w:t xml:space="preserve">sądom na nakładanie „wszelkich innych środków uznanych za konieczne” z punktu widzenia wymogów ochrony społeczeństwa. </w:t>
      </w:r>
    </w:p>
    <w:p w14:paraId="4ED57981" w14:textId="2A7CABD6" w:rsidR="00CB62F5" w:rsidRPr="00AA4881" w:rsidRDefault="00CB62F5">
      <w:pPr>
        <w:pStyle w:val="ClinContent"/>
        <w:rPr>
          <w:lang w:val="pl-PL"/>
        </w:rPr>
      </w:pPr>
      <w:r w:rsidRPr="00AA4881">
        <w:rPr>
          <w:lang w:val="pl-PL"/>
        </w:rPr>
        <w:t>Orzecznictwo Trybunału Konstytucyjnego nie naprawiło tych braków; odwołując się do</w:t>
      </w:r>
      <w:r w:rsidR="00E3473C">
        <w:rPr>
          <w:lang w:val="pl-PL"/>
        </w:rPr>
        <w:t> </w:t>
      </w:r>
      <w:r w:rsidRPr="00AA4881">
        <w:rPr>
          <w:lang w:val="pl-PL"/>
        </w:rPr>
        <w:t>równie nieokreślonych terminów lub do całego włoskiego systemu prawnego, Trybunał Konstytucyjny nie</w:t>
      </w:r>
      <w:r w:rsidR="00247A7C" w:rsidRPr="00AA4881">
        <w:rPr>
          <w:lang w:val="pl-PL"/>
        </w:rPr>
        <w:t xml:space="preserve"> przedstawił żadnego dalszego wyjaśnienia odnośnie do</w:t>
      </w:r>
      <w:r w:rsidR="00E3473C">
        <w:rPr>
          <w:lang w:val="pl-PL"/>
        </w:rPr>
        <w:t> </w:t>
      </w:r>
      <w:r w:rsidR="00247A7C" w:rsidRPr="00AA4881">
        <w:rPr>
          <w:lang w:val="pl-PL"/>
        </w:rPr>
        <w:t>szczegółowych</w:t>
      </w:r>
      <w:r w:rsidR="00972E57" w:rsidRPr="00AA4881">
        <w:rPr>
          <w:lang w:val="pl-PL"/>
        </w:rPr>
        <w:t xml:space="preserve"> norm, których</w:t>
      </w:r>
      <w:r w:rsidRPr="00AA4881">
        <w:rPr>
          <w:lang w:val="pl-PL"/>
        </w:rPr>
        <w:t xml:space="preserve"> </w:t>
      </w:r>
      <w:r w:rsidR="00972E57" w:rsidRPr="00AA4881">
        <w:rPr>
          <w:lang w:val="pl-PL"/>
        </w:rPr>
        <w:t xml:space="preserve">nieprzestrzeganie </w:t>
      </w:r>
      <w:r w:rsidR="00247A7C" w:rsidRPr="00AA4881">
        <w:rPr>
          <w:lang w:val="pl-PL"/>
        </w:rPr>
        <w:t>dodatkowo wskazywałoby</w:t>
      </w:r>
      <w:r w:rsidRPr="00AA4881">
        <w:rPr>
          <w:lang w:val="pl-PL"/>
        </w:rPr>
        <w:t xml:space="preserve"> </w:t>
      </w:r>
      <w:r w:rsidR="00247A7C" w:rsidRPr="00AA4881">
        <w:rPr>
          <w:lang w:val="pl-PL"/>
        </w:rPr>
        <w:t>na</w:t>
      </w:r>
      <w:r w:rsidR="005003FF">
        <w:rPr>
          <w:lang w:val="pl-PL"/>
        </w:rPr>
        <w:t> </w:t>
      </w:r>
      <w:r w:rsidR="00247A7C" w:rsidRPr="00AA4881">
        <w:rPr>
          <w:lang w:val="pl-PL"/>
        </w:rPr>
        <w:t>zagrożenie</w:t>
      </w:r>
      <w:r w:rsidRPr="00AA4881">
        <w:rPr>
          <w:lang w:val="pl-PL"/>
        </w:rPr>
        <w:t xml:space="preserve"> dla społeczeństwa ze strony danej osoby. </w:t>
      </w:r>
    </w:p>
    <w:p w14:paraId="6EA33070" w14:textId="6D607A02" w:rsidR="00CB62F5" w:rsidRPr="00AA4881" w:rsidRDefault="00CB62F5">
      <w:pPr>
        <w:pStyle w:val="ClinContent"/>
        <w:rPr>
          <w:lang w:val="pl-PL"/>
        </w:rPr>
      </w:pPr>
      <w:r w:rsidRPr="00AA4881">
        <w:rPr>
          <w:lang w:val="pl-PL"/>
        </w:rPr>
        <w:t xml:space="preserve">(ii) </w:t>
      </w:r>
      <w:r w:rsidRPr="00AA4881">
        <w:rPr>
          <w:i/>
          <w:lang w:val="pl-PL"/>
        </w:rPr>
        <w:t xml:space="preserve">Zakaz uczęszczania na </w:t>
      </w:r>
      <w:r w:rsidR="00247A7C" w:rsidRPr="00AA4881">
        <w:rPr>
          <w:i/>
          <w:lang w:val="pl-PL"/>
        </w:rPr>
        <w:t>spotkania</w:t>
      </w:r>
      <w:r w:rsidRPr="00AA4881">
        <w:rPr>
          <w:i/>
          <w:lang w:val="pl-PL"/>
        </w:rPr>
        <w:t xml:space="preserve"> publiczne</w:t>
      </w:r>
      <w:r w:rsidRPr="00AA4881">
        <w:rPr>
          <w:lang w:val="pl-PL"/>
        </w:rPr>
        <w:t xml:space="preserve"> – Środki przewidziane prze</w:t>
      </w:r>
      <w:r w:rsidR="00A0256A">
        <w:rPr>
          <w:lang w:val="pl-PL"/>
        </w:rPr>
        <w:t>z</w:t>
      </w:r>
      <w:r w:rsidRPr="00AA4881">
        <w:rPr>
          <w:lang w:val="pl-PL"/>
        </w:rPr>
        <w:t xml:space="preserve"> ustawę i</w:t>
      </w:r>
      <w:r w:rsidR="00E3473C">
        <w:rPr>
          <w:lang w:val="pl-PL"/>
        </w:rPr>
        <w:t> </w:t>
      </w:r>
      <w:r w:rsidRPr="00AA4881">
        <w:rPr>
          <w:lang w:val="pl-PL"/>
        </w:rPr>
        <w:t xml:space="preserve">nałożone na skarżącego obejmowały również zakaz uczęszczania na </w:t>
      </w:r>
      <w:r w:rsidR="00247A7C" w:rsidRPr="00AA4881">
        <w:rPr>
          <w:lang w:val="pl-PL"/>
        </w:rPr>
        <w:t xml:space="preserve">spotkania </w:t>
      </w:r>
      <w:r w:rsidRPr="00AA4881">
        <w:rPr>
          <w:lang w:val="pl-PL"/>
        </w:rPr>
        <w:t xml:space="preserve">publiczne. W istocie </w:t>
      </w:r>
      <w:r w:rsidR="00247A7C" w:rsidRPr="00AA4881">
        <w:rPr>
          <w:lang w:val="pl-PL"/>
        </w:rPr>
        <w:t>był</w:t>
      </w:r>
      <w:r w:rsidRPr="00AA4881">
        <w:rPr>
          <w:lang w:val="pl-PL"/>
        </w:rPr>
        <w:t xml:space="preserve"> to zakaz o charakterze bezwzględnym. Ustawa nie określała żadnych </w:t>
      </w:r>
      <w:r w:rsidR="00251517">
        <w:rPr>
          <w:lang w:val="pl-PL"/>
        </w:rPr>
        <w:t>g</w:t>
      </w:r>
      <w:r w:rsidR="00247A7C" w:rsidRPr="00AA4881">
        <w:rPr>
          <w:lang w:val="pl-PL"/>
        </w:rPr>
        <w:t>ra</w:t>
      </w:r>
      <w:r w:rsidR="00251517">
        <w:rPr>
          <w:lang w:val="pl-PL"/>
        </w:rPr>
        <w:t>nic</w:t>
      </w:r>
      <w:r w:rsidR="00247A7C" w:rsidRPr="00AA4881">
        <w:rPr>
          <w:lang w:val="pl-PL"/>
        </w:rPr>
        <w:t xml:space="preserve"> </w:t>
      </w:r>
      <w:r w:rsidRPr="00AA4881">
        <w:rPr>
          <w:lang w:val="pl-PL"/>
        </w:rPr>
        <w:t xml:space="preserve">czasowych ani przestrzennych </w:t>
      </w:r>
      <w:r w:rsidR="00247A7C" w:rsidRPr="00AA4881">
        <w:rPr>
          <w:lang w:val="pl-PL"/>
        </w:rPr>
        <w:t xml:space="preserve">dla </w:t>
      </w:r>
      <w:r w:rsidRPr="00AA4881">
        <w:rPr>
          <w:lang w:val="pl-PL"/>
        </w:rPr>
        <w:t xml:space="preserve">możliwości ograniczenia </w:t>
      </w:r>
      <w:r w:rsidR="00247A7C" w:rsidRPr="00AA4881">
        <w:rPr>
          <w:lang w:val="pl-PL"/>
        </w:rPr>
        <w:t>te</w:t>
      </w:r>
      <w:r w:rsidR="00B35321">
        <w:rPr>
          <w:lang w:val="pl-PL"/>
        </w:rPr>
        <w:t>j</w:t>
      </w:r>
      <w:r w:rsidR="008C2155">
        <w:rPr>
          <w:lang w:val="pl-PL"/>
        </w:rPr>
        <w:t> </w:t>
      </w:r>
      <w:r w:rsidR="00B35321">
        <w:rPr>
          <w:lang w:val="pl-PL"/>
        </w:rPr>
        <w:t>podstawowej wolności</w:t>
      </w:r>
      <w:r w:rsidRPr="00AA4881">
        <w:rPr>
          <w:lang w:val="pl-PL"/>
        </w:rPr>
        <w:t>, pozostawiając sprawę</w:t>
      </w:r>
      <w:r w:rsidR="00247A7C" w:rsidRPr="00AA4881">
        <w:rPr>
          <w:lang w:val="pl-PL"/>
        </w:rPr>
        <w:t xml:space="preserve"> całkowicie do uznania sędziego i</w:t>
      </w:r>
      <w:r w:rsidR="008C2155">
        <w:rPr>
          <w:lang w:val="pl-PL"/>
        </w:rPr>
        <w:t> </w:t>
      </w:r>
      <w:r w:rsidRPr="00AA4881">
        <w:rPr>
          <w:lang w:val="pl-PL"/>
        </w:rPr>
        <w:t>nie</w:t>
      </w:r>
      <w:r w:rsidR="008C2155">
        <w:rPr>
          <w:lang w:val="pl-PL"/>
        </w:rPr>
        <w:t> </w:t>
      </w:r>
      <w:r w:rsidRPr="00AA4881">
        <w:rPr>
          <w:lang w:val="pl-PL"/>
        </w:rPr>
        <w:t>wskazując z</w:t>
      </w:r>
      <w:r w:rsidR="00E3473C">
        <w:rPr>
          <w:lang w:val="pl-PL"/>
        </w:rPr>
        <w:t> </w:t>
      </w:r>
      <w:r w:rsidRPr="00AA4881">
        <w:rPr>
          <w:lang w:val="pl-PL"/>
        </w:rPr>
        <w:t xml:space="preserve">wystarczającą jasnością zakresu tego uznania ani sposobu jego wykonywania. </w:t>
      </w:r>
    </w:p>
    <w:p w14:paraId="05862C15" w14:textId="77777777" w:rsidR="00F4551D" w:rsidRPr="00AA4881" w:rsidRDefault="00F4551D">
      <w:pPr>
        <w:pStyle w:val="ClinContent"/>
        <w:rPr>
          <w:lang w:val="pl-PL"/>
        </w:rPr>
      </w:pPr>
      <w:r w:rsidRPr="00AA4881">
        <w:rPr>
          <w:i/>
          <w:lang w:val="pl-PL"/>
        </w:rPr>
        <w:t>Rozstrzygnięcie</w:t>
      </w:r>
      <w:r w:rsidRPr="00AA4881">
        <w:rPr>
          <w:lang w:val="pl-PL"/>
        </w:rPr>
        <w:t>: naruszenie (jednomyślnie).</w:t>
      </w:r>
    </w:p>
    <w:p w14:paraId="0755CA9E" w14:textId="5FCEA81F" w:rsidR="00F4551D" w:rsidRPr="00AA4881" w:rsidRDefault="00F4551D">
      <w:pPr>
        <w:pStyle w:val="ClinContent"/>
        <w:rPr>
          <w:lang w:val="pl-PL"/>
        </w:rPr>
      </w:pPr>
      <w:r w:rsidRPr="00AA4881">
        <w:rPr>
          <w:lang w:val="pl-PL"/>
        </w:rPr>
        <w:t>Art. 37 ust. 1: Rząd przedłożył deklarację jednostronną przyznającą, że doszło do</w:t>
      </w:r>
      <w:r w:rsidR="00E3473C">
        <w:rPr>
          <w:lang w:val="pl-PL"/>
        </w:rPr>
        <w:t> </w:t>
      </w:r>
      <w:r w:rsidRPr="00AA4881">
        <w:rPr>
          <w:lang w:val="pl-PL"/>
        </w:rPr>
        <w:t xml:space="preserve">naruszenia art. 6 ust. 1 Konwencji wobec skarżącego z uwagi na brak </w:t>
      </w:r>
      <w:r w:rsidR="00EE434B" w:rsidRPr="00AA4881">
        <w:rPr>
          <w:lang w:val="pl-PL"/>
        </w:rPr>
        <w:t>publicznego rozpatrzenia jego sprawy</w:t>
      </w:r>
      <w:r w:rsidRPr="00AA4881">
        <w:rPr>
          <w:lang w:val="pl-PL"/>
        </w:rPr>
        <w:t xml:space="preserve">, i zobowiązał się do wypłacenia mu kwoty pieniężnej tytułem kosztów procesowych (ale nie tytułem szkody niematerialnej).  </w:t>
      </w:r>
    </w:p>
    <w:p w14:paraId="014AD097" w14:textId="3C57F288" w:rsidR="00F4551D" w:rsidRPr="00AA4881" w:rsidRDefault="00F4551D">
      <w:pPr>
        <w:pStyle w:val="ClinContent"/>
        <w:rPr>
          <w:lang w:val="pl-PL"/>
        </w:rPr>
      </w:pPr>
      <w:r w:rsidRPr="00AA4881">
        <w:rPr>
          <w:lang w:val="pl-PL"/>
        </w:rPr>
        <w:lastRenderedPageBreak/>
        <w:t>Jednakże, odmiennie niż w sprawach środków za</w:t>
      </w:r>
      <w:r w:rsidR="00C4396C" w:rsidRPr="00AA4881">
        <w:rPr>
          <w:lang w:val="pl-PL"/>
        </w:rPr>
        <w:t>bezpieczających</w:t>
      </w:r>
      <w:r w:rsidRPr="00AA4881">
        <w:rPr>
          <w:lang w:val="pl-PL"/>
        </w:rPr>
        <w:t xml:space="preserve"> dotyczących mienia, brak </w:t>
      </w:r>
      <w:r w:rsidR="00247A7C" w:rsidRPr="00AA4881">
        <w:rPr>
          <w:lang w:val="pl-PL"/>
        </w:rPr>
        <w:t xml:space="preserve">jest </w:t>
      </w:r>
      <w:r w:rsidRPr="00AA4881">
        <w:rPr>
          <w:lang w:val="pl-PL"/>
        </w:rPr>
        <w:t xml:space="preserve">wcześniejszych </w:t>
      </w:r>
      <w:r w:rsidR="00247A7C" w:rsidRPr="00AA4881">
        <w:rPr>
          <w:lang w:val="pl-PL"/>
        </w:rPr>
        <w:t>rozstrzygnięć</w:t>
      </w:r>
      <w:r w:rsidR="00E3473C">
        <w:rPr>
          <w:lang w:val="pl-PL"/>
        </w:rPr>
        <w:t xml:space="preserve"> odnośnie do tego</w:t>
      </w:r>
      <w:r w:rsidR="00F8561D" w:rsidRPr="00AA4881">
        <w:rPr>
          <w:lang w:val="pl-PL"/>
        </w:rPr>
        <w:t xml:space="preserve">, czy art. </w:t>
      </w:r>
      <w:r w:rsidRPr="00AA4881">
        <w:rPr>
          <w:lang w:val="pl-PL"/>
        </w:rPr>
        <w:t xml:space="preserve">6 ust. 1 </w:t>
      </w:r>
      <w:r w:rsidR="00F8561D" w:rsidRPr="00AA4881">
        <w:rPr>
          <w:lang w:val="pl-PL"/>
        </w:rPr>
        <w:t>ma</w:t>
      </w:r>
      <w:r w:rsidR="00E3473C">
        <w:rPr>
          <w:lang w:val="pl-PL"/>
        </w:rPr>
        <w:t> </w:t>
      </w:r>
      <w:r w:rsidR="00F8561D" w:rsidRPr="00AA4881">
        <w:rPr>
          <w:lang w:val="pl-PL"/>
        </w:rPr>
        <w:t xml:space="preserve">zastosowanie </w:t>
      </w:r>
      <w:r w:rsidRPr="00AA4881">
        <w:rPr>
          <w:lang w:val="pl-PL"/>
        </w:rPr>
        <w:t xml:space="preserve">w odniesieniu do postępowań w sprawie </w:t>
      </w:r>
      <w:r w:rsidR="00F8561D" w:rsidRPr="00AA4881">
        <w:rPr>
          <w:lang w:val="pl-PL"/>
        </w:rPr>
        <w:t xml:space="preserve">nałożenia </w:t>
      </w:r>
      <w:r w:rsidRPr="00AA4881">
        <w:rPr>
          <w:lang w:val="pl-PL"/>
        </w:rPr>
        <w:t>środków za</w:t>
      </w:r>
      <w:r w:rsidR="00C4396C" w:rsidRPr="00AA4881">
        <w:rPr>
          <w:lang w:val="pl-PL"/>
        </w:rPr>
        <w:t>bezpieczających</w:t>
      </w:r>
      <w:r w:rsidRPr="00AA4881">
        <w:rPr>
          <w:lang w:val="pl-PL"/>
        </w:rPr>
        <w:t xml:space="preserve"> dotyczących osób, takich jak </w:t>
      </w:r>
      <w:r w:rsidR="003D6966" w:rsidRPr="00AA4881">
        <w:rPr>
          <w:lang w:val="pl-PL"/>
        </w:rPr>
        <w:t xml:space="preserve">środki </w:t>
      </w:r>
      <w:r w:rsidRPr="00AA4881">
        <w:rPr>
          <w:lang w:val="pl-PL"/>
        </w:rPr>
        <w:t>nałożone w obecnej sprawie, a</w:t>
      </w:r>
      <w:r w:rsidR="00E3473C">
        <w:rPr>
          <w:lang w:val="pl-PL"/>
        </w:rPr>
        <w:t> </w:t>
      </w:r>
      <w:r w:rsidR="00F8561D" w:rsidRPr="00AA4881">
        <w:rPr>
          <w:lang w:val="pl-PL"/>
        </w:rPr>
        <w:t>jeśli tak, czy</w:t>
      </w:r>
      <w:r w:rsidRPr="00AA4881">
        <w:rPr>
          <w:lang w:val="pl-PL"/>
        </w:rPr>
        <w:t xml:space="preserve"> </w:t>
      </w:r>
      <w:r w:rsidR="00EE434B" w:rsidRPr="00AA4881">
        <w:rPr>
          <w:lang w:val="pl-PL"/>
        </w:rPr>
        <w:t>rozpatrzenie</w:t>
      </w:r>
      <w:r w:rsidRPr="00AA4881">
        <w:rPr>
          <w:lang w:val="pl-PL"/>
        </w:rPr>
        <w:t xml:space="preserve"> ta</w:t>
      </w:r>
      <w:r w:rsidR="00EE434B" w:rsidRPr="00AA4881">
        <w:rPr>
          <w:lang w:val="pl-PL"/>
        </w:rPr>
        <w:t>kich spraw powinno</w:t>
      </w:r>
      <w:r w:rsidRPr="00AA4881">
        <w:rPr>
          <w:lang w:val="pl-PL"/>
        </w:rPr>
        <w:t xml:space="preserve"> </w:t>
      </w:r>
      <w:r w:rsidR="008C2155">
        <w:rPr>
          <w:lang w:val="pl-PL"/>
        </w:rPr>
        <w:t>mieć miejsce na rozprawach odbywających się jawnie</w:t>
      </w:r>
      <w:r w:rsidRPr="00AA4881">
        <w:rPr>
          <w:lang w:val="pl-PL"/>
        </w:rPr>
        <w:t xml:space="preserve">.  </w:t>
      </w:r>
    </w:p>
    <w:p w14:paraId="2E30E562" w14:textId="77777777" w:rsidR="00F4551D" w:rsidRPr="00AA4881" w:rsidRDefault="00F4551D">
      <w:pPr>
        <w:pStyle w:val="ClinContent"/>
        <w:rPr>
          <w:lang w:val="pl-PL"/>
        </w:rPr>
      </w:pPr>
      <w:r w:rsidRPr="00AA4881">
        <w:rPr>
          <w:i/>
          <w:lang w:val="pl-PL"/>
        </w:rPr>
        <w:t>Rozstrzygnięcie</w:t>
      </w:r>
      <w:r w:rsidRPr="00AA4881">
        <w:rPr>
          <w:lang w:val="pl-PL"/>
        </w:rPr>
        <w:t xml:space="preserve">: wniosek o skreślenie skargi z listy odrzucony (jednomyślnie). </w:t>
      </w:r>
    </w:p>
    <w:p w14:paraId="24DCA0BE" w14:textId="77777777" w:rsidR="005F51C3" w:rsidRPr="00AA4881" w:rsidRDefault="003E6698">
      <w:pPr>
        <w:pStyle w:val="ClinContent"/>
        <w:rPr>
          <w:lang w:val="pl-PL"/>
        </w:rPr>
      </w:pPr>
      <w:r w:rsidRPr="00AA4881">
        <w:rPr>
          <w:lang w:val="pl-PL"/>
        </w:rPr>
        <w:t>Art</w:t>
      </w:r>
      <w:r w:rsidR="00F4551D" w:rsidRPr="00AA4881">
        <w:rPr>
          <w:lang w:val="pl-PL"/>
        </w:rPr>
        <w:t>.</w:t>
      </w:r>
      <w:r w:rsidRPr="00AA4881">
        <w:rPr>
          <w:lang w:val="pl-PL"/>
        </w:rPr>
        <w:t xml:space="preserve"> 6 </w:t>
      </w:r>
      <w:r w:rsidR="00F4551D" w:rsidRPr="00AA4881">
        <w:rPr>
          <w:lang w:val="pl-PL"/>
        </w:rPr>
        <w:t>ust.</w:t>
      </w:r>
      <w:r w:rsidRPr="00AA4881">
        <w:rPr>
          <w:lang w:val="pl-PL"/>
        </w:rPr>
        <w:t> 1</w:t>
      </w:r>
    </w:p>
    <w:p w14:paraId="3F0F6A95" w14:textId="12A5E4BD" w:rsidR="00F4551D" w:rsidRPr="00AA4881" w:rsidRDefault="00F4551D">
      <w:pPr>
        <w:pStyle w:val="ClinContent"/>
        <w:rPr>
          <w:lang w:val="pl-PL"/>
        </w:rPr>
      </w:pPr>
      <w:r w:rsidRPr="00AA4881">
        <w:rPr>
          <w:lang w:val="pl-PL"/>
        </w:rPr>
        <w:t xml:space="preserve">(a) </w:t>
      </w:r>
      <w:r w:rsidRPr="00AA4881">
        <w:rPr>
          <w:i/>
          <w:lang w:val="pl-PL"/>
        </w:rPr>
        <w:t>Zastosowalność</w:t>
      </w:r>
      <w:r w:rsidRPr="00AA4881">
        <w:rPr>
          <w:lang w:val="pl-PL"/>
        </w:rPr>
        <w:t xml:space="preserve"> – Art. 6 ust. 1 w aspekcie karnym nie ma zastosowania, gdyż</w:t>
      </w:r>
      <w:r w:rsidR="00E3473C">
        <w:rPr>
          <w:lang w:val="pl-PL"/>
        </w:rPr>
        <w:t> </w:t>
      </w:r>
      <w:r w:rsidRPr="00AA4881">
        <w:rPr>
          <w:lang w:val="pl-PL"/>
        </w:rPr>
        <w:t>s</w:t>
      </w:r>
      <w:r w:rsidR="008A130D" w:rsidRPr="00AA4881">
        <w:rPr>
          <w:lang w:val="pl-PL"/>
        </w:rPr>
        <w:t>zczególny</w:t>
      </w:r>
      <w:r w:rsidRPr="00AA4881">
        <w:rPr>
          <w:lang w:val="pl-PL"/>
        </w:rPr>
        <w:t xml:space="preserve"> nadzór nie ma charakteru porównywalnego do sankcji karne</w:t>
      </w:r>
      <w:r w:rsidR="003D6966" w:rsidRPr="00AA4881">
        <w:rPr>
          <w:lang w:val="pl-PL"/>
        </w:rPr>
        <w:t>j</w:t>
      </w:r>
      <w:r w:rsidRPr="00AA4881">
        <w:rPr>
          <w:lang w:val="pl-PL"/>
        </w:rPr>
        <w:t xml:space="preserve">, zważywszy że postępowanie dotyczące skarżącego nie obejmowało rozstrzygania </w:t>
      </w:r>
      <w:r w:rsidR="003D6966" w:rsidRPr="00AA4881">
        <w:rPr>
          <w:lang w:val="pl-PL"/>
        </w:rPr>
        <w:t>w</w:t>
      </w:r>
      <w:r w:rsidR="00E3473C">
        <w:rPr>
          <w:lang w:val="pl-PL"/>
        </w:rPr>
        <w:t> </w:t>
      </w:r>
      <w:r w:rsidR="003D6966" w:rsidRPr="00AA4881">
        <w:rPr>
          <w:lang w:val="pl-PL"/>
        </w:rPr>
        <w:t xml:space="preserve">sprawie </w:t>
      </w:r>
      <w:r w:rsidRPr="00AA4881">
        <w:rPr>
          <w:lang w:val="pl-PL"/>
        </w:rPr>
        <w:t xml:space="preserve">„oskarżenia … w sprawie karnej”. </w:t>
      </w:r>
    </w:p>
    <w:p w14:paraId="4D78B83F" w14:textId="0144E0E2" w:rsidR="00F4551D" w:rsidRPr="00AA4881" w:rsidRDefault="00F4551D">
      <w:pPr>
        <w:pStyle w:val="ClinContent"/>
        <w:rPr>
          <w:lang w:val="pl-PL"/>
        </w:rPr>
      </w:pPr>
      <w:r w:rsidRPr="00AA4881">
        <w:rPr>
          <w:lang w:val="pl-PL"/>
        </w:rPr>
        <w:t xml:space="preserve">Jednakże, orzecznictwo Trybunału poszło w kierunku stosowania art. 6 w </w:t>
      </w:r>
      <w:r w:rsidR="003D6966" w:rsidRPr="00AA4881">
        <w:rPr>
          <w:lang w:val="pl-PL"/>
        </w:rPr>
        <w:t xml:space="preserve">jego </w:t>
      </w:r>
      <w:r w:rsidRPr="00AA4881">
        <w:rPr>
          <w:lang w:val="pl-PL"/>
        </w:rPr>
        <w:t xml:space="preserve">aspekcie cywilnym do spraw, </w:t>
      </w:r>
      <w:r w:rsidR="00F20416" w:rsidRPr="00AA4881">
        <w:rPr>
          <w:lang w:val="pl-PL"/>
        </w:rPr>
        <w:t xml:space="preserve">w </w:t>
      </w:r>
      <w:r w:rsidR="00225395" w:rsidRPr="00AA4881">
        <w:rPr>
          <w:lang w:val="pl-PL"/>
        </w:rPr>
        <w:t>których począt</w:t>
      </w:r>
      <w:r w:rsidR="00F20416" w:rsidRPr="00AA4881">
        <w:rPr>
          <w:lang w:val="pl-PL"/>
        </w:rPr>
        <w:t>kowo może nie wydawać</w:t>
      </w:r>
      <w:r w:rsidR="00225395" w:rsidRPr="00AA4881">
        <w:rPr>
          <w:lang w:val="pl-PL"/>
        </w:rPr>
        <w:t xml:space="preserve"> się, że dotyczą one</w:t>
      </w:r>
      <w:r w:rsidRPr="00AA4881">
        <w:rPr>
          <w:lang w:val="pl-PL"/>
        </w:rPr>
        <w:t xml:space="preserve"> prawa</w:t>
      </w:r>
      <w:r w:rsidR="00225395" w:rsidRPr="00AA4881">
        <w:rPr>
          <w:lang w:val="pl-PL"/>
        </w:rPr>
        <w:t xml:space="preserve"> o charakterze cywilnym</w:t>
      </w:r>
      <w:r w:rsidRPr="00AA4881">
        <w:rPr>
          <w:lang w:val="pl-PL"/>
        </w:rPr>
        <w:t xml:space="preserve">, </w:t>
      </w:r>
      <w:r w:rsidR="00EE434B" w:rsidRPr="00AA4881">
        <w:rPr>
          <w:lang w:val="pl-PL"/>
        </w:rPr>
        <w:t xml:space="preserve">a które </w:t>
      </w:r>
      <w:r w:rsidRPr="00AA4881">
        <w:rPr>
          <w:lang w:val="pl-PL"/>
        </w:rPr>
        <w:t xml:space="preserve">mogą jednak mieć bezpośrednie i znaczące skutki dla </w:t>
      </w:r>
      <w:r w:rsidR="00E3473C">
        <w:rPr>
          <w:lang w:val="pl-PL"/>
        </w:rPr>
        <w:t> </w:t>
      </w:r>
      <w:r w:rsidRPr="00AA4881">
        <w:rPr>
          <w:lang w:val="pl-PL"/>
        </w:rPr>
        <w:t>prawa prywatnego przynależnego jednostce (</w:t>
      </w:r>
      <w:r w:rsidR="00225395" w:rsidRPr="00AA4881">
        <w:rPr>
          <w:lang w:val="pl-PL"/>
        </w:rPr>
        <w:t xml:space="preserve">zobacz </w:t>
      </w:r>
      <w:proofErr w:type="spellStart"/>
      <w:r w:rsidR="00225395" w:rsidRPr="00AA4881">
        <w:rPr>
          <w:i/>
          <w:lang w:val="pl-PL"/>
        </w:rPr>
        <w:t>Alexandre</w:t>
      </w:r>
      <w:proofErr w:type="spellEnd"/>
      <w:r w:rsidR="00225395" w:rsidRPr="00AA4881">
        <w:rPr>
          <w:i/>
          <w:lang w:val="pl-PL"/>
        </w:rPr>
        <w:t xml:space="preserve"> p. Portugalii</w:t>
      </w:r>
      <w:r w:rsidR="00225395" w:rsidRPr="00AA4881">
        <w:rPr>
          <w:lang w:val="pl-PL"/>
        </w:rPr>
        <w:t xml:space="preserve">, skarga nr 33197/09, 20 listopada 2012 r., </w:t>
      </w:r>
      <w:hyperlink r:id="rId9" w:history="1">
        <w:r w:rsidR="00225395" w:rsidRPr="00AA4881">
          <w:rPr>
            <w:rStyle w:val="Hipercze"/>
            <w:lang w:val="pl-PL"/>
          </w:rPr>
          <w:t>Nota informacyjna nr 157</w:t>
        </w:r>
      </w:hyperlink>
      <w:r w:rsidR="00225395" w:rsidRPr="00AA4881">
        <w:rPr>
          <w:lang w:val="pl-PL"/>
        </w:rPr>
        <w:t xml:space="preserve">, oraz </w:t>
      </w:r>
      <w:proofErr w:type="spellStart"/>
      <w:r w:rsidR="00225395" w:rsidRPr="00AA4881">
        <w:rPr>
          <w:i/>
          <w:lang w:val="pl-PL"/>
        </w:rPr>
        <w:t>Pocius</w:t>
      </w:r>
      <w:proofErr w:type="spellEnd"/>
      <w:r w:rsidR="00225395" w:rsidRPr="00AA4881">
        <w:rPr>
          <w:i/>
          <w:lang w:val="pl-PL"/>
        </w:rPr>
        <w:t xml:space="preserve"> p. Litwie</w:t>
      </w:r>
      <w:r w:rsidR="00225395" w:rsidRPr="00AA4881">
        <w:rPr>
          <w:lang w:val="pl-PL"/>
        </w:rPr>
        <w:t xml:space="preserve">, skarga nr </w:t>
      </w:r>
      <w:hyperlink r:id="rId10" w:history="1">
        <w:r w:rsidR="00225395" w:rsidRPr="00AA4881">
          <w:rPr>
            <w:rStyle w:val="Hipercze"/>
            <w:lang w:val="pl-PL"/>
          </w:rPr>
          <w:t>35601/04</w:t>
        </w:r>
      </w:hyperlink>
      <w:r w:rsidR="00225395" w:rsidRPr="00AA4881">
        <w:rPr>
          <w:lang w:val="pl-PL"/>
        </w:rPr>
        <w:t>, 6 lipca 2010 r.).</w:t>
      </w:r>
    </w:p>
    <w:p w14:paraId="2B413070" w14:textId="2ABEDF8F" w:rsidR="00225395" w:rsidRPr="00AA4881" w:rsidRDefault="00225395" w:rsidP="00225395">
      <w:pPr>
        <w:pStyle w:val="ClinContent"/>
        <w:rPr>
          <w:lang w:val="pl-PL"/>
        </w:rPr>
      </w:pPr>
      <w:r w:rsidRPr="00AA4881">
        <w:rPr>
          <w:lang w:val="pl-PL"/>
        </w:rPr>
        <w:t>W obecnej sprawie obowiązki obejmujące zakaz</w:t>
      </w:r>
      <w:r w:rsidR="00F20416" w:rsidRPr="00AA4881">
        <w:rPr>
          <w:lang w:val="pl-PL"/>
        </w:rPr>
        <w:t>y</w:t>
      </w:r>
      <w:r w:rsidRPr="00AA4881">
        <w:rPr>
          <w:lang w:val="pl-PL"/>
        </w:rPr>
        <w:t xml:space="preserve"> opuszczania rejonu zamieszkania, opuszczania domu między godz. 22</w:t>
      </w:r>
      <w:r w:rsidR="00C64767">
        <w:rPr>
          <w:lang w:val="pl-PL"/>
        </w:rPr>
        <w:t>:</w:t>
      </w:r>
      <w:r w:rsidRPr="00AA4881">
        <w:rPr>
          <w:lang w:val="pl-PL"/>
        </w:rPr>
        <w:t xml:space="preserve">00 a </w:t>
      </w:r>
      <w:r w:rsidR="00EE434B" w:rsidRPr="00AA4881">
        <w:rPr>
          <w:lang w:val="pl-PL"/>
        </w:rPr>
        <w:t xml:space="preserve">godz. </w:t>
      </w:r>
      <w:r w:rsidRPr="00AA4881">
        <w:rPr>
          <w:lang w:val="pl-PL"/>
        </w:rPr>
        <w:t>6</w:t>
      </w:r>
      <w:r w:rsidR="00C64767">
        <w:rPr>
          <w:lang w:val="pl-PL"/>
        </w:rPr>
        <w:t>:</w:t>
      </w:r>
      <w:r w:rsidRPr="00AA4881">
        <w:rPr>
          <w:lang w:val="pl-PL"/>
        </w:rPr>
        <w:t xml:space="preserve">00, uczęszczania na </w:t>
      </w:r>
      <w:r w:rsidR="00EE434B" w:rsidRPr="00AA4881">
        <w:rPr>
          <w:lang w:val="pl-PL"/>
        </w:rPr>
        <w:t xml:space="preserve">spotkania </w:t>
      </w:r>
      <w:r w:rsidR="00C419BC" w:rsidRPr="00AA4881">
        <w:rPr>
          <w:lang w:val="pl-PL"/>
        </w:rPr>
        <w:t xml:space="preserve">publiczne </w:t>
      </w:r>
      <w:r w:rsidRPr="00AA4881">
        <w:rPr>
          <w:lang w:val="pl-PL"/>
        </w:rPr>
        <w:t xml:space="preserve">i korzystania z telefonów komórkowych lub urządzeń komunikacji radiowej niewątpliwie </w:t>
      </w:r>
      <w:r w:rsidR="00EE434B" w:rsidRPr="00AA4881">
        <w:rPr>
          <w:lang w:val="pl-PL"/>
        </w:rPr>
        <w:t>dotyczyły sfery</w:t>
      </w:r>
      <w:r w:rsidRPr="00AA4881">
        <w:rPr>
          <w:lang w:val="pl-PL"/>
        </w:rPr>
        <w:t xml:space="preserve"> </w:t>
      </w:r>
      <w:r w:rsidR="00F20416" w:rsidRPr="00AA4881">
        <w:rPr>
          <w:lang w:val="pl-PL"/>
        </w:rPr>
        <w:t xml:space="preserve">praw </w:t>
      </w:r>
      <w:r w:rsidRPr="00AA4881">
        <w:rPr>
          <w:lang w:val="pl-PL"/>
        </w:rPr>
        <w:t xml:space="preserve">osobistych i jako takie miały charakter cywilny (zobacz, </w:t>
      </w:r>
      <w:r w:rsidRPr="00AA4881">
        <w:rPr>
          <w:i/>
          <w:lang w:val="pl-PL"/>
        </w:rPr>
        <w:t>mutatis mutandis</w:t>
      </w:r>
      <w:r w:rsidRPr="00AA4881">
        <w:rPr>
          <w:lang w:val="pl-PL"/>
        </w:rPr>
        <w:t xml:space="preserve">, </w:t>
      </w:r>
      <w:r w:rsidRPr="00AA4881">
        <w:rPr>
          <w:i/>
          <w:lang w:val="pl-PL"/>
        </w:rPr>
        <w:t>Enea p. Włochom</w:t>
      </w:r>
      <w:r w:rsidRPr="00AA4881">
        <w:rPr>
          <w:lang w:val="pl-PL"/>
        </w:rPr>
        <w:t xml:space="preserve"> [Wielka Izba], skarga nr 74912/01, 17 września 2009 r., </w:t>
      </w:r>
      <w:hyperlink r:id="rId11" w:history="1">
        <w:r w:rsidRPr="00AA4881">
          <w:rPr>
            <w:rStyle w:val="Hipercze"/>
            <w:lang w:val="pl-PL"/>
          </w:rPr>
          <w:t>Nota informacyjna nr 122</w:t>
        </w:r>
      </w:hyperlink>
      <w:r w:rsidRPr="00AA4881">
        <w:rPr>
          <w:lang w:val="pl-PL"/>
        </w:rPr>
        <w:t xml:space="preserve">, oraz </w:t>
      </w:r>
      <w:proofErr w:type="spellStart"/>
      <w:r w:rsidRPr="00AA4881">
        <w:rPr>
          <w:i/>
          <w:lang w:val="pl-PL"/>
        </w:rPr>
        <w:t>Ganci</w:t>
      </w:r>
      <w:proofErr w:type="spellEnd"/>
      <w:r w:rsidRPr="00AA4881">
        <w:rPr>
          <w:i/>
          <w:lang w:val="pl-PL"/>
        </w:rPr>
        <w:t xml:space="preserve"> p. Włochom</w:t>
      </w:r>
      <w:r w:rsidRPr="00AA4881">
        <w:rPr>
          <w:lang w:val="pl-PL"/>
        </w:rPr>
        <w:t>, skarga nr</w:t>
      </w:r>
      <w:r w:rsidR="005003FF">
        <w:rPr>
          <w:lang w:val="pl-PL"/>
        </w:rPr>
        <w:t> </w:t>
      </w:r>
      <w:r w:rsidRPr="00AA4881">
        <w:rPr>
          <w:lang w:val="pl-PL"/>
        </w:rPr>
        <w:t xml:space="preserve">41576/98, 30 października 2003 r., </w:t>
      </w:r>
      <w:hyperlink r:id="rId12" w:history="1">
        <w:r w:rsidRPr="00AA4881">
          <w:rPr>
            <w:rStyle w:val="Hipercze"/>
            <w:lang w:val="pl-PL"/>
          </w:rPr>
          <w:t>Nota informacyjna nr 57</w:t>
        </w:r>
      </w:hyperlink>
      <w:r w:rsidRPr="00AA4881">
        <w:rPr>
          <w:lang w:val="pl-PL"/>
        </w:rPr>
        <w:t>).</w:t>
      </w:r>
    </w:p>
    <w:p w14:paraId="7EEC1392" w14:textId="32271946" w:rsidR="003B5750" w:rsidRPr="00AA4881" w:rsidRDefault="003B5750">
      <w:pPr>
        <w:pStyle w:val="ClinContent"/>
        <w:rPr>
          <w:lang w:val="pl-PL"/>
        </w:rPr>
      </w:pPr>
      <w:r w:rsidRPr="00AA4881">
        <w:rPr>
          <w:lang w:val="pl-PL"/>
        </w:rPr>
        <w:t xml:space="preserve">W odniesieniu do tych praw pojawił się </w:t>
      </w:r>
      <w:r w:rsidR="00C64767">
        <w:rPr>
          <w:lang w:val="pl-PL"/>
        </w:rPr>
        <w:t>„</w:t>
      </w:r>
      <w:r w:rsidRPr="00AA4881">
        <w:rPr>
          <w:lang w:val="pl-PL"/>
        </w:rPr>
        <w:t>prawdziwy i poważny spór”, gdy Sąd Rejonowy poddał skarżącego s</w:t>
      </w:r>
      <w:r w:rsidR="008A130D" w:rsidRPr="00AA4881">
        <w:rPr>
          <w:lang w:val="pl-PL"/>
        </w:rPr>
        <w:t>zczególnemu</w:t>
      </w:r>
      <w:r w:rsidRPr="00AA4881">
        <w:rPr>
          <w:lang w:val="pl-PL"/>
        </w:rPr>
        <w:t xml:space="preserve"> nadzorowi, oddalając jego argumenty. </w:t>
      </w:r>
      <w:r w:rsidR="00FA0857" w:rsidRPr="00AA4881">
        <w:rPr>
          <w:lang w:val="pl-PL"/>
        </w:rPr>
        <w:t>Spór został ostatecznie rozstrzygnięty wyrokiem Sądu Apelacyjnego, który przyznał, że środek za</w:t>
      </w:r>
      <w:r w:rsidR="007C4541" w:rsidRPr="00AA4881">
        <w:rPr>
          <w:lang w:val="pl-PL"/>
        </w:rPr>
        <w:t>bezpieczający</w:t>
      </w:r>
      <w:r w:rsidR="00FA0857" w:rsidRPr="00AA4881">
        <w:rPr>
          <w:lang w:val="pl-PL"/>
        </w:rPr>
        <w:t xml:space="preserve"> nałożony na skarżącego był bezprawny. </w:t>
      </w:r>
    </w:p>
    <w:p w14:paraId="41B7D4E8" w14:textId="77777777" w:rsidR="00FA0857" w:rsidRPr="00AA4881" w:rsidRDefault="00FA0857">
      <w:pPr>
        <w:pStyle w:val="ClinContent"/>
        <w:rPr>
          <w:lang w:val="pl-PL"/>
        </w:rPr>
      </w:pPr>
      <w:r w:rsidRPr="00986592">
        <w:rPr>
          <w:i/>
          <w:lang w:val="pl-PL"/>
        </w:rPr>
        <w:t>Rozstrzygnięcie</w:t>
      </w:r>
      <w:r w:rsidRPr="00AA4881">
        <w:rPr>
          <w:lang w:val="pl-PL"/>
        </w:rPr>
        <w:t>: skarga dopuszczalna (jednomyślnie)</w:t>
      </w:r>
      <w:r w:rsidR="00EE434B" w:rsidRPr="00AA4881">
        <w:rPr>
          <w:lang w:val="pl-PL"/>
        </w:rPr>
        <w:t>.</w:t>
      </w:r>
    </w:p>
    <w:p w14:paraId="446F8E57" w14:textId="2F9699CC" w:rsidR="00FA0857" w:rsidRPr="00AA4881" w:rsidRDefault="00FA0857">
      <w:pPr>
        <w:pStyle w:val="ClinContent"/>
        <w:rPr>
          <w:lang w:val="pl-PL"/>
        </w:rPr>
      </w:pPr>
      <w:r w:rsidRPr="00AA4881">
        <w:rPr>
          <w:lang w:val="pl-PL"/>
        </w:rPr>
        <w:t xml:space="preserve">(b) </w:t>
      </w:r>
      <w:r w:rsidRPr="00AA4881">
        <w:rPr>
          <w:i/>
          <w:lang w:val="pl-PL"/>
        </w:rPr>
        <w:t xml:space="preserve">Przedmiot skargi (brak </w:t>
      </w:r>
      <w:r w:rsidR="00EE434B" w:rsidRPr="00AA4881">
        <w:rPr>
          <w:i/>
          <w:lang w:val="pl-PL"/>
        </w:rPr>
        <w:t>publicznego rozpatrzenia sprawy</w:t>
      </w:r>
      <w:r w:rsidRPr="00A668CF">
        <w:rPr>
          <w:i/>
          <w:lang w:val="pl-PL"/>
        </w:rPr>
        <w:t>)</w:t>
      </w:r>
      <w:r w:rsidRPr="00AA4881">
        <w:rPr>
          <w:i/>
          <w:lang w:val="pl-PL"/>
        </w:rPr>
        <w:t xml:space="preserve"> – </w:t>
      </w:r>
      <w:r w:rsidRPr="00AA4881">
        <w:rPr>
          <w:lang w:val="pl-PL"/>
        </w:rPr>
        <w:t xml:space="preserve">Skarżący nie miał możliwości </w:t>
      </w:r>
      <w:r w:rsidR="000F0B02">
        <w:rPr>
          <w:lang w:val="pl-PL"/>
        </w:rPr>
        <w:t>za</w:t>
      </w:r>
      <w:r w:rsidRPr="00AA4881">
        <w:rPr>
          <w:lang w:val="pl-PL"/>
        </w:rPr>
        <w:t>kwestionowania przedmiotowego środka na rozprawie</w:t>
      </w:r>
      <w:r w:rsidR="002F1BAF" w:rsidRPr="002F1BAF">
        <w:rPr>
          <w:lang w:val="pl-PL"/>
        </w:rPr>
        <w:t xml:space="preserve"> </w:t>
      </w:r>
      <w:r w:rsidR="002F1BAF">
        <w:rPr>
          <w:lang w:val="pl-PL"/>
        </w:rPr>
        <w:t>odbywającej się jawnie</w:t>
      </w:r>
      <w:r w:rsidRPr="00AA4881">
        <w:rPr>
          <w:lang w:val="pl-PL"/>
        </w:rPr>
        <w:t>. Trybunał przypomniał, że obowiązek przeprowadzenia jawnej rozprawy nie</w:t>
      </w:r>
      <w:r w:rsidR="002F1BAF">
        <w:rPr>
          <w:lang w:val="pl-PL"/>
        </w:rPr>
        <w:t> </w:t>
      </w:r>
      <w:r w:rsidRPr="00AA4881">
        <w:rPr>
          <w:lang w:val="pl-PL"/>
        </w:rPr>
        <w:t>ma charakteru bezwzględnego, gdyż okoliczności mogą uzasadniać rezygnację z</w:t>
      </w:r>
      <w:r w:rsidR="002F1BAF">
        <w:rPr>
          <w:lang w:val="pl-PL"/>
        </w:rPr>
        <w:t> </w:t>
      </w:r>
      <w:r w:rsidRPr="00AA4881">
        <w:rPr>
          <w:lang w:val="pl-PL"/>
        </w:rPr>
        <w:t>rozprawy w</w:t>
      </w:r>
      <w:r w:rsidR="00480AB2">
        <w:rPr>
          <w:lang w:val="pl-PL"/>
        </w:rPr>
        <w:t> </w:t>
      </w:r>
      <w:r w:rsidRPr="00AA4881">
        <w:rPr>
          <w:lang w:val="pl-PL"/>
        </w:rPr>
        <w:t xml:space="preserve">zależności przede wszystkim od charakteru kwestii, które mają rozstrzygnąć sądy krajowe. </w:t>
      </w:r>
    </w:p>
    <w:p w14:paraId="06B47314" w14:textId="77932C5D" w:rsidR="00FA0857" w:rsidRPr="00AA4881" w:rsidRDefault="00FA0857">
      <w:pPr>
        <w:pStyle w:val="ClinContent"/>
        <w:rPr>
          <w:lang w:val="pl-PL"/>
        </w:rPr>
      </w:pPr>
      <w:r w:rsidRPr="00AA4881">
        <w:rPr>
          <w:lang w:val="pl-PL"/>
        </w:rPr>
        <w:t xml:space="preserve">Okoliczności obecnej sprawy przemawiały za potrzebą </w:t>
      </w:r>
      <w:r w:rsidR="00480AB2">
        <w:rPr>
          <w:lang w:val="pl-PL"/>
        </w:rPr>
        <w:t xml:space="preserve">przeprowadzenia </w:t>
      </w:r>
      <w:r w:rsidR="002F1BAF">
        <w:rPr>
          <w:lang w:val="pl-PL"/>
        </w:rPr>
        <w:t>rozprawy odbywającej się jawnie</w:t>
      </w:r>
      <w:r w:rsidRPr="00AA4881">
        <w:rPr>
          <w:lang w:val="pl-PL"/>
        </w:rPr>
        <w:t xml:space="preserve">, biorąc pod uwagę, że sądy krajowe musiały ocenić takie aspekty jak charakter, zachowanie i zagrożenie ze strony skarżącego, </w:t>
      </w:r>
      <w:r w:rsidR="00F20416" w:rsidRPr="00AA4881">
        <w:rPr>
          <w:lang w:val="pl-PL"/>
        </w:rPr>
        <w:t>a wszystkie te</w:t>
      </w:r>
      <w:r w:rsidR="00480AB2">
        <w:rPr>
          <w:lang w:val="pl-PL"/>
        </w:rPr>
        <w:t> </w:t>
      </w:r>
      <w:r w:rsidRPr="00AA4881">
        <w:rPr>
          <w:lang w:val="pl-PL"/>
        </w:rPr>
        <w:t>kwestie były decydujące dla nałożenia środka za</w:t>
      </w:r>
      <w:r w:rsidR="007C4541" w:rsidRPr="00AA4881">
        <w:rPr>
          <w:lang w:val="pl-PL"/>
        </w:rPr>
        <w:t>bezpieczającego</w:t>
      </w:r>
      <w:r w:rsidRPr="00AA4881">
        <w:rPr>
          <w:lang w:val="pl-PL"/>
        </w:rPr>
        <w:t xml:space="preserve">. </w:t>
      </w:r>
    </w:p>
    <w:p w14:paraId="53AF8714" w14:textId="77777777" w:rsidR="00FA0857" w:rsidRPr="00AA4881" w:rsidRDefault="00FA0857">
      <w:pPr>
        <w:pStyle w:val="ClinContent"/>
        <w:rPr>
          <w:lang w:val="pl-PL"/>
        </w:rPr>
      </w:pPr>
      <w:r w:rsidRPr="00AA4881">
        <w:rPr>
          <w:i/>
          <w:lang w:val="pl-PL"/>
        </w:rPr>
        <w:t>Rozstrzygnięcie</w:t>
      </w:r>
      <w:r w:rsidRPr="00AA4881">
        <w:rPr>
          <w:lang w:val="pl-PL"/>
        </w:rPr>
        <w:t>: naruszenie (jednomyślnie)</w:t>
      </w:r>
      <w:r w:rsidR="00F20416" w:rsidRPr="00AA4881">
        <w:rPr>
          <w:lang w:val="pl-PL"/>
        </w:rPr>
        <w:t>.</w:t>
      </w:r>
    </w:p>
    <w:p w14:paraId="0FDDE8AE" w14:textId="239B4762" w:rsidR="00FA0857" w:rsidRPr="00AA4881" w:rsidRDefault="00FA0857">
      <w:pPr>
        <w:pStyle w:val="ClinContent"/>
        <w:rPr>
          <w:lang w:val="pl-PL"/>
        </w:rPr>
      </w:pPr>
      <w:r w:rsidRPr="00AA4881">
        <w:rPr>
          <w:lang w:val="pl-PL"/>
        </w:rPr>
        <w:t>Trybunał orzekł również, czternastoma głosami do trzech, że nie doszło do naruszenia art. 6 ust. 1 w zakresie rzetelności postępowania, w szczególności w odniesieniu do</w:t>
      </w:r>
      <w:r w:rsidR="00A668CF">
        <w:rPr>
          <w:lang w:val="pl-PL"/>
        </w:rPr>
        <w:t> </w:t>
      </w:r>
      <w:r w:rsidRPr="00AA4881">
        <w:rPr>
          <w:lang w:val="pl-PL"/>
        </w:rPr>
        <w:t>oceny dowodów przez sąd pierwszej instancji, a także, dwunastoma głosami do</w:t>
      </w:r>
      <w:r w:rsidR="00A668CF">
        <w:rPr>
          <w:lang w:val="pl-PL"/>
        </w:rPr>
        <w:t> </w:t>
      </w:r>
      <w:r w:rsidRPr="00AA4881">
        <w:rPr>
          <w:lang w:val="pl-PL"/>
        </w:rPr>
        <w:t xml:space="preserve">pięciu, że nie doszło do naruszenia art. 13 w związku z art. 2 Protokołu nr 4. </w:t>
      </w:r>
    </w:p>
    <w:p w14:paraId="4F340997" w14:textId="210173C4" w:rsidR="00FA0857" w:rsidRPr="00AA4881" w:rsidRDefault="00FA0857">
      <w:pPr>
        <w:pStyle w:val="ClinContent"/>
        <w:rPr>
          <w:lang w:val="pl-PL"/>
        </w:rPr>
      </w:pPr>
      <w:r w:rsidRPr="00AA4881">
        <w:rPr>
          <w:lang w:val="pl-PL"/>
        </w:rPr>
        <w:lastRenderedPageBreak/>
        <w:t xml:space="preserve">Art. 41: 5000 euro </w:t>
      </w:r>
      <w:r w:rsidR="00F20416" w:rsidRPr="00AA4881">
        <w:rPr>
          <w:lang w:val="pl-PL"/>
        </w:rPr>
        <w:t>z tytułu</w:t>
      </w:r>
      <w:r w:rsidRPr="00AA4881">
        <w:rPr>
          <w:lang w:val="pl-PL"/>
        </w:rPr>
        <w:t xml:space="preserve"> szkody niematerialnej</w:t>
      </w:r>
      <w:r w:rsidR="007C4541" w:rsidRPr="00AA4881">
        <w:rPr>
          <w:lang w:val="pl-PL"/>
        </w:rPr>
        <w:t>;</w:t>
      </w:r>
      <w:r w:rsidRPr="00AA4881">
        <w:rPr>
          <w:lang w:val="pl-PL"/>
        </w:rPr>
        <w:t xml:space="preserve"> oddalone roszczenie z tytułu szkody materialnej. </w:t>
      </w:r>
    </w:p>
    <w:p w14:paraId="1A60D068" w14:textId="77777777" w:rsidR="005F51C3" w:rsidRPr="00AA4881" w:rsidRDefault="005F51C3">
      <w:pPr>
        <w:pBdr>
          <w:bottom w:val="single" w:sz="8" w:space="1" w:color="auto"/>
        </w:pBdr>
        <w:rPr>
          <w:lang w:val="pl-PL"/>
        </w:rPr>
      </w:pPr>
    </w:p>
    <w:p w14:paraId="0F27E480" w14:textId="77777777" w:rsidR="00FA0857" w:rsidRPr="00AA4881" w:rsidRDefault="00FA0857" w:rsidP="00FA0857">
      <w:pPr>
        <w:pStyle w:val="ClinFooter"/>
        <w:rPr>
          <w:lang w:val="pl-PL"/>
        </w:rPr>
      </w:pPr>
      <w:r w:rsidRPr="00AA4881">
        <w:rPr>
          <w:lang w:val="pl-PL"/>
        </w:rPr>
        <w:t xml:space="preserve">© </w:t>
      </w:r>
      <w:proofErr w:type="spellStart"/>
      <w:r w:rsidRPr="00AA4881">
        <w:rPr>
          <w:lang w:val="pl-PL"/>
        </w:rPr>
        <w:t>Conseil</w:t>
      </w:r>
      <w:proofErr w:type="spellEnd"/>
      <w:r w:rsidRPr="00AA4881">
        <w:rPr>
          <w:lang w:val="pl-PL"/>
        </w:rPr>
        <w:t xml:space="preserve"> de </w:t>
      </w:r>
      <w:proofErr w:type="spellStart"/>
      <w:r w:rsidRPr="00AA4881">
        <w:rPr>
          <w:lang w:val="pl-PL"/>
        </w:rPr>
        <w:t>l’Europe</w:t>
      </w:r>
      <w:proofErr w:type="spellEnd"/>
      <w:r w:rsidRPr="00AA4881">
        <w:rPr>
          <w:lang w:val="pl-PL"/>
        </w:rPr>
        <w:t>/</w:t>
      </w:r>
      <w:proofErr w:type="spellStart"/>
      <w:r w:rsidRPr="00AA4881">
        <w:rPr>
          <w:lang w:val="pl-PL"/>
        </w:rPr>
        <w:t>Cour</w:t>
      </w:r>
      <w:proofErr w:type="spellEnd"/>
      <w:r w:rsidRPr="00AA4881">
        <w:rPr>
          <w:lang w:val="pl-PL"/>
        </w:rPr>
        <w:t xml:space="preserve"> </w:t>
      </w:r>
      <w:proofErr w:type="spellStart"/>
      <w:r w:rsidRPr="00AA4881">
        <w:rPr>
          <w:lang w:val="pl-PL"/>
        </w:rPr>
        <w:t>européenne</w:t>
      </w:r>
      <w:proofErr w:type="spellEnd"/>
      <w:r w:rsidRPr="00AA4881">
        <w:rPr>
          <w:lang w:val="pl-PL"/>
        </w:rPr>
        <w:t xml:space="preserve"> des </w:t>
      </w:r>
      <w:proofErr w:type="spellStart"/>
      <w:r w:rsidRPr="00AA4881">
        <w:rPr>
          <w:lang w:val="pl-PL"/>
        </w:rPr>
        <w:t>droits</w:t>
      </w:r>
      <w:proofErr w:type="spellEnd"/>
      <w:r w:rsidRPr="00AA4881">
        <w:rPr>
          <w:lang w:val="pl-PL"/>
        </w:rPr>
        <w:t xml:space="preserve"> de </w:t>
      </w:r>
      <w:proofErr w:type="spellStart"/>
      <w:r w:rsidRPr="00AA4881">
        <w:rPr>
          <w:lang w:val="pl-PL"/>
        </w:rPr>
        <w:t>l’homme</w:t>
      </w:r>
      <w:proofErr w:type="spellEnd"/>
      <w:r w:rsidRPr="00AA4881">
        <w:rPr>
          <w:lang w:val="pl-PL"/>
        </w:rPr>
        <w:br/>
        <w:t xml:space="preserve">Niniejsze streszczenie przygotowane przez Kancelarię nie wiąże Trybunału.  </w:t>
      </w:r>
    </w:p>
    <w:p w14:paraId="0875B741" w14:textId="77777777" w:rsidR="00FA0857" w:rsidRPr="00FA0857" w:rsidRDefault="00FA0857">
      <w:pPr>
        <w:pStyle w:val="ClinFooter"/>
        <w:rPr>
          <w:lang w:val="pl-PL"/>
        </w:rPr>
      </w:pPr>
      <w:r w:rsidRPr="00AA4881">
        <w:rPr>
          <w:lang w:val="pl-PL"/>
        </w:rPr>
        <w:t xml:space="preserve">Link do </w:t>
      </w:r>
      <w:hyperlink r:id="rId13" w:history="1">
        <w:r w:rsidRPr="00AA4881">
          <w:rPr>
            <w:rStyle w:val="Hipercze"/>
            <w:lang w:val="pl-PL"/>
          </w:rPr>
          <w:t>Not informacyjnych nt. orzecznictwa</w:t>
        </w:r>
      </w:hyperlink>
    </w:p>
    <w:sectPr w:rsidR="00FA0857" w:rsidRPr="00FA0857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BCD084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F3E9C9" w14:textId="77777777" w:rsidR="00FD0F9A" w:rsidRDefault="00FD0F9A" w:rsidP="00C63262">
      <w:r>
        <w:separator/>
      </w:r>
    </w:p>
  </w:endnote>
  <w:endnote w:type="continuationSeparator" w:id="0">
    <w:p w14:paraId="7D20D297" w14:textId="77777777" w:rsidR="00FD0F9A" w:rsidRDefault="00FD0F9A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2903F6" w14:textId="77777777" w:rsidR="0024371E" w:rsidRDefault="002437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2FE8B" w14:textId="77777777" w:rsidR="0024371E" w:rsidRDefault="002437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B2E60" w14:textId="77777777" w:rsidR="003D6966" w:rsidRPr="0071773F" w:rsidRDefault="003D6966" w:rsidP="0071773F"/>
  <w:p w14:paraId="5F6EE84C" w14:textId="77777777" w:rsidR="003D6966" w:rsidRDefault="003D6966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12F984C" wp14:editId="29F2808A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BE580C" w14:textId="77777777" w:rsidR="00FD0F9A" w:rsidRDefault="00FD0F9A" w:rsidP="00C63262">
      <w:r>
        <w:separator/>
      </w:r>
    </w:p>
  </w:footnote>
  <w:footnote w:type="continuationSeparator" w:id="0">
    <w:p w14:paraId="476A5CB7" w14:textId="77777777" w:rsidR="00FD0F9A" w:rsidRDefault="00FD0F9A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BF235" w14:textId="77777777" w:rsidR="0024371E" w:rsidRDefault="002437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7114D968" w14:textId="3AC60CE3" w:rsidR="003D6966" w:rsidRDefault="003D6966" w:rsidP="003D6966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E036E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D2CE4" w14:textId="77777777" w:rsidR="003D6966" w:rsidRDefault="003D6966" w:rsidP="004A5B52">
    <w:pPr>
      <w:pStyle w:val="Nagwek"/>
    </w:pPr>
    <w:r>
      <w:tab/>
    </w:r>
    <w:r>
      <w:rPr>
        <w:noProof/>
        <w:lang w:val="pl-PL" w:eastAsia="pl-PL"/>
      </w:rPr>
      <w:drawing>
        <wp:inline distT="0" distB="0" distL="0" distR="0" wp14:anchorId="375C64FE" wp14:editId="6E9B26E2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kowski Dominik [BAZI]">
    <w15:presenceInfo w15:providerId="AD" w15:userId="S-1-5-21-2054104177-981614777-456279356-477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29E7"/>
    <w:rsid w:val="00097888"/>
    <w:rsid w:val="000A1FAE"/>
    <w:rsid w:val="000F0B02"/>
    <w:rsid w:val="000F13B5"/>
    <w:rsid w:val="00104AF8"/>
    <w:rsid w:val="00107377"/>
    <w:rsid w:val="00143602"/>
    <w:rsid w:val="001769E4"/>
    <w:rsid w:val="00186560"/>
    <w:rsid w:val="001F1C68"/>
    <w:rsid w:val="001F77C7"/>
    <w:rsid w:val="00212E83"/>
    <w:rsid w:val="00225395"/>
    <w:rsid w:val="0024371E"/>
    <w:rsid w:val="00247A7C"/>
    <w:rsid w:val="00251517"/>
    <w:rsid w:val="00281EC8"/>
    <w:rsid w:val="002966E7"/>
    <w:rsid w:val="002A6561"/>
    <w:rsid w:val="002B1655"/>
    <w:rsid w:val="002C48CF"/>
    <w:rsid w:val="002D63D1"/>
    <w:rsid w:val="002E088D"/>
    <w:rsid w:val="002E5CAA"/>
    <w:rsid w:val="002F1BAF"/>
    <w:rsid w:val="0030264F"/>
    <w:rsid w:val="003450B3"/>
    <w:rsid w:val="00386958"/>
    <w:rsid w:val="003A297D"/>
    <w:rsid w:val="003A42D6"/>
    <w:rsid w:val="003A64A6"/>
    <w:rsid w:val="003B5750"/>
    <w:rsid w:val="003B7C72"/>
    <w:rsid w:val="003D6966"/>
    <w:rsid w:val="003D7BB3"/>
    <w:rsid w:val="003E6698"/>
    <w:rsid w:val="00416FBC"/>
    <w:rsid w:val="0046453F"/>
    <w:rsid w:val="00466A72"/>
    <w:rsid w:val="00473A8F"/>
    <w:rsid w:val="00480AB2"/>
    <w:rsid w:val="004A5B52"/>
    <w:rsid w:val="004D568D"/>
    <w:rsid w:val="004E1037"/>
    <w:rsid w:val="005003FF"/>
    <w:rsid w:val="00505578"/>
    <w:rsid w:val="0052092D"/>
    <w:rsid w:val="00540D75"/>
    <w:rsid w:val="005514E5"/>
    <w:rsid w:val="005A2E97"/>
    <w:rsid w:val="005E30F4"/>
    <w:rsid w:val="005F51C3"/>
    <w:rsid w:val="006028A1"/>
    <w:rsid w:val="00616291"/>
    <w:rsid w:val="00631A28"/>
    <w:rsid w:val="006418AC"/>
    <w:rsid w:val="006A36AD"/>
    <w:rsid w:val="006C1D96"/>
    <w:rsid w:val="006D20DC"/>
    <w:rsid w:val="006E4341"/>
    <w:rsid w:val="0071773F"/>
    <w:rsid w:val="00723337"/>
    <w:rsid w:val="00774515"/>
    <w:rsid w:val="007B2B2D"/>
    <w:rsid w:val="007C4541"/>
    <w:rsid w:val="00825CBB"/>
    <w:rsid w:val="00880185"/>
    <w:rsid w:val="00893505"/>
    <w:rsid w:val="00895EF3"/>
    <w:rsid w:val="008A130D"/>
    <w:rsid w:val="008C1E50"/>
    <w:rsid w:val="008C2155"/>
    <w:rsid w:val="008C64D5"/>
    <w:rsid w:val="008E036E"/>
    <w:rsid w:val="00903D38"/>
    <w:rsid w:val="00925DEB"/>
    <w:rsid w:val="0094444B"/>
    <w:rsid w:val="00966AD2"/>
    <w:rsid w:val="00972E57"/>
    <w:rsid w:val="00986592"/>
    <w:rsid w:val="009A123A"/>
    <w:rsid w:val="009B3B2C"/>
    <w:rsid w:val="009E3EF0"/>
    <w:rsid w:val="00A01052"/>
    <w:rsid w:val="00A0256A"/>
    <w:rsid w:val="00A02E5E"/>
    <w:rsid w:val="00A04D9C"/>
    <w:rsid w:val="00A258BB"/>
    <w:rsid w:val="00A33541"/>
    <w:rsid w:val="00A339E8"/>
    <w:rsid w:val="00A36ECC"/>
    <w:rsid w:val="00A45616"/>
    <w:rsid w:val="00A668CF"/>
    <w:rsid w:val="00A70E24"/>
    <w:rsid w:val="00A716DC"/>
    <w:rsid w:val="00A8768B"/>
    <w:rsid w:val="00AA4881"/>
    <w:rsid w:val="00AC7726"/>
    <w:rsid w:val="00AE5008"/>
    <w:rsid w:val="00B35321"/>
    <w:rsid w:val="00B80CA0"/>
    <w:rsid w:val="00B83DF7"/>
    <w:rsid w:val="00B85770"/>
    <w:rsid w:val="00B85861"/>
    <w:rsid w:val="00B96AD7"/>
    <w:rsid w:val="00BA54FC"/>
    <w:rsid w:val="00BB03F9"/>
    <w:rsid w:val="00BE3FDC"/>
    <w:rsid w:val="00BF1CD9"/>
    <w:rsid w:val="00C22602"/>
    <w:rsid w:val="00C37433"/>
    <w:rsid w:val="00C419BC"/>
    <w:rsid w:val="00C4396C"/>
    <w:rsid w:val="00C63262"/>
    <w:rsid w:val="00C64767"/>
    <w:rsid w:val="00C72355"/>
    <w:rsid w:val="00C77699"/>
    <w:rsid w:val="00C82239"/>
    <w:rsid w:val="00C93CFB"/>
    <w:rsid w:val="00CB62F5"/>
    <w:rsid w:val="00CB7AAE"/>
    <w:rsid w:val="00CC66F4"/>
    <w:rsid w:val="00CF10BC"/>
    <w:rsid w:val="00CF4821"/>
    <w:rsid w:val="00CF7BA6"/>
    <w:rsid w:val="00D13945"/>
    <w:rsid w:val="00D146AC"/>
    <w:rsid w:val="00D4057E"/>
    <w:rsid w:val="00D42086"/>
    <w:rsid w:val="00D425B3"/>
    <w:rsid w:val="00D42A95"/>
    <w:rsid w:val="00D76969"/>
    <w:rsid w:val="00D97175"/>
    <w:rsid w:val="00DD6028"/>
    <w:rsid w:val="00DE5C6F"/>
    <w:rsid w:val="00E3473C"/>
    <w:rsid w:val="00E55491"/>
    <w:rsid w:val="00E55EB3"/>
    <w:rsid w:val="00E56013"/>
    <w:rsid w:val="00E66034"/>
    <w:rsid w:val="00E83DB6"/>
    <w:rsid w:val="00E83EFC"/>
    <w:rsid w:val="00EA53E7"/>
    <w:rsid w:val="00EE434B"/>
    <w:rsid w:val="00F20416"/>
    <w:rsid w:val="00F4551D"/>
    <w:rsid w:val="00F508C9"/>
    <w:rsid w:val="00F50CCD"/>
    <w:rsid w:val="00F5247C"/>
    <w:rsid w:val="00F8561D"/>
    <w:rsid w:val="00FA0857"/>
    <w:rsid w:val="00FA29ED"/>
    <w:rsid w:val="00FA4292"/>
    <w:rsid w:val="00FD0F9A"/>
    <w:rsid w:val="00FE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6AE2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D146A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146AC"/>
  </w:style>
  <w:style w:type="character" w:styleId="UyteHipercze">
    <w:name w:val="FollowedHyperlink"/>
    <w:basedOn w:val="Domylnaczcionkaakapitu"/>
    <w:semiHidden/>
    <w:unhideWhenUsed/>
    <w:rsid w:val="00FA0857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BB03F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B03F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03F9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B03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B03F9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BB03F9"/>
    <w:rPr>
      <w:rFonts w:ascii="Verdana" w:hAnsi="Verdan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D146A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146AC"/>
  </w:style>
  <w:style w:type="character" w:styleId="UyteHipercze">
    <w:name w:val="FollowedHyperlink"/>
    <w:basedOn w:val="Domylnaczcionkaakapitu"/>
    <w:semiHidden/>
    <w:unhideWhenUsed/>
    <w:rsid w:val="00FA0857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BB03F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B03F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03F9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B03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B03F9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BB03F9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1-57498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hudoc.echr.coe.int/eng?i=002-4659" TargetMode="External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1330" TargetMode="External"/><Relationship Id="rId24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microsoft.com/office/2011/relationships/commentsExtended" Target="commentsExtended.xml"/><Relationship Id="rId10" Type="http://schemas.openxmlformats.org/officeDocument/2006/relationships/hyperlink" Target="http://hudoc.echr.coe.int/eng?i=001-99821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7290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1715</Words>
  <Characters>10290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2018-01-11T10:03:00Z</dcterms:created>
  <dcterms:modified xsi:type="dcterms:W3CDTF">2018-01-11T10:03:00Z</dcterms:modified>
</cp:coreProperties>
</file>