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240" w:rsidRDefault="00280240" w:rsidP="00280240">
      <w:pPr>
        <w:pStyle w:val="s746c8714"/>
        <w:spacing w:before="120" w:beforeAutospacing="0" w:after="120" w:afterAutospacing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Style w:val="s4f807e54"/>
          <w:rFonts w:ascii="Arial" w:hAnsi="Arial" w:cs="Arial"/>
          <w:sz w:val="20"/>
          <w:szCs w:val="20"/>
        </w:rPr>
        <w:t xml:space="preserve">©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sz w:val="20"/>
          <w:szCs w:val="20"/>
        </w:rPr>
        <w:t xml:space="preserve">, </w:t>
      </w:r>
      <w:hyperlink r:id="rId7" w:history="1">
        <w:r w:rsidR="002531AE" w:rsidRPr="00A35CD3">
          <w:rPr>
            <w:rStyle w:val="Hipercze"/>
            <w:rFonts w:ascii="Arial" w:eastAsia="MS Mincho" w:hAnsi="Arial" w:cs="Arial"/>
            <w:sz w:val="20"/>
            <w:szCs w:val="20"/>
          </w:rPr>
          <w:t>www.msz</w:t>
        </w:r>
        <w:r w:rsidR="002531AE" w:rsidRPr="00A35CD3">
          <w:rPr>
            <w:rStyle w:val="Hipercze"/>
            <w:rFonts w:ascii="Arial" w:hAnsi="Arial" w:cs="Arial"/>
            <w:sz w:val="20"/>
            <w:szCs w:val="20"/>
          </w:rPr>
          <w:t>.gov.pl</w:t>
        </w:r>
      </w:hyperlink>
      <w:r>
        <w:rPr>
          <w:rStyle w:val="s4f807e54"/>
          <w:rFonts w:ascii="Arial" w:eastAsia="MS Mincho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C6118" w:rsidRPr="001C6660" w:rsidRDefault="006C6118" w:rsidP="006C6118">
      <w:pPr>
        <w:pStyle w:val="ClinEditionNumber"/>
        <w:jc w:val="center"/>
        <w:rPr>
          <w:lang w:val="pl-PL"/>
        </w:rPr>
      </w:pPr>
      <w:r w:rsidRPr="001C6660">
        <w:rPr>
          <w:lang w:val="pl-PL"/>
        </w:rPr>
        <w:t>EUROPEJSKI TRYBUNAŁ PRAW CZŁOWIEKA</w:t>
      </w:r>
    </w:p>
    <w:p w:rsidR="006C6118" w:rsidRPr="006C6118" w:rsidRDefault="006C6118">
      <w:pPr>
        <w:pStyle w:val="ClinEditionNumber"/>
        <w:rPr>
          <w:lang w:val="pl-PL"/>
        </w:rPr>
      </w:pPr>
      <w:r w:rsidRPr="006C6118">
        <w:rPr>
          <w:lang w:val="pl-PL"/>
        </w:rPr>
        <w:t>Nota informacyjna nt. orzecznictwa Trybunału nr 210</w:t>
      </w:r>
    </w:p>
    <w:p w:rsidR="006C6118" w:rsidRPr="001C6660" w:rsidRDefault="006C6118">
      <w:pPr>
        <w:pStyle w:val="ClinEditionMonth"/>
        <w:rPr>
          <w:lang w:val="pl-PL"/>
        </w:rPr>
      </w:pPr>
      <w:r w:rsidRPr="001C6660">
        <w:rPr>
          <w:lang w:val="pl-PL"/>
        </w:rPr>
        <w:t>Sierpień – Wrzesień 2017 r.</w:t>
      </w:r>
    </w:p>
    <w:p w:rsidR="006C6118" w:rsidRPr="006C6118" w:rsidRDefault="006C6118" w:rsidP="006C6118">
      <w:pPr>
        <w:rPr>
          <w:lang w:val="pl-PL"/>
        </w:rPr>
      </w:pPr>
      <w:r w:rsidRPr="006C6118">
        <w:rPr>
          <w:rStyle w:val="ClinCaseTitle"/>
          <w:lang w:val="pl-PL"/>
        </w:rPr>
        <w:t>Bărbulescu p. Rumunii [Wielka Izba]</w:t>
      </w:r>
      <w:r w:rsidRPr="006C6118">
        <w:rPr>
          <w:rStyle w:val="ClinApplicationNumber"/>
          <w:lang w:val="pl-PL"/>
        </w:rPr>
        <w:t xml:space="preserve"> – skarga nr 61496/08</w:t>
      </w:r>
    </w:p>
    <w:p w:rsidR="006C6118" w:rsidRPr="006C6118" w:rsidRDefault="006C6118">
      <w:pPr>
        <w:rPr>
          <w:lang w:val="pl-PL"/>
        </w:rPr>
      </w:pPr>
    </w:p>
    <w:p w:rsidR="006C6118" w:rsidRPr="006C6118" w:rsidRDefault="006C6118">
      <w:pPr>
        <w:rPr>
          <w:lang w:val="pl-PL"/>
        </w:rPr>
      </w:pPr>
      <w:r w:rsidRPr="006C6118">
        <w:rPr>
          <w:rStyle w:val="ClinSectionName"/>
          <w:lang w:val="pl-PL"/>
        </w:rPr>
        <w:t>Wyrok z 5 września 2017 r. [Wielka Izba]</w:t>
      </w:r>
    </w:p>
    <w:p w:rsidR="001C6660" w:rsidRPr="00E65B86" w:rsidRDefault="001C6660" w:rsidP="006C6118">
      <w:pPr>
        <w:rPr>
          <w:b/>
          <w:lang w:val="pl-PL"/>
        </w:rPr>
      </w:pPr>
    </w:p>
    <w:p w:rsidR="006C6118" w:rsidRPr="001C6660" w:rsidRDefault="006C6118" w:rsidP="006C6118">
      <w:pPr>
        <w:rPr>
          <w:b/>
          <w:lang w:val="pl-PL"/>
        </w:rPr>
      </w:pPr>
      <w:r w:rsidRPr="001C6660">
        <w:rPr>
          <w:b/>
          <w:lang w:val="pl-PL"/>
        </w:rPr>
        <w:t>Art. 8</w:t>
      </w:r>
    </w:p>
    <w:p w:rsidR="001C6660" w:rsidRPr="001C6660" w:rsidRDefault="001C6660" w:rsidP="006C6118">
      <w:pPr>
        <w:rPr>
          <w:b/>
          <w:lang w:val="pl-PL"/>
        </w:rPr>
      </w:pPr>
    </w:p>
    <w:p w:rsidR="006C6118" w:rsidRPr="001C6660" w:rsidRDefault="006C6118" w:rsidP="006C6118">
      <w:pPr>
        <w:rPr>
          <w:b/>
          <w:lang w:val="pl-PL"/>
        </w:rPr>
      </w:pPr>
      <w:r w:rsidRPr="001C6660">
        <w:rPr>
          <w:b/>
          <w:lang w:val="pl-PL"/>
        </w:rPr>
        <w:t>Art. 8 ust. 1</w:t>
      </w:r>
    </w:p>
    <w:p w:rsidR="006C6118" w:rsidRPr="001C6660" w:rsidRDefault="006C6118">
      <w:pPr>
        <w:pStyle w:val="ClinKeyword"/>
        <w:rPr>
          <w:lang w:val="pl-PL"/>
        </w:rPr>
      </w:pPr>
      <w:r w:rsidRPr="001C6660">
        <w:rPr>
          <w:lang w:val="pl-PL"/>
        </w:rPr>
        <w:t>Poszanowanie korespondencji</w:t>
      </w:r>
    </w:p>
    <w:p w:rsidR="006C6118" w:rsidRPr="00801B0C" w:rsidRDefault="006C6118">
      <w:pPr>
        <w:pStyle w:val="ClinKeyword"/>
        <w:rPr>
          <w:lang w:val="pl-PL"/>
        </w:rPr>
      </w:pPr>
      <w:r w:rsidRPr="00801B0C">
        <w:rPr>
          <w:lang w:val="pl-PL"/>
        </w:rPr>
        <w:t>Poszanowanie życia prywatnego</w:t>
      </w:r>
    </w:p>
    <w:p w:rsidR="006C6118" w:rsidRPr="006C6118" w:rsidRDefault="00FD5A6E" w:rsidP="00CA045D">
      <w:pPr>
        <w:jc w:val="both"/>
        <w:rPr>
          <w:i/>
          <w:lang w:val="pl-PL"/>
        </w:rPr>
      </w:pPr>
      <w:r w:rsidRPr="00FD5A6E">
        <w:rPr>
          <w:rStyle w:val="ClinConclusions"/>
          <w:i w:val="0"/>
          <w:lang w:val="pl-PL"/>
        </w:rPr>
        <w:t>Monitoring wykorzystania</w:t>
      </w:r>
      <w:r w:rsidR="006C6118" w:rsidRPr="00FD5A6E">
        <w:rPr>
          <w:rStyle w:val="ClinConclusions"/>
          <w:i w:val="0"/>
          <w:lang w:val="pl-PL"/>
        </w:rPr>
        <w:t xml:space="preserve"> internetu przez pracownika w miejscu pracy i wykorzystanie</w:t>
      </w:r>
      <w:r w:rsidR="006C6118" w:rsidRPr="006C6118">
        <w:rPr>
          <w:rStyle w:val="ClinConclusions"/>
          <w:i w:val="0"/>
          <w:lang w:val="pl-PL"/>
        </w:rPr>
        <w:t xml:space="preserve"> zgromadzonych danych w celu uzasadnienia jego zwolnienia: </w:t>
      </w:r>
      <w:r w:rsidR="006C6118">
        <w:rPr>
          <w:rStyle w:val="ClinConclusions"/>
          <w:lang w:val="pl-PL"/>
        </w:rPr>
        <w:t>naruszenie</w:t>
      </w:r>
    </w:p>
    <w:p w:rsidR="006C6118" w:rsidRPr="006C6118" w:rsidRDefault="006C6118">
      <w:pPr>
        <w:pStyle w:val="ClinContent"/>
        <w:rPr>
          <w:lang w:val="pl-PL"/>
        </w:rPr>
      </w:pPr>
      <w:r w:rsidRPr="006C6118">
        <w:rPr>
          <w:i/>
          <w:lang w:val="pl-PL"/>
        </w:rPr>
        <w:t xml:space="preserve">Fakty – </w:t>
      </w:r>
      <w:r w:rsidRPr="006C6118">
        <w:rPr>
          <w:lang w:val="pl-PL"/>
        </w:rPr>
        <w:t>Skarżący</w:t>
      </w:r>
      <w:r w:rsidRPr="006C6118">
        <w:rPr>
          <w:i/>
          <w:lang w:val="pl-PL"/>
        </w:rPr>
        <w:t xml:space="preserve"> </w:t>
      </w:r>
      <w:r w:rsidRPr="006C6118">
        <w:rPr>
          <w:lang w:val="pl-PL"/>
        </w:rPr>
        <w:t>został zwolniony przez swojeg</w:t>
      </w:r>
      <w:r>
        <w:rPr>
          <w:lang w:val="pl-PL"/>
        </w:rPr>
        <w:t>o pracodawcę, prywatną firmę, za to, że wykorzystywał sieć internet swojego prz</w:t>
      </w:r>
      <w:r w:rsidR="001C6660">
        <w:rPr>
          <w:lang w:val="pl-PL"/>
        </w:rPr>
        <w:t>edsiębiorstwa w godzinach pracy</w:t>
      </w:r>
      <w:r>
        <w:rPr>
          <w:lang w:val="pl-PL"/>
        </w:rPr>
        <w:t xml:space="preserve"> z naruszeniem wewnętrznego regulaminu, który zabraniał wykorzystywania komputerów przedsiębiorstwa w celach prywatnych. Jego pracodawca </w:t>
      </w:r>
      <w:r w:rsidR="00FD5A6E">
        <w:rPr>
          <w:lang w:val="pl-PL"/>
        </w:rPr>
        <w:t>monitorował</w:t>
      </w:r>
      <w:r>
        <w:rPr>
          <w:lang w:val="pl-PL"/>
        </w:rPr>
        <w:t xml:space="preserve"> przez pewien czas jego połączenia na koncie Yahoo </w:t>
      </w:r>
      <w:r w:rsidRPr="006C6118">
        <w:rPr>
          <w:lang w:val="pl-PL"/>
        </w:rPr>
        <w:t>Messenger</w:t>
      </w:r>
      <w:r>
        <w:rPr>
          <w:lang w:val="pl-PL"/>
        </w:rPr>
        <w:t>, o którego założenie zainteresowany został poproszony w celu odpowiadania na prośby o informacje ze strony klientów.</w:t>
      </w:r>
      <w:r w:rsidR="00B077FB">
        <w:rPr>
          <w:lang w:val="pl-PL"/>
        </w:rPr>
        <w:t xml:space="preserve"> </w:t>
      </w:r>
      <w:r w:rsidR="00FD5A6E">
        <w:rPr>
          <w:lang w:val="pl-PL"/>
        </w:rPr>
        <w:t>Zapisy sporządzone</w:t>
      </w:r>
      <w:r w:rsidR="00B077FB">
        <w:rPr>
          <w:lang w:val="pl-PL"/>
        </w:rPr>
        <w:t xml:space="preserve"> </w:t>
      </w:r>
      <w:r w:rsidR="001C6660">
        <w:rPr>
          <w:lang w:val="pl-PL"/>
        </w:rPr>
        <w:t>w trakcie wewnętrznych procedur</w:t>
      </w:r>
      <w:r>
        <w:rPr>
          <w:lang w:val="pl-PL"/>
        </w:rPr>
        <w:t xml:space="preserve"> w</w:t>
      </w:r>
      <w:r w:rsidR="001C6660">
        <w:rPr>
          <w:lang w:val="pl-PL"/>
        </w:rPr>
        <w:t>ykazały</w:t>
      </w:r>
      <w:r>
        <w:rPr>
          <w:lang w:val="pl-PL"/>
        </w:rPr>
        <w:t>, że wymieniał on wiadomości</w:t>
      </w:r>
      <w:r w:rsidR="001C6660">
        <w:rPr>
          <w:lang w:val="pl-PL"/>
        </w:rPr>
        <w:t xml:space="preserve"> o charakterze ściśle osobistym</w:t>
      </w:r>
      <w:r>
        <w:rPr>
          <w:lang w:val="pl-PL"/>
        </w:rPr>
        <w:t xml:space="preserve"> z osobami trzecimi. </w:t>
      </w:r>
    </w:p>
    <w:p w:rsidR="006C6118" w:rsidRPr="006C6118" w:rsidRDefault="006C6118">
      <w:pPr>
        <w:pStyle w:val="ClinContent"/>
        <w:rPr>
          <w:lang w:val="pl-PL"/>
        </w:rPr>
      </w:pPr>
      <w:r w:rsidRPr="006C6118">
        <w:rPr>
          <w:lang w:val="pl-PL"/>
        </w:rPr>
        <w:t>W trakcie postępowania przed organami Konwencji skarżący zarzucał, że zerwanie z nim umowy</w:t>
      </w:r>
      <w:r w:rsidR="00B077FB">
        <w:rPr>
          <w:lang w:val="pl-PL"/>
        </w:rPr>
        <w:t xml:space="preserve"> oparte było na naruszeniu</w:t>
      </w:r>
      <w:r w:rsidRPr="006C6118">
        <w:rPr>
          <w:lang w:val="pl-PL"/>
        </w:rPr>
        <w:t xml:space="preserve"> jego prawa do poszanowania życia prywatnego i </w:t>
      </w:r>
      <w:r>
        <w:rPr>
          <w:lang w:val="pl-PL"/>
        </w:rPr>
        <w:t xml:space="preserve">korespondencji, a krajowe organy sądowe nie zapewniły ochrony tego prawa. </w:t>
      </w:r>
    </w:p>
    <w:p w:rsidR="006C6118" w:rsidRPr="006C6118" w:rsidRDefault="006C6118">
      <w:pPr>
        <w:pStyle w:val="ClinContent"/>
        <w:rPr>
          <w:lang w:val="pl-PL"/>
        </w:rPr>
      </w:pPr>
      <w:r w:rsidRPr="006C6118">
        <w:rPr>
          <w:lang w:val="pl-PL"/>
        </w:rPr>
        <w:t xml:space="preserve">Wyrokiem z dnia 12 stycznia 2015 r. </w:t>
      </w:r>
      <w:r>
        <w:rPr>
          <w:lang w:val="pl-PL"/>
        </w:rPr>
        <w:t xml:space="preserve">Izba Trybunału uznała sześcioma głosami do jednego brak naruszenia art. 8. W opinii Izby, nic nie wskazywało na to, </w:t>
      </w:r>
      <w:r w:rsidR="001C6660">
        <w:rPr>
          <w:lang w:val="pl-PL"/>
        </w:rPr>
        <w:t>że</w:t>
      </w:r>
      <w:r>
        <w:rPr>
          <w:lang w:val="pl-PL"/>
        </w:rPr>
        <w:t xml:space="preserve"> organy krajowe nie znalazły słusznej równowagi, w </w:t>
      </w:r>
      <w:r w:rsidR="0050652E">
        <w:rPr>
          <w:lang w:val="pl-PL"/>
        </w:rPr>
        <w:t xml:space="preserve">granicach przysługującego im </w:t>
      </w:r>
      <w:r>
        <w:rPr>
          <w:lang w:val="pl-PL"/>
        </w:rPr>
        <w:t xml:space="preserve">marginesu oceny, między prawem skarżącego </w:t>
      </w:r>
      <w:r w:rsidR="001C6660">
        <w:rPr>
          <w:lang w:val="pl-PL"/>
        </w:rPr>
        <w:t xml:space="preserve">do </w:t>
      </w:r>
      <w:r>
        <w:rPr>
          <w:lang w:val="pl-PL"/>
        </w:rPr>
        <w:t>poszanowania je</w:t>
      </w:r>
      <w:r w:rsidR="001C6660">
        <w:rPr>
          <w:lang w:val="pl-PL"/>
        </w:rPr>
        <w:t>go życia prywatnego, chronionym</w:t>
      </w:r>
      <w:r>
        <w:rPr>
          <w:lang w:val="pl-PL"/>
        </w:rPr>
        <w:t xml:space="preserve"> przez art. 8, a interesami jego pracodawcy</w:t>
      </w:r>
      <w:r w:rsidR="0050652E">
        <w:rPr>
          <w:lang w:val="pl-PL"/>
        </w:rPr>
        <w:t xml:space="preserve"> (zobacz </w:t>
      </w:r>
      <w:hyperlink r:id="rId8" w:history="1">
        <w:r w:rsidR="00F50F1B" w:rsidRPr="0050652E">
          <w:rPr>
            <w:rStyle w:val="Hipercze"/>
            <w:lang w:val="pl-PL"/>
          </w:rPr>
          <w:t>Nota informacyjna nr 192</w:t>
        </w:r>
      </w:hyperlink>
      <w:r w:rsidR="0050652E">
        <w:rPr>
          <w:lang w:val="pl-PL"/>
        </w:rPr>
        <w:t>).</w:t>
      </w:r>
    </w:p>
    <w:p w:rsidR="0050652E" w:rsidRPr="0050652E" w:rsidRDefault="0050652E">
      <w:pPr>
        <w:pStyle w:val="ClinContent"/>
        <w:rPr>
          <w:lang w:val="pl-PL"/>
        </w:rPr>
      </w:pPr>
      <w:r w:rsidRPr="0050652E">
        <w:rPr>
          <w:lang w:val="pl-PL"/>
        </w:rPr>
        <w:t xml:space="preserve">W dniu 6 czerwca 2016 r. sprawa została przekazana </w:t>
      </w:r>
      <w:r w:rsidR="001C6660">
        <w:rPr>
          <w:lang w:val="pl-PL"/>
        </w:rPr>
        <w:t>na wniosek skarżącego</w:t>
      </w:r>
      <w:r w:rsidR="001C6660" w:rsidRPr="0050652E">
        <w:rPr>
          <w:lang w:val="pl-PL"/>
        </w:rPr>
        <w:t xml:space="preserve"> </w:t>
      </w:r>
      <w:r w:rsidRPr="0050652E">
        <w:rPr>
          <w:lang w:val="pl-PL"/>
        </w:rPr>
        <w:t>do Wielkiej Izby</w:t>
      </w:r>
      <w:r>
        <w:rPr>
          <w:lang w:val="pl-PL"/>
        </w:rPr>
        <w:t>.</w:t>
      </w:r>
      <w:r w:rsidRPr="0050652E">
        <w:rPr>
          <w:lang w:val="pl-PL"/>
        </w:rPr>
        <w:t xml:space="preserve"> </w:t>
      </w:r>
    </w:p>
    <w:p w:rsidR="0050652E" w:rsidRPr="002531AE" w:rsidRDefault="0050652E">
      <w:pPr>
        <w:pStyle w:val="ClinContent"/>
        <w:rPr>
          <w:lang w:val="pl-PL"/>
        </w:rPr>
      </w:pPr>
      <w:r w:rsidRPr="002531AE">
        <w:rPr>
          <w:lang w:val="pl-PL"/>
        </w:rPr>
        <w:t>Prawo – Art. 8</w:t>
      </w:r>
    </w:p>
    <w:p w:rsidR="0050652E" w:rsidRPr="0050652E" w:rsidRDefault="0050652E">
      <w:pPr>
        <w:pStyle w:val="ClinContent"/>
        <w:rPr>
          <w:lang w:val="pl-PL"/>
        </w:rPr>
      </w:pPr>
      <w:r w:rsidRPr="0050652E">
        <w:rPr>
          <w:lang w:val="pl-PL"/>
        </w:rPr>
        <w:t xml:space="preserve">a) </w:t>
      </w:r>
      <w:r w:rsidRPr="0050652E">
        <w:rPr>
          <w:i/>
          <w:lang w:val="pl-PL"/>
        </w:rPr>
        <w:t>Zastosowalność</w:t>
      </w:r>
      <w:r w:rsidRPr="0050652E">
        <w:rPr>
          <w:lang w:val="pl-PL"/>
        </w:rPr>
        <w:t xml:space="preserve"> – </w:t>
      </w:r>
      <w:r w:rsidR="00A96274">
        <w:rPr>
          <w:lang w:val="pl-PL"/>
        </w:rPr>
        <w:t>Przedmiotowy</w:t>
      </w:r>
      <w:r w:rsidR="00602233">
        <w:rPr>
          <w:lang w:val="pl-PL"/>
        </w:rPr>
        <w:t xml:space="preserve"> </w:t>
      </w:r>
      <w:r w:rsidRPr="00602233">
        <w:rPr>
          <w:lang w:val="pl-PL"/>
        </w:rPr>
        <w:t xml:space="preserve">rodzaj </w:t>
      </w:r>
      <w:r w:rsidR="00B077FB">
        <w:rPr>
          <w:lang w:val="pl-PL"/>
        </w:rPr>
        <w:t>komunika</w:t>
      </w:r>
      <w:r w:rsidR="00252953">
        <w:rPr>
          <w:lang w:val="pl-PL"/>
        </w:rPr>
        <w:t>tora internetowego</w:t>
      </w:r>
      <w:r w:rsidR="00B077FB">
        <w:rPr>
          <w:lang w:val="pl-PL"/>
        </w:rPr>
        <w:t xml:space="preserve"> o</w:t>
      </w:r>
      <w:r w:rsidRPr="00602233">
        <w:rPr>
          <w:lang w:val="pl-PL"/>
        </w:rPr>
        <w:t xml:space="preserve"> charakterze natychmiastowym </w:t>
      </w:r>
      <w:r w:rsidR="00CC6785" w:rsidRPr="00602233">
        <w:rPr>
          <w:lang w:val="pl-PL"/>
        </w:rPr>
        <w:t xml:space="preserve">stanowi </w:t>
      </w:r>
      <w:r w:rsidRPr="00602233">
        <w:rPr>
          <w:lang w:val="pl-PL"/>
        </w:rPr>
        <w:t>rodzaj komunikacji</w:t>
      </w:r>
      <w:r w:rsidR="00252953">
        <w:rPr>
          <w:lang w:val="pl-PL"/>
        </w:rPr>
        <w:t xml:space="preserve"> będącej</w:t>
      </w:r>
      <w:r w:rsidR="00546EAB">
        <w:rPr>
          <w:lang w:val="pl-PL"/>
        </w:rPr>
        <w:t xml:space="preserve"> elementem</w:t>
      </w:r>
      <w:r w:rsidRPr="00602233">
        <w:rPr>
          <w:lang w:val="pl-PL"/>
        </w:rPr>
        <w:t xml:space="preserve"> korzystania z</w:t>
      </w:r>
      <w:r w:rsidR="00B077FB">
        <w:rPr>
          <w:lang w:val="pl-PL"/>
        </w:rPr>
        <w:t xml:space="preserve"> prywatnego życia</w:t>
      </w:r>
      <w:r w:rsidRPr="00602233">
        <w:rPr>
          <w:lang w:val="pl-PL"/>
        </w:rPr>
        <w:t xml:space="preserve"> społecznego. Zresztą termin „korespondencja” ma zastosowanie</w:t>
      </w:r>
      <w:r>
        <w:rPr>
          <w:lang w:val="pl-PL"/>
        </w:rPr>
        <w:t xml:space="preserve"> do wysyłania i odbierania wiadomości, nawet z komputera pracodawcy. </w:t>
      </w:r>
    </w:p>
    <w:p w:rsidR="0050652E" w:rsidRPr="0050652E" w:rsidRDefault="0050652E">
      <w:pPr>
        <w:pStyle w:val="ClinContent"/>
        <w:rPr>
          <w:lang w:val="pl-PL"/>
        </w:rPr>
      </w:pPr>
      <w:r w:rsidRPr="0050652E">
        <w:rPr>
          <w:lang w:val="pl-PL"/>
        </w:rPr>
        <w:lastRenderedPageBreak/>
        <w:t>Skarżący był dobrze poinformowany o zakazie wykorzystywania internetu d</w:t>
      </w:r>
      <w:r w:rsidR="00252953">
        <w:rPr>
          <w:lang w:val="pl-PL"/>
        </w:rPr>
        <w:t>o</w:t>
      </w:r>
      <w:r>
        <w:rPr>
          <w:lang w:val="pl-PL"/>
        </w:rPr>
        <w:t xml:space="preserve"> celów osobistych, </w:t>
      </w:r>
      <w:r w:rsidR="001C6660">
        <w:rPr>
          <w:lang w:val="pl-PL"/>
        </w:rPr>
        <w:t>który był nałożony</w:t>
      </w:r>
      <w:r>
        <w:rPr>
          <w:lang w:val="pl-PL"/>
        </w:rPr>
        <w:t xml:space="preserve"> wewnętrznym regulaminem jego pracodawcy. Jednakże nie został z góry poinformowany o zakresie i charakterze </w:t>
      </w:r>
      <w:r w:rsidR="00FD5A6E">
        <w:rPr>
          <w:lang w:val="pl-PL"/>
        </w:rPr>
        <w:t>monitoringu</w:t>
      </w:r>
      <w:r>
        <w:rPr>
          <w:lang w:val="pl-PL"/>
        </w:rPr>
        <w:t xml:space="preserve"> wykonywanego przez jego pracodawcę ani o możliwości posiadania przez niego dostępu do samej </w:t>
      </w:r>
      <w:r w:rsidR="00FD5A6E">
        <w:rPr>
          <w:lang w:val="pl-PL"/>
        </w:rPr>
        <w:t>treści</w:t>
      </w:r>
      <w:r>
        <w:rPr>
          <w:lang w:val="pl-PL"/>
        </w:rPr>
        <w:t xml:space="preserve"> jego </w:t>
      </w:r>
      <w:r w:rsidRPr="00CC6785">
        <w:rPr>
          <w:lang w:val="pl-PL"/>
        </w:rPr>
        <w:t>komunikacji.</w:t>
      </w:r>
      <w:r>
        <w:rPr>
          <w:lang w:val="pl-PL"/>
        </w:rPr>
        <w:t xml:space="preserve"> </w:t>
      </w:r>
    </w:p>
    <w:p w:rsidR="0050652E" w:rsidRPr="0050652E" w:rsidRDefault="00CC6785">
      <w:pPr>
        <w:pStyle w:val="ClinContent"/>
        <w:rPr>
          <w:lang w:val="pl-PL"/>
        </w:rPr>
      </w:pPr>
      <w:r w:rsidRPr="00CC6785">
        <w:rPr>
          <w:lang w:val="pl-PL"/>
        </w:rPr>
        <w:t xml:space="preserve">Choć </w:t>
      </w:r>
      <w:r>
        <w:rPr>
          <w:lang w:val="pl-PL"/>
        </w:rPr>
        <w:t>w świetle restrykcyjnych regulacji</w:t>
      </w:r>
      <w:r w:rsidR="0050652E" w:rsidRPr="0050652E">
        <w:rPr>
          <w:lang w:val="pl-PL"/>
        </w:rPr>
        <w:t xml:space="preserve"> pracodawcy</w:t>
      </w:r>
      <w:r>
        <w:rPr>
          <w:lang w:val="pl-PL"/>
        </w:rPr>
        <w:t xml:space="preserve"> wątpliwe jest, </w:t>
      </w:r>
      <w:r w:rsidR="00756943">
        <w:rPr>
          <w:lang w:val="pl-PL"/>
        </w:rPr>
        <w:t>czy</w:t>
      </w:r>
      <w:r>
        <w:rPr>
          <w:lang w:val="pl-PL"/>
        </w:rPr>
        <w:t xml:space="preserve"> </w:t>
      </w:r>
      <w:r w:rsidR="0050652E" w:rsidRPr="0050652E">
        <w:rPr>
          <w:lang w:val="pl-PL"/>
        </w:rPr>
        <w:t>ska</w:t>
      </w:r>
      <w:r>
        <w:rPr>
          <w:lang w:val="pl-PL"/>
        </w:rPr>
        <w:t xml:space="preserve">rżący mógł żywić </w:t>
      </w:r>
      <w:r w:rsidR="0050652E" w:rsidRPr="0050652E">
        <w:rPr>
          <w:lang w:val="pl-PL"/>
        </w:rPr>
        <w:t xml:space="preserve">rozsądne </w:t>
      </w:r>
      <w:r w:rsidR="00BE7D60">
        <w:rPr>
          <w:lang w:val="pl-PL"/>
        </w:rPr>
        <w:t xml:space="preserve">oczekiwanie </w:t>
      </w:r>
      <w:r>
        <w:rPr>
          <w:lang w:val="pl-PL"/>
        </w:rPr>
        <w:t xml:space="preserve">odnośnie </w:t>
      </w:r>
      <w:r w:rsidR="00756943">
        <w:rPr>
          <w:lang w:val="pl-PL"/>
        </w:rPr>
        <w:t xml:space="preserve">do </w:t>
      </w:r>
      <w:r w:rsidR="00F14986">
        <w:rPr>
          <w:lang w:val="pl-PL"/>
        </w:rPr>
        <w:t xml:space="preserve">życia </w:t>
      </w:r>
      <w:r>
        <w:rPr>
          <w:lang w:val="pl-PL"/>
        </w:rPr>
        <w:t>prywatn</w:t>
      </w:r>
      <w:r w:rsidR="00F14986">
        <w:rPr>
          <w:lang w:val="pl-PL"/>
        </w:rPr>
        <w:t>ego</w:t>
      </w:r>
      <w:r>
        <w:rPr>
          <w:lang w:val="pl-PL"/>
        </w:rPr>
        <w:t>, tym niemniej</w:t>
      </w:r>
      <w:r w:rsidR="0050652E">
        <w:rPr>
          <w:lang w:val="pl-PL"/>
        </w:rPr>
        <w:t xml:space="preserve"> instrukcje pracodawcy nie mogą ograniczać </w:t>
      </w:r>
      <w:r w:rsidR="00756943">
        <w:rPr>
          <w:lang w:val="pl-PL"/>
        </w:rPr>
        <w:t xml:space="preserve">do zera </w:t>
      </w:r>
      <w:r w:rsidR="0050652E">
        <w:rPr>
          <w:lang w:val="pl-PL"/>
        </w:rPr>
        <w:t xml:space="preserve">korzystania z </w:t>
      </w:r>
      <w:r w:rsidR="00B077FB">
        <w:rPr>
          <w:lang w:val="pl-PL"/>
        </w:rPr>
        <w:t xml:space="preserve">prywatnego </w:t>
      </w:r>
      <w:r w:rsidR="0050652E">
        <w:rPr>
          <w:lang w:val="pl-PL"/>
        </w:rPr>
        <w:t>życia</w:t>
      </w:r>
      <w:r w:rsidR="00B077FB">
        <w:rPr>
          <w:lang w:val="pl-PL"/>
        </w:rPr>
        <w:t xml:space="preserve"> społecznego</w:t>
      </w:r>
      <w:r w:rsidR="0050652E">
        <w:rPr>
          <w:lang w:val="pl-PL"/>
        </w:rPr>
        <w:t xml:space="preserve"> w miejscu pracy. Poszanowanie życia prywatnego i poufności </w:t>
      </w:r>
      <w:r>
        <w:rPr>
          <w:lang w:val="pl-PL"/>
        </w:rPr>
        <w:t xml:space="preserve">korespondencji </w:t>
      </w:r>
      <w:r w:rsidR="0050652E">
        <w:rPr>
          <w:lang w:val="pl-PL"/>
        </w:rPr>
        <w:t xml:space="preserve">w dalszym ciągu ma </w:t>
      </w:r>
      <w:r>
        <w:rPr>
          <w:lang w:val="pl-PL"/>
        </w:rPr>
        <w:t>zastosowanie</w:t>
      </w:r>
      <w:r w:rsidR="0050652E">
        <w:rPr>
          <w:lang w:val="pl-PL"/>
        </w:rPr>
        <w:t xml:space="preserve">, nawet jeśli </w:t>
      </w:r>
      <w:r w:rsidR="00B077FB">
        <w:rPr>
          <w:lang w:val="pl-PL"/>
        </w:rPr>
        <w:t>taka korespondencja może</w:t>
      </w:r>
      <w:r w:rsidR="0050652E">
        <w:rPr>
          <w:lang w:val="pl-PL"/>
        </w:rPr>
        <w:t xml:space="preserve"> zostać w stopniu koniecznym ograniczon</w:t>
      </w:r>
      <w:r w:rsidR="009C21F4">
        <w:rPr>
          <w:lang w:val="pl-PL"/>
        </w:rPr>
        <w:t>a</w:t>
      </w:r>
      <w:r w:rsidR="0050652E">
        <w:rPr>
          <w:lang w:val="pl-PL"/>
        </w:rPr>
        <w:t xml:space="preserve">. </w:t>
      </w:r>
    </w:p>
    <w:p w:rsidR="0050652E" w:rsidRPr="0050652E" w:rsidRDefault="0050652E">
      <w:pPr>
        <w:pStyle w:val="ClinContent"/>
        <w:rPr>
          <w:lang w:val="pl-PL"/>
        </w:rPr>
      </w:pPr>
      <w:r w:rsidRPr="0050652E">
        <w:rPr>
          <w:lang w:val="pl-PL"/>
        </w:rPr>
        <w:t xml:space="preserve">A zatem, komunikacje skarżącego realizowane w miejscu pracy były objęte pojęciami </w:t>
      </w:r>
      <w:r>
        <w:rPr>
          <w:lang w:val="pl-PL"/>
        </w:rPr>
        <w:t>„</w:t>
      </w:r>
      <w:r w:rsidRPr="0050652E">
        <w:rPr>
          <w:lang w:val="pl-PL"/>
        </w:rPr>
        <w:t>życia prywatnego</w:t>
      </w:r>
      <w:r>
        <w:rPr>
          <w:lang w:val="pl-PL"/>
        </w:rPr>
        <w:t>”</w:t>
      </w:r>
      <w:r w:rsidRPr="0050652E">
        <w:rPr>
          <w:lang w:val="pl-PL"/>
        </w:rPr>
        <w:t xml:space="preserve"> i </w:t>
      </w:r>
      <w:r>
        <w:rPr>
          <w:lang w:val="pl-PL"/>
        </w:rPr>
        <w:t>„</w:t>
      </w:r>
      <w:r w:rsidRPr="0050652E">
        <w:rPr>
          <w:lang w:val="pl-PL"/>
        </w:rPr>
        <w:t>korespondencji</w:t>
      </w:r>
      <w:r>
        <w:rPr>
          <w:lang w:val="pl-PL"/>
        </w:rPr>
        <w:t>”</w:t>
      </w:r>
      <w:r w:rsidRPr="0050652E">
        <w:rPr>
          <w:lang w:val="pl-PL"/>
        </w:rPr>
        <w:t xml:space="preserve">. </w:t>
      </w:r>
      <w:r>
        <w:rPr>
          <w:lang w:val="pl-PL"/>
        </w:rPr>
        <w:t xml:space="preserve">Wynika z tego, że art. 8 Konwencji ma zastosowanie w sprawie. </w:t>
      </w:r>
    </w:p>
    <w:p w:rsidR="0050652E" w:rsidRPr="0050652E" w:rsidRDefault="0050652E">
      <w:pPr>
        <w:pStyle w:val="ClinContent"/>
        <w:rPr>
          <w:lang w:val="pl-PL"/>
        </w:rPr>
      </w:pPr>
      <w:r w:rsidRPr="0050652E">
        <w:rPr>
          <w:lang w:val="pl-PL"/>
        </w:rPr>
        <w:t xml:space="preserve">b) Przedmiot skargi – Biorąc pod uwagę szczególne okoliczności sprawy, w świetle konkluzji odnoszącej się do zastosowalności art. </w:t>
      </w:r>
      <w:r>
        <w:rPr>
          <w:lang w:val="pl-PL"/>
        </w:rPr>
        <w:t xml:space="preserve">8 i zważywszy, że </w:t>
      </w:r>
      <w:r w:rsidR="00756943">
        <w:rPr>
          <w:lang w:val="pl-PL"/>
        </w:rPr>
        <w:t>ingerencja</w:t>
      </w:r>
      <w:r>
        <w:rPr>
          <w:lang w:val="pl-PL"/>
        </w:rPr>
        <w:t xml:space="preserve"> w korzy</w:t>
      </w:r>
      <w:r w:rsidR="00756943">
        <w:rPr>
          <w:lang w:val="pl-PL"/>
        </w:rPr>
        <w:t>s</w:t>
      </w:r>
      <w:r>
        <w:rPr>
          <w:lang w:val="pl-PL"/>
        </w:rPr>
        <w:t xml:space="preserve">tanie przez skarżącego z jego prawa do poszanowania życia prywatnego i korespondencji została dokonana przez prywatnego pracodawcę, należy przeanalizować skargę z punktu widzenia obowiązków pozytywnych państwa. </w:t>
      </w:r>
    </w:p>
    <w:p w:rsidR="00AA1532" w:rsidRPr="00AA1532" w:rsidRDefault="00AA1532">
      <w:pPr>
        <w:pStyle w:val="ClinContent"/>
        <w:rPr>
          <w:b/>
          <w:lang w:val="pl-PL"/>
        </w:rPr>
      </w:pPr>
      <w:r w:rsidRPr="00AA1532">
        <w:rPr>
          <w:lang w:val="pl-PL"/>
        </w:rPr>
        <w:t xml:space="preserve">Niewiele państw </w:t>
      </w:r>
      <w:r w:rsidRPr="00CC6785">
        <w:rPr>
          <w:lang w:val="pl-PL"/>
        </w:rPr>
        <w:t>członkowskich uregulowało w</w:t>
      </w:r>
      <w:r w:rsidRPr="00AA1532">
        <w:rPr>
          <w:lang w:val="pl-PL"/>
        </w:rPr>
        <w:t xml:space="preserve"> sposób wyraźny kwestię </w:t>
      </w:r>
      <w:r>
        <w:rPr>
          <w:lang w:val="pl-PL"/>
        </w:rPr>
        <w:t xml:space="preserve">korzystania przez pracowników z prawa do poszanowania życia prywatnego i korespondencji w ich miejscu pracy. </w:t>
      </w:r>
      <w:r w:rsidR="00CC6785">
        <w:rPr>
          <w:lang w:val="pl-PL"/>
        </w:rPr>
        <w:t>A zatem</w:t>
      </w:r>
      <w:r>
        <w:rPr>
          <w:lang w:val="pl-PL"/>
        </w:rPr>
        <w:t xml:space="preserve">, Układającym się Państwom należy przyznać szeroki margines oceny </w:t>
      </w:r>
      <w:r w:rsidR="00CC6785">
        <w:rPr>
          <w:lang w:val="pl-PL"/>
        </w:rPr>
        <w:t xml:space="preserve">przy określaniu </w:t>
      </w:r>
      <w:r>
        <w:rPr>
          <w:lang w:val="pl-PL"/>
        </w:rPr>
        <w:t xml:space="preserve">konieczności przyjęcia ram prawnych regulujących warunki, w ramach których pracodawca może przyjąć politykę kształtującą </w:t>
      </w:r>
      <w:r w:rsidR="00CC6785">
        <w:rPr>
          <w:lang w:val="pl-PL"/>
        </w:rPr>
        <w:t xml:space="preserve">zasady </w:t>
      </w:r>
      <w:r>
        <w:rPr>
          <w:lang w:val="pl-PL"/>
        </w:rPr>
        <w:t>komunikacj</w:t>
      </w:r>
      <w:r w:rsidR="00CC6785">
        <w:rPr>
          <w:lang w:val="pl-PL"/>
        </w:rPr>
        <w:t>i nie mającej</w:t>
      </w:r>
      <w:r>
        <w:rPr>
          <w:lang w:val="pl-PL"/>
        </w:rPr>
        <w:t xml:space="preserve"> charakteru służboweg</w:t>
      </w:r>
      <w:r w:rsidR="00CC6785">
        <w:rPr>
          <w:lang w:val="pl-PL"/>
        </w:rPr>
        <w:t>o, elektronicznej lub innej</w:t>
      </w:r>
      <w:r>
        <w:rPr>
          <w:lang w:val="pl-PL"/>
        </w:rPr>
        <w:t xml:space="preserve">, </w:t>
      </w:r>
      <w:r w:rsidR="00EC1576">
        <w:rPr>
          <w:lang w:val="pl-PL"/>
        </w:rPr>
        <w:t>swoich</w:t>
      </w:r>
      <w:r>
        <w:rPr>
          <w:lang w:val="pl-PL"/>
        </w:rPr>
        <w:t xml:space="preserve"> pracowników w miejscu pracy. </w:t>
      </w:r>
    </w:p>
    <w:p w:rsidR="00AA1532" w:rsidRDefault="00AA1532">
      <w:pPr>
        <w:pStyle w:val="ClinContent"/>
        <w:rPr>
          <w:lang w:val="pl-PL"/>
        </w:rPr>
      </w:pPr>
      <w:r w:rsidRPr="00AA1532">
        <w:rPr>
          <w:lang w:val="pl-PL"/>
        </w:rPr>
        <w:t xml:space="preserve">Jednakże kluczowymi elementami są proporcjonalność i gwarancje proceduralne </w:t>
      </w:r>
      <w:r>
        <w:rPr>
          <w:lang w:val="pl-PL"/>
        </w:rPr>
        <w:t xml:space="preserve">chroniące przed arbitralnością. W tym kontekście władze krajowe powinny uwzględnić następujące czynniki: czy pracownik został poinformowany o możliwości podjęcia przez pracodawcę środków </w:t>
      </w:r>
      <w:r w:rsidR="00FD5A6E">
        <w:rPr>
          <w:lang w:val="pl-PL"/>
        </w:rPr>
        <w:t>monitorowania</w:t>
      </w:r>
      <w:r>
        <w:rPr>
          <w:lang w:val="pl-PL"/>
        </w:rPr>
        <w:t xml:space="preserve"> jego korespondencji i innych form komunikacji, jak też o wdrożeniu takich środków? Jaki był zakres </w:t>
      </w:r>
      <w:r w:rsidR="00FD5A6E">
        <w:rPr>
          <w:lang w:val="pl-PL"/>
        </w:rPr>
        <w:t>monitoringu</w:t>
      </w:r>
      <w:r>
        <w:rPr>
          <w:lang w:val="pl-PL"/>
        </w:rPr>
        <w:t xml:space="preserve"> </w:t>
      </w:r>
      <w:r w:rsidR="00AF231B">
        <w:rPr>
          <w:lang w:val="pl-PL"/>
        </w:rPr>
        <w:t xml:space="preserve">wykonywanego </w:t>
      </w:r>
      <w:r>
        <w:rPr>
          <w:lang w:val="pl-PL"/>
        </w:rPr>
        <w:t>przez pracodawcę oraz stopień</w:t>
      </w:r>
      <w:r w:rsidR="00B077FB">
        <w:rPr>
          <w:lang w:val="pl-PL"/>
        </w:rPr>
        <w:t xml:space="preserve"> ingerencji </w:t>
      </w:r>
      <w:r>
        <w:rPr>
          <w:lang w:val="pl-PL"/>
        </w:rPr>
        <w:t>w życie prywatne praco</w:t>
      </w:r>
      <w:r w:rsidR="00CC6785">
        <w:rPr>
          <w:lang w:val="pl-PL"/>
        </w:rPr>
        <w:t>wnika</w:t>
      </w:r>
      <w:r>
        <w:rPr>
          <w:lang w:val="pl-PL"/>
        </w:rPr>
        <w:t xml:space="preserve">? Czy pracodawca </w:t>
      </w:r>
      <w:r w:rsidR="00CC6785">
        <w:rPr>
          <w:lang w:val="pl-PL"/>
        </w:rPr>
        <w:t>wskazał</w:t>
      </w:r>
      <w:r>
        <w:rPr>
          <w:lang w:val="pl-PL"/>
        </w:rPr>
        <w:t xml:space="preserve"> powody</w:t>
      </w:r>
      <w:r w:rsidR="00B077FB">
        <w:rPr>
          <w:lang w:val="pl-PL"/>
        </w:rPr>
        <w:t xml:space="preserve"> uzasadniające </w:t>
      </w:r>
      <w:r w:rsidR="00CC6785">
        <w:rPr>
          <w:lang w:val="pl-PL"/>
        </w:rPr>
        <w:t>z</w:t>
      </w:r>
      <w:r w:rsidR="00B077FB">
        <w:rPr>
          <w:lang w:val="pl-PL"/>
        </w:rPr>
        <w:t>astosowanie</w:t>
      </w:r>
      <w:r w:rsidR="00CC6785">
        <w:rPr>
          <w:lang w:val="pl-PL"/>
        </w:rPr>
        <w:t xml:space="preserve"> </w:t>
      </w:r>
      <w:r w:rsidR="00FD5A6E">
        <w:rPr>
          <w:lang w:val="pl-PL"/>
        </w:rPr>
        <w:t>monitoringu</w:t>
      </w:r>
      <w:r>
        <w:rPr>
          <w:lang w:val="pl-PL"/>
        </w:rPr>
        <w:t xml:space="preserve"> komunikacji praco</w:t>
      </w:r>
      <w:r w:rsidR="00CC6785">
        <w:rPr>
          <w:lang w:val="pl-PL"/>
        </w:rPr>
        <w:t>wnika</w:t>
      </w:r>
      <w:r>
        <w:rPr>
          <w:lang w:val="pl-PL"/>
        </w:rPr>
        <w:t xml:space="preserve">? Czy </w:t>
      </w:r>
      <w:r w:rsidR="00CC6785">
        <w:rPr>
          <w:lang w:val="pl-PL"/>
        </w:rPr>
        <w:t>istniała</w:t>
      </w:r>
      <w:r>
        <w:rPr>
          <w:lang w:val="pl-PL"/>
        </w:rPr>
        <w:t xml:space="preserve"> możliwość wdrożenia systemu</w:t>
      </w:r>
      <w:r w:rsidR="00FD5A6E">
        <w:rPr>
          <w:lang w:val="pl-PL"/>
        </w:rPr>
        <w:t xml:space="preserve"> monitoringu</w:t>
      </w:r>
      <w:r>
        <w:rPr>
          <w:lang w:val="pl-PL"/>
        </w:rPr>
        <w:t xml:space="preserve"> opartego o środki i sposoby</w:t>
      </w:r>
      <w:r w:rsidR="000A4AF6">
        <w:rPr>
          <w:lang w:val="pl-PL"/>
        </w:rPr>
        <w:t xml:space="preserve"> o charakterze</w:t>
      </w:r>
      <w:r>
        <w:rPr>
          <w:lang w:val="pl-PL"/>
        </w:rPr>
        <w:t xml:space="preserve"> mnie</w:t>
      </w:r>
      <w:r w:rsidR="000A4AF6">
        <w:rPr>
          <w:lang w:val="pl-PL"/>
        </w:rPr>
        <w:t>j ingerującym</w:t>
      </w:r>
      <w:r>
        <w:rPr>
          <w:lang w:val="pl-PL"/>
        </w:rPr>
        <w:t xml:space="preserve"> niż bezpośredni dostęp do </w:t>
      </w:r>
      <w:r w:rsidR="00FD5A6E">
        <w:rPr>
          <w:lang w:val="pl-PL"/>
        </w:rPr>
        <w:t>treści</w:t>
      </w:r>
      <w:r>
        <w:rPr>
          <w:lang w:val="pl-PL"/>
        </w:rPr>
        <w:t xml:space="preserve"> komunikacji pracownika? Jakie były konsekwencje </w:t>
      </w:r>
      <w:r w:rsidR="00FD5A6E">
        <w:rPr>
          <w:lang w:val="pl-PL"/>
        </w:rPr>
        <w:t>monitoringu</w:t>
      </w:r>
      <w:r>
        <w:rPr>
          <w:lang w:val="pl-PL"/>
        </w:rPr>
        <w:t xml:space="preserve"> dla pracownika, który został m</w:t>
      </w:r>
      <w:r w:rsidR="009C21F4">
        <w:rPr>
          <w:lang w:val="pl-PL"/>
        </w:rPr>
        <w:t>u</w:t>
      </w:r>
      <w:r>
        <w:rPr>
          <w:lang w:val="pl-PL"/>
        </w:rPr>
        <w:t xml:space="preserve"> poddany? Czy pracownik miał do dyspozycji odpowiednie gwarancje, w szczególności w przypadku, gdy środki </w:t>
      </w:r>
      <w:r w:rsidR="00FD5A6E">
        <w:rPr>
          <w:lang w:val="pl-PL"/>
        </w:rPr>
        <w:t>monitoringu</w:t>
      </w:r>
      <w:r>
        <w:rPr>
          <w:lang w:val="pl-PL"/>
        </w:rPr>
        <w:t xml:space="preserve"> pracodawcy miały charakter ingerujący? Wreszcie, władze krajowe powinny </w:t>
      </w:r>
      <w:r w:rsidR="00756943">
        <w:rPr>
          <w:lang w:val="pl-PL"/>
        </w:rPr>
        <w:t xml:space="preserve">się </w:t>
      </w:r>
      <w:r>
        <w:rPr>
          <w:lang w:val="pl-PL"/>
        </w:rPr>
        <w:t xml:space="preserve">upewnić, że pracownicy, których komunikacje były przedmiotem </w:t>
      </w:r>
      <w:r w:rsidR="00FD5A6E">
        <w:rPr>
          <w:lang w:val="pl-PL"/>
        </w:rPr>
        <w:t>monitoringu</w:t>
      </w:r>
      <w:r>
        <w:rPr>
          <w:lang w:val="pl-PL"/>
        </w:rPr>
        <w:t xml:space="preserve">, mogą korzystać ze środków odwoławczych do organów sądowych mających kompetencje do </w:t>
      </w:r>
      <w:r w:rsidR="00B26E81">
        <w:rPr>
          <w:lang w:val="pl-PL"/>
        </w:rPr>
        <w:t xml:space="preserve">rozstrzygania, przynajmniej co do istoty, </w:t>
      </w:r>
      <w:r w:rsidR="000A4AF6">
        <w:rPr>
          <w:lang w:val="pl-PL"/>
        </w:rPr>
        <w:t>czy wskazane wyżej kryteria były poszanowane</w:t>
      </w:r>
      <w:r w:rsidR="00B26E81">
        <w:rPr>
          <w:lang w:val="pl-PL"/>
        </w:rPr>
        <w:t xml:space="preserve">, </w:t>
      </w:r>
      <w:r w:rsidR="000A4AF6">
        <w:rPr>
          <w:lang w:val="pl-PL"/>
        </w:rPr>
        <w:t>a także czy kwestionowane</w:t>
      </w:r>
      <w:r w:rsidR="00B26E81">
        <w:rPr>
          <w:lang w:val="pl-PL"/>
        </w:rPr>
        <w:t xml:space="preserve"> </w:t>
      </w:r>
      <w:r w:rsidR="000A4AF6">
        <w:rPr>
          <w:lang w:val="pl-PL"/>
        </w:rPr>
        <w:t xml:space="preserve">środki były </w:t>
      </w:r>
      <w:r w:rsidR="001C6660">
        <w:rPr>
          <w:lang w:val="pl-PL"/>
        </w:rPr>
        <w:t>zgodne z prawem</w:t>
      </w:r>
      <w:r w:rsidR="00B26E81">
        <w:rPr>
          <w:lang w:val="pl-PL"/>
        </w:rPr>
        <w:t xml:space="preserve">. </w:t>
      </w:r>
    </w:p>
    <w:p w:rsidR="000D4626" w:rsidRDefault="00B26E81" w:rsidP="000D4626">
      <w:pPr>
        <w:pStyle w:val="ClinContent"/>
        <w:rPr>
          <w:lang w:val="pl-PL"/>
        </w:rPr>
      </w:pPr>
      <w:r w:rsidRPr="00B26E81">
        <w:rPr>
          <w:lang w:val="pl-PL"/>
        </w:rPr>
        <w:t xml:space="preserve">Sądy krajowe prawidłowo zidentyfikowały wchodzące w grę interesy, odnosząc się wyraźnie do prawa skarżącego do poszanowania jego życia prywatnego, jak też </w:t>
      </w:r>
      <w:r w:rsidR="00B077FB">
        <w:rPr>
          <w:lang w:val="pl-PL"/>
        </w:rPr>
        <w:t>mające</w:t>
      </w:r>
      <w:r w:rsidRPr="00B26E81">
        <w:rPr>
          <w:lang w:val="pl-PL"/>
        </w:rPr>
        <w:t xml:space="preserve"> zastosowanie zasad</w:t>
      </w:r>
      <w:r w:rsidR="00B077FB">
        <w:rPr>
          <w:lang w:val="pl-PL"/>
        </w:rPr>
        <w:t>y prawne</w:t>
      </w:r>
      <w:r w:rsidRPr="00B26E81">
        <w:rPr>
          <w:lang w:val="pl-PL"/>
        </w:rPr>
        <w:t xml:space="preserve"> </w:t>
      </w:r>
      <w:r w:rsidRPr="001C6660">
        <w:rPr>
          <w:lang w:val="pl-PL"/>
        </w:rPr>
        <w:t>konieczności, celowości, przejrzystości,</w:t>
      </w:r>
      <w:r w:rsidR="00B077FB">
        <w:rPr>
          <w:lang w:val="pl-PL"/>
        </w:rPr>
        <w:t xml:space="preserve"> zasadności</w:t>
      </w:r>
      <w:r w:rsidR="009C21F4">
        <w:rPr>
          <w:lang w:val="pl-PL"/>
        </w:rPr>
        <w:t>,</w:t>
      </w:r>
      <w:r w:rsidRPr="001C6660">
        <w:rPr>
          <w:lang w:val="pl-PL"/>
        </w:rPr>
        <w:t xml:space="preserve"> proporcjonalności oraz bezpieczeństwa</w:t>
      </w:r>
      <w:r w:rsidR="00756943">
        <w:rPr>
          <w:lang w:val="pl-PL"/>
        </w:rPr>
        <w:t>,</w:t>
      </w:r>
      <w:r w:rsidR="009C21F4">
        <w:rPr>
          <w:lang w:val="pl-PL"/>
        </w:rPr>
        <w:t xml:space="preserve"> wymienione</w:t>
      </w:r>
      <w:r>
        <w:rPr>
          <w:lang w:val="pl-PL"/>
        </w:rPr>
        <w:t xml:space="preserve"> w </w:t>
      </w:r>
      <w:hyperlink r:id="rId9" w:history="1">
        <w:r w:rsidRPr="00664542">
          <w:rPr>
            <w:rStyle w:val="Hipercze"/>
            <w:lang w:val="pl-PL"/>
          </w:rPr>
          <w:t>dyrektywie 95/46/WE</w:t>
        </w:r>
      </w:hyperlink>
      <w:r>
        <w:rPr>
          <w:lang w:val="pl-PL"/>
        </w:rPr>
        <w:t xml:space="preserve"> Parlamentu Europejskiego i Rady z 24 października 1995 r. </w:t>
      </w:r>
      <w:r w:rsidRPr="00B26E81">
        <w:rPr>
          <w:lang w:val="pl-PL"/>
        </w:rPr>
        <w:t>w sprawie ochrony osób fizycznych w zakresie przetwarzania danych osobowych oraz swobodnego przepływu tych danych</w:t>
      </w:r>
      <w:r>
        <w:rPr>
          <w:lang w:val="pl-PL"/>
        </w:rPr>
        <w:t>.</w:t>
      </w:r>
      <w:r w:rsidR="000D4626" w:rsidRPr="000D4626">
        <w:rPr>
          <w:lang w:val="pl-PL"/>
        </w:rPr>
        <w:t xml:space="preserve"> </w:t>
      </w:r>
      <w:r w:rsidR="000D4626" w:rsidRPr="00B26E81">
        <w:rPr>
          <w:lang w:val="pl-PL"/>
        </w:rPr>
        <w:t xml:space="preserve">Sądy krajowe zbadały ponadto, czy postępowanie dyscyplinarne było prowadzone z poszanowaniem zasady kontradyktoryjności, a także, czy skarżącemu dano możliwość zaprezentowania swojego stanowiska. </w:t>
      </w:r>
    </w:p>
    <w:p w:rsidR="00B26E81" w:rsidRPr="00B26E81" w:rsidRDefault="00B26E81">
      <w:pPr>
        <w:pStyle w:val="ClinContent"/>
        <w:rPr>
          <w:lang w:val="pl-PL"/>
        </w:rPr>
      </w:pPr>
      <w:r>
        <w:rPr>
          <w:lang w:val="pl-PL"/>
        </w:rPr>
        <w:lastRenderedPageBreak/>
        <w:t xml:space="preserve">Nie wydaje się, by zainteresowany został poinformowany z góry o zakresie i charakterze </w:t>
      </w:r>
      <w:r w:rsidR="00FD5A6E">
        <w:rPr>
          <w:lang w:val="pl-PL"/>
        </w:rPr>
        <w:t>monitoringu</w:t>
      </w:r>
      <w:r>
        <w:rPr>
          <w:lang w:val="pl-PL"/>
        </w:rPr>
        <w:t xml:space="preserve"> realizowanego przez przedsiębiorstwo ani też o możliwości posiadania przez nie dostępu do samej </w:t>
      </w:r>
      <w:r w:rsidR="00FD5A6E">
        <w:rPr>
          <w:lang w:val="pl-PL"/>
        </w:rPr>
        <w:t>treści</w:t>
      </w:r>
      <w:r>
        <w:rPr>
          <w:lang w:val="pl-PL"/>
        </w:rPr>
        <w:t xml:space="preserve"> jego komunikacji. Sądy krajowe zaniechały zbadania, czy skarżący został na wstępie ostrzeżony o możliwości wdrożenia przez pracodawcę środków </w:t>
      </w:r>
      <w:r w:rsidR="00FD5A6E">
        <w:rPr>
          <w:lang w:val="pl-PL"/>
        </w:rPr>
        <w:t>monitoringu</w:t>
      </w:r>
      <w:r>
        <w:rPr>
          <w:lang w:val="pl-PL"/>
        </w:rPr>
        <w:t>, a</w:t>
      </w:r>
      <w:r w:rsidR="00E527F6">
        <w:rPr>
          <w:lang w:val="pl-PL"/>
        </w:rPr>
        <w:t xml:space="preserve"> także</w:t>
      </w:r>
      <w:r>
        <w:rPr>
          <w:lang w:val="pl-PL"/>
        </w:rPr>
        <w:t xml:space="preserve"> o zakresie i charakterze tych środków. </w:t>
      </w:r>
      <w:r w:rsidR="00F50F1B">
        <w:rPr>
          <w:lang w:val="pl-PL"/>
        </w:rPr>
        <w:t>A</w:t>
      </w:r>
      <w:r w:rsidR="00F50F1B" w:rsidRPr="00F50F1B">
        <w:rPr>
          <w:lang w:val="pl-PL"/>
        </w:rPr>
        <w:t xml:space="preserve">by ostrzeżenie pracodawcy mogło byś traktowane jako dokonane na wstępie, musi ono mieć miejsce przed rozpoczęciem działań </w:t>
      </w:r>
      <w:r>
        <w:rPr>
          <w:lang w:val="pl-PL"/>
        </w:rPr>
        <w:t xml:space="preserve">w zakresie </w:t>
      </w:r>
      <w:r w:rsidR="00FD5A6E">
        <w:rPr>
          <w:lang w:val="pl-PL"/>
        </w:rPr>
        <w:t>monitoringu</w:t>
      </w:r>
      <w:r>
        <w:rPr>
          <w:lang w:val="pl-PL"/>
        </w:rPr>
        <w:t xml:space="preserve">, </w:t>
      </w:r>
      <w:r>
        <w:rPr>
          <w:i/>
          <w:lang w:val="pl-PL"/>
        </w:rPr>
        <w:t xml:space="preserve">a </w:t>
      </w:r>
      <w:proofErr w:type="spellStart"/>
      <w:r>
        <w:rPr>
          <w:i/>
          <w:lang w:val="pl-PL"/>
        </w:rPr>
        <w:t>fortiori</w:t>
      </w:r>
      <w:proofErr w:type="spellEnd"/>
      <w:r>
        <w:rPr>
          <w:i/>
          <w:lang w:val="pl-PL"/>
        </w:rPr>
        <w:t xml:space="preserve"> </w:t>
      </w:r>
      <w:r>
        <w:rPr>
          <w:lang w:val="pl-PL"/>
        </w:rPr>
        <w:t xml:space="preserve">jeśli </w:t>
      </w:r>
      <w:r w:rsidR="00FD5A6E">
        <w:rPr>
          <w:lang w:val="pl-PL"/>
        </w:rPr>
        <w:t>monitoring</w:t>
      </w:r>
      <w:r>
        <w:rPr>
          <w:lang w:val="pl-PL"/>
        </w:rPr>
        <w:t xml:space="preserve"> oznacza </w:t>
      </w:r>
      <w:r w:rsidR="000D4626">
        <w:rPr>
          <w:lang w:val="pl-PL"/>
        </w:rPr>
        <w:t>równocześnie</w:t>
      </w:r>
      <w:r>
        <w:rPr>
          <w:lang w:val="pl-PL"/>
        </w:rPr>
        <w:t xml:space="preserve"> dostęp do treści komunikacji pracowników. </w:t>
      </w:r>
    </w:p>
    <w:p w:rsidR="000D4626" w:rsidRPr="000D4626" w:rsidRDefault="000D4626">
      <w:pPr>
        <w:pStyle w:val="ClinContent"/>
        <w:rPr>
          <w:lang w:val="pl-PL"/>
        </w:rPr>
      </w:pPr>
      <w:r w:rsidRPr="000D4626">
        <w:rPr>
          <w:lang w:val="pl-PL"/>
        </w:rPr>
        <w:t xml:space="preserve">Kwestia zakresu wykonywanego </w:t>
      </w:r>
      <w:r w:rsidR="00FD5A6E">
        <w:rPr>
          <w:lang w:val="pl-PL"/>
        </w:rPr>
        <w:t>monitoringu</w:t>
      </w:r>
      <w:r w:rsidRPr="000D4626">
        <w:rPr>
          <w:lang w:val="pl-PL"/>
        </w:rPr>
        <w:t xml:space="preserve"> i stopn</w:t>
      </w:r>
      <w:r w:rsidR="00756943">
        <w:rPr>
          <w:lang w:val="pl-PL"/>
        </w:rPr>
        <w:t xml:space="preserve">ia </w:t>
      </w:r>
      <w:r w:rsidR="00F50F1B">
        <w:rPr>
          <w:lang w:val="pl-PL"/>
        </w:rPr>
        <w:t>ingerencji</w:t>
      </w:r>
      <w:r w:rsidR="00756943">
        <w:rPr>
          <w:lang w:val="pl-PL"/>
        </w:rPr>
        <w:t xml:space="preserve"> w życie prywatne</w:t>
      </w:r>
      <w:r w:rsidRPr="000D4626">
        <w:rPr>
          <w:lang w:val="pl-PL"/>
        </w:rPr>
        <w:t xml:space="preserve"> skarżącego nie została zbadana przez żaden s</w:t>
      </w:r>
      <w:r w:rsidR="00756943">
        <w:rPr>
          <w:lang w:val="pl-PL"/>
        </w:rPr>
        <w:t>ąd krajowy,</w:t>
      </w:r>
      <w:r w:rsidRPr="000D4626">
        <w:rPr>
          <w:lang w:val="pl-PL"/>
        </w:rPr>
        <w:t xml:space="preserve"> </w:t>
      </w:r>
      <w:r w:rsidR="00756943">
        <w:rPr>
          <w:lang w:val="pl-PL"/>
        </w:rPr>
        <w:t>chociaż</w:t>
      </w:r>
      <w:r w:rsidRPr="000D4626">
        <w:rPr>
          <w:lang w:val="pl-PL"/>
        </w:rPr>
        <w:t>, jak się wydaje, pracodawca zarejestrował w czasie rzeczywistym całość komunikacji</w:t>
      </w:r>
      <w:r>
        <w:rPr>
          <w:lang w:val="pl-PL"/>
        </w:rPr>
        <w:t xml:space="preserve"> wysyłanej przez skarżącego w okresie prowadzenia </w:t>
      </w:r>
      <w:r w:rsidR="00FD5A6E">
        <w:rPr>
          <w:lang w:val="pl-PL"/>
        </w:rPr>
        <w:t>monitoringu</w:t>
      </w:r>
      <w:r>
        <w:rPr>
          <w:lang w:val="pl-PL"/>
        </w:rPr>
        <w:t xml:space="preserve">, miał do niej dostęp i wydrukował jej </w:t>
      </w:r>
      <w:r w:rsidR="00FD5A6E">
        <w:rPr>
          <w:lang w:val="pl-PL"/>
        </w:rPr>
        <w:t>treść</w:t>
      </w:r>
      <w:r>
        <w:rPr>
          <w:lang w:val="pl-PL"/>
        </w:rPr>
        <w:t xml:space="preserve">. </w:t>
      </w:r>
      <w:r w:rsidRPr="000D4626">
        <w:rPr>
          <w:lang w:val="pl-PL"/>
        </w:rPr>
        <w:t xml:space="preserve"> </w:t>
      </w:r>
    </w:p>
    <w:p w:rsidR="000D4626" w:rsidRPr="000D4626" w:rsidRDefault="000D4626">
      <w:pPr>
        <w:pStyle w:val="ClinContent"/>
        <w:rPr>
          <w:lang w:val="pl-PL"/>
        </w:rPr>
      </w:pPr>
      <w:r w:rsidRPr="000D4626">
        <w:rPr>
          <w:lang w:val="pl-PL"/>
        </w:rPr>
        <w:t>Sądy krajowe nie zweryfi</w:t>
      </w:r>
      <w:r>
        <w:rPr>
          <w:lang w:val="pl-PL"/>
        </w:rPr>
        <w:t xml:space="preserve">kowały w stopniu wystarczającym, czy </w:t>
      </w:r>
      <w:r w:rsidR="00756943">
        <w:rPr>
          <w:lang w:val="pl-PL"/>
        </w:rPr>
        <w:t xml:space="preserve">zachodziły </w:t>
      </w:r>
      <w:r>
        <w:rPr>
          <w:lang w:val="pl-PL"/>
        </w:rPr>
        <w:t xml:space="preserve">uprawnione powody uzasadniające wdrożenie </w:t>
      </w:r>
      <w:r w:rsidR="00FD5A6E">
        <w:rPr>
          <w:lang w:val="pl-PL"/>
        </w:rPr>
        <w:t>monitoringu</w:t>
      </w:r>
      <w:r>
        <w:rPr>
          <w:lang w:val="pl-PL"/>
        </w:rPr>
        <w:t xml:space="preserve"> komunikacji skarżącego. Zresztą, ani sąd okręgowy, ani sąd apelacyjny nie zbadały w sposób wystarczający kwestii, czy cel realizowany przez pracodawcę nie mógł zostać os</w:t>
      </w:r>
      <w:r w:rsidR="00B15230">
        <w:rPr>
          <w:lang w:val="pl-PL"/>
        </w:rPr>
        <w:t>iągnięty</w:t>
      </w:r>
      <w:r>
        <w:rPr>
          <w:lang w:val="pl-PL"/>
        </w:rPr>
        <w:t xml:space="preserve"> mniej ingerującymi metodami niż dostęp do samej </w:t>
      </w:r>
      <w:r w:rsidR="00FD5A6E">
        <w:rPr>
          <w:lang w:val="pl-PL"/>
        </w:rPr>
        <w:t>tre</w:t>
      </w:r>
      <w:r>
        <w:rPr>
          <w:lang w:val="pl-PL"/>
        </w:rPr>
        <w:t xml:space="preserve">ści komunikacji skarżącego. </w:t>
      </w:r>
    </w:p>
    <w:p w:rsidR="000D4626" w:rsidRPr="000D4626" w:rsidRDefault="000D4626">
      <w:pPr>
        <w:pStyle w:val="ClinContent"/>
        <w:rPr>
          <w:b/>
          <w:lang w:val="pl-PL"/>
        </w:rPr>
      </w:pPr>
      <w:r w:rsidRPr="00B15230">
        <w:rPr>
          <w:lang w:val="pl-PL"/>
        </w:rPr>
        <w:t xml:space="preserve">Ponadto żaden </w:t>
      </w:r>
      <w:r w:rsidR="00B15230" w:rsidRPr="00B15230">
        <w:rPr>
          <w:lang w:val="pl-PL"/>
        </w:rPr>
        <w:t>sąd</w:t>
      </w:r>
      <w:r w:rsidRPr="00B15230">
        <w:rPr>
          <w:lang w:val="pl-PL"/>
        </w:rPr>
        <w:t xml:space="preserve"> nie zbadał powagi konsekwencji środków </w:t>
      </w:r>
      <w:r w:rsidR="00FD5A6E">
        <w:rPr>
          <w:lang w:val="pl-PL"/>
        </w:rPr>
        <w:t>monitoringu</w:t>
      </w:r>
      <w:r w:rsidRPr="00B15230">
        <w:rPr>
          <w:lang w:val="pl-PL"/>
        </w:rPr>
        <w:t xml:space="preserve"> i prowadzonego następnie postępowania dyscyplinarnego.</w:t>
      </w:r>
      <w:r>
        <w:rPr>
          <w:b/>
          <w:lang w:val="pl-PL"/>
        </w:rPr>
        <w:t xml:space="preserve"> </w:t>
      </w:r>
      <w:r w:rsidRPr="000D4626">
        <w:rPr>
          <w:lang w:val="pl-PL"/>
        </w:rPr>
        <w:t>W tym</w:t>
      </w:r>
      <w:r>
        <w:rPr>
          <w:b/>
          <w:lang w:val="pl-PL"/>
        </w:rPr>
        <w:t xml:space="preserve"> </w:t>
      </w:r>
      <w:r w:rsidRPr="000D4626">
        <w:rPr>
          <w:lang w:val="pl-PL"/>
        </w:rPr>
        <w:t>wzg</w:t>
      </w:r>
      <w:r>
        <w:rPr>
          <w:lang w:val="pl-PL"/>
        </w:rPr>
        <w:t>lędzie wobec skarżącego zastosowano naj</w:t>
      </w:r>
      <w:r w:rsidR="00B15230">
        <w:rPr>
          <w:lang w:val="pl-PL"/>
        </w:rPr>
        <w:t>surowszy</w:t>
      </w:r>
      <w:r>
        <w:rPr>
          <w:lang w:val="pl-PL"/>
        </w:rPr>
        <w:t xml:space="preserve"> możliwy środek dyscyplinarny, to jest zwolnienie. </w:t>
      </w:r>
    </w:p>
    <w:p w:rsidR="000D4626" w:rsidRPr="000D4626" w:rsidRDefault="000D4626">
      <w:pPr>
        <w:pStyle w:val="ClinContent"/>
        <w:rPr>
          <w:lang w:val="pl-PL"/>
        </w:rPr>
      </w:pPr>
      <w:r w:rsidRPr="000D4626">
        <w:rPr>
          <w:lang w:val="pl-PL"/>
        </w:rPr>
        <w:t xml:space="preserve">Sędziowie krajowi nie zbadali, czy </w:t>
      </w:r>
      <w:r w:rsidR="00F14986">
        <w:rPr>
          <w:lang w:val="pl-PL"/>
        </w:rPr>
        <w:t>pracodawca nie miał już dostępu do treści przedmiotowych komunikacji</w:t>
      </w:r>
      <w:r w:rsidR="00F14986" w:rsidRPr="000D4626">
        <w:rPr>
          <w:lang w:val="pl-PL"/>
        </w:rPr>
        <w:t xml:space="preserve"> </w:t>
      </w:r>
      <w:r w:rsidRPr="000D4626">
        <w:rPr>
          <w:lang w:val="pl-PL"/>
        </w:rPr>
        <w:t xml:space="preserve">w czasie, gdy wezwał </w:t>
      </w:r>
      <w:r w:rsidR="004D1A4B">
        <w:rPr>
          <w:lang w:val="pl-PL"/>
        </w:rPr>
        <w:t xml:space="preserve">on </w:t>
      </w:r>
      <w:r w:rsidRPr="000D4626">
        <w:rPr>
          <w:lang w:val="pl-PL"/>
        </w:rPr>
        <w:t xml:space="preserve">skarżącego do udzielenia wyjaśnień w sprawie korzystania </w:t>
      </w:r>
      <w:r>
        <w:rPr>
          <w:lang w:val="pl-PL"/>
        </w:rPr>
        <w:t xml:space="preserve">przez </w:t>
      </w:r>
      <w:r w:rsidR="00B15230">
        <w:rPr>
          <w:lang w:val="pl-PL"/>
        </w:rPr>
        <w:t xml:space="preserve">niego </w:t>
      </w:r>
      <w:r>
        <w:rPr>
          <w:lang w:val="pl-PL"/>
        </w:rPr>
        <w:t xml:space="preserve">z zasobów przedsiębiorstwa, a w szczególności internetu. Władze krajowe nie ustaliły też w żaden sposób, w którym momencie postępowania dyscyplinarnego pracodawca miał dostęp do </w:t>
      </w:r>
      <w:r w:rsidR="00CA045D">
        <w:rPr>
          <w:lang w:val="pl-PL"/>
        </w:rPr>
        <w:t xml:space="preserve">tych </w:t>
      </w:r>
      <w:r w:rsidR="00FD5A6E">
        <w:rPr>
          <w:lang w:val="pl-PL"/>
        </w:rPr>
        <w:t>tre</w:t>
      </w:r>
      <w:r>
        <w:rPr>
          <w:lang w:val="pl-PL"/>
        </w:rPr>
        <w:t>ści.</w:t>
      </w:r>
      <w:r w:rsidR="00B15230">
        <w:rPr>
          <w:lang w:val="pl-PL"/>
        </w:rPr>
        <w:t xml:space="preserve"> </w:t>
      </w:r>
      <w:r w:rsidR="00F50F1B" w:rsidRPr="00F50F1B">
        <w:rPr>
          <w:lang w:val="pl-PL"/>
        </w:rPr>
        <w:t>Dopuszczenie możliwości dostępu do treści korespondencji w dowolnym momencie postępowania dyscyplinarnego jest sprzeczne z zasadą przejrzystości</w:t>
      </w:r>
      <w:r>
        <w:rPr>
          <w:lang w:val="pl-PL"/>
        </w:rPr>
        <w:t xml:space="preserve"> (</w:t>
      </w:r>
      <w:hyperlink r:id="rId10" w:history="1">
        <w:r w:rsidRPr="000D4626">
          <w:rPr>
            <w:rStyle w:val="Hipercze"/>
            <w:lang w:val="pl-PL"/>
          </w:rPr>
          <w:t>Re</w:t>
        </w:r>
        <w:r>
          <w:rPr>
            <w:rStyle w:val="Hipercze"/>
            <w:lang w:val="pl-PL"/>
          </w:rPr>
          <w:t>komendacja</w:t>
        </w:r>
        <w:r w:rsidRPr="000D4626">
          <w:rPr>
            <w:rStyle w:val="Hipercze"/>
            <w:lang w:val="pl-PL"/>
          </w:rPr>
          <w:t xml:space="preserve"> CM/</w:t>
        </w:r>
        <w:proofErr w:type="spellStart"/>
        <w:r w:rsidRPr="000D4626">
          <w:rPr>
            <w:rStyle w:val="Hipercze"/>
            <w:lang w:val="pl-PL"/>
          </w:rPr>
          <w:t>Rec</w:t>
        </w:r>
        <w:proofErr w:type="spellEnd"/>
        <w:r w:rsidRPr="000D4626">
          <w:rPr>
            <w:rStyle w:val="Hipercze"/>
            <w:lang w:val="pl-PL"/>
          </w:rPr>
          <w:t>(2015)5</w:t>
        </w:r>
      </w:hyperlink>
      <w:r w:rsidRPr="000D4626">
        <w:rPr>
          <w:rStyle w:val="Hipercze"/>
          <w:lang w:val="pl-PL"/>
        </w:rPr>
        <w:t xml:space="preserve"> </w:t>
      </w:r>
      <w:r w:rsidR="00F37DD8" w:rsidRPr="003164BF">
        <w:rPr>
          <w:bCs/>
          <w:lang w:val="pl-PL"/>
        </w:rPr>
        <w:t>Komitetu Ministrów dla Państw Członkowskich na temat ochrony danych osobowych wykorzystywanych dla celów zatrudnienia</w:t>
      </w:r>
      <w:r w:rsidR="002D5C10">
        <w:rPr>
          <w:rStyle w:val="Odwoanieprzypisudolnego"/>
          <w:bCs/>
          <w:lang w:val="pl-PL"/>
        </w:rPr>
        <w:footnoteReference w:id="1"/>
      </w:r>
      <w:r w:rsidR="00280240">
        <w:rPr>
          <w:lang w:val="pl-PL"/>
        </w:rPr>
        <w:t>).</w:t>
      </w:r>
    </w:p>
    <w:p w:rsidR="00280240" w:rsidRPr="00280240" w:rsidRDefault="00280240">
      <w:pPr>
        <w:pStyle w:val="ClinContent"/>
        <w:rPr>
          <w:lang w:val="pl-PL"/>
        </w:rPr>
      </w:pPr>
      <w:r w:rsidRPr="00280240">
        <w:rPr>
          <w:lang w:val="pl-PL"/>
        </w:rPr>
        <w:t xml:space="preserve">W tych warunkach władze krajowe </w:t>
      </w:r>
      <w:r w:rsidR="00F50F1B" w:rsidRPr="00280240">
        <w:rPr>
          <w:lang w:val="pl-PL"/>
        </w:rPr>
        <w:t xml:space="preserve">z jednej strony </w:t>
      </w:r>
      <w:r w:rsidRPr="00280240">
        <w:rPr>
          <w:lang w:val="pl-PL"/>
        </w:rPr>
        <w:t xml:space="preserve">nie </w:t>
      </w:r>
      <w:r w:rsidR="00B15230">
        <w:rPr>
          <w:lang w:val="pl-PL"/>
        </w:rPr>
        <w:t>zweryfikowały</w:t>
      </w:r>
      <w:r w:rsidR="00F50F1B">
        <w:rPr>
          <w:lang w:val="pl-PL"/>
        </w:rPr>
        <w:t xml:space="preserve"> w szczególności,</w:t>
      </w:r>
      <w:r w:rsidRPr="00280240">
        <w:rPr>
          <w:lang w:val="pl-PL"/>
        </w:rPr>
        <w:t xml:space="preserve"> czy skarżący został na wstępie ostrzeżony przez pracodawcę o możliwości </w:t>
      </w:r>
      <w:r w:rsidR="00FD5A6E">
        <w:rPr>
          <w:lang w:val="pl-PL"/>
        </w:rPr>
        <w:t>monitorowania</w:t>
      </w:r>
      <w:r w:rsidRPr="00280240">
        <w:rPr>
          <w:lang w:val="pl-PL"/>
        </w:rPr>
        <w:t xml:space="preserve"> jego komunikacji na Yahoo Messenger</w:t>
      </w:r>
      <w:r>
        <w:rPr>
          <w:lang w:val="pl-PL"/>
        </w:rPr>
        <w:t xml:space="preserve">, a z drugiej strony </w:t>
      </w:r>
      <w:r w:rsidR="00B15230">
        <w:rPr>
          <w:lang w:val="pl-PL"/>
        </w:rPr>
        <w:t>nie uwzględniły</w:t>
      </w:r>
      <w:r>
        <w:rPr>
          <w:lang w:val="pl-PL"/>
        </w:rPr>
        <w:t xml:space="preserve"> faktu, że nie został on poinformowany ani o charakterze, ani </w:t>
      </w:r>
      <w:r w:rsidR="00FD5A6E">
        <w:rPr>
          <w:lang w:val="pl-PL"/>
        </w:rPr>
        <w:t xml:space="preserve">o </w:t>
      </w:r>
      <w:r>
        <w:rPr>
          <w:lang w:val="pl-PL"/>
        </w:rPr>
        <w:t xml:space="preserve">zakresie </w:t>
      </w:r>
      <w:r w:rsidR="00FD5A6E">
        <w:rPr>
          <w:lang w:val="pl-PL"/>
        </w:rPr>
        <w:t>monitoringu</w:t>
      </w:r>
      <w:r>
        <w:rPr>
          <w:lang w:val="pl-PL"/>
        </w:rPr>
        <w:t xml:space="preserve">, któremu został poddany, ani też o zakresie ingerencji w jego życie prywatne i korespondencję. Ponadto zaniechały one ustalenia, po pierwsze, jakie konkretnie powody uzasadniały wdrożenie środków </w:t>
      </w:r>
      <w:r w:rsidR="00FD5A6E">
        <w:rPr>
          <w:lang w:val="pl-PL"/>
        </w:rPr>
        <w:t>monitoringu</w:t>
      </w:r>
      <w:r>
        <w:rPr>
          <w:lang w:val="pl-PL"/>
        </w:rPr>
        <w:t>, a po drugie, czy pracodawca mógł skorzystać ze środków mniej ingerujący</w:t>
      </w:r>
      <w:r w:rsidR="00B15230">
        <w:rPr>
          <w:lang w:val="pl-PL"/>
        </w:rPr>
        <w:t>ch w życie prywatne</w:t>
      </w:r>
      <w:r>
        <w:rPr>
          <w:lang w:val="pl-PL"/>
        </w:rPr>
        <w:t xml:space="preserve"> i korespondencję skarżącego, a po trzecie, czy dostęp do </w:t>
      </w:r>
      <w:r w:rsidR="00FD5A6E">
        <w:rPr>
          <w:lang w:val="pl-PL"/>
        </w:rPr>
        <w:t>tre</w:t>
      </w:r>
      <w:r>
        <w:rPr>
          <w:lang w:val="pl-PL"/>
        </w:rPr>
        <w:t xml:space="preserve">ści komunikacji był możliwy bez jego wiedzy. </w:t>
      </w:r>
    </w:p>
    <w:p w:rsidR="00280240" w:rsidRPr="00280240" w:rsidRDefault="00280240">
      <w:pPr>
        <w:pStyle w:val="ClinContent"/>
        <w:rPr>
          <w:lang w:val="pl-PL"/>
        </w:rPr>
      </w:pPr>
      <w:r w:rsidRPr="00280240">
        <w:rPr>
          <w:lang w:val="pl-PL"/>
        </w:rPr>
        <w:t>A zatem, niezależnie od szerokiego marginesu oceny pozwanego Państwa, władze krajowe nie</w:t>
      </w:r>
      <w:r w:rsidR="00B15230">
        <w:rPr>
          <w:lang w:val="pl-PL"/>
        </w:rPr>
        <w:t xml:space="preserve"> zapewniły</w:t>
      </w:r>
      <w:r w:rsidRPr="00280240">
        <w:rPr>
          <w:lang w:val="pl-PL"/>
        </w:rPr>
        <w:t xml:space="preserve"> w sposób odpowiedni </w:t>
      </w:r>
      <w:r w:rsidR="00B15230">
        <w:rPr>
          <w:lang w:val="pl-PL"/>
        </w:rPr>
        <w:t xml:space="preserve">ochrony </w:t>
      </w:r>
      <w:r w:rsidRPr="00280240">
        <w:rPr>
          <w:lang w:val="pl-PL"/>
        </w:rPr>
        <w:t xml:space="preserve">prawa skarżącego </w:t>
      </w:r>
      <w:r w:rsidR="00B15230">
        <w:rPr>
          <w:lang w:val="pl-PL"/>
        </w:rPr>
        <w:t xml:space="preserve">do </w:t>
      </w:r>
      <w:r w:rsidRPr="00280240">
        <w:rPr>
          <w:lang w:val="pl-PL"/>
        </w:rPr>
        <w:t>poszanowania jego życia prywatnego i korespondencji, a także,</w:t>
      </w:r>
      <w:r>
        <w:rPr>
          <w:lang w:val="pl-PL"/>
        </w:rPr>
        <w:t xml:space="preserve"> w </w:t>
      </w:r>
      <w:r w:rsidR="00B15230">
        <w:rPr>
          <w:lang w:val="pl-PL"/>
        </w:rPr>
        <w:t>rezultacie</w:t>
      </w:r>
      <w:r>
        <w:rPr>
          <w:lang w:val="pl-PL"/>
        </w:rPr>
        <w:t xml:space="preserve">, nie zapewniły słusznej równowagi między wchodzącymi w grę interesami. </w:t>
      </w:r>
    </w:p>
    <w:p w:rsidR="00280240" w:rsidRPr="00280240" w:rsidRDefault="00280240">
      <w:pPr>
        <w:pStyle w:val="ClinContent"/>
        <w:rPr>
          <w:lang w:val="pl-PL"/>
        </w:rPr>
      </w:pPr>
      <w:r w:rsidRPr="00280240">
        <w:rPr>
          <w:i/>
          <w:lang w:val="pl-PL"/>
        </w:rPr>
        <w:t>Stwierdzenie</w:t>
      </w:r>
      <w:r w:rsidRPr="00280240">
        <w:rPr>
          <w:lang w:val="pl-PL"/>
        </w:rPr>
        <w:t>: naruszenie (jedenastoma głosami do sześciu)</w:t>
      </w:r>
    </w:p>
    <w:p w:rsidR="00280240" w:rsidRPr="00280240" w:rsidRDefault="00280240">
      <w:pPr>
        <w:pStyle w:val="ClinContent"/>
        <w:rPr>
          <w:lang w:val="pl-PL"/>
        </w:rPr>
      </w:pPr>
      <w:r w:rsidRPr="00280240">
        <w:rPr>
          <w:lang w:val="pl-PL"/>
        </w:rPr>
        <w:t>Art. 41: roszczenie z tytułu szkody majątkowej od</w:t>
      </w:r>
      <w:r w:rsidR="00CA045D">
        <w:rPr>
          <w:lang w:val="pl-PL"/>
        </w:rPr>
        <w:t>dalone</w:t>
      </w:r>
      <w:r w:rsidRPr="00280240">
        <w:rPr>
          <w:lang w:val="pl-PL"/>
        </w:rPr>
        <w:t>, stwierdz</w:t>
      </w:r>
      <w:r>
        <w:rPr>
          <w:lang w:val="pl-PL"/>
        </w:rPr>
        <w:t xml:space="preserve">enie naruszenia wystarczającym zadośćuczynieniem za szkodę moralną. </w:t>
      </w:r>
    </w:p>
    <w:p w:rsidR="00F9124E" w:rsidRPr="00E65B86" w:rsidRDefault="00F9124E">
      <w:pPr>
        <w:pBdr>
          <w:bottom w:val="single" w:sz="8" w:space="1" w:color="auto"/>
        </w:pBdr>
        <w:rPr>
          <w:lang w:val="pl-PL"/>
        </w:rPr>
      </w:pPr>
    </w:p>
    <w:p w:rsidR="00280240" w:rsidRPr="00280240" w:rsidRDefault="00B15230">
      <w:pPr>
        <w:pBdr>
          <w:bottom w:val="single" w:sz="8" w:space="1" w:color="auto"/>
        </w:pBdr>
        <w:rPr>
          <w:u w:val="single"/>
          <w:lang w:val="pl-PL"/>
        </w:rPr>
      </w:pPr>
      <w:r>
        <w:rPr>
          <w:lang w:val="pl-PL"/>
        </w:rPr>
        <w:lastRenderedPageBreak/>
        <w:t>(</w:t>
      </w:r>
      <w:r w:rsidR="00280240" w:rsidRPr="00280240">
        <w:rPr>
          <w:lang w:val="pl-PL"/>
        </w:rPr>
        <w:t xml:space="preserve">Zobacz również zestawienie tematyczne </w:t>
      </w:r>
      <w:hyperlink r:id="rId11" w:history="1">
        <w:r w:rsidR="00FD5A6E">
          <w:rPr>
            <w:rStyle w:val="Hipercze"/>
            <w:lang w:val="pl-PL"/>
          </w:rPr>
          <w:t>Monitoring</w:t>
        </w:r>
        <w:r w:rsidR="00280240" w:rsidRPr="00280240">
          <w:rPr>
            <w:rStyle w:val="Hipercze"/>
            <w:lang w:val="pl-PL"/>
          </w:rPr>
          <w:t xml:space="preserve"> w pracy</w:t>
        </w:r>
      </w:hyperlink>
      <w:r w:rsidR="00280240" w:rsidRPr="003164BF">
        <w:rPr>
          <w:lang w:val="pl-PL"/>
        </w:rPr>
        <w:t>)</w:t>
      </w:r>
    </w:p>
    <w:p w:rsidR="00280240" w:rsidRPr="0074070E" w:rsidRDefault="00280240" w:rsidP="00280240">
      <w:pPr>
        <w:pStyle w:val="ClinFooter"/>
        <w:rPr>
          <w:lang w:val="pl-PL"/>
        </w:rPr>
      </w:pPr>
      <w:r w:rsidRPr="0074070E">
        <w:rPr>
          <w:lang w:val="pl-PL"/>
        </w:rPr>
        <w:t>© Council of Europe/European Court of Human Rights</w:t>
      </w:r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280240" w:rsidRPr="001D0852" w:rsidRDefault="00280240" w:rsidP="00280240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2" w:history="1">
        <w:r w:rsidRPr="001D0852">
          <w:rPr>
            <w:rStyle w:val="Hipercze"/>
            <w:lang w:val="pl-PL"/>
          </w:rPr>
          <w:t>Not informacyjnych nt. orzecznictwa</w:t>
        </w:r>
      </w:hyperlink>
    </w:p>
    <w:p w:rsidR="00F9124E" w:rsidRPr="00280240" w:rsidRDefault="00F9124E" w:rsidP="00280240">
      <w:pPr>
        <w:pStyle w:val="ClinFooter"/>
        <w:rPr>
          <w:lang w:val="pl-PL"/>
        </w:rPr>
      </w:pPr>
    </w:p>
    <w:sectPr w:rsidR="00F9124E" w:rsidRPr="00280240" w:rsidSect="004A5B5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962" w:rsidRDefault="00CF1962" w:rsidP="00C63262">
      <w:r>
        <w:separator/>
      </w:r>
    </w:p>
  </w:endnote>
  <w:endnote w:type="continuationSeparator" w:id="0">
    <w:p w:rsidR="00CF1962" w:rsidRDefault="00CF1962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3B3" w:rsidRDefault="005013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3B3" w:rsidRDefault="005013B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962" w:rsidRDefault="00CF1962" w:rsidP="00C63262">
      <w:r>
        <w:separator/>
      </w:r>
    </w:p>
  </w:footnote>
  <w:footnote w:type="continuationSeparator" w:id="0">
    <w:p w:rsidR="00CF1962" w:rsidRDefault="00CF1962" w:rsidP="00C63262">
      <w:r>
        <w:continuationSeparator/>
      </w:r>
    </w:p>
  </w:footnote>
  <w:footnote w:id="1">
    <w:p w:rsidR="002D5C10" w:rsidRPr="00367125" w:rsidRDefault="002D5C10" w:rsidP="002D5C10">
      <w:pPr>
        <w:rPr>
          <w:sz w:val="16"/>
          <w:szCs w:val="16"/>
          <w:lang w:val="pl-PL"/>
        </w:rPr>
      </w:pPr>
      <w:r w:rsidRPr="00367125">
        <w:rPr>
          <w:rStyle w:val="Odwoanieprzypisudolnego"/>
          <w:sz w:val="16"/>
          <w:szCs w:val="16"/>
        </w:rPr>
        <w:footnoteRef/>
      </w:r>
      <w:r w:rsidRPr="00367125">
        <w:rPr>
          <w:sz w:val="16"/>
          <w:szCs w:val="16"/>
          <w:lang w:val="pl-PL"/>
        </w:rPr>
        <w:t xml:space="preserve"> Polskie tłumaczenie – patrz </w:t>
      </w:r>
      <w:hyperlink r:id="rId1" w:history="1">
        <w:r w:rsidRPr="00367125">
          <w:rPr>
            <w:rStyle w:val="Hipercze"/>
            <w:sz w:val="16"/>
            <w:szCs w:val="16"/>
            <w:lang w:val="pl-PL"/>
          </w:rPr>
          <w:t>http://www.giodo.gov.pl/230/id_art/8618/j/pl</w:t>
        </w:r>
      </w:hyperlink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3B3" w:rsidRDefault="005013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354E9B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304E"/>
    <w:rsid w:val="00014266"/>
    <w:rsid w:val="00037CCC"/>
    <w:rsid w:val="0008642C"/>
    <w:rsid w:val="00097888"/>
    <w:rsid w:val="000A423D"/>
    <w:rsid w:val="000A4AF6"/>
    <w:rsid w:val="000D4626"/>
    <w:rsid w:val="000F13B5"/>
    <w:rsid w:val="00107377"/>
    <w:rsid w:val="00141BEF"/>
    <w:rsid w:val="00143602"/>
    <w:rsid w:val="001769E4"/>
    <w:rsid w:val="00186560"/>
    <w:rsid w:val="001C6660"/>
    <w:rsid w:val="00212E83"/>
    <w:rsid w:val="00252953"/>
    <w:rsid w:val="002531AE"/>
    <w:rsid w:val="00280240"/>
    <w:rsid w:val="002966E7"/>
    <w:rsid w:val="002D5C10"/>
    <w:rsid w:val="002E088D"/>
    <w:rsid w:val="0030264F"/>
    <w:rsid w:val="003164BF"/>
    <w:rsid w:val="003450B3"/>
    <w:rsid w:val="00354E9B"/>
    <w:rsid w:val="00367125"/>
    <w:rsid w:val="00386958"/>
    <w:rsid w:val="003A64A6"/>
    <w:rsid w:val="003D439F"/>
    <w:rsid w:val="003D7BB3"/>
    <w:rsid w:val="00413D75"/>
    <w:rsid w:val="0046453F"/>
    <w:rsid w:val="004A5B52"/>
    <w:rsid w:val="004D1A4B"/>
    <w:rsid w:val="004D568D"/>
    <w:rsid w:val="004E1037"/>
    <w:rsid w:val="005013B3"/>
    <w:rsid w:val="0050652E"/>
    <w:rsid w:val="0052092D"/>
    <w:rsid w:val="00540D75"/>
    <w:rsid w:val="00546EAB"/>
    <w:rsid w:val="005514E5"/>
    <w:rsid w:val="00566672"/>
    <w:rsid w:val="00567362"/>
    <w:rsid w:val="00602233"/>
    <w:rsid w:val="006028A1"/>
    <w:rsid w:val="00631A28"/>
    <w:rsid w:val="00664542"/>
    <w:rsid w:val="00687CCF"/>
    <w:rsid w:val="006A36AD"/>
    <w:rsid w:val="006C1D96"/>
    <w:rsid w:val="006C6118"/>
    <w:rsid w:val="006F6F9A"/>
    <w:rsid w:val="00703560"/>
    <w:rsid w:val="0071773F"/>
    <w:rsid w:val="00756943"/>
    <w:rsid w:val="007660E1"/>
    <w:rsid w:val="00774515"/>
    <w:rsid w:val="00801B0C"/>
    <w:rsid w:val="00814243"/>
    <w:rsid w:val="00832DF6"/>
    <w:rsid w:val="00895EF3"/>
    <w:rsid w:val="008C64D5"/>
    <w:rsid w:val="00903D38"/>
    <w:rsid w:val="00971E0C"/>
    <w:rsid w:val="00997292"/>
    <w:rsid w:val="009A453B"/>
    <w:rsid w:val="009B3B2C"/>
    <w:rsid w:val="009C0ABD"/>
    <w:rsid w:val="009C21F4"/>
    <w:rsid w:val="009E3EF0"/>
    <w:rsid w:val="00A01052"/>
    <w:rsid w:val="00A04D9C"/>
    <w:rsid w:val="00A14B9B"/>
    <w:rsid w:val="00A258BB"/>
    <w:rsid w:val="00A26DA2"/>
    <w:rsid w:val="00A31D79"/>
    <w:rsid w:val="00A33541"/>
    <w:rsid w:val="00A40865"/>
    <w:rsid w:val="00A45616"/>
    <w:rsid w:val="00A46484"/>
    <w:rsid w:val="00A74F94"/>
    <w:rsid w:val="00A96274"/>
    <w:rsid w:val="00AA1532"/>
    <w:rsid w:val="00AC7726"/>
    <w:rsid w:val="00AF231B"/>
    <w:rsid w:val="00B077FB"/>
    <w:rsid w:val="00B15230"/>
    <w:rsid w:val="00B20D41"/>
    <w:rsid w:val="00B256FF"/>
    <w:rsid w:val="00B26E81"/>
    <w:rsid w:val="00B53D18"/>
    <w:rsid w:val="00B7176C"/>
    <w:rsid w:val="00B80CA0"/>
    <w:rsid w:val="00B85770"/>
    <w:rsid w:val="00BA25F3"/>
    <w:rsid w:val="00BD47C4"/>
    <w:rsid w:val="00BD6B4C"/>
    <w:rsid w:val="00BE7D60"/>
    <w:rsid w:val="00BF1CD9"/>
    <w:rsid w:val="00C37433"/>
    <w:rsid w:val="00C63262"/>
    <w:rsid w:val="00C72355"/>
    <w:rsid w:val="00C93CFB"/>
    <w:rsid w:val="00CA045D"/>
    <w:rsid w:val="00CC3B5F"/>
    <w:rsid w:val="00CC6785"/>
    <w:rsid w:val="00CE2759"/>
    <w:rsid w:val="00CF1962"/>
    <w:rsid w:val="00CF7BA6"/>
    <w:rsid w:val="00D42086"/>
    <w:rsid w:val="00D425B3"/>
    <w:rsid w:val="00DC3096"/>
    <w:rsid w:val="00DF148F"/>
    <w:rsid w:val="00E2073E"/>
    <w:rsid w:val="00E527F6"/>
    <w:rsid w:val="00E55491"/>
    <w:rsid w:val="00E65B86"/>
    <w:rsid w:val="00E83DB6"/>
    <w:rsid w:val="00EA0A07"/>
    <w:rsid w:val="00EA53E7"/>
    <w:rsid w:val="00EC1576"/>
    <w:rsid w:val="00F14986"/>
    <w:rsid w:val="00F37DD8"/>
    <w:rsid w:val="00F508C9"/>
    <w:rsid w:val="00F50CCD"/>
    <w:rsid w:val="00F50F1B"/>
    <w:rsid w:val="00F5247C"/>
    <w:rsid w:val="00F80DA3"/>
    <w:rsid w:val="00F86860"/>
    <w:rsid w:val="00F9124E"/>
    <w:rsid w:val="00F96EC2"/>
    <w:rsid w:val="00FA29ED"/>
    <w:rsid w:val="00FC499C"/>
    <w:rsid w:val="00FD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iPriority="22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280240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280240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280240"/>
  </w:style>
  <w:style w:type="character" w:customStyle="1" w:styleId="object">
    <w:name w:val="object"/>
    <w:basedOn w:val="Domylnaczcionkaakapitu"/>
    <w:rsid w:val="00280240"/>
  </w:style>
  <w:style w:type="paragraph" w:customStyle="1" w:styleId="s30eec3f8">
    <w:name w:val="s30eec3f8"/>
    <w:basedOn w:val="Normalny"/>
    <w:rsid w:val="00CC6785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b8d990e2">
    <w:name w:val="sb8d990e2"/>
    <w:basedOn w:val="Domylnaczcionkaakapitu"/>
    <w:rsid w:val="00CC6785"/>
  </w:style>
  <w:style w:type="character" w:customStyle="1" w:styleId="s6b621b36">
    <w:name w:val="s6b621b36"/>
    <w:basedOn w:val="Domylnaczcionkaakapitu"/>
    <w:rsid w:val="00CC6785"/>
  </w:style>
  <w:style w:type="character" w:customStyle="1" w:styleId="s7d2086b4">
    <w:name w:val="s7d2086b4"/>
    <w:basedOn w:val="Domylnaczcionkaakapitu"/>
    <w:rsid w:val="00CC6785"/>
  </w:style>
  <w:style w:type="character" w:styleId="UyteHipercze">
    <w:name w:val="FollowedHyperlink"/>
    <w:basedOn w:val="Domylnaczcionkaakapitu"/>
    <w:semiHidden/>
    <w:unhideWhenUsed/>
    <w:rsid w:val="001C6660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E65B86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65B86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65B86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65B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65B86"/>
    <w:rPr>
      <w:rFonts w:ascii="Verdana" w:hAnsi="Verdana"/>
      <w:b/>
      <w:bCs/>
    </w:rPr>
  </w:style>
  <w:style w:type="character" w:styleId="Pogrubienie">
    <w:name w:val="Strong"/>
    <w:basedOn w:val="Domylnaczcionkaakapitu"/>
    <w:uiPriority w:val="22"/>
    <w:qFormat/>
    <w:rsid w:val="00F37DD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iPriority="22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280240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280240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280240"/>
  </w:style>
  <w:style w:type="character" w:customStyle="1" w:styleId="object">
    <w:name w:val="object"/>
    <w:basedOn w:val="Domylnaczcionkaakapitu"/>
    <w:rsid w:val="00280240"/>
  </w:style>
  <w:style w:type="paragraph" w:customStyle="1" w:styleId="s30eec3f8">
    <w:name w:val="s30eec3f8"/>
    <w:basedOn w:val="Normalny"/>
    <w:rsid w:val="00CC6785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b8d990e2">
    <w:name w:val="sb8d990e2"/>
    <w:basedOn w:val="Domylnaczcionkaakapitu"/>
    <w:rsid w:val="00CC6785"/>
  </w:style>
  <w:style w:type="character" w:customStyle="1" w:styleId="s6b621b36">
    <w:name w:val="s6b621b36"/>
    <w:basedOn w:val="Domylnaczcionkaakapitu"/>
    <w:rsid w:val="00CC6785"/>
  </w:style>
  <w:style w:type="character" w:customStyle="1" w:styleId="s7d2086b4">
    <w:name w:val="s7d2086b4"/>
    <w:basedOn w:val="Domylnaczcionkaakapitu"/>
    <w:rsid w:val="00CC6785"/>
  </w:style>
  <w:style w:type="character" w:styleId="UyteHipercze">
    <w:name w:val="FollowedHyperlink"/>
    <w:basedOn w:val="Domylnaczcionkaakapitu"/>
    <w:semiHidden/>
    <w:unhideWhenUsed/>
    <w:rsid w:val="001C6660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E65B86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65B86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65B86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65B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65B86"/>
    <w:rPr>
      <w:rFonts w:ascii="Verdana" w:hAnsi="Verdana"/>
      <w:b/>
      <w:bCs/>
    </w:rPr>
  </w:style>
  <w:style w:type="character" w:styleId="Pogrubienie">
    <w:name w:val="Strong"/>
    <w:basedOn w:val="Domylnaczcionkaakapitu"/>
    <w:uiPriority w:val="22"/>
    <w:qFormat/>
    <w:rsid w:val="00F37D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1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0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2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50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651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654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fre?i=002-11022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hyperlink" Target="http://www.echr.coe.int/NoteInformation/en" TargetMode="External"/><Relationship Id="rId17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echr.coe.int/Documents/FS_Workplace_surveillance_ENG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search.coe.int/cm/Pages/result_details.aspx?ObjectID=09000016805c3f7a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ur-lex.europa.eu/legal-content/PL/TXT/HTML/?uri=CELEX:31995L0046&amp;from=PL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iodo.gov.pl/230/id_art/8618/j/pl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1450</Words>
  <Characters>8705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2017-10-20T19:07:00Z</dcterms:created>
  <dcterms:modified xsi:type="dcterms:W3CDTF">2017-10-20T19:07:00Z</dcterms:modified>
</cp:coreProperties>
</file>