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bookmarkStart w:id="0" w:name="_GoBack"/>
      <w:bookmarkEnd w:id="0"/>
    </w:p>
    <w:p w:rsidR="00893529" w:rsidRPr="00FF534D" w:rsidRDefault="00893529" w:rsidP="00893529">
      <w:pPr>
        <w:jc w:val="center"/>
        <w:rPr>
          <w:rFonts w:ascii="Times New Roman" w:hAnsi="Times New Roman" w:cs="Times New Roman"/>
          <w:lang w:val="pl-PL"/>
        </w:rPr>
      </w:pPr>
      <w:r w:rsidRPr="00FF534D">
        <w:rPr>
          <w:rFonts w:ascii="Times New Roman" w:hAnsi="Times New Roman" w:cs="Times New Roman"/>
          <w:lang w:val="pl-PL"/>
        </w:rPr>
        <w:t>EUROPEJSKI TRYBUNAŁ PRAW CZŁOWIEKA</w:t>
      </w:r>
    </w:p>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p>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p>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p>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p>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p>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r w:rsidRPr="008A0C03">
        <w:rPr>
          <w:rFonts w:asciiTheme="minorHAnsi" w:eastAsiaTheme="minorEastAsia" w:hAnsiTheme="minorHAnsi" w:cstheme="minorBidi"/>
          <w:kern w:val="0"/>
          <w:szCs w:val="22"/>
          <w:lang w:eastAsia="en-US" w:bidi="ar-SA"/>
        </w:rPr>
        <w:t>SEKCJA CZWARTA</w:t>
      </w:r>
    </w:p>
    <w:p w:rsidR="00311434" w:rsidRPr="008A0C03" w:rsidRDefault="00311434" w:rsidP="00311434">
      <w:pPr>
        <w:pStyle w:val="Standard"/>
        <w:rPr>
          <w:rFonts w:ascii="Arial" w:hAnsi="Arial"/>
        </w:rPr>
      </w:pPr>
    </w:p>
    <w:p w:rsidR="00311434" w:rsidRPr="008A0C03" w:rsidRDefault="00311434" w:rsidP="00311434">
      <w:pPr>
        <w:pStyle w:val="Standard"/>
        <w:rPr>
          <w:rFonts w:ascii="Arial" w:hAnsi="Arial"/>
        </w:rPr>
      </w:pPr>
    </w:p>
    <w:p w:rsidR="00311434" w:rsidRPr="008A0C03" w:rsidRDefault="00311434" w:rsidP="00311434">
      <w:pPr>
        <w:pStyle w:val="Standard"/>
        <w:rPr>
          <w:rFonts w:ascii="Arial" w:hAnsi="Arial"/>
        </w:rPr>
      </w:pPr>
    </w:p>
    <w:p w:rsidR="00311434" w:rsidRPr="008A0C03" w:rsidRDefault="00311434" w:rsidP="00311434">
      <w:pPr>
        <w:pStyle w:val="Standard"/>
        <w:jc w:val="center"/>
        <w:rPr>
          <w:rFonts w:asciiTheme="minorHAnsi" w:eastAsiaTheme="minorEastAsia" w:hAnsiTheme="minorHAnsi" w:cstheme="minorBidi"/>
          <w:b/>
          <w:kern w:val="0"/>
          <w:szCs w:val="22"/>
          <w:lang w:eastAsia="en-US" w:bidi="ar-SA"/>
        </w:rPr>
      </w:pPr>
      <w:r w:rsidRPr="008A0C03">
        <w:rPr>
          <w:rFonts w:asciiTheme="minorHAnsi" w:eastAsiaTheme="minorEastAsia" w:hAnsiTheme="minorHAnsi" w:cstheme="minorBidi"/>
          <w:b/>
          <w:kern w:val="0"/>
          <w:szCs w:val="22"/>
          <w:lang w:eastAsia="en-US" w:bidi="ar-SA"/>
        </w:rPr>
        <w:t>SPRAWA GALLARDO SANCHEZ PRZECIWKO WŁOCHOM</w:t>
      </w:r>
    </w:p>
    <w:p w:rsidR="00311434" w:rsidRPr="008A0C03" w:rsidRDefault="00311434" w:rsidP="00311434">
      <w:pPr>
        <w:pStyle w:val="Standard"/>
        <w:rPr>
          <w:rFonts w:ascii="Arial" w:hAnsi="Arial"/>
        </w:rPr>
      </w:pPr>
    </w:p>
    <w:p w:rsidR="00311434" w:rsidRPr="008A0C03" w:rsidRDefault="00311434" w:rsidP="00311434">
      <w:pPr>
        <w:jc w:val="center"/>
        <w:rPr>
          <w:i/>
          <w:lang w:val="pl-PL"/>
        </w:rPr>
      </w:pPr>
      <w:r w:rsidRPr="008A0C03">
        <w:rPr>
          <w:i/>
          <w:lang w:val="pl-PL"/>
        </w:rPr>
        <w:t>(Skarga nr 11620/07)</w:t>
      </w:r>
    </w:p>
    <w:p w:rsidR="00311434" w:rsidRPr="008A0C03" w:rsidRDefault="00311434" w:rsidP="00311434">
      <w:pPr>
        <w:pStyle w:val="Standard"/>
        <w:rPr>
          <w:rFonts w:ascii="Arial" w:hAnsi="Arial"/>
        </w:rPr>
      </w:pPr>
    </w:p>
    <w:p w:rsidR="00311434" w:rsidRPr="008A0C03" w:rsidRDefault="00311434" w:rsidP="00311434">
      <w:pPr>
        <w:pStyle w:val="Standard"/>
        <w:rPr>
          <w:rFonts w:ascii="Arial" w:hAnsi="Arial"/>
        </w:rPr>
      </w:pPr>
    </w:p>
    <w:p w:rsidR="00311434" w:rsidRPr="008A0C03" w:rsidRDefault="00311434" w:rsidP="00311434">
      <w:pPr>
        <w:pStyle w:val="Standard"/>
        <w:jc w:val="center"/>
        <w:rPr>
          <w:rFonts w:ascii="Arial" w:hAnsi="Arial"/>
        </w:rPr>
      </w:pPr>
    </w:p>
    <w:p w:rsidR="00311434" w:rsidRPr="008A0C03" w:rsidRDefault="00311434" w:rsidP="00311434">
      <w:pPr>
        <w:pStyle w:val="Standard"/>
        <w:jc w:val="center"/>
        <w:rPr>
          <w:rFonts w:ascii="Arial" w:hAnsi="Arial"/>
        </w:rPr>
      </w:pPr>
    </w:p>
    <w:p w:rsidR="00311434" w:rsidRPr="008A0C03" w:rsidRDefault="00311434" w:rsidP="00311434">
      <w:pPr>
        <w:pStyle w:val="Standard"/>
        <w:jc w:val="center"/>
        <w:rPr>
          <w:rFonts w:ascii="Arial" w:hAnsi="Arial"/>
        </w:rPr>
      </w:pPr>
    </w:p>
    <w:p w:rsidR="00311434" w:rsidRPr="008A0C03" w:rsidRDefault="00311434" w:rsidP="00311434">
      <w:pPr>
        <w:jc w:val="center"/>
        <w:rPr>
          <w:rFonts w:ascii="Arial" w:hAnsi="Arial"/>
          <w:b/>
          <w:bCs/>
          <w:lang w:val="pl-PL"/>
        </w:rPr>
      </w:pPr>
      <w:r w:rsidRPr="008A0C03">
        <w:rPr>
          <w:szCs w:val="24"/>
          <w:lang w:val="pl-PL"/>
        </w:rPr>
        <w:t>WYROK</w:t>
      </w:r>
    </w:p>
    <w:p w:rsidR="00311434" w:rsidRPr="008A0C03" w:rsidRDefault="00311434" w:rsidP="00311434">
      <w:pPr>
        <w:pStyle w:val="Standard"/>
        <w:jc w:val="center"/>
        <w:rPr>
          <w:rFonts w:ascii="Arial" w:hAnsi="Arial"/>
          <w:b/>
          <w:bCs/>
        </w:rPr>
      </w:pPr>
    </w:p>
    <w:p w:rsidR="00311434" w:rsidRPr="008A0C03" w:rsidRDefault="00311434" w:rsidP="00311434">
      <w:pPr>
        <w:pStyle w:val="JuCase"/>
        <w:ind w:firstLine="0"/>
        <w:jc w:val="center"/>
        <w:rPr>
          <w:rFonts w:ascii="Arial" w:hAnsi="Arial"/>
          <w:b w:val="0"/>
          <w:bCs/>
          <w:lang w:val="pl-PL"/>
        </w:rPr>
      </w:pPr>
      <w:r w:rsidRPr="008A0C03">
        <w:rPr>
          <w:b w:val="0"/>
          <w:lang w:val="pl-PL"/>
        </w:rPr>
        <w:t>STRASBURG</w:t>
      </w:r>
    </w:p>
    <w:p w:rsidR="00311434" w:rsidRPr="008A0C03" w:rsidRDefault="00311434" w:rsidP="00311434">
      <w:pPr>
        <w:pStyle w:val="Standard"/>
        <w:jc w:val="center"/>
        <w:rPr>
          <w:rFonts w:ascii="Arial" w:hAnsi="Arial"/>
          <w:b/>
          <w:bCs/>
        </w:rPr>
      </w:pPr>
    </w:p>
    <w:p w:rsidR="00311434" w:rsidRPr="008A0C03" w:rsidRDefault="00311434" w:rsidP="00311434">
      <w:pPr>
        <w:pStyle w:val="Standard"/>
        <w:jc w:val="center"/>
        <w:rPr>
          <w:rFonts w:asciiTheme="minorHAnsi" w:eastAsiaTheme="minorEastAsia" w:hAnsiTheme="minorHAnsi" w:cstheme="minorBidi"/>
          <w:kern w:val="0"/>
          <w:szCs w:val="22"/>
          <w:lang w:eastAsia="en-US" w:bidi="ar-SA"/>
        </w:rPr>
      </w:pPr>
      <w:r w:rsidRPr="008A0C03">
        <w:rPr>
          <w:rFonts w:asciiTheme="minorHAnsi" w:eastAsiaTheme="minorEastAsia" w:hAnsiTheme="minorHAnsi" w:cstheme="minorBidi"/>
          <w:kern w:val="0"/>
          <w:szCs w:val="22"/>
          <w:lang w:eastAsia="en-US" w:bidi="ar-SA"/>
        </w:rPr>
        <w:t>24 marca 2015</w:t>
      </w:r>
    </w:p>
    <w:p w:rsidR="00311434" w:rsidRPr="008A0C03" w:rsidRDefault="00311434" w:rsidP="00311434">
      <w:pPr>
        <w:pStyle w:val="Standard"/>
        <w:rPr>
          <w:rFonts w:ascii="Arial" w:hAnsi="Arial"/>
          <w:b/>
          <w:bCs/>
        </w:rPr>
      </w:pPr>
    </w:p>
    <w:p w:rsidR="00311434" w:rsidRPr="008A0C03" w:rsidRDefault="00311434" w:rsidP="00311434">
      <w:pPr>
        <w:pStyle w:val="Standard"/>
        <w:rPr>
          <w:rFonts w:ascii="Arial" w:hAnsi="Arial"/>
          <w:b/>
          <w:bCs/>
        </w:rPr>
      </w:pPr>
    </w:p>
    <w:p w:rsidR="00311434" w:rsidRPr="008A0C03" w:rsidRDefault="00311434" w:rsidP="00311434">
      <w:pPr>
        <w:pStyle w:val="Standard"/>
        <w:rPr>
          <w:rFonts w:ascii="Arial" w:hAnsi="Arial"/>
        </w:rPr>
      </w:pPr>
    </w:p>
    <w:p w:rsidR="00311434" w:rsidRPr="008A0C03" w:rsidRDefault="00311434" w:rsidP="00311434">
      <w:pPr>
        <w:pStyle w:val="Standard"/>
        <w:jc w:val="center"/>
        <w:rPr>
          <w:rFonts w:ascii="Arial" w:hAnsi="Arial"/>
          <w:i/>
          <w:iCs/>
          <w:sz w:val="21"/>
          <w:szCs w:val="21"/>
        </w:rPr>
      </w:pPr>
    </w:p>
    <w:p w:rsidR="00311434" w:rsidRPr="008A0C03" w:rsidRDefault="00311434" w:rsidP="00311434">
      <w:pPr>
        <w:pStyle w:val="Standard"/>
        <w:jc w:val="center"/>
        <w:rPr>
          <w:rFonts w:ascii="Arial" w:hAnsi="Arial"/>
          <w:i/>
          <w:iCs/>
          <w:sz w:val="21"/>
          <w:szCs w:val="21"/>
        </w:rPr>
      </w:pPr>
    </w:p>
    <w:p w:rsidR="00311434" w:rsidRPr="008A0C03" w:rsidRDefault="00311434" w:rsidP="00311434">
      <w:pPr>
        <w:pStyle w:val="Standard"/>
        <w:jc w:val="center"/>
        <w:rPr>
          <w:rFonts w:ascii="Arial" w:hAnsi="Arial"/>
          <w:i/>
          <w:iCs/>
          <w:sz w:val="21"/>
          <w:szCs w:val="21"/>
        </w:rPr>
      </w:pPr>
    </w:p>
    <w:p w:rsidR="00311434" w:rsidRPr="008A0C03" w:rsidRDefault="00311434" w:rsidP="00311434">
      <w:pPr>
        <w:pStyle w:val="Standard"/>
        <w:jc w:val="center"/>
        <w:rPr>
          <w:rFonts w:ascii="Arial" w:hAnsi="Arial"/>
          <w:i/>
          <w:iCs/>
          <w:sz w:val="21"/>
          <w:szCs w:val="21"/>
        </w:rPr>
      </w:pPr>
    </w:p>
    <w:p w:rsidR="00311434" w:rsidRPr="008A0C03" w:rsidRDefault="00311434" w:rsidP="00FF534D">
      <w:pPr>
        <w:pStyle w:val="Standard"/>
        <w:jc w:val="center"/>
        <w:rPr>
          <w:rFonts w:asciiTheme="minorHAnsi" w:eastAsiaTheme="minorEastAsia" w:hAnsiTheme="minorHAnsi" w:cstheme="minorBidi"/>
          <w:i/>
          <w:kern w:val="0"/>
          <w:sz w:val="22"/>
          <w:szCs w:val="22"/>
          <w:lang w:eastAsia="en-US" w:bidi="ar-SA"/>
        </w:rPr>
      </w:pPr>
      <w:r w:rsidRPr="008A0C03">
        <w:rPr>
          <w:rFonts w:asciiTheme="minorHAnsi" w:eastAsiaTheme="minorEastAsia" w:hAnsiTheme="minorHAnsi" w:cstheme="minorBidi"/>
          <w:i/>
          <w:kern w:val="0"/>
          <w:sz w:val="22"/>
          <w:szCs w:val="22"/>
          <w:lang w:eastAsia="en-US" w:bidi="ar-SA"/>
        </w:rPr>
        <w:t>Ten wyrok jest prawomocny, ale może podlegać korekcie wydawniczej.</w:t>
      </w:r>
    </w:p>
    <w:p w:rsidR="00014566" w:rsidRPr="008A0C03" w:rsidRDefault="00014566" w:rsidP="00EB6FE9">
      <w:pPr>
        <w:pStyle w:val="ECHRDecisionBody"/>
        <w:jc w:val="center"/>
        <w:rPr>
          <w:lang w:val="pl-PL"/>
        </w:rPr>
      </w:pPr>
    </w:p>
    <w:p w:rsidR="00014566" w:rsidRPr="008A0C03" w:rsidRDefault="00014566" w:rsidP="003C096B">
      <w:pPr>
        <w:jc w:val="center"/>
        <w:rPr>
          <w:lang w:val="pl-PL"/>
        </w:rPr>
      </w:pPr>
    </w:p>
    <w:p w:rsidR="00311434" w:rsidRPr="008A0C03" w:rsidRDefault="00311434" w:rsidP="003C096B">
      <w:pPr>
        <w:pStyle w:val="JuCase"/>
        <w:ind w:firstLine="0"/>
        <w:jc w:val="left"/>
        <w:rPr>
          <w:b w:val="0"/>
          <w:lang w:val="pl-PL"/>
        </w:rPr>
      </w:pPr>
    </w:p>
    <w:p w:rsidR="007F2B37" w:rsidRPr="008A0C03" w:rsidRDefault="007F2B37" w:rsidP="00311434">
      <w:pPr>
        <w:tabs>
          <w:tab w:val="left" w:pos="2535"/>
        </w:tabs>
        <w:rPr>
          <w:lang w:val="pl-PL"/>
        </w:rPr>
        <w:sectPr w:rsidR="007F2B37" w:rsidRPr="008A0C03" w:rsidSect="007F2B37">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626ADB" w:rsidRPr="008A0C03" w:rsidRDefault="00626ADB" w:rsidP="00626ADB">
      <w:pPr>
        <w:pStyle w:val="JuCase"/>
        <w:rPr>
          <w:lang w:val="pl-PL"/>
        </w:rPr>
      </w:pPr>
      <w:r w:rsidRPr="008A0C03">
        <w:rPr>
          <w:lang w:val="pl-PL"/>
        </w:rPr>
        <w:lastRenderedPageBreak/>
        <w:t xml:space="preserve">W sprawie  </w:t>
      </w:r>
      <w:proofErr w:type="spellStart"/>
      <w:r w:rsidRPr="008A0C03">
        <w:rPr>
          <w:lang w:val="pl-PL"/>
        </w:rPr>
        <w:t>Gallardo</w:t>
      </w:r>
      <w:proofErr w:type="spellEnd"/>
      <w:r w:rsidRPr="008A0C03">
        <w:rPr>
          <w:lang w:val="pl-PL"/>
        </w:rPr>
        <w:t xml:space="preserve"> Sanchez przeciwko Włochom,</w:t>
      </w:r>
    </w:p>
    <w:p w:rsidR="00626ADB" w:rsidRPr="008A0C03" w:rsidRDefault="00626ADB" w:rsidP="00626ADB">
      <w:pPr>
        <w:pStyle w:val="ECHRPara"/>
        <w:rPr>
          <w:lang w:val="pl-PL"/>
        </w:rPr>
      </w:pPr>
      <w:r w:rsidRPr="008A0C03">
        <w:rPr>
          <w:lang w:val="pl-PL"/>
        </w:rPr>
        <w:t>Europejski Trybunał Praw Człowieka (Czwarta Sekcja), zasiadający jako Izba w składzie:</w:t>
      </w:r>
    </w:p>
    <w:p w:rsidR="00626ADB" w:rsidRPr="008A0C03" w:rsidRDefault="00626ADB" w:rsidP="00626ADB">
      <w:pPr>
        <w:pStyle w:val="ECHRPara"/>
        <w:rPr>
          <w:lang w:val="pl-PL"/>
        </w:rPr>
      </w:pPr>
      <w:proofErr w:type="spellStart"/>
      <w:r w:rsidRPr="008A0C03">
        <w:rPr>
          <w:lang w:val="pl-PL"/>
        </w:rPr>
        <w:t>Päivi</w:t>
      </w:r>
      <w:proofErr w:type="spellEnd"/>
      <w:r w:rsidRPr="008A0C03">
        <w:rPr>
          <w:lang w:val="pl-PL"/>
        </w:rPr>
        <w:t xml:space="preserve"> </w:t>
      </w:r>
      <w:proofErr w:type="spellStart"/>
      <w:r w:rsidRPr="008A0C03">
        <w:rPr>
          <w:lang w:val="pl-PL"/>
        </w:rPr>
        <w:t>Hirvelä</w:t>
      </w:r>
      <w:proofErr w:type="spellEnd"/>
      <w:r w:rsidRPr="008A0C03">
        <w:rPr>
          <w:lang w:val="pl-PL"/>
        </w:rPr>
        <w:t xml:space="preserve">, </w:t>
      </w:r>
      <w:r w:rsidRPr="008A0C03">
        <w:rPr>
          <w:i/>
          <w:lang w:val="pl-PL"/>
        </w:rPr>
        <w:t>Przewodnicząca</w:t>
      </w:r>
    </w:p>
    <w:p w:rsidR="00626ADB" w:rsidRPr="008A0C03" w:rsidRDefault="00626ADB" w:rsidP="00626ADB">
      <w:pPr>
        <w:pStyle w:val="ECHRPara"/>
        <w:rPr>
          <w:lang w:val="pl-PL"/>
        </w:rPr>
      </w:pPr>
      <w:r w:rsidRPr="008A0C03">
        <w:rPr>
          <w:lang w:val="pl-PL"/>
        </w:rPr>
        <w:t xml:space="preserve">Guido </w:t>
      </w:r>
      <w:proofErr w:type="spellStart"/>
      <w:r w:rsidRPr="008A0C03">
        <w:rPr>
          <w:lang w:val="pl-PL"/>
        </w:rPr>
        <w:t>Raimondi</w:t>
      </w:r>
      <w:proofErr w:type="spellEnd"/>
      <w:r w:rsidRPr="008A0C03">
        <w:rPr>
          <w:lang w:val="pl-PL"/>
        </w:rPr>
        <w:t>,</w:t>
      </w:r>
    </w:p>
    <w:p w:rsidR="00626ADB" w:rsidRPr="00D26FFC" w:rsidRDefault="00626ADB" w:rsidP="00626ADB">
      <w:pPr>
        <w:pStyle w:val="ECHRPara"/>
        <w:rPr>
          <w:lang w:val="pl-PL"/>
        </w:rPr>
      </w:pPr>
      <w:r w:rsidRPr="00D26FFC">
        <w:rPr>
          <w:lang w:val="pl-PL"/>
        </w:rPr>
        <w:t xml:space="preserve">George </w:t>
      </w:r>
      <w:proofErr w:type="spellStart"/>
      <w:r w:rsidRPr="00D26FFC">
        <w:rPr>
          <w:lang w:val="pl-PL"/>
        </w:rPr>
        <w:t>Nicolaou</w:t>
      </w:r>
      <w:proofErr w:type="spellEnd"/>
      <w:r w:rsidRPr="00D26FFC">
        <w:rPr>
          <w:lang w:val="pl-PL"/>
        </w:rPr>
        <w:t>,</w:t>
      </w:r>
    </w:p>
    <w:p w:rsidR="00626ADB" w:rsidRPr="00D26FFC" w:rsidRDefault="00626ADB" w:rsidP="00626ADB">
      <w:pPr>
        <w:pStyle w:val="ECHRPara"/>
        <w:rPr>
          <w:lang w:val="pl-PL"/>
        </w:rPr>
      </w:pPr>
      <w:proofErr w:type="spellStart"/>
      <w:r w:rsidRPr="00D26FFC">
        <w:rPr>
          <w:lang w:val="pl-PL"/>
        </w:rPr>
        <w:t>Ledi</w:t>
      </w:r>
      <w:proofErr w:type="spellEnd"/>
      <w:r w:rsidRPr="00D26FFC">
        <w:rPr>
          <w:lang w:val="pl-PL"/>
        </w:rPr>
        <w:t xml:space="preserve"> </w:t>
      </w:r>
      <w:proofErr w:type="spellStart"/>
      <w:r w:rsidRPr="00D26FFC">
        <w:rPr>
          <w:lang w:val="pl-PL"/>
        </w:rPr>
        <w:t>Bianku</w:t>
      </w:r>
      <w:proofErr w:type="spellEnd"/>
      <w:r w:rsidRPr="00D26FFC">
        <w:rPr>
          <w:lang w:val="pl-PL"/>
        </w:rPr>
        <w:t>,</w:t>
      </w:r>
    </w:p>
    <w:p w:rsidR="00626ADB" w:rsidRPr="00D26FFC" w:rsidRDefault="00626ADB" w:rsidP="00626ADB">
      <w:pPr>
        <w:pStyle w:val="ECHRPara"/>
        <w:rPr>
          <w:lang w:val="pl-PL"/>
        </w:rPr>
      </w:pPr>
      <w:r w:rsidRPr="00D26FFC">
        <w:rPr>
          <w:lang w:val="pl-PL"/>
        </w:rPr>
        <w:t xml:space="preserve">Nona </w:t>
      </w:r>
      <w:proofErr w:type="spellStart"/>
      <w:r w:rsidRPr="00D26FFC">
        <w:rPr>
          <w:lang w:val="pl-PL"/>
        </w:rPr>
        <w:t>Tsotsoria</w:t>
      </w:r>
      <w:proofErr w:type="spellEnd"/>
      <w:r w:rsidRPr="00D26FFC">
        <w:rPr>
          <w:lang w:val="pl-PL"/>
        </w:rPr>
        <w:t>,</w:t>
      </w:r>
    </w:p>
    <w:p w:rsidR="00626ADB" w:rsidRPr="00D26FFC" w:rsidRDefault="00626ADB" w:rsidP="00626ADB">
      <w:pPr>
        <w:pStyle w:val="ECHRPara"/>
        <w:rPr>
          <w:lang w:val="pl-PL"/>
        </w:rPr>
      </w:pPr>
      <w:r w:rsidRPr="00D26FFC">
        <w:rPr>
          <w:lang w:val="pl-PL"/>
        </w:rPr>
        <w:t xml:space="preserve">Paul </w:t>
      </w:r>
      <w:proofErr w:type="spellStart"/>
      <w:r w:rsidRPr="00D26FFC">
        <w:rPr>
          <w:lang w:val="pl-PL"/>
        </w:rPr>
        <w:t>Mahoney</w:t>
      </w:r>
      <w:proofErr w:type="spellEnd"/>
      <w:r w:rsidRPr="00D26FFC">
        <w:rPr>
          <w:lang w:val="pl-PL"/>
        </w:rPr>
        <w:t>,</w:t>
      </w:r>
    </w:p>
    <w:p w:rsidR="00626ADB" w:rsidRPr="008A0C03" w:rsidRDefault="00626ADB" w:rsidP="00626ADB">
      <w:pPr>
        <w:pStyle w:val="ECHRPara"/>
        <w:rPr>
          <w:lang w:val="pl-PL"/>
        </w:rPr>
      </w:pPr>
      <w:r w:rsidRPr="008A0C03">
        <w:rPr>
          <w:lang w:val="pl-PL"/>
        </w:rPr>
        <w:t xml:space="preserve">Krzysztof </w:t>
      </w:r>
      <w:proofErr w:type="spellStart"/>
      <w:r w:rsidRPr="008A0C03">
        <w:rPr>
          <w:lang w:val="pl-PL"/>
        </w:rPr>
        <w:t>Wojtyczek</w:t>
      </w:r>
      <w:proofErr w:type="spellEnd"/>
      <w:r w:rsidRPr="008A0C03">
        <w:rPr>
          <w:lang w:val="pl-PL"/>
        </w:rPr>
        <w:t xml:space="preserve">, </w:t>
      </w:r>
      <w:r w:rsidRPr="008A0C03">
        <w:rPr>
          <w:i/>
          <w:lang w:val="pl-PL"/>
        </w:rPr>
        <w:t>sędziowie</w:t>
      </w:r>
      <w:r w:rsidRPr="008A0C03">
        <w:rPr>
          <w:lang w:val="pl-PL"/>
        </w:rPr>
        <w:t>,</w:t>
      </w:r>
    </w:p>
    <w:p w:rsidR="00626ADB" w:rsidRPr="008A0C03" w:rsidRDefault="00626ADB" w:rsidP="00626ADB">
      <w:pPr>
        <w:pStyle w:val="ECHRPara"/>
        <w:ind w:firstLine="0"/>
        <w:rPr>
          <w:i/>
          <w:lang w:val="pl-PL"/>
        </w:rPr>
      </w:pPr>
      <w:r w:rsidRPr="008A0C03">
        <w:rPr>
          <w:lang w:val="pl-PL"/>
        </w:rPr>
        <w:t xml:space="preserve">i </w:t>
      </w:r>
      <w:proofErr w:type="spellStart"/>
      <w:r w:rsidRPr="008A0C03">
        <w:rPr>
          <w:lang w:val="pl-PL"/>
        </w:rPr>
        <w:t>Fatoş</w:t>
      </w:r>
      <w:proofErr w:type="spellEnd"/>
      <w:r w:rsidRPr="008A0C03">
        <w:rPr>
          <w:lang w:val="pl-PL"/>
        </w:rPr>
        <w:t xml:space="preserve"> </w:t>
      </w:r>
      <w:proofErr w:type="spellStart"/>
      <w:r w:rsidRPr="008A0C03">
        <w:rPr>
          <w:lang w:val="pl-PL"/>
        </w:rPr>
        <w:t>Aracı</w:t>
      </w:r>
      <w:proofErr w:type="spellEnd"/>
      <w:r w:rsidRPr="008A0C03">
        <w:rPr>
          <w:lang w:val="pl-PL"/>
        </w:rPr>
        <w:t xml:space="preserve">, </w:t>
      </w:r>
      <w:r w:rsidRPr="008A0C03">
        <w:rPr>
          <w:i/>
          <w:lang w:val="pl-PL"/>
        </w:rPr>
        <w:t>Zastępca Kanclerza Sekcji</w:t>
      </w:r>
    </w:p>
    <w:p w:rsidR="00626ADB" w:rsidRPr="008A0C03" w:rsidRDefault="00626ADB" w:rsidP="00626ADB">
      <w:pPr>
        <w:pStyle w:val="ECHRPara"/>
        <w:rPr>
          <w:lang w:val="pl-PL"/>
        </w:rPr>
      </w:pPr>
      <w:r w:rsidRPr="008A0C03">
        <w:rPr>
          <w:lang w:val="pl-PL"/>
        </w:rPr>
        <w:t>Obradując na posiedzeniu niejawnymi w dniu 3 marca 2015 roku,</w:t>
      </w:r>
    </w:p>
    <w:p w:rsidR="00626ADB" w:rsidRPr="008A0C03" w:rsidRDefault="00626ADB" w:rsidP="00626ADB">
      <w:pPr>
        <w:pStyle w:val="ECHRPara"/>
        <w:rPr>
          <w:lang w:val="pl-PL"/>
        </w:rPr>
      </w:pPr>
      <w:r w:rsidRPr="008A0C03">
        <w:rPr>
          <w:lang w:val="pl-PL"/>
        </w:rPr>
        <w:t>Wydał następujący wyrok, który został przyjęty w tym dniu:</w:t>
      </w:r>
    </w:p>
    <w:p w:rsidR="00626ADB" w:rsidRPr="008A0C03" w:rsidRDefault="00626ADB" w:rsidP="003C096B">
      <w:pPr>
        <w:pStyle w:val="ECHRPara"/>
        <w:rPr>
          <w:lang w:val="pl-PL"/>
        </w:rPr>
      </w:pPr>
    </w:p>
    <w:p w:rsidR="00626ADB" w:rsidRPr="008A0C03" w:rsidRDefault="00626ADB" w:rsidP="003C096B">
      <w:pPr>
        <w:pStyle w:val="ECHRPara"/>
        <w:rPr>
          <w:lang w:val="pl-PL"/>
        </w:rPr>
      </w:pPr>
    </w:p>
    <w:p w:rsidR="00626ADB" w:rsidRPr="008A0C03" w:rsidRDefault="00626ADB" w:rsidP="00626ADB">
      <w:pPr>
        <w:pStyle w:val="ECHRTitle1"/>
        <w:rPr>
          <w:lang w:val="pl-PL"/>
        </w:rPr>
      </w:pPr>
      <w:r w:rsidRPr="008A0C03">
        <w:rPr>
          <w:lang w:val="pl-PL"/>
        </w:rPr>
        <w:t xml:space="preserve">POSTĘPOWANIE  </w:t>
      </w:r>
    </w:p>
    <w:p w:rsidR="00626ADB" w:rsidRPr="008A0C03" w:rsidRDefault="00626ADB" w:rsidP="00626ADB">
      <w:pPr>
        <w:pStyle w:val="Standard"/>
        <w:jc w:val="both"/>
        <w:rPr>
          <w:rFonts w:ascii="Arial" w:hAnsi="Arial"/>
          <w:sz w:val="21"/>
          <w:szCs w:val="21"/>
        </w:rPr>
      </w:pPr>
    </w:p>
    <w:p w:rsidR="00626ADB" w:rsidRPr="008A0C03" w:rsidRDefault="00626ADB" w:rsidP="00626ADB">
      <w:pPr>
        <w:pStyle w:val="ECHRPara"/>
        <w:rPr>
          <w:lang w:val="pl-PL"/>
        </w:rPr>
      </w:pPr>
      <w:r w:rsidRPr="008A0C03">
        <w:rPr>
          <w:rFonts w:ascii="Arial" w:hAnsi="Arial"/>
          <w:sz w:val="21"/>
          <w:szCs w:val="21"/>
          <w:lang w:val="pl-PL"/>
        </w:rPr>
        <w:tab/>
      </w:r>
      <w:r w:rsidR="00E359B4" w:rsidRPr="008A0C03">
        <w:rPr>
          <w:lang w:val="pl-PL"/>
        </w:rPr>
        <w:t>1. Sprawa wywodzi się ze skargi (nr 11620</w:t>
      </w:r>
      <w:r w:rsidR="00D26FFC">
        <w:rPr>
          <w:lang w:val="pl-PL"/>
        </w:rPr>
        <w:t>/</w:t>
      </w:r>
      <w:r w:rsidR="00E359B4" w:rsidRPr="008A0C03">
        <w:rPr>
          <w:lang w:val="pl-PL"/>
        </w:rPr>
        <w:t>07) złożonej przed Trybunałem przeciwko Republice Włoch</w:t>
      </w:r>
      <w:r w:rsidR="00CE67D6">
        <w:rPr>
          <w:lang w:val="pl-PL"/>
        </w:rPr>
        <w:t xml:space="preserve"> na mocy a</w:t>
      </w:r>
      <w:r w:rsidRPr="008A0C03">
        <w:rPr>
          <w:lang w:val="pl-PL"/>
        </w:rPr>
        <w:t xml:space="preserve">rt. 34 Konwencji o Ochronie Praw </w:t>
      </w:r>
      <w:r w:rsidR="009A2E6C" w:rsidRPr="008A0C03">
        <w:rPr>
          <w:lang w:val="pl-PL"/>
        </w:rPr>
        <w:t>Człowieka</w:t>
      </w:r>
      <w:r w:rsidRPr="008A0C03">
        <w:rPr>
          <w:lang w:val="pl-PL"/>
        </w:rPr>
        <w:t xml:space="preserve"> i Podstawowych </w:t>
      </w:r>
      <w:r w:rsidR="001067B1" w:rsidRPr="008A0C03">
        <w:rPr>
          <w:lang w:val="pl-PL"/>
        </w:rPr>
        <w:t>Wolności</w:t>
      </w:r>
      <w:r w:rsidR="00E359B4" w:rsidRPr="008A0C03">
        <w:rPr>
          <w:lang w:val="pl-PL"/>
        </w:rPr>
        <w:t xml:space="preserve"> („Konwencja”)</w:t>
      </w:r>
      <w:r w:rsidRPr="008A0C03">
        <w:rPr>
          <w:lang w:val="pl-PL"/>
        </w:rPr>
        <w:t xml:space="preserve">, przez obywatela Wenezueli Pana Manuela </w:t>
      </w:r>
      <w:proofErr w:type="spellStart"/>
      <w:r w:rsidRPr="008A0C03">
        <w:rPr>
          <w:lang w:val="pl-PL"/>
        </w:rPr>
        <w:t>Rogelio</w:t>
      </w:r>
      <w:proofErr w:type="spellEnd"/>
      <w:r w:rsidRPr="008A0C03">
        <w:rPr>
          <w:lang w:val="pl-PL"/>
        </w:rPr>
        <w:t xml:space="preserve"> </w:t>
      </w:r>
      <w:proofErr w:type="spellStart"/>
      <w:r w:rsidRPr="008A0C03">
        <w:rPr>
          <w:lang w:val="pl-PL"/>
        </w:rPr>
        <w:t>Gallardo</w:t>
      </w:r>
      <w:proofErr w:type="spellEnd"/>
      <w:r w:rsidRPr="008A0C03">
        <w:rPr>
          <w:lang w:val="pl-PL"/>
        </w:rPr>
        <w:t xml:space="preserve"> Sancheza („</w:t>
      </w:r>
      <w:r w:rsidR="00E359B4" w:rsidRPr="008A0C03">
        <w:rPr>
          <w:lang w:val="pl-PL"/>
        </w:rPr>
        <w:t>skarżący</w:t>
      </w:r>
      <w:r w:rsidRPr="008A0C03">
        <w:rPr>
          <w:lang w:val="pl-PL"/>
        </w:rPr>
        <w:t xml:space="preserve">”) </w:t>
      </w:r>
    </w:p>
    <w:p w:rsidR="00626ADB" w:rsidRPr="008A0C03" w:rsidRDefault="00626ADB" w:rsidP="00626ADB">
      <w:pPr>
        <w:pStyle w:val="ECHRPara"/>
        <w:rPr>
          <w:lang w:val="pl-PL"/>
        </w:rPr>
      </w:pPr>
      <w:r w:rsidRPr="008A0C03">
        <w:rPr>
          <w:lang w:val="pl-PL"/>
        </w:rPr>
        <w:tab/>
        <w:t xml:space="preserve">2. </w:t>
      </w:r>
      <w:r w:rsidR="00E359B4" w:rsidRPr="008A0C03">
        <w:rPr>
          <w:lang w:val="pl-PL"/>
        </w:rPr>
        <w:t>Skarżący</w:t>
      </w:r>
      <w:r w:rsidRPr="008A0C03">
        <w:rPr>
          <w:lang w:val="pl-PL"/>
        </w:rPr>
        <w:t xml:space="preserve"> był reprezentowany przez pana S. </w:t>
      </w:r>
      <w:proofErr w:type="spellStart"/>
      <w:r w:rsidRPr="008A0C03">
        <w:rPr>
          <w:lang w:val="pl-PL"/>
        </w:rPr>
        <w:t>Koulouroudisa</w:t>
      </w:r>
      <w:proofErr w:type="spellEnd"/>
      <w:r w:rsidRPr="008A0C03">
        <w:rPr>
          <w:lang w:val="pl-PL"/>
        </w:rPr>
        <w:t>, prawnika praktykującego w Atenach. Rząd wł</w:t>
      </w:r>
      <w:r w:rsidR="00E359B4" w:rsidRPr="008A0C03">
        <w:rPr>
          <w:lang w:val="pl-PL"/>
        </w:rPr>
        <w:t>oski (</w:t>
      </w:r>
      <w:r w:rsidRPr="008A0C03">
        <w:rPr>
          <w:lang w:val="pl-PL"/>
        </w:rPr>
        <w:t xml:space="preserve">"Rząd") był reprezentowany przez swojego pełnomocnika, Panią E. </w:t>
      </w:r>
      <w:proofErr w:type="spellStart"/>
      <w:r w:rsidRPr="008A0C03">
        <w:rPr>
          <w:lang w:val="pl-PL"/>
        </w:rPr>
        <w:t>Spatafora</w:t>
      </w:r>
      <w:proofErr w:type="spellEnd"/>
      <w:r w:rsidRPr="008A0C03">
        <w:rPr>
          <w:lang w:val="pl-PL"/>
        </w:rPr>
        <w:t>.</w:t>
      </w:r>
    </w:p>
    <w:p w:rsidR="00626ADB" w:rsidRPr="008A0C03" w:rsidRDefault="00626ADB" w:rsidP="00626ADB">
      <w:pPr>
        <w:pStyle w:val="ECHRPara"/>
        <w:rPr>
          <w:lang w:val="pl-PL"/>
        </w:rPr>
      </w:pPr>
      <w:r w:rsidRPr="008A0C03">
        <w:rPr>
          <w:lang w:val="pl-PL"/>
        </w:rPr>
        <w:tab/>
        <w:t xml:space="preserve">3. </w:t>
      </w:r>
      <w:r w:rsidR="009A2E6C" w:rsidRPr="008A0C03">
        <w:rPr>
          <w:lang w:val="pl-PL"/>
        </w:rPr>
        <w:t>Skarżący</w:t>
      </w:r>
      <w:r w:rsidRPr="008A0C03">
        <w:rPr>
          <w:lang w:val="pl-PL"/>
        </w:rPr>
        <w:t xml:space="preserve"> </w:t>
      </w:r>
      <w:r w:rsidR="00E359B4" w:rsidRPr="008A0C03">
        <w:rPr>
          <w:lang w:val="pl-PL"/>
        </w:rPr>
        <w:t>zarzucał</w:t>
      </w:r>
      <w:r w:rsidRPr="008A0C03">
        <w:rPr>
          <w:lang w:val="pl-PL"/>
        </w:rPr>
        <w:t xml:space="preserve">, iż </w:t>
      </w:r>
      <w:r w:rsidR="00E359B4" w:rsidRPr="008A0C03">
        <w:rPr>
          <w:lang w:val="pl-PL"/>
        </w:rPr>
        <w:t xml:space="preserve">długość </w:t>
      </w:r>
      <w:r w:rsidRPr="008A0C03">
        <w:rPr>
          <w:lang w:val="pl-PL"/>
        </w:rPr>
        <w:t>jego zatrzymanie do czasu ekst</w:t>
      </w:r>
      <w:r w:rsidR="00CE67D6">
        <w:rPr>
          <w:lang w:val="pl-PL"/>
        </w:rPr>
        <w:t>radycji skutkował</w:t>
      </w:r>
      <w:r w:rsidR="00D26FFC">
        <w:rPr>
          <w:lang w:val="pl-PL"/>
        </w:rPr>
        <w:t>a</w:t>
      </w:r>
      <w:r w:rsidR="00CE67D6">
        <w:rPr>
          <w:lang w:val="pl-PL"/>
        </w:rPr>
        <w:t xml:space="preserve"> naruszeniem a</w:t>
      </w:r>
      <w:r w:rsidRPr="008A0C03">
        <w:rPr>
          <w:lang w:val="pl-PL"/>
        </w:rPr>
        <w:t>rt. 5</w:t>
      </w:r>
      <w:r w:rsidR="00E359B4" w:rsidRPr="008A0C03">
        <w:rPr>
          <w:lang w:val="pl-PL"/>
        </w:rPr>
        <w:t xml:space="preserve"> </w:t>
      </w:r>
      <w:r w:rsidRPr="008A0C03">
        <w:rPr>
          <w:lang w:val="pl-PL"/>
        </w:rPr>
        <w:t>§</w:t>
      </w:r>
      <w:r w:rsidR="00E359B4" w:rsidRPr="008A0C03">
        <w:rPr>
          <w:lang w:val="pl-PL"/>
        </w:rPr>
        <w:t xml:space="preserve"> </w:t>
      </w:r>
      <w:r w:rsidRPr="008A0C03">
        <w:rPr>
          <w:lang w:val="pl-PL"/>
        </w:rPr>
        <w:t>3 Konwencji.</w:t>
      </w:r>
    </w:p>
    <w:p w:rsidR="00626ADB" w:rsidRPr="008A0C03" w:rsidRDefault="00626ADB" w:rsidP="00626ADB">
      <w:pPr>
        <w:pStyle w:val="ECHRPara"/>
        <w:rPr>
          <w:lang w:val="pl-PL"/>
        </w:rPr>
      </w:pPr>
      <w:r w:rsidRPr="008A0C03">
        <w:rPr>
          <w:lang w:val="pl-PL"/>
        </w:rPr>
        <w:tab/>
        <w:t xml:space="preserve">4. Zdecydowano jednak, iż skarga </w:t>
      </w:r>
      <w:r w:rsidR="00CE67D6">
        <w:rPr>
          <w:lang w:val="pl-PL"/>
        </w:rPr>
        <w:t>ta będzie rozpatrywana na mocy a</w:t>
      </w:r>
      <w:r w:rsidRPr="008A0C03">
        <w:rPr>
          <w:lang w:val="pl-PL"/>
        </w:rPr>
        <w:t>rt.</w:t>
      </w:r>
      <w:r w:rsidR="00E359B4" w:rsidRPr="008A0C03">
        <w:rPr>
          <w:lang w:val="pl-PL"/>
        </w:rPr>
        <w:t xml:space="preserve"> </w:t>
      </w:r>
      <w:r w:rsidRPr="008A0C03">
        <w:rPr>
          <w:lang w:val="pl-PL"/>
        </w:rPr>
        <w:t xml:space="preserve">5 § 1. Zawiadomienie o </w:t>
      </w:r>
      <w:r w:rsidR="00E359B4" w:rsidRPr="008A0C03">
        <w:rPr>
          <w:lang w:val="pl-PL"/>
        </w:rPr>
        <w:t>złożonej skardze</w:t>
      </w:r>
      <w:r w:rsidR="005F69A9" w:rsidRPr="008A0C03">
        <w:rPr>
          <w:lang w:val="pl-PL"/>
        </w:rPr>
        <w:t xml:space="preserve"> zostało dostarczone Rządowi dnia</w:t>
      </w:r>
      <w:r w:rsidRPr="008A0C03">
        <w:rPr>
          <w:lang w:val="pl-PL"/>
        </w:rPr>
        <w:t xml:space="preserve"> 2 maja 2013</w:t>
      </w:r>
      <w:r w:rsidR="005F69A9" w:rsidRPr="008A0C03">
        <w:rPr>
          <w:lang w:val="pl-PL"/>
        </w:rPr>
        <w:t xml:space="preserve"> roku</w:t>
      </w:r>
      <w:r w:rsidRPr="008A0C03">
        <w:rPr>
          <w:lang w:val="pl-PL"/>
        </w:rPr>
        <w:t>.</w:t>
      </w:r>
    </w:p>
    <w:p w:rsidR="00626ADB" w:rsidRPr="008A0C03" w:rsidRDefault="00626ADB" w:rsidP="00626ADB">
      <w:pPr>
        <w:pStyle w:val="ECHRPara"/>
        <w:rPr>
          <w:lang w:val="pl-PL"/>
        </w:rPr>
      </w:pPr>
      <w:r w:rsidRPr="008A0C03">
        <w:rPr>
          <w:lang w:val="pl-PL"/>
        </w:rPr>
        <w:tab/>
        <w:t>5. W dniu 16 grudnia 2013</w:t>
      </w:r>
      <w:r w:rsidR="005F69A9" w:rsidRPr="008A0C03">
        <w:rPr>
          <w:lang w:val="pl-PL"/>
        </w:rPr>
        <w:t xml:space="preserve"> roku</w:t>
      </w:r>
      <w:r w:rsidRPr="008A0C03">
        <w:rPr>
          <w:lang w:val="pl-PL"/>
        </w:rPr>
        <w:t xml:space="preserve">  Rząd wysłał pełnomocnikowi </w:t>
      </w:r>
      <w:r w:rsidR="00E359B4" w:rsidRPr="008A0C03">
        <w:rPr>
          <w:lang w:val="pl-PL"/>
        </w:rPr>
        <w:t>skarżącego</w:t>
      </w:r>
      <w:r w:rsidRPr="008A0C03">
        <w:rPr>
          <w:lang w:val="pl-PL"/>
        </w:rPr>
        <w:t xml:space="preserve"> kopię dokumentu </w:t>
      </w:r>
      <w:r w:rsidR="009A2E6C" w:rsidRPr="008A0C03">
        <w:rPr>
          <w:lang w:val="pl-PL"/>
        </w:rPr>
        <w:t>zawierającego</w:t>
      </w:r>
      <w:r w:rsidRPr="008A0C03">
        <w:rPr>
          <w:lang w:val="pl-PL"/>
        </w:rPr>
        <w:t xml:space="preserve"> analizę sprawy, prosząc </w:t>
      </w:r>
      <w:r w:rsidR="009A2E6C" w:rsidRPr="008A0C03">
        <w:rPr>
          <w:lang w:val="pl-PL"/>
        </w:rPr>
        <w:t>jednocześnie</w:t>
      </w:r>
      <w:r w:rsidR="00E359B4" w:rsidRPr="008A0C03">
        <w:rPr>
          <w:lang w:val="pl-PL"/>
        </w:rPr>
        <w:t xml:space="preserve"> o złożenia przed Trybunałe</w:t>
      </w:r>
      <w:r w:rsidR="005F69A9" w:rsidRPr="008A0C03">
        <w:rPr>
          <w:lang w:val="pl-PL"/>
        </w:rPr>
        <w:t>m</w:t>
      </w:r>
      <w:r w:rsidR="00E359B4" w:rsidRPr="008A0C03">
        <w:rPr>
          <w:lang w:val="pl-PL"/>
        </w:rPr>
        <w:t xml:space="preserve">  swoich </w:t>
      </w:r>
      <w:r w:rsidRPr="008A0C03">
        <w:rPr>
          <w:lang w:val="pl-PL"/>
        </w:rPr>
        <w:t>spostrzeżeń</w:t>
      </w:r>
      <w:r w:rsidR="00E359B4" w:rsidRPr="008A0C03">
        <w:rPr>
          <w:lang w:val="pl-PL"/>
        </w:rPr>
        <w:t xml:space="preserve"> w formie pisemnej </w:t>
      </w:r>
      <w:r w:rsidRPr="008A0C03">
        <w:rPr>
          <w:lang w:val="pl-PL"/>
        </w:rPr>
        <w:t>oraz roszczeń</w:t>
      </w:r>
      <w:r w:rsidR="00D060C7" w:rsidRPr="008A0C03">
        <w:rPr>
          <w:lang w:val="pl-PL"/>
        </w:rPr>
        <w:t xml:space="preserve"> skarżącego</w:t>
      </w:r>
      <w:r w:rsidRPr="008A0C03">
        <w:rPr>
          <w:lang w:val="pl-PL"/>
        </w:rPr>
        <w:t xml:space="preserve"> z tytułu zadośćuczynienia. Pomimo faktu, iż sam </w:t>
      </w:r>
      <w:r w:rsidR="00D060C7" w:rsidRPr="008A0C03">
        <w:rPr>
          <w:lang w:val="pl-PL"/>
        </w:rPr>
        <w:t>skarżący</w:t>
      </w:r>
      <w:r w:rsidRPr="008A0C03">
        <w:rPr>
          <w:lang w:val="pl-PL"/>
        </w:rPr>
        <w:t xml:space="preserve"> przejawiał zainteresowanie zbadaniem sprawy, jego pełnomocnik nie złożył wymaganych dokumentów w wyznaczonym na to czasie.</w:t>
      </w:r>
    </w:p>
    <w:p w:rsidR="00626ADB" w:rsidRPr="008A0C03" w:rsidRDefault="00626ADB" w:rsidP="003C096B">
      <w:pPr>
        <w:pStyle w:val="ECHRPara"/>
        <w:rPr>
          <w:lang w:val="pl-PL"/>
        </w:rPr>
      </w:pPr>
    </w:p>
    <w:p w:rsidR="00626ADB" w:rsidRPr="008A0C03" w:rsidRDefault="00626ADB" w:rsidP="00626ADB">
      <w:pPr>
        <w:pStyle w:val="Standard"/>
        <w:tabs>
          <w:tab w:val="left" w:pos="283"/>
        </w:tabs>
        <w:jc w:val="both"/>
        <w:rPr>
          <w:rFonts w:ascii="Arial" w:hAnsi="Arial"/>
        </w:rPr>
      </w:pPr>
    </w:p>
    <w:p w:rsidR="00626ADB" w:rsidRPr="008A0C03" w:rsidRDefault="00626ADB" w:rsidP="00626ADB">
      <w:pPr>
        <w:pStyle w:val="Standard"/>
        <w:tabs>
          <w:tab w:val="left" w:pos="283"/>
        </w:tabs>
        <w:jc w:val="both"/>
        <w:rPr>
          <w:rFonts w:ascii="Arial" w:hAnsi="Arial"/>
        </w:rPr>
      </w:pPr>
    </w:p>
    <w:p w:rsidR="00626ADB" w:rsidRPr="008A0C03" w:rsidRDefault="00626ADB" w:rsidP="00626ADB">
      <w:pPr>
        <w:pStyle w:val="Standard"/>
        <w:tabs>
          <w:tab w:val="left" w:pos="283"/>
        </w:tabs>
        <w:jc w:val="both"/>
        <w:rPr>
          <w:rFonts w:ascii="Arial" w:hAnsi="Arial"/>
        </w:rPr>
      </w:pPr>
    </w:p>
    <w:p w:rsidR="00626ADB" w:rsidRPr="008A0C03" w:rsidRDefault="00626ADB" w:rsidP="00626ADB">
      <w:pPr>
        <w:pStyle w:val="ECHRTitle1"/>
        <w:rPr>
          <w:rFonts w:ascii="Arial" w:hAnsi="Arial"/>
          <w:lang w:val="pl-PL"/>
        </w:rPr>
      </w:pPr>
      <w:r w:rsidRPr="008A0C03">
        <w:rPr>
          <w:lang w:val="pl-PL"/>
        </w:rPr>
        <w:lastRenderedPageBreak/>
        <w:t>FAKTY</w:t>
      </w:r>
    </w:p>
    <w:p w:rsidR="00626ADB" w:rsidRPr="008A0C03" w:rsidRDefault="00626ADB" w:rsidP="00626ADB">
      <w:pPr>
        <w:pStyle w:val="ECHRHeading1"/>
        <w:rPr>
          <w:lang w:val="pl-PL"/>
        </w:rPr>
      </w:pPr>
      <w:r w:rsidRPr="008A0C03">
        <w:rPr>
          <w:lang w:val="pl-PL"/>
        </w:rPr>
        <w:t>I. OKOLICZNOŚCI SPRAWY</w:t>
      </w:r>
    </w:p>
    <w:p w:rsidR="00626ADB" w:rsidRPr="008A0C03" w:rsidRDefault="00626ADB" w:rsidP="00626ADB">
      <w:pPr>
        <w:pStyle w:val="Standard"/>
        <w:tabs>
          <w:tab w:val="left" w:pos="283"/>
        </w:tabs>
        <w:rPr>
          <w:rFonts w:ascii="Arial" w:hAnsi="Arial"/>
        </w:rPr>
      </w:pPr>
      <w:r w:rsidRPr="008A0C03">
        <w:rPr>
          <w:rFonts w:ascii="Arial" w:hAnsi="Arial"/>
        </w:rPr>
        <w:tab/>
      </w:r>
    </w:p>
    <w:p w:rsidR="00626ADB" w:rsidRPr="008A0C03" w:rsidRDefault="00626ADB" w:rsidP="00626ADB">
      <w:pPr>
        <w:ind w:firstLine="284"/>
        <w:rPr>
          <w:lang w:val="pl-PL"/>
        </w:rPr>
      </w:pPr>
      <w:r w:rsidRPr="008A0C03">
        <w:rPr>
          <w:rFonts w:ascii="Arial" w:hAnsi="Arial"/>
          <w:sz w:val="22"/>
          <w:lang w:val="pl-PL"/>
        </w:rPr>
        <w:tab/>
      </w:r>
      <w:r w:rsidRPr="008A0C03">
        <w:rPr>
          <w:lang w:val="pl-PL"/>
        </w:rPr>
        <w:t>6. Okoliczności sprawy, przedłożone przez strony, można streścić w następujący sposób.</w:t>
      </w:r>
    </w:p>
    <w:p w:rsidR="00626ADB" w:rsidRPr="008A0C03" w:rsidRDefault="00626ADB" w:rsidP="00626ADB">
      <w:pPr>
        <w:ind w:firstLine="284"/>
        <w:rPr>
          <w:lang w:val="pl-PL"/>
        </w:rPr>
      </w:pPr>
      <w:r w:rsidRPr="008A0C03">
        <w:rPr>
          <w:lang w:val="pl-PL"/>
        </w:rPr>
        <w:tab/>
        <w:t xml:space="preserve">7. </w:t>
      </w:r>
      <w:r w:rsidR="00D060C7" w:rsidRPr="008A0C03">
        <w:rPr>
          <w:lang w:val="pl-PL"/>
        </w:rPr>
        <w:t>Skarżący</w:t>
      </w:r>
      <w:r w:rsidRPr="008A0C03">
        <w:rPr>
          <w:lang w:val="pl-PL"/>
        </w:rPr>
        <w:t xml:space="preserve"> pan Manuel </w:t>
      </w:r>
      <w:proofErr w:type="spellStart"/>
      <w:r w:rsidRPr="008A0C03">
        <w:rPr>
          <w:lang w:val="pl-PL"/>
        </w:rPr>
        <w:t>Rogelio</w:t>
      </w:r>
      <w:proofErr w:type="spellEnd"/>
      <w:r w:rsidRPr="008A0C03">
        <w:rPr>
          <w:lang w:val="pl-PL"/>
        </w:rPr>
        <w:t xml:space="preserve"> </w:t>
      </w:r>
      <w:proofErr w:type="spellStart"/>
      <w:r w:rsidRPr="008A0C03">
        <w:rPr>
          <w:lang w:val="pl-PL"/>
        </w:rPr>
        <w:t>Gallardo</w:t>
      </w:r>
      <w:proofErr w:type="spellEnd"/>
      <w:r w:rsidRPr="008A0C03">
        <w:rPr>
          <w:lang w:val="pl-PL"/>
        </w:rPr>
        <w:t xml:space="preserve"> </w:t>
      </w:r>
      <w:proofErr w:type="spellStart"/>
      <w:r w:rsidRPr="008A0C03">
        <w:rPr>
          <w:lang w:val="pl-PL"/>
        </w:rPr>
        <w:t>Sanches</w:t>
      </w:r>
      <w:proofErr w:type="spellEnd"/>
      <w:r w:rsidRPr="008A0C03">
        <w:rPr>
          <w:lang w:val="pl-PL"/>
        </w:rPr>
        <w:t xml:space="preserve"> jest obywatel</w:t>
      </w:r>
      <w:r w:rsidR="00187BC0" w:rsidRPr="008A0C03">
        <w:rPr>
          <w:lang w:val="pl-PL"/>
        </w:rPr>
        <w:t>em Wenezueli urodzonym w 1956 roku</w:t>
      </w:r>
      <w:r w:rsidRPr="008A0C03">
        <w:rPr>
          <w:lang w:val="pl-PL"/>
        </w:rPr>
        <w:t xml:space="preserve"> i mieszka w </w:t>
      </w:r>
      <w:r w:rsidR="00187BC0" w:rsidRPr="008A0C03">
        <w:rPr>
          <w:lang w:val="pl-PL"/>
        </w:rPr>
        <w:t>Kapsztadzie</w:t>
      </w:r>
      <w:r w:rsidRPr="008A0C03">
        <w:rPr>
          <w:lang w:val="pl-PL"/>
        </w:rPr>
        <w:t xml:space="preserve"> w Republice Południowej Afryki.</w:t>
      </w:r>
    </w:p>
    <w:p w:rsidR="00626ADB" w:rsidRPr="008A0C03" w:rsidRDefault="00626ADB" w:rsidP="00626ADB">
      <w:pPr>
        <w:ind w:firstLine="284"/>
        <w:rPr>
          <w:lang w:val="pl-PL"/>
        </w:rPr>
      </w:pPr>
      <w:r w:rsidRPr="008A0C03">
        <w:rPr>
          <w:lang w:val="pl-PL"/>
        </w:rPr>
        <w:tab/>
        <w:t xml:space="preserve">8. </w:t>
      </w:r>
      <w:r w:rsidR="00187BC0" w:rsidRPr="008A0C03">
        <w:rPr>
          <w:lang w:val="pl-PL"/>
        </w:rPr>
        <w:t xml:space="preserve">Dnia </w:t>
      </w:r>
      <w:r w:rsidRPr="008A0C03">
        <w:rPr>
          <w:lang w:val="pl-PL"/>
        </w:rPr>
        <w:t>12 kwietnia 2005</w:t>
      </w:r>
      <w:r w:rsidR="00187BC0" w:rsidRPr="008A0C03">
        <w:rPr>
          <w:lang w:val="pl-PL"/>
        </w:rPr>
        <w:t xml:space="preserve"> roku</w:t>
      </w:r>
      <w:r w:rsidRPr="008A0C03">
        <w:rPr>
          <w:lang w:val="pl-PL"/>
        </w:rPr>
        <w:t xml:space="preserve"> </w:t>
      </w:r>
      <w:r w:rsidR="00D060C7" w:rsidRPr="008A0C03">
        <w:rPr>
          <w:lang w:val="pl-PL"/>
        </w:rPr>
        <w:t>skarżący</w:t>
      </w:r>
      <w:r w:rsidR="00CE67D6">
        <w:rPr>
          <w:lang w:val="pl-PL"/>
        </w:rPr>
        <w:t>,</w:t>
      </w:r>
      <w:r w:rsidRPr="008A0C03">
        <w:rPr>
          <w:lang w:val="pl-PL"/>
        </w:rPr>
        <w:t xml:space="preserve"> po tym jak władze greckie oskarżyły go o podpalenie</w:t>
      </w:r>
      <w:r w:rsidR="00CE67D6">
        <w:rPr>
          <w:lang w:val="pl-PL"/>
        </w:rPr>
        <w:t>, został przez rzymską policję</w:t>
      </w:r>
      <w:r w:rsidR="00D060C7" w:rsidRPr="008A0C03">
        <w:rPr>
          <w:lang w:val="pl-PL"/>
        </w:rPr>
        <w:t xml:space="preserve"> </w:t>
      </w:r>
      <w:r w:rsidRPr="008A0C03">
        <w:rPr>
          <w:lang w:val="pl-PL"/>
        </w:rPr>
        <w:t xml:space="preserve">osadzony w areszcie do czasu ekstradycji na podstawie nakazu aresztowania wydanego </w:t>
      </w:r>
      <w:r w:rsidR="009A2E6C" w:rsidRPr="008A0C03">
        <w:rPr>
          <w:lang w:val="pl-PL"/>
        </w:rPr>
        <w:t>przez</w:t>
      </w:r>
      <w:r w:rsidR="00CE67D6">
        <w:rPr>
          <w:lang w:val="pl-PL"/>
        </w:rPr>
        <w:t xml:space="preserve"> a</w:t>
      </w:r>
      <w:r w:rsidRPr="008A0C03">
        <w:rPr>
          <w:lang w:val="pl-PL"/>
        </w:rPr>
        <w:t>teński Sąd Apelacyjny 26 stycznia 2005</w:t>
      </w:r>
      <w:r w:rsidR="00187BC0" w:rsidRPr="008A0C03">
        <w:rPr>
          <w:lang w:val="pl-PL"/>
        </w:rPr>
        <w:t xml:space="preserve"> roku</w:t>
      </w:r>
      <w:r w:rsidRPr="008A0C03">
        <w:rPr>
          <w:lang w:val="pl-PL"/>
        </w:rPr>
        <w:t xml:space="preserve"> na mocy Europejskiej Konwencji o Ekstradycji z 13 grudnia 1957 r</w:t>
      </w:r>
      <w:r w:rsidR="00187BC0" w:rsidRPr="008A0C03">
        <w:rPr>
          <w:lang w:val="pl-PL"/>
        </w:rPr>
        <w:t>oku</w:t>
      </w:r>
      <w:r w:rsidRPr="008A0C03">
        <w:rPr>
          <w:lang w:val="pl-PL"/>
        </w:rPr>
        <w:t xml:space="preserve">.  </w:t>
      </w:r>
    </w:p>
    <w:p w:rsidR="00626ADB" w:rsidRPr="008A0C03" w:rsidRDefault="00187BC0" w:rsidP="00626ADB">
      <w:pPr>
        <w:ind w:firstLine="284"/>
        <w:rPr>
          <w:lang w:val="pl-PL"/>
        </w:rPr>
      </w:pPr>
      <w:r w:rsidRPr="008A0C03">
        <w:rPr>
          <w:lang w:val="pl-PL"/>
        </w:rPr>
        <w:tab/>
        <w:t>9. Dnia 22 kwietnia 2005 roku</w:t>
      </w:r>
      <w:r w:rsidR="00626ADB" w:rsidRPr="008A0C03">
        <w:rPr>
          <w:lang w:val="pl-PL"/>
        </w:rPr>
        <w:t xml:space="preserve"> Sąd Apelacyjny w </w:t>
      </w:r>
      <w:proofErr w:type="spellStart"/>
      <w:r w:rsidR="00626ADB" w:rsidRPr="008A0C03">
        <w:rPr>
          <w:lang w:val="pl-PL"/>
        </w:rPr>
        <w:t>Aquili</w:t>
      </w:r>
      <w:proofErr w:type="spellEnd"/>
      <w:r w:rsidR="00626ADB" w:rsidRPr="008A0C03">
        <w:rPr>
          <w:lang w:val="pl-PL"/>
        </w:rPr>
        <w:t xml:space="preserve"> zatwierdził aresztowanie </w:t>
      </w:r>
      <w:r w:rsidR="00D060C7" w:rsidRPr="008A0C03">
        <w:rPr>
          <w:lang w:val="pl-PL"/>
        </w:rPr>
        <w:t>skarżącego</w:t>
      </w:r>
      <w:r w:rsidR="00626ADB" w:rsidRPr="008A0C03">
        <w:rPr>
          <w:lang w:val="pl-PL"/>
        </w:rPr>
        <w:t xml:space="preserve"> i nakazał jego zatrzymanie.</w:t>
      </w:r>
    </w:p>
    <w:p w:rsidR="00626ADB" w:rsidRPr="008A0C03" w:rsidRDefault="00626ADB" w:rsidP="00626ADB">
      <w:pPr>
        <w:ind w:firstLine="284"/>
        <w:rPr>
          <w:lang w:val="pl-PL"/>
        </w:rPr>
      </w:pPr>
      <w:r w:rsidRPr="008A0C03">
        <w:rPr>
          <w:lang w:val="pl-PL"/>
        </w:rPr>
        <w:tab/>
        <w:t xml:space="preserve">10. </w:t>
      </w:r>
      <w:r w:rsidR="00187BC0" w:rsidRPr="008A0C03">
        <w:rPr>
          <w:lang w:val="pl-PL"/>
        </w:rPr>
        <w:t xml:space="preserve">Dnia </w:t>
      </w:r>
      <w:r w:rsidRPr="008A0C03">
        <w:rPr>
          <w:lang w:val="pl-PL"/>
        </w:rPr>
        <w:t>26 kwietnia 2005</w:t>
      </w:r>
      <w:r w:rsidR="00187BC0" w:rsidRPr="008A0C03">
        <w:rPr>
          <w:lang w:val="pl-PL"/>
        </w:rPr>
        <w:t xml:space="preserve"> </w:t>
      </w:r>
      <w:r w:rsidRPr="008A0C03">
        <w:rPr>
          <w:lang w:val="pl-PL"/>
        </w:rPr>
        <w:t>r</w:t>
      </w:r>
      <w:r w:rsidR="00187BC0" w:rsidRPr="008A0C03">
        <w:rPr>
          <w:lang w:val="pl-PL"/>
        </w:rPr>
        <w:t>oku</w:t>
      </w:r>
      <w:r w:rsidRPr="008A0C03">
        <w:rPr>
          <w:lang w:val="pl-PL"/>
        </w:rPr>
        <w:t xml:space="preserve"> Minister </w:t>
      </w:r>
      <w:r w:rsidR="009A2E6C" w:rsidRPr="008A0C03">
        <w:rPr>
          <w:lang w:val="pl-PL"/>
        </w:rPr>
        <w:t>Sprawiedliwości</w:t>
      </w:r>
      <w:r w:rsidRPr="008A0C03">
        <w:rPr>
          <w:lang w:val="pl-PL"/>
        </w:rPr>
        <w:t xml:space="preserve"> </w:t>
      </w:r>
      <w:r w:rsidR="00D060C7" w:rsidRPr="008A0C03">
        <w:rPr>
          <w:lang w:val="pl-PL"/>
        </w:rPr>
        <w:t xml:space="preserve">zwrócił się do </w:t>
      </w:r>
      <w:r w:rsidRPr="008A0C03">
        <w:rPr>
          <w:lang w:val="pl-PL"/>
        </w:rPr>
        <w:t>Sad</w:t>
      </w:r>
      <w:r w:rsidR="00AA3412" w:rsidRPr="008A0C03">
        <w:rPr>
          <w:lang w:val="pl-PL"/>
        </w:rPr>
        <w:t>u Apelacyjnego</w:t>
      </w:r>
      <w:r w:rsidR="00CE67D6">
        <w:rPr>
          <w:lang w:val="pl-PL"/>
        </w:rPr>
        <w:t xml:space="preserve"> o przedłużenie aresztu dla</w:t>
      </w:r>
      <w:r w:rsidR="00D060C7" w:rsidRPr="008A0C03">
        <w:rPr>
          <w:lang w:val="pl-PL"/>
        </w:rPr>
        <w:t xml:space="preserve"> skarżącego</w:t>
      </w:r>
      <w:r w:rsidRPr="008A0C03">
        <w:rPr>
          <w:lang w:val="pl-PL"/>
        </w:rPr>
        <w:t>.</w:t>
      </w:r>
    </w:p>
    <w:p w:rsidR="00626ADB" w:rsidRPr="008A0C03" w:rsidRDefault="00626ADB" w:rsidP="00626ADB">
      <w:pPr>
        <w:ind w:firstLine="284"/>
        <w:rPr>
          <w:lang w:val="pl-PL"/>
        </w:rPr>
      </w:pPr>
      <w:r w:rsidRPr="008A0C03">
        <w:rPr>
          <w:lang w:val="pl-PL"/>
        </w:rPr>
        <w:tab/>
        <w:t>1</w:t>
      </w:r>
      <w:r w:rsidR="00187BC0" w:rsidRPr="008A0C03">
        <w:rPr>
          <w:lang w:val="pl-PL"/>
        </w:rPr>
        <w:t>1. W trakcie przesłuchania w dniu 27 kwietnia 2005 roku</w:t>
      </w:r>
      <w:r w:rsidRPr="008A0C03">
        <w:rPr>
          <w:lang w:val="pl-PL"/>
        </w:rPr>
        <w:t xml:space="preserve"> prezes Sadu Ape</w:t>
      </w:r>
      <w:r w:rsidR="00D060C7" w:rsidRPr="008A0C03">
        <w:rPr>
          <w:lang w:val="pl-PL"/>
        </w:rPr>
        <w:t>lacyjnego orzekając na mocy art.</w:t>
      </w:r>
      <w:r w:rsidRPr="008A0C03">
        <w:rPr>
          <w:lang w:val="pl-PL"/>
        </w:rPr>
        <w:t xml:space="preserve"> 717 Kodeksu</w:t>
      </w:r>
      <w:r w:rsidR="00CE67D6">
        <w:rPr>
          <w:lang w:val="pl-PL"/>
        </w:rPr>
        <w:t xml:space="preserve"> p</w:t>
      </w:r>
      <w:r w:rsidR="0090031B" w:rsidRPr="008A0C03">
        <w:rPr>
          <w:lang w:val="pl-PL"/>
        </w:rPr>
        <w:t>ostępowania</w:t>
      </w:r>
      <w:r w:rsidR="00CE67D6">
        <w:rPr>
          <w:lang w:val="pl-PL"/>
        </w:rPr>
        <w:t xml:space="preserve"> k</w:t>
      </w:r>
      <w:r w:rsidRPr="008A0C03">
        <w:rPr>
          <w:lang w:val="pl-PL"/>
        </w:rPr>
        <w:t xml:space="preserve">arnego (patrz paragraf 25 poniżej) ustalił tożsamość </w:t>
      </w:r>
      <w:r w:rsidR="00D060C7" w:rsidRPr="008A0C03">
        <w:rPr>
          <w:lang w:val="pl-PL"/>
        </w:rPr>
        <w:t>skarżącego</w:t>
      </w:r>
      <w:r w:rsidRPr="008A0C03">
        <w:rPr>
          <w:lang w:val="pl-PL"/>
        </w:rPr>
        <w:t xml:space="preserve"> oraz spytał go czy wyraża on zgodę na ekstradycję. Zgoda nie została wyrażona.</w:t>
      </w:r>
    </w:p>
    <w:p w:rsidR="00626ADB" w:rsidRPr="008A0C03" w:rsidRDefault="00187BC0" w:rsidP="00626ADB">
      <w:pPr>
        <w:ind w:firstLine="284"/>
        <w:rPr>
          <w:lang w:val="pl-PL"/>
        </w:rPr>
      </w:pPr>
      <w:r w:rsidRPr="008A0C03">
        <w:rPr>
          <w:lang w:val="pl-PL"/>
        </w:rPr>
        <w:tab/>
        <w:t>12.</w:t>
      </w:r>
      <w:r w:rsidR="00CE67D6">
        <w:rPr>
          <w:lang w:val="pl-PL"/>
        </w:rPr>
        <w:t xml:space="preserve"> </w:t>
      </w:r>
      <w:r w:rsidR="00626ADB" w:rsidRPr="008A0C03">
        <w:rPr>
          <w:lang w:val="pl-PL"/>
        </w:rPr>
        <w:t>Dnia 9 czerwca 2005 roku Minister Sprawiedliwości poinformował Sąd Apelacyjny, że w dniu 25 maja 2005 roku, władze greckie wysłały wniosek o ekstradycję wraz ze wszystkimi wymaganymi dokumentami uzupełniającymi.</w:t>
      </w:r>
    </w:p>
    <w:p w:rsidR="00626ADB" w:rsidRPr="008A0C03" w:rsidRDefault="00626ADB" w:rsidP="00626ADB">
      <w:pPr>
        <w:ind w:firstLine="284"/>
        <w:rPr>
          <w:lang w:val="pl-PL"/>
        </w:rPr>
      </w:pPr>
      <w:r w:rsidRPr="008A0C03">
        <w:rPr>
          <w:lang w:val="pl-PL"/>
        </w:rPr>
        <w:tab/>
        <w:t>13. W dniu 21 czerwca 2005 roku prokuratura zwróciła się do Sądu Apelacyjnego o pozytywne rozpatrzenie wniosku o ekstradycję.</w:t>
      </w:r>
    </w:p>
    <w:p w:rsidR="00626ADB" w:rsidRPr="008A0C03" w:rsidRDefault="00626ADB" w:rsidP="00626ADB">
      <w:pPr>
        <w:ind w:firstLine="284"/>
        <w:rPr>
          <w:lang w:val="pl-PL"/>
        </w:rPr>
      </w:pPr>
      <w:r w:rsidRPr="008A0C03">
        <w:rPr>
          <w:lang w:val="pl-PL"/>
        </w:rPr>
        <w:tab/>
        <w:t xml:space="preserve">14. </w:t>
      </w:r>
      <w:r w:rsidR="00EC701C" w:rsidRPr="008A0C03">
        <w:rPr>
          <w:lang w:val="pl-PL"/>
        </w:rPr>
        <w:t>Posiedzenie</w:t>
      </w:r>
      <w:r w:rsidR="00187BC0" w:rsidRPr="008A0C03">
        <w:rPr>
          <w:lang w:val="pl-PL"/>
        </w:rPr>
        <w:t xml:space="preserve"> zostało</w:t>
      </w:r>
      <w:r w:rsidRPr="008A0C03">
        <w:rPr>
          <w:lang w:val="pl-PL"/>
        </w:rPr>
        <w:t xml:space="preserve"> zaplanowan</w:t>
      </w:r>
      <w:r w:rsidR="00187BC0" w:rsidRPr="008A0C03">
        <w:rPr>
          <w:lang w:val="pl-PL"/>
        </w:rPr>
        <w:t>e</w:t>
      </w:r>
      <w:r w:rsidRPr="008A0C03">
        <w:rPr>
          <w:lang w:val="pl-PL"/>
        </w:rPr>
        <w:t xml:space="preserve"> na 15 grudnia 2005</w:t>
      </w:r>
      <w:r w:rsidR="00187BC0" w:rsidRPr="008A0C03">
        <w:rPr>
          <w:lang w:val="pl-PL"/>
        </w:rPr>
        <w:t xml:space="preserve"> roku</w:t>
      </w:r>
      <w:r w:rsidRPr="008A0C03">
        <w:rPr>
          <w:lang w:val="pl-PL"/>
        </w:rPr>
        <w:t xml:space="preserve">. Na wniosek pełnomocnika </w:t>
      </w:r>
      <w:r w:rsidR="00D060C7" w:rsidRPr="008A0C03">
        <w:rPr>
          <w:lang w:val="pl-PL"/>
        </w:rPr>
        <w:t>skarżącego</w:t>
      </w:r>
      <w:r w:rsidRPr="008A0C03">
        <w:rPr>
          <w:lang w:val="pl-PL"/>
        </w:rPr>
        <w:t>, został</w:t>
      </w:r>
      <w:r w:rsidR="00187BC0" w:rsidRPr="008A0C03">
        <w:rPr>
          <w:lang w:val="pl-PL"/>
        </w:rPr>
        <w:t>o przesunięte</w:t>
      </w:r>
      <w:r w:rsidRPr="008A0C03">
        <w:rPr>
          <w:lang w:val="pl-PL"/>
        </w:rPr>
        <w:t xml:space="preserve"> na 12 stycznia 2006 r</w:t>
      </w:r>
      <w:r w:rsidR="00187BC0" w:rsidRPr="008A0C03">
        <w:rPr>
          <w:lang w:val="pl-PL"/>
        </w:rPr>
        <w:t>oku.</w:t>
      </w:r>
    </w:p>
    <w:p w:rsidR="00626ADB" w:rsidRPr="008A0C03" w:rsidRDefault="00626ADB" w:rsidP="00626ADB">
      <w:pPr>
        <w:ind w:firstLine="284"/>
        <w:rPr>
          <w:lang w:val="pl-PL"/>
        </w:rPr>
      </w:pPr>
      <w:r w:rsidRPr="008A0C03">
        <w:rPr>
          <w:lang w:val="pl-PL"/>
        </w:rPr>
        <w:tab/>
        <w:t>15. Bez uprzedniego dochodzenia Sąd Apelacyjny zatwierdził ekstradycję  decyzją z dnia 12 stycznia 2006 roku, złożoną w dniu 30 stycznia 2006</w:t>
      </w:r>
      <w:r w:rsidR="00187BC0" w:rsidRPr="008A0C03">
        <w:rPr>
          <w:lang w:val="pl-PL"/>
        </w:rPr>
        <w:t xml:space="preserve"> roku</w:t>
      </w:r>
      <w:r w:rsidR="000A6008">
        <w:rPr>
          <w:lang w:val="pl-PL"/>
        </w:rPr>
        <w:t>. Sąd zweryfikował</w:t>
      </w:r>
      <w:r w:rsidRPr="008A0C03">
        <w:rPr>
          <w:lang w:val="pl-PL"/>
        </w:rPr>
        <w:t xml:space="preserve"> zgodność wniosku o ekstradycję z Europejską Konwencją o Ekstradycji,  z zasadą </w:t>
      </w:r>
      <w:proofErr w:type="spellStart"/>
      <w:r w:rsidRPr="008A0C03">
        <w:rPr>
          <w:i/>
          <w:lang w:val="pl-PL"/>
        </w:rPr>
        <w:t>ne</w:t>
      </w:r>
      <w:proofErr w:type="spellEnd"/>
      <w:r w:rsidRPr="008A0C03">
        <w:rPr>
          <w:i/>
          <w:lang w:val="pl-PL"/>
        </w:rPr>
        <w:t xml:space="preserve"> bis in </w:t>
      </w:r>
      <w:proofErr w:type="spellStart"/>
      <w:r w:rsidRPr="008A0C03">
        <w:rPr>
          <w:i/>
          <w:lang w:val="pl-PL"/>
        </w:rPr>
        <w:t>idem</w:t>
      </w:r>
      <w:proofErr w:type="spellEnd"/>
      <w:r w:rsidRPr="008A0C03">
        <w:rPr>
          <w:lang w:val="pl-PL"/>
        </w:rPr>
        <w:t xml:space="preserve"> oraz zasadą podw</w:t>
      </w:r>
      <w:r w:rsidR="000A6008">
        <w:rPr>
          <w:lang w:val="pl-PL"/>
        </w:rPr>
        <w:t>ójnej karalności oraz wykluczył</w:t>
      </w:r>
      <w:r w:rsidRPr="008A0C03">
        <w:rPr>
          <w:lang w:val="pl-PL"/>
        </w:rPr>
        <w:t xml:space="preserve"> możliwość,</w:t>
      </w:r>
      <w:r w:rsidR="009A2E6C" w:rsidRPr="008A0C03">
        <w:rPr>
          <w:lang w:val="pl-PL"/>
        </w:rPr>
        <w:t xml:space="preserve"> </w:t>
      </w:r>
      <w:r w:rsidR="000A6008">
        <w:rPr>
          <w:lang w:val="pl-PL"/>
        </w:rPr>
        <w:t xml:space="preserve"> aby</w:t>
      </w:r>
      <w:r w:rsidR="00393ABE" w:rsidRPr="008A0C03">
        <w:rPr>
          <w:lang w:val="pl-PL"/>
        </w:rPr>
        <w:t xml:space="preserve"> postępowanie zostało wni</w:t>
      </w:r>
      <w:r w:rsidR="00EC701C" w:rsidRPr="008A0C03">
        <w:rPr>
          <w:lang w:val="pl-PL"/>
        </w:rPr>
        <w:t>e</w:t>
      </w:r>
      <w:r w:rsidR="00393ABE" w:rsidRPr="008A0C03">
        <w:rPr>
          <w:lang w:val="pl-PL"/>
        </w:rPr>
        <w:t>sione</w:t>
      </w:r>
      <w:r w:rsidRPr="008A0C03">
        <w:rPr>
          <w:lang w:val="pl-PL"/>
        </w:rPr>
        <w:t xml:space="preserve"> z jakichkolwiek przyczyn dyskryminacyjnych lub politycznych.</w:t>
      </w:r>
    </w:p>
    <w:p w:rsidR="009A2E6C" w:rsidRPr="008A0C03" w:rsidRDefault="009A2E6C" w:rsidP="009A2E6C">
      <w:pPr>
        <w:ind w:firstLine="284"/>
        <w:rPr>
          <w:lang w:val="pl-PL"/>
        </w:rPr>
      </w:pPr>
      <w:r w:rsidRPr="008A0C03">
        <w:rPr>
          <w:lang w:val="pl-PL"/>
        </w:rPr>
        <w:t xml:space="preserve">16. W dniu 3 marca 2006 roku </w:t>
      </w:r>
      <w:r w:rsidR="00393ABE" w:rsidRPr="008A0C03">
        <w:rPr>
          <w:lang w:val="pl-PL"/>
        </w:rPr>
        <w:t>skarżący</w:t>
      </w:r>
      <w:r w:rsidRPr="008A0C03">
        <w:rPr>
          <w:lang w:val="pl-PL"/>
        </w:rPr>
        <w:t xml:space="preserve"> </w:t>
      </w:r>
      <w:r w:rsidR="00BA273E">
        <w:rPr>
          <w:lang w:val="pl-PL"/>
        </w:rPr>
        <w:t xml:space="preserve">wniósł </w:t>
      </w:r>
      <w:r w:rsidR="00477AA7">
        <w:rPr>
          <w:lang w:val="pl-PL"/>
        </w:rPr>
        <w:t>skargę kasacyjną</w:t>
      </w:r>
      <w:r w:rsidRPr="008A0C03">
        <w:rPr>
          <w:lang w:val="pl-PL"/>
        </w:rPr>
        <w:t xml:space="preserve">, twierdząc w szczególności, że wniosek o jego ekstradycję został wysłany przez władze </w:t>
      </w:r>
      <w:r w:rsidR="00BA273E">
        <w:rPr>
          <w:lang w:val="pl-PL"/>
        </w:rPr>
        <w:t>greckie po upływie czterdziesto</w:t>
      </w:r>
      <w:r w:rsidRPr="008A0C03">
        <w:rPr>
          <w:lang w:val="pl-PL"/>
        </w:rPr>
        <w:t>dni</w:t>
      </w:r>
      <w:r w:rsidR="00BA273E">
        <w:rPr>
          <w:lang w:val="pl-PL"/>
        </w:rPr>
        <w:t>owego terminu przewidzianego w a</w:t>
      </w:r>
      <w:r w:rsidRPr="008A0C03">
        <w:rPr>
          <w:lang w:val="pl-PL"/>
        </w:rPr>
        <w:t xml:space="preserve">rtykule 16 § 4 Europejskiej Konwencji o Ekstradycji, co oznaczało, że jego zdaniem aresztowanie było bezprawne. Skarżący dalej twierdził, że zarzuty postawione mu przez władze greckie nie były oparte na </w:t>
      </w:r>
      <w:r w:rsidRPr="008A0C03">
        <w:rPr>
          <w:lang w:val="pl-PL"/>
        </w:rPr>
        <w:lastRenderedPageBreak/>
        <w:t>poważnych przesłankach świadczących o  winie. Twierdził on, iż powinien zostać zwolniony.</w:t>
      </w:r>
    </w:p>
    <w:p w:rsidR="009A2E6C" w:rsidRPr="008A0C03" w:rsidRDefault="009A2E6C" w:rsidP="009A2E6C">
      <w:pPr>
        <w:ind w:firstLine="284"/>
        <w:rPr>
          <w:lang w:val="pl-PL"/>
        </w:rPr>
      </w:pPr>
      <w:r w:rsidRPr="008A0C03">
        <w:rPr>
          <w:lang w:val="pl-PL"/>
        </w:rPr>
        <w:tab/>
        <w:t>17. W wyroku z dnia 11 maja 2006</w:t>
      </w:r>
      <w:r w:rsidR="007441D4" w:rsidRPr="008A0C03">
        <w:rPr>
          <w:lang w:val="pl-PL"/>
        </w:rPr>
        <w:t xml:space="preserve"> roku</w:t>
      </w:r>
      <w:r w:rsidRPr="008A0C03">
        <w:rPr>
          <w:lang w:val="pl-PL"/>
        </w:rPr>
        <w:t xml:space="preserve">, złożonym w sekretariacie w dniu 18 września 2006 roku Sąd Kasacyjny oddalił </w:t>
      </w:r>
      <w:r w:rsidR="00393ABE" w:rsidRPr="008A0C03">
        <w:rPr>
          <w:lang w:val="pl-PL"/>
        </w:rPr>
        <w:t>skargę kasacyjną</w:t>
      </w:r>
      <w:r w:rsidRPr="008A0C03">
        <w:rPr>
          <w:lang w:val="pl-PL"/>
        </w:rPr>
        <w:t xml:space="preserve"> tylko jedną stroną uzasadnienia. W szczególności dlatego, iż okazało się, że wniosek o ekstradycję </w:t>
      </w:r>
      <w:r w:rsidR="00393ABE" w:rsidRPr="008A0C03">
        <w:rPr>
          <w:lang w:val="pl-PL"/>
        </w:rPr>
        <w:t>wpłynął</w:t>
      </w:r>
      <w:r w:rsidRPr="008A0C03">
        <w:rPr>
          <w:lang w:val="pl-PL"/>
        </w:rPr>
        <w:t xml:space="preserve"> w terminie przewidzianym w Europejskiej Konwencji o Ekstradycji</w:t>
      </w:r>
      <w:r w:rsidR="00477AA7">
        <w:rPr>
          <w:lang w:val="pl-PL"/>
        </w:rPr>
        <w:t>, a nadto, że</w:t>
      </w:r>
      <w:r w:rsidRPr="008A0C03">
        <w:rPr>
          <w:lang w:val="pl-PL"/>
        </w:rPr>
        <w:t xml:space="preserve"> Sąd Kasacyjny nie jest </w:t>
      </w:r>
      <w:r w:rsidR="001067B1" w:rsidRPr="008A0C03">
        <w:rPr>
          <w:lang w:val="pl-PL"/>
        </w:rPr>
        <w:t>właściwym</w:t>
      </w:r>
      <w:r w:rsidRPr="008A0C03">
        <w:rPr>
          <w:lang w:val="pl-PL"/>
        </w:rPr>
        <w:t xml:space="preserve"> organem do zbadania, czy</w:t>
      </w:r>
      <w:r w:rsidR="00477AA7">
        <w:rPr>
          <w:lang w:val="pl-PL"/>
        </w:rPr>
        <w:t xml:space="preserve"> przedstawiono</w:t>
      </w:r>
      <w:r w:rsidRPr="008A0C03">
        <w:rPr>
          <w:lang w:val="pl-PL"/>
        </w:rPr>
        <w:t xml:space="preserve"> poważne prze</w:t>
      </w:r>
      <w:r w:rsidR="00477AA7">
        <w:rPr>
          <w:lang w:val="pl-PL"/>
        </w:rPr>
        <w:t>słanki</w:t>
      </w:r>
      <w:r w:rsidR="00A05791">
        <w:rPr>
          <w:lang w:val="pl-PL"/>
        </w:rPr>
        <w:t xml:space="preserve"> dotyczące</w:t>
      </w:r>
      <w:r w:rsidR="00477AA7">
        <w:rPr>
          <w:lang w:val="pl-PL"/>
        </w:rPr>
        <w:t xml:space="preserve"> winy</w:t>
      </w:r>
      <w:r w:rsidRPr="008A0C03">
        <w:rPr>
          <w:lang w:val="pl-PL"/>
        </w:rPr>
        <w:t>.</w:t>
      </w:r>
    </w:p>
    <w:p w:rsidR="009A2E6C" w:rsidRPr="008A0C03" w:rsidRDefault="00A05791" w:rsidP="009A2E6C">
      <w:pPr>
        <w:ind w:firstLine="284"/>
        <w:rPr>
          <w:lang w:val="pl-PL"/>
        </w:rPr>
      </w:pPr>
      <w:r>
        <w:rPr>
          <w:lang w:val="pl-PL"/>
        </w:rPr>
        <w:tab/>
        <w:t>18. W międzyczasie</w:t>
      </w:r>
      <w:r w:rsidR="009A2E6C" w:rsidRPr="008A0C03">
        <w:rPr>
          <w:lang w:val="pl-PL"/>
        </w:rPr>
        <w:t xml:space="preserve"> skarżący trzykrotnie, w okresie od czerwca do września 2005 roku, złożył wniosek do Sądu Apelacyjnego w Rzymie, celem zwo</w:t>
      </w:r>
      <w:r w:rsidR="00063B88">
        <w:rPr>
          <w:lang w:val="pl-PL"/>
        </w:rPr>
        <w:t>lnienia z aresztu, co okazało się bezskuteczne</w:t>
      </w:r>
      <w:r w:rsidR="009A2E6C" w:rsidRPr="008A0C03">
        <w:rPr>
          <w:lang w:val="pl-PL"/>
        </w:rPr>
        <w:t>. W swojej ostatniej decyzji z dnia 27 października 2005 roku, przyjętej na posiedzeniu niejawnym zgodnie z zasadą kontradyktoryjności i bez uprzedniego dochodzenia, Sąd Apelacyjny uznał, że nie było żadnego powodu, aby odstąpić od dwóch poprzednich  decyzji oddalających wnioski</w:t>
      </w:r>
      <w:r w:rsidR="00155E96" w:rsidRPr="008A0C03">
        <w:rPr>
          <w:lang w:val="pl-PL"/>
        </w:rPr>
        <w:t xml:space="preserve"> </w:t>
      </w:r>
      <w:r w:rsidR="00725111">
        <w:rPr>
          <w:lang w:val="pl-PL"/>
        </w:rPr>
        <w:t>skarżącego, uwzględniając</w:t>
      </w:r>
      <w:r w:rsidR="009A2E6C" w:rsidRPr="008A0C03">
        <w:rPr>
          <w:lang w:val="pl-PL"/>
        </w:rPr>
        <w:t xml:space="preserve"> przy tym  ryzyko ewentualnej ucieczki </w:t>
      </w:r>
      <w:r w:rsidR="00155E96" w:rsidRPr="008A0C03">
        <w:rPr>
          <w:lang w:val="pl-PL"/>
        </w:rPr>
        <w:t>skarżącego</w:t>
      </w:r>
      <w:r w:rsidR="009A2E6C" w:rsidRPr="008A0C03">
        <w:rPr>
          <w:lang w:val="pl-PL"/>
        </w:rPr>
        <w:t xml:space="preserve"> z kraju, choć wła</w:t>
      </w:r>
      <w:r w:rsidR="00725111">
        <w:rPr>
          <w:lang w:val="pl-PL"/>
        </w:rPr>
        <w:t>dze pozbawiły go paszportu, a także deklarację P</w:t>
      </w:r>
      <w:r w:rsidR="009A2E6C" w:rsidRPr="008A0C03">
        <w:rPr>
          <w:lang w:val="pl-PL"/>
        </w:rPr>
        <w:t>aństwa do przestrzegania swoich zobowiązań międzynarodowych.</w:t>
      </w:r>
    </w:p>
    <w:p w:rsidR="009A2E6C" w:rsidRPr="008A0C03" w:rsidRDefault="009A2E6C" w:rsidP="009A2E6C">
      <w:pPr>
        <w:ind w:firstLine="284"/>
        <w:rPr>
          <w:lang w:val="pl-PL"/>
        </w:rPr>
      </w:pPr>
      <w:r w:rsidRPr="008A0C03">
        <w:rPr>
          <w:lang w:val="pl-PL"/>
        </w:rPr>
        <w:tab/>
        <w:t>19. W dniu 9 października 2006 roku Minister Sprawiedliwości podpisał nakaz ekstradycji.</w:t>
      </w:r>
    </w:p>
    <w:p w:rsidR="009A2E6C" w:rsidRPr="008A0C03" w:rsidRDefault="009A2E6C" w:rsidP="009A2E6C">
      <w:pPr>
        <w:ind w:firstLine="284"/>
        <w:rPr>
          <w:lang w:val="pl-PL"/>
        </w:rPr>
      </w:pPr>
      <w:r w:rsidRPr="008A0C03">
        <w:rPr>
          <w:lang w:val="pl-PL"/>
        </w:rPr>
        <w:tab/>
        <w:t>20. W dniu 26 października 2006 roku skarżący został poddany ekstradycji do Grecji.</w:t>
      </w:r>
    </w:p>
    <w:p w:rsidR="009A2E6C" w:rsidRPr="008A0C03" w:rsidRDefault="009A2E6C" w:rsidP="009A2E6C">
      <w:pPr>
        <w:ind w:firstLine="284"/>
        <w:rPr>
          <w:lang w:val="pl-PL"/>
        </w:rPr>
      </w:pPr>
    </w:p>
    <w:p w:rsidR="009A2E6C" w:rsidRPr="008A0C03" w:rsidRDefault="009A2E6C" w:rsidP="009A2E6C">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r w:rsidRPr="008A0C03">
        <w:rPr>
          <w:rFonts w:asciiTheme="majorHAnsi" w:eastAsiaTheme="majorEastAsia" w:hAnsiTheme="majorHAnsi" w:cstheme="majorBidi"/>
          <w:bCs/>
          <w:szCs w:val="28"/>
          <w:lang w:val="pl-PL"/>
        </w:rPr>
        <w:t xml:space="preserve">II. WŁAŚCIWY MIEDZYNARODOWY </w:t>
      </w:r>
      <w:r w:rsidR="00155E96" w:rsidRPr="008A0C03">
        <w:rPr>
          <w:rFonts w:asciiTheme="majorHAnsi" w:eastAsiaTheme="majorEastAsia" w:hAnsiTheme="majorHAnsi" w:cstheme="majorBidi"/>
          <w:bCs/>
          <w:szCs w:val="28"/>
          <w:lang w:val="pl-PL"/>
        </w:rPr>
        <w:t>ŚRODEK</w:t>
      </w:r>
      <w:r w:rsidRPr="008A0C03">
        <w:rPr>
          <w:rFonts w:asciiTheme="majorHAnsi" w:eastAsiaTheme="majorEastAsia" w:hAnsiTheme="majorHAnsi" w:cstheme="majorBidi"/>
          <w:bCs/>
          <w:szCs w:val="28"/>
          <w:lang w:val="pl-PL"/>
        </w:rPr>
        <w:t xml:space="preserve"> PRAWNY</w:t>
      </w:r>
    </w:p>
    <w:p w:rsidR="009A2E6C" w:rsidRPr="008A0C03" w:rsidRDefault="009A2E6C" w:rsidP="009A2E6C">
      <w:pPr>
        <w:pStyle w:val="Textbody"/>
        <w:tabs>
          <w:tab w:val="left" w:pos="283"/>
        </w:tabs>
        <w:rPr>
          <w:rFonts w:ascii="Arial" w:hAnsi="Arial"/>
          <w:sz w:val="21"/>
          <w:szCs w:val="21"/>
        </w:rPr>
      </w:pPr>
    </w:p>
    <w:p w:rsidR="009A2E6C" w:rsidRPr="008A0C03" w:rsidRDefault="009A2E6C" w:rsidP="009A2E6C">
      <w:pPr>
        <w:ind w:firstLine="284"/>
        <w:rPr>
          <w:lang w:val="pl-PL"/>
        </w:rPr>
      </w:pPr>
      <w:r w:rsidRPr="008A0C03">
        <w:rPr>
          <w:rFonts w:ascii="Arial" w:hAnsi="Arial"/>
          <w:sz w:val="21"/>
          <w:szCs w:val="21"/>
          <w:lang w:val="pl-PL"/>
        </w:rPr>
        <w:tab/>
      </w:r>
      <w:r w:rsidRPr="008A0C03">
        <w:rPr>
          <w:lang w:val="pl-PL"/>
        </w:rPr>
        <w:t>21.Europejska Konwencja o Ekstradycji, podpisana w Paryżu dnia 13 grudnia 1957 roku, a ratyfikowana przez Włochy ustawą nr 300 z dnia 30 stycznia 1963 roku weszła w życie w odniesieniu do Włoch w dniu 4 listopada 1963 roku</w:t>
      </w:r>
      <w:r w:rsidR="00C6132A">
        <w:rPr>
          <w:lang w:val="pl-PL"/>
        </w:rPr>
        <w:t>. Z</w:t>
      </w:r>
      <w:r w:rsidRPr="008A0C03">
        <w:rPr>
          <w:lang w:val="pl-PL"/>
        </w:rPr>
        <w:t>ostał</w:t>
      </w:r>
      <w:r w:rsidR="00C6132A">
        <w:rPr>
          <w:lang w:val="pl-PL"/>
        </w:rPr>
        <w:t>a ona</w:t>
      </w:r>
      <w:r w:rsidRPr="008A0C03">
        <w:rPr>
          <w:lang w:val="pl-PL"/>
        </w:rPr>
        <w:t xml:space="preserve"> zmieniona Drugim Protokołem dodatkowym podpisanym w dniu 17 marca 1978</w:t>
      </w:r>
      <w:r w:rsidR="007441D4" w:rsidRPr="008A0C03">
        <w:rPr>
          <w:lang w:val="pl-PL"/>
        </w:rPr>
        <w:t xml:space="preserve"> roku</w:t>
      </w:r>
      <w:r w:rsidRPr="008A0C03">
        <w:rPr>
          <w:lang w:val="pl-PL"/>
        </w:rPr>
        <w:t>, który  wszedł w życie w odniesieniu do Włoch w dniu 23 kwietnia 1985</w:t>
      </w:r>
      <w:r w:rsidR="007441D4" w:rsidRPr="008A0C03">
        <w:rPr>
          <w:lang w:val="pl-PL"/>
        </w:rPr>
        <w:t xml:space="preserve"> roku</w:t>
      </w:r>
      <w:r w:rsidRPr="008A0C03">
        <w:rPr>
          <w:lang w:val="pl-PL"/>
        </w:rPr>
        <w:t>. Odpowiednie przepisy z ich późniejszymi zmianami stanowią:</w:t>
      </w:r>
    </w:p>
    <w:p w:rsidR="009A2E6C" w:rsidRPr="008A0C03" w:rsidRDefault="009A2E6C" w:rsidP="009A2E6C">
      <w:pPr>
        <w:ind w:firstLine="284"/>
        <w:rPr>
          <w:lang w:val="pl-PL"/>
        </w:rPr>
      </w:pPr>
    </w:p>
    <w:p w:rsidR="009A2E6C" w:rsidRPr="008A0C03" w:rsidRDefault="009A2E6C" w:rsidP="009A2E6C">
      <w:pPr>
        <w:pStyle w:val="ECHRTitleCentre3"/>
        <w:rPr>
          <w:lang w:val="pl-PL"/>
        </w:rPr>
      </w:pPr>
      <w:r w:rsidRPr="008A0C03">
        <w:rPr>
          <w:lang w:val="pl-PL"/>
        </w:rPr>
        <w:t>Artykuł 8</w:t>
      </w:r>
    </w:p>
    <w:p w:rsidR="009A2E6C" w:rsidRPr="008A0C03" w:rsidRDefault="009A2E6C" w:rsidP="009A2E6C">
      <w:pPr>
        <w:pStyle w:val="ECHRTitleCentre3"/>
        <w:rPr>
          <w:lang w:val="pl-PL"/>
        </w:rPr>
      </w:pPr>
      <w:r w:rsidRPr="008A0C03">
        <w:rPr>
          <w:lang w:val="pl-PL"/>
        </w:rPr>
        <w:t>Ściganie za to samo przestępstwo</w:t>
      </w:r>
    </w:p>
    <w:p w:rsidR="009A2E6C" w:rsidRPr="008A0C03" w:rsidRDefault="009A2E6C" w:rsidP="009A2E6C">
      <w:pPr>
        <w:pStyle w:val="JuQuotSub"/>
        <w:rPr>
          <w:lang w:val="pl-PL" w:bidi="en-US"/>
        </w:rPr>
      </w:pPr>
      <w:r w:rsidRPr="008A0C03">
        <w:rPr>
          <w:lang w:val="pl-PL" w:bidi="en-US"/>
        </w:rPr>
        <w:t>„Strona wezwana może odmówić wydania osoby, jeżeli właściwe organy tej Strony wszczęły przeciwko niej postępowanie o przestępstwo lub przestępstwa stanowiące podstawę wniosku.”</w:t>
      </w:r>
    </w:p>
    <w:p w:rsidR="009A2E6C" w:rsidRPr="008A0C03" w:rsidRDefault="009A2E6C" w:rsidP="009A2E6C">
      <w:pPr>
        <w:pStyle w:val="ECHRTitleCentre3"/>
        <w:rPr>
          <w:lang w:val="pl-PL"/>
        </w:rPr>
      </w:pPr>
      <w:r w:rsidRPr="008A0C03">
        <w:rPr>
          <w:lang w:val="pl-PL"/>
        </w:rPr>
        <w:lastRenderedPageBreak/>
        <w:t>Artykuł 9</w:t>
      </w:r>
    </w:p>
    <w:p w:rsidR="009A2E6C" w:rsidRPr="008A0C03" w:rsidRDefault="009A2E6C" w:rsidP="009A2E6C">
      <w:pPr>
        <w:pStyle w:val="ECHRTitleCentre3"/>
        <w:rPr>
          <w:i/>
          <w:lang w:val="pl-PL"/>
        </w:rPr>
      </w:pPr>
      <w:r w:rsidRPr="008A0C03">
        <w:rPr>
          <w:i/>
          <w:lang w:val="pl-PL"/>
        </w:rPr>
        <w:t xml:space="preserve">Ne bis in </w:t>
      </w:r>
      <w:proofErr w:type="spellStart"/>
      <w:r w:rsidRPr="008A0C03">
        <w:rPr>
          <w:i/>
          <w:lang w:val="pl-PL"/>
        </w:rPr>
        <w:t>idem</w:t>
      </w:r>
      <w:proofErr w:type="spellEnd"/>
    </w:p>
    <w:p w:rsidR="009A2E6C" w:rsidRPr="008A0C03" w:rsidRDefault="009A2E6C" w:rsidP="009A2E6C">
      <w:pPr>
        <w:pStyle w:val="JuQuotSub"/>
        <w:rPr>
          <w:lang w:val="pl-PL" w:bidi="en-US"/>
        </w:rPr>
      </w:pPr>
      <w:r w:rsidRPr="008A0C03">
        <w:rPr>
          <w:lang w:val="pl-PL" w:bidi="en-US"/>
        </w:rPr>
        <w:t>“Odmawia się wydania, jeżeli wobec osoby, której dotyczy wniosek, zapadło prawomocne orzeczenie właściwych organów Strony wezwanej, dotyczące przestępstwa lub przestępstw, w związku z którymi żąda się wydania. Można odmówić wydania, jeżeli właściwe organy Strony wezwanej zdecydowały o niewszczynaniu postępowania lub o jego umorzeniu w związku z tym lub tymi samymi przestępstwami.”</w:t>
      </w:r>
    </w:p>
    <w:p w:rsidR="009A2E6C" w:rsidRPr="008A0C03" w:rsidRDefault="009A2E6C" w:rsidP="009A2E6C">
      <w:pPr>
        <w:pStyle w:val="ECHRTitleCentre3"/>
        <w:rPr>
          <w:lang w:val="pl-PL"/>
        </w:rPr>
      </w:pPr>
      <w:r w:rsidRPr="008A0C03">
        <w:rPr>
          <w:lang w:val="pl-PL"/>
        </w:rPr>
        <w:t>Artykuł 12</w:t>
      </w:r>
    </w:p>
    <w:p w:rsidR="009A2E6C" w:rsidRPr="008A0C03" w:rsidRDefault="009A2E6C" w:rsidP="009A2E6C">
      <w:pPr>
        <w:pStyle w:val="ECHRTitleCentre3"/>
        <w:rPr>
          <w:lang w:val="pl-PL"/>
        </w:rPr>
      </w:pPr>
      <w:r w:rsidRPr="008A0C03">
        <w:rPr>
          <w:lang w:val="pl-PL"/>
        </w:rPr>
        <w:t>Wniosek i załączone dokumenty</w:t>
      </w:r>
    </w:p>
    <w:p w:rsidR="009A2E6C" w:rsidRPr="008A0C03" w:rsidRDefault="009A2E6C" w:rsidP="009A2E6C">
      <w:pPr>
        <w:pStyle w:val="JuQuotSub"/>
        <w:rPr>
          <w:lang w:val="pl-PL" w:bidi="en-US"/>
        </w:rPr>
      </w:pPr>
      <w:r w:rsidRPr="008A0C03">
        <w:rPr>
          <w:lang w:val="pl-PL" w:bidi="en-US"/>
        </w:rPr>
        <w:t>„1. Wniosek sporządza się na piśmie i przekazuje w drodze dyplomatycznej. Dwie lub więcej Stron może bezpośrednio uzgodnić między sobą inny sposób porozumiewania się.</w:t>
      </w:r>
    </w:p>
    <w:p w:rsidR="009A2E6C" w:rsidRPr="008A0C03" w:rsidRDefault="009A2E6C" w:rsidP="009A2E6C">
      <w:pPr>
        <w:pStyle w:val="JuQuotSub"/>
        <w:rPr>
          <w:lang w:val="pl-PL" w:bidi="en-US"/>
        </w:rPr>
      </w:pPr>
      <w:r w:rsidRPr="008A0C03">
        <w:rPr>
          <w:lang w:val="pl-PL" w:bidi="en-US"/>
        </w:rPr>
        <w:t>2. Do wniosku dołącza się:</w:t>
      </w:r>
    </w:p>
    <w:p w:rsidR="009A2E6C" w:rsidRPr="008A0C03" w:rsidRDefault="009A2E6C" w:rsidP="009A2E6C">
      <w:pPr>
        <w:pStyle w:val="JuQuotSub"/>
        <w:rPr>
          <w:lang w:val="pl-PL" w:bidi="en-US"/>
        </w:rPr>
      </w:pPr>
      <w:r w:rsidRPr="008A0C03">
        <w:rPr>
          <w:lang w:val="pl-PL" w:bidi="en-US"/>
        </w:rPr>
        <w:t>a)</w:t>
      </w:r>
      <w:r w:rsidRPr="008A0C03">
        <w:rPr>
          <w:lang w:val="pl-PL" w:bidi="en-US"/>
        </w:rPr>
        <w:tab/>
        <w:t>oryginał lub uwierzytelniony odpis podlegającego wykonaniu orzeczenia skazującego lub o zastosowaniu środka zabezpieczającego albo innego dokumentu mającego taką samą moc prawną, wydanego w formie określonej przez prawo Strony wzywającej;</w:t>
      </w:r>
    </w:p>
    <w:p w:rsidR="009A2E6C" w:rsidRPr="008A0C03" w:rsidRDefault="009A2E6C" w:rsidP="009A2E6C">
      <w:pPr>
        <w:pStyle w:val="JuQuotSub"/>
        <w:rPr>
          <w:lang w:val="pl-PL" w:bidi="en-US"/>
        </w:rPr>
      </w:pPr>
      <w:r w:rsidRPr="008A0C03">
        <w:rPr>
          <w:lang w:val="pl-PL" w:bidi="en-US"/>
        </w:rPr>
        <w:t>b)</w:t>
      </w:r>
      <w:r w:rsidRPr="008A0C03">
        <w:rPr>
          <w:lang w:val="pl-PL" w:bidi="en-US"/>
        </w:rPr>
        <w:tab/>
        <w:t>opis czynów faktycznych, w związku z którymi wnioskuje się o wydanie. Czas i miejsce popełnienia czynów, ich kwalifikacja prawna oraz wskazanie przepisów prawnych mających zastosowanie powinny być podane możliwie dokładnie; oraz</w:t>
      </w:r>
    </w:p>
    <w:p w:rsidR="009A2E6C" w:rsidRPr="008A0C03" w:rsidRDefault="009A2E6C" w:rsidP="009A2E6C">
      <w:pPr>
        <w:pStyle w:val="JuQuotSub"/>
        <w:rPr>
          <w:lang w:val="pl-PL" w:bidi="en-US"/>
        </w:rPr>
      </w:pPr>
      <w:r w:rsidRPr="008A0C03">
        <w:rPr>
          <w:lang w:val="pl-PL" w:bidi="en-US"/>
        </w:rPr>
        <w:t>kopię przepisów prawnych mających zastosowanie lub, jeżeli nie jest to możliwe, oświadczenie na temat prawa mającego zastosowanie, jak również możliwie dokładne dane osoby, której wydania żąda się, oraz wszelkie inne informacje pomocne dla ustalenia jej tożsamości i obywatelstwa.”</w:t>
      </w:r>
    </w:p>
    <w:p w:rsidR="009A2E6C" w:rsidRPr="008A0C03" w:rsidRDefault="009A2E6C" w:rsidP="009A2E6C">
      <w:pPr>
        <w:pStyle w:val="Standard"/>
        <w:tabs>
          <w:tab w:val="left" w:pos="680"/>
        </w:tabs>
        <w:ind w:left="680" w:hanging="273"/>
        <w:jc w:val="both"/>
        <w:rPr>
          <w:rFonts w:ascii="Arial" w:eastAsia="Verdana" w:hAnsi="Arial" w:cs="Verdana"/>
          <w:sz w:val="21"/>
          <w:szCs w:val="21"/>
        </w:rPr>
      </w:pPr>
    </w:p>
    <w:p w:rsidR="009A2E6C" w:rsidRPr="008A0C03" w:rsidRDefault="009A2E6C" w:rsidP="009A2E6C">
      <w:pPr>
        <w:pStyle w:val="Standard"/>
        <w:tabs>
          <w:tab w:val="left" w:pos="680"/>
        </w:tabs>
        <w:ind w:left="680" w:hanging="273"/>
        <w:jc w:val="both"/>
        <w:rPr>
          <w:rFonts w:ascii="Arial" w:eastAsia="Verdana" w:hAnsi="Arial" w:cs="Verdana"/>
          <w:sz w:val="21"/>
          <w:szCs w:val="21"/>
        </w:rPr>
      </w:pPr>
    </w:p>
    <w:p w:rsidR="009A2E6C" w:rsidRPr="008A0C03" w:rsidRDefault="009A2E6C" w:rsidP="009A2E6C">
      <w:pPr>
        <w:pStyle w:val="ECHRTitleCentre3"/>
        <w:rPr>
          <w:lang w:val="pl-PL"/>
        </w:rPr>
      </w:pPr>
      <w:r w:rsidRPr="008A0C03">
        <w:rPr>
          <w:lang w:val="pl-PL"/>
        </w:rPr>
        <w:t>Artykuł 16</w:t>
      </w:r>
    </w:p>
    <w:p w:rsidR="009A2E6C" w:rsidRPr="008A0C03" w:rsidRDefault="009A2E6C" w:rsidP="009A2E6C">
      <w:pPr>
        <w:pStyle w:val="ECHRTitleCentre3"/>
        <w:rPr>
          <w:lang w:val="pl-PL"/>
        </w:rPr>
      </w:pPr>
      <w:r w:rsidRPr="008A0C03">
        <w:rPr>
          <w:lang w:val="pl-PL"/>
        </w:rPr>
        <w:t>Tymczasowe aresztowanie</w:t>
      </w:r>
    </w:p>
    <w:p w:rsidR="009A2E6C" w:rsidRPr="008A0C03" w:rsidRDefault="009A2E6C" w:rsidP="009A2E6C">
      <w:pPr>
        <w:pStyle w:val="JuQuotSub"/>
        <w:rPr>
          <w:lang w:val="pl-PL" w:bidi="en-US"/>
        </w:rPr>
      </w:pPr>
      <w:r w:rsidRPr="008A0C03">
        <w:rPr>
          <w:rFonts w:ascii="Arial" w:eastAsia="Verdana" w:hAnsi="Arial" w:cs="Verdana"/>
          <w:sz w:val="18"/>
          <w:szCs w:val="18"/>
          <w:lang w:val="pl-PL"/>
        </w:rPr>
        <w:t>„</w:t>
      </w:r>
      <w:r w:rsidRPr="008A0C03">
        <w:rPr>
          <w:lang w:val="pl-PL" w:bidi="en-US"/>
        </w:rPr>
        <w:t>1.W nagłych wypadkach właściwe organy Strony wzywającej mogą zwrócić się z wnioskiem o tymczasowe aresztowanie poszukiwanej osoby. Właściwe organy Strony wezwanej podejmą decyzję w sprawie wniosku, zgodnie ze swym prawem wewnętrznym.</w:t>
      </w:r>
    </w:p>
    <w:p w:rsidR="009A2E6C" w:rsidRPr="008A0C03" w:rsidRDefault="009A2E6C" w:rsidP="009A2E6C">
      <w:pPr>
        <w:pStyle w:val="JuQuotSub"/>
        <w:rPr>
          <w:lang w:val="pl-PL" w:bidi="en-US"/>
        </w:rPr>
      </w:pPr>
      <w:r w:rsidRPr="008A0C03">
        <w:rPr>
          <w:lang w:val="pl-PL" w:bidi="en-US"/>
        </w:rPr>
        <w:t>2. Wniosek o tymczasowe aresztowanie powinien wskazywać na istnienie dokumentów określonych w artykule 12 ustęp 2 punkt (a) i zawiadamiać o zamiarze wystąpienia z wnioskiem o wydanie; wniosek powinien także określać przestępstwo, w związku z którym będzie żądać się wydania, miejsce i czas jego popełnienia, jak również zawierać wszelkie dostępne dane poszukiwanej osoby.</w:t>
      </w:r>
    </w:p>
    <w:p w:rsidR="009A2E6C" w:rsidRPr="008A0C03" w:rsidRDefault="009A2E6C" w:rsidP="009A2E6C">
      <w:pPr>
        <w:pStyle w:val="JuQuotSub"/>
        <w:rPr>
          <w:lang w:val="pl-PL" w:bidi="en-US"/>
        </w:rPr>
      </w:pPr>
      <w:r w:rsidRPr="008A0C03">
        <w:rPr>
          <w:lang w:val="pl-PL" w:bidi="en-US"/>
        </w:rPr>
        <w:t xml:space="preserve">3. Wniosek o tymczasowe aresztowanie będzie przekazany właściwym organom Strony wezwanej w drodze dyplomatycznej bądź bezpośrednio drogą pocztową lub telegraficzną, lub za pośrednictwem Międzynarodowej Organizacji Policji </w:t>
      </w:r>
      <w:r w:rsidRPr="008A0C03">
        <w:rPr>
          <w:lang w:val="pl-PL" w:bidi="en-US"/>
        </w:rPr>
        <w:lastRenderedPageBreak/>
        <w:t>Kryminalnej (Interpol) albo w jakikolwiek inny, udokumentowany na piśmie sposób lub zaakceptowany przez Stronę wezwaną. Organ wzywający zostanie niezwłocznie poinformowany o sposobie załatwienia wniosku.</w:t>
      </w:r>
    </w:p>
    <w:p w:rsidR="009A2E6C" w:rsidRPr="008A0C03" w:rsidRDefault="009A2E6C" w:rsidP="009A2E6C">
      <w:pPr>
        <w:pStyle w:val="JuQuotSub"/>
        <w:rPr>
          <w:lang w:val="pl-PL" w:bidi="en-US"/>
        </w:rPr>
      </w:pPr>
      <w:r w:rsidRPr="008A0C03">
        <w:rPr>
          <w:lang w:val="pl-PL" w:bidi="en-US"/>
        </w:rPr>
        <w:t>4. Tymczasowe aresztowanie może być zakończone, jeżeli w ciągu 18 dni od chwili aresztowania Strona wezwana nie otrzyma wniosku o wydanie oraz dokumentów określonych w artykule 12. Okres takiego aresztowania w żadnym wypadku nie może przekroczyć 40 dni licząc od daty aresztowania. Tymczasowe zwolnienie jest jednak dopuszczalne w każdym czasie, jeśli Strona wezwana podejmie wszelkie niezbędne, jej zdaniem, środki dla zapobieżenia ucieczce osoby, której dotyczy wniosek.</w:t>
      </w:r>
    </w:p>
    <w:p w:rsidR="009A2E6C" w:rsidRPr="008A0C03" w:rsidRDefault="009A2E6C" w:rsidP="009A2E6C">
      <w:pPr>
        <w:pStyle w:val="JuQuotSub"/>
        <w:rPr>
          <w:lang w:val="pl-PL" w:bidi="en-US"/>
        </w:rPr>
      </w:pPr>
      <w:r w:rsidRPr="008A0C03">
        <w:rPr>
          <w:lang w:val="pl-PL" w:bidi="en-US"/>
        </w:rPr>
        <w:t>5. Zwolnienie nie stoi na przeszkodzie ponownemu aresztowaniu osoby i jej wydaniu, jeżeli wniosek o jej wydanie wpłynie w terminie późniejszym”</w:t>
      </w:r>
    </w:p>
    <w:p w:rsidR="009A2E6C" w:rsidRPr="008A0C03" w:rsidRDefault="009A2E6C" w:rsidP="009A2E6C">
      <w:pPr>
        <w:rPr>
          <w:lang w:val="pl-PL"/>
        </w:rPr>
      </w:pPr>
    </w:p>
    <w:p w:rsidR="009A2E6C" w:rsidRPr="008A0C03" w:rsidRDefault="009A2E6C" w:rsidP="009A2E6C">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r w:rsidRPr="008A0C03">
        <w:rPr>
          <w:rFonts w:asciiTheme="majorHAnsi" w:eastAsiaTheme="majorEastAsia" w:hAnsiTheme="majorHAnsi" w:cstheme="majorBidi"/>
          <w:bCs/>
          <w:szCs w:val="28"/>
          <w:lang w:val="pl-PL"/>
        </w:rPr>
        <w:t>III. PRAWO KRAJOWE I PRAKTYKA</w:t>
      </w:r>
    </w:p>
    <w:p w:rsidR="009A2E6C" w:rsidRPr="008A0C03" w:rsidRDefault="009A2E6C" w:rsidP="009A2E6C">
      <w:pPr>
        <w:pStyle w:val="Standard"/>
        <w:tabs>
          <w:tab w:val="left" w:pos="0"/>
        </w:tabs>
        <w:ind w:firstLine="426"/>
        <w:jc w:val="both"/>
        <w:rPr>
          <w:rFonts w:ascii="Arial" w:eastAsia="Verdana" w:hAnsi="Arial" w:cs="Verdana"/>
          <w:sz w:val="21"/>
          <w:szCs w:val="21"/>
        </w:rPr>
      </w:pPr>
    </w:p>
    <w:p w:rsidR="009A2E6C" w:rsidRPr="008A0C03" w:rsidRDefault="009A2E6C" w:rsidP="00F005E6">
      <w:pPr>
        <w:ind w:firstLine="284"/>
        <w:rPr>
          <w:lang w:val="pl-PL"/>
        </w:rPr>
      </w:pPr>
      <w:r w:rsidRPr="008A0C03">
        <w:rPr>
          <w:lang w:val="pl-PL"/>
        </w:rPr>
        <w:t>22. Jeśli chodzi o stosowanie środków zapobi</w:t>
      </w:r>
      <w:r w:rsidR="00C84E27">
        <w:rPr>
          <w:lang w:val="pl-PL"/>
        </w:rPr>
        <w:t>egawczych, a</w:t>
      </w:r>
      <w:r w:rsidR="00675D7F">
        <w:rPr>
          <w:lang w:val="pl-PL"/>
        </w:rPr>
        <w:t>rtykuł 715 Kodeksu p</w:t>
      </w:r>
      <w:r w:rsidRPr="008A0C03">
        <w:rPr>
          <w:lang w:val="pl-PL"/>
        </w:rPr>
        <w:t xml:space="preserve">ostępowania </w:t>
      </w:r>
      <w:r w:rsidR="00675D7F">
        <w:rPr>
          <w:lang w:val="pl-PL"/>
        </w:rPr>
        <w:t>k</w:t>
      </w:r>
      <w:r w:rsidRPr="008A0C03">
        <w:rPr>
          <w:lang w:val="pl-PL"/>
        </w:rPr>
        <w:t>arnego (</w:t>
      </w:r>
      <w:r w:rsidR="00155E96" w:rsidRPr="008A0C03">
        <w:rPr>
          <w:lang w:val="pl-PL"/>
        </w:rPr>
        <w:t>KPK</w:t>
      </w:r>
      <w:r w:rsidRPr="008A0C03">
        <w:rPr>
          <w:lang w:val="pl-PL"/>
        </w:rPr>
        <w:t>) przewiduje, że na wniosek obcego państwa, Sąd Apelacyjny może zarządzić tymczasowe aresztowanie danej osoby dla celów postępowania ekstradycyjnego. Żądanie może zostać przyjęte jeżeli</w:t>
      </w:r>
      <w:r w:rsidR="00675D7F">
        <w:rPr>
          <w:lang w:val="pl-PL"/>
        </w:rPr>
        <w:t>:</w:t>
      </w:r>
      <w:r w:rsidR="000E6B7C">
        <w:rPr>
          <w:lang w:val="pl-PL"/>
        </w:rPr>
        <w:t xml:space="preserve"> (a) P</w:t>
      </w:r>
      <w:r w:rsidRPr="008A0C03">
        <w:rPr>
          <w:lang w:val="pl-PL"/>
        </w:rPr>
        <w:t>aństwo obce działając na podstawie prawomocnego orzeczenia skazującego lub nakazu aresztowania i zamierza wysłać wniosek o ekstradycję;</w:t>
      </w:r>
      <w:r w:rsidR="00675D7F">
        <w:rPr>
          <w:lang w:val="pl-PL"/>
        </w:rPr>
        <w:t xml:space="preserve"> </w:t>
      </w:r>
      <w:r w:rsidR="00C84E27">
        <w:rPr>
          <w:lang w:val="pl-PL"/>
        </w:rPr>
        <w:t xml:space="preserve">(b) jeżeli obce </w:t>
      </w:r>
      <w:r w:rsidR="000E6B7C">
        <w:rPr>
          <w:lang w:val="pl-PL"/>
        </w:rPr>
        <w:t>P</w:t>
      </w:r>
      <w:r w:rsidR="00C84E27">
        <w:rPr>
          <w:lang w:val="pl-PL"/>
        </w:rPr>
        <w:t>aństwo</w:t>
      </w:r>
      <w:r w:rsidRPr="008A0C03">
        <w:rPr>
          <w:lang w:val="pl-PL"/>
        </w:rPr>
        <w:t xml:space="preserve"> przedstawiło opis adekwatnych aktów w uzasadnieniu wniosku o ekstradycję, wskazało przestępstwo, o które  poszukiwany jest o</w:t>
      </w:r>
      <w:r w:rsidR="00FE18F6" w:rsidRPr="008A0C03">
        <w:rPr>
          <w:lang w:val="pl-PL"/>
        </w:rPr>
        <w:t>s</w:t>
      </w:r>
      <w:r w:rsidR="00C84E27">
        <w:rPr>
          <w:lang w:val="pl-PL"/>
        </w:rPr>
        <w:t>karżony</w:t>
      </w:r>
      <w:r w:rsidRPr="008A0C03">
        <w:rPr>
          <w:lang w:val="pl-PL"/>
        </w:rPr>
        <w:t xml:space="preserve"> oraz załączyło dane personalne tej osoby; (c) jeśli istnieje ryzyko, że osoba może uciec. O zastosow</w:t>
      </w:r>
      <w:r w:rsidR="000E6B7C">
        <w:rPr>
          <w:lang w:val="pl-PL"/>
        </w:rPr>
        <w:t>aniu tego środka władze obcego P</w:t>
      </w:r>
      <w:r w:rsidRPr="008A0C03">
        <w:rPr>
          <w:lang w:val="pl-PL"/>
        </w:rPr>
        <w:t xml:space="preserve">aństwa są powiadamiane przez </w:t>
      </w:r>
      <w:r w:rsidR="000E6B7C">
        <w:rPr>
          <w:lang w:val="pl-PL"/>
        </w:rPr>
        <w:t>Ministra Sprawiedliwości. Tymczasowe aresztowanie</w:t>
      </w:r>
      <w:r w:rsidRPr="008A0C03">
        <w:rPr>
          <w:lang w:val="pl-PL"/>
        </w:rPr>
        <w:t xml:space="preserve"> jako środek z</w:t>
      </w:r>
      <w:r w:rsidR="000E6B7C">
        <w:rPr>
          <w:lang w:val="pl-PL"/>
        </w:rPr>
        <w:t>apobiegawczy  zostanie uchylone, jeżeli obce P</w:t>
      </w:r>
      <w:r w:rsidRPr="008A0C03">
        <w:rPr>
          <w:lang w:val="pl-PL"/>
        </w:rPr>
        <w:t>aństwo nie wyśle wniosku o ekstradycję oraz dokumentów uzupełniających do Ministerstwa Spraw Zagranicznych i Ministerstwa Sprawiedliwości w terminie czterdziestu dni od otrzymania tego powiadomienia,</w:t>
      </w:r>
    </w:p>
    <w:p w:rsidR="009A2E6C" w:rsidRPr="008A0C03" w:rsidRDefault="00A10527" w:rsidP="00F005E6">
      <w:pPr>
        <w:ind w:firstLine="284"/>
        <w:rPr>
          <w:lang w:val="pl-PL"/>
        </w:rPr>
      </w:pPr>
      <w:r>
        <w:rPr>
          <w:lang w:val="pl-PL"/>
        </w:rPr>
        <w:tab/>
        <w:t>23. Zgodnie z a</w:t>
      </w:r>
      <w:r w:rsidR="009A2E6C" w:rsidRPr="008A0C03">
        <w:rPr>
          <w:lang w:val="pl-PL"/>
        </w:rPr>
        <w:t xml:space="preserve">rtykułem 716 § 3 </w:t>
      </w:r>
      <w:r w:rsidR="00155E96" w:rsidRPr="008A0C03">
        <w:rPr>
          <w:lang w:val="pl-PL"/>
        </w:rPr>
        <w:t>KPK</w:t>
      </w:r>
      <w:r w:rsidR="009A2E6C" w:rsidRPr="008A0C03">
        <w:rPr>
          <w:lang w:val="pl-PL"/>
        </w:rPr>
        <w:t>, Prezes Sądu Apelacyjnego musi potwierdzić zastosowanie aresztu jako środka zapobiegawczego w ciągu dziewięćdziesięciu sześciu godzin i nakazać zastosowanie środka detencyjnego.</w:t>
      </w:r>
    </w:p>
    <w:p w:rsidR="009A2E6C" w:rsidRPr="008A0C03" w:rsidRDefault="00A10527" w:rsidP="00F005E6">
      <w:pPr>
        <w:ind w:firstLine="284"/>
        <w:rPr>
          <w:lang w:val="pl-PL"/>
        </w:rPr>
      </w:pPr>
      <w:r>
        <w:rPr>
          <w:lang w:val="pl-PL"/>
        </w:rPr>
        <w:tab/>
        <w:t>24. Zgodnie z a</w:t>
      </w:r>
      <w:r w:rsidR="009A2E6C" w:rsidRPr="008A0C03">
        <w:rPr>
          <w:lang w:val="pl-PL"/>
        </w:rPr>
        <w:t xml:space="preserve">rtykułem 716 § 4 </w:t>
      </w:r>
      <w:r w:rsidR="00155E96" w:rsidRPr="008A0C03">
        <w:rPr>
          <w:lang w:val="pl-PL"/>
        </w:rPr>
        <w:t>KPK</w:t>
      </w:r>
      <w:r w:rsidR="009A2E6C" w:rsidRPr="008A0C03">
        <w:rPr>
          <w:lang w:val="pl-PL"/>
        </w:rPr>
        <w:t xml:space="preserve">, środek </w:t>
      </w:r>
      <w:r w:rsidR="002F4C4D">
        <w:rPr>
          <w:lang w:val="pl-PL"/>
        </w:rPr>
        <w:t>zapobiegawczy zostanie uchylony</w:t>
      </w:r>
      <w:r w:rsidR="009A2E6C" w:rsidRPr="008A0C03">
        <w:rPr>
          <w:lang w:val="pl-PL"/>
        </w:rPr>
        <w:t xml:space="preserve">, jeżeli Minister Sprawiedliwości nie </w:t>
      </w:r>
      <w:r w:rsidR="001067B1" w:rsidRPr="008A0C03">
        <w:rPr>
          <w:lang w:val="pl-PL"/>
        </w:rPr>
        <w:t>zwróci</w:t>
      </w:r>
      <w:r w:rsidR="009A2E6C" w:rsidRPr="008A0C03">
        <w:rPr>
          <w:lang w:val="pl-PL"/>
        </w:rPr>
        <w:t xml:space="preserve"> się do Sądu Apelacyjnego, w terminie dziesięciu dni od potwierdzenia zatrzymania</w:t>
      </w:r>
      <w:r w:rsidR="00D445C0" w:rsidRPr="008A0C03">
        <w:rPr>
          <w:lang w:val="pl-PL"/>
        </w:rPr>
        <w:t>,</w:t>
      </w:r>
      <w:r w:rsidR="009A2E6C" w:rsidRPr="008A0C03">
        <w:rPr>
          <w:lang w:val="pl-PL"/>
        </w:rPr>
        <w:t xml:space="preserve"> aby ten zarządził zatrzymanie w areszcie.</w:t>
      </w:r>
    </w:p>
    <w:p w:rsidR="009A2E6C" w:rsidRPr="008A0C03" w:rsidRDefault="00A10527" w:rsidP="00F005E6">
      <w:pPr>
        <w:ind w:firstLine="284"/>
        <w:rPr>
          <w:lang w:val="pl-PL"/>
        </w:rPr>
      </w:pPr>
      <w:r>
        <w:rPr>
          <w:lang w:val="pl-PL"/>
        </w:rPr>
        <w:tab/>
        <w:t>25. Zgodnie z a</w:t>
      </w:r>
      <w:r w:rsidR="009A2E6C" w:rsidRPr="008A0C03">
        <w:rPr>
          <w:lang w:val="pl-PL"/>
        </w:rPr>
        <w:t xml:space="preserve">rtykułem 717 </w:t>
      </w:r>
      <w:r w:rsidR="00D445C0" w:rsidRPr="008A0C03">
        <w:rPr>
          <w:lang w:val="pl-PL"/>
        </w:rPr>
        <w:t>KPK</w:t>
      </w:r>
      <w:r w:rsidR="009A2E6C" w:rsidRPr="008A0C03">
        <w:rPr>
          <w:lang w:val="pl-PL"/>
        </w:rPr>
        <w:t>, w przypadku gdy władze krajowe zar</w:t>
      </w:r>
      <w:r w:rsidR="002F4C4D">
        <w:rPr>
          <w:lang w:val="pl-PL"/>
        </w:rPr>
        <w:t>ządziły środek pozbawienia wolno</w:t>
      </w:r>
      <w:r w:rsidR="009A2E6C" w:rsidRPr="008A0C03">
        <w:rPr>
          <w:lang w:val="pl-PL"/>
        </w:rPr>
        <w:t>ści, Przewodniczący Sądu</w:t>
      </w:r>
      <w:r>
        <w:rPr>
          <w:lang w:val="pl-PL"/>
        </w:rPr>
        <w:t xml:space="preserve"> Apelacyjnego zaplanuje posiedzenie</w:t>
      </w:r>
      <w:r w:rsidR="009A2E6C" w:rsidRPr="008A0C03">
        <w:rPr>
          <w:lang w:val="pl-PL"/>
        </w:rPr>
        <w:t xml:space="preserve"> w celu identyfikacji danej osoby i ustalenia, czy wyrazi ona zgodę na ekstradycję.</w:t>
      </w:r>
    </w:p>
    <w:p w:rsidR="009A2E6C" w:rsidRPr="008A0C03" w:rsidRDefault="00A10527" w:rsidP="00F005E6">
      <w:pPr>
        <w:ind w:firstLine="284"/>
        <w:rPr>
          <w:lang w:val="pl-PL"/>
        </w:rPr>
      </w:pPr>
      <w:r>
        <w:rPr>
          <w:lang w:val="pl-PL"/>
        </w:rPr>
        <w:lastRenderedPageBreak/>
        <w:tab/>
        <w:t>26. Zgodnie z a</w:t>
      </w:r>
      <w:r w:rsidR="009A2E6C" w:rsidRPr="008A0C03">
        <w:rPr>
          <w:lang w:val="pl-PL"/>
        </w:rPr>
        <w:t xml:space="preserve">rtykułem 714 </w:t>
      </w:r>
      <w:r w:rsidR="00D445C0" w:rsidRPr="008A0C03">
        <w:rPr>
          <w:lang w:val="pl-PL"/>
        </w:rPr>
        <w:t>KPK</w:t>
      </w:r>
      <w:r w:rsidR="009A2E6C" w:rsidRPr="008A0C03">
        <w:rPr>
          <w:lang w:val="pl-PL"/>
        </w:rPr>
        <w:t>, czas pozbawienia wolności nie może przekroczyć jednego roku i sześciu miesięcy. Może on jednak zostać przedłużony na łączny okres nie dłuższy niż trzy miesiące</w:t>
      </w:r>
      <w:r w:rsidR="00D445C0" w:rsidRPr="008A0C03">
        <w:rPr>
          <w:lang w:val="pl-PL"/>
        </w:rPr>
        <w:t>.</w:t>
      </w:r>
    </w:p>
    <w:p w:rsidR="009A2E6C" w:rsidRPr="008A0C03" w:rsidRDefault="00A10527" w:rsidP="00F005E6">
      <w:pPr>
        <w:ind w:firstLine="284"/>
        <w:rPr>
          <w:lang w:val="pl-PL"/>
        </w:rPr>
      </w:pPr>
      <w:r>
        <w:rPr>
          <w:lang w:val="pl-PL"/>
        </w:rPr>
        <w:tab/>
        <w:t>27. Zgodnie z a</w:t>
      </w:r>
      <w:r w:rsidR="009A2E6C" w:rsidRPr="008A0C03">
        <w:rPr>
          <w:lang w:val="pl-PL"/>
        </w:rPr>
        <w:t xml:space="preserve">rtykułem 718 </w:t>
      </w:r>
      <w:r w:rsidR="00D445C0" w:rsidRPr="008A0C03">
        <w:rPr>
          <w:lang w:val="pl-PL"/>
        </w:rPr>
        <w:t>KPK</w:t>
      </w:r>
      <w:r w:rsidR="009A2E6C" w:rsidRPr="008A0C03">
        <w:rPr>
          <w:lang w:val="pl-PL"/>
        </w:rPr>
        <w:t>, areszt jako środek zapobiegawczy może, na wniosek jednej ze stron lu</w:t>
      </w:r>
      <w:r w:rsidR="00D445C0" w:rsidRPr="008A0C03">
        <w:rPr>
          <w:lang w:val="pl-PL"/>
        </w:rPr>
        <w:t>b</w:t>
      </w:r>
      <w:r>
        <w:rPr>
          <w:lang w:val="pl-PL"/>
        </w:rPr>
        <w:t xml:space="preserve"> spontanicznie, zostać uchylony</w:t>
      </w:r>
      <w:r w:rsidR="009A2E6C" w:rsidRPr="008A0C03">
        <w:rPr>
          <w:lang w:val="pl-PL"/>
        </w:rPr>
        <w:t xml:space="preserve"> przez Sąd Apelacyjny lub Sąd Kasacyjny, orzekający jako sąd pierwszej instancji. Sąd Apelacyjny obraduje na posiedzeniu niejawnym po wysłuchaniu stron. </w:t>
      </w:r>
      <w:r w:rsidR="00D445C0" w:rsidRPr="008A0C03">
        <w:rPr>
          <w:lang w:val="pl-PL"/>
        </w:rPr>
        <w:t xml:space="preserve">Od </w:t>
      </w:r>
      <w:r w:rsidR="0034331A" w:rsidRPr="008A0C03">
        <w:rPr>
          <w:lang w:val="pl-PL"/>
        </w:rPr>
        <w:t>postanowienia</w:t>
      </w:r>
      <w:r w:rsidR="00933502">
        <w:rPr>
          <w:lang w:val="pl-PL"/>
        </w:rPr>
        <w:t xml:space="preserve"> Sądu Apelacyjnego można się odwołać</w:t>
      </w:r>
      <w:r w:rsidR="009A2E6C" w:rsidRPr="008A0C03">
        <w:rPr>
          <w:lang w:val="pl-PL"/>
        </w:rPr>
        <w:t xml:space="preserve"> do S</w:t>
      </w:r>
      <w:r w:rsidR="00933502">
        <w:rPr>
          <w:lang w:val="pl-PL"/>
        </w:rPr>
        <w:t>ądu Kasacyjnego w zakresie, w jakim odwołanie oparte</w:t>
      </w:r>
      <w:r w:rsidR="0034331A" w:rsidRPr="008A0C03">
        <w:rPr>
          <w:lang w:val="pl-PL"/>
        </w:rPr>
        <w:t xml:space="preserve"> jest</w:t>
      </w:r>
      <w:r w:rsidR="009A2E6C" w:rsidRPr="008A0C03">
        <w:rPr>
          <w:lang w:val="pl-PL"/>
        </w:rPr>
        <w:t xml:space="preserve"> na naruszeniu </w:t>
      </w:r>
      <w:r w:rsidR="00D445C0" w:rsidRPr="008A0C03">
        <w:rPr>
          <w:lang w:val="pl-PL"/>
        </w:rPr>
        <w:t>prawa mającego rangę ustawową</w:t>
      </w:r>
      <w:r w:rsidR="009A2E6C" w:rsidRPr="008A0C03">
        <w:rPr>
          <w:lang w:val="pl-PL"/>
        </w:rPr>
        <w:t>. W tym względzie Sąd</w:t>
      </w:r>
      <w:r w:rsidR="00D445C0" w:rsidRPr="008A0C03">
        <w:rPr>
          <w:lang w:val="pl-PL"/>
        </w:rPr>
        <w:t xml:space="preserve"> Kasacyjny kilkakrotnie</w:t>
      </w:r>
      <w:r w:rsidR="009A2E6C" w:rsidRPr="008A0C03">
        <w:rPr>
          <w:lang w:val="pl-PL"/>
        </w:rPr>
        <w:t xml:space="preserve"> ustalił, że nie jest organem właściwym do rozpatrzenia </w:t>
      </w:r>
      <w:r w:rsidR="00933502">
        <w:rPr>
          <w:lang w:val="pl-PL"/>
        </w:rPr>
        <w:t>odwołania</w:t>
      </w:r>
      <w:r w:rsidR="009A2E6C" w:rsidRPr="008A0C03">
        <w:rPr>
          <w:lang w:val="pl-PL"/>
        </w:rPr>
        <w:t xml:space="preserve"> w kwestiach prawnych,</w:t>
      </w:r>
      <w:r w:rsidR="0034331A" w:rsidRPr="008A0C03">
        <w:rPr>
          <w:lang w:val="pl-PL"/>
        </w:rPr>
        <w:t xml:space="preserve"> w których wnoszący </w:t>
      </w:r>
      <w:r w:rsidR="009A2E6C" w:rsidRPr="008A0C03">
        <w:rPr>
          <w:lang w:val="pl-PL"/>
        </w:rPr>
        <w:t>ubiega się o uwolnienie argumentując, że ryzyko jego ucieczki, co było uzasadnieniem zastosowania aresztu</w:t>
      </w:r>
      <w:r w:rsidR="00933502">
        <w:rPr>
          <w:lang w:val="pl-PL"/>
        </w:rPr>
        <w:t>,</w:t>
      </w:r>
      <w:r w:rsidR="009A2E6C" w:rsidRPr="008A0C03">
        <w:rPr>
          <w:lang w:val="pl-PL"/>
        </w:rPr>
        <w:t xml:space="preserve"> przestało istnieć (patrz, na przykład, Sąd Kasacyjny, wyrok nr 33545 z dnia 7 września 2010 roku, złożony w sekretariacie w dniu 13 września 2010 roku, bardziej ogólnie dotyczący braku kompetencji do zbadania podstaw w oparciu o dowolność w argumentacji </w:t>
      </w:r>
      <w:r w:rsidR="0034331A" w:rsidRPr="008A0C03">
        <w:rPr>
          <w:lang w:val="pl-PL"/>
        </w:rPr>
        <w:t>postanow</w:t>
      </w:r>
      <w:r w:rsidR="001067B1">
        <w:rPr>
          <w:lang w:val="pl-PL"/>
        </w:rPr>
        <w:t>ie</w:t>
      </w:r>
      <w:r w:rsidR="0034331A" w:rsidRPr="008A0C03">
        <w:rPr>
          <w:lang w:val="pl-PL"/>
        </w:rPr>
        <w:t>nia</w:t>
      </w:r>
      <w:r w:rsidR="009A2E6C" w:rsidRPr="008A0C03">
        <w:rPr>
          <w:lang w:val="pl-PL"/>
        </w:rPr>
        <w:t xml:space="preserve"> Są</w:t>
      </w:r>
      <w:r w:rsidR="0034331A" w:rsidRPr="008A0C03">
        <w:rPr>
          <w:lang w:val="pl-PL"/>
        </w:rPr>
        <w:t>du Apelacyjnego, patrz Sąd</w:t>
      </w:r>
      <w:r w:rsidR="009A2E6C" w:rsidRPr="008A0C03">
        <w:rPr>
          <w:lang w:val="pl-PL"/>
        </w:rPr>
        <w:t xml:space="preserve"> Kasacyjny wyrok nr 37123 z dnia 24 września 2012 roku, złożony w sekretariacie w dniu 26 września 2012 roku).</w:t>
      </w:r>
    </w:p>
    <w:p w:rsidR="009A2E6C" w:rsidRPr="008A0C03" w:rsidRDefault="009A2E6C" w:rsidP="00F005E6">
      <w:pPr>
        <w:ind w:firstLine="284"/>
        <w:rPr>
          <w:lang w:val="pl-PL"/>
        </w:rPr>
      </w:pPr>
      <w:r w:rsidRPr="008A0C03">
        <w:rPr>
          <w:lang w:val="pl-PL"/>
        </w:rPr>
        <w:tab/>
        <w:t>28. Jeżeli chodzi o fazę sądową ek</w:t>
      </w:r>
      <w:r w:rsidR="00933502">
        <w:rPr>
          <w:lang w:val="pl-PL"/>
        </w:rPr>
        <w:t>stradycji, jak przewidziano w art</w:t>
      </w:r>
      <w:r w:rsidRPr="008A0C03">
        <w:rPr>
          <w:lang w:val="pl-PL"/>
        </w:rPr>
        <w:t xml:space="preserve">ykule 704 </w:t>
      </w:r>
      <w:r w:rsidR="0034331A" w:rsidRPr="008A0C03">
        <w:rPr>
          <w:lang w:val="pl-PL"/>
        </w:rPr>
        <w:t>KPK</w:t>
      </w:r>
      <w:r w:rsidRPr="008A0C03">
        <w:rPr>
          <w:lang w:val="pl-PL"/>
        </w:rPr>
        <w:t>, Sąd Apelacyjny orzeka na posiedzeniu niejawnym po wysłuchaniu stron, zebrawszy istotne informacje oraz przep</w:t>
      </w:r>
      <w:r w:rsidR="00BF2702">
        <w:rPr>
          <w:lang w:val="pl-PL"/>
        </w:rPr>
        <w:t>rowadzając niezbędną weryfikację</w:t>
      </w:r>
      <w:r w:rsidRPr="008A0C03">
        <w:rPr>
          <w:lang w:val="pl-PL"/>
        </w:rPr>
        <w:t>. Trzeba ustalić, czy spełnione są warunki określone w prawie krajowym i międzynarodowym: oprócz przepisów Europejskiej Kon</w:t>
      </w:r>
      <w:r w:rsidR="00BF2702">
        <w:rPr>
          <w:lang w:val="pl-PL"/>
        </w:rPr>
        <w:t>wencji o Ekstradycji, a</w:t>
      </w:r>
      <w:r w:rsidRPr="008A0C03">
        <w:rPr>
          <w:lang w:val="pl-PL"/>
        </w:rPr>
        <w:t xml:space="preserve">rtykuł 705 </w:t>
      </w:r>
      <w:r w:rsidR="0034331A" w:rsidRPr="008A0C03">
        <w:rPr>
          <w:lang w:val="pl-PL"/>
        </w:rPr>
        <w:t>KPK</w:t>
      </w:r>
      <w:r w:rsidRPr="008A0C03">
        <w:rPr>
          <w:lang w:val="pl-PL"/>
        </w:rPr>
        <w:t xml:space="preserve"> zobowiązuje sądy do sprawdzenia, czy dana osoba została oskarżona o przestępstwo polityczne, czy istnieje ryzyko procesu opartego o procedury, które nie gwarantują ochrony praw podstawowych. Czy, że w przypadku ekstradycji, on lub ona ryzykuje bycie poddanym traktowaniu, które jest nieludzkie</w:t>
      </w:r>
      <w:r w:rsidR="00BF2702">
        <w:rPr>
          <w:lang w:val="pl-PL"/>
        </w:rPr>
        <w:t>, poniżające lub dyskryminujące</w:t>
      </w:r>
      <w:r w:rsidRPr="008A0C03">
        <w:rPr>
          <w:lang w:val="pl-PL"/>
        </w:rPr>
        <w:t xml:space="preserve"> oraz ryzyko jakichkolwiek działań, które mogą naruszać którekolwiek z podstawowych praw człowieka. Zgodnie z tym </w:t>
      </w:r>
      <w:r w:rsidR="0034331A" w:rsidRPr="008A0C03">
        <w:rPr>
          <w:lang w:val="pl-PL"/>
        </w:rPr>
        <w:t xml:space="preserve">samym artykułem, tam gdzie </w:t>
      </w:r>
      <w:r w:rsidRPr="008A0C03">
        <w:rPr>
          <w:lang w:val="pl-PL"/>
        </w:rPr>
        <w:t>Europejska Konwencja o Ekstradycji</w:t>
      </w:r>
      <w:r w:rsidR="0034331A" w:rsidRPr="008A0C03">
        <w:rPr>
          <w:lang w:val="pl-PL"/>
        </w:rPr>
        <w:t xml:space="preserve"> znajduje zastosowanie</w:t>
      </w:r>
      <w:r w:rsidRPr="008A0C03">
        <w:rPr>
          <w:lang w:val="pl-PL"/>
        </w:rPr>
        <w:t>, sądy nie są uprawnione do badania, czy istnieją poważne przesłanki winy (</w:t>
      </w:r>
      <w:proofErr w:type="spellStart"/>
      <w:r w:rsidRPr="001067B1">
        <w:rPr>
          <w:i/>
          <w:lang w:val="pl-PL"/>
        </w:rPr>
        <w:t>gravi</w:t>
      </w:r>
      <w:proofErr w:type="spellEnd"/>
      <w:r w:rsidRPr="001067B1">
        <w:rPr>
          <w:i/>
          <w:lang w:val="pl-PL"/>
        </w:rPr>
        <w:t xml:space="preserve"> </w:t>
      </w:r>
      <w:proofErr w:type="spellStart"/>
      <w:r w:rsidRPr="001067B1">
        <w:rPr>
          <w:i/>
          <w:lang w:val="pl-PL"/>
        </w:rPr>
        <w:t>indizi</w:t>
      </w:r>
      <w:proofErr w:type="spellEnd"/>
      <w:r w:rsidRPr="001067B1">
        <w:rPr>
          <w:i/>
          <w:lang w:val="pl-PL"/>
        </w:rPr>
        <w:t xml:space="preserve"> di </w:t>
      </w:r>
      <w:proofErr w:type="spellStart"/>
      <w:r w:rsidRPr="001067B1">
        <w:rPr>
          <w:i/>
          <w:lang w:val="pl-PL"/>
        </w:rPr>
        <w:t>colpevolezza</w:t>
      </w:r>
      <w:proofErr w:type="spellEnd"/>
      <w:r w:rsidRPr="008A0C03">
        <w:rPr>
          <w:lang w:val="pl-PL"/>
        </w:rPr>
        <w:t>).</w:t>
      </w:r>
    </w:p>
    <w:p w:rsidR="009A2E6C" w:rsidRPr="008A0C03" w:rsidRDefault="00BF2702" w:rsidP="00F005E6">
      <w:pPr>
        <w:ind w:firstLine="284"/>
        <w:rPr>
          <w:lang w:val="pl-PL"/>
        </w:rPr>
      </w:pPr>
      <w:r>
        <w:rPr>
          <w:lang w:val="pl-PL"/>
        </w:rPr>
        <w:tab/>
        <w:t>29. Zgodnie z a</w:t>
      </w:r>
      <w:r w:rsidR="009A2E6C" w:rsidRPr="008A0C03">
        <w:rPr>
          <w:lang w:val="pl-PL"/>
        </w:rPr>
        <w:t xml:space="preserve">rtykułem 706 </w:t>
      </w:r>
      <w:r w:rsidR="0034331A" w:rsidRPr="008A0C03">
        <w:rPr>
          <w:lang w:val="pl-PL"/>
        </w:rPr>
        <w:t>KPK</w:t>
      </w:r>
      <w:r w:rsidR="009A2E6C" w:rsidRPr="008A0C03">
        <w:rPr>
          <w:lang w:val="pl-PL"/>
        </w:rPr>
        <w:t>, decyzja może zostać zakwestionowana w oparciu o fakty i kwestie prawne przed  Sądem Kasacyjnym, który będzie orzekał z</w:t>
      </w:r>
      <w:r>
        <w:rPr>
          <w:lang w:val="pl-PL"/>
        </w:rPr>
        <w:t>godnie z procedurą określoną w a</w:t>
      </w:r>
      <w:r w:rsidR="009A2E6C" w:rsidRPr="008A0C03">
        <w:rPr>
          <w:lang w:val="pl-PL"/>
        </w:rPr>
        <w:t xml:space="preserve">rtykule 704 </w:t>
      </w:r>
      <w:r w:rsidR="0034331A" w:rsidRPr="008A0C03">
        <w:rPr>
          <w:lang w:val="pl-PL"/>
        </w:rPr>
        <w:t>KPK</w:t>
      </w:r>
      <w:r w:rsidR="009A2E6C" w:rsidRPr="008A0C03">
        <w:rPr>
          <w:lang w:val="pl-PL"/>
        </w:rPr>
        <w:t>.</w:t>
      </w:r>
    </w:p>
    <w:p w:rsidR="009A2E6C" w:rsidRPr="008A0C03" w:rsidRDefault="009A2E6C" w:rsidP="00F005E6">
      <w:pPr>
        <w:ind w:firstLine="284"/>
        <w:rPr>
          <w:lang w:val="pl-PL"/>
        </w:rPr>
      </w:pPr>
      <w:r w:rsidRPr="008A0C03">
        <w:rPr>
          <w:lang w:val="pl-PL"/>
        </w:rPr>
        <w:tab/>
        <w:t xml:space="preserve">30. Artykuł 708 </w:t>
      </w:r>
      <w:r w:rsidR="0034331A" w:rsidRPr="008A0C03">
        <w:rPr>
          <w:lang w:val="pl-PL"/>
        </w:rPr>
        <w:t>KPK</w:t>
      </w:r>
      <w:r w:rsidRPr="008A0C03">
        <w:rPr>
          <w:lang w:val="pl-PL"/>
        </w:rPr>
        <w:t xml:space="preserve"> stanowi, że Minister Spra</w:t>
      </w:r>
      <w:r w:rsidR="00BA6C09">
        <w:rPr>
          <w:lang w:val="pl-PL"/>
        </w:rPr>
        <w:t xml:space="preserve">wiedliwości musi, </w:t>
      </w:r>
      <w:r w:rsidR="00BA6C09" w:rsidRPr="008A0C03">
        <w:rPr>
          <w:lang w:val="pl-PL"/>
        </w:rPr>
        <w:t>w terminie czterdziestu pięciu dni po złożeniu przez Sąd Kasacyjny  decyzji zatwierdzającej ekstradycję</w:t>
      </w:r>
      <w:r w:rsidR="00BA6C09">
        <w:rPr>
          <w:lang w:val="pl-PL"/>
        </w:rPr>
        <w:t>, podjąć decyzję</w:t>
      </w:r>
      <w:r w:rsidRPr="008A0C03">
        <w:rPr>
          <w:lang w:val="pl-PL"/>
        </w:rPr>
        <w:t xml:space="preserve"> czy dana osoba ma zostać wydana. J</w:t>
      </w:r>
      <w:r w:rsidR="00BA6C09">
        <w:rPr>
          <w:lang w:val="pl-PL"/>
        </w:rPr>
        <w:t>eżeli minister nie wyda decyzji</w:t>
      </w:r>
      <w:r w:rsidRPr="008A0C03">
        <w:rPr>
          <w:lang w:val="pl-PL"/>
        </w:rPr>
        <w:t xml:space="preserve"> lub zdecyduje się odrzucić ekstradycję</w:t>
      </w:r>
      <w:r w:rsidR="00BA6C09">
        <w:rPr>
          <w:lang w:val="pl-PL"/>
        </w:rPr>
        <w:t>,  areszt  musi zostać uchylony</w:t>
      </w:r>
      <w:r w:rsidRPr="008A0C03">
        <w:rPr>
          <w:lang w:val="pl-PL"/>
        </w:rPr>
        <w:t>.</w:t>
      </w:r>
    </w:p>
    <w:p w:rsidR="004A5202" w:rsidRPr="008A0C03" w:rsidRDefault="004A5202" w:rsidP="004A5202">
      <w:pPr>
        <w:pStyle w:val="ECHRTitle1"/>
        <w:rPr>
          <w:lang w:val="pl-PL"/>
        </w:rPr>
      </w:pPr>
      <w:r w:rsidRPr="008A0C03">
        <w:rPr>
          <w:lang w:val="pl-PL"/>
        </w:rPr>
        <w:lastRenderedPageBreak/>
        <w:t>PRAWO</w:t>
      </w:r>
    </w:p>
    <w:p w:rsidR="004A5202" w:rsidRPr="008A0C03" w:rsidRDefault="004A5202" w:rsidP="004A5202">
      <w:pPr>
        <w:pStyle w:val="ECHRHeading1"/>
        <w:rPr>
          <w:lang w:val="pl-PL"/>
        </w:rPr>
      </w:pPr>
      <w:r w:rsidRPr="008A0C03">
        <w:rPr>
          <w:lang w:val="pl-PL"/>
        </w:rPr>
        <w:t>I. ZARZUT NARUSZENIA ARTYKUŁU 5 § 1 (f) KONWENCJI</w:t>
      </w:r>
    </w:p>
    <w:p w:rsidR="004A5202" w:rsidRPr="008A0C03" w:rsidRDefault="004A5202" w:rsidP="004A5202">
      <w:pPr>
        <w:pStyle w:val="Textbody"/>
        <w:tabs>
          <w:tab w:val="left" w:pos="0"/>
          <w:tab w:val="left" w:pos="283"/>
        </w:tabs>
        <w:jc w:val="both"/>
        <w:rPr>
          <w:rFonts w:asciiTheme="majorHAnsi" w:hAnsiTheme="majorHAnsi" w:cstheme="majorHAnsi"/>
        </w:rPr>
      </w:pPr>
      <w:r w:rsidRPr="008A0C03">
        <w:rPr>
          <w:rFonts w:ascii="Arial" w:hAnsi="Arial"/>
          <w:sz w:val="21"/>
          <w:szCs w:val="21"/>
        </w:rPr>
        <w:tab/>
      </w:r>
      <w:r w:rsidRPr="008A0C03">
        <w:rPr>
          <w:rFonts w:asciiTheme="majorHAnsi" w:hAnsiTheme="majorHAnsi" w:cstheme="majorHAnsi"/>
        </w:rPr>
        <w:t xml:space="preserve">31. </w:t>
      </w:r>
      <w:r w:rsidR="001067B1" w:rsidRPr="008A0C03">
        <w:rPr>
          <w:rFonts w:asciiTheme="majorHAnsi" w:hAnsiTheme="majorHAnsi" w:cstheme="majorHAnsi"/>
        </w:rPr>
        <w:t>Skarżący</w:t>
      </w:r>
      <w:r w:rsidRPr="008A0C03">
        <w:rPr>
          <w:rFonts w:asciiTheme="majorHAnsi" w:hAnsiTheme="majorHAnsi" w:cstheme="majorHAnsi"/>
        </w:rPr>
        <w:t xml:space="preserve"> skarżył się na długość środka zapobiegawczego nałożonego na niego w oczekiwaniu na jego ekstradycję. Stwierdził on, że doszło do naruszenia artykułu 5 § 3 Konwencji.</w:t>
      </w:r>
    </w:p>
    <w:p w:rsidR="004A5202" w:rsidRPr="008A0C03" w:rsidRDefault="004A5202" w:rsidP="004A5202">
      <w:pPr>
        <w:pStyle w:val="Textbody"/>
        <w:tabs>
          <w:tab w:val="left" w:pos="0"/>
          <w:tab w:val="left" w:pos="283"/>
        </w:tabs>
        <w:jc w:val="both"/>
        <w:rPr>
          <w:rFonts w:asciiTheme="majorHAnsi" w:hAnsiTheme="majorHAnsi" w:cstheme="majorHAnsi"/>
        </w:rPr>
      </w:pPr>
      <w:r w:rsidRPr="008A0C03">
        <w:rPr>
          <w:rFonts w:asciiTheme="majorHAnsi" w:hAnsiTheme="majorHAnsi" w:cstheme="majorHAnsi"/>
        </w:rPr>
        <w:tab/>
        <w:t xml:space="preserve">32. Trybunał będąc organem nadrzędnym dokonuje kwalifikacji przepisów i dopasowując </w:t>
      </w:r>
      <w:r w:rsidR="001067B1" w:rsidRPr="008A0C03">
        <w:rPr>
          <w:rFonts w:asciiTheme="majorHAnsi" w:hAnsiTheme="majorHAnsi" w:cstheme="majorHAnsi"/>
        </w:rPr>
        <w:t>istniejące</w:t>
      </w:r>
      <w:r w:rsidRPr="008A0C03">
        <w:rPr>
          <w:rFonts w:asciiTheme="majorHAnsi" w:hAnsiTheme="majorHAnsi" w:cstheme="majorHAnsi"/>
        </w:rPr>
        <w:t xml:space="preserve"> prawo do stanu faktycznego sprawy (patrz, między innymi,</w:t>
      </w:r>
      <w:r w:rsidRPr="008A0C03">
        <w:rPr>
          <w:rFonts w:asciiTheme="majorHAnsi" w:hAnsiTheme="majorHAnsi" w:cstheme="majorHAnsi"/>
          <w:i/>
          <w:iCs/>
        </w:rPr>
        <w:t xml:space="preserve"> </w:t>
      </w:r>
      <w:proofErr w:type="spellStart"/>
      <w:r w:rsidRPr="008A0C03">
        <w:rPr>
          <w:rFonts w:asciiTheme="majorHAnsi" w:hAnsiTheme="majorHAnsi" w:cstheme="majorHAnsi"/>
          <w:i/>
          <w:iCs/>
        </w:rPr>
        <w:t>Guerra</w:t>
      </w:r>
      <w:proofErr w:type="spellEnd"/>
      <w:r w:rsidRPr="008A0C03">
        <w:rPr>
          <w:rFonts w:asciiTheme="majorHAnsi" w:hAnsiTheme="majorHAnsi" w:cstheme="majorHAnsi"/>
          <w:i/>
          <w:iCs/>
        </w:rPr>
        <w:t xml:space="preserve"> i inni przeciwko Włochom,</w:t>
      </w:r>
      <w:r w:rsidRPr="008A0C03">
        <w:rPr>
          <w:rFonts w:asciiTheme="majorHAnsi" w:hAnsiTheme="majorHAnsi" w:cstheme="majorHAnsi"/>
        </w:rPr>
        <w:t xml:space="preserve"> 19 lutego 1998, § 44, </w:t>
      </w:r>
      <w:r w:rsidRPr="008A0C03">
        <w:rPr>
          <w:rFonts w:asciiTheme="majorHAnsi" w:hAnsiTheme="majorHAnsi" w:cstheme="majorHAnsi"/>
          <w:i/>
          <w:iCs/>
        </w:rPr>
        <w:t>Zbiór wyroków i decyzj</w:t>
      </w:r>
      <w:r w:rsidRPr="008A0C03">
        <w:rPr>
          <w:rFonts w:asciiTheme="majorHAnsi" w:hAnsiTheme="majorHAnsi" w:cstheme="majorHAnsi"/>
        </w:rPr>
        <w:t xml:space="preserve">i 1998-I ), </w:t>
      </w:r>
      <w:r w:rsidR="00AE5C5D">
        <w:rPr>
          <w:rFonts w:asciiTheme="majorHAnsi" w:hAnsiTheme="majorHAnsi" w:cstheme="majorHAnsi"/>
        </w:rPr>
        <w:t>stwierdza</w:t>
      </w:r>
      <w:r w:rsidRPr="008A0C03">
        <w:rPr>
          <w:rFonts w:asciiTheme="majorHAnsi" w:hAnsiTheme="majorHAnsi" w:cstheme="majorHAnsi"/>
        </w:rPr>
        <w:t>, że wniosek powinien być rozpatrywany na podstawie Artykułu 5 § 1 (f) Konwencji (patrz</w:t>
      </w:r>
      <w:r w:rsidRPr="008A0C03">
        <w:rPr>
          <w:rFonts w:asciiTheme="majorHAnsi" w:hAnsiTheme="majorHAnsi" w:cstheme="majorHAnsi"/>
          <w:i/>
          <w:iCs/>
        </w:rPr>
        <w:t xml:space="preserve"> Quinn przeciwko Francji</w:t>
      </w:r>
      <w:r w:rsidRPr="008A0C03">
        <w:rPr>
          <w:rFonts w:asciiTheme="majorHAnsi" w:hAnsiTheme="majorHAnsi" w:cstheme="majorHAnsi"/>
        </w:rPr>
        <w:t xml:space="preserve">, 22 marca 1995, Seria A nr 311; </w:t>
      </w:r>
      <w:proofErr w:type="spellStart"/>
      <w:r w:rsidRPr="008A0C03">
        <w:rPr>
          <w:rFonts w:asciiTheme="majorHAnsi" w:hAnsiTheme="majorHAnsi" w:cstheme="majorHAnsi"/>
          <w:i/>
          <w:iCs/>
        </w:rPr>
        <w:t>Chahal</w:t>
      </w:r>
      <w:proofErr w:type="spellEnd"/>
      <w:r w:rsidRPr="008A0C03">
        <w:rPr>
          <w:rFonts w:asciiTheme="majorHAnsi" w:hAnsiTheme="majorHAnsi" w:cstheme="majorHAnsi"/>
          <w:i/>
          <w:iCs/>
        </w:rPr>
        <w:t xml:space="preserve"> przeciwko Wielkiej Brytanii</w:t>
      </w:r>
      <w:r w:rsidRPr="008A0C03">
        <w:rPr>
          <w:rFonts w:asciiTheme="majorHAnsi" w:hAnsiTheme="majorHAnsi" w:cstheme="majorHAnsi"/>
        </w:rPr>
        <w:t xml:space="preserve">, 15 listopada 1996, </w:t>
      </w:r>
      <w:r w:rsidRPr="008A0C03">
        <w:rPr>
          <w:rFonts w:asciiTheme="majorHAnsi" w:hAnsiTheme="majorHAnsi" w:cstheme="majorHAnsi"/>
          <w:i/>
          <w:iCs/>
        </w:rPr>
        <w:t>Raporty</w:t>
      </w:r>
      <w:r w:rsidRPr="008A0C03">
        <w:rPr>
          <w:rFonts w:asciiTheme="majorHAnsi" w:hAnsiTheme="majorHAnsi" w:cstheme="majorHAnsi"/>
        </w:rPr>
        <w:t xml:space="preserve"> 1996 V oraz</w:t>
      </w:r>
      <w:r w:rsidRPr="008A0C03">
        <w:rPr>
          <w:rFonts w:asciiTheme="majorHAnsi" w:hAnsiTheme="majorHAnsi" w:cstheme="majorHAnsi"/>
          <w:i/>
          <w:iCs/>
        </w:rPr>
        <w:t xml:space="preserve"> </w:t>
      </w:r>
      <w:proofErr w:type="spellStart"/>
      <w:r w:rsidRPr="008A0C03">
        <w:rPr>
          <w:rFonts w:asciiTheme="majorHAnsi" w:hAnsiTheme="majorHAnsi" w:cstheme="majorHAnsi"/>
          <w:i/>
          <w:iCs/>
        </w:rPr>
        <w:t>Bogdanovski</w:t>
      </w:r>
      <w:proofErr w:type="spellEnd"/>
      <w:r w:rsidRPr="008A0C03">
        <w:rPr>
          <w:rFonts w:asciiTheme="majorHAnsi" w:hAnsiTheme="majorHAnsi" w:cstheme="majorHAnsi"/>
          <w:i/>
          <w:iCs/>
        </w:rPr>
        <w:t xml:space="preserve"> przeciwko Włochom</w:t>
      </w:r>
      <w:r w:rsidRPr="008A0C03">
        <w:rPr>
          <w:rFonts w:asciiTheme="majorHAnsi" w:hAnsiTheme="majorHAnsi" w:cstheme="majorHAnsi"/>
        </w:rPr>
        <w:t>, nr 72177/01, 14 grudnia 2006), który brzmi jak następuje:</w:t>
      </w:r>
    </w:p>
    <w:p w:rsidR="004A5202" w:rsidRPr="008A0C03" w:rsidRDefault="004A5202" w:rsidP="004A5202">
      <w:pPr>
        <w:pStyle w:val="Standard"/>
        <w:tabs>
          <w:tab w:val="left" w:pos="0"/>
          <w:tab w:val="left" w:pos="283"/>
        </w:tabs>
        <w:jc w:val="both"/>
        <w:rPr>
          <w:rFonts w:ascii="Arial" w:hAnsi="Arial"/>
          <w:sz w:val="21"/>
          <w:szCs w:val="21"/>
        </w:rPr>
      </w:pPr>
      <w:r w:rsidRPr="008A0C03">
        <w:rPr>
          <w:rFonts w:ascii="Arial" w:hAnsi="Arial"/>
          <w:sz w:val="21"/>
          <w:szCs w:val="21"/>
        </w:rPr>
        <w:tab/>
      </w:r>
      <w:r w:rsidRPr="008A0C03">
        <w:rPr>
          <w:rFonts w:ascii="Arial" w:hAnsi="Arial"/>
          <w:sz w:val="21"/>
          <w:szCs w:val="21"/>
        </w:rPr>
        <w:tab/>
      </w:r>
      <w:r w:rsidRPr="008A0C03">
        <w:rPr>
          <w:rFonts w:ascii="Arial" w:hAnsi="Arial"/>
          <w:sz w:val="21"/>
          <w:szCs w:val="21"/>
        </w:rPr>
        <w:tab/>
      </w:r>
    </w:p>
    <w:p w:rsidR="004A5202" w:rsidRPr="008A0C03" w:rsidRDefault="004A5202" w:rsidP="004A5202">
      <w:pPr>
        <w:pStyle w:val="ECHRParaQuote"/>
        <w:rPr>
          <w:lang w:val="pl-PL"/>
        </w:rPr>
      </w:pPr>
      <w:r w:rsidRPr="008A0C03">
        <w:rPr>
          <w:rFonts w:ascii="Arial" w:hAnsi="Arial"/>
          <w:sz w:val="21"/>
          <w:szCs w:val="21"/>
          <w:lang w:val="pl-PL"/>
        </w:rPr>
        <w:tab/>
      </w:r>
      <w:r w:rsidRPr="008A0C03">
        <w:rPr>
          <w:lang w:val="pl-PL"/>
        </w:rPr>
        <w:t xml:space="preserve">“1. Każdy ma prawo do wolności i bezpieczeństwa osobistego. Nikt nie może   </w:t>
      </w:r>
      <w:r w:rsidRPr="008A0C03">
        <w:rPr>
          <w:lang w:val="pl-PL"/>
        </w:rPr>
        <w:tab/>
      </w:r>
      <w:r w:rsidRPr="008A0C03">
        <w:rPr>
          <w:lang w:val="pl-PL"/>
        </w:rPr>
        <w:tab/>
        <w:t xml:space="preserve">być pozbawiony wolności, z wyjątkiem następujących przypadków i w trybie </w:t>
      </w:r>
      <w:r w:rsidRPr="008A0C03">
        <w:rPr>
          <w:lang w:val="pl-PL"/>
        </w:rPr>
        <w:tab/>
      </w:r>
      <w:r w:rsidRPr="008A0C03">
        <w:rPr>
          <w:lang w:val="pl-PL"/>
        </w:rPr>
        <w:tab/>
        <w:t>ustalonym przez prawo:</w:t>
      </w:r>
    </w:p>
    <w:p w:rsidR="004A5202" w:rsidRPr="008A0C03" w:rsidRDefault="004A5202" w:rsidP="004A5202">
      <w:pPr>
        <w:pStyle w:val="ECHRParaQuote"/>
        <w:rPr>
          <w:lang w:val="pl-PL"/>
        </w:rPr>
      </w:pPr>
      <w:r w:rsidRPr="008A0C03">
        <w:rPr>
          <w:lang w:val="pl-PL"/>
        </w:rPr>
        <w:tab/>
        <w:t>…..</w:t>
      </w:r>
      <w:r w:rsidRPr="008A0C03">
        <w:rPr>
          <w:lang w:val="pl-PL"/>
        </w:rPr>
        <w:tab/>
      </w:r>
      <w:r w:rsidRPr="008A0C03">
        <w:rPr>
          <w:lang w:val="pl-PL"/>
        </w:rPr>
        <w:tab/>
      </w:r>
    </w:p>
    <w:p w:rsidR="004A5202" w:rsidRPr="008A0C03" w:rsidRDefault="004A5202" w:rsidP="004A5202">
      <w:pPr>
        <w:pStyle w:val="ECHRParaQuote"/>
        <w:rPr>
          <w:lang w:val="pl-PL"/>
        </w:rPr>
      </w:pPr>
      <w:r w:rsidRPr="008A0C03">
        <w:rPr>
          <w:lang w:val="pl-PL"/>
        </w:rPr>
        <w:t xml:space="preserve">f) zgodnego z prawem zatrzymania lub aresztowania osoby w celu </w:t>
      </w:r>
      <w:r w:rsidRPr="008A0C03">
        <w:rPr>
          <w:lang w:val="pl-PL"/>
        </w:rPr>
        <w:tab/>
      </w:r>
      <w:r w:rsidRPr="008A0C03">
        <w:rPr>
          <w:lang w:val="pl-PL"/>
        </w:rPr>
        <w:tab/>
      </w:r>
      <w:r w:rsidRPr="008A0C03">
        <w:rPr>
          <w:lang w:val="pl-PL"/>
        </w:rPr>
        <w:tab/>
        <w:t xml:space="preserve">zapobieżenia jej nielegalnemu wkroczeniu na terytorium państwa lub osoby, </w:t>
      </w:r>
      <w:r w:rsidRPr="008A0C03">
        <w:rPr>
          <w:lang w:val="pl-PL"/>
        </w:rPr>
        <w:tab/>
      </w:r>
      <w:r w:rsidRPr="008A0C03">
        <w:rPr>
          <w:lang w:val="pl-PL"/>
        </w:rPr>
        <w:tab/>
        <w:t>przeciwko której toczy się postępowanie o wydalenie lub ekstradycję.”</w:t>
      </w:r>
    </w:p>
    <w:p w:rsidR="004A5202" w:rsidRPr="008A0C03" w:rsidRDefault="004A5202" w:rsidP="004A5202">
      <w:pPr>
        <w:pStyle w:val="Textbody"/>
        <w:tabs>
          <w:tab w:val="left" w:pos="0"/>
          <w:tab w:val="left" w:pos="283"/>
        </w:tabs>
        <w:jc w:val="both"/>
        <w:rPr>
          <w:rFonts w:ascii="Arial" w:hAnsi="Arial"/>
          <w:b/>
          <w:bCs/>
        </w:rPr>
      </w:pPr>
    </w:p>
    <w:p w:rsidR="00C309BD" w:rsidRPr="008A0C03" w:rsidRDefault="00C309BD" w:rsidP="00C309BD">
      <w:pPr>
        <w:pStyle w:val="ECHRHeading2"/>
        <w:outlineLvl w:val="0"/>
        <w:rPr>
          <w:lang w:val="pl-PL"/>
        </w:rPr>
      </w:pPr>
      <w:r w:rsidRPr="008A0C03">
        <w:rPr>
          <w:lang w:val="pl-PL"/>
        </w:rPr>
        <w:t>A. Dopuszczalność</w:t>
      </w:r>
    </w:p>
    <w:p w:rsidR="00C309BD" w:rsidRPr="008A0C03" w:rsidRDefault="00C309BD" w:rsidP="00C309BD">
      <w:pPr>
        <w:pStyle w:val="ECHRPara"/>
        <w:rPr>
          <w:lang w:val="pl-PL"/>
        </w:rPr>
      </w:pPr>
      <w:r w:rsidRPr="008A0C03">
        <w:rPr>
          <w:rFonts w:ascii="Arial" w:hAnsi="Arial"/>
          <w:sz w:val="21"/>
          <w:szCs w:val="21"/>
          <w:lang w:val="pl-PL"/>
        </w:rPr>
        <w:tab/>
      </w:r>
      <w:r w:rsidRPr="008A0C03">
        <w:rPr>
          <w:lang w:val="pl-PL"/>
        </w:rPr>
        <w:t>33. Trybunał zauważa, że skarga nie jest oczywiście bezzasadna w rozumieniu Artykułu 35 § 3 (a) Konwencji. Ponadto zauważa, że nie jest ona niedopuszczalna z jakichkolwiek innych powodów. Należy zatem uznać ją za dopuszczalną.</w:t>
      </w:r>
    </w:p>
    <w:p w:rsidR="00C309BD" w:rsidRPr="008A0C03" w:rsidRDefault="00C309BD" w:rsidP="00C309BD">
      <w:pPr>
        <w:pStyle w:val="ECHRHeading2"/>
        <w:outlineLvl w:val="0"/>
        <w:rPr>
          <w:lang w:val="pl-PL"/>
        </w:rPr>
      </w:pPr>
      <w:r w:rsidRPr="008A0C03">
        <w:rPr>
          <w:lang w:val="pl-PL"/>
        </w:rPr>
        <w:t>B. Meritum</w:t>
      </w:r>
    </w:p>
    <w:p w:rsidR="00C309BD" w:rsidRPr="008A0C03" w:rsidRDefault="00C309BD" w:rsidP="00C309BD">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8A0C03">
        <w:rPr>
          <w:rFonts w:asciiTheme="majorHAnsi" w:eastAsiaTheme="majorEastAsia" w:hAnsiTheme="majorHAnsi" w:cstheme="majorBidi"/>
          <w:bCs/>
          <w:i/>
          <w:lang w:val="pl-PL"/>
        </w:rPr>
        <w:t>1. Stanowiska stron</w:t>
      </w:r>
    </w:p>
    <w:p w:rsidR="00C309BD" w:rsidRPr="008A0C03" w:rsidRDefault="00C309BD" w:rsidP="00C309BD">
      <w:pPr>
        <w:ind w:firstLine="284"/>
        <w:rPr>
          <w:rFonts w:eastAsia="Times New Roman"/>
          <w:lang w:val="pl-PL"/>
        </w:rPr>
      </w:pPr>
      <w:r w:rsidRPr="008A0C03">
        <w:rPr>
          <w:rFonts w:ascii="Arial" w:hAnsi="Arial"/>
          <w:sz w:val="21"/>
          <w:szCs w:val="21"/>
          <w:lang w:val="pl-PL"/>
        </w:rPr>
        <w:tab/>
      </w:r>
      <w:r w:rsidRPr="008A0C03">
        <w:rPr>
          <w:rFonts w:eastAsia="Times New Roman"/>
          <w:lang w:val="pl-PL"/>
        </w:rPr>
        <w:t>34. Skarżący twierdził, iż postępowanie ekstradycyjne było zbyt długie, uwzględniając fakt, że sprawa, jego zdaniem, nie była skomplikowana.</w:t>
      </w:r>
    </w:p>
    <w:p w:rsidR="00C309BD" w:rsidRPr="008A0C03" w:rsidRDefault="00C309BD" w:rsidP="00C309BD">
      <w:pPr>
        <w:ind w:firstLine="284"/>
        <w:rPr>
          <w:rFonts w:eastAsia="Times New Roman"/>
          <w:lang w:val="pl-PL"/>
        </w:rPr>
      </w:pPr>
      <w:r w:rsidRPr="008A0C03">
        <w:rPr>
          <w:rFonts w:eastAsia="Times New Roman"/>
          <w:lang w:val="pl-PL"/>
        </w:rPr>
        <w:tab/>
        <w:t>35. Rząd zakwestionował zarzuty skarżącego i argumentował, iż zatrzymanie  będące przedmiotem zarzutów zostało zarządzone</w:t>
      </w:r>
      <w:r w:rsidR="00D350D0" w:rsidRPr="008A0C03">
        <w:rPr>
          <w:rFonts w:eastAsia="Times New Roman"/>
          <w:lang w:val="pl-PL"/>
        </w:rPr>
        <w:t xml:space="preserve"> w</w:t>
      </w:r>
      <w:r w:rsidRPr="008A0C03">
        <w:rPr>
          <w:rFonts w:eastAsia="Times New Roman"/>
          <w:lang w:val="pl-PL"/>
        </w:rPr>
        <w:t xml:space="preserve"> </w:t>
      </w:r>
      <w:r w:rsidR="00D350D0" w:rsidRPr="008A0C03">
        <w:rPr>
          <w:rFonts w:eastAsia="Times New Roman"/>
          <w:lang w:val="pl-PL"/>
        </w:rPr>
        <w:t xml:space="preserve">zgodzie z przepisami </w:t>
      </w:r>
      <w:r w:rsidRPr="008A0C03">
        <w:rPr>
          <w:rFonts w:eastAsia="Times New Roman"/>
          <w:lang w:val="pl-PL"/>
        </w:rPr>
        <w:t xml:space="preserve">o ekstradycji, co zostało uznane przez sądy włoskie, a jedynym </w:t>
      </w:r>
      <w:r w:rsidRPr="008A0C03">
        <w:rPr>
          <w:rFonts w:eastAsia="Times New Roman"/>
          <w:lang w:val="pl-PL"/>
        </w:rPr>
        <w:lastRenderedPageBreak/>
        <w:t>celem zatrzymania było</w:t>
      </w:r>
      <w:r w:rsidR="007128FB">
        <w:rPr>
          <w:rFonts w:eastAsia="Times New Roman"/>
          <w:lang w:val="pl-PL"/>
        </w:rPr>
        <w:t>,</w:t>
      </w:r>
      <w:r w:rsidRPr="008A0C03">
        <w:rPr>
          <w:rFonts w:eastAsia="Times New Roman"/>
          <w:lang w:val="pl-PL"/>
        </w:rPr>
        <w:t xml:space="preserve"> aby </w:t>
      </w:r>
      <w:r w:rsidR="00D350D0" w:rsidRPr="008A0C03">
        <w:rPr>
          <w:rFonts w:eastAsia="Times New Roman"/>
          <w:lang w:val="pl-PL"/>
        </w:rPr>
        <w:t>skarżący</w:t>
      </w:r>
      <w:r w:rsidR="007128FB">
        <w:rPr>
          <w:rFonts w:eastAsia="Times New Roman"/>
          <w:lang w:val="pl-PL"/>
        </w:rPr>
        <w:t xml:space="preserve"> został przekazany do sądu P</w:t>
      </w:r>
      <w:r w:rsidRPr="008A0C03">
        <w:rPr>
          <w:rFonts w:eastAsia="Times New Roman"/>
          <w:lang w:val="pl-PL"/>
        </w:rPr>
        <w:t xml:space="preserve">aństwa </w:t>
      </w:r>
      <w:r w:rsidR="00D350D0" w:rsidRPr="008A0C03">
        <w:rPr>
          <w:rFonts w:eastAsia="Times New Roman"/>
          <w:lang w:val="pl-PL"/>
        </w:rPr>
        <w:t>zwracającego się z wnioskiem o ekstradycję</w:t>
      </w:r>
      <w:r w:rsidRPr="008A0C03">
        <w:rPr>
          <w:rFonts w:eastAsia="Times New Roman"/>
          <w:lang w:val="pl-PL"/>
        </w:rPr>
        <w:t xml:space="preserve">. Rząd dodał, że </w:t>
      </w:r>
      <w:r w:rsidR="00D350D0" w:rsidRPr="008A0C03">
        <w:rPr>
          <w:rFonts w:eastAsia="Times New Roman"/>
          <w:lang w:val="pl-PL"/>
        </w:rPr>
        <w:t>skarżący</w:t>
      </w:r>
      <w:r w:rsidRPr="008A0C03">
        <w:rPr>
          <w:rFonts w:eastAsia="Times New Roman"/>
          <w:lang w:val="pl-PL"/>
        </w:rPr>
        <w:t xml:space="preserve"> nie wyraził zgody na ekstradycję, wskazując, że taka zgoda  oznaczałaby przyspieszenie postępowania, i że opóźnienie przesłuchania w harmonogramie Sądu Apelacyjnego omawianej sprawy można wyjaśnić trzema wnioskami o zwolnienie, które skarżący złożył w ter</w:t>
      </w:r>
      <w:r w:rsidR="007128FB">
        <w:rPr>
          <w:rFonts w:eastAsia="Times New Roman"/>
          <w:lang w:val="pl-PL"/>
        </w:rPr>
        <w:t>minie trzech miesięcy. Wreszcie</w:t>
      </w:r>
      <w:r w:rsidRPr="008A0C03">
        <w:rPr>
          <w:rFonts w:eastAsia="Times New Roman"/>
          <w:lang w:val="pl-PL"/>
        </w:rPr>
        <w:t xml:space="preserve"> </w:t>
      </w:r>
      <w:r w:rsidR="007128FB">
        <w:rPr>
          <w:rFonts w:eastAsia="Times New Roman"/>
          <w:lang w:val="pl-PL"/>
        </w:rPr>
        <w:t>uznali,</w:t>
      </w:r>
      <w:r w:rsidRPr="008A0C03">
        <w:rPr>
          <w:rFonts w:eastAsia="Times New Roman"/>
          <w:lang w:val="pl-PL"/>
        </w:rPr>
        <w:t xml:space="preserve"> iż przedmiotowe postępowanie, które skłoniło władze włoskie, zarówno sądowe jak i administracyjne do zezwoleni</w:t>
      </w:r>
      <w:r w:rsidR="007128FB">
        <w:rPr>
          <w:rFonts w:eastAsia="Times New Roman"/>
          <w:lang w:val="pl-PL"/>
        </w:rPr>
        <w:t>a na ekstradycję, zostało</w:t>
      </w:r>
      <w:r w:rsidRPr="008A0C03">
        <w:rPr>
          <w:rFonts w:eastAsia="Times New Roman"/>
          <w:lang w:val="pl-PL"/>
        </w:rPr>
        <w:t xml:space="preserve"> przeprowadzone w ramach terminów przewidzianych w przepisach prawa krajowego i międzynarodowego.</w:t>
      </w:r>
    </w:p>
    <w:p w:rsidR="00C309BD" w:rsidRPr="008A0C03" w:rsidRDefault="00C309BD" w:rsidP="00C309BD">
      <w:pPr>
        <w:pStyle w:val="ECHRPara"/>
        <w:rPr>
          <w:lang w:val="pl-PL"/>
        </w:rPr>
      </w:pPr>
    </w:p>
    <w:p w:rsidR="00C309BD" w:rsidRPr="008A0C03" w:rsidRDefault="00C309BD" w:rsidP="00C309BD">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8A0C03">
        <w:rPr>
          <w:rFonts w:asciiTheme="majorHAnsi" w:eastAsiaTheme="majorEastAsia" w:hAnsiTheme="majorHAnsi" w:cstheme="majorBidi"/>
          <w:bCs/>
          <w:i/>
          <w:lang w:val="pl-PL"/>
        </w:rPr>
        <w:t>2. Ocena Trybunału</w:t>
      </w:r>
    </w:p>
    <w:p w:rsidR="00C309BD" w:rsidRPr="008A0C03" w:rsidRDefault="00C309BD" w:rsidP="00C309BD">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8A0C03">
        <w:rPr>
          <w:rFonts w:asciiTheme="majorHAnsi" w:eastAsiaTheme="majorEastAsia" w:hAnsiTheme="majorHAnsi" w:cstheme="majorBidi"/>
          <w:b/>
          <w:bCs/>
          <w:iCs/>
          <w:sz w:val="20"/>
          <w:lang w:val="pl-PL"/>
        </w:rPr>
        <w:t>(a) Zgodność aresztu z prawem krajowym</w:t>
      </w:r>
    </w:p>
    <w:p w:rsidR="00C309BD" w:rsidRPr="008A0C03" w:rsidRDefault="00C309BD" w:rsidP="00C309BD">
      <w:pPr>
        <w:pStyle w:val="Textbody"/>
        <w:tabs>
          <w:tab w:val="left" w:pos="283"/>
        </w:tabs>
        <w:jc w:val="both"/>
        <w:rPr>
          <w:rFonts w:asciiTheme="majorHAnsi" w:hAnsiTheme="majorHAnsi" w:cstheme="majorHAnsi"/>
        </w:rPr>
      </w:pPr>
      <w:r w:rsidRPr="008A0C03">
        <w:rPr>
          <w:rFonts w:ascii="Arial" w:hAnsi="Arial"/>
          <w:sz w:val="21"/>
          <w:szCs w:val="21"/>
        </w:rPr>
        <w:tab/>
      </w:r>
      <w:r w:rsidRPr="008A0C03">
        <w:rPr>
          <w:rFonts w:asciiTheme="majorHAnsi" w:hAnsiTheme="majorHAnsi" w:cstheme="majorHAnsi"/>
        </w:rPr>
        <w:t>36. W</w:t>
      </w:r>
      <w:r w:rsidR="007128FB">
        <w:rPr>
          <w:rFonts w:asciiTheme="majorHAnsi" w:hAnsiTheme="majorHAnsi" w:cstheme="majorHAnsi"/>
        </w:rPr>
        <w:t xml:space="preserve"> celu ustalenia, czy aresztowanie</w:t>
      </w:r>
      <w:r w:rsidRPr="008A0C03">
        <w:rPr>
          <w:rFonts w:asciiTheme="majorHAnsi" w:hAnsiTheme="majorHAnsi" w:cstheme="majorHAnsi"/>
        </w:rPr>
        <w:t xml:space="preserve"> </w:t>
      </w:r>
      <w:r w:rsidR="001067B1" w:rsidRPr="008A0C03">
        <w:rPr>
          <w:rFonts w:asciiTheme="majorHAnsi" w:hAnsiTheme="majorHAnsi" w:cstheme="majorHAnsi"/>
        </w:rPr>
        <w:t>będące</w:t>
      </w:r>
      <w:r w:rsidRPr="008A0C03">
        <w:rPr>
          <w:rFonts w:asciiTheme="majorHAnsi" w:hAnsiTheme="majorHAnsi" w:cstheme="majorHAnsi"/>
        </w:rPr>
        <w:t xml:space="preserve"> przedmiotem sprawy było zgod</w:t>
      </w:r>
      <w:r w:rsidR="007128FB">
        <w:rPr>
          <w:rFonts w:asciiTheme="majorHAnsi" w:hAnsiTheme="majorHAnsi" w:cstheme="majorHAnsi"/>
        </w:rPr>
        <w:t>ne z a</w:t>
      </w:r>
      <w:r w:rsidRPr="008A0C03">
        <w:rPr>
          <w:rFonts w:asciiTheme="majorHAnsi" w:hAnsiTheme="majorHAnsi" w:cstheme="majorHAnsi"/>
        </w:rPr>
        <w:t xml:space="preserve">rtykułem 5 § 1 (f) Konwencji, Trybunał musi sprawdzić, czy pozbawienie wolności, a ponadto objęcie jednym z wyjątków określonych w podpunktach (a) do (f), </w:t>
      </w:r>
      <w:r w:rsidR="00C173CA" w:rsidRPr="008A0C03">
        <w:rPr>
          <w:rFonts w:asciiTheme="majorHAnsi" w:hAnsiTheme="majorHAnsi" w:cstheme="majorHAnsi"/>
        </w:rPr>
        <w:t>było</w:t>
      </w:r>
      <w:r w:rsidRPr="008A0C03">
        <w:rPr>
          <w:rFonts w:asciiTheme="majorHAnsi" w:hAnsiTheme="majorHAnsi" w:cstheme="majorHAnsi"/>
        </w:rPr>
        <w:t xml:space="preserve"> "legalne". Przypomina, że w przypadku gdy istotą spr</w:t>
      </w:r>
      <w:r w:rsidR="006C0438">
        <w:rPr>
          <w:rFonts w:asciiTheme="majorHAnsi" w:hAnsiTheme="majorHAnsi" w:cstheme="majorHAnsi"/>
        </w:rPr>
        <w:t>awy jest "legalność" aresztowania</w:t>
      </w:r>
      <w:r w:rsidRPr="008A0C03">
        <w:rPr>
          <w:rFonts w:asciiTheme="majorHAnsi" w:hAnsiTheme="majorHAnsi" w:cstheme="majorHAnsi"/>
        </w:rPr>
        <w:t>, w tym kwestia, czy "proc</w:t>
      </w:r>
      <w:r w:rsidR="006C0438">
        <w:rPr>
          <w:rFonts w:asciiTheme="majorHAnsi" w:hAnsiTheme="majorHAnsi" w:cstheme="majorHAnsi"/>
        </w:rPr>
        <w:t>edura przewidziana przez prawo"</w:t>
      </w:r>
      <w:r w:rsidRPr="008A0C03">
        <w:rPr>
          <w:rFonts w:asciiTheme="majorHAnsi" w:hAnsiTheme="majorHAnsi" w:cstheme="majorHAnsi"/>
        </w:rPr>
        <w:t xml:space="preserve"> była przestrzegana, Konwencja odnosi się zasadniczo do prawa krajowego i ustanawia obowiązek</w:t>
      </w:r>
      <w:r w:rsidR="00C173CA" w:rsidRPr="008A0C03">
        <w:rPr>
          <w:rFonts w:asciiTheme="majorHAnsi" w:hAnsiTheme="majorHAnsi" w:cstheme="majorHAnsi"/>
        </w:rPr>
        <w:t>,</w:t>
      </w:r>
      <w:r w:rsidRPr="008A0C03">
        <w:rPr>
          <w:rFonts w:asciiTheme="majorHAnsi" w:hAnsiTheme="majorHAnsi" w:cstheme="majorHAnsi"/>
        </w:rPr>
        <w:t xml:space="preserve"> </w:t>
      </w:r>
      <w:r w:rsidR="00C173CA" w:rsidRPr="008A0C03">
        <w:rPr>
          <w:rFonts w:asciiTheme="majorHAnsi" w:hAnsiTheme="majorHAnsi" w:cstheme="majorHAnsi"/>
        </w:rPr>
        <w:t>aby zachowana była zgodność</w:t>
      </w:r>
      <w:r w:rsidRPr="008A0C03">
        <w:rPr>
          <w:rFonts w:asciiTheme="majorHAnsi" w:hAnsiTheme="majorHAnsi" w:cstheme="majorHAnsi"/>
        </w:rPr>
        <w:t xml:space="preserve"> z materialnym i proceduralnym prawem krajowym (zob</w:t>
      </w:r>
      <w:r w:rsidR="001067B1">
        <w:rPr>
          <w:rFonts w:asciiTheme="majorHAnsi" w:hAnsiTheme="majorHAnsi" w:cstheme="majorHAnsi"/>
        </w:rPr>
        <w:t>.</w:t>
      </w:r>
      <w:r w:rsidRPr="008A0C03">
        <w:rPr>
          <w:rFonts w:asciiTheme="majorHAnsi" w:hAnsiTheme="majorHAnsi" w:cstheme="majorHAnsi"/>
          <w:i/>
          <w:iCs/>
        </w:rPr>
        <w:t xml:space="preserve"> Saadi przeciwko Zjednoczonemu Królestwu</w:t>
      </w:r>
      <w:r w:rsidRPr="008A0C03">
        <w:rPr>
          <w:rFonts w:asciiTheme="majorHAnsi" w:hAnsiTheme="majorHAnsi" w:cstheme="majorHAnsi"/>
        </w:rPr>
        <w:t xml:space="preserve"> [GC], nr 13229/03, §§. 67, ETPCz 2008)</w:t>
      </w:r>
    </w:p>
    <w:p w:rsidR="00C309BD" w:rsidRPr="008A0C03" w:rsidRDefault="006C0438" w:rsidP="00C309BD">
      <w:pPr>
        <w:pStyle w:val="Textbody"/>
        <w:tabs>
          <w:tab w:val="left" w:pos="283"/>
        </w:tabs>
        <w:jc w:val="both"/>
        <w:rPr>
          <w:rFonts w:asciiTheme="majorHAnsi" w:hAnsiTheme="majorHAnsi" w:cstheme="majorHAnsi"/>
        </w:rPr>
      </w:pPr>
      <w:r>
        <w:rPr>
          <w:rFonts w:asciiTheme="majorHAnsi" w:hAnsiTheme="majorHAnsi" w:cstheme="majorHAnsi"/>
        </w:rPr>
        <w:tab/>
        <w:t>37. W niniejszej sprawie</w:t>
      </w:r>
      <w:r w:rsidR="00C309BD" w:rsidRPr="008A0C03">
        <w:rPr>
          <w:rFonts w:asciiTheme="majorHAnsi" w:hAnsiTheme="majorHAnsi" w:cstheme="majorHAnsi"/>
        </w:rPr>
        <w:t xml:space="preserve"> Trybunał zauważył,</w:t>
      </w:r>
      <w:r w:rsidR="00C173CA" w:rsidRPr="008A0C03">
        <w:rPr>
          <w:rFonts w:asciiTheme="majorHAnsi" w:hAnsiTheme="majorHAnsi" w:cstheme="majorHAnsi"/>
        </w:rPr>
        <w:t xml:space="preserve"> że</w:t>
      </w:r>
      <w:r w:rsidR="00C309BD" w:rsidRPr="008A0C03">
        <w:rPr>
          <w:rFonts w:asciiTheme="majorHAnsi" w:hAnsiTheme="majorHAnsi" w:cstheme="majorHAnsi"/>
        </w:rPr>
        <w:t xml:space="preserve"> będąc bardziej kompetentnym niż organy Konwencji w celu sprawdzenia</w:t>
      </w:r>
      <w:r w:rsidR="00C173CA" w:rsidRPr="008A0C03">
        <w:rPr>
          <w:rFonts w:asciiTheme="majorHAnsi" w:hAnsiTheme="majorHAnsi" w:cstheme="majorHAnsi"/>
        </w:rPr>
        <w:t xml:space="preserve"> zgodności z prawem krajowym,</w:t>
      </w:r>
      <w:r w:rsidR="00C309BD" w:rsidRPr="008A0C03">
        <w:rPr>
          <w:rFonts w:asciiTheme="majorHAnsi" w:hAnsiTheme="majorHAnsi" w:cstheme="majorHAnsi"/>
        </w:rPr>
        <w:t xml:space="preserve"> sądy krajowe, wezwane przez </w:t>
      </w:r>
      <w:r w:rsidR="00C173CA" w:rsidRPr="008A0C03">
        <w:rPr>
          <w:rFonts w:asciiTheme="majorHAnsi" w:hAnsiTheme="majorHAnsi" w:cstheme="majorHAnsi"/>
        </w:rPr>
        <w:t>skarżącego</w:t>
      </w:r>
      <w:r w:rsidR="00C309BD" w:rsidRPr="008A0C03">
        <w:rPr>
          <w:rFonts w:asciiTheme="majorHAnsi" w:hAnsiTheme="majorHAnsi" w:cstheme="majorHAnsi"/>
        </w:rPr>
        <w:t xml:space="preserve"> lub </w:t>
      </w:r>
      <w:r w:rsidR="00C173CA" w:rsidRPr="008A0C03">
        <w:rPr>
          <w:rFonts w:asciiTheme="majorHAnsi" w:hAnsiTheme="majorHAnsi" w:cstheme="majorHAnsi"/>
        </w:rPr>
        <w:t>gdy prawo krajowe tego wymaga</w:t>
      </w:r>
      <w:r w:rsidR="00C309BD" w:rsidRPr="008A0C03">
        <w:rPr>
          <w:rFonts w:asciiTheme="majorHAnsi" w:hAnsiTheme="majorHAnsi" w:cstheme="majorHAnsi"/>
        </w:rPr>
        <w:t>, orzekły że środe</w:t>
      </w:r>
      <w:r>
        <w:rPr>
          <w:rFonts w:asciiTheme="majorHAnsi" w:hAnsiTheme="majorHAnsi" w:cstheme="majorHAnsi"/>
        </w:rPr>
        <w:t>k zapobiegawczy w formie tymczasowego aresztowania</w:t>
      </w:r>
      <w:r w:rsidR="00C309BD" w:rsidRPr="008A0C03">
        <w:rPr>
          <w:rFonts w:asciiTheme="majorHAnsi" w:hAnsiTheme="majorHAnsi" w:cstheme="majorHAnsi"/>
        </w:rPr>
        <w:t xml:space="preserve"> był</w:t>
      </w:r>
      <w:r w:rsidR="00C173CA" w:rsidRPr="008A0C03">
        <w:rPr>
          <w:rFonts w:asciiTheme="majorHAnsi" w:hAnsiTheme="majorHAnsi" w:cstheme="majorHAnsi"/>
        </w:rPr>
        <w:t xml:space="preserve"> legalny w początkowej fazie</w:t>
      </w:r>
      <w:r>
        <w:rPr>
          <w:rFonts w:asciiTheme="majorHAnsi" w:hAnsiTheme="majorHAnsi" w:cstheme="majorHAnsi"/>
        </w:rPr>
        <w:t xml:space="preserve"> i w odniesieniu do jego celu. Na wstępie</w:t>
      </w:r>
      <w:r w:rsidR="001F67E4" w:rsidRPr="008A0C03">
        <w:rPr>
          <w:rFonts w:asciiTheme="majorHAnsi" w:hAnsiTheme="majorHAnsi" w:cstheme="majorHAnsi"/>
        </w:rPr>
        <w:t xml:space="preserve"> </w:t>
      </w:r>
      <w:r w:rsidR="00C309BD" w:rsidRPr="008A0C03">
        <w:rPr>
          <w:rFonts w:asciiTheme="majorHAnsi" w:hAnsiTheme="majorHAnsi" w:cstheme="majorHAnsi"/>
        </w:rPr>
        <w:t xml:space="preserve">Sąd Apelacyjny w </w:t>
      </w:r>
      <w:proofErr w:type="spellStart"/>
      <w:r w:rsidR="00C309BD" w:rsidRPr="008A0C03">
        <w:rPr>
          <w:rFonts w:asciiTheme="majorHAnsi" w:hAnsiTheme="majorHAnsi" w:cstheme="majorHAnsi"/>
        </w:rPr>
        <w:t>Aquilli</w:t>
      </w:r>
      <w:proofErr w:type="spellEnd"/>
      <w:r w:rsidR="00C309BD" w:rsidRPr="008A0C03">
        <w:rPr>
          <w:rFonts w:asciiTheme="majorHAnsi" w:hAnsiTheme="majorHAnsi" w:cstheme="majorHAnsi"/>
        </w:rPr>
        <w:t xml:space="preserve"> potwierdził aresztowanie </w:t>
      </w:r>
      <w:r w:rsidR="00C173CA" w:rsidRPr="008A0C03">
        <w:rPr>
          <w:rFonts w:asciiTheme="majorHAnsi" w:hAnsiTheme="majorHAnsi" w:cstheme="majorHAnsi"/>
        </w:rPr>
        <w:t>skarżącego</w:t>
      </w:r>
      <w:r>
        <w:rPr>
          <w:rFonts w:asciiTheme="majorHAnsi" w:hAnsiTheme="majorHAnsi" w:cstheme="majorHAnsi"/>
        </w:rPr>
        <w:t>, a następnie</w:t>
      </w:r>
      <w:r w:rsidR="00C309BD" w:rsidRPr="008A0C03">
        <w:rPr>
          <w:rFonts w:asciiTheme="majorHAnsi" w:hAnsiTheme="majorHAnsi" w:cstheme="majorHAnsi"/>
        </w:rPr>
        <w:t xml:space="preserve"> Sąd Apelacyjny i Sąd Kasacyjny zweryfikowały, że wniosek o ekstradycję został wysłany przez władze greckie w okresie </w:t>
      </w:r>
      <w:r>
        <w:rPr>
          <w:rFonts w:asciiTheme="majorHAnsi" w:hAnsiTheme="majorHAnsi" w:cstheme="majorHAnsi"/>
        </w:rPr>
        <w:t>czterdziestu dni, określonym w a</w:t>
      </w:r>
      <w:r w:rsidR="00C309BD" w:rsidRPr="008A0C03">
        <w:rPr>
          <w:rFonts w:asciiTheme="majorHAnsi" w:hAnsiTheme="majorHAnsi" w:cstheme="majorHAnsi"/>
        </w:rPr>
        <w:t>rtykule 16 § 4 Europejskiej Konwencji o Ekstradycji (patrz:</w:t>
      </w:r>
      <w:r w:rsidR="00C173CA" w:rsidRPr="008A0C03">
        <w:rPr>
          <w:rFonts w:asciiTheme="majorHAnsi" w:hAnsiTheme="majorHAnsi" w:cstheme="majorHAnsi"/>
        </w:rPr>
        <w:t xml:space="preserve"> paragraf 15, 17 i 21 powyżej).</w:t>
      </w:r>
      <w:r w:rsidR="00C309BD" w:rsidRPr="008A0C03">
        <w:rPr>
          <w:rFonts w:asciiTheme="majorHAnsi" w:hAnsiTheme="majorHAnsi" w:cstheme="majorHAnsi"/>
        </w:rPr>
        <w:t xml:space="preserve"> Wre</w:t>
      </w:r>
      <w:r w:rsidR="00C173CA" w:rsidRPr="008A0C03">
        <w:rPr>
          <w:rFonts w:asciiTheme="majorHAnsi" w:hAnsiTheme="majorHAnsi" w:cstheme="majorHAnsi"/>
        </w:rPr>
        <w:t>szcie, w trzech przypadkach, sądy</w:t>
      </w:r>
      <w:r w:rsidR="00C309BD" w:rsidRPr="008A0C03">
        <w:rPr>
          <w:rFonts w:asciiTheme="majorHAnsi" w:hAnsiTheme="majorHAnsi" w:cstheme="majorHAnsi"/>
        </w:rPr>
        <w:t xml:space="preserve"> ustalił</w:t>
      </w:r>
      <w:r w:rsidR="00C173CA" w:rsidRPr="008A0C03">
        <w:rPr>
          <w:rFonts w:asciiTheme="majorHAnsi" w:hAnsiTheme="majorHAnsi" w:cstheme="majorHAnsi"/>
        </w:rPr>
        <w:t>y</w:t>
      </w:r>
      <w:r w:rsidR="00C309BD" w:rsidRPr="008A0C03">
        <w:rPr>
          <w:rFonts w:asciiTheme="majorHAnsi" w:hAnsiTheme="majorHAnsi" w:cstheme="majorHAnsi"/>
        </w:rPr>
        <w:t>, że przyjęcie i utrzyman</w:t>
      </w:r>
      <w:r>
        <w:rPr>
          <w:rFonts w:asciiTheme="majorHAnsi" w:hAnsiTheme="majorHAnsi" w:cstheme="majorHAnsi"/>
        </w:rPr>
        <w:t>ie środk</w:t>
      </w:r>
      <w:r w:rsidR="00C62354">
        <w:rPr>
          <w:rFonts w:asciiTheme="majorHAnsi" w:hAnsiTheme="majorHAnsi" w:cstheme="majorHAnsi"/>
        </w:rPr>
        <w:t>ów</w:t>
      </w:r>
      <w:r>
        <w:rPr>
          <w:rFonts w:asciiTheme="majorHAnsi" w:hAnsiTheme="majorHAnsi" w:cstheme="majorHAnsi"/>
        </w:rPr>
        <w:t xml:space="preserve"> zapobiegawcz</w:t>
      </w:r>
      <w:r w:rsidR="00C62354">
        <w:rPr>
          <w:rFonts w:asciiTheme="majorHAnsi" w:hAnsiTheme="majorHAnsi" w:cstheme="majorHAnsi"/>
        </w:rPr>
        <w:t>ych</w:t>
      </w:r>
      <w:r w:rsidR="00C173CA" w:rsidRPr="008A0C03">
        <w:rPr>
          <w:rFonts w:asciiTheme="majorHAnsi" w:hAnsiTheme="majorHAnsi" w:cstheme="majorHAnsi"/>
        </w:rPr>
        <w:t xml:space="preserve"> było</w:t>
      </w:r>
      <w:r w:rsidR="00C309BD" w:rsidRPr="008A0C03">
        <w:rPr>
          <w:rFonts w:asciiTheme="majorHAnsi" w:hAnsiTheme="majorHAnsi" w:cstheme="majorHAnsi"/>
        </w:rPr>
        <w:t xml:space="preserve"> uzasadnione przez konieczność przestrzegania zobowiązań międzynarodowych pa</w:t>
      </w:r>
      <w:r w:rsidR="00C62354">
        <w:rPr>
          <w:rFonts w:asciiTheme="majorHAnsi" w:hAnsiTheme="majorHAnsi" w:cstheme="majorHAnsi"/>
        </w:rPr>
        <w:t>ństwa oraz istnienie ryzyka, że</w:t>
      </w:r>
      <w:r w:rsidR="00C309BD" w:rsidRPr="008A0C03">
        <w:rPr>
          <w:rFonts w:asciiTheme="majorHAnsi" w:hAnsiTheme="majorHAnsi" w:cstheme="majorHAnsi"/>
        </w:rPr>
        <w:t xml:space="preserve"> </w:t>
      </w:r>
      <w:r w:rsidR="00C173CA" w:rsidRPr="008A0C03">
        <w:rPr>
          <w:rFonts w:asciiTheme="majorHAnsi" w:hAnsiTheme="majorHAnsi" w:cstheme="majorHAnsi"/>
        </w:rPr>
        <w:t xml:space="preserve">skarżący </w:t>
      </w:r>
      <w:r w:rsidR="00C309BD" w:rsidRPr="008A0C03">
        <w:rPr>
          <w:rFonts w:asciiTheme="majorHAnsi" w:hAnsiTheme="majorHAnsi" w:cstheme="majorHAnsi"/>
        </w:rPr>
        <w:t>mógłby zbiec (patrz paragraf 18 powyżej).</w:t>
      </w:r>
    </w:p>
    <w:p w:rsidR="00C309BD" w:rsidRPr="008A0C03" w:rsidRDefault="00C309BD" w:rsidP="00C309BD">
      <w:pPr>
        <w:pStyle w:val="Textbody"/>
        <w:tabs>
          <w:tab w:val="left" w:pos="283"/>
        </w:tabs>
        <w:jc w:val="both"/>
        <w:rPr>
          <w:rFonts w:asciiTheme="majorHAnsi" w:hAnsiTheme="majorHAnsi" w:cstheme="majorHAnsi"/>
        </w:rPr>
      </w:pPr>
      <w:r w:rsidRPr="008A0C03">
        <w:rPr>
          <w:rFonts w:asciiTheme="majorHAnsi" w:hAnsiTheme="majorHAnsi" w:cstheme="majorHAnsi"/>
        </w:rPr>
        <w:tab/>
        <w:t>38. W tych okolicznościach Trybunał nie doszukał się żadnego dowodu sugerującego, że zatrzymanie w oczekiwaniu na ekstradycję realizowało cele inne niż te, dla których zostało nakazane lub że nie było zgodne z prawem krajowym.</w:t>
      </w:r>
    </w:p>
    <w:p w:rsidR="00C309BD" w:rsidRPr="008A0C03" w:rsidRDefault="00C309BD" w:rsidP="00C309BD">
      <w:pPr>
        <w:keepNext/>
        <w:keepLines/>
        <w:tabs>
          <w:tab w:val="left" w:pos="975"/>
        </w:tabs>
        <w:spacing w:before="240" w:after="120"/>
        <w:ind w:left="975" w:hanging="340"/>
        <w:outlineLvl w:val="3"/>
        <w:rPr>
          <w:rFonts w:asciiTheme="majorHAnsi" w:eastAsia="Times New Roman" w:hAnsiTheme="majorHAnsi" w:cstheme="majorBidi"/>
          <w:b/>
          <w:bCs/>
          <w:iCs/>
          <w:sz w:val="20"/>
          <w:lang w:val="pl-PL"/>
        </w:rPr>
      </w:pPr>
      <w:r w:rsidRPr="008A0C03">
        <w:rPr>
          <w:rFonts w:asciiTheme="majorHAnsi" w:eastAsia="Times New Roman" w:hAnsiTheme="majorHAnsi" w:cstheme="majorBidi"/>
          <w:b/>
          <w:bCs/>
          <w:iCs/>
          <w:sz w:val="20"/>
          <w:lang w:val="pl-PL"/>
        </w:rPr>
        <w:lastRenderedPageBreak/>
        <w:t>(b) Czy zatrzymanie było arbitralne</w:t>
      </w:r>
      <w:r w:rsidRPr="008A0C03">
        <w:rPr>
          <w:rFonts w:asciiTheme="majorHAnsi" w:eastAsia="Times New Roman" w:hAnsiTheme="majorHAnsi" w:cstheme="majorBidi"/>
          <w:b/>
          <w:bCs/>
          <w:iCs/>
          <w:sz w:val="20"/>
          <w:lang w:val="pl-PL"/>
        </w:rPr>
        <w:tab/>
      </w:r>
    </w:p>
    <w:p w:rsidR="00C309BD" w:rsidRPr="008A0C03" w:rsidRDefault="00C309BD" w:rsidP="00C309BD">
      <w:pPr>
        <w:pStyle w:val="Textbody"/>
        <w:tabs>
          <w:tab w:val="left" w:pos="283"/>
        </w:tabs>
        <w:jc w:val="both"/>
        <w:rPr>
          <w:rFonts w:asciiTheme="majorHAnsi" w:hAnsiTheme="majorHAnsi" w:cstheme="majorHAnsi"/>
        </w:rPr>
      </w:pPr>
      <w:r w:rsidRPr="008A0C03">
        <w:rPr>
          <w:rFonts w:ascii="Arial" w:hAnsi="Arial"/>
          <w:sz w:val="21"/>
          <w:szCs w:val="21"/>
        </w:rPr>
        <w:tab/>
      </w:r>
      <w:r w:rsidRPr="008A0C03">
        <w:rPr>
          <w:rFonts w:asciiTheme="majorHAnsi" w:hAnsiTheme="majorHAnsi" w:cstheme="majorHAnsi"/>
        </w:rPr>
        <w:t>39. Trybunał zauważa, że wbrew temu, co twierdzi Rz</w:t>
      </w:r>
      <w:r w:rsidR="00C173CA" w:rsidRPr="008A0C03">
        <w:rPr>
          <w:rFonts w:asciiTheme="majorHAnsi" w:hAnsiTheme="majorHAnsi" w:cstheme="majorHAnsi"/>
        </w:rPr>
        <w:t>ąd</w:t>
      </w:r>
      <w:r w:rsidRPr="008A0C03">
        <w:rPr>
          <w:rFonts w:asciiTheme="majorHAnsi" w:hAnsiTheme="majorHAnsi" w:cstheme="majorHAnsi"/>
        </w:rPr>
        <w:t xml:space="preserve">, przestrzeganie terminów przewidzianych w prawie krajowym nie może być traktowane  automatycznie jako sankcjonowanie aresztowania </w:t>
      </w:r>
      <w:r w:rsidR="00F0465D" w:rsidRPr="008A0C03">
        <w:rPr>
          <w:rFonts w:asciiTheme="majorHAnsi" w:hAnsiTheme="majorHAnsi" w:cstheme="majorHAnsi"/>
        </w:rPr>
        <w:t>skarżącego</w:t>
      </w:r>
      <w:r w:rsidRPr="008A0C03">
        <w:rPr>
          <w:rFonts w:asciiTheme="majorHAnsi" w:hAnsiTheme="majorHAnsi" w:cstheme="majorHAnsi"/>
        </w:rPr>
        <w:t xml:space="preserve"> w oparciu o zgodność z Artykułem 5 § 1 (f) Konwencji (patrz</w:t>
      </w:r>
      <w:r w:rsidRPr="008A0C03">
        <w:rPr>
          <w:rFonts w:asciiTheme="majorHAnsi" w:hAnsiTheme="majorHAnsi" w:cstheme="majorHAnsi"/>
          <w:i/>
          <w:iCs/>
        </w:rPr>
        <w:t xml:space="preserve"> </w:t>
      </w:r>
      <w:proofErr w:type="spellStart"/>
      <w:r w:rsidRPr="008A0C03">
        <w:rPr>
          <w:rFonts w:asciiTheme="majorHAnsi" w:hAnsiTheme="majorHAnsi" w:cstheme="majorHAnsi"/>
          <w:i/>
          <w:iCs/>
        </w:rPr>
        <w:t>Auad</w:t>
      </w:r>
      <w:proofErr w:type="spellEnd"/>
      <w:r w:rsidRPr="008A0C03">
        <w:rPr>
          <w:rFonts w:asciiTheme="majorHAnsi" w:hAnsiTheme="majorHAnsi" w:cstheme="majorHAnsi"/>
          <w:i/>
          <w:iCs/>
        </w:rPr>
        <w:t xml:space="preserve"> przeciw Bułgarii</w:t>
      </w:r>
      <w:r w:rsidRPr="008A0C03">
        <w:rPr>
          <w:rFonts w:asciiTheme="majorHAnsi" w:hAnsiTheme="majorHAnsi" w:cstheme="majorHAnsi"/>
        </w:rPr>
        <w:t>, nr 46390/10, § 131, 11 października 2011). Artykuł 5 § 1 wymaga ponadto, aby każde pozbawienie wolności było zgodne z celem ochrony jednostki przed arbitralnością (patrz, między innymi,</w:t>
      </w:r>
      <w:r w:rsidRPr="008A0C03">
        <w:rPr>
          <w:rFonts w:asciiTheme="majorHAnsi" w:hAnsiTheme="majorHAnsi" w:cstheme="majorHAnsi"/>
          <w:i/>
          <w:iCs/>
        </w:rPr>
        <w:t xml:space="preserve"> </w:t>
      </w:r>
      <w:proofErr w:type="spellStart"/>
      <w:r w:rsidRPr="008A0C03">
        <w:rPr>
          <w:rFonts w:asciiTheme="majorHAnsi" w:hAnsiTheme="majorHAnsi" w:cstheme="majorHAnsi"/>
          <w:i/>
          <w:iCs/>
        </w:rPr>
        <w:t>Winterwerp</w:t>
      </w:r>
      <w:proofErr w:type="spellEnd"/>
      <w:r w:rsidRPr="008A0C03">
        <w:rPr>
          <w:rFonts w:asciiTheme="majorHAnsi" w:hAnsiTheme="majorHAnsi" w:cstheme="majorHAnsi"/>
          <w:i/>
          <w:iCs/>
        </w:rPr>
        <w:t xml:space="preserve"> przeciwko Holandi</w:t>
      </w:r>
      <w:r w:rsidRPr="008A0C03">
        <w:rPr>
          <w:rFonts w:asciiTheme="majorHAnsi" w:hAnsiTheme="majorHAnsi" w:cstheme="majorHAnsi"/>
        </w:rPr>
        <w:t xml:space="preserve">i, 24 października 1979, § 37, Seria A nr. 33;. </w:t>
      </w:r>
      <w:proofErr w:type="spellStart"/>
      <w:r w:rsidRPr="008A0C03">
        <w:rPr>
          <w:rFonts w:asciiTheme="majorHAnsi" w:hAnsiTheme="majorHAnsi" w:cstheme="majorHAnsi"/>
          <w:i/>
          <w:iCs/>
        </w:rPr>
        <w:t>Amuur</w:t>
      </w:r>
      <w:proofErr w:type="spellEnd"/>
      <w:r w:rsidRPr="008A0C03">
        <w:rPr>
          <w:rFonts w:asciiTheme="majorHAnsi" w:hAnsiTheme="majorHAnsi" w:cstheme="majorHAnsi"/>
          <w:i/>
          <w:iCs/>
        </w:rPr>
        <w:t xml:space="preserve"> przeciwko Francji</w:t>
      </w:r>
      <w:r w:rsidRPr="008A0C03">
        <w:rPr>
          <w:rFonts w:asciiTheme="majorHAnsi" w:hAnsiTheme="majorHAnsi" w:cstheme="majorHAnsi"/>
        </w:rPr>
        <w:t xml:space="preserve">, 25 czerwca 1996, § 50, </w:t>
      </w:r>
      <w:r w:rsidRPr="008A0C03">
        <w:rPr>
          <w:rFonts w:asciiTheme="majorHAnsi" w:hAnsiTheme="majorHAnsi" w:cstheme="majorHAnsi"/>
          <w:i/>
          <w:iCs/>
        </w:rPr>
        <w:t>Raporty</w:t>
      </w:r>
      <w:r w:rsidRPr="008A0C03">
        <w:rPr>
          <w:rFonts w:asciiTheme="majorHAnsi" w:hAnsiTheme="majorHAnsi" w:cstheme="majorHAnsi"/>
        </w:rPr>
        <w:t xml:space="preserve"> 1996 III; i</w:t>
      </w:r>
      <w:r w:rsidRPr="008A0C03">
        <w:rPr>
          <w:rFonts w:asciiTheme="majorHAnsi" w:hAnsiTheme="majorHAnsi" w:cstheme="majorHAnsi"/>
          <w:i/>
          <w:iCs/>
        </w:rPr>
        <w:t xml:space="preserve"> Witold Litwa przeciwko Polsce</w:t>
      </w:r>
      <w:r w:rsidRPr="008A0C03">
        <w:rPr>
          <w:rFonts w:asciiTheme="majorHAnsi" w:hAnsiTheme="majorHAnsi" w:cstheme="majorHAnsi"/>
        </w:rPr>
        <w:t>, nr 26629/95, § 78, ETPCz 2000-III). Jest to podstawowa zasada, że żadne zatrzymanie, które jest arbitralne nie może być zg</w:t>
      </w:r>
      <w:r w:rsidR="00F0465D" w:rsidRPr="008A0C03">
        <w:rPr>
          <w:rFonts w:asciiTheme="majorHAnsi" w:hAnsiTheme="majorHAnsi" w:cstheme="majorHAnsi"/>
        </w:rPr>
        <w:t>odne z artykułem 5 § 1 i pojęcie</w:t>
      </w:r>
      <w:r w:rsidRPr="008A0C03">
        <w:rPr>
          <w:rFonts w:asciiTheme="majorHAnsi" w:hAnsiTheme="majorHAnsi" w:cstheme="majorHAnsi"/>
        </w:rPr>
        <w:t xml:space="preserve"> "arbitralności" w artykule 5 § 1 wykracza poza brak zgodności z prawem krajowym, tak, że pozbawienie wolności może być legalne w warunkach prawa krajowego, ale</w:t>
      </w:r>
      <w:r w:rsidR="00F0465D" w:rsidRPr="008A0C03">
        <w:rPr>
          <w:rFonts w:asciiTheme="majorHAnsi" w:hAnsiTheme="majorHAnsi" w:cstheme="majorHAnsi"/>
        </w:rPr>
        <w:t xml:space="preserve"> wciąż</w:t>
      </w:r>
      <w:r w:rsidRPr="008A0C03">
        <w:rPr>
          <w:rFonts w:asciiTheme="majorHAnsi" w:hAnsiTheme="majorHAnsi" w:cstheme="majorHAnsi"/>
        </w:rPr>
        <w:t xml:space="preserve"> arbitralne</w:t>
      </w:r>
      <w:r w:rsidR="00F0465D" w:rsidRPr="008A0C03">
        <w:rPr>
          <w:rFonts w:asciiTheme="majorHAnsi" w:hAnsiTheme="majorHAnsi" w:cstheme="majorHAnsi"/>
        </w:rPr>
        <w:t>,</w:t>
      </w:r>
      <w:r w:rsidRPr="008A0C03">
        <w:rPr>
          <w:rFonts w:asciiTheme="majorHAnsi" w:hAnsiTheme="majorHAnsi" w:cstheme="majorHAnsi"/>
        </w:rPr>
        <w:t xml:space="preserve"> a zatem niezgodne z konwencją (patrz </w:t>
      </w:r>
      <w:r w:rsidRPr="008A0C03">
        <w:rPr>
          <w:rFonts w:asciiTheme="majorHAnsi" w:hAnsiTheme="majorHAnsi" w:cstheme="majorHAnsi"/>
          <w:i/>
          <w:iCs/>
        </w:rPr>
        <w:t>Saadi</w:t>
      </w:r>
      <w:r w:rsidRPr="008A0C03">
        <w:rPr>
          <w:rFonts w:asciiTheme="majorHAnsi" w:hAnsiTheme="majorHAnsi" w:cstheme="majorHAnsi"/>
        </w:rPr>
        <w:t xml:space="preserve">, cytowany powyżej, § 67 i </w:t>
      </w:r>
      <w:proofErr w:type="spellStart"/>
      <w:r w:rsidRPr="008A0C03">
        <w:rPr>
          <w:rFonts w:asciiTheme="majorHAnsi" w:hAnsiTheme="majorHAnsi" w:cstheme="majorHAnsi"/>
          <w:i/>
          <w:iCs/>
        </w:rPr>
        <w:t>Suso</w:t>
      </w:r>
      <w:proofErr w:type="spellEnd"/>
      <w:r w:rsidRPr="008A0C03">
        <w:rPr>
          <w:rFonts w:asciiTheme="majorHAnsi" w:hAnsiTheme="majorHAnsi" w:cstheme="majorHAnsi"/>
          <w:i/>
          <w:iCs/>
        </w:rPr>
        <w:t xml:space="preserve"> </w:t>
      </w:r>
      <w:proofErr w:type="spellStart"/>
      <w:r w:rsidRPr="008A0C03">
        <w:rPr>
          <w:rFonts w:asciiTheme="majorHAnsi" w:hAnsiTheme="majorHAnsi" w:cstheme="majorHAnsi"/>
          <w:i/>
          <w:iCs/>
        </w:rPr>
        <w:t>Musa</w:t>
      </w:r>
      <w:proofErr w:type="spellEnd"/>
      <w:r w:rsidRPr="008A0C03">
        <w:rPr>
          <w:rFonts w:asciiTheme="majorHAnsi" w:hAnsiTheme="majorHAnsi" w:cstheme="majorHAnsi"/>
          <w:i/>
          <w:iCs/>
        </w:rPr>
        <w:t xml:space="preserve"> przeciwko </w:t>
      </w:r>
      <w:proofErr w:type="spellStart"/>
      <w:r w:rsidRPr="008A0C03">
        <w:rPr>
          <w:rFonts w:asciiTheme="majorHAnsi" w:hAnsiTheme="majorHAnsi" w:cstheme="majorHAnsi"/>
          <w:i/>
          <w:iCs/>
        </w:rPr>
        <w:t>Maltcie</w:t>
      </w:r>
      <w:proofErr w:type="spellEnd"/>
      <w:r w:rsidRPr="008A0C03">
        <w:rPr>
          <w:rFonts w:asciiTheme="majorHAnsi" w:hAnsiTheme="majorHAnsi" w:cstheme="majorHAnsi"/>
        </w:rPr>
        <w:t>, nr 42337/12, § 92, 23 lipca 2013 roku).</w:t>
      </w:r>
    </w:p>
    <w:p w:rsidR="00C309BD" w:rsidRPr="008A0C03" w:rsidRDefault="00C309BD" w:rsidP="00C309BD">
      <w:pPr>
        <w:pStyle w:val="Textbody"/>
        <w:tabs>
          <w:tab w:val="left" w:pos="283"/>
        </w:tabs>
        <w:jc w:val="both"/>
        <w:rPr>
          <w:rFonts w:asciiTheme="majorHAnsi" w:hAnsiTheme="majorHAnsi" w:cstheme="majorHAnsi"/>
        </w:rPr>
      </w:pPr>
      <w:r w:rsidRPr="008A0C03">
        <w:rPr>
          <w:rFonts w:asciiTheme="majorHAnsi" w:hAnsiTheme="majorHAnsi" w:cstheme="majorHAnsi"/>
        </w:rPr>
        <w:tab/>
        <w:t>40. Trybunał pragnie ponadto podkreślić, że każde pozbawienie wo</w:t>
      </w:r>
      <w:r w:rsidR="00316ED2">
        <w:rPr>
          <w:rFonts w:asciiTheme="majorHAnsi" w:hAnsiTheme="majorHAnsi" w:cstheme="majorHAnsi"/>
        </w:rPr>
        <w:t>lności na podstawie a</w:t>
      </w:r>
      <w:r w:rsidRPr="008A0C03">
        <w:rPr>
          <w:rFonts w:asciiTheme="majorHAnsi" w:hAnsiTheme="majorHAnsi" w:cstheme="majorHAnsi"/>
        </w:rPr>
        <w:t>rtykułu 5 § 1 (f) będzie uzasadnione tylko dopóty, dopóki postępo</w:t>
      </w:r>
      <w:r w:rsidR="00316ED2">
        <w:rPr>
          <w:rFonts w:asciiTheme="majorHAnsi" w:hAnsiTheme="majorHAnsi" w:cstheme="majorHAnsi"/>
        </w:rPr>
        <w:t>wanie o ekstradycję jest w toku</w:t>
      </w:r>
      <w:r w:rsidR="00B74C75">
        <w:rPr>
          <w:rFonts w:asciiTheme="majorHAnsi" w:hAnsiTheme="majorHAnsi" w:cstheme="majorHAnsi"/>
        </w:rPr>
        <w:t>, zaś</w:t>
      </w:r>
      <w:r w:rsidR="00316ED2">
        <w:rPr>
          <w:rFonts w:asciiTheme="majorHAnsi" w:hAnsiTheme="majorHAnsi" w:cstheme="majorHAnsi"/>
        </w:rPr>
        <w:t xml:space="preserve"> przypadku, gdy</w:t>
      </w:r>
      <w:r w:rsidRPr="008A0C03">
        <w:rPr>
          <w:rFonts w:asciiTheme="majorHAnsi" w:hAnsiTheme="majorHAnsi" w:cstheme="majorHAnsi"/>
        </w:rPr>
        <w:t xml:space="preserve"> postępowanie to</w:t>
      </w:r>
      <w:r w:rsidR="00F0465D" w:rsidRPr="008A0C03">
        <w:rPr>
          <w:rFonts w:asciiTheme="majorHAnsi" w:hAnsiTheme="majorHAnsi" w:cstheme="majorHAnsi"/>
        </w:rPr>
        <w:t xml:space="preserve"> nie jest prowadzo</w:t>
      </w:r>
      <w:r w:rsidR="00316ED2">
        <w:rPr>
          <w:rFonts w:asciiTheme="majorHAnsi" w:hAnsiTheme="majorHAnsi" w:cstheme="majorHAnsi"/>
        </w:rPr>
        <w:t>ne z należytą starannością</w:t>
      </w:r>
      <w:r w:rsidR="00117C16">
        <w:rPr>
          <w:rFonts w:asciiTheme="majorHAnsi" w:hAnsiTheme="majorHAnsi" w:cstheme="majorHAnsi"/>
        </w:rPr>
        <w:t xml:space="preserve">, </w:t>
      </w:r>
      <w:r w:rsidRPr="008A0C03">
        <w:rPr>
          <w:rFonts w:asciiTheme="majorHAnsi" w:hAnsiTheme="majorHAnsi" w:cstheme="majorHAnsi"/>
        </w:rPr>
        <w:t xml:space="preserve"> areszt  przestanie być dopuszczalny. (patrz</w:t>
      </w:r>
      <w:r w:rsidRPr="008A0C03">
        <w:rPr>
          <w:rFonts w:asciiTheme="majorHAnsi" w:hAnsiTheme="majorHAnsi" w:cstheme="majorHAnsi"/>
          <w:i/>
          <w:iCs/>
        </w:rPr>
        <w:t xml:space="preserve"> Quinn</w:t>
      </w:r>
      <w:r w:rsidRPr="008A0C03">
        <w:rPr>
          <w:rFonts w:asciiTheme="majorHAnsi" w:hAnsiTheme="majorHAnsi" w:cstheme="majorHAnsi"/>
        </w:rPr>
        <w:t>, cytowany powyżej, § 48 i</w:t>
      </w:r>
      <w:r w:rsidRPr="008A0C03">
        <w:rPr>
          <w:rFonts w:asciiTheme="majorHAnsi" w:hAnsiTheme="majorHAnsi" w:cstheme="majorHAnsi"/>
          <w:i/>
          <w:iCs/>
        </w:rPr>
        <w:t xml:space="preserve"> </w:t>
      </w:r>
      <w:proofErr w:type="spellStart"/>
      <w:r w:rsidRPr="008A0C03">
        <w:rPr>
          <w:rFonts w:asciiTheme="majorHAnsi" w:hAnsiTheme="majorHAnsi" w:cstheme="majorHAnsi"/>
          <w:i/>
          <w:iCs/>
        </w:rPr>
        <w:t>Chahal</w:t>
      </w:r>
      <w:proofErr w:type="spellEnd"/>
      <w:r w:rsidRPr="008A0C03">
        <w:rPr>
          <w:rFonts w:asciiTheme="majorHAnsi" w:hAnsiTheme="majorHAnsi" w:cstheme="majorHAnsi"/>
        </w:rPr>
        <w:t>, cytowany powyżej, § 113).</w:t>
      </w:r>
    </w:p>
    <w:p w:rsidR="00C309BD" w:rsidRPr="008A0C03" w:rsidRDefault="00C309BD" w:rsidP="00C309BD">
      <w:pPr>
        <w:pStyle w:val="Textbody"/>
        <w:tabs>
          <w:tab w:val="left" w:pos="283"/>
        </w:tabs>
        <w:jc w:val="both"/>
        <w:rPr>
          <w:rFonts w:asciiTheme="majorHAnsi" w:hAnsiTheme="majorHAnsi" w:cstheme="majorHAnsi"/>
        </w:rPr>
      </w:pPr>
      <w:r w:rsidRPr="008A0C03">
        <w:rPr>
          <w:rFonts w:asciiTheme="majorHAnsi" w:hAnsiTheme="majorHAnsi" w:cstheme="majorHAnsi"/>
        </w:rPr>
        <w:tab/>
        <w:t>41. Trybunał</w:t>
      </w:r>
      <w:r w:rsidR="00C94A64">
        <w:rPr>
          <w:rFonts w:asciiTheme="majorHAnsi" w:hAnsiTheme="majorHAnsi" w:cstheme="majorHAnsi"/>
        </w:rPr>
        <w:t xml:space="preserve"> nie ma zatem za zadanie</w:t>
      </w:r>
      <w:r w:rsidRPr="008A0C03">
        <w:rPr>
          <w:rFonts w:asciiTheme="majorHAnsi" w:hAnsiTheme="majorHAnsi" w:cstheme="majorHAnsi"/>
        </w:rPr>
        <w:t xml:space="preserve"> </w:t>
      </w:r>
      <w:r w:rsidR="001067B1" w:rsidRPr="008A0C03">
        <w:rPr>
          <w:rFonts w:asciiTheme="majorHAnsi" w:hAnsiTheme="majorHAnsi" w:cstheme="majorHAnsi"/>
        </w:rPr>
        <w:t>oceniania</w:t>
      </w:r>
      <w:r w:rsidRPr="008A0C03">
        <w:rPr>
          <w:rFonts w:asciiTheme="majorHAnsi" w:hAnsiTheme="majorHAnsi" w:cstheme="majorHAnsi"/>
        </w:rPr>
        <w:t>, czy długość postępowania ekstradycyjnego była rozsą</w:t>
      </w:r>
      <w:r w:rsidR="00F0465D" w:rsidRPr="008A0C03">
        <w:rPr>
          <w:rFonts w:asciiTheme="majorHAnsi" w:hAnsiTheme="majorHAnsi" w:cstheme="majorHAnsi"/>
        </w:rPr>
        <w:t>dna jako całość</w:t>
      </w:r>
      <w:r w:rsidRPr="008A0C03">
        <w:rPr>
          <w:rFonts w:asciiTheme="majorHAnsi" w:hAnsiTheme="majorHAnsi" w:cstheme="majorHAnsi"/>
        </w:rPr>
        <w:t>, gdyż mógłby to zrobić dokładniej w</w:t>
      </w:r>
      <w:r w:rsidR="00F0465D" w:rsidRPr="008A0C03">
        <w:rPr>
          <w:rFonts w:asciiTheme="majorHAnsi" w:hAnsiTheme="majorHAnsi" w:cstheme="majorHAnsi"/>
        </w:rPr>
        <w:t xml:space="preserve"> przypadkach dotyczących długości</w:t>
      </w:r>
      <w:r w:rsidRPr="008A0C03">
        <w:rPr>
          <w:rFonts w:asciiTheme="majorHAnsi" w:hAnsiTheme="majorHAnsi" w:cstheme="majorHAnsi"/>
        </w:rPr>
        <w:t xml:space="preserve"> postępowan</w:t>
      </w:r>
      <w:r w:rsidR="00C94A64">
        <w:rPr>
          <w:rFonts w:asciiTheme="majorHAnsi" w:hAnsiTheme="majorHAnsi" w:cstheme="majorHAnsi"/>
        </w:rPr>
        <w:t>ia na podstawie artykułu 6, ale ustalić</w:t>
      </w:r>
      <w:r w:rsidRPr="008A0C03">
        <w:rPr>
          <w:rFonts w:asciiTheme="majorHAnsi" w:hAnsiTheme="majorHAnsi" w:cstheme="majorHAnsi"/>
        </w:rPr>
        <w:t>, bez względu na całkowity czas trwania postępowania, czy długość tymczasowego aresztowania przekroczyła w sposób racjonalny czas wymagany dla osiągnięcia celu (patrz</w:t>
      </w:r>
      <w:r w:rsidRPr="008A0C03">
        <w:rPr>
          <w:rFonts w:asciiTheme="majorHAnsi" w:hAnsiTheme="majorHAnsi" w:cstheme="majorHAnsi"/>
          <w:i/>
          <w:iCs/>
        </w:rPr>
        <w:t xml:space="preserve"> Saadi</w:t>
      </w:r>
      <w:r w:rsidRPr="008A0C03">
        <w:rPr>
          <w:rFonts w:asciiTheme="majorHAnsi" w:hAnsiTheme="majorHAnsi" w:cstheme="majorHAnsi"/>
        </w:rPr>
        <w:t>, cytowany powyżej, §§ 72-74). Tam gdzie były okresy bezczynności ze strony władz, a zatem brak pośpiechu, utrzymywanie środka zapobiegawczego w postaci aresztu przestaje być uzasadnione. Konkludując, Trybunał musi ocenić, w ka</w:t>
      </w:r>
      <w:r w:rsidR="00675CC2">
        <w:rPr>
          <w:rFonts w:asciiTheme="majorHAnsi" w:hAnsiTheme="majorHAnsi" w:cstheme="majorHAnsi"/>
        </w:rPr>
        <w:t>żdym przypadku z osobna, czy w okresie aresztowania</w:t>
      </w:r>
      <w:r w:rsidRPr="008A0C03">
        <w:rPr>
          <w:rFonts w:asciiTheme="majorHAnsi" w:hAnsiTheme="majorHAnsi" w:cstheme="majorHAnsi"/>
        </w:rPr>
        <w:t xml:space="preserve">, o którym mowa, władze krajowe pozostawały nieaktywne w którymkolwiek momencie postępowania (patrz na podobne stwierdzenie w przypadku deportacji, </w:t>
      </w:r>
      <w:proofErr w:type="spellStart"/>
      <w:r w:rsidRPr="008A0C03">
        <w:rPr>
          <w:rFonts w:asciiTheme="majorHAnsi" w:hAnsiTheme="majorHAnsi" w:cstheme="majorHAnsi"/>
          <w:i/>
          <w:iCs/>
        </w:rPr>
        <w:t>Tabesh</w:t>
      </w:r>
      <w:proofErr w:type="spellEnd"/>
      <w:r w:rsidRPr="008A0C03">
        <w:rPr>
          <w:rFonts w:asciiTheme="majorHAnsi" w:hAnsiTheme="majorHAnsi" w:cstheme="majorHAnsi"/>
          <w:i/>
          <w:iCs/>
        </w:rPr>
        <w:t xml:space="preserve"> przeciwko Grecji</w:t>
      </w:r>
      <w:r w:rsidRPr="008A0C03">
        <w:rPr>
          <w:rFonts w:asciiTheme="majorHAnsi" w:hAnsiTheme="majorHAnsi" w:cstheme="majorHAnsi"/>
        </w:rPr>
        <w:t>, nr. 8256/07, § 56, 26 listopada 2009).</w:t>
      </w:r>
    </w:p>
    <w:p w:rsidR="00C309BD" w:rsidRPr="008A0C03" w:rsidRDefault="00C309BD" w:rsidP="00C309BD">
      <w:pPr>
        <w:pStyle w:val="Textbody"/>
        <w:tabs>
          <w:tab w:val="left" w:pos="283"/>
        </w:tabs>
        <w:jc w:val="both"/>
        <w:rPr>
          <w:rFonts w:asciiTheme="majorHAnsi" w:hAnsiTheme="majorHAnsi" w:cstheme="majorHAnsi"/>
        </w:rPr>
      </w:pPr>
      <w:r w:rsidRPr="008A0C03">
        <w:rPr>
          <w:rFonts w:asciiTheme="majorHAnsi" w:hAnsiTheme="majorHAnsi" w:cstheme="majorHAnsi"/>
        </w:rPr>
        <w:tab/>
        <w:t>42. W niniejszej</w:t>
      </w:r>
      <w:r w:rsidR="00F0465D" w:rsidRPr="008A0C03">
        <w:rPr>
          <w:rFonts w:asciiTheme="majorHAnsi" w:hAnsiTheme="majorHAnsi" w:cstheme="majorHAnsi"/>
        </w:rPr>
        <w:t xml:space="preserve"> sprawie, Trybunał zauważa, że skarżący</w:t>
      </w:r>
      <w:r w:rsidRPr="008A0C03">
        <w:rPr>
          <w:rFonts w:asciiTheme="majorHAnsi" w:hAnsiTheme="majorHAnsi" w:cstheme="majorHAnsi"/>
        </w:rPr>
        <w:t xml:space="preserve"> z</w:t>
      </w:r>
      <w:r w:rsidR="00675CC2">
        <w:rPr>
          <w:rFonts w:asciiTheme="majorHAnsi" w:hAnsiTheme="majorHAnsi" w:cstheme="majorHAnsi"/>
        </w:rPr>
        <w:t>ostał aresztowany</w:t>
      </w:r>
      <w:r w:rsidRPr="008A0C03">
        <w:rPr>
          <w:rFonts w:asciiTheme="majorHAnsi" w:hAnsiTheme="majorHAnsi" w:cstheme="majorHAnsi"/>
        </w:rPr>
        <w:t xml:space="preserve"> do czasu ekstradycji dla umożliw</w:t>
      </w:r>
      <w:r w:rsidR="00D51860">
        <w:rPr>
          <w:rFonts w:asciiTheme="majorHAnsi" w:hAnsiTheme="majorHAnsi" w:cstheme="majorHAnsi"/>
        </w:rPr>
        <w:t>ienia władzom greckim wniesienia</w:t>
      </w:r>
      <w:r w:rsidRPr="008A0C03">
        <w:rPr>
          <w:rFonts w:asciiTheme="majorHAnsi" w:hAnsiTheme="majorHAnsi" w:cstheme="majorHAnsi"/>
        </w:rPr>
        <w:t xml:space="preserve"> sprawy do sądu. W związku z tym Trybunał stwierdza, że konieczne jest rozróżnienie pomiędzy dwiema formami ekstradycji w celu wyjaśnienia poziomu terminowości wymaganej dla każdej z nich. W </w:t>
      </w:r>
      <w:r w:rsidRPr="008A0C03">
        <w:rPr>
          <w:rFonts w:asciiTheme="majorHAnsi" w:hAnsiTheme="majorHAnsi" w:cstheme="majorHAnsi"/>
        </w:rPr>
        <w:lastRenderedPageBreak/>
        <w:t>pierwszym przypadku, w którym  podstawą wniosku  o ekstradycję jest  wykonanie wyroku, a</w:t>
      </w:r>
      <w:r w:rsidR="00F0465D" w:rsidRPr="008A0C03">
        <w:rPr>
          <w:rFonts w:asciiTheme="majorHAnsi" w:hAnsiTheme="majorHAnsi" w:cstheme="majorHAnsi"/>
        </w:rPr>
        <w:t xml:space="preserve"> w drugim ekstradycja umożliwi </w:t>
      </w:r>
      <w:r w:rsidRPr="008A0C03">
        <w:rPr>
          <w:rFonts w:asciiTheme="majorHAnsi" w:hAnsiTheme="majorHAnsi" w:cstheme="majorHAnsi"/>
        </w:rPr>
        <w:t>wnioskującemu państwu osądzenie danej osoby. W drugiej sytuacji, gdy postępowanie karne jest w toku,  osobę zatrzymaną do czasu ekstradycji należy uznać za niewinną. Ponadto, na tym etapie, umożliwienie tej osobie egzekwowania swojego prawa do obrony w postępowaniu karnym w celu udowodnienia jego lub jej niewi</w:t>
      </w:r>
      <w:r w:rsidR="00B0111E">
        <w:rPr>
          <w:rFonts w:asciiTheme="majorHAnsi" w:hAnsiTheme="majorHAnsi" w:cstheme="majorHAnsi"/>
        </w:rPr>
        <w:t>nność jest znacznie ograniczone</w:t>
      </w:r>
      <w:r w:rsidRPr="008A0C03">
        <w:rPr>
          <w:rFonts w:asciiTheme="majorHAnsi" w:hAnsiTheme="majorHAnsi" w:cstheme="majorHAnsi"/>
        </w:rPr>
        <w:t xml:space="preserve"> lub nawet nieistniejące. Wreszcie</w:t>
      </w:r>
      <w:r w:rsidR="00B0111E">
        <w:rPr>
          <w:rFonts w:asciiTheme="majorHAnsi" w:hAnsiTheme="majorHAnsi" w:cstheme="majorHAnsi"/>
        </w:rPr>
        <w:t xml:space="preserve"> władze wezwanego P</w:t>
      </w:r>
      <w:r w:rsidRPr="008A0C03">
        <w:rPr>
          <w:rFonts w:asciiTheme="majorHAnsi" w:hAnsiTheme="majorHAnsi" w:cstheme="majorHAnsi"/>
        </w:rPr>
        <w:t>aństwa nie są uprawnione do zbadania istoty sprawy (patrz paragraf 28</w:t>
      </w:r>
      <w:r w:rsidRPr="008A0C03">
        <w:rPr>
          <w:rFonts w:asciiTheme="majorHAnsi" w:hAnsiTheme="majorHAnsi" w:cstheme="majorHAnsi"/>
          <w:i/>
          <w:iCs/>
        </w:rPr>
        <w:t xml:space="preserve"> na końcu</w:t>
      </w:r>
      <w:r w:rsidRPr="008A0C03">
        <w:rPr>
          <w:rFonts w:asciiTheme="majorHAnsi" w:hAnsiTheme="majorHAnsi" w:cstheme="majorHAnsi"/>
        </w:rPr>
        <w:t xml:space="preserve"> powyżej). Z tych wszystkich powodów, ochrona praw osoby zainteresowanej i sprawny przebieg postępowania ekstradycyjnego, w tym wymóg, aby dana osoba była postawiona w stan oskarżenia w</w:t>
      </w:r>
      <w:r w:rsidR="00B0111E">
        <w:rPr>
          <w:rFonts w:asciiTheme="majorHAnsi" w:hAnsiTheme="majorHAnsi" w:cstheme="majorHAnsi"/>
        </w:rPr>
        <w:t xml:space="preserve"> rozsądnym czasie, zobowiązuje P</w:t>
      </w:r>
      <w:r w:rsidRPr="008A0C03">
        <w:rPr>
          <w:rFonts w:asciiTheme="majorHAnsi" w:hAnsiTheme="majorHAnsi" w:cstheme="majorHAnsi"/>
        </w:rPr>
        <w:t xml:space="preserve">aństwo </w:t>
      </w:r>
      <w:r w:rsidR="001067B1" w:rsidRPr="008A0C03">
        <w:rPr>
          <w:rFonts w:asciiTheme="majorHAnsi" w:hAnsiTheme="majorHAnsi" w:cstheme="majorHAnsi"/>
        </w:rPr>
        <w:t>rozpatrujące</w:t>
      </w:r>
      <w:r w:rsidRPr="008A0C03">
        <w:rPr>
          <w:rFonts w:asciiTheme="majorHAnsi" w:hAnsiTheme="majorHAnsi" w:cstheme="majorHAnsi"/>
        </w:rPr>
        <w:t xml:space="preserve"> wniosek</w:t>
      </w:r>
      <w:r w:rsidR="00B0111E">
        <w:rPr>
          <w:rFonts w:asciiTheme="majorHAnsi" w:hAnsiTheme="majorHAnsi" w:cstheme="majorHAnsi"/>
        </w:rPr>
        <w:t xml:space="preserve"> do działania ze szczególnym poś</w:t>
      </w:r>
      <w:r w:rsidRPr="008A0C03">
        <w:rPr>
          <w:rFonts w:asciiTheme="majorHAnsi" w:hAnsiTheme="majorHAnsi" w:cstheme="majorHAnsi"/>
        </w:rPr>
        <w:t>piechem.</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 xml:space="preserve">    43. Trybunał miał już okazję badać zbyt długie, ze względu na nieuzasadnione opóźnienia ze str</w:t>
      </w:r>
      <w:r w:rsidR="00B0111E">
        <w:rPr>
          <w:rFonts w:asciiTheme="majorHAnsi" w:hAnsiTheme="majorHAnsi" w:cstheme="majorHAnsi"/>
        </w:rPr>
        <w:t>ony władz krajowych, okresy aresztowania przez okres</w:t>
      </w:r>
      <w:r w:rsidRPr="008A0C03">
        <w:rPr>
          <w:rFonts w:asciiTheme="majorHAnsi" w:hAnsiTheme="majorHAnsi" w:cstheme="majorHAnsi"/>
        </w:rPr>
        <w:t xml:space="preserve"> jednego roku i jedenastu miesięcy do czasu ekstradycji (patrz </w:t>
      </w:r>
      <w:r w:rsidRPr="008A0C03">
        <w:rPr>
          <w:rFonts w:asciiTheme="majorHAnsi" w:hAnsiTheme="majorHAnsi" w:cstheme="majorHAnsi"/>
          <w:i/>
          <w:iCs/>
        </w:rPr>
        <w:t>Quinn</w:t>
      </w:r>
      <w:r w:rsidRPr="008A0C03">
        <w:rPr>
          <w:rFonts w:asciiTheme="majorHAnsi" w:hAnsiTheme="majorHAnsi" w:cstheme="majorHAnsi"/>
        </w:rPr>
        <w:t xml:space="preserve">, cytowany powyżej) i trzech miesięcy do czasu deportacji (patrz </w:t>
      </w:r>
      <w:proofErr w:type="spellStart"/>
      <w:r w:rsidRPr="008A0C03">
        <w:rPr>
          <w:rFonts w:asciiTheme="majorHAnsi" w:hAnsiTheme="majorHAnsi" w:cstheme="majorHAnsi"/>
          <w:i/>
          <w:iCs/>
        </w:rPr>
        <w:t>Tabesh</w:t>
      </w:r>
      <w:proofErr w:type="spellEnd"/>
      <w:r w:rsidRPr="008A0C03">
        <w:rPr>
          <w:rFonts w:asciiTheme="majorHAnsi" w:hAnsiTheme="majorHAnsi" w:cstheme="majorHAnsi"/>
        </w:rPr>
        <w:t>, cytowany powyżej).</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 xml:space="preserve">44. Zauważa, że w niniejszej sprawie </w:t>
      </w:r>
      <w:r w:rsidR="00D75EE6">
        <w:rPr>
          <w:rFonts w:asciiTheme="majorHAnsi" w:hAnsiTheme="majorHAnsi" w:cstheme="majorHAnsi"/>
        </w:rPr>
        <w:t>aresztowanie</w:t>
      </w:r>
      <w:r w:rsidRPr="008A0C03">
        <w:rPr>
          <w:rFonts w:asciiTheme="majorHAnsi" w:hAnsiTheme="majorHAnsi" w:cstheme="majorHAnsi"/>
        </w:rPr>
        <w:t xml:space="preserve"> </w:t>
      </w:r>
      <w:r w:rsidR="00470936" w:rsidRPr="008A0C03">
        <w:rPr>
          <w:rFonts w:asciiTheme="majorHAnsi" w:hAnsiTheme="majorHAnsi" w:cstheme="majorHAnsi"/>
        </w:rPr>
        <w:t>skarżącego</w:t>
      </w:r>
      <w:r w:rsidRPr="008A0C03">
        <w:rPr>
          <w:rFonts w:asciiTheme="majorHAnsi" w:hAnsiTheme="majorHAnsi" w:cstheme="majorHAnsi"/>
        </w:rPr>
        <w:t xml:space="preserve">  do czasu ekstradycji trwało około jednego roku i sześciu miesięcy (od 19 kwietnia 2005 do 26 października 2006).</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 xml:space="preserve">45. </w:t>
      </w:r>
      <w:r w:rsidR="00D75EE6">
        <w:rPr>
          <w:rFonts w:asciiTheme="majorHAnsi" w:hAnsiTheme="majorHAnsi" w:cstheme="majorHAnsi"/>
        </w:rPr>
        <w:t>Trybunał s</w:t>
      </w:r>
      <w:r w:rsidRPr="008A0C03">
        <w:rPr>
          <w:rFonts w:asciiTheme="majorHAnsi" w:hAnsiTheme="majorHAnsi" w:cstheme="majorHAnsi"/>
        </w:rPr>
        <w:t>twierdza, że znaczne opóźnienia wystąpiły na różnych etapach postępowania ekstradycyjnego.</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 xml:space="preserve">46. Po pierwsze, </w:t>
      </w:r>
      <w:r w:rsidR="00470936" w:rsidRPr="008A0C03">
        <w:rPr>
          <w:rFonts w:asciiTheme="majorHAnsi" w:hAnsiTheme="majorHAnsi" w:cstheme="majorHAnsi"/>
        </w:rPr>
        <w:t>pierwsze posiedzenie Sądu Apelacyjnego zostało zaplanowane</w:t>
      </w:r>
      <w:r w:rsidRPr="008A0C03">
        <w:rPr>
          <w:rFonts w:asciiTheme="majorHAnsi" w:hAnsiTheme="majorHAnsi" w:cstheme="majorHAnsi"/>
        </w:rPr>
        <w:t xml:space="preserve"> na 15 grudnia 2005 r, sześć miesięcy po tym</w:t>
      </w:r>
      <w:r w:rsidR="00D75EE6">
        <w:rPr>
          <w:rFonts w:asciiTheme="majorHAnsi" w:hAnsiTheme="majorHAnsi" w:cstheme="majorHAnsi"/>
        </w:rPr>
        <w:t>,</w:t>
      </w:r>
      <w:r w:rsidRPr="008A0C03">
        <w:rPr>
          <w:rFonts w:asciiTheme="majorHAnsi" w:hAnsiTheme="majorHAnsi" w:cstheme="majorHAnsi"/>
        </w:rPr>
        <w:t xml:space="preserve"> jak  wniosek o ekstradycję został wysłany do Sądu Apelacyjnego i osiem miesięcy po tym jak </w:t>
      </w:r>
      <w:r w:rsidR="00470936" w:rsidRPr="008A0C03">
        <w:rPr>
          <w:rFonts w:asciiTheme="majorHAnsi" w:hAnsiTheme="majorHAnsi" w:cstheme="majorHAnsi"/>
        </w:rPr>
        <w:t>skarżący</w:t>
      </w:r>
      <w:r w:rsidRPr="008A0C03">
        <w:rPr>
          <w:rFonts w:asciiTheme="majorHAnsi" w:hAnsiTheme="majorHAnsi" w:cstheme="majorHAnsi"/>
        </w:rPr>
        <w:t xml:space="preserve"> został osadzony w areszcie w oczekiwaniu na ekstradycję.</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 xml:space="preserve">47. Trybunał nie może zgodzić się z Rządem, gdy ten twierdzi, że środki zastosowane przez </w:t>
      </w:r>
      <w:r w:rsidR="00470936" w:rsidRPr="008A0C03">
        <w:rPr>
          <w:rFonts w:asciiTheme="majorHAnsi" w:hAnsiTheme="majorHAnsi" w:cstheme="majorHAnsi"/>
        </w:rPr>
        <w:t>skarżącego</w:t>
      </w:r>
      <w:r w:rsidRPr="008A0C03">
        <w:rPr>
          <w:rFonts w:asciiTheme="majorHAnsi" w:hAnsiTheme="majorHAnsi" w:cstheme="majorHAnsi"/>
        </w:rPr>
        <w:t xml:space="preserve"> w celu uzyskania jego uwolnienia w tym okresie (patrz paragraf 18 powyżej) mogą same w sobie uzasadniać opóźnienie w postępowaniu. Przedmiotowe postępowanie składa się z dwóch części o różnych przedmiotach i celach, </w:t>
      </w:r>
      <w:r w:rsidR="001067B1" w:rsidRPr="008A0C03">
        <w:rPr>
          <w:rFonts w:asciiTheme="majorHAnsi" w:hAnsiTheme="majorHAnsi" w:cstheme="majorHAnsi"/>
        </w:rPr>
        <w:t>zawierających</w:t>
      </w:r>
      <w:r w:rsidRPr="008A0C03">
        <w:rPr>
          <w:rFonts w:asciiTheme="majorHAnsi" w:hAnsiTheme="majorHAnsi" w:cstheme="majorHAnsi"/>
        </w:rPr>
        <w:t xml:space="preserve"> z jednej strony ustalenie, czy wymogi formalne dotyczące ekstradycji zostały spełnione, a</w:t>
      </w:r>
      <w:r w:rsidR="00470936" w:rsidRPr="008A0C03">
        <w:rPr>
          <w:rFonts w:asciiTheme="majorHAnsi" w:hAnsiTheme="majorHAnsi" w:cstheme="majorHAnsi"/>
        </w:rPr>
        <w:t xml:space="preserve"> </w:t>
      </w:r>
      <w:r w:rsidRPr="008A0C03">
        <w:rPr>
          <w:rFonts w:asciiTheme="majorHAnsi" w:hAnsiTheme="majorHAnsi" w:cstheme="majorHAnsi"/>
        </w:rPr>
        <w:t>z drugiej na zbadaniu, czy kryteria uzasadniające przyjęcie środka zapobiegawczego pozostawały prawidłowe i wystarczające. Fakt, że prawo krajowe powierza temu samemu Sądowi Apelacyjnemu podwójne zadanie stanowi słuszny wybór ze strony państwa, ale wybór, który  nie może być przywoływany w celu uzasadnienia znacznego opóźnienia w badaniu przedmiotu sprawy. W każdym razie Trybunał nie dostrz</w:t>
      </w:r>
      <w:r w:rsidR="000529E3">
        <w:rPr>
          <w:rFonts w:asciiTheme="majorHAnsi" w:hAnsiTheme="majorHAnsi" w:cstheme="majorHAnsi"/>
        </w:rPr>
        <w:t>ega</w:t>
      </w:r>
      <w:r w:rsidR="00470936" w:rsidRPr="008A0C03">
        <w:rPr>
          <w:rFonts w:asciiTheme="majorHAnsi" w:hAnsiTheme="majorHAnsi" w:cstheme="majorHAnsi"/>
        </w:rPr>
        <w:t xml:space="preserve"> w</w:t>
      </w:r>
      <w:r w:rsidRPr="008A0C03">
        <w:rPr>
          <w:rFonts w:asciiTheme="majorHAnsi" w:hAnsiTheme="majorHAnsi" w:cstheme="majorHAnsi"/>
        </w:rPr>
        <w:t xml:space="preserve"> jak</w:t>
      </w:r>
      <w:r w:rsidR="00470936" w:rsidRPr="008A0C03">
        <w:rPr>
          <w:rFonts w:asciiTheme="majorHAnsi" w:hAnsiTheme="majorHAnsi" w:cstheme="majorHAnsi"/>
        </w:rPr>
        <w:t>i</w:t>
      </w:r>
      <w:r w:rsidRPr="008A0C03">
        <w:rPr>
          <w:rFonts w:asciiTheme="majorHAnsi" w:hAnsiTheme="majorHAnsi" w:cstheme="majorHAnsi"/>
        </w:rPr>
        <w:t xml:space="preserve"> </w:t>
      </w:r>
      <w:r w:rsidR="00470936" w:rsidRPr="008A0C03">
        <w:rPr>
          <w:rFonts w:asciiTheme="majorHAnsi" w:hAnsiTheme="majorHAnsi" w:cstheme="majorHAnsi"/>
        </w:rPr>
        <w:t xml:space="preserve">sposób </w:t>
      </w:r>
      <w:r w:rsidRPr="008A0C03">
        <w:rPr>
          <w:rFonts w:asciiTheme="majorHAnsi" w:hAnsiTheme="majorHAnsi" w:cstheme="majorHAnsi"/>
        </w:rPr>
        <w:t xml:space="preserve">powtarzające się żądania </w:t>
      </w:r>
      <w:r w:rsidR="00470936" w:rsidRPr="008A0C03">
        <w:rPr>
          <w:rFonts w:asciiTheme="majorHAnsi" w:hAnsiTheme="majorHAnsi" w:cstheme="majorHAnsi"/>
        </w:rPr>
        <w:t>skarżącego</w:t>
      </w:r>
      <w:r w:rsidRPr="008A0C03">
        <w:rPr>
          <w:rFonts w:asciiTheme="majorHAnsi" w:hAnsiTheme="majorHAnsi" w:cstheme="majorHAnsi"/>
        </w:rPr>
        <w:t xml:space="preserve">, które </w:t>
      </w:r>
      <w:r w:rsidR="00470936" w:rsidRPr="008A0C03">
        <w:rPr>
          <w:rFonts w:asciiTheme="majorHAnsi" w:hAnsiTheme="majorHAnsi" w:cstheme="majorHAnsi"/>
        </w:rPr>
        <w:t xml:space="preserve">co do zasady </w:t>
      </w:r>
      <w:r w:rsidRPr="008A0C03">
        <w:rPr>
          <w:rFonts w:asciiTheme="majorHAnsi" w:hAnsiTheme="majorHAnsi" w:cstheme="majorHAnsi"/>
        </w:rPr>
        <w:t xml:space="preserve">były uzasadnione, ponieważ jego areszt został przedłużony pomimo braku </w:t>
      </w:r>
      <w:r w:rsidR="00470936" w:rsidRPr="008A0C03">
        <w:rPr>
          <w:rFonts w:asciiTheme="majorHAnsi" w:hAnsiTheme="majorHAnsi" w:cstheme="majorHAnsi"/>
        </w:rPr>
        <w:t>jakiegokolwiek posiedzenia dotyczącego</w:t>
      </w:r>
      <w:r w:rsidRPr="008A0C03">
        <w:rPr>
          <w:rFonts w:asciiTheme="majorHAnsi" w:hAnsiTheme="majorHAnsi" w:cstheme="majorHAnsi"/>
        </w:rPr>
        <w:t xml:space="preserve"> materii, uniemożliwiło Sądowi </w:t>
      </w:r>
      <w:r w:rsidRPr="008A0C03">
        <w:rPr>
          <w:rFonts w:asciiTheme="majorHAnsi" w:hAnsiTheme="majorHAnsi" w:cstheme="majorHAnsi"/>
        </w:rPr>
        <w:lastRenderedPageBreak/>
        <w:t xml:space="preserve">Apelacyjnemu zaplanowanie </w:t>
      </w:r>
      <w:r w:rsidR="00470936" w:rsidRPr="008A0C03">
        <w:rPr>
          <w:rFonts w:asciiTheme="majorHAnsi" w:hAnsiTheme="majorHAnsi" w:cstheme="majorHAnsi"/>
        </w:rPr>
        <w:t>takiego posiedzenia</w:t>
      </w:r>
      <w:r w:rsidRPr="008A0C03">
        <w:rPr>
          <w:rFonts w:asciiTheme="majorHAnsi" w:hAnsiTheme="majorHAnsi" w:cstheme="majorHAnsi"/>
        </w:rPr>
        <w:t xml:space="preserve">, we wcześniejszym terminie (patrz, </w:t>
      </w:r>
      <w:r w:rsidRPr="008A0C03">
        <w:rPr>
          <w:rFonts w:asciiTheme="majorHAnsi" w:hAnsiTheme="majorHAnsi" w:cstheme="majorHAnsi"/>
          <w:i/>
          <w:iCs/>
        </w:rPr>
        <w:t>mutatis mutandis</w:t>
      </w:r>
      <w:r w:rsidRPr="008A0C03">
        <w:rPr>
          <w:rFonts w:asciiTheme="majorHAnsi" w:hAnsiTheme="majorHAnsi" w:cstheme="majorHAnsi"/>
        </w:rPr>
        <w:t xml:space="preserve">, </w:t>
      </w:r>
      <w:r w:rsidRPr="008A0C03">
        <w:rPr>
          <w:rFonts w:asciiTheme="majorHAnsi" w:hAnsiTheme="majorHAnsi" w:cstheme="majorHAnsi"/>
          <w:i/>
          <w:iCs/>
        </w:rPr>
        <w:t>Quinn</w:t>
      </w:r>
      <w:r w:rsidRPr="008A0C03">
        <w:rPr>
          <w:rFonts w:asciiTheme="majorHAnsi" w:hAnsiTheme="majorHAnsi" w:cstheme="majorHAnsi"/>
        </w:rPr>
        <w:t xml:space="preserve">, § 48).  </w:t>
      </w:r>
      <w:r w:rsidR="00470936" w:rsidRPr="008A0C03">
        <w:rPr>
          <w:rFonts w:asciiTheme="majorHAnsi" w:hAnsiTheme="majorHAnsi" w:cstheme="majorHAnsi"/>
        </w:rPr>
        <w:t xml:space="preserve">Postanowienia </w:t>
      </w:r>
      <w:r w:rsidRPr="008A0C03">
        <w:rPr>
          <w:rFonts w:asciiTheme="majorHAnsi" w:hAnsiTheme="majorHAnsi" w:cstheme="majorHAnsi"/>
        </w:rPr>
        <w:t>Sądu Apelacyjnego</w:t>
      </w:r>
      <w:r w:rsidR="00042828" w:rsidRPr="008A0C03">
        <w:rPr>
          <w:rFonts w:asciiTheme="majorHAnsi" w:hAnsiTheme="majorHAnsi" w:cstheme="majorHAnsi"/>
        </w:rPr>
        <w:t xml:space="preserve"> były</w:t>
      </w:r>
      <w:r w:rsidRPr="008A0C03">
        <w:rPr>
          <w:rFonts w:asciiTheme="majorHAnsi" w:hAnsiTheme="majorHAnsi" w:cstheme="majorHAnsi"/>
        </w:rPr>
        <w:t xml:space="preserve"> oparte wyłącznie na dokumentach będących w jego dyspozycji, zostały </w:t>
      </w:r>
      <w:r w:rsidR="00DE0BE2" w:rsidRPr="008A0C03">
        <w:rPr>
          <w:rFonts w:asciiTheme="majorHAnsi" w:hAnsiTheme="majorHAnsi" w:cstheme="majorHAnsi"/>
        </w:rPr>
        <w:t>wydane</w:t>
      </w:r>
      <w:r w:rsidRPr="008A0C03">
        <w:rPr>
          <w:rFonts w:asciiTheme="majorHAnsi" w:hAnsiTheme="majorHAnsi" w:cstheme="majorHAnsi"/>
        </w:rPr>
        <w:t xml:space="preserve"> na posiedzeniu niejawnym zgodnie z zasadą kontradyktoryjnośc</w:t>
      </w:r>
      <w:r w:rsidR="00DE0BE2" w:rsidRPr="008A0C03">
        <w:rPr>
          <w:rFonts w:asciiTheme="majorHAnsi" w:hAnsiTheme="majorHAnsi" w:cstheme="majorHAnsi"/>
        </w:rPr>
        <w:t xml:space="preserve">i (patrz </w:t>
      </w:r>
      <w:r w:rsidR="000529E3">
        <w:rPr>
          <w:rFonts w:asciiTheme="majorHAnsi" w:hAnsiTheme="majorHAnsi" w:cstheme="majorHAnsi"/>
        </w:rPr>
        <w:t>paragraf 27 powyżej)</w:t>
      </w:r>
      <w:r w:rsidR="00DE0BE2" w:rsidRPr="008A0C03">
        <w:rPr>
          <w:rFonts w:asciiTheme="majorHAnsi" w:hAnsiTheme="majorHAnsi" w:cstheme="majorHAnsi"/>
        </w:rPr>
        <w:t xml:space="preserve"> i</w:t>
      </w:r>
      <w:r w:rsidRPr="008A0C03">
        <w:rPr>
          <w:rFonts w:asciiTheme="majorHAnsi" w:hAnsiTheme="majorHAnsi" w:cstheme="majorHAnsi"/>
        </w:rPr>
        <w:t xml:space="preserve"> przede wszystkim  </w:t>
      </w:r>
      <w:r w:rsidR="00DE0BE2" w:rsidRPr="008A0C03">
        <w:rPr>
          <w:rFonts w:asciiTheme="majorHAnsi" w:hAnsiTheme="majorHAnsi" w:cstheme="majorHAnsi"/>
        </w:rPr>
        <w:t>odnosiły się do kwestii zbadania</w:t>
      </w:r>
      <w:r w:rsidRPr="008A0C03">
        <w:rPr>
          <w:rFonts w:asciiTheme="majorHAnsi" w:hAnsiTheme="majorHAnsi" w:cstheme="majorHAnsi"/>
        </w:rPr>
        <w:t xml:space="preserve"> wymogu </w:t>
      </w:r>
      <w:r w:rsidR="000529E3">
        <w:rPr>
          <w:rFonts w:asciiTheme="majorHAnsi" w:hAnsiTheme="majorHAnsi" w:cstheme="majorHAnsi"/>
        </w:rPr>
        <w:t xml:space="preserve">przetrzymywania </w:t>
      </w:r>
      <w:r w:rsidRPr="008A0C03">
        <w:rPr>
          <w:rFonts w:asciiTheme="majorHAnsi" w:hAnsiTheme="majorHAnsi" w:cstheme="majorHAnsi"/>
        </w:rPr>
        <w:t>skarżącego w areszcie w związku z ryzykiem jego ucieczki (patrz paragraf 18).</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 xml:space="preserve">48. Trybunał zauważa ponadto, że sprawa nie była skomplikowana (porównanie </w:t>
      </w:r>
      <w:proofErr w:type="spellStart"/>
      <w:r w:rsidRPr="008A0C03">
        <w:rPr>
          <w:rFonts w:asciiTheme="majorHAnsi" w:hAnsiTheme="majorHAnsi" w:cstheme="majorHAnsi"/>
          <w:i/>
          <w:iCs/>
        </w:rPr>
        <w:t>Bogdanovski</w:t>
      </w:r>
      <w:proofErr w:type="spellEnd"/>
      <w:r w:rsidRPr="008A0C03">
        <w:rPr>
          <w:rFonts w:asciiTheme="majorHAnsi" w:hAnsiTheme="majorHAnsi" w:cstheme="majorHAnsi"/>
        </w:rPr>
        <w:t xml:space="preserve">, cytowany powyżej, w którym </w:t>
      </w:r>
      <w:r w:rsidR="00DE0BE2" w:rsidRPr="008A0C03">
        <w:rPr>
          <w:rFonts w:asciiTheme="majorHAnsi" w:hAnsiTheme="majorHAnsi" w:cstheme="majorHAnsi"/>
        </w:rPr>
        <w:t xml:space="preserve">skarżący </w:t>
      </w:r>
      <w:r w:rsidRPr="008A0C03">
        <w:rPr>
          <w:rFonts w:asciiTheme="majorHAnsi" w:hAnsiTheme="majorHAnsi" w:cstheme="majorHAnsi"/>
        </w:rPr>
        <w:t xml:space="preserve">starał się o status uchodźcy politycznego i postępowanie ekstradycyjne zostało zawieszone na wniosek </w:t>
      </w:r>
      <w:hyperlink r:id="rId15" w:history="1">
        <w:r w:rsidRPr="008A0C03">
          <w:rPr>
            <w:rFonts w:asciiTheme="majorHAnsi" w:hAnsiTheme="majorHAnsi" w:cstheme="majorHAnsi"/>
          </w:rPr>
          <w:t>Wysokiej Komisji Narodów Zjednoczonych do spraw Uchodźców</w:t>
        </w:r>
      </w:hyperlink>
      <w:r w:rsidRPr="008A0C03">
        <w:rPr>
          <w:rFonts w:asciiTheme="majorHAnsi" w:hAnsiTheme="majorHAnsi" w:cstheme="majorHAnsi"/>
        </w:rPr>
        <w:t xml:space="preserve"> oraz samego Trybunału, po zastosowaniu  a</w:t>
      </w:r>
      <w:r w:rsidR="008E5859">
        <w:rPr>
          <w:rFonts w:asciiTheme="majorHAnsi" w:hAnsiTheme="majorHAnsi" w:cstheme="majorHAnsi"/>
        </w:rPr>
        <w:t>rtykułu 39 regulaminu Trybunału)</w:t>
      </w:r>
      <w:r w:rsidRPr="008A0C03">
        <w:rPr>
          <w:rFonts w:asciiTheme="majorHAnsi" w:hAnsiTheme="majorHAnsi" w:cstheme="majorHAnsi"/>
        </w:rPr>
        <w:t xml:space="preserve"> Zadanie Sądu Apelacyjnego zostało ograniczone do sprawdzenia czy wniosek o ekstradycję został złożony zgodnie z Europejską Konwencją o Ekstradycji, że zasada </w:t>
      </w:r>
      <w:proofErr w:type="spellStart"/>
      <w:r w:rsidRPr="008A0C03">
        <w:rPr>
          <w:rFonts w:asciiTheme="majorHAnsi" w:hAnsiTheme="majorHAnsi" w:cstheme="majorHAnsi"/>
          <w:i/>
          <w:iCs/>
        </w:rPr>
        <w:t>ne</w:t>
      </w:r>
      <w:proofErr w:type="spellEnd"/>
      <w:r w:rsidRPr="008A0C03">
        <w:rPr>
          <w:rFonts w:asciiTheme="majorHAnsi" w:hAnsiTheme="majorHAnsi" w:cstheme="majorHAnsi"/>
          <w:i/>
          <w:iCs/>
        </w:rPr>
        <w:t xml:space="preserve"> bis in </w:t>
      </w:r>
      <w:proofErr w:type="spellStart"/>
      <w:r w:rsidRPr="008A0C03">
        <w:rPr>
          <w:rFonts w:asciiTheme="majorHAnsi" w:hAnsiTheme="majorHAnsi" w:cstheme="majorHAnsi"/>
          <w:i/>
          <w:iCs/>
        </w:rPr>
        <w:t>idem</w:t>
      </w:r>
      <w:proofErr w:type="spellEnd"/>
      <w:r w:rsidRPr="008A0C03">
        <w:rPr>
          <w:rFonts w:asciiTheme="majorHAnsi" w:hAnsiTheme="majorHAnsi" w:cstheme="majorHAnsi"/>
        </w:rPr>
        <w:t xml:space="preserve"> i podwójna zasada karalności zostały spełnione; oraz że postępowanie karne nie było motywowane względami dyskryminacyjnymi lub politycznymi. Sąd nie był uprawniony przez </w:t>
      </w:r>
      <w:r w:rsidR="00DE0BE2" w:rsidRPr="008A0C03">
        <w:rPr>
          <w:rFonts w:asciiTheme="majorHAnsi" w:hAnsiTheme="majorHAnsi" w:cstheme="majorHAnsi"/>
        </w:rPr>
        <w:t>prawo</w:t>
      </w:r>
      <w:r w:rsidRPr="008A0C03">
        <w:rPr>
          <w:rFonts w:asciiTheme="majorHAnsi" w:hAnsiTheme="majorHAnsi" w:cstheme="majorHAnsi"/>
        </w:rPr>
        <w:t xml:space="preserve"> do oceny, czy były jakieś poważne przesłanki winy (</w:t>
      </w:r>
      <w:proofErr w:type="spellStart"/>
      <w:r w:rsidRPr="004A75CE">
        <w:rPr>
          <w:rFonts w:asciiTheme="majorHAnsi" w:hAnsiTheme="majorHAnsi" w:cstheme="majorHAnsi"/>
          <w:i/>
        </w:rPr>
        <w:t>gravi</w:t>
      </w:r>
      <w:proofErr w:type="spellEnd"/>
      <w:r w:rsidRPr="004A75CE">
        <w:rPr>
          <w:rFonts w:asciiTheme="majorHAnsi" w:hAnsiTheme="majorHAnsi" w:cstheme="majorHAnsi"/>
          <w:i/>
        </w:rPr>
        <w:t xml:space="preserve"> </w:t>
      </w:r>
      <w:proofErr w:type="spellStart"/>
      <w:r w:rsidRPr="004A75CE">
        <w:rPr>
          <w:rFonts w:asciiTheme="majorHAnsi" w:hAnsiTheme="majorHAnsi" w:cstheme="majorHAnsi"/>
          <w:i/>
        </w:rPr>
        <w:t>indizi</w:t>
      </w:r>
      <w:proofErr w:type="spellEnd"/>
      <w:r w:rsidRPr="004A75CE">
        <w:rPr>
          <w:rFonts w:asciiTheme="majorHAnsi" w:hAnsiTheme="majorHAnsi" w:cstheme="majorHAnsi"/>
          <w:i/>
        </w:rPr>
        <w:t xml:space="preserve"> di </w:t>
      </w:r>
      <w:proofErr w:type="spellStart"/>
      <w:r w:rsidRPr="004A75CE">
        <w:rPr>
          <w:rFonts w:asciiTheme="majorHAnsi" w:hAnsiTheme="majorHAnsi" w:cstheme="majorHAnsi"/>
          <w:i/>
        </w:rPr>
        <w:t>colpevolezza</w:t>
      </w:r>
      <w:proofErr w:type="spellEnd"/>
      <w:r w:rsidRPr="008A0C03">
        <w:rPr>
          <w:rFonts w:asciiTheme="majorHAnsi" w:hAnsiTheme="majorHAnsi" w:cstheme="majorHAnsi"/>
        </w:rPr>
        <w:t>) (patrz paragraf 28 na końcu powyżej) i żadne śledztwo czy działalność dochodzeniowa nie były konieczne (patrz paragraf 15 powyżej).</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 xml:space="preserve">49. Po drugie, Trybunał jest zaskoczony faktem, że Sądowi Kasacyjnemu, po ogłoszeniu </w:t>
      </w:r>
      <w:r w:rsidR="00DE0BE2" w:rsidRPr="008A0C03">
        <w:rPr>
          <w:rFonts w:asciiTheme="majorHAnsi" w:hAnsiTheme="majorHAnsi" w:cstheme="majorHAnsi"/>
        </w:rPr>
        <w:t>swojego stanowiska w terminie dwóch miesięcy od skargi kasacyjnej</w:t>
      </w:r>
      <w:r w:rsidRPr="008A0C03">
        <w:rPr>
          <w:rFonts w:asciiTheme="majorHAnsi" w:hAnsiTheme="majorHAnsi" w:cstheme="majorHAnsi"/>
        </w:rPr>
        <w:t xml:space="preserve"> </w:t>
      </w:r>
      <w:r w:rsidR="00DE0BE2" w:rsidRPr="008A0C03">
        <w:rPr>
          <w:rFonts w:asciiTheme="majorHAnsi" w:hAnsiTheme="majorHAnsi" w:cstheme="majorHAnsi"/>
        </w:rPr>
        <w:t>skarżącego,</w:t>
      </w:r>
      <w:r w:rsidRPr="008A0C03">
        <w:rPr>
          <w:rFonts w:asciiTheme="majorHAnsi" w:hAnsiTheme="majorHAnsi" w:cstheme="majorHAnsi"/>
        </w:rPr>
        <w:t xml:space="preserve"> ponad cztery miesiące zajęło złożenie w  sekretariacie  jednostronicowego wyroku stwierdzającego jedynie, że wniosek o ek</w:t>
      </w:r>
      <w:r w:rsidR="004A75CE">
        <w:rPr>
          <w:rFonts w:asciiTheme="majorHAnsi" w:hAnsiTheme="majorHAnsi" w:cstheme="majorHAnsi"/>
        </w:rPr>
        <w:t>stradycję został wysłany przez P</w:t>
      </w:r>
      <w:r w:rsidRPr="008A0C03">
        <w:rPr>
          <w:rFonts w:asciiTheme="majorHAnsi" w:hAnsiTheme="majorHAnsi" w:cstheme="majorHAnsi"/>
        </w:rPr>
        <w:t xml:space="preserve">aństwo </w:t>
      </w:r>
      <w:r w:rsidR="00DE0BE2" w:rsidRPr="008A0C03">
        <w:rPr>
          <w:rFonts w:asciiTheme="majorHAnsi" w:hAnsiTheme="majorHAnsi" w:cstheme="majorHAnsi"/>
        </w:rPr>
        <w:t>wnioskujące</w:t>
      </w:r>
      <w:r w:rsidRPr="008A0C03">
        <w:rPr>
          <w:rFonts w:asciiTheme="majorHAnsi" w:hAnsiTheme="majorHAnsi" w:cstheme="majorHAnsi"/>
        </w:rPr>
        <w:t>, zgodnie z właściwą procedurą i że sam nie jest właściwym organem do podważa</w:t>
      </w:r>
      <w:r w:rsidR="00DE0BE2" w:rsidRPr="008A0C03">
        <w:rPr>
          <w:rFonts w:asciiTheme="majorHAnsi" w:hAnsiTheme="majorHAnsi" w:cstheme="majorHAnsi"/>
        </w:rPr>
        <w:t>nia</w:t>
      </w:r>
      <w:r w:rsidRPr="008A0C03">
        <w:rPr>
          <w:rFonts w:asciiTheme="majorHAnsi" w:hAnsiTheme="majorHAnsi" w:cstheme="majorHAnsi"/>
        </w:rPr>
        <w:t xml:space="preserve"> zarzutów postawionych </w:t>
      </w:r>
      <w:r w:rsidR="00DE0BE2" w:rsidRPr="008A0C03">
        <w:rPr>
          <w:rFonts w:asciiTheme="majorHAnsi" w:hAnsiTheme="majorHAnsi" w:cstheme="majorHAnsi"/>
        </w:rPr>
        <w:t>skarżącemu</w:t>
      </w:r>
      <w:r w:rsidRPr="008A0C03">
        <w:rPr>
          <w:rFonts w:asciiTheme="majorHAnsi" w:hAnsiTheme="majorHAnsi" w:cstheme="majorHAnsi"/>
        </w:rPr>
        <w:t xml:space="preserve"> przez władze greckie (patrz paragraf 17 powyżej). Rząd nie przedstawił żadnych dowodów mogących uzasadniać takie opóźnienie.</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 xml:space="preserve">50. Wreszcie, w odniesieniu do argumentu Rządu, że </w:t>
      </w:r>
      <w:r w:rsidR="00DE0BE2" w:rsidRPr="008A0C03">
        <w:rPr>
          <w:rFonts w:asciiTheme="majorHAnsi" w:hAnsiTheme="majorHAnsi" w:cstheme="majorHAnsi"/>
        </w:rPr>
        <w:t xml:space="preserve">skarżący </w:t>
      </w:r>
      <w:r w:rsidRPr="008A0C03">
        <w:rPr>
          <w:rFonts w:asciiTheme="majorHAnsi" w:hAnsiTheme="majorHAnsi" w:cstheme="majorHAnsi"/>
        </w:rPr>
        <w:t>mógł przyspieszyć postępowanie, nie sprzeciwiając się swojej ekstradycji, Trybunał stwierdza, że o ile taki sprzeciw może co do zasady uzasadniać przedłużenie aresztu, ponieważ będzie on musiał zostać zbadany prz</w:t>
      </w:r>
      <w:r w:rsidR="00F80464">
        <w:rPr>
          <w:rFonts w:asciiTheme="majorHAnsi" w:hAnsiTheme="majorHAnsi" w:cstheme="majorHAnsi"/>
        </w:rPr>
        <w:t>ez sąd, to nie może on zwolnić P</w:t>
      </w:r>
      <w:r w:rsidRPr="008A0C03">
        <w:rPr>
          <w:rFonts w:asciiTheme="majorHAnsi" w:hAnsiTheme="majorHAnsi" w:cstheme="majorHAnsi"/>
        </w:rPr>
        <w:t>aństwa z odpowiedzialności za j</w:t>
      </w:r>
      <w:r w:rsidR="00F80464">
        <w:rPr>
          <w:rFonts w:asciiTheme="majorHAnsi" w:hAnsiTheme="majorHAnsi" w:cstheme="majorHAnsi"/>
        </w:rPr>
        <w:t>akiejkolwiek nieuzasadnione opóź</w:t>
      </w:r>
      <w:r w:rsidRPr="008A0C03">
        <w:rPr>
          <w:rFonts w:asciiTheme="majorHAnsi" w:hAnsiTheme="majorHAnsi" w:cstheme="majorHAnsi"/>
        </w:rPr>
        <w:t>nienia w fazie sądowej.</w:t>
      </w:r>
    </w:p>
    <w:p w:rsidR="00A86476" w:rsidRPr="008A0C03" w:rsidRDefault="00A86476" w:rsidP="00A86476">
      <w:pPr>
        <w:pStyle w:val="Textbody"/>
        <w:tabs>
          <w:tab w:val="left" w:pos="283"/>
        </w:tabs>
        <w:jc w:val="both"/>
        <w:rPr>
          <w:rFonts w:asciiTheme="majorHAnsi" w:hAnsiTheme="majorHAnsi" w:cstheme="majorHAnsi"/>
        </w:rPr>
      </w:pPr>
      <w:r w:rsidRPr="008A0C03">
        <w:rPr>
          <w:rFonts w:asciiTheme="majorHAnsi" w:hAnsiTheme="majorHAnsi" w:cstheme="majorHAnsi"/>
        </w:rPr>
        <w:tab/>
        <w:t>51. W konsekwencji, mając na uwadze charakter postępowania ekstradycyjnego, kt</w:t>
      </w:r>
      <w:r w:rsidR="00F80464">
        <w:rPr>
          <w:rFonts w:asciiTheme="majorHAnsi" w:hAnsiTheme="majorHAnsi" w:cstheme="majorHAnsi"/>
        </w:rPr>
        <w:t>órego celem było zapewnienie, aby</w:t>
      </w:r>
      <w:r w:rsidRPr="008A0C03">
        <w:rPr>
          <w:rFonts w:asciiTheme="majorHAnsi" w:hAnsiTheme="majorHAnsi" w:cstheme="majorHAnsi"/>
        </w:rPr>
        <w:t xml:space="preserve"> </w:t>
      </w:r>
      <w:r w:rsidR="00EC701C" w:rsidRPr="008A0C03">
        <w:rPr>
          <w:rFonts w:asciiTheme="majorHAnsi" w:hAnsiTheme="majorHAnsi" w:cstheme="majorHAnsi"/>
        </w:rPr>
        <w:t>postepowanie karne przeciwko</w:t>
      </w:r>
      <w:r w:rsidRPr="008A0C03">
        <w:rPr>
          <w:rFonts w:asciiTheme="majorHAnsi" w:hAnsiTheme="majorHAnsi" w:cstheme="majorHAnsi"/>
        </w:rPr>
        <w:t xml:space="preserve"> </w:t>
      </w:r>
      <w:r w:rsidR="001067B1" w:rsidRPr="008A0C03">
        <w:rPr>
          <w:rFonts w:asciiTheme="majorHAnsi" w:hAnsiTheme="majorHAnsi" w:cstheme="majorHAnsi"/>
        </w:rPr>
        <w:t>skarżącemu</w:t>
      </w:r>
      <w:r w:rsidR="00F80464">
        <w:rPr>
          <w:rFonts w:asciiTheme="majorHAnsi" w:hAnsiTheme="majorHAnsi" w:cstheme="majorHAnsi"/>
        </w:rPr>
        <w:t xml:space="preserve"> było realizowane w innym P</w:t>
      </w:r>
      <w:r w:rsidRPr="008A0C03">
        <w:rPr>
          <w:rFonts w:asciiTheme="majorHAnsi" w:hAnsiTheme="majorHAnsi" w:cstheme="majorHAnsi"/>
        </w:rPr>
        <w:t>aństwie oraz nieuzasadnione opóźnien</w:t>
      </w:r>
      <w:r w:rsidR="00DE0BE2" w:rsidRPr="008A0C03">
        <w:rPr>
          <w:rFonts w:asciiTheme="majorHAnsi" w:hAnsiTheme="majorHAnsi" w:cstheme="majorHAnsi"/>
        </w:rPr>
        <w:t>ia we włoskich sądach, Trybunał</w:t>
      </w:r>
      <w:r w:rsidRPr="008A0C03">
        <w:rPr>
          <w:rFonts w:asciiTheme="majorHAnsi" w:hAnsiTheme="majorHAnsi" w:cstheme="majorHAnsi"/>
        </w:rPr>
        <w:t xml:space="preserve"> stwierdza, że tymczasowe aresztowanie skarżącego nie było "zgodne z prawem" w rozumieniu artykułu 5 § 1 (f) Konwencji, a zatem doszło do naruszenia tego </w:t>
      </w:r>
      <w:r w:rsidRPr="008A0C03">
        <w:rPr>
          <w:rFonts w:asciiTheme="majorHAnsi" w:hAnsiTheme="majorHAnsi" w:cstheme="majorHAnsi"/>
        </w:rPr>
        <w:lastRenderedPageBreak/>
        <w:t>przepisu.</w:t>
      </w:r>
    </w:p>
    <w:p w:rsidR="00A86476" w:rsidRPr="008A0C03" w:rsidRDefault="00A86476" w:rsidP="00C309BD">
      <w:pPr>
        <w:pStyle w:val="Textbody"/>
        <w:tabs>
          <w:tab w:val="left" w:pos="283"/>
        </w:tabs>
        <w:jc w:val="both"/>
        <w:rPr>
          <w:rFonts w:asciiTheme="majorHAnsi" w:hAnsiTheme="majorHAnsi" w:cstheme="majorHAnsi"/>
        </w:rPr>
      </w:pPr>
    </w:p>
    <w:p w:rsidR="009A64DA" w:rsidRPr="008A0C03" w:rsidRDefault="009A64DA" w:rsidP="009A64DA">
      <w:pPr>
        <w:pStyle w:val="ECHRHeading1"/>
        <w:rPr>
          <w:lang w:val="pl-PL"/>
        </w:rPr>
      </w:pPr>
      <w:r w:rsidRPr="008A0C03">
        <w:rPr>
          <w:lang w:val="pl-PL"/>
        </w:rPr>
        <w:t>II. ZASTOSOWANIE ARTYKUŁU 41 KONWENCJI</w:t>
      </w:r>
    </w:p>
    <w:p w:rsidR="009A64DA" w:rsidRPr="008A0C03" w:rsidRDefault="009A64DA" w:rsidP="009A64DA">
      <w:pPr>
        <w:pStyle w:val="ECHRPara"/>
        <w:rPr>
          <w:lang w:val="pl-PL"/>
        </w:rPr>
      </w:pPr>
      <w:r w:rsidRPr="008A0C03">
        <w:rPr>
          <w:lang w:val="pl-PL"/>
        </w:rPr>
        <w:t>52. Artykuł 41 Konwencji stanowi:</w:t>
      </w:r>
    </w:p>
    <w:p w:rsidR="009A64DA" w:rsidRPr="008A0C03" w:rsidRDefault="009A64DA" w:rsidP="009A64DA">
      <w:pPr>
        <w:pStyle w:val="ECHRParaQuote"/>
        <w:keepNext/>
        <w:keepLines/>
        <w:rPr>
          <w:lang w:val="pl-PL"/>
        </w:rPr>
      </w:pPr>
      <w:r w:rsidRPr="008A0C03">
        <w:rPr>
          <w:rFonts w:ascii="Arial" w:hAnsi="Arial"/>
          <w:sz w:val="18"/>
          <w:szCs w:val="18"/>
          <w:lang w:val="pl-PL"/>
        </w:rPr>
        <w:tab/>
      </w:r>
      <w:r w:rsidRPr="008A0C03">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 “</w:t>
      </w:r>
    </w:p>
    <w:p w:rsidR="009A64DA" w:rsidRPr="008A0C03" w:rsidRDefault="009A64DA" w:rsidP="009A64DA">
      <w:pPr>
        <w:pStyle w:val="ECHRPara"/>
        <w:rPr>
          <w:lang w:val="pl-PL"/>
        </w:rPr>
      </w:pPr>
      <w:r w:rsidRPr="008A0C03">
        <w:rPr>
          <w:rFonts w:ascii="Arial" w:hAnsi="Arial"/>
          <w:sz w:val="21"/>
          <w:szCs w:val="21"/>
          <w:lang w:val="pl-PL"/>
        </w:rPr>
        <w:tab/>
        <w:t xml:space="preserve">53. </w:t>
      </w:r>
      <w:r w:rsidRPr="008A0C03">
        <w:rPr>
          <w:lang w:val="pl-PL"/>
        </w:rPr>
        <w:t>Skarżący nie złożył wniosku o zadośćuczynienie (patrz pa</w:t>
      </w:r>
      <w:r w:rsidR="00EC701C" w:rsidRPr="008A0C03">
        <w:rPr>
          <w:lang w:val="pl-PL"/>
        </w:rPr>
        <w:t>r</w:t>
      </w:r>
      <w:r w:rsidRPr="008A0C03">
        <w:rPr>
          <w:lang w:val="pl-PL"/>
        </w:rPr>
        <w:t>agraf 5 powyżej). W związku z tym Trybunał uważa, że nie ma powodu do przyznania mu jakiejkolwiek kwoty z tego tytułu.</w:t>
      </w:r>
    </w:p>
    <w:p w:rsidR="009A64DA" w:rsidRPr="008A0C03" w:rsidRDefault="009A64DA" w:rsidP="009A64DA">
      <w:pPr>
        <w:pStyle w:val="Textbody"/>
        <w:tabs>
          <w:tab w:val="left" w:pos="283"/>
        </w:tabs>
        <w:jc w:val="both"/>
        <w:rPr>
          <w:rFonts w:ascii="Arial" w:hAnsi="Arial"/>
        </w:rPr>
      </w:pPr>
    </w:p>
    <w:p w:rsidR="009A64DA" w:rsidRPr="008A0C03" w:rsidRDefault="009A64DA" w:rsidP="009A64DA">
      <w:pPr>
        <w:pStyle w:val="ECHRTitle1"/>
        <w:rPr>
          <w:lang w:val="pl-PL"/>
        </w:rPr>
      </w:pPr>
      <w:r w:rsidRPr="008A0C03">
        <w:rPr>
          <w:lang w:val="pl-PL"/>
        </w:rPr>
        <w:t>Z TYCH PRZYCZYN TRYBUNAŁ JEDNOMYŚLNIE</w:t>
      </w:r>
    </w:p>
    <w:p w:rsidR="009A64DA" w:rsidRPr="008A0C03" w:rsidRDefault="009A64DA" w:rsidP="009A64DA">
      <w:pPr>
        <w:pStyle w:val="Textbody"/>
        <w:tabs>
          <w:tab w:val="left" w:pos="283"/>
        </w:tabs>
        <w:jc w:val="both"/>
        <w:rPr>
          <w:rFonts w:asciiTheme="majorHAnsi" w:hAnsiTheme="majorHAnsi" w:cstheme="majorHAnsi"/>
        </w:rPr>
      </w:pPr>
      <w:r w:rsidRPr="008A0C03">
        <w:rPr>
          <w:rFonts w:asciiTheme="majorHAnsi" w:hAnsiTheme="majorHAnsi" w:cstheme="majorHAnsi"/>
        </w:rPr>
        <w:t xml:space="preserve">1. </w:t>
      </w:r>
      <w:r w:rsidRPr="008A0C03">
        <w:rPr>
          <w:rFonts w:asciiTheme="majorHAnsi" w:hAnsiTheme="majorHAnsi" w:cstheme="majorHAnsi"/>
          <w:i/>
          <w:iCs/>
        </w:rPr>
        <w:t>Uznaje</w:t>
      </w:r>
      <w:r w:rsidRPr="008A0C03">
        <w:rPr>
          <w:rFonts w:asciiTheme="majorHAnsi" w:hAnsiTheme="majorHAnsi" w:cstheme="majorHAnsi"/>
        </w:rPr>
        <w:t xml:space="preserve"> skargę za dopuszczalną;</w:t>
      </w:r>
    </w:p>
    <w:p w:rsidR="009A64DA" w:rsidRPr="008A0C03" w:rsidRDefault="009A64DA" w:rsidP="009A64DA">
      <w:pPr>
        <w:pStyle w:val="Textbody"/>
        <w:tabs>
          <w:tab w:val="left" w:pos="283"/>
        </w:tabs>
        <w:jc w:val="both"/>
        <w:rPr>
          <w:rFonts w:asciiTheme="majorHAnsi" w:hAnsiTheme="majorHAnsi" w:cstheme="majorHAnsi"/>
        </w:rPr>
      </w:pPr>
      <w:r w:rsidRPr="008A0C03">
        <w:rPr>
          <w:rFonts w:asciiTheme="majorHAnsi" w:hAnsiTheme="majorHAnsi" w:cstheme="majorHAnsi"/>
        </w:rPr>
        <w:t>2.</w:t>
      </w:r>
      <w:r w:rsidRPr="008A0C03">
        <w:rPr>
          <w:rFonts w:asciiTheme="majorHAnsi" w:hAnsiTheme="majorHAnsi" w:cstheme="majorHAnsi"/>
          <w:i/>
          <w:iCs/>
        </w:rPr>
        <w:t xml:space="preserve"> Uznaje</w:t>
      </w:r>
      <w:r w:rsidRPr="008A0C03">
        <w:rPr>
          <w:rFonts w:asciiTheme="majorHAnsi" w:hAnsiTheme="majorHAnsi" w:cstheme="majorHAnsi"/>
        </w:rPr>
        <w:t>, że doszło do naruszenia artykułu 5 § 1 (f) Konwencji.</w:t>
      </w:r>
    </w:p>
    <w:p w:rsidR="009A64DA" w:rsidRPr="008A0C03" w:rsidRDefault="009A64DA" w:rsidP="009A64DA">
      <w:pPr>
        <w:pStyle w:val="Textbody"/>
        <w:tabs>
          <w:tab w:val="left" w:pos="283"/>
        </w:tabs>
        <w:jc w:val="both"/>
        <w:rPr>
          <w:rFonts w:asciiTheme="majorHAnsi" w:hAnsiTheme="majorHAnsi" w:cstheme="majorHAnsi"/>
        </w:rPr>
      </w:pPr>
      <w:r w:rsidRPr="008A0C03">
        <w:rPr>
          <w:rFonts w:asciiTheme="majorHAnsi" w:hAnsiTheme="majorHAnsi" w:cstheme="majorHAnsi"/>
        </w:rPr>
        <w:t>Sporządzono w języku francuskim i obwieszczono na piśmie w dniu 24 marca 2015 roku, zgodnie z Regułą 77 §§ 2 i 3 Regulaminem Trybunału.</w:t>
      </w:r>
    </w:p>
    <w:p w:rsidR="009A64DA" w:rsidRPr="008A0C03" w:rsidRDefault="009A64DA" w:rsidP="009A64DA">
      <w:pPr>
        <w:pStyle w:val="Textbody"/>
        <w:tabs>
          <w:tab w:val="left" w:pos="283"/>
        </w:tabs>
        <w:jc w:val="both"/>
        <w:rPr>
          <w:rFonts w:asciiTheme="majorHAnsi" w:hAnsiTheme="majorHAnsi" w:cstheme="majorHAnsi"/>
        </w:rPr>
      </w:pPr>
    </w:p>
    <w:p w:rsidR="009A64DA" w:rsidRPr="008A0C03" w:rsidRDefault="009A64DA" w:rsidP="009A64DA">
      <w:pPr>
        <w:pStyle w:val="Textbody"/>
        <w:tabs>
          <w:tab w:val="left" w:pos="283"/>
        </w:tabs>
        <w:jc w:val="both"/>
        <w:rPr>
          <w:rFonts w:asciiTheme="majorHAnsi" w:hAnsiTheme="majorHAnsi" w:cstheme="majorHAnsi"/>
        </w:rPr>
      </w:pPr>
      <w:r w:rsidRPr="008A0C03">
        <w:rPr>
          <w:rFonts w:asciiTheme="majorHAnsi" w:hAnsiTheme="majorHAnsi" w:cstheme="majorHAnsi"/>
        </w:rPr>
        <w:tab/>
      </w:r>
      <w:r w:rsidRPr="008A0C03">
        <w:rPr>
          <w:rFonts w:asciiTheme="majorHAnsi" w:hAnsiTheme="majorHAnsi" w:cstheme="majorHAnsi"/>
        </w:rPr>
        <w:tab/>
      </w:r>
    </w:p>
    <w:p w:rsidR="009A64DA" w:rsidRPr="008A0C03" w:rsidRDefault="009A64DA" w:rsidP="009A64DA">
      <w:pPr>
        <w:pStyle w:val="Textbody"/>
        <w:tabs>
          <w:tab w:val="left" w:pos="283"/>
        </w:tabs>
        <w:jc w:val="both"/>
        <w:rPr>
          <w:rFonts w:asciiTheme="majorHAnsi" w:hAnsiTheme="majorHAnsi" w:cstheme="majorHAnsi"/>
        </w:rPr>
      </w:pPr>
      <w:r w:rsidRPr="008A0C03">
        <w:rPr>
          <w:rFonts w:asciiTheme="majorHAnsi" w:hAnsiTheme="majorHAnsi" w:cstheme="majorHAnsi"/>
        </w:rPr>
        <w:tab/>
      </w:r>
      <w:r w:rsidRPr="008A0C03">
        <w:rPr>
          <w:rFonts w:asciiTheme="majorHAnsi" w:hAnsiTheme="majorHAnsi" w:cstheme="majorHAnsi"/>
        </w:rPr>
        <w:tab/>
      </w:r>
      <w:proofErr w:type="spellStart"/>
      <w:r w:rsidRPr="008A0C03">
        <w:rPr>
          <w:rFonts w:asciiTheme="majorHAnsi" w:hAnsiTheme="majorHAnsi" w:cstheme="majorHAnsi"/>
        </w:rPr>
        <w:t>Fatoş</w:t>
      </w:r>
      <w:proofErr w:type="spellEnd"/>
      <w:r w:rsidRPr="008A0C03">
        <w:rPr>
          <w:rFonts w:asciiTheme="majorHAnsi" w:hAnsiTheme="majorHAnsi" w:cstheme="majorHAnsi"/>
        </w:rPr>
        <w:t xml:space="preserve"> </w:t>
      </w:r>
      <w:proofErr w:type="spellStart"/>
      <w:r w:rsidRPr="008A0C03">
        <w:rPr>
          <w:rFonts w:asciiTheme="majorHAnsi" w:hAnsiTheme="majorHAnsi" w:cstheme="majorHAnsi"/>
        </w:rPr>
        <w:t>Aracı</w:t>
      </w:r>
      <w:proofErr w:type="spellEnd"/>
      <w:r w:rsidRPr="008A0C03">
        <w:rPr>
          <w:rFonts w:asciiTheme="majorHAnsi" w:hAnsiTheme="majorHAnsi" w:cstheme="majorHAnsi"/>
        </w:rPr>
        <w:t xml:space="preserve"> </w:t>
      </w:r>
      <w:r w:rsidRPr="008A0C03">
        <w:rPr>
          <w:rFonts w:asciiTheme="majorHAnsi" w:hAnsiTheme="majorHAnsi" w:cstheme="majorHAnsi"/>
        </w:rPr>
        <w:tab/>
      </w:r>
      <w:r w:rsidRPr="008A0C03">
        <w:rPr>
          <w:rFonts w:asciiTheme="majorHAnsi" w:hAnsiTheme="majorHAnsi" w:cstheme="majorHAnsi"/>
        </w:rPr>
        <w:tab/>
      </w:r>
      <w:r w:rsidRPr="008A0C03">
        <w:rPr>
          <w:rFonts w:asciiTheme="majorHAnsi" w:hAnsiTheme="majorHAnsi" w:cstheme="majorHAnsi"/>
        </w:rPr>
        <w:tab/>
      </w:r>
      <w:r w:rsidRPr="008A0C03">
        <w:rPr>
          <w:rFonts w:asciiTheme="majorHAnsi" w:hAnsiTheme="majorHAnsi" w:cstheme="majorHAnsi"/>
        </w:rPr>
        <w:tab/>
      </w:r>
      <w:r w:rsidRPr="008A0C03">
        <w:rPr>
          <w:rFonts w:asciiTheme="majorHAnsi" w:hAnsiTheme="majorHAnsi" w:cstheme="majorHAnsi"/>
        </w:rPr>
        <w:tab/>
      </w:r>
      <w:proofErr w:type="spellStart"/>
      <w:r w:rsidRPr="008A0C03">
        <w:rPr>
          <w:rFonts w:asciiTheme="majorHAnsi" w:hAnsiTheme="majorHAnsi" w:cstheme="majorHAnsi"/>
        </w:rPr>
        <w:t>Päivi</w:t>
      </w:r>
      <w:proofErr w:type="spellEnd"/>
      <w:r w:rsidRPr="008A0C03">
        <w:rPr>
          <w:rFonts w:asciiTheme="majorHAnsi" w:hAnsiTheme="majorHAnsi" w:cstheme="majorHAnsi"/>
        </w:rPr>
        <w:t xml:space="preserve"> </w:t>
      </w:r>
      <w:proofErr w:type="spellStart"/>
      <w:r w:rsidRPr="008A0C03">
        <w:rPr>
          <w:rFonts w:asciiTheme="majorHAnsi" w:hAnsiTheme="majorHAnsi" w:cstheme="majorHAnsi"/>
        </w:rPr>
        <w:t>Hirvelä</w:t>
      </w:r>
      <w:proofErr w:type="spellEnd"/>
    </w:p>
    <w:p w:rsidR="009A64DA" w:rsidRPr="008A0C03" w:rsidRDefault="009A64DA" w:rsidP="009A64DA">
      <w:pPr>
        <w:pStyle w:val="Textbody"/>
        <w:tabs>
          <w:tab w:val="left" w:pos="283"/>
        </w:tabs>
        <w:jc w:val="both"/>
        <w:rPr>
          <w:rFonts w:asciiTheme="majorHAnsi" w:hAnsiTheme="majorHAnsi" w:cstheme="majorHAnsi"/>
        </w:rPr>
      </w:pPr>
      <w:r w:rsidRPr="008A0C03">
        <w:rPr>
          <w:rFonts w:asciiTheme="majorHAnsi" w:hAnsiTheme="majorHAnsi" w:cstheme="majorHAnsi"/>
        </w:rPr>
        <w:tab/>
      </w:r>
      <w:r w:rsidRPr="008A0C03">
        <w:rPr>
          <w:rFonts w:asciiTheme="majorHAnsi" w:hAnsiTheme="majorHAnsi" w:cstheme="majorHAnsi"/>
        </w:rPr>
        <w:tab/>
        <w:t xml:space="preserve">Kanclerz </w:t>
      </w:r>
      <w:r w:rsidRPr="008A0C03">
        <w:rPr>
          <w:rFonts w:asciiTheme="majorHAnsi" w:hAnsiTheme="majorHAnsi" w:cstheme="majorHAnsi"/>
        </w:rPr>
        <w:tab/>
      </w:r>
      <w:r w:rsidRPr="008A0C03">
        <w:rPr>
          <w:rFonts w:asciiTheme="majorHAnsi" w:hAnsiTheme="majorHAnsi" w:cstheme="majorHAnsi"/>
        </w:rPr>
        <w:tab/>
      </w:r>
      <w:r w:rsidRPr="008A0C03">
        <w:rPr>
          <w:rFonts w:asciiTheme="majorHAnsi" w:hAnsiTheme="majorHAnsi" w:cstheme="majorHAnsi"/>
        </w:rPr>
        <w:tab/>
      </w:r>
      <w:r w:rsidRPr="008A0C03">
        <w:rPr>
          <w:rFonts w:asciiTheme="majorHAnsi" w:hAnsiTheme="majorHAnsi" w:cstheme="majorHAnsi"/>
        </w:rPr>
        <w:tab/>
      </w:r>
      <w:r w:rsidRPr="008A0C03">
        <w:rPr>
          <w:rFonts w:asciiTheme="majorHAnsi" w:hAnsiTheme="majorHAnsi" w:cstheme="majorHAnsi"/>
        </w:rPr>
        <w:tab/>
        <w:t>Przewodnicząca</w:t>
      </w:r>
    </w:p>
    <w:p w:rsidR="00C309BD" w:rsidRPr="008A0C03" w:rsidRDefault="00C309BD" w:rsidP="003C096B">
      <w:pPr>
        <w:keepNext/>
        <w:keepLines/>
        <w:tabs>
          <w:tab w:val="left" w:pos="731"/>
        </w:tabs>
        <w:spacing w:before="240" w:after="120"/>
        <w:ind w:left="732" w:hanging="301"/>
        <w:outlineLvl w:val="2"/>
        <w:rPr>
          <w:rFonts w:asciiTheme="majorHAnsi" w:eastAsia="Times New Roman" w:hAnsiTheme="majorHAnsi" w:cstheme="majorBidi"/>
          <w:bCs/>
          <w:i/>
          <w:lang w:val="pl-PL"/>
        </w:rPr>
      </w:pPr>
    </w:p>
    <w:p w:rsidR="00C309BD" w:rsidRPr="008A0C03" w:rsidRDefault="00C309BD" w:rsidP="003C096B">
      <w:pPr>
        <w:keepNext/>
        <w:keepLines/>
        <w:tabs>
          <w:tab w:val="left" w:pos="975"/>
        </w:tabs>
        <w:spacing w:before="240" w:after="120"/>
        <w:ind w:left="975" w:hanging="340"/>
        <w:outlineLvl w:val="3"/>
        <w:rPr>
          <w:rFonts w:asciiTheme="majorHAnsi" w:eastAsia="Times New Roman" w:hAnsiTheme="majorHAnsi" w:cstheme="majorBidi"/>
          <w:b/>
          <w:bCs/>
          <w:iCs/>
          <w:sz w:val="20"/>
          <w:lang w:val="pl-PL"/>
        </w:rPr>
      </w:pPr>
    </w:p>
    <w:sectPr w:rsidR="00C309BD" w:rsidRPr="008A0C03" w:rsidSect="007F2B37">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614" w:rsidRDefault="00426614" w:rsidP="00014566">
      <w:r>
        <w:separator/>
      </w:r>
    </w:p>
  </w:endnote>
  <w:endnote w:type="continuationSeparator" w:id="0">
    <w:p w:rsidR="00426614" w:rsidRDefault="0042661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150BFA" w:rsidRDefault="00946CCD" w:rsidP="00F013AE">
    <w:pPr>
      <w:jc w:val="center"/>
    </w:pPr>
    <w:r>
      <w:rPr>
        <w:noProof/>
        <w:lang w:val="pl-PL" w:eastAsia="pl-PL"/>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46CCD" w:rsidRDefault="00946C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614" w:rsidRDefault="00426614" w:rsidP="00014566">
      <w:r>
        <w:separator/>
      </w:r>
    </w:p>
  </w:footnote>
  <w:footnote w:type="continuationSeparator" w:id="0">
    <w:p w:rsidR="00426614" w:rsidRDefault="00426614"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7F2B37" w:rsidRDefault="00946CCD" w:rsidP="007F2B3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A45145" w:rsidRDefault="00946CCD" w:rsidP="00F013AE">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46CCD" w:rsidRDefault="00946CC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FF534D" w:rsidRDefault="00247210" w:rsidP="00EE1DA9">
    <w:pPr>
      <w:pStyle w:val="ECHRHeader"/>
      <w:rPr>
        <w:lang w:val="pl-PL"/>
      </w:rPr>
    </w:pPr>
    <w:r>
      <w:rPr>
        <w:rStyle w:val="Numerstrony"/>
        <w:szCs w:val="18"/>
        <w:lang w:val="en-GB"/>
      </w:rPr>
      <w:fldChar w:fldCharType="begin"/>
    </w:r>
    <w:r w:rsidR="00946CCD" w:rsidRPr="00FF534D">
      <w:rPr>
        <w:rStyle w:val="Numerstrony"/>
        <w:szCs w:val="18"/>
        <w:lang w:val="pl-PL"/>
      </w:rPr>
      <w:instrText xml:space="preserve"> PAGE </w:instrText>
    </w:r>
    <w:r>
      <w:rPr>
        <w:rStyle w:val="Numerstrony"/>
        <w:szCs w:val="18"/>
        <w:lang w:val="en-GB"/>
      </w:rPr>
      <w:fldChar w:fldCharType="separate"/>
    </w:r>
    <w:r w:rsidR="0003494C">
      <w:rPr>
        <w:rStyle w:val="Numerstrony"/>
        <w:noProof/>
        <w:szCs w:val="18"/>
        <w:lang w:val="pl-PL"/>
      </w:rPr>
      <w:t>12</w:t>
    </w:r>
    <w:r>
      <w:rPr>
        <w:rStyle w:val="Numerstrony"/>
        <w:szCs w:val="18"/>
        <w:lang w:val="en-GB"/>
      </w:rPr>
      <w:fldChar w:fldCharType="end"/>
    </w:r>
    <w:r w:rsidR="00946CCD" w:rsidRPr="00FF534D">
      <w:rPr>
        <w:lang w:val="pl-PL"/>
      </w:rPr>
      <w:tab/>
    </w:r>
    <w:r w:rsidR="00FF534D" w:rsidRPr="00FF534D">
      <w:rPr>
        <w:lang w:val="pl-PL"/>
      </w:rPr>
      <w:t xml:space="preserve">WYROK w sprawie GALLARDO SANCHEZ p. WŁOCHOM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FF534D" w:rsidRDefault="00946CCD" w:rsidP="00D60D87">
    <w:pPr>
      <w:pStyle w:val="ECHRHeader"/>
      <w:rPr>
        <w:lang w:val="pl-PL"/>
      </w:rPr>
    </w:pPr>
    <w:r w:rsidRPr="00D60D87">
      <w:rPr>
        <w:lang w:val="en-GB"/>
      </w:rPr>
      <w:tab/>
    </w:r>
    <w:r w:rsidR="00FF534D" w:rsidRPr="00FF534D">
      <w:rPr>
        <w:lang w:val="pl-PL"/>
      </w:rPr>
      <w:t xml:space="preserve">WYROK w sprawie </w:t>
    </w:r>
    <w:r w:rsidRPr="00FF534D">
      <w:rPr>
        <w:lang w:val="pl-PL"/>
      </w:rPr>
      <w:t xml:space="preserve">GALLARDO SANCHEZ </w:t>
    </w:r>
    <w:r w:rsidR="00FF534D" w:rsidRPr="00FF534D">
      <w:rPr>
        <w:lang w:val="pl-PL"/>
      </w:rPr>
      <w:t>p</w:t>
    </w:r>
    <w:r w:rsidRPr="00FF534D">
      <w:rPr>
        <w:lang w:val="pl-PL"/>
      </w:rPr>
      <w:t xml:space="preserve">. </w:t>
    </w:r>
    <w:r w:rsidR="00FF534D" w:rsidRPr="00FF534D">
      <w:rPr>
        <w:lang w:val="pl-PL"/>
      </w:rPr>
      <w:t>WŁOCHOM</w:t>
    </w:r>
    <w:r w:rsidRPr="00FF534D">
      <w:rPr>
        <w:lang w:val="pl-PL"/>
      </w:rPr>
      <w:tab/>
    </w:r>
    <w:r w:rsidR="00247210">
      <w:rPr>
        <w:rStyle w:val="Numerstrony"/>
        <w:szCs w:val="18"/>
        <w:lang w:val="en-GB"/>
      </w:rPr>
      <w:fldChar w:fldCharType="begin"/>
    </w:r>
    <w:r w:rsidRPr="00FF534D">
      <w:rPr>
        <w:rStyle w:val="Numerstrony"/>
        <w:szCs w:val="18"/>
        <w:lang w:val="pl-PL"/>
      </w:rPr>
      <w:instrText xml:space="preserve"> PAGE </w:instrText>
    </w:r>
    <w:r w:rsidR="00247210">
      <w:rPr>
        <w:rStyle w:val="Numerstrony"/>
        <w:szCs w:val="18"/>
        <w:lang w:val="en-GB"/>
      </w:rPr>
      <w:fldChar w:fldCharType="separate"/>
    </w:r>
    <w:r w:rsidR="0003494C">
      <w:rPr>
        <w:rStyle w:val="Numerstrony"/>
        <w:noProof/>
        <w:szCs w:val="18"/>
        <w:lang w:val="pl-PL"/>
      </w:rPr>
      <w:t>1</w:t>
    </w:r>
    <w:r w:rsidR="00247210">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4E8750E"/>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93F3EC4"/>
    <w:multiLevelType w:val="multilevel"/>
    <w:tmpl w:val="39D882EE"/>
    <w:lvl w:ilvl="0">
      <w:start w:val="100"/>
      <w:numFmt w:val="low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68B76A1"/>
    <w:multiLevelType w:val="multilevel"/>
    <w:tmpl w:val="88EC30D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59677F12"/>
    <w:multiLevelType w:val="multilevel"/>
    <w:tmpl w:val="4770174C"/>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65D7306C"/>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7"/>
  </w:num>
  <w:num w:numId="2">
    <w:abstractNumId w:val="11"/>
  </w:num>
  <w:num w:numId="3">
    <w:abstractNumId w:val="9"/>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3"/>
  </w:num>
  <w:num w:numId="16">
    <w:abstractNumId w:val="10"/>
  </w:num>
  <w:num w:numId="17">
    <w:abstractNumId w:val="16"/>
  </w:num>
  <w:num w:numId="18">
    <w:abstractNumId w:val="12"/>
  </w:num>
  <w:num w:numId="19">
    <w:abstractNumId w:val="14"/>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F2B37"/>
    <w:rsid w:val="000010ED"/>
    <w:rsid w:val="00001DEE"/>
    <w:rsid w:val="000041F8"/>
    <w:rsid w:val="000042A8"/>
    <w:rsid w:val="00004308"/>
    <w:rsid w:val="00005BF0"/>
    <w:rsid w:val="00007154"/>
    <w:rsid w:val="000103AE"/>
    <w:rsid w:val="00011D69"/>
    <w:rsid w:val="00012AD3"/>
    <w:rsid w:val="00014566"/>
    <w:rsid w:val="00015C2D"/>
    <w:rsid w:val="00015F00"/>
    <w:rsid w:val="00022C1D"/>
    <w:rsid w:val="0003494C"/>
    <w:rsid w:val="00034987"/>
    <w:rsid w:val="00042828"/>
    <w:rsid w:val="00046FF2"/>
    <w:rsid w:val="000529E3"/>
    <w:rsid w:val="000602DF"/>
    <w:rsid w:val="00061B05"/>
    <w:rsid w:val="00062973"/>
    <w:rsid w:val="00062D5D"/>
    <w:rsid w:val="000632D5"/>
    <w:rsid w:val="00063B88"/>
    <w:rsid w:val="000644EE"/>
    <w:rsid w:val="000856D7"/>
    <w:rsid w:val="000925AD"/>
    <w:rsid w:val="000A1CBB"/>
    <w:rsid w:val="000A24EB"/>
    <w:rsid w:val="000A6008"/>
    <w:rsid w:val="000B6923"/>
    <w:rsid w:val="000C033C"/>
    <w:rsid w:val="000C5F3C"/>
    <w:rsid w:val="000C6DCC"/>
    <w:rsid w:val="000D05AD"/>
    <w:rsid w:val="000D47AA"/>
    <w:rsid w:val="000D721F"/>
    <w:rsid w:val="000E069B"/>
    <w:rsid w:val="000E0E82"/>
    <w:rsid w:val="000E1DC5"/>
    <w:rsid w:val="000E223F"/>
    <w:rsid w:val="000E35AC"/>
    <w:rsid w:val="000E487B"/>
    <w:rsid w:val="000E60FD"/>
    <w:rsid w:val="000E6B7C"/>
    <w:rsid w:val="000E7D45"/>
    <w:rsid w:val="000F7851"/>
    <w:rsid w:val="00104E23"/>
    <w:rsid w:val="001067B1"/>
    <w:rsid w:val="00111B0C"/>
    <w:rsid w:val="00117C16"/>
    <w:rsid w:val="00120D6C"/>
    <w:rsid w:val="00121CE3"/>
    <w:rsid w:val="001257EC"/>
    <w:rsid w:val="00132C6A"/>
    <w:rsid w:val="00133D33"/>
    <w:rsid w:val="00134D64"/>
    <w:rsid w:val="00135A30"/>
    <w:rsid w:val="0013612C"/>
    <w:rsid w:val="00137FF6"/>
    <w:rsid w:val="00141650"/>
    <w:rsid w:val="00155E96"/>
    <w:rsid w:val="0015750A"/>
    <w:rsid w:val="00162A12"/>
    <w:rsid w:val="00166530"/>
    <w:rsid w:val="00173A7D"/>
    <w:rsid w:val="001832BD"/>
    <w:rsid w:val="00187BC0"/>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67E4"/>
    <w:rsid w:val="001F7B3D"/>
    <w:rsid w:val="00205F9F"/>
    <w:rsid w:val="00206F73"/>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47210"/>
    <w:rsid w:val="002532C5"/>
    <w:rsid w:val="00260C03"/>
    <w:rsid w:val="0026540E"/>
    <w:rsid w:val="00275123"/>
    <w:rsid w:val="00282240"/>
    <w:rsid w:val="00284272"/>
    <w:rsid w:val="0028572A"/>
    <w:rsid w:val="002948AD"/>
    <w:rsid w:val="00294C05"/>
    <w:rsid w:val="00294C92"/>
    <w:rsid w:val="002A01CC"/>
    <w:rsid w:val="002A61B1"/>
    <w:rsid w:val="002A663C"/>
    <w:rsid w:val="002B444B"/>
    <w:rsid w:val="002B5887"/>
    <w:rsid w:val="002C0692"/>
    <w:rsid w:val="002C0E27"/>
    <w:rsid w:val="002C3040"/>
    <w:rsid w:val="002D022D"/>
    <w:rsid w:val="002D24BB"/>
    <w:rsid w:val="002F2AF7"/>
    <w:rsid w:val="002F4C4D"/>
    <w:rsid w:val="002F7E1C"/>
    <w:rsid w:val="00301A75"/>
    <w:rsid w:val="00302F70"/>
    <w:rsid w:val="0030336F"/>
    <w:rsid w:val="0030375E"/>
    <w:rsid w:val="00311434"/>
    <w:rsid w:val="00312A30"/>
    <w:rsid w:val="00316ED2"/>
    <w:rsid w:val="00320F72"/>
    <w:rsid w:val="0032463E"/>
    <w:rsid w:val="00326224"/>
    <w:rsid w:val="00337EE4"/>
    <w:rsid w:val="00340FFD"/>
    <w:rsid w:val="0034331A"/>
    <w:rsid w:val="003506B1"/>
    <w:rsid w:val="00356AC7"/>
    <w:rsid w:val="003609FA"/>
    <w:rsid w:val="003710C8"/>
    <w:rsid w:val="003750BE"/>
    <w:rsid w:val="00381B05"/>
    <w:rsid w:val="00387B9D"/>
    <w:rsid w:val="0039364F"/>
    <w:rsid w:val="00393ABE"/>
    <w:rsid w:val="00396686"/>
    <w:rsid w:val="0039778E"/>
    <w:rsid w:val="003B4941"/>
    <w:rsid w:val="003C096B"/>
    <w:rsid w:val="003C5714"/>
    <w:rsid w:val="003C6B9F"/>
    <w:rsid w:val="003C6E2A"/>
    <w:rsid w:val="003D0299"/>
    <w:rsid w:val="003E6D80"/>
    <w:rsid w:val="003F05FA"/>
    <w:rsid w:val="003F1C0F"/>
    <w:rsid w:val="003F244A"/>
    <w:rsid w:val="003F30B8"/>
    <w:rsid w:val="003F4C45"/>
    <w:rsid w:val="003F5F7B"/>
    <w:rsid w:val="003F7D64"/>
    <w:rsid w:val="00400BBC"/>
    <w:rsid w:val="00402C40"/>
    <w:rsid w:val="004071D4"/>
    <w:rsid w:val="00407B2D"/>
    <w:rsid w:val="00414300"/>
    <w:rsid w:val="00422019"/>
    <w:rsid w:val="00425C67"/>
    <w:rsid w:val="00426614"/>
    <w:rsid w:val="00427E7A"/>
    <w:rsid w:val="00436307"/>
    <w:rsid w:val="00436C49"/>
    <w:rsid w:val="00445366"/>
    <w:rsid w:val="00447F5B"/>
    <w:rsid w:val="00461DB0"/>
    <w:rsid w:val="00463926"/>
    <w:rsid w:val="004646E0"/>
    <w:rsid w:val="00464C9A"/>
    <w:rsid w:val="00470936"/>
    <w:rsid w:val="00474F3D"/>
    <w:rsid w:val="004758B0"/>
    <w:rsid w:val="00477AA7"/>
    <w:rsid w:val="00477E3A"/>
    <w:rsid w:val="00483E5F"/>
    <w:rsid w:val="00485FF9"/>
    <w:rsid w:val="004907F0"/>
    <w:rsid w:val="0049140B"/>
    <w:rsid w:val="004923A5"/>
    <w:rsid w:val="00496BFB"/>
    <w:rsid w:val="004A15C7"/>
    <w:rsid w:val="004A5202"/>
    <w:rsid w:val="004A75CE"/>
    <w:rsid w:val="004B013B"/>
    <w:rsid w:val="004B112B"/>
    <w:rsid w:val="004C01E4"/>
    <w:rsid w:val="004C086C"/>
    <w:rsid w:val="004C1F56"/>
    <w:rsid w:val="004C27BC"/>
    <w:rsid w:val="004D15F3"/>
    <w:rsid w:val="004D5311"/>
    <w:rsid w:val="004D5DCC"/>
    <w:rsid w:val="004E5187"/>
    <w:rsid w:val="004F10AF"/>
    <w:rsid w:val="004F11A4"/>
    <w:rsid w:val="004F2389"/>
    <w:rsid w:val="004F304D"/>
    <w:rsid w:val="004F61BE"/>
    <w:rsid w:val="004F659D"/>
    <w:rsid w:val="004F66B1"/>
    <w:rsid w:val="0050772A"/>
    <w:rsid w:val="00511C07"/>
    <w:rsid w:val="005173A6"/>
    <w:rsid w:val="00520BAA"/>
    <w:rsid w:val="00525208"/>
    <w:rsid w:val="005257A5"/>
    <w:rsid w:val="005264C0"/>
    <w:rsid w:val="00526A8A"/>
    <w:rsid w:val="00531DF2"/>
    <w:rsid w:val="00531F59"/>
    <w:rsid w:val="00542EA5"/>
    <w:rsid w:val="005436D6"/>
    <w:rsid w:val="005442EE"/>
    <w:rsid w:val="00547353"/>
    <w:rsid w:val="005474E7"/>
    <w:rsid w:val="005512A3"/>
    <w:rsid w:val="005578CE"/>
    <w:rsid w:val="00562781"/>
    <w:rsid w:val="00563E83"/>
    <w:rsid w:val="00571803"/>
    <w:rsid w:val="0057271C"/>
    <w:rsid w:val="00572845"/>
    <w:rsid w:val="00581BD8"/>
    <w:rsid w:val="00592772"/>
    <w:rsid w:val="0059574A"/>
    <w:rsid w:val="005A1B9B"/>
    <w:rsid w:val="005A5CF4"/>
    <w:rsid w:val="005A6751"/>
    <w:rsid w:val="005B092E"/>
    <w:rsid w:val="005B152C"/>
    <w:rsid w:val="005B1EE0"/>
    <w:rsid w:val="005B2B24"/>
    <w:rsid w:val="005B4425"/>
    <w:rsid w:val="005B4B94"/>
    <w:rsid w:val="005C3EE8"/>
    <w:rsid w:val="005C6710"/>
    <w:rsid w:val="005D34F9"/>
    <w:rsid w:val="005D4190"/>
    <w:rsid w:val="005D6089"/>
    <w:rsid w:val="005D67A3"/>
    <w:rsid w:val="005E2988"/>
    <w:rsid w:val="005E2A43"/>
    <w:rsid w:val="005E3085"/>
    <w:rsid w:val="005E438A"/>
    <w:rsid w:val="005F51E1"/>
    <w:rsid w:val="005F69A9"/>
    <w:rsid w:val="00611C80"/>
    <w:rsid w:val="00620692"/>
    <w:rsid w:val="006242CA"/>
    <w:rsid w:val="00626ADB"/>
    <w:rsid w:val="00627507"/>
    <w:rsid w:val="00633717"/>
    <w:rsid w:val="006344E1"/>
    <w:rsid w:val="006545C4"/>
    <w:rsid w:val="00654A3B"/>
    <w:rsid w:val="00661971"/>
    <w:rsid w:val="00661CE8"/>
    <w:rsid w:val="006623D9"/>
    <w:rsid w:val="0066550C"/>
    <w:rsid w:val="006716F2"/>
    <w:rsid w:val="00675CC2"/>
    <w:rsid w:val="00675D7F"/>
    <w:rsid w:val="00682BF2"/>
    <w:rsid w:val="006859CE"/>
    <w:rsid w:val="00691270"/>
    <w:rsid w:val="00694BA8"/>
    <w:rsid w:val="006A037C"/>
    <w:rsid w:val="006A0595"/>
    <w:rsid w:val="006A36F4"/>
    <w:rsid w:val="006A406F"/>
    <w:rsid w:val="006A5D3A"/>
    <w:rsid w:val="006B26DF"/>
    <w:rsid w:val="006C0438"/>
    <w:rsid w:val="006C23D4"/>
    <w:rsid w:val="006C7BB0"/>
    <w:rsid w:val="006D3237"/>
    <w:rsid w:val="006D7344"/>
    <w:rsid w:val="006E04EE"/>
    <w:rsid w:val="006E2E37"/>
    <w:rsid w:val="006E3CF1"/>
    <w:rsid w:val="006E7E80"/>
    <w:rsid w:val="006F1711"/>
    <w:rsid w:val="006F1DF9"/>
    <w:rsid w:val="006F24DB"/>
    <w:rsid w:val="006F48CA"/>
    <w:rsid w:val="006F5714"/>
    <w:rsid w:val="006F64DD"/>
    <w:rsid w:val="007128FB"/>
    <w:rsid w:val="00715127"/>
    <w:rsid w:val="00715E8E"/>
    <w:rsid w:val="00720DAC"/>
    <w:rsid w:val="00723580"/>
    <w:rsid w:val="00723755"/>
    <w:rsid w:val="00725026"/>
    <w:rsid w:val="00725111"/>
    <w:rsid w:val="0073051E"/>
    <w:rsid w:val="0073136C"/>
    <w:rsid w:val="00731F0F"/>
    <w:rsid w:val="00733250"/>
    <w:rsid w:val="00741404"/>
    <w:rsid w:val="0074414F"/>
    <w:rsid w:val="007441D4"/>
    <w:rsid w:val="007449E5"/>
    <w:rsid w:val="00746C5A"/>
    <w:rsid w:val="00747FF0"/>
    <w:rsid w:val="00764D4E"/>
    <w:rsid w:val="00765A1F"/>
    <w:rsid w:val="00775B6D"/>
    <w:rsid w:val="00776D68"/>
    <w:rsid w:val="007850EE"/>
    <w:rsid w:val="00785B95"/>
    <w:rsid w:val="00785FA6"/>
    <w:rsid w:val="00790E96"/>
    <w:rsid w:val="00793366"/>
    <w:rsid w:val="00796266"/>
    <w:rsid w:val="007A1210"/>
    <w:rsid w:val="007A716F"/>
    <w:rsid w:val="007B270A"/>
    <w:rsid w:val="007B2A63"/>
    <w:rsid w:val="007C0695"/>
    <w:rsid w:val="007C419A"/>
    <w:rsid w:val="007C4CC8"/>
    <w:rsid w:val="007C5426"/>
    <w:rsid w:val="007C5798"/>
    <w:rsid w:val="007D3796"/>
    <w:rsid w:val="007D4832"/>
    <w:rsid w:val="007E21B2"/>
    <w:rsid w:val="007E2C4E"/>
    <w:rsid w:val="007E4562"/>
    <w:rsid w:val="007F1905"/>
    <w:rsid w:val="007F2B37"/>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62B9"/>
    <w:rsid w:val="008577FD"/>
    <w:rsid w:val="00860B03"/>
    <w:rsid w:val="0086497A"/>
    <w:rsid w:val="008713A1"/>
    <w:rsid w:val="008754AB"/>
    <w:rsid w:val="0088060C"/>
    <w:rsid w:val="00893529"/>
    <w:rsid w:val="00893576"/>
    <w:rsid w:val="00893E73"/>
    <w:rsid w:val="008A0C03"/>
    <w:rsid w:val="008A43C4"/>
    <w:rsid w:val="008B02DC"/>
    <w:rsid w:val="008B57CE"/>
    <w:rsid w:val="008B659F"/>
    <w:rsid w:val="008C26DE"/>
    <w:rsid w:val="008D2225"/>
    <w:rsid w:val="008D4752"/>
    <w:rsid w:val="008E271C"/>
    <w:rsid w:val="008E418E"/>
    <w:rsid w:val="008E5859"/>
    <w:rsid w:val="008E5BC6"/>
    <w:rsid w:val="008E6A25"/>
    <w:rsid w:val="008F4C47"/>
    <w:rsid w:val="008F5193"/>
    <w:rsid w:val="0090031B"/>
    <w:rsid w:val="009013A7"/>
    <w:rsid w:val="009017FB"/>
    <w:rsid w:val="009017FC"/>
    <w:rsid w:val="00903B43"/>
    <w:rsid w:val="0090506B"/>
    <w:rsid w:val="009050C9"/>
    <w:rsid w:val="009066FC"/>
    <w:rsid w:val="009140A3"/>
    <w:rsid w:val="009144A2"/>
    <w:rsid w:val="0091510C"/>
    <w:rsid w:val="009259AC"/>
    <w:rsid w:val="00926F38"/>
    <w:rsid w:val="00933502"/>
    <w:rsid w:val="00934301"/>
    <w:rsid w:val="00936CD1"/>
    <w:rsid w:val="00941747"/>
    <w:rsid w:val="00941EFB"/>
    <w:rsid w:val="00946CCD"/>
    <w:rsid w:val="00947AFB"/>
    <w:rsid w:val="00951D7D"/>
    <w:rsid w:val="00952C12"/>
    <w:rsid w:val="009630C7"/>
    <w:rsid w:val="0096452F"/>
    <w:rsid w:val="00972B55"/>
    <w:rsid w:val="009743B7"/>
    <w:rsid w:val="0098228B"/>
    <w:rsid w:val="009828DA"/>
    <w:rsid w:val="00985BAB"/>
    <w:rsid w:val="00997F03"/>
    <w:rsid w:val="009A2E6C"/>
    <w:rsid w:val="009A46DF"/>
    <w:rsid w:val="009A64DA"/>
    <w:rsid w:val="009B0A68"/>
    <w:rsid w:val="009B1B5F"/>
    <w:rsid w:val="009B2EC2"/>
    <w:rsid w:val="009B6673"/>
    <w:rsid w:val="009C191B"/>
    <w:rsid w:val="009C2BD6"/>
    <w:rsid w:val="009E1F32"/>
    <w:rsid w:val="009E5829"/>
    <w:rsid w:val="009E776C"/>
    <w:rsid w:val="00A05791"/>
    <w:rsid w:val="00A10527"/>
    <w:rsid w:val="00A1726E"/>
    <w:rsid w:val="00A204CF"/>
    <w:rsid w:val="00A220C4"/>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7537F"/>
    <w:rsid w:val="00A82359"/>
    <w:rsid w:val="00A86476"/>
    <w:rsid w:val="00A865D2"/>
    <w:rsid w:val="00A94C20"/>
    <w:rsid w:val="00A96ED6"/>
    <w:rsid w:val="00AA227F"/>
    <w:rsid w:val="00AA3412"/>
    <w:rsid w:val="00AA3BC7"/>
    <w:rsid w:val="00AA754A"/>
    <w:rsid w:val="00AB099E"/>
    <w:rsid w:val="00AB4328"/>
    <w:rsid w:val="00AB5FA0"/>
    <w:rsid w:val="00AD4A1A"/>
    <w:rsid w:val="00AE0A2E"/>
    <w:rsid w:val="00AE354C"/>
    <w:rsid w:val="00AE5C5D"/>
    <w:rsid w:val="00AF4B07"/>
    <w:rsid w:val="00AF6186"/>
    <w:rsid w:val="00AF7A3A"/>
    <w:rsid w:val="00B0111E"/>
    <w:rsid w:val="00B160DB"/>
    <w:rsid w:val="00B20836"/>
    <w:rsid w:val="00B235BB"/>
    <w:rsid w:val="00B27A44"/>
    <w:rsid w:val="00B30BBF"/>
    <w:rsid w:val="00B33C03"/>
    <w:rsid w:val="00B44E56"/>
    <w:rsid w:val="00B46543"/>
    <w:rsid w:val="00B47D33"/>
    <w:rsid w:val="00B52BE0"/>
    <w:rsid w:val="00B54133"/>
    <w:rsid w:val="00B637B9"/>
    <w:rsid w:val="00B701ED"/>
    <w:rsid w:val="00B74C75"/>
    <w:rsid w:val="00B8086C"/>
    <w:rsid w:val="00B861B4"/>
    <w:rsid w:val="00B86DFE"/>
    <w:rsid w:val="00B90990"/>
    <w:rsid w:val="00B922FF"/>
    <w:rsid w:val="00B9281E"/>
    <w:rsid w:val="00B93925"/>
    <w:rsid w:val="00B95187"/>
    <w:rsid w:val="00BA2325"/>
    <w:rsid w:val="00BA273E"/>
    <w:rsid w:val="00BA2D55"/>
    <w:rsid w:val="00BA393C"/>
    <w:rsid w:val="00BA6C09"/>
    <w:rsid w:val="00BA71B1"/>
    <w:rsid w:val="00BB0637"/>
    <w:rsid w:val="00BB345F"/>
    <w:rsid w:val="00BB5883"/>
    <w:rsid w:val="00BB68EA"/>
    <w:rsid w:val="00BC1C27"/>
    <w:rsid w:val="00BC6BBF"/>
    <w:rsid w:val="00BD08DB"/>
    <w:rsid w:val="00BD1572"/>
    <w:rsid w:val="00BE14E3"/>
    <w:rsid w:val="00BE3774"/>
    <w:rsid w:val="00BE41E5"/>
    <w:rsid w:val="00BF0BBB"/>
    <w:rsid w:val="00BF2702"/>
    <w:rsid w:val="00BF4109"/>
    <w:rsid w:val="00BF4CC3"/>
    <w:rsid w:val="00C04D6D"/>
    <w:rsid w:val="00C054C7"/>
    <w:rsid w:val="00C057B5"/>
    <w:rsid w:val="00C173CA"/>
    <w:rsid w:val="00C22687"/>
    <w:rsid w:val="00C30346"/>
    <w:rsid w:val="00C309BD"/>
    <w:rsid w:val="00C32E4D"/>
    <w:rsid w:val="00C333A0"/>
    <w:rsid w:val="00C36A81"/>
    <w:rsid w:val="00C41974"/>
    <w:rsid w:val="00C447AD"/>
    <w:rsid w:val="00C53F4A"/>
    <w:rsid w:val="00C54125"/>
    <w:rsid w:val="00C55B54"/>
    <w:rsid w:val="00C5754E"/>
    <w:rsid w:val="00C6098E"/>
    <w:rsid w:val="00C6132A"/>
    <w:rsid w:val="00C6152C"/>
    <w:rsid w:val="00C621C2"/>
    <w:rsid w:val="00C62354"/>
    <w:rsid w:val="00C74810"/>
    <w:rsid w:val="00C807D3"/>
    <w:rsid w:val="00C84E27"/>
    <w:rsid w:val="00C90D68"/>
    <w:rsid w:val="00C939FE"/>
    <w:rsid w:val="00C94A64"/>
    <w:rsid w:val="00CA4BDA"/>
    <w:rsid w:val="00CB1F66"/>
    <w:rsid w:val="00CB2951"/>
    <w:rsid w:val="00CD282B"/>
    <w:rsid w:val="00CD4C35"/>
    <w:rsid w:val="00CD7369"/>
    <w:rsid w:val="00CE0B0E"/>
    <w:rsid w:val="00CE3831"/>
    <w:rsid w:val="00CE67D6"/>
    <w:rsid w:val="00CF64A4"/>
    <w:rsid w:val="00D00ABB"/>
    <w:rsid w:val="00D01C7B"/>
    <w:rsid w:val="00D02EEC"/>
    <w:rsid w:val="00D03551"/>
    <w:rsid w:val="00D060C7"/>
    <w:rsid w:val="00D06523"/>
    <w:rsid w:val="00D06A63"/>
    <w:rsid w:val="00D07E0E"/>
    <w:rsid w:val="00D11478"/>
    <w:rsid w:val="00D15ED0"/>
    <w:rsid w:val="00D20C14"/>
    <w:rsid w:val="00D21B3E"/>
    <w:rsid w:val="00D21FED"/>
    <w:rsid w:val="00D22D4F"/>
    <w:rsid w:val="00D24251"/>
    <w:rsid w:val="00D26FFC"/>
    <w:rsid w:val="00D343E2"/>
    <w:rsid w:val="00D350D0"/>
    <w:rsid w:val="00D361A2"/>
    <w:rsid w:val="00D445C0"/>
    <w:rsid w:val="00D44C2E"/>
    <w:rsid w:val="00D45414"/>
    <w:rsid w:val="00D51860"/>
    <w:rsid w:val="00D53C0F"/>
    <w:rsid w:val="00D566BD"/>
    <w:rsid w:val="00D57A4D"/>
    <w:rsid w:val="00D60AA7"/>
    <w:rsid w:val="00D60D87"/>
    <w:rsid w:val="00D635C8"/>
    <w:rsid w:val="00D6435F"/>
    <w:rsid w:val="00D75E28"/>
    <w:rsid w:val="00D75EE6"/>
    <w:rsid w:val="00D772C2"/>
    <w:rsid w:val="00D8008E"/>
    <w:rsid w:val="00D82C45"/>
    <w:rsid w:val="00D908A8"/>
    <w:rsid w:val="00D977B6"/>
    <w:rsid w:val="00DA4A31"/>
    <w:rsid w:val="00DA7B04"/>
    <w:rsid w:val="00DB36C2"/>
    <w:rsid w:val="00DB7196"/>
    <w:rsid w:val="00DC169B"/>
    <w:rsid w:val="00DC2AB9"/>
    <w:rsid w:val="00DC63F0"/>
    <w:rsid w:val="00DD6EE5"/>
    <w:rsid w:val="00DE0BE2"/>
    <w:rsid w:val="00DE386C"/>
    <w:rsid w:val="00DE4D35"/>
    <w:rsid w:val="00DF0549"/>
    <w:rsid w:val="00DF098B"/>
    <w:rsid w:val="00DF11C4"/>
    <w:rsid w:val="00DF210C"/>
    <w:rsid w:val="00DF4B6A"/>
    <w:rsid w:val="00E02C09"/>
    <w:rsid w:val="00E04D59"/>
    <w:rsid w:val="00E07DA1"/>
    <w:rsid w:val="00E123CB"/>
    <w:rsid w:val="00E1557C"/>
    <w:rsid w:val="00E20E13"/>
    <w:rsid w:val="00E21DBC"/>
    <w:rsid w:val="00E26E02"/>
    <w:rsid w:val="00E275D7"/>
    <w:rsid w:val="00E27DBE"/>
    <w:rsid w:val="00E32AB1"/>
    <w:rsid w:val="00E359B4"/>
    <w:rsid w:val="00E36C71"/>
    <w:rsid w:val="00E40404"/>
    <w:rsid w:val="00E459C6"/>
    <w:rsid w:val="00E47589"/>
    <w:rsid w:val="00E57CB2"/>
    <w:rsid w:val="00E64915"/>
    <w:rsid w:val="00E661D4"/>
    <w:rsid w:val="00E70091"/>
    <w:rsid w:val="00E720F5"/>
    <w:rsid w:val="00E76D47"/>
    <w:rsid w:val="00E849F7"/>
    <w:rsid w:val="00E90302"/>
    <w:rsid w:val="00E9597F"/>
    <w:rsid w:val="00E95F85"/>
    <w:rsid w:val="00E97396"/>
    <w:rsid w:val="00EA185E"/>
    <w:rsid w:val="00EA592A"/>
    <w:rsid w:val="00EB14E4"/>
    <w:rsid w:val="00EB32A5"/>
    <w:rsid w:val="00EB34ED"/>
    <w:rsid w:val="00EB6FE9"/>
    <w:rsid w:val="00EB7BE0"/>
    <w:rsid w:val="00EC315E"/>
    <w:rsid w:val="00EC3B60"/>
    <w:rsid w:val="00EC701C"/>
    <w:rsid w:val="00ED077C"/>
    <w:rsid w:val="00ED1190"/>
    <w:rsid w:val="00ED6544"/>
    <w:rsid w:val="00EE0277"/>
    <w:rsid w:val="00EE1DA9"/>
    <w:rsid w:val="00EE3E00"/>
    <w:rsid w:val="00EE5DD2"/>
    <w:rsid w:val="00EF41F1"/>
    <w:rsid w:val="00EF4F08"/>
    <w:rsid w:val="00F005E6"/>
    <w:rsid w:val="00F00A79"/>
    <w:rsid w:val="00F00E86"/>
    <w:rsid w:val="00F00F8B"/>
    <w:rsid w:val="00F013AE"/>
    <w:rsid w:val="00F0465D"/>
    <w:rsid w:val="00F07C1E"/>
    <w:rsid w:val="00F105DB"/>
    <w:rsid w:val="00F132BC"/>
    <w:rsid w:val="00F13D80"/>
    <w:rsid w:val="00F1605D"/>
    <w:rsid w:val="00F16AAA"/>
    <w:rsid w:val="00F21161"/>
    <w:rsid w:val="00F218EF"/>
    <w:rsid w:val="00F21BC7"/>
    <w:rsid w:val="00F266A2"/>
    <w:rsid w:val="00F32269"/>
    <w:rsid w:val="00F4457E"/>
    <w:rsid w:val="00F5125C"/>
    <w:rsid w:val="00F56A6F"/>
    <w:rsid w:val="00F5709C"/>
    <w:rsid w:val="00F64EF1"/>
    <w:rsid w:val="00F80464"/>
    <w:rsid w:val="00F8765F"/>
    <w:rsid w:val="00F90767"/>
    <w:rsid w:val="00FA685B"/>
    <w:rsid w:val="00FB0C01"/>
    <w:rsid w:val="00FC18F2"/>
    <w:rsid w:val="00FC39E5"/>
    <w:rsid w:val="00FC3A78"/>
    <w:rsid w:val="00FC53DD"/>
    <w:rsid w:val="00FC5FFE"/>
    <w:rsid w:val="00FD0EAB"/>
    <w:rsid w:val="00FD1005"/>
    <w:rsid w:val="00FD3180"/>
    <w:rsid w:val="00FD673D"/>
    <w:rsid w:val="00FD6C75"/>
    <w:rsid w:val="00FE18F6"/>
    <w:rsid w:val="00FE71B3"/>
    <w:rsid w:val="00FF42C5"/>
    <w:rsid w:val="00FF53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A96ED6"/>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A96ED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numbering" w:customStyle="1" w:styleId="1111111">
    <w:name w:val="1 / 1.1 / 1.1.11"/>
    <w:basedOn w:val="Bezlisty"/>
    <w:next w:val="111111"/>
    <w:uiPriority w:val="99"/>
    <w:semiHidden/>
    <w:rsid w:val="004F659D"/>
    <w:pPr>
      <w:numPr>
        <w:numId w:val="15"/>
      </w:numPr>
    </w:pPr>
  </w:style>
  <w:style w:type="numbering" w:customStyle="1" w:styleId="1ai1">
    <w:name w:val="1 / a / i1"/>
    <w:basedOn w:val="Bezlisty"/>
    <w:next w:val="1ai"/>
    <w:uiPriority w:val="99"/>
    <w:semiHidden/>
    <w:rsid w:val="004F659D"/>
    <w:pPr>
      <w:numPr>
        <w:numId w:val="16"/>
      </w:numPr>
    </w:pPr>
  </w:style>
  <w:style w:type="numbering" w:customStyle="1" w:styleId="ArticleSection1">
    <w:name w:val="Article / Section1"/>
    <w:basedOn w:val="Bezlisty"/>
    <w:next w:val="Artykusekcja"/>
    <w:uiPriority w:val="99"/>
    <w:semiHidden/>
    <w:rsid w:val="004F659D"/>
    <w:pPr>
      <w:numPr>
        <w:numId w:val="17"/>
      </w:numPr>
    </w:pPr>
  </w:style>
  <w:style w:type="table" w:customStyle="1" w:styleId="Table3Deffects11">
    <w:name w:val="Table 3D effects 11"/>
    <w:basedOn w:val="Standardowy"/>
    <w:next w:val="Tabela-Efekty3W1"/>
    <w:uiPriority w:val="99"/>
    <w:semiHidden/>
    <w:rsid w:val="004F659D"/>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4F659D"/>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4F659D"/>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4F659D"/>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4F659D"/>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4F659D"/>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4F659D"/>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4F659D"/>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4F659D"/>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4F659D"/>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4F659D"/>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4F659D"/>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4F659D"/>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4F659D"/>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4F659D"/>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4F659D"/>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4F659D"/>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4F659D"/>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4F659D"/>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4F659D"/>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4F659D"/>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4F659D"/>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4F659D"/>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4F659D"/>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4F659D"/>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4F659D"/>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4F659D"/>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Standardowy"/>
    <w:next w:val="Tabela-SieWeb1"/>
    <w:uiPriority w:val="99"/>
    <w:semiHidden/>
    <w:rsid w:val="004F659D"/>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4F659D"/>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4F659D"/>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4F659D"/>
    <w:rPr>
      <w:rFonts w:eastAsiaTheme="minorEastAsia"/>
      <w:sz w:val="24"/>
    </w:rPr>
  </w:style>
  <w:style w:type="paragraph" w:styleId="Poprawka">
    <w:name w:val="Revision"/>
    <w:hidden/>
    <w:uiPriority w:val="99"/>
    <w:semiHidden/>
    <w:rsid w:val="004F659D"/>
    <w:rPr>
      <w:rFonts w:eastAsiaTheme="minorEastAsia"/>
      <w:sz w:val="24"/>
    </w:rPr>
  </w:style>
  <w:style w:type="paragraph" w:customStyle="1" w:styleId="jupara">
    <w:name w:val="jupara"/>
    <w:basedOn w:val="Normalny"/>
    <w:rsid w:val="004F659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659D"/>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C5754E"/>
    <w:rPr>
      <w:sz w:val="24"/>
      <w:lang w:val="en-US" w:eastAsia="en-US"/>
    </w:rPr>
  </w:style>
  <w:style w:type="paragraph" w:customStyle="1" w:styleId="Standard">
    <w:name w:val="Standard"/>
    <w:rsid w:val="00311434"/>
    <w:pPr>
      <w:widowControl w:val="0"/>
      <w:suppressAutoHyphens/>
      <w:autoSpaceDN w:val="0"/>
      <w:textAlignment w:val="baseline"/>
    </w:pPr>
    <w:rPr>
      <w:rFonts w:ascii="Times New Roman" w:eastAsia="SimSun" w:hAnsi="Times New Roman" w:cs="Mangal"/>
      <w:kern w:val="3"/>
      <w:sz w:val="24"/>
      <w:szCs w:val="24"/>
      <w:lang w:val="pl-PL" w:eastAsia="zh-CN" w:bidi="hi-IN"/>
    </w:rPr>
  </w:style>
  <w:style w:type="paragraph" w:customStyle="1" w:styleId="Textbody">
    <w:name w:val="Text body"/>
    <w:basedOn w:val="Standard"/>
    <w:rsid w:val="009A2E6C"/>
    <w:pPr>
      <w:spacing w:after="1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A96ED6"/>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A96ED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numbering" w:customStyle="1" w:styleId="1111111">
    <w:name w:val="1 / 1.1 / 1.1.11"/>
    <w:basedOn w:val="Bezlisty"/>
    <w:next w:val="111111"/>
    <w:uiPriority w:val="99"/>
    <w:semiHidden/>
    <w:rsid w:val="004F659D"/>
    <w:pPr>
      <w:numPr>
        <w:numId w:val="15"/>
      </w:numPr>
    </w:pPr>
  </w:style>
  <w:style w:type="numbering" w:customStyle="1" w:styleId="1ai1">
    <w:name w:val="1 / a / i1"/>
    <w:basedOn w:val="Bezlisty"/>
    <w:next w:val="1ai"/>
    <w:uiPriority w:val="99"/>
    <w:semiHidden/>
    <w:rsid w:val="004F659D"/>
    <w:pPr>
      <w:numPr>
        <w:numId w:val="16"/>
      </w:numPr>
    </w:pPr>
  </w:style>
  <w:style w:type="numbering" w:customStyle="1" w:styleId="ArticleSection1">
    <w:name w:val="Article / Section1"/>
    <w:basedOn w:val="Bezlisty"/>
    <w:next w:val="Artykusekcja"/>
    <w:uiPriority w:val="99"/>
    <w:semiHidden/>
    <w:rsid w:val="004F659D"/>
    <w:pPr>
      <w:numPr>
        <w:numId w:val="17"/>
      </w:numPr>
    </w:pPr>
  </w:style>
  <w:style w:type="table" w:customStyle="1" w:styleId="Table3Deffects11">
    <w:name w:val="Table 3D effects 11"/>
    <w:basedOn w:val="Standardowy"/>
    <w:next w:val="Tabela-Efekty3W1"/>
    <w:uiPriority w:val="99"/>
    <w:semiHidden/>
    <w:rsid w:val="004F659D"/>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4F659D"/>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4F659D"/>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4F659D"/>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4F659D"/>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4F659D"/>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4F659D"/>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4F659D"/>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4F659D"/>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4F659D"/>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4F659D"/>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4F659D"/>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4F659D"/>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4F659D"/>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4F659D"/>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4F659D"/>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4F659D"/>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4F659D"/>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4F659D"/>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4F659D"/>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4F659D"/>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4F659D"/>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4F659D"/>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4F659D"/>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4F659D"/>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4F659D"/>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4F659D"/>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Standardowy"/>
    <w:next w:val="Tabela-SieWeb1"/>
    <w:uiPriority w:val="99"/>
    <w:semiHidden/>
    <w:rsid w:val="004F659D"/>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4F659D"/>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4F659D"/>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4F659D"/>
    <w:rPr>
      <w:rFonts w:eastAsiaTheme="minorEastAsia"/>
      <w:sz w:val="24"/>
    </w:rPr>
  </w:style>
  <w:style w:type="paragraph" w:styleId="Poprawka">
    <w:name w:val="Revision"/>
    <w:hidden/>
    <w:uiPriority w:val="99"/>
    <w:semiHidden/>
    <w:rsid w:val="004F659D"/>
    <w:rPr>
      <w:rFonts w:eastAsiaTheme="minorEastAsia"/>
      <w:sz w:val="24"/>
    </w:rPr>
  </w:style>
  <w:style w:type="paragraph" w:customStyle="1" w:styleId="jupara">
    <w:name w:val="jupara"/>
    <w:basedOn w:val="Normalny"/>
    <w:rsid w:val="004F659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659D"/>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C5754E"/>
    <w:rPr>
      <w:sz w:val="24"/>
      <w:lang w:val="en-US" w:eastAsia="en-US"/>
    </w:rPr>
  </w:style>
  <w:style w:type="paragraph" w:customStyle="1" w:styleId="Standard">
    <w:name w:val="Standard"/>
    <w:rsid w:val="00311434"/>
    <w:pPr>
      <w:widowControl w:val="0"/>
      <w:suppressAutoHyphens/>
      <w:autoSpaceDN w:val="0"/>
      <w:textAlignment w:val="baseline"/>
    </w:pPr>
    <w:rPr>
      <w:rFonts w:ascii="Times New Roman" w:eastAsia="SimSun" w:hAnsi="Times New Roman" w:cs="Mangal"/>
      <w:kern w:val="3"/>
      <w:sz w:val="24"/>
      <w:szCs w:val="24"/>
      <w:lang w:val="pl-PL" w:eastAsia="zh-CN" w:bidi="hi-IN"/>
    </w:rPr>
  </w:style>
  <w:style w:type="paragraph" w:customStyle="1" w:styleId="Textbody">
    <w:name w:val="Text body"/>
    <w:basedOn w:val="Standard"/>
    <w:rsid w:val="009A2E6C"/>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381661">
      <w:bodyDiv w:val="1"/>
      <w:marLeft w:val="0"/>
      <w:marRight w:val="0"/>
      <w:marTop w:val="0"/>
      <w:marBottom w:val="0"/>
      <w:divBdr>
        <w:top w:val="none" w:sz="0" w:space="0" w:color="auto"/>
        <w:left w:val="none" w:sz="0" w:space="0" w:color="auto"/>
        <w:bottom w:val="none" w:sz="0" w:space="0" w:color="auto"/>
        <w:right w:val="none" w:sz="0" w:space="0" w:color="auto"/>
      </w:divBdr>
      <w:divsChild>
        <w:div w:id="1394893601">
          <w:marLeft w:val="0"/>
          <w:marRight w:val="0"/>
          <w:marTop w:val="0"/>
          <w:marBottom w:val="0"/>
          <w:divBdr>
            <w:top w:val="none" w:sz="0" w:space="0" w:color="auto"/>
            <w:left w:val="none" w:sz="0" w:space="0" w:color="auto"/>
            <w:bottom w:val="none" w:sz="0" w:space="0" w:color="auto"/>
            <w:right w:val="none" w:sz="0" w:space="0" w:color="auto"/>
          </w:divBdr>
          <w:divsChild>
            <w:div w:id="1693989467">
              <w:marLeft w:val="0"/>
              <w:marRight w:val="0"/>
              <w:marTop w:val="0"/>
              <w:marBottom w:val="0"/>
              <w:divBdr>
                <w:top w:val="none" w:sz="0" w:space="0" w:color="auto"/>
                <w:left w:val="none" w:sz="0" w:space="0" w:color="auto"/>
                <w:bottom w:val="none" w:sz="0" w:space="0" w:color="auto"/>
                <w:right w:val="none" w:sz="0" w:space="0" w:color="auto"/>
              </w:divBdr>
              <w:divsChild>
                <w:div w:id="1296369320">
                  <w:marLeft w:val="0"/>
                  <w:marRight w:val="0"/>
                  <w:marTop w:val="0"/>
                  <w:marBottom w:val="0"/>
                  <w:divBdr>
                    <w:top w:val="none" w:sz="0" w:space="0" w:color="auto"/>
                    <w:left w:val="none" w:sz="0" w:space="0" w:color="auto"/>
                    <w:bottom w:val="none" w:sz="0" w:space="0" w:color="auto"/>
                    <w:right w:val="none" w:sz="0" w:space="0" w:color="auto"/>
                  </w:divBdr>
                  <w:divsChild>
                    <w:div w:id="220362652">
                      <w:marLeft w:val="0"/>
                      <w:marRight w:val="0"/>
                      <w:marTop w:val="0"/>
                      <w:marBottom w:val="0"/>
                      <w:divBdr>
                        <w:top w:val="none" w:sz="0" w:space="0" w:color="auto"/>
                        <w:left w:val="none" w:sz="0" w:space="0" w:color="auto"/>
                        <w:bottom w:val="none" w:sz="0" w:space="0" w:color="auto"/>
                        <w:right w:val="none" w:sz="0" w:space="0" w:color="auto"/>
                      </w:divBdr>
                      <w:divsChild>
                        <w:div w:id="159471312">
                          <w:marLeft w:val="0"/>
                          <w:marRight w:val="0"/>
                          <w:marTop w:val="0"/>
                          <w:marBottom w:val="0"/>
                          <w:divBdr>
                            <w:top w:val="none" w:sz="0" w:space="0" w:color="auto"/>
                            <w:left w:val="none" w:sz="0" w:space="0" w:color="auto"/>
                            <w:bottom w:val="none" w:sz="0" w:space="0" w:color="auto"/>
                            <w:right w:val="none" w:sz="0" w:space="0" w:color="auto"/>
                          </w:divBdr>
                          <w:divsChild>
                            <w:div w:id="1011031262">
                              <w:marLeft w:val="0"/>
                              <w:marRight w:val="0"/>
                              <w:marTop w:val="0"/>
                              <w:marBottom w:val="0"/>
                              <w:divBdr>
                                <w:top w:val="none" w:sz="0" w:space="0" w:color="auto"/>
                                <w:left w:val="none" w:sz="0" w:space="0" w:color="auto"/>
                                <w:bottom w:val="none" w:sz="0" w:space="0" w:color="auto"/>
                                <w:right w:val="none" w:sz="0" w:space="0" w:color="auto"/>
                              </w:divBdr>
                              <w:divsChild>
                                <w:div w:id="201284743">
                                  <w:marLeft w:val="0"/>
                                  <w:marRight w:val="0"/>
                                  <w:marTop w:val="0"/>
                                  <w:marBottom w:val="0"/>
                                  <w:divBdr>
                                    <w:top w:val="none" w:sz="0" w:space="0" w:color="auto"/>
                                    <w:left w:val="none" w:sz="0" w:space="0" w:color="auto"/>
                                    <w:bottom w:val="none" w:sz="0" w:space="0" w:color="auto"/>
                                    <w:right w:val="none" w:sz="0" w:space="0" w:color="auto"/>
                                  </w:divBdr>
                                  <w:divsChild>
                                    <w:div w:id="1553037531">
                                      <w:marLeft w:val="0"/>
                                      <w:marRight w:val="0"/>
                                      <w:marTop w:val="0"/>
                                      <w:marBottom w:val="0"/>
                                      <w:divBdr>
                                        <w:top w:val="none" w:sz="0" w:space="0" w:color="auto"/>
                                        <w:left w:val="none" w:sz="0" w:space="0" w:color="auto"/>
                                        <w:bottom w:val="none" w:sz="0" w:space="0" w:color="auto"/>
                                        <w:right w:val="none" w:sz="0" w:space="0" w:color="auto"/>
                                      </w:divBdr>
                                      <w:divsChild>
                                        <w:div w:id="1687831753">
                                          <w:marLeft w:val="0"/>
                                          <w:marRight w:val="0"/>
                                          <w:marTop w:val="0"/>
                                          <w:marBottom w:val="0"/>
                                          <w:divBdr>
                                            <w:top w:val="none" w:sz="0" w:space="0" w:color="auto"/>
                                            <w:left w:val="none" w:sz="0" w:space="0" w:color="auto"/>
                                            <w:bottom w:val="none" w:sz="0" w:space="0" w:color="auto"/>
                                            <w:right w:val="none" w:sz="0" w:space="0" w:color="auto"/>
                                          </w:divBdr>
                                          <w:divsChild>
                                            <w:div w:id="15692097">
                                              <w:marLeft w:val="0"/>
                                              <w:marRight w:val="0"/>
                                              <w:marTop w:val="0"/>
                                              <w:marBottom w:val="0"/>
                                              <w:divBdr>
                                                <w:top w:val="none" w:sz="0" w:space="0" w:color="auto"/>
                                                <w:left w:val="none" w:sz="0" w:space="0" w:color="auto"/>
                                                <w:bottom w:val="none" w:sz="0" w:space="0" w:color="auto"/>
                                                <w:right w:val="none" w:sz="0" w:space="0" w:color="auto"/>
                                              </w:divBdr>
                                              <w:divsChild>
                                                <w:div w:id="126975178">
                                                  <w:marLeft w:val="0"/>
                                                  <w:marRight w:val="0"/>
                                                  <w:marTop w:val="0"/>
                                                  <w:marBottom w:val="0"/>
                                                  <w:divBdr>
                                                    <w:top w:val="none" w:sz="0" w:space="0" w:color="auto"/>
                                                    <w:left w:val="none" w:sz="0" w:space="0" w:color="auto"/>
                                                    <w:bottom w:val="none" w:sz="0" w:space="0" w:color="auto"/>
                                                    <w:right w:val="none" w:sz="0" w:space="0" w:color="auto"/>
                                                  </w:divBdr>
                                                  <w:divsChild>
                                                    <w:div w:id="1193616303">
                                                      <w:marLeft w:val="0"/>
                                                      <w:marRight w:val="0"/>
                                                      <w:marTop w:val="0"/>
                                                      <w:marBottom w:val="0"/>
                                                      <w:divBdr>
                                                        <w:top w:val="none" w:sz="0" w:space="0" w:color="auto"/>
                                                        <w:left w:val="none" w:sz="0" w:space="0" w:color="auto"/>
                                                        <w:bottom w:val="none" w:sz="0" w:space="0" w:color="auto"/>
                                                        <w:right w:val="none" w:sz="0" w:space="0" w:color="auto"/>
                                                      </w:divBdr>
                                                      <w:divsChild>
                                                        <w:div w:id="136655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9532098">
      <w:bodyDiv w:val="1"/>
      <w:marLeft w:val="0"/>
      <w:marRight w:val="0"/>
      <w:marTop w:val="0"/>
      <w:marBottom w:val="0"/>
      <w:divBdr>
        <w:top w:val="none" w:sz="0" w:space="0" w:color="auto"/>
        <w:left w:val="none" w:sz="0" w:space="0" w:color="auto"/>
        <w:bottom w:val="none" w:sz="0" w:space="0" w:color="auto"/>
        <w:right w:val="none" w:sz="0" w:space="0" w:color="auto"/>
      </w:divBdr>
      <w:divsChild>
        <w:div w:id="847906488">
          <w:marLeft w:val="0"/>
          <w:marRight w:val="0"/>
          <w:marTop w:val="0"/>
          <w:marBottom w:val="0"/>
          <w:divBdr>
            <w:top w:val="none" w:sz="0" w:space="0" w:color="auto"/>
            <w:left w:val="none" w:sz="0" w:space="0" w:color="auto"/>
            <w:bottom w:val="none" w:sz="0" w:space="0" w:color="auto"/>
            <w:right w:val="none" w:sz="0" w:space="0" w:color="auto"/>
          </w:divBdr>
          <w:divsChild>
            <w:div w:id="1210997444">
              <w:marLeft w:val="0"/>
              <w:marRight w:val="0"/>
              <w:marTop w:val="0"/>
              <w:marBottom w:val="0"/>
              <w:divBdr>
                <w:top w:val="none" w:sz="0" w:space="0" w:color="auto"/>
                <w:left w:val="none" w:sz="0" w:space="0" w:color="auto"/>
                <w:bottom w:val="none" w:sz="0" w:space="0" w:color="auto"/>
                <w:right w:val="none" w:sz="0" w:space="0" w:color="auto"/>
              </w:divBdr>
              <w:divsChild>
                <w:div w:id="363605611">
                  <w:marLeft w:val="0"/>
                  <w:marRight w:val="0"/>
                  <w:marTop w:val="0"/>
                  <w:marBottom w:val="0"/>
                  <w:divBdr>
                    <w:top w:val="none" w:sz="0" w:space="0" w:color="auto"/>
                    <w:left w:val="none" w:sz="0" w:space="0" w:color="auto"/>
                    <w:bottom w:val="none" w:sz="0" w:space="0" w:color="auto"/>
                    <w:right w:val="none" w:sz="0" w:space="0" w:color="auto"/>
                  </w:divBdr>
                  <w:divsChild>
                    <w:div w:id="977106199">
                      <w:marLeft w:val="0"/>
                      <w:marRight w:val="0"/>
                      <w:marTop w:val="0"/>
                      <w:marBottom w:val="0"/>
                      <w:divBdr>
                        <w:top w:val="none" w:sz="0" w:space="0" w:color="auto"/>
                        <w:left w:val="none" w:sz="0" w:space="0" w:color="auto"/>
                        <w:bottom w:val="none" w:sz="0" w:space="0" w:color="auto"/>
                        <w:right w:val="none" w:sz="0" w:space="0" w:color="auto"/>
                      </w:divBdr>
                      <w:divsChild>
                        <w:div w:id="1916815119">
                          <w:marLeft w:val="0"/>
                          <w:marRight w:val="0"/>
                          <w:marTop w:val="0"/>
                          <w:marBottom w:val="0"/>
                          <w:divBdr>
                            <w:top w:val="none" w:sz="0" w:space="0" w:color="auto"/>
                            <w:left w:val="none" w:sz="0" w:space="0" w:color="auto"/>
                            <w:bottom w:val="none" w:sz="0" w:space="0" w:color="auto"/>
                            <w:right w:val="none" w:sz="0" w:space="0" w:color="auto"/>
                          </w:divBdr>
                          <w:divsChild>
                            <w:div w:id="291983662">
                              <w:marLeft w:val="0"/>
                              <w:marRight w:val="0"/>
                              <w:marTop w:val="0"/>
                              <w:marBottom w:val="0"/>
                              <w:divBdr>
                                <w:top w:val="none" w:sz="0" w:space="0" w:color="auto"/>
                                <w:left w:val="none" w:sz="0" w:space="0" w:color="auto"/>
                                <w:bottom w:val="none" w:sz="0" w:space="0" w:color="auto"/>
                                <w:right w:val="none" w:sz="0" w:space="0" w:color="auto"/>
                              </w:divBdr>
                              <w:divsChild>
                                <w:div w:id="491335857">
                                  <w:marLeft w:val="0"/>
                                  <w:marRight w:val="0"/>
                                  <w:marTop w:val="0"/>
                                  <w:marBottom w:val="0"/>
                                  <w:divBdr>
                                    <w:top w:val="none" w:sz="0" w:space="0" w:color="auto"/>
                                    <w:left w:val="none" w:sz="0" w:space="0" w:color="auto"/>
                                    <w:bottom w:val="none" w:sz="0" w:space="0" w:color="auto"/>
                                    <w:right w:val="none" w:sz="0" w:space="0" w:color="auto"/>
                                  </w:divBdr>
                                  <w:divsChild>
                                    <w:div w:id="545989298">
                                      <w:marLeft w:val="0"/>
                                      <w:marRight w:val="0"/>
                                      <w:marTop w:val="0"/>
                                      <w:marBottom w:val="0"/>
                                      <w:divBdr>
                                        <w:top w:val="none" w:sz="0" w:space="0" w:color="auto"/>
                                        <w:left w:val="none" w:sz="0" w:space="0" w:color="auto"/>
                                        <w:bottom w:val="none" w:sz="0" w:space="0" w:color="auto"/>
                                        <w:right w:val="none" w:sz="0" w:space="0" w:color="auto"/>
                                      </w:divBdr>
                                      <w:divsChild>
                                        <w:div w:id="225847430">
                                          <w:marLeft w:val="0"/>
                                          <w:marRight w:val="0"/>
                                          <w:marTop w:val="0"/>
                                          <w:marBottom w:val="0"/>
                                          <w:divBdr>
                                            <w:top w:val="none" w:sz="0" w:space="0" w:color="auto"/>
                                            <w:left w:val="none" w:sz="0" w:space="0" w:color="auto"/>
                                            <w:bottom w:val="none" w:sz="0" w:space="0" w:color="auto"/>
                                            <w:right w:val="none" w:sz="0" w:space="0" w:color="auto"/>
                                          </w:divBdr>
                                          <w:divsChild>
                                            <w:div w:id="1380939471">
                                              <w:marLeft w:val="0"/>
                                              <w:marRight w:val="0"/>
                                              <w:marTop w:val="0"/>
                                              <w:marBottom w:val="0"/>
                                              <w:divBdr>
                                                <w:top w:val="none" w:sz="0" w:space="0" w:color="auto"/>
                                                <w:left w:val="none" w:sz="0" w:space="0" w:color="auto"/>
                                                <w:bottom w:val="none" w:sz="0" w:space="0" w:color="auto"/>
                                                <w:right w:val="none" w:sz="0" w:space="0" w:color="auto"/>
                                              </w:divBdr>
                                              <w:divsChild>
                                                <w:div w:id="1553227738">
                                                  <w:marLeft w:val="0"/>
                                                  <w:marRight w:val="0"/>
                                                  <w:marTop w:val="0"/>
                                                  <w:marBottom w:val="0"/>
                                                  <w:divBdr>
                                                    <w:top w:val="none" w:sz="0" w:space="0" w:color="auto"/>
                                                    <w:left w:val="none" w:sz="0" w:space="0" w:color="auto"/>
                                                    <w:bottom w:val="none" w:sz="0" w:space="0" w:color="auto"/>
                                                    <w:right w:val="none" w:sz="0" w:space="0" w:color="auto"/>
                                                  </w:divBdr>
                                                  <w:divsChild>
                                                    <w:div w:id="1948390537">
                                                      <w:marLeft w:val="0"/>
                                                      <w:marRight w:val="0"/>
                                                      <w:marTop w:val="0"/>
                                                      <w:marBottom w:val="0"/>
                                                      <w:divBdr>
                                                        <w:top w:val="none" w:sz="0" w:space="0" w:color="auto"/>
                                                        <w:left w:val="none" w:sz="0" w:space="0" w:color="auto"/>
                                                        <w:bottom w:val="none" w:sz="0" w:space="0" w:color="auto"/>
                                                        <w:right w:val="none" w:sz="0" w:space="0" w:color="auto"/>
                                                      </w:divBdr>
                                                      <w:divsChild>
                                                        <w:div w:id="113136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421840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2779923">
      <w:bodyDiv w:val="1"/>
      <w:marLeft w:val="0"/>
      <w:marRight w:val="0"/>
      <w:marTop w:val="0"/>
      <w:marBottom w:val="0"/>
      <w:divBdr>
        <w:top w:val="none" w:sz="0" w:space="0" w:color="auto"/>
        <w:left w:val="none" w:sz="0" w:space="0" w:color="auto"/>
        <w:bottom w:val="none" w:sz="0" w:space="0" w:color="auto"/>
        <w:right w:val="none" w:sz="0" w:space="0" w:color="auto"/>
      </w:divBdr>
      <w:divsChild>
        <w:div w:id="1356073070">
          <w:marLeft w:val="0"/>
          <w:marRight w:val="0"/>
          <w:marTop w:val="0"/>
          <w:marBottom w:val="0"/>
          <w:divBdr>
            <w:top w:val="none" w:sz="0" w:space="0" w:color="auto"/>
            <w:left w:val="none" w:sz="0" w:space="0" w:color="auto"/>
            <w:bottom w:val="none" w:sz="0" w:space="0" w:color="auto"/>
            <w:right w:val="none" w:sz="0" w:space="0" w:color="auto"/>
          </w:divBdr>
          <w:divsChild>
            <w:div w:id="606548801">
              <w:marLeft w:val="0"/>
              <w:marRight w:val="0"/>
              <w:marTop w:val="0"/>
              <w:marBottom w:val="0"/>
              <w:divBdr>
                <w:top w:val="none" w:sz="0" w:space="0" w:color="auto"/>
                <w:left w:val="none" w:sz="0" w:space="0" w:color="auto"/>
                <w:bottom w:val="none" w:sz="0" w:space="0" w:color="auto"/>
                <w:right w:val="none" w:sz="0" w:space="0" w:color="auto"/>
              </w:divBdr>
              <w:divsChild>
                <w:div w:id="204954011">
                  <w:marLeft w:val="0"/>
                  <w:marRight w:val="0"/>
                  <w:marTop w:val="0"/>
                  <w:marBottom w:val="0"/>
                  <w:divBdr>
                    <w:top w:val="none" w:sz="0" w:space="0" w:color="auto"/>
                    <w:left w:val="none" w:sz="0" w:space="0" w:color="auto"/>
                    <w:bottom w:val="none" w:sz="0" w:space="0" w:color="auto"/>
                    <w:right w:val="none" w:sz="0" w:space="0" w:color="auto"/>
                  </w:divBdr>
                  <w:divsChild>
                    <w:div w:id="1402412374">
                      <w:marLeft w:val="0"/>
                      <w:marRight w:val="0"/>
                      <w:marTop w:val="0"/>
                      <w:marBottom w:val="0"/>
                      <w:divBdr>
                        <w:top w:val="none" w:sz="0" w:space="0" w:color="auto"/>
                        <w:left w:val="none" w:sz="0" w:space="0" w:color="auto"/>
                        <w:bottom w:val="none" w:sz="0" w:space="0" w:color="auto"/>
                        <w:right w:val="none" w:sz="0" w:space="0" w:color="auto"/>
                      </w:divBdr>
                      <w:divsChild>
                        <w:div w:id="612441292">
                          <w:marLeft w:val="0"/>
                          <w:marRight w:val="0"/>
                          <w:marTop w:val="0"/>
                          <w:marBottom w:val="0"/>
                          <w:divBdr>
                            <w:top w:val="none" w:sz="0" w:space="0" w:color="auto"/>
                            <w:left w:val="none" w:sz="0" w:space="0" w:color="auto"/>
                            <w:bottom w:val="none" w:sz="0" w:space="0" w:color="auto"/>
                            <w:right w:val="none" w:sz="0" w:space="0" w:color="auto"/>
                          </w:divBdr>
                          <w:divsChild>
                            <w:div w:id="2112778999">
                              <w:marLeft w:val="0"/>
                              <w:marRight w:val="0"/>
                              <w:marTop w:val="0"/>
                              <w:marBottom w:val="0"/>
                              <w:divBdr>
                                <w:top w:val="none" w:sz="0" w:space="0" w:color="auto"/>
                                <w:left w:val="none" w:sz="0" w:space="0" w:color="auto"/>
                                <w:bottom w:val="none" w:sz="0" w:space="0" w:color="auto"/>
                                <w:right w:val="none" w:sz="0" w:space="0" w:color="auto"/>
                              </w:divBdr>
                              <w:divsChild>
                                <w:div w:id="1057821333">
                                  <w:marLeft w:val="0"/>
                                  <w:marRight w:val="0"/>
                                  <w:marTop w:val="0"/>
                                  <w:marBottom w:val="0"/>
                                  <w:divBdr>
                                    <w:top w:val="none" w:sz="0" w:space="0" w:color="auto"/>
                                    <w:left w:val="none" w:sz="0" w:space="0" w:color="auto"/>
                                    <w:bottom w:val="none" w:sz="0" w:space="0" w:color="auto"/>
                                    <w:right w:val="none" w:sz="0" w:space="0" w:color="auto"/>
                                  </w:divBdr>
                                  <w:divsChild>
                                    <w:div w:id="762066456">
                                      <w:marLeft w:val="0"/>
                                      <w:marRight w:val="0"/>
                                      <w:marTop w:val="0"/>
                                      <w:marBottom w:val="0"/>
                                      <w:divBdr>
                                        <w:top w:val="none" w:sz="0" w:space="0" w:color="auto"/>
                                        <w:left w:val="none" w:sz="0" w:space="0" w:color="auto"/>
                                        <w:bottom w:val="none" w:sz="0" w:space="0" w:color="auto"/>
                                        <w:right w:val="none" w:sz="0" w:space="0" w:color="auto"/>
                                      </w:divBdr>
                                      <w:divsChild>
                                        <w:div w:id="124590036">
                                          <w:marLeft w:val="0"/>
                                          <w:marRight w:val="0"/>
                                          <w:marTop w:val="0"/>
                                          <w:marBottom w:val="0"/>
                                          <w:divBdr>
                                            <w:top w:val="none" w:sz="0" w:space="0" w:color="auto"/>
                                            <w:left w:val="none" w:sz="0" w:space="0" w:color="auto"/>
                                            <w:bottom w:val="none" w:sz="0" w:space="0" w:color="auto"/>
                                            <w:right w:val="none" w:sz="0" w:space="0" w:color="auto"/>
                                          </w:divBdr>
                                          <w:divsChild>
                                            <w:div w:id="103615776">
                                              <w:marLeft w:val="0"/>
                                              <w:marRight w:val="0"/>
                                              <w:marTop w:val="0"/>
                                              <w:marBottom w:val="0"/>
                                              <w:divBdr>
                                                <w:top w:val="none" w:sz="0" w:space="0" w:color="auto"/>
                                                <w:left w:val="none" w:sz="0" w:space="0" w:color="auto"/>
                                                <w:bottom w:val="none" w:sz="0" w:space="0" w:color="auto"/>
                                                <w:right w:val="none" w:sz="0" w:space="0" w:color="auto"/>
                                              </w:divBdr>
                                              <w:divsChild>
                                                <w:div w:id="259719819">
                                                  <w:marLeft w:val="0"/>
                                                  <w:marRight w:val="0"/>
                                                  <w:marTop w:val="0"/>
                                                  <w:marBottom w:val="0"/>
                                                  <w:divBdr>
                                                    <w:top w:val="none" w:sz="0" w:space="0" w:color="auto"/>
                                                    <w:left w:val="none" w:sz="0" w:space="0" w:color="auto"/>
                                                    <w:bottom w:val="none" w:sz="0" w:space="0" w:color="auto"/>
                                                    <w:right w:val="none" w:sz="0" w:space="0" w:color="auto"/>
                                                  </w:divBdr>
                                                  <w:divsChild>
                                                    <w:div w:id="1770420903">
                                                      <w:marLeft w:val="0"/>
                                                      <w:marRight w:val="0"/>
                                                      <w:marTop w:val="0"/>
                                                      <w:marBottom w:val="0"/>
                                                      <w:divBdr>
                                                        <w:top w:val="none" w:sz="0" w:space="0" w:color="auto"/>
                                                        <w:left w:val="none" w:sz="0" w:space="0" w:color="auto"/>
                                                        <w:bottom w:val="none" w:sz="0" w:space="0" w:color="auto"/>
                                                        <w:right w:val="none" w:sz="0" w:space="0" w:color="auto"/>
                                                      </w:divBdr>
                                                      <w:divsChild>
                                                        <w:div w:id="23582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diki.pl/slownik-angielskiego?q=Wysoka+Komisja+Narod&#243;w+Zjednoczonych+do+spraw+Uchod&#378;c&#243;w"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D3CEC-50DD-4E3F-AF15-ADD8A8E8B0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B992FB-EE6A-48B8-9A25-B35789EBEC5C}">
  <ds:schemaRefs>
    <ds:schemaRef ds:uri="http://schemas.microsoft.com/sharepoint/v3/contenttype/forms"/>
  </ds:schemaRefs>
</ds:datastoreItem>
</file>

<file path=customXml/itemProps3.xml><?xml version="1.0" encoding="utf-8"?>
<ds:datastoreItem xmlns:ds="http://schemas.openxmlformats.org/officeDocument/2006/customXml" ds:itemID="{B19B1B69-EC6D-4FD1-8A9C-7F6127BB6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D404464-B4C4-4D75-A5E6-4C7905EE9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3965</Words>
  <Characters>23790</Characters>
  <Application>Microsoft Office Word</Application>
  <DocSecurity>0</DocSecurity>
  <Lines>198</Lines>
  <Paragraphs>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2017-05-13T13:39:00Z</dcterms:created>
  <dcterms:modified xsi:type="dcterms:W3CDTF">2017-05-13T13:40:00Z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