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4C4" w:rsidRPr="00AD4F05" w:rsidRDefault="000537C6" w:rsidP="00DE0F74">
      <w:pPr>
        <w:pStyle w:val="DecHTitle"/>
        <w:rPr>
          <w:lang w:val="fr-FR"/>
        </w:rPr>
      </w:pPr>
      <w:bookmarkStart w:id="0" w:name="_GoBack"/>
      <w:bookmarkEnd w:id="0"/>
      <w:r>
        <w:rPr>
          <w:szCs w:val="24"/>
          <w:lang w:val="fr-FR"/>
        </w:rPr>
        <w:t>CINQUIÈME SECTION</w:t>
      </w:r>
    </w:p>
    <w:p w:rsidR="006544C4" w:rsidRPr="00AD4F05" w:rsidRDefault="006544C4" w:rsidP="00DE0F74">
      <w:pPr>
        <w:pStyle w:val="DecHTitle"/>
        <w:rPr>
          <w:caps/>
          <w:sz w:val="32"/>
          <w:lang w:val="fr-FR"/>
        </w:rPr>
      </w:pPr>
      <w:r w:rsidRPr="00AD4F05">
        <w:rPr>
          <w:lang w:val="fr-FR"/>
        </w:rPr>
        <w:t>DÉCISION</w:t>
      </w:r>
    </w:p>
    <w:p w:rsidR="006544C4" w:rsidRPr="00AD4F05" w:rsidRDefault="000537C6" w:rsidP="00DE0F74">
      <w:pPr>
        <w:pStyle w:val="ECHRTitleCentre2"/>
        <w:rPr>
          <w:lang w:val="fr-FR"/>
        </w:rPr>
      </w:pPr>
      <w:r w:rsidRPr="00AD4F05">
        <w:rPr>
          <w:lang w:val="fr-FR"/>
        </w:rPr>
        <w:t>Requêtes n</w:t>
      </w:r>
      <w:r w:rsidRPr="00AD4F05">
        <w:rPr>
          <w:vertAlign w:val="superscript"/>
          <w:lang w:val="fr-FR"/>
        </w:rPr>
        <w:t>os</w:t>
      </w:r>
      <w:r w:rsidR="006544C4" w:rsidRPr="00AD4F05">
        <w:rPr>
          <w:lang w:val="fr-FR"/>
        </w:rPr>
        <w:t xml:space="preserve"> </w:t>
      </w:r>
      <w:r>
        <w:rPr>
          <w:lang w:val="fr-FR"/>
        </w:rPr>
        <w:t>76860/11</w:t>
      </w:r>
      <w:r w:rsidRPr="00AD4F05">
        <w:rPr>
          <w:lang w:val="fr-FR"/>
        </w:rPr>
        <w:t xml:space="preserve"> et </w:t>
      </w:r>
      <w:r>
        <w:rPr>
          <w:lang w:val="fr-FR"/>
        </w:rPr>
        <w:t>51354/13</w:t>
      </w:r>
      <w:r w:rsidR="006544C4" w:rsidRPr="00AD4F05">
        <w:rPr>
          <w:lang w:val="fr-FR"/>
        </w:rPr>
        <w:br/>
      </w:r>
      <w:r>
        <w:rPr>
          <w:lang w:val="fr-FR"/>
        </w:rPr>
        <w:t>Jean-Michel</w:t>
      </w:r>
      <w:r w:rsidRPr="00AD4F05">
        <w:rPr>
          <w:lang w:val="fr-FR"/>
        </w:rPr>
        <w:t xml:space="preserve"> </w:t>
      </w:r>
      <w:r>
        <w:rPr>
          <w:lang w:val="fr-FR"/>
        </w:rPr>
        <w:t>OKITALOSHIMA OKONDA OSUNGU</w:t>
      </w:r>
      <w:r w:rsidRPr="00AD4F05">
        <w:rPr>
          <w:lang w:val="fr-FR"/>
        </w:rPr>
        <w:t xml:space="preserve"> et </w:t>
      </w:r>
      <w:r w:rsidR="00DE0F74">
        <w:rPr>
          <w:lang w:val="fr-FR"/>
        </w:rPr>
        <w:br/>
      </w:r>
      <w:r>
        <w:rPr>
          <w:lang w:val="fr-FR"/>
        </w:rPr>
        <w:t>Anita</w:t>
      </w:r>
      <w:r w:rsidRPr="00AD4F05">
        <w:rPr>
          <w:lang w:val="fr-FR"/>
        </w:rPr>
        <w:t xml:space="preserve"> </w:t>
      </w:r>
      <w:r>
        <w:rPr>
          <w:lang w:val="fr-FR"/>
        </w:rPr>
        <w:t>OKITALOSHIMA OKONDA OSUNGU</w:t>
      </w:r>
      <w:r w:rsidRPr="00AD4F05">
        <w:rPr>
          <w:lang w:val="fr-FR"/>
        </w:rPr>
        <w:t xml:space="preserve"> </w:t>
      </w:r>
      <w:r w:rsidR="006544C4" w:rsidRPr="00AD4F05">
        <w:rPr>
          <w:lang w:val="fr-FR"/>
        </w:rPr>
        <w:t xml:space="preserve">contre </w:t>
      </w:r>
      <w:r>
        <w:rPr>
          <w:lang w:val="fr-FR"/>
        </w:rPr>
        <w:t>la</w:t>
      </w:r>
      <w:r w:rsidRPr="00AD4F05">
        <w:rPr>
          <w:lang w:val="fr-FR"/>
        </w:rPr>
        <w:t xml:space="preserve"> </w:t>
      </w:r>
      <w:r>
        <w:rPr>
          <w:lang w:val="fr-FR"/>
        </w:rPr>
        <w:t>France</w:t>
      </w:r>
      <w:r w:rsidRPr="00AD4F05">
        <w:rPr>
          <w:lang w:val="fr-FR"/>
        </w:rPr>
        <w:br/>
        <w:t xml:space="preserve">et </w:t>
      </w:r>
      <w:r>
        <w:rPr>
          <w:lang w:val="fr-FR"/>
        </w:rPr>
        <w:t>Elisabeth</w:t>
      </w:r>
      <w:r w:rsidRPr="00AD4F05">
        <w:rPr>
          <w:lang w:val="fr-FR"/>
        </w:rPr>
        <w:t xml:space="preserve"> </w:t>
      </w:r>
      <w:r>
        <w:rPr>
          <w:lang w:val="fr-FR"/>
        </w:rPr>
        <w:t>SELPA LOKONGO</w:t>
      </w:r>
      <w:r w:rsidRPr="00AD4F05">
        <w:rPr>
          <w:lang w:val="fr-FR"/>
        </w:rPr>
        <w:t xml:space="preserve"> contre </w:t>
      </w:r>
      <w:r>
        <w:rPr>
          <w:lang w:val="fr-FR"/>
        </w:rPr>
        <w:t>la</w:t>
      </w:r>
      <w:r w:rsidRPr="00AD4F05">
        <w:rPr>
          <w:lang w:val="fr-FR"/>
        </w:rPr>
        <w:t xml:space="preserve"> </w:t>
      </w:r>
      <w:r>
        <w:rPr>
          <w:lang w:val="fr-FR"/>
        </w:rPr>
        <w:t>France</w:t>
      </w:r>
    </w:p>
    <w:p w:rsidR="000537C6" w:rsidRPr="00905EBC" w:rsidRDefault="000537C6" w:rsidP="00DE0F74">
      <w:pPr>
        <w:pStyle w:val="ECHRPara"/>
        <w:rPr>
          <w:lang w:val="fr-FR"/>
        </w:rPr>
      </w:pPr>
      <w:r w:rsidRPr="00905EBC">
        <w:rPr>
          <w:lang w:val="fr-FR"/>
        </w:rPr>
        <w:t>La Cour européenne des droits de l</w:t>
      </w:r>
      <w:r w:rsidR="009429B7">
        <w:rPr>
          <w:lang w:val="fr-FR"/>
        </w:rPr>
        <w:t>’</w:t>
      </w:r>
      <w:r w:rsidRPr="00905EBC">
        <w:rPr>
          <w:lang w:val="fr-FR"/>
        </w:rPr>
        <w:t>homme (</w:t>
      </w:r>
      <w:r>
        <w:rPr>
          <w:lang w:val="fr-FR"/>
        </w:rPr>
        <w:t>cinquième section</w:t>
      </w:r>
      <w:r w:rsidRPr="00905EBC">
        <w:rPr>
          <w:lang w:val="fr-FR"/>
        </w:rPr>
        <w:t>), siégeant le</w:t>
      </w:r>
      <w:r w:rsidR="009A3081">
        <w:rPr>
          <w:lang w:val="fr-FR"/>
        </w:rPr>
        <w:t xml:space="preserve"> 8 septembre 2015</w:t>
      </w:r>
      <w:r w:rsidRPr="00905EBC">
        <w:rPr>
          <w:lang w:val="fr-FR"/>
        </w:rPr>
        <w:t xml:space="preserve"> en une </w:t>
      </w:r>
      <w:r>
        <w:rPr>
          <w:lang w:val="fr-FR"/>
        </w:rPr>
        <w:t>chambre</w:t>
      </w:r>
      <w:r w:rsidRPr="00905EBC">
        <w:rPr>
          <w:lang w:val="fr-FR"/>
        </w:rPr>
        <w:t xml:space="preserve"> composée de :</w:t>
      </w:r>
    </w:p>
    <w:p w:rsidR="000537C6" w:rsidRPr="003C4098" w:rsidRDefault="009A3081" w:rsidP="00F54F5F">
      <w:pPr>
        <w:pStyle w:val="ECHRDecisionBody"/>
        <w:rPr>
          <w:lang w:val="fr-FR"/>
        </w:rPr>
      </w:pPr>
      <w:r w:rsidRPr="003C4098">
        <w:rPr>
          <w:lang w:val="fr-FR"/>
        </w:rPr>
        <w:tab/>
        <w:t>Josep Casadevall,</w:t>
      </w:r>
      <w:r w:rsidRPr="003C4098">
        <w:rPr>
          <w:i/>
          <w:lang w:val="fr-FR"/>
        </w:rPr>
        <w:t xml:space="preserve"> président,</w:t>
      </w:r>
      <w:r w:rsidRPr="003C4098">
        <w:rPr>
          <w:i/>
          <w:lang w:val="fr-FR"/>
        </w:rPr>
        <w:br/>
      </w:r>
      <w:r w:rsidRPr="003C4098">
        <w:rPr>
          <w:lang w:val="fr-FR"/>
        </w:rPr>
        <w:tab/>
        <w:t>Angelika Nußberger,</w:t>
      </w:r>
      <w:r w:rsidRPr="003C4098">
        <w:rPr>
          <w:i/>
          <w:lang w:val="fr-FR"/>
        </w:rPr>
        <w:br/>
      </w:r>
      <w:r w:rsidRPr="003C4098">
        <w:rPr>
          <w:lang w:val="fr-FR"/>
        </w:rPr>
        <w:tab/>
        <w:t>Boštjan M. Zupančič,</w:t>
      </w:r>
      <w:r w:rsidRPr="003C4098">
        <w:rPr>
          <w:i/>
          <w:lang w:val="fr-FR"/>
        </w:rPr>
        <w:br/>
      </w:r>
      <w:r w:rsidRPr="003C4098">
        <w:rPr>
          <w:lang w:val="fr-FR"/>
        </w:rPr>
        <w:tab/>
        <w:t>Ganna Yudkivska,</w:t>
      </w:r>
      <w:r w:rsidRPr="003C4098">
        <w:rPr>
          <w:i/>
          <w:lang w:val="fr-FR"/>
        </w:rPr>
        <w:br/>
      </w:r>
      <w:r w:rsidRPr="003C4098">
        <w:rPr>
          <w:lang w:val="fr-FR"/>
        </w:rPr>
        <w:tab/>
        <w:t>Vincent A. De Gaetano,</w:t>
      </w:r>
      <w:r w:rsidRPr="003C4098">
        <w:rPr>
          <w:i/>
          <w:lang w:val="fr-FR"/>
        </w:rPr>
        <w:br/>
      </w:r>
      <w:r w:rsidRPr="003C4098">
        <w:rPr>
          <w:lang w:val="fr-FR"/>
        </w:rPr>
        <w:tab/>
        <w:t>André Potocki,</w:t>
      </w:r>
      <w:r w:rsidRPr="003C4098">
        <w:rPr>
          <w:i/>
          <w:lang w:val="fr-FR"/>
        </w:rPr>
        <w:br/>
      </w:r>
      <w:r w:rsidRPr="003C4098">
        <w:rPr>
          <w:lang w:val="fr-FR"/>
        </w:rPr>
        <w:tab/>
        <w:t>Aleš Pejchal,</w:t>
      </w:r>
      <w:r w:rsidRPr="003C4098">
        <w:rPr>
          <w:i/>
          <w:lang w:val="fr-FR"/>
        </w:rPr>
        <w:t xml:space="preserve"> juges,</w:t>
      </w:r>
    </w:p>
    <w:p w:rsidR="000537C6" w:rsidRPr="00905EBC" w:rsidRDefault="000537C6" w:rsidP="00F54F5F">
      <w:pPr>
        <w:pStyle w:val="ECHRDecisionBody"/>
        <w:rPr>
          <w:lang w:val="fr-FR"/>
        </w:rPr>
      </w:pPr>
      <w:r w:rsidRPr="00905EBC">
        <w:rPr>
          <w:lang w:val="fr-FR"/>
        </w:rPr>
        <w:t xml:space="preserve">et de </w:t>
      </w:r>
      <w:r>
        <w:rPr>
          <w:lang w:val="fr-FR"/>
        </w:rPr>
        <w:t>Claudia</w:t>
      </w:r>
      <w:r w:rsidRPr="00905EBC">
        <w:rPr>
          <w:lang w:val="fr-FR"/>
        </w:rPr>
        <w:t xml:space="preserve"> </w:t>
      </w:r>
      <w:r>
        <w:rPr>
          <w:lang w:val="fr-FR"/>
        </w:rPr>
        <w:t>Westerdiek</w:t>
      </w:r>
      <w:r w:rsidRPr="00905EBC">
        <w:rPr>
          <w:lang w:val="fr-FR"/>
        </w:rPr>
        <w:t xml:space="preserve">, </w:t>
      </w:r>
      <w:r w:rsidRPr="00905EBC">
        <w:rPr>
          <w:i/>
          <w:lang w:val="fr-FR"/>
        </w:rPr>
        <w:t>greffière de section</w:t>
      </w:r>
      <w:r w:rsidRPr="00905EBC">
        <w:rPr>
          <w:lang w:val="fr-FR"/>
        </w:rPr>
        <w:t>,</w:t>
      </w:r>
    </w:p>
    <w:p w:rsidR="000537C6" w:rsidRPr="00905EBC" w:rsidRDefault="000537C6" w:rsidP="00DE0F74">
      <w:pPr>
        <w:pStyle w:val="ECHRPara"/>
        <w:rPr>
          <w:lang w:val="fr-FR"/>
        </w:rPr>
      </w:pPr>
      <w:r w:rsidRPr="00905EBC">
        <w:rPr>
          <w:lang w:val="fr-FR"/>
        </w:rPr>
        <w:t xml:space="preserve">Vu les requêtes susmentionnées introduites le </w:t>
      </w:r>
      <w:r>
        <w:rPr>
          <w:lang w:val="fr-FR"/>
        </w:rPr>
        <w:t>2 décembre 2011</w:t>
      </w:r>
      <w:r w:rsidR="00DE0F74">
        <w:rPr>
          <w:lang w:val="fr-FR"/>
        </w:rPr>
        <w:t xml:space="preserve"> et le </w:t>
      </w:r>
      <w:r>
        <w:rPr>
          <w:lang w:val="fr-FR"/>
        </w:rPr>
        <w:t>7 août 2013</w:t>
      </w:r>
      <w:r w:rsidRPr="00905EBC">
        <w:rPr>
          <w:lang w:val="fr-FR"/>
        </w:rPr>
        <w:t>,</w:t>
      </w:r>
    </w:p>
    <w:p w:rsidR="000537C6" w:rsidRPr="00905EBC" w:rsidRDefault="000537C6" w:rsidP="00DE0F74">
      <w:pPr>
        <w:pStyle w:val="ECHRPara"/>
        <w:rPr>
          <w:lang w:val="fr-FR"/>
        </w:rPr>
      </w:pPr>
      <w:r w:rsidRPr="00905EBC">
        <w:rPr>
          <w:lang w:val="fr-FR"/>
        </w:rPr>
        <w:t xml:space="preserve">Vu les observations soumises </w:t>
      </w:r>
      <w:r>
        <w:rPr>
          <w:lang w:val="fr-FR"/>
        </w:rPr>
        <w:t>par le gouvernement défendeur,</w:t>
      </w:r>
      <w:r w:rsidRPr="00905EBC">
        <w:rPr>
          <w:lang w:val="fr-FR"/>
        </w:rPr>
        <w:t xml:space="preserve"> celles présentées en réponse par les requérants</w:t>
      </w:r>
      <w:r>
        <w:rPr>
          <w:lang w:val="fr-FR"/>
        </w:rPr>
        <w:t xml:space="preserve"> et celles des tiers intervenants</w:t>
      </w:r>
      <w:r w:rsidRPr="00905EBC">
        <w:rPr>
          <w:lang w:val="fr-FR"/>
        </w:rPr>
        <w:t>,</w:t>
      </w:r>
    </w:p>
    <w:p w:rsidR="000537C6" w:rsidRPr="00905EBC" w:rsidRDefault="000537C6" w:rsidP="00DE0F74">
      <w:pPr>
        <w:pStyle w:val="ECHRPara"/>
        <w:rPr>
          <w:lang w:val="fr-FR"/>
        </w:rPr>
      </w:pPr>
      <w:r w:rsidRPr="00905EBC">
        <w:rPr>
          <w:lang w:val="fr-FR"/>
        </w:rPr>
        <w:t>Après en avoir délibéré, rend la décision suivante :</w:t>
      </w:r>
    </w:p>
    <w:p w:rsidR="000537C6" w:rsidRPr="00905EBC" w:rsidRDefault="000537C6" w:rsidP="00DE0F74">
      <w:pPr>
        <w:pStyle w:val="ECHRTitle1"/>
        <w:rPr>
          <w:lang w:val="fr-FR"/>
        </w:rPr>
      </w:pPr>
      <w:r w:rsidRPr="00905EBC">
        <w:rPr>
          <w:lang w:val="fr-FR"/>
        </w:rPr>
        <w:t>EN FAIT</w:t>
      </w:r>
    </w:p>
    <w:p w:rsidR="000537C6" w:rsidRPr="008057ED" w:rsidRDefault="000537C6" w:rsidP="00DE0F74">
      <w:pPr>
        <w:pStyle w:val="ECHRPara"/>
        <w:rPr>
          <w:lang w:val="fr-FR"/>
        </w:rPr>
      </w:pPr>
      <w:r>
        <w:rPr>
          <w:lang w:val="fr-FR"/>
        </w:rPr>
        <w:t>1.  </w:t>
      </w:r>
      <w:r w:rsidRPr="00905EBC">
        <w:rPr>
          <w:lang w:val="fr-FR"/>
        </w:rPr>
        <w:t>Les requérants de la première requête</w:t>
      </w:r>
      <w:r>
        <w:rPr>
          <w:lang w:val="fr-FR"/>
        </w:rPr>
        <w:t xml:space="preserve"> (n</w:t>
      </w:r>
      <w:r w:rsidRPr="000537C6">
        <w:rPr>
          <w:vertAlign w:val="superscript"/>
          <w:lang w:val="fr-FR"/>
        </w:rPr>
        <w:t>o</w:t>
      </w:r>
      <w:r>
        <w:rPr>
          <w:lang w:val="fr-FR"/>
        </w:rPr>
        <w:t xml:space="preserve"> 76860/11)</w:t>
      </w:r>
      <w:r w:rsidRPr="00905EBC">
        <w:rPr>
          <w:lang w:val="fr-FR"/>
        </w:rPr>
        <w:t xml:space="preserve">, </w:t>
      </w:r>
      <w:r>
        <w:rPr>
          <w:lang w:val="fr-FR"/>
        </w:rPr>
        <w:t>M.</w:t>
      </w:r>
      <w:r w:rsidRPr="00905EBC">
        <w:rPr>
          <w:lang w:val="fr-FR"/>
        </w:rPr>
        <w:t xml:space="preserve"> </w:t>
      </w:r>
      <w:r>
        <w:rPr>
          <w:lang w:val="fr-FR"/>
        </w:rPr>
        <w:t>Jean-Michel</w:t>
      </w:r>
      <w:r w:rsidRPr="00905EBC">
        <w:rPr>
          <w:lang w:val="fr-FR"/>
        </w:rPr>
        <w:t xml:space="preserve"> </w:t>
      </w:r>
      <w:r>
        <w:rPr>
          <w:lang w:val="fr-FR"/>
        </w:rPr>
        <w:t>Okitaloshima Okonda Osungu</w:t>
      </w:r>
      <w:r w:rsidRPr="00905EBC">
        <w:rPr>
          <w:lang w:val="fr-FR"/>
        </w:rPr>
        <w:t xml:space="preserve"> et M</w:t>
      </w:r>
      <w:r w:rsidRPr="00905EBC">
        <w:rPr>
          <w:vertAlign w:val="superscript"/>
          <w:lang w:val="fr-FR"/>
        </w:rPr>
        <w:t>me</w:t>
      </w:r>
      <w:r w:rsidRPr="00905EBC">
        <w:rPr>
          <w:lang w:val="fr-FR"/>
        </w:rPr>
        <w:t xml:space="preserve"> </w:t>
      </w:r>
      <w:r>
        <w:rPr>
          <w:lang w:val="fr-FR"/>
        </w:rPr>
        <w:t>Anita</w:t>
      </w:r>
      <w:r w:rsidRPr="00905EBC">
        <w:rPr>
          <w:lang w:val="fr-FR"/>
        </w:rPr>
        <w:t xml:space="preserve"> </w:t>
      </w:r>
      <w:r>
        <w:rPr>
          <w:lang w:val="fr-FR"/>
        </w:rPr>
        <w:t>Okitaloshima Okonda Osungu</w:t>
      </w:r>
      <w:r w:rsidRPr="00905EBC">
        <w:rPr>
          <w:lang w:val="fr-FR"/>
        </w:rPr>
        <w:t xml:space="preserve">, sont des ressortissants </w:t>
      </w:r>
      <w:r>
        <w:rPr>
          <w:lang w:val="fr-FR"/>
        </w:rPr>
        <w:t>congolais</w:t>
      </w:r>
      <w:r w:rsidRPr="00905EBC">
        <w:rPr>
          <w:lang w:val="fr-FR"/>
        </w:rPr>
        <w:t xml:space="preserve"> nés respectivement en </w:t>
      </w:r>
      <w:r>
        <w:rPr>
          <w:lang w:val="fr-FR"/>
        </w:rPr>
        <w:t>1968</w:t>
      </w:r>
      <w:r w:rsidRPr="00905EBC">
        <w:rPr>
          <w:lang w:val="fr-FR"/>
        </w:rPr>
        <w:t xml:space="preserve"> et en </w:t>
      </w:r>
      <w:r>
        <w:rPr>
          <w:lang w:val="fr-FR"/>
        </w:rPr>
        <w:t>1976</w:t>
      </w:r>
      <w:r w:rsidRPr="00905EBC">
        <w:rPr>
          <w:lang w:val="fr-FR"/>
        </w:rPr>
        <w:t xml:space="preserve"> et </w:t>
      </w:r>
      <w:r w:rsidRPr="00473586">
        <w:rPr>
          <w:lang w:val="fr-FR"/>
        </w:rPr>
        <w:t>résidant</w:t>
      </w:r>
      <w:r w:rsidRPr="00905EBC">
        <w:rPr>
          <w:lang w:val="fr-FR"/>
        </w:rPr>
        <w:t xml:space="preserve"> à </w:t>
      </w:r>
      <w:r>
        <w:rPr>
          <w:lang w:val="fr-FR"/>
        </w:rPr>
        <w:t xml:space="preserve">Chantepie. Ils </w:t>
      </w:r>
      <w:r w:rsidRPr="00905EBC">
        <w:rPr>
          <w:lang w:val="fr-FR"/>
        </w:rPr>
        <w:t>ont été représentés devant la Cour par M</w:t>
      </w:r>
      <w:r w:rsidRPr="00905EBC">
        <w:rPr>
          <w:vertAlign w:val="superscript"/>
          <w:lang w:val="fr-FR"/>
        </w:rPr>
        <w:t>e</w:t>
      </w:r>
      <w:r w:rsidRPr="00905EBC">
        <w:rPr>
          <w:lang w:val="fr-FR"/>
        </w:rPr>
        <w:t> </w:t>
      </w:r>
      <w:r>
        <w:rPr>
          <w:lang w:val="fr-FR"/>
        </w:rPr>
        <w:t>S.</w:t>
      </w:r>
      <w:r w:rsidRPr="00905EBC">
        <w:rPr>
          <w:lang w:val="fr-FR"/>
        </w:rPr>
        <w:t xml:space="preserve"> </w:t>
      </w:r>
      <w:r>
        <w:rPr>
          <w:lang w:val="fr-FR"/>
        </w:rPr>
        <w:t xml:space="preserve">Stadler puis par </w:t>
      </w:r>
      <w:r w:rsidRPr="00905EBC">
        <w:rPr>
          <w:lang w:val="fr-FR"/>
        </w:rPr>
        <w:t>M</w:t>
      </w:r>
      <w:r w:rsidRPr="00905EBC">
        <w:rPr>
          <w:vertAlign w:val="superscript"/>
          <w:lang w:val="fr-FR"/>
        </w:rPr>
        <w:t>e</w:t>
      </w:r>
      <w:r>
        <w:rPr>
          <w:vertAlign w:val="superscript"/>
          <w:lang w:val="fr-FR"/>
        </w:rPr>
        <w:t xml:space="preserve"> </w:t>
      </w:r>
      <w:r>
        <w:rPr>
          <w:lang w:val="fr-FR"/>
        </w:rPr>
        <w:t>H. Gacon, avocates à Paris.</w:t>
      </w:r>
    </w:p>
    <w:p w:rsidR="000537C6" w:rsidRPr="00905EBC" w:rsidRDefault="000537C6" w:rsidP="00DE0F74">
      <w:pPr>
        <w:pStyle w:val="ECHRPara"/>
        <w:rPr>
          <w:lang w:val="fr-FR"/>
        </w:rPr>
      </w:pPr>
      <w:r>
        <w:rPr>
          <w:lang w:val="fr-FR"/>
        </w:rPr>
        <w:t>2.  </w:t>
      </w:r>
      <w:r w:rsidRPr="00905EBC">
        <w:rPr>
          <w:lang w:val="fr-FR"/>
        </w:rPr>
        <w:t>La requérante de la deuxième requête</w:t>
      </w:r>
      <w:r>
        <w:rPr>
          <w:lang w:val="fr-FR"/>
        </w:rPr>
        <w:t xml:space="preserve"> (n</w:t>
      </w:r>
      <w:r w:rsidRPr="000537C6">
        <w:rPr>
          <w:vertAlign w:val="superscript"/>
          <w:lang w:val="fr-FR"/>
        </w:rPr>
        <w:t>o</w:t>
      </w:r>
      <w:r>
        <w:rPr>
          <w:lang w:val="fr-FR"/>
        </w:rPr>
        <w:t xml:space="preserve"> 51354/13)</w:t>
      </w:r>
      <w:r w:rsidRPr="00905EBC">
        <w:rPr>
          <w:lang w:val="fr-FR"/>
        </w:rPr>
        <w:t>, M</w:t>
      </w:r>
      <w:r w:rsidRPr="00392CC4">
        <w:rPr>
          <w:vertAlign w:val="superscript"/>
          <w:lang w:val="fr-FR"/>
        </w:rPr>
        <w:t>me</w:t>
      </w:r>
      <w:r w:rsidRPr="00905EBC">
        <w:rPr>
          <w:lang w:val="fr-FR"/>
        </w:rPr>
        <w:t xml:space="preserve"> </w:t>
      </w:r>
      <w:r>
        <w:rPr>
          <w:lang w:val="fr-FR"/>
        </w:rPr>
        <w:t>Elisabeth</w:t>
      </w:r>
      <w:r w:rsidRPr="00905EBC">
        <w:rPr>
          <w:lang w:val="fr-FR"/>
        </w:rPr>
        <w:t xml:space="preserve"> </w:t>
      </w:r>
      <w:r>
        <w:rPr>
          <w:lang w:val="fr-FR"/>
        </w:rPr>
        <w:t>Selpa Lokongo</w:t>
      </w:r>
      <w:r w:rsidRPr="00905EBC">
        <w:rPr>
          <w:lang w:val="fr-FR"/>
        </w:rPr>
        <w:t xml:space="preserve">, est une ressortissante </w:t>
      </w:r>
      <w:r>
        <w:rPr>
          <w:lang w:val="fr-FR"/>
        </w:rPr>
        <w:t>congolaise</w:t>
      </w:r>
      <w:r w:rsidRPr="00905EBC">
        <w:rPr>
          <w:lang w:val="fr-FR"/>
        </w:rPr>
        <w:t xml:space="preserve"> née en </w:t>
      </w:r>
      <w:r>
        <w:rPr>
          <w:lang w:val="fr-FR"/>
        </w:rPr>
        <w:t>1975</w:t>
      </w:r>
      <w:r w:rsidRPr="00905EBC">
        <w:rPr>
          <w:lang w:val="fr-FR"/>
        </w:rPr>
        <w:t xml:space="preserve"> et </w:t>
      </w:r>
      <w:r w:rsidRPr="00097916">
        <w:rPr>
          <w:lang w:val="fr-FR"/>
        </w:rPr>
        <w:t>résidant</w:t>
      </w:r>
      <w:r w:rsidRPr="00905EBC">
        <w:rPr>
          <w:lang w:val="fr-FR"/>
        </w:rPr>
        <w:t xml:space="preserve"> à </w:t>
      </w:r>
      <w:r>
        <w:rPr>
          <w:lang w:val="fr-FR"/>
        </w:rPr>
        <w:t>Tournefeuille</w:t>
      </w:r>
      <w:r w:rsidRPr="00905EBC">
        <w:rPr>
          <w:lang w:val="fr-FR"/>
        </w:rPr>
        <w:t>. Elle est représentée devant la Cour par M</w:t>
      </w:r>
      <w:r w:rsidRPr="00905EBC">
        <w:rPr>
          <w:vertAlign w:val="superscript"/>
          <w:lang w:val="fr-FR"/>
        </w:rPr>
        <w:t>e</w:t>
      </w:r>
      <w:r w:rsidRPr="00905EBC">
        <w:rPr>
          <w:lang w:val="fr-FR"/>
        </w:rPr>
        <w:t> </w:t>
      </w:r>
      <w:r>
        <w:rPr>
          <w:lang w:val="fr-FR"/>
        </w:rPr>
        <w:t>F.</w:t>
      </w:r>
      <w:r w:rsidRPr="00905EBC">
        <w:rPr>
          <w:lang w:val="fr-FR"/>
        </w:rPr>
        <w:t xml:space="preserve"> </w:t>
      </w:r>
      <w:r>
        <w:rPr>
          <w:lang w:val="fr-FR"/>
        </w:rPr>
        <w:t>Tercero</w:t>
      </w:r>
      <w:r w:rsidRPr="00905EBC">
        <w:rPr>
          <w:lang w:val="fr-FR"/>
        </w:rPr>
        <w:t>, avocat</w:t>
      </w:r>
      <w:r>
        <w:rPr>
          <w:lang w:val="fr-FR"/>
        </w:rPr>
        <w:t>e</w:t>
      </w:r>
      <w:r w:rsidRPr="00905EBC">
        <w:rPr>
          <w:lang w:val="fr-FR"/>
        </w:rPr>
        <w:t xml:space="preserve"> à </w:t>
      </w:r>
      <w:r>
        <w:rPr>
          <w:lang w:val="fr-FR"/>
        </w:rPr>
        <w:t>Toulouse</w:t>
      </w:r>
      <w:r w:rsidRPr="00905EBC">
        <w:rPr>
          <w:lang w:val="fr-FR"/>
        </w:rPr>
        <w:t>.</w:t>
      </w:r>
    </w:p>
    <w:p w:rsidR="000537C6" w:rsidRPr="00905EBC" w:rsidRDefault="000537C6" w:rsidP="00DE0F74">
      <w:pPr>
        <w:pStyle w:val="ECHRPara"/>
        <w:rPr>
          <w:lang w:val="fr-FR"/>
        </w:rPr>
      </w:pPr>
      <w:r>
        <w:rPr>
          <w:lang w:val="fr-FR"/>
        </w:rPr>
        <w:lastRenderedPageBreak/>
        <w:t>3.  </w:t>
      </w:r>
      <w:r w:rsidRPr="00905EBC">
        <w:rPr>
          <w:lang w:val="fr-FR"/>
        </w:rPr>
        <w:t xml:space="preserve">Le gouvernement </w:t>
      </w:r>
      <w:r>
        <w:rPr>
          <w:lang w:val="fr-FR"/>
        </w:rPr>
        <w:t>français</w:t>
      </w:r>
      <w:r w:rsidRPr="00905EBC">
        <w:rPr>
          <w:lang w:val="fr-FR"/>
        </w:rPr>
        <w:t xml:space="preserve"> (« le Gouvernement ») est représenté par son agent, </w:t>
      </w:r>
      <w:r w:rsidRPr="001D63DA">
        <w:rPr>
          <w:lang w:val="fr-FR"/>
        </w:rPr>
        <w:t>M. F</w:t>
      </w:r>
      <w:r>
        <w:rPr>
          <w:lang w:val="fr-FR"/>
        </w:rPr>
        <w:t>.</w:t>
      </w:r>
      <w:r w:rsidRPr="001D63DA">
        <w:rPr>
          <w:lang w:val="fr-FR"/>
        </w:rPr>
        <w:t xml:space="preserve"> Alabrune, directeur des affaires juridiques au ministère des Affaires étrangères.</w:t>
      </w:r>
    </w:p>
    <w:p w:rsidR="000537C6" w:rsidRPr="00905EBC" w:rsidRDefault="000537C6" w:rsidP="00DE0F74">
      <w:pPr>
        <w:pStyle w:val="ECHRHeading2"/>
        <w:rPr>
          <w:lang w:val="fr-FR"/>
        </w:rPr>
      </w:pPr>
      <w:r w:rsidRPr="00905EBC">
        <w:rPr>
          <w:lang w:val="fr-FR"/>
        </w:rPr>
        <w:t>A.  Les circonstances de l</w:t>
      </w:r>
      <w:r w:rsidR="009429B7">
        <w:rPr>
          <w:lang w:val="fr-FR"/>
        </w:rPr>
        <w:t>’</w:t>
      </w:r>
      <w:r w:rsidRPr="00905EBC">
        <w:rPr>
          <w:lang w:val="fr-FR"/>
        </w:rPr>
        <w:t>espèce</w:t>
      </w:r>
    </w:p>
    <w:p w:rsidR="000537C6" w:rsidRPr="001D63DA" w:rsidRDefault="000537C6" w:rsidP="00DE0F74">
      <w:pPr>
        <w:pStyle w:val="ECHRPara"/>
        <w:rPr>
          <w:lang w:val="fr-FR"/>
        </w:rPr>
      </w:pPr>
      <w:r>
        <w:rPr>
          <w:lang w:val="fr-FR"/>
        </w:rPr>
        <w:t>4.  </w:t>
      </w:r>
      <w:r w:rsidRPr="001D63DA">
        <w:rPr>
          <w:lang w:val="fr-FR"/>
        </w:rPr>
        <w:t>Les faits de la cause, tels qu</w:t>
      </w:r>
      <w:r w:rsidR="009429B7">
        <w:rPr>
          <w:lang w:val="fr-FR"/>
        </w:rPr>
        <w:t>’</w:t>
      </w:r>
      <w:r w:rsidRPr="001D63DA">
        <w:rPr>
          <w:lang w:val="fr-FR"/>
        </w:rPr>
        <w:t xml:space="preserve">ils ont été exposés par les </w:t>
      </w:r>
      <w:r>
        <w:rPr>
          <w:lang w:val="fr-FR"/>
        </w:rPr>
        <w:t>partie</w:t>
      </w:r>
      <w:r w:rsidRPr="001D63DA">
        <w:rPr>
          <w:lang w:val="fr-FR"/>
        </w:rPr>
        <w:t>s, peuvent se résumer comme suit.</w:t>
      </w:r>
    </w:p>
    <w:p w:rsidR="000537C6" w:rsidRPr="001D63DA" w:rsidRDefault="000537C6" w:rsidP="00DE0F74">
      <w:pPr>
        <w:pStyle w:val="ECHRPara"/>
        <w:rPr>
          <w:lang w:val="fr-FR"/>
        </w:rPr>
      </w:pPr>
      <w:r>
        <w:rPr>
          <w:lang w:val="fr-FR"/>
        </w:rPr>
        <w:t>5.  </w:t>
      </w:r>
      <w:r w:rsidRPr="001D63DA">
        <w:rPr>
          <w:lang w:val="fr-FR"/>
        </w:rPr>
        <w:t>Les requérants sont des ressortissants congolais résidant régulièrement en France. Ils ont chacun des enfants les ayant rejoints postérieurement à leur arrivée dans ce pays, sans respecter la procédure du regroupement familial.</w:t>
      </w:r>
    </w:p>
    <w:p w:rsidR="000537C6" w:rsidRPr="001D63DA" w:rsidRDefault="000537C6" w:rsidP="00DE0F74">
      <w:pPr>
        <w:pStyle w:val="ECHRPara"/>
        <w:rPr>
          <w:lang w:val="fr-FR"/>
        </w:rPr>
      </w:pPr>
      <w:r>
        <w:rPr>
          <w:lang w:val="fr-FR"/>
        </w:rPr>
        <w:t>6.  </w:t>
      </w:r>
      <w:r w:rsidRPr="001D63DA">
        <w:rPr>
          <w:lang w:val="fr-FR"/>
        </w:rPr>
        <w:t>Les requérants se virent refuser le bénéfice des prestations familiales pour ces enfants, compte tenu de l</w:t>
      </w:r>
      <w:r w:rsidR="009429B7">
        <w:rPr>
          <w:lang w:val="fr-FR"/>
        </w:rPr>
        <w:t>’</w:t>
      </w:r>
      <w:r w:rsidRPr="001D63DA">
        <w:rPr>
          <w:lang w:val="fr-FR"/>
        </w:rPr>
        <w:t>impossibilité pour eux de produire l</w:t>
      </w:r>
      <w:r w:rsidR="009429B7">
        <w:rPr>
          <w:lang w:val="fr-FR"/>
        </w:rPr>
        <w:t>’</w:t>
      </w:r>
      <w:r w:rsidRPr="001D63DA">
        <w:rPr>
          <w:lang w:val="fr-FR"/>
        </w:rPr>
        <w:t>un des documents énumérés aux articles L. 512-2 et D. 512-2 du code de la sécurité sociale. En l</w:t>
      </w:r>
      <w:r w:rsidR="009429B7">
        <w:rPr>
          <w:lang w:val="fr-FR"/>
        </w:rPr>
        <w:t>’</w:t>
      </w:r>
      <w:r w:rsidRPr="001D63DA">
        <w:rPr>
          <w:lang w:val="fr-FR"/>
        </w:rPr>
        <w:t>espèce, celui correspondant à leur situation était le certificat de contrôle médical délivré, pour chaque enfant, par l</w:t>
      </w:r>
      <w:r w:rsidR="009429B7">
        <w:rPr>
          <w:lang w:val="fr-FR"/>
        </w:rPr>
        <w:t>’</w:t>
      </w:r>
      <w:r w:rsidRPr="001D63DA">
        <w:rPr>
          <w:lang w:val="fr-FR"/>
        </w:rPr>
        <w:t>office français de l</w:t>
      </w:r>
      <w:r w:rsidR="009429B7">
        <w:rPr>
          <w:lang w:val="fr-FR"/>
        </w:rPr>
        <w:t>’</w:t>
      </w:r>
      <w:r w:rsidRPr="001D63DA">
        <w:rPr>
          <w:lang w:val="fr-FR"/>
        </w:rPr>
        <w:t>immigration et de l</w:t>
      </w:r>
      <w:r w:rsidR="009429B7">
        <w:rPr>
          <w:lang w:val="fr-FR"/>
        </w:rPr>
        <w:t>’</w:t>
      </w:r>
      <w:r w:rsidRPr="001D63DA">
        <w:rPr>
          <w:lang w:val="fr-FR"/>
        </w:rPr>
        <w:t>intégration (OFII, anciennement agence nationale de l</w:t>
      </w:r>
      <w:r w:rsidR="009429B7">
        <w:rPr>
          <w:lang w:val="fr-FR"/>
        </w:rPr>
        <w:t>’</w:t>
      </w:r>
      <w:r w:rsidRPr="001D63DA">
        <w:rPr>
          <w:lang w:val="fr-FR"/>
        </w:rPr>
        <w:t>accueil des étrangers et des migrations - ANAEM)</w:t>
      </w:r>
      <w:r>
        <w:rPr>
          <w:lang w:val="fr-FR"/>
        </w:rPr>
        <w:t>,</w:t>
      </w:r>
      <w:r w:rsidRPr="001D63DA">
        <w:rPr>
          <w:lang w:val="fr-FR"/>
        </w:rPr>
        <w:t xml:space="preserve"> au terme de la procédure de regroupement familial.</w:t>
      </w:r>
    </w:p>
    <w:p w:rsidR="000537C6" w:rsidRPr="001D63DA" w:rsidRDefault="000537C6" w:rsidP="00DE0F74">
      <w:pPr>
        <w:pStyle w:val="ECHRPara"/>
        <w:rPr>
          <w:lang w:val="fr-FR"/>
        </w:rPr>
      </w:pPr>
      <w:r>
        <w:rPr>
          <w:lang w:val="fr-FR"/>
        </w:rPr>
        <w:t>7.  </w:t>
      </w:r>
      <w:r w:rsidRPr="001D63DA">
        <w:rPr>
          <w:lang w:val="fr-FR"/>
        </w:rPr>
        <w:t xml:space="preserve">Les requérants contestèrent ce refus devant les juridictions nationales, </w:t>
      </w:r>
      <w:r>
        <w:rPr>
          <w:lang w:val="fr-FR"/>
        </w:rPr>
        <w:t>qui</w:t>
      </w:r>
      <w:r w:rsidRPr="001D63DA">
        <w:rPr>
          <w:lang w:val="fr-FR"/>
        </w:rPr>
        <w:t xml:space="preserve"> les déboutèrent à différents stades de la procédure.</w:t>
      </w:r>
    </w:p>
    <w:p w:rsidR="000537C6" w:rsidRPr="001D63DA" w:rsidRDefault="000537C6" w:rsidP="00DE0F74">
      <w:pPr>
        <w:pStyle w:val="ECHRHeading3"/>
        <w:rPr>
          <w:lang w:val="fr-FR"/>
        </w:rPr>
      </w:pPr>
      <w:r w:rsidRPr="001D63DA">
        <w:rPr>
          <w:lang w:val="fr-FR"/>
        </w:rPr>
        <w:t>1. Requête n</w:t>
      </w:r>
      <w:r w:rsidRPr="000537C6">
        <w:rPr>
          <w:vertAlign w:val="superscript"/>
          <w:lang w:val="fr-FR"/>
        </w:rPr>
        <w:t>o</w:t>
      </w:r>
      <w:r w:rsidRPr="001D63DA">
        <w:rPr>
          <w:lang w:val="fr-FR"/>
        </w:rPr>
        <w:t xml:space="preserve"> 76860/11</w:t>
      </w:r>
    </w:p>
    <w:p w:rsidR="000537C6" w:rsidRPr="001D63DA" w:rsidRDefault="000537C6" w:rsidP="00DE0F74">
      <w:pPr>
        <w:pStyle w:val="ECHRPara"/>
        <w:ind w:firstLine="431"/>
        <w:rPr>
          <w:lang w:val="fr-FR"/>
        </w:rPr>
      </w:pPr>
      <w:r>
        <w:rPr>
          <w:lang w:val="fr-FR"/>
        </w:rPr>
        <w:t>8.  </w:t>
      </w:r>
      <w:r w:rsidRPr="001D63DA">
        <w:rPr>
          <w:lang w:val="fr-FR"/>
        </w:rPr>
        <w:t>Les requérants résid</w:t>
      </w:r>
      <w:r w:rsidR="00165114">
        <w:rPr>
          <w:lang w:val="fr-FR"/>
        </w:rPr>
        <w:t>e</w:t>
      </w:r>
      <w:r w:rsidRPr="001D63DA">
        <w:rPr>
          <w:lang w:val="fr-FR"/>
        </w:rPr>
        <w:t>nt régulièrement en France depuis le 9 octobre 2000. Leurs enfants C. et J., nés respectivement en 1994 et 1997, les rejoignirent en mai 2002.</w:t>
      </w:r>
      <w:r>
        <w:rPr>
          <w:lang w:val="fr-FR"/>
        </w:rPr>
        <w:t xml:space="preserve"> Ils sont titulaires d</w:t>
      </w:r>
      <w:r w:rsidR="009429B7">
        <w:rPr>
          <w:lang w:val="fr-FR"/>
        </w:rPr>
        <w:t>’</w:t>
      </w:r>
      <w:r>
        <w:rPr>
          <w:lang w:val="fr-FR"/>
        </w:rPr>
        <w:t>un document de ci</w:t>
      </w:r>
      <w:r w:rsidR="00165114">
        <w:rPr>
          <w:lang w:val="fr-FR"/>
        </w:rPr>
        <w:t>rculation pour enfant mineur (DCEM</w:t>
      </w:r>
      <w:r>
        <w:rPr>
          <w:lang w:val="fr-FR"/>
        </w:rPr>
        <w:t>).</w:t>
      </w:r>
      <w:r w:rsidRPr="001D63DA">
        <w:rPr>
          <w:lang w:val="fr-FR"/>
        </w:rPr>
        <w:t xml:space="preserve"> Deux autres enfants naquirent sur le territoire français, pour lesquels les requérants perçurent des allocations familiales.</w:t>
      </w:r>
    </w:p>
    <w:p w:rsidR="000537C6" w:rsidRDefault="000537C6" w:rsidP="00DE0F74">
      <w:pPr>
        <w:pStyle w:val="ECHRPara"/>
        <w:ind w:firstLine="431"/>
        <w:rPr>
          <w:lang w:val="fr-FR"/>
        </w:rPr>
      </w:pPr>
      <w:r>
        <w:rPr>
          <w:lang w:val="fr-FR"/>
        </w:rPr>
        <w:t>9.  </w:t>
      </w:r>
      <w:r w:rsidRPr="001D63DA">
        <w:rPr>
          <w:lang w:val="fr-FR"/>
        </w:rPr>
        <w:t>Les requérants demandèrent à la caisse d</w:t>
      </w:r>
      <w:r w:rsidR="009429B7">
        <w:rPr>
          <w:lang w:val="fr-FR"/>
        </w:rPr>
        <w:t>’</w:t>
      </w:r>
      <w:r w:rsidRPr="001D63DA">
        <w:rPr>
          <w:lang w:val="fr-FR"/>
        </w:rPr>
        <w:t>allocations familiales (CAF) d</w:t>
      </w:r>
      <w:r w:rsidR="009429B7">
        <w:rPr>
          <w:lang w:val="fr-FR"/>
        </w:rPr>
        <w:t>’</w:t>
      </w:r>
      <w:r w:rsidRPr="001D63DA">
        <w:rPr>
          <w:lang w:val="fr-FR"/>
        </w:rPr>
        <w:t>Ille et Vilaine le bénéfice des prestations familiales pour C. et J. à compter du mois de juin 2002.</w:t>
      </w:r>
    </w:p>
    <w:p w:rsidR="000537C6" w:rsidRPr="001D63DA" w:rsidRDefault="000537C6" w:rsidP="00DE0F74">
      <w:pPr>
        <w:pStyle w:val="ECHRPara"/>
        <w:ind w:firstLine="431"/>
        <w:rPr>
          <w:lang w:val="fr-FR"/>
        </w:rPr>
      </w:pPr>
      <w:r>
        <w:rPr>
          <w:lang w:val="fr-FR"/>
        </w:rPr>
        <w:t>10.  </w:t>
      </w:r>
      <w:r w:rsidRPr="001D63DA">
        <w:rPr>
          <w:lang w:val="fr-FR"/>
        </w:rPr>
        <w:t>Faute de réponse positive, le premier requérant saisit la commission de recours amiable le 27 février 2006. Celle-ci rejeta sa demande. Les requérants contestèrent cette décision devant le tribunal des affaires de sécurité sociale de Rennes.</w:t>
      </w:r>
    </w:p>
    <w:p w:rsidR="000537C6" w:rsidRPr="001D63DA" w:rsidRDefault="000537C6" w:rsidP="00DE0F74">
      <w:pPr>
        <w:pStyle w:val="ECHRPara"/>
        <w:ind w:firstLine="431"/>
        <w:rPr>
          <w:lang w:val="fr-FR"/>
        </w:rPr>
      </w:pPr>
      <w:r>
        <w:rPr>
          <w:lang w:val="fr-FR"/>
        </w:rPr>
        <w:t>11.  </w:t>
      </w:r>
      <w:r w:rsidRPr="001D63DA">
        <w:rPr>
          <w:lang w:val="fr-FR"/>
        </w:rPr>
        <w:t xml:space="preserve">Par un jugement du 22 mars </w:t>
      </w:r>
      <w:r>
        <w:rPr>
          <w:lang w:val="fr-FR"/>
        </w:rPr>
        <w:t>2007, ce dernier considéra</w:t>
      </w:r>
      <w:r w:rsidRPr="001D63DA">
        <w:rPr>
          <w:lang w:val="fr-FR"/>
        </w:rPr>
        <w:t xml:space="preserve"> que les requérants ne pouvaient prétendre au versement des prestations familiales en faveur de C. et J., en l</w:t>
      </w:r>
      <w:r w:rsidR="009429B7">
        <w:rPr>
          <w:lang w:val="fr-FR"/>
        </w:rPr>
        <w:t>’</w:t>
      </w:r>
      <w:r w:rsidRPr="001D63DA">
        <w:rPr>
          <w:lang w:val="fr-FR"/>
        </w:rPr>
        <w:t>absence de justification de la régularité de la situation de ces derniers par production d</w:t>
      </w:r>
      <w:r w:rsidR="009429B7">
        <w:rPr>
          <w:lang w:val="fr-FR"/>
        </w:rPr>
        <w:t>’</w:t>
      </w:r>
      <w:r w:rsidRPr="001D63DA">
        <w:rPr>
          <w:lang w:val="fr-FR"/>
        </w:rPr>
        <w:t>un des documents énumér</w:t>
      </w:r>
      <w:r w:rsidR="00165114">
        <w:rPr>
          <w:lang w:val="fr-FR"/>
        </w:rPr>
        <w:t>és aux articles L. </w:t>
      </w:r>
      <w:r w:rsidRPr="001D63DA">
        <w:rPr>
          <w:lang w:val="fr-FR"/>
        </w:rPr>
        <w:t>512-2 et D. 512-2 du code de la sécurité sociale dans leur version en vigueur depuis le 20 décembre 2005. Les requérants interjetèrent appel.</w:t>
      </w:r>
    </w:p>
    <w:p w:rsidR="000537C6" w:rsidRPr="001D63DA" w:rsidRDefault="000537C6" w:rsidP="00DE0F74">
      <w:pPr>
        <w:pStyle w:val="ECHRPara"/>
        <w:ind w:firstLine="431"/>
        <w:rPr>
          <w:lang w:val="fr-FR"/>
        </w:rPr>
      </w:pPr>
      <w:r>
        <w:rPr>
          <w:lang w:val="fr-FR"/>
        </w:rPr>
        <w:t>12.  </w:t>
      </w:r>
      <w:r w:rsidRPr="001D63DA">
        <w:rPr>
          <w:lang w:val="fr-FR"/>
        </w:rPr>
        <w:t>Par arrêt du 28 janvier 2009, la cour d</w:t>
      </w:r>
      <w:r w:rsidR="009429B7">
        <w:rPr>
          <w:lang w:val="fr-FR"/>
        </w:rPr>
        <w:t>’</w:t>
      </w:r>
      <w:r w:rsidRPr="001D63DA">
        <w:rPr>
          <w:lang w:val="fr-FR"/>
        </w:rPr>
        <w:t>appel de Rennes condamna la caisse d</w:t>
      </w:r>
      <w:r w:rsidR="009429B7">
        <w:rPr>
          <w:lang w:val="fr-FR"/>
        </w:rPr>
        <w:t>’</w:t>
      </w:r>
      <w:r w:rsidRPr="001D63DA">
        <w:rPr>
          <w:lang w:val="fr-FR"/>
        </w:rPr>
        <w:t>allocations familiales d</w:t>
      </w:r>
      <w:r w:rsidR="009429B7">
        <w:rPr>
          <w:lang w:val="fr-FR"/>
        </w:rPr>
        <w:t>’</w:t>
      </w:r>
      <w:r w:rsidRPr="001D63DA">
        <w:rPr>
          <w:lang w:val="fr-FR"/>
        </w:rPr>
        <w:t xml:space="preserve">Ille et Vilaine à leur verser les prestations </w:t>
      </w:r>
      <w:r w:rsidRPr="001D63DA">
        <w:rPr>
          <w:lang w:val="fr-FR"/>
        </w:rPr>
        <w:lastRenderedPageBreak/>
        <w:t>familiales dues au titre de C. et</w:t>
      </w:r>
      <w:r>
        <w:rPr>
          <w:lang w:val="fr-FR"/>
        </w:rPr>
        <w:t xml:space="preserve"> J., du mois de juin 2002 au 19 </w:t>
      </w:r>
      <w:r w:rsidRPr="001D63DA">
        <w:rPr>
          <w:lang w:val="fr-FR"/>
        </w:rPr>
        <w:t>décembre 2005, outre les intérêts légaux et mille euros au titre des frais irrépétibles. En revanche, elle confirma le jugement du 22 mars 2007 pour la période postérieure au 19 décembre 2005. Les juges estimèrent qu</w:t>
      </w:r>
      <w:r w:rsidR="009429B7">
        <w:rPr>
          <w:lang w:val="fr-FR"/>
        </w:rPr>
        <w:t>’</w:t>
      </w:r>
      <w:r w:rsidRPr="001D63DA">
        <w:rPr>
          <w:lang w:val="fr-FR"/>
        </w:rPr>
        <w:t>il résultait des textes antérieurs à la loi de finance du 19 décembre 2005 ayant restreint les conditions d</w:t>
      </w:r>
      <w:r w:rsidR="009429B7">
        <w:rPr>
          <w:lang w:val="fr-FR"/>
        </w:rPr>
        <w:t>’</w:t>
      </w:r>
      <w:r w:rsidRPr="001D63DA">
        <w:rPr>
          <w:lang w:val="fr-FR"/>
        </w:rPr>
        <w:t>attribution des prestations familiales, de la jurisprudence de la Cour de cassation et des articles 8 et 14 de la Convention, que les étrangers résidant régulièrement en France avec leurs enfants mineurs bénéficiaient de plein d</w:t>
      </w:r>
      <w:r>
        <w:rPr>
          <w:lang w:val="fr-FR"/>
        </w:rPr>
        <w:t>roit des prestations familiales</w:t>
      </w:r>
      <w:r w:rsidRPr="001D63DA">
        <w:rPr>
          <w:lang w:val="fr-FR"/>
        </w:rPr>
        <w:t xml:space="preserve"> et que les requérants pouvaient donc en bénéficier pour la période antérieure à l</w:t>
      </w:r>
      <w:r w:rsidR="009429B7">
        <w:rPr>
          <w:lang w:val="fr-FR"/>
        </w:rPr>
        <w:t>’</w:t>
      </w:r>
      <w:r w:rsidRPr="001D63DA">
        <w:rPr>
          <w:lang w:val="fr-FR"/>
        </w:rPr>
        <w:t>entrée en vigueur du nouveau texte, sans qu</w:t>
      </w:r>
      <w:r w:rsidR="009429B7">
        <w:rPr>
          <w:lang w:val="fr-FR"/>
        </w:rPr>
        <w:t>’</w:t>
      </w:r>
      <w:r w:rsidRPr="001D63DA">
        <w:rPr>
          <w:lang w:val="fr-FR"/>
        </w:rPr>
        <w:t>il puisse être exigé pour C. et J. un certificat médical. En revanche, ils ajoutèr</w:t>
      </w:r>
      <w:r>
        <w:rPr>
          <w:lang w:val="fr-FR"/>
        </w:rPr>
        <w:t>ent que la loi du 19 </w:t>
      </w:r>
      <w:r w:rsidRPr="001D63DA">
        <w:rPr>
          <w:lang w:val="fr-FR"/>
        </w:rPr>
        <w:t>décembre 2005 et son décret d</w:t>
      </w:r>
      <w:r w:rsidR="009429B7">
        <w:rPr>
          <w:lang w:val="fr-FR"/>
        </w:rPr>
        <w:t>’</w:t>
      </w:r>
      <w:r w:rsidRPr="001D63DA">
        <w:rPr>
          <w:lang w:val="fr-FR"/>
        </w:rPr>
        <w:t>application du 27 février 2006 n</w:t>
      </w:r>
      <w:r w:rsidR="009429B7">
        <w:rPr>
          <w:lang w:val="fr-FR"/>
        </w:rPr>
        <w:t>’</w:t>
      </w:r>
      <w:r w:rsidRPr="001D63DA">
        <w:rPr>
          <w:lang w:val="fr-FR"/>
        </w:rPr>
        <w:t>ayant pas été déclarés inconstitutionnels par le Conseil constitutionnel ni censurés par la Cour, leurs dispositions étaient applicables pour la période postérieure au 19 décembre 2005. Les requérants se pourvurent en cassation</w:t>
      </w:r>
      <w:r>
        <w:rPr>
          <w:lang w:val="fr-FR"/>
        </w:rPr>
        <w:t>, invoquant notamment les articles 8 et 14 de la Convention, ainsi que les articles 3, 24-1 et 26 de la convention internationale des droits de l</w:t>
      </w:r>
      <w:r w:rsidR="009429B7">
        <w:rPr>
          <w:lang w:val="fr-FR"/>
        </w:rPr>
        <w:t>’</w:t>
      </w:r>
      <w:r>
        <w:rPr>
          <w:lang w:val="fr-FR"/>
        </w:rPr>
        <w:t>enfant</w:t>
      </w:r>
      <w:r w:rsidRPr="001D63DA">
        <w:rPr>
          <w:lang w:val="fr-FR"/>
        </w:rPr>
        <w:t>. La CAF forma pourvoi incident.</w:t>
      </w:r>
    </w:p>
    <w:p w:rsidR="000537C6" w:rsidRPr="001D63DA" w:rsidRDefault="000537C6" w:rsidP="00DE0F74">
      <w:pPr>
        <w:pStyle w:val="ECHRPara"/>
        <w:ind w:firstLine="431"/>
        <w:rPr>
          <w:lang w:val="fr-FR"/>
        </w:rPr>
      </w:pPr>
      <w:r>
        <w:rPr>
          <w:lang w:val="fr-FR"/>
        </w:rPr>
        <w:t>13.  </w:t>
      </w:r>
      <w:r w:rsidRPr="001D63DA">
        <w:rPr>
          <w:lang w:val="fr-FR"/>
        </w:rPr>
        <w:t>Par délibération du 7 septembre 2009, la Haute autorité de lutte contre les discriminations et pour l</w:t>
      </w:r>
      <w:r w:rsidR="009429B7">
        <w:rPr>
          <w:lang w:val="fr-FR"/>
        </w:rPr>
        <w:t>’</w:t>
      </w:r>
      <w:r w:rsidRPr="001D63DA">
        <w:rPr>
          <w:lang w:val="fr-FR"/>
        </w:rPr>
        <w:t>égalité (HALDE), saisie par le premier requérant, estima que le refus de la CAF de verser des prestatio</w:t>
      </w:r>
      <w:r>
        <w:rPr>
          <w:lang w:val="fr-FR"/>
        </w:rPr>
        <w:t>ns familiales pour C. et J., au</w:t>
      </w:r>
      <w:r w:rsidRPr="001D63DA">
        <w:rPr>
          <w:lang w:val="fr-FR"/>
        </w:rPr>
        <w:t xml:space="preserve"> motif que les certificats médicaux demandés n</w:t>
      </w:r>
      <w:r w:rsidR="009429B7">
        <w:rPr>
          <w:lang w:val="fr-FR"/>
        </w:rPr>
        <w:t>’</w:t>
      </w:r>
      <w:r w:rsidRPr="001D63DA">
        <w:rPr>
          <w:lang w:val="fr-FR"/>
        </w:rPr>
        <w:t>étaient pas produits, constituait une discrimination fondée sur la nationalité contraire, notamment, à l</w:t>
      </w:r>
      <w:r w:rsidR="009429B7">
        <w:rPr>
          <w:lang w:val="fr-FR"/>
        </w:rPr>
        <w:t>’</w:t>
      </w:r>
      <w:r w:rsidRPr="001D63DA">
        <w:rPr>
          <w:lang w:val="fr-FR"/>
        </w:rPr>
        <w:t>article 1</w:t>
      </w:r>
      <w:r w:rsidRPr="001D63DA">
        <w:rPr>
          <w:vertAlign w:val="superscript"/>
          <w:lang w:val="fr-FR"/>
        </w:rPr>
        <w:t xml:space="preserve"> </w:t>
      </w:r>
      <w:r w:rsidRPr="001D63DA">
        <w:rPr>
          <w:lang w:val="fr-FR"/>
        </w:rPr>
        <w:t xml:space="preserve">du Protocole </w:t>
      </w:r>
      <w:r>
        <w:rPr>
          <w:lang w:val="fr-FR"/>
        </w:rPr>
        <w:t>n</w:t>
      </w:r>
      <w:r w:rsidRPr="000537C6">
        <w:rPr>
          <w:vertAlign w:val="superscript"/>
          <w:lang w:val="fr-FR"/>
        </w:rPr>
        <w:t>o</w:t>
      </w:r>
      <w:r>
        <w:rPr>
          <w:lang w:val="fr-FR"/>
        </w:rPr>
        <w:t xml:space="preserve"> </w:t>
      </w:r>
      <w:r w:rsidRPr="001D63DA">
        <w:rPr>
          <w:lang w:val="fr-FR"/>
        </w:rPr>
        <w:t>1 et à l</w:t>
      </w:r>
      <w:r w:rsidR="009429B7">
        <w:rPr>
          <w:lang w:val="fr-FR"/>
        </w:rPr>
        <w:t>’</w:t>
      </w:r>
      <w:r w:rsidRPr="001D63DA">
        <w:rPr>
          <w:lang w:val="fr-FR"/>
        </w:rPr>
        <w:t>article 8 de la Convention, combinés</w:t>
      </w:r>
      <w:r>
        <w:rPr>
          <w:lang w:val="fr-FR"/>
        </w:rPr>
        <w:t xml:space="preserve"> avec son article 14, ainsi qu</w:t>
      </w:r>
      <w:r w:rsidR="009429B7">
        <w:rPr>
          <w:lang w:val="fr-FR"/>
        </w:rPr>
        <w:t>’</w:t>
      </w:r>
      <w:r>
        <w:rPr>
          <w:lang w:val="fr-FR"/>
        </w:rPr>
        <w:t>avec</w:t>
      </w:r>
      <w:r w:rsidRPr="001D63DA">
        <w:rPr>
          <w:lang w:val="fr-FR"/>
        </w:rPr>
        <w:t xml:space="preserve"> l</w:t>
      </w:r>
      <w:r w:rsidR="009429B7">
        <w:rPr>
          <w:lang w:val="fr-FR"/>
        </w:rPr>
        <w:t>’</w:t>
      </w:r>
      <w:r w:rsidRPr="001D63DA">
        <w:rPr>
          <w:lang w:val="fr-FR"/>
        </w:rPr>
        <w:t>article 3-1 de la Convention internationale des droits de l</w:t>
      </w:r>
      <w:r w:rsidR="009429B7">
        <w:rPr>
          <w:lang w:val="fr-FR"/>
        </w:rPr>
        <w:t>’</w:t>
      </w:r>
      <w:r w:rsidRPr="001D63DA">
        <w:rPr>
          <w:lang w:val="fr-FR"/>
        </w:rPr>
        <w:t>enfant.</w:t>
      </w:r>
    </w:p>
    <w:p w:rsidR="000537C6" w:rsidRPr="001D63DA" w:rsidRDefault="000537C6" w:rsidP="00DE0F74">
      <w:pPr>
        <w:pStyle w:val="ECHRPara"/>
        <w:ind w:firstLine="431"/>
        <w:rPr>
          <w:lang w:val="fr-FR"/>
        </w:rPr>
      </w:pPr>
      <w:r>
        <w:rPr>
          <w:lang w:val="fr-FR"/>
        </w:rPr>
        <w:t>14.  </w:t>
      </w:r>
      <w:r w:rsidRPr="001D63DA">
        <w:rPr>
          <w:lang w:val="fr-FR"/>
        </w:rPr>
        <w:t>Le 9 décembre 2010, la HALDE présenta des observations en ce sens devant la Cour de cassation.</w:t>
      </w:r>
    </w:p>
    <w:p w:rsidR="000537C6" w:rsidRPr="001D63DA" w:rsidRDefault="000537C6" w:rsidP="00DE0F74">
      <w:pPr>
        <w:pStyle w:val="ECHRPara"/>
        <w:ind w:firstLine="431"/>
        <w:rPr>
          <w:lang w:val="fr-FR"/>
        </w:rPr>
      </w:pPr>
      <w:r>
        <w:rPr>
          <w:lang w:val="fr-FR"/>
        </w:rPr>
        <w:t>15.  </w:t>
      </w:r>
      <w:r w:rsidRPr="001D63DA">
        <w:rPr>
          <w:lang w:val="fr-FR"/>
        </w:rPr>
        <w:t>Par un arrêt du 3 juin 2011, l</w:t>
      </w:r>
      <w:r w:rsidR="009429B7">
        <w:rPr>
          <w:lang w:val="fr-FR"/>
        </w:rPr>
        <w:t>’</w:t>
      </w:r>
      <w:r w:rsidRPr="001D63DA">
        <w:rPr>
          <w:lang w:val="fr-FR"/>
        </w:rPr>
        <w:t>assemblée plénière de la Cour de cassation rejeta les pourvois des requérants et de la CAF. Elle estima que les articles L. 512-2 et D. 512-2 du code de la sécurité sociale, subordonnant le versement des prestations familiales à la production d</w:t>
      </w:r>
      <w:r w:rsidR="009429B7">
        <w:rPr>
          <w:lang w:val="fr-FR"/>
        </w:rPr>
        <w:t>’</w:t>
      </w:r>
      <w:r w:rsidRPr="001D63DA">
        <w:rPr>
          <w:lang w:val="fr-FR"/>
        </w:rPr>
        <w:t>un document attestant d</w:t>
      </w:r>
      <w:r w:rsidR="009429B7">
        <w:rPr>
          <w:lang w:val="fr-FR"/>
        </w:rPr>
        <w:t>’</w:t>
      </w:r>
      <w:r w:rsidRPr="001D63DA">
        <w:rPr>
          <w:lang w:val="fr-FR"/>
        </w:rPr>
        <w:t>une entrée régulière des enfants étrangers en France et, en particulier pour les enfants entrés au titre du regroupement familial, du certificat médical délivré par l</w:t>
      </w:r>
      <w:r w:rsidR="009429B7">
        <w:rPr>
          <w:lang w:val="fr-FR"/>
        </w:rPr>
        <w:t>’</w:t>
      </w:r>
      <w:r w:rsidRPr="001D63DA">
        <w:rPr>
          <w:lang w:val="fr-FR"/>
        </w:rPr>
        <w:t>OFII, revêtaient un caractère objectif justifié par la nécessité dans un état démocratique d</w:t>
      </w:r>
      <w:r w:rsidR="009429B7">
        <w:rPr>
          <w:lang w:val="fr-FR"/>
        </w:rPr>
        <w:t>’</w:t>
      </w:r>
      <w:r w:rsidRPr="001D63DA">
        <w:rPr>
          <w:lang w:val="fr-FR"/>
        </w:rPr>
        <w:t>exercer un contrôle des conditions d</w:t>
      </w:r>
      <w:r w:rsidR="009429B7">
        <w:rPr>
          <w:lang w:val="fr-FR"/>
        </w:rPr>
        <w:t>’</w:t>
      </w:r>
      <w:r w:rsidRPr="001D63DA">
        <w:rPr>
          <w:lang w:val="fr-FR"/>
        </w:rPr>
        <w:t>accueil des enfants et ne portaient pas une atteinte disproportionnée au droit à la vie familiale garanti par les article 8 et 14 de la Convention ni ne méconnaissaient les dispositions de l</w:t>
      </w:r>
      <w:r w:rsidR="009429B7">
        <w:rPr>
          <w:lang w:val="fr-FR"/>
        </w:rPr>
        <w:t>’</w:t>
      </w:r>
      <w:r w:rsidRPr="001D63DA">
        <w:rPr>
          <w:lang w:val="fr-FR"/>
        </w:rPr>
        <w:t>article 3-1 de la Convention internationale des droits de l</w:t>
      </w:r>
      <w:r w:rsidR="009429B7">
        <w:rPr>
          <w:lang w:val="fr-FR"/>
        </w:rPr>
        <w:t>’</w:t>
      </w:r>
      <w:r w:rsidRPr="001D63DA">
        <w:rPr>
          <w:lang w:val="fr-FR"/>
        </w:rPr>
        <w:t>enfant.</w:t>
      </w:r>
    </w:p>
    <w:p w:rsidR="000537C6" w:rsidRPr="001D63DA" w:rsidRDefault="000537C6" w:rsidP="00DE0F74">
      <w:pPr>
        <w:pStyle w:val="ECHRHeading3"/>
        <w:rPr>
          <w:lang w:val="fr-FR"/>
        </w:rPr>
      </w:pPr>
      <w:r w:rsidRPr="001D63DA">
        <w:rPr>
          <w:lang w:val="fr-FR"/>
        </w:rPr>
        <w:t>2. Requête n</w:t>
      </w:r>
      <w:r w:rsidRPr="000537C6">
        <w:rPr>
          <w:vertAlign w:val="superscript"/>
          <w:lang w:val="fr-FR"/>
        </w:rPr>
        <w:t>o</w:t>
      </w:r>
      <w:r w:rsidRPr="001D63DA">
        <w:rPr>
          <w:lang w:val="fr-FR"/>
        </w:rPr>
        <w:t xml:space="preserve"> 51354/13</w:t>
      </w:r>
    </w:p>
    <w:p w:rsidR="000537C6" w:rsidRPr="001D63DA" w:rsidRDefault="000537C6" w:rsidP="00DE0F74">
      <w:pPr>
        <w:pStyle w:val="ECHRPara"/>
        <w:ind w:firstLine="431"/>
        <w:rPr>
          <w:lang w:val="fr-FR"/>
        </w:rPr>
      </w:pPr>
      <w:r>
        <w:rPr>
          <w:lang w:val="fr-FR"/>
        </w:rPr>
        <w:t>16.  </w:t>
      </w:r>
      <w:r w:rsidRPr="001D63DA">
        <w:rPr>
          <w:lang w:val="fr-FR"/>
        </w:rPr>
        <w:t xml:space="preserve">La requérante réside régulièrement en France depuis janvier 2005. Sa fille T.D. la rejoignit le 28 septembre 2008. La requérante sollicita le </w:t>
      </w:r>
      <w:r w:rsidRPr="001D63DA">
        <w:rPr>
          <w:lang w:val="fr-FR"/>
        </w:rPr>
        <w:lastRenderedPageBreak/>
        <w:t>versement de prestations familiales, qui lui furent refusées par la CAF de la Haute-Garonne le 30 novembre 2009 et par la commission des recours amiables le 3 mars 2010.</w:t>
      </w:r>
    </w:p>
    <w:p w:rsidR="000537C6" w:rsidRPr="001D63DA" w:rsidRDefault="000537C6" w:rsidP="00DE0F74">
      <w:pPr>
        <w:pStyle w:val="ECHRPara"/>
        <w:ind w:firstLine="431"/>
        <w:rPr>
          <w:lang w:val="fr-FR"/>
        </w:rPr>
      </w:pPr>
      <w:r>
        <w:rPr>
          <w:lang w:val="fr-FR"/>
        </w:rPr>
        <w:t>17.  </w:t>
      </w:r>
      <w:r w:rsidRPr="001D63DA">
        <w:rPr>
          <w:lang w:val="fr-FR"/>
        </w:rPr>
        <w:t>Par une décision du 20 juillet 2011, le tribunal des affaires de sécurité sociale de la Haute-Garonne accorda à la requérante le bénéfice des prestations familiales pour sa fille à compter du mois d</w:t>
      </w:r>
      <w:r w:rsidR="009429B7">
        <w:rPr>
          <w:lang w:val="fr-FR"/>
        </w:rPr>
        <w:t>’</w:t>
      </w:r>
      <w:r w:rsidRPr="001D63DA">
        <w:rPr>
          <w:lang w:val="fr-FR"/>
        </w:rPr>
        <w:t>octobre 2008, sous réserve qu</w:t>
      </w:r>
      <w:r w:rsidR="009429B7">
        <w:rPr>
          <w:lang w:val="fr-FR"/>
        </w:rPr>
        <w:t>’</w:t>
      </w:r>
      <w:r w:rsidRPr="001D63DA">
        <w:rPr>
          <w:lang w:val="fr-FR"/>
        </w:rPr>
        <w:t>elle remplisse les conditions de droit de tout allocataire, abstraction faite des documents exigés par l</w:t>
      </w:r>
      <w:r w:rsidR="009429B7">
        <w:rPr>
          <w:lang w:val="fr-FR"/>
        </w:rPr>
        <w:t>’</w:t>
      </w:r>
      <w:r w:rsidRPr="001D63DA">
        <w:rPr>
          <w:lang w:val="fr-FR"/>
        </w:rPr>
        <w:t>article D. 512-2 du code de la sécurité sociale, avec exécution provisoire et intérêts légaux. Les juges estimèrent que cet article devait être écarté dès lors qu</w:t>
      </w:r>
      <w:r w:rsidR="009429B7">
        <w:rPr>
          <w:lang w:val="fr-FR"/>
        </w:rPr>
        <w:t>’</w:t>
      </w:r>
      <w:r w:rsidRPr="001D63DA">
        <w:rPr>
          <w:lang w:val="fr-FR"/>
        </w:rPr>
        <w:t>il introduisait une discrimination entre les enfants étrangers, non pas pour une considération raisonnable d</w:t>
      </w:r>
      <w:r w:rsidR="009429B7">
        <w:rPr>
          <w:lang w:val="fr-FR"/>
        </w:rPr>
        <w:t>’</w:t>
      </w:r>
      <w:r w:rsidRPr="001D63DA">
        <w:rPr>
          <w:lang w:val="fr-FR"/>
        </w:rPr>
        <w:t>intérêt public, mais en raison de conditions administratives formelles, étrangères à l</w:t>
      </w:r>
      <w:r w:rsidR="009429B7">
        <w:rPr>
          <w:lang w:val="fr-FR"/>
        </w:rPr>
        <w:t>’</w:t>
      </w:r>
      <w:r w:rsidRPr="001D63DA">
        <w:rPr>
          <w:lang w:val="fr-FR"/>
        </w:rPr>
        <w:t>intérêt supérieur de l</w:t>
      </w:r>
      <w:r w:rsidR="009429B7">
        <w:rPr>
          <w:lang w:val="fr-FR"/>
        </w:rPr>
        <w:t>’</w:t>
      </w:r>
      <w:r w:rsidRPr="001D63DA">
        <w:rPr>
          <w:lang w:val="fr-FR"/>
        </w:rPr>
        <w:t>enfant. Ils écartèrent l</w:t>
      </w:r>
      <w:r w:rsidR="009429B7">
        <w:rPr>
          <w:lang w:val="fr-FR"/>
        </w:rPr>
        <w:t>’</w:t>
      </w:r>
      <w:r w:rsidRPr="001D63DA">
        <w:rPr>
          <w:lang w:val="fr-FR"/>
        </w:rPr>
        <w:t>argument de la CAF selon lequel cette discrimination était fondée sur un souci d</w:t>
      </w:r>
      <w:r w:rsidR="009429B7">
        <w:rPr>
          <w:lang w:val="fr-FR"/>
        </w:rPr>
        <w:t>’</w:t>
      </w:r>
      <w:r w:rsidRPr="001D63DA">
        <w:rPr>
          <w:lang w:val="fr-FR"/>
        </w:rPr>
        <w:t>intérêt public et de santé publique, observant que si tel était le cas, la fourniture du certificat médical de l</w:t>
      </w:r>
      <w:r w:rsidR="009429B7">
        <w:rPr>
          <w:lang w:val="fr-FR"/>
        </w:rPr>
        <w:t>’</w:t>
      </w:r>
      <w:r w:rsidRPr="001D63DA">
        <w:rPr>
          <w:lang w:val="fr-FR"/>
        </w:rPr>
        <w:t>ANAEM devrait être exigée pour tout enfant étranger. La CAF interjeta appel.</w:t>
      </w:r>
    </w:p>
    <w:p w:rsidR="000537C6" w:rsidRDefault="000537C6" w:rsidP="00DE0F74">
      <w:pPr>
        <w:pStyle w:val="ECHRPara"/>
        <w:ind w:firstLine="431"/>
        <w:rPr>
          <w:lang w:val="fr-FR"/>
        </w:rPr>
      </w:pPr>
      <w:r>
        <w:rPr>
          <w:lang w:val="fr-FR"/>
        </w:rPr>
        <w:t>18.  </w:t>
      </w:r>
      <w:r w:rsidRPr="001D63DA">
        <w:rPr>
          <w:lang w:val="fr-FR"/>
        </w:rPr>
        <w:t>Par</w:t>
      </w:r>
      <w:r>
        <w:rPr>
          <w:lang w:val="fr-FR"/>
        </w:rPr>
        <w:t xml:space="preserve"> un</w:t>
      </w:r>
      <w:r w:rsidRPr="001D63DA">
        <w:rPr>
          <w:lang w:val="fr-FR"/>
        </w:rPr>
        <w:t xml:space="preserve"> arrêt du 7 février 2013, la cour d</w:t>
      </w:r>
      <w:r w:rsidR="009429B7">
        <w:rPr>
          <w:lang w:val="fr-FR"/>
        </w:rPr>
        <w:t>’</w:t>
      </w:r>
      <w:r w:rsidRPr="001D63DA">
        <w:rPr>
          <w:lang w:val="fr-FR"/>
        </w:rPr>
        <w:t>appel de Toulouse infirma le jugement du 20 juillet 2011 et dit que la requérante ne pouvait prétendre au bénéfice des prestations familiales au titre de sa fille. Elle estima que les articles L. 512-2 et D. 512-2 du code de la sécurité sociale revêtaient un caractère objectif justifié par la nécessité dans un état démocratique d</w:t>
      </w:r>
      <w:r w:rsidR="009429B7">
        <w:rPr>
          <w:lang w:val="fr-FR"/>
        </w:rPr>
        <w:t>’</w:t>
      </w:r>
      <w:r w:rsidRPr="001D63DA">
        <w:rPr>
          <w:lang w:val="fr-FR"/>
        </w:rPr>
        <w:t>exercer un contrôle des conditions d</w:t>
      </w:r>
      <w:r w:rsidR="009429B7">
        <w:rPr>
          <w:lang w:val="fr-FR"/>
        </w:rPr>
        <w:t>’</w:t>
      </w:r>
      <w:r w:rsidRPr="001D63DA">
        <w:rPr>
          <w:lang w:val="fr-FR"/>
        </w:rPr>
        <w:t>accueil des enfants et ne portaient pas une atteinte disproportionnée au droit à la vie familiale garanti par les articles 8 et 14 de la Convention ni ne méconnaissaient les dispositions de l</w:t>
      </w:r>
      <w:r w:rsidR="009429B7">
        <w:rPr>
          <w:lang w:val="fr-FR"/>
        </w:rPr>
        <w:t>’</w:t>
      </w:r>
      <w:r w:rsidRPr="001D63DA">
        <w:rPr>
          <w:lang w:val="fr-FR"/>
        </w:rPr>
        <w:t>article 3-1 de la Convention internationale des droits de l</w:t>
      </w:r>
      <w:r w:rsidR="009429B7">
        <w:rPr>
          <w:lang w:val="fr-FR"/>
        </w:rPr>
        <w:t>’</w:t>
      </w:r>
      <w:r w:rsidRPr="001D63DA">
        <w:rPr>
          <w:lang w:val="fr-FR"/>
        </w:rPr>
        <w:t>enfant. Elle ajouta qu</w:t>
      </w:r>
      <w:r w:rsidR="009429B7">
        <w:rPr>
          <w:lang w:val="fr-FR"/>
        </w:rPr>
        <w:t>’</w:t>
      </w:r>
      <w:r w:rsidRPr="001D63DA">
        <w:rPr>
          <w:lang w:val="fr-FR"/>
        </w:rPr>
        <w:t>ils ne portaient pas non plus une atteinte disproportionnée au principe d</w:t>
      </w:r>
      <w:r w:rsidR="009429B7">
        <w:rPr>
          <w:lang w:val="fr-FR"/>
        </w:rPr>
        <w:t>’</w:t>
      </w:r>
      <w:r w:rsidRPr="001D63DA">
        <w:rPr>
          <w:lang w:val="fr-FR"/>
        </w:rPr>
        <w:t>égalité de traitement des résidents de longue durée avec les citoyens de tout État membre de l</w:t>
      </w:r>
      <w:r w:rsidR="009429B7">
        <w:rPr>
          <w:lang w:val="fr-FR"/>
        </w:rPr>
        <w:t>’</w:t>
      </w:r>
      <w:r w:rsidRPr="001D63DA">
        <w:rPr>
          <w:lang w:val="fr-FR"/>
        </w:rPr>
        <w:t>Union européenne.</w:t>
      </w:r>
    </w:p>
    <w:p w:rsidR="000537C6" w:rsidRDefault="000537C6" w:rsidP="00DE0F74">
      <w:pPr>
        <w:pStyle w:val="ECHRPara"/>
        <w:ind w:firstLine="431"/>
        <w:rPr>
          <w:lang w:val="fr-FR"/>
        </w:rPr>
      </w:pPr>
      <w:r>
        <w:rPr>
          <w:lang w:val="fr-FR"/>
        </w:rPr>
        <w:t>19.  Le 25 juin 2013, l</w:t>
      </w:r>
      <w:r w:rsidR="009429B7">
        <w:rPr>
          <w:lang w:val="fr-FR"/>
        </w:rPr>
        <w:t>’</w:t>
      </w:r>
      <w:r>
        <w:rPr>
          <w:lang w:val="fr-FR"/>
        </w:rPr>
        <w:t xml:space="preserve">époux de la requérante sollicita le regroupement familial sur place au bénéfice de sa fille </w:t>
      </w:r>
      <w:r w:rsidRPr="001D63DA">
        <w:rPr>
          <w:lang w:val="fr-FR"/>
        </w:rPr>
        <w:t>T.D.</w:t>
      </w:r>
      <w:r w:rsidR="006742DB">
        <w:rPr>
          <w:lang w:val="fr-FR"/>
        </w:rPr>
        <w:t>, auprès du préfet de la Haute</w:t>
      </w:r>
      <w:r w:rsidR="006742DB">
        <w:rPr>
          <w:lang w:val="fr-FR"/>
        </w:rPr>
        <w:noBreakHyphen/>
      </w:r>
      <w:r>
        <w:rPr>
          <w:lang w:val="fr-FR"/>
        </w:rPr>
        <w:t>Garonne. Par courrier en date du 9 août 2013, ce dernier rappela qu</w:t>
      </w:r>
      <w:r w:rsidR="009429B7">
        <w:rPr>
          <w:lang w:val="fr-FR"/>
        </w:rPr>
        <w:t>’</w:t>
      </w:r>
      <w:r>
        <w:rPr>
          <w:lang w:val="fr-FR"/>
        </w:rPr>
        <w:t>en vertu de l</w:t>
      </w:r>
      <w:r w:rsidR="009429B7">
        <w:rPr>
          <w:lang w:val="fr-FR"/>
        </w:rPr>
        <w:t>’</w:t>
      </w:r>
      <w:r>
        <w:rPr>
          <w:lang w:val="fr-FR"/>
        </w:rPr>
        <w:t>article L. 411-6 3</w:t>
      </w:r>
      <w:r w:rsidRPr="000537C6">
        <w:rPr>
          <w:vertAlign w:val="superscript"/>
          <w:lang w:val="fr-FR"/>
        </w:rPr>
        <w:t>o</w:t>
      </w:r>
      <w:r>
        <w:rPr>
          <w:lang w:val="fr-FR"/>
        </w:rPr>
        <w:t xml:space="preserve"> du code de l</w:t>
      </w:r>
      <w:r w:rsidR="009429B7">
        <w:rPr>
          <w:lang w:val="fr-FR"/>
        </w:rPr>
        <w:t>’</w:t>
      </w:r>
      <w:r>
        <w:rPr>
          <w:lang w:val="fr-FR"/>
        </w:rPr>
        <w:t xml:space="preserve">entrée et du séjour des </w:t>
      </w:r>
      <w:r w:rsidR="006742DB">
        <w:rPr>
          <w:lang w:val="fr-FR"/>
        </w:rPr>
        <w:t>étrangers et du droit d</w:t>
      </w:r>
      <w:r w:rsidR="009429B7">
        <w:rPr>
          <w:lang w:val="fr-FR"/>
        </w:rPr>
        <w:t>’</w:t>
      </w:r>
      <w:r w:rsidR="006742DB">
        <w:rPr>
          <w:lang w:val="fr-FR"/>
        </w:rPr>
        <w:t>asile (</w:t>
      </w:r>
      <w:r>
        <w:rPr>
          <w:lang w:val="fr-FR"/>
        </w:rPr>
        <w:t>CESEDA), le principe de base du regroupement familial posait comme condition préalable la résidence hors de France du bénéficiaire potentiel de la procédure, l</w:t>
      </w:r>
      <w:r w:rsidR="009429B7">
        <w:rPr>
          <w:lang w:val="fr-FR"/>
        </w:rPr>
        <w:t>’</w:t>
      </w:r>
      <w:r>
        <w:rPr>
          <w:lang w:val="fr-FR"/>
        </w:rPr>
        <w:t>admission sur place ne pouvant être envisagée que dans une situation exceptionnelle constituant un cas d</w:t>
      </w:r>
      <w:r w:rsidR="009429B7">
        <w:rPr>
          <w:lang w:val="fr-FR"/>
        </w:rPr>
        <w:t>’</w:t>
      </w:r>
      <w:r>
        <w:rPr>
          <w:lang w:val="fr-FR"/>
        </w:rPr>
        <w:t>espèce. Il observa également que l</w:t>
      </w:r>
      <w:r w:rsidR="009429B7">
        <w:rPr>
          <w:lang w:val="fr-FR"/>
        </w:rPr>
        <w:t>’</w:t>
      </w:r>
      <w:r>
        <w:rPr>
          <w:lang w:val="fr-FR"/>
        </w:rPr>
        <w:t>enfant bénéficiait d</w:t>
      </w:r>
      <w:r w:rsidR="009429B7">
        <w:rPr>
          <w:lang w:val="fr-FR"/>
        </w:rPr>
        <w:t>’</w:t>
      </w:r>
      <w:r>
        <w:rPr>
          <w:lang w:val="fr-FR"/>
        </w:rPr>
        <w:t>un DCEM, lui permettant de résider sur le territoire français et de voyager. Il invita toutefois l</w:t>
      </w:r>
      <w:r w:rsidR="009429B7">
        <w:rPr>
          <w:lang w:val="fr-FR"/>
        </w:rPr>
        <w:t>’</w:t>
      </w:r>
      <w:r>
        <w:rPr>
          <w:lang w:val="fr-FR"/>
        </w:rPr>
        <w:t>intéressé à se rapprocher des services de l</w:t>
      </w:r>
      <w:r w:rsidR="009429B7">
        <w:rPr>
          <w:lang w:val="fr-FR"/>
        </w:rPr>
        <w:t>’</w:t>
      </w:r>
      <w:r>
        <w:rPr>
          <w:lang w:val="fr-FR"/>
        </w:rPr>
        <w:t>OFII s</w:t>
      </w:r>
      <w:r w:rsidR="009429B7">
        <w:rPr>
          <w:lang w:val="fr-FR"/>
        </w:rPr>
        <w:t>’</w:t>
      </w:r>
      <w:r>
        <w:rPr>
          <w:lang w:val="fr-FR"/>
        </w:rPr>
        <w:t>il souhaitait appliquer la procédure d</w:t>
      </w:r>
      <w:r w:rsidR="009429B7">
        <w:rPr>
          <w:lang w:val="fr-FR"/>
        </w:rPr>
        <w:t>’</w:t>
      </w:r>
      <w:r>
        <w:rPr>
          <w:lang w:val="fr-FR"/>
        </w:rPr>
        <w:t>introduction en France par regroupement familial.</w:t>
      </w:r>
    </w:p>
    <w:p w:rsidR="000537C6" w:rsidRPr="001D63DA" w:rsidRDefault="000537C6" w:rsidP="00DE0F74">
      <w:pPr>
        <w:pStyle w:val="ECHRPara"/>
        <w:ind w:firstLine="431"/>
        <w:rPr>
          <w:lang w:val="fr-FR"/>
        </w:rPr>
      </w:pPr>
      <w:r>
        <w:rPr>
          <w:lang w:val="fr-FR"/>
        </w:rPr>
        <w:t>20.  La requérante soutient qu</w:t>
      </w:r>
      <w:r w:rsidR="009429B7">
        <w:rPr>
          <w:lang w:val="fr-FR"/>
        </w:rPr>
        <w:t>’</w:t>
      </w:r>
      <w:r>
        <w:rPr>
          <w:lang w:val="fr-FR"/>
        </w:rPr>
        <w:t xml:space="preserve">à la suite </w:t>
      </w:r>
      <w:r w:rsidR="00A01ABF">
        <w:rPr>
          <w:lang w:val="fr-FR"/>
        </w:rPr>
        <w:t>de ce courrier, elle s</w:t>
      </w:r>
      <w:r w:rsidR="009429B7">
        <w:rPr>
          <w:lang w:val="fr-FR"/>
        </w:rPr>
        <w:t>’</w:t>
      </w:r>
      <w:r w:rsidR="00A01ABF">
        <w:rPr>
          <w:lang w:val="fr-FR"/>
        </w:rPr>
        <w:t>est elle</w:t>
      </w:r>
      <w:r w:rsidR="00A01ABF">
        <w:rPr>
          <w:lang w:val="fr-FR"/>
        </w:rPr>
        <w:noBreakHyphen/>
      </w:r>
      <w:r>
        <w:rPr>
          <w:lang w:val="fr-FR"/>
        </w:rPr>
        <w:t>même rendue à l</w:t>
      </w:r>
      <w:r w:rsidR="009429B7">
        <w:rPr>
          <w:lang w:val="fr-FR"/>
        </w:rPr>
        <w:t>’</w:t>
      </w:r>
      <w:r>
        <w:rPr>
          <w:lang w:val="fr-FR"/>
        </w:rPr>
        <w:t>OFII, au mois de septembre 2013, pour déposer un dossier de regroupement familial pour T.</w:t>
      </w:r>
      <w:r w:rsidRPr="001D63DA">
        <w:rPr>
          <w:lang w:val="fr-FR"/>
        </w:rPr>
        <w:t>D.</w:t>
      </w:r>
      <w:r>
        <w:rPr>
          <w:lang w:val="fr-FR"/>
        </w:rPr>
        <w:t xml:space="preserve"> Elle affirme avoir été contactée </w:t>
      </w:r>
      <w:r>
        <w:rPr>
          <w:lang w:val="fr-FR"/>
        </w:rPr>
        <w:lastRenderedPageBreak/>
        <w:t>quelques temps plus tard par un membre de cette institution lui indiquant que son dossier ne serait pas traité, l</w:t>
      </w:r>
      <w:r w:rsidR="009429B7">
        <w:rPr>
          <w:lang w:val="fr-FR"/>
        </w:rPr>
        <w:t>’</w:t>
      </w:r>
      <w:r>
        <w:rPr>
          <w:lang w:val="fr-FR"/>
        </w:rPr>
        <w:t>enfant étant entrée irrégulièrement en France et disposant d</w:t>
      </w:r>
      <w:r w:rsidR="009429B7">
        <w:rPr>
          <w:lang w:val="fr-FR"/>
        </w:rPr>
        <w:t>’</w:t>
      </w:r>
      <w:r>
        <w:rPr>
          <w:lang w:val="fr-FR"/>
        </w:rPr>
        <w:t>un DCEM. Elle déclare enfin que l</w:t>
      </w:r>
      <w:r w:rsidR="009429B7">
        <w:rPr>
          <w:lang w:val="fr-FR"/>
        </w:rPr>
        <w:t>’</w:t>
      </w:r>
      <w:r>
        <w:rPr>
          <w:lang w:val="fr-FR"/>
        </w:rPr>
        <w:t>OFII aurait refusé de lui fournir une décision écrite.</w:t>
      </w:r>
    </w:p>
    <w:p w:rsidR="000537C6" w:rsidRPr="001D63DA" w:rsidRDefault="000537C6" w:rsidP="00C10222">
      <w:pPr>
        <w:pStyle w:val="ECHRHeading2"/>
        <w:rPr>
          <w:lang w:val="fr-FR"/>
        </w:rPr>
      </w:pPr>
      <w:bookmarkStart w:id="1" w:name="ListEnd"/>
      <w:bookmarkEnd w:id="1"/>
      <w:r w:rsidRPr="001D63DA">
        <w:rPr>
          <w:lang w:val="fr-FR"/>
        </w:rPr>
        <w:t>B.  Le droit et la pratique internes pertinents</w:t>
      </w:r>
    </w:p>
    <w:p w:rsidR="000537C6" w:rsidRPr="001D63DA" w:rsidRDefault="000537C6" w:rsidP="00DE0F74">
      <w:pPr>
        <w:pStyle w:val="ECHRHeading3"/>
        <w:rPr>
          <w:lang w:val="fr-FR"/>
        </w:rPr>
      </w:pPr>
      <w:r w:rsidRPr="001D63DA">
        <w:rPr>
          <w:lang w:val="fr-FR"/>
        </w:rPr>
        <w:t>1. Le code de la sécurité sociale</w:t>
      </w:r>
    </w:p>
    <w:p w:rsidR="000537C6" w:rsidRPr="001D63DA" w:rsidRDefault="000537C6" w:rsidP="00DE0F74">
      <w:pPr>
        <w:pStyle w:val="ECHRPara"/>
        <w:rPr>
          <w:lang w:val="fr-FR"/>
        </w:rPr>
      </w:pPr>
      <w:r>
        <w:rPr>
          <w:lang w:val="fr-FR"/>
        </w:rPr>
        <w:t>21.  </w:t>
      </w:r>
      <w:r w:rsidRPr="001D63DA">
        <w:rPr>
          <w:lang w:val="fr-FR"/>
        </w:rPr>
        <w:t>Les dispositions pertinentes du code de la sécurité sociale, tel</w:t>
      </w:r>
      <w:r>
        <w:rPr>
          <w:lang w:val="fr-FR"/>
        </w:rPr>
        <w:t>le</w:t>
      </w:r>
      <w:r w:rsidRPr="001D63DA">
        <w:rPr>
          <w:lang w:val="fr-FR"/>
        </w:rPr>
        <w:t>s qu</w:t>
      </w:r>
      <w:r w:rsidR="009429B7">
        <w:rPr>
          <w:lang w:val="fr-FR"/>
        </w:rPr>
        <w:t>’</w:t>
      </w:r>
      <w:r w:rsidRPr="001D63DA">
        <w:rPr>
          <w:lang w:val="fr-FR"/>
        </w:rPr>
        <w:t>elles résultent de la loi du 19 décembre 2005 et du décret du 27</w:t>
      </w:r>
      <w:r>
        <w:rPr>
          <w:lang w:val="fr-FR"/>
        </w:rPr>
        <w:t> </w:t>
      </w:r>
      <w:r w:rsidRPr="001D63DA">
        <w:rPr>
          <w:lang w:val="fr-FR"/>
        </w:rPr>
        <w:t>février</w:t>
      </w:r>
      <w:r>
        <w:rPr>
          <w:lang w:val="fr-FR"/>
        </w:rPr>
        <w:t> </w:t>
      </w:r>
      <w:r w:rsidRPr="001D63DA">
        <w:rPr>
          <w:lang w:val="fr-FR"/>
        </w:rPr>
        <w:t>2006, sont les suivantes :</w:t>
      </w:r>
    </w:p>
    <w:p w:rsidR="000537C6" w:rsidRPr="001D63DA" w:rsidRDefault="000537C6" w:rsidP="00DE0F74">
      <w:pPr>
        <w:pStyle w:val="ECHRTitleCentre3"/>
        <w:rPr>
          <w:lang w:val="fr-FR"/>
        </w:rPr>
      </w:pPr>
      <w:r w:rsidRPr="001D63DA">
        <w:rPr>
          <w:lang w:val="fr-FR"/>
        </w:rPr>
        <w:t>Article L. 512-2</w:t>
      </w:r>
    </w:p>
    <w:p w:rsidR="000537C6" w:rsidRDefault="000537C6" w:rsidP="00DE0F74">
      <w:pPr>
        <w:pStyle w:val="ECHRParaQuote"/>
        <w:rPr>
          <w:lang w:val="fr-FR"/>
        </w:rPr>
      </w:pPr>
      <w:r w:rsidRPr="001D63DA">
        <w:rPr>
          <w:lang w:val="fr-FR"/>
        </w:rPr>
        <w:t>« Bénéficient de plein droit des prestations familiales dans les conditions fixées par le présent livre les ressortissants des États membres de la Communauté européenne, des autres États parties à l</w:t>
      </w:r>
      <w:r w:rsidR="009429B7">
        <w:rPr>
          <w:lang w:val="fr-FR"/>
        </w:rPr>
        <w:t>’</w:t>
      </w:r>
      <w:r w:rsidRPr="001D63DA">
        <w:rPr>
          <w:lang w:val="fr-FR"/>
        </w:rPr>
        <w:t>accord sur l</w:t>
      </w:r>
      <w:r w:rsidR="009429B7">
        <w:rPr>
          <w:lang w:val="fr-FR"/>
        </w:rPr>
        <w:t>’</w:t>
      </w:r>
      <w:r w:rsidRPr="001D63DA">
        <w:rPr>
          <w:lang w:val="fr-FR"/>
        </w:rPr>
        <w:t>Espace économique européen et de la Confédération suisse qui remplissent les conditions exigées pour résider régulièrement en France, la résidence étant appréciée dans les conditions fixées pour l</w:t>
      </w:r>
      <w:r w:rsidR="009429B7">
        <w:rPr>
          <w:lang w:val="fr-FR"/>
        </w:rPr>
        <w:t>’</w:t>
      </w:r>
      <w:r w:rsidRPr="001D63DA">
        <w:rPr>
          <w:lang w:val="fr-FR"/>
        </w:rPr>
        <w:t>application de l</w:t>
      </w:r>
      <w:r w:rsidR="009429B7">
        <w:rPr>
          <w:lang w:val="fr-FR"/>
        </w:rPr>
        <w:t>’</w:t>
      </w:r>
      <w:r w:rsidRPr="001D63DA">
        <w:rPr>
          <w:lang w:val="fr-FR"/>
        </w:rPr>
        <w:t xml:space="preserve">article </w:t>
      </w:r>
      <w:r>
        <w:rPr>
          <w:lang w:val="fr-FR"/>
        </w:rPr>
        <w:t>L. 512-1.</w:t>
      </w:r>
    </w:p>
    <w:p w:rsidR="000537C6" w:rsidRDefault="000537C6" w:rsidP="00DE0F74">
      <w:pPr>
        <w:pStyle w:val="ECHRParaQuote"/>
        <w:rPr>
          <w:lang w:val="fr-FR"/>
        </w:rPr>
      </w:pPr>
      <w:r w:rsidRPr="001D63DA">
        <w:rPr>
          <w:lang w:val="fr-FR"/>
        </w:rPr>
        <w:t>Bénéficient également de plein droit des prestations familiales dans les conditions fixées par le présent livre les étrangers non ressortissants d</w:t>
      </w:r>
      <w:r w:rsidR="009429B7">
        <w:rPr>
          <w:lang w:val="fr-FR"/>
        </w:rPr>
        <w:t>’</w:t>
      </w:r>
      <w:r w:rsidRPr="001D63DA">
        <w:rPr>
          <w:lang w:val="fr-FR"/>
        </w:rPr>
        <w:t>un État membre de la Communauté européenne, d</w:t>
      </w:r>
      <w:r w:rsidR="009429B7">
        <w:rPr>
          <w:lang w:val="fr-FR"/>
        </w:rPr>
        <w:t>’</w:t>
      </w:r>
      <w:r w:rsidRPr="001D63DA">
        <w:rPr>
          <w:lang w:val="fr-FR"/>
        </w:rPr>
        <w:t>un autre État partie à l</w:t>
      </w:r>
      <w:r w:rsidR="009429B7">
        <w:rPr>
          <w:lang w:val="fr-FR"/>
        </w:rPr>
        <w:t>’</w:t>
      </w:r>
      <w:r w:rsidRPr="001D63DA">
        <w:rPr>
          <w:lang w:val="fr-FR"/>
        </w:rPr>
        <w:t>accord sur l</w:t>
      </w:r>
      <w:r w:rsidR="009429B7">
        <w:rPr>
          <w:lang w:val="fr-FR"/>
        </w:rPr>
        <w:t>’</w:t>
      </w:r>
      <w:r w:rsidRPr="001D63DA">
        <w:rPr>
          <w:lang w:val="fr-FR"/>
        </w:rPr>
        <w:t>Espace économique européen ou de la Confédération suisse, titulaires d</w:t>
      </w:r>
      <w:r w:rsidR="009429B7">
        <w:rPr>
          <w:lang w:val="fr-FR"/>
        </w:rPr>
        <w:t>’</w:t>
      </w:r>
      <w:r w:rsidRPr="001D63DA">
        <w:rPr>
          <w:lang w:val="fr-FR"/>
        </w:rPr>
        <w:t>un titre exigé d</w:t>
      </w:r>
      <w:r w:rsidR="009429B7">
        <w:rPr>
          <w:lang w:val="fr-FR"/>
        </w:rPr>
        <w:t>’</w:t>
      </w:r>
      <w:r w:rsidRPr="001D63DA">
        <w:rPr>
          <w:lang w:val="fr-FR"/>
        </w:rPr>
        <w:t>eux en vertu soit de dispositions législatives ou réglementaires, soit de traités ou accords internationaux pour résider régulièrement en France.</w:t>
      </w:r>
    </w:p>
    <w:p w:rsidR="000537C6" w:rsidRPr="001D63DA" w:rsidRDefault="000537C6" w:rsidP="00DE0F74">
      <w:pPr>
        <w:pStyle w:val="ECHRParaQuote"/>
        <w:rPr>
          <w:lang w:val="fr-FR"/>
        </w:rPr>
      </w:pPr>
      <w:r w:rsidRPr="001D63DA">
        <w:rPr>
          <w:lang w:val="fr-FR"/>
        </w:rPr>
        <w:t>Ces étrangers bénéficient des prestations familiales sous réserve qu</w:t>
      </w:r>
      <w:r w:rsidR="009429B7">
        <w:rPr>
          <w:lang w:val="fr-FR"/>
        </w:rPr>
        <w:t>’</w:t>
      </w:r>
      <w:r w:rsidRPr="001D63DA">
        <w:rPr>
          <w:lang w:val="fr-FR"/>
        </w:rPr>
        <w:t>il soit justifié, pour les enfants qui sont à leur charge et au titre desquels les prestations familiales sont demandées, de l</w:t>
      </w:r>
      <w:r w:rsidR="009429B7">
        <w:rPr>
          <w:lang w:val="fr-FR"/>
        </w:rPr>
        <w:t>’</w:t>
      </w:r>
      <w:r w:rsidRPr="001D63DA">
        <w:rPr>
          <w:lang w:val="fr-FR"/>
        </w:rPr>
        <w:t>une des situations suivantes :</w:t>
      </w:r>
    </w:p>
    <w:p w:rsidR="000537C6" w:rsidRPr="001D63DA" w:rsidRDefault="000537C6" w:rsidP="00DE0F74">
      <w:pPr>
        <w:pStyle w:val="ECHRParaQuote"/>
        <w:rPr>
          <w:lang w:val="fr-FR"/>
        </w:rPr>
      </w:pPr>
      <w:r w:rsidRPr="001D63DA">
        <w:rPr>
          <w:lang w:val="fr-FR"/>
        </w:rPr>
        <w:t>- leur naissance en France ;</w:t>
      </w:r>
    </w:p>
    <w:p w:rsidR="000537C6" w:rsidRPr="001D63DA" w:rsidRDefault="000537C6" w:rsidP="00DE0F74">
      <w:pPr>
        <w:pStyle w:val="ECHRParaQuote"/>
        <w:rPr>
          <w:lang w:val="fr-FR"/>
        </w:rPr>
      </w:pPr>
      <w:r w:rsidRPr="001D63DA">
        <w:rPr>
          <w:lang w:val="fr-FR"/>
        </w:rPr>
        <w:t>- leur entrée régulière dans le cadre de la procédure de regroupement familial visée au livre IV du code de l</w:t>
      </w:r>
      <w:r w:rsidR="009429B7">
        <w:rPr>
          <w:lang w:val="fr-FR"/>
        </w:rPr>
        <w:t>’</w:t>
      </w:r>
      <w:r w:rsidRPr="001D63DA">
        <w:rPr>
          <w:lang w:val="fr-FR"/>
        </w:rPr>
        <w:t>entrée et du séjour des étrangers et du droit d</w:t>
      </w:r>
      <w:r w:rsidR="009429B7">
        <w:rPr>
          <w:lang w:val="fr-FR"/>
        </w:rPr>
        <w:t>’</w:t>
      </w:r>
      <w:r w:rsidRPr="001D63DA">
        <w:rPr>
          <w:lang w:val="fr-FR"/>
        </w:rPr>
        <w:t>asile ;</w:t>
      </w:r>
    </w:p>
    <w:p w:rsidR="000537C6" w:rsidRPr="001D63DA" w:rsidRDefault="000537C6" w:rsidP="00DE0F74">
      <w:pPr>
        <w:pStyle w:val="ECHRParaQuote"/>
        <w:rPr>
          <w:lang w:val="fr-FR"/>
        </w:rPr>
      </w:pPr>
      <w:r w:rsidRPr="001D63DA">
        <w:rPr>
          <w:lang w:val="fr-FR"/>
        </w:rPr>
        <w:t>- leur qualité de membre de famille de réfugié ;</w:t>
      </w:r>
    </w:p>
    <w:p w:rsidR="000537C6" w:rsidRPr="001D63DA" w:rsidRDefault="000537C6" w:rsidP="00DE0F74">
      <w:pPr>
        <w:pStyle w:val="ECHRParaQuote"/>
        <w:rPr>
          <w:lang w:val="fr-FR"/>
        </w:rPr>
      </w:pPr>
      <w:r w:rsidRPr="001D63DA">
        <w:rPr>
          <w:lang w:val="fr-FR"/>
        </w:rPr>
        <w:t>- leur qualité d</w:t>
      </w:r>
      <w:r w:rsidR="009429B7">
        <w:rPr>
          <w:lang w:val="fr-FR"/>
        </w:rPr>
        <w:t>’</w:t>
      </w:r>
      <w:r w:rsidRPr="001D63DA">
        <w:rPr>
          <w:lang w:val="fr-FR"/>
        </w:rPr>
        <w:t>enfant d</w:t>
      </w:r>
      <w:r w:rsidR="009429B7">
        <w:rPr>
          <w:lang w:val="fr-FR"/>
        </w:rPr>
        <w:t>’</w:t>
      </w:r>
      <w:r w:rsidRPr="001D63DA">
        <w:rPr>
          <w:lang w:val="fr-FR"/>
        </w:rPr>
        <w:t>étranger titulaire de la carte de séjour mentionnée au 10</w:t>
      </w:r>
      <w:r w:rsidRPr="000537C6">
        <w:rPr>
          <w:vertAlign w:val="superscript"/>
          <w:lang w:val="fr-FR"/>
        </w:rPr>
        <w:t>o</w:t>
      </w:r>
      <w:r w:rsidRPr="001D63DA">
        <w:rPr>
          <w:lang w:val="fr-FR"/>
        </w:rPr>
        <w:t xml:space="preserve"> de </w:t>
      </w:r>
      <w:r w:rsidRPr="00722435">
        <w:rPr>
          <w:lang w:val="fr-FR"/>
        </w:rPr>
        <w:t>l</w:t>
      </w:r>
      <w:r w:rsidR="009429B7">
        <w:rPr>
          <w:lang w:val="fr-FR"/>
        </w:rPr>
        <w:t>’</w:t>
      </w:r>
      <w:r w:rsidRPr="00722435">
        <w:rPr>
          <w:lang w:val="fr-FR"/>
        </w:rPr>
        <w:t>article</w:t>
      </w:r>
      <w:r>
        <w:rPr>
          <w:lang w:val="fr-FR"/>
        </w:rPr>
        <w:t xml:space="preserve"> L. 313-11 du code de l</w:t>
      </w:r>
      <w:r w:rsidR="009429B7">
        <w:rPr>
          <w:lang w:val="fr-FR"/>
        </w:rPr>
        <w:t>’</w:t>
      </w:r>
      <w:r>
        <w:rPr>
          <w:lang w:val="fr-FR"/>
        </w:rPr>
        <w:t>entrée et du séjour des étrangers</w:t>
      </w:r>
      <w:r w:rsidRPr="00722435">
        <w:rPr>
          <w:lang w:val="fr-FR"/>
        </w:rPr>
        <w:t xml:space="preserve"> et du </w:t>
      </w:r>
      <w:r w:rsidRPr="001D63DA">
        <w:rPr>
          <w:lang w:val="fr-FR"/>
        </w:rPr>
        <w:t>droit d</w:t>
      </w:r>
      <w:r w:rsidR="009429B7">
        <w:rPr>
          <w:lang w:val="fr-FR"/>
        </w:rPr>
        <w:t>’</w:t>
      </w:r>
      <w:r w:rsidRPr="001D63DA">
        <w:rPr>
          <w:lang w:val="fr-FR"/>
        </w:rPr>
        <w:t>asile ;</w:t>
      </w:r>
    </w:p>
    <w:p w:rsidR="000537C6" w:rsidRPr="001D63DA" w:rsidRDefault="000537C6" w:rsidP="00DE0F74">
      <w:pPr>
        <w:pStyle w:val="ECHRParaQuote"/>
        <w:rPr>
          <w:lang w:val="fr-FR"/>
        </w:rPr>
      </w:pPr>
      <w:r w:rsidRPr="001D63DA">
        <w:rPr>
          <w:lang w:val="fr-FR"/>
        </w:rPr>
        <w:t>- leur qualité d</w:t>
      </w:r>
      <w:r w:rsidR="009429B7">
        <w:rPr>
          <w:lang w:val="fr-FR"/>
        </w:rPr>
        <w:t>’</w:t>
      </w:r>
      <w:r w:rsidRPr="001D63DA">
        <w:rPr>
          <w:lang w:val="fr-FR"/>
        </w:rPr>
        <w:t>enfant d</w:t>
      </w:r>
      <w:r w:rsidR="009429B7">
        <w:rPr>
          <w:lang w:val="fr-FR"/>
        </w:rPr>
        <w:t>’</w:t>
      </w:r>
      <w:r w:rsidRPr="001D63DA">
        <w:rPr>
          <w:lang w:val="fr-FR"/>
        </w:rPr>
        <w:t>étranger titulaire de la carte de séjour mentionnée à l</w:t>
      </w:r>
      <w:r w:rsidR="009429B7">
        <w:rPr>
          <w:lang w:val="fr-FR"/>
        </w:rPr>
        <w:t>’</w:t>
      </w:r>
      <w:r w:rsidRPr="001D63DA">
        <w:rPr>
          <w:lang w:val="fr-FR"/>
        </w:rPr>
        <w:t>article</w:t>
      </w:r>
      <w:r w:rsidR="009429B7">
        <w:rPr>
          <w:lang w:val="fr-FR"/>
        </w:rPr>
        <w:t> </w:t>
      </w:r>
      <w:r>
        <w:rPr>
          <w:lang w:val="fr-FR"/>
        </w:rPr>
        <w:t xml:space="preserve">L. 313-13 </w:t>
      </w:r>
      <w:r w:rsidRPr="001D63DA">
        <w:rPr>
          <w:lang w:val="fr-FR"/>
        </w:rPr>
        <w:t>du même code ;</w:t>
      </w:r>
    </w:p>
    <w:p w:rsidR="000537C6" w:rsidRPr="001D63DA" w:rsidRDefault="000537C6" w:rsidP="00DE0F74">
      <w:pPr>
        <w:pStyle w:val="ECHRParaQuote"/>
        <w:rPr>
          <w:lang w:val="fr-FR"/>
        </w:rPr>
      </w:pPr>
      <w:r w:rsidRPr="001D63DA">
        <w:rPr>
          <w:lang w:val="fr-FR"/>
        </w:rPr>
        <w:t>- leur qualité d</w:t>
      </w:r>
      <w:r w:rsidR="009429B7">
        <w:rPr>
          <w:lang w:val="fr-FR"/>
        </w:rPr>
        <w:t>’</w:t>
      </w:r>
      <w:r w:rsidRPr="001D63DA">
        <w:rPr>
          <w:lang w:val="fr-FR"/>
        </w:rPr>
        <w:t>enfant d</w:t>
      </w:r>
      <w:r w:rsidR="009429B7">
        <w:rPr>
          <w:lang w:val="fr-FR"/>
        </w:rPr>
        <w:t>’</w:t>
      </w:r>
      <w:r w:rsidRPr="001D63DA">
        <w:rPr>
          <w:lang w:val="fr-FR"/>
        </w:rPr>
        <w:t>étranger titulaire de l</w:t>
      </w:r>
      <w:r w:rsidR="009429B7">
        <w:rPr>
          <w:lang w:val="fr-FR"/>
        </w:rPr>
        <w:t>’</w:t>
      </w:r>
      <w:r w:rsidRPr="001D63DA">
        <w:rPr>
          <w:lang w:val="fr-FR"/>
        </w:rPr>
        <w:t>une des cartes de séjour mentionnées à l</w:t>
      </w:r>
      <w:r w:rsidR="009429B7">
        <w:rPr>
          <w:lang w:val="fr-FR"/>
        </w:rPr>
        <w:t>’</w:t>
      </w:r>
      <w:r w:rsidRPr="001D63DA">
        <w:rPr>
          <w:lang w:val="fr-FR"/>
        </w:rPr>
        <w:t>article L. 313-8 du même code ;</w:t>
      </w:r>
    </w:p>
    <w:p w:rsidR="000537C6" w:rsidRDefault="000537C6" w:rsidP="00DE0F74">
      <w:pPr>
        <w:pStyle w:val="ECHRParaQuote"/>
        <w:rPr>
          <w:lang w:val="fr-FR"/>
        </w:rPr>
      </w:pPr>
      <w:r w:rsidRPr="001D63DA">
        <w:rPr>
          <w:lang w:val="fr-FR"/>
        </w:rPr>
        <w:t>- leur qualité d</w:t>
      </w:r>
      <w:r w:rsidR="009429B7">
        <w:rPr>
          <w:lang w:val="fr-FR"/>
        </w:rPr>
        <w:t>’</w:t>
      </w:r>
      <w:r w:rsidRPr="001D63DA">
        <w:rPr>
          <w:lang w:val="fr-FR"/>
        </w:rPr>
        <w:t>enfant d</w:t>
      </w:r>
      <w:r w:rsidR="009429B7">
        <w:rPr>
          <w:lang w:val="fr-FR"/>
        </w:rPr>
        <w:t>’</w:t>
      </w:r>
      <w:r w:rsidRPr="001D63DA">
        <w:rPr>
          <w:lang w:val="fr-FR"/>
        </w:rPr>
        <w:t>étranger titulaire de la carte de séjour mentionnée au 7</w:t>
      </w:r>
      <w:r w:rsidRPr="000537C6">
        <w:rPr>
          <w:vertAlign w:val="superscript"/>
          <w:lang w:val="fr-FR"/>
        </w:rPr>
        <w:t>o</w:t>
      </w:r>
      <w:r w:rsidRPr="001D63DA">
        <w:rPr>
          <w:lang w:val="fr-FR"/>
        </w:rPr>
        <w:t xml:space="preserve"> de l</w:t>
      </w:r>
      <w:r w:rsidR="009429B7">
        <w:rPr>
          <w:lang w:val="fr-FR"/>
        </w:rPr>
        <w:t>’</w:t>
      </w:r>
      <w:r w:rsidRPr="001D63DA">
        <w:rPr>
          <w:lang w:val="fr-FR"/>
        </w:rPr>
        <w:t>article L. 313-11 du même code à la condition que le ou les enfants en cause soient entrés en France au plus tard en même temps que l</w:t>
      </w:r>
      <w:r w:rsidR="009429B7">
        <w:rPr>
          <w:lang w:val="fr-FR"/>
        </w:rPr>
        <w:t>’</w:t>
      </w:r>
      <w:r w:rsidRPr="001D63DA">
        <w:rPr>
          <w:lang w:val="fr-FR"/>
        </w:rPr>
        <w:t>un de leurs parents titulaires de la carte susmentionnée.</w:t>
      </w:r>
    </w:p>
    <w:p w:rsidR="000537C6" w:rsidRPr="001D63DA" w:rsidRDefault="000537C6" w:rsidP="00DE0F74">
      <w:pPr>
        <w:pStyle w:val="ECHRParaQuote"/>
        <w:rPr>
          <w:lang w:val="fr-FR"/>
        </w:rPr>
      </w:pPr>
      <w:r w:rsidRPr="001D63DA">
        <w:rPr>
          <w:lang w:val="fr-FR"/>
        </w:rPr>
        <w:t>Un décret fixe la liste des titres et justifications attestant de la régularité de l</w:t>
      </w:r>
      <w:r w:rsidR="009429B7">
        <w:rPr>
          <w:lang w:val="fr-FR"/>
        </w:rPr>
        <w:t>’</w:t>
      </w:r>
      <w:r w:rsidRPr="001D63DA">
        <w:rPr>
          <w:lang w:val="fr-FR"/>
        </w:rPr>
        <w:t xml:space="preserve">entrée et du séjour des bénéficiaires étrangers. Il détermine également la nature des </w:t>
      </w:r>
      <w:r w:rsidRPr="001D63DA">
        <w:rPr>
          <w:lang w:val="fr-FR"/>
        </w:rPr>
        <w:lastRenderedPageBreak/>
        <w:t>documents exigés pour justifier que les enfants que ces étrangers ont à charge et au titre desquels des prestations familiales sont demandées remplissent les conditions prévues aux alinéas précédents. »</w:t>
      </w:r>
    </w:p>
    <w:p w:rsidR="000537C6" w:rsidRPr="001D63DA" w:rsidRDefault="000537C6" w:rsidP="00DE0F74">
      <w:pPr>
        <w:pStyle w:val="ECHRTitleCentre3"/>
        <w:rPr>
          <w:lang w:val="fr-FR"/>
        </w:rPr>
      </w:pPr>
      <w:r w:rsidRPr="001D63DA">
        <w:rPr>
          <w:lang w:val="fr-FR"/>
        </w:rPr>
        <w:t>Article D. 512-2</w:t>
      </w:r>
    </w:p>
    <w:p w:rsidR="000537C6" w:rsidRDefault="000537C6" w:rsidP="00DE0F74">
      <w:pPr>
        <w:pStyle w:val="ECHRParaQuote"/>
        <w:rPr>
          <w:rFonts w:eastAsia="Times New Roman"/>
          <w:lang w:val="fr-FR"/>
        </w:rPr>
      </w:pPr>
      <w:r w:rsidRPr="001D63DA">
        <w:rPr>
          <w:rFonts w:eastAsia="Times New Roman"/>
          <w:lang w:val="fr-FR"/>
        </w:rPr>
        <w:t>« La régularité de l</w:t>
      </w:r>
      <w:r w:rsidR="009429B7">
        <w:rPr>
          <w:rFonts w:eastAsia="Times New Roman"/>
          <w:lang w:val="fr-FR"/>
        </w:rPr>
        <w:t>’</w:t>
      </w:r>
      <w:r w:rsidRPr="001D63DA">
        <w:rPr>
          <w:rFonts w:eastAsia="Times New Roman"/>
          <w:lang w:val="fr-FR"/>
        </w:rPr>
        <w:t>entrée et du séjour des enfants étrangers que le bénéficiaire a à charge et au titre desquels il demande des prestations familiales est justifiée par la production de l</w:t>
      </w:r>
      <w:r w:rsidR="009429B7">
        <w:rPr>
          <w:rFonts w:eastAsia="Times New Roman"/>
          <w:lang w:val="fr-FR"/>
        </w:rPr>
        <w:t>’</w:t>
      </w:r>
      <w:r w:rsidRPr="001D63DA">
        <w:rPr>
          <w:rFonts w:eastAsia="Times New Roman"/>
          <w:lang w:val="fr-FR"/>
        </w:rPr>
        <w:t>un des documents suivants :</w:t>
      </w:r>
    </w:p>
    <w:p w:rsidR="000537C6" w:rsidRDefault="000537C6" w:rsidP="00DE0F74">
      <w:pPr>
        <w:pStyle w:val="ECHRParaQuote"/>
        <w:rPr>
          <w:rFonts w:eastAsia="Times New Roman"/>
          <w:lang w:val="fr-FR"/>
        </w:rPr>
      </w:pPr>
      <w:r w:rsidRPr="001D63DA">
        <w:rPr>
          <w:rFonts w:eastAsia="Times New Roman"/>
          <w:lang w:val="fr-FR"/>
        </w:rPr>
        <w:t>1</w:t>
      </w:r>
      <w:r w:rsidRPr="000537C6">
        <w:rPr>
          <w:rFonts w:eastAsia="Times New Roman"/>
          <w:vertAlign w:val="superscript"/>
          <w:lang w:val="fr-FR"/>
        </w:rPr>
        <w:t>o</w:t>
      </w:r>
      <w:r w:rsidRPr="001D63DA">
        <w:rPr>
          <w:rFonts w:eastAsia="Times New Roman"/>
          <w:lang w:val="fr-FR"/>
        </w:rPr>
        <w:t xml:space="preserve"> Extrait d</w:t>
      </w:r>
      <w:r w:rsidR="009429B7">
        <w:rPr>
          <w:rFonts w:eastAsia="Times New Roman"/>
          <w:lang w:val="fr-FR"/>
        </w:rPr>
        <w:t>’</w:t>
      </w:r>
      <w:r w:rsidRPr="001D63DA">
        <w:rPr>
          <w:rFonts w:eastAsia="Times New Roman"/>
          <w:lang w:val="fr-FR"/>
        </w:rPr>
        <w:t>acte de naissance en France ;</w:t>
      </w:r>
    </w:p>
    <w:p w:rsidR="000537C6" w:rsidRDefault="000537C6" w:rsidP="00DE0F74">
      <w:pPr>
        <w:pStyle w:val="ECHRParaQuote"/>
        <w:rPr>
          <w:rFonts w:eastAsia="Times New Roman"/>
          <w:lang w:val="fr-FR"/>
        </w:rPr>
      </w:pPr>
      <w:r w:rsidRPr="001D63DA">
        <w:rPr>
          <w:rFonts w:eastAsia="Times New Roman"/>
          <w:lang w:val="fr-FR"/>
        </w:rPr>
        <w:t>2</w:t>
      </w:r>
      <w:r w:rsidRPr="000537C6">
        <w:rPr>
          <w:rFonts w:eastAsia="Times New Roman"/>
          <w:vertAlign w:val="superscript"/>
          <w:lang w:val="fr-FR"/>
        </w:rPr>
        <w:t>o</w:t>
      </w:r>
      <w:r w:rsidRPr="001D63DA">
        <w:rPr>
          <w:rFonts w:eastAsia="Times New Roman"/>
          <w:lang w:val="fr-FR"/>
        </w:rPr>
        <w:t xml:space="preserve"> Certificat de contrôle médical de l</w:t>
      </w:r>
      <w:r w:rsidR="009429B7">
        <w:rPr>
          <w:rFonts w:eastAsia="Times New Roman"/>
          <w:lang w:val="fr-FR"/>
        </w:rPr>
        <w:t>’</w:t>
      </w:r>
      <w:r w:rsidRPr="001D63DA">
        <w:rPr>
          <w:rFonts w:eastAsia="Times New Roman"/>
          <w:lang w:val="fr-FR"/>
        </w:rPr>
        <w:t>enfant, délivré par l</w:t>
      </w:r>
      <w:r w:rsidR="009429B7">
        <w:rPr>
          <w:rFonts w:eastAsia="Times New Roman"/>
          <w:lang w:val="fr-FR"/>
        </w:rPr>
        <w:t>’</w:t>
      </w:r>
      <w:r w:rsidRPr="001D63DA">
        <w:rPr>
          <w:rFonts w:eastAsia="Times New Roman"/>
          <w:lang w:val="fr-FR"/>
        </w:rPr>
        <w:t>Office français de l</w:t>
      </w:r>
      <w:r w:rsidR="009429B7">
        <w:rPr>
          <w:rFonts w:eastAsia="Times New Roman"/>
          <w:lang w:val="fr-FR"/>
        </w:rPr>
        <w:t>’</w:t>
      </w:r>
      <w:r w:rsidRPr="001D63DA">
        <w:rPr>
          <w:rFonts w:eastAsia="Times New Roman"/>
          <w:lang w:val="fr-FR"/>
        </w:rPr>
        <w:t>immigration et de l</w:t>
      </w:r>
      <w:r w:rsidR="009429B7">
        <w:rPr>
          <w:rFonts w:eastAsia="Times New Roman"/>
          <w:lang w:val="fr-FR"/>
        </w:rPr>
        <w:t>’</w:t>
      </w:r>
      <w:r w:rsidRPr="001D63DA">
        <w:rPr>
          <w:rFonts w:eastAsia="Times New Roman"/>
          <w:lang w:val="fr-FR"/>
        </w:rPr>
        <w:t>intégration à l</w:t>
      </w:r>
      <w:r w:rsidR="009429B7">
        <w:rPr>
          <w:rFonts w:eastAsia="Times New Roman"/>
          <w:lang w:val="fr-FR"/>
        </w:rPr>
        <w:t>’</w:t>
      </w:r>
      <w:r w:rsidRPr="001D63DA">
        <w:rPr>
          <w:rFonts w:eastAsia="Times New Roman"/>
          <w:lang w:val="fr-FR"/>
        </w:rPr>
        <w:t>issue de la procédure d</w:t>
      </w:r>
      <w:r w:rsidR="009429B7">
        <w:rPr>
          <w:rFonts w:eastAsia="Times New Roman"/>
          <w:lang w:val="fr-FR"/>
        </w:rPr>
        <w:t>’</w:t>
      </w:r>
      <w:r w:rsidRPr="001D63DA">
        <w:rPr>
          <w:rFonts w:eastAsia="Times New Roman"/>
          <w:lang w:val="fr-FR"/>
        </w:rPr>
        <w:t>introduction ou d</w:t>
      </w:r>
      <w:r w:rsidR="009429B7">
        <w:rPr>
          <w:rFonts w:eastAsia="Times New Roman"/>
          <w:lang w:val="fr-FR"/>
        </w:rPr>
        <w:t>’</w:t>
      </w:r>
      <w:r w:rsidRPr="001D63DA">
        <w:rPr>
          <w:rFonts w:eastAsia="Times New Roman"/>
          <w:lang w:val="fr-FR"/>
        </w:rPr>
        <w:t>admission au séjour au titre du regroupement familial ;</w:t>
      </w:r>
    </w:p>
    <w:p w:rsidR="000537C6" w:rsidRDefault="000537C6" w:rsidP="00DE0F74">
      <w:pPr>
        <w:pStyle w:val="ECHRParaQuote"/>
        <w:rPr>
          <w:rFonts w:eastAsia="Times New Roman"/>
          <w:lang w:val="fr-FR"/>
        </w:rPr>
      </w:pPr>
      <w:r w:rsidRPr="001D63DA">
        <w:rPr>
          <w:rFonts w:eastAsia="Times New Roman"/>
          <w:lang w:val="fr-FR"/>
        </w:rPr>
        <w:t>3</w:t>
      </w:r>
      <w:r w:rsidRPr="000537C6">
        <w:rPr>
          <w:rFonts w:eastAsia="Times New Roman"/>
          <w:vertAlign w:val="superscript"/>
          <w:lang w:val="fr-FR"/>
        </w:rPr>
        <w:t>o</w:t>
      </w:r>
      <w:r w:rsidRPr="001D63DA">
        <w:rPr>
          <w:rFonts w:eastAsia="Times New Roman"/>
          <w:lang w:val="fr-FR"/>
        </w:rPr>
        <w:t xml:space="preserve"> Livret de famille délivré par l</w:t>
      </w:r>
      <w:r w:rsidR="009429B7">
        <w:rPr>
          <w:rFonts w:eastAsia="Times New Roman"/>
          <w:lang w:val="fr-FR"/>
        </w:rPr>
        <w:t>’</w:t>
      </w:r>
      <w:r w:rsidRPr="001D63DA">
        <w:rPr>
          <w:rFonts w:eastAsia="Times New Roman"/>
          <w:lang w:val="fr-FR"/>
        </w:rPr>
        <w:t>Office français de protection des réfugiés et apatrides ou, à défaut, un acte de naissance établi, le cas échéant, par cet office, lorsque l</w:t>
      </w:r>
      <w:r w:rsidR="009429B7">
        <w:rPr>
          <w:rFonts w:eastAsia="Times New Roman"/>
          <w:lang w:val="fr-FR"/>
        </w:rPr>
        <w:t>’</w:t>
      </w:r>
      <w:r w:rsidRPr="001D63DA">
        <w:rPr>
          <w:rFonts w:eastAsia="Times New Roman"/>
          <w:lang w:val="fr-FR"/>
        </w:rPr>
        <w:t>enfant est membre de famille d</w:t>
      </w:r>
      <w:r w:rsidR="009429B7">
        <w:rPr>
          <w:rFonts w:eastAsia="Times New Roman"/>
          <w:lang w:val="fr-FR"/>
        </w:rPr>
        <w:t>’</w:t>
      </w:r>
      <w:r w:rsidRPr="001D63DA">
        <w:rPr>
          <w:rFonts w:eastAsia="Times New Roman"/>
          <w:lang w:val="fr-FR"/>
        </w:rPr>
        <w:t>un réfugié, d</w:t>
      </w:r>
      <w:r w:rsidR="009429B7">
        <w:rPr>
          <w:rFonts w:eastAsia="Times New Roman"/>
          <w:lang w:val="fr-FR"/>
        </w:rPr>
        <w:t>’</w:t>
      </w:r>
      <w:r w:rsidRPr="001D63DA">
        <w:rPr>
          <w:rFonts w:eastAsia="Times New Roman"/>
          <w:lang w:val="fr-FR"/>
        </w:rPr>
        <w:t>un apatride ou d</w:t>
      </w:r>
      <w:r w:rsidR="009429B7">
        <w:rPr>
          <w:rFonts w:eastAsia="Times New Roman"/>
          <w:lang w:val="fr-FR"/>
        </w:rPr>
        <w:t>’</w:t>
      </w:r>
      <w:r w:rsidRPr="001D63DA">
        <w:rPr>
          <w:rFonts w:eastAsia="Times New Roman"/>
          <w:lang w:val="fr-FR"/>
        </w:rPr>
        <w:t>un bénéficiaire de la protection subsidiaire. Lorsque l</w:t>
      </w:r>
      <w:r w:rsidR="009429B7">
        <w:rPr>
          <w:rFonts w:eastAsia="Times New Roman"/>
          <w:lang w:val="fr-FR"/>
        </w:rPr>
        <w:t>’</w:t>
      </w:r>
      <w:r w:rsidRPr="001D63DA">
        <w:rPr>
          <w:rFonts w:eastAsia="Times New Roman"/>
          <w:lang w:val="fr-FR"/>
        </w:rPr>
        <w:t>enfant n</w:t>
      </w:r>
      <w:r w:rsidR="009429B7">
        <w:rPr>
          <w:rFonts w:eastAsia="Times New Roman"/>
          <w:lang w:val="fr-FR"/>
        </w:rPr>
        <w:t>’</w:t>
      </w:r>
      <w:r w:rsidRPr="001D63DA">
        <w:rPr>
          <w:rFonts w:eastAsia="Times New Roman"/>
          <w:lang w:val="fr-FR"/>
        </w:rPr>
        <w:t>est pas l</w:t>
      </w:r>
      <w:r w:rsidR="009429B7">
        <w:rPr>
          <w:rFonts w:eastAsia="Times New Roman"/>
          <w:lang w:val="fr-FR"/>
        </w:rPr>
        <w:t>’</w:t>
      </w:r>
      <w:r w:rsidRPr="001D63DA">
        <w:rPr>
          <w:rFonts w:eastAsia="Times New Roman"/>
          <w:lang w:val="fr-FR"/>
        </w:rPr>
        <w:t>enfant du réfugié, de l</w:t>
      </w:r>
      <w:r w:rsidR="009429B7">
        <w:rPr>
          <w:rFonts w:eastAsia="Times New Roman"/>
          <w:lang w:val="fr-FR"/>
        </w:rPr>
        <w:t>’</w:t>
      </w:r>
      <w:r w:rsidRPr="001D63DA">
        <w:rPr>
          <w:rFonts w:eastAsia="Times New Roman"/>
          <w:lang w:val="fr-FR"/>
        </w:rPr>
        <w:t>apatride ou du bénéficiaire de la protection subsidiaire, cet acte de naissance est accompagné d</w:t>
      </w:r>
      <w:r w:rsidR="009429B7">
        <w:rPr>
          <w:rFonts w:eastAsia="Times New Roman"/>
          <w:lang w:val="fr-FR"/>
        </w:rPr>
        <w:t>’</w:t>
      </w:r>
      <w:r w:rsidRPr="001D63DA">
        <w:rPr>
          <w:rFonts w:eastAsia="Times New Roman"/>
          <w:lang w:val="fr-FR"/>
        </w:rPr>
        <w:t>un jugement confiant la tutelle de cet enfant à l</w:t>
      </w:r>
      <w:r w:rsidR="009429B7">
        <w:rPr>
          <w:rFonts w:eastAsia="Times New Roman"/>
          <w:lang w:val="fr-FR"/>
        </w:rPr>
        <w:t>’</w:t>
      </w:r>
      <w:r w:rsidRPr="001D63DA">
        <w:rPr>
          <w:rFonts w:eastAsia="Times New Roman"/>
          <w:lang w:val="fr-FR"/>
        </w:rPr>
        <w:t>étranger qui demande à bénéficier des prestations familiales ;</w:t>
      </w:r>
    </w:p>
    <w:p w:rsidR="000537C6" w:rsidRDefault="000537C6" w:rsidP="00DE0F74">
      <w:pPr>
        <w:pStyle w:val="ECHRParaQuote"/>
        <w:rPr>
          <w:rFonts w:eastAsia="Times New Roman"/>
          <w:lang w:val="fr-FR"/>
        </w:rPr>
      </w:pPr>
      <w:r w:rsidRPr="001D63DA">
        <w:rPr>
          <w:rFonts w:eastAsia="Times New Roman"/>
          <w:lang w:val="fr-FR"/>
        </w:rPr>
        <w:t>4</w:t>
      </w:r>
      <w:r w:rsidRPr="000537C6">
        <w:rPr>
          <w:rFonts w:eastAsia="Times New Roman"/>
          <w:vertAlign w:val="superscript"/>
          <w:lang w:val="fr-FR"/>
        </w:rPr>
        <w:t>o</w:t>
      </w:r>
      <w:r w:rsidRPr="001D63DA">
        <w:rPr>
          <w:rFonts w:eastAsia="Times New Roman"/>
          <w:lang w:val="fr-FR"/>
        </w:rPr>
        <w:t xml:space="preserve"> Visa délivré par l</w:t>
      </w:r>
      <w:r w:rsidR="009429B7">
        <w:rPr>
          <w:rFonts w:eastAsia="Times New Roman"/>
          <w:lang w:val="fr-FR"/>
        </w:rPr>
        <w:t>’</w:t>
      </w:r>
      <w:r w:rsidRPr="001D63DA">
        <w:rPr>
          <w:rFonts w:eastAsia="Times New Roman"/>
          <w:lang w:val="fr-FR"/>
        </w:rPr>
        <w:t>autorité consulaire et comportant le nom de l</w:t>
      </w:r>
      <w:r w:rsidR="009429B7">
        <w:rPr>
          <w:rFonts w:eastAsia="Times New Roman"/>
          <w:lang w:val="fr-FR"/>
        </w:rPr>
        <w:t>’</w:t>
      </w:r>
      <w:r w:rsidRPr="001D63DA">
        <w:rPr>
          <w:rFonts w:eastAsia="Times New Roman"/>
          <w:lang w:val="fr-FR"/>
        </w:rPr>
        <w:t>enfant d</w:t>
      </w:r>
      <w:r w:rsidR="009429B7">
        <w:rPr>
          <w:rFonts w:eastAsia="Times New Roman"/>
          <w:lang w:val="fr-FR"/>
        </w:rPr>
        <w:t>’</w:t>
      </w:r>
      <w:r w:rsidRPr="001D63DA">
        <w:rPr>
          <w:rFonts w:eastAsia="Times New Roman"/>
          <w:lang w:val="fr-FR"/>
        </w:rPr>
        <w:t>un étranger titulaire de la carte de séjour mentionnée à l</w:t>
      </w:r>
      <w:r w:rsidR="009429B7">
        <w:rPr>
          <w:rFonts w:eastAsia="Times New Roman"/>
          <w:lang w:val="fr-FR"/>
        </w:rPr>
        <w:t>’</w:t>
      </w:r>
      <w:r w:rsidRPr="001D63DA">
        <w:rPr>
          <w:rFonts w:eastAsia="Times New Roman"/>
          <w:lang w:val="fr-FR"/>
        </w:rPr>
        <w:t xml:space="preserve">article L. 313-8 </w:t>
      </w:r>
      <w:r>
        <w:rPr>
          <w:rFonts w:eastAsia="Times New Roman"/>
          <w:lang w:val="fr-FR"/>
        </w:rPr>
        <w:t>(...)</w:t>
      </w:r>
      <w:r w:rsidRPr="001D63DA">
        <w:rPr>
          <w:rFonts w:eastAsia="Times New Roman"/>
          <w:lang w:val="fr-FR"/>
        </w:rPr>
        <w:t xml:space="preserve"> ;</w:t>
      </w:r>
    </w:p>
    <w:p w:rsidR="000537C6" w:rsidRDefault="000537C6" w:rsidP="00DE0F74">
      <w:pPr>
        <w:pStyle w:val="ECHRParaQuote"/>
        <w:rPr>
          <w:rFonts w:eastAsia="Times New Roman"/>
          <w:lang w:val="fr-FR"/>
        </w:rPr>
      </w:pPr>
      <w:r w:rsidRPr="001D63DA">
        <w:rPr>
          <w:rFonts w:eastAsia="Times New Roman"/>
          <w:lang w:val="fr-FR"/>
        </w:rPr>
        <w:t>5</w:t>
      </w:r>
      <w:r w:rsidRPr="000537C6">
        <w:rPr>
          <w:rFonts w:eastAsia="Times New Roman"/>
          <w:vertAlign w:val="superscript"/>
          <w:lang w:val="fr-FR"/>
        </w:rPr>
        <w:t>o</w:t>
      </w:r>
      <w:r w:rsidRPr="001D63DA">
        <w:rPr>
          <w:rFonts w:eastAsia="Times New Roman"/>
          <w:lang w:val="fr-FR"/>
        </w:rPr>
        <w:t xml:space="preserve"> Attestation délivrée par l</w:t>
      </w:r>
      <w:r w:rsidR="009429B7">
        <w:rPr>
          <w:rFonts w:eastAsia="Times New Roman"/>
          <w:lang w:val="fr-FR"/>
        </w:rPr>
        <w:t>’</w:t>
      </w:r>
      <w:r w:rsidRPr="001D63DA">
        <w:rPr>
          <w:rFonts w:eastAsia="Times New Roman"/>
          <w:lang w:val="fr-FR"/>
        </w:rPr>
        <w:t>autorité préfectorale, précisant que l</w:t>
      </w:r>
      <w:r w:rsidR="009429B7">
        <w:rPr>
          <w:rFonts w:eastAsia="Times New Roman"/>
          <w:lang w:val="fr-FR"/>
        </w:rPr>
        <w:t>’</w:t>
      </w:r>
      <w:r w:rsidRPr="001D63DA">
        <w:rPr>
          <w:rFonts w:eastAsia="Times New Roman"/>
          <w:lang w:val="fr-FR"/>
        </w:rPr>
        <w:t>enfant est entré en France au plus tard en même temps que l</w:t>
      </w:r>
      <w:r w:rsidR="009429B7">
        <w:rPr>
          <w:rFonts w:eastAsia="Times New Roman"/>
          <w:lang w:val="fr-FR"/>
        </w:rPr>
        <w:t>’</w:t>
      </w:r>
      <w:r w:rsidRPr="001D63DA">
        <w:rPr>
          <w:rFonts w:eastAsia="Times New Roman"/>
          <w:lang w:val="fr-FR"/>
        </w:rPr>
        <w:t>un de ses parents admis au séjour sur le fondement du 7</w:t>
      </w:r>
      <w:r w:rsidRPr="000537C6">
        <w:rPr>
          <w:rFonts w:eastAsia="Times New Roman"/>
          <w:vertAlign w:val="superscript"/>
          <w:lang w:val="fr-FR"/>
        </w:rPr>
        <w:t>o</w:t>
      </w:r>
      <w:r w:rsidRPr="001D63DA">
        <w:rPr>
          <w:rFonts w:eastAsia="Times New Roman"/>
          <w:lang w:val="fr-FR"/>
        </w:rPr>
        <w:t xml:space="preserve"> de l</w:t>
      </w:r>
      <w:r w:rsidR="009429B7">
        <w:rPr>
          <w:rFonts w:eastAsia="Times New Roman"/>
          <w:lang w:val="fr-FR"/>
        </w:rPr>
        <w:t>’</w:t>
      </w:r>
      <w:r w:rsidRPr="001D63DA">
        <w:rPr>
          <w:rFonts w:eastAsia="Times New Roman"/>
          <w:lang w:val="fr-FR"/>
        </w:rPr>
        <w:t>article L. 313-11 du code de l</w:t>
      </w:r>
      <w:r w:rsidR="009429B7">
        <w:rPr>
          <w:rFonts w:eastAsia="Times New Roman"/>
          <w:lang w:val="fr-FR"/>
        </w:rPr>
        <w:t>’</w:t>
      </w:r>
      <w:r w:rsidRPr="001D63DA">
        <w:rPr>
          <w:rFonts w:eastAsia="Times New Roman"/>
          <w:lang w:val="fr-FR"/>
        </w:rPr>
        <w:t>entrée et du séjour des étrangers et du droit d</w:t>
      </w:r>
      <w:r w:rsidR="009429B7">
        <w:rPr>
          <w:rFonts w:eastAsia="Times New Roman"/>
          <w:lang w:val="fr-FR"/>
        </w:rPr>
        <w:t>’</w:t>
      </w:r>
      <w:r w:rsidRPr="001D63DA">
        <w:rPr>
          <w:rFonts w:eastAsia="Times New Roman"/>
          <w:lang w:val="fr-FR"/>
        </w:rPr>
        <w:t>asile ou du 5</w:t>
      </w:r>
      <w:r w:rsidRPr="000537C6">
        <w:rPr>
          <w:rFonts w:eastAsia="Times New Roman"/>
          <w:vertAlign w:val="superscript"/>
          <w:lang w:val="fr-FR"/>
        </w:rPr>
        <w:t>o</w:t>
      </w:r>
      <w:r w:rsidRPr="001D63DA">
        <w:rPr>
          <w:rFonts w:eastAsia="Times New Roman"/>
          <w:lang w:val="fr-FR"/>
        </w:rPr>
        <w:t xml:space="preserve"> de l</w:t>
      </w:r>
      <w:r w:rsidR="009429B7">
        <w:rPr>
          <w:rFonts w:eastAsia="Times New Roman"/>
          <w:lang w:val="fr-FR"/>
        </w:rPr>
        <w:t>’</w:t>
      </w:r>
      <w:r w:rsidRPr="001D63DA">
        <w:rPr>
          <w:rFonts w:eastAsia="Times New Roman"/>
          <w:lang w:val="fr-FR"/>
        </w:rPr>
        <w:t>article 6 de l</w:t>
      </w:r>
      <w:r w:rsidR="009429B7">
        <w:rPr>
          <w:rFonts w:eastAsia="Times New Roman"/>
          <w:lang w:val="fr-FR"/>
        </w:rPr>
        <w:t>’</w:t>
      </w:r>
      <w:r w:rsidRPr="001D63DA">
        <w:rPr>
          <w:rFonts w:eastAsia="Times New Roman"/>
          <w:lang w:val="fr-FR"/>
        </w:rPr>
        <w:t>accord franco-algérien du 27 décembre 1968 modifié ;</w:t>
      </w:r>
    </w:p>
    <w:p w:rsidR="000537C6" w:rsidRDefault="000537C6" w:rsidP="00DE0F74">
      <w:pPr>
        <w:pStyle w:val="ECHRParaQuote"/>
        <w:rPr>
          <w:rFonts w:eastAsia="Times New Roman"/>
          <w:lang w:val="fr-FR"/>
        </w:rPr>
      </w:pPr>
      <w:r w:rsidRPr="001D63DA">
        <w:rPr>
          <w:rFonts w:eastAsia="Times New Roman"/>
          <w:lang w:val="fr-FR"/>
        </w:rPr>
        <w:t>6</w:t>
      </w:r>
      <w:r w:rsidRPr="000537C6">
        <w:rPr>
          <w:rFonts w:eastAsia="Times New Roman"/>
          <w:vertAlign w:val="superscript"/>
          <w:lang w:val="fr-FR"/>
        </w:rPr>
        <w:t>o</w:t>
      </w:r>
      <w:r w:rsidRPr="001D63DA">
        <w:rPr>
          <w:rFonts w:eastAsia="Times New Roman"/>
          <w:lang w:val="fr-FR"/>
        </w:rPr>
        <w:t xml:space="preserve"> Titre de séjour délivré à l</w:t>
      </w:r>
      <w:r w:rsidR="009429B7">
        <w:rPr>
          <w:rFonts w:eastAsia="Times New Roman"/>
          <w:lang w:val="fr-FR"/>
        </w:rPr>
        <w:t>’</w:t>
      </w:r>
      <w:r w:rsidRPr="001D63DA">
        <w:rPr>
          <w:rFonts w:eastAsia="Times New Roman"/>
          <w:lang w:val="fr-FR"/>
        </w:rPr>
        <w:t>étranger âgé de seize à dix-huit ans dans les conditions fixées par l</w:t>
      </w:r>
      <w:r w:rsidR="009429B7">
        <w:rPr>
          <w:rFonts w:eastAsia="Times New Roman"/>
          <w:lang w:val="fr-FR"/>
        </w:rPr>
        <w:t>’</w:t>
      </w:r>
      <w:r w:rsidRPr="001D63DA">
        <w:rPr>
          <w:rFonts w:eastAsia="Times New Roman"/>
          <w:lang w:val="fr-FR"/>
        </w:rPr>
        <w:t>article L. 311-3 du code de l</w:t>
      </w:r>
      <w:r w:rsidR="009429B7">
        <w:rPr>
          <w:rFonts w:eastAsia="Times New Roman"/>
          <w:lang w:val="fr-FR"/>
        </w:rPr>
        <w:t>’</w:t>
      </w:r>
      <w:r w:rsidRPr="001D63DA">
        <w:rPr>
          <w:rFonts w:eastAsia="Times New Roman"/>
          <w:lang w:val="fr-FR"/>
        </w:rPr>
        <w:t>entrée et du séjour des étrangers et du droit d</w:t>
      </w:r>
      <w:r w:rsidR="009429B7">
        <w:rPr>
          <w:rFonts w:eastAsia="Times New Roman"/>
          <w:lang w:val="fr-FR"/>
        </w:rPr>
        <w:t>’</w:t>
      </w:r>
      <w:r w:rsidRPr="001D63DA">
        <w:rPr>
          <w:rFonts w:eastAsia="Times New Roman"/>
          <w:lang w:val="fr-FR"/>
        </w:rPr>
        <w:t>asile.</w:t>
      </w:r>
    </w:p>
    <w:p w:rsidR="000537C6" w:rsidRDefault="000537C6" w:rsidP="00DE0F74">
      <w:pPr>
        <w:pStyle w:val="ECHRParaQuote"/>
        <w:rPr>
          <w:rFonts w:eastAsia="Times New Roman"/>
          <w:lang w:val="fr-FR"/>
        </w:rPr>
      </w:pPr>
      <w:r w:rsidRPr="001D63DA">
        <w:rPr>
          <w:rFonts w:eastAsia="Times New Roman"/>
          <w:lang w:val="fr-FR"/>
        </w:rPr>
        <w:t>Elle est également justifiée, pour les enfants majeurs ouvrant droit aux prestations familiales, par l</w:t>
      </w:r>
      <w:r w:rsidR="009429B7">
        <w:rPr>
          <w:rFonts w:eastAsia="Times New Roman"/>
          <w:lang w:val="fr-FR"/>
        </w:rPr>
        <w:t>’</w:t>
      </w:r>
      <w:r w:rsidRPr="001D63DA">
        <w:rPr>
          <w:rFonts w:eastAsia="Times New Roman"/>
          <w:lang w:val="fr-FR"/>
        </w:rPr>
        <w:t>un des titres mentionnés à l</w:t>
      </w:r>
      <w:r w:rsidR="009429B7">
        <w:rPr>
          <w:rFonts w:eastAsia="Times New Roman"/>
          <w:lang w:val="fr-FR"/>
        </w:rPr>
        <w:t>’</w:t>
      </w:r>
      <w:r w:rsidRPr="001D63DA">
        <w:rPr>
          <w:rFonts w:eastAsia="Times New Roman"/>
          <w:lang w:val="fr-FR"/>
        </w:rPr>
        <w:t>article D. 512-1. »</w:t>
      </w:r>
    </w:p>
    <w:p w:rsidR="000537C6" w:rsidRDefault="000537C6" w:rsidP="00DE0F74">
      <w:pPr>
        <w:pStyle w:val="ECHRHeading3"/>
        <w:rPr>
          <w:lang w:val="fr-FR"/>
        </w:rPr>
      </w:pPr>
      <w:r>
        <w:rPr>
          <w:lang w:val="fr-FR"/>
        </w:rPr>
        <w:t>2</w:t>
      </w:r>
      <w:r w:rsidRPr="001D63DA">
        <w:rPr>
          <w:lang w:val="fr-FR"/>
        </w:rPr>
        <w:t>. Le code de l</w:t>
      </w:r>
      <w:r w:rsidR="009429B7">
        <w:rPr>
          <w:lang w:val="fr-FR"/>
        </w:rPr>
        <w:t>’</w:t>
      </w:r>
      <w:r>
        <w:rPr>
          <w:lang w:val="fr-FR"/>
        </w:rPr>
        <w:t>entrée et du séjour des étrangers et du droit d</w:t>
      </w:r>
      <w:r w:rsidR="009429B7">
        <w:rPr>
          <w:lang w:val="fr-FR"/>
        </w:rPr>
        <w:t>’</w:t>
      </w:r>
      <w:r>
        <w:rPr>
          <w:lang w:val="fr-FR"/>
        </w:rPr>
        <w:t>asile</w:t>
      </w:r>
    </w:p>
    <w:p w:rsidR="000537C6" w:rsidRPr="001D63DA" w:rsidRDefault="000537C6" w:rsidP="00DE0F74">
      <w:pPr>
        <w:pStyle w:val="ECHRPara"/>
        <w:rPr>
          <w:lang w:val="fr-FR"/>
        </w:rPr>
      </w:pPr>
      <w:r>
        <w:rPr>
          <w:lang w:val="fr-FR"/>
        </w:rPr>
        <w:t>22.  </w:t>
      </w:r>
      <w:r w:rsidRPr="001D63DA">
        <w:rPr>
          <w:lang w:val="fr-FR"/>
        </w:rPr>
        <w:t>Les disp</w:t>
      </w:r>
      <w:r>
        <w:rPr>
          <w:lang w:val="fr-FR"/>
        </w:rPr>
        <w:t>ositions pertinentes du CESEDA</w:t>
      </w:r>
      <w:r w:rsidRPr="001D63DA">
        <w:rPr>
          <w:lang w:val="fr-FR"/>
        </w:rPr>
        <w:t xml:space="preserve"> sont les suivantes :</w:t>
      </w:r>
    </w:p>
    <w:p w:rsidR="000537C6" w:rsidRDefault="000537C6" w:rsidP="00DE0F74">
      <w:pPr>
        <w:pStyle w:val="ECHRTitleCentre3"/>
        <w:rPr>
          <w:lang w:val="fr-FR"/>
        </w:rPr>
      </w:pPr>
      <w:r>
        <w:rPr>
          <w:lang w:val="fr-FR"/>
        </w:rPr>
        <w:t>Article L. 411-6</w:t>
      </w:r>
    </w:p>
    <w:p w:rsidR="000537C6" w:rsidRDefault="000537C6" w:rsidP="00DE0F74">
      <w:pPr>
        <w:pStyle w:val="ECHRParaQuote"/>
        <w:rPr>
          <w:lang w:val="fr-FR"/>
        </w:rPr>
      </w:pPr>
      <w:r>
        <w:rPr>
          <w:lang w:val="fr-FR"/>
        </w:rPr>
        <w:t>« Peut être exclu du regroupement familial :</w:t>
      </w:r>
    </w:p>
    <w:p w:rsidR="000537C6" w:rsidRDefault="000537C6" w:rsidP="00DE0F74">
      <w:pPr>
        <w:pStyle w:val="ECHRParaQuote"/>
        <w:rPr>
          <w:lang w:val="fr-FR"/>
        </w:rPr>
      </w:pPr>
      <w:r>
        <w:rPr>
          <w:lang w:val="fr-FR"/>
        </w:rPr>
        <w:t>1</w:t>
      </w:r>
      <w:r w:rsidRPr="000537C6">
        <w:rPr>
          <w:vertAlign w:val="superscript"/>
          <w:lang w:val="fr-FR"/>
        </w:rPr>
        <w:t>o</w:t>
      </w:r>
      <w:r>
        <w:rPr>
          <w:lang w:val="fr-FR"/>
        </w:rPr>
        <w:t xml:space="preserve"> Un membre de la famille dont la présence en France constituerait une menace pour l</w:t>
      </w:r>
      <w:r w:rsidR="009429B7">
        <w:rPr>
          <w:lang w:val="fr-FR"/>
        </w:rPr>
        <w:t>’</w:t>
      </w:r>
      <w:r>
        <w:rPr>
          <w:lang w:val="fr-FR"/>
        </w:rPr>
        <w:t>ordre public ;</w:t>
      </w:r>
    </w:p>
    <w:p w:rsidR="000537C6" w:rsidRDefault="000537C6" w:rsidP="00DE0F74">
      <w:pPr>
        <w:pStyle w:val="ECHRParaQuote"/>
        <w:rPr>
          <w:lang w:val="fr-FR"/>
        </w:rPr>
      </w:pPr>
      <w:r>
        <w:rPr>
          <w:lang w:val="fr-FR"/>
        </w:rPr>
        <w:t>2</w:t>
      </w:r>
      <w:r w:rsidRPr="000537C6">
        <w:rPr>
          <w:vertAlign w:val="superscript"/>
          <w:lang w:val="fr-FR"/>
        </w:rPr>
        <w:t>o</w:t>
      </w:r>
      <w:r>
        <w:rPr>
          <w:lang w:val="fr-FR"/>
        </w:rPr>
        <w:t xml:space="preserve"> Un membre de la famille atteint d</w:t>
      </w:r>
      <w:r w:rsidR="009429B7">
        <w:rPr>
          <w:lang w:val="fr-FR"/>
        </w:rPr>
        <w:t>’</w:t>
      </w:r>
      <w:r>
        <w:rPr>
          <w:lang w:val="fr-FR"/>
        </w:rPr>
        <w:t>une maladie inscrite au règlement sanitaire international ;</w:t>
      </w:r>
    </w:p>
    <w:p w:rsidR="000537C6" w:rsidRDefault="000537C6" w:rsidP="00DE0F74">
      <w:pPr>
        <w:pStyle w:val="ECHRParaQuote"/>
        <w:rPr>
          <w:lang w:val="fr-FR"/>
        </w:rPr>
      </w:pPr>
      <w:r>
        <w:rPr>
          <w:lang w:val="fr-FR"/>
        </w:rPr>
        <w:t>3</w:t>
      </w:r>
      <w:r w:rsidRPr="000537C6">
        <w:rPr>
          <w:vertAlign w:val="superscript"/>
          <w:lang w:val="fr-FR"/>
        </w:rPr>
        <w:t>o</w:t>
      </w:r>
      <w:r>
        <w:rPr>
          <w:lang w:val="fr-FR"/>
        </w:rPr>
        <w:t xml:space="preserve"> Un membre de la famille résidant en France. »</w:t>
      </w:r>
    </w:p>
    <w:p w:rsidR="000537C6" w:rsidRDefault="000537C6" w:rsidP="00DE0F74">
      <w:pPr>
        <w:pStyle w:val="ECHRTitleCentre3"/>
        <w:rPr>
          <w:lang w:val="fr-FR"/>
        </w:rPr>
      </w:pPr>
      <w:r>
        <w:rPr>
          <w:lang w:val="fr-FR"/>
        </w:rPr>
        <w:lastRenderedPageBreak/>
        <w:t>Article L. 431-3</w:t>
      </w:r>
    </w:p>
    <w:p w:rsidR="000537C6" w:rsidRDefault="000537C6" w:rsidP="00DE0F74">
      <w:pPr>
        <w:pStyle w:val="ECHRParaQuote"/>
        <w:rPr>
          <w:lang w:val="fr-FR"/>
        </w:rPr>
      </w:pPr>
      <w:r>
        <w:rPr>
          <w:lang w:val="fr-FR"/>
        </w:rPr>
        <w:t>« </w:t>
      </w:r>
      <w:r w:rsidRPr="00303EF7">
        <w:rPr>
          <w:lang w:val="fr-FR"/>
        </w:rPr>
        <w:t>Le titre de séjour d</w:t>
      </w:r>
      <w:r w:rsidR="009429B7">
        <w:rPr>
          <w:lang w:val="fr-FR"/>
        </w:rPr>
        <w:t>’</w:t>
      </w:r>
      <w:r w:rsidRPr="00303EF7">
        <w:rPr>
          <w:lang w:val="fr-FR"/>
        </w:rPr>
        <w:t>un étranger qui n</w:t>
      </w:r>
      <w:r w:rsidR="009429B7">
        <w:rPr>
          <w:lang w:val="fr-FR"/>
        </w:rPr>
        <w:t>’</w:t>
      </w:r>
      <w:r w:rsidRPr="00303EF7">
        <w:rPr>
          <w:lang w:val="fr-FR"/>
        </w:rPr>
        <w:t xml:space="preserve">entre pas dans les catégories mentionnées aux </w:t>
      </w:r>
      <w:r>
        <w:rPr>
          <w:lang w:val="fr-FR"/>
        </w:rPr>
        <w:t xml:space="preserve">articles L. 521-2, L. 521-3 et L. 521-4 </w:t>
      </w:r>
      <w:r w:rsidRPr="00303EF7">
        <w:rPr>
          <w:lang w:val="fr-FR"/>
        </w:rPr>
        <w:t>peut faire l</w:t>
      </w:r>
      <w:r w:rsidR="009429B7">
        <w:rPr>
          <w:lang w:val="fr-FR"/>
        </w:rPr>
        <w:t>’</w:t>
      </w:r>
      <w:r w:rsidRPr="00303EF7">
        <w:rPr>
          <w:lang w:val="fr-FR"/>
        </w:rPr>
        <w:t>objet d</w:t>
      </w:r>
      <w:r w:rsidR="009429B7">
        <w:rPr>
          <w:lang w:val="fr-FR"/>
        </w:rPr>
        <w:t>’</w:t>
      </w:r>
      <w:r w:rsidRPr="00303EF7">
        <w:rPr>
          <w:lang w:val="fr-FR"/>
        </w:rPr>
        <w:t xml:space="preserve">un retrait lorsque son titulaire a fait venir son conjoint ou ses enfants en dehors de la procédure du regroupement familial. La décision de retrait du titre de séjour est prise après avis de la commission du titre de séjour mentionnée à </w:t>
      </w:r>
      <w:hyperlink r:id="rId12" w:history="1">
        <w:r w:rsidRPr="00303EF7">
          <w:rPr>
            <w:rStyle w:val="Hipercze"/>
            <w:color w:val="auto"/>
            <w:u w:val="none"/>
            <w:lang w:val="fr-FR"/>
          </w:rPr>
          <w:t>l</w:t>
        </w:r>
        <w:r w:rsidR="009429B7">
          <w:rPr>
            <w:rStyle w:val="Hipercze"/>
            <w:color w:val="auto"/>
            <w:u w:val="none"/>
            <w:lang w:val="fr-FR"/>
          </w:rPr>
          <w:t>’</w:t>
        </w:r>
        <w:r w:rsidRPr="00303EF7">
          <w:rPr>
            <w:rStyle w:val="Hipercze"/>
            <w:color w:val="auto"/>
            <w:u w:val="none"/>
            <w:lang w:val="fr-FR"/>
          </w:rPr>
          <w:t>article L. 312-1</w:t>
        </w:r>
      </w:hyperlink>
      <w:r>
        <w:rPr>
          <w:lang w:val="fr-FR"/>
        </w:rPr>
        <w:t>. »</w:t>
      </w:r>
    </w:p>
    <w:p w:rsidR="000537C6" w:rsidRDefault="000537C6" w:rsidP="00DE0F74">
      <w:pPr>
        <w:pStyle w:val="ECHRTitleCentre3"/>
        <w:rPr>
          <w:lang w:val="fr-FR"/>
        </w:rPr>
      </w:pPr>
      <w:r>
        <w:rPr>
          <w:lang w:val="fr-FR"/>
        </w:rPr>
        <w:t>Article L. 521-2</w:t>
      </w:r>
    </w:p>
    <w:p w:rsidR="000537C6" w:rsidRDefault="000537C6" w:rsidP="00DE0F74">
      <w:pPr>
        <w:pStyle w:val="ECHRParaQuote"/>
        <w:rPr>
          <w:lang w:val="fr-FR"/>
        </w:rPr>
      </w:pPr>
      <w:r>
        <w:rPr>
          <w:lang w:val="fr-FR"/>
        </w:rPr>
        <w:t>« Ne peuvent faire l</w:t>
      </w:r>
      <w:r w:rsidR="009429B7">
        <w:rPr>
          <w:lang w:val="fr-FR"/>
        </w:rPr>
        <w:t>’</w:t>
      </w:r>
      <w:r>
        <w:rPr>
          <w:lang w:val="fr-FR"/>
        </w:rPr>
        <w:t>objet d</w:t>
      </w:r>
      <w:r w:rsidR="009429B7">
        <w:rPr>
          <w:lang w:val="fr-FR"/>
        </w:rPr>
        <w:t>’</w:t>
      </w:r>
      <w:r>
        <w:rPr>
          <w:lang w:val="fr-FR"/>
        </w:rPr>
        <w:t>une mesure d</w:t>
      </w:r>
      <w:r w:rsidR="009429B7">
        <w:rPr>
          <w:lang w:val="fr-FR"/>
        </w:rPr>
        <w:t>’</w:t>
      </w:r>
      <w:r>
        <w:rPr>
          <w:lang w:val="fr-FR"/>
        </w:rPr>
        <w:t>expulsion que si cette mesure constitue une nécessité impérieuse pour la sûreté de l</w:t>
      </w:r>
      <w:r w:rsidR="009429B7">
        <w:rPr>
          <w:lang w:val="fr-FR"/>
        </w:rPr>
        <w:t>’</w:t>
      </w:r>
      <w:r>
        <w:rPr>
          <w:lang w:val="fr-FR"/>
        </w:rPr>
        <w:t xml:space="preserve">État ou la sécurité publique et sous réserve que les dispositions de </w:t>
      </w:r>
      <w:r w:rsidRPr="002C78C5">
        <w:rPr>
          <w:lang w:val="fr-FR"/>
        </w:rPr>
        <w:t>l</w:t>
      </w:r>
      <w:r w:rsidR="009429B7">
        <w:rPr>
          <w:lang w:val="fr-FR"/>
        </w:rPr>
        <w:t>’</w:t>
      </w:r>
      <w:r w:rsidRPr="002C78C5">
        <w:rPr>
          <w:lang w:val="fr-FR"/>
        </w:rPr>
        <w:t xml:space="preserve">article </w:t>
      </w:r>
      <w:hyperlink r:id="rId13" w:history="1">
        <w:r w:rsidRPr="002C78C5">
          <w:rPr>
            <w:rStyle w:val="Hipercze"/>
            <w:color w:val="auto"/>
            <w:u w:val="none"/>
            <w:lang w:val="fr-FR"/>
          </w:rPr>
          <w:t xml:space="preserve">L. 521-3 </w:t>
        </w:r>
      </w:hyperlink>
      <w:r w:rsidRPr="002C78C5">
        <w:rPr>
          <w:lang w:val="fr-FR"/>
        </w:rPr>
        <w:t>n</w:t>
      </w:r>
      <w:r w:rsidR="009429B7">
        <w:rPr>
          <w:lang w:val="fr-FR"/>
        </w:rPr>
        <w:t>’</w:t>
      </w:r>
      <w:r w:rsidRPr="002C78C5">
        <w:rPr>
          <w:lang w:val="fr-FR"/>
        </w:rPr>
        <w:t xml:space="preserve">y fassent </w:t>
      </w:r>
      <w:r>
        <w:rPr>
          <w:lang w:val="fr-FR"/>
        </w:rPr>
        <w:t>pas obstacle :</w:t>
      </w:r>
    </w:p>
    <w:p w:rsidR="000537C6" w:rsidRDefault="000537C6" w:rsidP="00DE0F74">
      <w:pPr>
        <w:pStyle w:val="ECHRParaQuote"/>
        <w:rPr>
          <w:lang w:val="fr-FR"/>
        </w:rPr>
      </w:pPr>
      <w:r>
        <w:rPr>
          <w:lang w:val="fr-FR"/>
        </w:rPr>
        <w:t>1</w:t>
      </w:r>
      <w:r w:rsidRPr="000537C6">
        <w:rPr>
          <w:vertAlign w:val="superscript"/>
          <w:lang w:val="fr-FR"/>
        </w:rPr>
        <w:t>o</w:t>
      </w:r>
      <w:r>
        <w:rPr>
          <w:lang w:val="fr-FR"/>
        </w:rPr>
        <w:t xml:space="preserve"> L</w:t>
      </w:r>
      <w:r w:rsidR="009429B7">
        <w:rPr>
          <w:lang w:val="fr-FR"/>
        </w:rPr>
        <w:t>’</w:t>
      </w:r>
      <w:r>
        <w:rPr>
          <w:lang w:val="fr-FR"/>
        </w:rPr>
        <w:t>étranger, ne vivant pas en état de polygamie, qui est père ou mère d</w:t>
      </w:r>
      <w:r w:rsidR="009429B7">
        <w:rPr>
          <w:lang w:val="fr-FR"/>
        </w:rPr>
        <w:t>’</w:t>
      </w:r>
      <w:r>
        <w:rPr>
          <w:lang w:val="fr-FR"/>
        </w:rPr>
        <w:t>un enfant français mineur résidant en France, à condition qu</w:t>
      </w:r>
      <w:r w:rsidR="009429B7">
        <w:rPr>
          <w:lang w:val="fr-FR"/>
        </w:rPr>
        <w:t>’</w:t>
      </w:r>
      <w:r>
        <w:rPr>
          <w:lang w:val="fr-FR"/>
        </w:rPr>
        <w:t>il établisse contribuer effectivement à l</w:t>
      </w:r>
      <w:r w:rsidR="009429B7">
        <w:rPr>
          <w:lang w:val="fr-FR"/>
        </w:rPr>
        <w:t>’</w:t>
      </w:r>
      <w:r>
        <w:rPr>
          <w:lang w:val="fr-FR"/>
        </w:rPr>
        <w:t>entretien et à l</w:t>
      </w:r>
      <w:r w:rsidR="009429B7">
        <w:rPr>
          <w:lang w:val="fr-FR"/>
        </w:rPr>
        <w:t>’</w:t>
      </w:r>
      <w:r>
        <w:rPr>
          <w:lang w:val="fr-FR"/>
        </w:rPr>
        <w:t>éducation de l</w:t>
      </w:r>
      <w:r w:rsidR="009429B7">
        <w:rPr>
          <w:lang w:val="fr-FR"/>
        </w:rPr>
        <w:t>’</w:t>
      </w:r>
      <w:r>
        <w:rPr>
          <w:lang w:val="fr-FR"/>
        </w:rPr>
        <w:t xml:space="preserve">enfant dans les conditions prévues par </w:t>
      </w:r>
      <w:r w:rsidRPr="002C78C5">
        <w:rPr>
          <w:lang w:val="fr-FR"/>
        </w:rPr>
        <w:t>l</w:t>
      </w:r>
      <w:r w:rsidR="009429B7">
        <w:rPr>
          <w:lang w:val="fr-FR"/>
        </w:rPr>
        <w:t>’</w:t>
      </w:r>
      <w:r w:rsidRPr="002C78C5">
        <w:rPr>
          <w:lang w:val="fr-FR"/>
        </w:rPr>
        <w:t xml:space="preserve">article </w:t>
      </w:r>
      <w:r w:rsidRPr="00A01ABF">
        <w:rPr>
          <w:lang w:val="fr-FR"/>
        </w:rPr>
        <w:t xml:space="preserve">371-2 </w:t>
      </w:r>
      <w:r>
        <w:rPr>
          <w:lang w:val="fr-FR"/>
        </w:rPr>
        <w:t>du code civil depuis la naissance de celui-ci ou depuis au moins un an ;</w:t>
      </w:r>
    </w:p>
    <w:p w:rsidR="000537C6" w:rsidRDefault="000537C6" w:rsidP="00DE0F74">
      <w:pPr>
        <w:pStyle w:val="ECHRParaQuote"/>
        <w:rPr>
          <w:lang w:val="fr-FR"/>
        </w:rPr>
      </w:pPr>
      <w:r>
        <w:rPr>
          <w:lang w:val="fr-FR"/>
        </w:rPr>
        <w:t>(...)</w:t>
      </w:r>
    </w:p>
    <w:p w:rsidR="000537C6" w:rsidRDefault="000537C6" w:rsidP="00DE0F74">
      <w:pPr>
        <w:pStyle w:val="ECHRParaQuote"/>
        <w:rPr>
          <w:lang w:val="fr-FR"/>
        </w:rPr>
      </w:pPr>
      <w:r>
        <w:rPr>
          <w:lang w:val="fr-FR"/>
        </w:rPr>
        <w:t>4</w:t>
      </w:r>
      <w:r w:rsidRPr="000537C6">
        <w:rPr>
          <w:vertAlign w:val="superscript"/>
          <w:lang w:val="fr-FR"/>
        </w:rPr>
        <w:t>o</w:t>
      </w:r>
      <w:r>
        <w:rPr>
          <w:lang w:val="fr-FR"/>
        </w:rPr>
        <w:t xml:space="preserve"> L</w:t>
      </w:r>
      <w:r w:rsidR="009429B7">
        <w:rPr>
          <w:lang w:val="fr-FR"/>
        </w:rPr>
        <w:t>’</w:t>
      </w:r>
      <w:r>
        <w:rPr>
          <w:lang w:val="fr-FR"/>
        </w:rPr>
        <w:t>étranger qui réside régulièrement en France depuis plus de dix ans, sauf s</w:t>
      </w:r>
      <w:r w:rsidR="009429B7">
        <w:rPr>
          <w:lang w:val="fr-FR"/>
        </w:rPr>
        <w:t>’</w:t>
      </w:r>
      <w:r>
        <w:rPr>
          <w:lang w:val="fr-FR"/>
        </w:rPr>
        <w:t>il a été, pendant toute cette période, titulaire d</w:t>
      </w:r>
      <w:r w:rsidR="009429B7">
        <w:rPr>
          <w:lang w:val="fr-FR"/>
        </w:rPr>
        <w:t>’</w:t>
      </w:r>
      <w:r>
        <w:rPr>
          <w:lang w:val="fr-FR"/>
        </w:rPr>
        <w:t>une carte de séjour temporaire portant la mention " étudiant ". »</w:t>
      </w:r>
    </w:p>
    <w:p w:rsidR="000537C6" w:rsidRPr="001D63DA" w:rsidRDefault="000537C6" w:rsidP="00DE0F74">
      <w:pPr>
        <w:pStyle w:val="ECHRHeading3"/>
        <w:rPr>
          <w:rFonts w:eastAsia="Times New Roman"/>
          <w:lang w:val="fr-FR"/>
        </w:rPr>
      </w:pPr>
      <w:r>
        <w:rPr>
          <w:rFonts w:eastAsia="Times New Roman"/>
          <w:lang w:val="fr-FR"/>
        </w:rPr>
        <w:t>3</w:t>
      </w:r>
      <w:r w:rsidRPr="001D63DA">
        <w:rPr>
          <w:rFonts w:eastAsia="Times New Roman"/>
          <w:lang w:val="fr-FR"/>
        </w:rPr>
        <w:t>. L</w:t>
      </w:r>
      <w:r w:rsidR="009429B7">
        <w:rPr>
          <w:rFonts w:eastAsia="Times New Roman"/>
          <w:lang w:val="fr-FR"/>
        </w:rPr>
        <w:t>’</w:t>
      </w:r>
      <w:r w:rsidRPr="001D63DA">
        <w:rPr>
          <w:rFonts w:eastAsia="Times New Roman"/>
          <w:lang w:val="fr-FR"/>
        </w:rPr>
        <w:t>évolution de la jurisprudence</w:t>
      </w:r>
    </w:p>
    <w:p w:rsidR="000537C6" w:rsidRPr="001D63DA" w:rsidRDefault="000537C6" w:rsidP="00DE0F74">
      <w:pPr>
        <w:pStyle w:val="ECHRPara"/>
        <w:rPr>
          <w:lang w:val="fr-FR"/>
        </w:rPr>
      </w:pPr>
      <w:r>
        <w:rPr>
          <w:lang w:val="fr-FR"/>
        </w:rPr>
        <w:t>23.  </w:t>
      </w:r>
      <w:r w:rsidRPr="001D63DA">
        <w:rPr>
          <w:lang w:val="fr-FR"/>
        </w:rPr>
        <w:t>Par un arrêt du 6 décembre 2006, la Cour de cassation, appliquant le code de la sécurité sociale dans sa version antérieure à loi du 19</w:t>
      </w:r>
      <w:r>
        <w:rPr>
          <w:lang w:val="fr-FR"/>
        </w:rPr>
        <w:t> </w:t>
      </w:r>
      <w:r w:rsidRPr="001D63DA">
        <w:rPr>
          <w:lang w:val="fr-FR"/>
        </w:rPr>
        <w:t>décembre</w:t>
      </w:r>
      <w:r>
        <w:rPr>
          <w:lang w:val="fr-FR"/>
        </w:rPr>
        <w:t> </w:t>
      </w:r>
      <w:r w:rsidRPr="001D63DA">
        <w:rPr>
          <w:lang w:val="fr-FR"/>
        </w:rPr>
        <w:t>2005, a jugé que le fait de subordonner à la production d</w:t>
      </w:r>
      <w:r w:rsidR="009429B7">
        <w:rPr>
          <w:lang w:val="fr-FR"/>
        </w:rPr>
        <w:t>’</w:t>
      </w:r>
      <w:r w:rsidRPr="001D63DA">
        <w:rPr>
          <w:lang w:val="fr-FR"/>
        </w:rPr>
        <w:t>un justificatif de la régularité du séjour des enfants mineurs le bénéfice des prestations familiales portait une atteinte disproportionnée au principe de non-discrimination et au droit à la protection de la vie familiale.</w:t>
      </w:r>
    </w:p>
    <w:p w:rsidR="000537C6" w:rsidRPr="001D63DA" w:rsidRDefault="000537C6" w:rsidP="00DE0F74">
      <w:pPr>
        <w:pStyle w:val="ECHRPara"/>
        <w:rPr>
          <w:lang w:val="fr-FR"/>
        </w:rPr>
      </w:pPr>
      <w:r>
        <w:rPr>
          <w:lang w:val="fr-FR"/>
        </w:rPr>
        <w:t>24.  </w:t>
      </w:r>
      <w:r w:rsidRPr="001D63DA">
        <w:rPr>
          <w:lang w:val="fr-FR"/>
        </w:rPr>
        <w:t>Par décision du 15 décembre 2005, le Conseil constitutionnel a validé la disposition concernée de la loi du 19 décembre 2005, pour les motifs suivants :</w:t>
      </w:r>
    </w:p>
    <w:p w:rsidR="000537C6" w:rsidRPr="001D63DA" w:rsidRDefault="000537C6" w:rsidP="00DE0F74">
      <w:pPr>
        <w:pStyle w:val="ECHRParaQuote"/>
        <w:rPr>
          <w:lang w:val="fr-FR"/>
        </w:rPr>
      </w:pPr>
      <w:r w:rsidRPr="001D63DA">
        <w:rPr>
          <w:lang w:val="fr-FR"/>
        </w:rPr>
        <w:t>« 15. Considérant, en premier lieu, que la procédure de regroupement familial établie par le livre IV du code de l</w:t>
      </w:r>
      <w:r w:rsidR="009429B7">
        <w:rPr>
          <w:lang w:val="fr-FR"/>
        </w:rPr>
        <w:t>’</w:t>
      </w:r>
      <w:r w:rsidRPr="001D63DA">
        <w:rPr>
          <w:lang w:val="fr-FR"/>
        </w:rPr>
        <w:t>entrée et du séjour des étrangers et du droit d</w:t>
      </w:r>
      <w:r w:rsidR="009429B7">
        <w:rPr>
          <w:lang w:val="fr-FR"/>
        </w:rPr>
        <w:t>’</w:t>
      </w:r>
      <w:r w:rsidRPr="001D63DA">
        <w:rPr>
          <w:lang w:val="fr-FR"/>
        </w:rPr>
        <w:t>asile est une garantie légale du droit des étrangers établis de manière stable et régulière en France à y mener une vie familiale normale ; que cette procédure ne méconnaît ni le dixième alinéa du Préambule de la Constitution de 1946, ni le principe d</w:t>
      </w:r>
      <w:r w:rsidR="009429B7">
        <w:rPr>
          <w:lang w:val="fr-FR"/>
        </w:rPr>
        <w:t>’</w:t>
      </w:r>
      <w:r w:rsidRPr="001D63DA">
        <w:rPr>
          <w:lang w:val="fr-FR"/>
        </w:rPr>
        <w:t>égalité, dès lors qu</w:t>
      </w:r>
      <w:r w:rsidR="009429B7">
        <w:rPr>
          <w:lang w:val="fr-FR"/>
        </w:rPr>
        <w:t>’</w:t>
      </w:r>
      <w:r w:rsidRPr="001D63DA">
        <w:rPr>
          <w:lang w:val="fr-FR"/>
        </w:rPr>
        <w:t>elle fixe à cet égard des règles adéquates et proportionnées ; qu</w:t>
      </w:r>
      <w:r w:rsidR="009429B7">
        <w:rPr>
          <w:lang w:val="fr-FR"/>
        </w:rPr>
        <w:t>’</w:t>
      </w:r>
      <w:r w:rsidRPr="001D63DA">
        <w:rPr>
          <w:lang w:val="fr-FR"/>
        </w:rPr>
        <w:t>en particulier, elle n</w:t>
      </w:r>
      <w:r w:rsidR="009429B7">
        <w:rPr>
          <w:lang w:val="fr-FR"/>
        </w:rPr>
        <w:t>’</w:t>
      </w:r>
      <w:r w:rsidRPr="001D63DA">
        <w:rPr>
          <w:lang w:val="fr-FR"/>
        </w:rPr>
        <w:t>interdit pas de déroger à la règle selon laquelle le regroupement familial ne peut être demandé que pour des enfants résidant hors de France à la date de la demande ;</w:t>
      </w:r>
    </w:p>
    <w:p w:rsidR="000537C6" w:rsidRPr="001D63DA" w:rsidRDefault="000537C6" w:rsidP="00DE0F74">
      <w:pPr>
        <w:pStyle w:val="ECHRParaQuote"/>
        <w:rPr>
          <w:lang w:val="fr-FR"/>
        </w:rPr>
      </w:pPr>
      <w:r w:rsidRPr="001D63DA">
        <w:rPr>
          <w:lang w:val="fr-FR"/>
        </w:rPr>
        <w:t>16. Considérant, en deuxième lieu, qu</w:t>
      </w:r>
      <w:r w:rsidR="009429B7">
        <w:rPr>
          <w:lang w:val="fr-FR"/>
        </w:rPr>
        <w:t>’</w:t>
      </w:r>
      <w:r w:rsidRPr="001D63DA">
        <w:rPr>
          <w:lang w:val="fr-FR"/>
        </w:rPr>
        <w:t>en adoptant la disposition contestée, le législateur a entendu éviter que l</w:t>
      </w:r>
      <w:r w:rsidR="009429B7">
        <w:rPr>
          <w:lang w:val="fr-FR"/>
        </w:rPr>
        <w:t>’</w:t>
      </w:r>
      <w:r w:rsidRPr="001D63DA">
        <w:rPr>
          <w:lang w:val="fr-FR"/>
        </w:rPr>
        <w:t>attribution de prestations familiales au titre d</w:t>
      </w:r>
      <w:r w:rsidR="009429B7">
        <w:rPr>
          <w:lang w:val="fr-FR"/>
        </w:rPr>
        <w:t>’</w:t>
      </w:r>
      <w:r w:rsidRPr="001D63DA">
        <w:rPr>
          <w:lang w:val="fr-FR"/>
        </w:rPr>
        <w:t>enfants entrés en France en méconnaissance des règles du regroupement familial ne prive celles-ci d</w:t>
      </w:r>
      <w:r w:rsidR="009429B7">
        <w:rPr>
          <w:lang w:val="fr-FR"/>
        </w:rPr>
        <w:t>’</w:t>
      </w:r>
      <w:r w:rsidRPr="001D63DA">
        <w:rPr>
          <w:lang w:val="fr-FR"/>
        </w:rPr>
        <w:t>effectivité et n</w:t>
      </w:r>
      <w:r w:rsidR="009429B7">
        <w:rPr>
          <w:lang w:val="fr-FR"/>
        </w:rPr>
        <w:t>’</w:t>
      </w:r>
      <w:r w:rsidRPr="001D63DA">
        <w:rPr>
          <w:lang w:val="fr-FR"/>
        </w:rPr>
        <w:t>incite un ressortissant étranger à faire venir ses enfants sans que soit vérifiée sa capacité à leur offrir des conditions de vie et de logement décentes, qui sont celles qui prévalent en France, pays d</w:t>
      </w:r>
      <w:r w:rsidR="009429B7">
        <w:rPr>
          <w:lang w:val="fr-FR"/>
        </w:rPr>
        <w:t>’</w:t>
      </w:r>
      <w:r w:rsidRPr="001D63DA">
        <w:rPr>
          <w:lang w:val="fr-FR"/>
        </w:rPr>
        <w:t>accueil ; qu</w:t>
      </w:r>
      <w:r w:rsidR="009429B7">
        <w:rPr>
          <w:lang w:val="fr-FR"/>
        </w:rPr>
        <w:t>’</w:t>
      </w:r>
      <w:r w:rsidRPr="001D63DA">
        <w:rPr>
          <w:lang w:val="fr-FR"/>
        </w:rPr>
        <w:t>en portant une telle appréciation, le législateur n</w:t>
      </w:r>
      <w:r w:rsidR="009429B7">
        <w:rPr>
          <w:lang w:val="fr-FR"/>
        </w:rPr>
        <w:t>’</w:t>
      </w:r>
      <w:r w:rsidRPr="001D63DA">
        <w:rPr>
          <w:lang w:val="fr-FR"/>
        </w:rPr>
        <w:t>a pas opéré, entre les exigences constitutionnelles en cause, une conciliation manifestement déséquilibrée ;</w:t>
      </w:r>
    </w:p>
    <w:p w:rsidR="000537C6" w:rsidRDefault="000537C6" w:rsidP="00DE0F74">
      <w:pPr>
        <w:pStyle w:val="ECHRParaQuote"/>
        <w:ind w:firstLine="0"/>
        <w:rPr>
          <w:lang w:val="fr-FR"/>
        </w:rPr>
      </w:pPr>
      <w:r w:rsidRPr="001D63DA">
        <w:rPr>
          <w:lang w:val="fr-FR"/>
        </w:rPr>
        <w:lastRenderedPageBreak/>
        <w:t>17. Considérant, en troisième lieu, que la différence établie par le législateur entre les enfants entrés en France dans le cadre de la procédure de regroupement familial et ceux qui y sont entrés en méconnaissance de cette procédure est en rapport avec l</w:t>
      </w:r>
      <w:r w:rsidR="009429B7">
        <w:rPr>
          <w:lang w:val="fr-FR"/>
        </w:rPr>
        <w:t>’</w:t>
      </w:r>
      <w:r w:rsidRPr="001D63DA">
        <w:rPr>
          <w:lang w:val="fr-FR"/>
        </w:rPr>
        <w:t>objectif qu</w:t>
      </w:r>
      <w:r w:rsidR="009429B7">
        <w:rPr>
          <w:lang w:val="fr-FR"/>
        </w:rPr>
        <w:t>’</w:t>
      </w:r>
      <w:r w:rsidRPr="001D63DA">
        <w:rPr>
          <w:lang w:val="fr-FR"/>
        </w:rPr>
        <w:t>il s</w:t>
      </w:r>
      <w:r w:rsidR="009429B7">
        <w:rPr>
          <w:lang w:val="fr-FR"/>
        </w:rPr>
        <w:t>’</w:t>
      </w:r>
      <w:r w:rsidRPr="001D63DA">
        <w:rPr>
          <w:lang w:val="fr-FR"/>
        </w:rPr>
        <w:t>est fixé ; que doit être dès lors rejeté le moyen tiré d</w:t>
      </w:r>
      <w:r w:rsidR="009429B7">
        <w:rPr>
          <w:lang w:val="fr-FR"/>
        </w:rPr>
        <w:t>’</w:t>
      </w:r>
      <w:r w:rsidRPr="001D63DA">
        <w:rPr>
          <w:lang w:val="fr-FR"/>
        </w:rPr>
        <w:t>une rupture d</w:t>
      </w:r>
      <w:r w:rsidR="009429B7">
        <w:rPr>
          <w:lang w:val="fr-FR"/>
        </w:rPr>
        <w:t>’</w:t>
      </w:r>
      <w:r w:rsidRPr="001D63DA">
        <w:rPr>
          <w:lang w:val="fr-FR"/>
        </w:rPr>
        <w:t>égalité ;</w:t>
      </w:r>
    </w:p>
    <w:p w:rsidR="000537C6" w:rsidRPr="001D63DA" w:rsidRDefault="000537C6" w:rsidP="00DE0F74">
      <w:pPr>
        <w:pStyle w:val="ECHRParaQuote"/>
        <w:ind w:firstLine="0"/>
        <w:rPr>
          <w:lang w:val="fr-FR"/>
        </w:rPr>
      </w:pPr>
      <w:r w:rsidRPr="001D63DA">
        <w:rPr>
          <w:lang w:val="fr-FR"/>
        </w:rPr>
        <w:t>18. Considérant, toutefois, que, lorsqu</w:t>
      </w:r>
      <w:r w:rsidR="009429B7">
        <w:rPr>
          <w:lang w:val="fr-FR"/>
        </w:rPr>
        <w:t>’</w:t>
      </w:r>
      <w:r w:rsidRPr="001D63DA">
        <w:rPr>
          <w:lang w:val="fr-FR"/>
        </w:rPr>
        <w:t>il sera procédé, dans le cadre de la procédure de regroupement familial, à la régularisation de la situation d</w:t>
      </w:r>
      <w:r w:rsidR="009429B7">
        <w:rPr>
          <w:lang w:val="fr-FR"/>
        </w:rPr>
        <w:t>’</w:t>
      </w:r>
      <w:r w:rsidRPr="001D63DA">
        <w:rPr>
          <w:lang w:val="fr-FR"/>
        </w:rPr>
        <w:t>un enfant déjà entré en France, cet enfant devra ouvrir droit aux prestations familiales</w:t>
      </w:r>
      <w:r>
        <w:rPr>
          <w:lang w:val="fr-FR"/>
        </w:rPr>
        <w:t> ;</w:t>
      </w:r>
      <w:r w:rsidRPr="001D63DA">
        <w:rPr>
          <w:lang w:val="fr-FR"/>
        </w:rPr>
        <w:t> ».</w:t>
      </w:r>
    </w:p>
    <w:p w:rsidR="000537C6" w:rsidRPr="001D63DA" w:rsidRDefault="000537C6" w:rsidP="00DE0F74">
      <w:pPr>
        <w:pStyle w:val="ECHRPara"/>
        <w:ind w:firstLine="431"/>
        <w:rPr>
          <w:lang w:val="fr-FR"/>
        </w:rPr>
      </w:pPr>
      <w:r>
        <w:rPr>
          <w:lang w:val="fr-FR"/>
        </w:rPr>
        <w:t>25.  </w:t>
      </w:r>
      <w:r w:rsidRPr="001D63DA">
        <w:rPr>
          <w:lang w:val="fr-FR"/>
        </w:rPr>
        <w:t>Par deux arrêts d</w:t>
      </w:r>
      <w:r w:rsidR="009429B7">
        <w:rPr>
          <w:lang w:val="fr-FR"/>
        </w:rPr>
        <w:t>’</w:t>
      </w:r>
      <w:r w:rsidRPr="001D63DA">
        <w:rPr>
          <w:lang w:val="fr-FR"/>
        </w:rPr>
        <w:t>assemblée plénière du 3 juin 2011 (dont celui donnant lieu à la requête n</w:t>
      </w:r>
      <w:r w:rsidRPr="000537C6">
        <w:rPr>
          <w:vertAlign w:val="superscript"/>
          <w:lang w:val="fr-FR"/>
        </w:rPr>
        <w:t>o</w:t>
      </w:r>
      <w:r w:rsidRPr="001D63DA">
        <w:rPr>
          <w:lang w:val="fr-FR"/>
        </w:rPr>
        <w:t xml:space="preserve"> 76860/11), la Cour de cassation a estimé que les nouveaux articles L. 512-2 et D. 512-2 du code de la sécurité sociale revêtaient un caractère objectif justifié par la nécessité, dans un État démocratique, d</w:t>
      </w:r>
      <w:r w:rsidR="009429B7">
        <w:rPr>
          <w:lang w:val="fr-FR"/>
        </w:rPr>
        <w:t>’</w:t>
      </w:r>
      <w:r w:rsidRPr="001D63DA">
        <w:rPr>
          <w:lang w:val="fr-FR"/>
        </w:rPr>
        <w:t>exercer un contrôle des conditions d</w:t>
      </w:r>
      <w:r w:rsidR="009429B7">
        <w:rPr>
          <w:lang w:val="fr-FR"/>
        </w:rPr>
        <w:t>’</w:t>
      </w:r>
      <w:r w:rsidRPr="001D63DA">
        <w:rPr>
          <w:lang w:val="fr-FR"/>
        </w:rPr>
        <w:t>accueil des enfants et ne portaient pas une atteinte disproportionnée au droit à la vie familiale garanti par les article 8 et 14 de la Convention ni ne méconnaissaient les dispositions de l</w:t>
      </w:r>
      <w:r w:rsidR="009429B7">
        <w:rPr>
          <w:lang w:val="fr-FR"/>
        </w:rPr>
        <w:t>’</w:t>
      </w:r>
      <w:r w:rsidRPr="001D63DA">
        <w:rPr>
          <w:lang w:val="fr-FR"/>
        </w:rPr>
        <w:t>article 3-1 de la Convention internationale des droits de l</w:t>
      </w:r>
      <w:r w:rsidR="009429B7">
        <w:rPr>
          <w:lang w:val="fr-FR"/>
        </w:rPr>
        <w:t>’</w:t>
      </w:r>
      <w:r w:rsidRPr="001D63DA">
        <w:rPr>
          <w:lang w:val="fr-FR"/>
        </w:rPr>
        <w:t>enfant.</w:t>
      </w:r>
    </w:p>
    <w:p w:rsidR="000537C6" w:rsidRPr="001D63DA" w:rsidRDefault="000537C6" w:rsidP="00DE0F74">
      <w:pPr>
        <w:pStyle w:val="ECHRPara"/>
        <w:ind w:firstLine="431"/>
        <w:rPr>
          <w:lang w:val="fr-FR"/>
        </w:rPr>
      </w:pPr>
      <w:r>
        <w:rPr>
          <w:lang w:val="fr-FR"/>
        </w:rPr>
        <w:t>26.  </w:t>
      </w:r>
      <w:r w:rsidRPr="001D63DA">
        <w:rPr>
          <w:lang w:val="fr-FR"/>
        </w:rPr>
        <w:t>Néanmoins, par deux arrêts d</w:t>
      </w:r>
      <w:r w:rsidR="009429B7">
        <w:rPr>
          <w:lang w:val="fr-FR"/>
        </w:rPr>
        <w:t>’</w:t>
      </w:r>
      <w:r w:rsidRPr="001D63DA">
        <w:rPr>
          <w:lang w:val="fr-FR"/>
        </w:rPr>
        <w:t>assemblée plénière du 5 avril 2013, la Cour de cassation a jugé que ces textes ne pouvaient s</w:t>
      </w:r>
      <w:r w:rsidR="009429B7">
        <w:rPr>
          <w:lang w:val="fr-FR"/>
        </w:rPr>
        <w:t>’</w:t>
      </w:r>
      <w:r w:rsidRPr="001D63DA">
        <w:rPr>
          <w:lang w:val="fr-FR"/>
        </w:rPr>
        <w:t>appliquer lorsque les intéressés étaient ressortissants d</w:t>
      </w:r>
      <w:r w:rsidR="009429B7">
        <w:rPr>
          <w:lang w:val="fr-FR"/>
        </w:rPr>
        <w:t>’</w:t>
      </w:r>
      <w:r w:rsidRPr="001D63DA">
        <w:rPr>
          <w:lang w:val="fr-FR"/>
        </w:rPr>
        <w:t>un pays lié à la Communauté européenne (devenue Union européenne) par un accord interdisant toute discrimination fondée sur la nationalité dans le domaine des prestations familiales, à l</w:t>
      </w:r>
      <w:r w:rsidR="009429B7">
        <w:rPr>
          <w:lang w:val="fr-FR"/>
        </w:rPr>
        <w:t>’</w:t>
      </w:r>
      <w:r w:rsidRPr="001D63DA">
        <w:rPr>
          <w:lang w:val="fr-FR"/>
        </w:rPr>
        <w:t>instar de la Turquie et de l</w:t>
      </w:r>
      <w:r w:rsidR="009429B7">
        <w:rPr>
          <w:lang w:val="fr-FR"/>
        </w:rPr>
        <w:t>’</w:t>
      </w:r>
      <w:r w:rsidRPr="001D63DA">
        <w:rPr>
          <w:lang w:val="fr-FR"/>
        </w:rPr>
        <w:t>Algérie dans les cas d</w:t>
      </w:r>
      <w:r w:rsidR="009429B7">
        <w:rPr>
          <w:lang w:val="fr-FR"/>
        </w:rPr>
        <w:t>’</w:t>
      </w:r>
      <w:r w:rsidRPr="001D63DA">
        <w:rPr>
          <w:lang w:val="fr-FR"/>
        </w:rPr>
        <w:t>espèce.</w:t>
      </w:r>
    </w:p>
    <w:p w:rsidR="000537C6" w:rsidRPr="001D63DA" w:rsidRDefault="000537C6" w:rsidP="00DE0F74">
      <w:pPr>
        <w:pStyle w:val="ECHRPara"/>
        <w:ind w:firstLine="431"/>
        <w:rPr>
          <w:lang w:val="fr-FR"/>
        </w:rPr>
      </w:pPr>
      <w:r>
        <w:rPr>
          <w:lang w:val="fr-FR"/>
        </w:rPr>
        <w:t>27.  </w:t>
      </w:r>
      <w:r w:rsidRPr="001D63DA">
        <w:rPr>
          <w:lang w:val="fr-FR"/>
        </w:rPr>
        <w:t>Des autorités administratives telles que la HALDE et la Défenseure des enfants (notamment dans un avis du 9 juin 2004) ont estimé que la distinction réalisée pour l</w:t>
      </w:r>
      <w:r w:rsidR="009429B7">
        <w:rPr>
          <w:lang w:val="fr-FR"/>
        </w:rPr>
        <w:t>’</w:t>
      </w:r>
      <w:r w:rsidRPr="001D63DA">
        <w:rPr>
          <w:lang w:val="fr-FR"/>
        </w:rPr>
        <w:t>attribution des prestations familiales était contraire au principe de non-discrimination posé par la Convention.</w:t>
      </w:r>
    </w:p>
    <w:p w:rsidR="000537C6" w:rsidRPr="00244D07" w:rsidRDefault="000537C6" w:rsidP="00DE0F74">
      <w:pPr>
        <w:pStyle w:val="ECHRTitle1"/>
        <w:rPr>
          <w:lang w:val="fr-FR"/>
        </w:rPr>
      </w:pPr>
      <w:r w:rsidRPr="00244D07">
        <w:rPr>
          <w:lang w:val="fr-FR"/>
        </w:rPr>
        <w:t>GRIEFS</w:t>
      </w:r>
    </w:p>
    <w:p w:rsidR="000537C6" w:rsidRPr="001D63DA" w:rsidRDefault="000537C6" w:rsidP="00DE0F74">
      <w:pPr>
        <w:pStyle w:val="ECHRPara"/>
        <w:rPr>
          <w:lang w:val="fr-FR"/>
        </w:rPr>
      </w:pPr>
      <w:bookmarkStart w:id="2" w:name="ListComplaint"/>
      <w:bookmarkEnd w:id="2"/>
      <w:r>
        <w:rPr>
          <w:lang w:val="fr-FR"/>
        </w:rPr>
        <w:t>28.  Invoquant l</w:t>
      </w:r>
      <w:r w:rsidR="009429B7">
        <w:rPr>
          <w:lang w:val="fr-FR"/>
        </w:rPr>
        <w:t>’</w:t>
      </w:r>
      <w:r w:rsidRPr="001D63DA">
        <w:rPr>
          <w:lang w:val="fr-FR"/>
        </w:rPr>
        <w:t>article 14 de la Convention combiné avec l</w:t>
      </w:r>
      <w:r w:rsidR="009429B7">
        <w:rPr>
          <w:lang w:val="fr-FR"/>
        </w:rPr>
        <w:t>’</w:t>
      </w:r>
      <w:r w:rsidRPr="001D63DA">
        <w:rPr>
          <w:lang w:val="fr-FR"/>
        </w:rPr>
        <w:t>article 8, ainsi que l</w:t>
      </w:r>
      <w:r w:rsidR="009429B7">
        <w:rPr>
          <w:lang w:val="fr-FR"/>
        </w:rPr>
        <w:t>’</w:t>
      </w:r>
      <w:r w:rsidRPr="001D63DA">
        <w:rPr>
          <w:lang w:val="fr-FR"/>
        </w:rPr>
        <w:t>article 14 combiné à l</w:t>
      </w:r>
      <w:r w:rsidR="009429B7">
        <w:rPr>
          <w:lang w:val="fr-FR"/>
        </w:rPr>
        <w:t>’</w:t>
      </w:r>
      <w:r w:rsidRPr="001D63DA">
        <w:rPr>
          <w:lang w:val="fr-FR"/>
        </w:rPr>
        <w:t xml:space="preserve">article 1 du Protocole </w:t>
      </w:r>
      <w:r>
        <w:rPr>
          <w:lang w:val="fr-FR"/>
        </w:rPr>
        <w:t>n</w:t>
      </w:r>
      <w:r w:rsidRPr="000537C6">
        <w:rPr>
          <w:vertAlign w:val="superscript"/>
          <w:lang w:val="fr-FR"/>
        </w:rPr>
        <w:t>o</w:t>
      </w:r>
      <w:r>
        <w:rPr>
          <w:lang w:val="fr-FR"/>
        </w:rPr>
        <w:t xml:space="preserve"> </w:t>
      </w:r>
      <w:r w:rsidRPr="001D63DA">
        <w:rPr>
          <w:lang w:val="fr-FR"/>
        </w:rPr>
        <w:t>1 s</w:t>
      </w:r>
      <w:r w:rsidR="009429B7">
        <w:rPr>
          <w:lang w:val="fr-FR"/>
        </w:rPr>
        <w:t>’</w:t>
      </w:r>
      <w:r w:rsidRPr="001D63DA">
        <w:rPr>
          <w:lang w:val="fr-FR"/>
        </w:rPr>
        <w:t>agissant de la requête n</w:t>
      </w:r>
      <w:r w:rsidRPr="000537C6">
        <w:rPr>
          <w:vertAlign w:val="superscript"/>
          <w:lang w:val="fr-FR"/>
        </w:rPr>
        <w:t>o</w:t>
      </w:r>
      <w:r w:rsidRPr="001D63DA">
        <w:rPr>
          <w:lang w:val="fr-FR"/>
        </w:rPr>
        <w:t xml:space="preserve"> 76860/11, les requérants se plaignent de ce que le refus de leur accorder les prestations familiales a constitué une discrimination aux dépens des enfants entrés en France en dehors du cadre du regroupement familial.</w:t>
      </w:r>
    </w:p>
    <w:p w:rsidR="000537C6" w:rsidRPr="00905EBC" w:rsidRDefault="000537C6" w:rsidP="00DE0F74">
      <w:pPr>
        <w:pStyle w:val="ECHRTitle1"/>
        <w:rPr>
          <w:lang w:val="fr-FR"/>
        </w:rPr>
      </w:pPr>
      <w:r w:rsidRPr="00905EBC">
        <w:rPr>
          <w:lang w:val="fr-FR"/>
        </w:rPr>
        <w:lastRenderedPageBreak/>
        <w:t>EN DROIT</w:t>
      </w:r>
    </w:p>
    <w:p w:rsidR="000537C6" w:rsidRPr="003C4098" w:rsidRDefault="00846476" w:rsidP="00DA1623">
      <w:pPr>
        <w:pStyle w:val="ECHRHeading2"/>
        <w:rPr>
          <w:rStyle w:val="JuParaChar"/>
          <w:rFonts w:eastAsiaTheme="majorEastAsia"/>
          <w:lang w:val="fr-FR"/>
        </w:rPr>
      </w:pPr>
      <w:r>
        <w:rPr>
          <w:rStyle w:val="JuParaChar"/>
          <w:rFonts w:eastAsiaTheme="majorEastAsia"/>
          <w:lang w:val="fr-FR"/>
        </w:rPr>
        <w:t>A.  </w:t>
      </w:r>
      <w:r w:rsidR="00C10222" w:rsidRPr="003C4098">
        <w:rPr>
          <w:rStyle w:val="JuParaChar"/>
          <w:rFonts w:eastAsiaTheme="majorEastAsia"/>
          <w:lang w:val="fr-FR"/>
        </w:rPr>
        <w:t>Sur la jonction des requêtes</w:t>
      </w:r>
    </w:p>
    <w:p w:rsidR="000537C6" w:rsidRPr="00905EBC" w:rsidRDefault="000537C6" w:rsidP="00DE0F74">
      <w:pPr>
        <w:pStyle w:val="ECHRPara"/>
        <w:rPr>
          <w:lang w:val="fr-FR"/>
        </w:rPr>
      </w:pPr>
      <w:r>
        <w:rPr>
          <w:rStyle w:val="JuParaChar"/>
          <w:lang w:val="fr-FR"/>
        </w:rPr>
        <w:t>29.  </w:t>
      </w:r>
      <w:r w:rsidRPr="00CC1860">
        <w:rPr>
          <w:rStyle w:val="JuParaChar"/>
          <w:lang w:val="fr-FR"/>
        </w:rPr>
        <w:t>Compte tenu de la connexité des requêtes quant aux faits et aux questions de fond qu</w:t>
      </w:r>
      <w:r w:rsidR="009429B7">
        <w:rPr>
          <w:rStyle w:val="JuParaChar"/>
          <w:lang w:val="fr-FR"/>
        </w:rPr>
        <w:t>’</w:t>
      </w:r>
      <w:r w:rsidRPr="00CC1860">
        <w:rPr>
          <w:rStyle w:val="JuParaChar"/>
          <w:lang w:val="fr-FR"/>
        </w:rPr>
        <w:t>elles soulèvent, la Cour juge approprié de les joindre et de les examiner conjointement dans un</w:t>
      </w:r>
      <w:r>
        <w:rPr>
          <w:rStyle w:val="JuParaChar"/>
          <w:lang w:val="fr-FR"/>
        </w:rPr>
        <w:t>e</w:t>
      </w:r>
      <w:r w:rsidRPr="00CC1860">
        <w:rPr>
          <w:rStyle w:val="JuParaChar"/>
          <w:lang w:val="fr-FR"/>
        </w:rPr>
        <w:t xml:space="preserve"> seul</w:t>
      </w:r>
      <w:r>
        <w:rPr>
          <w:rStyle w:val="JuParaChar"/>
          <w:lang w:val="fr-FR"/>
        </w:rPr>
        <w:t>e</w:t>
      </w:r>
      <w:r w:rsidRPr="00CC1860">
        <w:rPr>
          <w:rStyle w:val="JuParaChar"/>
          <w:lang w:val="fr-FR"/>
        </w:rPr>
        <w:t xml:space="preserve"> et même </w:t>
      </w:r>
      <w:r>
        <w:rPr>
          <w:rStyle w:val="JuParaChar"/>
          <w:lang w:val="fr-FR"/>
        </w:rPr>
        <w:t>décision</w:t>
      </w:r>
      <w:r w:rsidRPr="00CC1860">
        <w:rPr>
          <w:rStyle w:val="JuParaChar"/>
          <w:lang w:val="fr-FR"/>
        </w:rPr>
        <w:t xml:space="preserve"> </w:t>
      </w:r>
      <w:r>
        <w:rPr>
          <w:rStyle w:val="JuParaChar"/>
          <w:lang w:val="fr-FR"/>
        </w:rPr>
        <w:t>en application</w:t>
      </w:r>
      <w:r w:rsidRPr="008622DF">
        <w:rPr>
          <w:rStyle w:val="JuParaChar"/>
          <w:lang w:val="fr-FR"/>
        </w:rPr>
        <w:t xml:space="preserve"> de l</w:t>
      </w:r>
      <w:r w:rsidR="009429B7">
        <w:rPr>
          <w:rStyle w:val="JuParaChar"/>
          <w:lang w:val="fr-FR"/>
        </w:rPr>
        <w:t>’</w:t>
      </w:r>
      <w:r w:rsidRPr="008622DF">
        <w:rPr>
          <w:rStyle w:val="JuParaChar"/>
          <w:lang w:val="fr-FR"/>
        </w:rPr>
        <w:t>article 42 de son règlement</w:t>
      </w:r>
      <w:r>
        <w:rPr>
          <w:rStyle w:val="JuParaChar"/>
          <w:lang w:val="fr-FR"/>
        </w:rPr>
        <w:t>.</w:t>
      </w:r>
    </w:p>
    <w:p w:rsidR="000537C6" w:rsidRPr="00C06E15" w:rsidRDefault="000537C6" w:rsidP="00DE0F74">
      <w:pPr>
        <w:pStyle w:val="ECHRHeading2"/>
        <w:rPr>
          <w:lang w:val="fr-FR"/>
        </w:rPr>
      </w:pPr>
      <w:r>
        <w:rPr>
          <w:lang w:val="fr-FR"/>
        </w:rPr>
        <w:t>B.  S</w:t>
      </w:r>
      <w:r w:rsidR="00C10222">
        <w:rPr>
          <w:lang w:val="fr-FR"/>
        </w:rPr>
        <w:t xml:space="preserve">ur le grief tiré des articles 8 et 14 combinés de la </w:t>
      </w:r>
      <w:r>
        <w:rPr>
          <w:lang w:val="fr-FR"/>
        </w:rPr>
        <w:t>C</w:t>
      </w:r>
      <w:r w:rsidR="00C10222">
        <w:rPr>
          <w:lang w:val="fr-FR"/>
        </w:rPr>
        <w:t>onvention</w:t>
      </w:r>
    </w:p>
    <w:p w:rsidR="000537C6" w:rsidRDefault="000537C6" w:rsidP="00DE0F74">
      <w:pPr>
        <w:pStyle w:val="ECHRPara"/>
        <w:rPr>
          <w:lang w:val="fr-FR"/>
        </w:rPr>
      </w:pPr>
      <w:r>
        <w:rPr>
          <w:lang w:val="fr-FR"/>
        </w:rPr>
        <w:t xml:space="preserve">30.  Les requérants estiment que le refus de leur accorder le bénéfice des prestations familiales au titre de leurs enfants les ayant rejoints en dehors du regroupement familial a constitué une discrimination illicite au regard des </w:t>
      </w:r>
      <w:r w:rsidRPr="00C06E15">
        <w:rPr>
          <w:lang w:val="fr-FR"/>
        </w:rPr>
        <w:t>article</w:t>
      </w:r>
      <w:r>
        <w:rPr>
          <w:lang w:val="fr-FR"/>
        </w:rPr>
        <w:t>s</w:t>
      </w:r>
      <w:r w:rsidRPr="00C06E15">
        <w:rPr>
          <w:lang w:val="fr-FR"/>
        </w:rPr>
        <w:t xml:space="preserve"> </w:t>
      </w:r>
      <w:r>
        <w:rPr>
          <w:lang w:val="fr-FR"/>
        </w:rPr>
        <w:t>8 et 14 combinés</w:t>
      </w:r>
      <w:r w:rsidRPr="00C06E15">
        <w:rPr>
          <w:lang w:val="fr-FR"/>
        </w:rPr>
        <w:t xml:space="preserve">, </w:t>
      </w:r>
      <w:r>
        <w:rPr>
          <w:lang w:val="fr-FR"/>
        </w:rPr>
        <w:t>dont les dispositions se lisent comme suit</w:t>
      </w:r>
      <w:r w:rsidRPr="00C06E15">
        <w:rPr>
          <w:lang w:val="fr-FR"/>
        </w:rPr>
        <w:t> :</w:t>
      </w:r>
    </w:p>
    <w:p w:rsidR="000537C6" w:rsidRDefault="000537C6" w:rsidP="00DE0F74">
      <w:pPr>
        <w:pStyle w:val="ECHRTitleCentre3"/>
        <w:rPr>
          <w:lang w:val="fr-FR"/>
        </w:rPr>
      </w:pPr>
      <w:r>
        <w:rPr>
          <w:lang w:val="fr-FR"/>
        </w:rPr>
        <w:t>Article 8</w:t>
      </w:r>
    </w:p>
    <w:p w:rsidR="000537C6" w:rsidRPr="00780AA9" w:rsidRDefault="000537C6" w:rsidP="00DE0F74">
      <w:pPr>
        <w:pStyle w:val="ECHRParaQuote"/>
        <w:rPr>
          <w:lang w:val="fr-FR"/>
        </w:rPr>
      </w:pPr>
      <w:r w:rsidRPr="00780AA9">
        <w:rPr>
          <w:lang w:val="fr-FR"/>
        </w:rPr>
        <w:t>« 1.  Toute personne a droit au respect de sa vie privée et familiale, de son domicile et de sa correspondance.</w:t>
      </w:r>
    </w:p>
    <w:p w:rsidR="000537C6" w:rsidRDefault="000537C6" w:rsidP="00DE0F74">
      <w:pPr>
        <w:pStyle w:val="ECHRParaQuote"/>
        <w:rPr>
          <w:lang w:val="fr-FR"/>
        </w:rPr>
      </w:pPr>
      <w:r w:rsidRPr="00780AA9">
        <w:rPr>
          <w:lang w:val="fr-FR"/>
        </w:rPr>
        <w:t>2.  Il ne peut y avoir ingérence d</w:t>
      </w:r>
      <w:r w:rsidR="009429B7">
        <w:rPr>
          <w:lang w:val="fr-FR"/>
        </w:rPr>
        <w:t>’</w:t>
      </w:r>
      <w:r w:rsidRPr="00780AA9">
        <w:rPr>
          <w:lang w:val="fr-FR"/>
        </w:rPr>
        <w:t>une autorité publique dans l</w:t>
      </w:r>
      <w:r w:rsidR="009429B7">
        <w:rPr>
          <w:lang w:val="fr-FR"/>
        </w:rPr>
        <w:t>’</w:t>
      </w:r>
      <w:r w:rsidRPr="00780AA9">
        <w:rPr>
          <w:lang w:val="fr-FR"/>
        </w:rPr>
        <w:t>exercice de ce droit que pour autant que cette ingérence est prévue par la loi et qu</w:t>
      </w:r>
      <w:r w:rsidR="009429B7">
        <w:rPr>
          <w:lang w:val="fr-FR"/>
        </w:rPr>
        <w:t>’</w:t>
      </w:r>
      <w:r w:rsidRPr="00780AA9">
        <w:rPr>
          <w:lang w:val="fr-FR"/>
        </w:rPr>
        <w:t>elle constitue une mesure qui, dans une société démocratique, est nécessaire à la sécurité nationale, à la sûreté publique, au bien</w:t>
      </w:r>
      <w:r w:rsidRPr="00780AA9">
        <w:rPr>
          <w:lang w:val="fr-FR"/>
        </w:rPr>
        <w:noBreakHyphen/>
        <w:t>être économique du pays, à la défense de l</w:t>
      </w:r>
      <w:r w:rsidR="009429B7">
        <w:rPr>
          <w:lang w:val="fr-FR"/>
        </w:rPr>
        <w:t>’</w:t>
      </w:r>
      <w:r w:rsidRPr="00780AA9">
        <w:rPr>
          <w:lang w:val="fr-FR"/>
        </w:rPr>
        <w:t>ordre et à la prévention des infractions pénales, à la protection de la santé ou de la morale, ou à la protection des droits et libertés d</w:t>
      </w:r>
      <w:r w:rsidR="009429B7">
        <w:rPr>
          <w:lang w:val="fr-FR"/>
        </w:rPr>
        <w:t>’</w:t>
      </w:r>
      <w:r w:rsidRPr="00780AA9">
        <w:rPr>
          <w:lang w:val="fr-FR"/>
        </w:rPr>
        <w:t>autrui. »</w:t>
      </w:r>
    </w:p>
    <w:p w:rsidR="000537C6" w:rsidRDefault="000537C6" w:rsidP="00DE0F74">
      <w:pPr>
        <w:pStyle w:val="ECHRTitleCentre3"/>
        <w:rPr>
          <w:lang w:val="fr-FR"/>
        </w:rPr>
      </w:pPr>
      <w:r>
        <w:rPr>
          <w:lang w:val="fr-FR"/>
        </w:rPr>
        <w:t>Article 14</w:t>
      </w:r>
    </w:p>
    <w:p w:rsidR="000537C6" w:rsidRDefault="000537C6" w:rsidP="00DE0F74">
      <w:pPr>
        <w:pStyle w:val="ECHRParaQuote"/>
        <w:rPr>
          <w:lang w:val="fr-FR"/>
        </w:rPr>
      </w:pPr>
      <w:r w:rsidRPr="00780AA9">
        <w:rPr>
          <w:lang w:val="fr-FR"/>
        </w:rPr>
        <w:t>« La jouissance des droits et libertés reconnus dans la (...) Convention doit être assurée, sans distinction aucune, fondée notamment sur le sexe, la race, la couleur, la langue, la religion, les opinions politiques ou toutes autres opinions, l</w:t>
      </w:r>
      <w:r w:rsidR="009429B7">
        <w:rPr>
          <w:lang w:val="fr-FR"/>
        </w:rPr>
        <w:t>’</w:t>
      </w:r>
      <w:r w:rsidRPr="00780AA9">
        <w:rPr>
          <w:lang w:val="fr-FR"/>
        </w:rPr>
        <w:t>origine nationale ou sociale, l</w:t>
      </w:r>
      <w:r w:rsidR="009429B7">
        <w:rPr>
          <w:lang w:val="fr-FR"/>
        </w:rPr>
        <w:t>’</w:t>
      </w:r>
      <w:r w:rsidRPr="00780AA9">
        <w:rPr>
          <w:lang w:val="fr-FR"/>
        </w:rPr>
        <w:t>appartenance à une minorité nationale, la fortune, la naissance ou toute autre situation. »</w:t>
      </w:r>
    </w:p>
    <w:p w:rsidR="000537C6" w:rsidRPr="003C4098" w:rsidRDefault="000537C6" w:rsidP="00DA1623">
      <w:pPr>
        <w:pStyle w:val="ECHRHeading3"/>
        <w:rPr>
          <w:lang w:val="fr-FR"/>
        </w:rPr>
      </w:pPr>
      <w:r w:rsidRPr="003C4098">
        <w:rPr>
          <w:lang w:val="fr-FR"/>
        </w:rPr>
        <w:t>1.</w:t>
      </w:r>
      <w:r w:rsidR="00846476">
        <w:rPr>
          <w:lang w:val="fr-FR"/>
        </w:rPr>
        <w:t>  </w:t>
      </w:r>
      <w:r w:rsidRPr="003C4098">
        <w:rPr>
          <w:lang w:val="fr-FR"/>
        </w:rPr>
        <w:t>Arguments des parties</w:t>
      </w:r>
    </w:p>
    <w:p w:rsidR="000537C6" w:rsidRPr="003C4098" w:rsidRDefault="00846476" w:rsidP="00DA1623">
      <w:pPr>
        <w:pStyle w:val="ECHRHeading4"/>
        <w:rPr>
          <w:lang w:val="fr-FR"/>
        </w:rPr>
      </w:pPr>
      <w:r>
        <w:rPr>
          <w:lang w:val="fr-FR"/>
        </w:rPr>
        <w:t>a)  </w:t>
      </w:r>
      <w:r w:rsidR="000537C6" w:rsidRPr="003C4098">
        <w:rPr>
          <w:lang w:val="fr-FR"/>
        </w:rPr>
        <w:t>Les requérants</w:t>
      </w:r>
    </w:p>
    <w:p w:rsidR="000537C6" w:rsidRDefault="000537C6" w:rsidP="00DE0F74">
      <w:pPr>
        <w:pStyle w:val="ECHRHeading5"/>
        <w:rPr>
          <w:lang w:val="fr-FR"/>
        </w:rPr>
      </w:pPr>
      <w:r>
        <w:rPr>
          <w:lang w:val="fr-FR"/>
        </w:rPr>
        <w:t>i</w:t>
      </w:r>
      <w:r w:rsidRPr="003E4450">
        <w:rPr>
          <w:lang w:val="fr-FR"/>
        </w:rPr>
        <w:t>)</w:t>
      </w:r>
      <w:r w:rsidR="00846476">
        <w:rPr>
          <w:lang w:val="fr-FR"/>
        </w:rPr>
        <w:t>  </w:t>
      </w:r>
      <w:r w:rsidRPr="003E4450">
        <w:rPr>
          <w:lang w:val="fr-FR"/>
        </w:rPr>
        <w:t>Requête n</w:t>
      </w:r>
      <w:r w:rsidRPr="000537C6">
        <w:rPr>
          <w:vertAlign w:val="superscript"/>
          <w:lang w:val="fr-FR"/>
        </w:rPr>
        <w:t>o</w:t>
      </w:r>
      <w:r w:rsidRPr="003E4450">
        <w:rPr>
          <w:lang w:val="fr-FR"/>
        </w:rPr>
        <w:t xml:space="preserve"> 76860/11</w:t>
      </w:r>
    </w:p>
    <w:p w:rsidR="000537C6" w:rsidRDefault="000537C6" w:rsidP="00DE0F74">
      <w:pPr>
        <w:pStyle w:val="ECHRPara"/>
        <w:rPr>
          <w:lang w:val="fr-FR"/>
        </w:rPr>
      </w:pPr>
      <w:r>
        <w:rPr>
          <w:lang w:val="fr-FR"/>
        </w:rPr>
        <w:t>31.  Les requérants estiment qu</w:t>
      </w:r>
      <w:r w:rsidR="009429B7">
        <w:rPr>
          <w:lang w:val="fr-FR"/>
        </w:rPr>
        <w:t>’</w:t>
      </w:r>
      <w:r>
        <w:rPr>
          <w:lang w:val="fr-FR"/>
        </w:rPr>
        <w:t>il existe une différence de traitement entre les enfants en fonction du statut migratoire de leurs parents, ce critère ne pouvant selon la jurisprudence fonder une telle disparité que pour des « prestations onéreuses ». Ils admettent que les ressortissants de l</w:t>
      </w:r>
      <w:r w:rsidR="009429B7">
        <w:rPr>
          <w:lang w:val="fr-FR"/>
        </w:rPr>
        <w:t>’</w:t>
      </w:r>
      <w:r>
        <w:rPr>
          <w:lang w:val="fr-FR"/>
        </w:rPr>
        <w:t>Union européenne et de pays tiers à l</w:t>
      </w:r>
      <w:r w:rsidR="009429B7">
        <w:rPr>
          <w:lang w:val="fr-FR"/>
        </w:rPr>
        <w:t>’</w:t>
      </w:r>
      <w:r>
        <w:rPr>
          <w:lang w:val="fr-FR"/>
        </w:rPr>
        <w:t>Union européenne, mais liés par des accords octroyant une égalité de traitement dans l</w:t>
      </w:r>
      <w:r w:rsidR="009429B7">
        <w:rPr>
          <w:lang w:val="fr-FR"/>
        </w:rPr>
        <w:t>’</w:t>
      </w:r>
      <w:r>
        <w:rPr>
          <w:lang w:val="fr-FR"/>
        </w:rPr>
        <w:t xml:space="preserve">octroi des prestations familiales, se trouvent dans une situation objectivement différente des ressortissants </w:t>
      </w:r>
      <w:r>
        <w:rPr>
          <w:lang w:val="fr-FR"/>
        </w:rPr>
        <w:lastRenderedPageBreak/>
        <w:t>des autres pays tiers. Cependant, ils considèrent que la jurisprudence de la Cour de cassation est incohérente en ce qu</w:t>
      </w:r>
      <w:r w:rsidR="009429B7">
        <w:rPr>
          <w:lang w:val="fr-FR"/>
        </w:rPr>
        <w:t>’</w:t>
      </w:r>
      <w:r>
        <w:rPr>
          <w:lang w:val="fr-FR"/>
        </w:rPr>
        <w:t>elle constate le caractère discriminatoire de la législation interne à l</w:t>
      </w:r>
      <w:r w:rsidR="009429B7">
        <w:rPr>
          <w:lang w:val="fr-FR"/>
        </w:rPr>
        <w:t>’</w:t>
      </w:r>
      <w:r>
        <w:rPr>
          <w:lang w:val="fr-FR"/>
        </w:rPr>
        <w:t>égard des premiers mais pas des seconds. Ils concèdent que les mesures litigieuses ne constituent pas une discrimination directe fondée sur la nationalité, mais estiment faire l</w:t>
      </w:r>
      <w:r w:rsidR="009429B7">
        <w:rPr>
          <w:lang w:val="fr-FR"/>
        </w:rPr>
        <w:t>’</w:t>
      </w:r>
      <w:r>
        <w:rPr>
          <w:lang w:val="fr-FR"/>
        </w:rPr>
        <w:t>objet d</w:t>
      </w:r>
      <w:r w:rsidR="009429B7">
        <w:rPr>
          <w:lang w:val="fr-FR"/>
        </w:rPr>
        <w:t>’</w:t>
      </w:r>
      <w:r>
        <w:rPr>
          <w:lang w:val="fr-FR"/>
        </w:rPr>
        <w:t>une différence de traitement indirectement fondée sur l</w:t>
      </w:r>
      <w:r w:rsidR="009429B7">
        <w:rPr>
          <w:lang w:val="fr-FR"/>
        </w:rPr>
        <w:t>’</w:t>
      </w:r>
      <w:r>
        <w:rPr>
          <w:lang w:val="fr-FR"/>
        </w:rPr>
        <w:t>origine nationale et la naissance à l</w:t>
      </w:r>
      <w:r w:rsidR="009429B7">
        <w:rPr>
          <w:lang w:val="fr-FR"/>
        </w:rPr>
        <w:t>’</w:t>
      </w:r>
      <w:r>
        <w:rPr>
          <w:lang w:val="fr-FR"/>
        </w:rPr>
        <w:t>étranger. De plus, ils font valoir que les objectifs invoqués par le Gouvernement ne sont pas ceux réellement poursuivis et ne peuvent être considérés comme légitimes puisqu</w:t>
      </w:r>
      <w:r w:rsidR="009429B7">
        <w:rPr>
          <w:lang w:val="fr-FR"/>
        </w:rPr>
        <w:t>’</w:t>
      </w:r>
      <w:r>
        <w:rPr>
          <w:lang w:val="fr-FR"/>
        </w:rPr>
        <w:t>ils visent à sanctionner l</w:t>
      </w:r>
      <w:r w:rsidR="009429B7">
        <w:rPr>
          <w:lang w:val="fr-FR"/>
        </w:rPr>
        <w:t>’</w:t>
      </w:r>
      <w:r>
        <w:rPr>
          <w:lang w:val="fr-FR"/>
        </w:rPr>
        <w:t>attitude des parents sans tenir compte de l</w:t>
      </w:r>
      <w:r w:rsidR="009429B7">
        <w:rPr>
          <w:lang w:val="fr-FR"/>
        </w:rPr>
        <w:t>’</w:t>
      </w:r>
      <w:r>
        <w:rPr>
          <w:lang w:val="fr-FR"/>
        </w:rPr>
        <w:t>intérêt supérieur de l</w:t>
      </w:r>
      <w:r w:rsidR="009429B7">
        <w:rPr>
          <w:lang w:val="fr-FR"/>
        </w:rPr>
        <w:t>’</w:t>
      </w:r>
      <w:r>
        <w:rPr>
          <w:lang w:val="fr-FR"/>
        </w:rPr>
        <w:t>enfant. Enfin, ils contestent le caractère proportionné des mesures en causes au regard des buts poursuivis.</w:t>
      </w:r>
    </w:p>
    <w:p w:rsidR="000537C6" w:rsidRPr="003E4450" w:rsidRDefault="000537C6" w:rsidP="00DE0F74">
      <w:pPr>
        <w:pStyle w:val="ECHRPara"/>
        <w:rPr>
          <w:lang w:val="fr-FR"/>
        </w:rPr>
      </w:pPr>
      <w:r>
        <w:rPr>
          <w:rFonts w:cstheme="minorHAnsi"/>
          <w:lang w:val="fr-FR"/>
        </w:rPr>
        <w:t>32.  À</w:t>
      </w:r>
      <w:r>
        <w:rPr>
          <w:lang w:val="fr-FR"/>
        </w:rPr>
        <w:t xml:space="preserve"> cet égard, ils considèrent que la procédure de regroupement familial est inadaptée en France, citant plusieurs arrêts de la Cour constatant une violation de l</w:t>
      </w:r>
      <w:r w:rsidR="009429B7">
        <w:rPr>
          <w:lang w:val="fr-FR"/>
        </w:rPr>
        <w:t>’</w:t>
      </w:r>
      <w:r>
        <w:rPr>
          <w:lang w:val="fr-FR"/>
        </w:rPr>
        <w:t>article 8. Ils ajoutent que leurs enfants sont titulaires d</w:t>
      </w:r>
      <w:r w:rsidR="009429B7">
        <w:rPr>
          <w:lang w:val="fr-FR"/>
        </w:rPr>
        <w:t>’</w:t>
      </w:r>
      <w:r>
        <w:rPr>
          <w:lang w:val="fr-FR"/>
        </w:rPr>
        <w:t>un DCEM et peuvent donc sortir de France et y entrer régulièrement. De plus, ils jugent ineffective la possibilité de demander un regroupement familial sur place, compte tenu de l</w:t>
      </w:r>
      <w:r w:rsidR="009429B7">
        <w:rPr>
          <w:lang w:val="fr-FR"/>
        </w:rPr>
        <w:t>’</w:t>
      </w:r>
      <w:r>
        <w:rPr>
          <w:lang w:val="fr-FR"/>
        </w:rPr>
        <w:t>effet dissuasif de l</w:t>
      </w:r>
      <w:r w:rsidR="009429B7">
        <w:rPr>
          <w:lang w:val="fr-FR"/>
        </w:rPr>
        <w:t>’</w:t>
      </w:r>
      <w:r>
        <w:rPr>
          <w:lang w:val="fr-FR"/>
        </w:rPr>
        <w:t>article L. 431-1 du CESEDA qui prévoit la possibilité de retirer un titre de séjour lorsque son titulaire a fait venir un membre de sa famille sans respecter la procédure. Les décisions produites par le Gouvernement démontrent selon eux qu</w:t>
      </w:r>
      <w:r w:rsidR="009429B7">
        <w:rPr>
          <w:lang w:val="fr-FR"/>
        </w:rPr>
        <w:t>’</w:t>
      </w:r>
      <w:r>
        <w:rPr>
          <w:lang w:val="fr-FR"/>
        </w:rPr>
        <w:t>il est souvent nécessaire de saisir le juge administratif pour obtenir un tel regroupement sur place. Ils estiment que seuls quelques centaines d</w:t>
      </w:r>
      <w:r w:rsidR="009429B7">
        <w:rPr>
          <w:lang w:val="fr-FR"/>
        </w:rPr>
        <w:t>’</w:t>
      </w:r>
      <w:r>
        <w:rPr>
          <w:lang w:val="fr-FR"/>
        </w:rPr>
        <w:t>enfants obtiennent ainsi un regroupement sur place chaque année et comparent ce chiffre aux 5 000 enfants admis selon la procédure de droit commun. Ils produisent leurs avis d</w:t>
      </w:r>
      <w:r w:rsidR="009429B7">
        <w:rPr>
          <w:lang w:val="fr-FR"/>
        </w:rPr>
        <w:t>’</w:t>
      </w:r>
      <w:r>
        <w:rPr>
          <w:lang w:val="fr-FR"/>
        </w:rPr>
        <w:t>impôt sur le revenu constatant, pour leur foyer, un revenu fiscal de référence de 34 873 euros au titre de l</w:t>
      </w:r>
      <w:r w:rsidR="009429B7">
        <w:rPr>
          <w:lang w:val="fr-FR"/>
        </w:rPr>
        <w:t>’</w:t>
      </w:r>
      <w:r>
        <w:rPr>
          <w:lang w:val="fr-FR"/>
        </w:rPr>
        <w:t>exercice 2012.</w:t>
      </w:r>
    </w:p>
    <w:p w:rsidR="000537C6" w:rsidRDefault="000537C6" w:rsidP="00DE0F74">
      <w:pPr>
        <w:pStyle w:val="ECHRHeading5"/>
        <w:rPr>
          <w:lang w:val="fr-FR"/>
        </w:rPr>
      </w:pPr>
      <w:r>
        <w:rPr>
          <w:lang w:val="fr-FR"/>
        </w:rPr>
        <w:t>ii</w:t>
      </w:r>
      <w:r w:rsidR="00846476">
        <w:rPr>
          <w:lang w:val="fr-FR"/>
        </w:rPr>
        <w:t>)  </w:t>
      </w:r>
      <w:r w:rsidRPr="003E4450">
        <w:rPr>
          <w:lang w:val="fr-FR"/>
        </w:rPr>
        <w:t xml:space="preserve">Requête </w:t>
      </w:r>
      <w:r w:rsidRPr="001D63DA">
        <w:rPr>
          <w:lang w:val="fr-FR"/>
        </w:rPr>
        <w:t>n</w:t>
      </w:r>
      <w:r w:rsidRPr="000537C6">
        <w:rPr>
          <w:vertAlign w:val="superscript"/>
          <w:lang w:val="fr-FR"/>
        </w:rPr>
        <w:t>o</w:t>
      </w:r>
      <w:r w:rsidRPr="001D63DA">
        <w:rPr>
          <w:lang w:val="fr-FR"/>
        </w:rPr>
        <w:t xml:space="preserve"> 51354/13</w:t>
      </w:r>
    </w:p>
    <w:p w:rsidR="000537C6" w:rsidRDefault="000537C6" w:rsidP="00DE0F74">
      <w:pPr>
        <w:pStyle w:val="ECHRPara"/>
        <w:rPr>
          <w:lang w:val="fr-FR"/>
        </w:rPr>
      </w:pPr>
      <w:r>
        <w:rPr>
          <w:lang w:val="fr-FR"/>
        </w:rPr>
        <w:t>33.  La requérante conteste l</w:t>
      </w:r>
      <w:r w:rsidR="009429B7">
        <w:rPr>
          <w:lang w:val="fr-FR"/>
        </w:rPr>
        <w:t>’</w:t>
      </w:r>
      <w:r>
        <w:rPr>
          <w:lang w:val="fr-FR"/>
        </w:rPr>
        <w:t>effectivité de la possibilité de demander un regroupement familial sur place. Elle atteste avoir elle-même essuyé un refus et produit plusieurs décisions démontrant selon elle que l</w:t>
      </w:r>
      <w:r w:rsidR="009429B7">
        <w:rPr>
          <w:lang w:val="fr-FR"/>
        </w:rPr>
        <w:t>’</w:t>
      </w:r>
      <w:r>
        <w:rPr>
          <w:lang w:val="fr-FR"/>
        </w:rPr>
        <w:t>administration refuse massivement de faire droit à de telles requêtes. Elle considère que la situation de sa fille est comparable à celle des enfants de parents français ou de ressortissants de l</w:t>
      </w:r>
      <w:r w:rsidR="009429B7">
        <w:rPr>
          <w:lang w:val="fr-FR"/>
        </w:rPr>
        <w:t>’</w:t>
      </w:r>
      <w:r>
        <w:rPr>
          <w:lang w:val="fr-FR"/>
        </w:rPr>
        <w:t>Union européenne. Elle estime donc être victime d</w:t>
      </w:r>
      <w:r w:rsidR="009429B7">
        <w:rPr>
          <w:lang w:val="fr-FR"/>
        </w:rPr>
        <w:t>’</w:t>
      </w:r>
      <w:r>
        <w:rPr>
          <w:lang w:val="fr-FR"/>
        </w:rPr>
        <w:t xml:space="preserve">une différence de traitement fondée sur la nationalité de </w:t>
      </w:r>
      <w:r w:rsidRPr="001D63DA">
        <w:rPr>
          <w:lang w:val="fr-FR"/>
        </w:rPr>
        <w:t>T. D</w:t>
      </w:r>
      <w:r>
        <w:rPr>
          <w:lang w:val="fr-FR"/>
        </w:rPr>
        <w:t xml:space="preserve">., son lieu de naissance et la façon dont elle est entrée en France. </w:t>
      </w:r>
      <w:r>
        <w:rPr>
          <w:rFonts w:cstheme="minorHAnsi"/>
          <w:lang w:val="fr-FR"/>
        </w:rPr>
        <w:t>À</w:t>
      </w:r>
      <w:r>
        <w:rPr>
          <w:lang w:val="fr-FR"/>
        </w:rPr>
        <w:t xml:space="preserve"> cet égard, elle rappelle qu</w:t>
      </w:r>
      <w:r w:rsidR="009429B7">
        <w:rPr>
          <w:lang w:val="fr-FR"/>
        </w:rPr>
        <w:t>’</w:t>
      </w:r>
      <w:r>
        <w:rPr>
          <w:lang w:val="fr-FR"/>
        </w:rPr>
        <w:t>une série de parents sont dispensés de démontrer le respect de la procédure de regroupement pour obtenir les allocations familiales : ceux dont les enfants sont nés en France, les réfugiés, les apatrides, ceux qui bénéficient de la protection subsidiaire, les scientifiques et chercheurs, ainsi que ceux ayant été régularisés sur le fondement du respect de la vie privée et familiale à condition que leur enfant soit entré sur le territoire national au plus tard en même temps qu</w:t>
      </w:r>
      <w:r w:rsidR="009429B7">
        <w:rPr>
          <w:lang w:val="fr-FR"/>
        </w:rPr>
        <w:t>’</w:t>
      </w:r>
      <w:r>
        <w:rPr>
          <w:lang w:val="fr-FR"/>
        </w:rPr>
        <w:t>eux.</w:t>
      </w:r>
    </w:p>
    <w:p w:rsidR="000537C6" w:rsidRDefault="000537C6" w:rsidP="00DE0F74">
      <w:pPr>
        <w:pStyle w:val="ECHRPara"/>
        <w:rPr>
          <w:lang w:val="fr-FR"/>
        </w:rPr>
      </w:pPr>
      <w:r>
        <w:rPr>
          <w:lang w:val="fr-FR"/>
        </w:rPr>
        <w:lastRenderedPageBreak/>
        <w:t>34.  S</w:t>
      </w:r>
      <w:r w:rsidR="009429B7">
        <w:rPr>
          <w:lang w:val="fr-FR"/>
        </w:rPr>
        <w:t>’</w:t>
      </w:r>
      <w:r>
        <w:rPr>
          <w:lang w:val="fr-FR"/>
        </w:rPr>
        <w:t>agissant des objectifs de protection de l</w:t>
      </w:r>
      <w:r w:rsidR="009429B7">
        <w:rPr>
          <w:lang w:val="fr-FR"/>
        </w:rPr>
        <w:t>’</w:t>
      </w:r>
      <w:r>
        <w:rPr>
          <w:lang w:val="fr-FR"/>
        </w:rPr>
        <w:t>enfant et de la santé publique invoqués, la requérante les estime contraires à l</w:t>
      </w:r>
      <w:r w:rsidR="009429B7">
        <w:rPr>
          <w:lang w:val="fr-FR"/>
        </w:rPr>
        <w:t>’</w:t>
      </w:r>
      <w:r>
        <w:rPr>
          <w:lang w:val="fr-FR"/>
        </w:rPr>
        <w:t>intérêt supérieur de l</w:t>
      </w:r>
      <w:r w:rsidR="009429B7">
        <w:rPr>
          <w:lang w:val="fr-FR"/>
        </w:rPr>
        <w:t>’</w:t>
      </w:r>
      <w:r>
        <w:rPr>
          <w:lang w:val="fr-FR"/>
        </w:rPr>
        <w:t>enfant et verse plusieurs pièces démontrant que sa fille est en bonne santé et que la famille vit dans des conditions de logement et de ressources supérieures à celles exigées pour pouvoir bénéficier du regroupement familial (elle justifie notamment d</w:t>
      </w:r>
      <w:r w:rsidR="009429B7">
        <w:rPr>
          <w:lang w:val="fr-FR"/>
        </w:rPr>
        <w:t>’</w:t>
      </w:r>
      <w:r>
        <w:rPr>
          <w:lang w:val="fr-FR"/>
        </w:rPr>
        <w:t>un reven</w:t>
      </w:r>
      <w:r w:rsidR="003519F6">
        <w:rPr>
          <w:lang w:val="fr-FR"/>
        </w:rPr>
        <w:t>u fiscal de référence de 24 152 </w:t>
      </w:r>
      <w:r>
        <w:rPr>
          <w:lang w:val="fr-FR"/>
        </w:rPr>
        <w:t>euros au titre de l</w:t>
      </w:r>
      <w:r w:rsidR="009429B7">
        <w:rPr>
          <w:lang w:val="fr-FR"/>
        </w:rPr>
        <w:t>’</w:t>
      </w:r>
      <w:r>
        <w:rPr>
          <w:lang w:val="fr-FR"/>
        </w:rPr>
        <w:t>exercice 2012 pour le foyer qu</w:t>
      </w:r>
      <w:r w:rsidR="009429B7">
        <w:rPr>
          <w:lang w:val="fr-FR"/>
        </w:rPr>
        <w:t>’</w:t>
      </w:r>
      <w:r>
        <w:rPr>
          <w:lang w:val="fr-FR"/>
        </w:rPr>
        <w:t>elle forme avec son conjoint, ainsi que d</w:t>
      </w:r>
      <w:r w:rsidR="009429B7">
        <w:rPr>
          <w:lang w:val="fr-FR"/>
        </w:rPr>
        <w:t>’</w:t>
      </w:r>
      <w:r>
        <w:rPr>
          <w:lang w:val="fr-FR"/>
        </w:rPr>
        <w:t>un logement d</w:t>
      </w:r>
      <w:r w:rsidR="009429B7">
        <w:rPr>
          <w:lang w:val="fr-FR"/>
        </w:rPr>
        <w:t>’</w:t>
      </w:r>
      <w:r>
        <w:rPr>
          <w:lang w:val="fr-FR"/>
        </w:rPr>
        <w:t>une surface utile de 104,87 m</w:t>
      </w:r>
      <w:r>
        <w:rPr>
          <w:vertAlign w:val="superscript"/>
          <w:lang w:val="fr-FR"/>
        </w:rPr>
        <w:t>2</w:t>
      </w:r>
      <w:r>
        <w:rPr>
          <w:lang w:val="fr-FR"/>
        </w:rPr>
        <w:t>).</w:t>
      </w:r>
    </w:p>
    <w:p w:rsidR="000537C6" w:rsidRDefault="003E6386" w:rsidP="00DE0F74">
      <w:pPr>
        <w:pStyle w:val="ECHRHeading4"/>
        <w:rPr>
          <w:lang w:val="fr-FR" w:bidi="en-US"/>
        </w:rPr>
      </w:pPr>
      <w:r>
        <w:rPr>
          <w:lang w:val="fr-FR" w:bidi="en-US"/>
        </w:rPr>
        <w:t>b)  </w:t>
      </w:r>
      <w:r w:rsidR="000537C6">
        <w:rPr>
          <w:lang w:val="fr-FR" w:bidi="en-US"/>
        </w:rPr>
        <w:t>Le Gouvernement</w:t>
      </w:r>
    </w:p>
    <w:p w:rsidR="000537C6" w:rsidRDefault="000537C6" w:rsidP="00DE0F74">
      <w:pPr>
        <w:pStyle w:val="ECHRPara"/>
        <w:rPr>
          <w:lang w:val="fr-FR" w:bidi="en-US"/>
        </w:rPr>
      </w:pPr>
      <w:r>
        <w:rPr>
          <w:lang w:val="fr-FR" w:bidi="en-US"/>
        </w:rPr>
        <w:t>35.  Le Gouvernement admet que la contestation du refus d</w:t>
      </w:r>
      <w:r w:rsidR="009429B7">
        <w:rPr>
          <w:lang w:val="fr-FR" w:bidi="en-US"/>
        </w:rPr>
        <w:t>’</w:t>
      </w:r>
      <w:r>
        <w:rPr>
          <w:lang w:val="fr-FR" w:bidi="en-US"/>
        </w:rPr>
        <w:t>octroi des allocations familiales tombe sous l</w:t>
      </w:r>
      <w:r w:rsidR="009429B7">
        <w:rPr>
          <w:lang w:val="fr-FR" w:bidi="en-US"/>
        </w:rPr>
        <w:t>’</w:t>
      </w:r>
      <w:r>
        <w:rPr>
          <w:lang w:val="fr-FR" w:bidi="en-US"/>
        </w:rPr>
        <w:t>empire de l</w:t>
      </w:r>
      <w:r w:rsidR="009429B7">
        <w:rPr>
          <w:lang w:val="fr-FR" w:bidi="en-US"/>
        </w:rPr>
        <w:t>’</w:t>
      </w:r>
      <w:r>
        <w:rPr>
          <w:lang w:val="fr-FR" w:bidi="en-US"/>
        </w:rPr>
        <w:t>article 8 de la Convention, dont l</w:t>
      </w:r>
      <w:r w:rsidR="009429B7">
        <w:rPr>
          <w:lang w:val="fr-FR" w:bidi="en-US"/>
        </w:rPr>
        <w:t>’</w:t>
      </w:r>
      <w:r>
        <w:rPr>
          <w:lang w:val="fr-FR" w:bidi="en-US"/>
        </w:rPr>
        <w:t>article 14 trouve dès lors à s</w:t>
      </w:r>
      <w:r w:rsidR="009429B7">
        <w:rPr>
          <w:lang w:val="fr-FR" w:bidi="en-US"/>
        </w:rPr>
        <w:t>’</w:t>
      </w:r>
      <w:r>
        <w:rPr>
          <w:lang w:val="fr-FR" w:bidi="en-US"/>
        </w:rPr>
        <w:t>appliquer. Cependant, il estime que la situation des requérants ne révèle aucune différence de traitement entre des personnes placées dans des situations comparables, les parents d</w:t>
      </w:r>
      <w:r w:rsidR="009429B7">
        <w:rPr>
          <w:lang w:val="fr-FR" w:bidi="en-US"/>
        </w:rPr>
        <w:t>’</w:t>
      </w:r>
      <w:r>
        <w:rPr>
          <w:lang w:val="fr-FR" w:bidi="en-US"/>
        </w:rPr>
        <w:t>enfants entrés en France en dehors de la procédure de regroupement familial n</w:t>
      </w:r>
      <w:r w:rsidR="009429B7">
        <w:rPr>
          <w:lang w:val="fr-FR" w:bidi="en-US"/>
        </w:rPr>
        <w:t>’</w:t>
      </w:r>
      <w:r>
        <w:rPr>
          <w:lang w:val="fr-FR" w:bidi="en-US"/>
        </w:rPr>
        <w:t>étant pas dans une situation analogue à ceux qui se sont conformés aux dispositions légales et les requérants n</w:t>
      </w:r>
      <w:r w:rsidR="009429B7">
        <w:rPr>
          <w:lang w:val="fr-FR" w:bidi="en-US"/>
        </w:rPr>
        <w:t>’</w:t>
      </w:r>
      <w:r>
        <w:rPr>
          <w:lang w:val="fr-FR" w:bidi="en-US"/>
        </w:rPr>
        <w:t>étant par ailleurs pas ressortissants d</w:t>
      </w:r>
      <w:r w:rsidR="009429B7">
        <w:rPr>
          <w:lang w:val="fr-FR" w:bidi="en-US"/>
        </w:rPr>
        <w:t>’</w:t>
      </w:r>
      <w:r>
        <w:rPr>
          <w:lang w:val="fr-FR" w:bidi="en-US"/>
        </w:rPr>
        <w:t>un pays lié à un État membre de l</w:t>
      </w:r>
      <w:r w:rsidR="009429B7">
        <w:rPr>
          <w:lang w:val="fr-FR" w:bidi="en-US"/>
        </w:rPr>
        <w:t>’</w:t>
      </w:r>
      <w:r>
        <w:rPr>
          <w:lang w:val="fr-FR" w:bidi="en-US"/>
        </w:rPr>
        <w:t>Union européenne par un accord accordant une égalité de traitement dans l</w:t>
      </w:r>
      <w:r w:rsidR="009429B7">
        <w:rPr>
          <w:lang w:val="fr-FR" w:bidi="en-US"/>
        </w:rPr>
        <w:t>’</w:t>
      </w:r>
      <w:r>
        <w:rPr>
          <w:lang w:val="fr-FR" w:bidi="en-US"/>
        </w:rPr>
        <w:t>octroi des allocations familiales, sans autre condition.</w:t>
      </w:r>
    </w:p>
    <w:p w:rsidR="000537C6" w:rsidRDefault="000537C6" w:rsidP="00DE0F74">
      <w:pPr>
        <w:pStyle w:val="ECHRPara"/>
        <w:rPr>
          <w:lang w:val="fr-FR" w:bidi="en-US"/>
        </w:rPr>
      </w:pPr>
      <w:r>
        <w:rPr>
          <w:lang w:val="fr-FR" w:bidi="en-US"/>
        </w:rPr>
        <w:t>36.  Le Gouvernement ajoute qu</w:t>
      </w:r>
      <w:r w:rsidR="009429B7">
        <w:rPr>
          <w:lang w:val="fr-FR" w:bidi="en-US"/>
        </w:rPr>
        <w:t>’</w:t>
      </w:r>
      <w:r>
        <w:rPr>
          <w:lang w:val="fr-FR" w:bidi="en-US"/>
        </w:rPr>
        <w:t>à supposer que ces situations soient comparables, la différence de traitement devrait être considérée comme proportionnée aux buts légitimes qu</w:t>
      </w:r>
      <w:r w:rsidR="009429B7">
        <w:rPr>
          <w:lang w:val="fr-FR" w:bidi="en-US"/>
        </w:rPr>
        <w:t>’</w:t>
      </w:r>
      <w:r>
        <w:rPr>
          <w:lang w:val="fr-FR" w:bidi="en-US"/>
        </w:rPr>
        <w:t>elle poursuit, à savoir la protection de la santé publique, la protection de l</w:t>
      </w:r>
      <w:r w:rsidR="009429B7">
        <w:rPr>
          <w:lang w:val="fr-FR" w:bidi="en-US"/>
        </w:rPr>
        <w:t>’</w:t>
      </w:r>
      <w:r>
        <w:rPr>
          <w:lang w:val="fr-FR" w:bidi="en-US"/>
        </w:rPr>
        <w:t>enfant et le contrôle de l</w:t>
      </w:r>
      <w:r w:rsidR="009429B7">
        <w:rPr>
          <w:lang w:val="fr-FR" w:bidi="en-US"/>
        </w:rPr>
        <w:t>’</w:t>
      </w:r>
      <w:r>
        <w:rPr>
          <w:lang w:val="fr-FR" w:bidi="en-US"/>
        </w:rPr>
        <w:t xml:space="preserve">immigration. </w:t>
      </w:r>
      <w:r>
        <w:rPr>
          <w:rFonts w:cstheme="minorHAnsi"/>
          <w:lang w:val="fr-FR" w:bidi="en-US"/>
        </w:rPr>
        <w:t>À</w:t>
      </w:r>
      <w:r>
        <w:rPr>
          <w:lang w:val="fr-FR" w:bidi="en-US"/>
        </w:rPr>
        <w:t xml:space="preserve"> cet égard, il rappelle que les enfants des requérants sont entrés sur le territoire français de manière irrégulière, que le DCEM qui a pu leur être attribué ne constitue pas un titre de séjour et que leurs parents n</w:t>
      </w:r>
      <w:r w:rsidR="009429B7">
        <w:rPr>
          <w:lang w:val="fr-FR" w:bidi="en-US"/>
        </w:rPr>
        <w:t>’</w:t>
      </w:r>
      <w:r>
        <w:rPr>
          <w:lang w:val="fr-FR" w:bidi="en-US"/>
        </w:rPr>
        <w:t>ont pas saisi les autorités administratives pour obtenir un regroupement familial sur place. Pour justifier de l</w:t>
      </w:r>
      <w:r w:rsidR="009429B7">
        <w:rPr>
          <w:lang w:val="fr-FR" w:bidi="en-US"/>
        </w:rPr>
        <w:t>’</w:t>
      </w:r>
      <w:r>
        <w:rPr>
          <w:lang w:val="fr-FR" w:bidi="en-US"/>
        </w:rPr>
        <w:t>effectivité de cette possibilité, le Gouvernement explique que, selon la jurisprudence des juridictions administratives, un regroupement familial ne peut être refusé au seul motif qu</w:t>
      </w:r>
      <w:r w:rsidR="009429B7">
        <w:rPr>
          <w:lang w:val="fr-FR" w:bidi="en-US"/>
        </w:rPr>
        <w:t>’</w:t>
      </w:r>
      <w:r>
        <w:rPr>
          <w:lang w:val="fr-FR" w:bidi="en-US"/>
        </w:rPr>
        <w:t>il a été demandé pour des membres de la famille se trouvant déjà sur le territoire national, le préfet devant examiner le dossier en tenant compte de l</w:t>
      </w:r>
      <w:r w:rsidR="009429B7">
        <w:rPr>
          <w:lang w:val="fr-FR" w:bidi="en-US"/>
        </w:rPr>
        <w:t>’</w:t>
      </w:r>
      <w:r>
        <w:rPr>
          <w:lang w:val="fr-FR" w:bidi="en-US"/>
        </w:rPr>
        <w:t>atteinte disproportionnée qu</w:t>
      </w:r>
      <w:r w:rsidR="009429B7">
        <w:rPr>
          <w:lang w:val="fr-FR" w:bidi="en-US"/>
        </w:rPr>
        <w:t>’</w:t>
      </w:r>
      <w:r>
        <w:rPr>
          <w:lang w:val="fr-FR" w:bidi="en-US"/>
        </w:rPr>
        <w:t>un refus pourrait porter à la vie privée et familiale du demandeur et des membres de sa famille, ainsi que de l</w:t>
      </w:r>
      <w:r w:rsidR="009429B7">
        <w:rPr>
          <w:lang w:val="fr-FR" w:bidi="en-US"/>
        </w:rPr>
        <w:t>’</w:t>
      </w:r>
      <w:r>
        <w:rPr>
          <w:lang w:val="fr-FR" w:bidi="en-US"/>
        </w:rPr>
        <w:t>intérêt supérieur de l</w:t>
      </w:r>
      <w:r w:rsidR="009429B7">
        <w:rPr>
          <w:lang w:val="fr-FR" w:bidi="en-US"/>
        </w:rPr>
        <w:t>’</w:t>
      </w:r>
      <w:r>
        <w:rPr>
          <w:lang w:val="fr-FR" w:bidi="en-US"/>
        </w:rPr>
        <w:t xml:space="preserve">enfant. </w:t>
      </w:r>
      <w:r>
        <w:rPr>
          <w:rFonts w:cstheme="minorHAnsi"/>
          <w:lang w:val="fr-FR" w:bidi="en-US"/>
        </w:rPr>
        <w:t>À</w:t>
      </w:r>
      <w:r>
        <w:rPr>
          <w:lang w:val="fr-FR" w:bidi="en-US"/>
        </w:rPr>
        <w:t xml:space="preserve"> ce titre le Gouvernement produit dix arrêts de cours administratives d</w:t>
      </w:r>
      <w:r w:rsidR="009429B7">
        <w:rPr>
          <w:lang w:val="fr-FR" w:bidi="en-US"/>
        </w:rPr>
        <w:t>’</w:t>
      </w:r>
      <w:r>
        <w:rPr>
          <w:lang w:val="fr-FR" w:bidi="en-US"/>
        </w:rPr>
        <w:t>appel annulant des décisions de refus émanant de différents préfets. Il estime dès lors qu</w:t>
      </w:r>
      <w:r w:rsidR="009429B7">
        <w:rPr>
          <w:lang w:val="fr-FR" w:bidi="en-US"/>
        </w:rPr>
        <w:t>’</w:t>
      </w:r>
      <w:r>
        <w:rPr>
          <w:lang w:val="fr-FR" w:bidi="en-US"/>
        </w:rPr>
        <w:t>il ne saurait être soutenu qu</w:t>
      </w:r>
      <w:r w:rsidR="009429B7">
        <w:rPr>
          <w:lang w:val="fr-FR" w:bidi="en-US"/>
        </w:rPr>
        <w:t>’</w:t>
      </w:r>
      <w:r>
        <w:rPr>
          <w:lang w:val="fr-FR" w:bidi="en-US"/>
        </w:rPr>
        <w:t>une régularisation supposerait le retour des enfants dans leur pays.</w:t>
      </w:r>
    </w:p>
    <w:p w:rsidR="000537C6" w:rsidRDefault="003E6386" w:rsidP="00DE0F74">
      <w:pPr>
        <w:pStyle w:val="ECHRHeading4"/>
        <w:rPr>
          <w:lang w:val="fr-FR" w:bidi="en-US"/>
        </w:rPr>
      </w:pPr>
      <w:r>
        <w:rPr>
          <w:lang w:val="fr-FR" w:bidi="en-US"/>
        </w:rPr>
        <w:t>c)  </w:t>
      </w:r>
      <w:r w:rsidR="000537C6">
        <w:rPr>
          <w:lang w:val="fr-FR" w:bidi="en-US"/>
        </w:rPr>
        <w:t>Les tiers intervenants</w:t>
      </w:r>
    </w:p>
    <w:p w:rsidR="000537C6" w:rsidRDefault="000537C6" w:rsidP="00DE0F74">
      <w:pPr>
        <w:pStyle w:val="ECHRPara"/>
        <w:rPr>
          <w:lang w:val="fr-FR" w:bidi="en-US"/>
        </w:rPr>
      </w:pPr>
      <w:r>
        <w:rPr>
          <w:lang w:val="fr-FR" w:bidi="en-US"/>
        </w:rPr>
        <w:t>37.  Le Défenseur des droits considère que le fait de soumettre l</w:t>
      </w:r>
      <w:r w:rsidR="009429B7">
        <w:rPr>
          <w:lang w:val="fr-FR" w:bidi="en-US"/>
        </w:rPr>
        <w:t>’</w:t>
      </w:r>
      <w:r>
        <w:rPr>
          <w:lang w:val="fr-FR" w:bidi="en-US"/>
        </w:rPr>
        <w:t>obtention des allocations familiales à la présentation d</w:t>
      </w:r>
      <w:r w:rsidR="009429B7">
        <w:rPr>
          <w:lang w:val="fr-FR" w:bidi="en-US"/>
        </w:rPr>
        <w:t>’</w:t>
      </w:r>
      <w:r>
        <w:rPr>
          <w:lang w:val="fr-FR" w:bidi="en-US"/>
        </w:rPr>
        <w:t xml:space="preserve">un certificat de </w:t>
      </w:r>
      <w:r>
        <w:rPr>
          <w:lang w:val="fr-FR" w:bidi="en-US"/>
        </w:rPr>
        <w:lastRenderedPageBreak/>
        <w:t>l</w:t>
      </w:r>
      <w:r w:rsidR="009429B7">
        <w:rPr>
          <w:lang w:val="fr-FR" w:bidi="en-US"/>
        </w:rPr>
        <w:t>’</w:t>
      </w:r>
      <w:r>
        <w:rPr>
          <w:lang w:val="fr-FR" w:bidi="en-US"/>
        </w:rPr>
        <w:t xml:space="preserve">OFII est contraire aux articles 8 et 14 de la </w:t>
      </w:r>
      <w:r w:rsidR="003519F6">
        <w:rPr>
          <w:lang w:val="fr-FR" w:bidi="en-US"/>
        </w:rPr>
        <w:t>Convention ainsi qu</w:t>
      </w:r>
      <w:r w:rsidR="009429B7">
        <w:rPr>
          <w:lang w:val="fr-FR" w:bidi="en-US"/>
        </w:rPr>
        <w:t>’</w:t>
      </w:r>
      <w:r w:rsidR="003519F6">
        <w:rPr>
          <w:lang w:val="fr-FR" w:bidi="en-US"/>
        </w:rPr>
        <w:t>à l</w:t>
      </w:r>
      <w:r w:rsidR="009429B7">
        <w:rPr>
          <w:lang w:val="fr-FR" w:bidi="en-US"/>
        </w:rPr>
        <w:t>’</w:t>
      </w:r>
      <w:r w:rsidR="003519F6">
        <w:rPr>
          <w:lang w:val="fr-FR" w:bidi="en-US"/>
        </w:rPr>
        <w:t>article </w:t>
      </w:r>
      <w:r>
        <w:rPr>
          <w:lang w:val="fr-FR" w:bidi="en-US"/>
        </w:rPr>
        <w:t>1 du Protocole n</w:t>
      </w:r>
      <w:r w:rsidRPr="000537C6">
        <w:rPr>
          <w:vertAlign w:val="superscript"/>
          <w:lang w:val="fr-FR" w:bidi="en-US"/>
        </w:rPr>
        <w:t>o</w:t>
      </w:r>
      <w:r>
        <w:rPr>
          <w:lang w:val="fr-FR" w:bidi="en-US"/>
        </w:rPr>
        <w:t xml:space="preserve"> 1. Il fait ainsi valoir que les mesures en cause caractérisent une double différence de traitement entre les parents étrangers d</w:t>
      </w:r>
      <w:r w:rsidR="009429B7">
        <w:rPr>
          <w:lang w:val="fr-FR" w:bidi="en-US"/>
        </w:rPr>
        <w:t>’</w:t>
      </w:r>
      <w:r>
        <w:rPr>
          <w:lang w:val="fr-FR" w:bidi="en-US"/>
        </w:rPr>
        <w:t>enfants nés à l</w:t>
      </w:r>
      <w:r w:rsidR="009429B7">
        <w:rPr>
          <w:lang w:val="fr-FR" w:bidi="en-US"/>
        </w:rPr>
        <w:t>’</w:t>
      </w:r>
      <w:r>
        <w:rPr>
          <w:lang w:val="fr-FR" w:bidi="en-US"/>
        </w:rPr>
        <w:t>étranger et les parents français d</w:t>
      </w:r>
      <w:r w:rsidR="009429B7">
        <w:rPr>
          <w:lang w:val="fr-FR" w:bidi="en-US"/>
        </w:rPr>
        <w:t>’</w:t>
      </w:r>
      <w:r>
        <w:rPr>
          <w:lang w:val="fr-FR" w:bidi="en-US"/>
        </w:rPr>
        <w:t>enfants nés à l</w:t>
      </w:r>
      <w:r w:rsidR="009429B7">
        <w:rPr>
          <w:lang w:val="fr-FR" w:bidi="en-US"/>
        </w:rPr>
        <w:t>’</w:t>
      </w:r>
      <w:r>
        <w:rPr>
          <w:lang w:val="fr-FR" w:bidi="en-US"/>
        </w:rPr>
        <w:t>étranger, ainsi qu</w:t>
      </w:r>
      <w:r w:rsidR="009429B7">
        <w:rPr>
          <w:lang w:val="fr-FR" w:bidi="en-US"/>
        </w:rPr>
        <w:t>’</w:t>
      </w:r>
      <w:r>
        <w:rPr>
          <w:lang w:val="fr-FR" w:bidi="en-US"/>
        </w:rPr>
        <w:t>entre parents étrangers, dont le seul objectif réel est la régulation des flux migratoires et qui n</w:t>
      </w:r>
      <w:r w:rsidR="009429B7">
        <w:rPr>
          <w:lang w:val="fr-FR" w:bidi="en-US"/>
        </w:rPr>
        <w:t>’</w:t>
      </w:r>
      <w:r>
        <w:rPr>
          <w:lang w:val="fr-FR" w:bidi="en-US"/>
        </w:rPr>
        <w:t>est pas proportionnée aux buts invoqués. De plus, il fournit un certain nombre d</w:t>
      </w:r>
      <w:r w:rsidR="009429B7">
        <w:rPr>
          <w:lang w:val="fr-FR" w:bidi="en-US"/>
        </w:rPr>
        <w:t>’</w:t>
      </w:r>
      <w:r>
        <w:rPr>
          <w:lang w:val="fr-FR" w:bidi="en-US"/>
        </w:rPr>
        <w:t>exemples de situations concrètes démontrant, selon lui, le caractère non pertinent du dispositif légal en vigueur.</w:t>
      </w:r>
    </w:p>
    <w:p w:rsidR="000537C6" w:rsidRDefault="000537C6" w:rsidP="00DE0F74">
      <w:pPr>
        <w:pStyle w:val="ECHRPara"/>
        <w:rPr>
          <w:lang w:val="fr-FR" w:bidi="en-US"/>
        </w:rPr>
      </w:pPr>
      <w:r>
        <w:rPr>
          <w:lang w:val="fr-FR" w:bidi="en-US"/>
        </w:rPr>
        <w:t>38.  Le groupe d</w:t>
      </w:r>
      <w:r w:rsidR="009429B7">
        <w:rPr>
          <w:lang w:val="fr-FR" w:bidi="en-US"/>
        </w:rPr>
        <w:t>’</w:t>
      </w:r>
      <w:r>
        <w:rPr>
          <w:lang w:val="fr-FR" w:bidi="en-US"/>
        </w:rPr>
        <w:t>informati</w:t>
      </w:r>
      <w:r w:rsidR="003519F6">
        <w:rPr>
          <w:lang w:val="fr-FR" w:bidi="en-US"/>
        </w:rPr>
        <w:t>on et de soutien des immigrés (</w:t>
      </w:r>
      <w:r>
        <w:rPr>
          <w:lang w:val="fr-FR" w:bidi="en-US"/>
        </w:rPr>
        <w:t>GISTI) et le collectif des accidentés du travail, handicapés et retraités pour l</w:t>
      </w:r>
      <w:r w:rsidR="009429B7">
        <w:rPr>
          <w:lang w:val="fr-FR" w:bidi="en-US"/>
        </w:rPr>
        <w:t>’</w:t>
      </w:r>
      <w:r>
        <w:rPr>
          <w:lang w:val="fr-FR" w:bidi="en-US"/>
        </w:rPr>
        <w:t>égalité des droits (CATRED) estiment que les règles internes applicables, tout comme leur interprétation par la Cour de cassation, conduisent à des situations absurdes fondées sur des distinctions injustifiées entre des enfants, parfois au sein d</w:t>
      </w:r>
      <w:r w:rsidR="009429B7">
        <w:rPr>
          <w:lang w:val="fr-FR" w:bidi="en-US"/>
        </w:rPr>
        <w:t>’</w:t>
      </w:r>
      <w:r>
        <w:rPr>
          <w:lang w:val="fr-FR" w:bidi="en-US"/>
        </w:rPr>
        <w:t>une même fratrie, en fonction de leur seul lieu de naissance. Cela constitue selon eux une discrimination au sens de l</w:t>
      </w:r>
      <w:r w:rsidR="009429B7">
        <w:rPr>
          <w:lang w:val="fr-FR" w:bidi="en-US"/>
        </w:rPr>
        <w:t>’</w:t>
      </w:r>
      <w:r>
        <w:rPr>
          <w:lang w:val="fr-FR" w:bidi="en-US"/>
        </w:rPr>
        <w:t>article 14 de la Convention combiné avec l</w:t>
      </w:r>
      <w:r w:rsidR="009429B7">
        <w:rPr>
          <w:lang w:val="fr-FR" w:bidi="en-US"/>
        </w:rPr>
        <w:t>’</w:t>
      </w:r>
      <w:r>
        <w:rPr>
          <w:lang w:val="fr-FR" w:bidi="en-US"/>
        </w:rPr>
        <w:t>article 8. Ils indiquent que l</w:t>
      </w:r>
      <w:r w:rsidR="009429B7">
        <w:rPr>
          <w:lang w:val="fr-FR" w:bidi="en-US"/>
        </w:rPr>
        <w:t>’</w:t>
      </w:r>
      <w:r>
        <w:rPr>
          <w:lang w:val="fr-FR" w:bidi="en-US"/>
        </w:rPr>
        <w:t>administration n</w:t>
      </w:r>
      <w:r w:rsidR="009429B7">
        <w:rPr>
          <w:lang w:val="fr-FR" w:bidi="en-US"/>
        </w:rPr>
        <w:t>’</w:t>
      </w:r>
      <w:r>
        <w:rPr>
          <w:lang w:val="fr-FR" w:bidi="en-US"/>
        </w:rPr>
        <w:t>accepte qu</w:t>
      </w:r>
      <w:r w:rsidR="009429B7">
        <w:rPr>
          <w:lang w:val="fr-FR" w:bidi="en-US"/>
        </w:rPr>
        <w:t>’</w:t>
      </w:r>
      <w:r>
        <w:rPr>
          <w:lang w:val="fr-FR" w:bidi="en-US"/>
        </w:rPr>
        <w:t>exceptionnellement les regroupements sur place.</w:t>
      </w:r>
    </w:p>
    <w:p w:rsidR="000537C6" w:rsidRDefault="00846476" w:rsidP="00DE0F74">
      <w:pPr>
        <w:pStyle w:val="ECHRHeading3"/>
        <w:rPr>
          <w:lang w:val="fr-FR" w:bidi="en-US"/>
        </w:rPr>
      </w:pPr>
      <w:r>
        <w:rPr>
          <w:lang w:val="fr-FR" w:bidi="en-US"/>
        </w:rPr>
        <w:t>2.  </w:t>
      </w:r>
      <w:r w:rsidR="000537C6" w:rsidRPr="00B63237">
        <w:rPr>
          <w:lang w:val="fr-FR"/>
        </w:rPr>
        <w:t>Appréciation par la Cour</w:t>
      </w:r>
    </w:p>
    <w:p w:rsidR="000537C6" w:rsidRPr="00375DAA" w:rsidRDefault="000537C6" w:rsidP="00DE0F74">
      <w:pPr>
        <w:pStyle w:val="ECHRHeading4"/>
        <w:rPr>
          <w:lang w:val="fr-FR"/>
        </w:rPr>
      </w:pPr>
      <w:r>
        <w:rPr>
          <w:lang w:val="fr-FR"/>
        </w:rPr>
        <w:t>a) </w:t>
      </w:r>
      <w:r w:rsidR="003E6386">
        <w:rPr>
          <w:lang w:val="fr-FR"/>
        </w:rPr>
        <w:t> </w:t>
      </w:r>
      <w:r w:rsidRPr="00375DAA">
        <w:rPr>
          <w:lang w:val="fr-FR"/>
        </w:rPr>
        <w:t>Les principes généraux</w:t>
      </w:r>
    </w:p>
    <w:p w:rsidR="000537C6" w:rsidRDefault="000537C6" w:rsidP="00DE0F74">
      <w:pPr>
        <w:pStyle w:val="ECHRPara"/>
        <w:rPr>
          <w:lang w:val="fr-FR" w:eastAsia="fr-FR"/>
        </w:rPr>
      </w:pPr>
      <w:r>
        <w:rPr>
          <w:lang w:val="fr-FR"/>
        </w:rPr>
        <w:t>39.  La Cour</w:t>
      </w:r>
      <w:r w:rsidRPr="00B9657E">
        <w:rPr>
          <w:lang w:val="fr-FR"/>
        </w:rPr>
        <w:t xml:space="preserve"> rappelle</w:t>
      </w:r>
      <w:r>
        <w:rPr>
          <w:lang w:val="fr-FR"/>
        </w:rPr>
        <w:t xml:space="preserve"> que,</w:t>
      </w:r>
      <w:r w:rsidRPr="00B9657E">
        <w:rPr>
          <w:rStyle w:val="sb8d990e2"/>
          <w:lang w:val="fr-FR"/>
        </w:rPr>
        <w:t xml:space="preserve"> </w:t>
      </w:r>
      <w:r>
        <w:rPr>
          <w:rStyle w:val="sb8d990e2"/>
          <w:lang w:val="fr-FR"/>
        </w:rPr>
        <w:t>selon sa jurisprudence constante, l</w:t>
      </w:r>
      <w:r w:rsidR="009429B7">
        <w:rPr>
          <w:rStyle w:val="sb8d990e2"/>
          <w:lang w:val="fr-FR"/>
        </w:rPr>
        <w:t>’</w:t>
      </w:r>
      <w:r>
        <w:rPr>
          <w:rStyle w:val="sb8d990e2"/>
          <w:lang w:val="fr-FR"/>
        </w:rPr>
        <w:t>article 14</w:t>
      </w:r>
      <w:r w:rsidRPr="00B9657E">
        <w:rPr>
          <w:rStyle w:val="sb8d990e2"/>
          <w:lang w:val="fr-FR"/>
        </w:rPr>
        <w:t xml:space="preserve"> complète les autres clauses normatives de la Convention et des Protocoles. Il n</w:t>
      </w:r>
      <w:r w:rsidR="009429B7">
        <w:rPr>
          <w:rStyle w:val="sb8d990e2"/>
          <w:lang w:val="fr-FR"/>
        </w:rPr>
        <w:t>’</w:t>
      </w:r>
      <w:r w:rsidRPr="00B9657E">
        <w:rPr>
          <w:rStyle w:val="sb8d990e2"/>
          <w:lang w:val="fr-FR"/>
        </w:rPr>
        <w:t>a pas d</w:t>
      </w:r>
      <w:r w:rsidR="009429B7">
        <w:rPr>
          <w:rStyle w:val="sb8d990e2"/>
          <w:lang w:val="fr-FR"/>
        </w:rPr>
        <w:t>’</w:t>
      </w:r>
      <w:r w:rsidRPr="00B9657E">
        <w:rPr>
          <w:rStyle w:val="sb8d990e2"/>
          <w:lang w:val="fr-FR"/>
        </w:rPr>
        <w:t>existence indépendante puisqu</w:t>
      </w:r>
      <w:r w:rsidR="009429B7">
        <w:rPr>
          <w:rStyle w:val="sb8d990e2"/>
          <w:lang w:val="fr-FR"/>
        </w:rPr>
        <w:t>’</w:t>
      </w:r>
      <w:r>
        <w:rPr>
          <w:rStyle w:val="sb8d990e2"/>
          <w:lang w:val="fr-FR"/>
        </w:rPr>
        <w:t>il vaut uniquement pour « </w:t>
      </w:r>
      <w:r w:rsidRPr="00B9657E">
        <w:rPr>
          <w:rStyle w:val="sb8d990e2"/>
          <w:lang w:val="fr-FR"/>
        </w:rPr>
        <w:t>la jouissance des droits et libertés</w:t>
      </w:r>
      <w:r>
        <w:rPr>
          <w:rStyle w:val="sb8d990e2"/>
          <w:lang w:val="fr-FR"/>
        </w:rPr>
        <w:t> »</w:t>
      </w:r>
      <w:r w:rsidRPr="00B9657E">
        <w:rPr>
          <w:rStyle w:val="sb8d990e2"/>
          <w:lang w:val="fr-FR"/>
        </w:rPr>
        <w:t xml:space="preserve"> qu</w:t>
      </w:r>
      <w:r w:rsidR="009429B7">
        <w:rPr>
          <w:rStyle w:val="sb8d990e2"/>
          <w:lang w:val="fr-FR"/>
        </w:rPr>
        <w:t>’</w:t>
      </w:r>
      <w:r w:rsidRPr="00B9657E">
        <w:rPr>
          <w:rStyle w:val="sb8d990e2"/>
          <w:lang w:val="fr-FR"/>
        </w:rPr>
        <w:t>elles garantissent. Certes, il peut entrer en jeu même sans un manquement à leurs exigences et, dans cette mesure, possède une portée autonome, mais il ne saurait trouver à s</w:t>
      </w:r>
      <w:r w:rsidR="009429B7">
        <w:rPr>
          <w:rStyle w:val="sb8d990e2"/>
          <w:lang w:val="fr-FR"/>
        </w:rPr>
        <w:t>’</w:t>
      </w:r>
      <w:r w:rsidRPr="00B9657E">
        <w:rPr>
          <w:rStyle w:val="sb8d990e2"/>
          <w:lang w:val="fr-FR"/>
        </w:rPr>
        <w:t>appliquer si les faits du litige ne tombent pas sous l</w:t>
      </w:r>
      <w:r w:rsidR="009429B7">
        <w:rPr>
          <w:rStyle w:val="sb8d990e2"/>
          <w:lang w:val="fr-FR"/>
        </w:rPr>
        <w:t>’</w:t>
      </w:r>
      <w:r w:rsidRPr="00B9657E">
        <w:rPr>
          <w:rStyle w:val="sb8d990e2"/>
          <w:lang w:val="fr-FR"/>
        </w:rPr>
        <w:t>empire de l</w:t>
      </w:r>
      <w:r w:rsidR="009429B7">
        <w:rPr>
          <w:rStyle w:val="sb8d990e2"/>
          <w:lang w:val="fr-FR"/>
        </w:rPr>
        <w:t>’</w:t>
      </w:r>
      <w:r w:rsidRPr="00B9657E">
        <w:rPr>
          <w:rStyle w:val="sb8d990e2"/>
          <w:lang w:val="fr-FR"/>
        </w:rPr>
        <w:t xml:space="preserve">une au moins desdites clauses </w:t>
      </w:r>
      <w:r>
        <w:rPr>
          <w:lang w:val="fr-FR"/>
        </w:rPr>
        <w:t>(</w:t>
      </w:r>
      <w:r w:rsidRPr="00B9657E">
        <w:rPr>
          <w:i/>
          <w:lang w:val="fr-FR" w:eastAsia="fr-FR"/>
        </w:rPr>
        <w:t>Inze c. Autriche</w:t>
      </w:r>
      <w:r w:rsidRPr="00B9657E">
        <w:rPr>
          <w:lang w:val="fr-FR" w:eastAsia="fr-FR"/>
        </w:rPr>
        <w:t>, 28 o</w:t>
      </w:r>
      <w:r>
        <w:rPr>
          <w:lang w:val="fr-FR" w:eastAsia="fr-FR"/>
        </w:rPr>
        <w:t>ctobre 1987, § 36</w:t>
      </w:r>
      <w:r w:rsidRPr="00B9657E">
        <w:rPr>
          <w:lang w:val="fr-FR" w:eastAsia="fr-FR"/>
        </w:rPr>
        <w:t>, série A n</w:t>
      </w:r>
      <w:r w:rsidRPr="00B9657E">
        <w:rPr>
          <w:vertAlign w:val="superscript"/>
          <w:lang w:val="fr-FR" w:eastAsia="fr-FR"/>
        </w:rPr>
        <w:t>o</w:t>
      </w:r>
      <w:r w:rsidRPr="00B9657E">
        <w:rPr>
          <w:lang w:val="fr-FR" w:eastAsia="fr-FR"/>
        </w:rPr>
        <w:t xml:space="preserve"> 126</w:t>
      </w:r>
      <w:r>
        <w:rPr>
          <w:lang w:val="fr-FR" w:eastAsia="fr-FR"/>
        </w:rPr>
        <w:t xml:space="preserve">, et </w:t>
      </w:r>
      <w:r w:rsidRPr="00B9657E">
        <w:rPr>
          <w:i/>
          <w:lang w:val="fr-FR" w:eastAsia="fr-FR"/>
        </w:rPr>
        <w:t>Thlimmenos c. Grèce</w:t>
      </w:r>
      <w:r w:rsidRPr="00B9657E">
        <w:rPr>
          <w:lang w:val="fr-FR" w:eastAsia="fr-FR"/>
        </w:rPr>
        <w:t xml:space="preserve"> [GC], n</w:t>
      </w:r>
      <w:r w:rsidRPr="00B9657E">
        <w:rPr>
          <w:vertAlign w:val="superscript"/>
          <w:lang w:val="fr-FR" w:eastAsia="fr-FR"/>
        </w:rPr>
        <w:t>o</w:t>
      </w:r>
      <w:r w:rsidRPr="00B9657E">
        <w:rPr>
          <w:lang w:val="fr-FR" w:eastAsia="fr-FR"/>
        </w:rPr>
        <w:t xml:space="preserve"> 34369/97, § </w:t>
      </w:r>
      <w:r>
        <w:rPr>
          <w:lang w:val="fr-FR" w:eastAsia="fr-FR"/>
        </w:rPr>
        <w:t>40</w:t>
      </w:r>
      <w:r w:rsidRPr="00B9657E">
        <w:rPr>
          <w:lang w:val="fr-FR" w:eastAsia="fr-FR"/>
        </w:rPr>
        <w:t>, CEDH 2000</w:t>
      </w:r>
      <w:r w:rsidRPr="00B9657E">
        <w:rPr>
          <w:lang w:val="fr-FR" w:eastAsia="fr-FR"/>
        </w:rPr>
        <w:noBreakHyphen/>
        <w:t>IV</w:t>
      </w:r>
      <w:r>
        <w:rPr>
          <w:lang w:val="fr-FR" w:eastAsia="fr-FR"/>
        </w:rPr>
        <w:t>).</w:t>
      </w:r>
    </w:p>
    <w:p w:rsidR="000537C6" w:rsidRDefault="000537C6" w:rsidP="00DE0F74">
      <w:pPr>
        <w:pStyle w:val="ECHRPara"/>
        <w:rPr>
          <w:szCs w:val="24"/>
          <w:lang w:val="fr-FR"/>
        </w:rPr>
      </w:pPr>
      <w:r>
        <w:rPr>
          <w:szCs w:val="24"/>
          <w:lang w:val="fr-FR"/>
        </w:rPr>
        <w:t>40.  </w:t>
      </w:r>
      <w:r w:rsidRPr="00F41572">
        <w:rPr>
          <w:szCs w:val="24"/>
          <w:lang w:val="fr-FR"/>
        </w:rPr>
        <w:t>La Cour a déjà jugé que l</w:t>
      </w:r>
      <w:r w:rsidR="009429B7">
        <w:rPr>
          <w:szCs w:val="24"/>
          <w:lang w:val="fr-FR"/>
        </w:rPr>
        <w:t>’</w:t>
      </w:r>
      <w:r w:rsidRPr="00F41572">
        <w:rPr>
          <w:szCs w:val="24"/>
          <w:lang w:val="fr-FR"/>
        </w:rPr>
        <w:t>attribution des prestations familiales permettait à l</w:t>
      </w:r>
      <w:r w:rsidR="009429B7">
        <w:rPr>
          <w:szCs w:val="24"/>
          <w:lang w:val="fr-FR"/>
        </w:rPr>
        <w:t>’</w:t>
      </w:r>
      <w:r w:rsidRPr="00F41572">
        <w:rPr>
          <w:szCs w:val="24"/>
          <w:lang w:val="fr-FR"/>
        </w:rPr>
        <w:t>État de témoigner son respect pour la vie familiale au sens de l</w:t>
      </w:r>
      <w:r w:rsidR="009429B7">
        <w:rPr>
          <w:szCs w:val="24"/>
          <w:lang w:val="fr-FR"/>
        </w:rPr>
        <w:t>’</w:t>
      </w:r>
      <w:r w:rsidRPr="00F41572">
        <w:rPr>
          <w:szCs w:val="24"/>
          <w:lang w:val="fr-FR"/>
        </w:rPr>
        <w:t>article 8 de la Convention ; elle entre donc dans le champ d</w:t>
      </w:r>
      <w:r w:rsidR="009429B7">
        <w:rPr>
          <w:szCs w:val="24"/>
          <w:lang w:val="fr-FR"/>
        </w:rPr>
        <w:t>’</w:t>
      </w:r>
      <w:r w:rsidRPr="00F41572">
        <w:rPr>
          <w:szCs w:val="24"/>
          <w:lang w:val="fr-FR"/>
        </w:rPr>
        <w:t>application de ce dernier</w:t>
      </w:r>
      <w:r>
        <w:rPr>
          <w:szCs w:val="24"/>
          <w:lang w:val="fr-FR"/>
        </w:rPr>
        <w:t>. Il s</w:t>
      </w:r>
      <w:r w:rsidR="009429B7">
        <w:rPr>
          <w:szCs w:val="24"/>
          <w:lang w:val="fr-FR"/>
        </w:rPr>
        <w:t>’</w:t>
      </w:r>
      <w:r>
        <w:rPr>
          <w:szCs w:val="24"/>
          <w:lang w:val="fr-FR"/>
        </w:rPr>
        <w:t>ensuit que l</w:t>
      </w:r>
      <w:r w:rsidR="009429B7">
        <w:rPr>
          <w:szCs w:val="24"/>
          <w:lang w:val="fr-FR"/>
        </w:rPr>
        <w:t>’</w:t>
      </w:r>
      <w:r>
        <w:rPr>
          <w:szCs w:val="24"/>
          <w:lang w:val="fr-FR"/>
        </w:rPr>
        <w:t>article 14, combiné avec l</w:t>
      </w:r>
      <w:r w:rsidR="009429B7">
        <w:rPr>
          <w:szCs w:val="24"/>
          <w:lang w:val="fr-FR"/>
        </w:rPr>
        <w:t>’</w:t>
      </w:r>
      <w:r>
        <w:rPr>
          <w:szCs w:val="24"/>
          <w:lang w:val="fr-FR"/>
        </w:rPr>
        <w:t>article 8, est applicable aux situations d</w:t>
      </w:r>
      <w:r w:rsidR="009429B7">
        <w:rPr>
          <w:szCs w:val="24"/>
          <w:lang w:val="fr-FR"/>
        </w:rPr>
        <w:t>’</w:t>
      </w:r>
      <w:r>
        <w:rPr>
          <w:szCs w:val="24"/>
          <w:lang w:val="fr-FR"/>
        </w:rPr>
        <w:t>espèce</w:t>
      </w:r>
      <w:r w:rsidRPr="00F41572">
        <w:rPr>
          <w:szCs w:val="24"/>
          <w:lang w:val="fr-FR"/>
        </w:rPr>
        <w:t xml:space="preserve"> (voir, </w:t>
      </w:r>
      <w:r w:rsidRPr="00F41572">
        <w:rPr>
          <w:i/>
          <w:szCs w:val="24"/>
          <w:lang w:val="fr-FR"/>
        </w:rPr>
        <w:t>Okpisz c. Allemagne</w:t>
      </w:r>
      <w:r w:rsidRPr="00F41572">
        <w:rPr>
          <w:szCs w:val="24"/>
          <w:lang w:val="fr-FR"/>
        </w:rPr>
        <w:t>, n</w:t>
      </w:r>
      <w:r w:rsidRPr="00F41572">
        <w:rPr>
          <w:szCs w:val="24"/>
          <w:vertAlign w:val="superscript"/>
          <w:lang w:val="fr-FR"/>
        </w:rPr>
        <w:t>o</w:t>
      </w:r>
      <w:r w:rsidRPr="00F41572">
        <w:rPr>
          <w:szCs w:val="24"/>
          <w:lang w:val="fr-FR"/>
        </w:rPr>
        <w:t xml:space="preserve"> 59140/00, § 32, 25 octobre 2005).</w:t>
      </w:r>
    </w:p>
    <w:p w:rsidR="000537C6" w:rsidRDefault="000537C6" w:rsidP="00DE0F74">
      <w:pPr>
        <w:pStyle w:val="ECHRPara"/>
        <w:rPr>
          <w:rFonts w:eastAsia="Times New Roman"/>
          <w:lang w:val="fr-FR"/>
        </w:rPr>
      </w:pPr>
      <w:r>
        <w:rPr>
          <w:rFonts w:eastAsia="Times New Roman"/>
          <w:lang w:val="fr-FR"/>
        </w:rPr>
        <w:t>41.  </w:t>
      </w:r>
      <w:r w:rsidRPr="0033518C">
        <w:rPr>
          <w:rFonts w:eastAsia="Times New Roman"/>
          <w:lang w:val="fr-FR"/>
        </w:rPr>
        <w:t>Selon la jurisprudence constante de la Cour, pour qu</w:t>
      </w:r>
      <w:r w:rsidR="009429B7">
        <w:rPr>
          <w:rFonts w:eastAsia="Times New Roman"/>
          <w:lang w:val="fr-FR"/>
        </w:rPr>
        <w:t>’</w:t>
      </w:r>
      <w:r w:rsidRPr="0033518C">
        <w:rPr>
          <w:rFonts w:eastAsia="Times New Roman"/>
          <w:lang w:val="fr-FR"/>
        </w:rPr>
        <w:t>une question se pose au regard de l</w:t>
      </w:r>
      <w:r w:rsidR="009429B7">
        <w:rPr>
          <w:rFonts w:eastAsia="Times New Roman"/>
          <w:lang w:val="fr-FR"/>
        </w:rPr>
        <w:t>’</w:t>
      </w:r>
      <w:r w:rsidRPr="0033518C">
        <w:rPr>
          <w:rFonts w:eastAsia="Times New Roman"/>
          <w:lang w:val="fr-FR"/>
        </w:rPr>
        <w:t>article 14, il doit y avoir une différence dans le traitement de personnes placées dans des situations comparables. Une telle différence est discriminatoire</w:t>
      </w:r>
      <w:r>
        <w:rPr>
          <w:rFonts w:eastAsia="Times New Roman"/>
          <w:lang w:val="fr-FR"/>
        </w:rPr>
        <w:t xml:space="preserve"> seulement</w:t>
      </w:r>
      <w:r w:rsidRPr="0033518C">
        <w:rPr>
          <w:rFonts w:eastAsia="Times New Roman"/>
          <w:lang w:val="fr-FR"/>
        </w:rPr>
        <w:t xml:space="preserve"> si</w:t>
      </w:r>
      <w:r>
        <w:rPr>
          <w:rFonts w:eastAsia="Times New Roman"/>
          <w:lang w:val="fr-FR"/>
        </w:rPr>
        <w:t xml:space="preserve"> elle est fondée sur une caractéristique personnelle identifiable (« situation » ; voir </w:t>
      </w:r>
      <w:r w:rsidRPr="000358A2">
        <w:rPr>
          <w:i/>
          <w:lang w:val="fr-FR"/>
        </w:rPr>
        <w:t xml:space="preserve">Carson et autres c. Royaume-Uni </w:t>
      </w:r>
      <w:r w:rsidRPr="000358A2">
        <w:rPr>
          <w:lang w:val="fr-FR"/>
        </w:rPr>
        <w:t>[GC], n</w:t>
      </w:r>
      <w:r w:rsidRPr="000358A2">
        <w:rPr>
          <w:vertAlign w:val="superscript"/>
          <w:lang w:val="fr-FR"/>
        </w:rPr>
        <w:t>o</w:t>
      </w:r>
      <w:r w:rsidRPr="000358A2">
        <w:rPr>
          <w:lang w:val="fr-FR"/>
        </w:rPr>
        <w:t xml:space="preserve"> 42184/05, §</w:t>
      </w:r>
      <w:r>
        <w:rPr>
          <w:lang w:val="fr-FR"/>
        </w:rPr>
        <w:t>§</w:t>
      </w:r>
      <w:r w:rsidRPr="000358A2">
        <w:rPr>
          <w:lang w:val="fr-FR"/>
        </w:rPr>
        <w:t xml:space="preserve"> </w:t>
      </w:r>
      <w:r>
        <w:rPr>
          <w:lang w:val="fr-FR"/>
        </w:rPr>
        <w:t>61 et 70</w:t>
      </w:r>
      <w:r w:rsidRPr="000358A2">
        <w:rPr>
          <w:lang w:val="fr-FR"/>
        </w:rPr>
        <w:t>, CEDH 2010</w:t>
      </w:r>
      <w:r>
        <w:rPr>
          <w:rFonts w:eastAsia="Times New Roman"/>
          <w:lang w:val="fr-FR"/>
        </w:rPr>
        <w:t>) et si</w:t>
      </w:r>
      <w:r w:rsidRPr="0033518C">
        <w:rPr>
          <w:rFonts w:eastAsia="Times New Roman"/>
          <w:lang w:val="fr-FR"/>
        </w:rPr>
        <w:t xml:space="preserve"> elle ne repose pas sur une justification objective et raisonnable, c</w:t>
      </w:r>
      <w:r w:rsidR="009429B7">
        <w:rPr>
          <w:rFonts w:eastAsia="Times New Roman"/>
          <w:lang w:val="fr-FR"/>
        </w:rPr>
        <w:t>’</w:t>
      </w:r>
      <w:r w:rsidRPr="0033518C">
        <w:rPr>
          <w:rFonts w:eastAsia="Times New Roman"/>
          <w:lang w:val="fr-FR"/>
        </w:rPr>
        <w:t xml:space="preserve">est-à-dire si elle </w:t>
      </w:r>
      <w:r w:rsidRPr="0033518C">
        <w:rPr>
          <w:rFonts w:eastAsia="Times New Roman"/>
          <w:lang w:val="fr-FR"/>
        </w:rPr>
        <w:lastRenderedPageBreak/>
        <w:t>ne poursuit pas un but légitime ou s</w:t>
      </w:r>
      <w:r w:rsidR="009429B7">
        <w:rPr>
          <w:rFonts w:eastAsia="Times New Roman"/>
          <w:lang w:val="fr-FR"/>
        </w:rPr>
        <w:t>’</w:t>
      </w:r>
      <w:r w:rsidRPr="0033518C">
        <w:rPr>
          <w:rFonts w:eastAsia="Times New Roman"/>
          <w:lang w:val="fr-FR"/>
        </w:rPr>
        <w:t>il n</w:t>
      </w:r>
      <w:r w:rsidR="009429B7">
        <w:rPr>
          <w:rFonts w:eastAsia="Times New Roman"/>
          <w:lang w:val="fr-FR"/>
        </w:rPr>
        <w:t>’</w:t>
      </w:r>
      <w:r w:rsidRPr="0033518C">
        <w:rPr>
          <w:rFonts w:eastAsia="Times New Roman"/>
          <w:lang w:val="fr-FR"/>
        </w:rPr>
        <w:t>y a pas un rapport raisonnable de proportionnalité entre les moyens employés et le but visé. Les États contractants jouissent d</w:t>
      </w:r>
      <w:r w:rsidR="009429B7">
        <w:rPr>
          <w:rFonts w:eastAsia="Times New Roman"/>
          <w:lang w:val="fr-FR"/>
        </w:rPr>
        <w:t>’</w:t>
      </w:r>
      <w:r w:rsidRPr="0033518C">
        <w:rPr>
          <w:rFonts w:eastAsia="Times New Roman"/>
          <w:lang w:val="fr-FR"/>
        </w:rPr>
        <w:t>une certaine marge d</w:t>
      </w:r>
      <w:r w:rsidR="009429B7">
        <w:rPr>
          <w:rFonts w:eastAsia="Times New Roman"/>
          <w:lang w:val="fr-FR"/>
        </w:rPr>
        <w:t>’</w:t>
      </w:r>
      <w:r w:rsidRPr="0033518C">
        <w:rPr>
          <w:rFonts w:eastAsia="Times New Roman"/>
          <w:lang w:val="fr-FR"/>
        </w:rPr>
        <w:t>appréciation pour déterminer si et dans quelle mesure des différences entre des situations à d</w:t>
      </w:r>
      <w:r w:rsidR="009429B7">
        <w:rPr>
          <w:rFonts w:eastAsia="Times New Roman"/>
          <w:lang w:val="fr-FR"/>
        </w:rPr>
        <w:t>’</w:t>
      </w:r>
      <w:r w:rsidRPr="0033518C">
        <w:rPr>
          <w:rFonts w:eastAsia="Times New Roman"/>
          <w:lang w:val="fr-FR"/>
        </w:rPr>
        <w:t>autres égards analogues justifient des distinctions de traitement (</w:t>
      </w:r>
      <w:r w:rsidRPr="000358A2">
        <w:rPr>
          <w:i/>
          <w:lang w:val="fr-FR"/>
        </w:rPr>
        <w:t>X et autres c.</w:t>
      </w:r>
      <w:r>
        <w:rPr>
          <w:i/>
          <w:lang w:val="fr-FR"/>
        </w:rPr>
        <w:t> </w:t>
      </w:r>
      <w:r w:rsidRPr="000358A2">
        <w:rPr>
          <w:i/>
          <w:lang w:val="fr-FR"/>
        </w:rPr>
        <w:t xml:space="preserve">Autriche </w:t>
      </w:r>
      <w:r w:rsidRPr="000358A2">
        <w:rPr>
          <w:lang w:val="fr-FR"/>
        </w:rPr>
        <w:t>[GC], n</w:t>
      </w:r>
      <w:r w:rsidRPr="000358A2">
        <w:rPr>
          <w:vertAlign w:val="superscript"/>
          <w:lang w:val="fr-FR"/>
        </w:rPr>
        <w:t>o</w:t>
      </w:r>
      <w:r w:rsidRPr="000358A2">
        <w:rPr>
          <w:lang w:val="fr-FR"/>
        </w:rPr>
        <w:t xml:space="preserve"> 19010/07</w:t>
      </w:r>
      <w:r w:rsidRPr="000358A2">
        <w:rPr>
          <w:snapToGrid w:val="0"/>
          <w:lang w:val="fr-FR"/>
        </w:rPr>
        <w:t xml:space="preserve">, § </w:t>
      </w:r>
      <w:r>
        <w:rPr>
          <w:snapToGrid w:val="0"/>
          <w:lang w:val="fr-FR"/>
        </w:rPr>
        <w:t>98</w:t>
      </w:r>
      <w:r w:rsidRPr="000358A2">
        <w:rPr>
          <w:snapToGrid w:val="0"/>
          <w:lang w:val="fr-FR"/>
        </w:rPr>
        <w:t xml:space="preserve">, </w:t>
      </w:r>
      <w:r w:rsidRPr="000358A2">
        <w:rPr>
          <w:lang w:val="fr-FR"/>
        </w:rPr>
        <w:t>CEDH 2013</w:t>
      </w:r>
      <w:r>
        <w:rPr>
          <w:rFonts w:eastAsia="Times New Roman"/>
          <w:lang w:val="fr-FR"/>
        </w:rPr>
        <w:t>,</w:t>
      </w:r>
      <w:r w:rsidRPr="0033518C">
        <w:rPr>
          <w:rFonts w:eastAsia="Times New Roman"/>
          <w:lang w:val="fr-FR"/>
        </w:rPr>
        <w:t xml:space="preserve"> </w:t>
      </w:r>
      <w:r w:rsidRPr="000358A2">
        <w:rPr>
          <w:bCs/>
          <w:i/>
          <w:color w:val="000000"/>
          <w:lang w:val="fr-FR"/>
        </w:rPr>
        <w:t>Vallianatos</w:t>
      </w:r>
      <w:r w:rsidRPr="000358A2">
        <w:rPr>
          <w:b/>
          <w:bCs/>
          <w:i/>
          <w:color w:val="000000"/>
          <w:lang w:val="fr-FR"/>
        </w:rPr>
        <w:t xml:space="preserve"> </w:t>
      </w:r>
      <w:r>
        <w:rPr>
          <w:i/>
          <w:lang w:val="fr-FR"/>
        </w:rPr>
        <w:t>et autres c. </w:t>
      </w:r>
      <w:r w:rsidRPr="000358A2">
        <w:rPr>
          <w:i/>
          <w:lang w:val="fr-FR"/>
        </w:rPr>
        <w:t xml:space="preserve">Grèce </w:t>
      </w:r>
      <w:r w:rsidRPr="000358A2">
        <w:rPr>
          <w:lang w:val="fr-FR"/>
        </w:rPr>
        <w:t>[GC], n</w:t>
      </w:r>
      <w:r w:rsidRPr="000358A2">
        <w:rPr>
          <w:vertAlign w:val="superscript"/>
          <w:lang w:val="fr-FR"/>
        </w:rPr>
        <w:t>os</w:t>
      </w:r>
      <w:r w:rsidRPr="000358A2">
        <w:rPr>
          <w:lang w:val="fr-FR"/>
        </w:rPr>
        <w:t xml:space="preserve"> 29381/09 et 32684/09</w:t>
      </w:r>
      <w:r w:rsidRPr="000358A2">
        <w:rPr>
          <w:snapToGrid w:val="0"/>
          <w:lang w:val="fr-FR"/>
        </w:rPr>
        <w:t xml:space="preserve">, § </w:t>
      </w:r>
      <w:r>
        <w:rPr>
          <w:snapToGrid w:val="0"/>
          <w:lang w:val="fr-FR"/>
        </w:rPr>
        <w:t>76</w:t>
      </w:r>
      <w:r w:rsidRPr="000358A2">
        <w:rPr>
          <w:snapToGrid w:val="0"/>
          <w:lang w:val="fr-FR"/>
        </w:rPr>
        <w:t xml:space="preserve">, </w:t>
      </w:r>
      <w:r w:rsidRPr="000358A2">
        <w:rPr>
          <w:lang w:val="fr-FR"/>
        </w:rPr>
        <w:t>CEDH 2013 (extraits)</w:t>
      </w:r>
      <w:r>
        <w:rPr>
          <w:lang w:val="fr-FR"/>
        </w:rPr>
        <w:t>, et</w:t>
      </w:r>
      <w:r w:rsidRPr="000859FC">
        <w:rPr>
          <w:i/>
          <w:lang w:val="fr-FR"/>
        </w:rPr>
        <w:t xml:space="preserve"> Dhahbi c. Italie</w:t>
      </w:r>
      <w:r w:rsidRPr="000859FC">
        <w:rPr>
          <w:lang w:val="fr-FR"/>
        </w:rPr>
        <w:t>, n</w:t>
      </w:r>
      <w:r w:rsidRPr="000859FC">
        <w:rPr>
          <w:vertAlign w:val="superscript"/>
          <w:lang w:val="fr-FR"/>
        </w:rPr>
        <w:t>o</w:t>
      </w:r>
      <w:r w:rsidRPr="000859FC">
        <w:rPr>
          <w:lang w:val="fr-FR"/>
        </w:rPr>
        <w:t xml:space="preserve"> 17120/09</w:t>
      </w:r>
      <w:r w:rsidRPr="000859FC">
        <w:rPr>
          <w:snapToGrid w:val="0"/>
          <w:color w:val="000000"/>
          <w:lang w:val="fr-FR"/>
        </w:rPr>
        <w:t xml:space="preserve">, § </w:t>
      </w:r>
      <w:r>
        <w:rPr>
          <w:snapToGrid w:val="0"/>
          <w:color w:val="000000"/>
          <w:lang w:val="fr-FR"/>
        </w:rPr>
        <w:t>45</w:t>
      </w:r>
      <w:r w:rsidRPr="000859FC">
        <w:rPr>
          <w:snapToGrid w:val="0"/>
          <w:color w:val="000000"/>
          <w:lang w:val="fr-FR"/>
        </w:rPr>
        <w:t xml:space="preserve">, 8 </w:t>
      </w:r>
      <w:r w:rsidRPr="000859FC">
        <w:rPr>
          <w:color w:val="000000"/>
          <w:lang w:val="fr-FR"/>
        </w:rPr>
        <w:t>avril</w:t>
      </w:r>
      <w:r w:rsidRPr="000859FC">
        <w:rPr>
          <w:snapToGrid w:val="0"/>
          <w:color w:val="000000"/>
          <w:lang w:val="fr-FR"/>
        </w:rPr>
        <w:t xml:space="preserve"> 2014</w:t>
      </w:r>
      <w:r w:rsidRPr="0033518C">
        <w:rPr>
          <w:rFonts w:eastAsia="Times New Roman"/>
          <w:lang w:val="fr-FR"/>
        </w:rPr>
        <w:t>). L</w:t>
      </w:r>
      <w:r w:rsidR="009429B7">
        <w:rPr>
          <w:rFonts w:eastAsia="Times New Roman"/>
          <w:lang w:val="fr-FR"/>
        </w:rPr>
        <w:t>’</w:t>
      </w:r>
      <w:r w:rsidRPr="0033518C">
        <w:rPr>
          <w:rFonts w:eastAsia="Times New Roman"/>
          <w:lang w:val="fr-FR"/>
        </w:rPr>
        <w:t>étendue de cette marge d</w:t>
      </w:r>
      <w:r w:rsidR="009429B7">
        <w:rPr>
          <w:rFonts w:eastAsia="Times New Roman"/>
          <w:lang w:val="fr-FR"/>
        </w:rPr>
        <w:t>’</w:t>
      </w:r>
      <w:r w:rsidRPr="0033518C">
        <w:rPr>
          <w:rFonts w:eastAsia="Times New Roman"/>
          <w:lang w:val="fr-FR"/>
        </w:rPr>
        <w:t>appréciation varie selon les circonstances, les domaines et le contexte, mais il appartient à la Cour de statuer en dernier ressort sur le respect des exigences de la Convention.</w:t>
      </w:r>
    </w:p>
    <w:p w:rsidR="000537C6" w:rsidRDefault="000537C6" w:rsidP="00DE0F74">
      <w:pPr>
        <w:pStyle w:val="ECHRPara"/>
        <w:rPr>
          <w:rFonts w:eastAsia="Times New Roman"/>
          <w:lang w:val="fr-FR"/>
        </w:rPr>
      </w:pPr>
      <w:r>
        <w:rPr>
          <w:rFonts w:eastAsia="Times New Roman"/>
          <w:lang w:val="fr-FR"/>
        </w:rPr>
        <w:t>42.  </w:t>
      </w:r>
      <w:r w:rsidRPr="0033518C">
        <w:rPr>
          <w:rFonts w:eastAsia="Times New Roman"/>
          <w:lang w:val="fr-FR"/>
        </w:rPr>
        <w:t>Une ample latitude est d</w:t>
      </w:r>
      <w:r w:rsidR="009429B7">
        <w:rPr>
          <w:rFonts w:eastAsia="Times New Roman"/>
          <w:lang w:val="fr-FR"/>
        </w:rPr>
        <w:t>’</w:t>
      </w:r>
      <w:r w:rsidRPr="0033518C">
        <w:rPr>
          <w:rFonts w:eastAsia="Times New Roman"/>
          <w:lang w:val="fr-FR"/>
        </w:rPr>
        <w:t>ordinaire laissée à l</w:t>
      </w:r>
      <w:r w:rsidR="009429B7">
        <w:rPr>
          <w:rFonts w:eastAsia="Times New Roman"/>
          <w:lang w:val="fr-FR"/>
        </w:rPr>
        <w:t>’</w:t>
      </w:r>
      <w:r w:rsidRPr="0033518C">
        <w:rPr>
          <w:rFonts w:eastAsia="Times New Roman"/>
          <w:lang w:val="fr-FR"/>
        </w:rPr>
        <w:t>État pour prendre des mesures d</w:t>
      </w:r>
      <w:r w:rsidR="009429B7">
        <w:rPr>
          <w:rFonts w:eastAsia="Times New Roman"/>
          <w:lang w:val="fr-FR"/>
        </w:rPr>
        <w:t>’</w:t>
      </w:r>
      <w:r w:rsidRPr="0033518C">
        <w:rPr>
          <w:rFonts w:eastAsia="Times New Roman"/>
          <w:lang w:val="fr-FR"/>
        </w:rPr>
        <w:t>ordre général en matière économique ou sociale (</w:t>
      </w:r>
      <w:r>
        <w:rPr>
          <w:i/>
          <w:lang w:val="fr-FR"/>
        </w:rPr>
        <w:t>Burden c. </w:t>
      </w:r>
      <w:r w:rsidRPr="000358A2">
        <w:rPr>
          <w:i/>
          <w:lang w:val="fr-FR"/>
        </w:rPr>
        <w:t>Royaume-Uni</w:t>
      </w:r>
      <w:r w:rsidRPr="000358A2">
        <w:rPr>
          <w:lang w:val="fr-FR"/>
        </w:rPr>
        <w:t xml:space="preserve"> [GC], n</w:t>
      </w:r>
      <w:r w:rsidRPr="000358A2">
        <w:rPr>
          <w:vertAlign w:val="superscript"/>
          <w:lang w:val="fr-FR"/>
        </w:rPr>
        <w:t>o</w:t>
      </w:r>
      <w:r w:rsidRPr="000358A2">
        <w:rPr>
          <w:lang w:val="fr-FR"/>
        </w:rPr>
        <w:t xml:space="preserve"> 13378/05, § </w:t>
      </w:r>
      <w:r>
        <w:rPr>
          <w:lang w:val="fr-FR"/>
        </w:rPr>
        <w:t>60</w:t>
      </w:r>
      <w:r w:rsidRPr="000358A2">
        <w:rPr>
          <w:lang w:val="fr-FR"/>
        </w:rPr>
        <w:t>, CEDH 2008</w:t>
      </w:r>
      <w:r>
        <w:rPr>
          <w:lang w:val="fr-FR"/>
        </w:rPr>
        <w:t xml:space="preserve">, </w:t>
      </w:r>
      <w:r>
        <w:rPr>
          <w:i/>
          <w:lang w:val="fr-FR"/>
        </w:rPr>
        <w:t>Carson et autres c. Royaume-Uni</w:t>
      </w:r>
      <w:r w:rsidRPr="000358A2">
        <w:rPr>
          <w:lang w:val="fr-FR"/>
        </w:rPr>
        <w:t>,</w:t>
      </w:r>
      <w:r>
        <w:rPr>
          <w:lang w:val="fr-FR"/>
        </w:rPr>
        <w:t xml:space="preserve"> précitée,</w:t>
      </w:r>
      <w:r w:rsidRPr="000358A2">
        <w:rPr>
          <w:lang w:val="fr-FR"/>
        </w:rPr>
        <w:t xml:space="preserve"> § </w:t>
      </w:r>
      <w:r>
        <w:rPr>
          <w:lang w:val="fr-FR"/>
        </w:rPr>
        <w:t>61</w:t>
      </w:r>
      <w:r w:rsidRPr="000358A2">
        <w:rPr>
          <w:lang w:val="fr-FR"/>
        </w:rPr>
        <w:t>,</w:t>
      </w:r>
      <w:r>
        <w:rPr>
          <w:lang w:val="fr-FR"/>
        </w:rPr>
        <w:t xml:space="preserve"> </w:t>
      </w:r>
      <w:r w:rsidRPr="008C335C">
        <w:rPr>
          <w:i/>
          <w:lang w:val="it-IT"/>
        </w:rPr>
        <w:t xml:space="preserve">Şerife Yiğit c. Turquie </w:t>
      </w:r>
      <w:r w:rsidRPr="008C335C">
        <w:rPr>
          <w:lang w:val="it-IT"/>
        </w:rPr>
        <w:t>[GC], n</w:t>
      </w:r>
      <w:r w:rsidRPr="008C335C">
        <w:rPr>
          <w:vertAlign w:val="superscript"/>
          <w:lang w:val="it-IT"/>
        </w:rPr>
        <w:t>o</w:t>
      </w:r>
      <w:r w:rsidRPr="008C335C">
        <w:rPr>
          <w:lang w:val="it-IT"/>
        </w:rPr>
        <w:t xml:space="preserve"> 3976/05, §</w:t>
      </w:r>
      <w:r>
        <w:rPr>
          <w:lang w:val="it-IT"/>
        </w:rPr>
        <w:t> 70</w:t>
      </w:r>
      <w:r w:rsidRPr="008C335C">
        <w:rPr>
          <w:lang w:val="it-IT"/>
        </w:rPr>
        <w:t>, 2 novembre 2010</w:t>
      </w:r>
      <w:r>
        <w:rPr>
          <w:lang w:val="it-IT"/>
        </w:rPr>
        <w:t>, et</w:t>
      </w:r>
      <w:r>
        <w:rPr>
          <w:rFonts w:eastAsia="Times New Roman"/>
          <w:lang w:val="fr-FR"/>
        </w:rPr>
        <w:t xml:space="preserve"> </w:t>
      </w:r>
      <w:r w:rsidRPr="008C335C">
        <w:rPr>
          <w:i/>
          <w:lang w:val="it-IT"/>
        </w:rPr>
        <w:t>Stummer c. Autriche</w:t>
      </w:r>
      <w:r w:rsidRPr="008C335C">
        <w:rPr>
          <w:lang w:val="it-IT"/>
        </w:rPr>
        <w:t xml:space="preserve"> [GC], n</w:t>
      </w:r>
      <w:r w:rsidRPr="008C335C">
        <w:rPr>
          <w:vertAlign w:val="superscript"/>
          <w:lang w:val="it-IT"/>
        </w:rPr>
        <w:t>o</w:t>
      </w:r>
      <w:r w:rsidRPr="008C335C">
        <w:rPr>
          <w:lang w:val="it-IT"/>
        </w:rPr>
        <w:t xml:space="preserve"> 37452/02, § </w:t>
      </w:r>
      <w:r>
        <w:rPr>
          <w:lang w:val="it-IT"/>
        </w:rPr>
        <w:t>89,</w:t>
      </w:r>
      <w:r w:rsidRPr="008C335C">
        <w:rPr>
          <w:lang w:val="it-IT"/>
        </w:rPr>
        <w:t xml:space="preserve"> CEDH 2011</w:t>
      </w:r>
      <w:r w:rsidRPr="0033518C">
        <w:rPr>
          <w:rFonts w:eastAsia="Times New Roman"/>
          <w:lang w:val="fr-FR"/>
        </w:rPr>
        <w:t>). Toutefois, seules des con</w:t>
      </w:r>
      <w:r>
        <w:rPr>
          <w:rFonts w:eastAsia="Times New Roman"/>
          <w:lang w:val="fr-FR"/>
        </w:rPr>
        <w:t xml:space="preserve">sidérations très fortes peuvent </w:t>
      </w:r>
      <w:r w:rsidRPr="0033518C">
        <w:rPr>
          <w:rFonts w:eastAsia="Times New Roman"/>
          <w:lang w:val="fr-FR"/>
        </w:rPr>
        <w:t>amener la Cour à estimer compatible avec la Convention une différence de traitement exclusivement fondée sur la nationalité (</w:t>
      </w:r>
      <w:r w:rsidRPr="000859FC">
        <w:rPr>
          <w:i/>
          <w:lang w:val="fr-FR"/>
        </w:rPr>
        <w:t>Gaygusuz c. Autriche</w:t>
      </w:r>
      <w:r>
        <w:rPr>
          <w:lang w:val="fr-FR"/>
        </w:rPr>
        <w:t>, 16 </w:t>
      </w:r>
      <w:r w:rsidRPr="000859FC">
        <w:rPr>
          <w:lang w:val="fr-FR"/>
        </w:rPr>
        <w:t xml:space="preserve">septembre 1996, § </w:t>
      </w:r>
      <w:r>
        <w:rPr>
          <w:lang w:val="fr-FR"/>
        </w:rPr>
        <w:t>42</w:t>
      </w:r>
      <w:r w:rsidRPr="000859FC">
        <w:rPr>
          <w:lang w:val="fr-FR"/>
        </w:rPr>
        <w:t xml:space="preserve">, </w:t>
      </w:r>
      <w:r w:rsidRPr="000859FC">
        <w:rPr>
          <w:i/>
          <w:lang w:val="fr-FR"/>
        </w:rPr>
        <w:t>Recueil des arrêts et décisions</w:t>
      </w:r>
      <w:r w:rsidRPr="000859FC">
        <w:rPr>
          <w:lang w:val="fr-FR"/>
        </w:rPr>
        <w:t xml:space="preserve"> 1996</w:t>
      </w:r>
      <w:r w:rsidRPr="000859FC">
        <w:rPr>
          <w:lang w:val="fr-FR"/>
        </w:rPr>
        <w:noBreakHyphen/>
        <w:t>IV</w:t>
      </w:r>
      <w:r>
        <w:rPr>
          <w:rFonts w:eastAsia="Times New Roman"/>
          <w:lang w:val="fr-FR"/>
        </w:rPr>
        <w:t>,</w:t>
      </w:r>
      <w:r w:rsidRPr="0033518C">
        <w:rPr>
          <w:rFonts w:eastAsia="Times New Roman"/>
          <w:lang w:val="fr-FR"/>
        </w:rPr>
        <w:t xml:space="preserve"> </w:t>
      </w:r>
      <w:r w:rsidR="0018233A">
        <w:rPr>
          <w:i/>
          <w:lang w:val="it-IT"/>
        </w:rPr>
        <w:t>Koua </w:t>
      </w:r>
      <w:r w:rsidRPr="008C335C">
        <w:rPr>
          <w:i/>
          <w:lang w:val="it-IT"/>
        </w:rPr>
        <w:t>Poirrez c. France</w:t>
      </w:r>
      <w:r w:rsidRPr="008C335C">
        <w:rPr>
          <w:lang w:val="it-IT"/>
        </w:rPr>
        <w:t>, n</w:t>
      </w:r>
      <w:r w:rsidRPr="008C335C">
        <w:rPr>
          <w:vertAlign w:val="superscript"/>
          <w:lang w:val="it-IT"/>
        </w:rPr>
        <w:t>o</w:t>
      </w:r>
      <w:r>
        <w:rPr>
          <w:lang w:val="it-IT"/>
        </w:rPr>
        <w:t xml:space="preserve"> 40892/98, § 46</w:t>
      </w:r>
      <w:r w:rsidRPr="008C335C">
        <w:rPr>
          <w:lang w:val="it-IT"/>
        </w:rPr>
        <w:t>, CEDH 2003</w:t>
      </w:r>
      <w:r w:rsidRPr="008C335C">
        <w:rPr>
          <w:lang w:val="it-IT"/>
        </w:rPr>
        <w:noBreakHyphen/>
        <w:t>X</w:t>
      </w:r>
      <w:r>
        <w:rPr>
          <w:lang w:val="it-IT"/>
        </w:rPr>
        <w:t xml:space="preserve">, </w:t>
      </w:r>
      <w:r w:rsidR="0018233A">
        <w:rPr>
          <w:i/>
          <w:lang w:val="it-IT"/>
        </w:rPr>
        <w:t>Andrejeva c. </w:t>
      </w:r>
      <w:r w:rsidRPr="008C335C">
        <w:rPr>
          <w:i/>
          <w:lang w:val="it-IT"/>
        </w:rPr>
        <w:t>Lettonie</w:t>
      </w:r>
      <w:r w:rsidRPr="008C335C">
        <w:rPr>
          <w:lang w:val="it-IT"/>
        </w:rPr>
        <w:t xml:space="preserve"> [GC], n</w:t>
      </w:r>
      <w:r w:rsidRPr="008C335C">
        <w:rPr>
          <w:vertAlign w:val="superscript"/>
          <w:lang w:val="it-IT"/>
        </w:rPr>
        <w:t>o</w:t>
      </w:r>
      <w:r w:rsidRPr="008C335C">
        <w:rPr>
          <w:lang w:val="it-IT"/>
        </w:rPr>
        <w:t xml:space="preserve"> 55707/00, § </w:t>
      </w:r>
      <w:r>
        <w:rPr>
          <w:lang w:val="it-IT"/>
        </w:rPr>
        <w:t>87</w:t>
      </w:r>
      <w:r w:rsidRPr="008C335C">
        <w:rPr>
          <w:lang w:val="it-IT"/>
        </w:rPr>
        <w:t>, CEDH 2009</w:t>
      </w:r>
      <w:r>
        <w:rPr>
          <w:lang w:val="it-IT"/>
        </w:rPr>
        <w:t>,</w:t>
      </w:r>
      <w:r w:rsidRPr="0033518C">
        <w:rPr>
          <w:rFonts w:eastAsia="Times New Roman"/>
          <w:lang w:val="fr-FR"/>
        </w:rPr>
        <w:t xml:space="preserve"> et </w:t>
      </w:r>
      <w:r w:rsidRPr="008C335C">
        <w:rPr>
          <w:i/>
          <w:iCs/>
          <w:lang w:val="it-IT"/>
        </w:rPr>
        <w:t>Ponomaryovi</w:t>
      </w:r>
      <w:r w:rsidR="0018233A">
        <w:rPr>
          <w:i/>
          <w:lang w:val="it-IT"/>
        </w:rPr>
        <w:t xml:space="preserve"> c. </w:t>
      </w:r>
      <w:r w:rsidRPr="008C335C">
        <w:rPr>
          <w:i/>
          <w:lang w:val="it-IT"/>
        </w:rPr>
        <w:t>Bulgarie</w:t>
      </w:r>
      <w:r w:rsidRPr="008C335C">
        <w:rPr>
          <w:lang w:val="it-IT"/>
        </w:rPr>
        <w:t>, n</w:t>
      </w:r>
      <w:r w:rsidRPr="008C335C">
        <w:rPr>
          <w:vertAlign w:val="superscript"/>
          <w:lang w:val="it-IT"/>
        </w:rPr>
        <w:t>o</w:t>
      </w:r>
      <w:r>
        <w:rPr>
          <w:lang w:val="it-IT"/>
        </w:rPr>
        <w:t> </w:t>
      </w:r>
      <w:r w:rsidRPr="008C335C">
        <w:rPr>
          <w:lang w:val="it-IT"/>
        </w:rPr>
        <w:t>5335/05</w:t>
      </w:r>
      <w:r>
        <w:rPr>
          <w:lang w:val="it-IT"/>
        </w:rPr>
        <w:t>, § 52</w:t>
      </w:r>
      <w:r w:rsidRPr="008C335C">
        <w:rPr>
          <w:lang w:val="it-IT"/>
        </w:rPr>
        <w:t>, CEDH 2011</w:t>
      </w:r>
      <w:r w:rsidRPr="0033518C">
        <w:rPr>
          <w:rFonts w:eastAsia="Times New Roman"/>
          <w:lang w:val="fr-FR"/>
        </w:rPr>
        <w:t>).</w:t>
      </w:r>
    </w:p>
    <w:p w:rsidR="000537C6" w:rsidRDefault="000537C6" w:rsidP="00DE0F74">
      <w:pPr>
        <w:pStyle w:val="ECHRHeading4"/>
        <w:rPr>
          <w:lang w:val="fr-FR"/>
        </w:rPr>
      </w:pPr>
      <w:r>
        <w:rPr>
          <w:lang w:val="fr-FR"/>
        </w:rPr>
        <w:t>b) </w:t>
      </w:r>
      <w:r w:rsidR="00DA1623">
        <w:rPr>
          <w:lang w:val="fr-FR"/>
        </w:rPr>
        <w:t> </w:t>
      </w:r>
      <w:r w:rsidRPr="00306B33">
        <w:rPr>
          <w:lang w:val="fr-FR"/>
        </w:rPr>
        <w:t>L</w:t>
      </w:r>
      <w:r w:rsidR="009429B7">
        <w:rPr>
          <w:lang w:val="fr-FR"/>
        </w:rPr>
        <w:t>’</w:t>
      </w:r>
      <w:r w:rsidRPr="00306B33">
        <w:rPr>
          <w:lang w:val="fr-FR"/>
        </w:rPr>
        <w:t>application des principes susmentionnés au cas d</w:t>
      </w:r>
      <w:r w:rsidR="009429B7">
        <w:rPr>
          <w:lang w:val="fr-FR"/>
        </w:rPr>
        <w:t>’</w:t>
      </w:r>
      <w:r w:rsidRPr="00306B33">
        <w:rPr>
          <w:lang w:val="fr-FR"/>
        </w:rPr>
        <w:t>espèce</w:t>
      </w:r>
    </w:p>
    <w:p w:rsidR="000537C6" w:rsidRDefault="000537C6" w:rsidP="00DE0F74">
      <w:pPr>
        <w:pStyle w:val="ECHRPara"/>
        <w:rPr>
          <w:lang w:val="fr-FR" w:bidi="en-US"/>
        </w:rPr>
      </w:pPr>
      <w:r>
        <w:rPr>
          <w:lang w:val="fr-FR" w:bidi="en-US"/>
        </w:rPr>
        <w:t>43.  La Cour observe d</w:t>
      </w:r>
      <w:r w:rsidR="009429B7">
        <w:rPr>
          <w:lang w:val="fr-FR" w:bidi="en-US"/>
        </w:rPr>
        <w:t>’</w:t>
      </w:r>
      <w:r>
        <w:rPr>
          <w:lang w:val="fr-FR" w:bidi="en-US"/>
        </w:rPr>
        <w:t>emblée que la différence de traitement invoquée par les requérants affecte leur droit à percevoir une prestation pécuniaire mais n</w:t>
      </w:r>
      <w:r w:rsidR="009429B7">
        <w:rPr>
          <w:lang w:val="fr-FR" w:bidi="en-US"/>
        </w:rPr>
        <w:t>’</w:t>
      </w:r>
      <w:r>
        <w:rPr>
          <w:lang w:val="fr-FR" w:bidi="en-US"/>
        </w:rPr>
        <w:t>a pas d</w:t>
      </w:r>
      <w:r w:rsidR="009429B7">
        <w:rPr>
          <w:lang w:val="fr-FR" w:bidi="en-US"/>
        </w:rPr>
        <w:t>’</w:t>
      </w:r>
      <w:r>
        <w:rPr>
          <w:lang w:val="fr-FR" w:bidi="en-US"/>
        </w:rPr>
        <w:t>influence en tant que telle sur le droit de leurs enfants à résider et circuler en France, ceux-ci étant titulaires d</w:t>
      </w:r>
      <w:r w:rsidR="009429B7">
        <w:rPr>
          <w:lang w:val="fr-FR" w:bidi="en-US"/>
        </w:rPr>
        <w:t>’</w:t>
      </w:r>
      <w:r>
        <w:rPr>
          <w:lang w:val="fr-FR" w:bidi="en-US"/>
        </w:rPr>
        <w:t>un DCEM. Elle note que si ce document est destiné à faciliter la présence et les déplacements de ces derniers, il ne constitue pas un titre de séjour à part entière.</w:t>
      </w:r>
    </w:p>
    <w:p w:rsidR="000537C6" w:rsidRDefault="000537C6" w:rsidP="00DE0F74">
      <w:pPr>
        <w:pStyle w:val="ECHRPara"/>
        <w:rPr>
          <w:lang w:val="fr-FR" w:bidi="en-US"/>
        </w:rPr>
      </w:pPr>
      <w:r>
        <w:rPr>
          <w:lang w:val="fr-FR" w:bidi="en-US"/>
        </w:rPr>
        <w:t>44.  La Cour n</w:t>
      </w:r>
      <w:r w:rsidR="009429B7">
        <w:rPr>
          <w:lang w:val="fr-FR" w:bidi="en-US"/>
        </w:rPr>
        <w:t>’</w:t>
      </w:r>
      <w:r>
        <w:rPr>
          <w:lang w:val="fr-FR" w:bidi="en-US"/>
        </w:rPr>
        <w:t>estime pas nécessaire de trancher la question de savoir si la situation des requérants est comparable, au sens de l</w:t>
      </w:r>
      <w:r w:rsidR="009429B7">
        <w:rPr>
          <w:lang w:val="fr-FR" w:bidi="en-US"/>
        </w:rPr>
        <w:t>’</w:t>
      </w:r>
      <w:r>
        <w:rPr>
          <w:lang w:val="fr-FR" w:bidi="en-US"/>
        </w:rPr>
        <w:t>article 14 de la Convention, à celle d</w:t>
      </w:r>
      <w:r w:rsidR="009429B7">
        <w:rPr>
          <w:lang w:val="fr-FR" w:bidi="en-US"/>
        </w:rPr>
        <w:t>’</w:t>
      </w:r>
      <w:r>
        <w:rPr>
          <w:lang w:val="fr-FR" w:bidi="en-US"/>
        </w:rPr>
        <w:t>autres personnes auxquelles le bénéfice des allocations familiales est accordé par les autorités nationales, compte tenu de son appréciation relative à l</w:t>
      </w:r>
      <w:r w:rsidR="009429B7">
        <w:rPr>
          <w:lang w:val="fr-FR" w:bidi="en-US"/>
        </w:rPr>
        <w:t>’</w:t>
      </w:r>
      <w:r>
        <w:rPr>
          <w:lang w:val="fr-FR" w:bidi="en-US"/>
        </w:rPr>
        <w:t>existence d</w:t>
      </w:r>
      <w:r w:rsidR="009429B7">
        <w:rPr>
          <w:lang w:val="fr-FR" w:bidi="en-US"/>
        </w:rPr>
        <w:t>’</w:t>
      </w:r>
      <w:r>
        <w:rPr>
          <w:lang w:val="fr-FR" w:bidi="en-US"/>
        </w:rPr>
        <w:t>une justification objective et raisonnable. Elle constate en effet une différence de traitement entre les requérants et les parents recevant ces prestations, fondée sur un critère lié à la nationalité et au respect par certains parents étrangers des dispositions légales applicables au regroupement familial. La Cour note que celle-ci intervient dans le domaine économique et social et qu</w:t>
      </w:r>
      <w:r w:rsidR="009429B7">
        <w:rPr>
          <w:lang w:val="fr-FR" w:bidi="en-US"/>
        </w:rPr>
        <w:t>’</w:t>
      </w:r>
      <w:r>
        <w:rPr>
          <w:lang w:val="fr-FR" w:bidi="en-US"/>
        </w:rPr>
        <w:t>elle n</w:t>
      </w:r>
      <w:r w:rsidR="009429B7">
        <w:rPr>
          <w:lang w:val="fr-FR" w:bidi="en-US"/>
        </w:rPr>
        <w:t>’</w:t>
      </w:r>
      <w:r>
        <w:rPr>
          <w:lang w:val="fr-FR" w:bidi="en-US"/>
        </w:rPr>
        <w:t>est pas exclusivement fondée sur la nationalité. Or, elle rappelle que selon sa jurisprudence, une ample marge d</w:t>
      </w:r>
      <w:r w:rsidR="009429B7">
        <w:rPr>
          <w:lang w:val="fr-FR" w:bidi="en-US"/>
        </w:rPr>
        <w:t>’</w:t>
      </w:r>
      <w:r>
        <w:rPr>
          <w:lang w:val="fr-FR" w:bidi="en-US"/>
        </w:rPr>
        <w:t>appréciation doit être laissée à l</w:t>
      </w:r>
      <w:r w:rsidR="009429B7">
        <w:rPr>
          <w:lang w:val="fr-FR" w:bidi="en-US"/>
        </w:rPr>
        <w:t>’</w:t>
      </w:r>
      <w:r>
        <w:rPr>
          <w:rFonts w:cstheme="minorHAnsi"/>
          <w:lang w:val="fr-FR" w:bidi="en-US"/>
        </w:rPr>
        <w:t>É</w:t>
      </w:r>
      <w:r>
        <w:rPr>
          <w:lang w:val="fr-FR" w:bidi="en-US"/>
        </w:rPr>
        <w:t>tat dans pareille situation (paragraphe 42 ci-dessus).</w:t>
      </w:r>
    </w:p>
    <w:p w:rsidR="000537C6" w:rsidRDefault="000537C6" w:rsidP="00DE0F74">
      <w:pPr>
        <w:pStyle w:val="ECHRPara"/>
        <w:rPr>
          <w:lang w:val="fr-FR" w:bidi="en-US"/>
        </w:rPr>
      </w:pPr>
      <w:r>
        <w:rPr>
          <w:lang w:val="fr-FR" w:bidi="en-US"/>
        </w:rPr>
        <w:lastRenderedPageBreak/>
        <w:t>45.  S</w:t>
      </w:r>
      <w:r w:rsidR="009429B7">
        <w:rPr>
          <w:lang w:val="fr-FR" w:bidi="en-US"/>
        </w:rPr>
        <w:t>’</w:t>
      </w:r>
      <w:r>
        <w:rPr>
          <w:lang w:val="fr-FR" w:bidi="en-US"/>
        </w:rPr>
        <w:t>agissant de la justification de cette différence de traitement, la Cour relève que les requérants se sont vus refuser les allocations familiales en raison du caractère irrégulier de l</w:t>
      </w:r>
      <w:r w:rsidR="009429B7">
        <w:rPr>
          <w:lang w:val="fr-FR" w:bidi="en-US"/>
        </w:rPr>
        <w:t>’</w:t>
      </w:r>
      <w:r>
        <w:rPr>
          <w:lang w:val="fr-FR" w:bidi="en-US"/>
        </w:rPr>
        <w:t>entrée en France de leurs enfants. Elle en conclut que la mesure est la conséquence d</w:t>
      </w:r>
      <w:r w:rsidR="009429B7">
        <w:rPr>
          <w:lang w:val="fr-FR" w:bidi="en-US"/>
        </w:rPr>
        <w:t>’</w:t>
      </w:r>
      <w:r>
        <w:rPr>
          <w:lang w:val="fr-FR" w:bidi="en-US"/>
        </w:rPr>
        <w:t xml:space="preserve">un comportement volontaire des requérants contraire à la loi. </w:t>
      </w:r>
      <w:r>
        <w:rPr>
          <w:rFonts w:cstheme="minorHAnsi"/>
          <w:lang w:val="fr-FR" w:bidi="en-US"/>
        </w:rPr>
        <w:t>À</w:t>
      </w:r>
      <w:r>
        <w:rPr>
          <w:lang w:val="fr-FR" w:bidi="en-US"/>
        </w:rPr>
        <w:t xml:space="preserve"> ce titre, elle observe que ceux-ci ne soutiennent pas que les règles applicables au regroupement familial qu</w:t>
      </w:r>
      <w:r w:rsidR="009429B7">
        <w:rPr>
          <w:lang w:val="fr-FR" w:bidi="en-US"/>
        </w:rPr>
        <w:t>’</w:t>
      </w:r>
      <w:r>
        <w:rPr>
          <w:lang w:val="fr-FR" w:bidi="en-US"/>
        </w:rPr>
        <w:t>ils se sont abstenus de respecter aient, en elles-mêmes, un caractère discriminatoire. Ils ne fournissent d</w:t>
      </w:r>
      <w:r w:rsidR="009429B7">
        <w:rPr>
          <w:lang w:val="fr-FR" w:bidi="en-US"/>
        </w:rPr>
        <w:t>’</w:t>
      </w:r>
      <w:r>
        <w:rPr>
          <w:lang w:val="fr-FR" w:bidi="en-US"/>
        </w:rPr>
        <w:t>ailleurs pas d</w:t>
      </w:r>
      <w:r w:rsidR="009429B7">
        <w:rPr>
          <w:lang w:val="fr-FR" w:bidi="en-US"/>
        </w:rPr>
        <w:t>’</w:t>
      </w:r>
      <w:r>
        <w:rPr>
          <w:lang w:val="fr-FR" w:bidi="en-US"/>
        </w:rPr>
        <w:t>explication sur les motifs qui les ont conduits à adopter cette attitude.</w:t>
      </w:r>
    </w:p>
    <w:p w:rsidR="000537C6" w:rsidRDefault="000537C6" w:rsidP="00DE0F74">
      <w:pPr>
        <w:pStyle w:val="ECHRPara"/>
        <w:rPr>
          <w:lang w:val="fr-FR"/>
        </w:rPr>
      </w:pPr>
      <w:r>
        <w:rPr>
          <w:lang w:val="fr-FR" w:bidi="en-US"/>
        </w:rPr>
        <w:t>46.  En l</w:t>
      </w:r>
      <w:r w:rsidR="009429B7">
        <w:rPr>
          <w:lang w:val="fr-FR" w:bidi="en-US"/>
        </w:rPr>
        <w:t>’</w:t>
      </w:r>
      <w:r>
        <w:rPr>
          <w:lang w:val="fr-FR" w:bidi="en-US"/>
        </w:rPr>
        <w:t>espèce, la Cour accorde une grande importance à l</w:t>
      </w:r>
      <w:r w:rsidR="009429B7">
        <w:rPr>
          <w:lang w:val="fr-FR" w:bidi="en-US"/>
        </w:rPr>
        <w:t>’</w:t>
      </w:r>
      <w:r>
        <w:rPr>
          <w:lang w:val="fr-FR" w:bidi="en-US"/>
        </w:rPr>
        <w:t>existence d</w:t>
      </w:r>
      <w:r w:rsidR="009429B7">
        <w:rPr>
          <w:lang w:val="fr-FR" w:bidi="en-US"/>
        </w:rPr>
        <w:t>’</w:t>
      </w:r>
      <w:r>
        <w:rPr>
          <w:lang w:val="fr-FR" w:bidi="en-US"/>
        </w:rPr>
        <w:t>une faculté de régularisation effective permettant aux personnes s</w:t>
      </w:r>
      <w:r w:rsidR="009429B7">
        <w:rPr>
          <w:lang w:val="fr-FR" w:bidi="en-US"/>
        </w:rPr>
        <w:t>’</w:t>
      </w:r>
      <w:r>
        <w:rPr>
          <w:lang w:val="fr-FR" w:bidi="en-US"/>
        </w:rPr>
        <w:t xml:space="preserve">étant vu refuser des prestations de les obtenir finalement. </w:t>
      </w:r>
      <w:r>
        <w:rPr>
          <w:rFonts w:cstheme="minorHAnsi"/>
          <w:lang w:val="fr-FR" w:bidi="en-US"/>
        </w:rPr>
        <w:t>À</w:t>
      </w:r>
      <w:r>
        <w:rPr>
          <w:lang w:val="fr-FR" w:bidi="en-US"/>
        </w:rPr>
        <w:t xml:space="preserve"> cet égard, elle note que la décision du Conseil constitutionnel</w:t>
      </w:r>
      <w:r w:rsidRPr="00586FB4">
        <w:rPr>
          <w:lang w:val="fr-FR"/>
        </w:rPr>
        <w:t xml:space="preserve"> </w:t>
      </w:r>
      <w:r w:rsidRPr="001D63DA">
        <w:rPr>
          <w:lang w:val="fr-FR"/>
        </w:rPr>
        <w:t>du 15 décembre 2005</w:t>
      </w:r>
      <w:r>
        <w:rPr>
          <w:lang w:val="fr-FR"/>
        </w:rPr>
        <w:t xml:space="preserve"> (paragraphe 24 ci-dessus), accompagnée de </w:t>
      </w:r>
      <w:r>
        <w:rPr>
          <w:lang w:val="fr-FR" w:bidi="en-US"/>
        </w:rPr>
        <w:t xml:space="preserve">la jurisprudence produite par le Gouvernement, ainsi que des décisions fournies par </w:t>
      </w:r>
      <w:r>
        <w:rPr>
          <w:lang w:val="fr-FR"/>
        </w:rPr>
        <w:t>M</w:t>
      </w:r>
      <w:r w:rsidRPr="00BA75F5">
        <w:rPr>
          <w:vertAlign w:val="superscript"/>
          <w:lang w:val="fr-FR"/>
        </w:rPr>
        <w:t>me</w:t>
      </w:r>
      <w:r>
        <w:rPr>
          <w:lang w:val="fr-FR"/>
        </w:rPr>
        <w:t xml:space="preserve"> Selpa Lokongo, attestent de la réalité de la possibilité d</w:t>
      </w:r>
      <w:r w:rsidR="009429B7">
        <w:rPr>
          <w:lang w:val="fr-FR"/>
        </w:rPr>
        <w:t>’</w:t>
      </w:r>
      <w:r>
        <w:rPr>
          <w:lang w:val="fr-FR"/>
        </w:rPr>
        <w:t>obtenir le regroupement familial pour un enfant se trouvant déjà sur le territoire français. Or, d</w:t>
      </w:r>
      <w:r w:rsidR="009429B7">
        <w:rPr>
          <w:lang w:val="fr-FR"/>
        </w:rPr>
        <w:t>’</w:t>
      </w:r>
      <w:r>
        <w:rPr>
          <w:lang w:val="fr-FR"/>
        </w:rPr>
        <w:t>une part, s</w:t>
      </w:r>
      <w:r w:rsidR="009429B7">
        <w:rPr>
          <w:lang w:val="fr-FR"/>
        </w:rPr>
        <w:t>’</w:t>
      </w:r>
      <w:r>
        <w:rPr>
          <w:lang w:val="fr-FR"/>
        </w:rPr>
        <w:t>agissant de la requête n</w:t>
      </w:r>
      <w:r w:rsidRPr="000537C6">
        <w:rPr>
          <w:vertAlign w:val="superscript"/>
          <w:lang w:val="fr-FR"/>
        </w:rPr>
        <w:t>o</w:t>
      </w:r>
      <w:r>
        <w:rPr>
          <w:lang w:val="fr-FR"/>
        </w:rPr>
        <w:t> </w:t>
      </w:r>
      <w:r w:rsidRPr="003E4450">
        <w:rPr>
          <w:lang w:val="fr-FR"/>
        </w:rPr>
        <w:t>76860/11</w:t>
      </w:r>
      <w:r>
        <w:rPr>
          <w:lang w:val="fr-FR"/>
        </w:rPr>
        <w:t>, la Cour constate que M. et M</w:t>
      </w:r>
      <w:r w:rsidRPr="00BA75F5">
        <w:rPr>
          <w:vertAlign w:val="superscript"/>
          <w:lang w:val="fr-FR"/>
        </w:rPr>
        <w:t>me</w:t>
      </w:r>
      <w:r>
        <w:rPr>
          <w:lang w:val="fr-FR"/>
        </w:rPr>
        <w:t xml:space="preserve"> Okitaloshima Okonda Osungu indiquent ne pas avoir présenté de demande à ce titre, notamment en raison des dispositions de l</w:t>
      </w:r>
      <w:r w:rsidR="009429B7">
        <w:rPr>
          <w:lang w:val="fr-FR"/>
        </w:rPr>
        <w:t>’</w:t>
      </w:r>
      <w:r>
        <w:rPr>
          <w:lang w:val="fr-FR"/>
        </w:rPr>
        <w:t>article L. 431-3 du CESEDA qui prévoient une sanction en cas de non-respect de la procédure de regroupement familial. Elle relève toutefois que ce texte n</w:t>
      </w:r>
      <w:r w:rsidR="009429B7">
        <w:rPr>
          <w:lang w:val="fr-FR"/>
        </w:rPr>
        <w:t>’</w:t>
      </w:r>
      <w:r>
        <w:rPr>
          <w:lang w:val="fr-FR"/>
        </w:rPr>
        <w:t>est pas applicable aux étrangers qui, comme les intéressés, résident régulièrement en France depuis plus de dix ans. D</w:t>
      </w:r>
      <w:r w:rsidR="009429B7">
        <w:rPr>
          <w:lang w:val="fr-FR"/>
        </w:rPr>
        <w:t>’</w:t>
      </w:r>
      <w:r>
        <w:rPr>
          <w:lang w:val="fr-FR"/>
        </w:rPr>
        <w:t>autre part, s</w:t>
      </w:r>
      <w:r w:rsidR="009429B7">
        <w:rPr>
          <w:lang w:val="fr-FR"/>
        </w:rPr>
        <w:t>’</w:t>
      </w:r>
      <w:r>
        <w:rPr>
          <w:lang w:val="fr-FR"/>
        </w:rPr>
        <w:t>agissant de la r</w:t>
      </w:r>
      <w:r w:rsidRPr="003E4450">
        <w:rPr>
          <w:lang w:val="fr-FR"/>
        </w:rPr>
        <w:t xml:space="preserve">equête </w:t>
      </w:r>
      <w:r w:rsidRPr="001D63DA">
        <w:rPr>
          <w:lang w:val="fr-FR"/>
        </w:rPr>
        <w:t>n</w:t>
      </w:r>
      <w:r w:rsidRPr="000537C6">
        <w:rPr>
          <w:vertAlign w:val="superscript"/>
          <w:lang w:val="fr-FR"/>
        </w:rPr>
        <w:t>o</w:t>
      </w:r>
      <w:r>
        <w:rPr>
          <w:lang w:val="fr-FR"/>
        </w:rPr>
        <w:t> </w:t>
      </w:r>
      <w:r w:rsidRPr="001D63DA">
        <w:rPr>
          <w:lang w:val="fr-FR"/>
        </w:rPr>
        <w:t>51354/13</w:t>
      </w:r>
      <w:r>
        <w:rPr>
          <w:lang w:val="fr-FR"/>
        </w:rPr>
        <w:t>, elle observe que M</w:t>
      </w:r>
      <w:r w:rsidRPr="00BA75F5">
        <w:rPr>
          <w:vertAlign w:val="superscript"/>
          <w:lang w:val="fr-FR"/>
        </w:rPr>
        <w:t>me</w:t>
      </w:r>
      <w:r>
        <w:rPr>
          <w:lang w:val="fr-FR"/>
        </w:rPr>
        <w:t xml:space="preserve"> Selpa Lokongo affirme, sans en justifier, avoir sollicité un regroupement familial sur place au bénéfice de sa fille, auprès de l</w:t>
      </w:r>
      <w:r w:rsidR="009429B7">
        <w:rPr>
          <w:lang w:val="fr-FR"/>
        </w:rPr>
        <w:t>’</w:t>
      </w:r>
      <w:r>
        <w:rPr>
          <w:lang w:val="fr-FR"/>
        </w:rPr>
        <w:t>OFII, sans obtenir de réponse écrite. La Cour constate qu</w:t>
      </w:r>
      <w:r w:rsidR="009429B7">
        <w:rPr>
          <w:lang w:val="fr-FR"/>
        </w:rPr>
        <w:t>’</w:t>
      </w:r>
      <w:r>
        <w:rPr>
          <w:lang w:val="fr-FR"/>
        </w:rPr>
        <w:t>en tout état de cause, la requérante ne démontre pas avoir effectué les démarches qui lui auraient permis d</w:t>
      </w:r>
      <w:r w:rsidR="009429B7">
        <w:rPr>
          <w:lang w:val="fr-FR"/>
        </w:rPr>
        <w:t>’</w:t>
      </w:r>
      <w:r>
        <w:rPr>
          <w:lang w:val="fr-FR"/>
        </w:rPr>
        <w:t>obtenir une décision, même implicite,</w:t>
      </w:r>
      <w:r w:rsidRPr="00BE32AE">
        <w:rPr>
          <w:lang w:val="fr-FR"/>
        </w:rPr>
        <w:t xml:space="preserve"> </w:t>
      </w:r>
      <w:r>
        <w:rPr>
          <w:lang w:val="fr-FR"/>
        </w:rPr>
        <w:t>susceptible de recours devant les juridictions administratives.</w:t>
      </w:r>
    </w:p>
    <w:p w:rsidR="000537C6" w:rsidRDefault="000537C6" w:rsidP="00DE0F74">
      <w:pPr>
        <w:pStyle w:val="ECHRPara"/>
        <w:rPr>
          <w:lang w:val="fr-FR"/>
        </w:rPr>
      </w:pPr>
      <w:r>
        <w:rPr>
          <w:lang w:val="fr-FR"/>
        </w:rPr>
        <w:t>47.  La Cour en conclut qu</w:t>
      </w:r>
      <w:r w:rsidR="009429B7">
        <w:rPr>
          <w:lang w:val="fr-FR"/>
        </w:rPr>
        <w:t>’</w:t>
      </w:r>
      <w:r>
        <w:rPr>
          <w:lang w:val="fr-FR"/>
        </w:rPr>
        <w:t>aucun des requérants ne justifie avoir entrepris des démarches sérieuses pour bénéficier de la jurisprudence relative au regroupement familial sur place, alors même que ceux-ci jouissent par ailleurs de ressources susceptibles de répondre aux critères fixés par l</w:t>
      </w:r>
      <w:r w:rsidR="009429B7">
        <w:rPr>
          <w:lang w:val="fr-FR"/>
        </w:rPr>
        <w:t>’</w:t>
      </w:r>
      <w:r>
        <w:rPr>
          <w:lang w:val="fr-FR"/>
        </w:rPr>
        <w:t>administration. Ainsi, elle note que M</w:t>
      </w:r>
      <w:r w:rsidRPr="00BA75F5">
        <w:rPr>
          <w:vertAlign w:val="superscript"/>
          <w:lang w:val="fr-FR"/>
        </w:rPr>
        <w:t>me</w:t>
      </w:r>
      <w:r>
        <w:rPr>
          <w:lang w:val="fr-FR"/>
        </w:rPr>
        <w:t xml:space="preserve"> Selpa Lokongo indique dans sa requête vivre dans des conditions de logement et de ressources supérieures à celles exigées pour pouvoir bénéficier du regroupement familial,</w:t>
      </w:r>
      <w:r w:rsidRPr="00BE32AE">
        <w:rPr>
          <w:lang w:val="fr-FR"/>
        </w:rPr>
        <w:t xml:space="preserve"> </w:t>
      </w:r>
      <w:r>
        <w:rPr>
          <w:lang w:val="fr-FR"/>
        </w:rPr>
        <w:t>la superficie de son appartement étant nettement plus vaste que le minimum prévu et le foyer qu</w:t>
      </w:r>
      <w:r w:rsidR="009429B7">
        <w:rPr>
          <w:lang w:val="fr-FR"/>
        </w:rPr>
        <w:t>’</w:t>
      </w:r>
      <w:r>
        <w:rPr>
          <w:lang w:val="fr-FR"/>
        </w:rPr>
        <w:t>elle constitue avec son époux ayant bénéficié en 2012 d</w:t>
      </w:r>
      <w:r w:rsidR="009429B7">
        <w:rPr>
          <w:lang w:val="fr-FR"/>
        </w:rPr>
        <w:t>’</w:t>
      </w:r>
      <w:r>
        <w:rPr>
          <w:lang w:val="fr-FR"/>
        </w:rPr>
        <w:t>un revenu fiscal de référence de 24 152 euros. De même, elle observe que</w:t>
      </w:r>
      <w:r w:rsidRPr="00BA75F5">
        <w:rPr>
          <w:lang w:val="fr-FR"/>
        </w:rPr>
        <w:t xml:space="preserve"> </w:t>
      </w:r>
      <w:r>
        <w:rPr>
          <w:lang w:val="fr-FR"/>
        </w:rPr>
        <w:t>M. et M</w:t>
      </w:r>
      <w:r w:rsidRPr="00BA75F5">
        <w:rPr>
          <w:vertAlign w:val="superscript"/>
          <w:lang w:val="fr-FR"/>
        </w:rPr>
        <w:t>me</w:t>
      </w:r>
      <w:r>
        <w:rPr>
          <w:lang w:val="fr-FR"/>
        </w:rPr>
        <w:t xml:space="preserve"> Okitaloshima Okonda Osungu ont obtenu la même année, selon les pièces versées à l</w:t>
      </w:r>
      <w:r w:rsidR="009429B7">
        <w:rPr>
          <w:lang w:val="fr-FR"/>
        </w:rPr>
        <w:t>’</w:t>
      </w:r>
      <w:r>
        <w:rPr>
          <w:lang w:val="fr-FR"/>
        </w:rPr>
        <w:t>appui de leurs observations, un revenu fiscal de référence de 34 873 euros. Dans ces conditions, la Cour estime que les requérants ne démontrent pas que la possibilité d</w:t>
      </w:r>
      <w:r w:rsidR="009429B7">
        <w:rPr>
          <w:lang w:val="fr-FR"/>
        </w:rPr>
        <w:t>’</w:t>
      </w:r>
      <w:r>
        <w:rPr>
          <w:lang w:val="fr-FR"/>
        </w:rPr>
        <w:t xml:space="preserve">obtenir le </w:t>
      </w:r>
      <w:r>
        <w:rPr>
          <w:lang w:val="fr-FR"/>
        </w:rPr>
        <w:lastRenderedPageBreak/>
        <w:t>regroupement familial sur place, invoquée par le Gouvernement, aient été ineffective dans les circonstances de l</w:t>
      </w:r>
      <w:r w:rsidR="009429B7">
        <w:rPr>
          <w:lang w:val="fr-FR"/>
        </w:rPr>
        <w:t>’</w:t>
      </w:r>
      <w:r>
        <w:rPr>
          <w:lang w:val="fr-FR"/>
        </w:rPr>
        <w:t>espèce.</w:t>
      </w:r>
    </w:p>
    <w:p w:rsidR="000537C6" w:rsidRDefault="000537C6" w:rsidP="00DE0F74">
      <w:pPr>
        <w:pStyle w:val="ECHRPara"/>
        <w:rPr>
          <w:rFonts w:eastAsia="Times New Roman"/>
          <w:lang w:val="fr-FR"/>
        </w:rPr>
      </w:pPr>
      <w:r>
        <w:rPr>
          <w:lang w:val="fr-FR"/>
        </w:rPr>
        <w:t>48.  La Cour en conclut que le refus d</w:t>
      </w:r>
      <w:r w:rsidR="009429B7">
        <w:rPr>
          <w:lang w:val="fr-FR"/>
        </w:rPr>
        <w:t>’</w:t>
      </w:r>
      <w:r>
        <w:rPr>
          <w:lang w:val="fr-FR"/>
        </w:rPr>
        <w:t>attribuer les allocations familiales aux requérants était dû, non pas à leur seule nationalité ou à tout autre critère couvert par l</w:t>
      </w:r>
      <w:r w:rsidR="009429B7">
        <w:rPr>
          <w:lang w:val="fr-FR"/>
        </w:rPr>
        <w:t>’</w:t>
      </w:r>
      <w:r>
        <w:rPr>
          <w:lang w:val="fr-FR"/>
        </w:rPr>
        <w:t xml:space="preserve">article 14, mais au non-respect par eux des règles applicables au regroupement familial prévues par le livre IV du CESEDA, ces dernières constituant une différence de traitement reposant sur une </w:t>
      </w:r>
      <w:r>
        <w:rPr>
          <w:lang w:val="fr-FR" w:bidi="en-US"/>
        </w:rPr>
        <w:t>justification objective et raisonnable.</w:t>
      </w:r>
    </w:p>
    <w:p w:rsidR="000537C6" w:rsidRPr="002D2204" w:rsidRDefault="000537C6" w:rsidP="00DE0F74">
      <w:pPr>
        <w:pStyle w:val="ECHRPara"/>
        <w:rPr>
          <w:rStyle w:val="sb8d990e2"/>
          <w:lang w:val="fr-FR"/>
        </w:rPr>
      </w:pPr>
      <w:r>
        <w:rPr>
          <w:rStyle w:val="sb8d990e2"/>
          <w:lang w:val="fr-FR"/>
        </w:rPr>
        <w:t>49.  </w:t>
      </w:r>
      <w:r w:rsidRPr="002D2204">
        <w:rPr>
          <w:rStyle w:val="sb8d990e2"/>
          <w:lang w:val="fr-FR"/>
        </w:rPr>
        <w:t>Il s</w:t>
      </w:r>
      <w:r w:rsidR="009429B7">
        <w:rPr>
          <w:rStyle w:val="sb8d990e2"/>
          <w:lang w:val="fr-FR"/>
        </w:rPr>
        <w:t>’</w:t>
      </w:r>
      <w:r w:rsidRPr="002D2204">
        <w:rPr>
          <w:rStyle w:val="sb8d990e2"/>
          <w:lang w:val="fr-FR"/>
        </w:rPr>
        <w:t>ensuit que ce grief est manifestement mal fondé et doit être rejeté en application de l</w:t>
      </w:r>
      <w:r w:rsidR="009429B7">
        <w:rPr>
          <w:rStyle w:val="sb8d990e2"/>
          <w:lang w:val="fr-FR"/>
        </w:rPr>
        <w:t>’</w:t>
      </w:r>
      <w:r w:rsidRPr="002D2204">
        <w:rPr>
          <w:rStyle w:val="sb8d990e2"/>
          <w:lang w:val="fr-FR"/>
        </w:rPr>
        <w:t>article 35 §§ 3</w:t>
      </w:r>
      <w:r>
        <w:rPr>
          <w:rStyle w:val="sb8d990e2"/>
          <w:lang w:val="fr-FR"/>
        </w:rPr>
        <w:t xml:space="preserve"> a)</w:t>
      </w:r>
      <w:r w:rsidRPr="002D2204">
        <w:rPr>
          <w:rStyle w:val="sb8d990e2"/>
          <w:lang w:val="fr-FR"/>
        </w:rPr>
        <w:t xml:space="preserve"> et 4 de la Convention.</w:t>
      </w:r>
    </w:p>
    <w:p w:rsidR="000537C6" w:rsidRPr="00DA1623" w:rsidRDefault="000537C6" w:rsidP="00DA1623">
      <w:pPr>
        <w:pStyle w:val="ECHRHeading2"/>
        <w:rPr>
          <w:lang w:val="fr-FR"/>
        </w:rPr>
      </w:pPr>
      <w:r w:rsidRPr="003C4098">
        <w:rPr>
          <w:lang w:val="fr-FR"/>
        </w:rPr>
        <w:t>C.  </w:t>
      </w:r>
      <w:r w:rsidRPr="00DA1623">
        <w:rPr>
          <w:lang w:val="fr-FR"/>
        </w:rPr>
        <w:t>S</w:t>
      </w:r>
      <w:r w:rsidR="00DA1623" w:rsidRPr="00DA1623">
        <w:rPr>
          <w:lang w:val="fr-FR"/>
        </w:rPr>
        <w:t>ur le grief tir</w:t>
      </w:r>
      <w:r w:rsidR="00DA1623">
        <w:rPr>
          <w:lang w:val="fr-FR"/>
        </w:rPr>
        <w:t>é</w:t>
      </w:r>
      <w:r w:rsidR="00DA1623" w:rsidRPr="00DA1623">
        <w:rPr>
          <w:lang w:val="fr-FR"/>
        </w:rPr>
        <w:t xml:space="preserve"> de l</w:t>
      </w:r>
      <w:r w:rsidR="009429B7">
        <w:rPr>
          <w:lang w:val="fr-FR"/>
        </w:rPr>
        <w:t>’</w:t>
      </w:r>
      <w:r w:rsidR="00DA1623" w:rsidRPr="00DA1623">
        <w:rPr>
          <w:lang w:val="fr-FR"/>
        </w:rPr>
        <w:t>article</w:t>
      </w:r>
      <w:r w:rsidRPr="00DA1623">
        <w:rPr>
          <w:lang w:val="fr-FR"/>
        </w:rPr>
        <w:t xml:space="preserve"> 14</w:t>
      </w:r>
      <w:r w:rsidR="009429B7">
        <w:rPr>
          <w:lang w:val="fr-FR"/>
        </w:rPr>
        <w:t xml:space="preserve"> </w:t>
      </w:r>
      <w:r w:rsidR="00DA1623" w:rsidRPr="00DA1623">
        <w:rPr>
          <w:lang w:val="fr-FR"/>
        </w:rPr>
        <w:t>de la Convention</w:t>
      </w:r>
      <w:r w:rsidRPr="00DA1623">
        <w:rPr>
          <w:lang w:val="fr-FR"/>
        </w:rPr>
        <w:t xml:space="preserve"> </w:t>
      </w:r>
      <w:r w:rsidR="00DA1623">
        <w:rPr>
          <w:lang w:val="fr-FR"/>
        </w:rPr>
        <w:t>comb</w:t>
      </w:r>
      <w:r w:rsidR="00DA1623" w:rsidRPr="00DA1623">
        <w:rPr>
          <w:lang w:val="fr-FR"/>
        </w:rPr>
        <w:t>iné avec l</w:t>
      </w:r>
      <w:r w:rsidR="009429B7">
        <w:rPr>
          <w:lang w:val="fr-FR"/>
        </w:rPr>
        <w:t>’</w:t>
      </w:r>
      <w:r w:rsidR="00DA1623" w:rsidRPr="00DA1623">
        <w:rPr>
          <w:lang w:val="fr-FR"/>
        </w:rPr>
        <w:t xml:space="preserve">article 1 du </w:t>
      </w:r>
      <w:r w:rsidRPr="00DA1623">
        <w:rPr>
          <w:lang w:val="fr-FR"/>
        </w:rPr>
        <w:t>P</w:t>
      </w:r>
      <w:r w:rsidR="00DA1623" w:rsidRPr="00DA1623">
        <w:rPr>
          <w:lang w:val="fr-FR"/>
        </w:rPr>
        <w:t>rotocole n</w:t>
      </w:r>
      <w:r w:rsidR="009429B7" w:rsidRPr="009429B7">
        <w:rPr>
          <w:vertAlign w:val="superscript"/>
          <w:lang w:val="fr-FR"/>
        </w:rPr>
        <w:t>o</w:t>
      </w:r>
      <w:r w:rsidR="00DA1623" w:rsidRPr="00DA1623">
        <w:rPr>
          <w:lang w:val="fr-FR"/>
        </w:rPr>
        <w:t xml:space="preserve"> 1</w:t>
      </w:r>
    </w:p>
    <w:p w:rsidR="000537C6" w:rsidRDefault="000537C6" w:rsidP="00DE0F74">
      <w:pPr>
        <w:pStyle w:val="ECHRPara"/>
        <w:rPr>
          <w:lang w:val="fr-FR"/>
        </w:rPr>
      </w:pPr>
      <w:r>
        <w:rPr>
          <w:lang w:val="fr-FR"/>
        </w:rPr>
        <w:t xml:space="preserve">50.  Les requérants de </w:t>
      </w:r>
      <w:r w:rsidRPr="001D63DA">
        <w:rPr>
          <w:lang w:val="fr-FR"/>
        </w:rPr>
        <w:t>la requête n</w:t>
      </w:r>
      <w:r w:rsidRPr="000537C6">
        <w:rPr>
          <w:vertAlign w:val="superscript"/>
          <w:lang w:val="fr-FR"/>
        </w:rPr>
        <w:t>o</w:t>
      </w:r>
      <w:r w:rsidRPr="001D63DA">
        <w:rPr>
          <w:lang w:val="fr-FR"/>
        </w:rPr>
        <w:t xml:space="preserve"> 76860/11</w:t>
      </w:r>
      <w:r>
        <w:rPr>
          <w:lang w:val="fr-FR"/>
        </w:rPr>
        <w:t xml:space="preserve"> allèguent également une violation de l</w:t>
      </w:r>
      <w:r w:rsidR="009429B7">
        <w:rPr>
          <w:lang w:val="fr-FR"/>
        </w:rPr>
        <w:t>’</w:t>
      </w:r>
      <w:r>
        <w:rPr>
          <w:lang w:val="fr-FR"/>
        </w:rPr>
        <w:t>article 14 de la Convention combiné avec l</w:t>
      </w:r>
      <w:r w:rsidR="009429B7">
        <w:rPr>
          <w:lang w:val="fr-FR"/>
        </w:rPr>
        <w:t>’</w:t>
      </w:r>
      <w:r>
        <w:rPr>
          <w:lang w:val="fr-FR"/>
        </w:rPr>
        <w:t>article 1 du Protocole n</w:t>
      </w:r>
      <w:r w:rsidRPr="000537C6">
        <w:rPr>
          <w:vertAlign w:val="superscript"/>
          <w:lang w:val="fr-FR"/>
        </w:rPr>
        <w:t>o</w:t>
      </w:r>
      <w:r>
        <w:rPr>
          <w:lang w:val="fr-FR"/>
        </w:rPr>
        <w:t xml:space="preserve"> 1, du fait du refus de leur accorder le bénéfice des prestations familiales au titre de leurs enfants les ayant rejoints en dehors du regroupement familial.</w:t>
      </w:r>
    </w:p>
    <w:p w:rsidR="000537C6" w:rsidRDefault="000537C6" w:rsidP="00DE0F74">
      <w:pPr>
        <w:pStyle w:val="ECHRPara"/>
        <w:rPr>
          <w:lang w:val="fr-FR"/>
        </w:rPr>
      </w:pPr>
      <w:r>
        <w:rPr>
          <w:lang w:val="fr-FR"/>
        </w:rPr>
        <w:t>51.  Le Gouvernement oppose l</w:t>
      </w:r>
      <w:r w:rsidR="009429B7">
        <w:rPr>
          <w:lang w:val="fr-FR"/>
        </w:rPr>
        <w:t>’</w:t>
      </w:r>
      <w:r>
        <w:rPr>
          <w:lang w:val="fr-FR"/>
        </w:rPr>
        <w:t>irrecevabilité de ce grief, faute pour les requérants d</w:t>
      </w:r>
      <w:r w:rsidR="009429B7">
        <w:rPr>
          <w:lang w:val="fr-FR"/>
        </w:rPr>
        <w:t>’</w:t>
      </w:r>
      <w:r>
        <w:rPr>
          <w:lang w:val="fr-FR"/>
        </w:rPr>
        <w:t>avoir expressément invoqué l</w:t>
      </w:r>
      <w:r w:rsidR="009429B7">
        <w:rPr>
          <w:lang w:val="fr-FR"/>
        </w:rPr>
        <w:t>’</w:t>
      </w:r>
      <w:r>
        <w:rPr>
          <w:lang w:val="fr-FR"/>
        </w:rPr>
        <w:t>article 1 du Protocole n</w:t>
      </w:r>
      <w:r w:rsidRPr="000537C6">
        <w:rPr>
          <w:vertAlign w:val="superscript"/>
          <w:lang w:val="fr-FR"/>
        </w:rPr>
        <w:t>o</w:t>
      </w:r>
      <w:r>
        <w:rPr>
          <w:lang w:val="fr-FR"/>
        </w:rPr>
        <w:t xml:space="preserve"> 1 devant les juridictions internes.</w:t>
      </w:r>
    </w:p>
    <w:p w:rsidR="000537C6" w:rsidRPr="00186E0B" w:rsidRDefault="000537C6" w:rsidP="00DE0F74">
      <w:pPr>
        <w:pStyle w:val="ECHRPara"/>
        <w:rPr>
          <w:lang w:val="fr-FR"/>
        </w:rPr>
      </w:pPr>
      <w:r>
        <w:rPr>
          <w:lang w:val="fr-FR"/>
        </w:rPr>
        <w:t>52.  </w:t>
      </w:r>
      <w:r w:rsidRPr="00186E0B">
        <w:rPr>
          <w:lang w:val="fr-FR"/>
        </w:rPr>
        <w:t>La Cour ne juge</w:t>
      </w:r>
      <w:r w:rsidRPr="00186E0B">
        <w:rPr>
          <w:rStyle w:val="sb8d990e2"/>
          <w:lang w:val="fr-FR"/>
        </w:rPr>
        <w:t xml:space="preserve"> </w:t>
      </w:r>
      <w:r w:rsidRPr="00186E0B">
        <w:rPr>
          <w:lang w:val="fr-FR"/>
        </w:rPr>
        <w:t>pas nécessaire d</w:t>
      </w:r>
      <w:r w:rsidR="009429B7">
        <w:rPr>
          <w:lang w:val="fr-FR"/>
        </w:rPr>
        <w:t>’</w:t>
      </w:r>
      <w:r w:rsidRPr="00186E0B">
        <w:rPr>
          <w:lang w:val="fr-FR"/>
        </w:rPr>
        <w:t>examiner l</w:t>
      </w:r>
      <w:r w:rsidR="009429B7">
        <w:rPr>
          <w:lang w:val="fr-FR"/>
        </w:rPr>
        <w:t>’</w:t>
      </w:r>
      <w:r w:rsidRPr="00186E0B">
        <w:rPr>
          <w:lang w:val="fr-FR"/>
        </w:rPr>
        <w:t>exception soulevée par le Gouvernement portant sur l</w:t>
      </w:r>
      <w:r w:rsidR="009429B7">
        <w:rPr>
          <w:lang w:val="fr-FR"/>
        </w:rPr>
        <w:t>’</w:t>
      </w:r>
      <w:r w:rsidRPr="00186E0B">
        <w:rPr>
          <w:lang w:val="fr-FR"/>
        </w:rPr>
        <w:t xml:space="preserve">épuisement des voies de recours internes, cette partie de la requête </w:t>
      </w:r>
      <w:r>
        <w:rPr>
          <w:lang w:val="fr-FR"/>
        </w:rPr>
        <w:t>devant de toute manière être rejetée</w:t>
      </w:r>
      <w:r w:rsidRPr="00186E0B">
        <w:rPr>
          <w:lang w:val="fr-FR"/>
        </w:rPr>
        <w:t xml:space="preserve"> </w:t>
      </w:r>
      <w:r>
        <w:rPr>
          <w:lang w:val="fr-FR"/>
        </w:rPr>
        <w:t>p</w:t>
      </w:r>
      <w:r w:rsidRPr="00186E0B">
        <w:rPr>
          <w:lang w:val="fr-FR"/>
        </w:rPr>
        <w:t>our</w:t>
      </w:r>
      <w:r>
        <w:rPr>
          <w:lang w:val="fr-FR"/>
        </w:rPr>
        <w:t xml:space="preserve"> cause d</w:t>
      </w:r>
      <w:r w:rsidR="009429B7">
        <w:rPr>
          <w:lang w:val="fr-FR"/>
        </w:rPr>
        <w:t>’</w:t>
      </w:r>
      <w:r>
        <w:rPr>
          <w:lang w:val="fr-FR"/>
        </w:rPr>
        <w:t>irrecevabilité, compte tenu des conclusions de la Cour s</w:t>
      </w:r>
      <w:r w:rsidR="009429B7">
        <w:rPr>
          <w:lang w:val="fr-FR"/>
        </w:rPr>
        <w:t>’</w:t>
      </w:r>
      <w:r>
        <w:rPr>
          <w:lang w:val="fr-FR"/>
        </w:rPr>
        <w:t>agissant du grief tiré des articles 8 et 14 combinés (paragraphe 50 ci-dessus)</w:t>
      </w:r>
      <w:r w:rsidRPr="00186E0B">
        <w:rPr>
          <w:lang w:val="fr-FR"/>
        </w:rPr>
        <w:t>.</w:t>
      </w:r>
    </w:p>
    <w:p w:rsidR="000537C6" w:rsidRPr="002D2204" w:rsidRDefault="000537C6" w:rsidP="00DE0F74">
      <w:pPr>
        <w:pStyle w:val="ECHRPara"/>
        <w:rPr>
          <w:rStyle w:val="sb8d990e2"/>
          <w:lang w:val="fr-FR"/>
        </w:rPr>
      </w:pPr>
      <w:r>
        <w:rPr>
          <w:rStyle w:val="sb8d990e2"/>
          <w:lang w:val="fr-FR"/>
        </w:rPr>
        <w:t>53.  </w:t>
      </w:r>
      <w:r w:rsidRPr="002D2204">
        <w:rPr>
          <w:rStyle w:val="sb8d990e2"/>
          <w:lang w:val="fr-FR"/>
        </w:rPr>
        <w:t>Il s</w:t>
      </w:r>
      <w:r w:rsidR="009429B7">
        <w:rPr>
          <w:rStyle w:val="sb8d990e2"/>
          <w:lang w:val="fr-FR"/>
        </w:rPr>
        <w:t>’</w:t>
      </w:r>
      <w:r w:rsidRPr="002D2204">
        <w:rPr>
          <w:rStyle w:val="sb8d990e2"/>
          <w:lang w:val="fr-FR"/>
        </w:rPr>
        <w:t>ensuit que ce grief est manifestement mal fondé et doit être rejeté en application de l</w:t>
      </w:r>
      <w:r w:rsidR="009429B7">
        <w:rPr>
          <w:rStyle w:val="sb8d990e2"/>
          <w:lang w:val="fr-FR"/>
        </w:rPr>
        <w:t>’</w:t>
      </w:r>
      <w:r w:rsidRPr="002D2204">
        <w:rPr>
          <w:rStyle w:val="sb8d990e2"/>
          <w:lang w:val="fr-FR"/>
        </w:rPr>
        <w:t>article 35 §§ 3</w:t>
      </w:r>
      <w:r>
        <w:rPr>
          <w:rStyle w:val="sb8d990e2"/>
          <w:lang w:val="fr-FR"/>
        </w:rPr>
        <w:t xml:space="preserve"> a)</w:t>
      </w:r>
      <w:r w:rsidRPr="002D2204">
        <w:rPr>
          <w:rStyle w:val="sb8d990e2"/>
          <w:lang w:val="fr-FR"/>
        </w:rPr>
        <w:t xml:space="preserve"> et 4 de la Convention.</w:t>
      </w:r>
    </w:p>
    <w:p w:rsidR="000537C6" w:rsidRPr="00905EBC" w:rsidRDefault="000537C6" w:rsidP="00F54F5F">
      <w:pPr>
        <w:pStyle w:val="JuParaLast"/>
        <w:rPr>
          <w:lang w:val="fr-FR"/>
        </w:rPr>
      </w:pPr>
      <w:r w:rsidRPr="00905EBC">
        <w:rPr>
          <w:lang w:val="fr-FR"/>
        </w:rPr>
        <w:t>Par ces motifs, la Cour, à l</w:t>
      </w:r>
      <w:r w:rsidR="009429B7">
        <w:rPr>
          <w:lang w:val="fr-FR"/>
        </w:rPr>
        <w:t>’</w:t>
      </w:r>
      <w:r w:rsidRPr="00905EBC">
        <w:rPr>
          <w:lang w:val="fr-FR"/>
        </w:rPr>
        <w:t>unanimité,</w:t>
      </w:r>
    </w:p>
    <w:p w:rsidR="000537C6" w:rsidRPr="00F54F5F" w:rsidRDefault="000537C6" w:rsidP="00F54F5F">
      <w:pPr>
        <w:pStyle w:val="DecList"/>
      </w:pPr>
      <w:proofErr w:type="spellStart"/>
      <w:r w:rsidRPr="00F54F5F">
        <w:rPr>
          <w:i/>
        </w:rPr>
        <w:t>Décide</w:t>
      </w:r>
      <w:proofErr w:type="spellEnd"/>
      <w:r w:rsidRPr="00F54F5F">
        <w:t xml:space="preserve"> de </w:t>
      </w:r>
      <w:proofErr w:type="spellStart"/>
      <w:r w:rsidRPr="00F54F5F">
        <w:t>joindre</w:t>
      </w:r>
      <w:proofErr w:type="spellEnd"/>
      <w:r w:rsidRPr="00F54F5F">
        <w:t xml:space="preserve"> les </w:t>
      </w:r>
      <w:proofErr w:type="spellStart"/>
      <w:r w:rsidRPr="00F54F5F">
        <w:t>requêtes</w:t>
      </w:r>
      <w:proofErr w:type="spellEnd"/>
      <w:r w:rsidRPr="00F54F5F">
        <w:t> ;</w:t>
      </w:r>
    </w:p>
    <w:p w:rsidR="000537C6" w:rsidRPr="00F54F5F" w:rsidRDefault="000537C6" w:rsidP="00F54F5F">
      <w:pPr>
        <w:pStyle w:val="DecList"/>
      </w:pPr>
      <w:proofErr w:type="spellStart"/>
      <w:r w:rsidRPr="00F54F5F">
        <w:rPr>
          <w:i/>
        </w:rPr>
        <w:t>Déclare</w:t>
      </w:r>
      <w:proofErr w:type="spellEnd"/>
      <w:r w:rsidRPr="00F54F5F">
        <w:t xml:space="preserve"> les </w:t>
      </w:r>
      <w:proofErr w:type="spellStart"/>
      <w:r w:rsidRPr="00F54F5F">
        <w:t>requêtes</w:t>
      </w:r>
      <w:proofErr w:type="spellEnd"/>
      <w:r w:rsidRPr="00F54F5F">
        <w:t xml:space="preserve"> </w:t>
      </w:r>
      <w:proofErr w:type="spellStart"/>
      <w:r w:rsidRPr="00F54F5F">
        <w:t>irrecevables</w:t>
      </w:r>
      <w:proofErr w:type="spellEnd"/>
      <w:r w:rsidRPr="00F54F5F">
        <w:t>.</w:t>
      </w:r>
    </w:p>
    <w:p w:rsidR="006544C4" w:rsidRPr="00AD4F05" w:rsidRDefault="006544C4" w:rsidP="004047FE">
      <w:pPr>
        <w:pStyle w:val="ECHRPara"/>
        <w:rPr>
          <w:sz w:val="2"/>
          <w:szCs w:val="2"/>
          <w:lang w:val="fr-FR" w:eastAsia="en-GB"/>
        </w:rPr>
      </w:pPr>
    </w:p>
    <w:p w:rsidR="006F19B0" w:rsidRPr="00AD4F05" w:rsidRDefault="00F40988" w:rsidP="006F19B0">
      <w:pPr>
        <w:pStyle w:val="JuParaLast"/>
        <w:rPr>
          <w:lang w:val="fr-FR"/>
        </w:rPr>
      </w:pPr>
      <w:r w:rsidRPr="00AD4F05">
        <w:rPr>
          <w:szCs w:val="24"/>
          <w:lang w:val="fr-FR"/>
        </w:rPr>
        <w:t xml:space="preserve">Fait en français puis communiqué par écrit le </w:t>
      </w:r>
      <w:r w:rsidR="000537C6">
        <w:rPr>
          <w:szCs w:val="24"/>
          <w:lang w:val="fr-FR"/>
        </w:rPr>
        <w:t>1</w:t>
      </w:r>
      <w:r w:rsidR="000537C6" w:rsidRPr="003B66FB">
        <w:rPr>
          <w:szCs w:val="24"/>
          <w:vertAlign w:val="superscript"/>
          <w:lang w:val="fr-FR"/>
        </w:rPr>
        <w:t>er</w:t>
      </w:r>
      <w:r w:rsidR="000537C6">
        <w:rPr>
          <w:szCs w:val="24"/>
          <w:lang w:val="fr-FR"/>
        </w:rPr>
        <w:t xml:space="preserve"> octobre 2015</w:t>
      </w:r>
      <w:r w:rsidRPr="00AD4F05">
        <w:rPr>
          <w:lang w:val="fr-FR"/>
        </w:rPr>
        <w:t>.</w:t>
      </w:r>
    </w:p>
    <w:p w:rsidR="00CE6ED9" w:rsidRPr="00AD4F05" w:rsidRDefault="000537C6" w:rsidP="00B87FB1">
      <w:pPr>
        <w:pStyle w:val="JuSigned"/>
        <w:rPr>
          <w:lang w:val="fr-FR"/>
        </w:rPr>
      </w:pPr>
      <w:r w:rsidRPr="00AD4F05">
        <w:rPr>
          <w:lang w:val="fr-FR"/>
        </w:rPr>
        <w:tab/>
      </w:r>
      <w:r>
        <w:rPr>
          <w:lang w:val="fr-FR"/>
        </w:rPr>
        <w:t>Claudia</w:t>
      </w:r>
      <w:r w:rsidRPr="00AD4F05">
        <w:rPr>
          <w:lang w:val="fr-FR"/>
        </w:rPr>
        <w:t xml:space="preserve"> </w:t>
      </w:r>
      <w:r>
        <w:rPr>
          <w:lang w:val="fr-FR"/>
        </w:rPr>
        <w:t>Westerdiek</w:t>
      </w:r>
      <w:r w:rsidR="006544C4" w:rsidRPr="00AD4F05">
        <w:rPr>
          <w:lang w:val="fr-FR"/>
        </w:rPr>
        <w:tab/>
      </w:r>
      <w:r w:rsidR="009A3081" w:rsidRPr="009A3081">
        <w:rPr>
          <w:lang w:val="fr-FR"/>
        </w:rPr>
        <w:t>Josep Casadevall</w:t>
      </w:r>
      <w:r w:rsidR="006544C4" w:rsidRPr="00AD4F05">
        <w:rPr>
          <w:lang w:val="fr-FR"/>
        </w:rPr>
        <w:br/>
      </w:r>
      <w:r w:rsidR="006544C4" w:rsidRPr="00AD4F05">
        <w:rPr>
          <w:lang w:val="fr-FR"/>
        </w:rPr>
        <w:tab/>
      </w:r>
      <w:r>
        <w:rPr>
          <w:lang w:val="fr-FR"/>
        </w:rPr>
        <w:t>Greffière</w:t>
      </w:r>
      <w:r w:rsidR="006544C4" w:rsidRPr="00AD4F05">
        <w:rPr>
          <w:lang w:val="fr-FR"/>
        </w:rPr>
        <w:tab/>
      </w:r>
      <w:r w:rsidRPr="00AD4F05">
        <w:rPr>
          <w:lang w:val="fr-FR"/>
        </w:rPr>
        <w:t>Président</w:t>
      </w:r>
    </w:p>
    <w:sectPr w:rsidR="00CE6ED9" w:rsidRPr="00AD4F05" w:rsidSect="00BF78C9">
      <w:headerReference w:type="even" r:id="rId14"/>
      <w:headerReference w:type="default" r:id="rId15"/>
      <w:headerReference w:type="first" r:id="rId16"/>
      <w:footerReference w:type="first" r:id="rId17"/>
      <w:footnotePr>
        <w:numRestart w:val="eachPage"/>
      </w:footnotePr>
      <w:pgSz w:w="11906" w:h="16838" w:code="9"/>
      <w:pgMar w:top="2274" w:right="2274" w:bottom="2274" w:left="2268"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2F8" w:rsidRDefault="007A62F8" w:rsidP="006544C4">
      <w:r>
        <w:separator/>
      </w:r>
    </w:p>
  </w:endnote>
  <w:endnote w:type="continuationSeparator" w:id="0">
    <w:p w:rsidR="007A62F8" w:rsidRDefault="007A62F8" w:rsidP="00654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F74" w:rsidRPr="00150BFA" w:rsidRDefault="00DE0F74" w:rsidP="00DE0F74">
    <w:pPr>
      <w:jc w:val="center"/>
    </w:pPr>
    <w:r>
      <w:rPr>
        <w:noProof/>
        <w:lang w:val="pl-PL" w:eastAsia="pl-PL"/>
      </w:rPr>
      <w:drawing>
        <wp:inline distT="0" distB="0" distL="0" distR="0" wp14:anchorId="3E5F39FC" wp14:editId="6640533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E0F74" w:rsidRPr="00633A19" w:rsidRDefault="00DE0F74" w:rsidP="00DE0F74">
    <w:pPr>
      <w:jc w:val="center"/>
      <w:rPr>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2F8" w:rsidRDefault="007A62F8" w:rsidP="006544C4">
      <w:r>
        <w:separator/>
      </w:r>
    </w:p>
  </w:footnote>
  <w:footnote w:type="continuationSeparator" w:id="0">
    <w:p w:rsidR="007A62F8" w:rsidRDefault="007A62F8" w:rsidP="006544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F74" w:rsidRDefault="00DE0F74" w:rsidP="00BF78C9">
    <w:pPr>
      <w:pStyle w:val="ECHRHeader"/>
      <w:tabs>
        <w:tab w:val="clear" w:pos="3686"/>
        <w:tab w:val="clear" w:pos="7371"/>
      </w:tabs>
      <w:ind w:left="1276" w:hanging="1843"/>
      <w:jc w:val="center"/>
      <w:rPr>
        <w:lang w:val="fr-FR"/>
      </w:rPr>
    </w:pPr>
    <w:r>
      <w:rPr>
        <w:rStyle w:val="Numerstrony"/>
        <w:lang w:val="en-GB"/>
      </w:rPr>
      <w:fldChar w:fldCharType="begin"/>
    </w:r>
    <w:r w:rsidRPr="000537C6">
      <w:rPr>
        <w:rStyle w:val="Numerstrony"/>
        <w:lang w:val="fr-FR"/>
      </w:rPr>
      <w:instrText xml:space="preserve"> PAGE </w:instrText>
    </w:r>
    <w:r>
      <w:rPr>
        <w:rStyle w:val="Numerstrony"/>
        <w:lang w:val="en-GB"/>
      </w:rPr>
      <w:fldChar w:fldCharType="separate"/>
    </w:r>
    <w:r w:rsidR="00D95E86">
      <w:rPr>
        <w:rStyle w:val="Numerstrony"/>
        <w:noProof/>
        <w:lang w:val="fr-FR"/>
      </w:rPr>
      <w:t>2</w:t>
    </w:r>
    <w:r>
      <w:rPr>
        <w:rStyle w:val="Numerstrony"/>
        <w:lang w:val="en-GB"/>
      </w:rPr>
      <w:fldChar w:fldCharType="end"/>
    </w:r>
    <w:r w:rsidR="00BF78C9" w:rsidRPr="00BF78C9">
      <w:rPr>
        <w:rStyle w:val="Numerstrony"/>
        <w:lang w:val="fr-FR"/>
      </w:rPr>
      <w:tab/>
    </w:r>
    <w:r w:rsidR="003C4098" w:rsidRPr="003C4098">
      <w:rPr>
        <w:lang w:val="fr-FR"/>
      </w:rPr>
      <w:t xml:space="preserve">DÉCISION OKITALOSHIMA OKONDA OSUNGU c. </w:t>
    </w:r>
    <w:r w:rsidR="00776128">
      <w:rPr>
        <w:lang w:val="fr-FR"/>
      </w:rPr>
      <w:t>FRANCE</w:t>
    </w:r>
  </w:p>
  <w:p w:rsidR="003C4098" w:rsidRPr="000537C6" w:rsidRDefault="003C4098" w:rsidP="003C4098">
    <w:pPr>
      <w:pStyle w:val="ECHRHeader"/>
      <w:tabs>
        <w:tab w:val="clear" w:pos="3686"/>
        <w:tab w:val="clear" w:pos="7371"/>
      </w:tabs>
      <w:ind w:left="1276" w:hanging="556"/>
      <w:jc w:val="center"/>
      <w:rPr>
        <w:lang w:val="fr-FR"/>
      </w:rPr>
    </w:pPr>
    <w:r w:rsidRPr="000537C6">
      <w:rPr>
        <w:noProof/>
        <w:lang w:val="fr-FR"/>
      </w:rPr>
      <w:t xml:space="preserve">et </w:t>
    </w:r>
    <w:r>
      <w:rPr>
        <w:noProof/>
        <w:lang w:val="fr-FR"/>
      </w:rPr>
      <w:t>SELPA LOKONGO c. FRANCE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128" w:rsidRPr="00E934A4" w:rsidRDefault="00776128" w:rsidP="00776128">
    <w:pPr>
      <w:pStyle w:val="ECHRHeader"/>
      <w:rPr>
        <w:lang w:val="fr-FR"/>
      </w:rPr>
    </w:pPr>
    <w:r>
      <w:tab/>
    </w:r>
    <w:r w:rsidRPr="00E934A4">
      <w:rPr>
        <w:lang w:val="fr-FR"/>
      </w:rPr>
      <w:t>DÉCISION OKITALOSHIMA OKONDA OSUNGU c. FRANCE</w:t>
    </w:r>
    <w:r w:rsidRPr="00E934A4">
      <w:rPr>
        <w:lang w:val="fr-FR"/>
      </w:rPr>
      <w:tab/>
    </w:r>
    <w:r>
      <w:rPr>
        <w:rStyle w:val="Numerstrony"/>
        <w:lang w:val="en-GB"/>
      </w:rPr>
      <w:fldChar w:fldCharType="begin"/>
    </w:r>
    <w:r w:rsidRPr="00E934A4">
      <w:rPr>
        <w:rStyle w:val="Numerstrony"/>
        <w:lang w:val="fr-FR"/>
      </w:rPr>
      <w:instrText xml:space="preserve"> PAGE </w:instrText>
    </w:r>
    <w:r>
      <w:rPr>
        <w:rStyle w:val="Numerstrony"/>
        <w:lang w:val="en-GB"/>
      </w:rPr>
      <w:fldChar w:fldCharType="separate"/>
    </w:r>
    <w:r w:rsidR="00D95E86">
      <w:rPr>
        <w:rStyle w:val="Numerstrony"/>
        <w:noProof/>
        <w:lang w:val="fr-FR"/>
      </w:rPr>
      <w:t>15</w:t>
    </w:r>
    <w:r>
      <w:rPr>
        <w:rStyle w:val="Numerstrony"/>
        <w:lang w:val="en-GB"/>
      </w:rPr>
      <w:fldChar w:fldCharType="end"/>
    </w:r>
  </w:p>
  <w:p w:rsidR="00DE0F74" w:rsidRPr="00776128" w:rsidRDefault="00776128" w:rsidP="00776128">
    <w:pPr>
      <w:pStyle w:val="ECHRHeader"/>
      <w:tabs>
        <w:tab w:val="clear" w:pos="3686"/>
        <w:tab w:val="clear" w:pos="7371"/>
      </w:tabs>
      <w:ind w:left="1276" w:hanging="556"/>
      <w:jc w:val="center"/>
      <w:rPr>
        <w:lang w:val="fr-FR"/>
      </w:rPr>
    </w:pPr>
    <w:r w:rsidRPr="000537C6">
      <w:rPr>
        <w:noProof/>
        <w:lang w:val="fr-FR"/>
      </w:rPr>
      <w:t xml:space="preserve">et </w:t>
    </w:r>
    <w:r>
      <w:rPr>
        <w:noProof/>
        <w:lang w:val="fr-FR"/>
      </w:rPr>
      <w:t>SELPA LOKONGO c. FRANCE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F74" w:rsidRPr="00A45145" w:rsidRDefault="00DE0F74" w:rsidP="00DE0F74">
    <w:pPr>
      <w:jc w:val="center"/>
    </w:pPr>
    <w:r>
      <w:rPr>
        <w:noProof/>
        <w:lang w:val="pl-PL" w:eastAsia="pl-PL"/>
      </w:rPr>
      <w:drawing>
        <wp:inline distT="0" distB="0" distL="0" distR="0" wp14:anchorId="6A875CE6" wp14:editId="6603E46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E0F74" w:rsidRDefault="00DE0F74" w:rsidP="00DE0F7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26C560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784B494"/>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52BEA742"/>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50CE4694"/>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BBB0CDAA"/>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D3FAB61E"/>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97A584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3A5A10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DE83B6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215E9F46"/>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B16086F"/>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0F5865E5"/>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90D1DC3"/>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26306C2"/>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CD2930"/>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1"/>
  </w:num>
  <w:num w:numId="6">
    <w:abstractNumId w:val="10"/>
  </w:num>
  <w:num w:numId="7">
    <w:abstractNumId w:val="11"/>
  </w:num>
  <w:num w:numId="8">
    <w:abstractNumId w:val="7"/>
  </w:num>
  <w:num w:numId="9">
    <w:abstractNumId w:val="6"/>
  </w:num>
  <w:num w:numId="10">
    <w:abstractNumId w:val="15"/>
  </w:num>
  <w:num w:numId="11">
    <w:abstractNumId w:val="15"/>
  </w:num>
  <w:num w:numId="12">
    <w:abstractNumId w:val="13"/>
  </w:num>
  <w:num w:numId="13">
    <w:abstractNumId w:val="14"/>
  </w:num>
  <w:num w:numId="14">
    <w:abstractNumId w:val="16"/>
  </w:num>
  <w:num w:numId="15">
    <w:abstractNumId w:val="9"/>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AppNatAutre" w:val="0"/>
    <w:docVar w:name="DocVarPREMATURE" w:val="0"/>
    <w:docVar w:name="EMM" w:val="0"/>
    <w:docVar w:name="ETRANSMISSION" w:val="PAR VOIE ÉLECTRONIQUE UNIQUEMENT"/>
    <w:docVar w:name="L4_1Annex" w:val="0"/>
    <w:docVar w:name="L4_1Anonymity" w:val="0"/>
    <w:docVar w:name="NBEMMDOC" w:val="0"/>
    <w:docVar w:name="Plural" w:val="2"/>
    <w:docVar w:name="SecondCaseDateIntro" w:val="8/7/2013"/>
    <w:docVar w:name="SecondCaseFirstName" w:val="ELISABETH"/>
    <w:docVar w:name="SecondCaseLastName" w:val="SELPA LOKONGO"/>
    <w:docVar w:name="SecondCaseNumber" w:val="51354/13"/>
    <w:docVar w:name="SecondCaseState" w:val="la France"/>
    <w:docVar w:name="SignForeName" w:val="0"/>
  </w:docVars>
  <w:rsids>
    <w:rsidRoot w:val="000537C6"/>
    <w:rsid w:val="000041F8"/>
    <w:rsid w:val="000042A8"/>
    <w:rsid w:val="00004308"/>
    <w:rsid w:val="00005BF0"/>
    <w:rsid w:val="00007154"/>
    <w:rsid w:val="000103AE"/>
    <w:rsid w:val="00011D69"/>
    <w:rsid w:val="00012AD3"/>
    <w:rsid w:val="00015C2D"/>
    <w:rsid w:val="00015F00"/>
    <w:rsid w:val="00022C1D"/>
    <w:rsid w:val="00034987"/>
    <w:rsid w:val="000537C6"/>
    <w:rsid w:val="000602DF"/>
    <w:rsid w:val="00061B05"/>
    <w:rsid w:val="000632D5"/>
    <w:rsid w:val="000644EE"/>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62A12"/>
    <w:rsid w:val="00165114"/>
    <w:rsid w:val="00166530"/>
    <w:rsid w:val="0016678F"/>
    <w:rsid w:val="0018233A"/>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4E8A"/>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F2AF7"/>
    <w:rsid w:val="002F7E1C"/>
    <w:rsid w:val="00301A75"/>
    <w:rsid w:val="00302F70"/>
    <w:rsid w:val="0030336F"/>
    <w:rsid w:val="0030375E"/>
    <w:rsid w:val="00312A30"/>
    <w:rsid w:val="00320F72"/>
    <w:rsid w:val="00321318"/>
    <w:rsid w:val="0032463E"/>
    <w:rsid w:val="00326224"/>
    <w:rsid w:val="003312A3"/>
    <w:rsid w:val="00334EC5"/>
    <w:rsid w:val="00337EE4"/>
    <w:rsid w:val="00340FFD"/>
    <w:rsid w:val="003506B1"/>
    <w:rsid w:val="003519F6"/>
    <w:rsid w:val="00356AC7"/>
    <w:rsid w:val="003609FA"/>
    <w:rsid w:val="003710C8"/>
    <w:rsid w:val="003750BE"/>
    <w:rsid w:val="00381AF0"/>
    <w:rsid w:val="00387B9D"/>
    <w:rsid w:val="0039055E"/>
    <w:rsid w:val="0039364F"/>
    <w:rsid w:val="00396686"/>
    <w:rsid w:val="0039778E"/>
    <w:rsid w:val="003B4941"/>
    <w:rsid w:val="003B66FB"/>
    <w:rsid w:val="003C4098"/>
    <w:rsid w:val="003C5714"/>
    <w:rsid w:val="003C6B9F"/>
    <w:rsid w:val="003C6E2A"/>
    <w:rsid w:val="003D0299"/>
    <w:rsid w:val="003E6386"/>
    <w:rsid w:val="003E6D80"/>
    <w:rsid w:val="003E747B"/>
    <w:rsid w:val="003F05FA"/>
    <w:rsid w:val="003F244A"/>
    <w:rsid w:val="003F30B8"/>
    <w:rsid w:val="003F4C45"/>
    <w:rsid w:val="003F5F7B"/>
    <w:rsid w:val="003F7D64"/>
    <w:rsid w:val="004047FE"/>
    <w:rsid w:val="00414300"/>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2AA3"/>
    <w:rsid w:val="004F304D"/>
    <w:rsid w:val="004F61BE"/>
    <w:rsid w:val="004F66B1"/>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5812"/>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4C4"/>
    <w:rsid w:val="006545C4"/>
    <w:rsid w:val="00661971"/>
    <w:rsid w:val="00661CE8"/>
    <w:rsid w:val="006623D9"/>
    <w:rsid w:val="0066550C"/>
    <w:rsid w:val="006716F2"/>
    <w:rsid w:val="006742DB"/>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19B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5B6D"/>
    <w:rsid w:val="00776128"/>
    <w:rsid w:val="00776D68"/>
    <w:rsid w:val="007850EE"/>
    <w:rsid w:val="00785B95"/>
    <w:rsid w:val="00790E96"/>
    <w:rsid w:val="00793366"/>
    <w:rsid w:val="007A62F8"/>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46476"/>
    <w:rsid w:val="00851EF9"/>
    <w:rsid w:val="008577FD"/>
    <w:rsid w:val="00860B03"/>
    <w:rsid w:val="0086497A"/>
    <w:rsid w:val="008713A1"/>
    <w:rsid w:val="008754AB"/>
    <w:rsid w:val="0088060C"/>
    <w:rsid w:val="00893576"/>
    <w:rsid w:val="00893E73"/>
    <w:rsid w:val="008B02DC"/>
    <w:rsid w:val="008B57CE"/>
    <w:rsid w:val="008C26DE"/>
    <w:rsid w:val="008C4AA6"/>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34301"/>
    <w:rsid w:val="00934A97"/>
    <w:rsid w:val="00936CD1"/>
    <w:rsid w:val="00941747"/>
    <w:rsid w:val="00941EFB"/>
    <w:rsid w:val="009429B7"/>
    <w:rsid w:val="00945249"/>
    <w:rsid w:val="00947AFB"/>
    <w:rsid w:val="00951D7D"/>
    <w:rsid w:val="009630C7"/>
    <w:rsid w:val="00972B55"/>
    <w:rsid w:val="009743B7"/>
    <w:rsid w:val="00977DA8"/>
    <w:rsid w:val="0098228B"/>
    <w:rsid w:val="009828DA"/>
    <w:rsid w:val="00985BAB"/>
    <w:rsid w:val="009A3081"/>
    <w:rsid w:val="009B1B5F"/>
    <w:rsid w:val="009B6673"/>
    <w:rsid w:val="009C191B"/>
    <w:rsid w:val="009C2BD6"/>
    <w:rsid w:val="009E1F32"/>
    <w:rsid w:val="009E776C"/>
    <w:rsid w:val="00A01ABF"/>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D4F05"/>
    <w:rsid w:val="00AE0A2E"/>
    <w:rsid w:val="00AE354C"/>
    <w:rsid w:val="00AF4B07"/>
    <w:rsid w:val="00AF6186"/>
    <w:rsid w:val="00AF7102"/>
    <w:rsid w:val="00AF7A3A"/>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87FB1"/>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BF78C9"/>
    <w:rsid w:val="00C054C7"/>
    <w:rsid w:val="00C057B5"/>
    <w:rsid w:val="00C10222"/>
    <w:rsid w:val="00C22687"/>
    <w:rsid w:val="00C32E4D"/>
    <w:rsid w:val="00C333A0"/>
    <w:rsid w:val="00C36408"/>
    <w:rsid w:val="00C36A81"/>
    <w:rsid w:val="00C41974"/>
    <w:rsid w:val="00C53F4A"/>
    <w:rsid w:val="00C54125"/>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E6ED9"/>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435F"/>
    <w:rsid w:val="00D75E28"/>
    <w:rsid w:val="00D772C2"/>
    <w:rsid w:val="00D8008E"/>
    <w:rsid w:val="00D82C45"/>
    <w:rsid w:val="00D87607"/>
    <w:rsid w:val="00D908A8"/>
    <w:rsid w:val="00D95E86"/>
    <w:rsid w:val="00D977B6"/>
    <w:rsid w:val="00DA1623"/>
    <w:rsid w:val="00DA4A31"/>
    <w:rsid w:val="00DA7B04"/>
    <w:rsid w:val="00DB36C2"/>
    <w:rsid w:val="00DC169B"/>
    <w:rsid w:val="00DC2AB9"/>
    <w:rsid w:val="00DC63F0"/>
    <w:rsid w:val="00DD6EE5"/>
    <w:rsid w:val="00DE0F74"/>
    <w:rsid w:val="00DE386C"/>
    <w:rsid w:val="00DE4D35"/>
    <w:rsid w:val="00DF098B"/>
    <w:rsid w:val="00DF1114"/>
    <w:rsid w:val="00DF11C4"/>
    <w:rsid w:val="00DF210C"/>
    <w:rsid w:val="00DF4B6A"/>
    <w:rsid w:val="00E02897"/>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8668A"/>
    <w:rsid w:val="00E90302"/>
    <w:rsid w:val="00E97396"/>
    <w:rsid w:val="00EA185E"/>
    <w:rsid w:val="00EA592A"/>
    <w:rsid w:val="00EB14E4"/>
    <w:rsid w:val="00EB32A5"/>
    <w:rsid w:val="00EB34ED"/>
    <w:rsid w:val="00EB7BE0"/>
    <w:rsid w:val="00EC315E"/>
    <w:rsid w:val="00EC78A3"/>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40988"/>
    <w:rsid w:val="00F54F5F"/>
    <w:rsid w:val="00F56A6F"/>
    <w:rsid w:val="00F5709C"/>
    <w:rsid w:val="00F64EF1"/>
    <w:rsid w:val="00F83648"/>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8" w:unhideWhenUsed="0" w:qFormat="1"/>
    <w:lsdException w:name="heading 2" w:uiPriority="98" w:qFormat="1"/>
    <w:lsdException w:name="heading 3" w:uiPriority="98" w:qFormat="1"/>
    <w:lsdException w:name="heading 4" w:uiPriority="98" w:qFormat="1"/>
    <w:lsdException w:name="heading 5" w:qFormat="1"/>
    <w:lsdException w:name="heading 6" w:uiPriority="98"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footnote text" w:uiPriority="95"/>
    <w:lsdException w:name="annotation text" w:uiPriority="0"/>
    <w:lsdException w:name="header" w:uiPriority="48"/>
    <w:lsdException w:name="footer" w:uiPriority="83"/>
    <w:lsdException w:name="caption" w:qFormat="1"/>
    <w:lsdException w:name="footnote reference" w:uiPriority="95"/>
    <w:lsdException w:name="List Number" w:unhideWhenUsed="0"/>
    <w:lsdException w:name="List 4" w:unhideWhenUsed="0"/>
    <w:lsdException w:name="List 5" w:unhideWhenUsed="0"/>
    <w:lsdException w:name="List Bullet 3" w:uiPriority="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544C4"/>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544C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544C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544C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544C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6544C4"/>
    <w:rPr>
      <w:i/>
      <w:iCs/>
      <w:smallCaps/>
      <w:spacing w:val="5"/>
    </w:rPr>
  </w:style>
  <w:style w:type="paragraph" w:customStyle="1" w:styleId="ECHRHeader">
    <w:name w:val="ECHR_Header"/>
    <w:aliases w:val="Ju_Header"/>
    <w:basedOn w:val="Nagwek"/>
    <w:uiPriority w:val="4"/>
    <w:qFormat/>
    <w:rsid w:val="006544C4"/>
    <w:pPr>
      <w:tabs>
        <w:tab w:val="clear" w:pos="4536"/>
        <w:tab w:val="clear" w:pos="9696"/>
        <w:tab w:val="center" w:pos="3686"/>
        <w:tab w:val="right" w:pos="7371"/>
      </w:tabs>
      <w:ind w:left="0" w:right="0"/>
      <w:jc w:val="left"/>
    </w:pPr>
    <w:rPr>
      <w:rFonts w:eastAsiaTheme="minorHAnsi"/>
      <w:sz w:val="18"/>
    </w:rPr>
  </w:style>
  <w:style w:type="paragraph" w:customStyle="1" w:styleId="JuAppQuestion">
    <w:name w:val="Ju_App_Question"/>
    <w:basedOn w:val="Normalny"/>
    <w:link w:val="JuAppQuestionChar"/>
    <w:uiPriority w:val="5"/>
    <w:qFormat/>
    <w:rsid w:val="006544C4"/>
    <w:pPr>
      <w:numPr>
        <w:numId w:val="11"/>
      </w:numPr>
      <w:jc w:val="left"/>
    </w:pPr>
    <w:rPr>
      <w:b/>
    </w:rPr>
  </w:style>
  <w:style w:type="character" w:styleId="Pogrubienie">
    <w:name w:val="Strong"/>
    <w:uiPriority w:val="99"/>
    <w:semiHidden/>
    <w:qFormat/>
    <w:rsid w:val="006544C4"/>
    <w:rPr>
      <w:b/>
      <w:bCs/>
    </w:rPr>
  </w:style>
  <w:style w:type="paragraph" w:styleId="Bezodstpw">
    <w:name w:val="No Spacing"/>
    <w:basedOn w:val="Normalny"/>
    <w:link w:val="BezodstpwZnak"/>
    <w:semiHidden/>
    <w:qFormat/>
    <w:rsid w:val="006544C4"/>
    <w:rPr>
      <w:sz w:val="22"/>
    </w:rPr>
  </w:style>
  <w:style w:type="character" w:customStyle="1" w:styleId="BezodstpwZnak">
    <w:name w:val="Bez odstępów Znak"/>
    <w:basedOn w:val="Domylnaczcionkaakapitu"/>
    <w:link w:val="Bezodstpw"/>
    <w:semiHidden/>
    <w:rsid w:val="006544C4"/>
    <w:rPr>
      <w:rFonts w:eastAsiaTheme="minorEastAsia"/>
    </w:rPr>
  </w:style>
  <w:style w:type="paragraph" w:customStyle="1" w:styleId="OpiPara">
    <w:name w:val="Opi_Para"/>
    <w:basedOn w:val="Normalny"/>
    <w:uiPriority w:val="46"/>
    <w:semiHidden/>
    <w:qFormat/>
    <w:rsid w:val="004047FE"/>
    <w:pPr>
      <w:ind w:firstLine="284"/>
    </w:pPr>
  </w:style>
  <w:style w:type="paragraph" w:customStyle="1" w:styleId="ECHRParaQuote">
    <w:name w:val="ECHR_Para_Quote"/>
    <w:aliases w:val="Ju_Quot"/>
    <w:basedOn w:val="Normalny"/>
    <w:qFormat/>
    <w:rsid w:val="006544C4"/>
    <w:pPr>
      <w:spacing w:before="120" w:after="120"/>
      <w:ind w:left="425" w:firstLine="142"/>
    </w:pPr>
    <w:rPr>
      <w:sz w:val="20"/>
    </w:rPr>
  </w:style>
  <w:style w:type="paragraph" w:customStyle="1" w:styleId="JuParaSub">
    <w:name w:val="Ju_Para_Sub"/>
    <w:basedOn w:val="Normalny"/>
    <w:uiPriority w:val="13"/>
    <w:qFormat/>
    <w:rsid w:val="004047FE"/>
    <w:pPr>
      <w:ind w:left="284" w:firstLine="284"/>
    </w:pPr>
  </w:style>
  <w:style w:type="paragraph" w:customStyle="1" w:styleId="OpiParaSub">
    <w:name w:val="Opi_Para_Sub"/>
    <w:basedOn w:val="JuParaSub"/>
    <w:uiPriority w:val="47"/>
    <w:semiHidden/>
    <w:qFormat/>
    <w:rsid w:val="006544C4"/>
  </w:style>
  <w:style w:type="paragraph" w:customStyle="1" w:styleId="OpiQuot">
    <w:name w:val="Opi_Quot"/>
    <w:basedOn w:val="ECHRParaQuote"/>
    <w:uiPriority w:val="48"/>
    <w:semiHidden/>
    <w:qFormat/>
    <w:rsid w:val="006544C4"/>
  </w:style>
  <w:style w:type="paragraph" w:customStyle="1" w:styleId="OpiQuotSub">
    <w:name w:val="Opi_Quot_Sub"/>
    <w:basedOn w:val="JuQuotSub"/>
    <w:uiPriority w:val="49"/>
    <w:semiHidden/>
    <w:qFormat/>
    <w:rsid w:val="006544C4"/>
  </w:style>
  <w:style w:type="paragraph" w:customStyle="1" w:styleId="ECHRTitleCentre3">
    <w:name w:val="ECHR_Title_Centre_3"/>
    <w:aliases w:val="Ju_H_Article"/>
    <w:basedOn w:val="Normalny"/>
    <w:next w:val="ECHRParaQuote"/>
    <w:link w:val="JuHArticleChar"/>
    <w:qFormat/>
    <w:rsid w:val="006544C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semiHidden/>
    <w:qFormat/>
    <w:rsid w:val="006544C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544C4"/>
    <w:pPr>
      <w:ind w:left="567"/>
    </w:pPr>
  </w:style>
  <w:style w:type="paragraph" w:customStyle="1" w:styleId="ECHRTitle1">
    <w:name w:val="ECHR_Title_1"/>
    <w:aliases w:val="Ju_H_Head"/>
    <w:basedOn w:val="Normalny"/>
    <w:next w:val="Normalny"/>
    <w:uiPriority w:val="18"/>
    <w:qFormat/>
    <w:rsid w:val="006544C4"/>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544C4"/>
    <w:pPr>
      <w:tabs>
        <w:tab w:val="center" w:pos="6407"/>
      </w:tabs>
      <w:spacing w:before="720"/>
      <w:jc w:val="right"/>
    </w:pPr>
  </w:style>
  <w:style w:type="paragraph" w:styleId="Tytu">
    <w:name w:val="Title"/>
    <w:basedOn w:val="Normalny"/>
    <w:next w:val="Normalny"/>
    <w:link w:val="TytuZnak"/>
    <w:uiPriority w:val="99"/>
    <w:semiHidden/>
    <w:qFormat/>
    <w:rsid w:val="006544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544C4"/>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semiHidden/>
    <w:qFormat/>
    <w:rsid w:val="006544C4"/>
    <w:pPr>
      <w:tabs>
        <w:tab w:val="clear" w:pos="357"/>
      </w:tabs>
      <w:outlineLvl w:val="1"/>
    </w:pPr>
    <w:rPr>
      <w:b/>
    </w:rPr>
  </w:style>
  <w:style w:type="character" w:customStyle="1" w:styleId="JUNAMES">
    <w:name w:val="JU_NAMES"/>
    <w:uiPriority w:val="17"/>
    <w:qFormat/>
    <w:rsid w:val="006544C4"/>
    <w:rPr>
      <w:caps w:val="0"/>
      <w:smallCaps/>
    </w:rPr>
  </w:style>
  <w:style w:type="character" w:customStyle="1" w:styleId="JuITMark">
    <w:name w:val="Ju_ITMark"/>
    <w:basedOn w:val="Domylnaczcionkaakapitu"/>
    <w:uiPriority w:val="38"/>
    <w:qFormat/>
    <w:rsid w:val="006544C4"/>
    <w:rPr>
      <w:vanish/>
      <w:color w:val="339966"/>
      <w:sz w:val="14"/>
    </w:rPr>
  </w:style>
  <w:style w:type="paragraph" w:customStyle="1" w:styleId="OpiTranslation">
    <w:name w:val="Opi_Translation"/>
    <w:basedOn w:val="Normalny"/>
    <w:next w:val="OpiPara"/>
    <w:uiPriority w:val="40"/>
    <w:semiHidden/>
    <w:qFormat/>
    <w:rsid w:val="006544C4"/>
    <w:pPr>
      <w:jc w:val="center"/>
      <w:outlineLvl w:val="0"/>
    </w:pPr>
    <w:rPr>
      <w:i/>
    </w:rPr>
  </w:style>
  <w:style w:type="paragraph" w:customStyle="1" w:styleId="JuCourt">
    <w:name w:val="Ju_Court"/>
    <w:basedOn w:val="Normalny"/>
    <w:next w:val="Normalny"/>
    <w:uiPriority w:val="16"/>
    <w:qFormat/>
    <w:rsid w:val="006544C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Normalny"/>
    <w:uiPriority w:val="19"/>
    <w:qFormat/>
    <w:rsid w:val="006544C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Normalny"/>
    <w:link w:val="JuHAChar"/>
    <w:uiPriority w:val="20"/>
    <w:qFormat/>
    <w:rsid w:val="006544C4"/>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Normalny"/>
    <w:qFormat/>
    <w:rsid w:val="006544C4"/>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48"/>
    <w:rsid w:val="00941747"/>
    <w:pPr>
      <w:tabs>
        <w:tab w:val="center" w:pos="4536"/>
        <w:tab w:val="right" w:pos="9696"/>
      </w:tabs>
      <w:ind w:left="-680" w:right="-680"/>
    </w:pPr>
  </w:style>
  <w:style w:type="character" w:customStyle="1" w:styleId="NagwekZnak">
    <w:name w:val="Nagłówek Znak"/>
    <w:basedOn w:val="Domylnaczcionkaakapitu"/>
    <w:link w:val="Nagwek"/>
    <w:uiPriority w:val="48"/>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Normalny"/>
    <w:qFormat/>
    <w:rsid w:val="006544C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Normalny"/>
    <w:uiPriority w:val="23"/>
    <w:qFormat/>
    <w:rsid w:val="006544C4"/>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Normalny"/>
    <w:uiPriority w:val="24"/>
    <w:qFormat/>
    <w:rsid w:val="006544C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Normalny"/>
    <w:uiPriority w:val="25"/>
    <w:qFormat/>
    <w:rsid w:val="006544C4"/>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Normalny"/>
    <w:uiPriority w:val="30"/>
    <w:qFormat/>
    <w:rsid w:val="006544C4"/>
    <w:pPr>
      <w:keepNext/>
      <w:keepLines/>
      <w:spacing w:before="240"/>
      <w:ind w:firstLine="284"/>
    </w:pPr>
  </w:style>
  <w:style w:type="paragraph" w:customStyle="1" w:styleId="DecList">
    <w:name w:val="Dec_List"/>
    <w:basedOn w:val="Normalny"/>
    <w:uiPriority w:val="9"/>
    <w:qFormat/>
    <w:rsid w:val="006544C4"/>
    <w:pPr>
      <w:spacing w:before="240"/>
      <w:ind w:left="284"/>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ECHRDecisionBody">
    <w:name w:val="ECHR_Decision_Body"/>
    <w:aliases w:val="Ju_Judges"/>
    <w:basedOn w:val="Normalny"/>
    <w:uiPriority w:val="11"/>
    <w:qFormat/>
    <w:rsid w:val="006544C4"/>
    <w:pPr>
      <w:tabs>
        <w:tab w:val="left" w:pos="567"/>
        <w:tab w:val="left" w:pos="1134"/>
      </w:tabs>
      <w:jc w:val="left"/>
    </w:pPr>
  </w:style>
  <w:style w:type="character" w:customStyle="1" w:styleId="Nagwek5Znak">
    <w:name w:val="Nagłówek 5 Znak"/>
    <w:basedOn w:val="Domylnaczcionkaakapitu"/>
    <w:link w:val="Nagwek5"/>
    <w:uiPriority w:val="99"/>
    <w:semiHidden/>
    <w:rsid w:val="006544C4"/>
    <w:rPr>
      <w:rFonts w:asciiTheme="majorHAnsi" w:eastAsiaTheme="majorEastAsia" w:hAnsiTheme="majorHAnsi" w:cstheme="majorBidi"/>
      <w:b/>
      <w:bCs/>
      <w:color w:val="808080"/>
    </w:rPr>
  </w:style>
  <w:style w:type="paragraph" w:customStyle="1" w:styleId="JuList">
    <w:name w:val="Ju_List"/>
    <w:basedOn w:val="Normalny"/>
    <w:uiPriority w:val="28"/>
    <w:qFormat/>
    <w:rsid w:val="006544C4"/>
    <w:pPr>
      <w:ind w:left="340" w:hanging="340"/>
    </w:pPr>
  </w:style>
  <w:style w:type="paragraph" w:customStyle="1" w:styleId="JuLista">
    <w:name w:val="Ju_List_a"/>
    <w:basedOn w:val="JuList"/>
    <w:uiPriority w:val="28"/>
    <w:qFormat/>
    <w:rsid w:val="006544C4"/>
    <w:pPr>
      <w:ind w:left="346" w:firstLine="0"/>
    </w:pPr>
  </w:style>
  <w:style w:type="character" w:styleId="Wyrnieniedelikatne">
    <w:name w:val="Subtle Emphasis"/>
    <w:uiPriority w:val="99"/>
    <w:semiHidden/>
    <w:qFormat/>
    <w:rsid w:val="006544C4"/>
    <w:rPr>
      <w:i/>
      <w:iCs/>
    </w:rPr>
  </w:style>
  <w:style w:type="paragraph" w:customStyle="1" w:styleId="JuListi">
    <w:name w:val="Ju_List_i"/>
    <w:basedOn w:val="Normalny"/>
    <w:next w:val="JuLista"/>
    <w:uiPriority w:val="28"/>
    <w:qFormat/>
    <w:rsid w:val="006544C4"/>
    <w:pPr>
      <w:ind w:left="79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semiHidden/>
    <w:qFormat/>
    <w:rsid w:val="006544C4"/>
    <w:pPr>
      <w:ind w:left="635" w:hanging="357"/>
      <w:outlineLvl w:val="2"/>
    </w:pPr>
  </w:style>
  <w:style w:type="paragraph" w:customStyle="1" w:styleId="OpiHa0">
    <w:name w:val="Opi_H_a"/>
    <w:basedOn w:val="ECHRHeading3"/>
    <w:uiPriority w:val="43"/>
    <w:semiHidden/>
    <w:qFormat/>
    <w:rsid w:val="006544C4"/>
    <w:pPr>
      <w:ind w:left="833" w:hanging="357"/>
      <w:outlineLvl w:val="3"/>
    </w:pPr>
    <w:rPr>
      <w:b/>
      <w:i w:val="0"/>
      <w:sz w:val="20"/>
    </w:rPr>
  </w:style>
  <w:style w:type="paragraph" w:customStyle="1" w:styleId="ECHRTitleCentre2">
    <w:name w:val="ECHR_Title_Centre_2"/>
    <w:aliases w:val="Dec_H_Case"/>
    <w:basedOn w:val="Normalny"/>
    <w:next w:val="Normalny"/>
    <w:uiPriority w:val="8"/>
    <w:qFormat/>
    <w:rsid w:val="006544C4"/>
    <w:pPr>
      <w:spacing w:after="240"/>
      <w:jc w:val="center"/>
      <w:outlineLvl w:val="0"/>
    </w:pPr>
    <w:rPr>
      <w:rFonts w:asciiTheme="majorHAnsi" w:hAnsiTheme="majorHAnsi"/>
    </w:rPr>
  </w:style>
  <w:style w:type="character" w:styleId="Uwydatnienie">
    <w:name w:val="Emphasis"/>
    <w:uiPriority w:val="99"/>
    <w:semiHidden/>
    <w:qFormat/>
    <w:rsid w:val="006544C4"/>
    <w:rPr>
      <w:b/>
      <w:bCs/>
      <w:i/>
      <w:iCs/>
      <w:spacing w:val="10"/>
      <w:bdr w:val="none" w:sz="0" w:space="0" w:color="auto"/>
      <w:shd w:val="clear" w:color="auto" w:fill="auto"/>
    </w:rPr>
  </w:style>
  <w:style w:type="paragraph" w:styleId="Stopka">
    <w:name w:val="footer"/>
    <w:basedOn w:val="Normalny"/>
    <w:link w:val="StopkaZnak"/>
    <w:uiPriority w:val="4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49"/>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6544C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544C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544C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6544C4"/>
    <w:rPr>
      <w:b/>
      <w:bCs/>
    </w:rPr>
  </w:style>
  <w:style w:type="paragraph" w:styleId="Cytatintensywny">
    <w:name w:val="Intense Quote"/>
    <w:basedOn w:val="Normalny"/>
    <w:next w:val="Normalny"/>
    <w:link w:val="CytatintensywnyZnak"/>
    <w:uiPriority w:val="99"/>
    <w:semiHidden/>
    <w:qFormat/>
    <w:rsid w:val="006544C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544C4"/>
    <w:rPr>
      <w:rFonts w:eastAsiaTheme="minorEastAsia"/>
      <w:b/>
      <w:bCs/>
      <w:i/>
      <w:iCs/>
      <w:lang w:bidi="en-US"/>
    </w:rPr>
  </w:style>
  <w:style w:type="character" w:styleId="Odwoanieintensywne">
    <w:name w:val="Intense Reference"/>
    <w:uiPriority w:val="99"/>
    <w:semiHidden/>
    <w:qFormat/>
    <w:rsid w:val="006544C4"/>
    <w:rPr>
      <w:smallCaps/>
      <w:spacing w:val="5"/>
      <w:u w:val="single"/>
    </w:rPr>
  </w:style>
  <w:style w:type="paragraph" w:styleId="Akapitzlist">
    <w:name w:val="List Paragraph"/>
    <w:basedOn w:val="Normalny"/>
    <w:uiPriority w:val="99"/>
    <w:semiHidden/>
    <w:qFormat/>
    <w:rsid w:val="006544C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544C4"/>
    <w:pPr>
      <w:spacing w:before="200"/>
      <w:ind w:left="360" w:right="360"/>
    </w:pPr>
    <w:rPr>
      <w:i/>
      <w:iCs/>
      <w:sz w:val="22"/>
      <w:lang w:bidi="en-US"/>
    </w:rPr>
  </w:style>
  <w:style w:type="character" w:customStyle="1" w:styleId="CytatZnak">
    <w:name w:val="Cytat Znak"/>
    <w:basedOn w:val="Domylnaczcionkaakapitu"/>
    <w:link w:val="Cytat"/>
    <w:uiPriority w:val="99"/>
    <w:semiHidden/>
    <w:rsid w:val="006544C4"/>
    <w:rPr>
      <w:rFonts w:eastAsiaTheme="minorEastAsia"/>
      <w:i/>
      <w:iCs/>
      <w:lang w:bidi="en-US"/>
    </w:rPr>
  </w:style>
  <w:style w:type="character" w:styleId="Odwoaniedelikatne">
    <w:name w:val="Subtle Reference"/>
    <w:uiPriority w:val="99"/>
    <w:semiHidden/>
    <w:qFormat/>
    <w:rsid w:val="006544C4"/>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6544C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OpiHi">
    <w:name w:val="Opi_H_i"/>
    <w:basedOn w:val="ECHRHeading4"/>
    <w:uiPriority w:val="44"/>
    <w:semiHidden/>
    <w:qFormat/>
    <w:rsid w:val="006544C4"/>
    <w:pPr>
      <w:ind w:left="1037" w:hanging="357"/>
      <w:outlineLvl w:val="4"/>
    </w:pPr>
    <w:rPr>
      <w:b w:val="0"/>
      <w:i/>
    </w:rPr>
  </w:style>
  <w:style w:type="paragraph" w:customStyle="1" w:styleId="DummyStyle">
    <w:name w:val="Dummy_Style"/>
    <w:basedOn w:val="Normalny"/>
    <w:semiHidden/>
    <w:qFormat/>
    <w:rsid w:val="006544C4"/>
    <w:rPr>
      <w:color w:val="00B050"/>
      <w:lang w:bidi="en-US"/>
    </w:rPr>
  </w:style>
  <w:style w:type="paragraph" w:styleId="Podtytu">
    <w:name w:val="Subtitle"/>
    <w:basedOn w:val="Normalny"/>
    <w:next w:val="Normalny"/>
    <w:link w:val="PodtytuZnak"/>
    <w:uiPriority w:val="99"/>
    <w:semiHidden/>
    <w:qFormat/>
    <w:rsid w:val="006544C4"/>
    <w:pPr>
      <w:spacing w:after="600"/>
    </w:pPr>
    <w:rPr>
      <w:rFonts w:asciiTheme="majorHAnsi" w:eastAsiaTheme="majorEastAsia" w:hAnsiTheme="majorHAnsi" w:cstheme="majorBidi"/>
      <w:i/>
      <w:iCs/>
      <w:spacing w:val="13"/>
      <w:szCs w:val="24"/>
      <w:lang w:bidi="en-US"/>
    </w:rPr>
  </w:style>
  <w:style w:type="paragraph" w:customStyle="1" w:styleId="ECHRPara">
    <w:name w:val="ECHR_Para"/>
    <w:aliases w:val="Ju_Para,Left,First line:  0 cm,Para"/>
    <w:basedOn w:val="Normalny"/>
    <w:link w:val="JuParaChar"/>
    <w:uiPriority w:val="12"/>
    <w:qFormat/>
    <w:rsid w:val="004047FE"/>
    <w:pPr>
      <w:ind w:firstLine="284"/>
    </w:pPr>
  </w:style>
  <w:style w:type="character" w:customStyle="1" w:styleId="PodtytuZnak">
    <w:name w:val="Podtytuł Znak"/>
    <w:basedOn w:val="Domylnaczcionkaakapitu"/>
    <w:link w:val="Podtytu"/>
    <w:uiPriority w:val="99"/>
    <w:semiHidden/>
    <w:rsid w:val="006544C4"/>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6544C4"/>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6544C4"/>
    <w:pPr>
      <w:numPr>
        <w:numId w:val="13"/>
      </w:numPr>
    </w:pPr>
  </w:style>
  <w:style w:type="numbering" w:styleId="Artykusekcja">
    <w:name w:val="Outline List 3"/>
    <w:basedOn w:val="Bezlisty"/>
    <w:uiPriority w:val="99"/>
    <w:semiHidden/>
    <w:unhideWhenUsed/>
    <w:rsid w:val="006544C4"/>
    <w:pPr>
      <w:numPr>
        <w:numId w:val="14"/>
      </w:numPr>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9"/>
    <w:semiHidden/>
    <w:rsid w:val="006544C4"/>
  </w:style>
  <w:style w:type="paragraph" w:styleId="Tekstblokowy">
    <w:name w:val="Block Text"/>
    <w:basedOn w:val="Normalny"/>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9"/>
    <w:semiHidden/>
    <w:rsid w:val="006544C4"/>
    <w:pPr>
      <w:spacing w:after="120"/>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basedOn w:val="Domylnaczcionkaakapitu"/>
    <w:uiPriority w:val="99"/>
    <w:semiHidden/>
    <w:rsid w:val="006544C4"/>
    <w:rPr>
      <w:rFonts w:ascii="Times New Roman" w:hAnsi="Times New Roman" w:cs="Times New Roman"/>
      <w:sz w:val="18"/>
    </w:rPr>
  </w:style>
  <w:style w:type="character" w:styleId="Odwoaniedokomentarza">
    <w:name w:val="annotation reference"/>
    <w:basedOn w:val="Domylnaczcionkaakapitu"/>
    <w:uiPriority w:val="99"/>
    <w:semiHidden/>
    <w:rsid w:val="006544C4"/>
    <w:rPr>
      <w:sz w:val="16"/>
    </w:rPr>
  </w:style>
  <w:style w:type="paragraph" w:styleId="Tekstkomentarza">
    <w:name w:val="annotation text"/>
    <w:basedOn w:val="Normalny"/>
    <w:link w:val="TekstkomentarzaZnak"/>
    <w:semiHidden/>
    <w:rsid w:val="006544C4"/>
    <w:rPr>
      <w:sz w:val="20"/>
    </w:rPr>
  </w:style>
  <w:style w:type="character" w:customStyle="1" w:styleId="TekstkomentarzaZnak">
    <w:name w:val="Tekst komentarza Znak"/>
    <w:basedOn w:val="Domylnaczcionkaakapitu"/>
    <w:link w:val="Tekstkomentarza"/>
    <w:semiHidden/>
    <w:rsid w:val="006544C4"/>
    <w:rPr>
      <w:rFonts w:eastAsiaTheme="minorEastAsia"/>
      <w:sz w:val="20"/>
    </w:rPr>
  </w:style>
  <w:style w:type="paragraph" w:customStyle="1" w:styleId="JuSigned">
    <w:name w:val="Ju_Signed"/>
    <w:basedOn w:val="Normalny"/>
    <w:next w:val="JuParaLast"/>
    <w:uiPriority w:val="32"/>
    <w:qFormat/>
    <w:rsid w:val="006544C4"/>
    <w:pPr>
      <w:tabs>
        <w:tab w:val="center" w:pos="851"/>
        <w:tab w:val="center" w:pos="6407"/>
      </w:tabs>
      <w:spacing w:before="720"/>
      <w:jc w:val="left"/>
    </w:pPr>
  </w:style>
  <w:style w:type="paragraph" w:customStyle="1" w:styleId="JuTitle">
    <w:name w:val="Ju_Title"/>
    <w:basedOn w:val="Normalny"/>
    <w:next w:val="Normalny"/>
    <w:uiPriority w:val="3"/>
    <w:qFormat/>
    <w:rsid w:val="006544C4"/>
    <w:pPr>
      <w:spacing w:before="720" w:after="240"/>
      <w:jc w:val="center"/>
      <w:outlineLvl w:val="0"/>
    </w:pPr>
    <w:rPr>
      <w:rFonts w:asciiTheme="majorHAnsi" w:hAnsiTheme="majorHAnsi"/>
      <w:b/>
      <w:caps/>
    </w:rPr>
  </w:style>
  <w:style w:type="paragraph" w:customStyle="1" w:styleId="DecHTitle">
    <w:name w:val="Dec_H_Title"/>
    <w:basedOn w:val="ECHRTitleCentre1"/>
    <w:uiPriority w:val="7"/>
    <w:qFormat/>
    <w:rsid w:val="006544C4"/>
  </w:style>
  <w:style w:type="paragraph" w:styleId="Listapunktowana2">
    <w:name w:val="List Bullet 2"/>
    <w:basedOn w:val="Normalny"/>
    <w:uiPriority w:val="99"/>
    <w:semiHidden/>
    <w:rsid w:val="006544C4"/>
    <w:pPr>
      <w:numPr>
        <w:numId w:val="8"/>
      </w:numPr>
      <w:contextualSpacing/>
    </w:pPr>
  </w:style>
  <w:style w:type="paragraph" w:styleId="Listapunktowana3">
    <w:name w:val="List Bullet 3"/>
    <w:basedOn w:val="Normalny"/>
    <w:semiHidden/>
    <w:rsid w:val="006544C4"/>
    <w:pPr>
      <w:numPr>
        <w:numId w:val="9"/>
      </w:numPr>
      <w:contextualSpacing/>
    </w:pPr>
  </w:style>
  <w:style w:type="character" w:customStyle="1" w:styleId="TekstpodstawowyZnak">
    <w:name w:val="Tekst podstawowy Znak"/>
    <w:basedOn w:val="Domylnaczcionkaakapitu"/>
    <w:link w:val="Tekstpodstawowy"/>
    <w:uiPriority w:val="99"/>
    <w:semiHidden/>
    <w:rsid w:val="006544C4"/>
    <w:rPr>
      <w:rFonts w:eastAsiaTheme="minorEastAsia"/>
      <w:sz w:val="24"/>
    </w:rPr>
  </w:style>
  <w:style w:type="paragraph" w:styleId="Tekstpodstawowy2">
    <w:name w:val="Body Text 2"/>
    <w:basedOn w:val="Normalny"/>
    <w:link w:val="Tekstpodstawowy2Znak"/>
    <w:uiPriority w:val="99"/>
    <w:semiHidden/>
    <w:rsid w:val="006544C4"/>
    <w:pPr>
      <w:spacing w:after="120" w:line="480" w:lineRule="auto"/>
    </w:pPr>
  </w:style>
  <w:style w:type="character" w:customStyle="1" w:styleId="Tekstpodstawowy2Znak">
    <w:name w:val="Tekst podstawowy 2 Znak"/>
    <w:basedOn w:val="Domylnaczcionkaakapitu"/>
    <w:link w:val="Tekstpodstawowy2"/>
    <w:uiPriority w:val="99"/>
    <w:semiHidden/>
    <w:rsid w:val="006544C4"/>
    <w:rPr>
      <w:rFonts w:eastAsiaTheme="minorEastAsia"/>
      <w:sz w:val="24"/>
    </w:rPr>
  </w:style>
  <w:style w:type="paragraph" w:styleId="Tekstpodstawowy3">
    <w:name w:val="Body Text 3"/>
    <w:basedOn w:val="Normalny"/>
    <w:link w:val="Tekstpodstawowy3Znak"/>
    <w:uiPriority w:val="99"/>
    <w:semiHidden/>
    <w:rsid w:val="006544C4"/>
    <w:pPr>
      <w:spacing w:after="120"/>
    </w:pPr>
    <w:rPr>
      <w:sz w:val="16"/>
      <w:szCs w:val="16"/>
    </w:rPr>
  </w:style>
  <w:style w:type="character" w:customStyle="1" w:styleId="Tekstpodstawowy3Znak">
    <w:name w:val="Tekst podstawowy 3 Znak"/>
    <w:basedOn w:val="Domylnaczcionkaakapitu"/>
    <w:link w:val="Tekstpodstawowy3"/>
    <w:uiPriority w:val="99"/>
    <w:semiHidden/>
    <w:rsid w:val="006544C4"/>
    <w:rPr>
      <w:rFonts w:eastAsiaTheme="minorEastAsia"/>
      <w:sz w:val="16"/>
      <w:szCs w:val="16"/>
    </w:rPr>
  </w:style>
  <w:style w:type="paragraph" w:styleId="Tekstpodstawowyzwciciem">
    <w:name w:val="Body Text First Indent"/>
    <w:basedOn w:val="Tekstpodstawowy"/>
    <w:link w:val="TekstpodstawowyzwciciemZnak"/>
    <w:uiPriority w:val="99"/>
    <w:semiHidden/>
    <w:rsid w:val="006544C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6544C4"/>
    <w:rPr>
      <w:rFonts w:eastAsiaTheme="minorEastAsia"/>
      <w:sz w:val="24"/>
    </w:rPr>
  </w:style>
  <w:style w:type="paragraph" w:styleId="Tekstpodstawowywcity">
    <w:name w:val="Body Text Indent"/>
    <w:basedOn w:val="Normalny"/>
    <w:link w:val="TekstpodstawowywcityZnak"/>
    <w:uiPriority w:val="99"/>
    <w:semiHidden/>
    <w:rsid w:val="006544C4"/>
    <w:pPr>
      <w:spacing w:after="120"/>
      <w:ind w:left="283"/>
    </w:pPr>
  </w:style>
  <w:style w:type="character" w:customStyle="1" w:styleId="TekstpodstawowywcityZnak">
    <w:name w:val="Tekst podstawowy wcięty Znak"/>
    <w:basedOn w:val="Domylnaczcionkaakapitu"/>
    <w:link w:val="Tekstpodstawowywcity"/>
    <w:uiPriority w:val="99"/>
    <w:semiHidden/>
    <w:rsid w:val="006544C4"/>
    <w:rPr>
      <w:rFonts w:eastAsiaTheme="minorEastAsia"/>
      <w:sz w:val="24"/>
    </w:rPr>
  </w:style>
  <w:style w:type="paragraph" w:styleId="Tekstpodstawowyzwciciem2">
    <w:name w:val="Body Text First Indent 2"/>
    <w:basedOn w:val="Tekstpodstawowywcity"/>
    <w:link w:val="Tekstpodstawowyzwciciem2Znak"/>
    <w:uiPriority w:val="99"/>
    <w:semiHidden/>
    <w:rsid w:val="006544C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6544C4"/>
    <w:rPr>
      <w:rFonts w:eastAsiaTheme="minorEastAsia"/>
      <w:sz w:val="24"/>
    </w:rPr>
  </w:style>
  <w:style w:type="paragraph" w:styleId="Tekstpodstawowywcity2">
    <w:name w:val="Body Text Indent 2"/>
    <w:basedOn w:val="Normalny"/>
    <w:link w:val="Tekstpodstawowywcity2Znak"/>
    <w:uiPriority w:val="99"/>
    <w:semiHidden/>
    <w:rsid w:val="006544C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544C4"/>
    <w:rPr>
      <w:rFonts w:eastAsiaTheme="minorEastAsia"/>
      <w:sz w:val="24"/>
    </w:rPr>
  </w:style>
  <w:style w:type="paragraph" w:styleId="Tekstpodstawowywcity3">
    <w:name w:val="Body Text Indent 3"/>
    <w:basedOn w:val="Normalny"/>
    <w:link w:val="Tekstpodstawowywcity3Znak"/>
    <w:uiPriority w:val="99"/>
    <w:semiHidden/>
    <w:rsid w:val="0065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544C4"/>
    <w:rPr>
      <w:rFonts w:eastAsiaTheme="minorEastAsia"/>
      <w:sz w:val="16"/>
      <w:szCs w:val="16"/>
    </w:rPr>
  </w:style>
  <w:style w:type="paragraph" w:styleId="Legenda">
    <w:name w:val="caption"/>
    <w:basedOn w:val="Normalny"/>
    <w:next w:val="Normalny"/>
    <w:uiPriority w:val="99"/>
    <w:semiHidden/>
    <w:qFormat/>
    <w:rsid w:val="006544C4"/>
    <w:pPr>
      <w:spacing w:after="200"/>
    </w:pPr>
    <w:rPr>
      <w:b/>
      <w:bCs/>
      <w:color w:val="0072BC" w:themeColor="accent1"/>
      <w:sz w:val="18"/>
      <w:szCs w:val="18"/>
    </w:rPr>
  </w:style>
  <w:style w:type="paragraph" w:styleId="Zwrotpoegnalny">
    <w:name w:val="Closing"/>
    <w:basedOn w:val="Normalny"/>
    <w:link w:val="ZwrotpoegnalnyZnak"/>
    <w:uiPriority w:val="99"/>
    <w:semiHidden/>
    <w:rsid w:val="006544C4"/>
    <w:pPr>
      <w:ind w:left="4252"/>
    </w:pPr>
  </w:style>
  <w:style w:type="character" w:customStyle="1" w:styleId="ZwrotpoegnalnyZnak">
    <w:name w:val="Zwrot pożegnalny Znak"/>
    <w:basedOn w:val="Domylnaczcionkaakapitu"/>
    <w:link w:val="Zwrotpoegnalny"/>
    <w:uiPriority w:val="99"/>
    <w:semiHidden/>
    <w:rsid w:val="006544C4"/>
    <w:rPr>
      <w:rFonts w:eastAsiaTheme="minorEastAsia"/>
      <w:sz w:val="24"/>
    </w:rPr>
  </w:style>
  <w:style w:type="table" w:styleId="Kolorowasiatka">
    <w:name w:val="Colorful Grid"/>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6544C4"/>
    <w:rPr>
      <w:b/>
      <w:bCs/>
      <w:szCs w:val="20"/>
    </w:rPr>
  </w:style>
  <w:style w:type="character" w:customStyle="1" w:styleId="TematkomentarzaZnak">
    <w:name w:val="Temat komentarza Znak"/>
    <w:basedOn w:val="TekstkomentarzaZnak"/>
    <w:link w:val="Tematkomentarza"/>
    <w:uiPriority w:val="99"/>
    <w:semiHidden/>
    <w:rsid w:val="006544C4"/>
    <w:rPr>
      <w:rFonts w:eastAsiaTheme="minorEastAsia"/>
      <w:b/>
      <w:bCs/>
      <w:sz w:val="20"/>
      <w:szCs w:val="20"/>
    </w:rPr>
  </w:style>
  <w:style w:type="table" w:styleId="Ciemnalista">
    <w:name w:val="Dark List"/>
    <w:basedOn w:val="Standardowy"/>
    <w:uiPriority w:val="70"/>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6544C4"/>
  </w:style>
  <w:style w:type="character" w:customStyle="1" w:styleId="DataZnak">
    <w:name w:val="Data Znak"/>
    <w:basedOn w:val="Domylnaczcionkaakapitu"/>
    <w:link w:val="Data"/>
    <w:uiPriority w:val="99"/>
    <w:semiHidden/>
    <w:rsid w:val="006544C4"/>
    <w:rPr>
      <w:rFonts w:eastAsiaTheme="minorEastAsia"/>
      <w:sz w:val="24"/>
    </w:rPr>
  </w:style>
  <w:style w:type="paragraph" w:styleId="Mapadokumentu">
    <w:name w:val="Document Map"/>
    <w:basedOn w:val="Normalny"/>
    <w:link w:val="MapadokumentuZnak"/>
    <w:uiPriority w:val="99"/>
    <w:semiHidden/>
    <w:rsid w:val="006544C4"/>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544C4"/>
    <w:rPr>
      <w:rFonts w:ascii="Tahoma" w:eastAsiaTheme="minorEastAsia" w:hAnsi="Tahoma" w:cs="Tahoma"/>
      <w:sz w:val="16"/>
      <w:szCs w:val="16"/>
    </w:rPr>
  </w:style>
  <w:style w:type="paragraph" w:styleId="Podpise-mail">
    <w:name w:val="E-mail Signature"/>
    <w:basedOn w:val="Normalny"/>
    <w:link w:val="Podpise-mailZnak"/>
    <w:uiPriority w:val="99"/>
    <w:semiHidden/>
    <w:rsid w:val="006544C4"/>
  </w:style>
  <w:style w:type="character" w:customStyle="1" w:styleId="Podpise-mailZnak">
    <w:name w:val="Podpis e-mail Znak"/>
    <w:basedOn w:val="Domylnaczcionkaakapitu"/>
    <w:link w:val="Podpise-mail"/>
    <w:uiPriority w:val="99"/>
    <w:semiHidden/>
    <w:rsid w:val="006544C4"/>
    <w:rPr>
      <w:rFonts w:eastAsiaTheme="minorEastAsia"/>
      <w:sz w:val="24"/>
    </w:rPr>
  </w:style>
  <w:style w:type="character" w:styleId="Odwoanieprzypisukocowego">
    <w:name w:val="endnote reference"/>
    <w:basedOn w:val="Domylnaczcionkaakapitu"/>
    <w:uiPriority w:val="99"/>
    <w:semiHidden/>
    <w:rsid w:val="006544C4"/>
    <w:rPr>
      <w:vertAlign w:val="superscript"/>
    </w:rPr>
  </w:style>
  <w:style w:type="paragraph" w:styleId="Tekstprzypisukocowego">
    <w:name w:val="endnote text"/>
    <w:basedOn w:val="Normalny"/>
    <w:link w:val="TekstprzypisukocowegoZnak"/>
    <w:uiPriority w:val="99"/>
    <w:semiHidden/>
    <w:rsid w:val="006544C4"/>
    <w:rPr>
      <w:sz w:val="20"/>
      <w:szCs w:val="20"/>
    </w:rPr>
  </w:style>
  <w:style w:type="character" w:customStyle="1" w:styleId="TekstprzypisukocowegoZnak">
    <w:name w:val="Tekst przypisu końcowego Znak"/>
    <w:basedOn w:val="Domylnaczcionkaakapitu"/>
    <w:link w:val="Tekstprzypisukocowego"/>
    <w:uiPriority w:val="99"/>
    <w:semiHidden/>
    <w:rsid w:val="006544C4"/>
    <w:rPr>
      <w:rFonts w:eastAsiaTheme="minorEastAsia"/>
      <w:sz w:val="20"/>
      <w:szCs w:val="20"/>
    </w:rPr>
  </w:style>
  <w:style w:type="paragraph" w:styleId="Adresnakopercie">
    <w:name w:val="envelope address"/>
    <w:basedOn w:val="Normalny"/>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rsid w:val="006544C4"/>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6544C4"/>
    <w:rPr>
      <w:color w:val="7030A0" w:themeColor="followedHyperlink"/>
      <w:u w:val="single"/>
    </w:rPr>
  </w:style>
  <w:style w:type="character" w:styleId="HTML-akronim">
    <w:name w:val="HTML Acronym"/>
    <w:basedOn w:val="Domylnaczcionkaakapitu"/>
    <w:uiPriority w:val="99"/>
    <w:semiHidden/>
    <w:rsid w:val="006544C4"/>
  </w:style>
  <w:style w:type="paragraph" w:styleId="HTML-adres">
    <w:name w:val="HTML Address"/>
    <w:basedOn w:val="Normalny"/>
    <w:link w:val="HTML-adresZnak"/>
    <w:uiPriority w:val="99"/>
    <w:semiHidden/>
    <w:rsid w:val="006544C4"/>
    <w:rPr>
      <w:i/>
      <w:iCs/>
    </w:rPr>
  </w:style>
  <w:style w:type="character" w:customStyle="1" w:styleId="HTML-adresZnak">
    <w:name w:val="HTML - adres Znak"/>
    <w:basedOn w:val="Domylnaczcionkaakapitu"/>
    <w:link w:val="HTML-adres"/>
    <w:uiPriority w:val="99"/>
    <w:semiHidden/>
    <w:rsid w:val="006544C4"/>
    <w:rPr>
      <w:rFonts w:eastAsiaTheme="minorEastAsia"/>
      <w:i/>
      <w:iCs/>
      <w:sz w:val="24"/>
    </w:rPr>
  </w:style>
  <w:style w:type="character" w:styleId="HTML-cytat">
    <w:name w:val="HTML Cite"/>
    <w:basedOn w:val="Domylnaczcionkaakapitu"/>
    <w:uiPriority w:val="99"/>
    <w:semiHidden/>
    <w:rsid w:val="006544C4"/>
    <w:rPr>
      <w:i/>
      <w:iCs/>
    </w:rPr>
  </w:style>
  <w:style w:type="character" w:styleId="HTML-kod">
    <w:name w:val="HTML Code"/>
    <w:basedOn w:val="Domylnaczcionkaakapitu"/>
    <w:uiPriority w:val="99"/>
    <w:semiHidden/>
    <w:rsid w:val="006544C4"/>
    <w:rPr>
      <w:rFonts w:ascii="Consolas" w:hAnsi="Consolas" w:cs="Consolas"/>
      <w:sz w:val="20"/>
      <w:szCs w:val="20"/>
    </w:rPr>
  </w:style>
  <w:style w:type="character" w:styleId="HTML-definicja">
    <w:name w:val="HTML Definition"/>
    <w:basedOn w:val="Domylnaczcionkaakapitu"/>
    <w:uiPriority w:val="99"/>
    <w:semiHidden/>
    <w:rsid w:val="006544C4"/>
    <w:rPr>
      <w:i/>
      <w:iCs/>
    </w:rPr>
  </w:style>
  <w:style w:type="character" w:styleId="HTML-klawiatura">
    <w:name w:val="HTML Keyboard"/>
    <w:basedOn w:val="Domylnaczcionkaakapitu"/>
    <w:uiPriority w:val="99"/>
    <w:semiHidden/>
    <w:rsid w:val="006544C4"/>
    <w:rPr>
      <w:rFonts w:ascii="Consolas" w:hAnsi="Consolas" w:cs="Consolas"/>
      <w:sz w:val="20"/>
      <w:szCs w:val="20"/>
    </w:rPr>
  </w:style>
  <w:style w:type="paragraph" w:styleId="HTML-wstpniesformatowany">
    <w:name w:val="HTML Preformatted"/>
    <w:basedOn w:val="Normalny"/>
    <w:link w:val="HTML-wstpniesformatowanyZnak"/>
    <w:uiPriority w:val="99"/>
    <w:semiHidden/>
    <w:rsid w:val="0065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6544C4"/>
    <w:rPr>
      <w:rFonts w:ascii="Consolas" w:eastAsiaTheme="minorEastAsia" w:hAnsi="Consolas" w:cs="Consolas"/>
      <w:sz w:val="20"/>
      <w:szCs w:val="20"/>
    </w:rPr>
  </w:style>
  <w:style w:type="character" w:styleId="HTML-przykad">
    <w:name w:val="HTML Sample"/>
    <w:basedOn w:val="Domylnaczcionkaakapitu"/>
    <w:uiPriority w:val="99"/>
    <w:semiHidden/>
    <w:rsid w:val="006544C4"/>
    <w:rPr>
      <w:rFonts w:ascii="Consolas" w:hAnsi="Consolas" w:cs="Consolas"/>
      <w:sz w:val="24"/>
      <w:szCs w:val="24"/>
    </w:rPr>
  </w:style>
  <w:style w:type="character" w:styleId="HTML-staaszeroko">
    <w:name w:val="HTML Typewriter"/>
    <w:basedOn w:val="Domylnaczcionkaakapitu"/>
    <w:uiPriority w:val="99"/>
    <w:semiHidden/>
    <w:rsid w:val="006544C4"/>
    <w:rPr>
      <w:rFonts w:ascii="Consolas" w:hAnsi="Consolas" w:cs="Consolas"/>
      <w:sz w:val="20"/>
      <w:szCs w:val="20"/>
    </w:rPr>
  </w:style>
  <w:style w:type="character" w:styleId="HTML-zmienna">
    <w:name w:val="HTML Variable"/>
    <w:basedOn w:val="Domylnaczcionkaakapitu"/>
    <w:uiPriority w:val="99"/>
    <w:semiHidden/>
    <w:rsid w:val="006544C4"/>
    <w:rPr>
      <w:i/>
      <w:iCs/>
    </w:rPr>
  </w:style>
  <w:style w:type="paragraph" w:styleId="Indeks1">
    <w:name w:val="index 1"/>
    <w:basedOn w:val="Normalny"/>
    <w:next w:val="Normalny"/>
    <w:autoRedefine/>
    <w:uiPriority w:val="99"/>
    <w:semiHidden/>
    <w:rsid w:val="006544C4"/>
    <w:pPr>
      <w:ind w:left="240" w:hanging="240"/>
    </w:pPr>
  </w:style>
  <w:style w:type="paragraph" w:styleId="Indeks2">
    <w:name w:val="index 2"/>
    <w:basedOn w:val="Normalny"/>
    <w:next w:val="Normalny"/>
    <w:autoRedefine/>
    <w:uiPriority w:val="99"/>
    <w:semiHidden/>
    <w:rsid w:val="006544C4"/>
    <w:pPr>
      <w:ind w:left="480" w:hanging="240"/>
    </w:pPr>
  </w:style>
  <w:style w:type="paragraph" w:styleId="Indeks3">
    <w:name w:val="index 3"/>
    <w:basedOn w:val="Normalny"/>
    <w:next w:val="Normalny"/>
    <w:autoRedefine/>
    <w:uiPriority w:val="99"/>
    <w:semiHidden/>
    <w:rsid w:val="006544C4"/>
    <w:pPr>
      <w:ind w:left="720" w:hanging="240"/>
    </w:pPr>
  </w:style>
  <w:style w:type="paragraph" w:styleId="Indeks4">
    <w:name w:val="index 4"/>
    <w:basedOn w:val="Normalny"/>
    <w:next w:val="Normalny"/>
    <w:autoRedefine/>
    <w:uiPriority w:val="99"/>
    <w:semiHidden/>
    <w:rsid w:val="006544C4"/>
    <w:pPr>
      <w:ind w:left="960" w:hanging="240"/>
    </w:pPr>
  </w:style>
  <w:style w:type="paragraph" w:styleId="Indeks5">
    <w:name w:val="index 5"/>
    <w:basedOn w:val="Normalny"/>
    <w:next w:val="Normalny"/>
    <w:autoRedefine/>
    <w:uiPriority w:val="99"/>
    <w:semiHidden/>
    <w:rsid w:val="006544C4"/>
    <w:pPr>
      <w:ind w:left="1200" w:hanging="240"/>
    </w:pPr>
  </w:style>
  <w:style w:type="paragraph" w:styleId="Indeks6">
    <w:name w:val="index 6"/>
    <w:basedOn w:val="Normalny"/>
    <w:next w:val="Normalny"/>
    <w:autoRedefine/>
    <w:uiPriority w:val="99"/>
    <w:semiHidden/>
    <w:rsid w:val="006544C4"/>
    <w:pPr>
      <w:ind w:left="1440" w:hanging="240"/>
    </w:pPr>
  </w:style>
  <w:style w:type="paragraph" w:styleId="Indeks7">
    <w:name w:val="index 7"/>
    <w:basedOn w:val="Normalny"/>
    <w:next w:val="Normalny"/>
    <w:autoRedefine/>
    <w:uiPriority w:val="99"/>
    <w:semiHidden/>
    <w:rsid w:val="006544C4"/>
    <w:pPr>
      <w:ind w:left="1680" w:hanging="240"/>
    </w:pPr>
  </w:style>
  <w:style w:type="paragraph" w:styleId="Indeks8">
    <w:name w:val="index 8"/>
    <w:basedOn w:val="Normalny"/>
    <w:next w:val="Normalny"/>
    <w:autoRedefine/>
    <w:uiPriority w:val="99"/>
    <w:semiHidden/>
    <w:rsid w:val="006544C4"/>
    <w:pPr>
      <w:ind w:left="1920" w:hanging="240"/>
    </w:pPr>
  </w:style>
  <w:style w:type="paragraph" w:styleId="Indeks9">
    <w:name w:val="index 9"/>
    <w:basedOn w:val="Normalny"/>
    <w:next w:val="Normalny"/>
    <w:autoRedefine/>
    <w:uiPriority w:val="99"/>
    <w:semiHidden/>
    <w:rsid w:val="006544C4"/>
    <w:pPr>
      <w:ind w:left="2160" w:hanging="240"/>
    </w:pPr>
  </w:style>
  <w:style w:type="paragraph" w:styleId="Nagwekindeksu">
    <w:name w:val="index heading"/>
    <w:basedOn w:val="Normalny"/>
    <w:next w:val="Indeks1"/>
    <w:uiPriority w:val="99"/>
    <w:semiHidden/>
    <w:rsid w:val="006544C4"/>
    <w:rPr>
      <w:rFonts w:asciiTheme="majorHAnsi" w:eastAsiaTheme="majorEastAsia" w:hAnsiTheme="majorHAnsi" w:cstheme="majorBidi"/>
      <w:b/>
      <w:bCs/>
    </w:rPr>
  </w:style>
  <w:style w:type="table" w:styleId="Jasnasiatka">
    <w:name w:val="Light Grid"/>
    <w:basedOn w:val="Standardowy"/>
    <w:uiPriority w:val="62"/>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6544C4"/>
  </w:style>
  <w:style w:type="paragraph" w:styleId="Lista">
    <w:name w:val="List"/>
    <w:basedOn w:val="Normalny"/>
    <w:uiPriority w:val="99"/>
    <w:semiHidden/>
    <w:rsid w:val="006544C4"/>
    <w:pPr>
      <w:ind w:left="283" w:hanging="283"/>
      <w:contextualSpacing/>
    </w:pPr>
  </w:style>
  <w:style w:type="paragraph" w:styleId="Lista2">
    <w:name w:val="List 2"/>
    <w:basedOn w:val="Normalny"/>
    <w:uiPriority w:val="99"/>
    <w:semiHidden/>
    <w:rsid w:val="006544C4"/>
    <w:pPr>
      <w:ind w:left="566" w:hanging="283"/>
      <w:contextualSpacing/>
    </w:pPr>
  </w:style>
  <w:style w:type="paragraph" w:styleId="Lista3">
    <w:name w:val="List 3"/>
    <w:basedOn w:val="Normalny"/>
    <w:uiPriority w:val="99"/>
    <w:semiHidden/>
    <w:rsid w:val="006544C4"/>
    <w:pPr>
      <w:ind w:left="849" w:hanging="283"/>
      <w:contextualSpacing/>
    </w:pPr>
  </w:style>
  <w:style w:type="paragraph" w:styleId="Lista4">
    <w:name w:val="List 4"/>
    <w:basedOn w:val="Normalny"/>
    <w:uiPriority w:val="99"/>
    <w:semiHidden/>
    <w:rsid w:val="006544C4"/>
    <w:pPr>
      <w:ind w:left="1132" w:hanging="283"/>
      <w:contextualSpacing/>
    </w:pPr>
  </w:style>
  <w:style w:type="paragraph" w:styleId="Lista5">
    <w:name w:val="List 5"/>
    <w:basedOn w:val="Normalny"/>
    <w:uiPriority w:val="99"/>
    <w:semiHidden/>
    <w:rsid w:val="006544C4"/>
    <w:pPr>
      <w:ind w:left="1415" w:hanging="283"/>
      <w:contextualSpacing/>
    </w:pPr>
  </w:style>
  <w:style w:type="paragraph" w:styleId="Listapunktowana">
    <w:name w:val="List Bullet"/>
    <w:basedOn w:val="Normalny"/>
    <w:uiPriority w:val="99"/>
    <w:semiHidden/>
    <w:rsid w:val="006544C4"/>
    <w:pPr>
      <w:numPr>
        <w:numId w:val="15"/>
      </w:numPr>
      <w:contextualSpacing/>
    </w:pPr>
  </w:style>
  <w:style w:type="paragraph" w:styleId="Listapunktowana4">
    <w:name w:val="List Bullet 4"/>
    <w:basedOn w:val="Normalny"/>
    <w:uiPriority w:val="99"/>
    <w:semiHidden/>
    <w:rsid w:val="006544C4"/>
    <w:pPr>
      <w:numPr>
        <w:numId w:val="16"/>
      </w:numPr>
      <w:contextualSpacing/>
    </w:pPr>
  </w:style>
  <w:style w:type="paragraph" w:styleId="Listapunktowana5">
    <w:name w:val="List Bullet 5"/>
    <w:basedOn w:val="Normalny"/>
    <w:uiPriority w:val="99"/>
    <w:semiHidden/>
    <w:rsid w:val="006544C4"/>
    <w:pPr>
      <w:numPr>
        <w:numId w:val="17"/>
      </w:numPr>
      <w:contextualSpacing/>
    </w:pPr>
  </w:style>
  <w:style w:type="paragraph" w:styleId="Lista-kontynuacja">
    <w:name w:val="List Continue"/>
    <w:basedOn w:val="Normalny"/>
    <w:uiPriority w:val="99"/>
    <w:semiHidden/>
    <w:rsid w:val="006544C4"/>
    <w:pPr>
      <w:spacing w:after="120"/>
      <w:ind w:left="283"/>
      <w:contextualSpacing/>
    </w:pPr>
  </w:style>
  <w:style w:type="paragraph" w:styleId="Lista-kontynuacja2">
    <w:name w:val="List Continue 2"/>
    <w:basedOn w:val="Normalny"/>
    <w:uiPriority w:val="99"/>
    <w:semiHidden/>
    <w:rsid w:val="006544C4"/>
    <w:pPr>
      <w:spacing w:after="120"/>
      <w:ind w:left="566"/>
      <w:contextualSpacing/>
    </w:pPr>
  </w:style>
  <w:style w:type="paragraph" w:styleId="Lista-kontynuacja3">
    <w:name w:val="List Continue 3"/>
    <w:basedOn w:val="Normalny"/>
    <w:uiPriority w:val="99"/>
    <w:semiHidden/>
    <w:rsid w:val="006544C4"/>
    <w:pPr>
      <w:spacing w:after="120"/>
      <w:ind w:left="849"/>
      <w:contextualSpacing/>
    </w:pPr>
  </w:style>
  <w:style w:type="paragraph" w:styleId="Lista-kontynuacja4">
    <w:name w:val="List Continue 4"/>
    <w:basedOn w:val="Normalny"/>
    <w:uiPriority w:val="99"/>
    <w:semiHidden/>
    <w:rsid w:val="006544C4"/>
    <w:pPr>
      <w:spacing w:after="120"/>
      <w:ind w:left="1132"/>
      <w:contextualSpacing/>
    </w:pPr>
  </w:style>
  <w:style w:type="paragraph" w:styleId="Lista-kontynuacja5">
    <w:name w:val="List Continue 5"/>
    <w:basedOn w:val="Normalny"/>
    <w:uiPriority w:val="99"/>
    <w:semiHidden/>
    <w:rsid w:val="006544C4"/>
    <w:pPr>
      <w:spacing w:after="120"/>
      <w:ind w:left="1415"/>
      <w:contextualSpacing/>
    </w:pPr>
  </w:style>
  <w:style w:type="paragraph" w:styleId="Listanumerowana">
    <w:name w:val="List Number"/>
    <w:basedOn w:val="Normalny"/>
    <w:uiPriority w:val="99"/>
    <w:semiHidden/>
    <w:rsid w:val="006544C4"/>
    <w:pPr>
      <w:numPr>
        <w:numId w:val="18"/>
      </w:numPr>
      <w:contextualSpacing/>
    </w:pPr>
  </w:style>
  <w:style w:type="paragraph" w:styleId="Listanumerowana2">
    <w:name w:val="List Number 2"/>
    <w:basedOn w:val="Normalny"/>
    <w:uiPriority w:val="99"/>
    <w:semiHidden/>
    <w:rsid w:val="006544C4"/>
    <w:pPr>
      <w:numPr>
        <w:numId w:val="19"/>
      </w:numPr>
      <w:contextualSpacing/>
    </w:pPr>
  </w:style>
  <w:style w:type="paragraph" w:styleId="Listanumerowana3">
    <w:name w:val="List Number 3"/>
    <w:basedOn w:val="Normalny"/>
    <w:uiPriority w:val="99"/>
    <w:semiHidden/>
    <w:rsid w:val="006544C4"/>
    <w:pPr>
      <w:numPr>
        <w:numId w:val="20"/>
      </w:numPr>
      <w:contextualSpacing/>
    </w:pPr>
  </w:style>
  <w:style w:type="paragraph" w:styleId="Listanumerowana4">
    <w:name w:val="List Number 4"/>
    <w:basedOn w:val="Normalny"/>
    <w:uiPriority w:val="99"/>
    <w:semiHidden/>
    <w:rsid w:val="006544C4"/>
    <w:pPr>
      <w:numPr>
        <w:numId w:val="21"/>
      </w:numPr>
      <w:contextualSpacing/>
    </w:pPr>
  </w:style>
  <w:style w:type="paragraph" w:styleId="Listanumerowana5">
    <w:name w:val="List Number 5"/>
    <w:basedOn w:val="Normalny"/>
    <w:uiPriority w:val="99"/>
    <w:semiHidden/>
    <w:rsid w:val="006544C4"/>
    <w:pPr>
      <w:numPr>
        <w:numId w:val="22"/>
      </w:numPr>
      <w:contextualSpacing/>
    </w:pPr>
  </w:style>
  <w:style w:type="paragraph" w:styleId="Tekstmakra">
    <w:name w:val="macro"/>
    <w:link w:val="TekstmakraZnak"/>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6544C4"/>
    <w:rPr>
      <w:rFonts w:ascii="Consolas" w:eastAsiaTheme="minorEastAsia" w:hAnsi="Consolas" w:cs="Consolas"/>
      <w:sz w:val="20"/>
      <w:szCs w:val="20"/>
    </w:rPr>
  </w:style>
  <w:style w:type="table" w:styleId="redniasiatka1">
    <w:name w:val="Medium Grid 1"/>
    <w:basedOn w:val="Standardowy"/>
    <w:uiPriority w:val="67"/>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6544C4"/>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6544C4"/>
    <w:rPr>
      <w:rFonts w:ascii="Times New Roman" w:hAnsi="Times New Roman" w:cs="Times New Roman"/>
      <w:szCs w:val="24"/>
    </w:rPr>
  </w:style>
  <w:style w:type="paragraph" w:styleId="Wcicienormalne">
    <w:name w:val="Normal Indent"/>
    <w:basedOn w:val="Normalny"/>
    <w:uiPriority w:val="99"/>
    <w:semiHidden/>
    <w:rsid w:val="006544C4"/>
    <w:pPr>
      <w:ind w:left="720"/>
    </w:pPr>
  </w:style>
  <w:style w:type="paragraph" w:styleId="Nagweknotatki">
    <w:name w:val="Note Heading"/>
    <w:basedOn w:val="Normalny"/>
    <w:next w:val="Normalny"/>
    <w:link w:val="NagweknotatkiZnak"/>
    <w:uiPriority w:val="99"/>
    <w:semiHidden/>
    <w:rsid w:val="006544C4"/>
  </w:style>
  <w:style w:type="character" w:customStyle="1" w:styleId="NagweknotatkiZnak">
    <w:name w:val="Nagłówek notatki Znak"/>
    <w:basedOn w:val="Domylnaczcionkaakapitu"/>
    <w:link w:val="Nagweknotatki"/>
    <w:uiPriority w:val="99"/>
    <w:semiHidden/>
    <w:rsid w:val="006544C4"/>
    <w:rPr>
      <w:rFonts w:eastAsiaTheme="minorEastAsia"/>
      <w:sz w:val="24"/>
    </w:rPr>
  </w:style>
  <w:style w:type="character" w:styleId="Tekstzastpczy">
    <w:name w:val="Placeholder Text"/>
    <w:basedOn w:val="Domylnaczcionkaakapitu"/>
    <w:uiPriority w:val="99"/>
    <w:semiHidden/>
    <w:rsid w:val="006544C4"/>
    <w:rPr>
      <w:color w:val="808080"/>
    </w:rPr>
  </w:style>
  <w:style w:type="paragraph" w:styleId="Zwykytekst">
    <w:name w:val="Plain Text"/>
    <w:basedOn w:val="Normalny"/>
    <w:link w:val="ZwykytekstZnak"/>
    <w:uiPriority w:val="99"/>
    <w:semiHidden/>
    <w:rsid w:val="006544C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6544C4"/>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6544C4"/>
  </w:style>
  <w:style w:type="character" w:customStyle="1" w:styleId="ZwrotgrzecznociowyZnak">
    <w:name w:val="Zwrot grzecznościowy Znak"/>
    <w:basedOn w:val="Domylnaczcionkaakapitu"/>
    <w:link w:val="Zwrotgrzecznociowy"/>
    <w:uiPriority w:val="99"/>
    <w:semiHidden/>
    <w:rsid w:val="006544C4"/>
    <w:rPr>
      <w:rFonts w:eastAsiaTheme="minorEastAsia"/>
      <w:sz w:val="24"/>
    </w:rPr>
  </w:style>
  <w:style w:type="paragraph" w:styleId="Podpis">
    <w:name w:val="Signature"/>
    <w:basedOn w:val="Normalny"/>
    <w:link w:val="PodpisZnak"/>
    <w:uiPriority w:val="99"/>
    <w:semiHidden/>
    <w:rsid w:val="006544C4"/>
    <w:pPr>
      <w:ind w:left="4252"/>
    </w:pPr>
  </w:style>
  <w:style w:type="character" w:customStyle="1" w:styleId="PodpisZnak">
    <w:name w:val="Podpis Znak"/>
    <w:basedOn w:val="Domylnaczcionkaakapitu"/>
    <w:link w:val="Podpis"/>
    <w:uiPriority w:val="99"/>
    <w:semiHidden/>
    <w:rsid w:val="006544C4"/>
    <w:rPr>
      <w:rFonts w:eastAsiaTheme="minorEastAsia"/>
      <w:sz w:val="24"/>
    </w:rPr>
  </w:style>
  <w:style w:type="table" w:styleId="Tabela-Efekty3W1">
    <w:name w:val="Table 3D effects 1"/>
    <w:basedOn w:val="Standardowy"/>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6544C4"/>
    <w:pPr>
      <w:ind w:left="240" w:hanging="240"/>
    </w:pPr>
  </w:style>
  <w:style w:type="paragraph" w:styleId="Spisilustracji">
    <w:name w:val="table of figures"/>
    <w:basedOn w:val="Normalny"/>
    <w:next w:val="Normalny"/>
    <w:uiPriority w:val="99"/>
    <w:semiHidden/>
    <w:rsid w:val="006544C4"/>
  </w:style>
  <w:style w:type="table" w:styleId="Tabela-Profesjonalny">
    <w:name w:val="Table Professional"/>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544C4"/>
    <w:pPr>
      <w:spacing w:after="100"/>
      <w:ind w:left="1200"/>
    </w:pPr>
  </w:style>
  <w:style w:type="paragraph" w:styleId="Spistreci7">
    <w:name w:val="toc 7"/>
    <w:basedOn w:val="Normalny"/>
    <w:next w:val="Normalny"/>
    <w:autoRedefine/>
    <w:uiPriority w:val="99"/>
    <w:semiHidden/>
    <w:rsid w:val="006544C4"/>
    <w:pPr>
      <w:spacing w:after="100"/>
      <w:ind w:left="1440"/>
    </w:pPr>
  </w:style>
  <w:style w:type="paragraph" w:styleId="Spistreci8">
    <w:name w:val="toc 8"/>
    <w:basedOn w:val="Normalny"/>
    <w:next w:val="Normalny"/>
    <w:autoRedefine/>
    <w:uiPriority w:val="99"/>
    <w:semiHidden/>
    <w:rsid w:val="006544C4"/>
    <w:pPr>
      <w:spacing w:after="100"/>
      <w:ind w:left="1680"/>
    </w:pPr>
  </w:style>
  <w:style w:type="paragraph" w:styleId="Spistreci9">
    <w:name w:val="toc 9"/>
    <w:basedOn w:val="Normalny"/>
    <w:next w:val="Normalny"/>
    <w:autoRedefine/>
    <w:uiPriority w:val="99"/>
    <w:semiHidden/>
    <w:rsid w:val="006544C4"/>
    <w:pPr>
      <w:spacing w:after="100"/>
      <w:ind w:left="1920"/>
    </w:pPr>
  </w:style>
  <w:style w:type="character" w:customStyle="1" w:styleId="sb8d990e2">
    <w:name w:val="sb8d990e2"/>
    <w:basedOn w:val="Domylnaczcionkaakapitu"/>
    <w:rsid w:val="00934A97"/>
  </w:style>
  <w:style w:type="character" w:customStyle="1" w:styleId="JuParaChar">
    <w:name w:val="Ju_Para Char"/>
    <w:basedOn w:val="Domylnaczcionkaakapitu"/>
    <w:link w:val="ECHRPara"/>
    <w:uiPriority w:val="12"/>
    <w:rsid w:val="000537C6"/>
    <w:rPr>
      <w:rFonts w:eastAsiaTheme="minorEastAsia"/>
      <w:sz w:val="24"/>
    </w:rPr>
  </w:style>
  <w:style w:type="character" w:customStyle="1" w:styleId="JuHAChar">
    <w:name w:val="Ju_H_A Char"/>
    <w:basedOn w:val="Domylnaczcionkaakapitu"/>
    <w:link w:val="ECHRHeading2"/>
    <w:uiPriority w:val="20"/>
    <w:rsid w:val="000537C6"/>
    <w:rPr>
      <w:rFonts w:asciiTheme="majorHAnsi" w:eastAsiaTheme="majorEastAsia" w:hAnsiTheme="majorHAnsi" w:cstheme="majorBidi"/>
      <w:b/>
      <w:bCs/>
      <w:sz w:val="24"/>
      <w:szCs w:val="26"/>
    </w:rPr>
  </w:style>
  <w:style w:type="character" w:customStyle="1" w:styleId="JuAppQuestionChar">
    <w:name w:val="Ju_App_Question Char"/>
    <w:basedOn w:val="Domylnaczcionkaakapitu"/>
    <w:link w:val="JuAppQuestion"/>
    <w:uiPriority w:val="5"/>
    <w:rsid w:val="000537C6"/>
    <w:rPr>
      <w:rFonts w:eastAsiaTheme="minorEastAsia"/>
      <w:b/>
      <w:sz w:val="24"/>
    </w:rPr>
  </w:style>
  <w:style w:type="character" w:customStyle="1" w:styleId="JuHArticleChar">
    <w:name w:val="Ju_H_Article Char"/>
    <w:basedOn w:val="JuHAChar"/>
    <w:link w:val="ECHRTitleCentre3"/>
    <w:rsid w:val="000537C6"/>
    <w:rPr>
      <w:rFonts w:asciiTheme="majorHAnsi" w:eastAsiaTheme="minorEastAsia" w:hAnsiTheme="majorHAnsi" w:cstheme="majorBidi"/>
      <w:b/>
      <w:bCs w:val="0"/>
      <w:sz w:val="20"/>
      <w:szCs w:val="2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8" w:unhideWhenUsed="0" w:qFormat="1"/>
    <w:lsdException w:name="heading 2" w:uiPriority="98" w:qFormat="1"/>
    <w:lsdException w:name="heading 3" w:uiPriority="98" w:qFormat="1"/>
    <w:lsdException w:name="heading 4" w:uiPriority="98" w:qFormat="1"/>
    <w:lsdException w:name="heading 5" w:qFormat="1"/>
    <w:lsdException w:name="heading 6" w:uiPriority="98"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footnote text" w:uiPriority="95"/>
    <w:lsdException w:name="annotation text" w:uiPriority="0"/>
    <w:lsdException w:name="header" w:uiPriority="48"/>
    <w:lsdException w:name="footer" w:uiPriority="83"/>
    <w:lsdException w:name="caption" w:qFormat="1"/>
    <w:lsdException w:name="footnote reference" w:uiPriority="95"/>
    <w:lsdException w:name="List Number" w:unhideWhenUsed="0"/>
    <w:lsdException w:name="List 4" w:unhideWhenUsed="0"/>
    <w:lsdException w:name="List 5" w:unhideWhenUsed="0"/>
    <w:lsdException w:name="List Bullet 3" w:uiPriority="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544C4"/>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544C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544C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544C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544C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6544C4"/>
    <w:rPr>
      <w:i/>
      <w:iCs/>
      <w:smallCaps/>
      <w:spacing w:val="5"/>
    </w:rPr>
  </w:style>
  <w:style w:type="paragraph" w:customStyle="1" w:styleId="ECHRHeader">
    <w:name w:val="ECHR_Header"/>
    <w:aliases w:val="Ju_Header"/>
    <w:basedOn w:val="Nagwek"/>
    <w:uiPriority w:val="4"/>
    <w:qFormat/>
    <w:rsid w:val="006544C4"/>
    <w:pPr>
      <w:tabs>
        <w:tab w:val="clear" w:pos="4536"/>
        <w:tab w:val="clear" w:pos="9696"/>
        <w:tab w:val="center" w:pos="3686"/>
        <w:tab w:val="right" w:pos="7371"/>
      </w:tabs>
      <w:ind w:left="0" w:right="0"/>
      <w:jc w:val="left"/>
    </w:pPr>
    <w:rPr>
      <w:rFonts w:eastAsiaTheme="minorHAnsi"/>
      <w:sz w:val="18"/>
    </w:rPr>
  </w:style>
  <w:style w:type="paragraph" w:customStyle="1" w:styleId="JuAppQuestion">
    <w:name w:val="Ju_App_Question"/>
    <w:basedOn w:val="Normalny"/>
    <w:link w:val="JuAppQuestionChar"/>
    <w:uiPriority w:val="5"/>
    <w:qFormat/>
    <w:rsid w:val="006544C4"/>
    <w:pPr>
      <w:numPr>
        <w:numId w:val="11"/>
      </w:numPr>
      <w:jc w:val="left"/>
    </w:pPr>
    <w:rPr>
      <w:b/>
    </w:rPr>
  </w:style>
  <w:style w:type="character" w:styleId="Pogrubienie">
    <w:name w:val="Strong"/>
    <w:uiPriority w:val="99"/>
    <w:semiHidden/>
    <w:qFormat/>
    <w:rsid w:val="006544C4"/>
    <w:rPr>
      <w:b/>
      <w:bCs/>
    </w:rPr>
  </w:style>
  <w:style w:type="paragraph" w:styleId="Bezodstpw">
    <w:name w:val="No Spacing"/>
    <w:basedOn w:val="Normalny"/>
    <w:link w:val="BezodstpwZnak"/>
    <w:semiHidden/>
    <w:qFormat/>
    <w:rsid w:val="006544C4"/>
    <w:rPr>
      <w:sz w:val="22"/>
    </w:rPr>
  </w:style>
  <w:style w:type="character" w:customStyle="1" w:styleId="BezodstpwZnak">
    <w:name w:val="Bez odstępów Znak"/>
    <w:basedOn w:val="Domylnaczcionkaakapitu"/>
    <w:link w:val="Bezodstpw"/>
    <w:semiHidden/>
    <w:rsid w:val="006544C4"/>
    <w:rPr>
      <w:rFonts w:eastAsiaTheme="minorEastAsia"/>
    </w:rPr>
  </w:style>
  <w:style w:type="paragraph" w:customStyle="1" w:styleId="OpiPara">
    <w:name w:val="Opi_Para"/>
    <w:basedOn w:val="Normalny"/>
    <w:uiPriority w:val="46"/>
    <w:semiHidden/>
    <w:qFormat/>
    <w:rsid w:val="004047FE"/>
    <w:pPr>
      <w:ind w:firstLine="284"/>
    </w:pPr>
  </w:style>
  <w:style w:type="paragraph" w:customStyle="1" w:styleId="ECHRParaQuote">
    <w:name w:val="ECHR_Para_Quote"/>
    <w:aliases w:val="Ju_Quot"/>
    <w:basedOn w:val="Normalny"/>
    <w:qFormat/>
    <w:rsid w:val="006544C4"/>
    <w:pPr>
      <w:spacing w:before="120" w:after="120"/>
      <w:ind w:left="425" w:firstLine="142"/>
    </w:pPr>
    <w:rPr>
      <w:sz w:val="20"/>
    </w:rPr>
  </w:style>
  <w:style w:type="paragraph" w:customStyle="1" w:styleId="JuParaSub">
    <w:name w:val="Ju_Para_Sub"/>
    <w:basedOn w:val="Normalny"/>
    <w:uiPriority w:val="13"/>
    <w:qFormat/>
    <w:rsid w:val="004047FE"/>
    <w:pPr>
      <w:ind w:left="284" w:firstLine="284"/>
    </w:pPr>
  </w:style>
  <w:style w:type="paragraph" w:customStyle="1" w:styleId="OpiParaSub">
    <w:name w:val="Opi_Para_Sub"/>
    <w:basedOn w:val="JuParaSub"/>
    <w:uiPriority w:val="47"/>
    <w:semiHidden/>
    <w:qFormat/>
    <w:rsid w:val="006544C4"/>
  </w:style>
  <w:style w:type="paragraph" w:customStyle="1" w:styleId="OpiQuot">
    <w:name w:val="Opi_Quot"/>
    <w:basedOn w:val="ECHRParaQuote"/>
    <w:uiPriority w:val="48"/>
    <w:semiHidden/>
    <w:qFormat/>
    <w:rsid w:val="006544C4"/>
  </w:style>
  <w:style w:type="paragraph" w:customStyle="1" w:styleId="OpiQuotSub">
    <w:name w:val="Opi_Quot_Sub"/>
    <w:basedOn w:val="JuQuotSub"/>
    <w:uiPriority w:val="49"/>
    <w:semiHidden/>
    <w:qFormat/>
    <w:rsid w:val="006544C4"/>
  </w:style>
  <w:style w:type="paragraph" w:customStyle="1" w:styleId="ECHRTitleCentre3">
    <w:name w:val="ECHR_Title_Centre_3"/>
    <w:aliases w:val="Ju_H_Article"/>
    <w:basedOn w:val="Normalny"/>
    <w:next w:val="ECHRParaQuote"/>
    <w:link w:val="JuHArticleChar"/>
    <w:qFormat/>
    <w:rsid w:val="006544C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semiHidden/>
    <w:qFormat/>
    <w:rsid w:val="006544C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544C4"/>
    <w:pPr>
      <w:ind w:left="567"/>
    </w:pPr>
  </w:style>
  <w:style w:type="paragraph" w:customStyle="1" w:styleId="ECHRTitle1">
    <w:name w:val="ECHR_Title_1"/>
    <w:aliases w:val="Ju_H_Head"/>
    <w:basedOn w:val="Normalny"/>
    <w:next w:val="Normalny"/>
    <w:uiPriority w:val="18"/>
    <w:qFormat/>
    <w:rsid w:val="006544C4"/>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544C4"/>
    <w:pPr>
      <w:tabs>
        <w:tab w:val="center" w:pos="6407"/>
      </w:tabs>
      <w:spacing w:before="720"/>
      <w:jc w:val="right"/>
    </w:pPr>
  </w:style>
  <w:style w:type="paragraph" w:styleId="Tytu">
    <w:name w:val="Title"/>
    <w:basedOn w:val="Normalny"/>
    <w:next w:val="Normalny"/>
    <w:link w:val="TytuZnak"/>
    <w:uiPriority w:val="99"/>
    <w:semiHidden/>
    <w:qFormat/>
    <w:rsid w:val="006544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544C4"/>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semiHidden/>
    <w:qFormat/>
    <w:rsid w:val="006544C4"/>
    <w:pPr>
      <w:tabs>
        <w:tab w:val="clear" w:pos="357"/>
      </w:tabs>
      <w:outlineLvl w:val="1"/>
    </w:pPr>
    <w:rPr>
      <w:b/>
    </w:rPr>
  </w:style>
  <w:style w:type="character" w:customStyle="1" w:styleId="JUNAMES">
    <w:name w:val="JU_NAMES"/>
    <w:uiPriority w:val="17"/>
    <w:qFormat/>
    <w:rsid w:val="006544C4"/>
    <w:rPr>
      <w:caps w:val="0"/>
      <w:smallCaps/>
    </w:rPr>
  </w:style>
  <w:style w:type="character" w:customStyle="1" w:styleId="JuITMark">
    <w:name w:val="Ju_ITMark"/>
    <w:basedOn w:val="Domylnaczcionkaakapitu"/>
    <w:uiPriority w:val="38"/>
    <w:qFormat/>
    <w:rsid w:val="006544C4"/>
    <w:rPr>
      <w:vanish/>
      <w:color w:val="339966"/>
      <w:sz w:val="14"/>
    </w:rPr>
  </w:style>
  <w:style w:type="paragraph" w:customStyle="1" w:styleId="OpiTranslation">
    <w:name w:val="Opi_Translation"/>
    <w:basedOn w:val="Normalny"/>
    <w:next w:val="OpiPara"/>
    <w:uiPriority w:val="40"/>
    <w:semiHidden/>
    <w:qFormat/>
    <w:rsid w:val="006544C4"/>
    <w:pPr>
      <w:jc w:val="center"/>
      <w:outlineLvl w:val="0"/>
    </w:pPr>
    <w:rPr>
      <w:i/>
    </w:rPr>
  </w:style>
  <w:style w:type="paragraph" w:customStyle="1" w:styleId="JuCourt">
    <w:name w:val="Ju_Court"/>
    <w:basedOn w:val="Normalny"/>
    <w:next w:val="Normalny"/>
    <w:uiPriority w:val="16"/>
    <w:qFormat/>
    <w:rsid w:val="006544C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Normalny"/>
    <w:uiPriority w:val="19"/>
    <w:qFormat/>
    <w:rsid w:val="006544C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Normalny"/>
    <w:link w:val="JuHAChar"/>
    <w:uiPriority w:val="20"/>
    <w:qFormat/>
    <w:rsid w:val="006544C4"/>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Normalny"/>
    <w:qFormat/>
    <w:rsid w:val="006544C4"/>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48"/>
    <w:rsid w:val="00941747"/>
    <w:pPr>
      <w:tabs>
        <w:tab w:val="center" w:pos="4536"/>
        <w:tab w:val="right" w:pos="9696"/>
      </w:tabs>
      <w:ind w:left="-680" w:right="-680"/>
    </w:pPr>
  </w:style>
  <w:style w:type="character" w:customStyle="1" w:styleId="NagwekZnak">
    <w:name w:val="Nagłówek Znak"/>
    <w:basedOn w:val="Domylnaczcionkaakapitu"/>
    <w:link w:val="Nagwek"/>
    <w:uiPriority w:val="48"/>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Normalny"/>
    <w:qFormat/>
    <w:rsid w:val="006544C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Normalny"/>
    <w:uiPriority w:val="23"/>
    <w:qFormat/>
    <w:rsid w:val="006544C4"/>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Normalny"/>
    <w:uiPriority w:val="24"/>
    <w:qFormat/>
    <w:rsid w:val="006544C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Normalny"/>
    <w:uiPriority w:val="25"/>
    <w:qFormat/>
    <w:rsid w:val="006544C4"/>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Normalny"/>
    <w:uiPriority w:val="30"/>
    <w:qFormat/>
    <w:rsid w:val="006544C4"/>
    <w:pPr>
      <w:keepNext/>
      <w:keepLines/>
      <w:spacing w:before="240"/>
      <w:ind w:firstLine="284"/>
    </w:pPr>
  </w:style>
  <w:style w:type="paragraph" w:customStyle="1" w:styleId="DecList">
    <w:name w:val="Dec_List"/>
    <w:basedOn w:val="Normalny"/>
    <w:uiPriority w:val="9"/>
    <w:qFormat/>
    <w:rsid w:val="006544C4"/>
    <w:pPr>
      <w:spacing w:before="240"/>
      <w:ind w:left="284"/>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ECHRDecisionBody">
    <w:name w:val="ECHR_Decision_Body"/>
    <w:aliases w:val="Ju_Judges"/>
    <w:basedOn w:val="Normalny"/>
    <w:uiPriority w:val="11"/>
    <w:qFormat/>
    <w:rsid w:val="006544C4"/>
    <w:pPr>
      <w:tabs>
        <w:tab w:val="left" w:pos="567"/>
        <w:tab w:val="left" w:pos="1134"/>
      </w:tabs>
      <w:jc w:val="left"/>
    </w:pPr>
  </w:style>
  <w:style w:type="character" w:customStyle="1" w:styleId="Nagwek5Znak">
    <w:name w:val="Nagłówek 5 Znak"/>
    <w:basedOn w:val="Domylnaczcionkaakapitu"/>
    <w:link w:val="Nagwek5"/>
    <w:uiPriority w:val="99"/>
    <w:semiHidden/>
    <w:rsid w:val="006544C4"/>
    <w:rPr>
      <w:rFonts w:asciiTheme="majorHAnsi" w:eastAsiaTheme="majorEastAsia" w:hAnsiTheme="majorHAnsi" w:cstheme="majorBidi"/>
      <w:b/>
      <w:bCs/>
      <w:color w:val="808080"/>
    </w:rPr>
  </w:style>
  <w:style w:type="paragraph" w:customStyle="1" w:styleId="JuList">
    <w:name w:val="Ju_List"/>
    <w:basedOn w:val="Normalny"/>
    <w:uiPriority w:val="28"/>
    <w:qFormat/>
    <w:rsid w:val="006544C4"/>
    <w:pPr>
      <w:ind w:left="340" w:hanging="340"/>
    </w:pPr>
  </w:style>
  <w:style w:type="paragraph" w:customStyle="1" w:styleId="JuLista">
    <w:name w:val="Ju_List_a"/>
    <w:basedOn w:val="JuList"/>
    <w:uiPriority w:val="28"/>
    <w:qFormat/>
    <w:rsid w:val="006544C4"/>
    <w:pPr>
      <w:ind w:left="346" w:firstLine="0"/>
    </w:pPr>
  </w:style>
  <w:style w:type="character" w:styleId="Wyrnieniedelikatne">
    <w:name w:val="Subtle Emphasis"/>
    <w:uiPriority w:val="99"/>
    <w:semiHidden/>
    <w:qFormat/>
    <w:rsid w:val="006544C4"/>
    <w:rPr>
      <w:i/>
      <w:iCs/>
    </w:rPr>
  </w:style>
  <w:style w:type="paragraph" w:customStyle="1" w:styleId="JuListi">
    <w:name w:val="Ju_List_i"/>
    <w:basedOn w:val="Normalny"/>
    <w:next w:val="JuLista"/>
    <w:uiPriority w:val="28"/>
    <w:qFormat/>
    <w:rsid w:val="006544C4"/>
    <w:pPr>
      <w:ind w:left="79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semiHidden/>
    <w:qFormat/>
    <w:rsid w:val="006544C4"/>
    <w:pPr>
      <w:ind w:left="635" w:hanging="357"/>
      <w:outlineLvl w:val="2"/>
    </w:pPr>
  </w:style>
  <w:style w:type="paragraph" w:customStyle="1" w:styleId="OpiHa0">
    <w:name w:val="Opi_H_a"/>
    <w:basedOn w:val="ECHRHeading3"/>
    <w:uiPriority w:val="43"/>
    <w:semiHidden/>
    <w:qFormat/>
    <w:rsid w:val="006544C4"/>
    <w:pPr>
      <w:ind w:left="833" w:hanging="357"/>
      <w:outlineLvl w:val="3"/>
    </w:pPr>
    <w:rPr>
      <w:b/>
      <w:i w:val="0"/>
      <w:sz w:val="20"/>
    </w:rPr>
  </w:style>
  <w:style w:type="paragraph" w:customStyle="1" w:styleId="ECHRTitleCentre2">
    <w:name w:val="ECHR_Title_Centre_2"/>
    <w:aliases w:val="Dec_H_Case"/>
    <w:basedOn w:val="Normalny"/>
    <w:next w:val="Normalny"/>
    <w:uiPriority w:val="8"/>
    <w:qFormat/>
    <w:rsid w:val="006544C4"/>
    <w:pPr>
      <w:spacing w:after="240"/>
      <w:jc w:val="center"/>
      <w:outlineLvl w:val="0"/>
    </w:pPr>
    <w:rPr>
      <w:rFonts w:asciiTheme="majorHAnsi" w:hAnsiTheme="majorHAnsi"/>
    </w:rPr>
  </w:style>
  <w:style w:type="character" w:styleId="Uwydatnienie">
    <w:name w:val="Emphasis"/>
    <w:uiPriority w:val="99"/>
    <w:semiHidden/>
    <w:qFormat/>
    <w:rsid w:val="006544C4"/>
    <w:rPr>
      <w:b/>
      <w:bCs/>
      <w:i/>
      <w:iCs/>
      <w:spacing w:val="10"/>
      <w:bdr w:val="none" w:sz="0" w:space="0" w:color="auto"/>
      <w:shd w:val="clear" w:color="auto" w:fill="auto"/>
    </w:rPr>
  </w:style>
  <w:style w:type="paragraph" w:styleId="Stopka">
    <w:name w:val="footer"/>
    <w:basedOn w:val="Normalny"/>
    <w:link w:val="StopkaZnak"/>
    <w:uiPriority w:val="4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49"/>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6544C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544C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544C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6544C4"/>
    <w:rPr>
      <w:b/>
      <w:bCs/>
    </w:rPr>
  </w:style>
  <w:style w:type="paragraph" w:styleId="Cytatintensywny">
    <w:name w:val="Intense Quote"/>
    <w:basedOn w:val="Normalny"/>
    <w:next w:val="Normalny"/>
    <w:link w:val="CytatintensywnyZnak"/>
    <w:uiPriority w:val="99"/>
    <w:semiHidden/>
    <w:qFormat/>
    <w:rsid w:val="006544C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544C4"/>
    <w:rPr>
      <w:rFonts w:eastAsiaTheme="minorEastAsia"/>
      <w:b/>
      <w:bCs/>
      <w:i/>
      <w:iCs/>
      <w:lang w:bidi="en-US"/>
    </w:rPr>
  </w:style>
  <w:style w:type="character" w:styleId="Odwoanieintensywne">
    <w:name w:val="Intense Reference"/>
    <w:uiPriority w:val="99"/>
    <w:semiHidden/>
    <w:qFormat/>
    <w:rsid w:val="006544C4"/>
    <w:rPr>
      <w:smallCaps/>
      <w:spacing w:val="5"/>
      <w:u w:val="single"/>
    </w:rPr>
  </w:style>
  <w:style w:type="paragraph" w:styleId="Akapitzlist">
    <w:name w:val="List Paragraph"/>
    <w:basedOn w:val="Normalny"/>
    <w:uiPriority w:val="99"/>
    <w:semiHidden/>
    <w:qFormat/>
    <w:rsid w:val="006544C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544C4"/>
    <w:pPr>
      <w:spacing w:before="200"/>
      <w:ind w:left="360" w:right="360"/>
    </w:pPr>
    <w:rPr>
      <w:i/>
      <w:iCs/>
      <w:sz w:val="22"/>
      <w:lang w:bidi="en-US"/>
    </w:rPr>
  </w:style>
  <w:style w:type="character" w:customStyle="1" w:styleId="CytatZnak">
    <w:name w:val="Cytat Znak"/>
    <w:basedOn w:val="Domylnaczcionkaakapitu"/>
    <w:link w:val="Cytat"/>
    <w:uiPriority w:val="99"/>
    <w:semiHidden/>
    <w:rsid w:val="006544C4"/>
    <w:rPr>
      <w:rFonts w:eastAsiaTheme="minorEastAsia"/>
      <w:i/>
      <w:iCs/>
      <w:lang w:bidi="en-US"/>
    </w:rPr>
  </w:style>
  <w:style w:type="character" w:styleId="Odwoaniedelikatne">
    <w:name w:val="Subtle Reference"/>
    <w:uiPriority w:val="99"/>
    <w:semiHidden/>
    <w:qFormat/>
    <w:rsid w:val="006544C4"/>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6544C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OpiHi">
    <w:name w:val="Opi_H_i"/>
    <w:basedOn w:val="ECHRHeading4"/>
    <w:uiPriority w:val="44"/>
    <w:semiHidden/>
    <w:qFormat/>
    <w:rsid w:val="006544C4"/>
    <w:pPr>
      <w:ind w:left="1037" w:hanging="357"/>
      <w:outlineLvl w:val="4"/>
    </w:pPr>
    <w:rPr>
      <w:b w:val="0"/>
      <w:i/>
    </w:rPr>
  </w:style>
  <w:style w:type="paragraph" w:customStyle="1" w:styleId="DummyStyle">
    <w:name w:val="Dummy_Style"/>
    <w:basedOn w:val="Normalny"/>
    <w:semiHidden/>
    <w:qFormat/>
    <w:rsid w:val="006544C4"/>
    <w:rPr>
      <w:color w:val="00B050"/>
      <w:lang w:bidi="en-US"/>
    </w:rPr>
  </w:style>
  <w:style w:type="paragraph" w:styleId="Podtytu">
    <w:name w:val="Subtitle"/>
    <w:basedOn w:val="Normalny"/>
    <w:next w:val="Normalny"/>
    <w:link w:val="PodtytuZnak"/>
    <w:uiPriority w:val="99"/>
    <w:semiHidden/>
    <w:qFormat/>
    <w:rsid w:val="006544C4"/>
    <w:pPr>
      <w:spacing w:after="600"/>
    </w:pPr>
    <w:rPr>
      <w:rFonts w:asciiTheme="majorHAnsi" w:eastAsiaTheme="majorEastAsia" w:hAnsiTheme="majorHAnsi" w:cstheme="majorBidi"/>
      <w:i/>
      <w:iCs/>
      <w:spacing w:val="13"/>
      <w:szCs w:val="24"/>
      <w:lang w:bidi="en-US"/>
    </w:rPr>
  </w:style>
  <w:style w:type="paragraph" w:customStyle="1" w:styleId="ECHRPara">
    <w:name w:val="ECHR_Para"/>
    <w:aliases w:val="Ju_Para,Left,First line:  0 cm,Para"/>
    <w:basedOn w:val="Normalny"/>
    <w:link w:val="JuParaChar"/>
    <w:uiPriority w:val="12"/>
    <w:qFormat/>
    <w:rsid w:val="004047FE"/>
    <w:pPr>
      <w:ind w:firstLine="284"/>
    </w:pPr>
  </w:style>
  <w:style w:type="character" w:customStyle="1" w:styleId="PodtytuZnak">
    <w:name w:val="Podtytuł Znak"/>
    <w:basedOn w:val="Domylnaczcionkaakapitu"/>
    <w:link w:val="Podtytu"/>
    <w:uiPriority w:val="99"/>
    <w:semiHidden/>
    <w:rsid w:val="006544C4"/>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6544C4"/>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6544C4"/>
    <w:pPr>
      <w:numPr>
        <w:numId w:val="13"/>
      </w:numPr>
    </w:pPr>
  </w:style>
  <w:style w:type="numbering" w:styleId="Artykusekcja">
    <w:name w:val="Outline List 3"/>
    <w:basedOn w:val="Bezlisty"/>
    <w:uiPriority w:val="99"/>
    <w:semiHidden/>
    <w:unhideWhenUsed/>
    <w:rsid w:val="006544C4"/>
    <w:pPr>
      <w:numPr>
        <w:numId w:val="14"/>
      </w:numPr>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9"/>
    <w:semiHidden/>
    <w:rsid w:val="006544C4"/>
  </w:style>
  <w:style w:type="paragraph" w:styleId="Tekstblokowy">
    <w:name w:val="Block Text"/>
    <w:basedOn w:val="Normalny"/>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9"/>
    <w:semiHidden/>
    <w:rsid w:val="006544C4"/>
    <w:pPr>
      <w:spacing w:after="120"/>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basedOn w:val="Domylnaczcionkaakapitu"/>
    <w:uiPriority w:val="99"/>
    <w:semiHidden/>
    <w:rsid w:val="006544C4"/>
    <w:rPr>
      <w:rFonts w:ascii="Times New Roman" w:hAnsi="Times New Roman" w:cs="Times New Roman"/>
      <w:sz w:val="18"/>
    </w:rPr>
  </w:style>
  <w:style w:type="character" w:styleId="Odwoaniedokomentarza">
    <w:name w:val="annotation reference"/>
    <w:basedOn w:val="Domylnaczcionkaakapitu"/>
    <w:uiPriority w:val="99"/>
    <w:semiHidden/>
    <w:rsid w:val="006544C4"/>
    <w:rPr>
      <w:sz w:val="16"/>
    </w:rPr>
  </w:style>
  <w:style w:type="paragraph" w:styleId="Tekstkomentarza">
    <w:name w:val="annotation text"/>
    <w:basedOn w:val="Normalny"/>
    <w:link w:val="TekstkomentarzaZnak"/>
    <w:semiHidden/>
    <w:rsid w:val="006544C4"/>
    <w:rPr>
      <w:sz w:val="20"/>
    </w:rPr>
  </w:style>
  <w:style w:type="character" w:customStyle="1" w:styleId="TekstkomentarzaZnak">
    <w:name w:val="Tekst komentarza Znak"/>
    <w:basedOn w:val="Domylnaczcionkaakapitu"/>
    <w:link w:val="Tekstkomentarza"/>
    <w:semiHidden/>
    <w:rsid w:val="006544C4"/>
    <w:rPr>
      <w:rFonts w:eastAsiaTheme="minorEastAsia"/>
      <w:sz w:val="20"/>
    </w:rPr>
  </w:style>
  <w:style w:type="paragraph" w:customStyle="1" w:styleId="JuSigned">
    <w:name w:val="Ju_Signed"/>
    <w:basedOn w:val="Normalny"/>
    <w:next w:val="JuParaLast"/>
    <w:uiPriority w:val="32"/>
    <w:qFormat/>
    <w:rsid w:val="006544C4"/>
    <w:pPr>
      <w:tabs>
        <w:tab w:val="center" w:pos="851"/>
        <w:tab w:val="center" w:pos="6407"/>
      </w:tabs>
      <w:spacing w:before="720"/>
      <w:jc w:val="left"/>
    </w:pPr>
  </w:style>
  <w:style w:type="paragraph" w:customStyle="1" w:styleId="JuTitle">
    <w:name w:val="Ju_Title"/>
    <w:basedOn w:val="Normalny"/>
    <w:next w:val="Normalny"/>
    <w:uiPriority w:val="3"/>
    <w:qFormat/>
    <w:rsid w:val="006544C4"/>
    <w:pPr>
      <w:spacing w:before="720" w:after="240"/>
      <w:jc w:val="center"/>
      <w:outlineLvl w:val="0"/>
    </w:pPr>
    <w:rPr>
      <w:rFonts w:asciiTheme="majorHAnsi" w:hAnsiTheme="majorHAnsi"/>
      <w:b/>
      <w:caps/>
    </w:rPr>
  </w:style>
  <w:style w:type="paragraph" w:customStyle="1" w:styleId="DecHTitle">
    <w:name w:val="Dec_H_Title"/>
    <w:basedOn w:val="ECHRTitleCentre1"/>
    <w:uiPriority w:val="7"/>
    <w:qFormat/>
    <w:rsid w:val="006544C4"/>
  </w:style>
  <w:style w:type="paragraph" w:styleId="Listapunktowana2">
    <w:name w:val="List Bullet 2"/>
    <w:basedOn w:val="Normalny"/>
    <w:uiPriority w:val="99"/>
    <w:semiHidden/>
    <w:rsid w:val="006544C4"/>
    <w:pPr>
      <w:numPr>
        <w:numId w:val="8"/>
      </w:numPr>
      <w:contextualSpacing/>
    </w:pPr>
  </w:style>
  <w:style w:type="paragraph" w:styleId="Listapunktowana3">
    <w:name w:val="List Bullet 3"/>
    <w:basedOn w:val="Normalny"/>
    <w:semiHidden/>
    <w:rsid w:val="006544C4"/>
    <w:pPr>
      <w:numPr>
        <w:numId w:val="9"/>
      </w:numPr>
      <w:contextualSpacing/>
    </w:pPr>
  </w:style>
  <w:style w:type="character" w:customStyle="1" w:styleId="TekstpodstawowyZnak">
    <w:name w:val="Tekst podstawowy Znak"/>
    <w:basedOn w:val="Domylnaczcionkaakapitu"/>
    <w:link w:val="Tekstpodstawowy"/>
    <w:uiPriority w:val="99"/>
    <w:semiHidden/>
    <w:rsid w:val="006544C4"/>
    <w:rPr>
      <w:rFonts w:eastAsiaTheme="minorEastAsia"/>
      <w:sz w:val="24"/>
    </w:rPr>
  </w:style>
  <w:style w:type="paragraph" w:styleId="Tekstpodstawowy2">
    <w:name w:val="Body Text 2"/>
    <w:basedOn w:val="Normalny"/>
    <w:link w:val="Tekstpodstawowy2Znak"/>
    <w:uiPriority w:val="99"/>
    <w:semiHidden/>
    <w:rsid w:val="006544C4"/>
    <w:pPr>
      <w:spacing w:after="120" w:line="480" w:lineRule="auto"/>
    </w:pPr>
  </w:style>
  <w:style w:type="character" w:customStyle="1" w:styleId="Tekstpodstawowy2Znak">
    <w:name w:val="Tekst podstawowy 2 Znak"/>
    <w:basedOn w:val="Domylnaczcionkaakapitu"/>
    <w:link w:val="Tekstpodstawowy2"/>
    <w:uiPriority w:val="99"/>
    <w:semiHidden/>
    <w:rsid w:val="006544C4"/>
    <w:rPr>
      <w:rFonts w:eastAsiaTheme="minorEastAsia"/>
      <w:sz w:val="24"/>
    </w:rPr>
  </w:style>
  <w:style w:type="paragraph" w:styleId="Tekstpodstawowy3">
    <w:name w:val="Body Text 3"/>
    <w:basedOn w:val="Normalny"/>
    <w:link w:val="Tekstpodstawowy3Znak"/>
    <w:uiPriority w:val="99"/>
    <w:semiHidden/>
    <w:rsid w:val="006544C4"/>
    <w:pPr>
      <w:spacing w:after="120"/>
    </w:pPr>
    <w:rPr>
      <w:sz w:val="16"/>
      <w:szCs w:val="16"/>
    </w:rPr>
  </w:style>
  <w:style w:type="character" w:customStyle="1" w:styleId="Tekstpodstawowy3Znak">
    <w:name w:val="Tekst podstawowy 3 Znak"/>
    <w:basedOn w:val="Domylnaczcionkaakapitu"/>
    <w:link w:val="Tekstpodstawowy3"/>
    <w:uiPriority w:val="99"/>
    <w:semiHidden/>
    <w:rsid w:val="006544C4"/>
    <w:rPr>
      <w:rFonts w:eastAsiaTheme="minorEastAsia"/>
      <w:sz w:val="16"/>
      <w:szCs w:val="16"/>
    </w:rPr>
  </w:style>
  <w:style w:type="paragraph" w:styleId="Tekstpodstawowyzwciciem">
    <w:name w:val="Body Text First Indent"/>
    <w:basedOn w:val="Tekstpodstawowy"/>
    <w:link w:val="TekstpodstawowyzwciciemZnak"/>
    <w:uiPriority w:val="99"/>
    <w:semiHidden/>
    <w:rsid w:val="006544C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6544C4"/>
    <w:rPr>
      <w:rFonts w:eastAsiaTheme="minorEastAsia"/>
      <w:sz w:val="24"/>
    </w:rPr>
  </w:style>
  <w:style w:type="paragraph" w:styleId="Tekstpodstawowywcity">
    <w:name w:val="Body Text Indent"/>
    <w:basedOn w:val="Normalny"/>
    <w:link w:val="TekstpodstawowywcityZnak"/>
    <w:uiPriority w:val="99"/>
    <w:semiHidden/>
    <w:rsid w:val="006544C4"/>
    <w:pPr>
      <w:spacing w:after="120"/>
      <w:ind w:left="283"/>
    </w:pPr>
  </w:style>
  <w:style w:type="character" w:customStyle="1" w:styleId="TekstpodstawowywcityZnak">
    <w:name w:val="Tekst podstawowy wcięty Znak"/>
    <w:basedOn w:val="Domylnaczcionkaakapitu"/>
    <w:link w:val="Tekstpodstawowywcity"/>
    <w:uiPriority w:val="99"/>
    <w:semiHidden/>
    <w:rsid w:val="006544C4"/>
    <w:rPr>
      <w:rFonts w:eastAsiaTheme="minorEastAsia"/>
      <w:sz w:val="24"/>
    </w:rPr>
  </w:style>
  <w:style w:type="paragraph" w:styleId="Tekstpodstawowyzwciciem2">
    <w:name w:val="Body Text First Indent 2"/>
    <w:basedOn w:val="Tekstpodstawowywcity"/>
    <w:link w:val="Tekstpodstawowyzwciciem2Znak"/>
    <w:uiPriority w:val="99"/>
    <w:semiHidden/>
    <w:rsid w:val="006544C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6544C4"/>
    <w:rPr>
      <w:rFonts w:eastAsiaTheme="minorEastAsia"/>
      <w:sz w:val="24"/>
    </w:rPr>
  </w:style>
  <w:style w:type="paragraph" w:styleId="Tekstpodstawowywcity2">
    <w:name w:val="Body Text Indent 2"/>
    <w:basedOn w:val="Normalny"/>
    <w:link w:val="Tekstpodstawowywcity2Znak"/>
    <w:uiPriority w:val="99"/>
    <w:semiHidden/>
    <w:rsid w:val="006544C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544C4"/>
    <w:rPr>
      <w:rFonts w:eastAsiaTheme="minorEastAsia"/>
      <w:sz w:val="24"/>
    </w:rPr>
  </w:style>
  <w:style w:type="paragraph" w:styleId="Tekstpodstawowywcity3">
    <w:name w:val="Body Text Indent 3"/>
    <w:basedOn w:val="Normalny"/>
    <w:link w:val="Tekstpodstawowywcity3Znak"/>
    <w:uiPriority w:val="99"/>
    <w:semiHidden/>
    <w:rsid w:val="0065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544C4"/>
    <w:rPr>
      <w:rFonts w:eastAsiaTheme="minorEastAsia"/>
      <w:sz w:val="16"/>
      <w:szCs w:val="16"/>
    </w:rPr>
  </w:style>
  <w:style w:type="paragraph" w:styleId="Legenda">
    <w:name w:val="caption"/>
    <w:basedOn w:val="Normalny"/>
    <w:next w:val="Normalny"/>
    <w:uiPriority w:val="99"/>
    <w:semiHidden/>
    <w:qFormat/>
    <w:rsid w:val="006544C4"/>
    <w:pPr>
      <w:spacing w:after="200"/>
    </w:pPr>
    <w:rPr>
      <w:b/>
      <w:bCs/>
      <w:color w:val="0072BC" w:themeColor="accent1"/>
      <w:sz w:val="18"/>
      <w:szCs w:val="18"/>
    </w:rPr>
  </w:style>
  <w:style w:type="paragraph" w:styleId="Zwrotpoegnalny">
    <w:name w:val="Closing"/>
    <w:basedOn w:val="Normalny"/>
    <w:link w:val="ZwrotpoegnalnyZnak"/>
    <w:uiPriority w:val="99"/>
    <w:semiHidden/>
    <w:rsid w:val="006544C4"/>
    <w:pPr>
      <w:ind w:left="4252"/>
    </w:pPr>
  </w:style>
  <w:style w:type="character" w:customStyle="1" w:styleId="ZwrotpoegnalnyZnak">
    <w:name w:val="Zwrot pożegnalny Znak"/>
    <w:basedOn w:val="Domylnaczcionkaakapitu"/>
    <w:link w:val="Zwrotpoegnalny"/>
    <w:uiPriority w:val="99"/>
    <w:semiHidden/>
    <w:rsid w:val="006544C4"/>
    <w:rPr>
      <w:rFonts w:eastAsiaTheme="minorEastAsia"/>
      <w:sz w:val="24"/>
    </w:rPr>
  </w:style>
  <w:style w:type="table" w:styleId="Kolorowasiatka">
    <w:name w:val="Colorful Grid"/>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6544C4"/>
    <w:rPr>
      <w:b/>
      <w:bCs/>
      <w:szCs w:val="20"/>
    </w:rPr>
  </w:style>
  <w:style w:type="character" w:customStyle="1" w:styleId="TematkomentarzaZnak">
    <w:name w:val="Temat komentarza Znak"/>
    <w:basedOn w:val="TekstkomentarzaZnak"/>
    <w:link w:val="Tematkomentarza"/>
    <w:uiPriority w:val="99"/>
    <w:semiHidden/>
    <w:rsid w:val="006544C4"/>
    <w:rPr>
      <w:rFonts w:eastAsiaTheme="minorEastAsia"/>
      <w:b/>
      <w:bCs/>
      <w:sz w:val="20"/>
      <w:szCs w:val="20"/>
    </w:rPr>
  </w:style>
  <w:style w:type="table" w:styleId="Ciemnalista">
    <w:name w:val="Dark List"/>
    <w:basedOn w:val="Standardowy"/>
    <w:uiPriority w:val="70"/>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6544C4"/>
  </w:style>
  <w:style w:type="character" w:customStyle="1" w:styleId="DataZnak">
    <w:name w:val="Data Znak"/>
    <w:basedOn w:val="Domylnaczcionkaakapitu"/>
    <w:link w:val="Data"/>
    <w:uiPriority w:val="99"/>
    <w:semiHidden/>
    <w:rsid w:val="006544C4"/>
    <w:rPr>
      <w:rFonts w:eastAsiaTheme="minorEastAsia"/>
      <w:sz w:val="24"/>
    </w:rPr>
  </w:style>
  <w:style w:type="paragraph" w:styleId="Mapadokumentu">
    <w:name w:val="Document Map"/>
    <w:basedOn w:val="Normalny"/>
    <w:link w:val="MapadokumentuZnak"/>
    <w:uiPriority w:val="99"/>
    <w:semiHidden/>
    <w:rsid w:val="006544C4"/>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544C4"/>
    <w:rPr>
      <w:rFonts w:ascii="Tahoma" w:eastAsiaTheme="minorEastAsia" w:hAnsi="Tahoma" w:cs="Tahoma"/>
      <w:sz w:val="16"/>
      <w:szCs w:val="16"/>
    </w:rPr>
  </w:style>
  <w:style w:type="paragraph" w:styleId="Podpise-mail">
    <w:name w:val="E-mail Signature"/>
    <w:basedOn w:val="Normalny"/>
    <w:link w:val="Podpise-mailZnak"/>
    <w:uiPriority w:val="99"/>
    <w:semiHidden/>
    <w:rsid w:val="006544C4"/>
  </w:style>
  <w:style w:type="character" w:customStyle="1" w:styleId="Podpise-mailZnak">
    <w:name w:val="Podpis e-mail Znak"/>
    <w:basedOn w:val="Domylnaczcionkaakapitu"/>
    <w:link w:val="Podpise-mail"/>
    <w:uiPriority w:val="99"/>
    <w:semiHidden/>
    <w:rsid w:val="006544C4"/>
    <w:rPr>
      <w:rFonts w:eastAsiaTheme="minorEastAsia"/>
      <w:sz w:val="24"/>
    </w:rPr>
  </w:style>
  <w:style w:type="character" w:styleId="Odwoanieprzypisukocowego">
    <w:name w:val="endnote reference"/>
    <w:basedOn w:val="Domylnaczcionkaakapitu"/>
    <w:uiPriority w:val="99"/>
    <w:semiHidden/>
    <w:rsid w:val="006544C4"/>
    <w:rPr>
      <w:vertAlign w:val="superscript"/>
    </w:rPr>
  </w:style>
  <w:style w:type="paragraph" w:styleId="Tekstprzypisukocowego">
    <w:name w:val="endnote text"/>
    <w:basedOn w:val="Normalny"/>
    <w:link w:val="TekstprzypisukocowegoZnak"/>
    <w:uiPriority w:val="99"/>
    <w:semiHidden/>
    <w:rsid w:val="006544C4"/>
    <w:rPr>
      <w:sz w:val="20"/>
      <w:szCs w:val="20"/>
    </w:rPr>
  </w:style>
  <w:style w:type="character" w:customStyle="1" w:styleId="TekstprzypisukocowegoZnak">
    <w:name w:val="Tekst przypisu końcowego Znak"/>
    <w:basedOn w:val="Domylnaczcionkaakapitu"/>
    <w:link w:val="Tekstprzypisukocowego"/>
    <w:uiPriority w:val="99"/>
    <w:semiHidden/>
    <w:rsid w:val="006544C4"/>
    <w:rPr>
      <w:rFonts w:eastAsiaTheme="minorEastAsia"/>
      <w:sz w:val="20"/>
      <w:szCs w:val="20"/>
    </w:rPr>
  </w:style>
  <w:style w:type="paragraph" w:styleId="Adresnakopercie">
    <w:name w:val="envelope address"/>
    <w:basedOn w:val="Normalny"/>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rsid w:val="006544C4"/>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6544C4"/>
    <w:rPr>
      <w:color w:val="7030A0" w:themeColor="followedHyperlink"/>
      <w:u w:val="single"/>
    </w:rPr>
  </w:style>
  <w:style w:type="character" w:styleId="HTML-akronim">
    <w:name w:val="HTML Acronym"/>
    <w:basedOn w:val="Domylnaczcionkaakapitu"/>
    <w:uiPriority w:val="99"/>
    <w:semiHidden/>
    <w:rsid w:val="006544C4"/>
  </w:style>
  <w:style w:type="paragraph" w:styleId="HTML-adres">
    <w:name w:val="HTML Address"/>
    <w:basedOn w:val="Normalny"/>
    <w:link w:val="HTML-adresZnak"/>
    <w:uiPriority w:val="99"/>
    <w:semiHidden/>
    <w:rsid w:val="006544C4"/>
    <w:rPr>
      <w:i/>
      <w:iCs/>
    </w:rPr>
  </w:style>
  <w:style w:type="character" w:customStyle="1" w:styleId="HTML-adresZnak">
    <w:name w:val="HTML - adres Znak"/>
    <w:basedOn w:val="Domylnaczcionkaakapitu"/>
    <w:link w:val="HTML-adres"/>
    <w:uiPriority w:val="99"/>
    <w:semiHidden/>
    <w:rsid w:val="006544C4"/>
    <w:rPr>
      <w:rFonts w:eastAsiaTheme="minorEastAsia"/>
      <w:i/>
      <w:iCs/>
      <w:sz w:val="24"/>
    </w:rPr>
  </w:style>
  <w:style w:type="character" w:styleId="HTML-cytat">
    <w:name w:val="HTML Cite"/>
    <w:basedOn w:val="Domylnaczcionkaakapitu"/>
    <w:uiPriority w:val="99"/>
    <w:semiHidden/>
    <w:rsid w:val="006544C4"/>
    <w:rPr>
      <w:i/>
      <w:iCs/>
    </w:rPr>
  </w:style>
  <w:style w:type="character" w:styleId="HTML-kod">
    <w:name w:val="HTML Code"/>
    <w:basedOn w:val="Domylnaczcionkaakapitu"/>
    <w:uiPriority w:val="99"/>
    <w:semiHidden/>
    <w:rsid w:val="006544C4"/>
    <w:rPr>
      <w:rFonts w:ascii="Consolas" w:hAnsi="Consolas" w:cs="Consolas"/>
      <w:sz w:val="20"/>
      <w:szCs w:val="20"/>
    </w:rPr>
  </w:style>
  <w:style w:type="character" w:styleId="HTML-definicja">
    <w:name w:val="HTML Definition"/>
    <w:basedOn w:val="Domylnaczcionkaakapitu"/>
    <w:uiPriority w:val="99"/>
    <w:semiHidden/>
    <w:rsid w:val="006544C4"/>
    <w:rPr>
      <w:i/>
      <w:iCs/>
    </w:rPr>
  </w:style>
  <w:style w:type="character" w:styleId="HTML-klawiatura">
    <w:name w:val="HTML Keyboard"/>
    <w:basedOn w:val="Domylnaczcionkaakapitu"/>
    <w:uiPriority w:val="99"/>
    <w:semiHidden/>
    <w:rsid w:val="006544C4"/>
    <w:rPr>
      <w:rFonts w:ascii="Consolas" w:hAnsi="Consolas" w:cs="Consolas"/>
      <w:sz w:val="20"/>
      <w:szCs w:val="20"/>
    </w:rPr>
  </w:style>
  <w:style w:type="paragraph" w:styleId="HTML-wstpniesformatowany">
    <w:name w:val="HTML Preformatted"/>
    <w:basedOn w:val="Normalny"/>
    <w:link w:val="HTML-wstpniesformatowanyZnak"/>
    <w:uiPriority w:val="99"/>
    <w:semiHidden/>
    <w:rsid w:val="0065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6544C4"/>
    <w:rPr>
      <w:rFonts w:ascii="Consolas" w:eastAsiaTheme="minorEastAsia" w:hAnsi="Consolas" w:cs="Consolas"/>
      <w:sz w:val="20"/>
      <w:szCs w:val="20"/>
    </w:rPr>
  </w:style>
  <w:style w:type="character" w:styleId="HTML-przykad">
    <w:name w:val="HTML Sample"/>
    <w:basedOn w:val="Domylnaczcionkaakapitu"/>
    <w:uiPriority w:val="99"/>
    <w:semiHidden/>
    <w:rsid w:val="006544C4"/>
    <w:rPr>
      <w:rFonts w:ascii="Consolas" w:hAnsi="Consolas" w:cs="Consolas"/>
      <w:sz w:val="24"/>
      <w:szCs w:val="24"/>
    </w:rPr>
  </w:style>
  <w:style w:type="character" w:styleId="HTML-staaszeroko">
    <w:name w:val="HTML Typewriter"/>
    <w:basedOn w:val="Domylnaczcionkaakapitu"/>
    <w:uiPriority w:val="99"/>
    <w:semiHidden/>
    <w:rsid w:val="006544C4"/>
    <w:rPr>
      <w:rFonts w:ascii="Consolas" w:hAnsi="Consolas" w:cs="Consolas"/>
      <w:sz w:val="20"/>
      <w:szCs w:val="20"/>
    </w:rPr>
  </w:style>
  <w:style w:type="character" w:styleId="HTML-zmienna">
    <w:name w:val="HTML Variable"/>
    <w:basedOn w:val="Domylnaczcionkaakapitu"/>
    <w:uiPriority w:val="99"/>
    <w:semiHidden/>
    <w:rsid w:val="006544C4"/>
    <w:rPr>
      <w:i/>
      <w:iCs/>
    </w:rPr>
  </w:style>
  <w:style w:type="paragraph" w:styleId="Indeks1">
    <w:name w:val="index 1"/>
    <w:basedOn w:val="Normalny"/>
    <w:next w:val="Normalny"/>
    <w:autoRedefine/>
    <w:uiPriority w:val="99"/>
    <w:semiHidden/>
    <w:rsid w:val="006544C4"/>
    <w:pPr>
      <w:ind w:left="240" w:hanging="240"/>
    </w:pPr>
  </w:style>
  <w:style w:type="paragraph" w:styleId="Indeks2">
    <w:name w:val="index 2"/>
    <w:basedOn w:val="Normalny"/>
    <w:next w:val="Normalny"/>
    <w:autoRedefine/>
    <w:uiPriority w:val="99"/>
    <w:semiHidden/>
    <w:rsid w:val="006544C4"/>
    <w:pPr>
      <w:ind w:left="480" w:hanging="240"/>
    </w:pPr>
  </w:style>
  <w:style w:type="paragraph" w:styleId="Indeks3">
    <w:name w:val="index 3"/>
    <w:basedOn w:val="Normalny"/>
    <w:next w:val="Normalny"/>
    <w:autoRedefine/>
    <w:uiPriority w:val="99"/>
    <w:semiHidden/>
    <w:rsid w:val="006544C4"/>
    <w:pPr>
      <w:ind w:left="720" w:hanging="240"/>
    </w:pPr>
  </w:style>
  <w:style w:type="paragraph" w:styleId="Indeks4">
    <w:name w:val="index 4"/>
    <w:basedOn w:val="Normalny"/>
    <w:next w:val="Normalny"/>
    <w:autoRedefine/>
    <w:uiPriority w:val="99"/>
    <w:semiHidden/>
    <w:rsid w:val="006544C4"/>
    <w:pPr>
      <w:ind w:left="960" w:hanging="240"/>
    </w:pPr>
  </w:style>
  <w:style w:type="paragraph" w:styleId="Indeks5">
    <w:name w:val="index 5"/>
    <w:basedOn w:val="Normalny"/>
    <w:next w:val="Normalny"/>
    <w:autoRedefine/>
    <w:uiPriority w:val="99"/>
    <w:semiHidden/>
    <w:rsid w:val="006544C4"/>
    <w:pPr>
      <w:ind w:left="1200" w:hanging="240"/>
    </w:pPr>
  </w:style>
  <w:style w:type="paragraph" w:styleId="Indeks6">
    <w:name w:val="index 6"/>
    <w:basedOn w:val="Normalny"/>
    <w:next w:val="Normalny"/>
    <w:autoRedefine/>
    <w:uiPriority w:val="99"/>
    <w:semiHidden/>
    <w:rsid w:val="006544C4"/>
    <w:pPr>
      <w:ind w:left="1440" w:hanging="240"/>
    </w:pPr>
  </w:style>
  <w:style w:type="paragraph" w:styleId="Indeks7">
    <w:name w:val="index 7"/>
    <w:basedOn w:val="Normalny"/>
    <w:next w:val="Normalny"/>
    <w:autoRedefine/>
    <w:uiPriority w:val="99"/>
    <w:semiHidden/>
    <w:rsid w:val="006544C4"/>
    <w:pPr>
      <w:ind w:left="1680" w:hanging="240"/>
    </w:pPr>
  </w:style>
  <w:style w:type="paragraph" w:styleId="Indeks8">
    <w:name w:val="index 8"/>
    <w:basedOn w:val="Normalny"/>
    <w:next w:val="Normalny"/>
    <w:autoRedefine/>
    <w:uiPriority w:val="99"/>
    <w:semiHidden/>
    <w:rsid w:val="006544C4"/>
    <w:pPr>
      <w:ind w:left="1920" w:hanging="240"/>
    </w:pPr>
  </w:style>
  <w:style w:type="paragraph" w:styleId="Indeks9">
    <w:name w:val="index 9"/>
    <w:basedOn w:val="Normalny"/>
    <w:next w:val="Normalny"/>
    <w:autoRedefine/>
    <w:uiPriority w:val="99"/>
    <w:semiHidden/>
    <w:rsid w:val="006544C4"/>
    <w:pPr>
      <w:ind w:left="2160" w:hanging="240"/>
    </w:pPr>
  </w:style>
  <w:style w:type="paragraph" w:styleId="Nagwekindeksu">
    <w:name w:val="index heading"/>
    <w:basedOn w:val="Normalny"/>
    <w:next w:val="Indeks1"/>
    <w:uiPriority w:val="99"/>
    <w:semiHidden/>
    <w:rsid w:val="006544C4"/>
    <w:rPr>
      <w:rFonts w:asciiTheme="majorHAnsi" w:eastAsiaTheme="majorEastAsia" w:hAnsiTheme="majorHAnsi" w:cstheme="majorBidi"/>
      <w:b/>
      <w:bCs/>
    </w:rPr>
  </w:style>
  <w:style w:type="table" w:styleId="Jasnasiatka">
    <w:name w:val="Light Grid"/>
    <w:basedOn w:val="Standardowy"/>
    <w:uiPriority w:val="62"/>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6544C4"/>
  </w:style>
  <w:style w:type="paragraph" w:styleId="Lista">
    <w:name w:val="List"/>
    <w:basedOn w:val="Normalny"/>
    <w:uiPriority w:val="99"/>
    <w:semiHidden/>
    <w:rsid w:val="006544C4"/>
    <w:pPr>
      <w:ind w:left="283" w:hanging="283"/>
      <w:contextualSpacing/>
    </w:pPr>
  </w:style>
  <w:style w:type="paragraph" w:styleId="Lista2">
    <w:name w:val="List 2"/>
    <w:basedOn w:val="Normalny"/>
    <w:uiPriority w:val="99"/>
    <w:semiHidden/>
    <w:rsid w:val="006544C4"/>
    <w:pPr>
      <w:ind w:left="566" w:hanging="283"/>
      <w:contextualSpacing/>
    </w:pPr>
  </w:style>
  <w:style w:type="paragraph" w:styleId="Lista3">
    <w:name w:val="List 3"/>
    <w:basedOn w:val="Normalny"/>
    <w:uiPriority w:val="99"/>
    <w:semiHidden/>
    <w:rsid w:val="006544C4"/>
    <w:pPr>
      <w:ind w:left="849" w:hanging="283"/>
      <w:contextualSpacing/>
    </w:pPr>
  </w:style>
  <w:style w:type="paragraph" w:styleId="Lista4">
    <w:name w:val="List 4"/>
    <w:basedOn w:val="Normalny"/>
    <w:uiPriority w:val="99"/>
    <w:semiHidden/>
    <w:rsid w:val="006544C4"/>
    <w:pPr>
      <w:ind w:left="1132" w:hanging="283"/>
      <w:contextualSpacing/>
    </w:pPr>
  </w:style>
  <w:style w:type="paragraph" w:styleId="Lista5">
    <w:name w:val="List 5"/>
    <w:basedOn w:val="Normalny"/>
    <w:uiPriority w:val="99"/>
    <w:semiHidden/>
    <w:rsid w:val="006544C4"/>
    <w:pPr>
      <w:ind w:left="1415" w:hanging="283"/>
      <w:contextualSpacing/>
    </w:pPr>
  </w:style>
  <w:style w:type="paragraph" w:styleId="Listapunktowana">
    <w:name w:val="List Bullet"/>
    <w:basedOn w:val="Normalny"/>
    <w:uiPriority w:val="99"/>
    <w:semiHidden/>
    <w:rsid w:val="006544C4"/>
    <w:pPr>
      <w:numPr>
        <w:numId w:val="15"/>
      </w:numPr>
      <w:contextualSpacing/>
    </w:pPr>
  </w:style>
  <w:style w:type="paragraph" w:styleId="Listapunktowana4">
    <w:name w:val="List Bullet 4"/>
    <w:basedOn w:val="Normalny"/>
    <w:uiPriority w:val="99"/>
    <w:semiHidden/>
    <w:rsid w:val="006544C4"/>
    <w:pPr>
      <w:numPr>
        <w:numId w:val="16"/>
      </w:numPr>
      <w:contextualSpacing/>
    </w:pPr>
  </w:style>
  <w:style w:type="paragraph" w:styleId="Listapunktowana5">
    <w:name w:val="List Bullet 5"/>
    <w:basedOn w:val="Normalny"/>
    <w:uiPriority w:val="99"/>
    <w:semiHidden/>
    <w:rsid w:val="006544C4"/>
    <w:pPr>
      <w:numPr>
        <w:numId w:val="17"/>
      </w:numPr>
      <w:contextualSpacing/>
    </w:pPr>
  </w:style>
  <w:style w:type="paragraph" w:styleId="Lista-kontynuacja">
    <w:name w:val="List Continue"/>
    <w:basedOn w:val="Normalny"/>
    <w:uiPriority w:val="99"/>
    <w:semiHidden/>
    <w:rsid w:val="006544C4"/>
    <w:pPr>
      <w:spacing w:after="120"/>
      <w:ind w:left="283"/>
      <w:contextualSpacing/>
    </w:pPr>
  </w:style>
  <w:style w:type="paragraph" w:styleId="Lista-kontynuacja2">
    <w:name w:val="List Continue 2"/>
    <w:basedOn w:val="Normalny"/>
    <w:uiPriority w:val="99"/>
    <w:semiHidden/>
    <w:rsid w:val="006544C4"/>
    <w:pPr>
      <w:spacing w:after="120"/>
      <w:ind w:left="566"/>
      <w:contextualSpacing/>
    </w:pPr>
  </w:style>
  <w:style w:type="paragraph" w:styleId="Lista-kontynuacja3">
    <w:name w:val="List Continue 3"/>
    <w:basedOn w:val="Normalny"/>
    <w:uiPriority w:val="99"/>
    <w:semiHidden/>
    <w:rsid w:val="006544C4"/>
    <w:pPr>
      <w:spacing w:after="120"/>
      <w:ind w:left="849"/>
      <w:contextualSpacing/>
    </w:pPr>
  </w:style>
  <w:style w:type="paragraph" w:styleId="Lista-kontynuacja4">
    <w:name w:val="List Continue 4"/>
    <w:basedOn w:val="Normalny"/>
    <w:uiPriority w:val="99"/>
    <w:semiHidden/>
    <w:rsid w:val="006544C4"/>
    <w:pPr>
      <w:spacing w:after="120"/>
      <w:ind w:left="1132"/>
      <w:contextualSpacing/>
    </w:pPr>
  </w:style>
  <w:style w:type="paragraph" w:styleId="Lista-kontynuacja5">
    <w:name w:val="List Continue 5"/>
    <w:basedOn w:val="Normalny"/>
    <w:uiPriority w:val="99"/>
    <w:semiHidden/>
    <w:rsid w:val="006544C4"/>
    <w:pPr>
      <w:spacing w:after="120"/>
      <w:ind w:left="1415"/>
      <w:contextualSpacing/>
    </w:pPr>
  </w:style>
  <w:style w:type="paragraph" w:styleId="Listanumerowana">
    <w:name w:val="List Number"/>
    <w:basedOn w:val="Normalny"/>
    <w:uiPriority w:val="99"/>
    <w:semiHidden/>
    <w:rsid w:val="006544C4"/>
    <w:pPr>
      <w:numPr>
        <w:numId w:val="18"/>
      </w:numPr>
      <w:contextualSpacing/>
    </w:pPr>
  </w:style>
  <w:style w:type="paragraph" w:styleId="Listanumerowana2">
    <w:name w:val="List Number 2"/>
    <w:basedOn w:val="Normalny"/>
    <w:uiPriority w:val="99"/>
    <w:semiHidden/>
    <w:rsid w:val="006544C4"/>
    <w:pPr>
      <w:numPr>
        <w:numId w:val="19"/>
      </w:numPr>
      <w:contextualSpacing/>
    </w:pPr>
  </w:style>
  <w:style w:type="paragraph" w:styleId="Listanumerowana3">
    <w:name w:val="List Number 3"/>
    <w:basedOn w:val="Normalny"/>
    <w:uiPriority w:val="99"/>
    <w:semiHidden/>
    <w:rsid w:val="006544C4"/>
    <w:pPr>
      <w:numPr>
        <w:numId w:val="20"/>
      </w:numPr>
      <w:contextualSpacing/>
    </w:pPr>
  </w:style>
  <w:style w:type="paragraph" w:styleId="Listanumerowana4">
    <w:name w:val="List Number 4"/>
    <w:basedOn w:val="Normalny"/>
    <w:uiPriority w:val="99"/>
    <w:semiHidden/>
    <w:rsid w:val="006544C4"/>
    <w:pPr>
      <w:numPr>
        <w:numId w:val="21"/>
      </w:numPr>
      <w:contextualSpacing/>
    </w:pPr>
  </w:style>
  <w:style w:type="paragraph" w:styleId="Listanumerowana5">
    <w:name w:val="List Number 5"/>
    <w:basedOn w:val="Normalny"/>
    <w:uiPriority w:val="99"/>
    <w:semiHidden/>
    <w:rsid w:val="006544C4"/>
    <w:pPr>
      <w:numPr>
        <w:numId w:val="22"/>
      </w:numPr>
      <w:contextualSpacing/>
    </w:pPr>
  </w:style>
  <w:style w:type="paragraph" w:styleId="Tekstmakra">
    <w:name w:val="macro"/>
    <w:link w:val="TekstmakraZnak"/>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6544C4"/>
    <w:rPr>
      <w:rFonts w:ascii="Consolas" w:eastAsiaTheme="minorEastAsia" w:hAnsi="Consolas" w:cs="Consolas"/>
      <w:sz w:val="20"/>
      <w:szCs w:val="20"/>
    </w:rPr>
  </w:style>
  <w:style w:type="table" w:styleId="redniasiatka1">
    <w:name w:val="Medium Grid 1"/>
    <w:basedOn w:val="Standardowy"/>
    <w:uiPriority w:val="67"/>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6544C4"/>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6544C4"/>
    <w:rPr>
      <w:rFonts w:ascii="Times New Roman" w:hAnsi="Times New Roman" w:cs="Times New Roman"/>
      <w:szCs w:val="24"/>
    </w:rPr>
  </w:style>
  <w:style w:type="paragraph" w:styleId="Wcicienormalne">
    <w:name w:val="Normal Indent"/>
    <w:basedOn w:val="Normalny"/>
    <w:uiPriority w:val="99"/>
    <w:semiHidden/>
    <w:rsid w:val="006544C4"/>
    <w:pPr>
      <w:ind w:left="720"/>
    </w:pPr>
  </w:style>
  <w:style w:type="paragraph" w:styleId="Nagweknotatki">
    <w:name w:val="Note Heading"/>
    <w:basedOn w:val="Normalny"/>
    <w:next w:val="Normalny"/>
    <w:link w:val="NagweknotatkiZnak"/>
    <w:uiPriority w:val="99"/>
    <w:semiHidden/>
    <w:rsid w:val="006544C4"/>
  </w:style>
  <w:style w:type="character" w:customStyle="1" w:styleId="NagweknotatkiZnak">
    <w:name w:val="Nagłówek notatki Znak"/>
    <w:basedOn w:val="Domylnaczcionkaakapitu"/>
    <w:link w:val="Nagweknotatki"/>
    <w:uiPriority w:val="99"/>
    <w:semiHidden/>
    <w:rsid w:val="006544C4"/>
    <w:rPr>
      <w:rFonts w:eastAsiaTheme="minorEastAsia"/>
      <w:sz w:val="24"/>
    </w:rPr>
  </w:style>
  <w:style w:type="character" w:styleId="Tekstzastpczy">
    <w:name w:val="Placeholder Text"/>
    <w:basedOn w:val="Domylnaczcionkaakapitu"/>
    <w:uiPriority w:val="99"/>
    <w:semiHidden/>
    <w:rsid w:val="006544C4"/>
    <w:rPr>
      <w:color w:val="808080"/>
    </w:rPr>
  </w:style>
  <w:style w:type="paragraph" w:styleId="Zwykytekst">
    <w:name w:val="Plain Text"/>
    <w:basedOn w:val="Normalny"/>
    <w:link w:val="ZwykytekstZnak"/>
    <w:uiPriority w:val="99"/>
    <w:semiHidden/>
    <w:rsid w:val="006544C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6544C4"/>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6544C4"/>
  </w:style>
  <w:style w:type="character" w:customStyle="1" w:styleId="ZwrotgrzecznociowyZnak">
    <w:name w:val="Zwrot grzecznościowy Znak"/>
    <w:basedOn w:val="Domylnaczcionkaakapitu"/>
    <w:link w:val="Zwrotgrzecznociowy"/>
    <w:uiPriority w:val="99"/>
    <w:semiHidden/>
    <w:rsid w:val="006544C4"/>
    <w:rPr>
      <w:rFonts w:eastAsiaTheme="minorEastAsia"/>
      <w:sz w:val="24"/>
    </w:rPr>
  </w:style>
  <w:style w:type="paragraph" w:styleId="Podpis">
    <w:name w:val="Signature"/>
    <w:basedOn w:val="Normalny"/>
    <w:link w:val="PodpisZnak"/>
    <w:uiPriority w:val="99"/>
    <w:semiHidden/>
    <w:rsid w:val="006544C4"/>
    <w:pPr>
      <w:ind w:left="4252"/>
    </w:pPr>
  </w:style>
  <w:style w:type="character" w:customStyle="1" w:styleId="PodpisZnak">
    <w:name w:val="Podpis Znak"/>
    <w:basedOn w:val="Domylnaczcionkaakapitu"/>
    <w:link w:val="Podpis"/>
    <w:uiPriority w:val="99"/>
    <w:semiHidden/>
    <w:rsid w:val="006544C4"/>
    <w:rPr>
      <w:rFonts w:eastAsiaTheme="minorEastAsia"/>
      <w:sz w:val="24"/>
    </w:rPr>
  </w:style>
  <w:style w:type="table" w:styleId="Tabela-Efekty3W1">
    <w:name w:val="Table 3D effects 1"/>
    <w:basedOn w:val="Standardowy"/>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6544C4"/>
    <w:pPr>
      <w:ind w:left="240" w:hanging="240"/>
    </w:pPr>
  </w:style>
  <w:style w:type="paragraph" w:styleId="Spisilustracji">
    <w:name w:val="table of figures"/>
    <w:basedOn w:val="Normalny"/>
    <w:next w:val="Normalny"/>
    <w:uiPriority w:val="99"/>
    <w:semiHidden/>
    <w:rsid w:val="006544C4"/>
  </w:style>
  <w:style w:type="table" w:styleId="Tabela-Profesjonalny">
    <w:name w:val="Table Professional"/>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544C4"/>
    <w:pPr>
      <w:spacing w:after="100"/>
      <w:ind w:left="1200"/>
    </w:pPr>
  </w:style>
  <w:style w:type="paragraph" w:styleId="Spistreci7">
    <w:name w:val="toc 7"/>
    <w:basedOn w:val="Normalny"/>
    <w:next w:val="Normalny"/>
    <w:autoRedefine/>
    <w:uiPriority w:val="99"/>
    <w:semiHidden/>
    <w:rsid w:val="006544C4"/>
    <w:pPr>
      <w:spacing w:after="100"/>
      <w:ind w:left="1440"/>
    </w:pPr>
  </w:style>
  <w:style w:type="paragraph" w:styleId="Spistreci8">
    <w:name w:val="toc 8"/>
    <w:basedOn w:val="Normalny"/>
    <w:next w:val="Normalny"/>
    <w:autoRedefine/>
    <w:uiPriority w:val="99"/>
    <w:semiHidden/>
    <w:rsid w:val="006544C4"/>
    <w:pPr>
      <w:spacing w:after="100"/>
      <w:ind w:left="1680"/>
    </w:pPr>
  </w:style>
  <w:style w:type="paragraph" w:styleId="Spistreci9">
    <w:name w:val="toc 9"/>
    <w:basedOn w:val="Normalny"/>
    <w:next w:val="Normalny"/>
    <w:autoRedefine/>
    <w:uiPriority w:val="99"/>
    <w:semiHidden/>
    <w:rsid w:val="006544C4"/>
    <w:pPr>
      <w:spacing w:after="100"/>
      <w:ind w:left="1920"/>
    </w:pPr>
  </w:style>
  <w:style w:type="character" w:customStyle="1" w:styleId="sb8d990e2">
    <w:name w:val="sb8d990e2"/>
    <w:basedOn w:val="Domylnaczcionkaakapitu"/>
    <w:rsid w:val="00934A97"/>
  </w:style>
  <w:style w:type="character" w:customStyle="1" w:styleId="JuParaChar">
    <w:name w:val="Ju_Para Char"/>
    <w:basedOn w:val="Domylnaczcionkaakapitu"/>
    <w:link w:val="ECHRPara"/>
    <w:uiPriority w:val="12"/>
    <w:rsid w:val="000537C6"/>
    <w:rPr>
      <w:rFonts w:eastAsiaTheme="minorEastAsia"/>
      <w:sz w:val="24"/>
    </w:rPr>
  </w:style>
  <w:style w:type="character" w:customStyle="1" w:styleId="JuHAChar">
    <w:name w:val="Ju_H_A Char"/>
    <w:basedOn w:val="Domylnaczcionkaakapitu"/>
    <w:link w:val="ECHRHeading2"/>
    <w:uiPriority w:val="20"/>
    <w:rsid w:val="000537C6"/>
    <w:rPr>
      <w:rFonts w:asciiTheme="majorHAnsi" w:eastAsiaTheme="majorEastAsia" w:hAnsiTheme="majorHAnsi" w:cstheme="majorBidi"/>
      <w:b/>
      <w:bCs/>
      <w:sz w:val="24"/>
      <w:szCs w:val="26"/>
    </w:rPr>
  </w:style>
  <w:style w:type="character" w:customStyle="1" w:styleId="JuAppQuestionChar">
    <w:name w:val="Ju_App_Question Char"/>
    <w:basedOn w:val="Domylnaczcionkaakapitu"/>
    <w:link w:val="JuAppQuestion"/>
    <w:uiPriority w:val="5"/>
    <w:rsid w:val="000537C6"/>
    <w:rPr>
      <w:rFonts w:eastAsiaTheme="minorEastAsia"/>
      <w:b/>
      <w:sz w:val="24"/>
    </w:rPr>
  </w:style>
  <w:style w:type="character" w:customStyle="1" w:styleId="JuHArticleChar">
    <w:name w:val="Ju_H_Article Char"/>
    <w:basedOn w:val="JuHAChar"/>
    <w:link w:val="ECHRTitleCentre3"/>
    <w:rsid w:val="000537C6"/>
    <w:rPr>
      <w:rFonts w:asciiTheme="majorHAnsi" w:eastAsiaTheme="minorEastAsia" w:hAnsiTheme="majorHAnsi" w:cstheme="majorBidi"/>
      <w:b/>
      <w:bCs w:val="0"/>
      <w:sz w:val="20"/>
      <w:szCs w:val="2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legifrance.gouv.fr/affichCodeArticle.do?cidTexte=LEGITEXT000006070158&amp;idArticle=LEGIARTI000006335210&amp;dateTexte=&amp;categorieLien=ci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legifrance.gouv.fr/affichCodeArticle.do?cidTexte=LEGITEXT000006070158&amp;idArticle=LEGIARTI000006335050&amp;dateTexte=&amp;categorieLien=ci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5AE4D-7D51-4995-B1CE-84DB2779094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C6390A-6A37-4936-873D-9DE3E0E192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D277BD0-1326-4253-A3E7-46E6C73AD026}">
  <ds:schemaRefs>
    <ds:schemaRef ds:uri="http://schemas.microsoft.com/sharepoint/v3/contenttype/forms"/>
  </ds:schemaRefs>
</ds:datastoreItem>
</file>

<file path=customXml/itemProps4.xml><?xml version="1.0" encoding="utf-8"?>
<ds:datastoreItem xmlns:ds="http://schemas.openxmlformats.org/officeDocument/2006/customXml" ds:itemID="{ABB83F7B-0B04-4C34-8A5E-88E1CC605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5814</Words>
  <Characters>34886</Characters>
  <Application>Microsoft Office Word</Application>
  <DocSecurity>0</DocSecurity>
  <Lines>290</Lines>
  <Paragraphs>81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40619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2017-07-25T08:44:00Z</dcterms:created>
  <dcterms:modified xsi:type="dcterms:W3CDTF">2017-07-25T08:44:00Z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76860/11</vt:lpwstr>
  </property>
  <property fmtid="{D5CDD505-2E9C-101B-9397-08002B2CF9AE}" pid="4" name="CASEID">
    <vt:lpwstr>766391</vt:lpwstr>
  </property>
  <property fmtid="{D5CDD505-2E9C-101B-9397-08002B2CF9AE}" pid="5" name="OrigTemp">
    <vt:lpwstr>French\Documents\DF01 Decisions et Rapports\Reports automation IT ONLY\Décision.dotx</vt:lpwstr>
  </property>
  <property fmtid="{D5CDD505-2E9C-101B-9397-08002B2CF9AE}" pid="6" name="ContentTypeId">
    <vt:lpwstr>0x010100558EB02BDB9E204AB350EDD385B68E10</vt:lpwstr>
  </property>
</Properties>
</file>