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944" w:rsidRDefault="00CA69CB" w:rsidP="00CA69CB">
      <w:pPr>
        <w:pStyle w:val="s6e50bd9a"/>
        <w:spacing w:before="0" w:beforeAutospacing="0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  <w:lang w:val="en-US"/>
        </w:rPr>
        <w:t xml:space="preserve"> </w:t>
      </w:r>
      <w:bookmarkStart w:id="0" w:name="_GoBack"/>
      <w:bookmarkEnd w:id="0"/>
      <w:r w:rsidR="00622944"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 w:rsidR="00622944"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 w:rsidR="00622944"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 w:rsidR="00622944"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7" w:history="1">
        <w:r w:rsidR="00622944">
          <w:rPr>
            <w:rStyle w:val="Hipercze"/>
            <w:rFonts w:ascii="Arial" w:hAnsi="Arial" w:cs="Arial"/>
            <w:sz w:val="20"/>
            <w:szCs w:val="20"/>
          </w:rPr>
          <w:t>www.msz.gov.pl</w:t>
        </w:r>
      </w:hyperlink>
      <w:r w:rsidR="00622944"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 w:rsidR="00622944">
        <w:rPr>
          <w:rStyle w:val="s4f807e54"/>
          <w:rFonts w:ascii="Arial" w:hAnsi="Arial" w:cs="Arial"/>
          <w:color w:val="000000"/>
          <w:sz w:val="20"/>
          <w:szCs w:val="20"/>
        </w:rPr>
        <w:t xml:space="preserve">  </w:t>
      </w:r>
    </w:p>
    <w:p w:rsidR="00622944" w:rsidRDefault="00CA69CB" w:rsidP="00CA69CB">
      <w:pPr>
        <w:pStyle w:val="s6e50bd9a"/>
        <w:spacing w:before="0" w:beforeAutospacing="0" w:after="0" w:afterAutospacing="0"/>
        <w:jc w:val="both"/>
      </w:pP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</w:t>
      </w:r>
    </w:p>
    <w:p w:rsidR="00502FDC" w:rsidRDefault="00502FDC" w:rsidP="00502FDC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502FDC" w:rsidRPr="006108DB" w:rsidRDefault="00502FDC" w:rsidP="00502FDC">
      <w:pPr>
        <w:pStyle w:val="ClinEditionNumber"/>
        <w:rPr>
          <w:lang w:val="pl-PL"/>
        </w:rPr>
      </w:pPr>
      <w:r w:rsidRPr="00557F20">
        <w:rPr>
          <w:lang w:val="pl-PL"/>
        </w:rPr>
        <w:t xml:space="preserve">Nota </w:t>
      </w:r>
      <w:r>
        <w:rPr>
          <w:lang w:val="pl-PL"/>
        </w:rPr>
        <w:t>i</w:t>
      </w:r>
      <w:r w:rsidRPr="00557F20">
        <w:rPr>
          <w:lang w:val="pl-PL"/>
        </w:rPr>
        <w:t xml:space="preserve">nformacyjna nt. </w:t>
      </w:r>
      <w:r>
        <w:rPr>
          <w:lang w:val="pl-PL"/>
        </w:rPr>
        <w:t>o</w:t>
      </w:r>
      <w:r w:rsidRPr="00557F20">
        <w:rPr>
          <w:lang w:val="pl-PL"/>
        </w:rPr>
        <w:t xml:space="preserve">rzecznictwa Trybunału nr </w:t>
      </w:r>
      <w:r w:rsidRPr="006108DB">
        <w:rPr>
          <w:lang w:val="pl-PL"/>
        </w:rPr>
        <w:t>201</w:t>
      </w:r>
    </w:p>
    <w:p w:rsidR="00502FDC" w:rsidRPr="00C55A4B" w:rsidRDefault="00502FDC" w:rsidP="00502FDC">
      <w:pPr>
        <w:pStyle w:val="ClinEditionMonth"/>
        <w:rPr>
          <w:lang w:val="pl-PL"/>
        </w:rPr>
      </w:pPr>
      <w:r w:rsidRPr="00C55A4B">
        <w:rPr>
          <w:lang w:val="pl-PL"/>
        </w:rPr>
        <w:t>Listopad 2016 r.</w:t>
      </w:r>
    </w:p>
    <w:p w:rsidR="008075A7" w:rsidRPr="00C55A4B" w:rsidRDefault="00502FDC">
      <w:pPr>
        <w:rPr>
          <w:lang w:val="pl-PL"/>
        </w:rPr>
      </w:pPr>
      <w:proofErr w:type="spellStart"/>
      <w:r w:rsidRPr="00C55A4B">
        <w:rPr>
          <w:rStyle w:val="ClinCaseTitle"/>
          <w:lang w:val="pl-PL"/>
        </w:rPr>
        <w:t>Magyar</w:t>
      </w:r>
      <w:proofErr w:type="spellEnd"/>
      <w:r w:rsidRPr="00C55A4B">
        <w:rPr>
          <w:rStyle w:val="ClinCaseTitle"/>
          <w:lang w:val="pl-PL"/>
        </w:rPr>
        <w:t xml:space="preserve"> Helsinki </w:t>
      </w:r>
      <w:proofErr w:type="spellStart"/>
      <w:r w:rsidRPr="00C55A4B">
        <w:rPr>
          <w:rStyle w:val="ClinCaseTitle"/>
          <w:lang w:val="pl-PL"/>
        </w:rPr>
        <w:t>Bizottság</w:t>
      </w:r>
      <w:proofErr w:type="spellEnd"/>
      <w:r w:rsidRPr="00C55A4B">
        <w:rPr>
          <w:rStyle w:val="ClinCaseTitle"/>
          <w:lang w:val="pl-PL"/>
        </w:rPr>
        <w:t xml:space="preserve"> p</w:t>
      </w:r>
      <w:r w:rsidR="00445C06" w:rsidRPr="00C55A4B">
        <w:rPr>
          <w:rStyle w:val="ClinCaseTitle"/>
          <w:lang w:val="pl-PL"/>
        </w:rPr>
        <w:t xml:space="preserve">. </w:t>
      </w:r>
      <w:r w:rsidRPr="00C55A4B">
        <w:rPr>
          <w:rStyle w:val="ClinCaseTitle"/>
          <w:lang w:val="pl-PL"/>
        </w:rPr>
        <w:t>Węgrom</w:t>
      </w:r>
      <w:r w:rsidR="00445C06" w:rsidRPr="00C55A4B">
        <w:rPr>
          <w:rStyle w:val="ClinCaseTitle"/>
          <w:lang w:val="pl-PL"/>
        </w:rPr>
        <w:t xml:space="preserve"> [</w:t>
      </w:r>
      <w:r w:rsidRPr="00C55A4B">
        <w:rPr>
          <w:rStyle w:val="ClinCaseTitle"/>
          <w:lang w:val="pl-PL"/>
        </w:rPr>
        <w:t>Wielka Izba</w:t>
      </w:r>
      <w:r w:rsidR="00445C06" w:rsidRPr="00C55A4B">
        <w:rPr>
          <w:rStyle w:val="ClinCaseTitle"/>
          <w:lang w:val="pl-PL"/>
        </w:rPr>
        <w:t>]</w:t>
      </w:r>
      <w:r w:rsidR="00445C06" w:rsidRPr="00C55A4B">
        <w:rPr>
          <w:rStyle w:val="ClinApplicationNumber"/>
          <w:lang w:val="pl-PL"/>
        </w:rPr>
        <w:t xml:space="preserve"> </w:t>
      </w:r>
      <w:r w:rsidRPr="00C55A4B">
        <w:rPr>
          <w:rStyle w:val="ClinApplicationNumber"/>
          <w:lang w:val="pl-PL"/>
        </w:rPr>
        <w:t>–</w:t>
      </w:r>
      <w:r w:rsidR="00445C06" w:rsidRPr="00C55A4B">
        <w:rPr>
          <w:rStyle w:val="ClinApplicationNumber"/>
          <w:lang w:val="pl-PL"/>
        </w:rPr>
        <w:t xml:space="preserve"> </w:t>
      </w:r>
      <w:r w:rsidRPr="00C55A4B">
        <w:rPr>
          <w:rStyle w:val="ClinApplicationNumber"/>
          <w:lang w:val="pl-PL"/>
        </w:rPr>
        <w:t xml:space="preserve">skarga nr </w:t>
      </w:r>
      <w:r w:rsidR="00445C06" w:rsidRPr="00C55A4B">
        <w:rPr>
          <w:rStyle w:val="ClinApplicationNumber"/>
          <w:lang w:val="pl-PL"/>
        </w:rPr>
        <w:t>18030/11</w:t>
      </w:r>
    </w:p>
    <w:p w:rsidR="008075A7" w:rsidRPr="00502FDC" w:rsidRDefault="00502FDC">
      <w:pPr>
        <w:rPr>
          <w:lang w:val="pl-PL"/>
        </w:rPr>
      </w:pPr>
      <w:r w:rsidRPr="00502FDC">
        <w:rPr>
          <w:rStyle w:val="ClinHudocDocumentTitle"/>
          <w:lang w:val="pl-PL"/>
        </w:rPr>
        <w:t xml:space="preserve">Wyrok z </w:t>
      </w:r>
      <w:r w:rsidR="00445C06" w:rsidRPr="00502FDC">
        <w:rPr>
          <w:rStyle w:val="ClinHudocDocumentTitle"/>
          <w:lang w:val="pl-PL"/>
        </w:rPr>
        <w:t>8.11.2016</w:t>
      </w:r>
      <w:r w:rsidRPr="00502FDC">
        <w:rPr>
          <w:rStyle w:val="ClinSectionName"/>
          <w:lang w:val="pl-PL"/>
        </w:rPr>
        <w:t xml:space="preserve"> </w:t>
      </w:r>
      <w:r w:rsidR="001F6E5C">
        <w:rPr>
          <w:rStyle w:val="ClinSectionName"/>
          <w:lang w:val="pl-PL"/>
        </w:rPr>
        <w:t xml:space="preserve">r. </w:t>
      </w:r>
      <w:r w:rsidRPr="00502FDC">
        <w:rPr>
          <w:rStyle w:val="ClinSectionName"/>
          <w:lang w:val="pl-PL"/>
        </w:rPr>
        <w:t>[Wielka Izba</w:t>
      </w:r>
      <w:r w:rsidR="00445C06" w:rsidRPr="00502FDC">
        <w:rPr>
          <w:rStyle w:val="ClinSectionName"/>
          <w:lang w:val="pl-PL"/>
        </w:rPr>
        <w:t>]</w:t>
      </w:r>
    </w:p>
    <w:p w:rsidR="008075A7" w:rsidRPr="00502FDC" w:rsidRDefault="00445C06">
      <w:pPr>
        <w:pStyle w:val="ClinMainKeywordCode"/>
        <w:rPr>
          <w:lang w:val="pl-PL"/>
        </w:rPr>
      </w:pPr>
      <w:r w:rsidRPr="00502FDC">
        <w:rPr>
          <w:lang w:val="pl-PL"/>
        </w:rPr>
        <w:t>Art</w:t>
      </w:r>
      <w:r w:rsidR="00502FDC" w:rsidRPr="00502FDC">
        <w:rPr>
          <w:lang w:val="pl-PL"/>
        </w:rPr>
        <w:t>.</w:t>
      </w:r>
      <w:r w:rsidRPr="00502FDC">
        <w:rPr>
          <w:lang w:val="pl-PL"/>
        </w:rPr>
        <w:t xml:space="preserve"> 10</w:t>
      </w:r>
    </w:p>
    <w:p w:rsidR="008075A7" w:rsidRPr="000426D8" w:rsidRDefault="00445C06">
      <w:pPr>
        <w:pStyle w:val="ClinChildKeywordCode"/>
        <w:rPr>
          <w:lang w:val="pl-PL"/>
        </w:rPr>
      </w:pPr>
      <w:r w:rsidRPr="000426D8">
        <w:rPr>
          <w:lang w:val="pl-PL"/>
        </w:rPr>
        <w:t>Art</w:t>
      </w:r>
      <w:r w:rsidR="00502FDC" w:rsidRPr="000426D8">
        <w:rPr>
          <w:lang w:val="pl-PL"/>
        </w:rPr>
        <w:t>. 10 ust. 1</w:t>
      </w:r>
    </w:p>
    <w:p w:rsidR="008075A7" w:rsidRPr="000426D8" w:rsidRDefault="00502FDC">
      <w:pPr>
        <w:pStyle w:val="ClinKeyword"/>
        <w:rPr>
          <w:lang w:val="pl-PL"/>
        </w:rPr>
      </w:pPr>
      <w:r w:rsidRPr="000426D8">
        <w:rPr>
          <w:lang w:val="pl-PL"/>
        </w:rPr>
        <w:t xml:space="preserve">Wolność otrzymywania informacji </w:t>
      </w:r>
    </w:p>
    <w:p w:rsidR="00644043" w:rsidRPr="00644043" w:rsidRDefault="00644043" w:rsidP="001F6E5C">
      <w:pPr>
        <w:jc w:val="both"/>
        <w:rPr>
          <w:rStyle w:val="ClinHeadNote"/>
          <w:lang w:val="pl-PL"/>
        </w:rPr>
      </w:pPr>
      <w:r w:rsidRPr="00644043">
        <w:rPr>
          <w:rStyle w:val="ClinHeadNote"/>
          <w:lang w:val="pl-PL"/>
        </w:rPr>
        <w:t>Odmowa ze strony władz udzielenia organizacji pozarządowej prowadzącej badanie informacji nt. nazwisk obrońców z urzędu i liczby spraw, w których zostali wyznaczeni</w:t>
      </w:r>
      <w:r>
        <w:rPr>
          <w:rStyle w:val="ClinHeadNote"/>
          <w:lang w:val="pl-PL"/>
        </w:rPr>
        <w:t xml:space="preserve">: </w:t>
      </w:r>
      <w:r w:rsidRPr="00644043">
        <w:rPr>
          <w:rStyle w:val="ClinHeadNote"/>
          <w:i/>
          <w:lang w:val="pl-PL"/>
        </w:rPr>
        <w:t>naruszenie</w:t>
      </w:r>
    </w:p>
    <w:p w:rsidR="00644043" w:rsidRPr="00644043" w:rsidRDefault="00644043">
      <w:pPr>
        <w:pStyle w:val="ClinContent"/>
        <w:rPr>
          <w:lang w:val="pl-PL"/>
        </w:rPr>
      </w:pPr>
      <w:r w:rsidRPr="004A30D0">
        <w:rPr>
          <w:lang w:val="pl-PL"/>
        </w:rPr>
        <w:t>Fakty – Skarżąca organizacja pozarządowa została utworzona w 1989 r. z zadaniem monitorowania implementacji międzynarodowych standardów praw człowieka na Węgrzech i zapewnienia związanej z tym reprezentacji prawnej, oświaty i szkolenia. W kontekście badania skuteczności systemu obrony z urzędu, skarżąca wnioskowała do różnych jednostek policji o podanie nazwisk obrońców publicznych</w:t>
      </w:r>
      <w:r w:rsidR="00C55A4B">
        <w:rPr>
          <w:lang w:val="pl-PL"/>
        </w:rPr>
        <w:t xml:space="preserve">, gromadzonych przez te jednostki, </w:t>
      </w:r>
      <w:r w:rsidRPr="004A30D0">
        <w:rPr>
          <w:lang w:val="pl-PL"/>
        </w:rPr>
        <w:t>oraz liczby spraw, w jakich zostali wyznaczeni. Siedemnaście</w:t>
      </w:r>
      <w:r>
        <w:rPr>
          <w:lang w:val="pl-PL"/>
        </w:rPr>
        <w:t xml:space="preserve"> jednostek policji spełniło prośbę, kolejne pięć przedstawiło żądaną informację po wygranym przez skarżącą postępowaniu. Jednakże, </w:t>
      </w:r>
      <w:r w:rsidR="00C55A4B">
        <w:rPr>
          <w:lang w:val="pl-PL"/>
        </w:rPr>
        <w:t xml:space="preserve">działania skarżącej </w:t>
      </w:r>
      <w:r>
        <w:rPr>
          <w:lang w:val="pl-PL"/>
        </w:rPr>
        <w:t>w odniesieniu do kolejnych dwóch jednostek policji, które odmówiły ujawnienia żądanej informacji</w:t>
      </w:r>
      <w:r w:rsidR="00C55A4B">
        <w:rPr>
          <w:lang w:val="pl-PL"/>
        </w:rPr>
        <w:t>, nie przyniosły powodzenia</w:t>
      </w:r>
      <w:r>
        <w:rPr>
          <w:lang w:val="pl-PL"/>
        </w:rPr>
        <w:t xml:space="preserve">. Skarżąca skarżyła się na podstawie art. 10, że odmowa sądów krajowych nakazania ujawnienia informacji, o którą ubiegała się skarżąca, stanowiła naruszenie jej prawa dostępu do informacji. </w:t>
      </w:r>
    </w:p>
    <w:p w:rsidR="00644043" w:rsidRPr="00C55A4B" w:rsidRDefault="00644043">
      <w:pPr>
        <w:pStyle w:val="ClinContent"/>
        <w:rPr>
          <w:lang w:val="pl-PL"/>
        </w:rPr>
      </w:pPr>
      <w:r w:rsidRPr="00C55A4B">
        <w:rPr>
          <w:i/>
          <w:lang w:val="pl-PL"/>
        </w:rPr>
        <w:t>Prawo</w:t>
      </w:r>
      <w:r w:rsidRPr="00C55A4B">
        <w:rPr>
          <w:lang w:val="pl-PL"/>
        </w:rPr>
        <w:t xml:space="preserve"> – Art. 10</w:t>
      </w:r>
    </w:p>
    <w:p w:rsidR="00644043" w:rsidRPr="00C55A4B" w:rsidRDefault="00644043">
      <w:pPr>
        <w:pStyle w:val="ClinContent"/>
        <w:rPr>
          <w:lang w:val="pl-PL"/>
        </w:rPr>
      </w:pPr>
      <w:r w:rsidRPr="00644043">
        <w:rPr>
          <w:lang w:val="pl-PL"/>
        </w:rPr>
        <w:t xml:space="preserve">(a) </w:t>
      </w:r>
      <w:r w:rsidRPr="00C55A4B">
        <w:rPr>
          <w:i/>
          <w:lang w:val="pl-PL"/>
        </w:rPr>
        <w:t>Zastosowalność i istnienie ingerencji</w:t>
      </w:r>
      <w:r w:rsidRPr="00644043">
        <w:rPr>
          <w:lang w:val="pl-PL"/>
        </w:rPr>
        <w:t xml:space="preserve"> – Konwencję należy interpretować w świetle zasad przewidzianych przez art. </w:t>
      </w:r>
      <w:r>
        <w:rPr>
          <w:lang w:val="pl-PL"/>
        </w:rPr>
        <w:t xml:space="preserve">31 – 33 Konwencji wiedeńskiej </w:t>
      </w:r>
      <w:r w:rsidR="00C55A4B">
        <w:rPr>
          <w:lang w:val="pl-PL"/>
        </w:rPr>
        <w:t xml:space="preserve">z 1969 r. </w:t>
      </w:r>
      <w:r>
        <w:rPr>
          <w:lang w:val="pl-PL"/>
        </w:rPr>
        <w:t xml:space="preserve">o prawie traktatów oraz przedmiotu i celu Konwencji rozpatrywanej jako całości. Trybunał nie mógł zignorować powszechnych międzynarodowych i prawnokrajowych standardów Państw Europejskich, a konsensus wyłaniający się z wyspecjalizowanych instrumentów międzynarodowych oraz praktyki Układających się Państw również może stanowić istotną okoliczność. </w:t>
      </w:r>
      <w:r w:rsidR="00C55A4B">
        <w:rPr>
          <w:lang w:val="pl-PL"/>
        </w:rPr>
        <w:t>Wreszcie, dokonując wykładni Konwencji, można się uciec również do uzupełniających środków wykładni, w tym do</w:t>
      </w:r>
      <w:r w:rsidR="0083713F">
        <w:rPr>
          <w:lang w:val="pl-PL"/>
        </w:rPr>
        <w:t xml:space="preserve"> </w:t>
      </w:r>
      <w:hyperlink r:id="rId8" w:history="1">
        <w:proofErr w:type="spellStart"/>
        <w:r w:rsidR="0083713F" w:rsidRPr="0083713F">
          <w:rPr>
            <w:rStyle w:val="Hipercze"/>
            <w:i/>
            <w:lang w:val="pl-PL"/>
          </w:rPr>
          <w:t>travaux</w:t>
        </w:r>
        <w:proofErr w:type="spellEnd"/>
        <w:r w:rsidR="0083713F" w:rsidRPr="0083713F">
          <w:rPr>
            <w:rStyle w:val="Hipercze"/>
            <w:i/>
            <w:lang w:val="pl-PL"/>
          </w:rPr>
          <w:t xml:space="preserve"> </w:t>
        </w:r>
        <w:proofErr w:type="spellStart"/>
        <w:r w:rsidR="0083713F" w:rsidRPr="0083713F">
          <w:rPr>
            <w:rStyle w:val="Hipercze"/>
            <w:i/>
            <w:lang w:val="pl-PL"/>
          </w:rPr>
          <w:t>préparatoires</w:t>
        </w:r>
        <w:proofErr w:type="spellEnd"/>
      </w:hyperlink>
      <w:r w:rsidR="00C55A4B" w:rsidRPr="00C55A4B">
        <w:rPr>
          <w:rStyle w:val="Hipercze"/>
          <w:i/>
          <w:lang w:val="pl-PL"/>
        </w:rPr>
        <w:t>.</w:t>
      </w:r>
    </w:p>
    <w:p w:rsidR="00644043" w:rsidRPr="00644043" w:rsidRDefault="00644043">
      <w:pPr>
        <w:pStyle w:val="ClinContent"/>
        <w:rPr>
          <w:lang w:val="pl-PL"/>
        </w:rPr>
      </w:pPr>
      <w:r w:rsidRPr="00644043">
        <w:rPr>
          <w:lang w:val="pl-PL"/>
        </w:rPr>
        <w:t>W świetle tych zasad Trybunał musiał stwierdz</w:t>
      </w:r>
      <w:r>
        <w:rPr>
          <w:lang w:val="pl-PL"/>
        </w:rPr>
        <w:t xml:space="preserve">ić, czy i do jakiego stopnia prawo dostępu do informacji </w:t>
      </w:r>
      <w:r w:rsidR="00320E2B">
        <w:rPr>
          <w:lang w:val="pl-PL"/>
        </w:rPr>
        <w:t xml:space="preserve">posiadanej przez Państwo może być postrzegane jako objęte zakresem art. </w:t>
      </w:r>
      <w:r w:rsidR="00320E2B">
        <w:rPr>
          <w:lang w:val="pl-PL"/>
        </w:rPr>
        <w:lastRenderedPageBreak/>
        <w:t xml:space="preserve">10, pomimo że prawo takie nie jest na pierwszy rzut widoczne w tekście tego postanowienia. </w:t>
      </w:r>
    </w:p>
    <w:p w:rsidR="00320E2B" w:rsidRDefault="00320E2B">
      <w:pPr>
        <w:pStyle w:val="ClinContent"/>
        <w:rPr>
          <w:lang w:val="pl-PL"/>
        </w:rPr>
      </w:pPr>
      <w:r>
        <w:rPr>
          <w:lang w:val="pl-PL"/>
        </w:rPr>
        <w:t xml:space="preserve">Prawo </w:t>
      </w:r>
      <w:r w:rsidRPr="00320E2B">
        <w:rPr>
          <w:lang w:val="pl-PL"/>
        </w:rPr>
        <w:t xml:space="preserve">krajowe w większości Państw Stron </w:t>
      </w:r>
      <w:r>
        <w:rPr>
          <w:lang w:val="pl-PL"/>
        </w:rPr>
        <w:t>uznawało</w:t>
      </w:r>
      <w:r w:rsidRPr="00320E2B">
        <w:rPr>
          <w:lang w:val="pl-PL"/>
        </w:rPr>
        <w:t xml:space="preserve"> </w:t>
      </w:r>
      <w:r>
        <w:rPr>
          <w:lang w:val="pl-PL"/>
        </w:rPr>
        <w:t xml:space="preserve">ustawowe prawo dostępu do informacji i istniał szeroki konsensus co do potrzeby uznania indywidualnego prawa dostępu do informacji posiadanej przez Państwo w celu umożliwienia opinii publicznej badania i wyrobienia sobie zdania na temat każdej sprawy o znaczeniu publicznym, w tym sposobu funkcjonowania władz publicznych w społeczeństwie demokratycznym. Również na poziomie międzynarodowym wyłonił się </w:t>
      </w:r>
      <w:r w:rsidR="00C55A4B">
        <w:rPr>
          <w:lang w:val="pl-PL"/>
        </w:rPr>
        <w:t xml:space="preserve">w dużym stopniu </w:t>
      </w:r>
      <w:r>
        <w:rPr>
          <w:lang w:val="pl-PL"/>
        </w:rPr>
        <w:t xml:space="preserve">konsensus. W szczególności, prawo poszukiwania informacji zostało wyraźnie zagwarantowane przez art. 19 </w:t>
      </w:r>
      <w:hyperlink r:id="rId9" w:history="1">
        <w:r w:rsidRPr="00320E2B">
          <w:rPr>
            <w:rStyle w:val="Hipercze"/>
            <w:lang w:val="pl-PL"/>
          </w:rPr>
          <w:t>Międzynarodowego Paktu Praw Obywatelskich i Politycznych z 1966 r.</w:t>
        </w:r>
      </w:hyperlink>
      <w:r>
        <w:rPr>
          <w:lang w:val="pl-PL"/>
        </w:rPr>
        <w:t xml:space="preserve">, a istnienie prawa dostępu do informacji zostało wielokrotnie potwierdzone przez Komitet Praw Człowieka Narodów Zjednoczonych. Dodatkowo, art. 42 </w:t>
      </w:r>
      <w:hyperlink r:id="rId10" w:history="1">
        <w:r w:rsidRPr="00320E2B">
          <w:rPr>
            <w:rStyle w:val="Hipercze"/>
            <w:lang w:val="pl-PL"/>
          </w:rPr>
          <w:t>Karty Praw Podstawowych Unii Europejskiej</w:t>
        </w:r>
      </w:hyperlink>
      <w:r>
        <w:rPr>
          <w:lang w:val="pl-PL"/>
        </w:rPr>
        <w:t xml:space="preserve"> </w:t>
      </w:r>
      <w:r w:rsidR="0026794C">
        <w:rPr>
          <w:lang w:val="pl-PL"/>
        </w:rPr>
        <w:t xml:space="preserve">gwarantował obywatelom prawo dostępu do pewnych dokumentów. Przyjęcie przez Radę Europy </w:t>
      </w:r>
      <w:hyperlink r:id="rId11" w:history="1">
        <w:r w:rsidR="0026794C" w:rsidRPr="0026794C">
          <w:rPr>
            <w:rStyle w:val="Hipercze"/>
            <w:lang w:val="pl-PL"/>
          </w:rPr>
          <w:t>Konwencji o dostępie do dokumentów urzędowych</w:t>
        </w:r>
      </w:hyperlink>
      <w:r w:rsidR="0026794C">
        <w:rPr>
          <w:lang w:val="pl-PL"/>
        </w:rPr>
        <w:t xml:space="preserve">, choć została ona ratyfikowana jedynie przez siedem Państw Członkowskich, oznaczał trwającą ewolucję w kierunku uznania obowiązku Państwa zapewnienia dostępu do informacji publicznej. </w:t>
      </w:r>
    </w:p>
    <w:p w:rsidR="0026794C" w:rsidRPr="0026794C" w:rsidRDefault="0026794C">
      <w:pPr>
        <w:pStyle w:val="ClinContent"/>
        <w:rPr>
          <w:lang w:val="pl-PL"/>
        </w:rPr>
      </w:pPr>
      <w:r w:rsidRPr="0026794C">
        <w:rPr>
          <w:lang w:val="pl-PL"/>
        </w:rPr>
        <w:t xml:space="preserve">Biorąc pod uwagę te czynniki Trybunał nie uznał, że zachodzą przeszkody interpretowania przez niego art. </w:t>
      </w:r>
      <w:r>
        <w:rPr>
          <w:lang w:val="pl-PL"/>
        </w:rPr>
        <w:t>10 ust. 1 jako zawierającego prawo dostępu do informacji. Trybunał uznał, że w interesie pewności prawnej, przewidywalności i równości wobec prawa nie powinien bez powodu odchodzić od precedensów ustanowionych w poprzednich sprawach</w:t>
      </w:r>
      <w:r w:rsidRPr="0026794C">
        <w:rPr>
          <w:lang w:val="pl-PL"/>
        </w:rPr>
        <w:t>*</w:t>
      </w:r>
      <w:r>
        <w:rPr>
          <w:lang w:val="pl-PL"/>
        </w:rPr>
        <w:t xml:space="preserve">, jednakże, ponieważ Konwencja po pierwsze i przede wszystkich stanowi system ochrony praw człowieka, należy mieć wzgląd również na zmieniające się warunki w Układających się Państwach, a Trybunał musi odpowiadać na wszelkie kształtujące się </w:t>
      </w:r>
      <w:r w:rsidR="004A30D0">
        <w:rPr>
          <w:lang w:val="pl-PL"/>
        </w:rPr>
        <w:t>zbieżności</w:t>
      </w:r>
      <w:r w:rsidR="00C22DDD">
        <w:rPr>
          <w:lang w:val="pl-PL"/>
        </w:rPr>
        <w:t xml:space="preserve"> co</w:t>
      </w:r>
      <w:r w:rsidR="004A30D0">
        <w:rPr>
          <w:lang w:val="pl-PL"/>
        </w:rPr>
        <w:t xml:space="preserve"> do standardów</w:t>
      </w:r>
      <w:r>
        <w:rPr>
          <w:lang w:val="pl-PL"/>
        </w:rPr>
        <w:t xml:space="preserve">, jakie należy osiągać. </w:t>
      </w:r>
    </w:p>
    <w:p w:rsidR="0026794C" w:rsidRPr="0026794C" w:rsidRDefault="0026794C">
      <w:pPr>
        <w:pStyle w:val="ClinContent"/>
        <w:rPr>
          <w:lang w:val="pl-PL"/>
        </w:rPr>
      </w:pPr>
      <w:r w:rsidRPr="0026794C">
        <w:rPr>
          <w:lang w:val="pl-PL"/>
        </w:rPr>
        <w:t>Prawo</w:t>
      </w:r>
      <w:r w:rsidR="00AE29E5">
        <w:rPr>
          <w:lang w:val="pl-PL"/>
        </w:rPr>
        <w:t xml:space="preserve"> do</w:t>
      </w:r>
      <w:r w:rsidRPr="0026794C">
        <w:rPr>
          <w:lang w:val="pl-PL"/>
        </w:rPr>
        <w:t xml:space="preserve"> otrzymywania informacji nie powinno być </w:t>
      </w:r>
      <w:r>
        <w:rPr>
          <w:lang w:val="pl-PL"/>
        </w:rPr>
        <w:t>kształtowane jako nakładające</w:t>
      </w:r>
      <w:r w:rsidR="00AF5E97" w:rsidRPr="00AF5E97">
        <w:rPr>
          <w:lang w:val="pl-PL"/>
        </w:rPr>
        <w:t xml:space="preserve"> </w:t>
      </w:r>
      <w:r w:rsidR="00AF5E97">
        <w:rPr>
          <w:lang w:val="pl-PL"/>
        </w:rPr>
        <w:t>na Państwo</w:t>
      </w:r>
      <w:r>
        <w:rPr>
          <w:lang w:val="pl-PL"/>
        </w:rPr>
        <w:t xml:space="preserve"> pozytywne obowiązki zbierania i rozpowszechniania informacji z własnej inic</w:t>
      </w:r>
      <w:r w:rsidR="00C55A4B">
        <w:rPr>
          <w:lang w:val="pl-PL"/>
        </w:rPr>
        <w:t>jatywy, a art. 10 nie przyznaje</w:t>
      </w:r>
      <w:r>
        <w:rPr>
          <w:lang w:val="pl-PL"/>
        </w:rPr>
        <w:t xml:space="preserve"> indywidualnego prawa do </w:t>
      </w:r>
      <w:r w:rsidR="00C55A4B">
        <w:rPr>
          <w:lang w:val="pl-PL"/>
        </w:rPr>
        <w:t xml:space="preserve">dostępu do </w:t>
      </w:r>
      <w:r>
        <w:rPr>
          <w:lang w:val="pl-PL"/>
        </w:rPr>
        <w:t>informacji posiadanej przez władz</w:t>
      </w:r>
      <w:r w:rsidR="00C55A4B">
        <w:rPr>
          <w:lang w:val="pl-PL"/>
        </w:rPr>
        <w:t>ę publiczną ani nie zobowiązuje</w:t>
      </w:r>
      <w:r>
        <w:rPr>
          <w:lang w:val="pl-PL"/>
        </w:rPr>
        <w:t xml:space="preserve"> rządu do udzielania takiej informacji jednostce. Jednakże, prawo takie lub obowiązek może się pojawiać, po pierwsze, tam gdzie ujawnienie informacji zostało nakazane zarządzeniem sądu, które zyskało moc prawną, a także, po drugie, w </w:t>
      </w:r>
      <w:r w:rsidR="005B1566">
        <w:rPr>
          <w:lang w:val="pl-PL"/>
        </w:rPr>
        <w:t>okolicznościach</w:t>
      </w:r>
      <w:r>
        <w:rPr>
          <w:lang w:val="pl-PL"/>
        </w:rPr>
        <w:t xml:space="preserve">, w których dostęp do informacji </w:t>
      </w:r>
      <w:r w:rsidR="00C55A4B">
        <w:rPr>
          <w:lang w:val="pl-PL"/>
        </w:rPr>
        <w:t>jest</w:t>
      </w:r>
      <w:r>
        <w:rPr>
          <w:lang w:val="pl-PL"/>
        </w:rPr>
        <w:t xml:space="preserve"> kluczowy dla wykonywania przez jednostkę jej prawa do wolności wyrażania opinii, w szczególności wolności </w:t>
      </w:r>
      <w:r w:rsidR="005B1566">
        <w:rPr>
          <w:lang w:val="pl-PL"/>
        </w:rPr>
        <w:t>otrzymywania i przekazywania informacji</w:t>
      </w:r>
      <w:r w:rsidR="00A7380E">
        <w:rPr>
          <w:lang w:val="pl-PL"/>
        </w:rPr>
        <w:t>,</w:t>
      </w:r>
      <w:r w:rsidR="005B1566">
        <w:rPr>
          <w:lang w:val="pl-PL"/>
        </w:rPr>
        <w:t xml:space="preserve"> oraz gdy jej odmowa stanowiła ingerencję w to prawo. </w:t>
      </w:r>
    </w:p>
    <w:p w:rsidR="005B1566" w:rsidRPr="001F6E5C" w:rsidRDefault="005B1566">
      <w:pPr>
        <w:pStyle w:val="ClinContent"/>
        <w:rPr>
          <w:b/>
          <w:lang w:val="pl-PL"/>
        </w:rPr>
      </w:pPr>
      <w:r w:rsidRPr="005B1566">
        <w:rPr>
          <w:lang w:val="pl-PL"/>
        </w:rPr>
        <w:t>To, czy i w jakim stopniu odmowa dostępu do informa</w:t>
      </w:r>
      <w:r w:rsidR="00A7380E">
        <w:rPr>
          <w:lang w:val="pl-PL"/>
        </w:rPr>
        <w:t>cji stanowi</w:t>
      </w:r>
      <w:r w:rsidRPr="005B1566">
        <w:rPr>
          <w:lang w:val="pl-PL"/>
        </w:rPr>
        <w:t xml:space="preserve"> ingerencję w wolność wyrażania opinii skarżącego</w:t>
      </w:r>
      <w:r w:rsidR="00C55A4B">
        <w:rPr>
          <w:lang w:val="pl-PL"/>
        </w:rPr>
        <w:t>,</w:t>
      </w:r>
      <w:r w:rsidRPr="005B1566">
        <w:rPr>
          <w:lang w:val="pl-PL"/>
        </w:rPr>
        <w:t xml:space="preserve"> należy oceniać w każdej indywidualnej sprawie i </w:t>
      </w:r>
      <w:r>
        <w:rPr>
          <w:lang w:val="pl-PL"/>
        </w:rPr>
        <w:t>w świetle jej szczególnych okoliczności, w tym: (i)</w:t>
      </w:r>
      <w:r w:rsidRPr="005B1566">
        <w:rPr>
          <w:lang w:val="pl-PL"/>
        </w:rPr>
        <w:t xml:space="preserve"> </w:t>
      </w:r>
      <w:r>
        <w:rPr>
          <w:lang w:val="pl-PL"/>
        </w:rPr>
        <w:t>celu wniosku o informację; (ii)</w:t>
      </w:r>
      <w:r w:rsidRPr="005B1566">
        <w:rPr>
          <w:lang w:val="pl-PL"/>
        </w:rPr>
        <w:t xml:space="preserve"> </w:t>
      </w:r>
      <w:r w:rsidR="00AF5E97">
        <w:rPr>
          <w:lang w:val="pl-PL"/>
        </w:rPr>
        <w:t xml:space="preserve">charakteru wnioskowanej </w:t>
      </w:r>
      <w:r>
        <w:rPr>
          <w:lang w:val="pl-PL"/>
        </w:rPr>
        <w:t>informacji (iii)</w:t>
      </w:r>
      <w:r w:rsidRPr="005B1566">
        <w:rPr>
          <w:lang w:val="pl-PL"/>
        </w:rPr>
        <w:t xml:space="preserve"> </w:t>
      </w:r>
      <w:r>
        <w:rPr>
          <w:lang w:val="pl-PL"/>
        </w:rPr>
        <w:t xml:space="preserve">roli skarżącego; a także (iv) czy informacja jest gotowa i dostępna. Trybunał </w:t>
      </w:r>
      <w:r w:rsidR="00215625">
        <w:rPr>
          <w:lang w:val="pl-PL"/>
        </w:rPr>
        <w:t>uznał</w:t>
      </w:r>
      <w:r>
        <w:rPr>
          <w:lang w:val="pl-PL"/>
        </w:rPr>
        <w:t xml:space="preserve">, że skarżąca w obecnej sprawie chciała wykonywać prawo do przekazywania informacji w sprawie o znaczeniu publicznym i ubiegała się o dostęp do informacji w tym celu, a informacja ta była konieczna do wykonywania jej prawa do wolności wyrażania opinii. Informacja w sprawie wyznaczania obrońców z urzędu nieuchronnie miała </w:t>
      </w:r>
      <w:r w:rsidR="001A47E2">
        <w:rPr>
          <w:lang w:val="pl-PL"/>
        </w:rPr>
        <w:t>istotne</w:t>
      </w:r>
      <w:r>
        <w:rPr>
          <w:lang w:val="pl-PL"/>
        </w:rPr>
        <w:t xml:space="preserve"> znaczenie w interesie publicznym. Nie było powodów, by wątpić, że przedmiotowe badanie </w:t>
      </w:r>
      <w:r w:rsidR="001A47E2">
        <w:rPr>
          <w:lang w:val="pl-PL"/>
        </w:rPr>
        <w:t>obejmowało</w:t>
      </w:r>
      <w:r>
        <w:rPr>
          <w:lang w:val="pl-PL"/>
        </w:rPr>
        <w:t xml:space="preserve"> informacje, które skarżąca zobowiązała się przekazywać opinii publicznej, a opinia publiczna miała prawo j</w:t>
      </w:r>
      <w:r w:rsidR="00A7380E">
        <w:rPr>
          <w:lang w:val="pl-PL"/>
        </w:rPr>
        <w:t>e</w:t>
      </w:r>
      <w:r>
        <w:rPr>
          <w:lang w:val="pl-PL"/>
        </w:rPr>
        <w:t xml:space="preserve"> otrzymać</w:t>
      </w:r>
      <w:r w:rsidR="001A47E2">
        <w:rPr>
          <w:lang w:val="pl-PL"/>
        </w:rPr>
        <w:t>,</w:t>
      </w:r>
      <w:r>
        <w:rPr>
          <w:lang w:val="pl-PL"/>
        </w:rPr>
        <w:t xml:space="preserve"> Trybunał </w:t>
      </w:r>
      <w:r w:rsidR="001A47E2">
        <w:rPr>
          <w:lang w:val="pl-PL"/>
        </w:rPr>
        <w:t xml:space="preserve">zaś </w:t>
      </w:r>
      <w:r>
        <w:rPr>
          <w:lang w:val="pl-PL"/>
        </w:rPr>
        <w:t>u</w:t>
      </w:r>
      <w:r w:rsidR="00C304A7">
        <w:rPr>
          <w:lang w:val="pl-PL"/>
        </w:rPr>
        <w:t>znał</w:t>
      </w:r>
      <w:r>
        <w:rPr>
          <w:lang w:val="pl-PL"/>
        </w:rPr>
        <w:t>, że dla wypełnienia przez skarżącą tego z</w:t>
      </w:r>
      <w:r w:rsidR="00AF5E97">
        <w:rPr>
          <w:lang w:val="pl-PL"/>
        </w:rPr>
        <w:t>a</w:t>
      </w:r>
      <w:r>
        <w:rPr>
          <w:lang w:val="pl-PL"/>
        </w:rPr>
        <w:t xml:space="preserve">dania konieczne było uzyskanie dostępu do żądanej informacji. </w:t>
      </w:r>
      <w:r w:rsidRPr="001F6E5C">
        <w:rPr>
          <w:lang w:val="pl-PL"/>
        </w:rPr>
        <w:t xml:space="preserve">Wreszcie, informacja była gotowa i dostępna. </w:t>
      </w:r>
    </w:p>
    <w:p w:rsidR="005B1566" w:rsidRPr="005B1566" w:rsidRDefault="005B1566">
      <w:pPr>
        <w:pStyle w:val="ClinContent"/>
        <w:rPr>
          <w:lang w:val="pl-PL"/>
        </w:rPr>
      </w:pPr>
      <w:r w:rsidRPr="005B1566">
        <w:rPr>
          <w:lang w:val="pl-PL"/>
        </w:rPr>
        <w:t xml:space="preserve">Doszło zatem do ingerencji w prawo chronione na mocy art. </w:t>
      </w:r>
      <w:r>
        <w:rPr>
          <w:lang w:val="pl-PL"/>
        </w:rPr>
        <w:t xml:space="preserve">10, który miał zastosowanie w tej sprawie. </w:t>
      </w:r>
    </w:p>
    <w:p w:rsidR="0095582F" w:rsidRPr="0095582F" w:rsidRDefault="0095582F">
      <w:pPr>
        <w:pStyle w:val="ClinContent"/>
        <w:rPr>
          <w:lang w:val="pl-PL"/>
        </w:rPr>
      </w:pPr>
      <w:r w:rsidRPr="0095582F">
        <w:rPr>
          <w:lang w:val="pl-PL"/>
        </w:rPr>
        <w:lastRenderedPageBreak/>
        <w:t xml:space="preserve">(b) </w:t>
      </w:r>
      <w:r w:rsidRPr="0095582F">
        <w:rPr>
          <w:i/>
          <w:lang w:val="pl-PL"/>
        </w:rPr>
        <w:t xml:space="preserve">Czy ingerencja była uzasadniona </w:t>
      </w:r>
      <w:r>
        <w:rPr>
          <w:i/>
          <w:lang w:val="pl-PL"/>
        </w:rPr>
        <w:t>–</w:t>
      </w:r>
      <w:r w:rsidRPr="0095582F">
        <w:rPr>
          <w:i/>
          <w:lang w:val="pl-PL"/>
        </w:rPr>
        <w:t xml:space="preserve"> </w:t>
      </w:r>
      <w:r>
        <w:rPr>
          <w:lang w:val="pl-PL"/>
        </w:rPr>
        <w:t>Trybunał zgodził się, że ingerencja była przewidziana przez ustawę, a ograniczenie wolnoś</w:t>
      </w:r>
      <w:r w:rsidR="00595899">
        <w:rPr>
          <w:lang w:val="pl-PL"/>
        </w:rPr>
        <w:t>ci</w:t>
      </w:r>
      <w:r>
        <w:rPr>
          <w:lang w:val="pl-PL"/>
        </w:rPr>
        <w:t xml:space="preserve"> wyrażania opinii skarżącej </w:t>
      </w:r>
      <w:r w:rsidR="00595899">
        <w:rPr>
          <w:lang w:val="pl-PL"/>
        </w:rPr>
        <w:t>służyło</w:t>
      </w:r>
      <w:r>
        <w:rPr>
          <w:lang w:val="pl-PL"/>
        </w:rPr>
        <w:t xml:space="preserve"> uprawnion</w:t>
      </w:r>
      <w:r w:rsidR="00595899">
        <w:rPr>
          <w:lang w:val="pl-PL"/>
        </w:rPr>
        <w:t>emu</w:t>
      </w:r>
      <w:r>
        <w:rPr>
          <w:lang w:val="pl-PL"/>
        </w:rPr>
        <w:t xml:space="preserve"> cel</w:t>
      </w:r>
      <w:r w:rsidR="00595899">
        <w:rPr>
          <w:lang w:val="pl-PL"/>
        </w:rPr>
        <w:t>owi</w:t>
      </w:r>
      <w:r>
        <w:rPr>
          <w:lang w:val="pl-PL"/>
        </w:rPr>
        <w:t xml:space="preserve"> ochrony praw innych osób. Wniosek o dane, choć składające się z danych osobowych, w głównej mierze odnosił się do prowadzenia działalności zawodowej w kontekście postępowań publicznych. W tym sensie, działania zawodowe obrońców z urzędu nie mogą być uważane za sprawę prywatną. </w:t>
      </w:r>
      <w:r w:rsidR="00CC6D44">
        <w:rPr>
          <w:lang w:val="pl-PL"/>
        </w:rPr>
        <w:t xml:space="preserve">Wnioskowana  </w:t>
      </w:r>
      <w:r>
        <w:rPr>
          <w:lang w:val="pl-PL"/>
        </w:rPr>
        <w:t xml:space="preserve">informacja nie odnosiła się do działań obrońców </w:t>
      </w:r>
      <w:r w:rsidR="00696B7C">
        <w:rPr>
          <w:lang w:val="pl-PL"/>
        </w:rPr>
        <w:t xml:space="preserve">wyznaczonych </w:t>
      </w:r>
      <w:r>
        <w:rPr>
          <w:lang w:val="pl-PL"/>
        </w:rPr>
        <w:t xml:space="preserve">z urzędu lub decyzji w związku z wykonywaniem przez nich ich zadań jako przedstawicieli prawnych lub konsultacji z ich klientami, a rząd nie wykazał, że ujawnienie żądanej informacji mogło wpłynąć na korzystanie przez obrońców z urzędu </w:t>
      </w:r>
      <w:r w:rsidR="001A47E2">
        <w:rPr>
          <w:lang w:val="pl-PL"/>
        </w:rPr>
        <w:t>z</w:t>
      </w:r>
      <w:r w:rsidR="00696B7C">
        <w:rPr>
          <w:lang w:val="pl-PL"/>
        </w:rPr>
        <w:t xml:space="preserve"> ich prawa do poszanowania życia prywatnego w rozumieniu art. 8 Konwencji. Brak było powodu, by zakładać, że informacja na temat nazwisk i wyznaczenia obrońców z urzędu nie była znana opinii publicznej za pomocą innych środków. Interesy, które p</w:t>
      </w:r>
      <w:r w:rsidR="00CC6D44">
        <w:rPr>
          <w:lang w:val="pl-PL"/>
        </w:rPr>
        <w:t>rzy</w:t>
      </w:r>
      <w:r w:rsidR="00696B7C">
        <w:rPr>
          <w:lang w:val="pl-PL"/>
        </w:rPr>
        <w:t xml:space="preserve">wołał rząd w odniesieniu do art. 8, nie były takiej natury i stopnia, by uzasadniać zastosowanie tego postanowienia i </w:t>
      </w:r>
      <w:r w:rsidR="00CC6D44">
        <w:rPr>
          <w:lang w:val="pl-PL"/>
        </w:rPr>
        <w:t>stawianie go na szali z</w:t>
      </w:r>
      <w:r w:rsidR="00696B7C">
        <w:rPr>
          <w:lang w:val="pl-PL"/>
        </w:rPr>
        <w:t xml:space="preserve"> praw</w:t>
      </w:r>
      <w:r w:rsidR="00CC6D44">
        <w:rPr>
          <w:lang w:val="pl-PL"/>
        </w:rPr>
        <w:t>em</w:t>
      </w:r>
      <w:r w:rsidR="00696B7C">
        <w:rPr>
          <w:lang w:val="pl-PL"/>
        </w:rPr>
        <w:t xml:space="preserve"> skarżącej chronion</w:t>
      </w:r>
      <w:r w:rsidR="00CC6D44">
        <w:rPr>
          <w:lang w:val="pl-PL"/>
        </w:rPr>
        <w:t>ym</w:t>
      </w:r>
      <w:r w:rsidR="00696B7C">
        <w:rPr>
          <w:lang w:val="pl-PL"/>
        </w:rPr>
        <w:t xml:space="preserve"> przez art. 10. </w:t>
      </w:r>
    </w:p>
    <w:p w:rsidR="00696B7C" w:rsidRPr="00696B7C" w:rsidRDefault="00696B7C">
      <w:pPr>
        <w:pStyle w:val="ClinContent"/>
        <w:rPr>
          <w:lang w:val="pl-PL"/>
        </w:rPr>
      </w:pPr>
      <w:r w:rsidRPr="00696B7C">
        <w:rPr>
          <w:lang w:val="pl-PL"/>
        </w:rPr>
        <w:t xml:space="preserve">Przedmiot badania dotyczył skuteczności system obrony z urzędu </w:t>
      </w:r>
      <w:r>
        <w:rPr>
          <w:lang w:val="pl-PL"/>
        </w:rPr>
        <w:t>i</w:t>
      </w:r>
      <w:r w:rsidRPr="00696B7C">
        <w:rPr>
          <w:lang w:val="pl-PL"/>
        </w:rPr>
        <w:t xml:space="preserve"> był blisko powiązany z prawem do </w:t>
      </w:r>
      <w:r>
        <w:rPr>
          <w:lang w:val="pl-PL"/>
        </w:rPr>
        <w:t>sprawiedliwego rozpatrzenia sprawy, podstawowym prawem na gruncie prawa węgierskiego i prawem o najwyższym znaczeniu na podstawie Konwencji. Wszelk</w:t>
      </w:r>
      <w:r w:rsidR="000426D8">
        <w:rPr>
          <w:lang w:val="pl-PL"/>
        </w:rPr>
        <w:t>ą krytykę</w:t>
      </w:r>
      <w:r>
        <w:rPr>
          <w:lang w:val="pl-PL"/>
        </w:rPr>
        <w:t xml:space="preserve"> lub sugerowane ulepszenia względem usługi tak blisko powiązanej z prawami do rzetelnego procesu należy postrzegać jako temat uprawnionego zainteresowania opinii publicznej. Trybunał uznał, że skarżąca zamierzała wnieść wkład do debaty na temat sprawy o znaczeniu publicznym, a odmowa uwzględnienia jej wniosku faktycznie utrudniła wniesienie jej wkładu do debaty publicznej o sprawie o znaczeniu ogólnym. Choć informacja dotyczyła danych osobowych, nie obejmowała informacji spoza domeny publicznej. Trybunał uznał, że </w:t>
      </w:r>
      <w:r w:rsidR="001A47E2">
        <w:rPr>
          <w:lang w:val="pl-PL"/>
        </w:rPr>
        <w:t xml:space="preserve">niezależnie od </w:t>
      </w:r>
      <w:r>
        <w:rPr>
          <w:lang w:val="pl-PL"/>
        </w:rPr>
        <w:t xml:space="preserve">marginesu oceny Państwa, nie zachowano rozsądnej </w:t>
      </w:r>
      <w:r w:rsidR="000500D0">
        <w:rPr>
          <w:lang w:val="pl-PL"/>
        </w:rPr>
        <w:t xml:space="preserve">proporcji </w:t>
      </w:r>
      <w:r>
        <w:rPr>
          <w:lang w:val="pl-PL"/>
        </w:rPr>
        <w:t xml:space="preserve">między zaskarżonym środkiem a uprawnionym celem, któremu miał on służyć. </w:t>
      </w:r>
    </w:p>
    <w:p w:rsidR="00696B7C" w:rsidRPr="00696B7C" w:rsidRDefault="00696B7C">
      <w:pPr>
        <w:pStyle w:val="ClinContent"/>
        <w:rPr>
          <w:lang w:val="pl-PL"/>
        </w:rPr>
      </w:pPr>
      <w:r w:rsidRPr="00696B7C">
        <w:rPr>
          <w:i/>
          <w:lang w:val="pl-PL"/>
        </w:rPr>
        <w:t>Rozstrzygnięcie</w:t>
      </w:r>
      <w:r w:rsidRPr="00696B7C">
        <w:rPr>
          <w:lang w:val="pl-PL"/>
        </w:rPr>
        <w:t>: narus</w:t>
      </w:r>
      <w:r>
        <w:rPr>
          <w:lang w:val="pl-PL"/>
        </w:rPr>
        <w:t>z</w:t>
      </w:r>
      <w:r w:rsidRPr="00696B7C">
        <w:rPr>
          <w:lang w:val="pl-PL"/>
        </w:rPr>
        <w:t>enie (piętnastoma głosami do dwóch)</w:t>
      </w:r>
      <w:r w:rsidR="00570504">
        <w:rPr>
          <w:lang w:val="pl-PL"/>
        </w:rPr>
        <w:t>.</w:t>
      </w:r>
    </w:p>
    <w:p w:rsidR="00696B7C" w:rsidRDefault="00445C06">
      <w:pPr>
        <w:pStyle w:val="ClinContent"/>
        <w:rPr>
          <w:lang w:val="pl-PL"/>
        </w:rPr>
      </w:pPr>
      <w:r w:rsidRPr="00696B7C">
        <w:rPr>
          <w:lang w:val="pl-PL"/>
        </w:rPr>
        <w:t>Art</w:t>
      </w:r>
      <w:r w:rsidR="00696B7C" w:rsidRPr="00696B7C">
        <w:rPr>
          <w:lang w:val="pl-PL"/>
        </w:rPr>
        <w:t>.</w:t>
      </w:r>
      <w:r w:rsidRPr="00696B7C">
        <w:rPr>
          <w:lang w:val="pl-PL"/>
        </w:rPr>
        <w:t xml:space="preserve"> 41: </w:t>
      </w:r>
      <w:r w:rsidR="00696B7C" w:rsidRPr="00696B7C">
        <w:rPr>
          <w:lang w:val="pl-PL"/>
        </w:rPr>
        <w:t>215 euro z tytułu szkody majątkowej; nie zgłoszono roszcze</w:t>
      </w:r>
      <w:r w:rsidR="00696B7C">
        <w:rPr>
          <w:lang w:val="pl-PL"/>
        </w:rPr>
        <w:t>ń z tytułu szkody niemajątkowej.</w:t>
      </w:r>
    </w:p>
    <w:p w:rsidR="008075A7" w:rsidRPr="00DB3685" w:rsidRDefault="00445C06">
      <w:pPr>
        <w:pStyle w:val="ClinContent"/>
        <w:rPr>
          <w:lang w:val="pl-PL"/>
        </w:rPr>
      </w:pPr>
      <w:r w:rsidRPr="00DB3685">
        <w:rPr>
          <w:lang w:val="pl-PL"/>
        </w:rPr>
        <w:t>(</w:t>
      </w:r>
      <w:r w:rsidR="00696B7C" w:rsidRPr="00DB3685">
        <w:rPr>
          <w:lang w:val="pl-PL"/>
        </w:rPr>
        <w:t xml:space="preserve">Zobacz również </w:t>
      </w:r>
      <w:r w:rsidRPr="00DB3685">
        <w:rPr>
          <w:i/>
          <w:lang w:val="pl-PL"/>
        </w:rPr>
        <w:t xml:space="preserve">Leander </w:t>
      </w:r>
      <w:r w:rsidR="00DB3685" w:rsidRPr="00DB3685">
        <w:rPr>
          <w:i/>
          <w:lang w:val="pl-PL"/>
        </w:rPr>
        <w:t>p.</w:t>
      </w:r>
      <w:r w:rsidRPr="00DB3685">
        <w:rPr>
          <w:i/>
          <w:lang w:val="pl-PL"/>
        </w:rPr>
        <w:t xml:space="preserve"> S</w:t>
      </w:r>
      <w:r w:rsidR="00DB3685" w:rsidRPr="00DB3685">
        <w:rPr>
          <w:i/>
          <w:lang w:val="pl-PL"/>
        </w:rPr>
        <w:t>zwecji</w:t>
      </w:r>
      <w:r w:rsidRPr="00DB3685">
        <w:rPr>
          <w:lang w:val="pl-PL"/>
        </w:rPr>
        <w:t xml:space="preserve">, </w:t>
      </w:r>
      <w:r w:rsidR="00DB3685" w:rsidRPr="00DB3685">
        <w:rPr>
          <w:lang w:val="pl-PL"/>
        </w:rPr>
        <w:t>skarga nr</w:t>
      </w:r>
      <w:r w:rsidR="0083713F">
        <w:rPr>
          <w:lang w:val="pl-PL"/>
        </w:rPr>
        <w:t xml:space="preserve"> </w:t>
      </w:r>
      <w:hyperlink r:id="rId12" w:history="1">
        <w:r w:rsidR="0083713F" w:rsidRPr="0083713F">
          <w:rPr>
            <w:rStyle w:val="Hipercze"/>
            <w:lang w:val="pl-PL"/>
          </w:rPr>
          <w:t>9248/81</w:t>
        </w:r>
      </w:hyperlink>
      <w:r w:rsidRPr="00DB3685">
        <w:rPr>
          <w:lang w:val="pl-PL"/>
        </w:rPr>
        <w:t>, 26</w:t>
      </w:r>
      <w:r w:rsidR="00DB3685">
        <w:rPr>
          <w:lang w:val="pl-PL"/>
        </w:rPr>
        <w:t xml:space="preserve"> marca</w:t>
      </w:r>
      <w:r w:rsidRPr="00DB3685">
        <w:rPr>
          <w:lang w:val="pl-PL"/>
        </w:rPr>
        <w:t xml:space="preserve"> 1987</w:t>
      </w:r>
      <w:r w:rsidR="00DB3685">
        <w:rPr>
          <w:lang w:val="pl-PL"/>
        </w:rPr>
        <w:t xml:space="preserve"> r.</w:t>
      </w:r>
      <w:r w:rsidRPr="00DB3685">
        <w:rPr>
          <w:lang w:val="pl-PL"/>
        </w:rPr>
        <w:t xml:space="preserve">; </w:t>
      </w:r>
      <w:proofErr w:type="spellStart"/>
      <w:r w:rsidRPr="00DB3685">
        <w:rPr>
          <w:i/>
          <w:lang w:val="pl-PL"/>
        </w:rPr>
        <w:t>Gaskin</w:t>
      </w:r>
      <w:proofErr w:type="spellEnd"/>
      <w:r w:rsidRPr="00DB3685">
        <w:rPr>
          <w:i/>
          <w:lang w:val="pl-PL"/>
        </w:rPr>
        <w:t xml:space="preserve"> </w:t>
      </w:r>
      <w:r w:rsidR="00DB3685" w:rsidRPr="00DB3685">
        <w:rPr>
          <w:i/>
          <w:lang w:val="pl-PL"/>
        </w:rPr>
        <w:t>p.</w:t>
      </w:r>
      <w:r w:rsidRPr="00DB3685">
        <w:rPr>
          <w:i/>
          <w:lang w:val="pl-PL"/>
        </w:rPr>
        <w:t> </w:t>
      </w:r>
      <w:r w:rsidR="00DB3685">
        <w:rPr>
          <w:i/>
          <w:lang w:val="pl-PL"/>
        </w:rPr>
        <w:t>Wielkiej Brytanii</w:t>
      </w:r>
      <w:r w:rsidRPr="00DB3685">
        <w:rPr>
          <w:lang w:val="pl-PL"/>
        </w:rPr>
        <w:t xml:space="preserve">, </w:t>
      </w:r>
      <w:r w:rsidR="00DB3685" w:rsidRPr="00DB3685">
        <w:rPr>
          <w:lang w:val="pl-PL"/>
        </w:rPr>
        <w:t xml:space="preserve">skarga nr </w:t>
      </w:r>
      <w:hyperlink r:id="rId13" w:history="1">
        <w:r w:rsidRPr="00DB3685">
          <w:rPr>
            <w:rStyle w:val="Hipercze"/>
            <w:lang w:val="pl-PL"/>
          </w:rPr>
          <w:t>10454/83</w:t>
        </w:r>
      </w:hyperlink>
      <w:r w:rsidRPr="00DB3685">
        <w:rPr>
          <w:lang w:val="pl-PL"/>
        </w:rPr>
        <w:t>, 7 </w:t>
      </w:r>
      <w:r w:rsidR="00DB3685">
        <w:rPr>
          <w:lang w:val="pl-PL"/>
        </w:rPr>
        <w:t>lipca</w:t>
      </w:r>
      <w:r w:rsidRPr="00DB3685">
        <w:rPr>
          <w:lang w:val="pl-PL"/>
        </w:rPr>
        <w:t xml:space="preserve"> 1989</w:t>
      </w:r>
      <w:r w:rsidR="00DB3685">
        <w:rPr>
          <w:lang w:val="pl-PL"/>
        </w:rPr>
        <w:t xml:space="preserve"> r.</w:t>
      </w:r>
      <w:r w:rsidRPr="00DB3685">
        <w:rPr>
          <w:lang w:val="pl-PL"/>
        </w:rPr>
        <w:t xml:space="preserve">; </w:t>
      </w:r>
      <w:proofErr w:type="spellStart"/>
      <w:r w:rsidRPr="00DB3685">
        <w:rPr>
          <w:i/>
          <w:lang w:val="pl-PL"/>
        </w:rPr>
        <w:t>Guerra</w:t>
      </w:r>
      <w:proofErr w:type="spellEnd"/>
      <w:r w:rsidRPr="00DB3685">
        <w:rPr>
          <w:i/>
          <w:lang w:val="pl-PL"/>
        </w:rPr>
        <w:t xml:space="preserve"> </w:t>
      </w:r>
      <w:r w:rsidR="00DB3685">
        <w:rPr>
          <w:i/>
          <w:lang w:val="pl-PL"/>
        </w:rPr>
        <w:t xml:space="preserve">i Inni </w:t>
      </w:r>
      <w:r w:rsidR="00DB3685" w:rsidRPr="00DB3685">
        <w:rPr>
          <w:i/>
          <w:lang w:val="pl-PL"/>
        </w:rPr>
        <w:t>p.</w:t>
      </w:r>
      <w:r w:rsidRPr="00DB3685">
        <w:rPr>
          <w:i/>
          <w:lang w:val="pl-PL"/>
        </w:rPr>
        <w:t> </w:t>
      </w:r>
      <w:r w:rsidR="00DB3685">
        <w:rPr>
          <w:i/>
          <w:lang w:val="pl-PL"/>
        </w:rPr>
        <w:t>Włochom</w:t>
      </w:r>
      <w:r w:rsidRPr="00DB3685">
        <w:rPr>
          <w:lang w:val="pl-PL"/>
        </w:rPr>
        <w:t xml:space="preserve">, </w:t>
      </w:r>
      <w:r w:rsidR="00DB3685" w:rsidRPr="00DB3685">
        <w:rPr>
          <w:lang w:val="pl-PL"/>
        </w:rPr>
        <w:t xml:space="preserve">skarga nr </w:t>
      </w:r>
      <w:hyperlink r:id="rId14" w:history="1">
        <w:r w:rsidRPr="00DB3685">
          <w:rPr>
            <w:rStyle w:val="Hipercze"/>
            <w:lang w:val="pl-PL"/>
          </w:rPr>
          <w:t>14967/89</w:t>
        </w:r>
      </w:hyperlink>
      <w:r w:rsidRPr="00DB3685">
        <w:rPr>
          <w:lang w:val="pl-PL"/>
        </w:rPr>
        <w:t>, 19 </w:t>
      </w:r>
      <w:r w:rsidR="00DB3685">
        <w:rPr>
          <w:lang w:val="pl-PL"/>
        </w:rPr>
        <w:t>lutego</w:t>
      </w:r>
      <w:r w:rsidRPr="00DB3685">
        <w:rPr>
          <w:lang w:val="pl-PL"/>
        </w:rPr>
        <w:t xml:space="preserve"> 1998</w:t>
      </w:r>
      <w:r w:rsidR="00DB3685">
        <w:rPr>
          <w:lang w:val="pl-PL"/>
        </w:rPr>
        <w:t xml:space="preserve"> r.</w:t>
      </w:r>
      <w:r w:rsidRPr="00DB3685">
        <w:rPr>
          <w:lang w:val="pl-PL"/>
        </w:rPr>
        <w:t xml:space="preserve">; </w:t>
      </w:r>
      <w:r w:rsidRPr="00DB3685">
        <w:rPr>
          <w:i/>
          <w:lang w:val="pl-PL"/>
        </w:rPr>
        <w:t xml:space="preserve">Roche </w:t>
      </w:r>
      <w:r w:rsidR="00DB3685" w:rsidRPr="00DB3685">
        <w:rPr>
          <w:i/>
          <w:lang w:val="pl-PL"/>
        </w:rPr>
        <w:t>p.</w:t>
      </w:r>
      <w:r w:rsidRPr="00DB3685">
        <w:rPr>
          <w:i/>
          <w:lang w:val="pl-PL"/>
        </w:rPr>
        <w:t> </w:t>
      </w:r>
      <w:r w:rsidR="00DB3685">
        <w:rPr>
          <w:i/>
          <w:lang w:val="pl-PL"/>
        </w:rPr>
        <w:t xml:space="preserve">Wielkiej Brytanii </w:t>
      </w:r>
      <w:r w:rsidRPr="00DB3685">
        <w:rPr>
          <w:lang w:val="pl-PL"/>
        </w:rPr>
        <w:t>[</w:t>
      </w:r>
      <w:r w:rsidR="00DB3685">
        <w:rPr>
          <w:lang w:val="pl-PL"/>
        </w:rPr>
        <w:t>Wielka Izba</w:t>
      </w:r>
      <w:r w:rsidRPr="00DB3685">
        <w:rPr>
          <w:lang w:val="pl-PL"/>
        </w:rPr>
        <w:t xml:space="preserve">], </w:t>
      </w:r>
      <w:r w:rsidR="00DB3685" w:rsidRPr="00DB3685">
        <w:rPr>
          <w:lang w:val="pl-PL"/>
        </w:rPr>
        <w:t xml:space="preserve">skarga nr </w:t>
      </w:r>
      <w:r w:rsidRPr="00DB3685">
        <w:rPr>
          <w:lang w:val="pl-PL"/>
        </w:rPr>
        <w:t>32555/96, 19 </w:t>
      </w:r>
      <w:r w:rsidR="00DB3685">
        <w:rPr>
          <w:lang w:val="pl-PL"/>
        </w:rPr>
        <w:t>października</w:t>
      </w:r>
      <w:r w:rsidRPr="00DB3685">
        <w:rPr>
          <w:lang w:val="pl-PL"/>
        </w:rPr>
        <w:t xml:space="preserve"> 2005</w:t>
      </w:r>
      <w:r w:rsidR="00DB3685">
        <w:rPr>
          <w:lang w:val="pl-PL"/>
        </w:rPr>
        <w:t xml:space="preserve"> r.</w:t>
      </w:r>
      <w:r w:rsidRPr="00DB3685">
        <w:rPr>
          <w:lang w:val="pl-PL"/>
        </w:rPr>
        <w:t xml:space="preserve">, </w:t>
      </w:r>
      <w:hyperlink r:id="rId15" w:history="1">
        <w:r w:rsidR="00DB3685">
          <w:rPr>
            <w:rStyle w:val="Hipercze"/>
            <w:lang w:val="pl-PL"/>
          </w:rPr>
          <w:t>Nota informacyjna nr</w:t>
        </w:r>
        <w:r w:rsidRPr="00DB3685">
          <w:rPr>
            <w:rStyle w:val="Hipercze"/>
            <w:lang w:val="pl-PL"/>
          </w:rPr>
          <w:t> 79</w:t>
        </w:r>
      </w:hyperlink>
      <w:r w:rsidRPr="00DB3685">
        <w:rPr>
          <w:lang w:val="pl-PL"/>
        </w:rPr>
        <w:t xml:space="preserve">; </w:t>
      </w:r>
      <w:proofErr w:type="spellStart"/>
      <w:r w:rsidRPr="00DB3685">
        <w:rPr>
          <w:i/>
          <w:lang w:val="pl-PL"/>
        </w:rPr>
        <w:t>Sdružení</w:t>
      </w:r>
      <w:proofErr w:type="spellEnd"/>
      <w:r w:rsidRPr="00DB3685">
        <w:rPr>
          <w:i/>
          <w:lang w:val="pl-PL"/>
        </w:rPr>
        <w:t xml:space="preserve"> </w:t>
      </w:r>
      <w:proofErr w:type="spellStart"/>
      <w:r w:rsidRPr="00DB3685">
        <w:rPr>
          <w:i/>
          <w:lang w:val="pl-PL"/>
        </w:rPr>
        <w:t>Jihočeské</w:t>
      </w:r>
      <w:proofErr w:type="spellEnd"/>
      <w:r w:rsidRPr="00DB3685">
        <w:rPr>
          <w:i/>
          <w:lang w:val="pl-PL"/>
        </w:rPr>
        <w:t xml:space="preserve"> </w:t>
      </w:r>
      <w:proofErr w:type="spellStart"/>
      <w:r w:rsidRPr="00DB3685">
        <w:rPr>
          <w:i/>
          <w:lang w:val="pl-PL"/>
        </w:rPr>
        <w:t>Matky</w:t>
      </w:r>
      <w:proofErr w:type="spellEnd"/>
      <w:r w:rsidRPr="00DB3685">
        <w:rPr>
          <w:i/>
          <w:lang w:val="pl-PL"/>
        </w:rPr>
        <w:t xml:space="preserve"> </w:t>
      </w:r>
      <w:r w:rsidR="00DB3685" w:rsidRPr="00DB3685">
        <w:rPr>
          <w:i/>
          <w:lang w:val="pl-PL"/>
        </w:rPr>
        <w:t>p.</w:t>
      </w:r>
      <w:r w:rsidRPr="00DB3685">
        <w:rPr>
          <w:i/>
          <w:lang w:val="pl-PL"/>
        </w:rPr>
        <w:t> </w:t>
      </w:r>
      <w:r w:rsidR="00DB3685">
        <w:rPr>
          <w:i/>
          <w:lang w:val="pl-PL"/>
        </w:rPr>
        <w:t xml:space="preserve">Czechom </w:t>
      </w:r>
      <w:r w:rsidRPr="00DB3685">
        <w:rPr>
          <w:lang w:val="pl-PL"/>
        </w:rPr>
        <w:t>(dec</w:t>
      </w:r>
      <w:r w:rsidR="00DB3685">
        <w:rPr>
          <w:lang w:val="pl-PL"/>
        </w:rPr>
        <w:t>yzja</w:t>
      </w:r>
      <w:r w:rsidRPr="00DB3685">
        <w:rPr>
          <w:lang w:val="pl-PL"/>
        </w:rPr>
        <w:t xml:space="preserve">), </w:t>
      </w:r>
      <w:r w:rsidR="00DB3685" w:rsidRPr="00DB3685">
        <w:rPr>
          <w:lang w:val="pl-PL"/>
        </w:rPr>
        <w:t xml:space="preserve">skarga nr </w:t>
      </w:r>
      <w:hyperlink r:id="rId16" w:history="1">
        <w:r w:rsidRPr="00DB3685">
          <w:rPr>
            <w:rStyle w:val="Hipercze"/>
            <w:lang w:val="pl-PL"/>
          </w:rPr>
          <w:t>19101/03</w:t>
        </w:r>
      </w:hyperlink>
      <w:r w:rsidRPr="00DB3685">
        <w:rPr>
          <w:lang w:val="pl-PL"/>
        </w:rPr>
        <w:t>, 10 </w:t>
      </w:r>
      <w:r w:rsidR="00DB3685">
        <w:rPr>
          <w:lang w:val="pl-PL"/>
        </w:rPr>
        <w:t xml:space="preserve">lipca </w:t>
      </w:r>
      <w:r w:rsidRPr="00DB3685">
        <w:rPr>
          <w:lang w:val="pl-PL"/>
        </w:rPr>
        <w:t>2006</w:t>
      </w:r>
      <w:r w:rsidR="00DB3685">
        <w:rPr>
          <w:lang w:val="pl-PL"/>
        </w:rPr>
        <w:t xml:space="preserve"> r.</w:t>
      </w:r>
      <w:r w:rsidRPr="00DB3685">
        <w:rPr>
          <w:lang w:val="pl-PL"/>
        </w:rPr>
        <w:t xml:space="preserve">; </w:t>
      </w:r>
      <w:r w:rsidR="00DB3685">
        <w:rPr>
          <w:lang w:val="pl-PL"/>
        </w:rPr>
        <w:t xml:space="preserve">oraz </w:t>
      </w:r>
      <w:proofErr w:type="spellStart"/>
      <w:r w:rsidRPr="00DB3685">
        <w:rPr>
          <w:i/>
          <w:lang w:val="pl-PL"/>
        </w:rPr>
        <w:t>Youth</w:t>
      </w:r>
      <w:proofErr w:type="spellEnd"/>
      <w:r w:rsidRPr="00DB3685">
        <w:rPr>
          <w:i/>
          <w:lang w:val="pl-PL"/>
        </w:rPr>
        <w:t xml:space="preserve"> </w:t>
      </w:r>
      <w:proofErr w:type="spellStart"/>
      <w:r w:rsidRPr="00DB3685">
        <w:rPr>
          <w:i/>
          <w:lang w:val="pl-PL"/>
        </w:rPr>
        <w:t>Initiative</w:t>
      </w:r>
      <w:proofErr w:type="spellEnd"/>
      <w:r w:rsidRPr="00DB3685">
        <w:rPr>
          <w:i/>
          <w:lang w:val="pl-PL"/>
        </w:rPr>
        <w:t xml:space="preserve"> for Human </w:t>
      </w:r>
      <w:proofErr w:type="spellStart"/>
      <w:r w:rsidRPr="00DB3685">
        <w:rPr>
          <w:i/>
          <w:lang w:val="pl-PL"/>
        </w:rPr>
        <w:t>Rights</w:t>
      </w:r>
      <w:proofErr w:type="spellEnd"/>
      <w:r w:rsidRPr="00DB3685">
        <w:rPr>
          <w:i/>
          <w:lang w:val="pl-PL"/>
        </w:rPr>
        <w:t xml:space="preserve"> </w:t>
      </w:r>
      <w:r w:rsidR="00DB3685" w:rsidRPr="00DB3685">
        <w:rPr>
          <w:i/>
          <w:lang w:val="pl-PL"/>
        </w:rPr>
        <w:t>p.</w:t>
      </w:r>
      <w:r w:rsidRPr="00DB3685">
        <w:rPr>
          <w:i/>
          <w:lang w:val="pl-PL"/>
        </w:rPr>
        <w:t> Serbi</w:t>
      </w:r>
      <w:r w:rsidR="00DB3685">
        <w:rPr>
          <w:i/>
          <w:lang w:val="pl-PL"/>
        </w:rPr>
        <w:t>i</w:t>
      </w:r>
      <w:r w:rsidRPr="00DB3685">
        <w:rPr>
          <w:lang w:val="pl-PL"/>
        </w:rPr>
        <w:t xml:space="preserve">, </w:t>
      </w:r>
      <w:r w:rsidR="00DB3685" w:rsidRPr="00DB3685">
        <w:rPr>
          <w:lang w:val="pl-PL"/>
        </w:rPr>
        <w:t xml:space="preserve">skarga nr </w:t>
      </w:r>
      <w:r w:rsidRPr="00DB3685">
        <w:rPr>
          <w:lang w:val="pl-PL"/>
        </w:rPr>
        <w:t>48135/06, 25 </w:t>
      </w:r>
      <w:r w:rsidR="00DB3685">
        <w:rPr>
          <w:lang w:val="pl-PL"/>
        </w:rPr>
        <w:t>czerwca</w:t>
      </w:r>
      <w:r w:rsidRPr="00DB3685">
        <w:rPr>
          <w:lang w:val="pl-PL"/>
        </w:rPr>
        <w:t xml:space="preserve"> 2013</w:t>
      </w:r>
      <w:r w:rsidR="00DB3685">
        <w:rPr>
          <w:lang w:val="pl-PL"/>
        </w:rPr>
        <w:t xml:space="preserve"> r.</w:t>
      </w:r>
      <w:r w:rsidRPr="00DB3685">
        <w:rPr>
          <w:lang w:val="pl-PL"/>
        </w:rPr>
        <w:t xml:space="preserve">, </w:t>
      </w:r>
      <w:hyperlink r:id="rId17" w:history="1">
        <w:r w:rsidR="00DB3685">
          <w:rPr>
            <w:rStyle w:val="Hipercze"/>
            <w:lang w:val="pl-PL"/>
          </w:rPr>
          <w:t xml:space="preserve">Nota informacyjna nr </w:t>
        </w:r>
        <w:r w:rsidRPr="00DB3685">
          <w:rPr>
            <w:rStyle w:val="Hipercze"/>
            <w:lang w:val="pl-PL"/>
          </w:rPr>
          <w:t>164</w:t>
        </w:r>
      </w:hyperlink>
      <w:r w:rsidRPr="00DB3685">
        <w:rPr>
          <w:lang w:val="pl-PL"/>
        </w:rPr>
        <w:t>)</w:t>
      </w:r>
      <w:r w:rsidR="00342CBA">
        <w:rPr>
          <w:lang w:val="pl-PL"/>
        </w:rPr>
        <w:t>.</w:t>
      </w:r>
    </w:p>
    <w:p w:rsidR="008075A7" w:rsidRPr="003B09CF" w:rsidRDefault="00445C06">
      <w:pPr>
        <w:pStyle w:val="ClinContent"/>
        <w:rPr>
          <w:lang w:val="pl-PL"/>
        </w:rPr>
      </w:pPr>
      <w:r w:rsidRPr="003B09CF">
        <w:rPr>
          <w:lang w:val="pl-PL"/>
        </w:rPr>
        <w:t xml:space="preserve">* </w:t>
      </w:r>
      <w:r w:rsidR="003B09CF">
        <w:rPr>
          <w:lang w:val="pl-PL"/>
        </w:rPr>
        <w:t xml:space="preserve">Zobacz </w:t>
      </w:r>
      <w:r w:rsidR="003B09CF" w:rsidRPr="00DB3685">
        <w:rPr>
          <w:i/>
          <w:lang w:val="pl-PL"/>
        </w:rPr>
        <w:t>Leander p. Szwecji</w:t>
      </w:r>
      <w:r w:rsidR="003B09CF" w:rsidRPr="00DB3685">
        <w:rPr>
          <w:lang w:val="pl-PL"/>
        </w:rPr>
        <w:t xml:space="preserve">, skarga nr </w:t>
      </w:r>
      <w:hyperlink r:id="rId18" w:history="1">
        <w:r w:rsidR="003B09CF" w:rsidRPr="00DB3685">
          <w:rPr>
            <w:rStyle w:val="Hipercze"/>
            <w:lang w:val="pl-PL"/>
          </w:rPr>
          <w:t>9248/81</w:t>
        </w:r>
      </w:hyperlink>
      <w:r w:rsidR="003B09CF" w:rsidRPr="00DB3685">
        <w:rPr>
          <w:lang w:val="pl-PL"/>
        </w:rPr>
        <w:t>, 26</w:t>
      </w:r>
      <w:r w:rsidR="003B09CF">
        <w:rPr>
          <w:lang w:val="pl-PL"/>
        </w:rPr>
        <w:t xml:space="preserve"> marca</w:t>
      </w:r>
      <w:r w:rsidR="003B09CF" w:rsidRPr="00DB3685">
        <w:rPr>
          <w:lang w:val="pl-PL"/>
        </w:rPr>
        <w:t xml:space="preserve"> 1987</w:t>
      </w:r>
      <w:r w:rsidR="003B09CF">
        <w:rPr>
          <w:lang w:val="pl-PL"/>
        </w:rPr>
        <w:t xml:space="preserve"> r.</w:t>
      </w:r>
    </w:p>
    <w:p w:rsidR="008075A7" w:rsidRPr="003B09CF" w:rsidRDefault="008075A7">
      <w:pPr>
        <w:pBdr>
          <w:bottom w:val="single" w:sz="8" w:space="1" w:color="auto"/>
        </w:pBdr>
        <w:rPr>
          <w:lang w:val="pl-PL"/>
        </w:rPr>
      </w:pPr>
    </w:p>
    <w:p w:rsidR="00502FDC" w:rsidRPr="0074070E" w:rsidRDefault="00502FDC" w:rsidP="00502FDC">
      <w:pPr>
        <w:pStyle w:val="ClinFooter"/>
        <w:rPr>
          <w:lang w:val="pl-PL"/>
        </w:rPr>
      </w:pPr>
      <w:r w:rsidRPr="0074070E">
        <w:rPr>
          <w:lang w:val="pl-PL"/>
        </w:rPr>
        <w:t xml:space="preserve">© </w:t>
      </w:r>
      <w:proofErr w:type="spellStart"/>
      <w:r w:rsidRPr="0074070E">
        <w:rPr>
          <w:lang w:val="pl-PL"/>
        </w:rPr>
        <w:t>Council</w:t>
      </w:r>
      <w:proofErr w:type="spellEnd"/>
      <w:r w:rsidRPr="0074070E">
        <w:rPr>
          <w:lang w:val="pl-PL"/>
        </w:rPr>
        <w:t xml:space="preserve"> of Europe/</w:t>
      </w:r>
      <w:proofErr w:type="spellStart"/>
      <w:r w:rsidRPr="0074070E">
        <w:rPr>
          <w:lang w:val="pl-PL"/>
        </w:rPr>
        <w:t>European</w:t>
      </w:r>
      <w:proofErr w:type="spellEnd"/>
      <w:r w:rsidRPr="0074070E">
        <w:rPr>
          <w:lang w:val="pl-PL"/>
        </w:rPr>
        <w:t xml:space="preserve"> Court of Human </w:t>
      </w:r>
      <w:proofErr w:type="spellStart"/>
      <w:r w:rsidRPr="0074070E">
        <w:rPr>
          <w:lang w:val="pl-PL"/>
        </w:rPr>
        <w:t>Rights</w:t>
      </w:r>
      <w:proofErr w:type="spellEnd"/>
      <w:r w:rsidRPr="0074070E">
        <w:rPr>
          <w:lang w:val="pl-PL"/>
        </w:rPr>
        <w:br/>
        <w:t xml:space="preserve">Niniejsze streszczenie przygotowane przez Kancelarię nie wiąże Trybunału.  </w:t>
      </w:r>
    </w:p>
    <w:p w:rsidR="00502FDC" w:rsidRPr="001D0852" w:rsidRDefault="00502FDC" w:rsidP="00502FDC">
      <w:pPr>
        <w:pStyle w:val="ClinFooter"/>
        <w:rPr>
          <w:lang w:val="pl-PL"/>
        </w:rPr>
      </w:pPr>
      <w:r w:rsidRPr="0074070E">
        <w:rPr>
          <w:lang w:val="pl-PL"/>
        </w:rPr>
        <w:t xml:space="preserve">Link do </w:t>
      </w:r>
      <w:hyperlink r:id="rId19" w:history="1">
        <w:r w:rsidRPr="001D0852">
          <w:rPr>
            <w:rStyle w:val="Hipercze"/>
            <w:lang w:val="pl-PL"/>
          </w:rPr>
          <w:t>Not informacyjnych nt. orzecznictwa</w:t>
        </w:r>
      </w:hyperlink>
    </w:p>
    <w:sectPr w:rsidR="00502FDC" w:rsidRPr="001D0852" w:rsidSect="004A5B52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0772" w:rsidRDefault="00880772" w:rsidP="00C63262">
      <w:r>
        <w:separator/>
      </w:r>
    </w:p>
  </w:endnote>
  <w:endnote w:type="continuationSeparator" w:id="0">
    <w:p w:rsidR="00880772" w:rsidRDefault="00880772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14F" w:rsidRDefault="00DA214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14F" w:rsidRDefault="00DA214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71CDF0D8" wp14:editId="049D7580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0772" w:rsidRDefault="00880772" w:rsidP="00C63262">
      <w:r>
        <w:separator/>
      </w:r>
    </w:p>
  </w:footnote>
  <w:footnote w:type="continuationSeparator" w:id="0">
    <w:p w:rsidR="00880772" w:rsidRDefault="00880772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14F" w:rsidRDefault="00DA21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CA69CB">
          <w:rPr>
            <w:noProof/>
          </w:rPr>
          <w:t>3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18F0C819" wp14:editId="68391B01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37CCC"/>
    <w:rsid w:val="000426D8"/>
    <w:rsid w:val="000500D0"/>
    <w:rsid w:val="00097888"/>
    <w:rsid w:val="000E01CB"/>
    <w:rsid w:val="000F13B5"/>
    <w:rsid w:val="00107377"/>
    <w:rsid w:val="00143602"/>
    <w:rsid w:val="00156E1A"/>
    <w:rsid w:val="001769E4"/>
    <w:rsid w:val="00186560"/>
    <w:rsid w:val="001A47E2"/>
    <w:rsid w:val="001F6E5C"/>
    <w:rsid w:val="00212E83"/>
    <w:rsid w:val="00215625"/>
    <w:rsid w:val="00262C9A"/>
    <w:rsid w:val="0026794C"/>
    <w:rsid w:val="002966E7"/>
    <w:rsid w:val="002E088D"/>
    <w:rsid w:val="0030264F"/>
    <w:rsid w:val="00320E2B"/>
    <w:rsid w:val="00334308"/>
    <w:rsid w:val="00342CBA"/>
    <w:rsid w:val="003450B3"/>
    <w:rsid w:val="00386958"/>
    <w:rsid w:val="003A64A6"/>
    <w:rsid w:val="003B09CF"/>
    <w:rsid w:val="003D7BB3"/>
    <w:rsid w:val="00404867"/>
    <w:rsid w:val="00406B81"/>
    <w:rsid w:val="00445C06"/>
    <w:rsid w:val="0046453F"/>
    <w:rsid w:val="004A30D0"/>
    <w:rsid w:val="004A5B52"/>
    <w:rsid w:val="004D568D"/>
    <w:rsid w:val="004E1037"/>
    <w:rsid w:val="00502FDC"/>
    <w:rsid w:val="0052092D"/>
    <w:rsid w:val="005326CF"/>
    <w:rsid w:val="00540D75"/>
    <w:rsid w:val="005514E5"/>
    <w:rsid w:val="00570504"/>
    <w:rsid w:val="00595899"/>
    <w:rsid w:val="005B1566"/>
    <w:rsid w:val="005B7277"/>
    <w:rsid w:val="005D7452"/>
    <w:rsid w:val="006028A1"/>
    <w:rsid w:val="00622944"/>
    <w:rsid w:val="00631A28"/>
    <w:rsid w:val="00644043"/>
    <w:rsid w:val="00677E6E"/>
    <w:rsid w:val="00696B7C"/>
    <w:rsid w:val="006A36AD"/>
    <w:rsid w:val="006C1D96"/>
    <w:rsid w:val="0071773F"/>
    <w:rsid w:val="00772248"/>
    <w:rsid w:val="00774515"/>
    <w:rsid w:val="00780DC8"/>
    <w:rsid w:val="008075A7"/>
    <w:rsid w:val="00810C12"/>
    <w:rsid w:val="0081114F"/>
    <w:rsid w:val="0083713F"/>
    <w:rsid w:val="00861191"/>
    <w:rsid w:val="00880772"/>
    <w:rsid w:val="00895EF3"/>
    <w:rsid w:val="008C64D5"/>
    <w:rsid w:val="008D00C6"/>
    <w:rsid w:val="008E3A32"/>
    <w:rsid w:val="008F23C6"/>
    <w:rsid w:val="00903D38"/>
    <w:rsid w:val="0095582F"/>
    <w:rsid w:val="009B3B2C"/>
    <w:rsid w:val="009E3EF0"/>
    <w:rsid w:val="00A01052"/>
    <w:rsid w:val="00A04D9C"/>
    <w:rsid w:val="00A258BB"/>
    <w:rsid w:val="00A33541"/>
    <w:rsid w:val="00A45616"/>
    <w:rsid w:val="00A7380E"/>
    <w:rsid w:val="00A97048"/>
    <w:rsid w:val="00AC7726"/>
    <w:rsid w:val="00AE29E5"/>
    <w:rsid w:val="00AF5E97"/>
    <w:rsid w:val="00B159C9"/>
    <w:rsid w:val="00B80CA0"/>
    <w:rsid w:val="00B85770"/>
    <w:rsid w:val="00BF1CD9"/>
    <w:rsid w:val="00C22DDD"/>
    <w:rsid w:val="00C304A7"/>
    <w:rsid w:val="00C32D9B"/>
    <w:rsid w:val="00C37433"/>
    <w:rsid w:val="00C55A4B"/>
    <w:rsid w:val="00C63262"/>
    <w:rsid w:val="00C72355"/>
    <w:rsid w:val="00C93CFB"/>
    <w:rsid w:val="00CA69CB"/>
    <w:rsid w:val="00CC6D44"/>
    <w:rsid w:val="00CF7BA6"/>
    <w:rsid w:val="00D42086"/>
    <w:rsid w:val="00D425B3"/>
    <w:rsid w:val="00DA214F"/>
    <w:rsid w:val="00DB3685"/>
    <w:rsid w:val="00E55491"/>
    <w:rsid w:val="00E83DB6"/>
    <w:rsid w:val="00EA53E7"/>
    <w:rsid w:val="00F3305D"/>
    <w:rsid w:val="00F508C9"/>
    <w:rsid w:val="00F50CCD"/>
    <w:rsid w:val="00F5247C"/>
    <w:rsid w:val="00F63377"/>
    <w:rsid w:val="00FA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746c8714">
    <w:name w:val="s746c8714"/>
    <w:basedOn w:val="Normalny"/>
    <w:rsid w:val="00622944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paragraph" w:customStyle="1" w:styleId="s6e50bd9a">
    <w:name w:val="s6e50bd9a"/>
    <w:basedOn w:val="Normalny"/>
    <w:rsid w:val="00622944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622944"/>
  </w:style>
  <w:style w:type="character" w:customStyle="1" w:styleId="object">
    <w:name w:val="object"/>
    <w:basedOn w:val="Domylnaczcionkaakapitu"/>
    <w:rsid w:val="00622944"/>
  </w:style>
  <w:style w:type="character" w:styleId="UyteHipercze">
    <w:name w:val="FollowedHyperlink"/>
    <w:basedOn w:val="Domylnaczcionkaakapitu"/>
    <w:semiHidden/>
    <w:unhideWhenUsed/>
    <w:rsid w:val="00570504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746c8714">
    <w:name w:val="s746c8714"/>
    <w:basedOn w:val="Normalny"/>
    <w:rsid w:val="00622944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paragraph" w:customStyle="1" w:styleId="s6e50bd9a">
    <w:name w:val="s6e50bd9a"/>
    <w:basedOn w:val="Normalny"/>
    <w:rsid w:val="00622944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622944"/>
  </w:style>
  <w:style w:type="character" w:customStyle="1" w:styleId="object">
    <w:name w:val="object"/>
    <w:basedOn w:val="Domylnaczcionkaakapitu"/>
    <w:rsid w:val="00622944"/>
  </w:style>
  <w:style w:type="character" w:styleId="UyteHipercze">
    <w:name w:val="FollowedHyperlink"/>
    <w:basedOn w:val="Domylnaczcionkaakapitu"/>
    <w:semiHidden/>
    <w:unhideWhenUsed/>
    <w:rsid w:val="00570504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4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chr.coe.int/documents/library_travprep_table_eng.pdf" TargetMode="External"/><Relationship Id="rId13" Type="http://schemas.openxmlformats.org/officeDocument/2006/relationships/hyperlink" Target="http://hudoc.echr.coe.int/eng?i=001-57491" TargetMode="External"/><Relationship Id="rId18" Type="http://schemas.openxmlformats.org/officeDocument/2006/relationships/hyperlink" Target="http://hudoc.echr.coe.int/eng?i=001-57519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hyperlink" Target="http://www.msz.gov.pl" TargetMode="External"/><Relationship Id="rId12" Type="http://schemas.openxmlformats.org/officeDocument/2006/relationships/hyperlink" Target="http://hudoc.echr.coe.int/eng?i=001-57519" TargetMode="External"/><Relationship Id="rId17" Type="http://schemas.openxmlformats.org/officeDocument/2006/relationships/hyperlink" Target="http://hudoc.echr.coe.int/eng?i=002-7585" TargetMode="External"/><Relationship Id="rId25" Type="http://schemas.openxmlformats.org/officeDocument/2006/relationships/footer" Target="footer3.xml"/><Relationship Id="rId2" Type="http://schemas.microsoft.com/office/2007/relationships/stylesWithEffects" Target="stylesWithEffects.xml"/><Relationship Id="rId16" Type="http://schemas.openxmlformats.org/officeDocument/2006/relationships/hyperlink" Target="http://hudoc.echr.coe.int/eng?i=001-76707" TargetMode="External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www.coe.int/en/web/conventions/full-list/-/conventions/treaty/205" TargetMode="External"/><Relationship Id="rId24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hudoc.echr.coe.int/eng?i=002-3662" TargetMode="External"/><Relationship Id="rId23" Type="http://schemas.openxmlformats.org/officeDocument/2006/relationships/footer" Target="footer2.xml"/><Relationship Id="rId10" Type="http://schemas.openxmlformats.org/officeDocument/2006/relationships/hyperlink" Target="http://eur-lex.europa.eu/legal-content/EN/TXT/?uri=CELEX:C2012/326/02" TargetMode="External"/><Relationship Id="rId19" Type="http://schemas.openxmlformats.org/officeDocument/2006/relationships/hyperlink" Target="http://www.echr.coe.int/NoteInformation/e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ohchr.org/en/professionalinterest/pages/ccpr.aspx" TargetMode="External"/><Relationship Id="rId14" Type="http://schemas.openxmlformats.org/officeDocument/2006/relationships/hyperlink" Target="http://hudoc.echr.coe.int/eng?i=002-7730" TargetMode="Externa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1427</Words>
  <Characters>8566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2017-04-20T12:49:00Z</dcterms:created>
  <dcterms:modified xsi:type="dcterms:W3CDTF">2017-06-21T12:12:00Z</dcterms:modified>
</cp:coreProperties>
</file>