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CE" w:rsidRDefault="009E21F1" w:rsidP="009D7FCE">
      <w:pPr>
        <w:pStyle w:val="s6e50bd9a"/>
        <w:spacing w:before="0" w:beforeAutospacing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9D7FCE" w:rsidRDefault="009D7FCE" w:rsidP="009D7FCE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9D7FCE" w:rsidRDefault="009D7FCE" w:rsidP="00721651">
      <w:pPr>
        <w:pStyle w:val="ClinEditionNumber"/>
        <w:jc w:val="center"/>
        <w:rPr>
          <w:lang w:val="pl-PL"/>
        </w:rPr>
      </w:pPr>
      <w:bookmarkStart w:id="0" w:name="_GoBack"/>
      <w:bookmarkEnd w:id="0"/>
    </w:p>
    <w:p w:rsidR="00721651" w:rsidRDefault="00721651" w:rsidP="00721651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8953E6" w:rsidRPr="00721651" w:rsidRDefault="00721651" w:rsidP="00721651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120A3D" w:rsidRPr="00721651">
        <w:rPr>
          <w:lang w:val="pl-PL"/>
        </w:rPr>
        <w:t>201</w:t>
      </w:r>
    </w:p>
    <w:p w:rsidR="008953E6" w:rsidRPr="00E66234" w:rsidRDefault="00721651">
      <w:pPr>
        <w:pStyle w:val="ClinEditionMonth"/>
        <w:rPr>
          <w:lang w:val="pl-PL"/>
        </w:rPr>
      </w:pPr>
      <w:r w:rsidRPr="00E66234">
        <w:rPr>
          <w:lang w:val="pl-PL"/>
        </w:rPr>
        <w:t xml:space="preserve">Listopad </w:t>
      </w:r>
      <w:r w:rsidR="00120A3D" w:rsidRPr="00E66234">
        <w:rPr>
          <w:lang w:val="pl-PL"/>
        </w:rPr>
        <w:t>2016</w:t>
      </w:r>
      <w:r w:rsidRPr="00E66234">
        <w:rPr>
          <w:lang w:val="pl-PL"/>
        </w:rPr>
        <w:t xml:space="preserve"> r.</w:t>
      </w:r>
    </w:p>
    <w:p w:rsidR="008953E6" w:rsidRPr="00E66234" w:rsidRDefault="00120A3D">
      <w:pPr>
        <w:rPr>
          <w:lang w:val="pl-PL"/>
        </w:rPr>
      </w:pPr>
      <w:proofErr w:type="spellStart"/>
      <w:r w:rsidRPr="00E66234">
        <w:rPr>
          <w:rStyle w:val="ClinCaseTitle"/>
          <w:lang w:val="pl-PL"/>
        </w:rPr>
        <w:t>Lupeni</w:t>
      </w:r>
      <w:proofErr w:type="spellEnd"/>
      <w:r w:rsidRPr="00E66234">
        <w:rPr>
          <w:rStyle w:val="ClinCaseTitle"/>
          <w:lang w:val="pl-PL"/>
        </w:rPr>
        <w:t xml:space="preserve"> Greek </w:t>
      </w:r>
      <w:proofErr w:type="spellStart"/>
      <w:r w:rsidRPr="00E66234">
        <w:rPr>
          <w:rStyle w:val="ClinCaseTitle"/>
          <w:lang w:val="pl-PL"/>
        </w:rPr>
        <w:t>Catholic</w:t>
      </w:r>
      <w:proofErr w:type="spellEnd"/>
      <w:r w:rsidRPr="00E66234">
        <w:rPr>
          <w:rStyle w:val="ClinCaseTitle"/>
          <w:lang w:val="pl-PL"/>
        </w:rPr>
        <w:t xml:space="preserve"> </w:t>
      </w:r>
      <w:proofErr w:type="spellStart"/>
      <w:r w:rsidRPr="00E66234">
        <w:rPr>
          <w:rStyle w:val="ClinCaseTitle"/>
          <w:lang w:val="pl-PL"/>
        </w:rPr>
        <w:t>Parish</w:t>
      </w:r>
      <w:proofErr w:type="spellEnd"/>
      <w:r w:rsidRPr="00E66234">
        <w:rPr>
          <w:rStyle w:val="ClinCaseTitle"/>
          <w:lang w:val="pl-PL"/>
        </w:rPr>
        <w:t xml:space="preserve"> </w:t>
      </w:r>
      <w:r w:rsidR="000E2E43" w:rsidRPr="003A17B5">
        <w:rPr>
          <w:rStyle w:val="ClinCaseTitle"/>
          <w:lang w:val="pl-PL"/>
        </w:rPr>
        <w:t xml:space="preserve">i Inni </w:t>
      </w:r>
      <w:r w:rsidR="00721651" w:rsidRPr="00E66234">
        <w:rPr>
          <w:rStyle w:val="ClinCaseTitle"/>
          <w:lang w:val="pl-PL"/>
        </w:rPr>
        <w:t>p.</w:t>
      </w:r>
      <w:r w:rsidRPr="00E66234">
        <w:rPr>
          <w:rStyle w:val="ClinCaseTitle"/>
          <w:lang w:val="pl-PL"/>
        </w:rPr>
        <w:t xml:space="preserve"> R</w:t>
      </w:r>
      <w:r w:rsidR="00721651" w:rsidRPr="00E66234">
        <w:rPr>
          <w:rStyle w:val="ClinCaseTitle"/>
          <w:lang w:val="pl-PL"/>
        </w:rPr>
        <w:t>umunii</w:t>
      </w:r>
      <w:r w:rsidRPr="00E66234">
        <w:rPr>
          <w:rStyle w:val="ClinCaseTitle"/>
          <w:lang w:val="pl-PL"/>
        </w:rPr>
        <w:t xml:space="preserve"> </w:t>
      </w:r>
      <w:r w:rsidR="00721651" w:rsidRPr="00E66234">
        <w:rPr>
          <w:rStyle w:val="ClinCaseTitle"/>
          <w:lang w:val="pl-PL"/>
        </w:rPr>
        <w:t>[Wielka Izba]</w:t>
      </w:r>
      <w:r w:rsidRPr="00E66234">
        <w:rPr>
          <w:rStyle w:val="ClinApplicationNumber"/>
          <w:lang w:val="pl-PL"/>
        </w:rPr>
        <w:t xml:space="preserve"> </w:t>
      </w:r>
      <w:r w:rsidR="00721651" w:rsidRPr="00E66234">
        <w:rPr>
          <w:rStyle w:val="ClinApplicationNumber"/>
          <w:lang w:val="pl-PL"/>
        </w:rPr>
        <w:t>–</w:t>
      </w:r>
      <w:r w:rsidRPr="00E66234">
        <w:rPr>
          <w:rStyle w:val="ClinApplicationNumber"/>
          <w:lang w:val="pl-PL"/>
        </w:rPr>
        <w:t xml:space="preserve"> </w:t>
      </w:r>
      <w:r w:rsidR="00721651" w:rsidRPr="00E66234">
        <w:rPr>
          <w:rStyle w:val="ClinApplicationNumber"/>
          <w:lang w:val="pl-PL"/>
        </w:rPr>
        <w:t xml:space="preserve">skarga nr </w:t>
      </w:r>
      <w:r w:rsidRPr="00E66234">
        <w:rPr>
          <w:rStyle w:val="ClinApplicationNumber"/>
          <w:lang w:val="pl-PL"/>
        </w:rPr>
        <w:t>76943/11</w:t>
      </w:r>
    </w:p>
    <w:p w:rsidR="008953E6" w:rsidRPr="00721651" w:rsidRDefault="00721651">
      <w:pPr>
        <w:rPr>
          <w:lang w:val="pl-PL"/>
        </w:rPr>
      </w:pPr>
      <w:r w:rsidRPr="00721651">
        <w:rPr>
          <w:rStyle w:val="ClinHudocDocumentTitle"/>
          <w:lang w:val="pl-PL"/>
        </w:rPr>
        <w:t xml:space="preserve">Wyrok z </w:t>
      </w:r>
      <w:r w:rsidR="00120A3D" w:rsidRPr="00721651">
        <w:rPr>
          <w:rStyle w:val="ClinHudocDocumentTitle"/>
          <w:lang w:val="pl-PL"/>
        </w:rPr>
        <w:t>29.11.2016</w:t>
      </w:r>
      <w:r w:rsidRPr="00721651">
        <w:rPr>
          <w:rStyle w:val="ClinHudocDocumentTitle"/>
          <w:lang w:val="pl-PL"/>
        </w:rPr>
        <w:t xml:space="preserve"> r.</w:t>
      </w:r>
      <w:r w:rsidR="00120A3D" w:rsidRPr="00721651">
        <w:rPr>
          <w:rStyle w:val="ClinSectionName"/>
          <w:lang w:val="pl-PL"/>
        </w:rPr>
        <w:t xml:space="preserve"> </w:t>
      </w:r>
      <w:r w:rsidRPr="00721651">
        <w:rPr>
          <w:rStyle w:val="ClinSectionName"/>
          <w:lang w:val="pl-PL"/>
        </w:rPr>
        <w:t>[Wielka Izba]</w:t>
      </w:r>
    </w:p>
    <w:p w:rsidR="008953E6" w:rsidRPr="003C64DF" w:rsidRDefault="00120A3D">
      <w:pPr>
        <w:pStyle w:val="ClinMainKeywordCode"/>
        <w:rPr>
          <w:lang w:val="pl-PL"/>
        </w:rPr>
      </w:pPr>
      <w:r w:rsidRPr="003C64DF">
        <w:rPr>
          <w:lang w:val="pl-PL"/>
        </w:rPr>
        <w:t>Art</w:t>
      </w:r>
      <w:r w:rsidR="00936017" w:rsidRPr="003C64DF">
        <w:rPr>
          <w:lang w:val="pl-PL"/>
        </w:rPr>
        <w:t>.</w:t>
      </w:r>
      <w:r w:rsidRPr="003C64DF">
        <w:rPr>
          <w:lang w:val="pl-PL"/>
        </w:rPr>
        <w:t xml:space="preserve"> 6</w:t>
      </w:r>
    </w:p>
    <w:p w:rsidR="008953E6" w:rsidRPr="003C64DF" w:rsidRDefault="00936017">
      <w:pPr>
        <w:pStyle w:val="ClinKeyword"/>
        <w:rPr>
          <w:lang w:val="pl-PL"/>
        </w:rPr>
      </w:pPr>
      <w:r w:rsidRPr="003C64DF">
        <w:rPr>
          <w:lang w:val="pl-PL"/>
        </w:rPr>
        <w:t>Postępowanie cywilne</w:t>
      </w:r>
    </w:p>
    <w:p w:rsidR="008953E6" w:rsidRPr="003C64DF" w:rsidRDefault="00120A3D">
      <w:pPr>
        <w:pStyle w:val="ClinChildKeywordCode"/>
        <w:rPr>
          <w:lang w:val="pl-PL"/>
        </w:rPr>
      </w:pPr>
      <w:r w:rsidRPr="003C64DF">
        <w:rPr>
          <w:lang w:val="pl-PL"/>
        </w:rPr>
        <w:t>Art</w:t>
      </w:r>
      <w:r w:rsidR="00936017" w:rsidRPr="003C64DF">
        <w:rPr>
          <w:lang w:val="pl-PL"/>
        </w:rPr>
        <w:t>.</w:t>
      </w:r>
      <w:r w:rsidRPr="003C64DF">
        <w:rPr>
          <w:lang w:val="pl-PL"/>
        </w:rPr>
        <w:t xml:space="preserve"> 6</w:t>
      </w:r>
      <w:r w:rsidR="00936017" w:rsidRPr="003C64DF">
        <w:rPr>
          <w:lang w:val="pl-PL"/>
        </w:rPr>
        <w:t xml:space="preserve"> ust. </w:t>
      </w:r>
      <w:r w:rsidRPr="003C64DF">
        <w:rPr>
          <w:lang w:val="pl-PL"/>
        </w:rPr>
        <w:t>1</w:t>
      </w:r>
    </w:p>
    <w:p w:rsidR="008953E6" w:rsidRPr="003C64DF" w:rsidRDefault="00936017">
      <w:pPr>
        <w:pStyle w:val="ClinKeyword"/>
        <w:rPr>
          <w:lang w:val="pl-PL"/>
        </w:rPr>
      </w:pPr>
      <w:r w:rsidRPr="003C64DF">
        <w:rPr>
          <w:lang w:val="pl-PL"/>
        </w:rPr>
        <w:t xml:space="preserve">Dostęp do sądu </w:t>
      </w:r>
    </w:p>
    <w:p w:rsidR="00936017" w:rsidRPr="00936017" w:rsidRDefault="00936017" w:rsidP="00936017">
      <w:pPr>
        <w:jc w:val="both"/>
        <w:rPr>
          <w:rStyle w:val="ClinHeadNote"/>
          <w:lang w:val="pl-PL"/>
        </w:rPr>
      </w:pPr>
      <w:r w:rsidRPr="00936017">
        <w:rPr>
          <w:rStyle w:val="ClinHeadNote"/>
          <w:lang w:val="pl-PL"/>
        </w:rPr>
        <w:t xml:space="preserve">Decyzja dotycząca restytucji miejsc kultu wydana w oparciu o „życzenia </w:t>
      </w:r>
      <w:r w:rsidR="004D2C4B">
        <w:rPr>
          <w:rStyle w:val="ClinHeadNote"/>
          <w:lang w:val="pl-PL"/>
        </w:rPr>
        <w:t>członków</w:t>
      </w:r>
      <w:r w:rsidR="004D2C4B" w:rsidRPr="00936017">
        <w:rPr>
          <w:rStyle w:val="ClinHeadNote"/>
          <w:lang w:val="pl-PL"/>
        </w:rPr>
        <w:t xml:space="preserve"> </w:t>
      </w:r>
      <w:r w:rsidRPr="00936017">
        <w:rPr>
          <w:rStyle w:val="ClinHeadNote"/>
          <w:lang w:val="pl-PL"/>
        </w:rPr>
        <w:t xml:space="preserve">wspólnot, które były właścicielami mienia”: </w:t>
      </w:r>
      <w:r w:rsidRPr="00936017">
        <w:rPr>
          <w:rStyle w:val="ClinHeadNote"/>
          <w:i/>
          <w:lang w:val="pl-PL"/>
        </w:rPr>
        <w:t>brak</w:t>
      </w:r>
      <w:r w:rsidRPr="00936017">
        <w:rPr>
          <w:rStyle w:val="ClinHeadNote"/>
          <w:lang w:val="pl-PL"/>
        </w:rPr>
        <w:t xml:space="preserve"> </w:t>
      </w:r>
      <w:r w:rsidRPr="00936017">
        <w:rPr>
          <w:rStyle w:val="ClinHeadNote"/>
          <w:i/>
          <w:lang w:val="pl-PL"/>
        </w:rPr>
        <w:t>naruszenia</w:t>
      </w:r>
    </w:p>
    <w:p w:rsidR="008953E6" w:rsidRPr="00791DC9" w:rsidRDefault="00936017" w:rsidP="00936017">
      <w:pPr>
        <w:pStyle w:val="ClinKeyword"/>
        <w:jc w:val="both"/>
        <w:rPr>
          <w:lang w:val="pl-PL"/>
        </w:rPr>
      </w:pPr>
      <w:r w:rsidRPr="00791DC9">
        <w:rPr>
          <w:lang w:val="pl-PL"/>
        </w:rPr>
        <w:t xml:space="preserve">Sprawiedliwe rozpatrzenie sprawy </w:t>
      </w:r>
    </w:p>
    <w:p w:rsidR="00936017" w:rsidRPr="00936017" w:rsidRDefault="00936017" w:rsidP="00936017">
      <w:pPr>
        <w:jc w:val="both"/>
        <w:rPr>
          <w:rStyle w:val="ClinHeadNote"/>
          <w:lang w:val="pl-PL"/>
        </w:rPr>
      </w:pPr>
      <w:r w:rsidRPr="00936017">
        <w:rPr>
          <w:rStyle w:val="ClinHeadNote"/>
          <w:lang w:val="pl-PL"/>
        </w:rPr>
        <w:t xml:space="preserve">Głębokie i utrzymujące się rozbieżności w orzecznictwie </w:t>
      </w:r>
      <w:r w:rsidR="00DB78B1">
        <w:rPr>
          <w:rStyle w:val="ClinHeadNote"/>
          <w:lang w:val="pl-PL"/>
        </w:rPr>
        <w:t xml:space="preserve">najwyższych </w:t>
      </w:r>
      <w:r w:rsidRPr="00936017">
        <w:rPr>
          <w:rStyle w:val="ClinHeadNote"/>
          <w:lang w:val="pl-PL"/>
        </w:rPr>
        <w:t xml:space="preserve">sądów i brak wykorzystania mechanizmu mającego na celu zapobieganie sprzeczności w orzecznictwie: </w:t>
      </w:r>
      <w:r w:rsidRPr="00936017">
        <w:rPr>
          <w:rStyle w:val="ClinHeadNote"/>
          <w:i/>
          <w:lang w:val="pl-PL"/>
        </w:rPr>
        <w:t>naruszenie</w:t>
      </w:r>
    </w:p>
    <w:p w:rsidR="00D90BE5" w:rsidRPr="00D90BE5" w:rsidRDefault="00D90BE5">
      <w:pPr>
        <w:pStyle w:val="ClinContent"/>
        <w:rPr>
          <w:lang w:val="pl-PL"/>
        </w:rPr>
      </w:pPr>
      <w:r w:rsidRPr="00D90BE5">
        <w:rPr>
          <w:i/>
          <w:lang w:val="pl-PL"/>
        </w:rPr>
        <w:t xml:space="preserve">Fakty </w:t>
      </w:r>
      <w:r w:rsidRPr="00D90BE5">
        <w:rPr>
          <w:lang w:val="pl-PL"/>
        </w:rPr>
        <w:t>– W 1948 r. skarżąc</w:t>
      </w:r>
      <w:r w:rsidR="00716F36">
        <w:rPr>
          <w:lang w:val="pl-PL"/>
        </w:rPr>
        <w:t>e</w:t>
      </w:r>
      <w:r w:rsidRPr="00D90BE5">
        <w:rPr>
          <w:lang w:val="pl-PL"/>
        </w:rPr>
        <w:t>, podmioty należące do Kościoła Katolickiego Wschodniego Rytu (gre</w:t>
      </w:r>
      <w:r w:rsidR="00B87DEE">
        <w:rPr>
          <w:lang w:val="pl-PL"/>
        </w:rPr>
        <w:t>ko</w:t>
      </w:r>
      <w:r w:rsidRPr="00D90BE5">
        <w:rPr>
          <w:lang w:val="pl-PL"/>
        </w:rPr>
        <w:t>katolicy lub unici)</w:t>
      </w:r>
      <w:r w:rsidR="00B87DEE">
        <w:rPr>
          <w:lang w:val="pl-PL"/>
        </w:rPr>
        <w:t xml:space="preserve">, zostały rozwiązane na podstawie </w:t>
      </w:r>
      <w:r w:rsidR="003C64DF">
        <w:rPr>
          <w:lang w:val="pl-PL"/>
        </w:rPr>
        <w:t>d</w:t>
      </w:r>
      <w:r w:rsidR="00B87DEE">
        <w:rPr>
          <w:lang w:val="pl-PL"/>
        </w:rPr>
        <w:t xml:space="preserve">ekretu </w:t>
      </w:r>
      <w:r w:rsidR="003C64DF">
        <w:rPr>
          <w:lang w:val="pl-PL"/>
        </w:rPr>
        <w:t>u</w:t>
      </w:r>
      <w:r w:rsidR="00B87DEE">
        <w:rPr>
          <w:lang w:val="pl-PL"/>
        </w:rPr>
        <w:t xml:space="preserve">stawodawczego nr 358/1948. Na mocy tego dekretu całe mienie należącego do tego wyznania zostało przekazane Państwu, oprócz mienia parafialnego, które zostało przekazane Kościołowi Prawosławnemu na mocy </w:t>
      </w:r>
      <w:r w:rsidR="003C64DF">
        <w:rPr>
          <w:lang w:val="pl-PL"/>
        </w:rPr>
        <w:t>d</w:t>
      </w:r>
      <w:r w:rsidR="00B87DEE">
        <w:rPr>
          <w:lang w:val="pl-PL"/>
        </w:rPr>
        <w:t xml:space="preserve">ekretu nr 177/1948, który przewidywał, że jeśli większość </w:t>
      </w:r>
      <w:r w:rsidR="004D2C4B">
        <w:rPr>
          <w:lang w:val="pl-PL"/>
        </w:rPr>
        <w:t xml:space="preserve">członków </w:t>
      </w:r>
      <w:r w:rsidR="00B87DEE">
        <w:rPr>
          <w:lang w:val="pl-PL"/>
        </w:rPr>
        <w:t>kościoła stała się członkami innego kościoła, mienie należące do tego pierwsze</w:t>
      </w:r>
      <w:r w:rsidR="003C64DF">
        <w:rPr>
          <w:lang w:val="pl-PL"/>
        </w:rPr>
        <w:t>go</w:t>
      </w:r>
      <w:r w:rsidR="00B87DEE">
        <w:rPr>
          <w:lang w:val="pl-PL"/>
        </w:rPr>
        <w:t xml:space="preserve"> będzie przekazane na własność tego drugi</w:t>
      </w:r>
      <w:r w:rsidR="003C64DF">
        <w:rPr>
          <w:lang w:val="pl-PL"/>
        </w:rPr>
        <w:t>ego</w:t>
      </w:r>
      <w:r w:rsidR="00B87DEE">
        <w:rPr>
          <w:lang w:val="pl-PL"/>
        </w:rPr>
        <w:t>. W 1967 r. budynek kościoła oraz przyległy dziedziniec kościelny, któr</w:t>
      </w:r>
      <w:r w:rsidR="004D2C4B">
        <w:rPr>
          <w:lang w:val="pl-PL"/>
        </w:rPr>
        <w:t>e</w:t>
      </w:r>
      <w:r w:rsidR="00B87DEE">
        <w:rPr>
          <w:lang w:val="pl-PL"/>
        </w:rPr>
        <w:t xml:space="preserve"> należał</w:t>
      </w:r>
      <w:r w:rsidR="004D2C4B">
        <w:rPr>
          <w:lang w:val="pl-PL"/>
        </w:rPr>
        <w:t>y</w:t>
      </w:r>
      <w:r w:rsidR="00B87DEE">
        <w:rPr>
          <w:lang w:val="pl-PL"/>
        </w:rPr>
        <w:t xml:space="preserve"> do parafii skarżących</w:t>
      </w:r>
      <w:r w:rsidR="003A17B5">
        <w:rPr>
          <w:lang w:val="pl-PL"/>
        </w:rPr>
        <w:t>,</w:t>
      </w:r>
      <w:r w:rsidR="00B87DEE">
        <w:rPr>
          <w:lang w:val="pl-PL"/>
        </w:rPr>
        <w:t xml:space="preserve"> został</w:t>
      </w:r>
      <w:r w:rsidR="004D2C4B">
        <w:rPr>
          <w:lang w:val="pl-PL"/>
        </w:rPr>
        <w:t>y</w:t>
      </w:r>
      <w:r w:rsidR="00B87DEE">
        <w:rPr>
          <w:lang w:val="pl-PL"/>
        </w:rPr>
        <w:t xml:space="preserve"> wpisan</w:t>
      </w:r>
      <w:r w:rsidR="004D2C4B">
        <w:rPr>
          <w:lang w:val="pl-PL"/>
        </w:rPr>
        <w:t>e</w:t>
      </w:r>
      <w:r w:rsidR="00B87DEE">
        <w:rPr>
          <w:lang w:val="pl-PL"/>
        </w:rPr>
        <w:t xml:space="preserve"> w księdze wieczystej jako przekazan</w:t>
      </w:r>
      <w:r w:rsidR="004D2C4B">
        <w:rPr>
          <w:lang w:val="pl-PL"/>
        </w:rPr>
        <w:t>e</w:t>
      </w:r>
      <w:r w:rsidR="00B87DEE">
        <w:rPr>
          <w:lang w:val="pl-PL"/>
        </w:rPr>
        <w:t xml:space="preserve"> Rumuńskiemu Kościołowi Prawosławnemu. </w:t>
      </w:r>
    </w:p>
    <w:p w:rsidR="00B87DEE" w:rsidRPr="00B87DEE" w:rsidRDefault="00B87DEE">
      <w:pPr>
        <w:pStyle w:val="ClinContent"/>
        <w:rPr>
          <w:lang w:val="pl-PL"/>
        </w:rPr>
      </w:pPr>
      <w:r w:rsidRPr="00B87DEE">
        <w:rPr>
          <w:lang w:val="pl-PL"/>
        </w:rPr>
        <w:t>Po upadku reżimu komunistycznego w grudniu 1989 r.,</w:t>
      </w:r>
      <w:r>
        <w:rPr>
          <w:lang w:val="pl-PL"/>
        </w:rPr>
        <w:t xml:space="preserve"> </w:t>
      </w:r>
      <w:r w:rsidR="003C64DF">
        <w:rPr>
          <w:lang w:val="pl-PL"/>
        </w:rPr>
        <w:t>d</w:t>
      </w:r>
      <w:r>
        <w:rPr>
          <w:lang w:val="pl-PL"/>
        </w:rPr>
        <w:t xml:space="preserve">ekret </w:t>
      </w:r>
      <w:r w:rsidR="003C64DF">
        <w:rPr>
          <w:lang w:val="pl-PL"/>
        </w:rPr>
        <w:t>u</w:t>
      </w:r>
      <w:r>
        <w:rPr>
          <w:lang w:val="pl-PL"/>
        </w:rPr>
        <w:t xml:space="preserve">stawodawczy nr 358/1948 </w:t>
      </w:r>
      <w:r w:rsidR="004D2C4B">
        <w:rPr>
          <w:lang w:val="pl-PL"/>
        </w:rPr>
        <w:t xml:space="preserve">został uchylony </w:t>
      </w:r>
      <w:r>
        <w:rPr>
          <w:lang w:val="pl-PL"/>
        </w:rPr>
        <w:t xml:space="preserve">na mocy </w:t>
      </w:r>
      <w:r w:rsidR="003C64DF">
        <w:rPr>
          <w:lang w:val="pl-PL"/>
        </w:rPr>
        <w:t xml:space="preserve">dekretu ustawodawczego </w:t>
      </w:r>
      <w:r>
        <w:rPr>
          <w:lang w:val="pl-PL"/>
        </w:rPr>
        <w:t xml:space="preserve">nr 9/1989. Kościół Unicki został oficjalnie uznany </w:t>
      </w:r>
      <w:r w:rsidR="003C64DF">
        <w:rPr>
          <w:lang w:val="pl-PL"/>
        </w:rPr>
        <w:t>dekretem ustawoda</w:t>
      </w:r>
      <w:r>
        <w:rPr>
          <w:lang w:val="pl-PL"/>
        </w:rPr>
        <w:t xml:space="preserve">wczym nr 126/1990 o pewnych środkach dotyczących Rumuńskiego Kościoła Zjednoczonego z Rzymem (Grecki Kościół Katolicki). Art. 3 </w:t>
      </w:r>
      <w:r w:rsidR="003C64DF">
        <w:rPr>
          <w:lang w:val="pl-PL"/>
        </w:rPr>
        <w:t xml:space="preserve">dekretu </w:t>
      </w:r>
      <w:r w:rsidR="004D2C4B">
        <w:rPr>
          <w:lang w:val="pl-PL"/>
        </w:rPr>
        <w:t>stanowił</w:t>
      </w:r>
      <w:r>
        <w:rPr>
          <w:lang w:val="pl-PL"/>
        </w:rPr>
        <w:t>, że status prawny mienia, które należało do parafii greckokatolickich</w:t>
      </w:r>
      <w:r w:rsidR="00716F36">
        <w:rPr>
          <w:lang w:val="pl-PL"/>
        </w:rPr>
        <w:t>,</w:t>
      </w:r>
      <w:r>
        <w:rPr>
          <w:lang w:val="pl-PL"/>
        </w:rPr>
        <w:t xml:space="preserve"> zostanie ustalony przez wspólne komisje złożone zarówno z przedstawicieli Greckiego Kościoła Katolickiego </w:t>
      </w:r>
      <w:r w:rsidR="003C64DF">
        <w:rPr>
          <w:lang w:val="pl-PL"/>
        </w:rPr>
        <w:t xml:space="preserve">jak i </w:t>
      </w:r>
      <w:r>
        <w:rPr>
          <w:lang w:val="pl-PL"/>
        </w:rPr>
        <w:t xml:space="preserve">duchownych prawosławnych. Przy </w:t>
      </w:r>
      <w:r>
        <w:rPr>
          <w:lang w:val="pl-PL"/>
        </w:rPr>
        <w:lastRenderedPageBreak/>
        <w:t>podejmowaniu decyzji komisje miały uwzględnić „życzenia wyznawców ws</w:t>
      </w:r>
      <w:r w:rsidR="003C64DF">
        <w:rPr>
          <w:lang w:val="pl-PL"/>
        </w:rPr>
        <w:t>pólnot</w:t>
      </w:r>
      <w:r>
        <w:rPr>
          <w:lang w:val="pl-PL"/>
        </w:rPr>
        <w:t xml:space="preserve"> posiadających te nieruchomości”. </w:t>
      </w:r>
    </w:p>
    <w:p w:rsidR="00B87DEE" w:rsidRPr="00B87DEE" w:rsidRDefault="00B87DEE">
      <w:pPr>
        <w:pStyle w:val="ClinContent"/>
        <w:rPr>
          <w:lang w:val="pl-PL"/>
        </w:rPr>
      </w:pPr>
      <w:r w:rsidRPr="00B87DEE">
        <w:rPr>
          <w:lang w:val="pl-PL"/>
        </w:rPr>
        <w:t xml:space="preserve">Art. 3 </w:t>
      </w:r>
      <w:r w:rsidR="003C64DF" w:rsidRPr="00B87DEE">
        <w:rPr>
          <w:lang w:val="pl-PL"/>
        </w:rPr>
        <w:t xml:space="preserve">dekretu ustawodawczego </w:t>
      </w:r>
      <w:r w:rsidRPr="00B87DEE">
        <w:rPr>
          <w:lang w:val="pl-PL"/>
        </w:rPr>
        <w:t xml:space="preserve">nr 126/1990 został uzupełniony </w:t>
      </w:r>
      <w:r>
        <w:rPr>
          <w:lang w:val="pl-PL"/>
        </w:rPr>
        <w:t>r</w:t>
      </w:r>
      <w:r w:rsidRPr="00B87DEE">
        <w:rPr>
          <w:lang w:val="pl-PL"/>
        </w:rPr>
        <w:t xml:space="preserve">ozporządzeniem Rady Ministrów nr 64/2004 z 13 sierpnia 2004 r. </w:t>
      </w:r>
      <w:r>
        <w:rPr>
          <w:lang w:val="pl-PL"/>
        </w:rPr>
        <w:t xml:space="preserve">oraz ustawą nr 182/2005. Dekret po nowelizacji przewidywał, że w razie braku porozumienia członków duchowieństwa reprezentujących oba wyznania we wspólnych komisjach, strona mająca interes we wszczęciu postępowania sądowego może to uczynić na </w:t>
      </w:r>
      <w:r w:rsidR="001B0187">
        <w:rPr>
          <w:lang w:val="pl-PL"/>
        </w:rPr>
        <w:t>podst</w:t>
      </w:r>
      <w:r w:rsidR="002350DB">
        <w:rPr>
          <w:lang w:val="pl-PL"/>
        </w:rPr>
        <w:t>awie powszechnych przepisów prawa</w:t>
      </w:r>
      <w:r>
        <w:rPr>
          <w:lang w:val="pl-PL"/>
        </w:rPr>
        <w:t xml:space="preserve">. </w:t>
      </w:r>
    </w:p>
    <w:p w:rsidR="0001510C" w:rsidRPr="00B87DEE" w:rsidRDefault="00B87DEE" w:rsidP="0001510C">
      <w:pPr>
        <w:pStyle w:val="ClinContent"/>
        <w:rPr>
          <w:lang w:val="pl-PL"/>
        </w:rPr>
      </w:pPr>
      <w:r w:rsidRPr="00B87DEE">
        <w:rPr>
          <w:lang w:val="pl-PL"/>
        </w:rPr>
        <w:t xml:space="preserve">Skarżąca parafia została przywrócona na gruncie prawa w dniu 12 sierpnia 1996 r. </w:t>
      </w:r>
      <w:r>
        <w:rPr>
          <w:lang w:val="pl-PL"/>
        </w:rPr>
        <w:t xml:space="preserve">Skarżący podjęli </w:t>
      </w:r>
      <w:r w:rsidR="003C64DF">
        <w:rPr>
          <w:lang w:val="pl-PL"/>
        </w:rPr>
        <w:t>krok</w:t>
      </w:r>
      <w:r w:rsidR="0001510C">
        <w:rPr>
          <w:lang w:val="pl-PL"/>
        </w:rPr>
        <w:t>i</w:t>
      </w:r>
      <w:r>
        <w:rPr>
          <w:lang w:val="pl-PL"/>
        </w:rPr>
        <w:t xml:space="preserve"> w celu uzyskania zwrotu kościoła i przyległego dziedzińca. </w:t>
      </w:r>
      <w:r w:rsidR="003C64DF">
        <w:rPr>
          <w:lang w:val="pl-PL"/>
        </w:rPr>
        <w:t>N</w:t>
      </w:r>
      <w:r>
        <w:rPr>
          <w:lang w:val="pl-PL"/>
        </w:rPr>
        <w:t xml:space="preserve">ie zdołano rozwiązać sprawy na posiedzeniach wspólnej komisji. Skarżący wszczęli zatem postępowanie sądowe </w:t>
      </w:r>
      <w:r w:rsidR="001B0187">
        <w:rPr>
          <w:lang w:val="pl-PL"/>
        </w:rPr>
        <w:t xml:space="preserve">na podstawie </w:t>
      </w:r>
      <w:r w:rsidR="002350DB">
        <w:rPr>
          <w:lang w:val="pl-PL"/>
        </w:rPr>
        <w:t>powszechnych przepisów prawa</w:t>
      </w:r>
      <w:r>
        <w:rPr>
          <w:lang w:val="pl-PL"/>
        </w:rPr>
        <w:t xml:space="preserve">, ale bez powodzenia. Sądy oparły swe orzeczenia </w:t>
      </w:r>
      <w:r w:rsidR="0001510C">
        <w:rPr>
          <w:lang w:val="pl-PL"/>
        </w:rPr>
        <w:t xml:space="preserve">na specjalnym kryterium „życzenia wyznawców </w:t>
      </w:r>
      <w:r w:rsidR="003C64DF">
        <w:rPr>
          <w:lang w:val="pl-PL"/>
        </w:rPr>
        <w:t>wspólnot</w:t>
      </w:r>
      <w:r w:rsidR="0001510C">
        <w:rPr>
          <w:lang w:val="pl-PL"/>
        </w:rPr>
        <w:t xml:space="preserve"> posiadających te nieruchomości”. </w:t>
      </w:r>
    </w:p>
    <w:p w:rsidR="0001510C" w:rsidRPr="0001510C" w:rsidRDefault="0001510C">
      <w:pPr>
        <w:pStyle w:val="ClinContent"/>
        <w:rPr>
          <w:lang w:val="pl-PL"/>
        </w:rPr>
      </w:pPr>
      <w:r w:rsidRPr="0001510C">
        <w:rPr>
          <w:lang w:val="pl-PL"/>
        </w:rPr>
        <w:t>Wyrokiem z 19 maja 2015 r. (zobacz</w:t>
      </w:r>
      <w:r w:rsidR="003A17B5">
        <w:rPr>
          <w:lang w:val="pl-PL"/>
        </w:rPr>
        <w:t xml:space="preserve"> </w:t>
      </w:r>
      <w:hyperlink r:id="rId9" w:history="1">
        <w:r w:rsidR="003A17B5">
          <w:rPr>
            <w:rStyle w:val="Hipercze"/>
            <w:lang w:val="pl-PL"/>
          </w:rPr>
          <w:t>Nota informacyjna nr</w:t>
        </w:r>
        <w:r w:rsidR="003A17B5" w:rsidRPr="003A17B5">
          <w:rPr>
            <w:rStyle w:val="Hipercze"/>
            <w:lang w:val="pl-PL"/>
          </w:rPr>
          <w:t xml:space="preserve"> 185</w:t>
        </w:r>
      </w:hyperlink>
      <w:r>
        <w:rPr>
          <w:lang w:val="pl-PL"/>
        </w:rPr>
        <w:t xml:space="preserve">) Izba Trybunału uznała jednomyślnie, że nie doszło do naruszenia art. 6 ust. 1 ani też art. 14 w związku z art. 6 ust. 1. </w:t>
      </w:r>
    </w:p>
    <w:p w:rsidR="0001510C" w:rsidRPr="0001510C" w:rsidRDefault="0001510C">
      <w:pPr>
        <w:pStyle w:val="ClinContent"/>
        <w:rPr>
          <w:lang w:val="pl-PL"/>
        </w:rPr>
      </w:pPr>
      <w:r w:rsidRPr="0001510C">
        <w:rPr>
          <w:lang w:val="pl-PL"/>
        </w:rPr>
        <w:t xml:space="preserve">W dniu 19 października 2015 r. sprawa została przekazana do Wielkiej Izby na wniosek skarżących. </w:t>
      </w:r>
    </w:p>
    <w:p w:rsidR="0001510C" w:rsidRPr="00791DC9" w:rsidRDefault="0001510C">
      <w:pPr>
        <w:pStyle w:val="ClinContent"/>
        <w:rPr>
          <w:lang w:val="pl-PL"/>
        </w:rPr>
      </w:pPr>
      <w:r w:rsidRPr="0001510C">
        <w:rPr>
          <w:i/>
          <w:lang w:val="pl-PL"/>
        </w:rPr>
        <w:t xml:space="preserve">Prawo – </w:t>
      </w:r>
      <w:r w:rsidRPr="0001510C">
        <w:rPr>
          <w:lang w:val="pl-PL"/>
        </w:rPr>
        <w:t xml:space="preserve">Art. 6 ust. 1: Powództwo wniesione przez skarżących dotyczyło prawa o charakterze cywilnym </w:t>
      </w:r>
      <w:r>
        <w:rPr>
          <w:lang w:val="pl-PL"/>
        </w:rPr>
        <w:t>i</w:t>
      </w:r>
      <w:r w:rsidRPr="0001510C">
        <w:rPr>
          <w:lang w:val="pl-PL"/>
        </w:rPr>
        <w:t xml:space="preserve"> miał</w:t>
      </w:r>
      <w:r w:rsidR="003C64DF">
        <w:rPr>
          <w:lang w:val="pl-PL"/>
        </w:rPr>
        <w:t>o na celu ustanowienie</w:t>
      </w:r>
      <w:r>
        <w:rPr>
          <w:lang w:val="pl-PL"/>
        </w:rPr>
        <w:t xml:space="preserve"> za pośrednictwem sądów prawa własności, </w:t>
      </w:r>
      <w:r w:rsidR="003C64DF">
        <w:rPr>
          <w:lang w:val="pl-PL"/>
        </w:rPr>
        <w:t xml:space="preserve">nawet jeśli </w:t>
      </w:r>
      <w:r>
        <w:rPr>
          <w:lang w:val="pl-PL"/>
        </w:rPr>
        <w:t xml:space="preserve">przedmiotem sporu było miejsce kultu. </w:t>
      </w:r>
      <w:r w:rsidRPr="00791DC9">
        <w:rPr>
          <w:lang w:val="pl-PL"/>
        </w:rPr>
        <w:t xml:space="preserve">Art. 6 ust. 1 Konwencji miał zatem zastosowanie w obecnej sprawie. </w:t>
      </w:r>
    </w:p>
    <w:p w:rsidR="003A440A" w:rsidRPr="003A440A" w:rsidRDefault="003A440A">
      <w:pPr>
        <w:pStyle w:val="ClinContent"/>
        <w:rPr>
          <w:lang w:val="pl-PL"/>
        </w:rPr>
      </w:pPr>
      <w:r w:rsidRPr="003A440A">
        <w:rPr>
          <w:lang w:val="pl-PL"/>
        </w:rPr>
        <w:t xml:space="preserve">(a) </w:t>
      </w:r>
      <w:r w:rsidRPr="003A440A">
        <w:rPr>
          <w:i/>
          <w:lang w:val="pl-PL"/>
        </w:rPr>
        <w:t>Prawo dostępu do sądu</w:t>
      </w:r>
      <w:r w:rsidRPr="003A440A">
        <w:rPr>
          <w:lang w:val="pl-PL"/>
        </w:rPr>
        <w:t xml:space="preserve"> – Skarżącym nie uniemożliwiono wniesienia powództwa o zwrot kościoła do sądu krajowego, który przeprowadził wnikliwe badanie ich sprawy. </w:t>
      </w:r>
    </w:p>
    <w:p w:rsidR="003A440A" w:rsidRPr="003A440A" w:rsidRDefault="003A440A">
      <w:pPr>
        <w:pStyle w:val="ClinContent"/>
        <w:rPr>
          <w:lang w:val="pl-PL"/>
        </w:rPr>
      </w:pPr>
      <w:r w:rsidRPr="003A440A">
        <w:rPr>
          <w:lang w:val="pl-PL"/>
        </w:rPr>
        <w:t xml:space="preserve">Sądy krajowe, które były niezależne i </w:t>
      </w:r>
      <w:r>
        <w:rPr>
          <w:lang w:val="pl-PL"/>
        </w:rPr>
        <w:t xml:space="preserve">bezstronne, przy wykonywaniu swej </w:t>
      </w:r>
      <w:r w:rsidR="00C010F2">
        <w:rPr>
          <w:lang w:val="pl-PL"/>
        </w:rPr>
        <w:t xml:space="preserve">jurysdykcji </w:t>
      </w:r>
      <w:r>
        <w:rPr>
          <w:lang w:val="pl-PL"/>
        </w:rPr>
        <w:t xml:space="preserve">korzystały z prawa do przeprowadzenia oceny sprawy zgodnie z własnym uznaniem, a ich rola nie była ograniczona do zatwierdzenia wstępnie określonego wyniku. </w:t>
      </w:r>
    </w:p>
    <w:p w:rsidR="003A440A" w:rsidRPr="003A440A" w:rsidRDefault="003A440A">
      <w:pPr>
        <w:pStyle w:val="ClinContent"/>
        <w:rPr>
          <w:lang w:val="pl-PL"/>
        </w:rPr>
      </w:pPr>
      <w:r w:rsidRPr="003A440A">
        <w:rPr>
          <w:lang w:val="pl-PL"/>
        </w:rPr>
        <w:t>A zatem, w</w:t>
      </w:r>
      <w:r>
        <w:rPr>
          <w:lang w:val="pl-PL"/>
        </w:rPr>
        <w:t xml:space="preserve"> obecnej sprawie nie miała miejsce przeszkoda proceduraln</w:t>
      </w:r>
      <w:r w:rsidR="003C64DF">
        <w:rPr>
          <w:lang w:val="pl-PL"/>
        </w:rPr>
        <w:t>a utrudniająca skarżącym dostęp</w:t>
      </w:r>
      <w:r>
        <w:rPr>
          <w:lang w:val="pl-PL"/>
        </w:rPr>
        <w:t xml:space="preserve"> do sądu, a przepis prawa materialnego, który – choć był </w:t>
      </w:r>
      <w:r w:rsidR="003C64DF">
        <w:rPr>
          <w:lang w:val="pl-PL"/>
        </w:rPr>
        <w:t xml:space="preserve">on </w:t>
      </w:r>
      <w:r>
        <w:rPr>
          <w:lang w:val="pl-PL"/>
        </w:rPr>
        <w:t xml:space="preserve">tego rodzaju, że miał wpływ na wynik postępowania – nie uniemożliwiał sądom oceny istoty sporu. W rzeczywistości skarżący skarżyli się na problem ze spełnieniem warunku przewidzianego przez prawo materialne w celu uzyskania zwrotu danego miejsca kultu. </w:t>
      </w:r>
    </w:p>
    <w:p w:rsidR="003A440A" w:rsidRPr="003A440A" w:rsidRDefault="003A440A">
      <w:pPr>
        <w:pStyle w:val="ClinContent"/>
        <w:rPr>
          <w:lang w:val="pl-PL"/>
        </w:rPr>
      </w:pPr>
      <w:r w:rsidRPr="003A440A">
        <w:rPr>
          <w:lang w:val="pl-PL"/>
        </w:rPr>
        <w:t xml:space="preserve">Jednakże rozróżnienie między elementami proceduralnymi a materialnymi </w:t>
      </w:r>
      <w:r>
        <w:rPr>
          <w:lang w:val="pl-PL"/>
        </w:rPr>
        <w:t xml:space="preserve">było decydującą kwestią dla rozstrzygnięcia zastosowalności i, jeśli to właściwe, zakresu gwarancji art. 6 Konwencji, który może co do zasady nie </w:t>
      </w:r>
      <w:r w:rsidR="003C64DF">
        <w:rPr>
          <w:lang w:val="pl-PL"/>
        </w:rPr>
        <w:t xml:space="preserve">znajdować </w:t>
      </w:r>
      <w:r>
        <w:rPr>
          <w:lang w:val="pl-PL"/>
        </w:rPr>
        <w:t xml:space="preserve">zastosowania do ograniczeń o charakterze materialnym nałożonych na uprawnienie istniejące na gruncie prawa krajowego. </w:t>
      </w:r>
    </w:p>
    <w:p w:rsidR="00C010F2" w:rsidRPr="00C010F2" w:rsidRDefault="00C010F2">
      <w:pPr>
        <w:pStyle w:val="ClinContent"/>
        <w:rPr>
          <w:lang w:val="pl-PL"/>
        </w:rPr>
      </w:pPr>
      <w:r w:rsidRPr="00C010F2">
        <w:rPr>
          <w:lang w:val="pl-PL"/>
        </w:rPr>
        <w:t xml:space="preserve">Kryterium życzeń wyznawców, którego dotyczy obecna sprawa, nie może być uznane za ograniczające w jakikolwiek sposób </w:t>
      </w:r>
      <w:r>
        <w:rPr>
          <w:lang w:val="pl-PL"/>
        </w:rPr>
        <w:t xml:space="preserve">jurysdykcję sądów do rozstrzygania w sprawie powództw o zwrot mienia w odniesieniu do miejsc kultu, a jako kwalifikujące określone prawo materialne. Sądy krajowe w obecnej sprawie miały pełną jurysdykcję </w:t>
      </w:r>
      <w:r w:rsidR="00113C57">
        <w:rPr>
          <w:lang w:val="pl-PL"/>
        </w:rPr>
        <w:t xml:space="preserve">przy stosowaniu i wykładni prawa krajowego, nie będąc związane odmową parafii prawosławnej znalezienia rozwiązania ugodowego w kontekście procedury przed komisją wspólną. </w:t>
      </w:r>
    </w:p>
    <w:p w:rsidR="001B0187" w:rsidRPr="001B0187" w:rsidRDefault="001B0187">
      <w:pPr>
        <w:pStyle w:val="ClinContent"/>
        <w:rPr>
          <w:lang w:val="pl-PL"/>
        </w:rPr>
      </w:pPr>
      <w:r w:rsidRPr="001B0187">
        <w:rPr>
          <w:lang w:val="pl-PL"/>
        </w:rPr>
        <w:lastRenderedPageBreak/>
        <w:t xml:space="preserve">Sporne kryterium spowodowało gorące debaty w czasie, gdy było ono przyjmowane przez Parlament </w:t>
      </w:r>
      <w:r>
        <w:rPr>
          <w:lang w:val="pl-PL"/>
        </w:rPr>
        <w:t xml:space="preserve">i kiedy </w:t>
      </w:r>
      <w:r w:rsidR="003C64DF">
        <w:rPr>
          <w:lang w:val="pl-PL"/>
        </w:rPr>
        <w:t xml:space="preserve">ustawą nr 182/2005 </w:t>
      </w:r>
      <w:r>
        <w:rPr>
          <w:lang w:val="pl-PL"/>
        </w:rPr>
        <w:t xml:space="preserve">uchwalano zmiany do </w:t>
      </w:r>
      <w:r w:rsidR="003C64DF">
        <w:rPr>
          <w:lang w:val="pl-PL"/>
        </w:rPr>
        <w:t xml:space="preserve">dekretu ustawodawczego </w:t>
      </w:r>
      <w:r>
        <w:rPr>
          <w:lang w:val="pl-PL"/>
        </w:rPr>
        <w:t xml:space="preserve">nr 126/1990. Oba zainteresowane kościoły były konsultowane w ramach procesu ustawodawczego, który doprowadził do przyjęcia spornego kryterium. Orzecznictwo Trybunału Konstytucyjnego w sposób spójny uznawało zgodność tego kryterium z Konstytucją, zarówno w odniesieniu do jego zastosowania przez wspólne komisje, </w:t>
      </w:r>
      <w:r w:rsidR="0066559F">
        <w:rPr>
          <w:lang w:val="pl-PL"/>
        </w:rPr>
        <w:t xml:space="preserve">jak </w:t>
      </w:r>
      <w:r>
        <w:rPr>
          <w:lang w:val="pl-PL"/>
        </w:rPr>
        <w:t xml:space="preserve">też w kontekście postępowań sądowych prowadzonych na podstawie </w:t>
      </w:r>
      <w:r w:rsidR="002350DB">
        <w:rPr>
          <w:lang w:val="pl-PL"/>
        </w:rPr>
        <w:t>powszechnych przepisów prawa</w:t>
      </w:r>
      <w:r>
        <w:rPr>
          <w:lang w:val="pl-PL"/>
        </w:rPr>
        <w:t>.</w:t>
      </w:r>
    </w:p>
    <w:p w:rsidR="0066559F" w:rsidRPr="0066559F" w:rsidRDefault="0066559F">
      <w:pPr>
        <w:pStyle w:val="ClinContent"/>
        <w:rPr>
          <w:lang w:val="pl-PL"/>
        </w:rPr>
      </w:pPr>
      <w:r w:rsidRPr="0066559F">
        <w:rPr>
          <w:lang w:val="pl-PL"/>
        </w:rPr>
        <w:t xml:space="preserve">W wyroku w sprawie </w:t>
      </w:r>
      <w:proofErr w:type="spellStart"/>
      <w:r w:rsidRPr="0066559F">
        <w:rPr>
          <w:i/>
          <w:lang w:val="pl-PL"/>
        </w:rPr>
        <w:t>Sâmbata</w:t>
      </w:r>
      <w:proofErr w:type="spellEnd"/>
      <w:r w:rsidRPr="0066559F">
        <w:rPr>
          <w:i/>
          <w:lang w:val="pl-PL"/>
        </w:rPr>
        <w:t xml:space="preserve"> </w:t>
      </w:r>
      <w:proofErr w:type="spellStart"/>
      <w:r w:rsidRPr="0066559F">
        <w:rPr>
          <w:i/>
          <w:lang w:val="pl-PL"/>
        </w:rPr>
        <w:t>Bihor</w:t>
      </w:r>
      <w:proofErr w:type="spellEnd"/>
      <w:r w:rsidRPr="0066559F">
        <w:rPr>
          <w:i/>
          <w:lang w:val="pl-PL"/>
        </w:rPr>
        <w:t xml:space="preserve"> Greek </w:t>
      </w:r>
      <w:proofErr w:type="spellStart"/>
      <w:r w:rsidRPr="0066559F">
        <w:rPr>
          <w:i/>
          <w:lang w:val="pl-PL"/>
        </w:rPr>
        <w:t>Catholic</w:t>
      </w:r>
      <w:proofErr w:type="spellEnd"/>
      <w:r w:rsidRPr="0066559F">
        <w:rPr>
          <w:i/>
          <w:lang w:val="pl-PL"/>
        </w:rPr>
        <w:t xml:space="preserve"> </w:t>
      </w:r>
      <w:proofErr w:type="spellStart"/>
      <w:r w:rsidRPr="0066559F">
        <w:rPr>
          <w:i/>
          <w:lang w:val="pl-PL"/>
        </w:rPr>
        <w:t>Parish</w:t>
      </w:r>
      <w:proofErr w:type="spellEnd"/>
      <w:r w:rsidRPr="0066559F">
        <w:rPr>
          <w:i/>
          <w:lang w:val="pl-PL"/>
        </w:rPr>
        <w:t xml:space="preserve"> p.</w:t>
      </w:r>
      <w:r>
        <w:rPr>
          <w:i/>
          <w:lang w:val="pl-PL"/>
        </w:rPr>
        <w:t xml:space="preserve"> Rumunii </w:t>
      </w:r>
      <w:r w:rsidRPr="0066559F">
        <w:rPr>
          <w:lang w:val="pl-PL"/>
        </w:rPr>
        <w:t>(skarga nr 48107/99, wyrok z 12 stycznia</w:t>
      </w:r>
      <w:r>
        <w:rPr>
          <w:lang w:val="pl-PL"/>
        </w:rPr>
        <w:t xml:space="preserve"> 2010 r.,</w:t>
      </w:r>
      <w:r w:rsidR="00ED3985">
        <w:rPr>
          <w:lang w:val="pl-PL"/>
        </w:rPr>
        <w:t xml:space="preserve"> </w:t>
      </w:r>
      <w:hyperlink r:id="rId10" w:history="1">
        <w:r w:rsidR="00ED3985">
          <w:rPr>
            <w:rStyle w:val="Hipercze"/>
            <w:lang w:val="pl-PL"/>
          </w:rPr>
          <w:t>Nota informacyjna nr</w:t>
        </w:r>
        <w:r w:rsidR="00ED3985" w:rsidRPr="00ED3985">
          <w:rPr>
            <w:rStyle w:val="Hipercze"/>
            <w:lang w:val="pl-PL"/>
          </w:rPr>
          <w:t xml:space="preserve"> 126</w:t>
        </w:r>
      </w:hyperlink>
      <w:r w:rsidRPr="0066559F">
        <w:rPr>
          <w:lang w:val="pl-PL"/>
        </w:rPr>
        <w:t>)</w:t>
      </w:r>
      <w:r>
        <w:rPr>
          <w:lang w:val="pl-PL"/>
        </w:rPr>
        <w:t xml:space="preserve"> Trybunał stwierdził ograniczenie prawa dostępu do sądu po zbadaniu ram prawnych, które istniały przed zmianami wprowadzonymi do art. 3 </w:t>
      </w:r>
      <w:r w:rsidR="003C64DF">
        <w:rPr>
          <w:lang w:val="pl-PL"/>
        </w:rPr>
        <w:t xml:space="preserve">dekretu ustawodawczego </w:t>
      </w:r>
      <w:r>
        <w:rPr>
          <w:lang w:val="pl-PL"/>
        </w:rPr>
        <w:t xml:space="preserve">nr 126/1999 na mocy rozporządzenia nr 64/2004 oraz ustawy nr 182/2005, a zatem przed wprowadzeniem w sposób wyraźny w drodze tych nowelizacji możliwości wszczęcia postępowania w oparciu o </w:t>
      </w:r>
      <w:r w:rsidR="002350DB">
        <w:rPr>
          <w:lang w:val="pl-PL"/>
        </w:rPr>
        <w:t>prawo powszechne</w:t>
      </w:r>
      <w:r>
        <w:rPr>
          <w:lang w:val="pl-PL"/>
        </w:rPr>
        <w:t xml:space="preserve">. </w:t>
      </w:r>
    </w:p>
    <w:p w:rsidR="00094CE7" w:rsidRPr="00094CE7" w:rsidRDefault="00094CE7">
      <w:pPr>
        <w:pStyle w:val="ClinContent"/>
        <w:rPr>
          <w:lang w:val="pl-PL"/>
        </w:rPr>
      </w:pPr>
      <w:r w:rsidRPr="00094CE7">
        <w:rPr>
          <w:lang w:val="pl-PL"/>
        </w:rPr>
        <w:t xml:space="preserve">Mając na uwadze powyższe względy, skarżący nie </w:t>
      </w:r>
      <w:r>
        <w:rPr>
          <w:lang w:val="pl-PL"/>
        </w:rPr>
        <w:t xml:space="preserve">zostali pozbawieni prawa do </w:t>
      </w:r>
      <w:r w:rsidR="00AD56D0">
        <w:rPr>
          <w:lang w:val="pl-PL"/>
        </w:rPr>
        <w:t>rozstrzygnięcia</w:t>
      </w:r>
      <w:r>
        <w:rPr>
          <w:lang w:val="pl-PL"/>
        </w:rPr>
        <w:t xml:space="preserve"> istoty ich roszczenia dotyczącego prawa własności miejsca kultu. Trudności napotkane przez skarżących przy ich próbach uzyskania zwrotu spornego budynku kościelnego wynikały z mających zastosowanie przepisów prawa materialnego i nie były związane z jakimkolwiek ograniczeniem ich prawa dostępu do </w:t>
      </w:r>
      <w:r w:rsidR="00AD56D0">
        <w:rPr>
          <w:lang w:val="pl-PL"/>
        </w:rPr>
        <w:t>sądu</w:t>
      </w:r>
      <w:r>
        <w:rPr>
          <w:lang w:val="pl-PL"/>
        </w:rPr>
        <w:t xml:space="preserve">. </w:t>
      </w:r>
    </w:p>
    <w:p w:rsidR="00AD56D0" w:rsidRPr="00AD56D0" w:rsidRDefault="00AD56D0">
      <w:pPr>
        <w:pStyle w:val="ClinContent"/>
        <w:rPr>
          <w:lang w:val="pl-PL"/>
        </w:rPr>
      </w:pPr>
      <w:r w:rsidRPr="00AD56D0">
        <w:rPr>
          <w:i/>
          <w:lang w:val="pl-PL"/>
        </w:rPr>
        <w:t>Rozstrzygnięcie</w:t>
      </w:r>
      <w:r w:rsidRPr="00AD56D0">
        <w:rPr>
          <w:lang w:val="pl-PL"/>
        </w:rPr>
        <w:t>: brak naruszenia (dw</w:t>
      </w:r>
      <w:r w:rsidR="00791DC9">
        <w:rPr>
          <w:lang w:val="pl-PL"/>
        </w:rPr>
        <w:t>unastoma głosami</w:t>
      </w:r>
      <w:r w:rsidRPr="00AD56D0">
        <w:rPr>
          <w:lang w:val="pl-PL"/>
        </w:rPr>
        <w:t xml:space="preserve"> do pięciu)</w:t>
      </w:r>
      <w:r w:rsidR="00716F36">
        <w:rPr>
          <w:lang w:val="pl-PL"/>
        </w:rPr>
        <w:t>.</w:t>
      </w:r>
    </w:p>
    <w:p w:rsidR="00AD56D0" w:rsidRDefault="00AD56D0">
      <w:pPr>
        <w:pStyle w:val="ClinContent"/>
        <w:rPr>
          <w:lang w:val="pl-PL"/>
        </w:rPr>
      </w:pPr>
      <w:r w:rsidRPr="00AD56D0">
        <w:rPr>
          <w:lang w:val="pl-PL"/>
        </w:rPr>
        <w:t xml:space="preserve">(b) </w:t>
      </w:r>
      <w:r w:rsidRPr="00AD56D0">
        <w:rPr>
          <w:i/>
          <w:lang w:val="pl-PL"/>
        </w:rPr>
        <w:t xml:space="preserve">Zgodność z zasadą pewności prawnej </w:t>
      </w:r>
      <w:r>
        <w:rPr>
          <w:i/>
          <w:lang w:val="pl-PL"/>
        </w:rPr>
        <w:t>–</w:t>
      </w:r>
      <w:r w:rsidRPr="00AD56D0">
        <w:rPr>
          <w:i/>
          <w:lang w:val="pl-PL"/>
        </w:rPr>
        <w:t xml:space="preserve"> </w:t>
      </w:r>
      <w:r w:rsidRPr="00AD56D0">
        <w:rPr>
          <w:lang w:val="pl-PL"/>
        </w:rPr>
        <w:t xml:space="preserve">W </w:t>
      </w:r>
      <w:r w:rsidR="002350DB" w:rsidRPr="00AD56D0">
        <w:rPr>
          <w:lang w:val="pl-PL"/>
        </w:rPr>
        <w:t>ramach</w:t>
      </w:r>
      <w:r w:rsidRPr="00AD56D0">
        <w:rPr>
          <w:lang w:val="pl-PL"/>
        </w:rPr>
        <w:t xml:space="preserve"> samego Wysokiego Sądu</w:t>
      </w:r>
      <w:r>
        <w:rPr>
          <w:lang w:val="pl-PL"/>
        </w:rPr>
        <w:t>, który był powołany do ro</w:t>
      </w:r>
      <w:r w:rsidR="002350DB">
        <w:rPr>
          <w:lang w:val="pl-PL"/>
        </w:rPr>
        <w:t>zstrzygania przedmiotowych spor</w:t>
      </w:r>
      <w:r>
        <w:rPr>
          <w:lang w:val="pl-PL"/>
        </w:rPr>
        <w:t>ów w ostatniej</w:t>
      </w:r>
      <w:r w:rsidR="002350DB">
        <w:rPr>
          <w:lang w:val="pl-PL"/>
        </w:rPr>
        <w:t xml:space="preserve"> instancji, wykładnia pojęcia „powszechnego prawa” dokonywana była w sposób sprzeczny. </w:t>
      </w:r>
      <w:r w:rsidR="00716F36">
        <w:rPr>
          <w:lang w:val="pl-PL"/>
        </w:rPr>
        <w:t xml:space="preserve">Znalazło to odzwierciedlenie w orzeczeniach przyjmowanych przez sądy niższych instancji, które również wydawały sprzeczne wyroki. </w:t>
      </w:r>
    </w:p>
    <w:p w:rsidR="002350DB" w:rsidRPr="002350DB" w:rsidRDefault="002350DB">
      <w:pPr>
        <w:pStyle w:val="ClinContent"/>
        <w:rPr>
          <w:lang w:val="pl-PL"/>
        </w:rPr>
      </w:pPr>
      <w:r w:rsidRPr="002350DB">
        <w:rPr>
          <w:lang w:val="pl-PL"/>
        </w:rPr>
        <w:t>Od 2012 r. Wysoki Sąd oraz Trybunał Konstytucyjny</w:t>
      </w:r>
      <w:r>
        <w:rPr>
          <w:lang w:val="pl-PL"/>
        </w:rPr>
        <w:t xml:space="preserve"> ujednoliciły swoje stanowiska w postępowaniach dotyczących </w:t>
      </w:r>
      <w:r w:rsidR="00ED3985">
        <w:rPr>
          <w:lang w:val="pl-PL"/>
        </w:rPr>
        <w:t xml:space="preserve">restytucji </w:t>
      </w:r>
      <w:r>
        <w:rPr>
          <w:lang w:val="pl-PL"/>
        </w:rPr>
        <w:t>miejsc</w:t>
      </w:r>
      <w:r w:rsidR="003C64DF">
        <w:rPr>
          <w:lang w:val="pl-PL"/>
        </w:rPr>
        <w:t xml:space="preserve"> kultu, co skutkowało w praktyce</w:t>
      </w:r>
      <w:r>
        <w:rPr>
          <w:lang w:val="pl-PL"/>
        </w:rPr>
        <w:t xml:space="preserve"> harmonizacją orzecznictwa sądów niższej instancji.</w:t>
      </w:r>
      <w:r w:rsidRPr="002350DB">
        <w:rPr>
          <w:lang w:val="pl-PL"/>
        </w:rPr>
        <w:t xml:space="preserve"> </w:t>
      </w:r>
    </w:p>
    <w:p w:rsidR="002350DB" w:rsidRPr="002350DB" w:rsidRDefault="002350DB">
      <w:pPr>
        <w:pStyle w:val="ClinContent"/>
        <w:rPr>
          <w:lang w:val="pl-PL"/>
        </w:rPr>
      </w:pPr>
      <w:r w:rsidRPr="002350DB">
        <w:rPr>
          <w:lang w:val="pl-PL"/>
        </w:rPr>
        <w:t xml:space="preserve">Tym niemniej, od 2007 r. do 2012 r. </w:t>
      </w:r>
      <w:r>
        <w:rPr>
          <w:lang w:val="pl-PL"/>
        </w:rPr>
        <w:t xml:space="preserve">Wysoki Sąd wydawał wyroki, które różniły się diametralnie. Zważywszy że Wysoki Sąd </w:t>
      </w:r>
      <w:r w:rsidR="002A7F8F">
        <w:rPr>
          <w:lang w:val="pl-PL"/>
        </w:rPr>
        <w:t xml:space="preserve">zmieniał </w:t>
      </w:r>
      <w:r w:rsidR="003510F4">
        <w:rPr>
          <w:lang w:val="pl-PL"/>
        </w:rPr>
        <w:t>swoje stanowisko</w:t>
      </w:r>
      <w:r>
        <w:rPr>
          <w:lang w:val="pl-PL"/>
        </w:rPr>
        <w:t xml:space="preserve">, te wahania w wykładni sądów nie mogły być uznawane za ewolucję orzecznictwa, która jest nieodłączną cechą każdego systemu sądowego. </w:t>
      </w:r>
    </w:p>
    <w:p w:rsidR="002350DB" w:rsidRPr="002350DB" w:rsidRDefault="002350DB">
      <w:pPr>
        <w:pStyle w:val="ClinContent"/>
        <w:rPr>
          <w:lang w:val="pl-PL"/>
        </w:rPr>
      </w:pPr>
      <w:r w:rsidRPr="002350DB">
        <w:rPr>
          <w:lang w:val="pl-PL"/>
        </w:rPr>
        <w:t>Wreszcie, niepewność prawna dotyczyła kolejno kwestii dostępu do sądu oraz mającego zastosowanie prawa materi</w:t>
      </w:r>
      <w:r>
        <w:rPr>
          <w:lang w:val="pl-PL"/>
        </w:rPr>
        <w:t>a</w:t>
      </w:r>
      <w:r w:rsidRPr="002350DB">
        <w:rPr>
          <w:lang w:val="pl-PL"/>
        </w:rPr>
        <w:t xml:space="preserve">lnego. </w:t>
      </w:r>
    </w:p>
    <w:p w:rsidR="002350DB" w:rsidRPr="002350DB" w:rsidRDefault="002350DB" w:rsidP="002350DB">
      <w:pPr>
        <w:pStyle w:val="ClinContent"/>
        <w:rPr>
          <w:lang w:val="pl-PL"/>
        </w:rPr>
      </w:pPr>
      <w:r w:rsidRPr="002350DB">
        <w:rPr>
          <w:lang w:val="pl-PL"/>
        </w:rPr>
        <w:t xml:space="preserve">Wynika z tego, że w obecnej sprawie istniały “głębokie i długotrwałe rozbieżności” w orzecznictwie, w rozumieniu </w:t>
      </w:r>
      <w:r w:rsidR="00DB78B1" w:rsidRPr="002350DB">
        <w:rPr>
          <w:lang w:val="pl-PL"/>
        </w:rPr>
        <w:t>wyroku</w:t>
      </w:r>
      <w:r w:rsidRPr="002350DB">
        <w:rPr>
          <w:lang w:val="pl-PL"/>
        </w:rPr>
        <w:t xml:space="preserve"> Wielkiej Izby w sprawie </w:t>
      </w:r>
      <w:proofErr w:type="spellStart"/>
      <w:r w:rsidRPr="002350DB">
        <w:rPr>
          <w:i/>
          <w:lang w:val="pl-PL"/>
        </w:rPr>
        <w:t>Nejdet</w:t>
      </w:r>
      <w:proofErr w:type="spellEnd"/>
      <w:r w:rsidRPr="002350DB">
        <w:rPr>
          <w:i/>
          <w:lang w:val="pl-PL"/>
        </w:rPr>
        <w:t xml:space="preserve"> </w:t>
      </w:r>
      <w:proofErr w:type="spellStart"/>
      <w:r w:rsidRPr="002350DB">
        <w:rPr>
          <w:i/>
          <w:lang w:val="pl-PL"/>
        </w:rPr>
        <w:t>Şahin</w:t>
      </w:r>
      <w:proofErr w:type="spellEnd"/>
      <w:r w:rsidRPr="002350DB">
        <w:rPr>
          <w:i/>
          <w:lang w:val="pl-PL"/>
        </w:rPr>
        <w:t xml:space="preserve"> </w:t>
      </w:r>
      <w:r w:rsidR="000E2E43">
        <w:rPr>
          <w:i/>
          <w:lang w:val="pl-PL"/>
        </w:rPr>
        <w:t>i</w:t>
      </w:r>
      <w:r w:rsidR="000E2E43" w:rsidRPr="002350DB">
        <w:rPr>
          <w:i/>
          <w:lang w:val="pl-PL"/>
        </w:rPr>
        <w:t xml:space="preserve"> </w:t>
      </w:r>
      <w:proofErr w:type="spellStart"/>
      <w:r w:rsidRPr="002350DB">
        <w:rPr>
          <w:i/>
          <w:lang w:val="pl-PL"/>
        </w:rPr>
        <w:t>Perihan</w:t>
      </w:r>
      <w:proofErr w:type="spellEnd"/>
      <w:r w:rsidRPr="002350DB">
        <w:rPr>
          <w:i/>
          <w:lang w:val="pl-PL"/>
        </w:rPr>
        <w:t xml:space="preserve"> </w:t>
      </w:r>
      <w:proofErr w:type="spellStart"/>
      <w:r w:rsidRPr="002350DB">
        <w:rPr>
          <w:i/>
          <w:lang w:val="pl-PL"/>
        </w:rPr>
        <w:t>Şahin</w:t>
      </w:r>
      <w:proofErr w:type="spellEnd"/>
      <w:r w:rsidRPr="002350DB">
        <w:rPr>
          <w:i/>
          <w:lang w:val="pl-PL"/>
        </w:rPr>
        <w:t xml:space="preserve"> p</w:t>
      </w:r>
      <w:r>
        <w:rPr>
          <w:i/>
          <w:lang w:val="pl-PL"/>
        </w:rPr>
        <w:t xml:space="preserve">. Turcji </w:t>
      </w:r>
      <w:r w:rsidRPr="002350DB">
        <w:rPr>
          <w:lang w:val="pl-PL"/>
        </w:rPr>
        <w:t xml:space="preserve">([Wielka Izba], </w:t>
      </w:r>
      <w:r>
        <w:rPr>
          <w:lang w:val="pl-PL"/>
        </w:rPr>
        <w:t xml:space="preserve">skarga nr </w:t>
      </w:r>
      <w:r w:rsidRPr="002350DB">
        <w:rPr>
          <w:lang w:val="pl-PL"/>
        </w:rPr>
        <w:t>13279/05, 20 </w:t>
      </w:r>
      <w:r>
        <w:rPr>
          <w:lang w:val="pl-PL"/>
        </w:rPr>
        <w:t>października</w:t>
      </w:r>
      <w:r w:rsidRPr="002350DB">
        <w:rPr>
          <w:lang w:val="pl-PL"/>
        </w:rPr>
        <w:t xml:space="preserve"> 2011</w:t>
      </w:r>
      <w:r>
        <w:rPr>
          <w:lang w:val="pl-PL"/>
        </w:rPr>
        <w:t xml:space="preserve"> r.</w:t>
      </w:r>
      <w:r w:rsidRPr="002350DB">
        <w:rPr>
          <w:lang w:val="pl-PL"/>
        </w:rPr>
        <w:t>,</w:t>
      </w:r>
      <w:r w:rsidR="00ED3985">
        <w:rPr>
          <w:lang w:val="pl-PL"/>
        </w:rPr>
        <w:t xml:space="preserve"> </w:t>
      </w:r>
      <w:hyperlink r:id="rId11" w:history="1">
        <w:r w:rsidR="00ED3985" w:rsidRPr="00ED3985">
          <w:rPr>
            <w:rStyle w:val="Hipercze"/>
            <w:lang w:val="pl-PL"/>
          </w:rPr>
          <w:t>Not</w:t>
        </w:r>
        <w:r w:rsidR="00ED3985">
          <w:rPr>
            <w:rStyle w:val="Hipercze"/>
            <w:lang w:val="pl-PL"/>
          </w:rPr>
          <w:t>a informacyjna nr</w:t>
        </w:r>
        <w:r w:rsidR="00ED3985" w:rsidRPr="00ED3985">
          <w:rPr>
            <w:rStyle w:val="Hipercze"/>
            <w:lang w:val="pl-PL"/>
          </w:rPr>
          <w:t xml:space="preserve"> 145</w:t>
        </w:r>
      </w:hyperlink>
      <w:r w:rsidRPr="002350DB">
        <w:rPr>
          <w:lang w:val="pl-PL"/>
        </w:rPr>
        <w:t>).</w:t>
      </w:r>
    </w:p>
    <w:p w:rsidR="002350DB" w:rsidRPr="002350DB" w:rsidRDefault="002350DB">
      <w:pPr>
        <w:pStyle w:val="ClinContent"/>
        <w:rPr>
          <w:lang w:val="pl-PL"/>
        </w:rPr>
      </w:pPr>
      <w:r w:rsidRPr="002350DB">
        <w:rPr>
          <w:lang w:val="pl-PL"/>
        </w:rPr>
        <w:t xml:space="preserve">Kontekst, w jakim zostało zbadane powództwo skarżących, a mianowicie niepewność w orzecznictwie, w powiązaniu z brakiem szybkiego wykorzystania mechanizmu przewidzianego w prawie krajowym </w:t>
      </w:r>
      <w:r w:rsidR="00DB78B1">
        <w:rPr>
          <w:lang w:val="pl-PL"/>
        </w:rPr>
        <w:t xml:space="preserve">do </w:t>
      </w:r>
      <w:r w:rsidRPr="002350DB">
        <w:rPr>
          <w:lang w:val="pl-PL"/>
        </w:rPr>
        <w:t xml:space="preserve">zapewnienia spójnej praktyki nawet w ramach najwyższego sądu w kraju, podważyła zasadę pewności prawnej, a w ten sposób skutkowała pozbawieniem skarżących sprawiedliwego rozpatrzenia ich sprawy. </w:t>
      </w:r>
    </w:p>
    <w:p w:rsidR="00DB78B1" w:rsidRPr="003C64DF" w:rsidRDefault="00DB78B1">
      <w:pPr>
        <w:pStyle w:val="ClinContent"/>
        <w:rPr>
          <w:lang w:val="pl-PL"/>
        </w:rPr>
      </w:pPr>
      <w:r w:rsidRPr="009E586B">
        <w:rPr>
          <w:i/>
          <w:lang w:val="pl-PL"/>
        </w:rPr>
        <w:t>Rozstrzygnięcie</w:t>
      </w:r>
      <w:r w:rsidRPr="003C64DF">
        <w:rPr>
          <w:lang w:val="pl-PL"/>
        </w:rPr>
        <w:t>: naruszenie (jednomyślnie).</w:t>
      </w:r>
    </w:p>
    <w:p w:rsidR="00DB78B1" w:rsidRPr="00DB78B1" w:rsidRDefault="00DB78B1">
      <w:pPr>
        <w:pStyle w:val="ClinContent"/>
        <w:rPr>
          <w:lang w:val="pl-PL"/>
        </w:rPr>
      </w:pPr>
      <w:r w:rsidRPr="00DB78B1">
        <w:rPr>
          <w:lang w:val="pl-PL"/>
        </w:rPr>
        <w:lastRenderedPageBreak/>
        <w:t xml:space="preserve">Trybunał orzekł również, dwunastoma głosami do pięciu, że nie doszło do </w:t>
      </w:r>
      <w:r w:rsidR="00D11FA8" w:rsidRPr="00DB78B1">
        <w:rPr>
          <w:lang w:val="pl-PL"/>
        </w:rPr>
        <w:t>naruszenia</w:t>
      </w:r>
      <w:r w:rsidRPr="00DB78B1">
        <w:rPr>
          <w:lang w:val="pl-PL"/>
        </w:rPr>
        <w:t xml:space="preserve"> art. </w:t>
      </w:r>
      <w:r>
        <w:rPr>
          <w:lang w:val="pl-PL"/>
        </w:rPr>
        <w:t xml:space="preserve">14 w związku z art. 6 ust. 1, zważywszy, że brak było różnego traktowania skarżących i pozwanego w odniesieniu do możliwości wystąpienia do sądu i uzyskania </w:t>
      </w:r>
      <w:r w:rsidR="00D11FA8">
        <w:rPr>
          <w:lang w:val="pl-PL"/>
        </w:rPr>
        <w:t>orzeczenia</w:t>
      </w:r>
      <w:r>
        <w:rPr>
          <w:lang w:val="pl-PL"/>
        </w:rPr>
        <w:t xml:space="preserve"> sądu w sprawie powództwa o zwrot własności miejsca kultu; a także, jednomyślnie, że doszło do naruszenia art. 6 ust. 1 z uwagi na brak rozpatrzenia sprawy skarżących w rozsądnym terminie. </w:t>
      </w:r>
    </w:p>
    <w:p w:rsidR="00DB78B1" w:rsidRPr="00DB78B1" w:rsidRDefault="00DB78B1">
      <w:pPr>
        <w:pStyle w:val="ClinContent"/>
        <w:rPr>
          <w:lang w:val="pl-PL"/>
        </w:rPr>
      </w:pPr>
      <w:r w:rsidRPr="00DB78B1">
        <w:rPr>
          <w:lang w:val="pl-PL"/>
        </w:rPr>
        <w:t xml:space="preserve">Art. 41: </w:t>
      </w:r>
      <w:r>
        <w:rPr>
          <w:lang w:val="pl-PL"/>
        </w:rPr>
        <w:t xml:space="preserve">łącznie </w:t>
      </w:r>
      <w:r w:rsidRPr="00DB78B1">
        <w:rPr>
          <w:lang w:val="pl-PL"/>
        </w:rPr>
        <w:t xml:space="preserve">4.700 euro dla skarżących z tytułu szkody </w:t>
      </w:r>
      <w:r>
        <w:rPr>
          <w:lang w:val="pl-PL"/>
        </w:rPr>
        <w:t>niemajątkowej</w:t>
      </w:r>
      <w:r w:rsidR="009E586B">
        <w:rPr>
          <w:lang w:val="pl-PL"/>
        </w:rPr>
        <w:t>.</w:t>
      </w:r>
    </w:p>
    <w:p w:rsidR="008953E6" w:rsidRPr="00DB78B1" w:rsidRDefault="00120A3D">
      <w:pPr>
        <w:pStyle w:val="ClinContent"/>
        <w:rPr>
          <w:lang w:val="pl-PL"/>
        </w:rPr>
      </w:pPr>
      <w:r w:rsidRPr="00DB78B1">
        <w:rPr>
          <w:lang w:val="pl-PL"/>
        </w:rPr>
        <w:t>(</w:t>
      </w:r>
      <w:r w:rsidR="00DB78B1" w:rsidRPr="00DB78B1">
        <w:rPr>
          <w:lang w:val="pl-PL"/>
        </w:rPr>
        <w:t xml:space="preserve">Zobacz również </w:t>
      </w:r>
      <w:proofErr w:type="spellStart"/>
      <w:r w:rsidRPr="00DB78B1">
        <w:rPr>
          <w:i/>
          <w:lang w:val="pl-PL"/>
        </w:rPr>
        <w:t>Beian</w:t>
      </w:r>
      <w:proofErr w:type="spellEnd"/>
      <w:r w:rsidRPr="00DB78B1">
        <w:rPr>
          <w:i/>
          <w:lang w:val="pl-PL"/>
        </w:rPr>
        <w:t xml:space="preserve"> </w:t>
      </w:r>
      <w:r w:rsidR="00721651" w:rsidRPr="00DB78B1">
        <w:rPr>
          <w:i/>
          <w:lang w:val="pl-PL"/>
        </w:rPr>
        <w:t>p.</w:t>
      </w:r>
      <w:r w:rsidRPr="00DB78B1">
        <w:rPr>
          <w:i/>
          <w:lang w:val="pl-PL"/>
        </w:rPr>
        <w:t xml:space="preserve"> R</w:t>
      </w:r>
      <w:r w:rsidR="00DB78B1">
        <w:rPr>
          <w:i/>
          <w:lang w:val="pl-PL"/>
        </w:rPr>
        <w:t>umunii</w:t>
      </w:r>
      <w:r w:rsidRPr="00DB78B1">
        <w:rPr>
          <w:lang w:val="pl-PL"/>
        </w:rPr>
        <w:t xml:space="preserve">, </w:t>
      </w:r>
      <w:r w:rsidR="00721651" w:rsidRPr="00DB78B1">
        <w:rPr>
          <w:lang w:val="pl-PL"/>
        </w:rPr>
        <w:t xml:space="preserve">skarga nr </w:t>
      </w:r>
      <w:r w:rsidRPr="00DB78B1">
        <w:rPr>
          <w:lang w:val="pl-PL"/>
        </w:rPr>
        <w:t>30658/05, 6 </w:t>
      </w:r>
      <w:r w:rsidR="00DB78B1">
        <w:rPr>
          <w:lang w:val="pl-PL"/>
        </w:rPr>
        <w:t xml:space="preserve">grudnia </w:t>
      </w:r>
      <w:r w:rsidRPr="00DB78B1">
        <w:rPr>
          <w:lang w:val="pl-PL"/>
        </w:rPr>
        <w:t>2007</w:t>
      </w:r>
      <w:r w:rsidR="002A7F8F">
        <w:rPr>
          <w:lang w:val="pl-PL"/>
        </w:rPr>
        <w:t xml:space="preserve"> r.</w:t>
      </w:r>
      <w:r w:rsidRPr="00DB78B1">
        <w:rPr>
          <w:lang w:val="pl-PL"/>
        </w:rPr>
        <w:t>,</w:t>
      </w:r>
      <w:r w:rsidR="007B6DAE" w:rsidRPr="007B6DAE">
        <w:rPr>
          <w:lang w:val="pl-PL"/>
        </w:rPr>
        <w:t xml:space="preserve"> </w:t>
      </w:r>
      <w:hyperlink r:id="rId12" w:history="1">
        <w:r w:rsidR="007B6DAE">
          <w:rPr>
            <w:rStyle w:val="Hipercze"/>
            <w:lang w:val="pl-PL"/>
          </w:rPr>
          <w:t>Nota informacyjna nr</w:t>
        </w:r>
        <w:r w:rsidR="007B6DAE" w:rsidRPr="007B6DAE">
          <w:rPr>
            <w:rStyle w:val="Hipercze"/>
            <w:lang w:val="pl-PL"/>
          </w:rPr>
          <w:t xml:space="preserve"> 103</w:t>
        </w:r>
      </w:hyperlink>
      <w:r w:rsidRPr="00DB78B1">
        <w:rPr>
          <w:lang w:val="pl-PL"/>
        </w:rPr>
        <w:t xml:space="preserve">; </w:t>
      </w:r>
      <w:proofErr w:type="spellStart"/>
      <w:r w:rsidRPr="00DB78B1">
        <w:rPr>
          <w:i/>
          <w:lang w:val="pl-PL"/>
        </w:rPr>
        <w:t>Albu</w:t>
      </w:r>
      <w:proofErr w:type="spellEnd"/>
      <w:r w:rsidRPr="00DB78B1">
        <w:rPr>
          <w:i/>
          <w:lang w:val="pl-PL"/>
        </w:rPr>
        <w:t xml:space="preserve"> </w:t>
      </w:r>
      <w:r w:rsidR="00DB78B1">
        <w:rPr>
          <w:i/>
          <w:lang w:val="pl-PL"/>
        </w:rPr>
        <w:t xml:space="preserve">i Inni </w:t>
      </w:r>
      <w:r w:rsidR="00721651" w:rsidRPr="00DB78B1">
        <w:rPr>
          <w:i/>
          <w:lang w:val="pl-PL"/>
        </w:rPr>
        <w:t>p.</w:t>
      </w:r>
      <w:r w:rsidRPr="00DB78B1">
        <w:rPr>
          <w:i/>
          <w:lang w:val="pl-PL"/>
        </w:rPr>
        <w:t> R</w:t>
      </w:r>
      <w:r w:rsidR="00DB78B1">
        <w:rPr>
          <w:i/>
          <w:lang w:val="pl-PL"/>
        </w:rPr>
        <w:t>umunii</w:t>
      </w:r>
      <w:r w:rsidRPr="00DB78B1">
        <w:rPr>
          <w:lang w:val="pl-PL"/>
        </w:rPr>
        <w:t xml:space="preserve">, </w:t>
      </w:r>
      <w:r w:rsidR="00721651" w:rsidRPr="00DB78B1">
        <w:rPr>
          <w:lang w:val="pl-PL"/>
        </w:rPr>
        <w:t xml:space="preserve">skarga nr </w:t>
      </w:r>
      <w:r w:rsidRPr="00DB78B1">
        <w:rPr>
          <w:lang w:val="pl-PL"/>
        </w:rPr>
        <w:t>34796/09, 10 </w:t>
      </w:r>
      <w:r w:rsidR="00DB78B1">
        <w:rPr>
          <w:lang w:val="pl-PL"/>
        </w:rPr>
        <w:t xml:space="preserve">maja </w:t>
      </w:r>
      <w:r w:rsidRPr="00DB78B1">
        <w:rPr>
          <w:lang w:val="pl-PL"/>
        </w:rPr>
        <w:t>2012</w:t>
      </w:r>
      <w:r w:rsidR="00DB78B1">
        <w:rPr>
          <w:lang w:val="pl-PL"/>
        </w:rPr>
        <w:t xml:space="preserve"> r.</w:t>
      </w:r>
      <w:r w:rsidRPr="00DB78B1">
        <w:rPr>
          <w:lang w:val="pl-PL"/>
        </w:rPr>
        <w:t xml:space="preserve">, </w:t>
      </w:r>
      <w:hyperlink r:id="rId13" w:history="1">
        <w:r w:rsidR="007B6DAE">
          <w:rPr>
            <w:rStyle w:val="Hipercze"/>
            <w:lang w:val="pl-PL"/>
          </w:rPr>
          <w:t>Nota informacyjna nr</w:t>
        </w:r>
        <w:r w:rsidRPr="00DB78B1">
          <w:rPr>
            <w:rStyle w:val="Hipercze"/>
            <w:lang w:val="pl-PL"/>
          </w:rPr>
          <w:t xml:space="preserve"> 152</w:t>
        </w:r>
      </w:hyperlink>
      <w:r w:rsidRPr="00DB78B1">
        <w:rPr>
          <w:lang w:val="pl-PL"/>
        </w:rPr>
        <w:t xml:space="preserve">; </w:t>
      </w:r>
      <w:r w:rsidR="00DB78B1">
        <w:rPr>
          <w:lang w:val="pl-PL"/>
        </w:rPr>
        <w:t xml:space="preserve">oraz </w:t>
      </w:r>
      <w:r w:rsidRPr="00DB78B1">
        <w:rPr>
          <w:i/>
          <w:lang w:val="pl-PL"/>
        </w:rPr>
        <w:t xml:space="preserve">Ferreira Santos </w:t>
      </w:r>
      <w:proofErr w:type="spellStart"/>
      <w:r w:rsidRPr="00DB78B1">
        <w:rPr>
          <w:i/>
          <w:lang w:val="pl-PL"/>
        </w:rPr>
        <w:t>Pardal</w:t>
      </w:r>
      <w:proofErr w:type="spellEnd"/>
      <w:r w:rsidRPr="00DB78B1">
        <w:rPr>
          <w:i/>
          <w:lang w:val="pl-PL"/>
        </w:rPr>
        <w:t xml:space="preserve"> </w:t>
      </w:r>
      <w:r w:rsidR="00721651" w:rsidRPr="00DB78B1">
        <w:rPr>
          <w:i/>
          <w:lang w:val="pl-PL"/>
        </w:rPr>
        <w:t>p.</w:t>
      </w:r>
      <w:r w:rsidRPr="00DB78B1">
        <w:rPr>
          <w:i/>
          <w:lang w:val="pl-PL"/>
        </w:rPr>
        <w:t> Portugal</w:t>
      </w:r>
      <w:r w:rsidR="00DB78B1">
        <w:rPr>
          <w:i/>
          <w:lang w:val="pl-PL"/>
        </w:rPr>
        <w:t>ii</w:t>
      </w:r>
      <w:r w:rsidRPr="00DB78B1">
        <w:rPr>
          <w:lang w:val="pl-PL"/>
        </w:rPr>
        <w:t>,</w:t>
      </w:r>
      <w:r w:rsidR="00721651" w:rsidRPr="00DB78B1">
        <w:rPr>
          <w:lang w:val="pl-PL"/>
        </w:rPr>
        <w:t xml:space="preserve"> skarga nr</w:t>
      </w:r>
      <w:r w:rsidRPr="00DB78B1">
        <w:rPr>
          <w:lang w:val="pl-PL"/>
        </w:rPr>
        <w:t xml:space="preserve"> </w:t>
      </w:r>
      <w:hyperlink r:id="rId14" w:history="1">
        <w:r w:rsidRPr="00DB78B1">
          <w:rPr>
            <w:rStyle w:val="Hipercze"/>
            <w:lang w:val="pl-PL"/>
          </w:rPr>
          <w:t>30123/10</w:t>
        </w:r>
      </w:hyperlink>
      <w:r w:rsidRPr="00DB78B1">
        <w:rPr>
          <w:lang w:val="pl-PL"/>
        </w:rPr>
        <w:t>, 30 </w:t>
      </w:r>
      <w:r w:rsidR="00DB78B1">
        <w:rPr>
          <w:lang w:val="pl-PL"/>
        </w:rPr>
        <w:t xml:space="preserve">lipca </w:t>
      </w:r>
      <w:r w:rsidRPr="00DB78B1">
        <w:rPr>
          <w:lang w:val="pl-PL"/>
        </w:rPr>
        <w:t>2015</w:t>
      </w:r>
      <w:r w:rsidR="00DB78B1">
        <w:rPr>
          <w:lang w:val="pl-PL"/>
        </w:rPr>
        <w:t xml:space="preserve"> r.</w:t>
      </w:r>
      <w:r w:rsidRPr="00DB78B1">
        <w:rPr>
          <w:lang w:val="pl-PL"/>
        </w:rPr>
        <w:t>)</w:t>
      </w:r>
      <w:r w:rsidR="006571F9">
        <w:rPr>
          <w:lang w:val="pl-PL"/>
        </w:rPr>
        <w:t>.</w:t>
      </w:r>
    </w:p>
    <w:p w:rsidR="008953E6" w:rsidRPr="00DB78B1" w:rsidRDefault="008953E6">
      <w:pPr>
        <w:pBdr>
          <w:bottom w:val="single" w:sz="8" w:space="1" w:color="auto"/>
        </w:pBdr>
        <w:rPr>
          <w:lang w:val="pl-PL"/>
        </w:rPr>
      </w:pPr>
    </w:p>
    <w:p w:rsidR="00721651" w:rsidRPr="0074070E" w:rsidRDefault="00721651" w:rsidP="00721651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721651" w:rsidRPr="001D0852" w:rsidRDefault="00721651" w:rsidP="00721651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5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721651" w:rsidRPr="00721651" w:rsidRDefault="00721651" w:rsidP="00C53A32">
      <w:pPr>
        <w:pStyle w:val="ClinFooter"/>
        <w:jc w:val="left"/>
        <w:rPr>
          <w:lang w:val="pl-PL"/>
        </w:rPr>
      </w:pPr>
    </w:p>
    <w:sectPr w:rsidR="00721651" w:rsidRPr="00721651" w:rsidSect="004A5B5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25F" w:rsidRDefault="00AF225F" w:rsidP="00C63262">
      <w:r>
        <w:separator/>
      </w:r>
    </w:p>
  </w:endnote>
  <w:endnote w:type="continuationSeparator" w:id="0">
    <w:p w:rsidR="00AF225F" w:rsidRDefault="00AF225F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DF" w:rsidRDefault="006E4C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DF" w:rsidRDefault="006E4C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25F" w:rsidRDefault="00AF225F" w:rsidP="00C63262">
      <w:r>
        <w:separator/>
      </w:r>
    </w:p>
  </w:footnote>
  <w:footnote w:type="continuationSeparator" w:id="0">
    <w:p w:rsidR="00AF225F" w:rsidRDefault="00AF225F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DF" w:rsidRDefault="006E4C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E21F1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F5BE4"/>
    <w:multiLevelType w:val="hybridMultilevel"/>
    <w:tmpl w:val="1E82DAA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2D14"/>
    <w:rsid w:val="0001510C"/>
    <w:rsid w:val="00037CCC"/>
    <w:rsid w:val="00094CE7"/>
    <w:rsid w:val="00097888"/>
    <w:rsid w:val="000E2E43"/>
    <w:rsid w:val="000F13B5"/>
    <w:rsid w:val="00104965"/>
    <w:rsid w:val="00107377"/>
    <w:rsid w:val="00113C57"/>
    <w:rsid w:val="00120A3D"/>
    <w:rsid w:val="00143602"/>
    <w:rsid w:val="001769E4"/>
    <w:rsid w:val="00186560"/>
    <w:rsid w:val="001B0187"/>
    <w:rsid w:val="001E7E35"/>
    <w:rsid w:val="00212E83"/>
    <w:rsid w:val="002350DB"/>
    <w:rsid w:val="002966E7"/>
    <w:rsid w:val="002A7F8F"/>
    <w:rsid w:val="002E088D"/>
    <w:rsid w:val="0030264F"/>
    <w:rsid w:val="003103BB"/>
    <w:rsid w:val="003450B3"/>
    <w:rsid w:val="003510F4"/>
    <w:rsid w:val="00386958"/>
    <w:rsid w:val="003A17B5"/>
    <w:rsid w:val="003A440A"/>
    <w:rsid w:val="003A64A6"/>
    <w:rsid w:val="003C64DF"/>
    <w:rsid w:val="003D7BB3"/>
    <w:rsid w:val="0046453F"/>
    <w:rsid w:val="004A5B52"/>
    <w:rsid w:val="004D2C4B"/>
    <w:rsid w:val="004D568D"/>
    <w:rsid w:val="004E1037"/>
    <w:rsid w:val="0052092D"/>
    <w:rsid w:val="00540D75"/>
    <w:rsid w:val="005514E5"/>
    <w:rsid w:val="005A471D"/>
    <w:rsid w:val="006028A1"/>
    <w:rsid w:val="00631A28"/>
    <w:rsid w:val="006571F9"/>
    <w:rsid w:val="00663AF0"/>
    <w:rsid w:val="0066559F"/>
    <w:rsid w:val="00671B31"/>
    <w:rsid w:val="006A36AD"/>
    <w:rsid w:val="006C1D96"/>
    <w:rsid w:val="006E4CDF"/>
    <w:rsid w:val="00716F36"/>
    <w:rsid w:val="0071773F"/>
    <w:rsid w:val="007201C3"/>
    <w:rsid w:val="00721651"/>
    <w:rsid w:val="00765D83"/>
    <w:rsid w:val="00774515"/>
    <w:rsid w:val="00791DC9"/>
    <w:rsid w:val="007B6DAE"/>
    <w:rsid w:val="00803706"/>
    <w:rsid w:val="00887BD0"/>
    <w:rsid w:val="008953E6"/>
    <w:rsid w:val="00895EF3"/>
    <w:rsid w:val="008C64D5"/>
    <w:rsid w:val="008E5B71"/>
    <w:rsid w:val="008F49D8"/>
    <w:rsid w:val="00903D38"/>
    <w:rsid w:val="00936017"/>
    <w:rsid w:val="009B3B2C"/>
    <w:rsid w:val="009B521B"/>
    <w:rsid w:val="009D7FCE"/>
    <w:rsid w:val="009E21F1"/>
    <w:rsid w:val="009E3EF0"/>
    <w:rsid w:val="009E586B"/>
    <w:rsid w:val="009F601F"/>
    <w:rsid w:val="00A01052"/>
    <w:rsid w:val="00A04D9C"/>
    <w:rsid w:val="00A258BB"/>
    <w:rsid w:val="00A33541"/>
    <w:rsid w:val="00A45616"/>
    <w:rsid w:val="00AC7726"/>
    <w:rsid w:val="00AD56D0"/>
    <w:rsid w:val="00AF225F"/>
    <w:rsid w:val="00B80CA0"/>
    <w:rsid w:val="00B85770"/>
    <w:rsid w:val="00B87DEE"/>
    <w:rsid w:val="00BF1CD9"/>
    <w:rsid w:val="00C010F2"/>
    <w:rsid w:val="00C21616"/>
    <w:rsid w:val="00C37433"/>
    <w:rsid w:val="00C53A32"/>
    <w:rsid w:val="00C63262"/>
    <w:rsid w:val="00C72355"/>
    <w:rsid w:val="00C93CFB"/>
    <w:rsid w:val="00CF7BA6"/>
    <w:rsid w:val="00D11FA8"/>
    <w:rsid w:val="00D2413F"/>
    <w:rsid w:val="00D42086"/>
    <w:rsid w:val="00D425B3"/>
    <w:rsid w:val="00D53739"/>
    <w:rsid w:val="00D570E4"/>
    <w:rsid w:val="00D90BE5"/>
    <w:rsid w:val="00DB78B1"/>
    <w:rsid w:val="00E55491"/>
    <w:rsid w:val="00E66234"/>
    <w:rsid w:val="00E83DB6"/>
    <w:rsid w:val="00EA53E7"/>
    <w:rsid w:val="00ED3985"/>
    <w:rsid w:val="00F508C9"/>
    <w:rsid w:val="00F50CCD"/>
    <w:rsid w:val="00F5247C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Akapitzlist">
    <w:name w:val="List Paragraph"/>
    <w:basedOn w:val="Normalny"/>
    <w:link w:val="AkapitzlistZnak"/>
    <w:uiPriority w:val="34"/>
    <w:qFormat/>
    <w:rsid w:val="0093601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3601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746c8714">
    <w:name w:val="s746c8714"/>
    <w:basedOn w:val="Normalny"/>
    <w:rsid w:val="009D7FC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9D7FC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D7FCE"/>
  </w:style>
  <w:style w:type="character" w:customStyle="1" w:styleId="object">
    <w:name w:val="object"/>
    <w:basedOn w:val="Domylnaczcionkaakapitu"/>
    <w:rsid w:val="009D7FCE"/>
  </w:style>
  <w:style w:type="character" w:styleId="UyteHipercze">
    <w:name w:val="FollowedHyperlink"/>
    <w:basedOn w:val="Domylnaczcionkaakapitu"/>
    <w:semiHidden/>
    <w:unhideWhenUsed/>
    <w:rsid w:val="00716F36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styleId="Akapitzlist">
    <w:name w:val="List Paragraph"/>
    <w:basedOn w:val="Normalny"/>
    <w:link w:val="AkapitzlistZnak"/>
    <w:uiPriority w:val="34"/>
    <w:qFormat/>
    <w:rsid w:val="0093601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3601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746c8714">
    <w:name w:val="s746c8714"/>
    <w:basedOn w:val="Normalny"/>
    <w:rsid w:val="009D7FC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9D7FCE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D7FCE"/>
  </w:style>
  <w:style w:type="character" w:customStyle="1" w:styleId="object">
    <w:name w:val="object"/>
    <w:basedOn w:val="Domylnaczcionkaakapitu"/>
    <w:rsid w:val="009D7FCE"/>
  </w:style>
  <w:style w:type="character" w:styleId="UyteHipercze">
    <w:name w:val="FollowedHyperlink"/>
    <w:basedOn w:val="Domylnaczcionkaakapitu"/>
    <w:semiHidden/>
    <w:unhideWhenUsed/>
    <w:rsid w:val="00716F36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hudoc.echr.coe.int/eng?i=002-2064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2-2343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34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chr.coe.int/NoteInformation/e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hudoc.echr.coe.int/eng?i=002-1150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0661" TargetMode="External"/><Relationship Id="rId14" Type="http://schemas.openxmlformats.org/officeDocument/2006/relationships/hyperlink" Target="http://hudoc.echr.coe.int/eng?i=001-156500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1399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2017-04-05T13:21:00Z</dcterms:created>
  <dcterms:modified xsi:type="dcterms:W3CDTF">2017-06-21T12:12:00Z</dcterms:modified>
</cp:coreProperties>
</file>