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A9A" w:rsidRDefault="00237A9A" w:rsidP="00237A9A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237A9A" w:rsidRDefault="00237A9A" w:rsidP="006108DB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6108DB" w:rsidRDefault="006108DB" w:rsidP="006108DB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152ADC" w:rsidRPr="006108DB" w:rsidRDefault="006108DB" w:rsidP="006108DB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A72E18" w:rsidRPr="006108DB">
        <w:rPr>
          <w:lang w:val="pl-PL"/>
        </w:rPr>
        <w:t>201</w:t>
      </w:r>
    </w:p>
    <w:p w:rsidR="00152ADC" w:rsidRPr="00D65429" w:rsidRDefault="006108DB">
      <w:pPr>
        <w:pStyle w:val="ClinEditionMonth"/>
        <w:rPr>
          <w:lang w:val="pl-PL"/>
        </w:rPr>
      </w:pPr>
      <w:r w:rsidRPr="00D65429">
        <w:rPr>
          <w:lang w:val="pl-PL"/>
        </w:rPr>
        <w:t>Listopad</w:t>
      </w:r>
      <w:r w:rsidR="00A72E18" w:rsidRPr="00D65429">
        <w:rPr>
          <w:lang w:val="pl-PL"/>
        </w:rPr>
        <w:t xml:space="preserve"> 2016</w:t>
      </w:r>
      <w:r w:rsidRPr="00D65429">
        <w:rPr>
          <w:lang w:val="pl-PL"/>
        </w:rPr>
        <w:t xml:space="preserve"> r.</w:t>
      </w:r>
    </w:p>
    <w:p w:rsidR="00152ADC" w:rsidRPr="006108DB" w:rsidRDefault="00A72E18">
      <w:pPr>
        <w:rPr>
          <w:lang w:val="pl-PL"/>
        </w:rPr>
      </w:pPr>
      <w:proofErr w:type="spellStart"/>
      <w:r w:rsidRPr="006108DB">
        <w:rPr>
          <w:rStyle w:val="ClinCaseTitle"/>
          <w:lang w:val="pl-PL"/>
        </w:rPr>
        <w:t>Lhermitte</w:t>
      </w:r>
      <w:proofErr w:type="spellEnd"/>
      <w:r w:rsidRPr="006108DB">
        <w:rPr>
          <w:rStyle w:val="ClinCaseTitle"/>
          <w:lang w:val="pl-PL"/>
        </w:rPr>
        <w:t xml:space="preserve"> </w:t>
      </w:r>
      <w:r w:rsidR="006108DB" w:rsidRPr="006108DB">
        <w:rPr>
          <w:rStyle w:val="ClinCaseTitle"/>
          <w:lang w:val="pl-PL"/>
        </w:rPr>
        <w:t>p.</w:t>
      </w:r>
      <w:r w:rsidRPr="006108DB">
        <w:rPr>
          <w:rStyle w:val="ClinCaseTitle"/>
          <w:lang w:val="pl-PL"/>
        </w:rPr>
        <w:t xml:space="preserve"> Belgi</w:t>
      </w:r>
      <w:r w:rsidR="00D65429">
        <w:rPr>
          <w:rStyle w:val="ClinCaseTitle"/>
          <w:lang w:val="pl-PL"/>
        </w:rPr>
        <w:t>i</w:t>
      </w:r>
      <w:r w:rsidRPr="006108DB">
        <w:rPr>
          <w:rStyle w:val="ClinCaseTitle"/>
          <w:lang w:val="pl-PL"/>
        </w:rPr>
        <w:t xml:space="preserve"> [</w:t>
      </w:r>
      <w:r w:rsidR="006108DB" w:rsidRPr="006108DB">
        <w:rPr>
          <w:rStyle w:val="ClinCaseTitle"/>
          <w:lang w:val="pl-PL"/>
        </w:rPr>
        <w:t>Wielka Izba</w:t>
      </w:r>
      <w:r w:rsidRPr="006108DB">
        <w:rPr>
          <w:rStyle w:val="ClinCaseTitle"/>
          <w:lang w:val="pl-PL"/>
        </w:rPr>
        <w:t>]</w:t>
      </w:r>
      <w:r w:rsidRPr="006108DB">
        <w:rPr>
          <w:rStyle w:val="ClinApplicationNumber"/>
          <w:lang w:val="pl-PL"/>
        </w:rPr>
        <w:t xml:space="preserve"> </w:t>
      </w:r>
      <w:r w:rsidR="00D65429">
        <w:rPr>
          <w:rStyle w:val="ClinApplicationNumber"/>
          <w:lang w:val="pl-PL"/>
        </w:rPr>
        <w:t>–</w:t>
      </w:r>
      <w:r w:rsidRPr="006108DB">
        <w:rPr>
          <w:rStyle w:val="ClinApplicationNumber"/>
          <w:lang w:val="pl-PL"/>
        </w:rPr>
        <w:t xml:space="preserve"> </w:t>
      </w:r>
      <w:r w:rsidR="00D65429">
        <w:rPr>
          <w:rStyle w:val="ClinApplicationNumber"/>
          <w:lang w:val="pl-PL"/>
        </w:rPr>
        <w:t xml:space="preserve">skarga nr </w:t>
      </w:r>
      <w:r w:rsidRPr="006108DB">
        <w:rPr>
          <w:rStyle w:val="ClinApplicationNumber"/>
          <w:lang w:val="pl-PL"/>
        </w:rPr>
        <w:t>34238/09</w:t>
      </w:r>
    </w:p>
    <w:p w:rsidR="00152ADC" w:rsidRPr="002C5CC1" w:rsidRDefault="00D65429">
      <w:pPr>
        <w:rPr>
          <w:lang w:val="pl-PL"/>
        </w:rPr>
      </w:pPr>
      <w:r w:rsidRPr="002C5CC1">
        <w:rPr>
          <w:rStyle w:val="ClinHudocDocumentTitle"/>
          <w:lang w:val="pl-PL"/>
        </w:rPr>
        <w:t xml:space="preserve">Wyrok z </w:t>
      </w:r>
      <w:r w:rsidR="00A72E18" w:rsidRPr="002C5CC1">
        <w:rPr>
          <w:rStyle w:val="ClinHudocDocumentTitle"/>
          <w:lang w:val="pl-PL"/>
        </w:rPr>
        <w:t>29.11.2016</w:t>
      </w:r>
      <w:r w:rsidR="00A72E18" w:rsidRPr="002C5CC1">
        <w:rPr>
          <w:rStyle w:val="ClinSectionName"/>
          <w:lang w:val="pl-PL"/>
        </w:rPr>
        <w:t xml:space="preserve"> [</w:t>
      </w:r>
      <w:r w:rsidR="006108DB" w:rsidRPr="002C5CC1">
        <w:rPr>
          <w:rStyle w:val="ClinSectionName"/>
          <w:lang w:val="pl-PL"/>
        </w:rPr>
        <w:t>Wielka Izba</w:t>
      </w:r>
      <w:r w:rsidR="00A72E18" w:rsidRPr="002C5CC1">
        <w:rPr>
          <w:rStyle w:val="ClinSectionName"/>
          <w:lang w:val="pl-PL"/>
        </w:rPr>
        <w:t>]</w:t>
      </w:r>
    </w:p>
    <w:p w:rsidR="00152ADC" w:rsidRPr="002C5CC1" w:rsidRDefault="00D65429">
      <w:pPr>
        <w:pStyle w:val="ClinMainKeywordCode"/>
        <w:rPr>
          <w:lang w:val="pl-PL"/>
        </w:rPr>
      </w:pPr>
      <w:r w:rsidRPr="002C5CC1">
        <w:rPr>
          <w:lang w:val="pl-PL"/>
        </w:rPr>
        <w:t>Art.</w:t>
      </w:r>
      <w:r w:rsidR="00A72E18" w:rsidRPr="002C5CC1">
        <w:rPr>
          <w:lang w:val="pl-PL"/>
        </w:rPr>
        <w:t xml:space="preserve"> 6</w:t>
      </w:r>
    </w:p>
    <w:p w:rsidR="00152ADC" w:rsidRPr="002C5CC1" w:rsidRDefault="00D65429">
      <w:pPr>
        <w:pStyle w:val="ClinKeyword"/>
        <w:rPr>
          <w:lang w:val="pl-PL"/>
        </w:rPr>
      </w:pPr>
      <w:r w:rsidRPr="002C5CC1">
        <w:rPr>
          <w:lang w:val="pl-PL"/>
        </w:rPr>
        <w:t xml:space="preserve">Postępowanie karne </w:t>
      </w:r>
    </w:p>
    <w:p w:rsidR="00152ADC" w:rsidRPr="00B3166C" w:rsidRDefault="00D65429">
      <w:pPr>
        <w:pStyle w:val="ClinChildKeywordCode"/>
        <w:rPr>
          <w:lang w:val="pl-PL"/>
        </w:rPr>
      </w:pPr>
      <w:r w:rsidRPr="00B3166C">
        <w:rPr>
          <w:lang w:val="pl-PL"/>
        </w:rPr>
        <w:t>Art. 6 ust. 1</w:t>
      </w:r>
    </w:p>
    <w:p w:rsidR="00152ADC" w:rsidRPr="002C5CC1" w:rsidRDefault="002C5CC1">
      <w:pPr>
        <w:pStyle w:val="ClinKeyword"/>
        <w:rPr>
          <w:lang w:val="pl-PL"/>
        </w:rPr>
      </w:pPr>
      <w:r w:rsidRPr="00B3166C">
        <w:rPr>
          <w:lang w:val="pl-PL"/>
        </w:rPr>
        <w:t>Sprawiedliwe rozpatrzenie sprawy</w:t>
      </w:r>
    </w:p>
    <w:p w:rsidR="00D65429" w:rsidRPr="00D65429" w:rsidRDefault="00D65429" w:rsidP="008A4E87">
      <w:pPr>
        <w:jc w:val="both"/>
        <w:rPr>
          <w:rStyle w:val="ClinHeadNote"/>
          <w:lang w:val="pl-PL"/>
        </w:rPr>
      </w:pPr>
      <w:r>
        <w:rPr>
          <w:rStyle w:val="ClinHeadNote"/>
          <w:lang w:val="pl-PL"/>
        </w:rPr>
        <w:t>Istnienie odpowiednich gwarancji proceduralnych</w:t>
      </w:r>
      <w:r w:rsidRPr="00D65429">
        <w:rPr>
          <w:rStyle w:val="ClinHeadNote"/>
          <w:lang w:val="pl-PL"/>
        </w:rPr>
        <w:t xml:space="preserve"> umożliwiających oskarżonemu zrozumienie </w:t>
      </w:r>
      <w:r w:rsidR="00934546">
        <w:rPr>
          <w:rStyle w:val="ClinHeadNote"/>
          <w:lang w:val="pl-PL"/>
        </w:rPr>
        <w:t>powodów</w:t>
      </w:r>
      <w:r w:rsidRPr="00D65429">
        <w:rPr>
          <w:rStyle w:val="ClinHeadNote"/>
          <w:lang w:val="pl-PL"/>
        </w:rPr>
        <w:t xml:space="preserve"> werdyktu o winie wydanego p</w:t>
      </w:r>
      <w:r>
        <w:rPr>
          <w:rStyle w:val="ClinHeadNote"/>
          <w:lang w:val="pl-PL"/>
        </w:rPr>
        <w:t xml:space="preserve">rzez </w:t>
      </w:r>
      <w:r w:rsidR="00795013">
        <w:rPr>
          <w:rStyle w:val="ClinHeadNote"/>
          <w:lang w:val="pl-PL"/>
        </w:rPr>
        <w:t xml:space="preserve">ławę przysięgłych </w:t>
      </w:r>
      <w:r>
        <w:rPr>
          <w:rStyle w:val="ClinHeadNote"/>
          <w:lang w:val="pl-PL"/>
        </w:rPr>
        <w:t xml:space="preserve">w </w:t>
      </w:r>
      <w:r w:rsidR="008F73CA">
        <w:rPr>
          <w:rStyle w:val="ClinHeadNote"/>
          <w:lang w:val="pl-PL"/>
        </w:rPr>
        <w:t>s</w:t>
      </w:r>
      <w:r w:rsidR="008625B3">
        <w:rPr>
          <w:rStyle w:val="ClinHeadNote"/>
          <w:lang w:val="pl-PL"/>
        </w:rPr>
        <w:t xml:space="preserve">ądzie </w:t>
      </w:r>
      <w:r w:rsidR="008F73CA">
        <w:rPr>
          <w:rStyle w:val="ClinHeadNote"/>
          <w:lang w:val="pl-PL"/>
        </w:rPr>
        <w:t>p</w:t>
      </w:r>
      <w:r w:rsidR="008625B3">
        <w:rPr>
          <w:rStyle w:val="ClinHeadNote"/>
          <w:lang w:val="pl-PL"/>
        </w:rPr>
        <w:t>rzysięgłych</w:t>
      </w:r>
      <w:r>
        <w:rPr>
          <w:rStyle w:val="ClinHeadNote"/>
          <w:lang w:val="pl-PL"/>
        </w:rPr>
        <w:t xml:space="preserve">: </w:t>
      </w:r>
      <w:r w:rsidRPr="00D65429">
        <w:rPr>
          <w:rStyle w:val="ClinHeadNote"/>
          <w:i/>
          <w:lang w:val="pl-PL"/>
        </w:rPr>
        <w:t>brak naruszenia</w:t>
      </w:r>
    </w:p>
    <w:p w:rsidR="00D65429" w:rsidRPr="00D65429" w:rsidRDefault="00D65429">
      <w:pPr>
        <w:pStyle w:val="ClinContent"/>
        <w:rPr>
          <w:lang w:val="pl-PL"/>
        </w:rPr>
      </w:pPr>
      <w:r w:rsidRPr="00D65429">
        <w:rPr>
          <w:i/>
          <w:lang w:val="pl-PL"/>
        </w:rPr>
        <w:t xml:space="preserve">Fakty </w:t>
      </w:r>
      <w:r w:rsidRPr="00D65429">
        <w:rPr>
          <w:lang w:val="pl-PL"/>
        </w:rPr>
        <w:t>– Skarżąca została postawion</w:t>
      </w:r>
      <w:r w:rsidR="008F73CA">
        <w:rPr>
          <w:lang w:val="pl-PL"/>
        </w:rPr>
        <w:t>a</w:t>
      </w:r>
      <w:r w:rsidRPr="00D65429">
        <w:rPr>
          <w:lang w:val="pl-PL"/>
        </w:rPr>
        <w:t xml:space="preserve"> przed sądem za morderstwo </w:t>
      </w:r>
      <w:r>
        <w:rPr>
          <w:lang w:val="pl-PL"/>
        </w:rPr>
        <w:t xml:space="preserve">jej pięciorga dzieci. Proces w jej sprawie prowadził w 2008 r. </w:t>
      </w:r>
      <w:r w:rsidR="008625B3">
        <w:rPr>
          <w:lang w:val="pl-PL"/>
        </w:rPr>
        <w:t xml:space="preserve">Sąd Przysięgłych </w:t>
      </w:r>
      <w:r>
        <w:rPr>
          <w:lang w:val="pl-PL"/>
        </w:rPr>
        <w:t>złożony z trzech sędziów</w:t>
      </w:r>
      <w:r w:rsidR="008625B3">
        <w:rPr>
          <w:lang w:val="pl-PL"/>
        </w:rPr>
        <w:t xml:space="preserve"> zawodowych</w:t>
      </w:r>
      <w:r>
        <w:rPr>
          <w:lang w:val="pl-PL"/>
        </w:rPr>
        <w:t xml:space="preserve"> i </w:t>
      </w:r>
      <w:r w:rsidR="00795013">
        <w:rPr>
          <w:lang w:val="pl-PL"/>
        </w:rPr>
        <w:t xml:space="preserve">ławy </w:t>
      </w:r>
      <w:r w:rsidR="00D66BED">
        <w:rPr>
          <w:lang w:val="pl-PL"/>
        </w:rPr>
        <w:t>przysięgłych</w:t>
      </w:r>
      <w:r>
        <w:rPr>
          <w:lang w:val="pl-PL"/>
        </w:rPr>
        <w:t>. Jej obrońca twierdził, że w czasie wydarzeń cierpiała ona na za</w:t>
      </w:r>
      <w:r w:rsidR="008F73CA">
        <w:rPr>
          <w:lang w:val="pl-PL"/>
        </w:rPr>
        <w:t>burzenia</w:t>
      </w:r>
      <w:r>
        <w:rPr>
          <w:lang w:val="pl-PL"/>
        </w:rPr>
        <w:t xml:space="preserve"> psychiczne, które czyniły ją niezdolną do kontrolowania swoich działań. Choć początkowo przyjęli odmienny pogląd, ostatecznie biegli psychiatrzy </w:t>
      </w:r>
      <w:r w:rsidR="00EC44FF">
        <w:rPr>
          <w:lang w:val="pl-PL"/>
        </w:rPr>
        <w:t xml:space="preserve">poparli </w:t>
      </w:r>
      <w:r>
        <w:rPr>
          <w:lang w:val="pl-PL"/>
        </w:rPr>
        <w:t xml:space="preserve"> tę opinię w świetle pewnych nowych dowodów przedłożonych w trakcie procesu. </w:t>
      </w:r>
      <w:r w:rsidR="00823156">
        <w:rPr>
          <w:lang w:val="pl-PL"/>
        </w:rPr>
        <w:t xml:space="preserve">Ława </w:t>
      </w:r>
      <w:r w:rsidR="00EC44FF">
        <w:rPr>
          <w:lang w:val="pl-PL"/>
        </w:rPr>
        <w:t xml:space="preserve">przysięgłych </w:t>
      </w:r>
      <w:r w:rsidR="00823156">
        <w:rPr>
          <w:lang w:val="pl-PL"/>
        </w:rPr>
        <w:t>odpowiedziała jednak</w:t>
      </w:r>
      <w:r>
        <w:rPr>
          <w:lang w:val="pl-PL"/>
        </w:rPr>
        <w:t xml:space="preserve"> „tak” na pytania dotyczące winy i działania umyślnego. Tego samego dnia </w:t>
      </w:r>
      <w:r w:rsidR="009B178C">
        <w:rPr>
          <w:lang w:val="pl-PL"/>
        </w:rPr>
        <w:t xml:space="preserve">Sąd Przysięgłych </w:t>
      </w:r>
      <w:r>
        <w:rPr>
          <w:lang w:val="pl-PL"/>
        </w:rPr>
        <w:t xml:space="preserve">skazał skarżącą na karę dożywotniego pozbawienia wolności. Sąd Kasacyjny oddalił następnie kasację, w której skarżąca skarżyła się na brak uzasadnienia </w:t>
      </w:r>
      <w:r w:rsidR="002265A9">
        <w:rPr>
          <w:lang w:val="pl-PL"/>
        </w:rPr>
        <w:t xml:space="preserve">werdyktu </w:t>
      </w:r>
      <w:r w:rsidR="00823156">
        <w:rPr>
          <w:lang w:val="pl-PL"/>
        </w:rPr>
        <w:t>ławy przysięgłych</w:t>
      </w:r>
      <w:r w:rsidR="002265A9">
        <w:rPr>
          <w:lang w:val="pl-PL"/>
        </w:rPr>
        <w:t xml:space="preserve"> i wyroku skazującego. </w:t>
      </w:r>
    </w:p>
    <w:p w:rsidR="002265A9" w:rsidRPr="002265A9" w:rsidRDefault="002265A9">
      <w:pPr>
        <w:pStyle w:val="ClinContent"/>
        <w:rPr>
          <w:lang w:val="pl-PL"/>
        </w:rPr>
      </w:pPr>
      <w:r w:rsidRPr="002265A9">
        <w:rPr>
          <w:lang w:val="pl-PL"/>
        </w:rPr>
        <w:t xml:space="preserve">Wyrokiem z dnia 26 maja 2015 r. </w:t>
      </w:r>
      <w:r>
        <w:rPr>
          <w:lang w:val="pl-PL"/>
        </w:rPr>
        <w:t>(zobacz</w:t>
      </w:r>
      <w:r w:rsidR="008A1011">
        <w:rPr>
          <w:lang w:val="pl-PL"/>
        </w:rPr>
        <w:t xml:space="preserve"> </w:t>
      </w:r>
      <w:hyperlink r:id="rId9" w:history="1">
        <w:r w:rsidR="008A1011">
          <w:rPr>
            <w:rStyle w:val="Hipercze"/>
            <w:lang w:val="pl-PL"/>
          </w:rPr>
          <w:t>Nota informacyjna nr</w:t>
        </w:r>
        <w:r w:rsidR="008A1011" w:rsidRPr="008A1011">
          <w:rPr>
            <w:rStyle w:val="Hipercze"/>
            <w:lang w:val="pl-PL"/>
          </w:rPr>
          <w:t xml:space="preserve"> 185</w:t>
        </w:r>
      </w:hyperlink>
      <w:r w:rsidRPr="002265A9">
        <w:rPr>
          <w:lang w:val="pl-PL"/>
        </w:rPr>
        <w:t>)</w:t>
      </w:r>
      <w:r>
        <w:rPr>
          <w:lang w:val="pl-PL"/>
        </w:rPr>
        <w:t xml:space="preserve"> Izba Trybunału orzekła, że nie doszło do naruszenia art. 6 ust. 1 Konwencji, stwierdzając w szczególności, że pytania do </w:t>
      </w:r>
      <w:r w:rsidR="00823156">
        <w:rPr>
          <w:lang w:val="pl-PL"/>
        </w:rPr>
        <w:t>ławy przysięgłych</w:t>
      </w:r>
      <w:r>
        <w:rPr>
          <w:lang w:val="pl-PL"/>
        </w:rPr>
        <w:t xml:space="preserve">, wyrok skazujący </w:t>
      </w:r>
      <w:r w:rsidR="00823156">
        <w:rPr>
          <w:lang w:val="pl-PL"/>
        </w:rPr>
        <w:t xml:space="preserve">Sądu Przysięgłych </w:t>
      </w:r>
      <w:r>
        <w:rPr>
          <w:lang w:val="pl-PL"/>
        </w:rPr>
        <w:t xml:space="preserve">oraz kolejny wyrok Sądu Kasacyjnego łącznie umożliwiały skarżącej zrozumienie powodów jej skazania. </w:t>
      </w:r>
    </w:p>
    <w:p w:rsidR="002265A9" w:rsidRPr="002265A9" w:rsidRDefault="002265A9">
      <w:pPr>
        <w:pStyle w:val="ClinContent"/>
        <w:rPr>
          <w:lang w:val="pl-PL"/>
        </w:rPr>
      </w:pPr>
      <w:r w:rsidRPr="002265A9">
        <w:rPr>
          <w:lang w:val="pl-PL"/>
        </w:rPr>
        <w:t xml:space="preserve">W dniu 14 września 2015 r. sprawa została przekazana do Wielkiej Izby na wniosek skarżącej. </w:t>
      </w:r>
    </w:p>
    <w:p w:rsidR="002265A9" w:rsidRPr="002265A9" w:rsidRDefault="002265A9">
      <w:pPr>
        <w:pStyle w:val="ClinContent"/>
        <w:rPr>
          <w:i/>
          <w:lang w:val="pl-PL"/>
        </w:rPr>
      </w:pPr>
      <w:r w:rsidRPr="002265A9">
        <w:rPr>
          <w:i/>
          <w:lang w:val="pl-PL"/>
        </w:rPr>
        <w:t xml:space="preserve">Prawo – </w:t>
      </w:r>
      <w:r w:rsidRPr="002265A9">
        <w:rPr>
          <w:lang w:val="pl-PL"/>
        </w:rPr>
        <w:t xml:space="preserve">Art. 6 ust. 1: </w:t>
      </w:r>
      <w:r w:rsidR="00EF47B3">
        <w:rPr>
          <w:lang w:val="pl-PL"/>
        </w:rPr>
        <w:t>Obecna s</w:t>
      </w:r>
      <w:r w:rsidRPr="002265A9">
        <w:rPr>
          <w:lang w:val="pl-PL"/>
        </w:rPr>
        <w:t xml:space="preserve">prawa nie dotyczyła ani tego, czy </w:t>
      </w:r>
      <w:r>
        <w:rPr>
          <w:lang w:val="pl-PL"/>
        </w:rPr>
        <w:t xml:space="preserve">i </w:t>
      </w:r>
      <w:r w:rsidRPr="002265A9">
        <w:rPr>
          <w:lang w:val="pl-PL"/>
        </w:rPr>
        <w:t xml:space="preserve">jak zostały popełnione zarzucane czyny – obie te kwestie zostały </w:t>
      </w:r>
      <w:r>
        <w:rPr>
          <w:lang w:val="pl-PL"/>
        </w:rPr>
        <w:t>ustalone, a skarżąca je przyznała – ani też kwalifikacji prawnej przestępstw</w:t>
      </w:r>
      <w:r w:rsidR="009B178C">
        <w:rPr>
          <w:lang w:val="pl-PL"/>
        </w:rPr>
        <w:t>,</w:t>
      </w:r>
      <w:r>
        <w:rPr>
          <w:lang w:val="pl-PL"/>
        </w:rPr>
        <w:t xml:space="preserve"> ani też surowości kary. Kwestią, która </w:t>
      </w:r>
      <w:r w:rsidR="00522880">
        <w:rPr>
          <w:lang w:val="pl-PL"/>
        </w:rPr>
        <w:t>pojawiła się</w:t>
      </w:r>
      <w:r>
        <w:rPr>
          <w:lang w:val="pl-PL"/>
        </w:rPr>
        <w:t>, było to, czy skarżąca była w stanie</w:t>
      </w:r>
      <w:r w:rsidR="00EF47B3">
        <w:rPr>
          <w:lang w:val="pl-PL"/>
        </w:rPr>
        <w:t xml:space="preserve"> </w:t>
      </w:r>
      <w:r>
        <w:rPr>
          <w:lang w:val="pl-PL"/>
        </w:rPr>
        <w:t>zrozumieć powody, dla których</w:t>
      </w:r>
      <w:r w:rsidR="00823156">
        <w:rPr>
          <w:lang w:val="pl-PL"/>
        </w:rPr>
        <w:t xml:space="preserve"> ława przysięgłych uznała</w:t>
      </w:r>
      <w:r>
        <w:rPr>
          <w:lang w:val="pl-PL"/>
        </w:rPr>
        <w:t xml:space="preserve">, że ponosiła </w:t>
      </w:r>
      <w:r w:rsidR="00522880">
        <w:rPr>
          <w:lang w:val="pl-PL"/>
        </w:rPr>
        <w:t xml:space="preserve">ona </w:t>
      </w:r>
      <w:r>
        <w:rPr>
          <w:lang w:val="pl-PL"/>
        </w:rPr>
        <w:t xml:space="preserve">odpowiedzialność za swe działania w przedmiotowym czasie, pomimo że biegli psychiatrzy zmienili swą opinię pod koniec rozprawy. Trybunał </w:t>
      </w:r>
      <w:r>
        <w:rPr>
          <w:lang w:val="pl-PL"/>
        </w:rPr>
        <w:lastRenderedPageBreak/>
        <w:t xml:space="preserve">odpowiedział na to pytanie w sposób pozytywny w oparciu o poniższe </w:t>
      </w:r>
      <w:r w:rsidR="008A4E87">
        <w:rPr>
          <w:lang w:val="pl-PL"/>
        </w:rPr>
        <w:t>spostrzeżenia</w:t>
      </w:r>
      <w:r>
        <w:rPr>
          <w:lang w:val="pl-PL"/>
        </w:rPr>
        <w:t xml:space="preserve"> i względy:</w:t>
      </w:r>
    </w:p>
    <w:p w:rsidR="002265A9" w:rsidRPr="002265A9" w:rsidRDefault="002265A9">
      <w:pPr>
        <w:pStyle w:val="ClinContent"/>
        <w:rPr>
          <w:lang w:val="pl-PL"/>
        </w:rPr>
      </w:pPr>
      <w:r w:rsidRPr="002265A9">
        <w:rPr>
          <w:lang w:val="pl-PL"/>
        </w:rPr>
        <w:t xml:space="preserve">(a) </w:t>
      </w:r>
      <w:r w:rsidRPr="002265A9">
        <w:rPr>
          <w:i/>
          <w:lang w:val="pl-PL"/>
        </w:rPr>
        <w:t xml:space="preserve">Kontradyktoryjny charakter postępowania </w:t>
      </w:r>
      <w:r w:rsidRPr="002265A9">
        <w:rPr>
          <w:lang w:val="pl-PL"/>
        </w:rPr>
        <w:t>– Zapewnione zostały następujące gwarancje w czasie procesu:</w:t>
      </w:r>
    </w:p>
    <w:p w:rsidR="002265A9" w:rsidRPr="002265A9" w:rsidRDefault="002265A9">
      <w:pPr>
        <w:pStyle w:val="ClinContent"/>
        <w:rPr>
          <w:lang w:val="pl-PL"/>
        </w:rPr>
      </w:pPr>
      <w:r w:rsidRPr="002265A9">
        <w:rPr>
          <w:lang w:val="pl-PL"/>
        </w:rPr>
        <w:t xml:space="preserve">(i) na początku procesu odczytano cały </w:t>
      </w:r>
      <w:r>
        <w:rPr>
          <w:lang w:val="pl-PL"/>
        </w:rPr>
        <w:t xml:space="preserve">akt oskarżenia, a także wskazano charakter przestępstwa stanowiącego podstawę zarzutów i wszelkie okoliczności </w:t>
      </w:r>
      <w:r w:rsidR="00EF47B3">
        <w:rPr>
          <w:lang w:val="pl-PL"/>
        </w:rPr>
        <w:t>mogące zaostrzać lub łagodzić</w:t>
      </w:r>
      <w:r>
        <w:rPr>
          <w:lang w:val="pl-PL"/>
        </w:rPr>
        <w:t xml:space="preserve"> karę;</w:t>
      </w:r>
    </w:p>
    <w:p w:rsidR="002502E7" w:rsidRPr="002502E7" w:rsidRDefault="002502E7">
      <w:pPr>
        <w:pStyle w:val="ClinContent"/>
        <w:rPr>
          <w:lang w:val="pl-PL"/>
        </w:rPr>
      </w:pPr>
      <w:r w:rsidRPr="002502E7">
        <w:rPr>
          <w:lang w:val="pl-PL"/>
        </w:rPr>
        <w:t xml:space="preserve">(ii) sprawa przeciwko skarżącej była </w:t>
      </w:r>
      <w:r w:rsidR="009B178C">
        <w:rPr>
          <w:lang w:val="pl-PL"/>
        </w:rPr>
        <w:t>następnie p</w:t>
      </w:r>
      <w:r w:rsidR="00CF63A6">
        <w:rPr>
          <w:lang w:val="pl-PL"/>
        </w:rPr>
        <w:t>r</w:t>
      </w:r>
      <w:r w:rsidRPr="002502E7">
        <w:rPr>
          <w:lang w:val="pl-PL"/>
        </w:rPr>
        <w:t xml:space="preserve">zedmiotem </w:t>
      </w:r>
      <w:r>
        <w:rPr>
          <w:lang w:val="pl-PL"/>
        </w:rPr>
        <w:t>kontradyktoryjnej dyskusji, każdy dowód był zbadany, a oskarżona, korzystająca z pomocy obrońcy, miała możliwość wzywania świadków i odpowiadania na wysłuchane zeznania; oraz</w:t>
      </w:r>
    </w:p>
    <w:p w:rsidR="002502E7" w:rsidRPr="002502E7" w:rsidRDefault="002502E7">
      <w:pPr>
        <w:pStyle w:val="ClinContent"/>
        <w:rPr>
          <w:lang w:val="pl-PL"/>
        </w:rPr>
      </w:pPr>
      <w:r w:rsidRPr="002502E7">
        <w:rPr>
          <w:lang w:val="pl-PL"/>
        </w:rPr>
        <w:t>(iii) pytania postawione przez przewodniczącego dwunastu cz</w:t>
      </w:r>
      <w:r>
        <w:rPr>
          <w:lang w:val="pl-PL"/>
        </w:rPr>
        <w:t xml:space="preserve">łonkom </w:t>
      </w:r>
      <w:r w:rsidR="00823156">
        <w:rPr>
          <w:lang w:val="pl-PL"/>
        </w:rPr>
        <w:t>ławy przysięgłych</w:t>
      </w:r>
      <w:r>
        <w:rPr>
          <w:lang w:val="pl-PL"/>
        </w:rPr>
        <w:t xml:space="preserve"> na koniec trwającej</w:t>
      </w:r>
      <w:r w:rsidRPr="002502E7">
        <w:rPr>
          <w:lang w:val="pl-PL"/>
        </w:rPr>
        <w:t xml:space="preserve"> dziesięć d</w:t>
      </w:r>
      <w:r>
        <w:rPr>
          <w:lang w:val="pl-PL"/>
        </w:rPr>
        <w:t xml:space="preserve">ni rozprawy zostały odczytane, a strony otrzymały </w:t>
      </w:r>
      <w:r w:rsidR="008E3809">
        <w:rPr>
          <w:lang w:val="pl-PL"/>
        </w:rPr>
        <w:t xml:space="preserve">ich </w:t>
      </w:r>
      <w:r>
        <w:rPr>
          <w:lang w:val="pl-PL"/>
        </w:rPr>
        <w:t xml:space="preserve">kopię. </w:t>
      </w:r>
    </w:p>
    <w:p w:rsidR="00C053EC" w:rsidRDefault="00C053EC">
      <w:pPr>
        <w:pStyle w:val="ClinContent"/>
        <w:rPr>
          <w:lang w:val="pl-PL"/>
        </w:rPr>
      </w:pPr>
      <w:r w:rsidRPr="00C053EC">
        <w:rPr>
          <w:lang w:val="pl-PL"/>
        </w:rPr>
        <w:t xml:space="preserve">(b) </w:t>
      </w:r>
      <w:r w:rsidRPr="00EF47B3">
        <w:rPr>
          <w:i/>
          <w:lang w:val="pl-PL"/>
        </w:rPr>
        <w:t xml:space="preserve">Łączny wpływ oskarżenia oraz pytań do </w:t>
      </w:r>
      <w:r w:rsidR="00823156">
        <w:rPr>
          <w:i/>
          <w:lang w:val="pl-PL"/>
        </w:rPr>
        <w:t>ławy przysięgłych</w:t>
      </w:r>
      <w:r w:rsidRPr="00C053EC">
        <w:rPr>
          <w:lang w:val="pl-PL"/>
        </w:rPr>
        <w:t xml:space="preserve"> – Po pierwsze, obrońca w imieniu skarżącej nie </w:t>
      </w:r>
      <w:r>
        <w:rPr>
          <w:lang w:val="pl-PL"/>
        </w:rPr>
        <w:t>zgłosił żadnych zastrzeżeń po zaznajomieniu się z pytaniami przewodnicząc</w:t>
      </w:r>
      <w:r w:rsidR="00EF47B3">
        <w:rPr>
          <w:lang w:val="pl-PL"/>
        </w:rPr>
        <w:t>ego</w:t>
      </w:r>
      <w:r>
        <w:rPr>
          <w:lang w:val="pl-PL"/>
        </w:rPr>
        <w:t xml:space="preserve"> do </w:t>
      </w:r>
      <w:r w:rsidR="00823156" w:rsidRPr="00823156">
        <w:rPr>
          <w:lang w:val="pl-PL"/>
        </w:rPr>
        <w:t>ławy przysięgłych</w:t>
      </w:r>
      <w:r>
        <w:rPr>
          <w:lang w:val="pl-PL"/>
        </w:rPr>
        <w:t>, nie ubiegając się ani o ich zmianę, ani nie proponując innych pytań.</w:t>
      </w:r>
    </w:p>
    <w:p w:rsidR="00C053EC" w:rsidRPr="00C053EC" w:rsidRDefault="00C053EC" w:rsidP="00C053EC">
      <w:pPr>
        <w:pStyle w:val="ClinContent"/>
        <w:rPr>
          <w:lang w:val="pl-PL"/>
        </w:rPr>
      </w:pPr>
      <w:r>
        <w:rPr>
          <w:lang w:val="pl-PL"/>
        </w:rPr>
        <w:t xml:space="preserve">Ponadto, ponieważ pierwsze pytanie dotyczyło winy skarżącej, odpowiedź pozytywna </w:t>
      </w:r>
      <w:r w:rsidR="00823156" w:rsidRPr="00823156">
        <w:rPr>
          <w:lang w:val="pl-PL"/>
        </w:rPr>
        <w:t>ławy przysięgłych</w:t>
      </w:r>
      <w:r>
        <w:rPr>
          <w:lang w:val="pl-PL"/>
        </w:rPr>
        <w:t xml:space="preserve"> w sposób konieczny oznaczała, że w opinii </w:t>
      </w:r>
      <w:r w:rsidR="00823156" w:rsidRPr="00823156">
        <w:rPr>
          <w:lang w:val="pl-PL"/>
        </w:rPr>
        <w:t>ławy przysięgłych</w:t>
      </w:r>
      <w:r>
        <w:rPr>
          <w:lang w:val="pl-PL"/>
        </w:rPr>
        <w:t xml:space="preserve"> ponosiła ona odpowiedzialność za swe czyny w przedmiotowym czasie. Skarżąca nie mogła zatem utrzymywać, że nie była w stanie zrozumieć stanowiska </w:t>
      </w:r>
      <w:r w:rsidR="00823156" w:rsidRPr="00823156">
        <w:rPr>
          <w:lang w:val="pl-PL"/>
        </w:rPr>
        <w:t>ławy przysięgłych</w:t>
      </w:r>
      <w:r>
        <w:rPr>
          <w:lang w:val="pl-PL"/>
        </w:rPr>
        <w:t xml:space="preserve"> w tej sprawie. </w:t>
      </w:r>
    </w:p>
    <w:p w:rsidR="00C053EC" w:rsidRPr="00C053EC" w:rsidRDefault="00C053EC">
      <w:pPr>
        <w:pStyle w:val="ClinContent"/>
        <w:rPr>
          <w:lang w:val="pl-PL"/>
        </w:rPr>
      </w:pPr>
      <w:r w:rsidRPr="00C053EC">
        <w:rPr>
          <w:lang w:val="pl-PL"/>
        </w:rPr>
        <w:t xml:space="preserve">Co prawda, </w:t>
      </w:r>
      <w:r w:rsidR="00823156" w:rsidRPr="00823156">
        <w:rPr>
          <w:lang w:val="pl-PL"/>
        </w:rPr>
        <w:t>ław</w:t>
      </w:r>
      <w:r w:rsidR="00823156">
        <w:rPr>
          <w:lang w:val="pl-PL"/>
        </w:rPr>
        <w:t>a</w:t>
      </w:r>
      <w:r w:rsidR="00823156" w:rsidRPr="00823156">
        <w:rPr>
          <w:lang w:val="pl-PL"/>
        </w:rPr>
        <w:t xml:space="preserve"> przysięgłych</w:t>
      </w:r>
      <w:r w:rsidRPr="00C053EC">
        <w:rPr>
          <w:lang w:val="pl-PL"/>
        </w:rPr>
        <w:t xml:space="preserve"> nie przed</w:t>
      </w:r>
      <w:r>
        <w:rPr>
          <w:lang w:val="pl-PL"/>
        </w:rPr>
        <w:t>s</w:t>
      </w:r>
      <w:r w:rsidRPr="00C053EC">
        <w:rPr>
          <w:lang w:val="pl-PL"/>
        </w:rPr>
        <w:t>tawił</w:t>
      </w:r>
      <w:r w:rsidR="00823156">
        <w:rPr>
          <w:lang w:val="pl-PL"/>
        </w:rPr>
        <w:t>a</w:t>
      </w:r>
      <w:r w:rsidRPr="00C053EC">
        <w:rPr>
          <w:lang w:val="pl-PL"/>
        </w:rPr>
        <w:t xml:space="preserve"> uzasadnienia swych stwierdzeń w tym zakresie. </w:t>
      </w:r>
      <w:r>
        <w:rPr>
          <w:lang w:val="pl-PL"/>
        </w:rPr>
        <w:t>Jednakże, zgodność z wymogami rzetelnego procesu należy oceniać na podstawie całokształtu postępowania, badając, czy w świetle</w:t>
      </w:r>
      <w:r w:rsidR="00EF47B3">
        <w:rPr>
          <w:lang w:val="pl-PL"/>
        </w:rPr>
        <w:t xml:space="preserve"> wszystkich okoliczności sprawy</w:t>
      </w:r>
      <w:r w:rsidR="0029567C">
        <w:rPr>
          <w:lang w:val="pl-PL"/>
        </w:rPr>
        <w:t>,</w:t>
      </w:r>
      <w:r>
        <w:rPr>
          <w:lang w:val="pl-PL"/>
        </w:rPr>
        <w:t xml:space="preserve"> procedura, którą zastosowano, umożliwiła oskarżon</w:t>
      </w:r>
      <w:r w:rsidR="00CF63A6">
        <w:rPr>
          <w:lang w:val="pl-PL"/>
        </w:rPr>
        <w:t>emu</w:t>
      </w:r>
      <w:r>
        <w:rPr>
          <w:lang w:val="pl-PL"/>
        </w:rPr>
        <w:t xml:space="preserve"> zrozumienie, dlaczego </w:t>
      </w:r>
      <w:r w:rsidR="00EF47B3">
        <w:rPr>
          <w:lang w:val="pl-PL"/>
        </w:rPr>
        <w:t>zosta</w:t>
      </w:r>
      <w:r w:rsidR="00CF63A6">
        <w:rPr>
          <w:lang w:val="pl-PL"/>
        </w:rPr>
        <w:t>ł</w:t>
      </w:r>
      <w:r w:rsidR="00EC44FF">
        <w:rPr>
          <w:lang w:val="pl-PL"/>
        </w:rPr>
        <w:t xml:space="preserve"> </w:t>
      </w:r>
      <w:r w:rsidR="00EF47B3">
        <w:rPr>
          <w:lang w:val="pl-PL"/>
        </w:rPr>
        <w:t>uznan</w:t>
      </w:r>
      <w:r w:rsidR="00CF63A6">
        <w:rPr>
          <w:lang w:val="pl-PL"/>
        </w:rPr>
        <w:t>y winnym</w:t>
      </w:r>
      <w:r>
        <w:rPr>
          <w:lang w:val="pl-PL"/>
        </w:rPr>
        <w:t>.</w:t>
      </w:r>
    </w:p>
    <w:p w:rsidR="00C053EC" w:rsidRPr="00C053EC" w:rsidRDefault="00C053EC">
      <w:pPr>
        <w:pStyle w:val="ClinContent"/>
        <w:rPr>
          <w:lang w:val="pl-PL"/>
        </w:rPr>
      </w:pPr>
      <w:r w:rsidRPr="00C053EC">
        <w:rPr>
          <w:lang w:val="pl-PL"/>
        </w:rPr>
        <w:t>Tego typu badanie w obecnej sprawie wykaz</w:t>
      </w:r>
      <w:r>
        <w:rPr>
          <w:lang w:val="pl-PL"/>
        </w:rPr>
        <w:t xml:space="preserve">ało istnienie szeregu czynników, które mogły rozwiać wszelkie wątpliwości po stronie skarżącej co do przekonania członków </w:t>
      </w:r>
      <w:r w:rsidR="00823156" w:rsidRPr="00823156">
        <w:rPr>
          <w:lang w:val="pl-PL"/>
        </w:rPr>
        <w:t>ławy przysięgłych</w:t>
      </w:r>
      <w:r>
        <w:rPr>
          <w:lang w:val="pl-PL"/>
        </w:rPr>
        <w:t xml:space="preserve">, że ponosiła ona odpowiedzialność karną w czasie wydarzeń. </w:t>
      </w:r>
    </w:p>
    <w:p w:rsidR="00C053EC" w:rsidRPr="00C053EC" w:rsidRDefault="00C053EC">
      <w:pPr>
        <w:pStyle w:val="ClinContent"/>
        <w:rPr>
          <w:lang w:val="pl-PL"/>
        </w:rPr>
      </w:pPr>
      <w:r w:rsidRPr="00C053EC">
        <w:rPr>
          <w:lang w:val="pl-PL"/>
        </w:rPr>
        <w:t xml:space="preserve">(i) Od </w:t>
      </w:r>
      <w:r w:rsidR="00D66BED">
        <w:rPr>
          <w:lang w:val="pl-PL"/>
        </w:rPr>
        <w:t xml:space="preserve">swego </w:t>
      </w:r>
      <w:r w:rsidRPr="00C053EC">
        <w:rPr>
          <w:lang w:val="pl-PL"/>
        </w:rPr>
        <w:t xml:space="preserve">wstępnego etapu śledztwo koncentrowało się na stanie psychologicznym skarżącej w czasie zabójstw. </w:t>
      </w:r>
      <w:r>
        <w:rPr>
          <w:lang w:val="pl-PL"/>
        </w:rPr>
        <w:t>Oskarżenie, które liczyło ok. 50 stron, przedstawiało precyzyjny przebieg wydarzeń, podjęte kroki oraz dowody uzyskane w trakcie śledztwa, a</w:t>
      </w:r>
      <w:r w:rsidR="00D66BED">
        <w:rPr>
          <w:lang w:val="pl-PL"/>
        </w:rPr>
        <w:t xml:space="preserve"> także</w:t>
      </w:r>
      <w:r>
        <w:rPr>
          <w:lang w:val="pl-PL"/>
        </w:rPr>
        <w:t xml:space="preserve"> </w:t>
      </w:r>
      <w:r w:rsidR="00D66BED">
        <w:rPr>
          <w:lang w:val="pl-PL"/>
        </w:rPr>
        <w:t xml:space="preserve">opinie kryminalistyczne biegłych lekarzy, a znaczna ich część była poświęcona osobistej historii skarżącej i jej życia rodzinnego oraz motywów i powodów, które pchnęły ją do dokonania zabójstw, szczególnie w świetle oceny jej stanu psychologicznego i psychicznego przez biegłych. </w:t>
      </w:r>
    </w:p>
    <w:p w:rsidR="00D66BED" w:rsidRPr="00D66BED" w:rsidRDefault="00D66BED">
      <w:pPr>
        <w:pStyle w:val="ClinContent"/>
        <w:rPr>
          <w:lang w:val="pl-PL"/>
        </w:rPr>
      </w:pPr>
      <w:r w:rsidRPr="00D66BED">
        <w:rPr>
          <w:lang w:val="pl-PL"/>
        </w:rPr>
        <w:t xml:space="preserve">Co prawda, akt oskarżenia </w:t>
      </w:r>
      <w:r>
        <w:rPr>
          <w:lang w:val="pl-PL"/>
        </w:rPr>
        <w:t xml:space="preserve">w niewielkim stopniu pomagał zrozumieć werdykt wydany przez </w:t>
      </w:r>
      <w:r w:rsidR="00823156" w:rsidRPr="00823156">
        <w:rPr>
          <w:lang w:val="pl-PL"/>
        </w:rPr>
        <w:t>ław</w:t>
      </w:r>
      <w:r w:rsidR="00823156">
        <w:rPr>
          <w:lang w:val="pl-PL"/>
        </w:rPr>
        <w:t>ę</w:t>
      </w:r>
      <w:r w:rsidR="00823156" w:rsidRPr="00823156">
        <w:rPr>
          <w:lang w:val="pl-PL"/>
        </w:rPr>
        <w:t xml:space="preserve"> przysięgłych</w:t>
      </w:r>
      <w:r>
        <w:rPr>
          <w:lang w:val="pl-PL"/>
        </w:rPr>
        <w:t>, jak</w:t>
      </w:r>
      <w:r w:rsidR="00EF47B3">
        <w:rPr>
          <w:lang w:val="pl-PL"/>
        </w:rPr>
        <w:t>o że został on przedłożony przed</w:t>
      </w:r>
      <w:r>
        <w:rPr>
          <w:lang w:val="pl-PL"/>
        </w:rPr>
        <w:t xml:space="preserve"> rozprawą główną, </w:t>
      </w:r>
      <w:r w:rsidR="00EF47B3">
        <w:rPr>
          <w:lang w:val="pl-PL"/>
        </w:rPr>
        <w:t xml:space="preserve">tj. </w:t>
      </w:r>
      <w:r>
        <w:rPr>
          <w:lang w:val="pl-PL"/>
        </w:rPr>
        <w:t xml:space="preserve">kluczową częścią postępowania przed </w:t>
      </w:r>
      <w:r w:rsidR="008625B3">
        <w:rPr>
          <w:lang w:val="pl-PL"/>
        </w:rPr>
        <w:t>Sądem Przysięgłych</w:t>
      </w:r>
      <w:r>
        <w:rPr>
          <w:lang w:val="pl-PL"/>
        </w:rPr>
        <w:t xml:space="preserve">; art. </w:t>
      </w:r>
      <w:r w:rsidR="003E3BA0">
        <w:rPr>
          <w:lang w:val="pl-PL"/>
        </w:rPr>
        <w:t>6 wymaga</w:t>
      </w:r>
      <w:r w:rsidR="00EF47B3">
        <w:rPr>
          <w:lang w:val="pl-PL"/>
        </w:rPr>
        <w:t>ł</w:t>
      </w:r>
      <w:r w:rsidR="003E3BA0">
        <w:rPr>
          <w:lang w:val="pl-PL"/>
        </w:rPr>
        <w:t xml:space="preserve"> zrozumienia nie tyle powodów, które skłoniły organy śledcze do skierowania sprawy na </w:t>
      </w:r>
      <w:r w:rsidR="00EF47B3">
        <w:rPr>
          <w:lang w:val="pl-PL"/>
        </w:rPr>
        <w:t xml:space="preserve">rozprawę przed </w:t>
      </w:r>
      <w:r w:rsidR="008625B3">
        <w:rPr>
          <w:lang w:val="pl-PL"/>
        </w:rPr>
        <w:t>Sądem Przysięgłych</w:t>
      </w:r>
      <w:r w:rsidR="003E3BA0">
        <w:rPr>
          <w:lang w:val="pl-PL"/>
        </w:rPr>
        <w:t xml:space="preserve">, </w:t>
      </w:r>
      <w:r w:rsidR="00EF47B3">
        <w:rPr>
          <w:lang w:val="pl-PL"/>
        </w:rPr>
        <w:t>co</w:t>
      </w:r>
      <w:r w:rsidR="003E3BA0">
        <w:rPr>
          <w:lang w:val="pl-PL"/>
        </w:rPr>
        <w:t xml:space="preserve"> powod</w:t>
      </w:r>
      <w:r w:rsidR="0029567C">
        <w:rPr>
          <w:lang w:val="pl-PL"/>
        </w:rPr>
        <w:t>ów</w:t>
      </w:r>
      <w:r w:rsidR="003E3BA0">
        <w:rPr>
          <w:lang w:val="pl-PL"/>
        </w:rPr>
        <w:t xml:space="preserve">, które skłoniły członków </w:t>
      </w:r>
      <w:r w:rsidR="00823156" w:rsidRPr="00823156">
        <w:rPr>
          <w:lang w:val="pl-PL"/>
        </w:rPr>
        <w:t>ławy przysięgłych</w:t>
      </w:r>
      <w:r w:rsidR="003E3BA0">
        <w:rPr>
          <w:lang w:val="pl-PL"/>
        </w:rPr>
        <w:t>, po wysłuchaniu rozpraw</w:t>
      </w:r>
      <w:r w:rsidR="00360851">
        <w:rPr>
          <w:lang w:val="pl-PL"/>
        </w:rPr>
        <w:t>y</w:t>
      </w:r>
      <w:r w:rsidR="003E3BA0">
        <w:rPr>
          <w:lang w:val="pl-PL"/>
        </w:rPr>
        <w:t xml:space="preserve">, do wydania ich decyzji w sprawie winy. Ponadto, Trybunał nie może spekulować, czy stwierdzenia co do faktów zaprezentowane w akcie oskarżenia wpłynęły bądź nie na obrady oraz ostatecznie wydaną decyzję </w:t>
      </w:r>
      <w:r w:rsidR="00823156" w:rsidRPr="00823156">
        <w:rPr>
          <w:lang w:val="pl-PL"/>
        </w:rPr>
        <w:t>ławy przysięgłych</w:t>
      </w:r>
      <w:r w:rsidR="003E3BA0">
        <w:rPr>
          <w:lang w:val="pl-PL"/>
        </w:rPr>
        <w:t xml:space="preserve">. </w:t>
      </w:r>
    </w:p>
    <w:p w:rsidR="00360851" w:rsidRPr="00360851" w:rsidRDefault="00360851">
      <w:pPr>
        <w:pStyle w:val="ClinContent"/>
        <w:rPr>
          <w:lang w:val="pl-PL"/>
        </w:rPr>
      </w:pPr>
      <w:r w:rsidRPr="00360851">
        <w:rPr>
          <w:lang w:val="pl-PL"/>
        </w:rPr>
        <w:t xml:space="preserve">(ii) Podczas procesu w </w:t>
      </w:r>
      <w:r w:rsidR="008625B3" w:rsidRPr="00360851">
        <w:rPr>
          <w:lang w:val="pl-PL"/>
        </w:rPr>
        <w:t>Sądzie Przysięgłych</w:t>
      </w:r>
      <w:r w:rsidRPr="00360851">
        <w:rPr>
          <w:lang w:val="pl-PL"/>
        </w:rPr>
        <w:t>, kwestia</w:t>
      </w:r>
      <w:r>
        <w:rPr>
          <w:lang w:val="pl-PL"/>
        </w:rPr>
        <w:t xml:space="preserve"> odpowiedzialności karnej skarżącej była głównym przedmiotem postępowania, </w:t>
      </w:r>
      <w:r w:rsidR="005F4772">
        <w:rPr>
          <w:lang w:val="pl-PL"/>
        </w:rPr>
        <w:t>zważywszy</w:t>
      </w:r>
      <w:r>
        <w:rPr>
          <w:lang w:val="pl-PL"/>
        </w:rPr>
        <w:t xml:space="preserve"> że pojawienie się nowych </w:t>
      </w:r>
      <w:r>
        <w:rPr>
          <w:lang w:val="pl-PL"/>
        </w:rPr>
        <w:lastRenderedPageBreak/>
        <w:t xml:space="preserve">dowodów skłoniło przewodniczącego do zarządzenia kolejnych badań psychiatrycznych, których wnioski były przedmiotem </w:t>
      </w:r>
      <w:r w:rsidR="00EF47B3">
        <w:rPr>
          <w:lang w:val="pl-PL"/>
        </w:rPr>
        <w:t>analizy</w:t>
      </w:r>
      <w:r>
        <w:rPr>
          <w:lang w:val="pl-PL"/>
        </w:rPr>
        <w:t xml:space="preserve">. </w:t>
      </w:r>
    </w:p>
    <w:p w:rsidR="00360851" w:rsidRPr="00360851" w:rsidRDefault="00360851">
      <w:pPr>
        <w:pStyle w:val="ClinContent"/>
        <w:rPr>
          <w:lang w:val="pl-PL"/>
        </w:rPr>
      </w:pPr>
      <w:r w:rsidRPr="00360851">
        <w:rPr>
          <w:lang w:val="pl-PL"/>
        </w:rPr>
        <w:t xml:space="preserve">(iii) Wyrok </w:t>
      </w:r>
      <w:proofErr w:type="spellStart"/>
      <w:r w:rsidR="00BA3546">
        <w:rPr>
          <w:lang w:val="pl-PL"/>
        </w:rPr>
        <w:t>ws</w:t>
      </w:r>
      <w:proofErr w:type="spellEnd"/>
      <w:r w:rsidR="00BA3546">
        <w:rPr>
          <w:lang w:val="pl-PL"/>
        </w:rPr>
        <w:t xml:space="preserve">. wymierzenia kary </w:t>
      </w:r>
      <w:r w:rsidRPr="00360851">
        <w:rPr>
          <w:lang w:val="pl-PL"/>
        </w:rPr>
        <w:t xml:space="preserve">wyraźnie wspominał zarówno </w:t>
      </w:r>
      <w:r>
        <w:rPr>
          <w:lang w:val="pl-PL"/>
        </w:rPr>
        <w:t xml:space="preserve">determinację </w:t>
      </w:r>
      <w:r w:rsidR="00545605">
        <w:rPr>
          <w:lang w:val="pl-PL"/>
        </w:rPr>
        <w:t>skarżącej w</w:t>
      </w:r>
      <w:r w:rsidR="00F1424E">
        <w:rPr>
          <w:lang w:val="pl-PL"/>
        </w:rPr>
        <w:t xml:space="preserve"> </w:t>
      </w:r>
      <w:r w:rsidR="00EF47B3">
        <w:rPr>
          <w:lang w:val="pl-PL"/>
        </w:rPr>
        <w:t>popełnieniu</w:t>
      </w:r>
      <w:r>
        <w:rPr>
          <w:lang w:val="pl-PL"/>
        </w:rPr>
        <w:t xml:space="preserve"> morderstw, jak też sposób popełnienia ich z zimną krwią. Wniosek co do jej odpowiedzialności karnej był logiczny w świetle odpowiedzi </w:t>
      </w:r>
      <w:r w:rsidR="00823156" w:rsidRPr="00823156">
        <w:rPr>
          <w:lang w:val="pl-PL"/>
        </w:rPr>
        <w:t>ławy przysięgłych</w:t>
      </w:r>
      <w:r w:rsidR="00823156">
        <w:rPr>
          <w:lang w:val="pl-PL"/>
        </w:rPr>
        <w:t xml:space="preserve"> </w:t>
      </w:r>
      <w:r>
        <w:rPr>
          <w:lang w:val="pl-PL"/>
        </w:rPr>
        <w:t xml:space="preserve">na pytania. </w:t>
      </w:r>
      <w:r w:rsidR="00BA3546">
        <w:rPr>
          <w:lang w:val="pl-PL"/>
        </w:rPr>
        <w:t xml:space="preserve">Ponadto </w:t>
      </w:r>
      <w:r>
        <w:rPr>
          <w:lang w:val="pl-PL"/>
        </w:rPr>
        <w:t xml:space="preserve">Sąd Kasacyjny nie dokonał innej wykładni wyroku </w:t>
      </w:r>
      <w:proofErr w:type="spellStart"/>
      <w:r w:rsidR="00BA3546">
        <w:rPr>
          <w:lang w:val="pl-PL"/>
        </w:rPr>
        <w:t>ws</w:t>
      </w:r>
      <w:proofErr w:type="spellEnd"/>
      <w:r w:rsidR="00BA3546">
        <w:rPr>
          <w:lang w:val="pl-PL"/>
        </w:rPr>
        <w:t>. wymierzenia kary</w:t>
      </w:r>
      <w:r>
        <w:rPr>
          <w:lang w:val="pl-PL"/>
        </w:rPr>
        <w:t xml:space="preserve">, jako </w:t>
      </w:r>
      <w:r w:rsidR="00EF47B3">
        <w:rPr>
          <w:lang w:val="pl-PL"/>
        </w:rPr>
        <w:t>że uznał, że względy związane z</w:t>
      </w:r>
      <w:r>
        <w:rPr>
          <w:lang w:val="pl-PL"/>
        </w:rPr>
        <w:t xml:space="preserve"> </w:t>
      </w:r>
      <w:r w:rsidR="00EF47B3">
        <w:rPr>
          <w:lang w:val="pl-PL"/>
        </w:rPr>
        <w:t>działaniem</w:t>
      </w:r>
      <w:r>
        <w:rPr>
          <w:lang w:val="pl-PL"/>
        </w:rPr>
        <w:t xml:space="preserve"> z zimną krwią p</w:t>
      </w:r>
      <w:r w:rsidR="00EF47B3">
        <w:rPr>
          <w:lang w:val="pl-PL"/>
        </w:rPr>
        <w:t>rzez skarżącą i jej determinacją w popełnieniu przestępstw</w:t>
      </w:r>
      <w:r>
        <w:rPr>
          <w:lang w:val="pl-PL"/>
        </w:rPr>
        <w:t xml:space="preserve"> </w:t>
      </w:r>
      <w:r w:rsidR="0055364F">
        <w:rPr>
          <w:lang w:val="pl-PL"/>
        </w:rPr>
        <w:t xml:space="preserve">były powodem </w:t>
      </w:r>
      <w:r>
        <w:rPr>
          <w:lang w:val="pl-PL"/>
        </w:rPr>
        <w:t xml:space="preserve">stwierdzenia przez </w:t>
      </w:r>
      <w:r w:rsidR="008625B3">
        <w:rPr>
          <w:lang w:val="pl-PL"/>
        </w:rPr>
        <w:t>Sąd Przysięgłych</w:t>
      </w:r>
      <w:r>
        <w:rPr>
          <w:lang w:val="pl-PL"/>
        </w:rPr>
        <w:t xml:space="preserve">, że ponosiła odpowiedzialność karną w czasie wydarzeń. </w:t>
      </w:r>
    </w:p>
    <w:p w:rsidR="0055364F" w:rsidRPr="0055364F" w:rsidRDefault="0055364F">
      <w:pPr>
        <w:pStyle w:val="ClinContent"/>
        <w:rPr>
          <w:lang w:val="pl-PL"/>
        </w:rPr>
      </w:pPr>
      <w:r w:rsidRPr="0055364F">
        <w:rPr>
          <w:lang w:val="pl-PL"/>
        </w:rPr>
        <w:t xml:space="preserve">(c) </w:t>
      </w:r>
      <w:r w:rsidRPr="0055364F">
        <w:rPr>
          <w:i/>
          <w:lang w:val="pl-PL"/>
        </w:rPr>
        <w:t xml:space="preserve">Zredagowanie wyroku </w:t>
      </w:r>
      <w:proofErr w:type="spellStart"/>
      <w:r w:rsidRPr="0055364F">
        <w:rPr>
          <w:i/>
          <w:lang w:val="pl-PL"/>
        </w:rPr>
        <w:t>ws</w:t>
      </w:r>
      <w:proofErr w:type="spellEnd"/>
      <w:r w:rsidRPr="0055364F">
        <w:rPr>
          <w:i/>
          <w:lang w:val="pl-PL"/>
        </w:rPr>
        <w:t>. wymierzenia kary przez sędziów zawodowych, którzy nie uczestniczyli w obradach dotyczących kwestii winy</w:t>
      </w:r>
      <w:r w:rsidRPr="0055364F">
        <w:rPr>
          <w:lang w:val="pl-PL"/>
        </w:rPr>
        <w:t xml:space="preserve"> – Ten czynnik nie może podważać wartości i </w:t>
      </w:r>
      <w:r w:rsidR="00D569FD">
        <w:rPr>
          <w:lang w:val="pl-PL"/>
        </w:rPr>
        <w:t xml:space="preserve">wpływu </w:t>
      </w:r>
      <w:r>
        <w:rPr>
          <w:lang w:val="pl-PL"/>
        </w:rPr>
        <w:t>wyjaśnień udzielonych skarżące</w:t>
      </w:r>
      <w:r w:rsidR="00EF47B3">
        <w:rPr>
          <w:lang w:val="pl-PL"/>
        </w:rPr>
        <w:t>j</w:t>
      </w:r>
      <w:r>
        <w:rPr>
          <w:lang w:val="pl-PL"/>
        </w:rPr>
        <w:t>, zważywszy</w:t>
      </w:r>
      <w:r w:rsidR="00EF47B3">
        <w:rPr>
          <w:lang w:val="pl-PL"/>
        </w:rPr>
        <w:t xml:space="preserve"> że</w:t>
      </w:r>
      <w:r>
        <w:rPr>
          <w:lang w:val="pl-PL"/>
        </w:rPr>
        <w:t>:</w:t>
      </w:r>
    </w:p>
    <w:p w:rsidR="0055364F" w:rsidRPr="0055364F" w:rsidRDefault="0055364F">
      <w:pPr>
        <w:pStyle w:val="ClinContent"/>
        <w:rPr>
          <w:lang w:val="pl-PL"/>
        </w:rPr>
      </w:pPr>
      <w:r w:rsidRPr="0055364F">
        <w:rPr>
          <w:lang w:val="pl-PL"/>
        </w:rPr>
        <w:t xml:space="preserve">(i) wyjaśnień udzielono bez zwłoki, pod koniec posiedzenia </w:t>
      </w:r>
      <w:r w:rsidR="008625B3">
        <w:rPr>
          <w:lang w:val="pl-PL"/>
        </w:rPr>
        <w:t>Sądu Przysięgłych</w:t>
      </w:r>
      <w:r>
        <w:rPr>
          <w:lang w:val="pl-PL"/>
        </w:rPr>
        <w:t xml:space="preserve">, </w:t>
      </w:r>
      <w:r w:rsidR="00D569FD">
        <w:rPr>
          <w:lang w:val="pl-PL"/>
        </w:rPr>
        <w:t>ponieważ</w:t>
      </w:r>
      <w:r>
        <w:rPr>
          <w:lang w:val="pl-PL"/>
        </w:rPr>
        <w:t xml:space="preserve"> wyrok w sprawie wymierzenia kary został wydany w </w:t>
      </w:r>
      <w:r w:rsidR="00D569FD">
        <w:rPr>
          <w:lang w:val="pl-PL"/>
        </w:rPr>
        <w:t xml:space="preserve">tym </w:t>
      </w:r>
      <w:r>
        <w:rPr>
          <w:lang w:val="pl-PL"/>
        </w:rPr>
        <w:t>dniu</w:t>
      </w:r>
      <w:r w:rsidR="00D569FD">
        <w:rPr>
          <w:lang w:val="pl-PL"/>
        </w:rPr>
        <w:t>, co werdykt</w:t>
      </w:r>
      <w:r>
        <w:rPr>
          <w:lang w:val="pl-PL"/>
        </w:rPr>
        <w:t xml:space="preserve">; </w:t>
      </w:r>
    </w:p>
    <w:p w:rsidR="0055364F" w:rsidRPr="0055364F" w:rsidRDefault="0055364F">
      <w:pPr>
        <w:pStyle w:val="ClinContent"/>
        <w:rPr>
          <w:lang w:val="pl-PL"/>
        </w:rPr>
      </w:pPr>
      <w:r w:rsidRPr="0055364F">
        <w:rPr>
          <w:lang w:val="pl-PL"/>
        </w:rPr>
        <w:t xml:space="preserve">(ii) chociaż przedmiotowy wyrok formalnie został </w:t>
      </w:r>
      <w:r>
        <w:rPr>
          <w:lang w:val="pl-PL"/>
        </w:rPr>
        <w:t xml:space="preserve">zredagowany przez sędziów zawodowych, mogli oni </w:t>
      </w:r>
      <w:r w:rsidR="00D569FD">
        <w:rPr>
          <w:lang w:val="pl-PL"/>
        </w:rPr>
        <w:t xml:space="preserve">otrzymywać </w:t>
      </w:r>
      <w:r>
        <w:rPr>
          <w:lang w:val="pl-PL"/>
        </w:rPr>
        <w:t xml:space="preserve">uwagi od dwunastu członków </w:t>
      </w:r>
      <w:r w:rsidR="00823156" w:rsidRPr="00823156">
        <w:rPr>
          <w:lang w:val="pl-PL"/>
        </w:rPr>
        <w:t>ławy przysięgłych</w:t>
      </w:r>
      <w:r>
        <w:rPr>
          <w:lang w:val="pl-PL"/>
        </w:rPr>
        <w:t xml:space="preserve">, którzy w istocie zasiadali obok nich w trakcie obrad w sprawie kary, a ich nazwiska widnieją w </w:t>
      </w:r>
      <w:r w:rsidR="00D569FD">
        <w:rPr>
          <w:lang w:val="pl-PL"/>
        </w:rPr>
        <w:t>wyroku</w:t>
      </w:r>
      <w:r>
        <w:rPr>
          <w:lang w:val="pl-PL"/>
        </w:rPr>
        <w:t xml:space="preserve">; </w:t>
      </w:r>
      <w:r w:rsidR="00D569FD">
        <w:rPr>
          <w:lang w:val="pl-PL"/>
        </w:rPr>
        <w:t>a także</w:t>
      </w:r>
    </w:p>
    <w:p w:rsidR="0055364F" w:rsidRPr="0055364F" w:rsidRDefault="0055364F">
      <w:pPr>
        <w:pStyle w:val="ClinContent"/>
        <w:rPr>
          <w:lang w:val="pl-PL"/>
        </w:rPr>
      </w:pPr>
      <w:r w:rsidRPr="0055364F">
        <w:rPr>
          <w:lang w:val="pl-PL"/>
        </w:rPr>
        <w:t xml:space="preserve">(iii) sędziowie zawodowi byli obecni </w:t>
      </w:r>
      <w:r w:rsidR="0029567C">
        <w:rPr>
          <w:lang w:val="pl-PL"/>
        </w:rPr>
        <w:t>w trakcie całej rozprawy,</w:t>
      </w:r>
      <w:r w:rsidRPr="0055364F">
        <w:rPr>
          <w:lang w:val="pl-PL"/>
        </w:rPr>
        <w:t xml:space="preserve"> byli zatem w stanie w</w:t>
      </w:r>
      <w:r>
        <w:rPr>
          <w:lang w:val="pl-PL"/>
        </w:rPr>
        <w:t xml:space="preserve"> odpowiednim kontekście umiejscowić uwagi </w:t>
      </w:r>
      <w:r w:rsidR="0029567C">
        <w:rPr>
          <w:lang w:val="pl-PL"/>
        </w:rPr>
        <w:t>przysięgłych</w:t>
      </w:r>
      <w:r>
        <w:rPr>
          <w:lang w:val="pl-PL"/>
        </w:rPr>
        <w:t xml:space="preserve">. </w:t>
      </w:r>
    </w:p>
    <w:p w:rsidR="00CA58D6" w:rsidRDefault="0055364F">
      <w:pPr>
        <w:pStyle w:val="ClinContent"/>
        <w:rPr>
          <w:lang w:val="pl-PL"/>
        </w:rPr>
      </w:pPr>
      <w:r w:rsidRPr="0055364F">
        <w:rPr>
          <w:lang w:val="pl-PL"/>
        </w:rPr>
        <w:t xml:space="preserve">(d) </w:t>
      </w:r>
      <w:r w:rsidRPr="00D569FD">
        <w:rPr>
          <w:i/>
          <w:lang w:val="pl-PL"/>
        </w:rPr>
        <w:t xml:space="preserve">Brak szczegółowych wyjaśnień w sprawie różnicy w opinii </w:t>
      </w:r>
      <w:r w:rsidR="00823156" w:rsidRPr="00823156">
        <w:rPr>
          <w:i/>
          <w:lang w:val="pl-PL"/>
        </w:rPr>
        <w:t>ławy przysięgłych</w:t>
      </w:r>
      <w:r w:rsidRPr="00D569FD">
        <w:rPr>
          <w:i/>
          <w:lang w:val="pl-PL"/>
        </w:rPr>
        <w:t xml:space="preserve"> i biegłych psychiatrów w sprawie zdolności skarżącej</w:t>
      </w:r>
      <w:r w:rsidR="00D569FD">
        <w:rPr>
          <w:i/>
          <w:lang w:val="pl-PL"/>
        </w:rPr>
        <w:t xml:space="preserve"> do </w:t>
      </w:r>
      <w:r w:rsidRPr="00D569FD">
        <w:rPr>
          <w:i/>
          <w:lang w:val="pl-PL"/>
        </w:rPr>
        <w:t>kontrolowania jej czynów w czasie wydarzeń</w:t>
      </w:r>
      <w:r>
        <w:rPr>
          <w:lang w:val="pl-PL"/>
        </w:rPr>
        <w:t xml:space="preserve"> – Co prawda, w </w:t>
      </w:r>
      <w:r w:rsidR="00DC3976">
        <w:rPr>
          <w:lang w:val="pl-PL"/>
        </w:rPr>
        <w:t>swojej</w:t>
      </w:r>
      <w:r>
        <w:rPr>
          <w:lang w:val="pl-PL"/>
        </w:rPr>
        <w:t xml:space="preserve"> ostatniej opinii trzej biegli psychiatrzy wyrazili jednomyślną opinię, że skarżąca „w czasie wydarzeń cierpiała na poważne zaburzenia </w:t>
      </w:r>
      <w:r w:rsidR="00D569FD">
        <w:rPr>
          <w:lang w:val="pl-PL"/>
        </w:rPr>
        <w:t>psychiczne</w:t>
      </w:r>
      <w:r>
        <w:rPr>
          <w:lang w:val="pl-PL"/>
        </w:rPr>
        <w:t xml:space="preserve"> sprawiające, że nie była w stanie kontrolować swych czynów”. </w:t>
      </w:r>
    </w:p>
    <w:p w:rsidR="0055364F" w:rsidRPr="0055364F" w:rsidRDefault="0055364F">
      <w:pPr>
        <w:pStyle w:val="ClinContent"/>
        <w:rPr>
          <w:lang w:val="pl-PL"/>
        </w:rPr>
      </w:pPr>
      <w:r w:rsidRPr="0055364F">
        <w:rPr>
          <w:lang w:val="pl-PL"/>
        </w:rPr>
        <w:t xml:space="preserve">Jednakże Trybunał już stwierdził, że </w:t>
      </w:r>
      <w:r w:rsidR="00365726">
        <w:rPr>
          <w:lang w:val="pl-PL"/>
        </w:rPr>
        <w:t>ustalenia</w:t>
      </w:r>
      <w:r w:rsidRPr="0055364F">
        <w:rPr>
          <w:lang w:val="pl-PL"/>
        </w:rPr>
        <w:t xml:space="preserve"> poczynione przez biegłych psychiatrów w czasie procesu przed </w:t>
      </w:r>
      <w:r w:rsidR="008625B3" w:rsidRPr="0055364F">
        <w:rPr>
          <w:lang w:val="pl-PL"/>
        </w:rPr>
        <w:t xml:space="preserve">Sądem Przysięgłych </w:t>
      </w:r>
      <w:r w:rsidRPr="0055364F">
        <w:rPr>
          <w:lang w:val="pl-PL"/>
        </w:rPr>
        <w:t xml:space="preserve">stanowiły jedynie część dowodów przedłożonych </w:t>
      </w:r>
      <w:r w:rsidR="00823156" w:rsidRPr="00823156">
        <w:rPr>
          <w:lang w:val="pl-PL"/>
        </w:rPr>
        <w:t>ław</w:t>
      </w:r>
      <w:r w:rsidR="00823156">
        <w:rPr>
          <w:lang w:val="pl-PL"/>
        </w:rPr>
        <w:t xml:space="preserve">ie </w:t>
      </w:r>
      <w:r w:rsidR="00823156" w:rsidRPr="00823156">
        <w:rPr>
          <w:lang w:val="pl-PL"/>
        </w:rPr>
        <w:t>przysięgłych</w:t>
      </w:r>
      <w:r w:rsidRPr="0055364F">
        <w:rPr>
          <w:lang w:val="pl-PL"/>
        </w:rPr>
        <w:t xml:space="preserve">. </w:t>
      </w:r>
    </w:p>
    <w:p w:rsidR="0055364F" w:rsidRPr="0055364F" w:rsidRDefault="0055364F">
      <w:pPr>
        <w:pStyle w:val="ClinContent"/>
        <w:rPr>
          <w:lang w:val="pl-PL"/>
        </w:rPr>
      </w:pPr>
      <w:r w:rsidRPr="0055364F">
        <w:rPr>
          <w:lang w:val="pl-PL"/>
        </w:rPr>
        <w:t xml:space="preserve">Ponadto, biegli sami pomniejszyli wpływ </w:t>
      </w:r>
      <w:r w:rsidR="00DC3976">
        <w:rPr>
          <w:lang w:val="pl-PL"/>
        </w:rPr>
        <w:t>swo</w:t>
      </w:r>
      <w:r w:rsidRPr="0055364F">
        <w:rPr>
          <w:lang w:val="pl-PL"/>
        </w:rPr>
        <w:t xml:space="preserve">ich </w:t>
      </w:r>
      <w:r>
        <w:rPr>
          <w:lang w:val="pl-PL"/>
        </w:rPr>
        <w:t xml:space="preserve">ustaleń, </w:t>
      </w:r>
      <w:r w:rsidR="00E9325D">
        <w:rPr>
          <w:lang w:val="pl-PL"/>
        </w:rPr>
        <w:t>oświadczając</w:t>
      </w:r>
      <w:r>
        <w:rPr>
          <w:lang w:val="pl-PL"/>
        </w:rPr>
        <w:t>, że ich odpowiedzi odzwierciedlały jedynie ich osobiste przekonanie, uznając</w:t>
      </w:r>
      <w:r w:rsidR="00E9325D">
        <w:rPr>
          <w:lang w:val="pl-PL"/>
        </w:rPr>
        <w:t xml:space="preserve"> jednocześnie</w:t>
      </w:r>
      <w:r>
        <w:rPr>
          <w:lang w:val="pl-PL"/>
        </w:rPr>
        <w:t xml:space="preserve">, że </w:t>
      </w:r>
      <w:r w:rsidR="006D7844">
        <w:rPr>
          <w:lang w:val="pl-PL"/>
        </w:rPr>
        <w:t>stanowiły</w:t>
      </w:r>
      <w:r>
        <w:rPr>
          <w:lang w:val="pl-PL"/>
        </w:rPr>
        <w:t xml:space="preserve"> one </w:t>
      </w:r>
      <w:r w:rsidR="00E9325D">
        <w:rPr>
          <w:lang w:val="pl-PL"/>
        </w:rPr>
        <w:t>tylko i wyłącznie</w:t>
      </w:r>
      <w:r>
        <w:rPr>
          <w:lang w:val="pl-PL"/>
        </w:rPr>
        <w:t xml:space="preserve"> „</w:t>
      </w:r>
      <w:r w:rsidR="006D7844">
        <w:rPr>
          <w:lang w:val="pl-PL"/>
        </w:rPr>
        <w:t xml:space="preserve">rzetelną opinię, a nie absolutną prawdę naukową”. </w:t>
      </w:r>
    </w:p>
    <w:p w:rsidR="00CD701D" w:rsidRPr="00CD701D" w:rsidRDefault="00CD701D">
      <w:pPr>
        <w:pStyle w:val="ClinContent"/>
        <w:rPr>
          <w:lang w:val="pl-PL"/>
        </w:rPr>
      </w:pPr>
      <w:r w:rsidRPr="00CD701D">
        <w:rPr>
          <w:lang w:val="pl-PL"/>
        </w:rPr>
        <w:t xml:space="preserve">Z powyższych względów, fakt, że </w:t>
      </w:r>
      <w:r w:rsidR="00823156" w:rsidRPr="00823156">
        <w:rPr>
          <w:lang w:val="pl-PL"/>
        </w:rPr>
        <w:t>ław</w:t>
      </w:r>
      <w:r w:rsidR="00823156">
        <w:rPr>
          <w:lang w:val="pl-PL"/>
        </w:rPr>
        <w:t>a</w:t>
      </w:r>
      <w:r w:rsidR="00823156" w:rsidRPr="00823156">
        <w:rPr>
          <w:lang w:val="pl-PL"/>
        </w:rPr>
        <w:t xml:space="preserve"> przysięgłych</w:t>
      </w:r>
      <w:r w:rsidRPr="00CD701D">
        <w:rPr>
          <w:lang w:val="pl-PL"/>
        </w:rPr>
        <w:t xml:space="preserve"> nie wskazał</w:t>
      </w:r>
      <w:r w:rsidR="00823156">
        <w:rPr>
          <w:lang w:val="pl-PL"/>
        </w:rPr>
        <w:t>a</w:t>
      </w:r>
      <w:r w:rsidRPr="00CD701D">
        <w:rPr>
          <w:lang w:val="pl-PL"/>
        </w:rPr>
        <w:t xml:space="preserve"> powodów, dla których przyjęł</w:t>
      </w:r>
      <w:r w:rsidR="00823156">
        <w:rPr>
          <w:lang w:val="pl-PL"/>
        </w:rPr>
        <w:t>a</w:t>
      </w:r>
      <w:r w:rsidRPr="00CD701D">
        <w:rPr>
          <w:lang w:val="pl-PL"/>
        </w:rPr>
        <w:t xml:space="preserve"> opinię odmienną od ostateczne</w:t>
      </w:r>
      <w:r w:rsidR="004B7FA7">
        <w:rPr>
          <w:lang w:val="pl-PL"/>
        </w:rPr>
        <w:t>j</w:t>
      </w:r>
      <w:r w:rsidRPr="00CD701D">
        <w:rPr>
          <w:lang w:val="pl-PL"/>
        </w:rPr>
        <w:t xml:space="preserve"> </w:t>
      </w:r>
      <w:r w:rsidR="00823156">
        <w:rPr>
          <w:lang w:val="pl-PL"/>
        </w:rPr>
        <w:t>korzyst</w:t>
      </w:r>
      <w:r w:rsidR="00D569FD">
        <w:rPr>
          <w:lang w:val="pl-PL"/>
        </w:rPr>
        <w:t>ne</w:t>
      </w:r>
      <w:r w:rsidR="004B7FA7">
        <w:rPr>
          <w:lang w:val="pl-PL"/>
        </w:rPr>
        <w:t>j</w:t>
      </w:r>
      <w:r w:rsidR="00D569FD">
        <w:rPr>
          <w:lang w:val="pl-PL"/>
        </w:rPr>
        <w:t xml:space="preserve"> dla skarżącej </w:t>
      </w:r>
      <w:r w:rsidR="004B7FA7">
        <w:rPr>
          <w:lang w:val="pl-PL"/>
        </w:rPr>
        <w:t xml:space="preserve">opinii </w:t>
      </w:r>
      <w:r w:rsidRPr="00CD701D">
        <w:rPr>
          <w:lang w:val="pl-PL"/>
        </w:rPr>
        <w:t>biegłych</w:t>
      </w:r>
      <w:r>
        <w:rPr>
          <w:lang w:val="pl-PL"/>
        </w:rPr>
        <w:t xml:space="preserve"> psychiatrów</w:t>
      </w:r>
      <w:r w:rsidR="00BD6C1F">
        <w:rPr>
          <w:lang w:val="pl-PL"/>
        </w:rPr>
        <w:t>,</w:t>
      </w:r>
      <w:r>
        <w:rPr>
          <w:lang w:val="pl-PL"/>
        </w:rPr>
        <w:t xml:space="preserve"> nie uniemożliwiał jej zrozumienia decyzji o uznaniu jej odpowiedzialności karnej. </w:t>
      </w:r>
    </w:p>
    <w:p w:rsidR="00152ADC" w:rsidRPr="00F1424E" w:rsidRDefault="00A72E18">
      <w:pPr>
        <w:pStyle w:val="ClinContent"/>
        <w:rPr>
          <w:lang w:val="pl-PL"/>
        </w:rPr>
      </w:pPr>
      <w:r w:rsidRPr="00F1424E">
        <w:rPr>
          <w:lang w:val="pl-PL"/>
        </w:rPr>
        <w:t>***</w:t>
      </w:r>
    </w:p>
    <w:p w:rsidR="009240DF" w:rsidRPr="009240DF" w:rsidRDefault="00583A34">
      <w:pPr>
        <w:pStyle w:val="ClinContent"/>
        <w:rPr>
          <w:lang w:val="pl-PL"/>
        </w:rPr>
      </w:pPr>
      <w:r>
        <w:rPr>
          <w:lang w:val="pl-PL"/>
        </w:rPr>
        <w:t>Podsumowując</w:t>
      </w:r>
      <w:r w:rsidR="009240DF" w:rsidRPr="009240DF">
        <w:rPr>
          <w:lang w:val="pl-PL"/>
        </w:rPr>
        <w:t xml:space="preserve">, skarżącej </w:t>
      </w:r>
      <w:r w:rsidR="00D569FD" w:rsidRPr="009240DF">
        <w:rPr>
          <w:lang w:val="pl-PL"/>
        </w:rPr>
        <w:t>zapewniono</w:t>
      </w:r>
      <w:r w:rsidR="009240DF" w:rsidRPr="009240DF">
        <w:rPr>
          <w:lang w:val="pl-PL"/>
        </w:rPr>
        <w:t xml:space="preserve"> wystarczające gwarancje umożliwiające jej zrozumie</w:t>
      </w:r>
      <w:r w:rsidR="00D569FD">
        <w:rPr>
          <w:lang w:val="pl-PL"/>
        </w:rPr>
        <w:t>nie</w:t>
      </w:r>
      <w:r w:rsidR="009240DF" w:rsidRPr="009240DF">
        <w:rPr>
          <w:lang w:val="pl-PL"/>
        </w:rPr>
        <w:t xml:space="preserve"> werdykt</w:t>
      </w:r>
      <w:r w:rsidR="00D569FD">
        <w:rPr>
          <w:lang w:val="pl-PL"/>
        </w:rPr>
        <w:t>u</w:t>
      </w:r>
      <w:r w:rsidR="009240DF" w:rsidRPr="009240DF">
        <w:rPr>
          <w:lang w:val="pl-PL"/>
        </w:rPr>
        <w:t xml:space="preserve"> </w:t>
      </w:r>
      <w:r w:rsidR="00823156" w:rsidRPr="00823156">
        <w:rPr>
          <w:lang w:val="pl-PL"/>
        </w:rPr>
        <w:t>ławy przysięgłych</w:t>
      </w:r>
      <w:r w:rsidR="009240DF" w:rsidRPr="009240DF">
        <w:rPr>
          <w:lang w:val="pl-PL"/>
        </w:rPr>
        <w:t>.</w:t>
      </w:r>
    </w:p>
    <w:p w:rsidR="009240DF" w:rsidRPr="009240DF" w:rsidRDefault="009240DF">
      <w:pPr>
        <w:pStyle w:val="ClinContent"/>
        <w:rPr>
          <w:lang w:val="pl-PL"/>
        </w:rPr>
      </w:pPr>
      <w:r w:rsidRPr="009240DF">
        <w:rPr>
          <w:i/>
          <w:lang w:val="pl-PL"/>
        </w:rPr>
        <w:t>Rozstrzygnięcie</w:t>
      </w:r>
      <w:r w:rsidR="002155C4">
        <w:rPr>
          <w:lang w:val="pl-PL"/>
        </w:rPr>
        <w:t>: brak naruszenia (dziesięcioma</w:t>
      </w:r>
      <w:r w:rsidRPr="009240DF">
        <w:rPr>
          <w:lang w:val="pl-PL"/>
        </w:rPr>
        <w:t xml:space="preserve"> głos</w:t>
      </w:r>
      <w:r w:rsidR="00C450B1">
        <w:rPr>
          <w:lang w:val="pl-PL"/>
        </w:rPr>
        <w:t>ami</w:t>
      </w:r>
      <w:r w:rsidRPr="009240DF">
        <w:rPr>
          <w:lang w:val="pl-PL"/>
        </w:rPr>
        <w:t xml:space="preserve"> do siedmiu)</w:t>
      </w:r>
      <w:r w:rsidR="003A28A7">
        <w:rPr>
          <w:lang w:val="pl-PL"/>
        </w:rPr>
        <w:t>.</w:t>
      </w:r>
    </w:p>
    <w:p w:rsidR="00152ADC" w:rsidRPr="009240DF" w:rsidRDefault="00A72E18">
      <w:pPr>
        <w:pStyle w:val="ClinContent"/>
        <w:rPr>
          <w:lang w:val="pl-PL"/>
        </w:rPr>
      </w:pPr>
      <w:r w:rsidRPr="009240DF">
        <w:rPr>
          <w:lang w:val="pl-PL"/>
        </w:rPr>
        <w:t>(</w:t>
      </w:r>
      <w:r w:rsidR="009240DF" w:rsidRPr="009240DF">
        <w:rPr>
          <w:lang w:val="pl-PL"/>
        </w:rPr>
        <w:t>Zobacz</w:t>
      </w:r>
      <w:r w:rsidRPr="009240DF">
        <w:rPr>
          <w:lang w:val="pl-PL"/>
        </w:rPr>
        <w:t xml:space="preserve"> </w:t>
      </w:r>
      <w:proofErr w:type="spellStart"/>
      <w:r w:rsidRPr="009240DF">
        <w:rPr>
          <w:i/>
          <w:lang w:val="pl-PL"/>
        </w:rPr>
        <w:t>Taxquet</w:t>
      </w:r>
      <w:proofErr w:type="spellEnd"/>
      <w:r w:rsidRPr="009240DF">
        <w:rPr>
          <w:i/>
          <w:lang w:val="pl-PL"/>
        </w:rPr>
        <w:t xml:space="preserve"> </w:t>
      </w:r>
      <w:r w:rsidR="006108DB" w:rsidRPr="009240DF">
        <w:rPr>
          <w:i/>
          <w:lang w:val="pl-PL"/>
        </w:rPr>
        <w:t>p.</w:t>
      </w:r>
      <w:r w:rsidRPr="009240DF">
        <w:rPr>
          <w:i/>
          <w:lang w:val="pl-PL"/>
        </w:rPr>
        <w:t xml:space="preserve"> Belgi</w:t>
      </w:r>
      <w:r w:rsidR="009240DF" w:rsidRPr="009240DF">
        <w:rPr>
          <w:i/>
          <w:lang w:val="pl-PL"/>
        </w:rPr>
        <w:t>i</w:t>
      </w:r>
      <w:r w:rsidRPr="009240DF">
        <w:rPr>
          <w:lang w:val="pl-PL"/>
        </w:rPr>
        <w:t xml:space="preserve"> [</w:t>
      </w:r>
      <w:r w:rsidR="006108DB" w:rsidRPr="009240DF">
        <w:rPr>
          <w:lang w:val="pl-PL"/>
        </w:rPr>
        <w:t>Wielka Izba</w:t>
      </w:r>
      <w:r w:rsidRPr="009240DF">
        <w:rPr>
          <w:lang w:val="pl-PL"/>
        </w:rPr>
        <w:t xml:space="preserve">], </w:t>
      </w:r>
      <w:r w:rsidR="009240DF" w:rsidRPr="009240DF">
        <w:rPr>
          <w:lang w:val="pl-PL"/>
        </w:rPr>
        <w:t xml:space="preserve">skarga nr </w:t>
      </w:r>
      <w:r w:rsidRPr="009240DF">
        <w:rPr>
          <w:lang w:val="pl-PL"/>
        </w:rPr>
        <w:t>926/05, 16 </w:t>
      </w:r>
      <w:r w:rsidR="009240DF" w:rsidRPr="009240DF">
        <w:rPr>
          <w:lang w:val="pl-PL"/>
        </w:rPr>
        <w:t>listopada</w:t>
      </w:r>
      <w:r w:rsidRPr="009240DF">
        <w:rPr>
          <w:lang w:val="pl-PL"/>
        </w:rPr>
        <w:t xml:space="preserve"> 2010</w:t>
      </w:r>
      <w:r w:rsidR="009240DF" w:rsidRPr="009240DF">
        <w:rPr>
          <w:lang w:val="pl-PL"/>
        </w:rPr>
        <w:t xml:space="preserve"> r.</w:t>
      </w:r>
      <w:r w:rsidRPr="009240DF">
        <w:rPr>
          <w:lang w:val="pl-PL"/>
        </w:rPr>
        <w:t>,</w:t>
      </w:r>
      <w:r w:rsidR="00A3496F" w:rsidRPr="00A3496F">
        <w:rPr>
          <w:lang w:val="pl-PL"/>
        </w:rPr>
        <w:t xml:space="preserve"> </w:t>
      </w:r>
      <w:hyperlink r:id="rId10" w:history="1">
        <w:r w:rsidR="00A3496F">
          <w:rPr>
            <w:rStyle w:val="Hipercze"/>
            <w:lang w:val="pl-PL"/>
          </w:rPr>
          <w:t>Nota informacyjna nr</w:t>
        </w:r>
        <w:r w:rsidR="00A3496F" w:rsidRPr="00A3496F">
          <w:rPr>
            <w:rStyle w:val="Hipercze"/>
            <w:lang w:val="pl-PL"/>
          </w:rPr>
          <w:t> 135</w:t>
        </w:r>
      </w:hyperlink>
      <w:r w:rsidRPr="009240DF">
        <w:rPr>
          <w:lang w:val="pl-PL"/>
        </w:rPr>
        <w:t xml:space="preserve">; </w:t>
      </w:r>
      <w:r w:rsidR="009240DF" w:rsidRPr="009240DF">
        <w:rPr>
          <w:lang w:val="pl-PL"/>
        </w:rPr>
        <w:t xml:space="preserve">oraz </w:t>
      </w:r>
      <w:proofErr w:type="spellStart"/>
      <w:r w:rsidRPr="009240DF">
        <w:rPr>
          <w:i/>
          <w:lang w:val="pl-PL"/>
        </w:rPr>
        <w:t>Legillon</w:t>
      </w:r>
      <w:proofErr w:type="spellEnd"/>
      <w:r w:rsidRPr="009240DF">
        <w:rPr>
          <w:i/>
          <w:lang w:val="pl-PL"/>
        </w:rPr>
        <w:t xml:space="preserve"> </w:t>
      </w:r>
      <w:r w:rsidR="006108DB" w:rsidRPr="009240DF">
        <w:rPr>
          <w:i/>
          <w:lang w:val="pl-PL"/>
        </w:rPr>
        <w:t>p.</w:t>
      </w:r>
      <w:r w:rsidRPr="009240DF">
        <w:rPr>
          <w:i/>
          <w:lang w:val="pl-PL"/>
        </w:rPr>
        <w:t> Franc</w:t>
      </w:r>
      <w:r w:rsidR="009240DF" w:rsidRPr="009240DF">
        <w:rPr>
          <w:i/>
          <w:lang w:val="pl-PL"/>
        </w:rPr>
        <w:t>ji</w:t>
      </w:r>
      <w:r w:rsidRPr="009240DF">
        <w:rPr>
          <w:lang w:val="pl-PL"/>
        </w:rPr>
        <w:t xml:space="preserve"> (</w:t>
      </w:r>
      <w:r w:rsidR="009240DF" w:rsidRPr="009240DF">
        <w:rPr>
          <w:lang w:val="pl-PL"/>
        </w:rPr>
        <w:t xml:space="preserve">skarga nr </w:t>
      </w:r>
      <w:r w:rsidRPr="009240DF">
        <w:rPr>
          <w:lang w:val="pl-PL"/>
        </w:rPr>
        <w:t xml:space="preserve">53406/10) </w:t>
      </w:r>
      <w:r w:rsidR="009240DF" w:rsidRPr="009240DF">
        <w:rPr>
          <w:lang w:val="pl-PL"/>
        </w:rPr>
        <w:t>oraz</w:t>
      </w:r>
      <w:r w:rsidRPr="009240DF">
        <w:rPr>
          <w:lang w:val="pl-PL"/>
        </w:rPr>
        <w:t xml:space="preserve"> </w:t>
      </w:r>
      <w:proofErr w:type="spellStart"/>
      <w:r w:rsidRPr="009240DF">
        <w:rPr>
          <w:i/>
          <w:lang w:val="pl-PL"/>
        </w:rPr>
        <w:t>Agnelet</w:t>
      </w:r>
      <w:proofErr w:type="spellEnd"/>
      <w:r w:rsidRPr="009240DF">
        <w:rPr>
          <w:i/>
          <w:lang w:val="pl-PL"/>
        </w:rPr>
        <w:t xml:space="preserve"> </w:t>
      </w:r>
      <w:r w:rsidR="006108DB" w:rsidRPr="009240DF">
        <w:rPr>
          <w:i/>
          <w:lang w:val="pl-PL"/>
        </w:rPr>
        <w:t>p.</w:t>
      </w:r>
      <w:r w:rsidRPr="009240DF">
        <w:rPr>
          <w:i/>
          <w:lang w:val="pl-PL"/>
        </w:rPr>
        <w:t> Franc</w:t>
      </w:r>
      <w:r w:rsidR="009240DF">
        <w:rPr>
          <w:i/>
          <w:lang w:val="pl-PL"/>
        </w:rPr>
        <w:t>ji</w:t>
      </w:r>
      <w:r w:rsidRPr="009240DF">
        <w:rPr>
          <w:lang w:val="pl-PL"/>
        </w:rPr>
        <w:t xml:space="preserve"> (</w:t>
      </w:r>
      <w:r w:rsidR="009240DF" w:rsidRPr="009240DF">
        <w:rPr>
          <w:lang w:val="pl-PL"/>
        </w:rPr>
        <w:t xml:space="preserve">skarga nr </w:t>
      </w:r>
      <w:r w:rsidRPr="009240DF">
        <w:rPr>
          <w:lang w:val="pl-PL"/>
        </w:rPr>
        <w:t xml:space="preserve">61198/08), </w:t>
      </w:r>
      <w:r w:rsidR="009240DF">
        <w:rPr>
          <w:lang w:val="pl-PL"/>
        </w:rPr>
        <w:t xml:space="preserve">wyroki z </w:t>
      </w:r>
      <w:r w:rsidRPr="009240DF">
        <w:rPr>
          <w:lang w:val="pl-PL"/>
        </w:rPr>
        <w:t>10 </w:t>
      </w:r>
      <w:r w:rsidR="009240DF">
        <w:rPr>
          <w:lang w:val="pl-PL"/>
        </w:rPr>
        <w:t xml:space="preserve">stycznia </w:t>
      </w:r>
      <w:r w:rsidRPr="009240DF">
        <w:rPr>
          <w:lang w:val="pl-PL"/>
        </w:rPr>
        <w:t xml:space="preserve">January 2013 </w:t>
      </w:r>
      <w:r w:rsidR="009240DF">
        <w:rPr>
          <w:lang w:val="pl-PL"/>
        </w:rPr>
        <w:t xml:space="preserve">r. podsumowane w </w:t>
      </w:r>
      <w:hyperlink r:id="rId11" w:history="1">
        <w:r w:rsidR="009240DF">
          <w:rPr>
            <w:rStyle w:val="Hipercze"/>
            <w:lang w:val="pl-PL"/>
          </w:rPr>
          <w:t>Nocie informacyjnej</w:t>
        </w:r>
        <w:r w:rsidR="006108DB" w:rsidRPr="009240DF">
          <w:rPr>
            <w:rStyle w:val="Hipercze"/>
            <w:lang w:val="pl-PL"/>
          </w:rPr>
          <w:t xml:space="preserve"> nr </w:t>
        </w:r>
        <w:r w:rsidRPr="009240DF">
          <w:rPr>
            <w:rStyle w:val="Hipercze"/>
            <w:lang w:val="pl-PL"/>
          </w:rPr>
          <w:t>159</w:t>
        </w:r>
      </w:hyperlink>
      <w:r w:rsidRPr="009240DF">
        <w:rPr>
          <w:lang w:val="pl-PL"/>
        </w:rPr>
        <w:t xml:space="preserve">; </w:t>
      </w:r>
      <w:r w:rsidR="009240DF">
        <w:rPr>
          <w:lang w:val="pl-PL"/>
        </w:rPr>
        <w:t>zobacz również</w:t>
      </w:r>
      <w:r w:rsidRPr="009240DF">
        <w:rPr>
          <w:lang w:val="pl-PL"/>
        </w:rPr>
        <w:t xml:space="preserve">, </w:t>
      </w:r>
      <w:r w:rsidR="009240DF">
        <w:rPr>
          <w:lang w:val="pl-PL"/>
        </w:rPr>
        <w:t>w serii przewodników po orzecznictwie</w:t>
      </w:r>
      <w:r w:rsidRPr="009240DF">
        <w:rPr>
          <w:lang w:val="pl-PL"/>
        </w:rPr>
        <w:t xml:space="preserve">, </w:t>
      </w:r>
      <w:hyperlink r:id="rId12" w:history="1">
        <w:r w:rsidR="009240DF">
          <w:rPr>
            <w:rStyle w:val="Hipercze"/>
            <w:lang w:val="pl-PL"/>
          </w:rPr>
          <w:t xml:space="preserve">Przewodnik </w:t>
        </w:r>
        <w:proofErr w:type="spellStart"/>
        <w:r w:rsidR="009240DF">
          <w:rPr>
            <w:rStyle w:val="Hipercze"/>
            <w:lang w:val="pl-PL"/>
          </w:rPr>
          <w:t>ws</w:t>
        </w:r>
        <w:proofErr w:type="spellEnd"/>
        <w:r w:rsidR="009240DF">
          <w:rPr>
            <w:rStyle w:val="Hipercze"/>
            <w:lang w:val="pl-PL"/>
          </w:rPr>
          <w:t>. art. 6</w:t>
        </w:r>
        <w:r w:rsidRPr="009240DF">
          <w:rPr>
            <w:rStyle w:val="Hipercze"/>
            <w:lang w:val="pl-PL"/>
          </w:rPr>
          <w:t xml:space="preserve"> (</w:t>
        </w:r>
        <w:r w:rsidR="009240DF">
          <w:rPr>
            <w:rStyle w:val="Hipercze"/>
            <w:lang w:val="pl-PL"/>
          </w:rPr>
          <w:t>aspekt karny</w:t>
        </w:r>
        <w:r w:rsidRPr="009240DF">
          <w:rPr>
            <w:rStyle w:val="Hipercze"/>
            <w:lang w:val="pl-PL"/>
          </w:rPr>
          <w:t>)</w:t>
        </w:r>
      </w:hyperlink>
      <w:r w:rsidRPr="009240DF">
        <w:rPr>
          <w:lang w:val="pl-PL"/>
        </w:rPr>
        <w:t>)</w:t>
      </w:r>
      <w:r w:rsidR="00CF042D">
        <w:rPr>
          <w:lang w:val="pl-PL"/>
        </w:rPr>
        <w:t>.</w:t>
      </w:r>
    </w:p>
    <w:p w:rsidR="00152ADC" w:rsidRPr="009240DF" w:rsidRDefault="00152ADC">
      <w:pPr>
        <w:pBdr>
          <w:bottom w:val="single" w:sz="8" w:space="1" w:color="auto"/>
        </w:pBdr>
        <w:rPr>
          <w:lang w:val="pl-PL"/>
        </w:rPr>
      </w:pPr>
    </w:p>
    <w:p w:rsidR="009630BD" w:rsidRPr="0074070E" w:rsidRDefault="009630BD" w:rsidP="009630BD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9630BD" w:rsidRPr="001D0852" w:rsidRDefault="009630BD" w:rsidP="009630BD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3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9630BD" w:rsidRPr="009630BD" w:rsidRDefault="009630BD" w:rsidP="00D6404C">
      <w:pPr>
        <w:pStyle w:val="ClinFooter"/>
        <w:jc w:val="left"/>
        <w:rPr>
          <w:lang w:val="pl-PL"/>
        </w:rPr>
      </w:pPr>
    </w:p>
    <w:sectPr w:rsidR="009630BD" w:rsidRPr="009630BD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B20" w:rsidRDefault="008C4B20" w:rsidP="00C63262">
      <w:r>
        <w:separator/>
      </w:r>
    </w:p>
  </w:endnote>
  <w:endnote w:type="continuationSeparator" w:id="0">
    <w:p w:rsidR="008C4B20" w:rsidRDefault="008C4B20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B87" w:rsidRDefault="00B60B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B87" w:rsidRDefault="00B60B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B20" w:rsidRDefault="008C4B20" w:rsidP="00C63262">
      <w:r>
        <w:separator/>
      </w:r>
    </w:p>
  </w:footnote>
  <w:footnote w:type="continuationSeparator" w:id="0">
    <w:p w:rsidR="008C4B20" w:rsidRDefault="008C4B20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B87" w:rsidRDefault="00B60B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6839DB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F5BE4"/>
    <w:multiLevelType w:val="hybridMultilevel"/>
    <w:tmpl w:val="1E82DAA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A3F20"/>
    <w:rsid w:val="000F13B5"/>
    <w:rsid w:val="000F2FBC"/>
    <w:rsid w:val="00106B68"/>
    <w:rsid w:val="00107377"/>
    <w:rsid w:val="00133F9B"/>
    <w:rsid w:val="00143602"/>
    <w:rsid w:val="00150D74"/>
    <w:rsid w:val="00152ADC"/>
    <w:rsid w:val="001769E4"/>
    <w:rsid w:val="00186560"/>
    <w:rsid w:val="00212E83"/>
    <w:rsid w:val="002155C4"/>
    <w:rsid w:val="002265A9"/>
    <w:rsid w:val="00237A9A"/>
    <w:rsid w:val="002502E7"/>
    <w:rsid w:val="0029567C"/>
    <w:rsid w:val="002966E7"/>
    <w:rsid w:val="002A4777"/>
    <w:rsid w:val="002C5CC1"/>
    <w:rsid w:val="002E088D"/>
    <w:rsid w:val="0030264F"/>
    <w:rsid w:val="00337D08"/>
    <w:rsid w:val="003450B3"/>
    <w:rsid w:val="00360851"/>
    <w:rsid w:val="00365726"/>
    <w:rsid w:val="00386958"/>
    <w:rsid w:val="003A28A7"/>
    <w:rsid w:val="003A64A6"/>
    <w:rsid w:val="003D7BB3"/>
    <w:rsid w:val="003E3BA0"/>
    <w:rsid w:val="003E7852"/>
    <w:rsid w:val="00446D1B"/>
    <w:rsid w:val="0046453F"/>
    <w:rsid w:val="004A5B52"/>
    <w:rsid w:val="004B7FA7"/>
    <w:rsid w:val="004D568D"/>
    <w:rsid w:val="004E1037"/>
    <w:rsid w:val="0052092D"/>
    <w:rsid w:val="00522880"/>
    <w:rsid w:val="00540D75"/>
    <w:rsid w:val="00545605"/>
    <w:rsid w:val="005514E5"/>
    <w:rsid w:val="0055364F"/>
    <w:rsid w:val="00583A34"/>
    <w:rsid w:val="005F4772"/>
    <w:rsid w:val="006028A1"/>
    <w:rsid w:val="006108DB"/>
    <w:rsid w:val="00631A28"/>
    <w:rsid w:val="006839DB"/>
    <w:rsid w:val="006A36AD"/>
    <w:rsid w:val="006C1D96"/>
    <w:rsid w:val="006D7844"/>
    <w:rsid w:val="0071773F"/>
    <w:rsid w:val="00730821"/>
    <w:rsid w:val="00774515"/>
    <w:rsid w:val="00795013"/>
    <w:rsid w:val="00823156"/>
    <w:rsid w:val="00853267"/>
    <w:rsid w:val="008625B3"/>
    <w:rsid w:val="00895EF3"/>
    <w:rsid w:val="008A1011"/>
    <w:rsid w:val="008A4E87"/>
    <w:rsid w:val="008C4B20"/>
    <w:rsid w:val="008C64D5"/>
    <w:rsid w:val="008E3809"/>
    <w:rsid w:val="008F73CA"/>
    <w:rsid w:val="00903D38"/>
    <w:rsid w:val="00905206"/>
    <w:rsid w:val="009240DF"/>
    <w:rsid w:val="00934546"/>
    <w:rsid w:val="009630BD"/>
    <w:rsid w:val="009A2A68"/>
    <w:rsid w:val="009B178C"/>
    <w:rsid w:val="009B3B2C"/>
    <w:rsid w:val="009E3EF0"/>
    <w:rsid w:val="00A01052"/>
    <w:rsid w:val="00A04D9C"/>
    <w:rsid w:val="00A258BB"/>
    <w:rsid w:val="00A33541"/>
    <w:rsid w:val="00A3496F"/>
    <w:rsid w:val="00A45616"/>
    <w:rsid w:val="00A72E18"/>
    <w:rsid w:val="00AC7726"/>
    <w:rsid w:val="00B1736C"/>
    <w:rsid w:val="00B3166C"/>
    <w:rsid w:val="00B60B87"/>
    <w:rsid w:val="00B80CA0"/>
    <w:rsid w:val="00B85770"/>
    <w:rsid w:val="00BA3546"/>
    <w:rsid w:val="00BC2552"/>
    <w:rsid w:val="00BD6C1F"/>
    <w:rsid w:val="00BF1CD9"/>
    <w:rsid w:val="00C053EC"/>
    <w:rsid w:val="00C37433"/>
    <w:rsid w:val="00C450B1"/>
    <w:rsid w:val="00C63262"/>
    <w:rsid w:val="00C72355"/>
    <w:rsid w:val="00C93CFB"/>
    <w:rsid w:val="00CA58D6"/>
    <w:rsid w:val="00CD701D"/>
    <w:rsid w:val="00CF042D"/>
    <w:rsid w:val="00CF63A6"/>
    <w:rsid w:val="00CF7BA6"/>
    <w:rsid w:val="00D42086"/>
    <w:rsid w:val="00D425B3"/>
    <w:rsid w:val="00D569FD"/>
    <w:rsid w:val="00D6404C"/>
    <w:rsid w:val="00D65429"/>
    <w:rsid w:val="00D66BED"/>
    <w:rsid w:val="00D8164F"/>
    <w:rsid w:val="00DC3976"/>
    <w:rsid w:val="00E55491"/>
    <w:rsid w:val="00E83DB6"/>
    <w:rsid w:val="00E9325D"/>
    <w:rsid w:val="00EA53E7"/>
    <w:rsid w:val="00EC44FF"/>
    <w:rsid w:val="00EF47B3"/>
    <w:rsid w:val="00F1424E"/>
    <w:rsid w:val="00F30016"/>
    <w:rsid w:val="00F3484A"/>
    <w:rsid w:val="00F508C9"/>
    <w:rsid w:val="00F50CCD"/>
    <w:rsid w:val="00F5247C"/>
    <w:rsid w:val="00F858BE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Akapitzlist">
    <w:name w:val="List Paragraph"/>
    <w:basedOn w:val="Normalny"/>
    <w:link w:val="AkapitzlistZnak"/>
    <w:uiPriority w:val="34"/>
    <w:qFormat/>
    <w:rsid w:val="00D654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D654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fbbfee58">
    <w:name w:val="sfbbfee58"/>
    <w:basedOn w:val="Domylnaczcionkaakapitu"/>
    <w:rsid w:val="00D66BED"/>
  </w:style>
  <w:style w:type="paragraph" w:customStyle="1" w:styleId="s746c8714">
    <w:name w:val="s746c8714"/>
    <w:basedOn w:val="Normalny"/>
    <w:rsid w:val="00237A9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237A9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37A9A"/>
  </w:style>
  <w:style w:type="character" w:customStyle="1" w:styleId="object">
    <w:name w:val="object"/>
    <w:basedOn w:val="Domylnaczcionkaakapitu"/>
    <w:rsid w:val="00237A9A"/>
  </w:style>
  <w:style w:type="character" w:styleId="UyteHipercze">
    <w:name w:val="FollowedHyperlink"/>
    <w:basedOn w:val="Domylnaczcionkaakapitu"/>
    <w:semiHidden/>
    <w:unhideWhenUsed/>
    <w:rsid w:val="009B178C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Akapitzlist">
    <w:name w:val="List Paragraph"/>
    <w:basedOn w:val="Normalny"/>
    <w:link w:val="AkapitzlistZnak"/>
    <w:uiPriority w:val="34"/>
    <w:qFormat/>
    <w:rsid w:val="00D654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D654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fbbfee58">
    <w:name w:val="sfbbfee58"/>
    <w:basedOn w:val="Domylnaczcionkaakapitu"/>
    <w:rsid w:val="00D66BED"/>
  </w:style>
  <w:style w:type="paragraph" w:customStyle="1" w:styleId="s746c8714">
    <w:name w:val="s746c8714"/>
    <w:basedOn w:val="Normalny"/>
    <w:rsid w:val="00237A9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237A9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37A9A"/>
  </w:style>
  <w:style w:type="character" w:customStyle="1" w:styleId="object">
    <w:name w:val="object"/>
    <w:basedOn w:val="Domylnaczcionkaakapitu"/>
    <w:rsid w:val="00237A9A"/>
  </w:style>
  <w:style w:type="character" w:styleId="UyteHipercze">
    <w:name w:val="FollowedHyperlink"/>
    <w:basedOn w:val="Domylnaczcionkaakapitu"/>
    <w:semiHidden/>
    <w:unhideWhenUsed/>
    <w:rsid w:val="009B178C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3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echr.coe.int/Documents/Guide_Art_6_ENG.pdf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Documents/CLIN_2013_01_159_ENG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712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0662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1330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2017-04-05T13:14:00Z</dcterms:created>
  <dcterms:modified xsi:type="dcterms:W3CDTF">2017-06-21T12:12:00Z</dcterms:modified>
</cp:coreProperties>
</file>