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41" w:rsidRDefault="004C6741" w:rsidP="004C6741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185E85" w:rsidRDefault="00185E85" w:rsidP="0033314E">
      <w:pPr>
        <w:pStyle w:val="ClinEditionNumber"/>
        <w:jc w:val="center"/>
        <w:rPr>
          <w:lang w:val="pl-PL"/>
        </w:rPr>
      </w:pPr>
    </w:p>
    <w:p w:rsidR="0033314E" w:rsidRDefault="0033314E" w:rsidP="0033314E">
      <w:pPr>
        <w:pStyle w:val="ClinEditionNumber"/>
        <w:jc w:val="center"/>
        <w:rPr>
          <w:lang w:val="pl-PL"/>
        </w:rPr>
      </w:pPr>
      <w:bookmarkStart w:id="0" w:name="_GoBack"/>
      <w:bookmarkEnd w:id="0"/>
      <w:r>
        <w:rPr>
          <w:lang w:val="pl-PL"/>
        </w:rPr>
        <w:t>EUROPEJSKI TRYBUNAŁ PRAW CZŁOWIEKA</w:t>
      </w:r>
    </w:p>
    <w:p w:rsidR="00670BD2" w:rsidRPr="0033314E" w:rsidRDefault="0033314E" w:rsidP="0033314E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 w:rsidR="00075C61" w:rsidRPr="0033314E">
        <w:rPr>
          <w:lang w:val="pl-PL"/>
        </w:rPr>
        <w:t>202</w:t>
      </w:r>
    </w:p>
    <w:p w:rsidR="00670BD2" w:rsidRPr="000D0621" w:rsidRDefault="0033314E">
      <w:pPr>
        <w:pStyle w:val="ClinEditionMonth"/>
        <w:rPr>
          <w:lang w:val="pl-PL"/>
        </w:rPr>
      </w:pPr>
      <w:r w:rsidRPr="000D0621">
        <w:rPr>
          <w:lang w:val="pl-PL"/>
        </w:rPr>
        <w:t>Grudzień</w:t>
      </w:r>
      <w:r w:rsidR="00075C61" w:rsidRPr="000D0621">
        <w:rPr>
          <w:lang w:val="pl-PL"/>
        </w:rPr>
        <w:t xml:space="preserve"> 2016</w:t>
      </w:r>
    </w:p>
    <w:p w:rsidR="00670BD2" w:rsidRPr="0033314E" w:rsidRDefault="00075C61">
      <w:pPr>
        <w:rPr>
          <w:lang w:val="pl-PL"/>
        </w:rPr>
      </w:pPr>
      <w:r w:rsidRPr="0033314E">
        <w:rPr>
          <w:rStyle w:val="ClinCaseTitle"/>
          <w:lang w:val="pl-PL"/>
        </w:rPr>
        <w:t>Khlaifia</w:t>
      </w:r>
      <w:r w:rsidR="0033314E" w:rsidRPr="0033314E">
        <w:rPr>
          <w:rStyle w:val="ClinCaseTitle"/>
          <w:lang w:val="pl-PL"/>
        </w:rPr>
        <w:t xml:space="preserve"> i Inni p. W</w:t>
      </w:r>
      <w:r w:rsidR="0033314E">
        <w:rPr>
          <w:rStyle w:val="ClinCaseTitle"/>
          <w:lang w:val="pl-PL"/>
        </w:rPr>
        <w:t>łochom</w:t>
      </w:r>
      <w:r w:rsidRPr="0033314E">
        <w:rPr>
          <w:rStyle w:val="ClinCaseTitle"/>
          <w:lang w:val="pl-PL"/>
        </w:rPr>
        <w:t xml:space="preserve"> [</w:t>
      </w:r>
      <w:r w:rsidR="0033314E">
        <w:rPr>
          <w:rStyle w:val="ClinCaseTitle"/>
          <w:lang w:val="pl-PL"/>
        </w:rPr>
        <w:t>Wielka Izba</w:t>
      </w:r>
      <w:r w:rsidRPr="0033314E">
        <w:rPr>
          <w:rStyle w:val="ClinCaseTitle"/>
          <w:lang w:val="pl-PL"/>
        </w:rPr>
        <w:t>]</w:t>
      </w:r>
      <w:r w:rsidRPr="0033314E">
        <w:rPr>
          <w:rStyle w:val="ClinApplicationNumber"/>
          <w:lang w:val="pl-PL"/>
        </w:rPr>
        <w:t xml:space="preserve"> </w:t>
      </w:r>
      <w:r w:rsidR="0033314E">
        <w:rPr>
          <w:rStyle w:val="ClinApplicationNumber"/>
          <w:lang w:val="pl-PL"/>
        </w:rPr>
        <w:t>–</w:t>
      </w:r>
      <w:r w:rsidRPr="0033314E">
        <w:rPr>
          <w:rStyle w:val="ClinApplicationNumber"/>
          <w:lang w:val="pl-PL"/>
        </w:rPr>
        <w:t xml:space="preserve"> </w:t>
      </w:r>
      <w:r w:rsidR="0033314E">
        <w:rPr>
          <w:rStyle w:val="ClinApplicationNumber"/>
          <w:lang w:val="pl-PL"/>
        </w:rPr>
        <w:t xml:space="preserve">skarga nr </w:t>
      </w:r>
      <w:r w:rsidRPr="0033314E">
        <w:rPr>
          <w:rStyle w:val="ClinApplicationNumber"/>
          <w:lang w:val="pl-PL"/>
        </w:rPr>
        <w:t>16483/12</w:t>
      </w:r>
    </w:p>
    <w:p w:rsidR="00670BD2" w:rsidRPr="0033314E" w:rsidRDefault="0033314E">
      <w:pPr>
        <w:rPr>
          <w:lang w:val="pl-PL"/>
        </w:rPr>
      </w:pPr>
      <w:r w:rsidRPr="0033314E">
        <w:rPr>
          <w:rStyle w:val="ClinHudocDocumentTitle"/>
          <w:lang w:val="pl-PL"/>
        </w:rPr>
        <w:t xml:space="preserve">Wyrok z </w:t>
      </w:r>
      <w:r w:rsidR="00075C61" w:rsidRPr="0033314E">
        <w:rPr>
          <w:rStyle w:val="ClinHudocDocumentTitle"/>
          <w:lang w:val="pl-PL"/>
        </w:rPr>
        <w:t>15.12.2016</w:t>
      </w:r>
      <w:r w:rsidRPr="0033314E">
        <w:rPr>
          <w:rStyle w:val="ClinHudocDocumentTitle"/>
          <w:lang w:val="pl-PL"/>
        </w:rPr>
        <w:t xml:space="preserve"> r.</w:t>
      </w:r>
      <w:r w:rsidR="00075C61" w:rsidRPr="0033314E">
        <w:rPr>
          <w:rStyle w:val="ClinSectionName"/>
          <w:lang w:val="pl-PL"/>
        </w:rPr>
        <w:t xml:space="preserve"> [</w:t>
      </w:r>
      <w:r w:rsidRPr="0033314E">
        <w:rPr>
          <w:rStyle w:val="ClinSectionName"/>
          <w:lang w:val="pl-PL"/>
        </w:rPr>
        <w:t>Wielka Izba</w:t>
      </w:r>
      <w:r w:rsidR="00075C61" w:rsidRPr="0033314E">
        <w:rPr>
          <w:rStyle w:val="ClinSectionName"/>
          <w:lang w:val="pl-PL"/>
        </w:rPr>
        <w:t>]</w:t>
      </w:r>
    </w:p>
    <w:p w:rsidR="00670BD2" w:rsidRPr="0033314E" w:rsidRDefault="0033314E">
      <w:pPr>
        <w:pStyle w:val="ClinMainKeywordCode"/>
        <w:rPr>
          <w:lang w:val="pl-PL"/>
        </w:rPr>
      </w:pPr>
      <w:r w:rsidRPr="0033314E">
        <w:rPr>
          <w:lang w:val="pl-PL"/>
        </w:rPr>
        <w:t>Art.</w:t>
      </w:r>
      <w:r w:rsidR="00075C61" w:rsidRPr="0033314E">
        <w:rPr>
          <w:lang w:val="pl-PL"/>
        </w:rPr>
        <w:t xml:space="preserve"> 4 </w:t>
      </w:r>
      <w:r w:rsidRPr="0033314E">
        <w:rPr>
          <w:lang w:val="pl-PL"/>
        </w:rPr>
        <w:t xml:space="preserve">Protokołu nr </w:t>
      </w:r>
      <w:r w:rsidR="00075C61" w:rsidRPr="0033314E">
        <w:rPr>
          <w:lang w:val="pl-PL"/>
        </w:rPr>
        <w:t>4</w:t>
      </w:r>
    </w:p>
    <w:p w:rsidR="00670BD2" w:rsidRPr="0033314E" w:rsidRDefault="0033314E">
      <w:pPr>
        <w:pStyle w:val="ClinKeyword"/>
        <w:rPr>
          <w:lang w:val="pl-PL"/>
        </w:rPr>
      </w:pPr>
      <w:r w:rsidRPr="0033314E">
        <w:rPr>
          <w:lang w:val="pl-PL"/>
        </w:rPr>
        <w:t>Zakaz zbiorowego wydalenia cudzoziemców</w:t>
      </w:r>
    </w:p>
    <w:p w:rsidR="00283B3E" w:rsidRPr="00283B3E" w:rsidRDefault="00283B3E" w:rsidP="0019193C">
      <w:pPr>
        <w:jc w:val="both"/>
        <w:rPr>
          <w:lang w:val="pl-PL"/>
        </w:rPr>
      </w:pPr>
      <w:r>
        <w:rPr>
          <w:lang w:val="pl-PL"/>
        </w:rPr>
        <w:t>Odesłanie</w:t>
      </w:r>
      <w:r w:rsidRPr="00283B3E">
        <w:rPr>
          <w:lang w:val="pl-PL"/>
        </w:rPr>
        <w:t xml:space="preserve"> do Tunezji tunezyjskich migrantów przybyłych </w:t>
      </w:r>
      <w:r>
        <w:rPr>
          <w:lang w:val="pl-PL"/>
        </w:rPr>
        <w:t xml:space="preserve">w dużej liczbie </w:t>
      </w:r>
      <w:r w:rsidRPr="00283B3E">
        <w:rPr>
          <w:lang w:val="pl-PL"/>
        </w:rPr>
        <w:t>drogą morską po indywidualnym zidentyfikowaniu każdego z nich i umożliwieniu zgłoszenia wszelkich zastrzeżeń dotyczących ich osobiście</w:t>
      </w:r>
      <w:r>
        <w:rPr>
          <w:lang w:val="pl-PL"/>
        </w:rPr>
        <w:t xml:space="preserve">: </w:t>
      </w:r>
      <w:r w:rsidRPr="00283B3E">
        <w:rPr>
          <w:i/>
          <w:lang w:val="pl-PL"/>
        </w:rPr>
        <w:t>brak naruszenia</w:t>
      </w:r>
      <w:r w:rsidR="00A32EE3">
        <w:rPr>
          <w:lang w:val="pl-PL"/>
        </w:rPr>
        <w:t xml:space="preserve"> </w:t>
      </w:r>
    </w:p>
    <w:p w:rsidR="00283B3E" w:rsidRPr="00283B3E" w:rsidRDefault="00283B3E">
      <w:pPr>
        <w:rPr>
          <w:lang w:val="pl-PL"/>
        </w:rPr>
      </w:pPr>
    </w:p>
    <w:p w:rsidR="00670BD2" w:rsidRPr="0019193C" w:rsidRDefault="0033314E">
      <w:pPr>
        <w:pStyle w:val="ClinMainKeywordCode"/>
        <w:rPr>
          <w:lang w:val="pl-PL"/>
        </w:rPr>
      </w:pPr>
      <w:r w:rsidRPr="0019193C">
        <w:rPr>
          <w:lang w:val="pl-PL"/>
        </w:rPr>
        <w:t>Art.</w:t>
      </w:r>
      <w:r w:rsidR="00075C61" w:rsidRPr="0019193C">
        <w:rPr>
          <w:lang w:val="pl-PL"/>
        </w:rPr>
        <w:t xml:space="preserve"> 13</w:t>
      </w:r>
    </w:p>
    <w:p w:rsidR="00670BD2" w:rsidRPr="0019193C" w:rsidRDefault="0035068F">
      <w:pPr>
        <w:pStyle w:val="ClinKeyword"/>
        <w:rPr>
          <w:lang w:val="pl-PL"/>
        </w:rPr>
      </w:pPr>
      <w:r>
        <w:rPr>
          <w:lang w:val="pl-PL"/>
        </w:rPr>
        <w:t>Skuteczny środek odwoławczy</w:t>
      </w:r>
    </w:p>
    <w:p w:rsidR="00283B3E" w:rsidRPr="00283B3E" w:rsidRDefault="000D0621" w:rsidP="008941E5">
      <w:pPr>
        <w:jc w:val="both"/>
        <w:rPr>
          <w:lang w:val="pl-PL"/>
        </w:rPr>
      </w:pPr>
      <w:r w:rsidRPr="00283B3E">
        <w:rPr>
          <w:lang w:val="pl-PL"/>
        </w:rPr>
        <w:t xml:space="preserve">Brak </w:t>
      </w:r>
      <w:r w:rsidR="00283B3E">
        <w:rPr>
          <w:lang w:val="pl-PL"/>
        </w:rPr>
        <w:t xml:space="preserve">skutku zawieszającego środka </w:t>
      </w:r>
      <w:r>
        <w:rPr>
          <w:lang w:val="pl-PL"/>
        </w:rPr>
        <w:t xml:space="preserve">odwoławczego </w:t>
      </w:r>
      <w:r w:rsidR="00283B3E">
        <w:rPr>
          <w:lang w:val="pl-PL"/>
        </w:rPr>
        <w:t xml:space="preserve">przeciwko zarzucanemu zbiorowemu wydaleniu: </w:t>
      </w:r>
      <w:r w:rsidR="00283B3E" w:rsidRPr="00283B3E">
        <w:rPr>
          <w:i/>
          <w:lang w:val="pl-PL"/>
        </w:rPr>
        <w:t>brak naruszenia</w:t>
      </w:r>
    </w:p>
    <w:p w:rsidR="00283B3E" w:rsidRPr="004F6E68" w:rsidRDefault="00283B3E">
      <w:pPr>
        <w:pStyle w:val="ClinContent"/>
        <w:rPr>
          <w:lang w:val="pl-PL"/>
        </w:rPr>
      </w:pPr>
      <w:r w:rsidRPr="00283B3E">
        <w:rPr>
          <w:i/>
          <w:lang w:val="pl-PL"/>
        </w:rPr>
        <w:t>Fakty –</w:t>
      </w:r>
      <w:r w:rsidR="000D0621">
        <w:rPr>
          <w:i/>
          <w:lang w:val="pl-PL"/>
        </w:rPr>
        <w:t xml:space="preserve"> S</w:t>
      </w:r>
      <w:r w:rsidRPr="00283B3E">
        <w:rPr>
          <w:lang w:val="pl-PL"/>
        </w:rPr>
        <w:t>karżący</w:t>
      </w:r>
      <w:r w:rsidR="000D0621">
        <w:rPr>
          <w:lang w:val="pl-PL"/>
        </w:rPr>
        <w:t>, o</w:t>
      </w:r>
      <w:r w:rsidR="000D0621" w:rsidRPr="00283B3E">
        <w:rPr>
          <w:lang w:val="pl-PL"/>
        </w:rPr>
        <w:t xml:space="preserve">bywatele tunezyjscy, </w:t>
      </w:r>
      <w:r w:rsidRPr="00283B3E">
        <w:rPr>
          <w:lang w:val="pl-PL"/>
        </w:rPr>
        <w:t xml:space="preserve">wchodzili w skład grupy migrantów, którzy wyruszyli z Tunezji </w:t>
      </w:r>
      <w:r>
        <w:rPr>
          <w:lang w:val="pl-PL"/>
        </w:rPr>
        <w:t xml:space="preserve">drogą morską we wrześniu 2011 r., by dotrzeć do Włoch. Ich łodzie zostały zatrzymane i skontrolowane przez włoską straż nabrzeżną, która odeskortowała </w:t>
      </w:r>
      <w:r w:rsidR="000D0621">
        <w:rPr>
          <w:lang w:val="pl-PL"/>
        </w:rPr>
        <w:t xml:space="preserve">je </w:t>
      </w:r>
      <w:r>
        <w:rPr>
          <w:lang w:val="pl-PL"/>
        </w:rPr>
        <w:t xml:space="preserve">do portu na wyspie Lampedusa, gdzie umieszczono </w:t>
      </w:r>
      <w:r w:rsidR="000D0621">
        <w:rPr>
          <w:lang w:val="pl-PL"/>
        </w:rPr>
        <w:t xml:space="preserve">skarżących </w:t>
      </w:r>
      <w:r>
        <w:rPr>
          <w:lang w:val="pl-PL"/>
        </w:rPr>
        <w:t xml:space="preserve">w </w:t>
      </w:r>
      <w:r w:rsidR="0021274F">
        <w:rPr>
          <w:lang w:val="pl-PL"/>
        </w:rPr>
        <w:t xml:space="preserve">ośrodku recepcyjnym </w:t>
      </w:r>
      <w:r>
        <w:rPr>
          <w:lang w:val="pl-PL"/>
        </w:rPr>
        <w:t xml:space="preserve">pierwszego przyjęcia (CSPA). W </w:t>
      </w:r>
      <w:r w:rsidR="0021274F">
        <w:rPr>
          <w:lang w:val="pl-PL"/>
        </w:rPr>
        <w:t>ośrodku</w:t>
      </w:r>
      <w:r w:rsidR="000D0621">
        <w:rPr>
          <w:lang w:val="pl-PL"/>
        </w:rPr>
        <w:t xml:space="preserve"> tym wybuchł </w:t>
      </w:r>
      <w:r w:rsidR="007208E4">
        <w:rPr>
          <w:lang w:val="pl-PL"/>
        </w:rPr>
        <w:t xml:space="preserve">bunt </w:t>
      </w:r>
      <w:r w:rsidR="000D0621">
        <w:rPr>
          <w:lang w:val="pl-PL"/>
        </w:rPr>
        <w:t>i</w:t>
      </w:r>
      <w:r w:rsidR="00DA2BC0">
        <w:rPr>
          <w:lang w:val="pl-PL"/>
        </w:rPr>
        <w:t xml:space="preserve"> został on zniszczony</w:t>
      </w:r>
      <w:r>
        <w:rPr>
          <w:lang w:val="pl-PL"/>
        </w:rPr>
        <w:t xml:space="preserve"> przez pożar. </w:t>
      </w:r>
      <w:r w:rsidR="00FD0D58">
        <w:rPr>
          <w:lang w:val="pl-PL"/>
        </w:rPr>
        <w:t xml:space="preserve">Skarżących przeniesiono na dwa statki w porcie w Palermo. </w:t>
      </w:r>
      <w:r>
        <w:rPr>
          <w:lang w:val="pl-PL"/>
        </w:rPr>
        <w:t>Wobec każdego z nich wydano de</w:t>
      </w:r>
      <w:r w:rsidR="007208E4">
        <w:rPr>
          <w:lang w:val="pl-PL"/>
        </w:rPr>
        <w:t>cyzje</w:t>
      </w:r>
      <w:r>
        <w:rPr>
          <w:lang w:val="pl-PL"/>
        </w:rPr>
        <w:t xml:space="preserve"> o odesłaniu. </w:t>
      </w:r>
      <w:r w:rsidR="00FD0D58">
        <w:rPr>
          <w:lang w:val="pl-PL"/>
        </w:rPr>
        <w:t xml:space="preserve">Przed wsadzeniem ich do samolotu zostali przyjęci przez konsula tunezyjskiego, który zarejestrował ich stan cywilny. Po przybyciu do Tunezji zostali uwolnieni. Od początku do końca, </w:t>
      </w:r>
      <w:r w:rsidR="007208E4">
        <w:rPr>
          <w:lang w:val="pl-PL"/>
        </w:rPr>
        <w:t xml:space="preserve">wydarzenia </w:t>
      </w:r>
      <w:r w:rsidR="00FD0D58">
        <w:rPr>
          <w:lang w:val="pl-PL"/>
        </w:rPr>
        <w:t xml:space="preserve">te rozegrały się w przeciągu </w:t>
      </w:r>
      <w:r w:rsidR="007208E4">
        <w:rPr>
          <w:lang w:val="pl-PL"/>
        </w:rPr>
        <w:t xml:space="preserve">około </w:t>
      </w:r>
      <w:r w:rsidR="00FD0D58">
        <w:rPr>
          <w:lang w:val="pl-PL"/>
        </w:rPr>
        <w:t xml:space="preserve">dwunastu dni. </w:t>
      </w:r>
      <w:r w:rsidR="00FD0D58" w:rsidRPr="004F6E68">
        <w:rPr>
          <w:lang w:val="pl-PL"/>
        </w:rPr>
        <w:t xml:space="preserve">W 2012 r. sędzia umorzył </w:t>
      </w:r>
      <w:r w:rsidR="004F6E68" w:rsidRPr="004F6E68">
        <w:rPr>
          <w:lang w:val="pl-PL"/>
        </w:rPr>
        <w:t>postępowania w sprawie skarg złożonych przez wiele stowarzyszeń z tytułu nadużycia uprawnień i arbitralnego zatrzymania.</w:t>
      </w:r>
      <w:r w:rsidR="00A32EE3">
        <w:rPr>
          <w:lang w:val="pl-PL"/>
        </w:rPr>
        <w:t xml:space="preserve"> </w:t>
      </w:r>
    </w:p>
    <w:p w:rsidR="009E20A6" w:rsidRDefault="009E20A6">
      <w:pPr>
        <w:pStyle w:val="ClinContent"/>
        <w:rPr>
          <w:lang w:val="pl-PL"/>
        </w:rPr>
      </w:pPr>
      <w:r w:rsidRPr="009E20A6">
        <w:rPr>
          <w:lang w:val="pl-PL"/>
        </w:rPr>
        <w:t xml:space="preserve">Wyrokiem z dnia 1 września 2015 r. </w:t>
      </w:r>
      <w:r>
        <w:rPr>
          <w:lang w:val="pl-PL"/>
        </w:rPr>
        <w:t xml:space="preserve">(zobacz </w:t>
      </w:r>
      <w:hyperlink r:id="rId9" w:history="1">
        <w:r w:rsidRPr="009E20A6">
          <w:rPr>
            <w:rStyle w:val="Hipercze"/>
            <w:lang w:val="pl-PL"/>
          </w:rPr>
          <w:t>Nota informacyjna nr 188</w:t>
        </w:r>
      </w:hyperlink>
      <w:r w:rsidRPr="009E20A6">
        <w:rPr>
          <w:lang w:val="pl-PL"/>
        </w:rPr>
        <w:t>)</w:t>
      </w:r>
      <w:r>
        <w:rPr>
          <w:lang w:val="pl-PL"/>
        </w:rPr>
        <w:t xml:space="preserve"> Izba Trybunału orzekła naruszenie art. 4 Protokołu nr 4 Konwencji z uwagi na brak </w:t>
      </w:r>
      <w:r w:rsidR="00EE22EF">
        <w:rPr>
          <w:lang w:val="pl-PL"/>
        </w:rPr>
        <w:t xml:space="preserve">odpowiednich </w:t>
      </w:r>
      <w:r>
        <w:rPr>
          <w:lang w:val="pl-PL"/>
        </w:rPr>
        <w:t xml:space="preserve">gwarancji </w:t>
      </w:r>
      <w:r w:rsidR="00EE22EF">
        <w:rPr>
          <w:lang w:val="pl-PL"/>
        </w:rPr>
        <w:t>rzeczywistego</w:t>
      </w:r>
      <w:r>
        <w:rPr>
          <w:lang w:val="pl-PL"/>
        </w:rPr>
        <w:t xml:space="preserve"> i </w:t>
      </w:r>
      <w:r w:rsidR="00EE22EF">
        <w:rPr>
          <w:lang w:val="pl-PL"/>
        </w:rPr>
        <w:t xml:space="preserve">szczegółowego </w:t>
      </w:r>
      <w:r w:rsidR="00561C9F">
        <w:rPr>
          <w:lang w:val="pl-PL"/>
        </w:rPr>
        <w:t>uwzględnienia</w:t>
      </w:r>
      <w:r w:rsidR="00EE22EF">
        <w:rPr>
          <w:lang w:val="pl-PL"/>
        </w:rPr>
        <w:t xml:space="preserve"> </w:t>
      </w:r>
      <w:r>
        <w:rPr>
          <w:lang w:val="pl-PL"/>
        </w:rPr>
        <w:t>sytuacji indywidualnej</w:t>
      </w:r>
      <w:r w:rsidR="000D0621">
        <w:rPr>
          <w:lang w:val="pl-PL"/>
        </w:rPr>
        <w:t xml:space="preserve"> każdej z zainteresowanych osób;</w:t>
      </w:r>
      <w:r>
        <w:rPr>
          <w:lang w:val="pl-PL"/>
        </w:rPr>
        <w:t xml:space="preserve"> naruszenie art. 13 Konwencji z uwagi na brak skutku zawieszającego środków odwoławczych mających zastosowanie; naruszenie art. 5 ust. 1 z uwagi na brak podstaw prawnych pozbawienia wolności skarżących, </w:t>
      </w:r>
      <w:r w:rsidR="000D0621">
        <w:rPr>
          <w:lang w:val="pl-PL"/>
        </w:rPr>
        <w:t xml:space="preserve">jak również </w:t>
      </w:r>
      <w:r>
        <w:rPr>
          <w:lang w:val="pl-PL"/>
        </w:rPr>
        <w:t>art. 5 ust.</w:t>
      </w:r>
      <w:r w:rsidR="00A32EE3">
        <w:rPr>
          <w:lang w:val="pl-PL"/>
        </w:rPr>
        <w:t xml:space="preserve"> </w:t>
      </w:r>
      <w:r>
        <w:rPr>
          <w:lang w:val="pl-PL"/>
        </w:rPr>
        <w:t>2 i art. 5 ust. 4; naruszeni</w:t>
      </w:r>
      <w:r w:rsidR="007208E4">
        <w:rPr>
          <w:lang w:val="pl-PL"/>
        </w:rPr>
        <w:t>e</w:t>
      </w:r>
      <w:r>
        <w:rPr>
          <w:lang w:val="pl-PL"/>
        </w:rPr>
        <w:t xml:space="preserve"> i brak naruszenia art. 3 </w:t>
      </w:r>
      <w:r w:rsidR="007208E4">
        <w:rPr>
          <w:lang w:val="pl-PL"/>
        </w:rPr>
        <w:t xml:space="preserve">w odniesieniu do, </w:t>
      </w:r>
      <w:r>
        <w:rPr>
          <w:lang w:val="pl-PL"/>
        </w:rPr>
        <w:t>odpowiednio</w:t>
      </w:r>
      <w:r w:rsidR="007208E4">
        <w:rPr>
          <w:lang w:val="pl-PL"/>
        </w:rPr>
        <w:t>,</w:t>
      </w:r>
      <w:r>
        <w:rPr>
          <w:lang w:val="pl-PL"/>
        </w:rPr>
        <w:t xml:space="preserve"> warunków zatrzymania w </w:t>
      </w:r>
      <w:r w:rsidR="0021274F">
        <w:rPr>
          <w:lang w:val="pl-PL"/>
        </w:rPr>
        <w:t>ośrodku</w:t>
      </w:r>
      <w:r w:rsidR="000D0621">
        <w:rPr>
          <w:lang w:val="pl-PL"/>
        </w:rPr>
        <w:t xml:space="preserve"> recepcyjnym i następnie na dwóch statkach</w:t>
      </w:r>
      <w:r w:rsidR="007208E4">
        <w:rPr>
          <w:lang w:val="pl-PL"/>
        </w:rPr>
        <w:t>, a także</w:t>
      </w:r>
      <w:r>
        <w:rPr>
          <w:lang w:val="pl-PL"/>
        </w:rPr>
        <w:t xml:space="preserve"> naruszenie art. 13 z uwagi na brak środka odwoławczego w tym względzie. </w:t>
      </w:r>
    </w:p>
    <w:p w:rsidR="009E20A6" w:rsidRPr="009E20A6" w:rsidRDefault="009E20A6">
      <w:pPr>
        <w:pStyle w:val="ClinContent"/>
        <w:rPr>
          <w:lang w:val="pl-PL"/>
        </w:rPr>
      </w:pPr>
      <w:r w:rsidRPr="009E20A6">
        <w:rPr>
          <w:lang w:val="pl-PL"/>
        </w:rPr>
        <w:lastRenderedPageBreak/>
        <w:t>W dniu 1 lutego 2016 r. sprawa została przekazana do Wielkiej Izby na wniosek rządu.</w:t>
      </w:r>
    </w:p>
    <w:p w:rsidR="00670BD2" w:rsidRPr="0019193C" w:rsidRDefault="009E20A6">
      <w:pPr>
        <w:pStyle w:val="ClinContent"/>
        <w:rPr>
          <w:lang w:val="pl-PL"/>
        </w:rPr>
      </w:pPr>
      <w:r w:rsidRPr="0019193C">
        <w:rPr>
          <w:i/>
          <w:lang w:val="pl-PL"/>
        </w:rPr>
        <w:t>Prawo</w:t>
      </w:r>
    </w:p>
    <w:p w:rsidR="009E20A6" w:rsidRPr="009E20A6" w:rsidRDefault="009E20A6">
      <w:pPr>
        <w:pStyle w:val="ClinContent"/>
        <w:rPr>
          <w:lang w:val="pl-PL"/>
        </w:rPr>
      </w:pPr>
      <w:r w:rsidRPr="009E20A6">
        <w:rPr>
          <w:lang w:val="pl-PL"/>
        </w:rPr>
        <w:t xml:space="preserve">Art. 4 Protokołu nr 4 : Art. 4 Protokołu nr 4 nie gwarantuje w każdych okolicznościach </w:t>
      </w:r>
      <w:r w:rsidR="00B620E5">
        <w:rPr>
          <w:lang w:val="pl-PL"/>
        </w:rPr>
        <w:t xml:space="preserve">prawa do </w:t>
      </w:r>
      <w:r>
        <w:rPr>
          <w:lang w:val="pl-PL"/>
        </w:rPr>
        <w:t xml:space="preserve">przeprowadzenia </w:t>
      </w:r>
      <w:r w:rsidRPr="009E20A6">
        <w:rPr>
          <w:lang w:val="pl-PL"/>
        </w:rPr>
        <w:t xml:space="preserve">indywidualnego </w:t>
      </w:r>
      <w:r>
        <w:rPr>
          <w:lang w:val="pl-PL"/>
        </w:rPr>
        <w:t xml:space="preserve">wywiadu: jego wymogi mogą być w istocie spełnione, jeśli każdy cudzoziemiec ma rzeczywistą i skuteczną możliwość podniesienia argumentów sprzeciwiających się jego wydaleniu, i są one zbadane w odpowiedni sposób przez władze pozwanego Państwa. </w:t>
      </w:r>
    </w:p>
    <w:p w:rsidR="009E20A6" w:rsidRPr="009E20A6" w:rsidRDefault="009E20A6">
      <w:pPr>
        <w:pStyle w:val="ClinContent"/>
        <w:rPr>
          <w:lang w:val="pl-PL"/>
        </w:rPr>
      </w:pPr>
      <w:r w:rsidRPr="009E20A6">
        <w:rPr>
          <w:lang w:val="pl-PL"/>
        </w:rPr>
        <w:t xml:space="preserve">W obecnej sprawie, skarżący, którzy z uwagi na sposób ich przybycia </w:t>
      </w:r>
      <w:r w:rsidR="00B620E5">
        <w:rPr>
          <w:lang w:val="pl-PL"/>
        </w:rPr>
        <w:t xml:space="preserve">na wybrzeże </w:t>
      </w:r>
      <w:r w:rsidRPr="009E20A6">
        <w:rPr>
          <w:lang w:val="pl-PL"/>
        </w:rPr>
        <w:t xml:space="preserve">Włoch, mogli w sposób rozsądny oczekiwać, że zostaną odesłani do Tunezji, pozostali na terytorium włoskim od dziewięciu do dwunastu dni. </w:t>
      </w:r>
      <w:r>
        <w:rPr>
          <w:lang w:val="pl-PL"/>
        </w:rPr>
        <w:t>Nawet uwzględniając obiektywne trudności, które mogli napotkać w CSPA lub na pok</w:t>
      </w:r>
      <w:r w:rsidR="00B620E5">
        <w:rPr>
          <w:lang w:val="pl-PL"/>
        </w:rPr>
        <w:t>ładzie statków, ten znaczący okres czasu</w:t>
      </w:r>
      <w:r>
        <w:rPr>
          <w:lang w:val="pl-PL"/>
        </w:rPr>
        <w:t xml:space="preserve"> dawał im możliwość zwrócenia uwagi władz krajowych na wszelkie okoliczności, które mogły wpływać na ich status i prawo pobytu we Włoszech.</w:t>
      </w:r>
      <w:r w:rsidR="00A32EE3">
        <w:rPr>
          <w:lang w:val="pl-PL"/>
        </w:rPr>
        <w:t xml:space="preserve"> </w:t>
      </w:r>
    </w:p>
    <w:p w:rsidR="009E20A6" w:rsidRPr="009E20A6" w:rsidRDefault="009E20A6">
      <w:pPr>
        <w:pStyle w:val="ClinContent"/>
        <w:rPr>
          <w:lang w:val="pl-PL"/>
        </w:rPr>
      </w:pPr>
      <w:r w:rsidRPr="009E20A6">
        <w:rPr>
          <w:lang w:val="pl-PL"/>
        </w:rPr>
        <w:t>Po pierwsze, przeprowadzono dwukrotnie identyfikację skarżących :</w:t>
      </w:r>
    </w:p>
    <w:p w:rsidR="009E20A6" w:rsidRPr="009E20A6" w:rsidRDefault="009E20A6" w:rsidP="009E20A6">
      <w:pPr>
        <w:pStyle w:val="ClinContent"/>
        <w:rPr>
          <w:lang w:val="pl-PL"/>
        </w:rPr>
      </w:pPr>
      <w:r w:rsidRPr="009E20A6">
        <w:rPr>
          <w:lang w:val="pl-PL"/>
        </w:rPr>
        <w:t>–</w:t>
      </w:r>
      <w:r w:rsidR="00A32EE3">
        <w:rPr>
          <w:lang w:val="pl-PL"/>
        </w:rPr>
        <w:t xml:space="preserve"> </w:t>
      </w:r>
      <w:r w:rsidRPr="009E20A6">
        <w:rPr>
          <w:lang w:val="pl-PL"/>
        </w:rPr>
        <w:t>Pierwsza identyfikacja miała miejsce po przybyciu skarżących do CSPA poprzez zrobienie zdjęć i pobranie odcisków palc</w:t>
      </w:r>
      <w:r>
        <w:rPr>
          <w:lang w:val="pl-PL"/>
        </w:rPr>
        <w:t>ów</w:t>
      </w:r>
      <w:r w:rsidR="000D0621">
        <w:rPr>
          <w:lang w:val="pl-PL"/>
        </w:rPr>
        <w:t xml:space="preserve"> – </w:t>
      </w:r>
      <w:r w:rsidRPr="009E20A6">
        <w:rPr>
          <w:lang w:val="pl-PL"/>
        </w:rPr>
        <w:t xml:space="preserve">według rządu. </w:t>
      </w:r>
      <w:r w:rsidR="000D0621">
        <w:rPr>
          <w:lang w:val="pl-PL"/>
        </w:rPr>
        <w:t>Choć prawdą jest, że</w:t>
      </w:r>
      <w:r>
        <w:rPr>
          <w:lang w:val="pl-PL"/>
        </w:rPr>
        <w:t xml:space="preserve"> rząd nie </w:t>
      </w:r>
      <w:r w:rsidR="000D0621">
        <w:rPr>
          <w:lang w:val="pl-PL"/>
        </w:rPr>
        <w:t>był</w:t>
      </w:r>
      <w:r>
        <w:rPr>
          <w:lang w:val="pl-PL"/>
        </w:rPr>
        <w:t xml:space="preserve"> w stanie przedstawić indywidualnej karty skarżących, </w:t>
      </w:r>
      <w:r w:rsidR="000D0621">
        <w:rPr>
          <w:lang w:val="pl-PL"/>
        </w:rPr>
        <w:t xml:space="preserve">było </w:t>
      </w:r>
      <w:r>
        <w:rPr>
          <w:lang w:val="pl-PL"/>
        </w:rPr>
        <w:t xml:space="preserve">to uzasadnione w sposób wiarygodny przez fakt, że ogień strawił CSPA. W odniesieniu zaś do zarzucanych trudności w komunikacji i wzajemnym zrozumieniu między migrantami a władzami włoskimi, </w:t>
      </w:r>
      <w:r w:rsidR="00E85FFE">
        <w:rPr>
          <w:lang w:val="pl-PL"/>
        </w:rPr>
        <w:t xml:space="preserve">można rozsądnie sądzić, że zostały one złagodzone </w:t>
      </w:r>
      <w:r w:rsidR="000D0621">
        <w:rPr>
          <w:lang w:val="pl-PL"/>
        </w:rPr>
        <w:t xml:space="preserve">przez </w:t>
      </w:r>
      <w:r w:rsidR="00E85FFE">
        <w:rPr>
          <w:lang w:val="pl-PL"/>
        </w:rPr>
        <w:t>niekwestionowaną obecność w CSPA około stu pracowników społecznych, którym towarzyszyli asystenci społeczni, psycholodzy oraz około ośmiu tłumaczy i mediatorów kulturowych.</w:t>
      </w:r>
      <w:r w:rsidR="00A32EE3">
        <w:rPr>
          <w:lang w:val="pl-PL"/>
        </w:rPr>
        <w:t xml:space="preserve"> </w:t>
      </w:r>
    </w:p>
    <w:p w:rsidR="00E85FFE" w:rsidRPr="00E85FFE" w:rsidRDefault="00E85FFE">
      <w:pPr>
        <w:pStyle w:val="ClinContent"/>
        <w:rPr>
          <w:lang w:val="pl-PL"/>
        </w:rPr>
      </w:pPr>
      <w:r w:rsidRPr="009E20A6">
        <w:rPr>
          <w:lang w:val="pl-PL"/>
        </w:rPr>
        <w:t>–</w:t>
      </w:r>
      <w:r w:rsidR="00A32EE3">
        <w:rPr>
          <w:lang w:val="pl-PL"/>
        </w:rPr>
        <w:t xml:space="preserve"> </w:t>
      </w:r>
      <w:r>
        <w:rPr>
          <w:lang w:val="pl-PL"/>
        </w:rPr>
        <w:t xml:space="preserve">Druga </w:t>
      </w:r>
      <w:r w:rsidRPr="009E20A6">
        <w:rPr>
          <w:lang w:val="pl-PL"/>
        </w:rPr>
        <w:t>identyfikacja miała miejsce</w:t>
      </w:r>
      <w:r>
        <w:rPr>
          <w:lang w:val="pl-PL"/>
        </w:rPr>
        <w:t xml:space="preserve"> przed wejściem skarżących do samolotu lecącego do Tunisu: skarżący zostali przyjęci przez konsula Tunezji, który zarejestrował ich stan cywilny. Choć miało to miejsce przed przedstawicielem Państwa trzeciego, ta ostatnia kontrola umożliwiła potwierdzenie obywatelstwa migrantów i dawała ostatnią szansę na podniesienie przeszkód dla wydalenia takich jak wiek lub obywatelstwo (co zdołali zrobić niektórzy z migrantów). </w:t>
      </w:r>
    </w:p>
    <w:p w:rsidR="00E85FFE" w:rsidRPr="00E85FFE" w:rsidRDefault="00E85FFE">
      <w:pPr>
        <w:pStyle w:val="ClinContent"/>
        <w:rPr>
          <w:lang w:val="pl-PL"/>
        </w:rPr>
      </w:pPr>
      <w:r w:rsidRPr="00E85FFE">
        <w:rPr>
          <w:lang w:val="pl-PL"/>
        </w:rPr>
        <w:t xml:space="preserve">Po drugie, </w:t>
      </w:r>
      <w:r w:rsidR="00B620E5" w:rsidRPr="00B620E5">
        <w:rPr>
          <w:lang w:val="pl-PL"/>
        </w:rPr>
        <w:t xml:space="preserve">wprawdzie decyzje o </w:t>
      </w:r>
      <w:r w:rsidR="00B620E5">
        <w:rPr>
          <w:lang w:val="pl-PL"/>
        </w:rPr>
        <w:t xml:space="preserve">odesłaniu </w:t>
      </w:r>
      <w:r w:rsidR="00B620E5" w:rsidRPr="00B620E5">
        <w:rPr>
          <w:lang w:val="pl-PL"/>
        </w:rPr>
        <w:t xml:space="preserve">zostały zredagowane w sposób podobny, różniąc się jedynie danymi osobowymi poszczególnych migrantów, jednak dość prosty i standardowy charakter decyzji o </w:t>
      </w:r>
      <w:r>
        <w:rPr>
          <w:lang w:val="pl-PL"/>
        </w:rPr>
        <w:t>odesłaniu można wyjaśnić faktem, że skarżący nie posiadali żadnego ważnego dokumentu podróży i nie zgłaszali ani obaw co do złego traktowania w razie odesłania</w:t>
      </w:r>
      <w:r w:rsidR="000D0621">
        <w:rPr>
          <w:lang w:val="pl-PL"/>
        </w:rPr>
        <w:t>,</w:t>
      </w:r>
      <w:r>
        <w:rPr>
          <w:lang w:val="pl-PL"/>
        </w:rPr>
        <w:t xml:space="preserve"> ani innych przeszkód prawnych </w:t>
      </w:r>
      <w:r w:rsidR="00FD3DC3">
        <w:rPr>
          <w:lang w:val="pl-PL"/>
        </w:rPr>
        <w:t>wobec</w:t>
      </w:r>
      <w:r>
        <w:rPr>
          <w:lang w:val="pl-PL"/>
        </w:rPr>
        <w:t xml:space="preserve"> ich wydalenia. Nie jest więc samo w sobie nierozsądne, że de</w:t>
      </w:r>
      <w:r w:rsidR="00B620E5">
        <w:rPr>
          <w:lang w:val="pl-PL"/>
        </w:rPr>
        <w:t>cyzje</w:t>
      </w:r>
      <w:r>
        <w:rPr>
          <w:lang w:val="pl-PL"/>
        </w:rPr>
        <w:t xml:space="preserve"> te były uzasadnione jedynie obywatelstwem zainteresowanych, stwierdzeniem, że nielegalnie przekroczyli granicę włoską i brak</w:t>
      </w:r>
      <w:r w:rsidR="00FC6A24">
        <w:rPr>
          <w:lang w:val="pl-PL"/>
        </w:rPr>
        <w:t>iem</w:t>
      </w:r>
      <w:r>
        <w:rPr>
          <w:lang w:val="pl-PL"/>
        </w:rPr>
        <w:t xml:space="preserve"> s</w:t>
      </w:r>
      <w:r w:rsidR="00C01308">
        <w:rPr>
          <w:lang w:val="pl-PL"/>
        </w:rPr>
        <w:t>zczególnych</w:t>
      </w:r>
      <w:r>
        <w:rPr>
          <w:lang w:val="pl-PL"/>
        </w:rPr>
        <w:t xml:space="preserve"> przypadków </w:t>
      </w:r>
      <w:r w:rsidR="00C01308">
        <w:rPr>
          <w:lang w:val="pl-PL"/>
        </w:rPr>
        <w:t>przewidzianych przez prawo (a mianowicie, azylu polityczn</w:t>
      </w:r>
      <w:r w:rsidR="000D0621">
        <w:rPr>
          <w:lang w:val="pl-PL"/>
        </w:rPr>
        <w:t>ego</w:t>
      </w:r>
      <w:r w:rsidR="00C01308">
        <w:rPr>
          <w:lang w:val="pl-PL"/>
        </w:rPr>
        <w:t>, przyznania statusu uchodźcy lub przyjęcia środków ochrony tymczasowej z powodów humanitarnych).</w:t>
      </w:r>
    </w:p>
    <w:p w:rsidR="00C01308" w:rsidRPr="00C01308" w:rsidRDefault="00C01308" w:rsidP="00C01308">
      <w:pPr>
        <w:pStyle w:val="ClinContent"/>
        <w:rPr>
          <w:lang w:val="pl-PL"/>
        </w:rPr>
      </w:pPr>
      <w:r w:rsidRPr="00C01308">
        <w:rPr>
          <w:lang w:val="pl-PL"/>
        </w:rPr>
        <w:t xml:space="preserve">Po trzecie, </w:t>
      </w:r>
      <w:r>
        <w:rPr>
          <w:lang w:val="pl-PL"/>
        </w:rPr>
        <w:t xml:space="preserve">nie </w:t>
      </w:r>
      <w:r w:rsidR="001D33DA">
        <w:rPr>
          <w:lang w:val="pl-PL"/>
        </w:rPr>
        <w:t>był</w:t>
      </w:r>
      <w:r>
        <w:rPr>
          <w:lang w:val="pl-PL"/>
        </w:rPr>
        <w:t xml:space="preserve"> rozstrzygający również fakt, że </w:t>
      </w:r>
      <w:r w:rsidR="00E07900" w:rsidRPr="00E07900">
        <w:rPr>
          <w:lang w:val="pl-PL"/>
        </w:rPr>
        <w:t>w czasie tego wydarzenia wydalono wielk</w:t>
      </w:r>
      <w:r w:rsidR="006570C1">
        <w:rPr>
          <w:lang w:val="pl-PL"/>
        </w:rPr>
        <w:t>ą liczb</w:t>
      </w:r>
      <w:r w:rsidR="00E07900" w:rsidRPr="00E07900">
        <w:rPr>
          <w:lang w:val="pl-PL"/>
        </w:rPr>
        <w:t>ę migrantów tunezyjskic</w:t>
      </w:r>
      <w:r w:rsidR="00E07900">
        <w:rPr>
          <w:lang w:val="pl-PL"/>
        </w:rPr>
        <w:t>h</w:t>
      </w:r>
      <w:r>
        <w:rPr>
          <w:lang w:val="pl-PL"/>
        </w:rPr>
        <w:t>, lub że trzech skarżących zostało odesłanych jednocześnie. T</w:t>
      </w:r>
      <w:r w:rsidR="006570C1">
        <w:rPr>
          <w:lang w:val="pl-PL"/>
        </w:rPr>
        <w:t>ę równoczesność można</w:t>
      </w:r>
      <w:r>
        <w:rPr>
          <w:lang w:val="pl-PL"/>
        </w:rPr>
        <w:t xml:space="preserve"> w istocie tłumaczyć </w:t>
      </w:r>
      <w:r w:rsidR="00F54DB1">
        <w:rPr>
          <w:lang w:val="pl-PL"/>
        </w:rPr>
        <w:t>jako skutek</w:t>
      </w:r>
      <w:r>
        <w:rPr>
          <w:lang w:val="pl-PL"/>
        </w:rPr>
        <w:t xml:space="preserve"> wydania serii indywidualnych decyzji o odesłaniu. Te względy w sposób wystarczający odróżniają obecną sprawę od spraw </w:t>
      </w:r>
      <w:r w:rsidRPr="00C01308">
        <w:rPr>
          <w:i/>
          <w:lang w:val="pl-PL"/>
        </w:rPr>
        <w:t xml:space="preserve">Čonka </w:t>
      </w:r>
      <w:r>
        <w:rPr>
          <w:i/>
          <w:lang w:val="pl-PL"/>
        </w:rPr>
        <w:t>p</w:t>
      </w:r>
      <w:r w:rsidRPr="00C01308">
        <w:rPr>
          <w:i/>
          <w:lang w:val="pl-PL"/>
        </w:rPr>
        <w:t>. Belgi</w:t>
      </w:r>
      <w:r>
        <w:rPr>
          <w:i/>
          <w:lang w:val="pl-PL"/>
        </w:rPr>
        <w:t xml:space="preserve">i </w:t>
      </w:r>
      <w:r w:rsidRPr="00C01308">
        <w:rPr>
          <w:lang w:val="pl-PL"/>
        </w:rPr>
        <w:t>(</w:t>
      </w:r>
      <w:r>
        <w:rPr>
          <w:lang w:val="pl-PL"/>
        </w:rPr>
        <w:t xml:space="preserve">skarga nr </w:t>
      </w:r>
      <w:r w:rsidRPr="00C01308">
        <w:rPr>
          <w:lang w:val="pl-PL"/>
        </w:rPr>
        <w:t>51564/99, 5 </w:t>
      </w:r>
      <w:r>
        <w:rPr>
          <w:lang w:val="pl-PL"/>
        </w:rPr>
        <w:t xml:space="preserve">lutego </w:t>
      </w:r>
      <w:r w:rsidRPr="00C01308">
        <w:rPr>
          <w:lang w:val="pl-PL"/>
        </w:rPr>
        <w:t>2002</w:t>
      </w:r>
      <w:r>
        <w:rPr>
          <w:lang w:val="pl-PL"/>
        </w:rPr>
        <w:t xml:space="preserve"> r.</w:t>
      </w:r>
      <w:r w:rsidRPr="00C01308">
        <w:rPr>
          <w:lang w:val="pl-PL"/>
        </w:rPr>
        <w:t xml:space="preserve">, </w:t>
      </w:r>
      <w:hyperlink r:id="rId10" w:history="1">
        <w:r w:rsidRPr="00C01308">
          <w:rPr>
            <w:rStyle w:val="Hipercze"/>
            <w:lang w:val="pl-PL"/>
          </w:rPr>
          <w:t>Nota informacyjna nr</w:t>
        </w:r>
        <w:r w:rsidR="00A32EE3">
          <w:rPr>
            <w:rStyle w:val="Hipercze"/>
            <w:lang w:val="pl-PL"/>
          </w:rPr>
          <w:t xml:space="preserve"> </w:t>
        </w:r>
        <w:r w:rsidRPr="00C01308">
          <w:rPr>
            <w:rStyle w:val="Hipercze"/>
            <w:lang w:val="pl-PL"/>
          </w:rPr>
          <w:t>39</w:t>
        </w:r>
      </w:hyperlink>
      <w:r w:rsidRPr="00C01308">
        <w:rPr>
          <w:lang w:val="pl-PL"/>
        </w:rPr>
        <w:t xml:space="preserve">), </w:t>
      </w:r>
      <w:r w:rsidRPr="00C01308">
        <w:rPr>
          <w:i/>
          <w:lang w:val="pl-PL"/>
        </w:rPr>
        <w:t xml:space="preserve">Hirsi Jamaa </w:t>
      </w:r>
      <w:r>
        <w:rPr>
          <w:i/>
          <w:lang w:val="pl-PL"/>
        </w:rPr>
        <w:t>i Inni p</w:t>
      </w:r>
      <w:r w:rsidRPr="00C01308">
        <w:rPr>
          <w:i/>
          <w:lang w:val="pl-PL"/>
        </w:rPr>
        <w:t>.</w:t>
      </w:r>
      <w:r>
        <w:rPr>
          <w:i/>
          <w:lang w:val="pl-PL"/>
        </w:rPr>
        <w:t xml:space="preserve"> Włochom</w:t>
      </w:r>
      <w:r w:rsidRPr="00C01308">
        <w:rPr>
          <w:lang w:val="pl-PL"/>
        </w:rPr>
        <w:t xml:space="preserve"> (</w:t>
      </w:r>
      <w:r>
        <w:rPr>
          <w:lang w:val="pl-PL"/>
        </w:rPr>
        <w:t xml:space="preserve">skarga nr </w:t>
      </w:r>
      <w:r w:rsidRPr="00C01308">
        <w:rPr>
          <w:lang w:val="pl-PL"/>
        </w:rPr>
        <w:t>27765/09, 23 </w:t>
      </w:r>
      <w:r>
        <w:rPr>
          <w:lang w:val="pl-PL"/>
        </w:rPr>
        <w:t>lutego</w:t>
      </w:r>
      <w:r w:rsidRPr="00C01308">
        <w:rPr>
          <w:lang w:val="pl-PL"/>
        </w:rPr>
        <w:t xml:space="preserve"> </w:t>
      </w:r>
      <w:r>
        <w:rPr>
          <w:lang w:val="pl-PL"/>
        </w:rPr>
        <w:t>2</w:t>
      </w:r>
      <w:r w:rsidRPr="00C01308">
        <w:rPr>
          <w:lang w:val="pl-PL"/>
        </w:rPr>
        <w:t>012</w:t>
      </w:r>
      <w:r>
        <w:rPr>
          <w:lang w:val="pl-PL"/>
        </w:rPr>
        <w:t xml:space="preserve"> r.</w:t>
      </w:r>
      <w:r w:rsidRPr="00C01308">
        <w:rPr>
          <w:lang w:val="pl-PL"/>
        </w:rPr>
        <w:t xml:space="preserve">, </w:t>
      </w:r>
      <w:hyperlink r:id="rId11" w:history="1">
        <w:r w:rsidRPr="00C01308">
          <w:rPr>
            <w:rStyle w:val="Hipercze"/>
            <w:lang w:val="pl-PL"/>
          </w:rPr>
          <w:t>Nota informacyjna nr</w:t>
        </w:r>
        <w:r w:rsidR="00A32EE3">
          <w:rPr>
            <w:rStyle w:val="Hipercze"/>
            <w:lang w:val="pl-PL"/>
          </w:rPr>
          <w:t xml:space="preserve"> </w:t>
        </w:r>
        <w:r w:rsidRPr="00C01308">
          <w:rPr>
            <w:rStyle w:val="Hipercze"/>
            <w:lang w:val="pl-PL"/>
          </w:rPr>
          <w:t>149</w:t>
        </w:r>
      </w:hyperlink>
      <w:r w:rsidRPr="00C01308">
        <w:rPr>
          <w:lang w:val="pl-PL"/>
        </w:rPr>
        <w:t xml:space="preserve">), </w:t>
      </w:r>
      <w:r w:rsidRPr="00C01308">
        <w:rPr>
          <w:i/>
          <w:lang w:val="pl-PL"/>
        </w:rPr>
        <w:t>G</w:t>
      </w:r>
      <w:r>
        <w:rPr>
          <w:i/>
          <w:lang w:val="pl-PL"/>
        </w:rPr>
        <w:t>ruzja p. Rosji</w:t>
      </w:r>
      <w:r w:rsidRPr="00C01308">
        <w:rPr>
          <w:i/>
          <w:lang w:val="pl-PL"/>
        </w:rPr>
        <w:t> (I)</w:t>
      </w:r>
      <w:r w:rsidRPr="00C01308">
        <w:rPr>
          <w:lang w:val="pl-PL"/>
        </w:rPr>
        <w:t xml:space="preserve"> [</w:t>
      </w:r>
      <w:r>
        <w:rPr>
          <w:lang w:val="pl-PL"/>
        </w:rPr>
        <w:t>Wielka Izba</w:t>
      </w:r>
      <w:r w:rsidRPr="00C01308">
        <w:rPr>
          <w:lang w:val="pl-PL"/>
        </w:rPr>
        <w:t>] (</w:t>
      </w:r>
      <w:r>
        <w:rPr>
          <w:lang w:val="pl-PL"/>
        </w:rPr>
        <w:t xml:space="preserve">skarga nr </w:t>
      </w:r>
      <w:r w:rsidRPr="00C01308">
        <w:rPr>
          <w:lang w:val="pl-PL"/>
        </w:rPr>
        <w:t>13255/07, 3 </w:t>
      </w:r>
      <w:r>
        <w:rPr>
          <w:lang w:val="pl-PL"/>
        </w:rPr>
        <w:t xml:space="preserve">lipca </w:t>
      </w:r>
      <w:r w:rsidRPr="00C01308">
        <w:rPr>
          <w:lang w:val="pl-PL"/>
        </w:rPr>
        <w:t>2014</w:t>
      </w:r>
      <w:r>
        <w:rPr>
          <w:lang w:val="pl-PL"/>
        </w:rPr>
        <w:t xml:space="preserve"> r.</w:t>
      </w:r>
      <w:r w:rsidRPr="00C01308">
        <w:rPr>
          <w:lang w:val="pl-PL"/>
        </w:rPr>
        <w:t xml:space="preserve">, </w:t>
      </w:r>
      <w:hyperlink r:id="rId12" w:history="1">
        <w:r w:rsidRPr="00C01308">
          <w:rPr>
            <w:rStyle w:val="Hipercze"/>
            <w:lang w:val="pl-PL"/>
          </w:rPr>
          <w:t>Nota informacyjna nr</w:t>
        </w:r>
        <w:r w:rsidR="00A32EE3">
          <w:rPr>
            <w:rStyle w:val="Hipercze"/>
            <w:lang w:val="pl-PL"/>
          </w:rPr>
          <w:t xml:space="preserve"> </w:t>
        </w:r>
        <w:r w:rsidRPr="00C01308">
          <w:rPr>
            <w:rStyle w:val="Hipercze"/>
            <w:lang w:val="pl-PL"/>
          </w:rPr>
          <w:t>176</w:t>
        </w:r>
      </w:hyperlink>
      <w:r w:rsidRPr="00C01308">
        <w:rPr>
          <w:lang w:val="pl-PL"/>
        </w:rPr>
        <w:t xml:space="preserve">) </w:t>
      </w:r>
      <w:r>
        <w:rPr>
          <w:lang w:val="pl-PL"/>
        </w:rPr>
        <w:t xml:space="preserve">oraz </w:t>
      </w:r>
      <w:r w:rsidRPr="00C01308">
        <w:rPr>
          <w:i/>
          <w:lang w:val="pl-PL"/>
        </w:rPr>
        <w:t xml:space="preserve">Sharifi </w:t>
      </w:r>
      <w:r>
        <w:rPr>
          <w:i/>
          <w:lang w:val="pl-PL"/>
        </w:rPr>
        <w:t xml:space="preserve">i Inni p. Włochom i Grecji </w:t>
      </w:r>
      <w:r w:rsidRPr="00C01308">
        <w:rPr>
          <w:lang w:val="pl-PL"/>
        </w:rPr>
        <w:t>(</w:t>
      </w:r>
      <w:r>
        <w:rPr>
          <w:lang w:val="pl-PL"/>
        </w:rPr>
        <w:t xml:space="preserve">skarga nr </w:t>
      </w:r>
      <w:r w:rsidRPr="00C01308">
        <w:rPr>
          <w:lang w:val="pl-PL"/>
        </w:rPr>
        <w:t>16643/09, 21</w:t>
      </w:r>
      <w:r>
        <w:rPr>
          <w:lang w:val="pl-PL"/>
        </w:rPr>
        <w:t xml:space="preserve"> października</w:t>
      </w:r>
      <w:r w:rsidRPr="00C01308">
        <w:rPr>
          <w:lang w:val="pl-PL"/>
        </w:rPr>
        <w:t xml:space="preserve"> 2014</w:t>
      </w:r>
      <w:r>
        <w:rPr>
          <w:lang w:val="pl-PL"/>
        </w:rPr>
        <w:t xml:space="preserve"> r.</w:t>
      </w:r>
      <w:r w:rsidRPr="00C01308">
        <w:rPr>
          <w:lang w:val="pl-PL"/>
        </w:rPr>
        <w:t xml:space="preserve">, </w:t>
      </w:r>
      <w:hyperlink r:id="rId13" w:history="1">
        <w:r w:rsidRPr="00C01308">
          <w:rPr>
            <w:rStyle w:val="Hipercze"/>
            <w:lang w:val="pl-PL"/>
          </w:rPr>
          <w:t>Nota informacyjna nr</w:t>
        </w:r>
        <w:r w:rsidR="00A32EE3">
          <w:rPr>
            <w:rStyle w:val="Hipercze"/>
            <w:lang w:val="pl-PL"/>
          </w:rPr>
          <w:t xml:space="preserve"> </w:t>
        </w:r>
        <w:r w:rsidRPr="00C01308">
          <w:rPr>
            <w:rStyle w:val="Hipercze"/>
            <w:lang w:val="pl-PL"/>
          </w:rPr>
          <w:t>178</w:t>
        </w:r>
      </w:hyperlink>
      <w:r w:rsidRPr="00C01308">
        <w:rPr>
          <w:lang w:val="pl-PL"/>
        </w:rPr>
        <w:t>).</w:t>
      </w:r>
    </w:p>
    <w:p w:rsidR="00C01308" w:rsidRPr="00C01308" w:rsidRDefault="00C01308">
      <w:pPr>
        <w:pStyle w:val="ClinContent"/>
        <w:rPr>
          <w:lang w:val="pl-PL"/>
        </w:rPr>
      </w:pPr>
      <w:r w:rsidRPr="00C01308">
        <w:rPr>
          <w:lang w:val="pl-PL"/>
        </w:rPr>
        <w:lastRenderedPageBreak/>
        <w:t xml:space="preserve">Poza tym przedstawiciele skarżących nie byli w stanie wskazać najmniejszego powodu o charakterze faktycznym lub prawnym, który mógłby uzasadnić pobyt ich klientów na terytorium włoskim i stanowić przeszkodę dla ich odesłania. </w:t>
      </w:r>
      <w:r>
        <w:rPr>
          <w:lang w:val="pl-PL"/>
        </w:rPr>
        <w:t xml:space="preserve">Ta okoliczna pozwala wątpić, czy przeprowadzenie indywidualnego wywiadu w obecnej sprawie byłoby użyteczne. </w:t>
      </w:r>
    </w:p>
    <w:p w:rsidR="006B393A" w:rsidRPr="006B393A" w:rsidRDefault="00F54DB1">
      <w:pPr>
        <w:pStyle w:val="ClinContent"/>
        <w:rPr>
          <w:lang w:val="pl-PL"/>
        </w:rPr>
      </w:pPr>
      <w:r>
        <w:rPr>
          <w:lang w:val="pl-PL"/>
        </w:rPr>
        <w:t>P</w:t>
      </w:r>
      <w:r w:rsidR="006B393A" w:rsidRPr="006B393A">
        <w:rPr>
          <w:lang w:val="pl-PL"/>
        </w:rPr>
        <w:t>odsumow</w:t>
      </w:r>
      <w:r>
        <w:rPr>
          <w:lang w:val="pl-PL"/>
        </w:rPr>
        <w:t>ując</w:t>
      </w:r>
      <w:r w:rsidR="006B393A" w:rsidRPr="006B393A">
        <w:rPr>
          <w:lang w:val="pl-PL"/>
        </w:rPr>
        <w:t>, skarżący zostali dwukrotnie zidentyfikowani, ich obywatelstwo zostało ustalone</w:t>
      </w:r>
      <w:r w:rsidR="006B393A">
        <w:rPr>
          <w:lang w:val="pl-PL"/>
        </w:rPr>
        <w:t xml:space="preserve"> i</w:t>
      </w:r>
      <w:r w:rsidR="006B393A" w:rsidRPr="006B393A">
        <w:rPr>
          <w:lang w:val="pl-PL"/>
        </w:rPr>
        <w:t xml:space="preserve"> mieli rzeczywistą i skuteczną możliwość powołania </w:t>
      </w:r>
      <w:r w:rsidR="006B393A">
        <w:rPr>
          <w:lang w:val="pl-PL"/>
        </w:rPr>
        <w:t>się na argumenty sprzeciwiające się ich wydaleniu.</w:t>
      </w:r>
    </w:p>
    <w:p w:rsidR="006B393A" w:rsidRPr="006B393A" w:rsidRDefault="006B393A">
      <w:pPr>
        <w:pStyle w:val="ClinContent"/>
        <w:rPr>
          <w:i/>
          <w:lang w:val="pl-PL"/>
        </w:rPr>
      </w:pPr>
      <w:r w:rsidRPr="006B393A">
        <w:rPr>
          <w:i/>
          <w:lang w:val="pl-PL"/>
        </w:rPr>
        <w:t xml:space="preserve">Rozstrzygnięcie: </w:t>
      </w:r>
      <w:r w:rsidRPr="006B393A">
        <w:rPr>
          <w:lang w:val="pl-PL"/>
        </w:rPr>
        <w:t>brak naruszenia (szesnastoma głos</w:t>
      </w:r>
      <w:r w:rsidR="008C69B7">
        <w:rPr>
          <w:lang w:val="pl-PL"/>
        </w:rPr>
        <w:t>ami</w:t>
      </w:r>
      <w:r w:rsidRPr="006B393A">
        <w:rPr>
          <w:lang w:val="pl-PL"/>
        </w:rPr>
        <w:t xml:space="preserve"> do jednego). </w:t>
      </w:r>
    </w:p>
    <w:p w:rsidR="006B393A" w:rsidRPr="006B393A" w:rsidRDefault="006B393A">
      <w:pPr>
        <w:pStyle w:val="ClinContent"/>
        <w:rPr>
          <w:lang w:val="pl-PL"/>
        </w:rPr>
      </w:pPr>
      <w:r w:rsidRPr="006B393A">
        <w:rPr>
          <w:lang w:val="pl-PL"/>
        </w:rPr>
        <w:t xml:space="preserve">Art. 13 Konwencji w powiązaniu z art. </w:t>
      </w:r>
      <w:r>
        <w:rPr>
          <w:lang w:val="pl-PL"/>
        </w:rPr>
        <w:t>4 Protokołu nr 4: W obecnej sprawie, de</w:t>
      </w:r>
      <w:r w:rsidR="00B620E5">
        <w:rPr>
          <w:lang w:val="pl-PL"/>
        </w:rPr>
        <w:t>cyzje</w:t>
      </w:r>
      <w:r>
        <w:rPr>
          <w:lang w:val="pl-PL"/>
        </w:rPr>
        <w:t xml:space="preserve"> o odesłaniu wyraźnie wskazywały, że osoby zainteresowane miały możliwość ich kwestionowania w drodze skargi do sędziego pokoju złożonej w terminie 60 dni. </w:t>
      </w:r>
    </w:p>
    <w:p w:rsidR="006B393A" w:rsidRPr="006B393A" w:rsidRDefault="006B393A">
      <w:pPr>
        <w:pStyle w:val="ClinContent"/>
        <w:rPr>
          <w:lang w:val="pl-PL"/>
        </w:rPr>
      </w:pPr>
      <w:r w:rsidRPr="006B393A">
        <w:rPr>
          <w:lang w:val="pl-PL"/>
        </w:rPr>
        <w:t xml:space="preserve">Nie ma powodu, by wątpić, że w tych </w:t>
      </w:r>
      <w:r w:rsidR="000B3160" w:rsidRPr="006B393A">
        <w:rPr>
          <w:lang w:val="pl-PL"/>
        </w:rPr>
        <w:t>ramach</w:t>
      </w:r>
      <w:r w:rsidRPr="006B393A">
        <w:rPr>
          <w:lang w:val="pl-PL"/>
        </w:rPr>
        <w:t xml:space="preserve"> sędzi</w:t>
      </w:r>
      <w:r>
        <w:rPr>
          <w:lang w:val="pl-PL"/>
        </w:rPr>
        <w:t>a pokoju mógł zbadać ewentualne skargi dotyczące zaniechania uwzględnienia indywidualnej sytuacji osobistej zainteresowanego migranta, a więc, w istocie, zbiorow</w:t>
      </w:r>
      <w:r w:rsidR="00F54DB1">
        <w:rPr>
          <w:lang w:val="pl-PL"/>
        </w:rPr>
        <w:t>ego</w:t>
      </w:r>
      <w:r>
        <w:rPr>
          <w:lang w:val="pl-PL"/>
        </w:rPr>
        <w:t xml:space="preserve"> charakter</w:t>
      </w:r>
      <w:r w:rsidR="00F54DB1">
        <w:rPr>
          <w:lang w:val="pl-PL"/>
        </w:rPr>
        <w:t>u</w:t>
      </w:r>
      <w:r>
        <w:rPr>
          <w:lang w:val="pl-PL"/>
        </w:rPr>
        <w:t xml:space="preserve"> wydalenia. </w:t>
      </w:r>
    </w:p>
    <w:p w:rsidR="0001300E" w:rsidRPr="0001300E" w:rsidRDefault="0001300E">
      <w:pPr>
        <w:pStyle w:val="ClinContent"/>
        <w:rPr>
          <w:lang w:val="pl-PL"/>
        </w:rPr>
      </w:pPr>
      <w:r w:rsidRPr="0001300E">
        <w:rPr>
          <w:lang w:val="pl-PL"/>
        </w:rPr>
        <w:t xml:space="preserve">Co do faktu, że środek ten nie miał skutku zawieszającego, dogłębna analiza wyroku w sprawie </w:t>
      </w:r>
      <w:r w:rsidRPr="0001300E">
        <w:rPr>
          <w:i/>
          <w:lang w:val="pl-PL"/>
        </w:rPr>
        <w:t xml:space="preserve">De Souza Ribeiro </w:t>
      </w:r>
      <w:r>
        <w:rPr>
          <w:i/>
          <w:lang w:val="pl-PL"/>
        </w:rPr>
        <w:t>p</w:t>
      </w:r>
      <w:r w:rsidRPr="0001300E">
        <w:rPr>
          <w:i/>
          <w:lang w:val="pl-PL"/>
        </w:rPr>
        <w:t>. Franc</w:t>
      </w:r>
      <w:r>
        <w:rPr>
          <w:i/>
          <w:lang w:val="pl-PL"/>
        </w:rPr>
        <w:t>ji</w:t>
      </w:r>
      <w:r w:rsidRPr="0001300E">
        <w:rPr>
          <w:lang w:val="pl-PL"/>
        </w:rPr>
        <w:t xml:space="preserve"> ([</w:t>
      </w:r>
      <w:r>
        <w:rPr>
          <w:lang w:val="pl-PL"/>
        </w:rPr>
        <w:t>Wielka Izba</w:t>
      </w:r>
      <w:r w:rsidRPr="0001300E">
        <w:rPr>
          <w:lang w:val="pl-PL"/>
        </w:rPr>
        <w:t xml:space="preserve">], </w:t>
      </w:r>
      <w:r>
        <w:rPr>
          <w:lang w:val="pl-PL"/>
        </w:rPr>
        <w:t xml:space="preserve">skarga nr </w:t>
      </w:r>
      <w:r w:rsidRPr="0001300E">
        <w:rPr>
          <w:lang w:val="pl-PL"/>
        </w:rPr>
        <w:t>22689/07, 13 </w:t>
      </w:r>
      <w:r>
        <w:rPr>
          <w:lang w:val="pl-PL"/>
        </w:rPr>
        <w:t xml:space="preserve">grudnia </w:t>
      </w:r>
      <w:r w:rsidRPr="0001300E">
        <w:rPr>
          <w:lang w:val="pl-PL"/>
        </w:rPr>
        <w:t>2012</w:t>
      </w:r>
      <w:r>
        <w:rPr>
          <w:lang w:val="pl-PL"/>
        </w:rPr>
        <w:t xml:space="preserve"> r.</w:t>
      </w:r>
      <w:r w:rsidRPr="0001300E">
        <w:rPr>
          <w:lang w:val="pl-PL"/>
        </w:rPr>
        <w:t xml:space="preserve">, </w:t>
      </w:r>
      <w:hyperlink r:id="rId14" w:history="1">
        <w:r w:rsidRPr="0001300E">
          <w:rPr>
            <w:rStyle w:val="Hipercze"/>
            <w:lang w:val="pl-PL"/>
          </w:rPr>
          <w:t>Nota informacyjna nr</w:t>
        </w:r>
        <w:r w:rsidR="00A32EE3">
          <w:rPr>
            <w:rStyle w:val="Hipercze"/>
            <w:lang w:val="pl-PL"/>
          </w:rPr>
          <w:t xml:space="preserve"> </w:t>
        </w:r>
        <w:r w:rsidRPr="0001300E">
          <w:rPr>
            <w:rStyle w:val="Hipercze"/>
            <w:lang w:val="pl-PL"/>
          </w:rPr>
          <w:t>158</w:t>
        </w:r>
      </w:hyperlink>
      <w:r w:rsidRPr="0001300E">
        <w:rPr>
          <w:lang w:val="pl-PL"/>
        </w:rPr>
        <w:t>),</w:t>
      </w:r>
      <w:r>
        <w:rPr>
          <w:lang w:val="pl-PL"/>
        </w:rPr>
        <w:t xml:space="preserve"> porównanego z wyrokami w sprawach </w:t>
      </w:r>
      <w:r w:rsidRPr="0001300E">
        <w:rPr>
          <w:i/>
          <w:lang w:val="pl-PL"/>
        </w:rPr>
        <w:t>Čonka</w:t>
      </w:r>
      <w:r w:rsidR="00F54DB1">
        <w:rPr>
          <w:i/>
          <w:lang w:val="pl-PL"/>
        </w:rPr>
        <w:t xml:space="preserve"> </w:t>
      </w:r>
      <w:r w:rsidR="00F54DB1" w:rsidRPr="00F54DB1">
        <w:rPr>
          <w:lang w:val="pl-PL"/>
        </w:rPr>
        <w:t>oraz</w:t>
      </w:r>
      <w:r w:rsidRPr="00F54DB1">
        <w:rPr>
          <w:lang w:val="pl-PL"/>
        </w:rPr>
        <w:t xml:space="preserve"> </w:t>
      </w:r>
      <w:r w:rsidRPr="0001300E">
        <w:rPr>
          <w:i/>
          <w:lang w:val="pl-PL"/>
        </w:rPr>
        <w:t xml:space="preserve">Hirsi Jamaa </w:t>
      </w:r>
      <w:r w:rsidRPr="0001300E">
        <w:rPr>
          <w:lang w:val="pl-PL"/>
        </w:rPr>
        <w:t>i</w:t>
      </w:r>
      <w:r>
        <w:rPr>
          <w:i/>
          <w:lang w:val="pl-PL"/>
        </w:rPr>
        <w:t xml:space="preserve"> </w:t>
      </w:r>
      <w:r w:rsidR="00F54DB1">
        <w:rPr>
          <w:i/>
          <w:lang w:val="pl-PL"/>
        </w:rPr>
        <w:t>Inni</w:t>
      </w:r>
      <w:r w:rsidRPr="0001300E">
        <w:rPr>
          <w:lang w:val="pl-PL"/>
        </w:rPr>
        <w:t xml:space="preserve"> cytowany</w:t>
      </w:r>
      <w:r w:rsidR="00F54DB1">
        <w:rPr>
          <w:lang w:val="pl-PL"/>
        </w:rPr>
        <w:t>mi</w:t>
      </w:r>
      <w:r w:rsidRPr="0001300E">
        <w:rPr>
          <w:lang w:val="pl-PL"/>
        </w:rPr>
        <w:t xml:space="preserve"> wyżej, prowadzi Trybunał do następujących wniosków.</w:t>
      </w:r>
      <w:r>
        <w:rPr>
          <w:i/>
          <w:lang w:val="pl-PL"/>
        </w:rPr>
        <w:t xml:space="preserve"> </w:t>
      </w:r>
    </w:p>
    <w:p w:rsidR="008B7D6C" w:rsidRPr="0019193C" w:rsidRDefault="008B7D6C">
      <w:pPr>
        <w:pStyle w:val="ClinContent"/>
        <w:rPr>
          <w:lang w:val="pl-PL"/>
        </w:rPr>
      </w:pPr>
      <w:r w:rsidRPr="008B7D6C">
        <w:rPr>
          <w:lang w:val="pl-PL"/>
        </w:rPr>
        <w:t xml:space="preserve">Jeśli skarżący nie zarzuca naruszeń art. </w:t>
      </w:r>
      <w:r>
        <w:rPr>
          <w:lang w:val="pl-PL"/>
        </w:rPr>
        <w:t>2 i 3 Konwencji, które mogłyby nastąpić w państwie przeznaczenia, jego wydalenie z terytorium pozwanego Państwa nie stanowi podstawy do uznania za narażenie zainteresowanego na potencjalnie nieodwracalny uszczerbek: w podobnym przypadku Konwencja nie nakłada więc na Państw</w:t>
      </w:r>
      <w:r w:rsidR="00F54DB1">
        <w:rPr>
          <w:lang w:val="pl-PL"/>
        </w:rPr>
        <w:t>a</w:t>
      </w:r>
      <w:r>
        <w:rPr>
          <w:lang w:val="pl-PL"/>
        </w:rPr>
        <w:t xml:space="preserve"> absolutnego obowiązku zagwarantowania środka</w:t>
      </w:r>
      <w:r w:rsidR="00F54DB1" w:rsidRPr="00F54DB1">
        <w:rPr>
          <w:lang w:val="pl-PL"/>
        </w:rPr>
        <w:t xml:space="preserve"> o pełnoprawnym charakterze zawieszającym</w:t>
      </w:r>
      <w:r>
        <w:rPr>
          <w:lang w:val="pl-PL"/>
        </w:rPr>
        <w:t>, a wymaga jedynie, by osoba zainteresowana miała skuteczną możliwość kwestionowania decyzji o wydaleniu</w:t>
      </w:r>
      <w:r w:rsidR="0002163F">
        <w:rPr>
          <w:lang w:val="pl-PL"/>
        </w:rPr>
        <w:t>,</w:t>
      </w:r>
      <w:r w:rsidR="00F54DB1">
        <w:rPr>
          <w:lang w:val="pl-PL"/>
        </w:rPr>
        <w:t xml:space="preserve"> </w:t>
      </w:r>
      <w:r w:rsidR="0002163F">
        <w:rPr>
          <w:lang w:val="pl-PL"/>
        </w:rPr>
        <w:t>uzyskując</w:t>
      </w:r>
      <w:r>
        <w:rPr>
          <w:lang w:val="pl-PL"/>
        </w:rPr>
        <w:t xml:space="preserve"> dostatecznie pogłębione</w:t>
      </w:r>
      <w:r w:rsidR="00F70A1F">
        <w:rPr>
          <w:lang w:val="pl-PL"/>
        </w:rPr>
        <w:t xml:space="preserve"> zbadanie</w:t>
      </w:r>
      <w:r>
        <w:rPr>
          <w:lang w:val="pl-PL"/>
        </w:rPr>
        <w:t xml:space="preserve"> jej skarg przez niezależną i bezstronną instancję krajową. </w:t>
      </w:r>
      <w:r w:rsidRPr="0019193C">
        <w:rPr>
          <w:lang w:val="pl-PL"/>
        </w:rPr>
        <w:t xml:space="preserve">W obecnej sprawie, środek przewidziany spełniał te wymogi. </w:t>
      </w:r>
    </w:p>
    <w:p w:rsidR="008B7D6C" w:rsidRPr="008B7D6C" w:rsidRDefault="002A6B53">
      <w:pPr>
        <w:pStyle w:val="ClinContent"/>
        <w:rPr>
          <w:lang w:val="pl-PL"/>
        </w:rPr>
      </w:pPr>
      <w:r>
        <w:rPr>
          <w:lang w:val="pl-PL"/>
        </w:rPr>
        <w:t>Skadinąd</w:t>
      </w:r>
      <w:r w:rsidR="008B7D6C" w:rsidRPr="008B7D6C">
        <w:rPr>
          <w:lang w:val="pl-PL"/>
        </w:rPr>
        <w:t xml:space="preserve">, w wyroku w sprawie </w:t>
      </w:r>
      <w:r w:rsidR="008B7D6C" w:rsidRPr="008B7D6C">
        <w:rPr>
          <w:i/>
          <w:lang w:val="pl-PL"/>
        </w:rPr>
        <w:t>De Souza Ribeiro</w:t>
      </w:r>
      <w:r w:rsidR="008B7D6C">
        <w:rPr>
          <w:i/>
          <w:lang w:val="pl-PL"/>
        </w:rPr>
        <w:t xml:space="preserve"> </w:t>
      </w:r>
      <w:r w:rsidR="008B7D6C">
        <w:rPr>
          <w:lang w:val="pl-PL"/>
        </w:rPr>
        <w:t xml:space="preserve">decydującą kwestią nie był brak zawieszającego skutku </w:t>
      </w:r>
      <w:r>
        <w:rPr>
          <w:lang w:val="pl-PL"/>
        </w:rPr>
        <w:t xml:space="preserve">środka </w:t>
      </w:r>
      <w:r w:rsidR="008B7D6C">
        <w:rPr>
          <w:lang w:val="pl-PL"/>
        </w:rPr>
        <w:t xml:space="preserve">przewidzianego dla skarżącego, ale fakt, że jego dający się </w:t>
      </w:r>
      <w:r>
        <w:rPr>
          <w:lang w:val="pl-PL"/>
        </w:rPr>
        <w:t>uzasadnić</w:t>
      </w:r>
      <w:r w:rsidR="008B7D6C">
        <w:rPr>
          <w:lang w:val="pl-PL"/>
        </w:rPr>
        <w:t xml:space="preserve"> zarzut w odniesieniu do art. 8 został odrzucony w sposób nadmiernie przyspieszony (jego wydalenie do Brazylii nastąpiło w ciągu mniej niż godziny po skierowaniu przez niego sprawy do trybunału administracyjnego). </w:t>
      </w:r>
    </w:p>
    <w:p w:rsidR="008B7D6C" w:rsidRPr="008B7D6C" w:rsidRDefault="008B7D6C">
      <w:pPr>
        <w:pStyle w:val="ClinContent"/>
        <w:rPr>
          <w:lang w:val="pl-PL"/>
        </w:rPr>
      </w:pPr>
      <w:r w:rsidRPr="008B7D6C">
        <w:rPr>
          <w:i/>
          <w:lang w:val="pl-PL"/>
        </w:rPr>
        <w:t>Rozstrzygnięcie</w:t>
      </w:r>
      <w:r w:rsidRPr="008B7D6C">
        <w:rPr>
          <w:lang w:val="pl-PL"/>
        </w:rPr>
        <w:t xml:space="preserve">: brak naruszenia (szesnastoma głosami do jednego). </w:t>
      </w:r>
    </w:p>
    <w:p w:rsidR="008C377B" w:rsidRPr="008C377B" w:rsidRDefault="008C377B">
      <w:pPr>
        <w:pStyle w:val="ClinContent"/>
        <w:rPr>
          <w:lang w:val="pl-PL"/>
        </w:rPr>
      </w:pPr>
      <w:r w:rsidRPr="008C377B">
        <w:rPr>
          <w:lang w:val="pl-PL"/>
        </w:rPr>
        <w:t xml:space="preserve">Art. 3: Skarżący skarżyli się na warunki pozbawienia ich wolności. </w:t>
      </w:r>
    </w:p>
    <w:p w:rsidR="008C377B" w:rsidRPr="008C377B" w:rsidRDefault="008C377B">
      <w:pPr>
        <w:pStyle w:val="ClinContent"/>
        <w:rPr>
          <w:lang w:val="pl-PL"/>
        </w:rPr>
      </w:pPr>
      <w:r w:rsidRPr="008C377B">
        <w:rPr>
          <w:lang w:val="pl-PL"/>
        </w:rPr>
        <w:t xml:space="preserve">Potwierdzając, że czynniki związane ze </w:t>
      </w:r>
      <w:r w:rsidR="001D05DB" w:rsidRPr="008C377B">
        <w:rPr>
          <w:lang w:val="pl-PL"/>
        </w:rPr>
        <w:t>wzrastającym</w:t>
      </w:r>
      <w:r w:rsidRPr="008C377B">
        <w:rPr>
          <w:lang w:val="pl-PL"/>
        </w:rPr>
        <w:t xml:space="preserve"> napływem migran</w:t>
      </w:r>
      <w:r>
        <w:rPr>
          <w:lang w:val="pl-PL"/>
        </w:rPr>
        <w:t xml:space="preserve">tów nie mogą zwolnić Państw Członkowskich z ich obowiązków, </w:t>
      </w:r>
      <w:r w:rsidR="000D0621">
        <w:rPr>
          <w:lang w:val="pl-PL"/>
        </w:rPr>
        <w:t xml:space="preserve">w opinii </w:t>
      </w:r>
      <w:r>
        <w:rPr>
          <w:lang w:val="pl-PL"/>
        </w:rPr>
        <w:t>Trybunału badanie faktów sprawy w oderwaniu od kontekstu nadzwyczajnej sytuacji humanitarnej, w której s</w:t>
      </w:r>
      <w:r w:rsidR="001D05DB">
        <w:rPr>
          <w:lang w:val="pl-PL"/>
        </w:rPr>
        <w:t xml:space="preserve">ię one rozegrały, byłoby sztuczne. </w:t>
      </w:r>
    </w:p>
    <w:p w:rsidR="001D05DB" w:rsidRPr="001D05DB" w:rsidRDefault="001D05DB">
      <w:pPr>
        <w:pStyle w:val="ClinContent"/>
        <w:rPr>
          <w:lang w:val="pl-PL"/>
        </w:rPr>
      </w:pPr>
      <w:r w:rsidRPr="001D05DB">
        <w:rPr>
          <w:lang w:val="pl-PL"/>
        </w:rPr>
        <w:t xml:space="preserve">Rok 2011 był naznaczony przez poważny kryzys migracyjny. </w:t>
      </w:r>
      <w:r>
        <w:rPr>
          <w:lang w:val="pl-PL"/>
        </w:rPr>
        <w:t>Masowy napływ migrantów z Afryki Północnej (ponad pięćdziesiąt tysięcy w ciągu roku) na wyspy Lampedusa i Linosa musiał stworzyć bardzo poważne trudności o charakterze organizacyjnym, logistycznym i strukturalnym.</w:t>
      </w:r>
    </w:p>
    <w:p w:rsidR="0021274F" w:rsidRPr="0021274F" w:rsidRDefault="0021274F">
      <w:pPr>
        <w:pStyle w:val="ClinContent"/>
        <w:rPr>
          <w:lang w:val="pl-PL"/>
        </w:rPr>
      </w:pPr>
      <w:r w:rsidRPr="0021274F">
        <w:rPr>
          <w:lang w:val="pl-PL"/>
        </w:rPr>
        <w:t>Do tej ogólnej sytuacji należy dodać</w:t>
      </w:r>
      <w:r w:rsidR="002A6B53">
        <w:rPr>
          <w:lang w:val="pl-PL"/>
        </w:rPr>
        <w:t xml:space="preserve"> wydarzenia zaistniałe po przyjeździe skarżących,</w:t>
      </w:r>
      <w:r w:rsidRPr="0021274F">
        <w:rPr>
          <w:lang w:val="pl-PL"/>
        </w:rPr>
        <w:t xml:space="preserve"> które zwiększyły trudności i stworzyły napiętą sytuację: </w:t>
      </w:r>
      <w:r>
        <w:rPr>
          <w:lang w:val="pl-PL"/>
        </w:rPr>
        <w:t>bunt osób przebywających w ośrodku recepcyjnym</w:t>
      </w:r>
      <w:r w:rsidR="002A6B53">
        <w:rPr>
          <w:lang w:val="pl-PL"/>
        </w:rPr>
        <w:t>;</w:t>
      </w:r>
      <w:r>
        <w:rPr>
          <w:lang w:val="pl-PL"/>
        </w:rPr>
        <w:t xml:space="preserve"> podpalenie</w:t>
      </w:r>
      <w:r w:rsidR="00A32EE3">
        <w:rPr>
          <w:lang w:val="pl-PL"/>
        </w:rPr>
        <w:t xml:space="preserve"> o charakterze kryminalnym</w:t>
      </w:r>
      <w:r>
        <w:rPr>
          <w:lang w:val="pl-PL"/>
        </w:rPr>
        <w:t xml:space="preserve"> które zniszczyło</w:t>
      </w:r>
      <w:r w:rsidR="00A32EE3">
        <w:rPr>
          <w:lang w:val="pl-PL"/>
        </w:rPr>
        <w:t xml:space="preserve"> ośrodek</w:t>
      </w:r>
      <w:r w:rsidR="002A6B53">
        <w:rPr>
          <w:lang w:val="pl-PL"/>
        </w:rPr>
        <w:t>;</w:t>
      </w:r>
      <w:r>
        <w:rPr>
          <w:lang w:val="pl-PL"/>
        </w:rPr>
        <w:t xml:space="preserve"> </w:t>
      </w:r>
      <w:r>
        <w:rPr>
          <w:lang w:val="pl-PL"/>
        </w:rPr>
        <w:lastRenderedPageBreak/>
        <w:t>demonstracj</w:t>
      </w:r>
      <w:r w:rsidR="000D0621">
        <w:rPr>
          <w:lang w:val="pl-PL"/>
        </w:rPr>
        <w:t>ę</w:t>
      </w:r>
      <w:r>
        <w:rPr>
          <w:lang w:val="pl-PL"/>
        </w:rPr>
        <w:t xml:space="preserve"> ok. 1800 migrantów na ulicach następnego dnia</w:t>
      </w:r>
      <w:r w:rsidR="002A6B53">
        <w:rPr>
          <w:lang w:val="pl-PL"/>
        </w:rPr>
        <w:t>;</w:t>
      </w:r>
      <w:r>
        <w:rPr>
          <w:lang w:val="pl-PL"/>
        </w:rPr>
        <w:t xml:space="preserve"> starcia między społecznością lokalną a grupą cudzoziemców, którzy grozili wysadzeniem butli z gazem</w:t>
      </w:r>
      <w:r w:rsidR="002A6B53">
        <w:rPr>
          <w:lang w:val="pl-PL"/>
        </w:rPr>
        <w:t>;</w:t>
      </w:r>
      <w:r>
        <w:rPr>
          <w:lang w:val="pl-PL"/>
        </w:rPr>
        <w:t xml:space="preserve"> jak też akty samookaleczenia i zniszczenia. </w:t>
      </w:r>
    </w:p>
    <w:p w:rsidR="0021274F" w:rsidRPr="0021274F" w:rsidRDefault="0021274F">
      <w:pPr>
        <w:pStyle w:val="ClinContent"/>
        <w:rPr>
          <w:lang w:val="pl-PL"/>
        </w:rPr>
      </w:pPr>
      <w:r w:rsidRPr="0021274F">
        <w:rPr>
          <w:lang w:val="pl-PL"/>
        </w:rPr>
        <w:t xml:space="preserve">Elementy te świadczą o liczbie problemów, którym Państwo </w:t>
      </w:r>
      <w:r>
        <w:rPr>
          <w:lang w:val="pl-PL"/>
        </w:rPr>
        <w:t xml:space="preserve">musiało sprostać w czasie tych wyjątkowych fal migracyjnych, a także o wielkiej liczbie zadań, które spoczywały na władzach, które musiały jednocześnie zagwarantować dobrostan migrantów i lokalnej ludności oraz zapewnić utrzymanie porządku publicznego. </w:t>
      </w:r>
    </w:p>
    <w:p w:rsidR="0021274F" w:rsidRPr="0021274F" w:rsidRDefault="0021274F">
      <w:pPr>
        <w:pStyle w:val="ClinContent"/>
        <w:rPr>
          <w:lang w:val="pl-PL"/>
        </w:rPr>
      </w:pPr>
      <w:r>
        <w:rPr>
          <w:lang w:val="pl-PL"/>
        </w:rPr>
        <w:t>Decyzja</w:t>
      </w:r>
      <w:r w:rsidRPr="0021274F">
        <w:rPr>
          <w:lang w:val="pl-PL"/>
        </w:rPr>
        <w:t>, by skoncentrować przyjęcie migrantów na wyspie Lampedusa</w:t>
      </w:r>
      <w:r w:rsidR="000D0621">
        <w:rPr>
          <w:lang w:val="pl-PL"/>
        </w:rPr>
        <w:t>,</w:t>
      </w:r>
      <w:r w:rsidRPr="0021274F">
        <w:rPr>
          <w:lang w:val="pl-PL"/>
        </w:rPr>
        <w:t xml:space="preserve"> nie podlega krytyce sam</w:t>
      </w:r>
      <w:r>
        <w:rPr>
          <w:lang w:val="pl-PL"/>
        </w:rPr>
        <w:t>a</w:t>
      </w:r>
      <w:r w:rsidRPr="0021274F">
        <w:rPr>
          <w:lang w:val="pl-PL"/>
        </w:rPr>
        <w:t xml:space="preserve"> w sobie: zważywszy na sytuację geogra</w:t>
      </w:r>
      <w:r>
        <w:rPr>
          <w:lang w:val="pl-PL"/>
        </w:rPr>
        <w:t>fi</w:t>
      </w:r>
      <w:r w:rsidRPr="0021274F">
        <w:rPr>
          <w:lang w:val="pl-PL"/>
        </w:rPr>
        <w:t xml:space="preserve">czną nie było nierozsądne skierować </w:t>
      </w:r>
      <w:r>
        <w:rPr>
          <w:lang w:val="pl-PL"/>
        </w:rPr>
        <w:t>ocalałych z rejsu do najbliższego ośrodka recepcyjnego.</w:t>
      </w:r>
      <w:r w:rsidR="00A32EE3">
        <w:rPr>
          <w:lang w:val="pl-PL"/>
        </w:rPr>
        <w:t xml:space="preserve"> </w:t>
      </w:r>
    </w:p>
    <w:p w:rsidR="0021274F" w:rsidRPr="0021274F" w:rsidRDefault="0021274F">
      <w:pPr>
        <w:pStyle w:val="ClinContent"/>
        <w:rPr>
          <w:lang w:val="pl-PL"/>
        </w:rPr>
      </w:pPr>
      <w:r w:rsidRPr="0021274F">
        <w:rPr>
          <w:lang w:val="pl-PL"/>
        </w:rPr>
        <w:t>a)</w:t>
      </w:r>
      <w:r w:rsidR="00A32EE3">
        <w:rPr>
          <w:lang w:val="pl-PL"/>
        </w:rPr>
        <w:t xml:space="preserve"> </w:t>
      </w:r>
      <w:r w:rsidRPr="0021274F">
        <w:rPr>
          <w:i/>
          <w:lang w:val="pl-PL"/>
        </w:rPr>
        <w:t>Warunki panujące w ośrodku recepcyjnym</w:t>
      </w:r>
      <w:r w:rsidRPr="0021274F">
        <w:rPr>
          <w:lang w:val="pl-PL"/>
        </w:rPr>
        <w:t xml:space="preserve"> –</w:t>
      </w:r>
      <w:r w:rsidR="00A32EE3">
        <w:rPr>
          <w:lang w:val="pl-PL"/>
        </w:rPr>
        <w:t xml:space="preserve"> </w:t>
      </w:r>
      <w:r w:rsidR="002A6B53" w:rsidRPr="00D1219B">
        <w:rPr>
          <w:lang w:val="pl-PL"/>
        </w:rPr>
        <w:t xml:space="preserve">rozważając niżej przedstawione kwestie, </w:t>
      </w:r>
      <w:r w:rsidR="006B05B9">
        <w:rPr>
          <w:lang w:val="pl-PL"/>
        </w:rPr>
        <w:t>Trybunał uznał, że warunki pozbawienia wolności skarżących nie osiągnęły p</w:t>
      </w:r>
      <w:r w:rsidR="00A32EE3">
        <w:rPr>
          <w:lang w:val="pl-PL"/>
        </w:rPr>
        <w:t>oziomu</w:t>
      </w:r>
      <w:r w:rsidR="006B05B9">
        <w:rPr>
          <w:lang w:val="pl-PL"/>
        </w:rPr>
        <w:t xml:space="preserve"> dolegliwości </w:t>
      </w:r>
      <w:r w:rsidR="006D0DE8">
        <w:rPr>
          <w:lang w:val="pl-PL"/>
        </w:rPr>
        <w:t>n</w:t>
      </w:r>
      <w:r w:rsidR="006D0DE8" w:rsidRPr="006D0DE8">
        <w:rPr>
          <w:lang w:val="pl-PL"/>
        </w:rPr>
        <w:t>iezbędnego do uznania ich za nieludzkie lub poniżające</w:t>
      </w:r>
      <w:r w:rsidR="006B05B9">
        <w:rPr>
          <w:lang w:val="pl-PL"/>
        </w:rPr>
        <w:t>:</w:t>
      </w:r>
    </w:p>
    <w:p w:rsidR="006B05B9" w:rsidRPr="006B05B9" w:rsidRDefault="006B05B9">
      <w:pPr>
        <w:pStyle w:val="ClinContent"/>
        <w:rPr>
          <w:lang w:val="pl-PL"/>
        </w:rPr>
      </w:pPr>
      <w:r w:rsidRPr="006B05B9">
        <w:rPr>
          <w:lang w:val="pl-PL"/>
        </w:rPr>
        <w:t>–</w:t>
      </w:r>
      <w:r w:rsidR="00A32EE3">
        <w:rPr>
          <w:lang w:val="pl-PL"/>
        </w:rPr>
        <w:t xml:space="preserve"> </w:t>
      </w:r>
      <w:r w:rsidRPr="006B05B9">
        <w:rPr>
          <w:lang w:val="pl-PL"/>
        </w:rPr>
        <w:t>choć pewne raporty parlamentarne lub organizacji pozarzą</w:t>
      </w:r>
      <w:r>
        <w:rPr>
          <w:lang w:val="pl-PL"/>
        </w:rPr>
        <w:t>dowych świadczą o przeludnieniu i braku higieny, prywatności oraz kontaktów ze światem zewnętrznym, ich ustalenia są jednakże złagodzone raportem Zgromadzenia Parlamentarnego Rady Europy obejmującym okres bliższy pobyt</w:t>
      </w:r>
      <w:r w:rsidR="006E591E">
        <w:rPr>
          <w:lang w:val="pl-PL"/>
        </w:rPr>
        <w:t>owi</w:t>
      </w:r>
      <w:r>
        <w:rPr>
          <w:lang w:val="pl-PL"/>
        </w:rPr>
        <w:t xml:space="preserve"> skarżących, tak że warunki pobytu w sprawie nie mogą być porównywane z tymi, które skłoniły Trybunał do stwierdzenia naruszenia art. 3 w innych sprawach; </w:t>
      </w:r>
    </w:p>
    <w:p w:rsidR="006B05B9" w:rsidRPr="006B05B9" w:rsidRDefault="006B05B9">
      <w:pPr>
        <w:pStyle w:val="ClinContent"/>
        <w:rPr>
          <w:lang w:val="pl-PL"/>
        </w:rPr>
      </w:pPr>
      <w:r w:rsidRPr="006B05B9">
        <w:rPr>
          <w:lang w:val="pl-PL"/>
        </w:rPr>
        <w:t>–</w:t>
      </w:r>
      <w:r w:rsidR="00A32EE3">
        <w:rPr>
          <w:lang w:val="pl-PL"/>
        </w:rPr>
        <w:t xml:space="preserve"> </w:t>
      </w:r>
      <w:r w:rsidRPr="006B05B9">
        <w:rPr>
          <w:lang w:val="pl-PL"/>
        </w:rPr>
        <w:t>choć liczba metrów kwadratowych dostępnych w każ</w:t>
      </w:r>
      <w:r>
        <w:rPr>
          <w:lang w:val="pl-PL"/>
        </w:rPr>
        <w:t xml:space="preserve">dym pomieszczeniu nie jest znana, nawet przyznając, że pojemność ośrodka </w:t>
      </w:r>
      <w:r w:rsidR="006D0DE8" w:rsidRPr="00D1219B">
        <w:rPr>
          <w:lang w:val="pl-PL"/>
        </w:rPr>
        <w:t xml:space="preserve">została przekroczona </w:t>
      </w:r>
      <w:r>
        <w:rPr>
          <w:lang w:val="pl-PL"/>
        </w:rPr>
        <w:t xml:space="preserve">o ok. 15-75%, ta niedogodność była złagodzona swobodą poruszania się w ramach ośrodka; </w:t>
      </w:r>
    </w:p>
    <w:p w:rsidR="006B05B9" w:rsidRPr="006B05B9" w:rsidRDefault="006B05B9">
      <w:pPr>
        <w:pStyle w:val="ClinContent"/>
        <w:rPr>
          <w:lang w:val="pl-PL"/>
        </w:rPr>
      </w:pPr>
      <w:r w:rsidRPr="006B05B9">
        <w:rPr>
          <w:lang w:val="pl-PL"/>
        </w:rPr>
        <w:t xml:space="preserve">– pomimo osłabienia w związku z niebezpieczną przeprawą morską skarżący nie </w:t>
      </w:r>
      <w:r w:rsidR="006E591E">
        <w:rPr>
          <w:lang w:val="pl-PL"/>
        </w:rPr>
        <w:t>odznaczali się szczególną</w:t>
      </w:r>
      <w:r w:rsidRPr="006B05B9">
        <w:rPr>
          <w:lang w:val="pl-PL"/>
        </w:rPr>
        <w:t xml:space="preserve"> wrażliwości</w:t>
      </w:r>
      <w:r w:rsidR="006E591E">
        <w:rPr>
          <w:lang w:val="pl-PL"/>
        </w:rPr>
        <w:t>ą</w:t>
      </w:r>
      <w:r w:rsidRPr="006B05B9">
        <w:rPr>
          <w:lang w:val="pl-PL"/>
        </w:rPr>
        <w:t xml:space="preserve"> (nie byli w szczególności ani osobami wnioskującymi o azyl</w:t>
      </w:r>
      <w:r w:rsidR="006E591E">
        <w:rPr>
          <w:lang w:val="pl-PL"/>
        </w:rPr>
        <w:t>,</w:t>
      </w:r>
      <w:r w:rsidRPr="006B05B9">
        <w:rPr>
          <w:lang w:val="pl-PL"/>
        </w:rPr>
        <w:t xml:space="preserve"> ani domniemanymi ofiarami traumatycz</w:t>
      </w:r>
      <w:r>
        <w:rPr>
          <w:lang w:val="pl-PL"/>
        </w:rPr>
        <w:t xml:space="preserve">nych doświadczeń w ich państwie pochodzenia, ani niepełnoletnimi, ani osobami starszymi, ani też cierpiącymi z powodu jakiegokolwiek szczególnego schorzenia); </w:t>
      </w:r>
    </w:p>
    <w:p w:rsidR="006B05B9" w:rsidRPr="009312E9" w:rsidRDefault="006B05B9">
      <w:pPr>
        <w:pStyle w:val="ClinContent"/>
        <w:rPr>
          <w:lang w:val="pl-PL"/>
        </w:rPr>
      </w:pPr>
      <w:r w:rsidRPr="009312E9">
        <w:rPr>
          <w:lang w:val="pl-PL"/>
        </w:rPr>
        <w:t xml:space="preserve">– nie brakowało im wody, </w:t>
      </w:r>
      <w:r w:rsidR="00A32EE3" w:rsidRPr="009312E9">
        <w:rPr>
          <w:lang w:val="pl-PL"/>
        </w:rPr>
        <w:t>jedzenia</w:t>
      </w:r>
      <w:r w:rsidRPr="009312E9">
        <w:rPr>
          <w:lang w:val="pl-PL"/>
        </w:rPr>
        <w:t>, leczenia, ani też nie byli narażeni na</w:t>
      </w:r>
      <w:r w:rsidR="009312E9">
        <w:rPr>
          <w:lang w:val="pl-PL"/>
        </w:rPr>
        <w:t xml:space="preserve"> anormalne</w:t>
      </w:r>
      <w:r w:rsidR="009312E9" w:rsidRPr="009312E9">
        <w:rPr>
          <w:lang w:val="pl-PL"/>
        </w:rPr>
        <w:t xml:space="preserve"> warunki </w:t>
      </w:r>
      <w:r w:rsidR="009312E9">
        <w:rPr>
          <w:lang w:val="pl-PL"/>
        </w:rPr>
        <w:t xml:space="preserve">klimatyczne; </w:t>
      </w:r>
    </w:p>
    <w:p w:rsidR="009312E9" w:rsidRPr="009312E9" w:rsidRDefault="009312E9">
      <w:pPr>
        <w:pStyle w:val="ClinContent"/>
        <w:rPr>
          <w:b/>
          <w:lang w:val="pl-PL"/>
        </w:rPr>
      </w:pPr>
      <w:r w:rsidRPr="009312E9">
        <w:rPr>
          <w:lang w:val="pl-PL"/>
        </w:rPr>
        <w:t>–</w:t>
      </w:r>
      <w:r w:rsidR="00A32EE3">
        <w:rPr>
          <w:lang w:val="pl-PL"/>
        </w:rPr>
        <w:t xml:space="preserve"> </w:t>
      </w:r>
      <w:r w:rsidRPr="009312E9">
        <w:rPr>
          <w:lang w:val="pl-PL"/>
        </w:rPr>
        <w:t>mając na względzie krótkotrwałość ich pobytu w ośr</w:t>
      </w:r>
      <w:r>
        <w:rPr>
          <w:lang w:val="pl-PL"/>
        </w:rPr>
        <w:t xml:space="preserve">odku (3-4 dni), brak kontaktu ze światem zewnętrznym nie miał poważnych skutków osobistych; </w:t>
      </w:r>
    </w:p>
    <w:p w:rsidR="009312E9" w:rsidRPr="009312E9" w:rsidRDefault="009312E9">
      <w:pPr>
        <w:pStyle w:val="ClinContent"/>
        <w:rPr>
          <w:lang w:val="pl-PL"/>
        </w:rPr>
      </w:pPr>
      <w:r w:rsidRPr="009312E9">
        <w:rPr>
          <w:lang w:val="pl-PL"/>
        </w:rPr>
        <w:t>–</w:t>
      </w:r>
      <w:r w:rsidR="00A32EE3">
        <w:rPr>
          <w:lang w:val="pl-PL"/>
        </w:rPr>
        <w:t xml:space="preserve"> </w:t>
      </w:r>
      <w:r w:rsidRPr="009312E9">
        <w:rPr>
          <w:lang w:val="pl-PL"/>
        </w:rPr>
        <w:t>choć wymagana była pe</w:t>
      </w:r>
      <w:r w:rsidR="00D770C9">
        <w:rPr>
          <w:lang w:val="pl-PL"/>
        </w:rPr>
        <w:t>wna staranność po stronie władz, by znaleźć szybko inne</w:t>
      </w:r>
      <w:r w:rsidRPr="009312E9">
        <w:rPr>
          <w:lang w:val="pl-PL"/>
        </w:rPr>
        <w:t xml:space="preserve"> miejsc</w:t>
      </w:r>
      <w:r w:rsidR="006E591E">
        <w:rPr>
          <w:lang w:val="pl-PL"/>
        </w:rPr>
        <w:t>a</w:t>
      </w:r>
      <w:r w:rsidRPr="009312E9">
        <w:rPr>
          <w:lang w:val="pl-PL"/>
        </w:rPr>
        <w:t xml:space="preserve"> przyjęcia o </w:t>
      </w:r>
      <w:r w:rsidR="000D0621" w:rsidRPr="009312E9">
        <w:rPr>
          <w:lang w:val="pl-PL"/>
        </w:rPr>
        <w:t xml:space="preserve">bardziej dostosowanej </w:t>
      </w:r>
      <w:r w:rsidRPr="009312E9">
        <w:rPr>
          <w:lang w:val="pl-PL"/>
        </w:rPr>
        <w:t xml:space="preserve">pojemności w celu szybkiego przeniesienia tam </w:t>
      </w:r>
      <w:r>
        <w:rPr>
          <w:lang w:val="pl-PL"/>
        </w:rPr>
        <w:t>nadmi</w:t>
      </w:r>
      <w:r w:rsidR="00555B05">
        <w:rPr>
          <w:lang w:val="pl-PL"/>
        </w:rPr>
        <w:t>ernej</w:t>
      </w:r>
      <w:r>
        <w:rPr>
          <w:lang w:val="pl-PL"/>
        </w:rPr>
        <w:t xml:space="preserve"> liczby migrantów, w obecnej sprawie Trybunał nie może się wypowiedzieć, czy obowiązek ten został spełniony, jako że zaledwie dwa dni po przybyciu dwóch ostatnich skarżących, </w:t>
      </w:r>
      <w:r w:rsidR="00356BA4">
        <w:rPr>
          <w:lang w:val="pl-PL"/>
        </w:rPr>
        <w:t xml:space="preserve">ośrodek recepcyjny CSPA </w:t>
      </w:r>
      <w:r w:rsidR="00D770C9">
        <w:rPr>
          <w:lang w:val="pl-PL"/>
        </w:rPr>
        <w:t xml:space="preserve">na Lampedusie </w:t>
      </w:r>
      <w:r w:rsidR="00356BA4">
        <w:rPr>
          <w:lang w:val="pl-PL"/>
        </w:rPr>
        <w:t>został</w:t>
      </w:r>
      <w:r>
        <w:rPr>
          <w:lang w:val="pl-PL"/>
        </w:rPr>
        <w:t xml:space="preserve"> zniszczon</w:t>
      </w:r>
      <w:r w:rsidR="00356BA4">
        <w:rPr>
          <w:lang w:val="pl-PL"/>
        </w:rPr>
        <w:t>y</w:t>
      </w:r>
      <w:r>
        <w:rPr>
          <w:lang w:val="pl-PL"/>
        </w:rPr>
        <w:t xml:space="preserve"> przez pożar </w:t>
      </w:r>
      <w:r w:rsidR="00D770C9">
        <w:rPr>
          <w:lang w:val="pl-PL"/>
        </w:rPr>
        <w:t>podczas</w:t>
      </w:r>
      <w:r>
        <w:rPr>
          <w:lang w:val="pl-PL"/>
        </w:rPr>
        <w:t xml:space="preserve"> buntu;</w:t>
      </w:r>
      <w:r w:rsidR="00A32EE3">
        <w:rPr>
          <w:lang w:val="pl-PL"/>
        </w:rPr>
        <w:t xml:space="preserve"> </w:t>
      </w:r>
    </w:p>
    <w:p w:rsidR="00356BA4" w:rsidRPr="00356BA4" w:rsidRDefault="00356BA4">
      <w:pPr>
        <w:pStyle w:val="ClinContent"/>
        <w:rPr>
          <w:lang w:val="pl-PL"/>
        </w:rPr>
      </w:pPr>
      <w:r w:rsidRPr="00356BA4">
        <w:rPr>
          <w:lang w:val="pl-PL"/>
        </w:rPr>
        <w:t>- ogólnie rzecz biorąc, sytuacje, które Trybunał</w:t>
      </w:r>
      <w:r w:rsidR="00A32EE3">
        <w:rPr>
          <w:lang w:val="pl-PL"/>
        </w:rPr>
        <w:t xml:space="preserve"> </w:t>
      </w:r>
      <w:r>
        <w:rPr>
          <w:lang w:val="pl-PL"/>
        </w:rPr>
        <w:t xml:space="preserve">uznawał </w:t>
      </w:r>
      <w:r w:rsidR="001D241C">
        <w:rPr>
          <w:lang w:val="pl-PL"/>
        </w:rPr>
        <w:t xml:space="preserve">niekiedy </w:t>
      </w:r>
      <w:r>
        <w:rPr>
          <w:lang w:val="pl-PL"/>
        </w:rPr>
        <w:t>za sprzeczne z art. 3</w:t>
      </w:r>
      <w:r w:rsidR="00D770C9">
        <w:rPr>
          <w:lang w:val="pl-PL"/>
        </w:rPr>
        <w:t>,</w:t>
      </w:r>
      <w:r>
        <w:rPr>
          <w:lang w:val="pl-PL"/>
        </w:rPr>
        <w:t xml:space="preserve"> miały znacznie większ</w:t>
      </w:r>
      <w:r w:rsidR="001D241C">
        <w:rPr>
          <w:lang w:val="pl-PL"/>
        </w:rPr>
        <w:t>ą</w:t>
      </w:r>
      <w:r>
        <w:rPr>
          <w:lang w:val="pl-PL"/>
        </w:rPr>
        <w:t xml:space="preserve"> intensywność lub trwały dłużej. </w:t>
      </w:r>
    </w:p>
    <w:p w:rsidR="00C65C20" w:rsidRPr="00356BA4" w:rsidRDefault="00C65C20">
      <w:pPr>
        <w:pStyle w:val="ClinContent"/>
        <w:rPr>
          <w:lang w:val="pl-PL"/>
        </w:rPr>
      </w:pPr>
      <w:r w:rsidRPr="00C65C20">
        <w:rPr>
          <w:i/>
          <w:lang w:val="pl-PL"/>
        </w:rPr>
        <w:t>Rozstrzygnięcie</w:t>
      </w:r>
      <w:r>
        <w:rPr>
          <w:lang w:val="pl-PL"/>
        </w:rPr>
        <w:t xml:space="preserve">: brak naruszenia (jednomyślnie). </w:t>
      </w:r>
    </w:p>
    <w:p w:rsidR="003E4E2C" w:rsidRPr="003E4E2C" w:rsidRDefault="003E4E2C">
      <w:pPr>
        <w:pStyle w:val="ClinContent"/>
        <w:rPr>
          <w:lang w:val="pl-PL"/>
        </w:rPr>
      </w:pPr>
      <w:r w:rsidRPr="003E4E2C">
        <w:rPr>
          <w:lang w:val="pl-PL"/>
        </w:rPr>
        <w:t>b) </w:t>
      </w:r>
      <w:r w:rsidRPr="003E4E2C">
        <w:rPr>
          <w:i/>
          <w:lang w:val="pl-PL"/>
        </w:rPr>
        <w:t>Warunki panujące na pokładzie dwóch statków</w:t>
      </w:r>
      <w:r w:rsidRPr="003E4E2C">
        <w:rPr>
          <w:lang w:val="pl-PL"/>
        </w:rPr>
        <w:t xml:space="preserve"> –</w:t>
      </w:r>
      <w:r>
        <w:rPr>
          <w:lang w:val="pl-PL"/>
        </w:rPr>
        <w:t xml:space="preserve"> próg dolegliwości nie został przekroczony również na statkach.</w:t>
      </w:r>
    </w:p>
    <w:p w:rsidR="003E4E2C" w:rsidRPr="003E4E2C" w:rsidRDefault="003E4E2C">
      <w:pPr>
        <w:pStyle w:val="ClinContent"/>
        <w:rPr>
          <w:lang w:val="pl-PL"/>
        </w:rPr>
      </w:pPr>
      <w:r w:rsidRPr="003E4E2C">
        <w:rPr>
          <w:lang w:val="pl-PL"/>
        </w:rPr>
        <w:t>Z jednej strony skarżący nie przed</w:t>
      </w:r>
      <w:r>
        <w:rPr>
          <w:lang w:val="pl-PL"/>
        </w:rPr>
        <w:t>s</w:t>
      </w:r>
      <w:r w:rsidRPr="003E4E2C">
        <w:rPr>
          <w:lang w:val="pl-PL"/>
        </w:rPr>
        <w:t xml:space="preserve">tawili żadnego dokumentu lub zeznania osoby trzeciej świadczących o </w:t>
      </w:r>
      <w:r>
        <w:rPr>
          <w:lang w:val="pl-PL"/>
        </w:rPr>
        <w:t>i</w:t>
      </w:r>
      <w:r w:rsidRPr="003E4E2C">
        <w:rPr>
          <w:lang w:val="pl-PL"/>
        </w:rPr>
        <w:t xml:space="preserve">stnieniu </w:t>
      </w:r>
      <w:r>
        <w:rPr>
          <w:lang w:val="pl-PL"/>
        </w:rPr>
        <w:t xml:space="preserve">oznak lub następstw złego traktowania, któremu rzekomo mieli </w:t>
      </w:r>
      <w:r>
        <w:rPr>
          <w:lang w:val="pl-PL"/>
        </w:rPr>
        <w:lastRenderedPageBreak/>
        <w:t>zostać poddani, lub potwierdzających pozostałą część ich wersji wydarzeń (przeludnienie, wyzwiska, brak higieny), nie ma więc podstaw do prze</w:t>
      </w:r>
      <w:r w:rsidR="006E591E">
        <w:rPr>
          <w:lang w:val="pl-PL"/>
        </w:rPr>
        <w:t>niesienia</w:t>
      </w:r>
      <w:r>
        <w:rPr>
          <w:lang w:val="pl-PL"/>
        </w:rPr>
        <w:t xml:space="preserve"> ciężaru dowodu. </w:t>
      </w:r>
    </w:p>
    <w:p w:rsidR="003E4E2C" w:rsidRPr="003E4E2C" w:rsidRDefault="003E4E2C">
      <w:pPr>
        <w:pStyle w:val="ClinContent"/>
        <w:rPr>
          <w:lang w:val="pl-PL"/>
        </w:rPr>
      </w:pPr>
      <w:r w:rsidRPr="003E4E2C">
        <w:rPr>
          <w:lang w:val="pl-PL"/>
        </w:rPr>
        <w:t xml:space="preserve">Z drugiej strony, </w:t>
      </w:r>
      <w:r w:rsidR="008744E2">
        <w:rPr>
          <w:lang w:val="pl-PL"/>
        </w:rPr>
        <w:t>przeciwne oceny</w:t>
      </w:r>
      <w:r w:rsidR="00C24C31" w:rsidRPr="003E4E2C">
        <w:rPr>
          <w:lang w:val="pl-PL"/>
        </w:rPr>
        <w:t xml:space="preserve"> </w:t>
      </w:r>
      <w:r w:rsidR="00C24C31">
        <w:rPr>
          <w:lang w:val="pl-PL"/>
        </w:rPr>
        <w:t>wynika</w:t>
      </w:r>
      <w:r w:rsidR="008744E2">
        <w:rPr>
          <w:lang w:val="pl-PL"/>
        </w:rPr>
        <w:t>ją</w:t>
      </w:r>
      <w:r w:rsidR="00C24C31" w:rsidRPr="003E4E2C">
        <w:rPr>
          <w:lang w:val="pl-PL"/>
        </w:rPr>
        <w:t xml:space="preserve"> </w:t>
      </w:r>
      <w:r w:rsidRPr="003E4E2C">
        <w:rPr>
          <w:lang w:val="pl-PL"/>
        </w:rPr>
        <w:t>z postanowienia sądu (wspartego notatką agencji pra</w:t>
      </w:r>
      <w:r>
        <w:rPr>
          <w:lang w:val="pl-PL"/>
        </w:rPr>
        <w:t xml:space="preserve">sowej, </w:t>
      </w:r>
      <w:r w:rsidR="00B90EA0">
        <w:rPr>
          <w:lang w:val="pl-PL"/>
        </w:rPr>
        <w:t xml:space="preserve">co do którego </w:t>
      </w:r>
      <w:r>
        <w:rPr>
          <w:lang w:val="pl-PL"/>
        </w:rPr>
        <w:t xml:space="preserve">nic nie pozwala wątpić, że zostało ono przyjęte z zachowaniem wymaganych gwarancji </w:t>
      </w:r>
      <w:r w:rsidR="00C24C31">
        <w:rPr>
          <w:lang w:val="pl-PL"/>
        </w:rPr>
        <w:t>proceduralnych</w:t>
      </w:r>
      <w:r>
        <w:rPr>
          <w:lang w:val="pl-PL"/>
        </w:rPr>
        <w:t>),</w:t>
      </w:r>
      <w:r w:rsidR="00C24C31">
        <w:rPr>
          <w:lang w:val="pl-PL"/>
        </w:rPr>
        <w:t xml:space="preserve"> </w:t>
      </w:r>
      <w:r w:rsidR="00632F29" w:rsidRPr="00632F29">
        <w:rPr>
          <w:lang w:val="pl-PL"/>
        </w:rPr>
        <w:t xml:space="preserve">zgodnie z którym jeden parlamentarzysta </w:t>
      </w:r>
      <w:r w:rsidR="00C24C31">
        <w:rPr>
          <w:lang w:val="pl-PL"/>
        </w:rPr>
        <w:t xml:space="preserve">zdołał dostać się na pokład statków i stwierdzić, że zatrzymani migranci byli </w:t>
      </w:r>
      <w:r w:rsidR="009B12EF">
        <w:rPr>
          <w:lang w:val="pl-PL"/>
        </w:rPr>
        <w:t xml:space="preserve">tam </w:t>
      </w:r>
      <w:r w:rsidR="00C24C31">
        <w:rPr>
          <w:lang w:val="pl-PL"/>
        </w:rPr>
        <w:t>przyjęci</w:t>
      </w:r>
      <w:r w:rsidR="00D770C9">
        <w:rPr>
          <w:lang w:val="pl-PL"/>
        </w:rPr>
        <w:t xml:space="preserve"> </w:t>
      </w:r>
      <w:r w:rsidR="00C24C31">
        <w:rPr>
          <w:lang w:val="pl-PL"/>
        </w:rPr>
        <w:t xml:space="preserve">w </w:t>
      </w:r>
      <w:r w:rsidR="00D770C9">
        <w:rPr>
          <w:lang w:val="pl-PL"/>
        </w:rPr>
        <w:t xml:space="preserve">godnych </w:t>
      </w:r>
      <w:r w:rsidR="00C24C31">
        <w:rPr>
          <w:lang w:val="pl-PL"/>
        </w:rPr>
        <w:t xml:space="preserve">warunkach. </w:t>
      </w:r>
    </w:p>
    <w:p w:rsidR="00C24C31" w:rsidRPr="000D0621" w:rsidRDefault="00C24C31">
      <w:pPr>
        <w:pStyle w:val="ClinContent"/>
        <w:rPr>
          <w:lang w:val="pl-PL"/>
        </w:rPr>
      </w:pPr>
      <w:r w:rsidRPr="000D0621">
        <w:rPr>
          <w:lang w:val="pl-PL"/>
        </w:rPr>
        <w:t>Rozstrzygnięcie : brak naruszenia (jednomyślnie)</w:t>
      </w:r>
    </w:p>
    <w:p w:rsidR="00C24C31" w:rsidRPr="00C24C31" w:rsidRDefault="00C24C31">
      <w:pPr>
        <w:pStyle w:val="ClinContent"/>
        <w:rPr>
          <w:i/>
          <w:lang w:val="pl-PL"/>
        </w:rPr>
      </w:pPr>
      <w:r w:rsidRPr="00C24C31">
        <w:rPr>
          <w:lang w:val="pl-PL"/>
        </w:rPr>
        <w:t xml:space="preserve">Trybunał </w:t>
      </w:r>
      <w:r w:rsidR="009B12EF">
        <w:rPr>
          <w:lang w:val="pl-PL"/>
        </w:rPr>
        <w:t>stwierdził</w:t>
      </w:r>
      <w:r w:rsidRPr="00C24C31">
        <w:rPr>
          <w:lang w:val="pl-PL"/>
        </w:rPr>
        <w:t xml:space="preserve"> również, jednomyślnie, naruszenie art. </w:t>
      </w:r>
      <w:r>
        <w:rPr>
          <w:lang w:val="pl-PL"/>
        </w:rPr>
        <w:t>5 ust. 1</w:t>
      </w:r>
      <w:r w:rsidR="008744E2">
        <w:rPr>
          <w:lang w:val="pl-PL"/>
        </w:rPr>
        <w:t xml:space="preserve"> (oraz</w:t>
      </w:r>
      <w:r>
        <w:rPr>
          <w:lang w:val="pl-PL"/>
        </w:rPr>
        <w:t xml:space="preserve"> w rezultacie</w:t>
      </w:r>
      <w:r w:rsidR="00240CBA">
        <w:rPr>
          <w:lang w:val="pl-PL"/>
        </w:rPr>
        <w:t xml:space="preserve"> też</w:t>
      </w:r>
      <w:r>
        <w:rPr>
          <w:lang w:val="pl-PL"/>
        </w:rPr>
        <w:t xml:space="preserve"> art. 5 ust. 2 i art. 5 ust. </w:t>
      </w:r>
      <w:r w:rsidR="00240CBA">
        <w:rPr>
          <w:lang w:val="pl-PL"/>
        </w:rPr>
        <w:t>4</w:t>
      </w:r>
      <w:r>
        <w:rPr>
          <w:lang w:val="pl-PL"/>
        </w:rPr>
        <w:t>) z powodu braku podstawy prawnej pozbawienia skarżących wolności</w:t>
      </w:r>
      <w:r w:rsidR="00107E03">
        <w:rPr>
          <w:lang w:val="pl-PL"/>
        </w:rPr>
        <w:t>.</w:t>
      </w:r>
      <w:r>
        <w:rPr>
          <w:lang w:val="pl-PL"/>
        </w:rPr>
        <w:t xml:space="preserve"> </w:t>
      </w:r>
      <w:r w:rsidR="00107E03">
        <w:rPr>
          <w:lang w:val="pl-PL"/>
        </w:rPr>
        <w:t>Zatrzymanie</w:t>
      </w:r>
      <w:r w:rsidR="009D2614">
        <w:rPr>
          <w:lang w:val="pl-PL"/>
        </w:rPr>
        <w:t xml:space="preserve"> </w:t>
      </w:r>
      <w:r w:rsidR="00107E03">
        <w:rPr>
          <w:lang w:val="pl-PL"/>
        </w:rPr>
        <w:t xml:space="preserve">skarżących </w:t>
      </w:r>
      <w:r w:rsidRPr="00C24C31">
        <w:rPr>
          <w:i/>
          <w:lang w:val="pl-PL"/>
        </w:rPr>
        <w:t>de facto</w:t>
      </w:r>
      <w:r w:rsidR="00107E03">
        <w:rPr>
          <w:i/>
          <w:lang w:val="pl-PL"/>
        </w:rPr>
        <w:t>,</w:t>
      </w:r>
      <w:r>
        <w:rPr>
          <w:lang w:val="pl-PL"/>
        </w:rPr>
        <w:t xml:space="preserve"> bez jakiejkolwiek formalnej decyzji pozbawiło </w:t>
      </w:r>
      <w:r w:rsidR="00107E03">
        <w:rPr>
          <w:lang w:val="pl-PL"/>
        </w:rPr>
        <w:t xml:space="preserve">ich </w:t>
      </w:r>
      <w:r>
        <w:rPr>
          <w:lang w:val="pl-PL"/>
        </w:rPr>
        <w:t xml:space="preserve">konstytucyjnych gwarancji </w:t>
      </w:r>
      <w:r w:rsidRPr="00C24C31">
        <w:rPr>
          <w:i/>
          <w:lang w:val="pl-PL"/>
        </w:rPr>
        <w:t>habeas corpus</w:t>
      </w:r>
      <w:r>
        <w:rPr>
          <w:lang w:val="pl-PL"/>
        </w:rPr>
        <w:t xml:space="preserve"> przy</w:t>
      </w:r>
      <w:r w:rsidR="00240CBA">
        <w:rPr>
          <w:lang w:val="pl-PL"/>
        </w:rPr>
        <w:t>sługujących</w:t>
      </w:r>
      <w:r>
        <w:rPr>
          <w:lang w:val="pl-PL"/>
        </w:rPr>
        <w:t xml:space="preserve"> osobom umieszczanym w ośrodkach w celu wydalenia, czego nie można pogodzić z celem art. 5 nawet w </w:t>
      </w:r>
      <w:r w:rsidR="00201F7E">
        <w:rPr>
          <w:lang w:val="pl-PL"/>
        </w:rPr>
        <w:t>kontekście kryzysu migracyjnego. Doszło</w:t>
      </w:r>
      <w:r>
        <w:rPr>
          <w:lang w:val="pl-PL"/>
        </w:rPr>
        <w:t xml:space="preserve"> także </w:t>
      </w:r>
      <w:r w:rsidR="00201F7E">
        <w:rPr>
          <w:lang w:val="pl-PL"/>
        </w:rPr>
        <w:t>do naruszenia</w:t>
      </w:r>
      <w:r>
        <w:rPr>
          <w:lang w:val="pl-PL"/>
        </w:rPr>
        <w:t xml:space="preserve"> art. 13</w:t>
      </w:r>
      <w:r w:rsidR="009D2614">
        <w:rPr>
          <w:lang w:val="pl-PL"/>
        </w:rPr>
        <w:t xml:space="preserve"> </w:t>
      </w:r>
      <w:r>
        <w:rPr>
          <w:lang w:val="pl-PL"/>
        </w:rPr>
        <w:t xml:space="preserve">w związku z art. 3 w odniesieniu do warunków pozbawienia wolności. </w:t>
      </w:r>
    </w:p>
    <w:p w:rsidR="00670BD2" w:rsidRPr="00C24C31" w:rsidRDefault="0033314E">
      <w:pPr>
        <w:pStyle w:val="ClinContent"/>
        <w:rPr>
          <w:lang w:val="pl-PL"/>
        </w:rPr>
      </w:pPr>
      <w:r w:rsidRPr="00C24C31">
        <w:rPr>
          <w:lang w:val="pl-PL"/>
        </w:rPr>
        <w:t>Art.</w:t>
      </w:r>
      <w:r w:rsidR="00075C61" w:rsidRPr="00C24C31">
        <w:rPr>
          <w:lang w:val="pl-PL"/>
        </w:rPr>
        <w:t xml:space="preserve"> 41 : 2</w:t>
      </w:r>
      <w:r w:rsidR="00C24C31" w:rsidRPr="00C24C31">
        <w:rPr>
          <w:lang w:val="pl-PL"/>
        </w:rPr>
        <w:t>.</w:t>
      </w:r>
      <w:r w:rsidR="00075C61" w:rsidRPr="00C24C31">
        <w:rPr>
          <w:lang w:val="pl-PL"/>
        </w:rPr>
        <w:t xml:space="preserve">500 EUR </w:t>
      </w:r>
      <w:r w:rsidR="00C24C31">
        <w:rPr>
          <w:lang w:val="pl-PL"/>
        </w:rPr>
        <w:t>dla każdego skarżącego z tytułu szkody moralnej</w:t>
      </w:r>
      <w:r w:rsidR="00075C61" w:rsidRPr="00C24C31">
        <w:rPr>
          <w:lang w:val="pl-PL"/>
        </w:rPr>
        <w:t>.</w:t>
      </w:r>
    </w:p>
    <w:p w:rsidR="00670BD2" w:rsidRPr="00C24C31" w:rsidRDefault="00670BD2">
      <w:pPr>
        <w:pBdr>
          <w:bottom w:val="single" w:sz="8" w:space="1" w:color="auto"/>
        </w:pBdr>
        <w:rPr>
          <w:lang w:val="pl-PL"/>
        </w:rPr>
      </w:pPr>
    </w:p>
    <w:p w:rsidR="0033314E" w:rsidRPr="0074070E" w:rsidRDefault="0033314E" w:rsidP="0033314E">
      <w:pPr>
        <w:pStyle w:val="ClinFooter"/>
        <w:rPr>
          <w:lang w:val="pl-PL"/>
        </w:rPr>
      </w:pPr>
      <w:r w:rsidRPr="0074070E">
        <w:rPr>
          <w:lang w:val="pl-PL"/>
        </w:rPr>
        <w:t>© Council of Europe/European Court of Human Rights</w:t>
      </w:r>
      <w:r w:rsidRPr="0074070E">
        <w:rPr>
          <w:lang w:val="pl-PL"/>
        </w:rPr>
        <w:br/>
        <w:t>Niniejsze streszczenie przygotowane przez Kancelarię nie wiąże Trybunału.</w:t>
      </w:r>
      <w:r w:rsidR="00A32EE3">
        <w:rPr>
          <w:lang w:val="pl-PL"/>
        </w:rPr>
        <w:t xml:space="preserve"> </w:t>
      </w:r>
    </w:p>
    <w:p w:rsidR="0033314E" w:rsidRPr="001D0852" w:rsidRDefault="0033314E" w:rsidP="0033314E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5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450B2F" w:rsidRDefault="00450B2F" w:rsidP="0035068F">
      <w:pPr>
        <w:pStyle w:val="ClinFooter"/>
        <w:jc w:val="left"/>
        <w:rPr>
          <w:lang w:val="pl-PL"/>
        </w:rPr>
      </w:pPr>
    </w:p>
    <w:p w:rsidR="00670BD2" w:rsidRPr="0033314E" w:rsidRDefault="00670BD2" w:rsidP="0035068F">
      <w:pPr>
        <w:pStyle w:val="ClinFooter"/>
        <w:jc w:val="left"/>
        <w:rPr>
          <w:lang w:val="pl-PL"/>
        </w:rPr>
      </w:pPr>
    </w:p>
    <w:sectPr w:rsidR="00670BD2" w:rsidRPr="0033314E" w:rsidSect="004A5B5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91D" w:rsidRDefault="004C591D" w:rsidP="00C63262">
      <w:r>
        <w:separator/>
      </w:r>
    </w:p>
  </w:endnote>
  <w:endnote w:type="continuationSeparator" w:id="0">
    <w:p w:rsidR="004C591D" w:rsidRDefault="004C591D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B16" w:rsidRDefault="00532B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B16" w:rsidRDefault="00532B1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91D" w:rsidRDefault="004C591D" w:rsidP="00C63262">
      <w:r>
        <w:separator/>
      </w:r>
    </w:p>
  </w:footnote>
  <w:footnote w:type="continuationSeparator" w:id="0">
    <w:p w:rsidR="004C591D" w:rsidRDefault="004C591D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B16" w:rsidRDefault="00532B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185E85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E421D"/>
    <w:multiLevelType w:val="hybridMultilevel"/>
    <w:tmpl w:val="9FBC8A36"/>
    <w:lvl w:ilvl="0" w:tplc="8638BC8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300E"/>
    <w:rsid w:val="0002163F"/>
    <w:rsid w:val="000334A6"/>
    <w:rsid w:val="00037CCC"/>
    <w:rsid w:val="00075C61"/>
    <w:rsid w:val="00097888"/>
    <w:rsid w:val="000B3160"/>
    <w:rsid w:val="000D0621"/>
    <w:rsid w:val="000E7CBB"/>
    <w:rsid w:val="000F13B5"/>
    <w:rsid w:val="00107377"/>
    <w:rsid w:val="00107E03"/>
    <w:rsid w:val="00143602"/>
    <w:rsid w:val="001769E4"/>
    <w:rsid w:val="00185E85"/>
    <w:rsid w:val="00186560"/>
    <w:rsid w:val="0019193C"/>
    <w:rsid w:val="001D05DB"/>
    <w:rsid w:val="001D241C"/>
    <w:rsid w:val="001D33DA"/>
    <w:rsid w:val="001F6330"/>
    <w:rsid w:val="00201F7E"/>
    <w:rsid w:val="0021274F"/>
    <w:rsid w:val="00212E83"/>
    <w:rsid w:val="00240CBA"/>
    <w:rsid w:val="00255D13"/>
    <w:rsid w:val="00283B3E"/>
    <w:rsid w:val="002966E7"/>
    <w:rsid w:val="002A086D"/>
    <w:rsid w:val="002A6B53"/>
    <w:rsid w:val="002E088D"/>
    <w:rsid w:val="0030264F"/>
    <w:rsid w:val="0033314E"/>
    <w:rsid w:val="003450B3"/>
    <w:rsid w:val="0035068F"/>
    <w:rsid w:val="00356BA4"/>
    <w:rsid w:val="00386958"/>
    <w:rsid w:val="003A64A6"/>
    <w:rsid w:val="003D7BB3"/>
    <w:rsid w:val="003E4E2C"/>
    <w:rsid w:val="004424E3"/>
    <w:rsid w:val="00450B2F"/>
    <w:rsid w:val="0046453F"/>
    <w:rsid w:val="004A5B52"/>
    <w:rsid w:val="004C591D"/>
    <w:rsid w:val="004C6741"/>
    <w:rsid w:val="004D568D"/>
    <w:rsid w:val="004E1037"/>
    <w:rsid w:val="004F6E68"/>
    <w:rsid w:val="0052092D"/>
    <w:rsid w:val="00532B16"/>
    <w:rsid w:val="00540D75"/>
    <w:rsid w:val="005514E5"/>
    <w:rsid w:val="00555B05"/>
    <w:rsid w:val="00561C9F"/>
    <w:rsid w:val="006028A1"/>
    <w:rsid w:val="00631A28"/>
    <w:rsid w:val="00632F29"/>
    <w:rsid w:val="006570C1"/>
    <w:rsid w:val="00670BD2"/>
    <w:rsid w:val="006A36AD"/>
    <w:rsid w:val="006B05B9"/>
    <w:rsid w:val="006B393A"/>
    <w:rsid w:val="006C1D96"/>
    <w:rsid w:val="006D0DE8"/>
    <w:rsid w:val="006E591E"/>
    <w:rsid w:val="0071773F"/>
    <w:rsid w:val="007208E4"/>
    <w:rsid w:val="00774515"/>
    <w:rsid w:val="007A6E11"/>
    <w:rsid w:val="008744E2"/>
    <w:rsid w:val="008941E5"/>
    <w:rsid w:val="00895EF3"/>
    <w:rsid w:val="008B7D6C"/>
    <w:rsid w:val="008C377B"/>
    <w:rsid w:val="008C64D5"/>
    <w:rsid w:val="008C69B7"/>
    <w:rsid w:val="00903D38"/>
    <w:rsid w:val="009312E9"/>
    <w:rsid w:val="009B12EF"/>
    <w:rsid w:val="009B3B2C"/>
    <w:rsid w:val="009C312D"/>
    <w:rsid w:val="009D2614"/>
    <w:rsid w:val="009E20A6"/>
    <w:rsid w:val="009E3EF0"/>
    <w:rsid w:val="00A01052"/>
    <w:rsid w:val="00A04D9C"/>
    <w:rsid w:val="00A258BB"/>
    <w:rsid w:val="00A32EE3"/>
    <w:rsid w:val="00A33541"/>
    <w:rsid w:val="00A45616"/>
    <w:rsid w:val="00A5321C"/>
    <w:rsid w:val="00A83B22"/>
    <w:rsid w:val="00A978DD"/>
    <w:rsid w:val="00AC7726"/>
    <w:rsid w:val="00B620E5"/>
    <w:rsid w:val="00B80CA0"/>
    <w:rsid w:val="00B85770"/>
    <w:rsid w:val="00B90EA0"/>
    <w:rsid w:val="00BF1CD9"/>
    <w:rsid w:val="00C01308"/>
    <w:rsid w:val="00C24C31"/>
    <w:rsid w:val="00C37433"/>
    <w:rsid w:val="00C63262"/>
    <w:rsid w:val="00C65C20"/>
    <w:rsid w:val="00C7061D"/>
    <w:rsid w:val="00C72355"/>
    <w:rsid w:val="00C93CFB"/>
    <w:rsid w:val="00CC7210"/>
    <w:rsid w:val="00CF7BA6"/>
    <w:rsid w:val="00D42086"/>
    <w:rsid w:val="00D425B3"/>
    <w:rsid w:val="00D770C9"/>
    <w:rsid w:val="00DA2BC0"/>
    <w:rsid w:val="00DC20F0"/>
    <w:rsid w:val="00E07900"/>
    <w:rsid w:val="00E37ED7"/>
    <w:rsid w:val="00E55491"/>
    <w:rsid w:val="00E83DB6"/>
    <w:rsid w:val="00E85FFE"/>
    <w:rsid w:val="00EA53E7"/>
    <w:rsid w:val="00EC172E"/>
    <w:rsid w:val="00EE22EF"/>
    <w:rsid w:val="00F508C9"/>
    <w:rsid w:val="00F50CCD"/>
    <w:rsid w:val="00F5247C"/>
    <w:rsid w:val="00F54DB1"/>
    <w:rsid w:val="00F70A1F"/>
    <w:rsid w:val="00FA29ED"/>
    <w:rsid w:val="00FC6A24"/>
    <w:rsid w:val="00FD0D58"/>
    <w:rsid w:val="00FD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Tekstprzypisukocowego">
    <w:name w:val="endnote text"/>
    <w:basedOn w:val="Normalny"/>
    <w:link w:val="TekstprzypisukocowegoZnak"/>
    <w:semiHidden/>
    <w:unhideWhenUsed/>
    <w:rsid w:val="006B05B9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6B05B9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6B05B9"/>
    <w:rPr>
      <w:vertAlign w:val="superscript"/>
    </w:rPr>
  </w:style>
  <w:style w:type="paragraph" w:customStyle="1" w:styleId="s746c8714">
    <w:name w:val="s746c8714"/>
    <w:basedOn w:val="Normalny"/>
    <w:rsid w:val="004C674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4C674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4C6741"/>
  </w:style>
  <w:style w:type="character" w:customStyle="1" w:styleId="object">
    <w:name w:val="object"/>
    <w:basedOn w:val="Domylnaczcionkaakapitu"/>
    <w:rsid w:val="004C6741"/>
  </w:style>
  <w:style w:type="character" w:customStyle="1" w:styleId="sfbbfee58">
    <w:name w:val="sfbbfee58"/>
    <w:basedOn w:val="Domylnaczcionkaakapitu"/>
    <w:rsid w:val="00EE22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Tekstprzypisukocowego">
    <w:name w:val="endnote text"/>
    <w:basedOn w:val="Normalny"/>
    <w:link w:val="TekstprzypisukocowegoZnak"/>
    <w:semiHidden/>
    <w:unhideWhenUsed/>
    <w:rsid w:val="006B05B9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6B05B9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6B05B9"/>
    <w:rPr>
      <w:vertAlign w:val="superscript"/>
    </w:rPr>
  </w:style>
  <w:style w:type="paragraph" w:customStyle="1" w:styleId="s746c8714">
    <w:name w:val="s746c8714"/>
    <w:basedOn w:val="Normalny"/>
    <w:rsid w:val="004C674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4C674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4C6741"/>
  </w:style>
  <w:style w:type="character" w:customStyle="1" w:styleId="object">
    <w:name w:val="object"/>
    <w:basedOn w:val="Domylnaczcionkaakapitu"/>
    <w:rsid w:val="004C6741"/>
  </w:style>
  <w:style w:type="character" w:customStyle="1" w:styleId="sfbbfee58">
    <w:name w:val="sfbbfee58"/>
    <w:basedOn w:val="Domylnaczcionkaakapitu"/>
    <w:rsid w:val="00EE2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8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hudoc.echr.coe.int/fre?i=002-10134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fre?i=002-9977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fre?i=002-10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chr.coe.int/NoteInformation/e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hudoc.echr.coe.int/fre?i=002-5465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fre?i=002-10681" TargetMode="External"/><Relationship Id="rId14" Type="http://schemas.openxmlformats.org/officeDocument/2006/relationships/hyperlink" Target="http://hudoc.echr.coe.int/fre?i=002-7331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2055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2017-05-24T09:02:00Z</dcterms:created>
  <dcterms:modified xsi:type="dcterms:W3CDTF">2017-06-21T12:12:00Z</dcterms:modified>
</cp:coreProperties>
</file>