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16B3" w:rsidRDefault="00B916B3" w:rsidP="00B916B3">
      <w:pPr>
        <w:pStyle w:val="s6e50bd9a"/>
        <w:spacing w:after="120" w:afterAutospacing="0"/>
        <w:jc w:val="both"/>
        <w:rPr>
          <w:rFonts w:ascii="Arial" w:hAnsi="Arial" w:cs="Arial"/>
        </w:rPr>
      </w:pPr>
      <w:r>
        <w:rPr>
          <w:rStyle w:val="s4f807e54"/>
          <w:rFonts w:ascii="Arial" w:hAnsi="Arial" w:cs="Arial"/>
          <w:color w:val="000000"/>
          <w:sz w:val="20"/>
          <w:szCs w:val="20"/>
        </w:rPr>
        <w:t>©</w:t>
      </w:r>
      <w:r>
        <w:rPr>
          <w:rStyle w:val="s4f807e54"/>
          <w:rFonts w:ascii="Arial" w:hAnsi="Arial" w:cs="Arial"/>
          <w:color w:val="1F497D"/>
          <w:sz w:val="20"/>
          <w:szCs w:val="20"/>
        </w:rPr>
        <w:t xml:space="preserve"> </w:t>
      </w:r>
      <w:r>
        <w:rPr>
          <w:rStyle w:val="s4f807e54"/>
          <w:rFonts w:ascii="Arial" w:eastAsia="MS Mincho" w:hAnsi="Arial" w:cs="Arial"/>
          <w:sz w:val="20"/>
          <w:szCs w:val="20"/>
        </w:rPr>
        <w:t>Ministerstwo Spraw Zagranicznych</w:t>
      </w:r>
      <w:r>
        <w:rPr>
          <w:rStyle w:val="s4f807e54"/>
          <w:rFonts w:ascii="Arial" w:hAnsi="Arial" w:cs="Arial"/>
          <w:color w:val="000000"/>
          <w:sz w:val="20"/>
          <w:szCs w:val="20"/>
        </w:rPr>
        <w:t xml:space="preserve">, </w:t>
      </w:r>
      <w:hyperlink r:id="rId8" w:history="1">
        <w:r>
          <w:rPr>
            <w:rStyle w:val="Hipercze"/>
            <w:rFonts w:ascii="Arial" w:hAnsi="Arial" w:cs="Arial"/>
            <w:sz w:val="20"/>
            <w:szCs w:val="20"/>
          </w:rPr>
          <w:t>www.msz.gov.pl</w:t>
        </w:r>
      </w:hyperlink>
      <w:r>
        <w:rPr>
          <w:rStyle w:val="object"/>
          <w:rFonts w:ascii="Arial" w:hAnsi="Arial" w:cs="Arial"/>
          <w:color w:val="000000"/>
          <w:sz w:val="20"/>
          <w:szCs w:val="20"/>
        </w:rPr>
        <w:t xml:space="preserve"> </w:t>
      </w:r>
      <w:r>
        <w:rPr>
          <w:rStyle w:val="s4f807e54"/>
          <w:rFonts w:ascii="Arial" w:hAnsi="Arial" w:cs="Arial"/>
          <w:color w:val="000000"/>
          <w:sz w:val="20"/>
          <w:szCs w:val="20"/>
        </w:rPr>
        <w:t xml:space="preserve">  </w:t>
      </w:r>
    </w:p>
    <w:p w:rsidR="00B916B3" w:rsidRDefault="00B916B3" w:rsidP="006C67C7">
      <w:pPr>
        <w:pStyle w:val="ClinEditionNumber"/>
        <w:jc w:val="center"/>
        <w:rPr>
          <w:lang w:val="pl-PL"/>
        </w:rPr>
      </w:pPr>
      <w:bookmarkStart w:id="0" w:name="_GoBack"/>
      <w:bookmarkEnd w:id="0"/>
    </w:p>
    <w:p w:rsidR="006C67C7" w:rsidRDefault="006C67C7" w:rsidP="006C67C7">
      <w:pPr>
        <w:pStyle w:val="ClinEditionNumber"/>
        <w:jc w:val="center"/>
        <w:rPr>
          <w:lang w:val="pl-PL"/>
        </w:rPr>
      </w:pPr>
      <w:r>
        <w:rPr>
          <w:lang w:val="pl-PL"/>
        </w:rPr>
        <w:t>EUROPEJSKI TRYBUNAŁ PRAW CZŁOWIEKA</w:t>
      </w:r>
    </w:p>
    <w:p w:rsidR="00E251A3" w:rsidRPr="006C67C7" w:rsidRDefault="006C67C7" w:rsidP="006C67C7">
      <w:pPr>
        <w:pStyle w:val="ClinEditionNumber"/>
        <w:rPr>
          <w:lang w:val="pl-PL"/>
        </w:rPr>
      </w:pPr>
      <w:r w:rsidRPr="00557F20">
        <w:rPr>
          <w:lang w:val="pl-PL"/>
        </w:rPr>
        <w:t xml:space="preserve">Nota </w:t>
      </w:r>
      <w:r>
        <w:rPr>
          <w:lang w:val="pl-PL"/>
        </w:rPr>
        <w:t>i</w:t>
      </w:r>
      <w:r w:rsidRPr="00557F20">
        <w:rPr>
          <w:lang w:val="pl-PL"/>
        </w:rPr>
        <w:t xml:space="preserve">nformacyjna nt. </w:t>
      </w:r>
      <w:r>
        <w:rPr>
          <w:lang w:val="pl-PL"/>
        </w:rPr>
        <w:t>o</w:t>
      </w:r>
      <w:r w:rsidRPr="00557F20">
        <w:rPr>
          <w:lang w:val="pl-PL"/>
        </w:rPr>
        <w:t xml:space="preserve">rzecznictwa Trybunału nr </w:t>
      </w:r>
      <w:r w:rsidR="000A5E42" w:rsidRPr="006C67C7">
        <w:rPr>
          <w:lang w:val="pl-PL"/>
        </w:rPr>
        <w:t>198</w:t>
      </w:r>
    </w:p>
    <w:p w:rsidR="00E251A3" w:rsidRPr="006C67C7" w:rsidRDefault="00AC4387">
      <w:pPr>
        <w:pStyle w:val="ClinEditionMonth"/>
        <w:rPr>
          <w:lang w:val="pl-PL"/>
        </w:rPr>
      </w:pPr>
      <w:r>
        <w:rPr>
          <w:lang w:val="pl-PL"/>
        </w:rPr>
        <w:t>Lipiec</w:t>
      </w:r>
      <w:r w:rsidR="000A5E42" w:rsidRPr="006C67C7">
        <w:rPr>
          <w:lang w:val="pl-PL"/>
        </w:rPr>
        <w:t xml:space="preserve"> 2016</w:t>
      </w:r>
      <w:r>
        <w:rPr>
          <w:lang w:val="pl-PL"/>
        </w:rPr>
        <w:t xml:space="preserve"> r.</w:t>
      </w:r>
    </w:p>
    <w:p w:rsidR="00E251A3" w:rsidRPr="006C67C7" w:rsidRDefault="000A5E42">
      <w:pPr>
        <w:rPr>
          <w:lang w:val="pl-PL"/>
        </w:rPr>
      </w:pPr>
      <w:proofErr w:type="spellStart"/>
      <w:r w:rsidRPr="006C67C7">
        <w:rPr>
          <w:rStyle w:val="ClinCaseTitle"/>
          <w:lang w:val="pl-PL"/>
        </w:rPr>
        <w:t>Jeronovičs</w:t>
      </w:r>
      <w:proofErr w:type="spellEnd"/>
      <w:r w:rsidRPr="006C67C7">
        <w:rPr>
          <w:rStyle w:val="ClinCaseTitle"/>
          <w:lang w:val="pl-PL"/>
        </w:rPr>
        <w:t xml:space="preserve"> </w:t>
      </w:r>
      <w:r w:rsidR="006C67C7">
        <w:rPr>
          <w:rStyle w:val="ClinCaseTitle"/>
          <w:lang w:val="pl-PL"/>
        </w:rPr>
        <w:t>p.</w:t>
      </w:r>
      <w:r w:rsidRPr="006C67C7">
        <w:rPr>
          <w:rStyle w:val="ClinCaseTitle"/>
          <w:lang w:val="pl-PL"/>
        </w:rPr>
        <w:t xml:space="preserve"> </w:t>
      </w:r>
      <w:r w:rsidR="00AD75EC">
        <w:rPr>
          <w:rStyle w:val="ClinCaseTitle"/>
          <w:lang w:val="pl-PL"/>
        </w:rPr>
        <w:t xml:space="preserve">Łotwie </w:t>
      </w:r>
      <w:r w:rsidR="006C67C7">
        <w:rPr>
          <w:rStyle w:val="ClinCaseTitle"/>
          <w:lang w:val="pl-PL"/>
        </w:rPr>
        <w:t>[Wielka Izba]</w:t>
      </w:r>
      <w:r w:rsidR="00D915FD">
        <w:rPr>
          <w:rStyle w:val="ClinCaseTitle"/>
          <w:lang w:val="pl-PL"/>
        </w:rPr>
        <w:t xml:space="preserve"> </w:t>
      </w:r>
      <w:r w:rsidRPr="006C67C7">
        <w:rPr>
          <w:rStyle w:val="ClinApplicationNumber"/>
          <w:lang w:val="pl-PL"/>
        </w:rPr>
        <w:t xml:space="preserve">- </w:t>
      </w:r>
      <w:r w:rsidR="006C67C7">
        <w:rPr>
          <w:rStyle w:val="ClinApplicationNumber"/>
          <w:lang w:val="pl-PL"/>
        </w:rPr>
        <w:t xml:space="preserve">skarga nr </w:t>
      </w:r>
      <w:r w:rsidRPr="006C67C7">
        <w:rPr>
          <w:rStyle w:val="ClinApplicationNumber"/>
          <w:lang w:val="pl-PL"/>
        </w:rPr>
        <w:t>44898/10</w:t>
      </w:r>
    </w:p>
    <w:p w:rsidR="00E251A3" w:rsidRPr="00AD75EC" w:rsidRDefault="00AC4387">
      <w:pPr>
        <w:rPr>
          <w:lang w:val="pl-PL"/>
        </w:rPr>
      </w:pPr>
      <w:r w:rsidRPr="00AD75EC">
        <w:rPr>
          <w:rStyle w:val="ClinHudocDocumentTitle"/>
          <w:lang w:val="pl-PL"/>
        </w:rPr>
        <w:t xml:space="preserve">Wyrok z </w:t>
      </w:r>
      <w:r w:rsidR="000A5E42" w:rsidRPr="00AD75EC">
        <w:rPr>
          <w:rStyle w:val="ClinHudocDocumentTitle"/>
          <w:lang w:val="pl-PL"/>
        </w:rPr>
        <w:t>5.</w:t>
      </w:r>
      <w:r w:rsidR="004F0D3D">
        <w:rPr>
          <w:rStyle w:val="ClinHudocDocumentTitle"/>
          <w:lang w:val="pl-PL"/>
        </w:rPr>
        <w:t>0</w:t>
      </w:r>
      <w:r w:rsidR="000A5E42" w:rsidRPr="00AD75EC">
        <w:rPr>
          <w:rStyle w:val="ClinHudocDocumentTitle"/>
          <w:lang w:val="pl-PL"/>
        </w:rPr>
        <w:t>7.2016</w:t>
      </w:r>
      <w:r w:rsidRPr="00AD75EC">
        <w:rPr>
          <w:rStyle w:val="ClinHudocDocumentTitle"/>
          <w:lang w:val="pl-PL"/>
        </w:rPr>
        <w:t xml:space="preserve"> r.</w:t>
      </w:r>
      <w:r w:rsidR="000A5E42" w:rsidRPr="00AD75EC">
        <w:rPr>
          <w:rStyle w:val="ClinSectionName"/>
          <w:lang w:val="pl-PL"/>
        </w:rPr>
        <w:t xml:space="preserve"> </w:t>
      </w:r>
      <w:r w:rsidR="006C67C7" w:rsidRPr="00AD75EC">
        <w:rPr>
          <w:rStyle w:val="ClinSectionName"/>
          <w:lang w:val="pl-PL"/>
        </w:rPr>
        <w:t>[Wielka Izba]</w:t>
      </w:r>
    </w:p>
    <w:p w:rsidR="00E251A3" w:rsidRPr="00501504" w:rsidRDefault="000A5E42">
      <w:pPr>
        <w:pStyle w:val="ClinMainKeywordCode"/>
        <w:rPr>
          <w:lang w:val="pl-PL"/>
        </w:rPr>
      </w:pPr>
      <w:r w:rsidRPr="00501504">
        <w:rPr>
          <w:lang w:val="pl-PL"/>
        </w:rPr>
        <w:t>Art</w:t>
      </w:r>
      <w:r w:rsidR="00AC4387" w:rsidRPr="00501504">
        <w:rPr>
          <w:lang w:val="pl-PL"/>
        </w:rPr>
        <w:t>.</w:t>
      </w:r>
      <w:r w:rsidRPr="00501504">
        <w:rPr>
          <w:lang w:val="pl-PL"/>
        </w:rPr>
        <w:t xml:space="preserve"> 37</w:t>
      </w:r>
    </w:p>
    <w:p w:rsidR="00E251A3" w:rsidRPr="00501504" w:rsidRDefault="000A5E42">
      <w:pPr>
        <w:pStyle w:val="ClinChildKeywordCode"/>
        <w:rPr>
          <w:lang w:val="pl-PL"/>
        </w:rPr>
      </w:pPr>
      <w:r w:rsidRPr="00501504">
        <w:rPr>
          <w:lang w:val="pl-PL"/>
        </w:rPr>
        <w:t>Art</w:t>
      </w:r>
      <w:r w:rsidR="00AC4387" w:rsidRPr="00501504">
        <w:rPr>
          <w:lang w:val="pl-PL"/>
        </w:rPr>
        <w:t>. 37 ust. 1</w:t>
      </w:r>
    </w:p>
    <w:p w:rsidR="00E251A3" w:rsidRPr="00501504" w:rsidRDefault="00AC4387">
      <w:pPr>
        <w:pStyle w:val="ClinKeyword"/>
        <w:rPr>
          <w:lang w:val="pl-PL"/>
        </w:rPr>
      </w:pPr>
      <w:r w:rsidRPr="00501504">
        <w:rPr>
          <w:lang w:val="pl-PL"/>
        </w:rPr>
        <w:t xml:space="preserve">Skreślenie skarg </w:t>
      </w:r>
    </w:p>
    <w:p w:rsidR="00AC4387" w:rsidRPr="00AC4387" w:rsidRDefault="00AC4387" w:rsidP="002704D3">
      <w:pPr>
        <w:jc w:val="both"/>
        <w:rPr>
          <w:rStyle w:val="ClinHeadNote"/>
          <w:lang w:val="pl-PL"/>
        </w:rPr>
      </w:pPr>
      <w:r w:rsidRPr="00AC4387">
        <w:rPr>
          <w:rStyle w:val="ClinHeadNote"/>
          <w:lang w:val="pl-PL"/>
        </w:rPr>
        <w:t>T</w:t>
      </w:r>
      <w:r>
        <w:rPr>
          <w:rStyle w:val="ClinHeadNote"/>
          <w:lang w:val="pl-PL"/>
        </w:rPr>
        <w:t>rwający obowiązek</w:t>
      </w:r>
      <w:r w:rsidRPr="00AC4387">
        <w:rPr>
          <w:rStyle w:val="ClinHeadNote"/>
          <w:lang w:val="pl-PL"/>
        </w:rPr>
        <w:t xml:space="preserve"> po stronie Pozwanego Państwa przeprowadzenia śledztwa w odniesieniu do skarg na podstawie art. 3 Konwencji nawet po decyzji Trybunału o skreśleniu skargi z listy po przedłożeniu przez rząd deklaracji jednostronnej</w:t>
      </w:r>
    </w:p>
    <w:p w:rsidR="00E251A3" w:rsidRPr="002704D3" w:rsidRDefault="000A5E42">
      <w:pPr>
        <w:pStyle w:val="ClinMainKeywordCode"/>
        <w:rPr>
          <w:lang w:val="pl-PL"/>
        </w:rPr>
      </w:pPr>
      <w:r w:rsidRPr="002704D3">
        <w:rPr>
          <w:lang w:val="pl-PL"/>
        </w:rPr>
        <w:t>Art</w:t>
      </w:r>
      <w:r w:rsidR="00AC4387" w:rsidRPr="002704D3">
        <w:rPr>
          <w:lang w:val="pl-PL"/>
        </w:rPr>
        <w:t>.</w:t>
      </w:r>
      <w:r w:rsidRPr="002704D3">
        <w:rPr>
          <w:lang w:val="pl-PL"/>
        </w:rPr>
        <w:t xml:space="preserve"> 3</w:t>
      </w:r>
    </w:p>
    <w:p w:rsidR="00E251A3" w:rsidRPr="002704D3" w:rsidRDefault="00AC4387">
      <w:pPr>
        <w:pStyle w:val="ClinKeyword"/>
        <w:rPr>
          <w:lang w:val="pl-PL"/>
        </w:rPr>
      </w:pPr>
      <w:r w:rsidRPr="002704D3">
        <w:rPr>
          <w:lang w:val="pl-PL"/>
        </w:rPr>
        <w:t xml:space="preserve">Skuteczne śledztwo </w:t>
      </w:r>
    </w:p>
    <w:p w:rsidR="00AC4387" w:rsidRPr="00AC4387" w:rsidRDefault="00AC4387" w:rsidP="002704D3">
      <w:pPr>
        <w:jc w:val="both"/>
        <w:rPr>
          <w:rStyle w:val="ClinHeadNote"/>
          <w:lang w:val="pl-PL"/>
        </w:rPr>
      </w:pPr>
      <w:r w:rsidRPr="00AC4387">
        <w:rPr>
          <w:rStyle w:val="ClinHeadNote"/>
          <w:lang w:val="pl-PL"/>
        </w:rPr>
        <w:t xml:space="preserve">Odmowa wznowienia postępowania karnego, w stosunku do którego rząd przedłożył deklarację jednostronną w postępowaniu przed Trybunałem: </w:t>
      </w:r>
      <w:r w:rsidRPr="004C3A98">
        <w:rPr>
          <w:rStyle w:val="ClinHeadNote"/>
          <w:i/>
          <w:lang w:val="pl-PL"/>
        </w:rPr>
        <w:t>naruszenie</w:t>
      </w:r>
      <w:r w:rsidRPr="00AC4387">
        <w:rPr>
          <w:rStyle w:val="ClinHeadNote"/>
          <w:lang w:val="pl-PL"/>
        </w:rPr>
        <w:t xml:space="preserve"> </w:t>
      </w:r>
    </w:p>
    <w:p w:rsidR="002F3FA7" w:rsidRPr="002F3FA7" w:rsidRDefault="002F3FA7">
      <w:pPr>
        <w:pStyle w:val="ClinContent"/>
        <w:rPr>
          <w:lang w:val="pl-PL"/>
        </w:rPr>
      </w:pPr>
      <w:r w:rsidRPr="002F3FA7">
        <w:rPr>
          <w:i/>
          <w:lang w:val="pl-PL"/>
        </w:rPr>
        <w:t>Fakty</w:t>
      </w:r>
      <w:r w:rsidRPr="002F3FA7">
        <w:rPr>
          <w:lang w:val="pl-PL"/>
        </w:rPr>
        <w:t xml:space="preserve"> – W 1998 r. skarżący wszczął postępowanie karne dotyczącego rzekomego złego traktowania go przez funkcjonariuszy policji. </w:t>
      </w:r>
      <w:r w:rsidRPr="00AD75EC">
        <w:rPr>
          <w:lang w:val="pl-PL"/>
        </w:rPr>
        <w:t xml:space="preserve">Postępowanie to zostało ostatecznie umorzone. </w:t>
      </w:r>
      <w:r w:rsidRPr="002F3FA7">
        <w:rPr>
          <w:lang w:val="pl-PL"/>
        </w:rPr>
        <w:t>W 2001 r. skarż</w:t>
      </w:r>
      <w:r>
        <w:rPr>
          <w:lang w:val="pl-PL"/>
        </w:rPr>
        <w:t>ą</w:t>
      </w:r>
      <w:r w:rsidRPr="002F3FA7">
        <w:rPr>
          <w:lang w:val="pl-PL"/>
        </w:rPr>
        <w:t>cy złożył skargę (nr </w:t>
      </w:r>
      <w:r w:rsidR="006B0042">
        <w:fldChar w:fldCharType="begin"/>
      </w:r>
      <w:r w:rsidR="006B0042" w:rsidRPr="007547F5">
        <w:rPr>
          <w:lang w:val="pl-PL"/>
        </w:rPr>
        <w:instrText xml:space="preserve"> HYPERLINK "http://hudoc.echr.coe.int/eng?i=001-95964" </w:instrText>
      </w:r>
      <w:r w:rsidR="006B0042">
        <w:fldChar w:fldCharType="separate"/>
      </w:r>
      <w:r w:rsidRPr="002F3FA7">
        <w:rPr>
          <w:rStyle w:val="Hipercze"/>
          <w:lang w:val="pl-PL"/>
        </w:rPr>
        <w:t>547/02</w:t>
      </w:r>
      <w:r w:rsidR="006B0042">
        <w:rPr>
          <w:rStyle w:val="Hipercze"/>
          <w:lang w:val="pl-PL"/>
        </w:rPr>
        <w:fldChar w:fldCharType="end"/>
      </w:r>
      <w:r w:rsidRPr="002F3FA7">
        <w:rPr>
          <w:lang w:val="pl-PL"/>
        </w:rPr>
        <w:t xml:space="preserve">) do Europejskiego Trybunału, skarżąc się, między innymi, na złe traktowanie oraz brak skutecznego śledztwa. </w:t>
      </w:r>
      <w:r>
        <w:rPr>
          <w:lang w:val="pl-PL"/>
        </w:rPr>
        <w:t xml:space="preserve">W odniesieniu do tej skargi rząd przedłożył deklarację jednostronną, uznając naruszenie art. 3 i przyznając skarżącemu odszkodowanie. W dniu 10 lutego 2009 r. skarga </w:t>
      </w:r>
      <w:r w:rsidR="00DE5536">
        <w:rPr>
          <w:lang w:val="pl-PL"/>
        </w:rPr>
        <w:t xml:space="preserve">została </w:t>
      </w:r>
      <w:r>
        <w:rPr>
          <w:lang w:val="pl-PL"/>
        </w:rPr>
        <w:t xml:space="preserve">w rezultacie skreślona z listy skarg w zakresie, w jakim dotyczyła ona zarzutów objętych deklaracją jednostronną. W 2010 r. władze odmówiły uwzględnienia wniosku skarżącego o wznowienie postępowania karnego. </w:t>
      </w:r>
    </w:p>
    <w:p w:rsidR="002F3FA7" w:rsidRPr="002F3FA7" w:rsidRDefault="002F3FA7">
      <w:pPr>
        <w:pStyle w:val="ClinContent"/>
        <w:rPr>
          <w:lang w:val="pl-PL"/>
        </w:rPr>
      </w:pPr>
      <w:r w:rsidRPr="002F3FA7">
        <w:rPr>
          <w:lang w:val="pl-PL"/>
        </w:rPr>
        <w:t xml:space="preserve">W obecnej skardze do Europejskiego </w:t>
      </w:r>
      <w:r>
        <w:rPr>
          <w:lang w:val="pl-PL"/>
        </w:rPr>
        <w:t>Trybunał</w:t>
      </w:r>
      <w:r w:rsidRPr="002F3FA7">
        <w:rPr>
          <w:lang w:val="pl-PL"/>
        </w:rPr>
        <w:t xml:space="preserve">u </w:t>
      </w:r>
      <w:r>
        <w:rPr>
          <w:lang w:val="pl-PL"/>
        </w:rPr>
        <w:t xml:space="preserve">skarżący zarzucił, że pomimo uznania przez rząd naruszenia jego praw na gruncie art. 3 Konwencji, władze państwowe nie przeprowadziły odpowiedniego śledztwa w sprawie złego traktowania go przez funkcjonariuszy policji. </w:t>
      </w:r>
    </w:p>
    <w:p w:rsidR="00706D0B" w:rsidRPr="00706D0B" w:rsidRDefault="00706D0B">
      <w:pPr>
        <w:pStyle w:val="ClinContent"/>
        <w:rPr>
          <w:lang w:val="pl-PL"/>
        </w:rPr>
      </w:pPr>
      <w:r w:rsidRPr="00706D0B">
        <w:rPr>
          <w:lang w:val="pl-PL"/>
        </w:rPr>
        <w:t xml:space="preserve">W dniu 3 lutego 2015 r. Izba Trybunału </w:t>
      </w:r>
      <w:r>
        <w:rPr>
          <w:lang w:val="pl-PL"/>
        </w:rPr>
        <w:t xml:space="preserve">zrzekła się właściwości na rzecz Wielkiej Izby. </w:t>
      </w:r>
    </w:p>
    <w:p w:rsidR="00450DF2" w:rsidRPr="00AD75EC" w:rsidRDefault="00450DF2">
      <w:pPr>
        <w:pStyle w:val="ClinContent"/>
        <w:rPr>
          <w:lang w:val="pl-PL"/>
        </w:rPr>
      </w:pPr>
      <w:r w:rsidRPr="00AD75EC">
        <w:rPr>
          <w:lang w:val="pl-PL"/>
        </w:rPr>
        <w:t>Prawo – art. 3</w:t>
      </w:r>
    </w:p>
    <w:p w:rsidR="00301256" w:rsidRPr="00301256" w:rsidRDefault="00301256">
      <w:pPr>
        <w:pStyle w:val="ClinContent"/>
        <w:rPr>
          <w:lang w:val="pl-PL"/>
        </w:rPr>
      </w:pPr>
      <w:r w:rsidRPr="00301256">
        <w:rPr>
          <w:lang w:val="pl-PL"/>
        </w:rPr>
        <w:t xml:space="preserve">(a) </w:t>
      </w:r>
      <w:r w:rsidRPr="00301256">
        <w:rPr>
          <w:i/>
          <w:lang w:val="pl-PL"/>
        </w:rPr>
        <w:t xml:space="preserve">Orzecznictwo i praktyka Trybunału </w:t>
      </w:r>
      <w:proofErr w:type="spellStart"/>
      <w:r w:rsidRPr="00301256">
        <w:rPr>
          <w:i/>
          <w:lang w:val="pl-PL"/>
        </w:rPr>
        <w:t>ws</w:t>
      </w:r>
      <w:proofErr w:type="spellEnd"/>
      <w:r w:rsidRPr="00301256">
        <w:rPr>
          <w:i/>
          <w:lang w:val="pl-PL"/>
        </w:rPr>
        <w:t>. deklaracji jednostronnych</w:t>
      </w:r>
      <w:r>
        <w:rPr>
          <w:i/>
          <w:lang w:val="pl-PL"/>
        </w:rPr>
        <w:t xml:space="preserve"> </w:t>
      </w:r>
      <w:r w:rsidRPr="00301256">
        <w:rPr>
          <w:lang w:val="pl-PL"/>
        </w:rPr>
        <w:t>– Przy podejmowaniu decyzji, czy skarga</w:t>
      </w:r>
      <w:r>
        <w:rPr>
          <w:i/>
          <w:lang w:val="pl-PL"/>
        </w:rPr>
        <w:t xml:space="preserve"> </w:t>
      </w:r>
      <w:r w:rsidRPr="00301256">
        <w:rPr>
          <w:lang w:val="pl-PL"/>
        </w:rPr>
        <w:t>lub jej część</w:t>
      </w:r>
      <w:r>
        <w:rPr>
          <w:i/>
          <w:lang w:val="pl-PL"/>
        </w:rPr>
        <w:t xml:space="preserve"> </w:t>
      </w:r>
      <w:r>
        <w:rPr>
          <w:lang w:val="pl-PL"/>
        </w:rPr>
        <w:t xml:space="preserve">powinna być skreślona z listy na </w:t>
      </w:r>
      <w:r>
        <w:rPr>
          <w:lang w:val="pl-PL"/>
        </w:rPr>
        <w:lastRenderedPageBreak/>
        <w:t xml:space="preserve">podstawie art. 37 ust. 1 lit. c Konwencji w oparciu o deklarację jednostronną, pod uwagę </w:t>
      </w:r>
      <w:r w:rsidR="00AD75EC">
        <w:rPr>
          <w:lang w:val="pl-PL"/>
        </w:rPr>
        <w:t xml:space="preserve">powinny być brane </w:t>
      </w:r>
      <w:r>
        <w:rPr>
          <w:lang w:val="pl-PL"/>
        </w:rPr>
        <w:t xml:space="preserve">następujące względy: (i) charakter podniesionych zarzutów, charakter i zakres środków podjętych przez rząd w kontekście wykonywania wyroków Trybunału w poprzednich takich sprawach oraz wpływ tych środków na obecną sprawę; (ii) charakter </w:t>
      </w:r>
      <w:r w:rsidR="00AD75EC">
        <w:rPr>
          <w:lang w:val="pl-PL"/>
        </w:rPr>
        <w:t>ustępstw</w:t>
      </w:r>
      <w:r>
        <w:rPr>
          <w:lang w:val="pl-PL"/>
        </w:rPr>
        <w:t xml:space="preserve"> uczynionych w deklaracji jednostronnej, w szczególności uznanie naruszenia Konwencji oraz wypłata odpowiedniego odszkodowania za to naruszenie; (iii) istnienie właściwego lub „jasnego oraz szerokiego” orzecznictwa w tym z</w:t>
      </w:r>
      <w:r w:rsidR="00AD75EC">
        <w:rPr>
          <w:lang w:val="pl-PL"/>
        </w:rPr>
        <w:t>akresie, to jest, innymi słowy</w:t>
      </w:r>
      <w:r>
        <w:rPr>
          <w:lang w:val="pl-PL"/>
        </w:rPr>
        <w:t xml:space="preserve">, czy kwestie, które są podniesione, są podobne do kwestii już </w:t>
      </w:r>
      <w:r w:rsidR="00AD75EC">
        <w:rPr>
          <w:lang w:val="pl-PL"/>
        </w:rPr>
        <w:t xml:space="preserve">rozstrzygniętych </w:t>
      </w:r>
      <w:r>
        <w:rPr>
          <w:lang w:val="pl-PL"/>
        </w:rPr>
        <w:t>przez Trybunał w poprzednich sprawach; a także (iv) sposób, w jaki rząd zamierza zapewnić zadośćuczynienie skarżącemu</w:t>
      </w:r>
      <w:r w:rsidR="004F1261">
        <w:rPr>
          <w:lang w:val="pl-PL"/>
        </w:rPr>
        <w:t>,</w:t>
      </w:r>
      <w:r>
        <w:rPr>
          <w:lang w:val="pl-PL"/>
        </w:rPr>
        <w:t xml:space="preserve"> </w:t>
      </w:r>
      <w:r w:rsidR="00202081">
        <w:rPr>
          <w:lang w:val="pl-PL"/>
        </w:rPr>
        <w:t xml:space="preserve">oraz </w:t>
      </w:r>
      <w:r>
        <w:rPr>
          <w:lang w:val="pl-PL"/>
        </w:rPr>
        <w:t xml:space="preserve">czy umożliwia </w:t>
      </w:r>
      <w:r w:rsidR="004F1261">
        <w:rPr>
          <w:lang w:val="pl-PL"/>
        </w:rPr>
        <w:t xml:space="preserve">to </w:t>
      </w:r>
      <w:r>
        <w:rPr>
          <w:lang w:val="pl-PL"/>
        </w:rPr>
        <w:t xml:space="preserve">usunięcie skutków zarzucanego naruszenia. Jeśli </w:t>
      </w:r>
      <w:r w:rsidR="00AD75EC">
        <w:rPr>
          <w:lang w:val="pl-PL"/>
        </w:rPr>
        <w:t xml:space="preserve">Trybunał </w:t>
      </w:r>
      <w:r>
        <w:rPr>
          <w:lang w:val="pl-PL"/>
        </w:rPr>
        <w:t xml:space="preserve">jest upewniony co do powyższych kwestii, bada, czy uzasadnione </w:t>
      </w:r>
      <w:r w:rsidR="00AD75EC">
        <w:rPr>
          <w:lang w:val="pl-PL"/>
        </w:rPr>
        <w:t xml:space="preserve">jest </w:t>
      </w:r>
      <w:r>
        <w:rPr>
          <w:lang w:val="pl-PL"/>
        </w:rPr>
        <w:t xml:space="preserve">dalsze rozpatrywanie skargi lub jej właściwej części, i czy poszanowanie praw człowieka nie wymaga dalszego jej rozpatrywania. Jeśli warunki </w:t>
      </w:r>
      <w:r w:rsidR="00AD75EC">
        <w:rPr>
          <w:lang w:val="pl-PL"/>
        </w:rPr>
        <w:t xml:space="preserve">te </w:t>
      </w:r>
      <w:r>
        <w:rPr>
          <w:lang w:val="pl-PL"/>
        </w:rPr>
        <w:t xml:space="preserve">są spełnione, podejmuje decyzję o skreśleniu skargi lub jej części z listy spraw. </w:t>
      </w:r>
    </w:p>
    <w:p w:rsidR="00F33CC2" w:rsidRPr="00F33CC2" w:rsidRDefault="00F33CC2">
      <w:pPr>
        <w:pStyle w:val="ClinContent"/>
        <w:rPr>
          <w:lang w:val="pl-PL"/>
        </w:rPr>
      </w:pPr>
      <w:r w:rsidRPr="00F33CC2">
        <w:rPr>
          <w:lang w:val="pl-PL"/>
        </w:rPr>
        <w:t xml:space="preserve">Nawet po zaakceptowaniu deklaracji jednostronnej i decyzji o skreśleniu skargi (lub jej części) z listy spraw, Trybunał zastrzega sobie prawo </w:t>
      </w:r>
      <w:r>
        <w:rPr>
          <w:lang w:val="pl-PL"/>
        </w:rPr>
        <w:t xml:space="preserve">ponownego przywrócenia skargi (lub jej części) na listę spraw. Przy wykonywaniu tego uprawnienia Trybunał przeprowadza dogłębne badanie zakresu i zasięgu różnych zobowiązań zawartych w deklaracji jednostronnej, zaakceptowanych w decyzji o skreśleniu, i przewiduje możliwość sprawdzenia spełnienia przez rząd tych zobowiązań. </w:t>
      </w:r>
      <w:r w:rsidR="001035A5">
        <w:rPr>
          <w:lang w:val="pl-PL"/>
        </w:rPr>
        <w:t xml:space="preserve">Deklaracja jednostronna rządu może zatem być poddana dwukrotnej kontroli Trybunału. Po pierwsze, przed podjęciem decyzji o skreśleniu skargi z listy spraw Trybunał bada charakter </w:t>
      </w:r>
      <w:r w:rsidR="00AD75EC">
        <w:rPr>
          <w:lang w:val="pl-PL"/>
        </w:rPr>
        <w:t>ustępstw</w:t>
      </w:r>
      <w:r w:rsidR="001035A5">
        <w:rPr>
          <w:lang w:val="pl-PL"/>
        </w:rPr>
        <w:t xml:space="preserve"> zawartych w deklaracji jednostronnej, adekwatność odszkodowania oraz czy poszanowanie praw człowieka wymaga dalszego rozpatrywania skargi zgodnie ze wskazanymi wyżej kryteriami. Po drugie, po decyzji o skreśleniu Trybunał może być wezwany do przeprowadzenia nadzoru nad wdrażaniem przez rząd jego zobowiązań i do zbadania, czy zachodzą „wyjątkowe okoliczności”, które uzasadniają ponowne wpisanie skargi (lub jej części) na listę spraw. Przy nadzorowaniu wykonania przez rząd zobowiązań Trybunał jest uprawniony do interpretowania warunków zarówno deklaracji jednostronnej jak i </w:t>
      </w:r>
      <w:r w:rsidR="003A5AE4">
        <w:rPr>
          <w:lang w:val="pl-PL"/>
        </w:rPr>
        <w:t>swo</w:t>
      </w:r>
      <w:r w:rsidR="006050BA">
        <w:rPr>
          <w:lang w:val="pl-PL"/>
        </w:rPr>
        <w:t>jej</w:t>
      </w:r>
      <w:r w:rsidR="0088043F">
        <w:rPr>
          <w:lang w:val="pl-PL"/>
        </w:rPr>
        <w:t xml:space="preserve"> </w:t>
      </w:r>
      <w:r w:rsidR="001035A5">
        <w:rPr>
          <w:lang w:val="pl-PL"/>
        </w:rPr>
        <w:t xml:space="preserve">decyzji o skreśleniu. </w:t>
      </w:r>
    </w:p>
    <w:p w:rsidR="001035A5" w:rsidRPr="001035A5" w:rsidRDefault="001035A5">
      <w:pPr>
        <w:pStyle w:val="ClinContent"/>
        <w:rPr>
          <w:lang w:val="pl-PL"/>
        </w:rPr>
      </w:pPr>
      <w:r w:rsidRPr="001035A5">
        <w:rPr>
          <w:lang w:val="pl-PL"/>
        </w:rPr>
        <w:t xml:space="preserve">(b) </w:t>
      </w:r>
      <w:r w:rsidRPr="001035A5">
        <w:rPr>
          <w:i/>
          <w:lang w:val="pl-PL"/>
        </w:rPr>
        <w:t>Przedmiot skargi</w:t>
      </w:r>
      <w:r w:rsidRPr="001035A5">
        <w:rPr>
          <w:lang w:val="pl-PL"/>
        </w:rPr>
        <w:t xml:space="preserve"> – W decyzji o skreśleniu Trybunał nie wskazał wyraźnie rządowi, czy w dalszym ciągu jest on zobowiązany do przeprowadzenia skutecznego śledztwa, czy też obowiązek ten wygasł na skutek uznania naruszenia i zapłaty odszkodowania. </w:t>
      </w:r>
      <w:r>
        <w:rPr>
          <w:lang w:val="pl-PL"/>
        </w:rPr>
        <w:t>Trybunał musi</w:t>
      </w:r>
      <w:r w:rsidR="004F1261">
        <w:rPr>
          <w:lang w:val="pl-PL"/>
        </w:rPr>
        <w:t>ał</w:t>
      </w:r>
      <w:r>
        <w:rPr>
          <w:lang w:val="pl-PL"/>
        </w:rPr>
        <w:t xml:space="preserve"> zatem zbadać, czy obowiązek taki może wynikać ze zobowiązań rządu zawartych w </w:t>
      </w:r>
      <w:r w:rsidR="00501504">
        <w:rPr>
          <w:lang w:val="pl-PL"/>
        </w:rPr>
        <w:t>jego</w:t>
      </w:r>
      <w:r>
        <w:rPr>
          <w:lang w:val="pl-PL"/>
        </w:rPr>
        <w:t xml:space="preserve"> deklaracji jednostronnej oraz z decyzji Trybunału w sprawie skreślenia skargi skarżącego, lub czy przedmiotowa odmowa ujawnia brak wypełnienia obowiązku proceduralnego, który w dalszym ciągu istnieje po decyzji o skreśleniu. </w:t>
      </w:r>
    </w:p>
    <w:p w:rsidR="001035A5" w:rsidRPr="001035A5" w:rsidRDefault="001035A5">
      <w:pPr>
        <w:pStyle w:val="ClinContent"/>
        <w:rPr>
          <w:lang w:val="pl-PL"/>
        </w:rPr>
      </w:pPr>
      <w:r w:rsidRPr="001035A5">
        <w:rPr>
          <w:lang w:val="pl-PL"/>
        </w:rPr>
        <w:t xml:space="preserve">Trybunał nie znalazł żadnych wyjątkowych okoliczności, które mogłyby uzasadnić </w:t>
      </w:r>
      <w:r>
        <w:rPr>
          <w:lang w:val="pl-PL"/>
        </w:rPr>
        <w:t xml:space="preserve">ponowne wpisanie na listę </w:t>
      </w:r>
      <w:r w:rsidRPr="001035A5">
        <w:rPr>
          <w:lang w:val="pl-PL"/>
        </w:rPr>
        <w:t>części skargi nr 547/02 s</w:t>
      </w:r>
      <w:r>
        <w:rPr>
          <w:lang w:val="pl-PL"/>
        </w:rPr>
        <w:t xml:space="preserve">kreślonej w dniu 10 lutego 2009 r. Jednakże uznał za szczególnie istotną wzmiankę </w:t>
      </w:r>
      <w:r w:rsidR="00AD75EC">
        <w:rPr>
          <w:lang w:val="pl-PL"/>
        </w:rPr>
        <w:t xml:space="preserve">zawartą </w:t>
      </w:r>
      <w:r>
        <w:rPr>
          <w:lang w:val="pl-PL"/>
        </w:rPr>
        <w:t xml:space="preserve">w jego decyzji z 2009 r. na temat faktu, że skarżący zachowuje możliwość korzystania z „innych dostępnych środków w celu uzyskania zadośćuczynienia” jako warunku wstępnego dla decyzji Trybunału o skreśleniu właściwej części skargi z jego listy spraw. Takiej możliwości musi odpowiadać obowiązek po stronie pozwanego rządu zapewnienia środka w formie procedury śledztwa w sprawie złego traktowania skarżącego </w:t>
      </w:r>
      <w:r w:rsidR="003A5AE4">
        <w:rPr>
          <w:lang w:val="pl-PL"/>
        </w:rPr>
        <w:t>przez</w:t>
      </w:r>
      <w:r>
        <w:rPr>
          <w:lang w:val="pl-PL"/>
        </w:rPr>
        <w:t xml:space="preserve"> funkcjonariuszy Państwa. Wypłata odszkodowania nie może wystarczyć, mając na względzie obowiązek Państwa na gruncie art. 3 przeprowadzenia skutecznego śledztwa w sprawie umyślnego złego traktowania przez funkcjonariuszy Państwa. Procedura deklaracji jednostronnej ma charakter wyjątkowy i </w:t>
      </w:r>
      <w:r w:rsidR="0001272D">
        <w:rPr>
          <w:lang w:val="pl-PL"/>
        </w:rPr>
        <w:t xml:space="preserve">nie </w:t>
      </w:r>
      <w:r>
        <w:rPr>
          <w:lang w:val="pl-PL"/>
        </w:rPr>
        <w:t xml:space="preserve">ma na celu </w:t>
      </w:r>
      <w:r w:rsidR="0001272D">
        <w:rPr>
          <w:lang w:val="pl-PL"/>
        </w:rPr>
        <w:t xml:space="preserve">obejścia sprzeciwu skarżącego wobec polubownego załatwienia sprawy ani też umożliwienia rządowi uniknięcia odpowiedzialności za naruszenia najpoważniejszych praw podstawowych zawartych w Konwencji. A zatem, poprzez wypłacenie odszkodowania i uznanie naruszenia różnych postanowień Konwencji </w:t>
      </w:r>
      <w:r w:rsidR="00AD75EC">
        <w:rPr>
          <w:lang w:val="pl-PL"/>
        </w:rPr>
        <w:t>p</w:t>
      </w:r>
      <w:r w:rsidR="0001272D">
        <w:rPr>
          <w:lang w:val="pl-PL"/>
        </w:rPr>
        <w:t xml:space="preserve">ozwane Państwo nie </w:t>
      </w:r>
      <w:r w:rsidR="00AD75EC">
        <w:rPr>
          <w:lang w:val="pl-PL"/>
        </w:rPr>
        <w:t xml:space="preserve">wywiązało się </w:t>
      </w:r>
      <w:r w:rsidR="00B32306">
        <w:rPr>
          <w:lang w:val="pl-PL"/>
        </w:rPr>
        <w:t xml:space="preserve">z </w:t>
      </w:r>
      <w:r w:rsidR="0001272D">
        <w:rPr>
          <w:lang w:val="pl-PL"/>
        </w:rPr>
        <w:t>trwającego obowiązku proceduralnego nałożonego na</w:t>
      </w:r>
      <w:r w:rsidR="00354DF1">
        <w:rPr>
          <w:lang w:val="pl-PL"/>
        </w:rPr>
        <w:t xml:space="preserve"> nie</w:t>
      </w:r>
      <w:r w:rsidR="0001272D">
        <w:rPr>
          <w:lang w:val="pl-PL"/>
        </w:rPr>
        <w:t xml:space="preserve"> na podstawie art. 3 Konwencji. </w:t>
      </w:r>
    </w:p>
    <w:p w:rsidR="0001272D" w:rsidRPr="0001272D" w:rsidRDefault="0001272D">
      <w:pPr>
        <w:pStyle w:val="ClinContent"/>
        <w:rPr>
          <w:lang w:val="pl-PL"/>
        </w:rPr>
      </w:pPr>
      <w:r w:rsidRPr="0001272D">
        <w:rPr>
          <w:lang w:val="pl-PL"/>
        </w:rPr>
        <w:lastRenderedPageBreak/>
        <w:t xml:space="preserve">Na gruncie prawa krajowego skarżący mógł wnioskować o wznowienie śledztwa </w:t>
      </w:r>
      <w:r>
        <w:rPr>
          <w:lang w:val="pl-PL"/>
        </w:rPr>
        <w:t>w przypadku ujawnienia nowych okoliczności i skorzystał z tej możliwości. Jego wniosek został jednak oddalony na tej podstawie, że deklaracja jednostronna rządu nie stanowi nowej ujawnionej okoliczności dla celów wspomnianego prawa krajowego. Chociaż Konwencja co od zasady nie gwarantuje prawa do wznowienia zakończonej sprawy, tym niemniej Trybunał może skontrolować, czy sposób, w jaki władze łotewskie rozpatrzyły wniosek skarżącego, wywołał skutki niezgodne z ich trwającym obowiązkiem przeprowadzenia skutecznego śledztwa. W tym względzie, Trybunał stwierdził, że krajowe przeszkody prawne nie mogą zwolnić Państwa ze spełnienia takiego obowiązku. W przeciwnym razie władze mogłyby ograniczyć swą reakcję na przypadki umyślnego złego traktowania przez funkcjonariuszy Państwa do zaledwie wypłacenia odszkodowani</w:t>
      </w:r>
      <w:r w:rsidR="00354DF1">
        <w:rPr>
          <w:lang w:val="pl-PL"/>
        </w:rPr>
        <w:t>a</w:t>
      </w:r>
      <w:r>
        <w:rPr>
          <w:lang w:val="pl-PL"/>
        </w:rPr>
        <w:t xml:space="preserve">, nie podejmując </w:t>
      </w:r>
      <w:r w:rsidR="00354DF1">
        <w:rPr>
          <w:lang w:val="pl-PL"/>
        </w:rPr>
        <w:t xml:space="preserve">jednocześnie </w:t>
      </w:r>
      <w:r>
        <w:rPr>
          <w:lang w:val="pl-PL"/>
        </w:rPr>
        <w:t xml:space="preserve">wystarczających działań w celu ścigania i karania osób odpowiedzialnych. Umożliwiłoby to w niektórych przypadkach w istocie bezkarne dokonywanie nadużyć ze strony funkcjonariuszy Państwa wobec osób podlegających ich kontroli i sprawiłoby, że ogólny prawny zakaz tortur oraz nieludzkiego i poniżającego traktowania stałby się </w:t>
      </w:r>
      <w:r w:rsidR="00354DF1">
        <w:rPr>
          <w:lang w:val="pl-PL"/>
        </w:rPr>
        <w:t xml:space="preserve">w praktyce </w:t>
      </w:r>
      <w:r>
        <w:rPr>
          <w:lang w:val="pl-PL"/>
        </w:rPr>
        <w:t xml:space="preserve">nieskuteczny, pomimo jego fundamentalnego znaczenia. Wynika z tego, że skarżący nie uzyskał skutecznego śledztwa wymaganego przez art. 3 Konwencji. </w:t>
      </w:r>
    </w:p>
    <w:p w:rsidR="0001272D" w:rsidRPr="00101069" w:rsidRDefault="0001272D">
      <w:pPr>
        <w:pStyle w:val="ClinContent"/>
        <w:rPr>
          <w:lang w:val="pl-PL"/>
        </w:rPr>
      </w:pPr>
      <w:r w:rsidRPr="00101069">
        <w:rPr>
          <w:lang w:val="pl-PL"/>
        </w:rPr>
        <w:t>Rozst</w:t>
      </w:r>
      <w:r w:rsidR="00354DF1">
        <w:rPr>
          <w:lang w:val="pl-PL"/>
        </w:rPr>
        <w:t>rzygnięcie: naruszenie (dziesięcioma głosami</w:t>
      </w:r>
      <w:r w:rsidRPr="00101069">
        <w:rPr>
          <w:lang w:val="pl-PL"/>
        </w:rPr>
        <w:t xml:space="preserve"> do siedmiu)</w:t>
      </w:r>
      <w:r w:rsidR="00B32306">
        <w:rPr>
          <w:lang w:val="pl-PL"/>
        </w:rPr>
        <w:t>.</w:t>
      </w:r>
    </w:p>
    <w:p w:rsidR="00E251A3" w:rsidRPr="00101069" w:rsidRDefault="000A5E42">
      <w:pPr>
        <w:pStyle w:val="ClinContent"/>
        <w:rPr>
          <w:lang w:val="pl-PL"/>
        </w:rPr>
      </w:pPr>
      <w:r w:rsidRPr="00101069">
        <w:rPr>
          <w:lang w:val="pl-PL"/>
        </w:rPr>
        <w:t>Art</w:t>
      </w:r>
      <w:r w:rsidR="00101069" w:rsidRPr="00101069">
        <w:rPr>
          <w:lang w:val="pl-PL"/>
        </w:rPr>
        <w:t>.</w:t>
      </w:r>
      <w:r w:rsidRPr="00101069">
        <w:rPr>
          <w:lang w:val="pl-PL"/>
        </w:rPr>
        <w:t xml:space="preserve"> 41: 4</w:t>
      </w:r>
      <w:r w:rsidR="00101069" w:rsidRPr="00101069">
        <w:rPr>
          <w:lang w:val="pl-PL"/>
        </w:rPr>
        <w:t>.</w:t>
      </w:r>
      <w:r w:rsidRPr="00101069">
        <w:rPr>
          <w:lang w:val="pl-PL"/>
        </w:rPr>
        <w:t xml:space="preserve">000 </w:t>
      </w:r>
      <w:r w:rsidR="00101069" w:rsidRPr="00101069">
        <w:rPr>
          <w:lang w:val="pl-PL"/>
        </w:rPr>
        <w:t>euro z tytułu szkody niemajątkowej</w:t>
      </w:r>
      <w:r w:rsidRPr="00101069">
        <w:rPr>
          <w:lang w:val="pl-PL"/>
        </w:rPr>
        <w:t>.</w:t>
      </w:r>
    </w:p>
    <w:p w:rsidR="00E251A3" w:rsidRPr="00101069" w:rsidRDefault="000A5E42">
      <w:pPr>
        <w:pStyle w:val="ClinContent"/>
        <w:rPr>
          <w:lang w:val="pl-PL"/>
        </w:rPr>
      </w:pPr>
      <w:r w:rsidRPr="00101069">
        <w:rPr>
          <w:lang w:val="pl-PL"/>
        </w:rPr>
        <w:t>(</w:t>
      </w:r>
      <w:r w:rsidR="00101069" w:rsidRPr="00101069">
        <w:rPr>
          <w:lang w:val="pl-PL"/>
        </w:rPr>
        <w:t xml:space="preserve">Zobacz również </w:t>
      </w:r>
      <w:proofErr w:type="spellStart"/>
      <w:r w:rsidRPr="00101069">
        <w:rPr>
          <w:i/>
          <w:lang w:val="pl-PL"/>
        </w:rPr>
        <w:t>Gäfgen</w:t>
      </w:r>
      <w:proofErr w:type="spellEnd"/>
      <w:r w:rsidRPr="00101069">
        <w:rPr>
          <w:i/>
          <w:lang w:val="pl-PL"/>
        </w:rPr>
        <w:t xml:space="preserve"> </w:t>
      </w:r>
      <w:r w:rsidR="006C67C7" w:rsidRPr="00101069">
        <w:rPr>
          <w:i/>
          <w:lang w:val="pl-PL"/>
        </w:rPr>
        <w:t>p.</w:t>
      </w:r>
      <w:r w:rsidRPr="00101069">
        <w:rPr>
          <w:i/>
          <w:lang w:val="pl-PL"/>
        </w:rPr>
        <w:t xml:space="preserve"> </w:t>
      </w:r>
      <w:r w:rsidR="00101069">
        <w:rPr>
          <w:i/>
          <w:lang w:val="pl-PL"/>
        </w:rPr>
        <w:t>Niemcom</w:t>
      </w:r>
      <w:r w:rsidRPr="00101069">
        <w:rPr>
          <w:lang w:val="pl-PL"/>
        </w:rPr>
        <w:t xml:space="preserve"> </w:t>
      </w:r>
      <w:r w:rsidR="006C67C7" w:rsidRPr="00101069">
        <w:rPr>
          <w:lang w:val="pl-PL"/>
        </w:rPr>
        <w:t>[Wielka Izba]</w:t>
      </w:r>
      <w:r w:rsidRPr="00101069">
        <w:rPr>
          <w:lang w:val="pl-PL"/>
        </w:rPr>
        <w:t xml:space="preserve">, </w:t>
      </w:r>
      <w:r w:rsidR="006C67C7" w:rsidRPr="00101069">
        <w:rPr>
          <w:lang w:val="pl-PL"/>
        </w:rPr>
        <w:t xml:space="preserve">skarga nr </w:t>
      </w:r>
      <w:r w:rsidRPr="00101069">
        <w:rPr>
          <w:lang w:val="pl-PL"/>
        </w:rPr>
        <w:t>22978/05, 1 </w:t>
      </w:r>
      <w:r w:rsidR="00101069">
        <w:rPr>
          <w:lang w:val="pl-PL"/>
        </w:rPr>
        <w:t>czerwca</w:t>
      </w:r>
      <w:r w:rsidRPr="00101069">
        <w:rPr>
          <w:lang w:val="pl-PL"/>
        </w:rPr>
        <w:t xml:space="preserve"> 2010</w:t>
      </w:r>
      <w:r w:rsidR="00101069">
        <w:rPr>
          <w:lang w:val="pl-PL"/>
        </w:rPr>
        <w:t xml:space="preserve"> r.</w:t>
      </w:r>
      <w:r w:rsidRPr="00101069">
        <w:rPr>
          <w:lang w:val="pl-PL"/>
        </w:rPr>
        <w:t>,</w:t>
      </w:r>
      <w:r w:rsidR="006050BA" w:rsidRPr="006050BA">
        <w:rPr>
          <w:lang w:val="pl-PL"/>
        </w:rPr>
        <w:t xml:space="preserve"> </w:t>
      </w:r>
      <w:r w:rsidR="006B0042">
        <w:fldChar w:fldCharType="begin"/>
      </w:r>
      <w:r w:rsidR="006B0042" w:rsidRPr="007547F5">
        <w:rPr>
          <w:lang w:val="pl-PL"/>
        </w:rPr>
        <w:instrText xml:space="preserve"> HYPERLINK "http://hudoc.echr.coe.int/eng?i=002-906" </w:instrText>
      </w:r>
      <w:r w:rsidR="006B0042">
        <w:fldChar w:fldCharType="separate"/>
      </w:r>
      <w:r w:rsidR="006050BA" w:rsidRPr="006050BA">
        <w:rPr>
          <w:rStyle w:val="Hipercze"/>
          <w:lang w:val="pl-PL"/>
        </w:rPr>
        <w:t>Not</w:t>
      </w:r>
      <w:r w:rsidR="006050BA">
        <w:rPr>
          <w:rStyle w:val="Hipercze"/>
          <w:lang w:val="pl-PL"/>
        </w:rPr>
        <w:t>a informacyjna nr</w:t>
      </w:r>
      <w:r w:rsidR="006050BA" w:rsidRPr="006050BA">
        <w:rPr>
          <w:rStyle w:val="Hipercze"/>
          <w:lang w:val="pl-PL"/>
        </w:rPr>
        <w:t> 131</w:t>
      </w:r>
      <w:r w:rsidR="006B0042">
        <w:rPr>
          <w:rStyle w:val="Hipercze"/>
          <w:lang w:val="pl-PL"/>
        </w:rPr>
        <w:fldChar w:fldCharType="end"/>
      </w:r>
      <w:r w:rsidRPr="00101069">
        <w:rPr>
          <w:lang w:val="pl-PL"/>
        </w:rPr>
        <w:t xml:space="preserve">; </w:t>
      </w:r>
      <w:proofErr w:type="spellStart"/>
      <w:r w:rsidRPr="00101069">
        <w:rPr>
          <w:i/>
          <w:lang w:val="pl-PL"/>
        </w:rPr>
        <w:t>Tahsin</w:t>
      </w:r>
      <w:proofErr w:type="spellEnd"/>
      <w:r w:rsidRPr="00101069">
        <w:rPr>
          <w:i/>
          <w:lang w:val="pl-PL"/>
        </w:rPr>
        <w:t xml:space="preserve"> </w:t>
      </w:r>
      <w:proofErr w:type="spellStart"/>
      <w:r w:rsidRPr="00101069">
        <w:rPr>
          <w:i/>
          <w:lang w:val="pl-PL"/>
        </w:rPr>
        <w:t>Acar</w:t>
      </w:r>
      <w:proofErr w:type="spellEnd"/>
      <w:r w:rsidRPr="00101069">
        <w:rPr>
          <w:i/>
          <w:lang w:val="pl-PL"/>
        </w:rPr>
        <w:t xml:space="preserve"> </w:t>
      </w:r>
      <w:r w:rsidR="006C67C7" w:rsidRPr="00101069">
        <w:rPr>
          <w:i/>
          <w:lang w:val="pl-PL"/>
        </w:rPr>
        <w:t>p.</w:t>
      </w:r>
      <w:r w:rsidRPr="00101069">
        <w:rPr>
          <w:i/>
          <w:lang w:val="pl-PL"/>
        </w:rPr>
        <w:t> Tur</w:t>
      </w:r>
      <w:r w:rsidR="00101069">
        <w:rPr>
          <w:i/>
          <w:lang w:val="pl-PL"/>
        </w:rPr>
        <w:t>cji</w:t>
      </w:r>
      <w:r w:rsidRPr="00101069">
        <w:rPr>
          <w:lang w:val="pl-PL"/>
        </w:rPr>
        <w:t xml:space="preserve"> (</w:t>
      </w:r>
      <w:r w:rsidR="00101069">
        <w:rPr>
          <w:lang w:val="pl-PL"/>
        </w:rPr>
        <w:t>zastrzeżenia wstępne</w:t>
      </w:r>
      <w:r w:rsidRPr="00101069">
        <w:rPr>
          <w:lang w:val="pl-PL"/>
        </w:rPr>
        <w:t xml:space="preserve">) </w:t>
      </w:r>
      <w:r w:rsidR="006C67C7" w:rsidRPr="00101069">
        <w:rPr>
          <w:lang w:val="pl-PL"/>
        </w:rPr>
        <w:t>[Wielka Izba]</w:t>
      </w:r>
      <w:r w:rsidRPr="00101069">
        <w:rPr>
          <w:lang w:val="pl-PL"/>
        </w:rPr>
        <w:t xml:space="preserve">, </w:t>
      </w:r>
      <w:r w:rsidR="006C67C7" w:rsidRPr="00101069">
        <w:rPr>
          <w:lang w:val="pl-PL"/>
        </w:rPr>
        <w:t xml:space="preserve">skarga nr </w:t>
      </w:r>
      <w:r w:rsidRPr="00101069">
        <w:rPr>
          <w:lang w:val="pl-PL"/>
        </w:rPr>
        <w:t>26307/95, 6 </w:t>
      </w:r>
      <w:r w:rsidR="00101069">
        <w:rPr>
          <w:lang w:val="pl-PL"/>
        </w:rPr>
        <w:t>maja</w:t>
      </w:r>
      <w:r w:rsidRPr="00101069">
        <w:rPr>
          <w:lang w:val="pl-PL"/>
        </w:rPr>
        <w:t xml:space="preserve"> 2003</w:t>
      </w:r>
      <w:r w:rsidR="00101069">
        <w:rPr>
          <w:lang w:val="pl-PL"/>
        </w:rPr>
        <w:t xml:space="preserve"> r.</w:t>
      </w:r>
      <w:r w:rsidRPr="00101069">
        <w:rPr>
          <w:lang w:val="pl-PL"/>
        </w:rPr>
        <w:t xml:space="preserve">, </w:t>
      </w:r>
      <w:r w:rsidR="006B0042">
        <w:fldChar w:fldCharType="begin"/>
      </w:r>
      <w:r w:rsidR="006B0042" w:rsidRPr="007547F5">
        <w:rPr>
          <w:lang w:val="pl-PL"/>
        </w:rPr>
        <w:instrText xml:space="preserve"> HYPERLINK "http://hudoc.echr.coe.int/eng?i=002-4908" </w:instrText>
      </w:r>
      <w:r w:rsidR="006B0042">
        <w:fldChar w:fldCharType="separate"/>
      </w:r>
      <w:r w:rsidR="006C67C7" w:rsidRPr="00101069">
        <w:rPr>
          <w:rStyle w:val="Hipercze"/>
          <w:lang w:val="pl-PL"/>
        </w:rPr>
        <w:t>Nota informacyjna nr</w:t>
      </w:r>
      <w:r w:rsidRPr="00101069">
        <w:rPr>
          <w:rStyle w:val="Hipercze"/>
          <w:lang w:val="pl-PL"/>
        </w:rPr>
        <w:t> 53</w:t>
      </w:r>
      <w:r w:rsidR="006B0042">
        <w:rPr>
          <w:rStyle w:val="Hipercze"/>
          <w:lang w:val="pl-PL"/>
        </w:rPr>
        <w:fldChar w:fldCharType="end"/>
      </w:r>
      <w:r w:rsidRPr="00101069">
        <w:rPr>
          <w:lang w:val="pl-PL"/>
        </w:rPr>
        <w:t xml:space="preserve">; </w:t>
      </w:r>
      <w:proofErr w:type="spellStart"/>
      <w:r w:rsidRPr="00101069">
        <w:rPr>
          <w:i/>
          <w:lang w:val="pl-PL"/>
        </w:rPr>
        <w:t>Žarković</w:t>
      </w:r>
      <w:proofErr w:type="spellEnd"/>
      <w:r w:rsidRPr="00101069">
        <w:rPr>
          <w:i/>
          <w:lang w:val="pl-PL"/>
        </w:rPr>
        <w:t xml:space="preserve"> </w:t>
      </w:r>
      <w:r w:rsidR="00101069">
        <w:rPr>
          <w:i/>
          <w:lang w:val="pl-PL"/>
        </w:rPr>
        <w:t xml:space="preserve">i Inni </w:t>
      </w:r>
      <w:r w:rsidR="006C67C7" w:rsidRPr="00101069">
        <w:rPr>
          <w:i/>
          <w:lang w:val="pl-PL"/>
        </w:rPr>
        <w:t>p.</w:t>
      </w:r>
      <w:r w:rsidRPr="00101069">
        <w:rPr>
          <w:i/>
          <w:lang w:val="pl-PL"/>
        </w:rPr>
        <w:t> C</w:t>
      </w:r>
      <w:r w:rsidR="00101069">
        <w:rPr>
          <w:i/>
          <w:lang w:val="pl-PL"/>
        </w:rPr>
        <w:t>horwacji</w:t>
      </w:r>
      <w:r w:rsidRPr="00101069">
        <w:rPr>
          <w:lang w:val="pl-PL"/>
        </w:rPr>
        <w:t xml:space="preserve"> (dec</w:t>
      </w:r>
      <w:r w:rsidR="00101069">
        <w:rPr>
          <w:lang w:val="pl-PL"/>
        </w:rPr>
        <w:t>yzja</w:t>
      </w:r>
      <w:r w:rsidRPr="00101069">
        <w:rPr>
          <w:lang w:val="pl-PL"/>
        </w:rPr>
        <w:t xml:space="preserve">), </w:t>
      </w:r>
      <w:r w:rsidR="006C67C7" w:rsidRPr="00101069">
        <w:rPr>
          <w:lang w:val="pl-PL"/>
        </w:rPr>
        <w:t xml:space="preserve">skarga nr </w:t>
      </w:r>
      <w:r w:rsidRPr="00101069">
        <w:rPr>
          <w:lang w:val="pl-PL"/>
        </w:rPr>
        <w:t>75187/12, 9 </w:t>
      </w:r>
      <w:r w:rsidR="00101069">
        <w:rPr>
          <w:lang w:val="pl-PL"/>
        </w:rPr>
        <w:t>czerwca</w:t>
      </w:r>
      <w:r w:rsidRPr="00101069">
        <w:rPr>
          <w:lang w:val="pl-PL"/>
        </w:rPr>
        <w:t xml:space="preserve"> 2015</w:t>
      </w:r>
      <w:r w:rsidR="00101069">
        <w:rPr>
          <w:lang w:val="pl-PL"/>
        </w:rPr>
        <w:t xml:space="preserve"> r.</w:t>
      </w:r>
      <w:r w:rsidRPr="00101069">
        <w:rPr>
          <w:lang w:val="pl-PL"/>
        </w:rPr>
        <w:t xml:space="preserve">, </w:t>
      </w:r>
      <w:r w:rsidR="006B0042">
        <w:fldChar w:fldCharType="begin"/>
      </w:r>
      <w:r w:rsidR="006B0042" w:rsidRPr="007547F5">
        <w:rPr>
          <w:lang w:val="pl-PL"/>
        </w:rPr>
        <w:instrText xml:space="preserve"> HYPERLINK "http://hudoc.echr.coe.int/eng?i=002-10664" </w:instrText>
      </w:r>
      <w:r w:rsidR="006B0042">
        <w:fldChar w:fldCharType="separate"/>
      </w:r>
      <w:r w:rsidR="006C67C7" w:rsidRPr="00101069">
        <w:rPr>
          <w:rStyle w:val="Hipercze"/>
          <w:lang w:val="pl-PL"/>
        </w:rPr>
        <w:t>Nota informacyjna nr</w:t>
      </w:r>
      <w:r w:rsidRPr="00101069">
        <w:rPr>
          <w:rStyle w:val="Hipercze"/>
          <w:lang w:val="pl-PL"/>
        </w:rPr>
        <w:t> 187</w:t>
      </w:r>
      <w:r w:rsidR="006B0042">
        <w:rPr>
          <w:rStyle w:val="Hipercze"/>
          <w:lang w:val="pl-PL"/>
        </w:rPr>
        <w:fldChar w:fldCharType="end"/>
      </w:r>
      <w:r w:rsidRPr="00101069">
        <w:rPr>
          <w:lang w:val="pl-PL"/>
        </w:rPr>
        <w:t xml:space="preserve">; </w:t>
      </w:r>
      <w:r w:rsidR="00101069">
        <w:rPr>
          <w:lang w:val="pl-PL"/>
        </w:rPr>
        <w:t xml:space="preserve">oraz </w:t>
      </w:r>
      <w:proofErr w:type="spellStart"/>
      <w:r w:rsidRPr="00101069">
        <w:rPr>
          <w:i/>
          <w:lang w:val="pl-PL"/>
        </w:rPr>
        <w:t>Aleksentseva</w:t>
      </w:r>
      <w:proofErr w:type="spellEnd"/>
      <w:r w:rsidRPr="00101069">
        <w:rPr>
          <w:i/>
          <w:lang w:val="pl-PL"/>
        </w:rPr>
        <w:t xml:space="preserve"> </w:t>
      </w:r>
      <w:r w:rsidR="00101069">
        <w:rPr>
          <w:i/>
          <w:lang w:val="pl-PL"/>
        </w:rPr>
        <w:t xml:space="preserve">i Inni </w:t>
      </w:r>
      <w:r w:rsidR="006C67C7" w:rsidRPr="00101069">
        <w:rPr>
          <w:i/>
          <w:lang w:val="pl-PL"/>
        </w:rPr>
        <w:t>p.</w:t>
      </w:r>
      <w:r w:rsidRPr="00101069">
        <w:rPr>
          <w:i/>
          <w:lang w:val="pl-PL"/>
        </w:rPr>
        <w:t> R</w:t>
      </w:r>
      <w:r w:rsidR="00101069">
        <w:rPr>
          <w:i/>
          <w:lang w:val="pl-PL"/>
        </w:rPr>
        <w:t>osji</w:t>
      </w:r>
      <w:r w:rsidRPr="00101069">
        <w:rPr>
          <w:lang w:val="pl-PL"/>
        </w:rPr>
        <w:t xml:space="preserve">, </w:t>
      </w:r>
      <w:r w:rsidR="006C67C7" w:rsidRPr="00101069">
        <w:rPr>
          <w:lang w:val="pl-PL"/>
        </w:rPr>
        <w:t xml:space="preserve">skarga nr </w:t>
      </w:r>
      <w:r w:rsidRPr="00101069">
        <w:rPr>
          <w:lang w:val="pl-PL"/>
        </w:rPr>
        <w:t xml:space="preserve">75025/01 </w:t>
      </w:r>
      <w:r w:rsidR="006C67C7" w:rsidRPr="00101069">
        <w:rPr>
          <w:lang w:val="pl-PL"/>
        </w:rPr>
        <w:t>i inne</w:t>
      </w:r>
      <w:r w:rsidRPr="00101069">
        <w:rPr>
          <w:lang w:val="pl-PL"/>
        </w:rPr>
        <w:t xml:space="preserve">, </w:t>
      </w:r>
      <w:r w:rsidR="00101069">
        <w:rPr>
          <w:lang w:val="pl-PL"/>
        </w:rPr>
        <w:t xml:space="preserve">decyzje z </w:t>
      </w:r>
      <w:r w:rsidR="006B0042">
        <w:fldChar w:fldCharType="begin"/>
      </w:r>
      <w:r w:rsidR="006B0042" w:rsidRPr="007547F5">
        <w:rPr>
          <w:lang w:val="pl-PL"/>
        </w:rPr>
        <w:instrText xml:space="preserve"> HYPERLINK "http://hudoc.echr.coe.int/eng?i=001-141417" </w:instrText>
      </w:r>
      <w:r w:rsidR="006B0042">
        <w:fldChar w:fldCharType="separate"/>
      </w:r>
      <w:r w:rsidRPr="00101069">
        <w:rPr>
          <w:rStyle w:val="Hipercze"/>
          <w:lang w:val="pl-PL"/>
        </w:rPr>
        <w:t>4 </w:t>
      </w:r>
      <w:r w:rsidR="00101069">
        <w:rPr>
          <w:rStyle w:val="Hipercze"/>
          <w:lang w:val="pl-PL"/>
        </w:rPr>
        <w:t xml:space="preserve">września </w:t>
      </w:r>
      <w:r w:rsidRPr="00101069">
        <w:rPr>
          <w:rStyle w:val="Hipercze"/>
          <w:lang w:val="pl-PL"/>
        </w:rPr>
        <w:t>200</w:t>
      </w:r>
      <w:r w:rsidR="00101069">
        <w:rPr>
          <w:rStyle w:val="Hipercze"/>
          <w:lang w:val="pl-PL"/>
        </w:rPr>
        <w:t>3 r.</w:t>
      </w:r>
      <w:r w:rsidR="006B0042">
        <w:rPr>
          <w:rStyle w:val="Hipercze"/>
          <w:lang w:val="pl-PL"/>
        </w:rPr>
        <w:fldChar w:fldCharType="end"/>
      </w:r>
      <w:r w:rsidRPr="00101069">
        <w:rPr>
          <w:lang w:val="pl-PL"/>
        </w:rPr>
        <w:t xml:space="preserve"> </w:t>
      </w:r>
      <w:r w:rsidR="00101069">
        <w:rPr>
          <w:lang w:val="pl-PL"/>
        </w:rPr>
        <w:t>i</w:t>
      </w:r>
      <w:r w:rsidRPr="00101069">
        <w:rPr>
          <w:lang w:val="pl-PL"/>
        </w:rPr>
        <w:t xml:space="preserve"> </w:t>
      </w:r>
      <w:r w:rsidR="006B0042">
        <w:fldChar w:fldCharType="begin"/>
      </w:r>
      <w:r w:rsidR="006B0042" w:rsidRPr="007547F5">
        <w:rPr>
          <w:lang w:val="pl-PL"/>
        </w:rPr>
        <w:instrText xml:space="preserve"> HYPERLINK "http://hudoc.echr.coe.int/eng?i=001-73362" </w:instrText>
      </w:r>
      <w:r w:rsidR="006B0042">
        <w:fldChar w:fldCharType="separate"/>
      </w:r>
      <w:r w:rsidRPr="00101069">
        <w:rPr>
          <w:rStyle w:val="Hipercze"/>
          <w:lang w:val="pl-PL"/>
        </w:rPr>
        <w:t>23</w:t>
      </w:r>
      <w:r w:rsidR="00101069">
        <w:rPr>
          <w:rStyle w:val="Hipercze"/>
          <w:lang w:val="pl-PL"/>
        </w:rPr>
        <w:t xml:space="preserve"> marca</w:t>
      </w:r>
      <w:r w:rsidRPr="00101069">
        <w:rPr>
          <w:rStyle w:val="Hipercze"/>
          <w:lang w:val="pl-PL"/>
        </w:rPr>
        <w:t xml:space="preserve"> 200</w:t>
      </w:r>
      <w:r w:rsidR="00101069">
        <w:rPr>
          <w:rStyle w:val="Hipercze"/>
          <w:lang w:val="pl-PL"/>
        </w:rPr>
        <w:t>6 r.</w:t>
      </w:r>
      <w:r w:rsidR="006B0042">
        <w:rPr>
          <w:rStyle w:val="Hipercze"/>
          <w:lang w:val="pl-PL"/>
        </w:rPr>
        <w:fldChar w:fldCharType="end"/>
      </w:r>
      <w:r w:rsidRPr="00101069">
        <w:rPr>
          <w:lang w:val="pl-PL"/>
        </w:rPr>
        <w:t xml:space="preserve"> </w:t>
      </w:r>
      <w:r w:rsidR="00101069">
        <w:rPr>
          <w:lang w:val="pl-PL"/>
        </w:rPr>
        <w:t xml:space="preserve">oraz wyrok z </w:t>
      </w:r>
      <w:r w:rsidR="006B0042">
        <w:fldChar w:fldCharType="begin"/>
      </w:r>
      <w:r w:rsidR="006B0042" w:rsidRPr="007547F5">
        <w:rPr>
          <w:lang w:val="pl-PL"/>
        </w:rPr>
        <w:instrText xml:space="preserve"> HYPERLINK "http://hudoc.echr.coe.int/eng?i=001-84446" </w:instrText>
      </w:r>
      <w:r w:rsidR="006B0042">
        <w:fldChar w:fldCharType="separate"/>
      </w:r>
      <w:r w:rsidRPr="00101069">
        <w:rPr>
          <w:rStyle w:val="Hipercze"/>
          <w:lang w:val="pl-PL"/>
        </w:rPr>
        <w:t>17 </w:t>
      </w:r>
      <w:r w:rsidR="00101069">
        <w:rPr>
          <w:rStyle w:val="Hipercze"/>
          <w:lang w:val="pl-PL"/>
        </w:rPr>
        <w:t xml:space="preserve">stycznia </w:t>
      </w:r>
      <w:r w:rsidRPr="00101069">
        <w:rPr>
          <w:rStyle w:val="Hipercze"/>
          <w:lang w:val="pl-PL"/>
        </w:rPr>
        <w:t>200</w:t>
      </w:r>
      <w:r w:rsidR="00101069">
        <w:rPr>
          <w:rStyle w:val="Hipercze"/>
          <w:lang w:val="pl-PL"/>
        </w:rPr>
        <w:t>8 r.</w:t>
      </w:r>
      <w:r w:rsidR="006B0042">
        <w:rPr>
          <w:rStyle w:val="Hipercze"/>
          <w:lang w:val="pl-PL"/>
        </w:rPr>
        <w:fldChar w:fldCharType="end"/>
      </w:r>
      <w:r w:rsidRPr="00101069">
        <w:rPr>
          <w:lang w:val="pl-PL"/>
        </w:rPr>
        <w:t>)</w:t>
      </w:r>
      <w:r w:rsidR="008F7B3F">
        <w:rPr>
          <w:lang w:val="pl-PL"/>
        </w:rPr>
        <w:t>.</w:t>
      </w:r>
    </w:p>
    <w:p w:rsidR="00E251A3" w:rsidRPr="00101069" w:rsidRDefault="00E251A3">
      <w:pPr>
        <w:pBdr>
          <w:bottom w:val="single" w:sz="8" w:space="1" w:color="auto"/>
        </w:pBdr>
        <w:rPr>
          <w:lang w:val="pl-PL"/>
        </w:rPr>
      </w:pPr>
    </w:p>
    <w:p w:rsidR="006C67C7" w:rsidRPr="0074070E" w:rsidRDefault="006C67C7" w:rsidP="006C67C7">
      <w:pPr>
        <w:pStyle w:val="ClinFooter"/>
        <w:rPr>
          <w:lang w:val="pl-PL"/>
        </w:rPr>
      </w:pPr>
      <w:r w:rsidRPr="0074070E">
        <w:rPr>
          <w:lang w:val="pl-PL"/>
        </w:rPr>
        <w:t xml:space="preserve">© </w:t>
      </w:r>
      <w:proofErr w:type="spellStart"/>
      <w:r w:rsidRPr="0074070E">
        <w:rPr>
          <w:lang w:val="pl-PL"/>
        </w:rPr>
        <w:t>Council</w:t>
      </w:r>
      <w:proofErr w:type="spellEnd"/>
      <w:r w:rsidRPr="0074070E">
        <w:rPr>
          <w:lang w:val="pl-PL"/>
        </w:rPr>
        <w:t xml:space="preserve"> of Europe/</w:t>
      </w:r>
      <w:proofErr w:type="spellStart"/>
      <w:r w:rsidRPr="0074070E">
        <w:rPr>
          <w:lang w:val="pl-PL"/>
        </w:rPr>
        <w:t>European</w:t>
      </w:r>
      <w:proofErr w:type="spellEnd"/>
      <w:r w:rsidRPr="0074070E">
        <w:rPr>
          <w:lang w:val="pl-PL"/>
        </w:rPr>
        <w:t xml:space="preserve"> Court of Human </w:t>
      </w:r>
      <w:proofErr w:type="spellStart"/>
      <w:r w:rsidRPr="0074070E">
        <w:rPr>
          <w:lang w:val="pl-PL"/>
        </w:rPr>
        <w:t>Rights</w:t>
      </w:r>
      <w:proofErr w:type="spellEnd"/>
      <w:r w:rsidRPr="0074070E">
        <w:rPr>
          <w:lang w:val="pl-PL"/>
        </w:rPr>
        <w:br/>
        <w:t xml:space="preserve">Niniejsze streszczenie przygotowane przez Kancelarię nie wiąże Trybunału.  </w:t>
      </w:r>
    </w:p>
    <w:p w:rsidR="006C67C7" w:rsidRPr="001D0852" w:rsidRDefault="006C67C7" w:rsidP="006C67C7">
      <w:pPr>
        <w:pStyle w:val="ClinFooter"/>
        <w:rPr>
          <w:lang w:val="pl-PL"/>
        </w:rPr>
      </w:pPr>
      <w:r w:rsidRPr="0074070E">
        <w:rPr>
          <w:lang w:val="pl-PL"/>
        </w:rPr>
        <w:t xml:space="preserve">Link do </w:t>
      </w:r>
      <w:hyperlink r:id="rId9" w:history="1">
        <w:r w:rsidRPr="001D0852">
          <w:rPr>
            <w:rStyle w:val="Hipercze"/>
            <w:lang w:val="pl-PL"/>
          </w:rPr>
          <w:t>Not informacyjnych nt. orzecznictwa</w:t>
        </w:r>
      </w:hyperlink>
    </w:p>
    <w:p w:rsidR="006C67C7" w:rsidRPr="006C67C7" w:rsidRDefault="006C67C7" w:rsidP="002A7F5F">
      <w:pPr>
        <w:pStyle w:val="ClinFooter"/>
        <w:jc w:val="left"/>
        <w:rPr>
          <w:lang w:val="pl-PL"/>
        </w:rPr>
      </w:pPr>
    </w:p>
    <w:sectPr w:rsidR="006C67C7" w:rsidRPr="006C67C7" w:rsidSect="004A5B52">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454"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0042" w:rsidRDefault="006B0042" w:rsidP="00C63262">
      <w:r>
        <w:separator/>
      </w:r>
    </w:p>
  </w:endnote>
  <w:endnote w:type="continuationSeparator" w:id="0">
    <w:p w:rsidR="006B0042" w:rsidRDefault="006B0042" w:rsidP="00C6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4F55" w:rsidRDefault="00F94F5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4F55" w:rsidRDefault="00F94F55">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Pr="0071773F" w:rsidRDefault="0071773F" w:rsidP="0071773F"/>
  <w:p w:rsidR="0071773F" w:rsidRDefault="0071773F" w:rsidP="0071773F">
    <w:pPr>
      <w:pStyle w:val="ECHRFooter"/>
    </w:pPr>
    <w:r>
      <w:tab/>
    </w:r>
    <w:r>
      <w:rPr>
        <w:noProof/>
        <w:lang w:val="pl-PL" w:eastAsia="pl-PL"/>
      </w:rPr>
      <w:drawing>
        <wp:inline distT="0" distB="0" distL="0" distR="0" wp14:anchorId="430B0BDB" wp14:editId="19D2ADEC">
          <wp:extent cx="765175" cy="609600"/>
          <wp:effectExtent l="0" t="0" r="0" b="0"/>
          <wp:docPr id="3" name="Picture 3" descr="R:\1_Graphics&amp;Web\Court_Graphic_Charter\2013\ECHR_Stationery\Documents\Internal_Correspondence\Internal_CS6_CO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Internal_Correspondence\Internal_CS6_COE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0042" w:rsidRDefault="006B0042" w:rsidP="00C63262">
      <w:r>
        <w:separator/>
      </w:r>
    </w:p>
  </w:footnote>
  <w:footnote w:type="continuationSeparator" w:id="0">
    <w:p w:rsidR="006B0042" w:rsidRDefault="006B0042" w:rsidP="00C632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4F55" w:rsidRDefault="00F94F5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9312215"/>
      <w:docPartObj>
        <w:docPartGallery w:val="Page Numbers (Top of Page)"/>
        <w:docPartUnique/>
      </w:docPartObj>
    </w:sdtPr>
    <w:sdtEndPr/>
    <w:sdtContent>
      <w:p w:rsidR="0071773F" w:rsidRDefault="0071773F" w:rsidP="00370754">
        <w:pPr>
          <w:pStyle w:val="Nagwek"/>
        </w:pPr>
        <w:r>
          <w:tab/>
        </w:r>
        <w:r>
          <w:sym w:font="Symbol" w:char="F02D"/>
        </w:r>
        <w:r>
          <w:t xml:space="preserve"> </w:t>
        </w:r>
        <w:r>
          <w:rPr>
            <w:lang w:val="fr-FR"/>
          </w:rPr>
          <w:fldChar w:fldCharType="begin"/>
        </w:r>
        <w:r w:rsidRPr="00F921AB">
          <w:instrText xml:space="preserve"> PAGE </w:instrText>
        </w:r>
        <w:r>
          <w:rPr>
            <w:lang w:val="fr-FR"/>
          </w:rPr>
          <w:fldChar w:fldCharType="separate"/>
        </w:r>
        <w:r w:rsidR="007547F5">
          <w:rPr>
            <w:noProof/>
          </w:rPr>
          <w:t>3</w:t>
        </w:r>
        <w:r>
          <w:rPr>
            <w:lang w:val="fr-FR"/>
          </w:rPr>
          <w:fldChar w:fldCharType="end"/>
        </w:r>
        <w:r>
          <w:t xml:space="preserve"> </w:t>
        </w:r>
        <w:r>
          <w:sym w:font="Symbol" w:char="F02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Default="004A5B52" w:rsidP="004A5B52">
    <w:pPr>
      <w:pStyle w:val="Nagwek"/>
    </w:pPr>
    <w:r>
      <w:tab/>
    </w:r>
    <w:r w:rsidR="0071773F">
      <w:rPr>
        <w:noProof/>
        <w:lang w:val="pl-PL" w:eastAsia="pl-PL"/>
      </w:rPr>
      <w:drawing>
        <wp:inline distT="0" distB="0" distL="0" distR="0" wp14:anchorId="727397E0" wp14:editId="57965ECA">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4F5BE4"/>
    <w:multiLevelType w:val="hybridMultilevel"/>
    <w:tmpl w:val="1E82DAA0"/>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EF0"/>
    <w:rsid w:val="0001272D"/>
    <w:rsid w:val="0002004A"/>
    <w:rsid w:val="00037CCC"/>
    <w:rsid w:val="00097888"/>
    <w:rsid w:val="000A5E42"/>
    <w:rsid w:val="000A775F"/>
    <w:rsid w:val="000F13B5"/>
    <w:rsid w:val="00101069"/>
    <w:rsid w:val="001035A5"/>
    <w:rsid w:val="00107377"/>
    <w:rsid w:val="00143602"/>
    <w:rsid w:val="001769E4"/>
    <w:rsid w:val="00186560"/>
    <w:rsid w:val="001F7DE9"/>
    <w:rsid w:val="00202081"/>
    <w:rsid w:val="00212E83"/>
    <w:rsid w:val="002704D3"/>
    <w:rsid w:val="00293B26"/>
    <w:rsid w:val="002966E7"/>
    <w:rsid w:val="002A7F5F"/>
    <w:rsid w:val="002C4F86"/>
    <w:rsid w:val="002E088D"/>
    <w:rsid w:val="002F3FA7"/>
    <w:rsid w:val="00301256"/>
    <w:rsid w:val="0030264F"/>
    <w:rsid w:val="003450B3"/>
    <w:rsid w:val="00354DF1"/>
    <w:rsid w:val="00386958"/>
    <w:rsid w:val="003A5AE4"/>
    <w:rsid w:val="003A64A6"/>
    <w:rsid w:val="003D7BB3"/>
    <w:rsid w:val="00422D87"/>
    <w:rsid w:val="00450DF2"/>
    <w:rsid w:val="0046453F"/>
    <w:rsid w:val="004A5B52"/>
    <w:rsid w:val="004C3A98"/>
    <w:rsid w:val="004D568D"/>
    <w:rsid w:val="004E1037"/>
    <w:rsid w:val="004F0D3D"/>
    <w:rsid w:val="004F1261"/>
    <w:rsid w:val="00501504"/>
    <w:rsid w:val="0052092D"/>
    <w:rsid w:val="00540D75"/>
    <w:rsid w:val="005514E5"/>
    <w:rsid w:val="006028A1"/>
    <w:rsid w:val="006050BA"/>
    <w:rsid w:val="00631A28"/>
    <w:rsid w:val="006635FB"/>
    <w:rsid w:val="006A36AD"/>
    <w:rsid w:val="006B0042"/>
    <w:rsid w:val="006C1D96"/>
    <w:rsid w:val="006C67C7"/>
    <w:rsid w:val="006F2042"/>
    <w:rsid w:val="00706D0B"/>
    <w:rsid w:val="0071773F"/>
    <w:rsid w:val="007547F5"/>
    <w:rsid w:val="007652BC"/>
    <w:rsid w:val="00774515"/>
    <w:rsid w:val="007A6AC7"/>
    <w:rsid w:val="008114B6"/>
    <w:rsid w:val="008729B6"/>
    <w:rsid w:val="0088043F"/>
    <w:rsid w:val="0088053F"/>
    <w:rsid w:val="00893188"/>
    <w:rsid w:val="00895EF3"/>
    <w:rsid w:val="008C64D5"/>
    <w:rsid w:val="008F7B3F"/>
    <w:rsid w:val="00903D38"/>
    <w:rsid w:val="009364F4"/>
    <w:rsid w:val="009B3B2C"/>
    <w:rsid w:val="009E3EF0"/>
    <w:rsid w:val="00A01052"/>
    <w:rsid w:val="00A04D9C"/>
    <w:rsid w:val="00A258BB"/>
    <w:rsid w:val="00A33541"/>
    <w:rsid w:val="00A45616"/>
    <w:rsid w:val="00AB5504"/>
    <w:rsid w:val="00AC4387"/>
    <w:rsid w:val="00AC7726"/>
    <w:rsid w:val="00AD75EC"/>
    <w:rsid w:val="00B32306"/>
    <w:rsid w:val="00B80CA0"/>
    <w:rsid w:val="00B85770"/>
    <w:rsid w:val="00B86B32"/>
    <w:rsid w:val="00B916B3"/>
    <w:rsid w:val="00BB3FDF"/>
    <w:rsid w:val="00BF1CD9"/>
    <w:rsid w:val="00C37433"/>
    <w:rsid w:val="00C63262"/>
    <w:rsid w:val="00C72355"/>
    <w:rsid w:val="00C81D30"/>
    <w:rsid w:val="00C93CFB"/>
    <w:rsid w:val="00CF7BA6"/>
    <w:rsid w:val="00D42086"/>
    <w:rsid w:val="00D425B3"/>
    <w:rsid w:val="00D915FD"/>
    <w:rsid w:val="00DE5536"/>
    <w:rsid w:val="00E02ADB"/>
    <w:rsid w:val="00E251A3"/>
    <w:rsid w:val="00E55491"/>
    <w:rsid w:val="00E639F1"/>
    <w:rsid w:val="00E76779"/>
    <w:rsid w:val="00E83DB6"/>
    <w:rsid w:val="00EA53E7"/>
    <w:rsid w:val="00F33CC2"/>
    <w:rsid w:val="00F508C9"/>
    <w:rsid w:val="00F50CCD"/>
    <w:rsid w:val="00F5247C"/>
    <w:rsid w:val="00F94F55"/>
    <w:rsid w:val="00FA29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qFormat="1"/>
    <w:lsdException w:name="heading 3" w:semiHidden="1" w:qFormat="1"/>
    <w:lsdException w:name="heading 4" w:semiHidden="1" w:qFormat="1"/>
    <w:lsdException w:name="heading 5" w:semiHidden="1"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header" w:semiHidden="1" w:uiPriority="48"/>
    <w:lsdException w:name="footer" w:semiHidden="1" w:uiPriority="49"/>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qFormat="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annotation subject" w:semiHidden="1"/>
    <w:lsdException w:name="Balloon Text" w:semiHidden="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 w:type="paragraph" w:styleId="Akapitzlist">
    <w:name w:val="List Paragraph"/>
    <w:basedOn w:val="Normalny"/>
    <w:link w:val="AkapitzlistZnak"/>
    <w:uiPriority w:val="34"/>
    <w:qFormat/>
    <w:rsid w:val="00AC4387"/>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AkapitzlistZnak">
    <w:name w:val="Akapit z listą Znak"/>
    <w:link w:val="Akapitzlist"/>
    <w:uiPriority w:val="34"/>
    <w:locked/>
    <w:rsid w:val="00AC4387"/>
    <w:rPr>
      <w:rFonts w:asciiTheme="minorHAnsi" w:eastAsiaTheme="minorHAnsi" w:hAnsiTheme="minorHAnsi" w:cstheme="minorBidi"/>
      <w:sz w:val="22"/>
      <w:szCs w:val="22"/>
      <w:lang w:eastAsia="en-US"/>
    </w:rPr>
  </w:style>
  <w:style w:type="paragraph" w:customStyle="1" w:styleId="s746c8714">
    <w:name w:val="s746c8714"/>
    <w:basedOn w:val="Normalny"/>
    <w:rsid w:val="00B916B3"/>
    <w:pPr>
      <w:spacing w:before="100" w:beforeAutospacing="1" w:after="100" w:afterAutospacing="1"/>
    </w:pPr>
    <w:rPr>
      <w:rFonts w:ascii="Times New Roman" w:hAnsi="Times New Roman"/>
      <w:sz w:val="24"/>
      <w:lang w:val="pl-PL" w:eastAsia="pl-PL"/>
    </w:rPr>
  </w:style>
  <w:style w:type="paragraph" w:customStyle="1" w:styleId="s6e50bd9a">
    <w:name w:val="s6e50bd9a"/>
    <w:basedOn w:val="Normalny"/>
    <w:rsid w:val="00B916B3"/>
    <w:pPr>
      <w:spacing w:before="100" w:beforeAutospacing="1" w:after="100" w:afterAutospacing="1"/>
    </w:pPr>
    <w:rPr>
      <w:rFonts w:ascii="Times New Roman" w:hAnsi="Times New Roman"/>
      <w:sz w:val="24"/>
      <w:lang w:val="pl-PL" w:eastAsia="pl-PL"/>
    </w:rPr>
  </w:style>
  <w:style w:type="character" w:customStyle="1" w:styleId="s4f807e54">
    <w:name w:val="s4f807e54"/>
    <w:basedOn w:val="Domylnaczcionkaakapitu"/>
    <w:rsid w:val="00B916B3"/>
  </w:style>
  <w:style w:type="character" w:customStyle="1" w:styleId="object">
    <w:name w:val="object"/>
    <w:basedOn w:val="Domylnaczcionkaakapitu"/>
    <w:rsid w:val="00B916B3"/>
  </w:style>
  <w:style w:type="character" w:styleId="UyteHipercze">
    <w:name w:val="FollowedHyperlink"/>
    <w:basedOn w:val="Domylnaczcionkaakapitu"/>
    <w:semiHidden/>
    <w:rsid w:val="004F1261"/>
    <w:rPr>
      <w:color w:val="7030A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qFormat="1"/>
    <w:lsdException w:name="heading 3" w:semiHidden="1" w:qFormat="1"/>
    <w:lsdException w:name="heading 4" w:semiHidden="1" w:qFormat="1"/>
    <w:lsdException w:name="heading 5" w:semiHidden="1"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header" w:semiHidden="1" w:uiPriority="48"/>
    <w:lsdException w:name="footer" w:semiHidden="1" w:uiPriority="49"/>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qFormat="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annotation subject" w:semiHidden="1"/>
    <w:lsdException w:name="Balloon Text" w:semiHidden="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 w:type="paragraph" w:styleId="Akapitzlist">
    <w:name w:val="List Paragraph"/>
    <w:basedOn w:val="Normalny"/>
    <w:link w:val="AkapitzlistZnak"/>
    <w:uiPriority w:val="34"/>
    <w:qFormat/>
    <w:rsid w:val="00AC4387"/>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AkapitzlistZnak">
    <w:name w:val="Akapit z listą Znak"/>
    <w:link w:val="Akapitzlist"/>
    <w:uiPriority w:val="34"/>
    <w:locked/>
    <w:rsid w:val="00AC4387"/>
    <w:rPr>
      <w:rFonts w:asciiTheme="minorHAnsi" w:eastAsiaTheme="minorHAnsi" w:hAnsiTheme="minorHAnsi" w:cstheme="minorBidi"/>
      <w:sz w:val="22"/>
      <w:szCs w:val="22"/>
      <w:lang w:eastAsia="en-US"/>
    </w:rPr>
  </w:style>
  <w:style w:type="paragraph" w:customStyle="1" w:styleId="s746c8714">
    <w:name w:val="s746c8714"/>
    <w:basedOn w:val="Normalny"/>
    <w:rsid w:val="00B916B3"/>
    <w:pPr>
      <w:spacing w:before="100" w:beforeAutospacing="1" w:after="100" w:afterAutospacing="1"/>
    </w:pPr>
    <w:rPr>
      <w:rFonts w:ascii="Times New Roman" w:hAnsi="Times New Roman"/>
      <w:sz w:val="24"/>
      <w:lang w:val="pl-PL" w:eastAsia="pl-PL"/>
    </w:rPr>
  </w:style>
  <w:style w:type="paragraph" w:customStyle="1" w:styleId="s6e50bd9a">
    <w:name w:val="s6e50bd9a"/>
    <w:basedOn w:val="Normalny"/>
    <w:rsid w:val="00B916B3"/>
    <w:pPr>
      <w:spacing w:before="100" w:beforeAutospacing="1" w:after="100" w:afterAutospacing="1"/>
    </w:pPr>
    <w:rPr>
      <w:rFonts w:ascii="Times New Roman" w:hAnsi="Times New Roman"/>
      <w:sz w:val="24"/>
      <w:lang w:val="pl-PL" w:eastAsia="pl-PL"/>
    </w:rPr>
  </w:style>
  <w:style w:type="character" w:customStyle="1" w:styleId="s4f807e54">
    <w:name w:val="s4f807e54"/>
    <w:basedOn w:val="Domylnaczcionkaakapitu"/>
    <w:rsid w:val="00B916B3"/>
  </w:style>
  <w:style w:type="character" w:customStyle="1" w:styleId="object">
    <w:name w:val="object"/>
    <w:basedOn w:val="Domylnaczcionkaakapitu"/>
    <w:rsid w:val="00B916B3"/>
  </w:style>
  <w:style w:type="character" w:styleId="UyteHipercze">
    <w:name w:val="FollowedHyperlink"/>
    <w:basedOn w:val="Domylnaczcionkaakapitu"/>
    <w:semiHidden/>
    <w:rsid w:val="004F1261"/>
    <w:rPr>
      <w:color w:val="7030A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6369792">
      <w:bodyDiv w:val="1"/>
      <w:marLeft w:val="0"/>
      <w:marRight w:val="0"/>
      <w:marTop w:val="0"/>
      <w:marBottom w:val="0"/>
      <w:divBdr>
        <w:top w:val="none" w:sz="0" w:space="0" w:color="auto"/>
        <w:left w:val="none" w:sz="0" w:space="0" w:color="auto"/>
        <w:bottom w:val="none" w:sz="0" w:space="0" w:color="auto"/>
        <w:right w:val="none" w:sz="0" w:space="0" w:color="auto"/>
      </w:divBdr>
    </w:div>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sz.gov.pl"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echr.coe.int/NoteInformation/en"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1282</Words>
  <Characters>7692</Characters>
  <Application>Microsoft Office Word</Application>
  <DocSecurity>0</DocSecurity>
  <Lines>64</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2017-04-20T12:48:00Z</dcterms:created>
  <dcterms:modified xsi:type="dcterms:W3CDTF">2017-06-21T12:12:00Z</dcterms:modified>
</cp:coreProperties>
</file>