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90B" w:rsidRDefault="0032390B" w:rsidP="0032390B">
      <w:pPr>
        <w:pStyle w:val="s6e50bd9a"/>
        <w:spacing w:before="0" w:beforeAutospacing="0"/>
        <w:jc w:val="both"/>
        <w:rPr>
          <w:rFonts w:ascii="Arial" w:hAnsi="Arial" w:cs="Arial"/>
          <w:sz w:val="20"/>
          <w:szCs w:val="20"/>
          <w:lang w:val="en-US"/>
        </w:rPr>
      </w:pPr>
    </w:p>
    <w:p w:rsidR="0032390B" w:rsidRDefault="0032390B" w:rsidP="0032390B">
      <w:pPr>
        <w:pStyle w:val="s6e50bd9a"/>
        <w:spacing w:after="120" w:afterAutospacing="0"/>
        <w:jc w:val="both"/>
        <w:rPr>
          <w:rFonts w:ascii="Arial" w:hAnsi="Arial" w:cs="Arial"/>
        </w:rPr>
      </w:pPr>
      <w:r>
        <w:rPr>
          <w:rStyle w:val="s4f807e54"/>
          <w:rFonts w:ascii="Arial" w:hAnsi="Arial" w:cs="Arial"/>
          <w:color w:val="000000"/>
          <w:sz w:val="20"/>
          <w:szCs w:val="20"/>
        </w:rPr>
        <w:t>©</w:t>
      </w:r>
      <w:r>
        <w:rPr>
          <w:rStyle w:val="s4f807e54"/>
          <w:rFonts w:ascii="Arial" w:hAnsi="Arial" w:cs="Arial"/>
          <w:color w:val="1F497D"/>
          <w:sz w:val="20"/>
          <w:szCs w:val="20"/>
        </w:rPr>
        <w:t xml:space="preserve"> </w:t>
      </w:r>
      <w:r>
        <w:rPr>
          <w:rStyle w:val="s4f807e54"/>
          <w:rFonts w:ascii="Arial" w:eastAsia="MS Mincho" w:hAnsi="Arial" w:cs="Arial"/>
          <w:sz w:val="20"/>
          <w:szCs w:val="20"/>
        </w:rPr>
        <w:t>Ministerstwo Spraw Zagranicznych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, </w:t>
      </w:r>
      <w:hyperlink r:id="rId7" w:history="1">
        <w:r>
          <w:rPr>
            <w:rStyle w:val="Hipercze"/>
            <w:rFonts w:ascii="Arial" w:hAnsi="Arial" w:cs="Arial"/>
            <w:sz w:val="20"/>
            <w:szCs w:val="20"/>
          </w:rPr>
          <w:t>www.msz.gov.pl</w:t>
        </w:r>
      </w:hyperlink>
      <w:r>
        <w:rPr>
          <w:rStyle w:val="object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s4f807e54"/>
          <w:rFonts w:ascii="Arial" w:hAnsi="Arial" w:cs="Arial"/>
          <w:color w:val="000000"/>
          <w:sz w:val="20"/>
          <w:szCs w:val="20"/>
        </w:rPr>
        <w:t xml:space="preserve">  </w:t>
      </w:r>
    </w:p>
    <w:p w:rsidR="00C21556" w:rsidRDefault="00C21556" w:rsidP="00C21556">
      <w:pPr>
        <w:pStyle w:val="ClinEditionNumber"/>
        <w:jc w:val="center"/>
        <w:rPr>
          <w:lang w:val="pl-PL"/>
        </w:rPr>
      </w:pPr>
      <w:bookmarkStart w:id="0" w:name="_GoBack"/>
      <w:bookmarkEnd w:id="0"/>
      <w:r>
        <w:rPr>
          <w:lang w:val="pl-PL"/>
        </w:rPr>
        <w:t>EUROPEJSKI TRYBUNAŁ PRAW CZŁOWIEKA</w:t>
      </w:r>
    </w:p>
    <w:p w:rsidR="00B23EB1" w:rsidRPr="00C21556" w:rsidRDefault="00C21556" w:rsidP="00C21556">
      <w:pPr>
        <w:pStyle w:val="ClinEditionNumber"/>
        <w:rPr>
          <w:lang w:val="pl-PL"/>
        </w:rPr>
      </w:pPr>
      <w:r w:rsidRPr="00557F20">
        <w:rPr>
          <w:lang w:val="pl-PL"/>
        </w:rPr>
        <w:t xml:space="preserve">Nota </w:t>
      </w:r>
      <w:r>
        <w:rPr>
          <w:lang w:val="pl-PL"/>
        </w:rPr>
        <w:t>i</w:t>
      </w:r>
      <w:r w:rsidRPr="00557F20">
        <w:rPr>
          <w:lang w:val="pl-PL"/>
        </w:rPr>
        <w:t xml:space="preserve">nformacyjna nt. </w:t>
      </w:r>
      <w:r>
        <w:rPr>
          <w:lang w:val="pl-PL"/>
        </w:rPr>
        <w:t>o</w:t>
      </w:r>
      <w:r w:rsidRPr="00557F20">
        <w:rPr>
          <w:lang w:val="pl-PL"/>
        </w:rPr>
        <w:t xml:space="preserve">rzecznictwa Trybunału nr </w:t>
      </w:r>
      <w:r w:rsidR="00412B94" w:rsidRPr="00C21556">
        <w:rPr>
          <w:lang w:val="pl-PL"/>
        </w:rPr>
        <w:t>195</w:t>
      </w:r>
    </w:p>
    <w:p w:rsidR="00B23EB1" w:rsidRPr="00773660" w:rsidRDefault="00C21556">
      <w:pPr>
        <w:pStyle w:val="ClinEditionMonth"/>
        <w:rPr>
          <w:lang w:val="pl-PL"/>
        </w:rPr>
      </w:pPr>
      <w:r w:rsidRPr="00773660">
        <w:rPr>
          <w:lang w:val="pl-PL"/>
        </w:rPr>
        <w:t>Kwiecień</w:t>
      </w:r>
      <w:r w:rsidR="00412B94" w:rsidRPr="00773660">
        <w:rPr>
          <w:lang w:val="pl-PL"/>
        </w:rPr>
        <w:t xml:space="preserve"> 2016</w:t>
      </w:r>
      <w:r w:rsidRPr="00773660">
        <w:rPr>
          <w:lang w:val="pl-PL"/>
        </w:rPr>
        <w:t xml:space="preserve"> r.</w:t>
      </w:r>
    </w:p>
    <w:p w:rsidR="00B23EB1" w:rsidRPr="00F70772" w:rsidRDefault="00412B94">
      <w:pPr>
        <w:rPr>
          <w:lang w:val="pl-PL"/>
        </w:rPr>
      </w:pPr>
      <w:proofErr w:type="spellStart"/>
      <w:r w:rsidRPr="00F70772">
        <w:rPr>
          <w:rStyle w:val="ClinCaseTitle"/>
          <w:lang w:val="pl-PL"/>
        </w:rPr>
        <w:t>İzzettin</w:t>
      </w:r>
      <w:proofErr w:type="spellEnd"/>
      <w:r w:rsidRPr="00F70772">
        <w:rPr>
          <w:rStyle w:val="ClinCaseTitle"/>
          <w:lang w:val="pl-PL"/>
        </w:rPr>
        <w:t xml:space="preserve"> </w:t>
      </w:r>
      <w:proofErr w:type="spellStart"/>
      <w:r w:rsidRPr="00F70772">
        <w:rPr>
          <w:rStyle w:val="ClinCaseTitle"/>
          <w:lang w:val="pl-PL"/>
        </w:rPr>
        <w:t>Doğan</w:t>
      </w:r>
      <w:proofErr w:type="spellEnd"/>
      <w:r w:rsidRPr="00F70772">
        <w:rPr>
          <w:rStyle w:val="ClinCaseTitle"/>
          <w:lang w:val="pl-PL"/>
        </w:rPr>
        <w:t xml:space="preserve"> </w:t>
      </w:r>
      <w:r w:rsidR="00F70772" w:rsidRPr="00F70772">
        <w:rPr>
          <w:rStyle w:val="ClinCaseTitle"/>
          <w:lang w:val="pl-PL"/>
        </w:rPr>
        <w:t>i Inni</w:t>
      </w:r>
      <w:r w:rsidRPr="00F70772">
        <w:rPr>
          <w:rStyle w:val="ClinCaseTitle"/>
          <w:lang w:val="pl-PL"/>
        </w:rPr>
        <w:t xml:space="preserve"> </w:t>
      </w:r>
      <w:r w:rsidR="00AA3491" w:rsidRPr="00F70772">
        <w:rPr>
          <w:rStyle w:val="ClinCaseTitle"/>
          <w:lang w:val="pl-PL"/>
        </w:rPr>
        <w:t>p.</w:t>
      </w:r>
      <w:r w:rsidRPr="00F70772">
        <w:rPr>
          <w:rStyle w:val="ClinCaseTitle"/>
          <w:lang w:val="pl-PL"/>
        </w:rPr>
        <w:t xml:space="preserve"> Tur</w:t>
      </w:r>
      <w:r w:rsidR="00F70772">
        <w:rPr>
          <w:rStyle w:val="ClinCaseTitle"/>
          <w:lang w:val="pl-PL"/>
        </w:rPr>
        <w:t>cji</w:t>
      </w:r>
      <w:r w:rsidRPr="00F70772">
        <w:rPr>
          <w:rStyle w:val="ClinCaseTitle"/>
          <w:lang w:val="pl-PL"/>
        </w:rPr>
        <w:t xml:space="preserve"> </w:t>
      </w:r>
      <w:r w:rsidR="00AA3491" w:rsidRPr="00F70772">
        <w:rPr>
          <w:rStyle w:val="ClinCaseTitle"/>
          <w:lang w:val="pl-PL"/>
        </w:rPr>
        <w:t>[Wielka Izba]</w:t>
      </w:r>
      <w:r w:rsidRPr="00F70772">
        <w:rPr>
          <w:rStyle w:val="ClinApplicationNumber"/>
          <w:lang w:val="pl-PL"/>
        </w:rPr>
        <w:t xml:space="preserve">- </w:t>
      </w:r>
      <w:r w:rsidR="00AA3491" w:rsidRPr="00F70772">
        <w:rPr>
          <w:rStyle w:val="ClinApplicationNumber"/>
          <w:lang w:val="pl-PL"/>
        </w:rPr>
        <w:t xml:space="preserve">skarga nr </w:t>
      </w:r>
      <w:r w:rsidRPr="00F70772">
        <w:rPr>
          <w:rStyle w:val="ClinApplicationNumber"/>
          <w:lang w:val="pl-PL"/>
        </w:rPr>
        <w:t>62649/10</w:t>
      </w:r>
    </w:p>
    <w:p w:rsidR="00B23EB1" w:rsidRPr="00EE1C36" w:rsidRDefault="00F70772">
      <w:pPr>
        <w:rPr>
          <w:lang w:val="pl-PL"/>
        </w:rPr>
      </w:pPr>
      <w:r w:rsidRPr="00EE1C36">
        <w:rPr>
          <w:rStyle w:val="ClinHudocDocumentTitle"/>
          <w:lang w:val="pl-PL"/>
        </w:rPr>
        <w:t xml:space="preserve">Wyrok z </w:t>
      </w:r>
      <w:r w:rsidR="00412B94" w:rsidRPr="00EE1C36">
        <w:rPr>
          <w:rStyle w:val="ClinHudocDocumentTitle"/>
          <w:lang w:val="pl-PL"/>
        </w:rPr>
        <w:t>26.</w:t>
      </w:r>
      <w:r w:rsidR="00261590">
        <w:rPr>
          <w:rStyle w:val="ClinHudocDocumentTitle"/>
          <w:lang w:val="pl-PL"/>
        </w:rPr>
        <w:t>0</w:t>
      </w:r>
      <w:r w:rsidR="00412B94" w:rsidRPr="00EE1C36">
        <w:rPr>
          <w:rStyle w:val="ClinHudocDocumentTitle"/>
          <w:lang w:val="pl-PL"/>
        </w:rPr>
        <w:t>4.2016</w:t>
      </w:r>
      <w:r w:rsidRPr="00EE1C36">
        <w:rPr>
          <w:rStyle w:val="ClinHudocDocumentTitle"/>
          <w:lang w:val="pl-PL"/>
        </w:rPr>
        <w:t xml:space="preserve"> r.</w:t>
      </w:r>
      <w:r w:rsidR="00412B94" w:rsidRPr="00EE1C36">
        <w:rPr>
          <w:rStyle w:val="ClinSectionName"/>
          <w:lang w:val="pl-PL"/>
        </w:rPr>
        <w:t xml:space="preserve"> [</w:t>
      </w:r>
      <w:r w:rsidRPr="00EE1C36">
        <w:rPr>
          <w:rStyle w:val="ClinSectionName"/>
          <w:lang w:val="pl-PL"/>
        </w:rPr>
        <w:t>Wielka Izba</w:t>
      </w:r>
      <w:r w:rsidR="00412B94" w:rsidRPr="00EE1C36">
        <w:rPr>
          <w:rStyle w:val="ClinSectionName"/>
          <w:lang w:val="pl-PL"/>
        </w:rPr>
        <w:t>]</w:t>
      </w:r>
    </w:p>
    <w:p w:rsidR="00B23EB1" w:rsidRPr="0032145C" w:rsidRDefault="00FF2008">
      <w:pPr>
        <w:pStyle w:val="ClinMainKeywordCode"/>
        <w:rPr>
          <w:lang w:val="pl-PL"/>
        </w:rPr>
      </w:pPr>
      <w:r w:rsidRPr="0032145C">
        <w:rPr>
          <w:lang w:val="pl-PL"/>
        </w:rPr>
        <w:t>Art.</w:t>
      </w:r>
      <w:r w:rsidR="00412B94" w:rsidRPr="0032145C">
        <w:rPr>
          <w:lang w:val="pl-PL"/>
        </w:rPr>
        <w:t xml:space="preserve"> 9</w:t>
      </w:r>
    </w:p>
    <w:p w:rsidR="00B23EB1" w:rsidRPr="00FF2008" w:rsidRDefault="00FF2008">
      <w:pPr>
        <w:pStyle w:val="ClinChildKeywordCode"/>
        <w:rPr>
          <w:lang w:val="pl-PL"/>
        </w:rPr>
      </w:pPr>
      <w:r w:rsidRPr="00FF2008">
        <w:rPr>
          <w:lang w:val="pl-PL"/>
        </w:rPr>
        <w:t>Art.</w:t>
      </w:r>
      <w:r w:rsidR="00412B94" w:rsidRPr="00FF2008">
        <w:rPr>
          <w:lang w:val="pl-PL"/>
        </w:rPr>
        <w:t xml:space="preserve"> 9</w:t>
      </w:r>
      <w:r w:rsidRPr="00FF2008">
        <w:rPr>
          <w:lang w:val="pl-PL"/>
        </w:rPr>
        <w:t xml:space="preserve"> ust.</w:t>
      </w:r>
      <w:r w:rsidR="00412B94" w:rsidRPr="00FF2008">
        <w:rPr>
          <w:lang w:val="pl-PL"/>
        </w:rPr>
        <w:t>1</w:t>
      </w:r>
    </w:p>
    <w:p w:rsidR="00B23EB1" w:rsidRPr="00FF2008" w:rsidRDefault="00FF2008">
      <w:pPr>
        <w:pStyle w:val="ClinKeyword"/>
        <w:rPr>
          <w:lang w:val="pl-PL"/>
        </w:rPr>
      </w:pPr>
      <w:r w:rsidRPr="00FF2008">
        <w:rPr>
          <w:lang w:val="pl-PL"/>
        </w:rPr>
        <w:t xml:space="preserve">Wolność wyznania </w:t>
      </w:r>
    </w:p>
    <w:p w:rsidR="00B23EB1" w:rsidRPr="00FF2008" w:rsidRDefault="00FF2008">
      <w:pPr>
        <w:pStyle w:val="ClinKeyword"/>
        <w:rPr>
          <w:lang w:val="pl-PL"/>
        </w:rPr>
      </w:pPr>
      <w:r w:rsidRPr="00FF2008">
        <w:rPr>
          <w:lang w:val="pl-PL"/>
        </w:rPr>
        <w:t xml:space="preserve">Uzewnętrznianie wyznania lub przekonań </w:t>
      </w:r>
    </w:p>
    <w:p w:rsidR="00DA59FF" w:rsidRPr="00FF2008" w:rsidRDefault="00DA59FF" w:rsidP="00ED117D">
      <w:pPr>
        <w:jc w:val="both"/>
        <w:rPr>
          <w:lang w:val="pl-PL"/>
        </w:rPr>
      </w:pPr>
      <w:r>
        <w:rPr>
          <w:lang w:val="pl-PL"/>
        </w:rPr>
        <w:t>Odmowa</w:t>
      </w:r>
      <w:r w:rsidRPr="00FF2008">
        <w:rPr>
          <w:lang w:val="pl-PL"/>
        </w:rPr>
        <w:t xml:space="preserve"> zapewnienia </w:t>
      </w:r>
      <w:r w:rsidRPr="0032145C">
        <w:rPr>
          <w:lang w:val="pl-PL"/>
        </w:rPr>
        <w:t>publicznej posługi religijnej</w:t>
      </w:r>
      <w:r w:rsidRPr="00FF2008">
        <w:rPr>
          <w:lang w:val="pl-PL"/>
        </w:rPr>
        <w:t xml:space="preserve"> dla członków wyznania </w:t>
      </w:r>
      <w:r w:rsidR="00CF0BA5">
        <w:rPr>
          <w:lang w:val="pl-PL"/>
        </w:rPr>
        <w:t>alawi</w:t>
      </w:r>
      <w:r w:rsidRPr="00FF2008">
        <w:rPr>
          <w:lang w:val="pl-PL"/>
        </w:rPr>
        <w:t>ckiego</w:t>
      </w:r>
      <w:r>
        <w:rPr>
          <w:lang w:val="pl-PL"/>
        </w:rPr>
        <w:t xml:space="preserve">: </w:t>
      </w:r>
      <w:r w:rsidRPr="00DA59FF">
        <w:rPr>
          <w:i/>
          <w:lang w:val="pl-PL"/>
        </w:rPr>
        <w:t>naruszenie</w:t>
      </w:r>
    </w:p>
    <w:p w:rsidR="00B23EB1" w:rsidRPr="003B1789" w:rsidRDefault="00FF2008">
      <w:pPr>
        <w:pStyle w:val="ClinMainKeywordCode"/>
        <w:rPr>
          <w:lang w:val="pl-PL"/>
        </w:rPr>
      </w:pPr>
      <w:r w:rsidRPr="003B1789">
        <w:rPr>
          <w:lang w:val="pl-PL"/>
        </w:rPr>
        <w:t>Art.</w:t>
      </w:r>
      <w:r w:rsidR="00412B94" w:rsidRPr="003B1789">
        <w:rPr>
          <w:lang w:val="pl-PL"/>
        </w:rPr>
        <w:t xml:space="preserve"> 14</w:t>
      </w:r>
    </w:p>
    <w:p w:rsidR="00B23EB1" w:rsidRPr="003B1789" w:rsidRDefault="00DA59FF">
      <w:pPr>
        <w:pStyle w:val="ClinKeyword"/>
        <w:rPr>
          <w:lang w:val="pl-PL"/>
        </w:rPr>
      </w:pPr>
      <w:r w:rsidRPr="003B1789">
        <w:rPr>
          <w:lang w:val="pl-PL"/>
        </w:rPr>
        <w:t>Dyskryminacja</w:t>
      </w:r>
    </w:p>
    <w:p w:rsidR="00FF2008" w:rsidRPr="00FF2008" w:rsidRDefault="00DA59FF" w:rsidP="00ED117D">
      <w:pPr>
        <w:jc w:val="both"/>
        <w:rPr>
          <w:lang w:val="pl-PL"/>
        </w:rPr>
      </w:pPr>
      <w:r>
        <w:rPr>
          <w:lang w:val="pl-PL"/>
        </w:rPr>
        <w:t>Różne traktowanie</w:t>
      </w:r>
      <w:r w:rsidR="00FF2008" w:rsidRPr="00FF2008">
        <w:rPr>
          <w:lang w:val="pl-PL"/>
        </w:rPr>
        <w:t xml:space="preserve"> członków wyznania </w:t>
      </w:r>
      <w:r w:rsidR="00CF0BA5">
        <w:rPr>
          <w:lang w:val="pl-PL"/>
        </w:rPr>
        <w:t>alawi</w:t>
      </w:r>
      <w:r w:rsidR="00FF2008" w:rsidRPr="00FF2008">
        <w:rPr>
          <w:lang w:val="pl-PL"/>
        </w:rPr>
        <w:t>ckiego i obywateli należących do większościowego odłamu Islamu</w:t>
      </w:r>
      <w:r>
        <w:rPr>
          <w:lang w:val="pl-PL"/>
        </w:rPr>
        <w:t xml:space="preserve">: </w:t>
      </w:r>
      <w:r w:rsidRPr="00E56AB4">
        <w:rPr>
          <w:i/>
          <w:lang w:val="pl-PL"/>
        </w:rPr>
        <w:t>naruszenie</w:t>
      </w:r>
    </w:p>
    <w:p w:rsidR="00DA59FF" w:rsidRPr="00DA59FF" w:rsidRDefault="00DA59FF">
      <w:pPr>
        <w:pStyle w:val="ClinContent"/>
        <w:rPr>
          <w:lang w:val="pl-PL"/>
        </w:rPr>
      </w:pPr>
      <w:r w:rsidRPr="00DA59FF">
        <w:rPr>
          <w:i/>
          <w:lang w:val="pl-PL"/>
        </w:rPr>
        <w:t>Fakty</w:t>
      </w:r>
      <w:r w:rsidRPr="00DA59FF">
        <w:rPr>
          <w:lang w:val="pl-PL"/>
        </w:rPr>
        <w:t xml:space="preserve"> – W czerwcu 2005 r. skarżący, którzy są wyznawcami wiary </w:t>
      </w:r>
      <w:r w:rsidR="00CF0BA5">
        <w:rPr>
          <w:lang w:val="pl-PL"/>
        </w:rPr>
        <w:t>alawi</w:t>
      </w:r>
      <w:r w:rsidRPr="00DA59FF">
        <w:rPr>
          <w:lang w:val="pl-PL"/>
        </w:rPr>
        <w:t>ckiej, przedłożyli indywidualnie petycję do Pre</w:t>
      </w:r>
      <w:r>
        <w:rPr>
          <w:lang w:val="pl-PL"/>
        </w:rPr>
        <w:t>miera</w:t>
      </w:r>
      <w:r w:rsidRPr="00DA59FF">
        <w:rPr>
          <w:lang w:val="pl-PL"/>
        </w:rPr>
        <w:t xml:space="preserve">, wnioskując, by posługa związana z praktykowaniem wiary </w:t>
      </w:r>
      <w:r w:rsidR="00CF0BA5">
        <w:rPr>
          <w:lang w:val="pl-PL"/>
        </w:rPr>
        <w:t>alawi</w:t>
      </w:r>
      <w:r w:rsidR="00773660">
        <w:rPr>
          <w:lang w:val="pl-PL"/>
        </w:rPr>
        <w:t>ckiej stanowił</w:t>
      </w:r>
      <w:r w:rsidRPr="00DA59FF">
        <w:rPr>
          <w:lang w:val="pl-PL"/>
        </w:rPr>
        <w:t xml:space="preserve">a służbę publiczną, by </w:t>
      </w:r>
      <w:r w:rsidR="00CF0BA5">
        <w:rPr>
          <w:lang w:val="pl-PL"/>
        </w:rPr>
        <w:t>alawi</w:t>
      </w:r>
      <w:r w:rsidRPr="00DA59FF">
        <w:rPr>
          <w:lang w:val="pl-PL"/>
        </w:rPr>
        <w:t>ckie miejsca kultu (</w:t>
      </w:r>
      <w:proofErr w:type="spellStart"/>
      <w:r w:rsidRPr="00DA59FF">
        <w:rPr>
          <w:i/>
          <w:lang w:val="pl-PL"/>
        </w:rPr>
        <w:t>cemevis</w:t>
      </w:r>
      <w:proofErr w:type="spellEnd"/>
      <w:r w:rsidRPr="00DA59FF">
        <w:rPr>
          <w:lang w:val="pl-PL"/>
        </w:rPr>
        <w:t xml:space="preserve">) </w:t>
      </w:r>
      <w:r>
        <w:rPr>
          <w:lang w:val="pl-PL"/>
        </w:rPr>
        <w:t xml:space="preserve">uzyskały status miejsc kultu, by </w:t>
      </w:r>
      <w:r w:rsidR="00CF0BA5">
        <w:rPr>
          <w:lang w:val="pl-PL"/>
        </w:rPr>
        <w:t>alawi</w:t>
      </w:r>
      <w:r>
        <w:rPr>
          <w:lang w:val="pl-PL"/>
        </w:rPr>
        <w:t xml:space="preserve">ccy przywódcy religijni byli zatrudniani jako urzędnicy służby cywilnej, a także, by w budżecie przewidziano specjalne środki na rzecz praktykowania wiary </w:t>
      </w:r>
      <w:r w:rsidR="00CF0BA5">
        <w:rPr>
          <w:lang w:val="pl-PL"/>
        </w:rPr>
        <w:t>alawi</w:t>
      </w:r>
      <w:r>
        <w:rPr>
          <w:lang w:val="pl-PL"/>
        </w:rPr>
        <w:t>ckiej. Departament ds. Relacji Publiczny</w:t>
      </w:r>
      <w:r w:rsidR="00773660">
        <w:rPr>
          <w:lang w:val="pl-PL"/>
        </w:rPr>
        <w:t>ch</w:t>
      </w:r>
      <w:r>
        <w:rPr>
          <w:lang w:val="pl-PL"/>
        </w:rPr>
        <w:t xml:space="preserve"> Premiera odpowiedział, że </w:t>
      </w:r>
      <w:r w:rsidR="00773660">
        <w:rPr>
          <w:lang w:val="pl-PL"/>
        </w:rPr>
        <w:t xml:space="preserve">uwzględnienie ich wniosków </w:t>
      </w:r>
      <w:r>
        <w:rPr>
          <w:lang w:val="pl-PL"/>
        </w:rPr>
        <w:t xml:space="preserve">było niemożliwe. Prawie 2000 osób, w tym skarżący, złożyło następnie wniosek do Sądu Administracyjnego o kontrolę sądową tej odmowy. W lipcu 2007 r. Sąd Administracyjny oddalił wniosek, orzekając, że odmowa władz administracyjnych była zgodna z obowiązującym ustawodawstwem. Skarżący złożyli kasację, która została oddalona przez Naczelny Sąd Administracyjny. </w:t>
      </w:r>
    </w:p>
    <w:p w:rsidR="009F531C" w:rsidRPr="009F531C" w:rsidRDefault="009F531C">
      <w:pPr>
        <w:pStyle w:val="ClinContent"/>
        <w:rPr>
          <w:lang w:val="pl-PL"/>
        </w:rPr>
      </w:pPr>
      <w:r w:rsidRPr="009F531C">
        <w:rPr>
          <w:lang w:val="pl-PL"/>
        </w:rPr>
        <w:t xml:space="preserve">W skardze do Europejskiego Trybunału skarżący zarzucali naruszenie art. </w:t>
      </w:r>
      <w:r>
        <w:rPr>
          <w:lang w:val="pl-PL"/>
        </w:rPr>
        <w:t xml:space="preserve">9 Konwencji z uwagi na odmowę uwzględnienia ich wniosków o zapewnienie publicznej posługi religijnej dla wyznawców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ckiej. Ponadto skarżyli się na naruszenie art. 14 Konwencji w związku z art. 9, zarzucając, że członkowie wspólnoty </w:t>
      </w:r>
      <w:r w:rsidR="00CF0BA5">
        <w:rPr>
          <w:lang w:val="pl-PL"/>
        </w:rPr>
        <w:t>alawi</w:t>
      </w:r>
      <w:r>
        <w:rPr>
          <w:lang w:val="pl-PL"/>
        </w:rPr>
        <w:t xml:space="preserve">ckiej byli traktowani mniej korzystnie niż obywatele należący do sunnickiego odłamu Islamu. </w:t>
      </w:r>
    </w:p>
    <w:p w:rsidR="00743627" w:rsidRPr="00743627" w:rsidRDefault="00743627">
      <w:pPr>
        <w:pStyle w:val="ClinContent"/>
        <w:rPr>
          <w:lang w:val="pl-PL"/>
        </w:rPr>
      </w:pPr>
      <w:r w:rsidRPr="00743627">
        <w:rPr>
          <w:lang w:val="pl-PL"/>
        </w:rPr>
        <w:t xml:space="preserve">W dniu 25 listopada 2014 r. Izba Trybunału zrzekła się właściwości na rzecz Wielkiej Izby. </w:t>
      </w:r>
    </w:p>
    <w:p w:rsidR="00B23EB1" w:rsidRPr="0032145C" w:rsidRDefault="00743627">
      <w:pPr>
        <w:pStyle w:val="ClinContent"/>
        <w:rPr>
          <w:lang w:val="pl-PL"/>
        </w:rPr>
      </w:pPr>
      <w:r w:rsidRPr="0032145C">
        <w:rPr>
          <w:i/>
          <w:lang w:val="pl-PL"/>
        </w:rPr>
        <w:lastRenderedPageBreak/>
        <w:t xml:space="preserve">Prawo </w:t>
      </w:r>
    </w:p>
    <w:p w:rsidR="00743627" w:rsidRPr="00743627" w:rsidRDefault="00743627">
      <w:pPr>
        <w:pStyle w:val="ClinContent"/>
        <w:rPr>
          <w:lang w:val="pl-PL"/>
        </w:rPr>
      </w:pPr>
      <w:r w:rsidRPr="00743627">
        <w:rPr>
          <w:lang w:val="pl-PL"/>
        </w:rPr>
        <w:t>Art. 9: Zaskarżona odmowa, która s</w:t>
      </w:r>
      <w:r w:rsidR="00AF1217">
        <w:rPr>
          <w:lang w:val="pl-PL"/>
        </w:rPr>
        <w:t xml:space="preserve">prowadzała się do </w:t>
      </w:r>
      <w:r w:rsidRPr="00743627">
        <w:rPr>
          <w:lang w:val="pl-PL"/>
        </w:rPr>
        <w:t>zaprzeczeni</w:t>
      </w:r>
      <w:r w:rsidR="00AE5C33">
        <w:rPr>
          <w:lang w:val="pl-PL"/>
        </w:rPr>
        <w:t>a</w:t>
      </w:r>
      <w:r w:rsidRPr="00743627">
        <w:rPr>
          <w:lang w:val="pl-PL"/>
        </w:rPr>
        <w:t xml:space="preserve"> religijnego charakteru wiary </w:t>
      </w:r>
      <w:r w:rsidR="00CF0BA5">
        <w:rPr>
          <w:lang w:val="pl-PL"/>
        </w:rPr>
        <w:t>alawi</w:t>
      </w:r>
      <w:r w:rsidRPr="00743627">
        <w:rPr>
          <w:lang w:val="pl-PL"/>
        </w:rPr>
        <w:t xml:space="preserve">ckiej, stanowiła ingerencję w prawo skarżących do wolności wyznania. </w:t>
      </w:r>
      <w:r>
        <w:rPr>
          <w:lang w:val="pl-PL"/>
        </w:rPr>
        <w:t xml:space="preserve">Trybunał zgodził się, że ingerencja ta była „przewidziana przez ustawę” i dążyła do uprawnionego celu, mianowicie ochrony porządku publicznego. </w:t>
      </w:r>
    </w:p>
    <w:p w:rsidR="00E56AB4" w:rsidRDefault="00743627">
      <w:pPr>
        <w:pStyle w:val="ClinContent"/>
        <w:rPr>
          <w:lang w:val="pl-PL"/>
        </w:rPr>
      </w:pPr>
      <w:r w:rsidRPr="00743627">
        <w:rPr>
          <w:lang w:val="pl-PL"/>
        </w:rPr>
        <w:t xml:space="preserve">Rząd podniósł kilka argumentów na uzasadnienie tej ingerencji. </w:t>
      </w:r>
      <w:r>
        <w:rPr>
          <w:lang w:val="pl-PL"/>
        </w:rPr>
        <w:t xml:space="preserve">Twierdził, że (a) </w:t>
      </w:r>
      <w:r w:rsidR="00773660">
        <w:rPr>
          <w:lang w:val="pl-PL"/>
        </w:rPr>
        <w:t>post</w:t>
      </w:r>
      <w:r w:rsidR="0081463D">
        <w:rPr>
          <w:lang w:val="pl-PL"/>
        </w:rPr>
        <w:t>ąpił</w:t>
      </w:r>
      <w:r w:rsidR="00773660">
        <w:rPr>
          <w:lang w:val="pl-PL"/>
        </w:rPr>
        <w:t xml:space="preserve"> zgodnie z</w:t>
      </w:r>
      <w:r w:rsidR="00E56AB4">
        <w:rPr>
          <w:lang w:val="pl-PL"/>
        </w:rPr>
        <w:t>e swoim obowiązkiem</w:t>
      </w:r>
      <w:r>
        <w:rPr>
          <w:lang w:val="pl-PL"/>
        </w:rPr>
        <w:t xml:space="preserve"> neutralności względem religii; (b) że pomimo ograniczeń nałożonych przez </w:t>
      </w:r>
      <w:r w:rsidR="00773660">
        <w:rPr>
          <w:lang w:val="pl-PL"/>
        </w:rPr>
        <w:t>prawo</w:t>
      </w:r>
      <w:r>
        <w:rPr>
          <w:lang w:val="pl-PL"/>
        </w:rPr>
        <w:t xml:space="preserve"> Al</w:t>
      </w:r>
      <w:r w:rsidR="003B1789">
        <w:rPr>
          <w:lang w:val="pl-PL"/>
        </w:rPr>
        <w:t>a</w:t>
      </w:r>
      <w:r>
        <w:rPr>
          <w:lang w:val="pl-PL"/>
        </w:rPr>
        <w:t xml:space="preserve">wici byli w stanie korzystać ze swojej wolności wyznania bez żadnych </w:t>
      </w:r>
      <w:r w:rsidR="00E75270">
        <w:rPr>
          <w:lang w:val="pl-PL"/>
        </w:rPr>
        <w:t xml:space="preserve">przeszkód; (c) że władze krajowe posiadały znaczny margines uznania w tej sprawie; a także (d) że istniało wiele różnic w zakresie definicji, zasobów, obrządków, ceremonii i zasad </w:t>
      </w:r>
      <w:proofErr w:type="spellStart"/>
      <w:r w:rsidR="00E75270">
        <w:rPr>
          <w:lang w:val="pl-PL"/>
        </w:rPr>
        <w:t>Al</w:t>
      </w:r>
      <w:r w:rsidR="00773660">
        <w:rPr>
          <w:lang w:val="pl-PL"/>
        </w:rPr>
        <w:t>a</w:t>
      </w:r>
      <w:r w:rsidR="00E75270">
        <w:rPr>
          <w:lang w:val="pl-PL"/>
        </w:rPr>
        <w:t>wizmu</w:t>
      </w:r>
      <w:proofErr w:type="spellEnd"/>
      <w:r w:rsidR="00E75270">
        <w:rPr>
          <w:lang w:val="pl-PL"/>
        </w:rPr>
        <w:t xml:space="preserve"> w Turcji.</w:t>
      </w:r>
    </w:p>
    <w:p w:rsidR="00E75270" w:rsidRPr="00E75270" w:rsidRDefault="00E75270">
      <w:pPr>
        <w:pStyle w:val="ClinContent"/>
        <w:rPr>
          <w:lang w:val="pl-PL"/>
        </w:rPr>
      </w:pPr>
      <w:r w:rsidRPr="00E75270">
        <w:rPr>
          <w:lang w:val="pl-PL"/>
        </w:rPr>
        <w:t xml:space="preserve">Trybunał zbadał wszystkie te powody, by ustalić, czy były one “właściwe i wystarczające” i czy </w:t>
      </w:r>
      <w:r>
        <w:rPr>
          <w:lang w:val="pl-PL"/>
        </w:rPr>
        <w:t xml:space="preserve">przedmiotowa </w:t>
      </w:r>
      <w:r w:rsidRPr="00E75270">
        <w:rPr>
          <w:lang w:val="pl-PL"/>
        </w:rPr>
        <w:t xml:space="preserve">odmowa </w:t>
      </w:r>
      <w:r>
        <w:rPr>
          <w:lang w:val="pl-PL"/>
        </w:rPr>
        <w:t xml:space="preserve">była „proporcjonalna do uprawnionego celu, do którego dążono”. </w:t>
      </w:r>
    </w:p>
    <w:p w:rsidR="00E75270" w:rsidRPr="00E75270" w:rsidRDefault="00E75270">
      <w:pPr>
        <w:pStyle w:val="ClinContent"/>
        <w:rPr>
          <w:lang w:val="pl-PL"/>
        </w:rPr>
      </w:pPr>
      <w:r w:rsidRPr="00E75270">
        <w:rPr>
          <w:lang w:val="pl-PL"/>
        </w:rPr>
        <w:t>(a)  </w:t>
      </w:r>
      <w:r w:rsidRPr="00E75270">
        <w:rPr>
          <w:i/>
          <w:lang w:val="pl-PL"/>
        </w:rPr>
        <w:t xml:space="preserve">Obowiązek </w:t>
      </w:r>
      <w:r w:rsidR="006E5F70" w:rsidRPr="00E75270">
        <w:rPr>
          <w:i/>
          <w:lang w:val="pl-PL"/>
        </w:rPr>
        <w:t>neutralności</w:t>
      </w:r>
      <w:r w:rsidRPr="00E75270">
        <w:rPr>
          <w:i/>
          <w:lang w:val="pl-PL"/>
        </w:rPr>
        <w:t xml:space="preserve"> i bezstronności Państwa wobec wiary </w:t>
      </w:r>
      <w:r w:rsidR="00CF0BA5">
        <w:rPr>
          <w:i/>
          <w:lang w:val="pl-PL"/>
        </w:rPr>
        <w:t>alawi</w:t>
      </w:r>
      <w:r w:rsidRPr="00E75270">
        <w:rPr>
          <w:i/>
          <w:lang w:val="pl-PL"/>
        </w:rPr>
        <w:t>ckiej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– </w:t>
      </w:r>
      <w:r w:rsidR="00773660">
        <w:rPr>
          <w:lang w:val="pl-PL"/>
        </w:rPr>
        <w:t xml:space="preserve">Choć </w:t>
      </w:r>
      <w:r>
        <w:rPr>
          <w:lang w:val="pl-PL"/>
        </w:rPr>
        <w:t xml:space="preserve">Konstytucja turecka gwarantowała zasadę świeckości, która zakazywała Państwu uzewnętrzniania preferencji dla konkretnego wyznania lub przekonań, postawa Państwa Tureckiego wobec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 naruszała prawo wspólnoty </w:t>
      </w:r>
      <w:r w:rsidR="00CF0BA5">
        <w:rPr>
          <w:lang w:val="pl-PL"/>
        </w:rPr>
        <w:t>alawi</w:t>
      </w:r>
      <w:r>
        <w:rPr>
          <w:lang w:val="pl-PL"/>
        </w:rPr>
        <w:t xml:space="preserve">ckiej do autonomicznego istnienia, </w:t>
      </w:r>
      <w:r w:rsidR="00E56AB4">
        <w:rPr>
          <w:lang w:val="pl-PL"/>
        </w:rPr>
        <w:t>co</w:t>
      </w:r>
      <w:r>
        <w:rPr>
          <w:lang w:val="pl-PL"/>
        </w:rPr>
        <w:t xml:space="preserve"> stanowiło </w:t>
      </w:r>
      <w:r w:rsidRPr="006E5F70">
        <w:rPr>
          <w:lang w:val="pl-PL"/>
        </w:rPr>
        <w:t>centralną gwarancję zawartą w art. 9 Konwencji. Ta postawa władz państwowych nie uwzględniała</w:t>
      </w:r>
      <w:r>
        <w:rPr>
          <w:lang w:val="pl-PL"/>
        </w:rPr>
        <w:t xml:space="preserve"> szczególnych cech wspólnoty </w:t>
      </w:r>
      <w:r w:rsidR="00CF0BA5">
        <w:rPr>
          <w:lang w:val="pl-PL"/>
        </w:rPr>
        <w:t>alawi</w:t>
      </w:r>
      <w:r>
        <w:rPr>
          <w:lang w:val="pl-PL"/>
        </w:rPr>
        <w:t>ckiej i skutkowała zaliczeniem jej do kategorii grup wyznaniowych objętych ustawą nr 677</w:t>
      </w:r>
      <w:r w:rsidRPr="00E75270">
        <w:rPr>
          <w:vertAlign w:val="superscript"/>
          <w:lang w:val="pl-PL"/>
        </w:rPr>
        <w:t>*</w:t>
      </w:r>
      <w:r w:rsidRPr="00E75270">
        <w:rPr>
          <w:lang w:val="pl-PL"/>
        </w:rPr>
        <w:t>,</w:t>
      </w:r>
      <w:r>
        <w:rPr>
          <w:lang w:val="pl-PL"/>
        </w:rPr>
        <w:t xml:space="preserve">co pociągało za sobą znaczące zakazy. Było to niezgodne z obowiązkiem neutralności i bezstronności Państwa oraz prawem wspólnot wyznaniowych do istnienia w sposób autonomiczny. </w:t>
      </w:r>
      <w:r>
        <w:rPr>
          <w:vertAlign w:val="superscript"/>
          <w:lang w:val="pl-PL"/>
        </w:rPr>
        <w:t xml:space="preserve"> </w:t>
      </w:r>
    </w:p>
    <w:p w:rsidR="006E5F70" w:rsidRPr="006E5F70" w:rsidRDefault="006E5F70">
      <w:pPr>
        <w:pStyle w:val="ClinContent"/>
        <w:rPr>
          <w:lang w:val="pl-PL"/>
        </w:rPr>
      </w:pPr>
      <w:r w:rsidRPr="006E5F70">
        <w:rPr>
          <w:lang w:val="pl-PL"/>
        </w:rPr>
        <w:t xml:space="preserve">(b)  </w:t>
      </w:r>
      <w:r w:rsidRPr="006E5F70">
        <w:rPr>
          <w:i/>
          <w:lang w:val="pl-PL"/>
        </w:rPr>
        <w:t xml:space="preserve">Swobodne praktykowanie przez </w:t>
      </w:r>
      <w:proofErr w:type="spellStart"/>
      <w:r w:rsidRPr="006E5F70">
        <w:rPr>
          <w:i/>
          <w:lang w:val="pl-PL"/>
        </w:rPr>
        <w:t>Al</w:t>
      </w:r>
      <w:r w:rsidR="00773660">
        <w:rPr>
          <w:i/>
          <w:lang w:val="pl-PL"/>
        </w:rPr>
        <w:t>a</w:t>
      </w:r>
      <w:r w:rsidRPr="006E5F70">
        <w:rPr>
          <w:i/>
          <w:lang w:val="pl-PL"/>
        </w:rPr>
        <w:t>witów</w:t>
      </w:r>
      <w:proofErr w:type="spellEnd"/>
      <w:r w:rsidRPr="006E5F70">
        <w:rPr>
          <w:i/>
          <w:lang w:val="pl-PL"/>
        </w:rPr>
        <w:t xml:space="preserve"> ich wiary</w:t>
      </w:r>
      <w:r w:rsidRPr="006E5F70">
        <w:rPr>
          <w:lang w:val="pl-PL"/>
        </w:rPr>
        <w:t>:</w:t>
      </w:r>
      <w:r>
        <w:rPr>
          <w:lang w:val="pl-PL"/>
        </w:rPr>
        <w:t xml:space="preserve"> Ustawa nr 677 przewidywała szereg </w:t>
      </w:r>
      <w:r w:rsidR="00773660">
        <w:rPr>
          <w:lang w:val="pl-PL"/>
        </w:rPr>
        <w:t xml:space="preserve">istotnych </w:t>
      </w:r>
      <w:r>
        <w:rPr>
          <w:lang w:val="pl-PL"/>
        </w:rPr>
        <w:t>zakazów w odniesieniu do tych grup wyznaniowych, odnoszących się na przykład do wykorzystywania tytułu „</w:t>
      </w:r>
      <w:proofErr w:type="spellStart"/>
      <w:r w:rsidRPr="005D5552">
        <w:rPr>
          <w:i/>
          <w:lang w:val="pl-PL"/>
        </w:rPr>
        <w:t>dede</w:t>
      </w:r>
      <w:proofErr w:type="spellEnd"/>
      <w:r>
        <w:rPr>
          <w:lang w:val="pl-PL"/>
        </w:rPr>
        <w:t xml:space="preserve">” (oznaczającego duchowego przywódcę </w:t>
      </w:r>
      <w:r w:rsidR="00CF0BA5">
        <w:rPr>
          <w:lang w:val="pl-PL"/>
        </w:rPr>
        <w:t>alawi</w:t>
      </w:r>
      <w:r>
        <w:rPr>
          <w:lang w:val="pl-PL"/>
        </w:rPr>
        <w:t xml:space="preserve">ckiego) oraz wyznaczania pomieszczeń dla praktyk sufickich. </w:t>
      </w:r>
      <w:r w:rsidR="005D5552">
        <w:rPr>
          <w:lang w:val="pl-PL"/>
        </w:rPr>
        <w:t xml:space="preserve">Praktyki te były zakazane i podlegały karze pozbawienia wolności oraz grzywny. Trybunał wyraził poważne wątpliwości, czy grupa religijna, która została w ten sposób scharakteryzowana, była w stanie swobodnie praktykować swoją wiarę i prowadzić swoich wyznawców bez naruszania wspomnianego ustawodawstwa. </w:t>
      </w:r>
    </w:p>
    <w:p w:rsidR="005D5552" w:rsidRPr="005D5552" w:rsidRDefault="005D5552">
      <w:pPr>
        <w:pStyle w:val="ClinContent"/>
        <w:rPr>
          <w:lang w:val="pl-PL"/>
        </w:rPr>
      </w:pPr>
      <w:r w:rsidRPr="005D5552">
        <w:rPr>
          <w:lang w:val="pl-PL"/>
        </w:rPr>
        <w:t xml:space="preserve">Ponadto, oprócz odmowy uznania </w:t>
      </w:r>
      <w:proofErr w:type="spellStart"/>
      <w:r w:rsidRPr="005D5552">
        <w:rPr>
          <w:i/>
          <w:lang w:val="pl-PL"/>
        </w:rPr>
        <w:t>cemevis</w:t>
      </w:r>
      <w:proofErr w:type="spellEnd"/>
      <w:r>
        <w:rPr>
          <w:i/>
          <w:lang w:val="pl-PL"/>
        </w:rPr>
        <w:t xml:space="preserve"> </w:t>
      </w:r>
      <w:r w:rsidRPr="005D5552">
        <w:rPr>
          <w:lang w:val="pl-PL"/>
        </w:rPr>
        <w:t>za mie</w:t>
      </w:r>
      <w:r>
        <w:rPr>
          <w:lang w:val="pl-PL"/>
        </w:rPr>
        <w:t>jsca kultu, Al</w:t>
      </w:r>
      <w:r w:rsidR="00773660">
        <w:rPr>
          <w:lang w:val="pl-PL"/>
        </w:rPr>
        <w:t>a</w:t>
      </w:r>
      <w:r>
        <w:rPr>
          <w:lang w:val="pl-PL"/>
        </w:rPr>
        <w:t xml:space="preserve">wici napotykali wiele innych problemów, które wpływały nie tylko na organizację życia religijnego ich wspólnoty, ale także na prawa rodziców </w:t>
      </w:r>
      <w:r w:rsidR="00CF0BA5">
        <w:rPr>
          <w:lang w:val="pl-PL"/>
        </w:rPr>
        <w:t>alawi</w:t>
      </w:r>
      <w:r>
        <w:rPr>
          <w:lang w:val="pl-PL"/>
        </w:rPr>
        <w:t xml:space="preserve">ckich, których dzieci uczęszczały do szkół podstawowych i średnich. Trybunał już wcześniej orzekł, że system oświaty w Turcji nie był odpowiednio dostosowany do zapewnienia poszanowania przekonań rodziców </w:t>
      </w:r>
      <w:r w:rsidR="00CF0BA5">
        <w:rPr>
          <w:lang w:val="pl-PL"/>
        </w:rPr>
        <w:t>alawi</w:t>
      </w:r>
      <w:r>
        <w:rPr>
          <w:lang w:val="pl-PL"/>
        </w:rPr>
        <w:t>ckich</w:t>
      </w:r>
      <w:r w:rsidRPr="005D5552">
        <w:rPr>
          <w:vertAlign w:val="superscript"/>
          <w:lang w:val="pl-PL"/>
        </w:rPr>
        <w:t>**</w:t>
      </w:r>
      <w:r>
        <w:rPr>
          <w:lang w:val="pl-PL"/>
        </w:rPr>
        <w:t xml:space="preserve">. </w:t>
      </w:r>
    </w:p>
    <w:p w:rsidR="005D5552" w:rsidRPr="005D5552" w:rsidRDefault="005D5552">
      <w:pPr>
        <w:pStyle w:val="ClinContent"/>
        <w:rPr>
          <w:lang w:val="pl-PL"/>
        </w:rPr>
      </w:pPr>
      <w:r w:rsidRPr="005D5552">
        <w:rPr>
          <w:lang w:val="pl-PL"/>
        </w:rPr>
        <w:t xml:space="preserve">Ponadto, brak jasnych ram prawnych </w:t>
      </w:r>
      <w:r>
        <w:rPr>
          <w:lang w:val="pl-PL"/>
        </w:rPr>
        <w:t xml:space="preserve">odnoszących się do nieuznanych mniejszości religijnych, takich jak wiara </w:t>
      </w:r>
      <w:r w:rsidR="00CF0BA5">
        <w:rPr>
          <w:lang w:val="pl-PL"/>
        </w:rPr>
        <w:t>alawi</w:t>
      </w:r>
      <w:r>
        <w:rPr>
          <w:lang w:val="pl-PL"/>
        </w:rPr>
        <w:t xml:space="preserve">cka, powodowało wiele dodatkowych problemów prawnych, organizacyjnych i finansowych w odniesieniu do zdolności budowania miejsc kultu, otrzymywania darowizn i subsydiów oraz dostępu do sądów. Wspólnoty wyznaniowe próbujące działać jako fundacja lub stowarzyszenie napotykały na wiele </w:t>
      </w:r>
      <w:r w:rsidR="009F61B4">
        <w:rPr>
          <w:lang w:val="pl-PL"/>
        </w:rPr>
        <w:t>barier natury prawnej</w:t>
      </w:r>
      <w:r>
        <w:rPr>
          <w:lang w:val="pl-PL"/>
        </w:rPr>
        <w:t xml:space="preserve">. </w:t>
      </w:r>
    </w:p>
    <w:p w:rsidR="005D5552" w:rsidRPr="005D5552" w:rsidRDefault="005D5552">
      <w:pPr>
        <w:pStyle w:val="ClinContent"/>
        <w:rPr>
          <w:lang w:val="pl-PL"/>
        </w:rPr>
      </w:pPr>
      <w:r w:rsidRPr="005D5552">
        <w:rPr>
          <w:lang w:val="pl-PL"/>
        </w:rPr>
        <w:t>Trybunał nie był zatem przekonany, że</w:t>
      </w:r>
      <w:r>
        <w:rPr>
          <w:lang w:val="pl-PL"/>
        </w:rPr>
        <w:t xml:space="preserve"> [zakres]</w:t>
      </w:r>
      <w:r w:rsidRPr="005D5552">
        <w:rPr>
          <w:lang w:val="pl-PL"/>
        </w:rPr>
        <w:t xml:space="preserve"> </w:t>
      </w:r>
      <w:r>
        <w:rPr>
          <w:lang w:val="pl-PL"/>
        </w:rPr>
        <w:t xml:space="preserve">swobody praktykowania swej wiary, którą pozostawiły władze wspólnocie </w:t>
      </w:r>
      <w:r w:rsidR="00CF0BA5">
        <w:rPr>
          <w:lang w:val="pl-PL"/>
        </w:rPr>
        <w:t>alawi</w:t>
      </w:r>
      <w:r>
        <w:rPr>
          <w:lang w:val="pl-PL"/>
        </w:rPr>
        <w:t xml:space="preserve">ckiej, umożliwiał tej wspólnocie pełne korzystanie z jej praw na podstawie art. 9. </w:t>
      </w:r>
    </w:p>
    <w:p w:rsidR="00AE1470" w:rsidRPr="00AE1470" w:rsidRDefault="00AE1470">
      <w:pPr>
        <w:pStyle w:val="ClinContent"/>
        <w:rPr>
          <w:lang w:val="pl-PL"/>
        </w:rPr>
      </w:pPr>
      <w:r w:rsidRPr="00AE1470">
        <w:rPr>
          <w:lang w:val="pl-PL"/>
        </w:rPr>
        <w:lastRenderedPageBreak/>
        <w:t>(c)  </w:t>
      </w:r>
      <w:r w:rsidRPr="00AE1470">
        <w:rPr>
          <w:i/>
          <w:lang w:val="pl-PL"/>
        </w:rPr>
        <w:t>Margines oceny</w:t>
      </w:r>
      <w:r w:rsidRPr="00AE1470">
        <w:rPr>
          <w:lang w:val="pl-PL"/>
        </w:rPr>
        <w:t xml:space="preserve"> – Obowiązek neutralności i bezstronności Państwa wyklucza jakiekolwiek uprawnienia z jego strony </w:t>
      </w:r>
      <w:r w:rsidR="00E25C72">
        <w:rPr>
          <w:lang w:val="pl-PL"/>
        </w:rPr>
        <w:t xml:space="preserve">do </w:t>
      </w:r>
      <w:r w:rsidRPr="00AE1470">
        <w:rPr>
          <w:lang w:val="pl-PL"/>
        </w:rPr>
        <w:t xml:space="preserve">oceniania, </w:t>
      </w:r>
      <w:r w:rsidR="00DC6DA6">
        <w:rPr>
          <w:lang w:val="pl-PL"/>
        </w:rPr>
        <w:t>czy</w:t>
      </w:r>
      <w:r w:rsidRPr="00AE1470">
        <w:rPr>
          <w:lang w:val="pl-PL"/>
        </w:rPr>
        <w:t xml:space="preserve"> poglądy religijne lub środki wykorzystywane do </w:t>
      </w:r>
      <w:r>
        <w:rPr>
          <w:lang w:val="pl-PL"/>
        </w:rPr>
        <w:t xml:space="preserve">wyrażania przekonań są uprawnione. Prawo zawarte w art. 9 byłoby wysoce teoretyczne i iluzoryczne, jeśli </w:t>
      </w:r>
      <w:r w:rsidR="00F71709">
        <w:rPr>
          <w:lang w:val="pl-PL"/>
        </w:rPr>
        <w:t xml:space="preserve">zakres uznania przyznany Państwu umożliwiałby mu interpretowanie pojęcia wyznania religijnego na tyle wąsko, by pozbawić ochrony prawnej nietradycyjne i mniejszościowe formy religii, takie jak wiara </w:t>
      </w:r>
      <w:r w:rsidR="00CF0BA5" w:rsidRPr="008D2B3B">
        <w:rPr>
          <w:lang w:val="pl-PL"/>
        </w:rPr>
        <w:t>alawi</w:t>
      </w:r>
      <w:r w:rsidR="00F71709" w:rsidRPr="008D2B3B">
        <w:rPr>
          <w:lang w:val="pl-PL"/>
        </w:rPr>
        <w:t>cka</w:t>
      </w:r>
      <w:r w:rsidR="00F71709">
        <w:rPr>
          <w:lang w:val="pl-PL"/>
        </w:rPr>
        <w:t>.</w:t>
      </w:r>
    </w:p>
    <w:p w:rsidR="00F71709" w:rsidRPr="00F71709" w:rsidRDefault="00F71709">
      <w:pPr>
        <w:pStyle w:val="ClinContent"/>
        <w:rPr>
          <w:lang w:val="pl-PL"/>
        </w:rPr>
      </w:pPr>
      <w:r w:rsidRPr="00F71709">
        <w:rPr>
          <w:lang w:val="pl-PL"/>
        </w:rPr>
        <w:t>(d)  </w:t>
      </w:r>
      <w:r w:rsidRPr="00F71709">
        <w:rPr>
          <w:i/>
          <w:lang w:val="pl-PL"/>
        </w:rPr>
        <w:t xml:space="preserve">Brak konsensusu w ramach wspólnoty </w:t>
      </w:r>
      <w:r w:rsidR="00CF0BA5">
        <w:rPr>
          <w:i/>
          <w:lang w:val="pl-PL"/>
        </w:rPr>
        <w:t>alawi</w:t>
      </w:r>
      <w:r w:rsidRPr="00F71709">
        <w:rPr>
          <w:i/>
          <w:lang w:val="pl-PL"/>
        </w:rPr>
        <w:t xml:space="preserve">ckiej </w:t>
      </w:r>
      <w:r w:rsidRPr="00F71709">
        <w:rPr>
          <w:lang w:val="pl-PL"/>
        </w:rPr>
        <w:t xml:space="preserve">– Fakt, że w ramach wspólnoty </w:t>
      </w:r>
      <w:r w:rsidR="00CF0BA5">
        <w:rPr>
          <w:lang w:val="pl-PL"/>
        </w:rPr>
        <w:t>alawi</w:t>
      </w:r>
      <w:r w:rsidRPr="00F71709">
        <w:rPr>
          <w:lang w:val="pl-PL"/>
        </w:rPr>
        <w:t xml:space="preserve">ckiej toczyła się debata dotycząca podstawowych </w:t>
      </w:r>
      <w:r>
        <w:rPr>
          <w:lang w:val="pl-PL"/>
        </w:rPr>
        <w:t xml:space="preserve">nakazów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 i żądań wspólnoty </w:t>
      </w:r>
      <w:r w:rsidR="00CF0BA5">
        <w:rPr>
          <w:lang w:val="pl-PL"/>
        </w:rPr>
        <w:t>alawi</w:t>
      </w:r>
      <w:r>
        <w:rPr>
          <w:lang w:val="pl-PL"/>
        </w:rPr>
        <w:t>ckiej w Turcji</w:t>
      </w:r>
      <w:r w:rsidR="00DC6DA6">
        <w:rPr>
          <w:lang w:val="pl-PL"/>
        </w:rPr>
        <w:t>,</w:t>
      </w:r>
      <w:r>
        <w:rPr>
          <w:lang w:val="pl-PL"/>
        </w:rPr>
        <w:t xml:space="preserve"> w żaden sposób nie zmienia</w:t>
      </w:r>
      <w:r w:rsidR="00773660">
        <w:rPr>
          <w:lang w:val="pl-PL"/>
        </w:rPr>
        <w:t>ł</w:t>
      </w:r>
      <w:r>
        <w:rPr>
          <w:lang w:val="pl-PL"/>
        </w:rPr>
        <w:t xml:space="preserve"> faktu, że jest to wspólnota wyznaniowa mająca prawa chronione przez art. 9 Konwencji. Istnienie takiej wewnętrznej debaty nie stanowi podstawy dla zaskarżonej odmowy, zwłaszcza że pozwane Państwo miało możliwość zidentyfikowania i zebrania wspólnych żądań obywateli </w:t>
      </w:r>
      <w:r w:rsidR="00CF0BA5">
        <w:rPr>
          <w:lang w:val="pl-PL"/>
        </w:rPr>
        <w:t>alawi</w:t>
      </w:r>
      <w:r>
        <w:rPr>
          <w:lang w:val="pl-PL"/>
        </w:rPr>
        <w:t xml:space="preserve">ckich, wyłonił się też wyraźny konsensus w sprawie kwestii dotyczących autonomii wspólnoty </w:t>
      </w:r>
      <w:r w:rsidR="00CF0BA5">
        <w:rPr>
          <w:lang w:val="pl-PL"/>
        </w:rPr>
        <w:t>alawi</w:t>
      </w:r>
      <w:r>
        <w:rPr>
          <w:lang w:val="pl-PL"/>
        </w:rPr>
        <w:t xml:space="preserve">ckiej i fundamentalnych elementów wiary. </w:t>
      </w:r>
    </w:p>
    <w:p w:rsidR="00F71709" w:rsidRPr="00F71709" w:rsidRDefault="00F71709">
      <w:pPr>
        <w:pStyle w:val="ClinContent"/>
        <w:rPr>
          <w:lang w:val="pl-PL"/>
        </w:rPr>
      </w:pPr>
      <w:r w:rsidRPr="00F71709">
        <w:rPr>
          <w:lang w:val="pl-PL"/>
        </w:rPr>
        <w:t xml:space="preserve">Podsumowując, </w:t>
      </w:r>
      <w:r>
        <w:rPr>
          <w:lang w:val="pl-PL"/>
        </w:rPr>
        <w:t xml:space="preserve">w świetle </w:t>
      </w:r>
      <w:r w:rsidRPr="00F71709">
        <w:rPr>
          <w:lang w:val="pl-PL"/>
        </w:rPr>
        <w:t>braku właściwych i wystarczających powodów uzasadniających odmowę uznania, które pozw</w:t>
      </w:r>
      <w:r w:rsidR="00773660">
        <w:rPr>
          <w:lang w:val="pl-PL"/>
        </w:rPr>
        <w:t>alałoby</w:t>
      </w:r>
      <w:r w:rsidRPr="00F71709">
        <w:rPr>
          <w:lang w:val="pl-PL"/>
        </w:rPr>
        <w:t xml:space="preserve"> </w:t>
      </w:r>
      <w:r>
        <w:rPr>
          <w:lang w:val="pl-PL"/>
        </w:rPr>
        <w:t xml:space="preserve">członkom wspólnoty </w:t>
      </w:r>
      <w:r w:rsidR="00CF0BA5">
        <w:rPr>
          <w:lang w:val="pl-PL"/>
        </w:rPr>
        <w:t>alawi</w:t>
      </w:r>
      <w:r>
        <w:rPr>
          <w:lang w:val="pl-PL"/>
        </w:rPr>
        <w:t xml:space="preserve">ckiej na skuteczne korzystanie z ich prawa do wolności wyznania, pozwane Państwo wykroczyło poza przysługujący mu margines oceny. Zaskarżona ingerencja nie może zatem być uznana za konieczną w społeczeństwie demokratycznym. </w:t>
      </w:r>
    </w:p>
    <w:p w:rsidR="00F71709" w:rsidRPr="002E5C45" w:rsidRDefault="00F71709">
      <w:pPr>
        <w:pStyle w:val="ClinContent"/>
        <w:rPr>
          <w:lang w:val="pl-PL"/>
        </w:rPr>
      </w:pPr>
      <w:r w:rsidRPr="002E5C45">
        <w:rPr>
          <w:i/>
          <w:lang w:val="pl-PL"/>
        </w:rPr>
        <w:t>Rozstrzygnięcie</w:t>
      </w:r>
      <w:r w:rsidRPr="002E5C45">
        <w:rPr>
          <w:lang w:val="pl-PL"/>
        </w:rPr>
        <w:t>: naruszenie (dwunastoma głosami do pięciu).</w:t>
      </w:r>
    </w:p>
    <w:p w:rsidR="002E5C45" w:rsidRPr="0032145C" w:rsidRDefault="002E5C45">
      <w:pPr>
        <w:pStyle w:val="ClinContent"/>
        <w:rPr>
          <w:lang w:val="pl-PL"/>
        </w:rPr>
      </w:pPr>
      <w:r w:rsidRPr="002E5C45">
        <w:rPr>
          <w:lang w:val="pl-PL"/>
        </w:rPr>
        <w:t xml:space="preserve">Art. 14 w związku z art. </w:t>
      </w:r>
      <w:r>
        <w:rPr>
          <w:lang w:val="pl-PL"/>
        </w:rPr>
        <w:t xml:space="preserve">9: Fakty będące przedmiotem skargi wchodzą w zakres art. 9 Konwencji, a „religia” jest wyraźnie wymieniona w art. 14 jako zakazany powód dyskryminacji. </w:t>
      </w:r>
      <w:r w:rsidRPr="0032145C">
        <w:rPr>
          <w:lang w:val="pl-PL"/>
        </w:rPr>
        <w:t xml:space="preserve">Art. 14 miał zatem zastosowanie do faktów obecnej sprawy. </w:t>
      </w:r>
    </w:p>
    <w:p w:rsidR="002E5C45" w:rsidRPr="0032145C" w:rsidRDefault="002E5C45">
      <w:pPr>
        <w:pStyle w:val="ClinContent"/>
        <w:rPr>
          <w:lang w:val="pl-PL"/>
        </w:rPr>
      </w:pPr>
      <w:r w:rsidRPr="002E5C45">
        <w:rPr>
          <w:lang w:val="pl-PL"/>
        </w:rPr>
        <w:t>W prawie tureckim, z publicznej posługi religijnej korzystali tylko wyzna</w:t>
      </w:r>
      <w:r>
        <w:rPr>
          <w:lang w:val="pl-PL"/>
        </w:rPr>
        <w:t xml:space="preserve">wcy większościowej (sunnickiej) koncepcji Islamu, natomiast obywatele </w:t>
      </w:r>
      <w:r w:rsidR="00CF0BA5">
        <w:rPr>
          <w:lang w:val="pl-PL"/>
        </w:rPr>
        <w:t>alawi</w:t>
      </w:r>
      <w:r>
        <w:rPr>
          <w:lang w:val="pl-PL"/>
        </w:rPr>
        <w:t xml:space="preserve">ccy byli pozbawieni tej posługi i związanego z nią statusu. Niezależnie od miejsca zajmowanego przez wiarę </w:t>
      </w:r>
      <w:proofErr w:type="spellStart"/>
      <w:r w:rsidR="00CF0BA5">
        <w:rPr>
          <w:lang w:val="pl-PL"/>
        </w:rPr>
        <w:t>alawi</w:t>
      </w:r>
      <w:r w:rsidR="00773660">
        <w:rPr>
          <w:lang w:val="pl-PL"/>
        </w:rPr>
        <w:t>cką</w:t>
      </w:r>
      <w:proofErr w:type="spellEnd"/>
      <w:r>
        <w:rPr>
          <w:lang w:val="pl-PL"/>
        </w:rPr>
        <w:t xml:space="preserve"> w teologii muzułmańskiej, nie było wątpliwości, że </w:t>
      </w:r>
      <w:r w:rsidR="00B61D27">
        <w:rPr>
          <w:lang w:val="pl-PL"/>
        </w:rPr>
        <w:t xml:space="preserve">jest to przekonanie religijne głęboko zakorzenione w tureckim społeczeństwie i historii. </w:t>
      </w:r>
      <w:r w:rsidR="008D2B3B">
        <w:rPr>
          <w:lang w:val="pl-PL"/>
        </w:rPr>
        <w:t>Ala</w:t>
      </w:r>
      <w:r w:rsidR="00B61D27">
        <w:rPr>
          <w:lang w:val="pl-PL"/>
        </w:rPr>
        <w:t>wic</w:t>
      </w:r>
      <w:r w:rsidR="008D2B3B">
        <w:rPr>
          <w:lang w:val="pl-PL"/>
        </w:rPr>
        <w:t>i</w:t>
      </w:r>
      <w:r w:rsidR="00B61D27">
        <w:rPr>
          <w:lang w:val="pl-PL"/>
        </w:rPr>
        <w:t xml:space="preserve"> tworzyli wspólnotę wyznaniową, która wykazywała odmi</w:t>
      </w:r>
      <w:r w:rsidR="006B677C">
        <w:rPr>
          <w:lang w:val="pl-PL"/>
        </w:rPr>
        <w:t>enne cechy</w:t>
      </w:r>
      <w:r w:rsidR="00B61D27">
        <w:rPr>
          <w:lang w:val="pl-PL"/>
        </w:rPr>
        <w:t xml:space="preserve"> w wielu sferach, w tym doktrynie teologicznej, głównych praktykach religijnych, miejscach kultu i edukacji. Potrzeby jej wyznawców w odniesieniu do uznania i zapewnienia publicznej posługi religijnej w odniesieniu do ich wspólnoty wydawały się porównywalne z potrzebami tych wyznawców, których praktyki religijne były traktowane jako służba publiczna. Skarżący, jako Al</w:t>
      </w:r>
      <w:r w:rsidR="006B677C">
        <w:rPr>
          <w:lang w:val="pl-PL"/>
        </w:rPr>
        <w:t>a</w:t>
      </w:r>
      <w:r w:rsidR="00B61D27">
        <w:rPr>
          <w:lang w:val="pl-PL"/>
        </w:rPr>
        <w:t xml:space="preserve">wici, znajdowali się zatem w podobnej sytuacji jak beneficjenci publicznej posługi religijnej zapewnianej przez Departament ds. </w:t>
      </w:r>
      <w:r w:rsidR="00B61D27" w:rsidRPr="0032145C">
        <w:rPr>
          <w:lang w:val="pl-PL"/>
        </w:rPr>
        <w:t>Wyznań Religijnych (RAD).</w:t>
      </w:r>
    </w:p>
    <w:p w:rsidR="00B61D27" w:rsidRPr="00B61D27" w:rsidRDefault="00B61D27">
      <w:pPr>
        <w:pStyle w:val="ClinContent"/>
        <w:rPr>
          <w:lang w:val="pl-PL"/>
        </w:rPr>
      </w:pPr>
      <w:r w:rsidRPr="00B61D27">
        <w:rPr>
          <w:lang w:val="pl-PL"/>
        </w:rPr>
        <w:t xml:space="preserve">Prawo do wolności wyznania chronione przez art. </w:t>
      </w:r>
      <w:r>
        <w:rPr>
          <w:lang w:val="pl-PL"/>
        </w:rPr>
        <w:t>9 obejm</w:t>
      </w:r>
      <w:r w:rsidR="006B677C">
        <w:rPr>
          <w:lang w:val="pl-PL"/>
        </w:rPr>
        <w:t>uje</w:t>
      </w:r>
      <w:r>
        <w:rPr>
          <w:lang w:val="pl-PL"/>
        </w:rPr>
        <w:t xml:space="preserve"> wolność uzewnętrzniania indywidualnie lub </w:t>
      </w:r>
      <w:r w:rsidR="00DC6DA6">
        <w:rPr>
          <w:lang w:val="pl-PL"/>
        </w:rPr>
        <w:t xml:space="preserve">we </w:t>
      </w:r>
      <w:r>
        <w:rPr>
          <w:lang w:val="pl-PL"/>
        </w:rPr>
        <w:t xml:space="preserve">wspólnocie z innymi oraz publicznie i prywatnie swego wyznania przez uprawianie kultu, nauczanie, praktykowanie i czynności rytualne. </w:t>
      </w:r>
      <w:r w:rsidR="006B677C">
        <w:rPr>
          <w:lang w:val="pl-PL"/>
        </w:rPr>
        <w:t>A zatem</w:t>
      </w:r>
      <w:r>
        <w:rPr>
          <w:lang w:val="pl-PL"/>
        </w:rPr>
        <w:t xml:space="preserve">, skarżący byli traktowani mniej korzystnie niż beneficjenci publicznej posługi religijnej, mimo że byli w porównywalnej sytuacji. </w:t>
      </w:r>
    </w:p>
    <w:p w:rsidR="00B61D27" w:rsidRPr="00B61D27" w:rsidRDefault="00B61D27">
      <w:pPr>
        <w:pStyle w:val="ClinContent"/>
        <w:rPr>
          <w:lang w:val="pl-PL"/>
        </w:rPr>
      </w:pPr>
      <w:r w:rsidRPr="00B61D27">
        <w:rPr>
          <w:lang w:val="pl-PL"/>
        </w:rPr>
        <w:t>Główny argument, na który powołał się rząd dla uzasadnienia tej ró</w:t>
      </w:r>
      <w:r>
        <w:rPr>
          <w:lang w:val="pl-PL"/>
        </w:rPr>
        <w:t>ż</w:t>
      </w:r>
      <w:r w:rsidRPr="00B61D27">
        <w:rPr>
          <w:lang w:val="pl-PL"/>
        </w:rPr>
        <w:t>nicy t</w:t>
      </w:r>
      <w:r>
        <w:rPr>
          <w:lang w:val="pl-PL"/>
        </w:rPr>
        <w:t xml:space="preserve">raktowania, opierał się na debacie teologicznej dotyczącej miejsca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 w ramach religii muzułmańskiej. Takie podejście było niezgodne z obowiązkiem neutralności i bezstronności Państwa względem religii i w sposób jasny wykraczało poza margines oceny w zakresie wyboru form współpracy z różnymi wyznaniami. W szczególności, istniał rażący brak równowagi między sytuacją skarżących a sytuacją osób, które korzystały z publicznej posługi religijnej, </w:t>
      </w:r>
      <w:r w:rsidR="00DC6DA6">
        <w:rPr>
          <w:lang w:val="pl-PL"/>
        </w:rPr>
        <w:t>zwłaszcza</w:t>
      </w:r>
      <w:r>
        <w:rPr>
          <w:lang w:val="pl-PL"/>
        </w:rPr>
        <w:t xml:space="preserve"> w odniesieniu do mających zastosowanie reżimów prawnych oraz uprawnienia do subsydiów państwowych. </w:t>
      </w:r>
      <w:r w:rsidRPr="00B61D27">
        <w:rPr>
          <w:lang w:val="pl-PL"/>
        </w:rPr>
        <w:t xml:space="preserve">Trybunał nie dostrzegł, dlaczego zachowanie świeckiej natury państwa w sposób konieczny </w:t>
      </w:r>
      <w:r w:rsidRPr="00B61D27">
        <w:rPr>
          <w:lang w:val="pl-PL"/>
        </w:rPr>
        <w:lastRenderedPageBreak/>
        <w:t xml:space="preserve">wymagało </w:t>
      </w:r>
      <w:r w:rsidR="0094552A">
        <w:rPr>
          <w:lang w:val="pl-PL"/>
        </w:rPr>
        <w:t xml:space="preserve">zaprzeczenia </w:t>
      </w:r>
      <w:r>
        <w:rPr>
          <w:lang w:val="pl-PL"/>
        </w:rPr>
        <w:t xml:space="preserve">religijnego charakteru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 i wykluczenia jej prawie całkowicie z korzyści publicznej posługi religijnej. </w:t>
      </w:r>
    </w:p>
    <w:p w:rsidR="0094552A" w:rsidRPr="0094552A" w:rsidRDefault="0094552A">
      <w:pPr>
        <w:pStyle w:val="ClinContent"/>
        <w:rPr>
          <w:lang w:val="pl-PL"/>
        </w:rPr>
      </w:pPr>
      <w:r w:rsidRPr="0094552A">
        <w:rPr>
          <w:lang w:val="pl-PL"/>
        </w:rPr>
        <w:t xml:space="preserve">W świetle argumentów wskazanych w odniesieniu do art. </w:t>
      </w:r>
      <w:r>
        <w:rPr>
          <w:lang w:val="pl-PL"/>
        </w:rPr>
        <w:t xml:space="preserve">9 Trybunał wyraził również wątpliwości, czy system turecki w sposób jasny definiował status prawny wyznań religijnych, a szczególnie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ckiej. Wspólnota </w:t>
      </w:r>
      <w:r w:rsidR="00CF0BA5">
        <w:rPr>
          <w:lang w:val="pl-PL"/>
        </w:rPr>
        <w:t>alawi</w:t>
      </w:r>
      <w:r>
        <w:rPr>
          <w:lang w:val="pl-PL"/>
        </w:rPr>
        <w:t xml:space="preserve">cka została pozbawiona ochrony prawnej, która umożliwiałaby jej skuteczne korzystanie z jej wolności wyznania. Ponadto, reżim prawny odnoszący się do wspólnot wyznaniowych zdawał się pozbawiony neutralnych kryteriów i praktycznie był poza zasięgiem wiary </w:t>
      </w:r>
      <w:r w:rsidR="00CF0BA5">
        <w:rPr>
          <w:lang w:val="pl-PL"/>
        </w:rPr>
        <w:t>alawi</w:t>
      </w:r>
      <w:r>
        <w:rPr>
          <w:lang w:val="pl-PL"/>
        </w:rPr>
        <w:t xml:space="preserve">ckiej, gdyż nie </w:t>
      </w:r>
      <w:r w:rsidR="00DC6DA6">
        <w:rPr>
          <w:lang w:val="pl-PL"/>
        </w:rPr>
        <w:t xml:space="preserve">przewidywał </w:t>
      </w:r>
      <w:r>
        <w:rPr>
          <w:lang w:val="pl-PL"/>
        </w:rPr>
        <w:t xml:space="preserve">on żadnych gwarancji </w:t>
      </w:r>
      <w:r w:rsidR="00DC6DA6">
        <w:rPr>
          <w:lang w:val="pl-PL"/>
        </w:rPr>
        <w:t xml:space="preserve">mogących </w:t>
      </w:r>
      <w:r>
        <w:rPr>
          <w:lang w:val="pl-PL"/>
        </w:rPr>
        <w:t xml:space="preserve">zapewnić, że nie stanie się on źródłem dyskryminacji </w:t>
      </w:r>
      <w:r>
        <w:rPr>
          <w:i/>
          <w:lang w:val="pl-PL"/>
        </w:rPr>
        <w:t xml:space="preserve">de iure </w:t>
      </w:r>
      <w:r w:rsidRPr="0094552A">
        <w:rPr>
          <w:lang w:val="pl-PL"/>
        </w:rPr>
        <w:t>i</w:t>
      </w:r>
      <w:r>
        <w:rPr>
          <w:i/>
          <w:lang w:val="pl-PL"/>
        </w:rPr>
        <w:t xml:space="preserve"> de facto </w:t>
      </w:r>
      <w:r w:rsidRPr="0094552A">
        <w:rPr>
          <w:lang w:val="pl-PL"/>
        </w:rPr>
        <w:t>wobec zwolenników innych wyznań i przekonań.</w:t>
      </w:r>
      <w:r>
        <w:rPr>
          <w:lang w:val="pl-PL"/>
        </w:rPr>
        <w:t xml:space="preserve"> W społeczeństwie demokratycznym opierającym się o zasady pluralizmu i poszanowania różnorodności kulturowej, jakiekolwiek</w:t>
      </w:r>
      <w:r>
        <w:rPr>
          <w:i/>
          <w:lang w:val="pl-PL"/>
        </w:rPr>
        <w:t xml:space="preserve"> </w:t>
      </w:r>
      <w:r>
        <w:rPr>
          <w:lang w:val="pl-PL"/>
        </w:rPr>
        <w:t xml:space="preserve">zróżnicowanie z uwagi na religię lub przekonania wymaga przekonujących powodów w celu jej uzasadnienia. </w:t>
      </w:r>
    </w:p>
    <w:p w:rsidR="0094552A" w:rsidRPr="0094552A" w:rsidRDefault="0094552A">
      <w:pPr>
        <w:pStyle w:val="ClinContent"/>
        <w:rPr>
          <w:lang w:val="pl-PL"/>
        </w:rPr>
      </w:pPr>
      <w:r w:rsidRPr="0094552A">
        <w:rPr>
          <w:lang w:val="pl-PL"/>
        </w:rPr>
        <w:t xml:space="preserve">Niezależnie od </w:t>
      </w:r>
      <w:r w:rsidR="006B677C">
        <w:rPr>
          <w:lang w:val="pl-PL"/>
        </w:rPr>
        <w:t>tego, jaka forma</w:t>
      </w:r>
      <w:r w:rsidRPr="0094552A">
        <w:rPr>
          <w:lang w:val="pl-PL"/>
        </w:rPr>
        <w:t xml:space="preserve"> </w:t>
      </w:r>
      <w:r w:rsidR="006B677C">
        <w:rPr>
          <w:lang w:val="pl-PL"/>
        </w:rPr>
        <w:t>w</w:t>
      </w:r>
      <w:r w:rsidRPr="0094552A">
        <w:rPr>
          <w:lang w:val="pl-PL"/>
        </w:rPr>
        <w:t xml:space="preserve">spółpracy z różnymi wspólnotami </w:t>
      </w:r>
      <w:r>
        <w:rPr>
          <w:lang w:val="pl-PL"/>
        </w:rPr>
        <w:t>wyznaniowymi</w:t>
      </w:r>
      <w:r w:rsidR="00DC6DA6" w:rsidRPr="00DC6DA6">
        <w:rPr>
          <w:lang w:val="pl-PL"/>
        </w:rPr>
        <w:t xml:space="preserve"> </w:t>
      </w:r>
      <w:r w:rsidR="00DC6DA6">
        <w:rPr>
          <w:lang w:val="pl-PL"/>
        </w:rPr>
        <w:t>zostanie wybrana</w:t>
      </w:r>
      <w:r>
        <w:rPr>
          <w:lang w:val="pl-PL"/>
        </w:rPr>
        <w:t xml:space="preserve">, Państwo ma obowiązek zapewnić istnienie obiektywnych i niedyskryminacyjnych kryteriów, </w:t>
      </w:r>
      <w:r w:rsidR="006B677C">
        <w:rPr>
          <w:lang w:val="pl-PL"/>
        </w:rPr>
        <w:t xml:space="preserve">tak </w:t>
      </w:r>
      <w:r>
        <w:rPr>
          <w:lang w:val="pl-PL"/>
        </w:rPr>
        <w:t xml:space="preserve">aby wspólnoty wyznaniowe, które sobie tego życzą, otrzymały uczciwą możliwość wnioskowania o status, który przyznaje szczególne korzyści wyznaniom religijnym. </w:t>
      </w:r>
    </w:p>
    <w:p w:rsidR="0094552A" w:rsidRPr="0094552A" w:rsidRDefault="0094552A">
      <w:pPr>
        <w:pStyle w:val="ClinContent"/>
        <w:rPr>
          <w:lang w:val="pl-PL"/>
        </w:rPr>
      </w:pPr>
      <w:r w:rsidRPr="0094552A">
        <w:rPr>
          <w:lang w:val="pl-PL"/>
        </w:rPr>
        <w:t xml:space="preserve">W sumie, </w:t>
      </w:r>
      <w:r>
        <w:rPr>
          <w:lang w:val="pl-PL"/>
        </w:rPr>
        <w:t>zważywszy na istnienie</w:t>
      </w:r>
      <w:r w:rsidRPr="0094552A">
        <w:rPr>
          <w:lang w:val="pl-PL"/>
        </w:rPr>
        <w:t xml:space="preserve"> wspólnot</w:t>
      </w:r>
      <w:r>
        <w:rPr>
          <w:lang w:val="pl-PL"/>
        </w:rPr>
        <w:t xml:space="preserve">y </w:t>
      </w:r>
      <w:r w:rsidR="00CF0BA5">
        <w:rPr>
          <w:lang w:val="pl-PL"/>
        </w:rPr>
        <w:t>alawi</w:t>
      </w:r>
      <w:r>
        <w:rPr>
          <w:lang w:val="pl-PL"/>
        </w:rPr>
        <w:t>ckiej głęboko zakorzenion</w:t>
      </w:r>
      <w:r w:rsidRPr="0094552A">
        <w:rPr>
          <w:lang w:val="pl-PL"/>
        </w:rPr>
        <w:t xml:space="preserve">ej w </w:t>
      </w:r>
      <w:r>
        <w:rPr>
          <w:lang w:val="pl-PL"/>
        </w:rPr>
        <w:t xml:space="preserve">tureckim społeczeństwie i historii, znaczenie </w:t>
      </w:r>
      <w:r w:rsidR="006B677C">
        <w:rPr>
          <w:lang w:val="pl-PL"/>
        </w:rPr>
        <w:t xml:space="preserve">prawnego </w:t>
      </w:r>
      <w:r>
        <w:rPr>
          <w:lang w:val="pl-PL"/>
        </w:rPr>
        <w:t xml:space="preserve">uznania dla tej wspólnoty, brak uzasadnienia </w:t>
      </w:r>
      <w:r w:rsidR="006B677C">
        <w:rPr>
          <w:lang w:val="pl-PL"/>
        </w:rPr>
        <w:t xml:space="preserve">przez rząd </w:t>
      </w:r>
      <w:r>
        <w:rPr>
          <w:lang w:val="pl-PL"/>
        </w:rPr>
        <w:t>rażącej nierównowagi między statusem przyznanym większościowej koncepcji Islamu w formie publicznej posługi re</w:t>
      </w:r>
      <w:r w:rsidR="003F2AFD">
        <w:rPr>
          <w:lang w:val="pl-PL"/>
        </w:rPr>
        <w:t>ligijnej</w:t>
      </w:r>
      <w:r>
        <w:rPr>
          <w:lang w:val="pl-PL"/>
        </w:rPr>
        <w:t xml:space="preserve"> a prawie blankietowym wykluczeniem wspólnoty </w:t>
      </w:r>
      <w:r w:rsidR="00CF0BA5">
        <w:rPr>
          <w:lang w:val="pl-PL"/>
        </w:rPr>
        <w:t>alawi</w:t>
      </w:r>
      <w:r>
        <w:rPr>
          <w:lang w:val="pl-PL"/>
        </w:rPr>
        <w:t xml:space="preserve">ckiej z tej posługi, a także </w:t>
      </w:r>
      <w:r w:rsidR="006B677C">
        <w:rPr>
          <w:lang w:val="pl-PL"/>
        </w:rPr>
        <w:t xml:space="preserve">zważywszy </w:t>
      </w:r>
      <w:r w:rsidR="007648B0">
        <w:rPr>
          <w:lang w:val="pl-PL"/>
        </w:rPr>
        <w:t xml:space="preserve">na brak środków rekompensujących, wybór dokonany przez Państwo </w:t>
      </w:r>
      <w:r w:rsidR="006B677C">
        <w:rPr>
          <w:lang w:val="pl-PL"/>
        </w:rPr>
        <w:t>wy</w:t>
      </w:r>
      <w:r w:rsidR="007648B0">
        <w:rPr>
          <w:lang w:val="pl-PL"/>
        </w:rPr>
        <w:t>da</w:t>
      </w:r>
      <w:r w:rsidR="006B677C">
        <w:rPr>
          <w:lang w:val="pl-PL"/>
        </w:rPr>
        <w:t>ł się</w:t>
      </w:r>
      <w:r w:rsidR="0032145C">
        <w:rPr>
          <w:lang w:val="pl-PL"/>
        </w:rPr>
        <w:t xml:space="preserve"> Trybunałowi</w:t>
      </w:r>
      <w:r w:rsidR="006B677C">
        <w:rPr>
          <w:lang w:val="pl-PL"/>
        </w:rPr>
        <w:t xml:space="preserve"> </w:t>
      </w:r>
      <w:r w:rsidR="007648B0">
        <w:rPr>
          <w:lang w:val="pl-PL"/>
        </w:rPr>
        <w:t xml:space="preserve">w sposób oczywisty nieproporcjonalny do celu, </w:t>
      </w:r>
      <w:r w:rsidR="006B677C">
        <w:rPr>
          <w:lang w:val="pl-PL"/>
        </w:rPr>
        <w:t>który miał realizować</w:t>
      </w:r>
      <w:r w:rsidR="007648B0">
        <w:rPr>
          <w:lang w:val="pl-PL"/>
        </w:rPr>
        <w:t>. Różnica w traktowaniu, której zostali poddani skarżący jako Al</w:t>
      </w:r>
      <w:r w:rsidR="00197290">
        <w:rPr>
          <w:lang w:val="pl-PL"/>
        </w:rPr>
        <w:t>a</w:t>
      </w:r>
      <w:r w:rsidR="007648B0">
        <w:rPr>
          <w:lang w:val="pl-PL"/>
        </w:rPr>
        <w:t>wici</w:t>
      </w:r>
      <w:r w:rsidR="006B677C">
        <w:rPr>
          <w:lang w:val="pl-PL"/>
        </w:rPr>
        <w:t>,</w:t>
      </w:r>
      <w:r w:rsidR="007648B0">
        <w:rPr>
          <w:lang w:val="pl-PL"/>
        </w:rPr>
        <w:t xml:space="preserve"> nie m</w:t>
      </w:r>
      <w:r w:rsidR="003F2AFD">
        <w:rPr>
          <w:lang w:val="pl-PL"/>
        </w:rPr>
        <w:t>i</w:t>
      </w:r>
      <w:r w:rsidR="007648B0">
        <w:rPr>
          <w:lang w:val="pl-PL"/>
        </w:rPr>
        <w:t>a</w:t>
      </w:r>
      <w:r w:rsidR="003F2AFD">
        <w:rPr>
          <w:lang w:val="pl-PL"/>
        </w:rPr>
        <w:t>ła</w:t>
      </w:r>
      <w:r w:rsidR="007648B0">
        <w:rPr>
          <w:lang w:val="pl-PL"/>
        </w:rPr>
        <w:t xml:space="preserve"> zatem obiektywnego i rozsądnego uzasadnienia. </w:t>
      </w:r>
    </w:p>
    <w:p w:rsidR="007648B0" w:rsidRPr="007648B0" w:rsidRDefault="007648B0">
      <w:pPr>
        <w:pStyle w:val="ClinContent"/>
        <w:rPr>
          <w:lang w:val="pl-PL"/>
        </w:rPr>
      </w:pPr>
      <w:r w:rsidRPr="007648B0">
        <w:rPr>
          <w:i/>
          <w:lang w:val="pl-PL"/>
        </w:rPr>
        <w:t xml:space="preserve">Rozstrzygnięcie: </w:t>
      </w:r>
      <w:r w:rsidRPr="007648B0">
        <w:rPr>
          <w:lang w:val="pl-PL"/>
        </w:rPr>
        <w:t>naruszenie (szesnastoma głosami do jednego).</w:t>
      </w:r>
    </w:p>
    <w:p w:rsidR="00B23EB1" w:rsidRPr="007648B0" w:rsidRDefault="00FF2008">
      <w:pPr>
        <w:pStyle w:val="ClinContent"/>
        <w:rPr>
          <w:lang w:val="pl-PL"/>
        </w:rPr>
      </w:pPr>
      <w:r w:rsidRPr="007648B0">
        <w:rPr>
          <w:lang w:val="pl-PL"/>
        </w:rPr>
        <w:t>Art.</w:t>
      </w:r>
      <w:r w:rsidR="00412B94" w:rsidRPr="007648B0">
        <w:rPr>
          <w:lang w:val="pl-PL"/>
        </w:rPr>
        <w:t xml:space="preserve"> 41: </w:t>
      </w:r>
      <w:r w:rsidR="007648B0" w:rsidRPr="007648B0">
        <w:rPr>
          <w:lang w:val="pl-PL"/>
        </w:rPr>
        <w:t xml:space="preserve">Stwierdzenie </w:t>
      </w:r>
      <w:r w:rsidR="00CF0BA5" w:rsidRPr="007648B0">
        <w:rPr>
          <w:lang w:val="pl-PL"/>
        </w:rPr>
        <w:t>naruszenia</w:t>
      </w:r>
      <w:r w:rsidR="007648B0" w:rsidRPr="007648B0">
        <w:rPr>
          <w:lang w:val="pl-PL"/>
        </w:rPr>
        <w:t xml:space="preserve"> stanowi wystarczające słuszne zadośćuczynienie za szkodę</w:t>
      </w:r>
      <w:r w:rsidR="007648B0">
        <w:rPr>
          <w:lang w:val="pl-PL"/>
        </w:rPr>
        <w:t xml:space="preserve"> </w:t>
      </w:r>
      <w:r w:rsidR="007648B0" w:rsidRPr="007648B0">
        <w:rPr>
          <w:lang w:val="pl-PL"/>
        </w:rPr>
        <w:t>niem</w:t>
      </w:r>
      <w:r w:rsidR="007648B0">
        <w:rPr>
          <w:lang w:val="pl-PL"/>
        </w:rPr>
        <w:t xml:space="preserve">ajątkową poniesioną przez skarżących. </w:t>
      </w:r>
      <w:r w:rsidR="007648B0" w:rsidRPr="007648B0">
        <w:rPr>
          <w:lang w:val="pl-PL"/>
        </w:rPr>
        <w:t xml:space="preserve"> </w:t>
      </w:r>
    </w:p>
    <w:p w:rsidR="007648B0" w:rsidRPr="007648B0" w:rsidRDefault="00412B94">
      <w:pPr>
        <w:pStyle w:val="ClinContent"/>
        <w:rPr>
          <w:lang w:val="pl-PL"/>
        </w:rPr>
      </w:pPr>
      <w:r w:rsidRPr="007648B0">
        <w:rPr>
          <w:lang w:val="pl-PL"/>
        </w:rPr>
        <w:t xml:space="preserve">* </w:t>
      </w:r>
      <w:r w:rsidR="007648B0" w:rsidRPr="007648B0">
        <w:rPr>
          <w:lang w:val="pl-PL"/>
        </w:rPr>
        <w:t xml:space="preserve">Ustawa nr </w:t>
      </w:r>
      <w:r w:rsidRPr="007648B0">
        <w:rPr>
          <w:lang w:val="pl-PL"/>
        </w:rPr>
        <w:t xml:space="preserve">677 </w:t>
      </w:r>
      <w:r w:rsidR="007648B0" w:rsidRPr="007648B0">
        <w:rPr>
          <w:lang w:val="pl-PL"/>
        </w:rPr>
        <w:t xml:space="preserve">z </w:t>
      </w:r>
      <w:r w:rsidRPr="007648B0">
        <w:rPr>
          <w:lang w:val="pl-PL"/>
        </w:rPr>
        <w:t xml:space="preserve">30 </w:t>
      </w:r>
      <w:r w:rsidR="007648B0" w:rsidRPr="007648B0">
        <w:rPr>
          <w:lang w:val="pl-PL"/>
        </w:rPr>
        <w:t>listopada</w:t>
      </w:r>
      <w:r w:rsidRPr="007648B0">
        <w:rPr>
          <w:lang w:val="pl-PL"/>
        </w:rPr>
        <w:t xml:space="preserve"> 1925 </w:t>
      </w:r>
      <w:r w:rsidR="007648B0" w:rsidRPr="007648B0">
        <w:rPr>
          <w:lang w:val="pl-PL"/>
        </w:rPr>
        <w:t xml:space="preserve">r. w sprawie zamknięcia klasztorów i grobowców derwiszów, zniesienia urzędu kustosza grobowców i zniesienia </w:t>
      </w:r>
      <w:r w:rsidR="00AE5C33">
        <w:rPr>
          <w:lang w:val="pl-PL"/>
        </w:rPr>
        <w:t xml:space="preserve">oraz zakazu używania </w:t>
      </w:r>
      <w:r w:rsidR="007648B0" w:rsidRPr="007648B0">
        <w:rPr>
          <w:lang w:val="pl-PL"/>
        </w:rPr>
        <w:t xml:space="preserve">niektórych tytułów </w:t>
      </w:r>
    </w:p>
    <w:p w:rsidR="00B23EB1" w:rsidRPr="005B5165" w:rsidRDefault="00412B94">
      <w:pPr>
        <w:pStyle w:val="ClinContent"/>
        <w:rPr>
          <w:lang w:val="pl-PL"/>
        </w:rPr>
      </w:pPr>
      <w:r w:rsidRPr="005B5165">
        <w:rPr>
          <w:lang w:val="pl-PL"/>
        </w:rPr>
        <w:t xml:space="preserve">** </w:t>
      </w:r>
      <w:r w:rsidR="005B5165" w:rsidRPr="005B5165">
        <w:rPr>
          <w:lang w:val="pl-PL"/>
        </w:rPr>
        <w:t xml:space="preserve">Zobacz </w:t>
      </w:r>
      <w:proofErr w:type="spellStart"/>
      <w:r w:rsidRPr="005B5165">
        <w:rPr>
          <w:i/>
          <w:lang w:val="pl-PL"/>
        </w:rPr>
        <w:t>Mansur</w:t>
      </w:r>
      <w:proofErr w:type="spellEnd"/>
      <w:r w:rsidRPr="005B5165">
        <w:rPr>
          <w:i/>
          <w:lang w:val="pl-PL"/>
        </w:rPr>
        <w:t xml:space="preserve"> </w:t>
      </w:r>
      <w:proofErr w:type="spellStart"/>
      <w:r w:rsidRPr="005B5165">
        <w:rPr>
          <w:i/>
          <w:lang w:val="pl-PL"/>
        </w:rPr>
        <w:t>Yalçın</w:t>
      </w:r>
      <w:proofErr w:type="spellEnd"/>
      <w:r w:rsidRPr="005B5165">
        <w:rPr>
          <w:i/>
          <w:lang w:val="pl-PL"/>
        </w:rPr>
        <w:t xml:space="preserve"> </w:t>
      </w:r>
      <w:r w:rsidR="005B5165" w:rsidRPr="005B5165">
        <w:rPr>
          <w:i/>
          <w:lang w:val="pl-PL"/>
        </w:rPr>
        <w:t>i Inni</w:t>
      </w:r>
      <w:r w:rsidRPr="005B5165">
        <w:rPr>
          <w:i/>
          <w:lang w:val="pl-PL"/>
        </w:rPr>
        <w:t xml:space="preserve"> </w:t>
      </w:r>
      <w:r w:rsidR="00AA3491" w:rsidRPr="005B5165">
        <w:rPr>
          <w:i/>
          <w:lang w:val="pl-PL"/>
        </w:rPr>
        <w:t>p.</w:t>
      </w:r>
      <w:r w:rsidRPr="005B5165">
        <w:rPr>
          <w:i/>
          <w:lang w:val="pl-PL"/>
        </w:rPr>
        <w:t xml:space="preserve"> Tur</w:t>
      </w:r>
      <w:r w:rsidR="005B5165">
        <w:rPr>
          <w:i/>
          <w:lang w:val="pl-PL"/>
        </w:rPr>
        <w:t>cji</w:t>
      </w:r>
      <w:r w:rsidRPr="005B5165">
        <w:rPr>
          <w:lang w:val="pl-PL"/>
        </w:rPr>
        <w:t xml:space="preserve">, </w:t>
      </w:r>
      <w:r w:rsidR="00AA3491" w:rsidRPr="005B5165">
        <w:rPr>
          <w:lang w:val="pl-PL"/>
        </w:rPr>
        <w:t>skarga nr</w:t>
      </w:r>
      <w:r w:rsidR="00AA3491" w:rsidRPr="005B5165">
        <w:rPr>
          <w:i/>
          <w:lang w:val="pl-PL"/>
        </w:rPr>
        <w:t xml:space="preserve"> </w:t>
      </w:r>
      <w:r w:rsidRPr="005B5165">
        <w:rPr>
          <w:lang w:val="pl-PL"/>
        </w:rPr>
        <w:t>21163/11, 16 </w:t>
      </w:r>
      <w:r w:rsidR="005B5165" w:rsidRPr="005B5165">
        <w:rPr>
          <w:lang w:val="pl-PL"/>
        </w:rPr>
        <w:t>września</w:t>
      </w:r>
      <w:r w:rsidRPr="005B5165">
        <w:rPr>
          <w:lang w:val="pl-PL"/>
        </w:rPr>
        <w:t xml:space="preserve"> 2014</w:t>
      </w:r>
      <w:r w:rsidR="005B5165" w:rsidRPr="005B5165">
        <w:rPr>
          <w:lang w:val="pl-PL"/>
        </w:rPr>
        <w:t xml:space="preserve"> r.</w:t>
      </w:r>
      <w:r w:rsidRPr="005B5165">
        <w:rPr>
          <w:lang w:val="pl-PL"/>
        </w:rPr>
        <w:t xml:space="preserve">, </w:t>
      </w:r>
      <w:hyperlink r:id="rId8" w:history="1">
        <w:r w:rsidR="00AA3491" w:rsidRPr="005B5165">
          <w:rPr>
            <w:rStyle w:val="Hipercze"/>
            <w:lang w:val="pl-PL"/>
          </w:rPr>
          <w:t>Nota informacyjna nr</w:t>
        </w:r>
        <w:r w:rsidRPr="005B5165">
          <w:rPr>
            <w:rStyle w:val="Hipercze"/>
            <w:lang w:val="pl-PL"/>
          </w:rPr>
          <w:t> 177</w:t>
        </w:r>
      </w:hyperlink>
      <w:r w:rsidRPr="005B5165">
        <w:rPr>
          <w:lang w:val="pl-PL"/>
        </w:rPr>
        <w:t>.</w:t>
      </w:r>
    </w:p>
    <w:p w:rsidR="00B23EB1" w:rsidRPr="005B5165" w:rsidRDefault="00B23EB1">
      <w:pPr>
        <w:pBdr>
          <w:bottom w:val="single" w:sz="8" w:space="1" w:color="auto"/>
        </w:pBdr>
        <w:rPr>
          <w:lang w:val="pl-PL"/>
        </w:rPr>
      </w:pPr>
    </w:p>
    <w:p w:rsidR="00EE1C36" w:rsidRPr="0074070E" w:rsidRDefault="00EE1C36" w:rsidP="00EE1C36">
      <w:pPr>
        <w:pStyle w:val="ClinFooter"/>
        <w:rPr>
          <w:lang w:val="pl-PL"/>
        </w:rPr>
      </w:pPr>
      <w:r w:rsidRPr="0074070E">
        <w:rPr>
          <w:lang w:val="pl-PL"/>
        </w:rPr>
        <w:t xml:space="preserve">© </w:t>
      </w:r>
      <w:proofErr w:type="spellStart"/>
      <w:r w:rsidRPr="0074070E">
        <w:rPr>
          <w:lang w:val="pl-PL"/>
        </w:rPr>
        <w:t>Council</w:t>
      </w:r>
      <w:proofErr w:type="spellEnd"/>
      <w:r w:rsidRPr="0074070E">
        <w:rPr>
          <w:lang w:val="pl-PL"/>
        </w:rPr>
        <w:t xml:space="preserve"> of Europe/</w:t>
      </w:r>
      <w:proofErr w:type="spellStart"/>
      <w:r w:rsidRPr="0074070E">
        <w:rPr>
          <w:lang w:val="pl-PL"/>
        </w:rPr>
        <w:t>European</w:t>
      </w:r>
      <w:proofErr w:type="spellEnd"/>
      <w:r w:rsidRPr="0074070E">
        <w:rPr>
          <w:lang w:val="pl-PL"/>
        </w:rPr>
        <w:t xml:space="preserve"> Court of Human </w:t>
      </w:r>
      <w:proofErr w:type="spellStart"/>
      <w:r w:rsidRPr="0074070E">
        <w:rPr>
          <w:lang w:val="pl-PL"/>
        </w:rPr>
        <w:t>Rights</w:t>
      </w:r>
      <w:proofErr w:type="spellEnd"/>
      <w:r w:rsidRPr="0074070E">
        <w:rPr>
          <w:lang w:val="pl-PL"/>
        </w:rPr>
        <w:br/>
        <w:t xml:space="preserve">Niniejsze streszczenie przygotowane przez Kancelarię nie wiąże Trybunału.  </w:t>
      </w:r>
    </w:p>
    <w:p w:rsidR="00EE1C36" w:rsidRPr="001D0852" w:rsidRDefault="00EE1C36" w:rsidP="00EE1C36">
      <w:pPr>
        <w:pStyle w:val="ClinFooter"/>
        <w:rPr>
          <w:lang w:val="pl-PL"/>
        </w:rPr>
      </w:pPr>
      <w:r w:rsidRPr="0074070E">
        <w:rPr>
          <w:lang w:val="pl-PL"/>
        </w:rPr>
        <w:t xml:space="preserve">Link do </w:t>
      </w:r>
      <w:hyperlink r:id="rId9" w:history="1">
        <w:r w:rsidRPr="001D0852">
          <w:rPr>
            <w:rStyle w:val="Hipercze"/>
            <w:lang w:val="pl-PL"/>
          </w:rPr>
          <w:t>Not informacyjnych nt. orzecznictwa</w:t>
        </w:r>
      </w:hyperlink>
    </w:p>
    <w:p w:rsidR="00EE1C36" w:rsidRPr="00EE1C36" w:rsidRDefault="00EE1C36" w:rsidP="00ED117D">
      <w:pPr>
        <w:pStyle w:val="ClinFooter"/>
        <w:jc w:val="left"/>
        <w:rPr>
          <w:lang w:val="pl-PL"/>
        </w:rPr>
      </w:pPr>
    </w:p>
    <w:sectPr w:rsidR="00EE1C36" w:rsidRPr="00EE1C36" w:rsidSect="004A5B52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454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28E6" w:rsidRDefault="001F28E6" w:rsidP="00C63262">
      <w:r>
        <w:separator/>
      </w:r>
    </w:p>
  </w:endnote>
  <w:endnote w:type="continuationSeparator" w:id="0">
    <w:p w:rsidR="001F28E6" w:rsidRDefault="001F28E6" w:rsidP="00C632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026" w:rsidRDefault="005C002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026" w:rsidRDefault="005C002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Pr="0071773F" w:rsidRDefault="0071773F" w:rsidP="0071773F"/>
  <w:p w:rsidR="0071773F" w:rsidRDefault="0071773F" w:rsidP="0071773F">
    <w:pPr>
      <w:pStyle w:val="ECHRFooter"/>
    </w:pPr>
    <w:r>
      <w:tab/>
    </w:r>
    <w:r>
      <w:rPr>
        <w:noProof/>
        <w:lang w:val="pl-PL" w:eastAsia="pl-PL"/>
      </w:rPr>
      <w:drawing>
        <wp:inline distT="0" distB="0" distL="0" distR="0" wp14:anchorId="430B0BDB" wp14:editId="19D2ADEC">
          <wp:extent cx="765175" cy="609600"/>
          <wp:effectExtent l="0" t="0" r="0" b="0"/>
          <wp:docPr id="3" name="Picture 3" descr="R:\1_Graphics&amp;Web\Court_Graphic_Charter\2013\ECHR_Stationery\Documents\Internal_Correspondence\Internal_CS6_COE_Foot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:\1_Graphics&amp;Web\Court_Graphic_Charter\2013\ECHR_Stationery\Documents\Internal_Correspondence\Internal_CS6_COE_Footer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517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28E6" w:rsidRDefault="001F28E6" w:rsidP="00C63262">
      <w:r>
        <w:separator/>
      </w:r>
    </w:p>
  </w:footnote>
  <w:footnote w:type="continuationSeparator" w:id="0">
    <w:p w:rsidR="001F28E6" w:rsidRDefault="001F28E6" w:rsidP="00C632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0026" w:rsidRDefault="005C002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29312215"/>
      <w:docPartObj>
        <w:docPartGallery w:val="Page Numbers (Top of Page)"/>
        <w:docPartUnique/>
      </w:docPartObj>
    </w:sdtPr>
    <w:sdtEndPr/>
    <w:sdtContent>
      <w:p w:rsidR="0071773F" w:rsidRDefault="0071773F" w:rsidP="00370754">
        <w:pPr>
          <w:pStyle w:val="Nagwek"/>
        </w:pPr>
        <w:r>
          <w:tab/>
        </w:r>
        <w:r>
          <w:sym w:font="Symbol" w:char="F02D"/>
        </w:r>
        <w:r>
          <w:t xml:space="preserve"> </w:t>
        </w:r>
        <w:r>
          <w:rPr>
            <w:lang w:val="fr-FR"/>
          </w:rPr>
          <w:fldChar w:fldCharType="begin"/>
        </w:r>
        <w:r w:rsidRPr="00F921AB">
          <w:instrText xml:space="preserve"> PAGE </w:instrText>
        </w:r>
        <w:r>
          <w:rPr>
            <w:lang w:val="fr-FR"/>
          </w:rPr>
          <w:fldChar w:fldCharType="separate"/>
        </w:r>
        <w:r w:rsidR="000E3047">
          <w:rPr>
            <w:noProof/>
          </w:rPr>
          <w:t>4</w:t>
        </w:r>
        <w:r>
          <w:rPr>
            <w:lang w:val="fr-FR"/>
          </w:rPr>
          <w:fldChar w:fldCharType="end"/>
        </w:r>
        <w:r>
          <w:t xml:space="preserve"> </w:t>
        </w:r>
        <w:r>
          <w:sym w:font="Symbol" w:char="F02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773F" w:rsidRDefault="004A5B52" w:rsidP="004A5B52">
    <w:pPr>
      <w:pStyle w:val="Nagwek"/>
    </w:pPr>
    <w:r>
      <w:tab/>
    </w:r>
    <w:r w:rsidR="0071773F">
      <w:rPr>
        <w:noProof/>
        <w:lang w:val="pl-PL" w:eastAsia="pl-PL"/>
      </w:rPr>
      <w:drawing>
        <wp:inline distT="0" distB="0" distL="0" distR="0" wp14:anchorId="727397E0" wp14:editId="57965ECA">
          <wp:extent cx="2962275" cy="1219200"/>
          <wp:effectExtent l="0" t="0" r="9525" b="0"/>
          <wp:docPr id="17" name="Picture 17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3EF0"/>
    <w:rsid w:val="00037CCC"/>
    <w:rsid w:val="00097888"/>
    <w:rsid w:val="000E3047"/>
    <w:rsid w:val="000E75FD"/>
    <w:rsid w:val="000F13B5"/>
    <w:rsid w:val="00107377"/>
    <w:rsid w:val="00143602"/>
    <w:rsid w:val="001769E4"/>
    <w:rsid w:val="0018284D"/>
    <w:rsid w:val="00186560"/>
    <w:rsid w:val="00197290"/>
    <w:rsid w:val="001F28E6"/>
    <w:rsid w:val="00212E83"/>
    <w:rsid w:val="00261590"/>
    <w:rsid w:val="00265000"/>
    <w:rsid w:val="0029028A"/>
    <w:rsid w:val="002966E7"/>
    <w:rsid w:val="002E088D"/>
    <w:rsid w:val="002E5715"/>
    <w:rsid w:val="002E5C45"/>
    <w:rsid w:val="0030264F"/>
    <w:rsid w:val="0032145C"/>
    <w:rsid w:val="0032390B"/>
    <w:rsid w:val="003450B3"/>
    <w:rsid w:val="00360414"/>
    <w:rsid w:val="00386958"/>
    <w:rsid w:val="003A64A6"/>
    <w:rsid w:val="003B1789"/>
    <w:rsid w:val="003D7BB3"/>
    <w:rsid w:val="003F2AFD"/>
    <w:rsid w:val="00412B94"/>
    <w:rsid w:val="004520E9"/>
    <w:rsid w:val="0046453F"/>
    <w:rsid w:val="004A5B52"/>
    <w:rsid w:val="004D568D"/>
    <w:rsid w:val="004E1037"/>
    <w:rsid w:val="0052092D"/>
    <w:rsid w:val="00540D75"/>
    <w:rsid w:val="005514E5"/>
    <w:rsid w:val="005B5165"/>
    <w:rsid w:val="005C0026"/>
    <w:rsid w:val="005D5552"/>
    <w:rsid w:val="006028A1"/>
    <w:rsid w:val="00631A28"/>
    <w:rsid w:val="006678E4"/>
    <w:rsid w:val="006A36AD"/>
    <w:rsid w:val="006B677C"/>
    <w:rsid w:val="006C1D96"/>
    <w:rsid w:val="006E5F70"/>
    <w:rsid w:val="0071773F"/>
    <w:rsid w:val="00743627"/>
    <w:rsid w:val="007648B0"/>
    <w:rsid w:val="00773660"/>
    <w:rsid w:val="00774515"/>
    <w:rsid w:val="00803D75"/>
    <w:rsid w:val="0081463D"/>
    <w:rsid w:val="00895B1E"/>
    <w:rsid w:val="00895EF3"/>
    <w:rsid w:val="008C64D5"/>
    <w:rsid w:val="008D2B3B"/>
    <w:rsid w:val="008E178D"/>
    <w:rsid w:val="00903D38"/>
    <w:rsid w:val="0094552A"/>
    <w:rsid w:val="009B3B2C"/>
    <w:rsid w:val="009C1A37"/>
    <w:rsid w:val="009E3EF0"/>
    <w:rsid w:val="009F531C"/>
    <w:rsid w:val="009F61B4"/>
    <w:rsid w:val="00A01052"/>
    <w:rsid w:val="00A04D9C"/>
    <w:rsid w:val="00A258BB"/>
    <w:rsid w:val="00A33541"/>
    <w:rsid w:val="00A45616"/>
    <w:rsid w:val="00AA3491"/>
    <w:rsid w:val="00AB4089"/>
    <w:rsid w:val="00AC7726"/>
    <w:rsid w:val="00AD35D9"/>
    <w:rsid w:val="00AE1470"/>
    <w:rsid w:val="00AE5C33"/>
    <w:rsid w:val="00AF1217"/>
    <w:rsid w:val="00B23EB1"/>
    <w:rsid w:val="00B35AFB"/>
    <w:rsid w:val="00B61D27"/>
    <w:rsid w:val="00B65BA3"/>
    <w:rsid w:val="00B80CA0"/>
    <w:rsid w:val="00B85770"/>
    <w:rsid w:val="00BA168E"/>
    <w:rsid w:val="00BB3FC2"/>
    <w:rsid w:val="00BF1CD9"/>
    <w:rsid w:val="00C21556"/>
    <w:rsid w:val="00C37433"/>
    <w:rsid w:val="00C37690"/>
    <w:rsid w:val="00C442C7"/>
    <w:rsid w:val="00C51BAD"/>
    <w:rsid w:val="00C63262"/>
    <w:rsid w:val="00C72355"/>
    <w:rsid w:val="00C93CFB"/>
    <w:rsid w:val="00CB636A"/>
    <w:rsid w:val="00CF0BA5"/>
    <w:rsid w:val="00CF7BA6"/>
    <w:rsid w:val="00D20463"/>
    <w:rsid w:val="00D42086"/>
    <w:rsid w:val="00D425B3"/>
    <w:rsid w:val="00DA59FF"/>
    <w:rsid w:val="00DC6DA6"/>
    <w:rsid w:val="00E11688"/>
    <w:rsid w:val="00E25C72"/>
    <w:rsid w:val="00E55491"/>
    <w:rsid w:val="00E56AB4"/>
    <w:rsid w:val="00E75270"/>
    <w:rsid w:val="00E83DB6"/>
    <w:rsid w:val="00EA53E7"/>
    <w:rsid w:val="00ED117D"/>
    <w:rsid w:val="00EE1C36"/>
    <w:rsid w:val="00F11234"/>
    <w:rsid w:val="00F508C9"/>
    <w:rsid w:val="00F50CCD"/>
    <w:rsid w:val="00F5247C"/>
    <w:rsid w:val="00F70772"/>
    <w:rsid w:val="00F71709"/>
    <w:rsid w:val="00FA29ED"/>
    <w:rsid w:val="00FF2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unhideWhenUsed/>
    <w:rsid w:val="00AF121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F121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F1217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F12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F1217"/>
    <w:rPr>
      <w:rFonts w:ascii="Verdana" w:hAnsi="Verdana"/>
      <w:b/>
      <w:bCs/>
    </w:rPr>
  </w:style>
  <w:style w:type="paragraph" w:customStyle="1" w:styleId="s746c8714">
    <w:name w:val="s746c8714"/>
    <w:basedOn w:val="Normalny"/>
    <w:rsid w:val="006678E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678E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678E4"/>
  </w:style>
  <w:style w:type="character" w:customStyle="1" w:styleId="object">
    <w:name w:val="object"/>
    <w:basedOn w:val="Domylnaczcionkaakapitu"/>
    <w:rsid w:val="006678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nhideWhenUsed="0" w:qFormat="1"/>
    <w:lsdException w:name="heading 3" w:unhideWhenUsed="0" w:qFormat="1"/>
    <w:lsdException w:name="heading 4" w:unhideWhenUsed="0" w:qFormat="1"/>
    <w:lsdException w:name="heading 5" w:unhideWhenUsed="0" w:qFormat="1"/>
    <w:lsdException w:name="heading 6" w:unhideWhenUsed="0" w:qFormat="1"/>
    <w:lsdException w:name="heading 7" w:qFormat="1"/>
    <w:lsdException w:name="heading 8" w:qFormat="1"/>
    <w:lsdException w:name="heading 9" w:qFormat="1"/>
    <w:lsdException w:name="header" w:uiPriority="48"/>
    <w:lsdException w:name="footer" w:uiPriority="49"/>
    <w:lsdException w:name="caption" w:qFormat="1"/>
    <w:lsdException w:name="List Number" w:unhideWhenUsed="0"/>
    <w:lsdException w:name="List 4" w:unhideWhenUsed="0"/>
    <w:lsdException w:name="List 5" w:unhideWhenUsed="0"/>
    <w:lsdException w:name="Title" w:unhideWhenUsed="0" w:qFormat="1"/>
    <w:lsdException w:name="Subtitle" w:unhideWhenUsed="0" w:qFormat="1"/>
    <w:lsdException w:name="Salutation" w:unhideWhenUsed="0"/>
    <w:lsdException w:name="Date" w:unhideWhenUsed="0"/>
    <w:lsdException w:name="Body Text First Indent" w:unhideWhenUsed="0"/>
    <w:lsdException w:name="Hyperlink" w:qFormat="1"/>
    <w:lsdException w:name="Strong" w:unhideWhenUsed="0" w:qFormat="1"/>
    <w:lsdException w:name="Emphasis" w:unhideWhenUsed="0" w:qFormat="1"/>
    <w:lsdException w:name="Table Grid" w:semiHidden="0" w:unhideWhenUsed="0"/>
    <w:lsdException w:name="Placeholder Text" w:uiPriority="99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semiHidden/>
    <w:qFormat/>
    <w:rsid w:val="004E1037"/>
    <w:rPr>
      <w:rFonts w:ascii="Verdana" w:hAnsi="Verdana"/>
      <w:szCs w:val="24"/>
    </w:rPr>
  </w:style>
  <w:style w:type="paragraph" w:styleId="Nagwek1">
    <w:name w:val="heading 1"/>
    <w:basedOn w:val="Normalny"/>
    <w:next w:val="Normalny"/>
    <w:semiHidden/>
    <w:qFormat/>
    <w:rsid w:val="00903D3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ClinMainKeywordCode">
    <w:name w:val="ClinMainKeywordCode"/>
    <w:basedOn w:val="Normalny"/>
    <w:next w:val="Normalny"/>
    <w:qFormat/>
    <w:rsid w:val="00143602"/>
    <w:pPr>
      <w:keepNext/>
      <w:spacing w:before="240" w:after="240"/>
    </w:pPr>
    <w:rPr>
      <w:b/>
      <w:sz w:val="24"/>
      <w:szCs w:val="32"/>
    </w:rPr>
  </w:style>
  <w:style w:type="paragraph" w:customStyle="1" w:styleId="ClinChildKeywordCode">
    <w:name w:val="ClinChildKeywordCode"/>
    <w:basedOn w:val="Normalny"/>
    <w:next w:val="Normalny"/>
    <w:qFormat/>
    <w:rsid w:val="004E1037"/>
    <w:pPr>
      <w:spacing w:before="240" w:after="240"/>
    </w:pPr>
    <w:rPr>
      <w:b/>
      <w:szCs w:val="22"/>
    </w:rPr>
  </w:style>
  <w:style w:type="paragraph" w:customStyle="1" w:styleId="ClinKeyword">
    <w:name w:val="ClinKeyword"/>
    <w:basedOn w:val="Normalny"/>
    <w:qFormat/>
    <w:rsid w:val="00037CCC"/>
    <w:pPr>
      <w:keepNext/>
      <w:spacing w:before="240" w:after="100" w:afterAutospacing="1"/>
    </w:pPr>
    <w:rPr>
      <w:b/>
    </w:rPr>
  </w:style>
  <w:style w:type="character" w:customStyle="1" w:styleId="ClinCaseTitle">
    <w:name w:val="ClinCaseTitle"/>
    <w:basedOn w:val="Domylnaczcionkaakapitu"/>
    <w:qFormat/>
    <w:rsid w:val="009B3B2C"/>
    <w:rPr>
      <w:rFonts w:ascii="Verdana" w:hAnsi="Verdana" w:cs="Times New Roman"/>
      <w:b/>
      <w:i/>
      <w:sz w:val="24"/>
    </w:rPr>
  </w:style>
  <w:style w:type="character" w:customStyle="1" w:styleId="ClinHudocDocumentTitle">
    <w:name w:val="ClinHudocDocumentTitle"/>
    <w:basedOn w:val="Domylnaczcionkaakapitu"/>
    <w:qFormat/>
    <w:rsid w:val="00A33541"/>
    <w:rPr>
      <w:rFonts w:ascii="Verdana" w:hAnsi="Verdana" w:cs="Times New Roman"/>
      <w:color w:val="auto"/>
    </w:rPr>
  </w:style>
  <w:style w:type="character" w:customStyle="1" w:styleId="ClinConclusions">
    <w:name w:val="ClinConclusions"/>
    <w:basedOn w:val="Domylnaczcionkaakapitu"/>
    <w:qFormat/>
    <w:rsid w:val="00C93CFB"/>
    <w:rPr>
      <w:rFonts w:ascii="Verdana" w:hAnsi="Verdana" w:cs="Times New Roman"/>
      <w:i/>
      <w:iCs/>
      <w:color w:val="auto"/>
    </w:rPr>
  </w:style>
  <w:style w:type="paragraph" w:customStyle="1" w:styleId="ClinKeyNotions">
    <w:name w:val="ClinKeyNotions"/>
    <w:basedOn w:val="Normalny"/>
    <w:qFormat/>
    <w:rsid w:val="00D42086"/>
  </w:style>
  <w:style w:type="character" w:customStyle="1" w:styleId="ClinApplicationNumber">
    <w:name w:val="ClinApplicationNumber"/>
    <w:basedOn w:val="Domylnaczcionkaakapitu"/>
    <w:qFormat/>
    <w:rsid w:val="00C93CFB"/>
    <w:rPr>
      <w:rFonts w:ascii="Verdana" w:hAnsi="Verdana" w:cs="Times New Roman"/>
      <w:b/>
      <w:sz w:val="24"/>
    </w:rPr>
  </w:style>
  <w:style w:type="character" w:customStyle="1" w:styleId="ClinSectionName">
    <w:name w:val="ClinSectionName"/>
    <w:basedOn w:val="Domylnaczcionkaakapitu"/>
    <w:qFormat/>
    <w:rsid w:val="00A33541"/>
    <w:rPr>
      <w:rFonts w:ascii="Verdana" w:hAnsi="Verdana" w:cs="Times New Roman"/>
    </w:rPr>
  </w:style>
  <w:style w:type="character" w:customStyle="1" w:styleId="ClinHeadNote">
    <w:name w:val="ClinHeadNote"/>
    <w:basedOn w:val="Domylnaczcionkaakapitu"/>
    <w:qFormat/>
    <w:rsid w:val="00D42086"/>
    <w:rPr>
      <w:rFonts w:cs="Times New Roman"/>
    </w:rPr>
  </w:style>
  <w:style w:type="paragraph" w:customStyle="1" w:styleId="ClinContent">
    <w:name w:val="ClinContent"/>
    <w:basedOn w:val="Normalny"/>
    <w:qFormat/>
    <w:rsid w:val="00D42086"/>
    <w:pPr>
      <w:spacing w:before="240"/>
      <w:jc w:val="both"/>
    </w:pPr>
  </w:style>
  <w:style w:type="paragraph" w:customStyle="1" w:styleId="ClinEditionNumber">
    <w:name w:val="ClinEditionNumber"/>
    <w:basedOn w:val="ClinContent"/>
    <w:qFormat/>
    <w:rsid w:val="00C37433"/>
    <w:pPr>
      <w:spacing w:after="240"/>
    </w:pPr>
  </w:style>
  <w:style w:type="paragraph" w:customStyle="1" w:styleId="ClinEditionMonth">
    <w:name w:val="ClinEditionMonth"/>
    <w:basedOn w:val="ClinContent"/>
    <w:qFormat/>
    <w:rsid w:val="00D42086"/>
    <w:pPr>
      <w:keepNext/>
      <w:pBdr>
        <w:bottom w:val="single" w:sz="4" w:space="1" w:color="auto"/>
      </w:pBdr>
      <w:spacing w:before="0" w:after="360"/>
      <w:contextualSpacing/>
    </w:pPr>
  </w:style>
  <w:style w:type="paragraph" w:customStyle="1" w:styleId="ClinFooter">
    <w:name w:val="ClinFooter"/>
    <w:basedOn w:val="ClinContent"/>
    <w:qFormat/>
    <w:rsid w:val="00631A28"/>
    <w:pPr>
      <w:jc w:val="center"/>
    </w:pPr>
  </w:style>
  <w:style w:type="character" w:styleId="Hipercze">
    <w:name w:val="Hyperlink"/>
    <w:basedOn w:val="Domylnaczcionkaakapitu"/>
    <w:qFormat/>
    <w:rsid w:val="00F508C9"/>
    <w:rPr>
      <w:color w:val="0069D6"/>
      <w:u w:val="single"/>
    </w:rPr>
  </w:style>
  <w:style w:type="paragraph" w:styleId="Nagwek">
    <w:name w:val="header"/>
    <w:basedOn w:val="Normalny"/>
    <w:link w:val="NagwekZnak"/>
    <w:uiPriority w:val="48"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NagwekZnak">
    <w:name w:val="Nagłówek Znak"/>
    <w:basedOn w:val="Domylnaczcionkaakapitu"/>
    <w:link w:val="Nagwek"/>
    <w:uiPriority w:val="48"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Stopka">
    <w:name w:val="footer"/>
    <w:basedOn w:val="Normalny"/>
    <w:link w:val="StopkaZnak"/>
    <w:uiPriority w:val="49"/>
    <w:semiHidden/>
    <w:rsid w:val="004A5B52"/>
    <w:pPr>
      <w:tabs>
        <w:tab w:val="center" w:pos="4536"/>
        <w:tab w:val="right" w:pos="9696"/>
      </w:tabs>
      <w:ind w:left="-680" w:right="-680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customStyle="1" w:styleId="StopkaZnak">
    <w:name w:val="Stopka Znak"/>
    <w:basedOn w:val="Domylnaczcionkaakapitu"/>
    <w:link w:val="Stopka"/>
    <w:uiPriority w:val="49"/>
    <w:semiHidden/>
    <w:rsid w:val="004A5B52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customStyle="1" w:styleId="ECHRCoverTitle1">
    <w:name w:val="ECHR_Cover_Title_1"/>
    <w:aliases w:val="Cover_1"/>
    <w:basedOn w:val="Normalny"/>
    <w:next w:val="Normalny"/>
    <w:uiPriority w:val="24"/>
    <w:qFormat/>
    <w:rsid w:val="00C63262"/>
    <w:pPr>
      <w:spacing w:before="840"/>
      <w:contextualSpacing/>
      <w:jc w:val="center"/>
    </w:pPr>
    <w:rPr>
      <w:rFonts w:asciiTheme="minorHAnsi" w:eastAsiaTheme="minorHAnsi" w:hAnsiTheme="minorHAnsi" w:cstheme="minorBidi"/>
      <w:color w:val="2F2F2F" w:themeColor="accent3" w:themeShade="80"/>
      <w:sz w:val="36"/>
      <w:szCs w:val="22"/>
      <w:lang w:val="en-US" w:eastAsia="en-US"/>
    </w:rPr>
  </w:style>
  <w:style w:type="paragraph" w:styleId="Tekstdymka">
    <w:name w:val="Balloon Text"/>
    <w:basedOn w:val="Normalny"/>
    <w:link w:val="TekstdymkaZnak"/>
    <w:semiHidden/>
    <w:rsid w:val="00C6326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C63262"/>
    <w:rPr>
      <w:rFonts w:ascii="Tahoma" w:hAnsi="Tahoma" w:cs="Tahoma"/>
      <w:sz w:val="16"/>
      <w:szCs w:val="16"/>
    </w:rPr>
  </w:style>
  <w:style w:type="paragraph" w:customStyle="1" w:styleId="ECHRFooter">
    <w:name w:val="ECHR_Footer"/>
    <w:aliases w:val="Footer_ECHR"/>
    <w:basedOn w:val="Stopka"/>
    <w:link w:val="ECHRFooterChar"/>
    <w:uiPriority w:val="40"/>
    <w:rsid w:val="00C63262"/>
    <w:rPr>
      <w:sz w:val="8"/>
    </w:rPr>
  </w:style>
  <w:style w:type="character" w:customStyle="1" w:styleId="ECHRFooterChar">
    <w:name w:val="ECHR_Footer Char"/>
    <w:basedOn w:val="Domylnaczcionkaakapitu"/>
    <w:link w:val="ECHRFooter"/>
    <w:uiPriority w:val="40"/>
    <w:rsid w:val="00C63262"/>
    <w:rPr>
      <w:rFonts w:asciiTheme="minorHAnsi" w:eastAsiaTheme="minorHAnsi" w:hAnsiTheme="minorHAnsi" w:cstheme="minorBidi"/>
      <w:sz w:val="8"/>
      <w:szCs w:val="22"/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Pr>
      <w:vertAlign w:val="superscript"/>
    </w:rPr>
  </w:style>
  <w:style w:type="paragraph" w:styleId="Tekstprzypisudolnego">
    <w:name w:val="footnote text"/>
    <w:basedOn w:val="Normalny"/>
    <w:link w:val="TekstprzypisudolnegoZnak"/>
    <w:rPr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Pr>
      <w:rFonts w:ascii="Verdana" w:hAnsi="Verdana"/>
    </w:rPr>
  </w:style>
  <w:style w:type="character" w:styleId="Odwoaniedokomentarza">
    <w:name w:val="annotation reference"/>
    <w:basedOn w:val="Domylnaczcionkaakapitu"/>
    <w:semiHidden/>
    <w:unhideWhenUsed/>
    <w:rsid w:val="00AF121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AF121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AF1217"/>
    <w:rPr>
      <w:rFonts w:ascii="Verdana" w:hAnsi="Verdana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F121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F1217"/>
    <w:rPr>
      <w:rFonts w:ascii="Verdana" w:hAnsi="Verdana"/>
      <w:b/>
      <w:bCs/>
    </w:rPr>
  </w:style>
  <w:style w:type="paragraph" w:customStyle="1" w:styleId="s746c8714">
    <w:name w:val="s746c8714"/>
    <w:basedOn w:val="Normalny"/>
    <w:rsid w:val="006678E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paragraph" w:customStyle="1" w:styleId="s6e50bd9a">
    <w:name w:val="s6e50bd9a"/>
    <w:basedOn w:val="Normalny"/>
    <w:rsid w:val="006678E4"/>
    <w:pPr>
      <w:spacing w:before="100" w:beforeAutospacing="1" w:after="100" w:afterAutospacing="1"/>
    </w:pPr>
    <w:rPr>
      <w:rFonts w:ascii="Times New Roman" w:hAnsi="Times New Roman"/>
      <w:sz w:val="24"/>
      <w:lang w:val="pl-PL" w:eastAsia="pl-PL"/>
    </w:rPr>
  </w:style>
  <w:style w:type="character" w:customStyle="1" w:styleId="s4f807e54">
    <w:name w:val="s4f807e54"/>
    <w:basedOn w:val="Domylnaczcionkaakapitu"/>
    <w:rsid w:val="006678E4"/>
  </w:style>
  <w:style w:type="character" w:customStyle="1" w:styleId="object">
    <w:name w:val="object"/>
    <w:basedOn w:val="Domylnaczcionkaakapitu"/>
    <w:rsid w:val="006678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272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6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hudoc.echr.coe.int/fre?i=002-10168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://www.msz.gov.pl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microsoft.com/office/2007/relationships/stylesWithEffects" Target="stylesWithEffect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chr.coe.int/NoteInformation/en" TargetMode="External"/><Relationship Id="rId14" Type="http://schemas.openxmlformats.org/officeDocument/2006/relationships/header" Target="head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GREY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 document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1733</Words>
  <Characters>10400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2017-04-05T12:52:00Z</dcterms:created>
  <dcterms:modified xsi:type="dcterms:W3CDTF">2017-06-21T12:11:00Z</dcterms:modified>
</cp:coreProperties>
</file>