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AEF" w:rsidRDefault="00126AEF" w:rsidP="00126AEF">
      <w:pPr>
        <w:pStyle w:val="s746c8714"/>
        <w:spacing w:before="120" w:beforeAutospacing="0" w:after="120" w:afterAutospacing="0"/>
        <w:jc w:val="both"/>
        <w:rPr>
          <w:rFonts w:ascii="Arial" w:hAnsi="Arial" w:cs="Arial"/>
          <w:sz w:val="20"/>
          <w:szCs w:val="20"/>
        </w:rPr>
      </w:pPr>
      <w:r>
        <w:rPr>
          <w:rStyle w:val="s4f807e54"/>
          <w:rFonts w:ascii="Arial" w:hAnsi="Arial" w:cs="Arial"/>
          <w:sz w:val="20"/>
          <w:szCs w:val="20"/>
        </w:rPr>
        <w:t xml:space="preserve">©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www.mfa</w:t>
        </w:r>
        <w:r>
          <w:rPr>
            <w:rStyle w:val="Hipercze"/>
            <w:rFonts w:ascii="Arial" w:hAnsi="Arial" w:cs="Arial"/>
            <w:sz w:val="20"/>
            <w:szCs w:val="20"/>
          </w:rPr>
          <w:t>.gov.pl</w:t>
        </w:r>
        <w:r>
          <w:rPr>
            <w:rStyle w:val="Hipercze"/>
            <w:rFonts w:ascii="Arial" w:eastAsia="MS Mincho" w:hAnsi="Arial" w:cs="Arial"/>
            <w:sz w:val="20"/>
            <w:szCs w:val="20"/>
          </w:rPr>
          <w:t>/en</w:t>
        </w:r>
      </w:hyperlink>
      <w:r>
        <w:rPr>
          <w:rStyle w:val="s4f807e54"/>
          <w:rFonts w:ascii="Arial" w:eastAsia="MS Mincho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26AEF" w:rsidRDefault="00126AEF" w:rsidP="00126AEF">
      <w:pPr>
        <w:pStyle w:val="s6e50bd9a"/>
        <w:spacing w:before="0" w:beforeAutospacing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Style w:val="s4f807e54"/>
          <w:rFonts w:ascii="Arial" w:hAnsi="Arial" w:cs="Arial"/>
          <w:sz w:val="20"/>
          <w:szCs w:val="20"/>
          <w:lang w:val="en-US"/>
        </w:rPr>
        <w:t xml:space="preserve">Permission to re-publish this translation has been granted by the Polish </w:t>
      </w:r>
      <w:r>
        <w:rPr>
          <w:rStyle w:val="s4f807e54"/>
          <w:rFonts w:ascii="Arial" w:eastAsia="MS Mincho" w:hAnsi="Arial" w:cs="Arial"/>
          <w:sz w:val="20"/>
          <w:szCs w:val="20"/>
          <w:lang w:val="en-US"/>
        </w:rPr>
        <w:t xml:space="preserve">Ministry of Foreign Affairs </w:t>
      </w:r>
      <w:r>
        <w:rPr>
          <w:rStyle w:val="s4f807e54"/>
          <w:rFonts w:ascii="Arial" w:hAnsi="Arial" w:cs="Arial"/>
          <w:sz w:val="20"/>
          <w:szCs w:val="20"/>
          <w:lang w:val="en-US"/>
        </w:rPr>
        <w:t>for the sole purpose of its inclusion in the Court’s database HUDOC</w:t>
      </w:r>
    </w:p>
    <w:p w:rsidR="00126AEF" w:rsidRDefault="00126AEF" w:rsidP="00126AEF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8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</w:t>
      </w:r>
    </w:p>
    <w:p w:rsidR="00126AEF" w:rsidRDefault="00126AEF" w:rsidP="00126AEF">
      <w:pPr>
        <w:pStyle w:val="s6e50bd9a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Zezwolenie na publikację tego tłumaczenia zostało udzielone przez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wyłącznie w celu zamieszczenia w bazie Trybunału HUDOC</w:t>
      </w:r>
    </w:p>
    <w:p w:rsidR="00EB5201" w:rsidRDefault="00EB5201" w:rsidP="00AB4CD0">
      <w:pPr>
        <w:pStyle w:val="ClinEditionNumber"/>
        <w:jc w:val="center"/>
        <w:rPr>
          <w:lang w:val="pl-PL"/>
        </w:rPr>
      </w:pPr>
    </w:p>
    <w:p w:rsidR="00AB4CD0" w:rsidRDefault="00AB4CD0" w:rsidP="00AB4CD0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2D4290" w:rsidRPr="00AB4CD0" w:rsidRDefault="00AB4CD0" w:rsidP="00AB4CD0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</w:t>
      </w:r>
      <w:r w:rsidRPr="00557F20">
        <w:rPr>
          <w:lang w:val="pl-PL"/>
        </w:rPr>
        <w:t>rzecznictwa Trybunału nr</w:t>
      </w:r>
      <w:r w:rsidR="00821CDD" w:rsidRPr="00AB4CD0">
        <w:rPr>
          <w:lang w:val="pl-PL"/>
        </w:rPr>
        <w:t xml:space="preserve"> 194</w:t>
      </w:r>
    </w:p>
    <w:p w:rsidR="002D4290" w:rsidRPr="007B7111" w:rsidRDefault="00821CDD">
      <w:pPr>
        <w:pStyle w:val="ClinEditionMonth"/>
        <w:rPr>
          <w:lang w:val="pl-PL"/>
        </w:rPr>
      </w:pPr>
      <w:r w:rsidRPr="007B7111">
        <w:rPr>
          <w:lang w:val="pl-PL"/>
        </w:rPr>
        <w:t>Mar</w:t>
      </w:r>
      <w:r w:rsidR="00AB4CD0" w:rsidRPr="007B7111">
        <w:rPr>
          <w:lang w:val="pl-PL"/>
        </w:rPr>
        <w:t xml:space="preserve">zec </w:t>
      </w:r>
      <w:r w:rsidRPr="007B7111">
        <w:rPr>
          <w:lang w:val="pl-PL"/>
        </w:rPr>
        <w:t>2016</w:t>
      </w:r>
      <w:r w:rsidR="00AB4CD0" w:rsidRPr="007B7111">
        <w:rPr>
          <w:lang w:val="pl-PL"/>
        </w:rPr>
        <w:t xml:space="preserve"> r.</w:t>
      </w:r>
    </w:p>
    <w:p w:rsidR="002D4290" w:rsidRPr="007B7111" w:rsidRDefault="00821CDD">
      <w:pPr>
        <w:rPr>
          <w:lang w:val="pl-PL"/>
        </w:rPr>
      </w:pPr>
      <w:proofErr w:type="spellStart"/>
      <w:r w:rsidRPr="007B7111">
        <w:rPr>
          <w:rStyle w:val="ClinCaseTitle"/>
          <w:lang w:val="pl-PL"/>
        </w:rPr>
        <w:t>Guberina</w:t>
      </w:r>
      <w:proofErr w:type="spellEnd"/>
      <w:r w:rsidRPr="007B7111">
        <w:rPr>
          <w:rStyle w:val="ClinCaseTitle"/>
          <w:lang w:val="pl-PL"/>
        </w:rPr>
        <w:t xml:space="preserve"> </w:t>
      </w:r>
      <w:r w:rsidR="007B7111" w:rsidRPr="007B7111">
        <w:rPr>
          <w:rStyle w:val="ClinCaseTitle"/>
          <w:lang w:val="pl-PL"/>
        </w:rPr>
        <w:t>p.</w:t>
      </w:r>
      <w:r w:rsidRPr="007B7111">
        <w:rPr>
          <w:rStyle w:val="ClinCaseTitle"/>
          <w:lang w:val="pl-PL"/>
        </w:rPr>
        <w:t xml:space="preserve"> C</w:t>
      </w:r>
      <w:r w:rsidR="007B7111">
        <w:rPr>
          <w:rStyle w:val="ClinCaseTitle"/>
          <w:lang w:val="pl-PL"/>
        </w:rPr>
        <w:t>horwacji</w:t>
      </w:r>
      <w:r w:rsidRPr="007B7111">
        <w:rPr>
          <w:rStyle w:val="ClinApplicationNumber"/>
          <w:lang w:val="pl-PL"/>
        </w:rPr>
        <w:t xml:space="preserve"> </w:t>
      </w:r>
      <w:r w:rsidR="007B7111">
        <w:rPr>
          <w:rStyle w:val="ClinApplicationNumber"/>
          <w:lang w:val="pl-PL"/>
        </w:rPr>
        <w:t>–</w:t>
      </w:r>
      <w:r w:rsidRPr="007B7111">
        <w:rPr>
          <w:rStyle w:val="ClinApplicationNumber"/>
          <w:lang w:val="pl-PL"/>
        </w:rPr>
        <w:t xml:space="preserve"> </w:t>
      </w:r>
      <w:r w:rsidR="007B7111">
        <w:rPr>
          <w:rStyle w:val="ClinApplicationNumber"/>
          <w:lang w:val="pl-PL"/>
        </w:rPr>
        <w:t xml:space="preserve">skarga nr </w:t>
      </w:r>
      <w:r w:rsidRPr="007B7111">
        <w:rPr>
          <w:rStyle w:val="ClinApplicationNumber"/>
          <w:lang w:val="pl-PL"/>
        </w:rPr>
        <w:t>23682/13</w:t>
      </w:r>
    </w:p>
    <w:p w:rsidR="002D4290" w:rsidRPr="007B7111" w:rsidRDefault="007B7111">
      <w:pPr>
        <w:rPr>
          <w:lang w:val="pl-PL"/>
        </w:rPr>
      </w:pPr>
      <w:r w:rsidRPr="007B7111">
        <w:rPr>
          <w:rStyle w:val="ClinHudocDocumentTitle"/>
          <w:lang w:val="pl-PL"/>
        </w:rPr>
        <w:t xml:space="preserve">Wyrok z </w:t>
      </w:r>
      <w:r w:rsidR="00821CDD" w:rsidRPr="007B7111">
        <w:rPr>
          <w:rStyle w:val="ClinHudocDocumentTitle"/>
          <w:lang w:val="pl-PL"/>
        </w:rPr>
        <w:t>22.</w:t>
      </w:r>
      <w:r w:rsidR="00330628">
        <w:rPr>
          <w:rStyle w:val="ClinHudocDocumentTitle"/>
          <w:lang w:val="pl-PL"/>
        </w:rPr>
        <w:t>0</w:t>
      </w:r>
      <w:r w:rsidR="00821CDD" w:rsidRPr="007B7111">
        <w:rPr>
          <w:rStyle w:val="ClinHudocDocumentTitle"/>
          <w:lang w:val="pl-PL"/>
        </w:rPr>
        <w:t>3.2016</w:t>
      </w:r>
      <w:r w:rsidR="00821CDD" w:rsidRPr="007B7111">
        <w:rPr>
          <w:rStyle w:val="ClinSectionName"/>
          <w:lang w:val="pl-PL"/>
        </w:rPr>
        <w:t xml:space="preserve"> </w:t>
      </w:r>
      <w:r w:rsidRPr="007B7111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821CDD" w:rsidRPr="007B7111">
        <w:rPr>
          <w:rStyle w:val="ClinSectionName"/>
          <w:lang w:val="pl-PL"/>
        </w:rPr>
        <w:t>[Se</w:t>
      </w:r>
      <w:r>
        <w:rPr>
          <w:rStyle w:val="ClinSectionName"/>
          <w:lang w:val="pl-PL"/>
        </w:rPr>
        <w:t>kcja II</w:t>
      </w:r>
      <w:r w:rsidR="00821CDD" w:rsidRPr="007B7111">
        <w:rPr>
          <w:rStyle w:val="ClinSectionName"/>
          <w:lang w:val="pl-PL"/>
        </w:rPr>
        <w:t>]</w:t>
      </w:r>
    </w:p>
    <w:p w:rsidR="002D4290" w:rsidRPr="009A68DF" w:rsidRDefault="007B7111">
      <w:pPr>
        <w:pStyle w:val="ClinMainKeywordCode"/>
        <w:rPr>
          <w:lang w:val="pl-PL"/>
        </w:rPr>
      </w:pPr>
      <w:r w:rsidRPr="009A68DF">
        <w:rPr>
          <w:lang w:val="pl-PL"/>
        </w:rPr>
        <w:t>Art.</w:t>
      </w:r>
      <w:r w:rsidR="00821CDD" w:rsidRPr="009A68DF">
        <w:rPr>
          <w:lang w:val="pl-PL"/>
        </w:rPr>
        <w:t xml:space="preserve"> 14</w:t>
      </w:r>
    </w:p>
    <w:p w:rsidR="002D4290" w:rsidRPr="009A68DF" w:rsidRDefault="007B7111">
      <w:pPr>
        <w:pStyle w:val="ClinKeyword"/>
        <w:rPr>
          <w:lang w:val="pl-PL"/>
        </w:rPr>
      </w:pPr>
      <w:r w:rsidRPr="009A68DF">
        <w:rPr>
          <w:lang w:val="pl-PL"/>
        </w:rPr>
        <w:t>Dyskryminacja</w:t>
      </w:r>
    </w:p>
    <w:p w:rsidR="008D6882" w:rsidRPr="008D6882" w:rsidRDefault="008D6882" w:rsidP="004C59D8">
      <w:pPr>
        <w:jc w:val="both"/>
        <w:rPr>
          <w:i/>
          <w:lang w:val="pl-PL"/>
        </w:rPr>
      </w:pPr>
      <w:r>
        <w:rPr>
          <w:lang w:val="pl-PL"/>
        </w:rPr>
        <w:t>Br</w:t>
      </w:r>
      <w:r w:rsidRPr="008D6882">
        <w:rPr>
          <w:lang w:val="pl-PL"/>
        </w:rPr>
        <w:t xml:space="preserve">ak uwzględnienia potrzeb dziecka niepełnosprawnego przy </w:t>
      </w:r>
      <w:r w:rsidR="00B84589">
        <w:rPr>
          <w:lang w:val="pl-PL"/>
        </w:rPr>
        <w:t>rozstrzyganiu</w:t>
      </w:r>
      <w:r w:rsidRPr="008D6882">
        <w:rPr>
          <w:lang w:val="pl-PL"/>
        </w:rPr>
        <w:t>, czy ojciec dziecka kwalifikuje się do ulgi podatkowej na zakup odpowiednio przystosowanej nieruchomości</w:t>
      </w:r>
      <w:r>
        <w:rPr>
          <w:lang w:val="pl-PL"/>
        </w:rPr>
        <w:t xml:space="preserve">: </w:t>
      </w:r>
      <w:r>
        <w:rPr>
          <w:i/>
          <w:lang w:val="pl-PL"/>
        </w:rPr>
        <w:t>naruszenie</w:t>
      </w:r>
    </w:p>
    <w:p w:rsidR="008D6882" w:rsidRPr="008D6882" w:rsidRDefault="008D6882">
      <w:pPr>
        <w:pStyle w:val="ClinContent"/>
        <w:rPr>
          <w:lang w:val="pl-PL"/>
        </w:rPr>
      </w:pPr>
      <w:r w:rsidRPr="008D6882">
        <w:rPr>
          <w:i/>
          <w:lang w:val="pl-PL"/>
        </w:rPr>
        <w:t>Fakty</w:t>
      </w:r>
      <w:r w:rsidRPr="008D6882">
        <w:rPr>
          <w:lang w:val="pl-PL"/>
        </w:rPr>
        <w:t xml:space="preserve"> – Skarżący mieszkał </w:t>
      </w:r>
      <w:r w:rsidR="00B84589">
        <w:rPr>
          <w:lang w:val="pl-PL"/>
        </w:rPr>
        <w:t xml:space="preserve">razem </w:t>
      </w:r>
      <w:r w:rsidRPr="008D6882">
        <w:rPr>
          <w:lang w:val="pl-PL"/>
        </w:rPr>
        <w:t xml:space="preserve">i opiekował się </w:t>
      </w:r>
      <w:r>
        <w:rPr>
          <w:lang w:val="pl-PL"/>
        </w:rPr>
        <w:t>swoim ciężko niepełnosprawnym dzieckiem. W celu zapewnienia dziecku lepszych i bardziej dostosowanych warunków mieszkaniowych, skarżący sprzedał mieszkanie rodziny na trzecim piętrze, które nie miało</w:t>
      </w:r>
      <w:r w:rsidR="009A68DF">
        <w:rPr>
          <w:lang w:val="pl-PL"/>
        </w:rPr>
        <w:t xml:space="preserve"> dostępu do</w:t>
      </w:r>
      <w:r>
        <w:rPr>
          <w:lang w:val="pl-PL"/>
        </w:rPr>
        <w:t xml:space="preserve"> windy, i kupił dom. Ubiegał się następnie o ulgę podatkową </w:t>
      </w:r>
      <w:r w:rsidR="00CF4C29">
        <w:rPr>
          <w:lang w:val="pl-PL"/>
        </w:rPr>
        <w:t>z tytułu kupna domu</w:t>
      </w:r>
      <w:r>
        <w:rPr>
          <w:lang w:val="pl-PL"/>
        </w:rPr>
        <w:t xml:space="preserve">, ale jego wniosek został oddalony na tej podstawie, że jego poprzednie mieszkanie spełniało potrzeby rodziny. </w:t>
      </w:r>
    </w:p>
    <w:p w:rsidR="00D22062" w:rsidRPr="00D22062" w:rsidRDefault="00B84589">
      <w:pPr>
        <w:pStyle w:val="ClinContent"/>
        <w:rPr>
          <w:lang w:val="pl-PL"/>
        </w:rPr>
      </w:pPr>
      <w:r>
        <w:rPr>
          <w:lang w:val="pl-PL"/>
        </w:rPr>
        <w:t>W</w:t>
      </w:r>
      <w:r w:rsidR="00D22062" w:rsidRPr="00D22062">
        <w:rPr>
          <w:lang w:val="pl-PL"/>
        </w:rPr>
        <w:t xml:space="preserve"> postępowaniu na podstawie Konwencji skarżący skarżył się, że sposób, w jaki zastosowano ustawodawstwo podatkowe do jego sytuacji</w:t>
      </w:r>
      <w:r w:rsidR="00D22062">
        <w:rPr>
          <w:lang w:val="pl-PL"/>
        </w:rPr>
        <w:t>,</w:t>
      </w:r>
      <w:r w:rsidR="00D22062" w:rsidRPr="00D22062">
        <w:rPr>
          <w:lang w:val="pl-PL"/>
        </w:rPr>
        <w:t xml:space="preserve"> stanowił dyskryminację opartą na niepełnosprawności jego dziecka. </w:t>
      </w:r>
    </w:p>
    <w:p w:rsidR="00D22062" w:rsidRPr="00D22062" w:rsidRDefault="00D22062">
      <w:pPr>
        <w:pStyle w:val="ClinContent"/>
        <w:rPr>
          <w:lang w:val="pl-PL"/>
        </w:rPr>
      </w:pPr>
      <w:r w:rsidRPr="00D22062">
        <w:rPr>
          <w:i/>
          <w:lang w:val="pl-PL"/>
        </w:rPr>
        <w:t>Prawo</w:t>
      </w:r>
      <w:r w:rsidRPr="00D22062">
        <w:rPr>
          <w:lang w:val="pl-PL"/>
        </w:rPr>
        <w:t xml:space="preserve"> – Art. 14 Konwencji w związku z art. </w:t>
      </w:r>
      <w:r>
        <w:rPr>
          <w:lang w:val="pl-PL"/>
        </w:rPr>
        <w:t>1 Protokołu nr 1</w:t>
      </w:r>
    </w:p>
    <w:p w:rsidR="00D22062" w:rsidRDefault="00D22062">
      <w:pPr>
        <w:pStyle w:val="ClinContent"/>
        <w:rPr>
          <w:lang w:val="pl-PL"/>
        </w:rPr>
      </w:pPr>
      <w:r w:rsidRPr="00D22062">
        <w:rPr>
          <w:lang w:val="pl-PL"/>
        </w:rPr>
        <w:t>(a)  </w:t>
      </w:r>
      <w:r w:rsidRPr="00D22062">
        <w:rPr>
          <w:i/>
          <w:lang w:val="pl-PL"/>
        </w:rPr>
        <w:t>Czy termin “</w:t>
      </w:r>
      <w:r>
        <w:rPr>
          <w:i/>
          <w:lang w:val="pl-PL"/>
        </w:rPr>
        <w:t>inna przyczyna</w:t>
      </w:r>
      <w:r w:rsidRPr="00D22062">
        <w:rPr>
          <w:i/>
          <w:lang w:val="pl-PL"/>
        </w:rPr>
        <w:t xml:space="preserve">” obejmował niepełnosprawność dziecka skarżącego </w:t>
      </w:r>
      <w:r>
        <w:rPr>
          <w:i/>
          <w:lang w:val="pl-PL"/>
        </w:rPr>
        <w:t xml:space="preserve">– </w:t>
      </w:r>
      <w:r w:rsidRPr="00D22062">
        <w:rPr>
          <w:lang w:val="pl-PL"/>
        </w:rPr>
        <w:t>Skarżący</w:t>
      </w:r>
      <w:r>
        <w:rPr>
          <w:lang w:val="pl-PL"/>
        </w:rPr>
        <w:t xml:space="preserve"> skarżył się na rzekomo dyskryminacyjne traktowanie odnoszące się do niepełnosprawności jego dziecka, a nie do jego własnej niepełnosprawności. W orzecznictwie Trybunału wyrażenie „inna przyczyna” m</w:t>
      </w:r>
      <w:r w:rsidR="00B84589">
        <w:rPr>
          <w:lang w:val="pl-PL"/>
        </w:rPr>
        <w:t>iało</w:t>
      </w:r>
      <w:r>
        <w:rPr>
          <w:lang w:val="pl-PL"/>
        </w:rPr>
        <w:t xml:space="preserve"> szerokie znaczenie, a jego wykładnia nie </w:t>
      </w:r>
      <w:r w:rsidR="00B84589">
        <w:rPr>
          <w:lang w:val="pl-PL"/>
        </w:rPr>
        <w:t xml:space="preserve">była </w:t>
      </w:r>
      <w:r>
        <w:rPr>
          <w:lang w:val="pl-PL"/>
        </w:rPr>
        <w:t xml:space="preserve">ograniczona do cech o charakterze osobistym w tym sensie, że </w:t>
      </w:r>
      <w:r w:rsidR="00590A02">
        <w:rPr>
          <w:lang w:val="pl-PL"/>
        </w:rPr>
        <w:t>są</w:t>
      </w:r>
      <w:r w:rsidR="00B84589">
        <w:rPr>
          <w:lang w:val="pl-PL"/>
        </w:rPr>
        <w:t xml:space="preserve"> </w:t>
      </w:r>
      <w:r>
        <w:rPr>
          <w:lang w:val="pl-PL"/>
        </w:rPr>
        <w:t>one wrodzone i nieodłączne. A zatem, art. 14 obejmuje również przypadki, w których jednostka jest traktowana mniej korzystnie w oparciu o status lub chronione cechy</w:t>
      </w:r>
      <w:r w:rsidRPr="00D22062">
        <w:rPr>
          <w:lang w:val="pl-PL"/>
        </w:rPr>
        <w:t xml:space="preserve"> </w:t>
      </w:r>
      <w:r>
        <w:rPr>
          <w:lang w:val="pl-PL"/>
        </w:rPr>
        <w:t xml:space="preserve">innej osoby, tak jak w sprawie skarżącego. </w:t>
      </w:r>
    </w:p>
    <w:p w:rsidR="00490EA5" w:rsidRPr="00490EA5" w:rsidRDefault="00490EA5">
      <w:pPr>
        <w:pStyle w:val="ClinContent"/>
        <w:rPr>
          <w:lang w:val="pl-PL"/>
        </w:rPr>
      </w:pPr>
      <w:r w:rsidRPr="00490EA5">
        <w:rPr>
          <w:lang w:val="pl-PL"/>
        </w:rPr>
        <w:lastRenderedPageBreak/>
        <w:t xml:space="preserve">(b) </w:t>
      </w:r>
      <w:r w:rsidRPr="00B84589">
        <w:rPr>
          <w:i/>
          <w:lang w:val="pl-PL"/>
        </w:rPr>
        <w:t>Brak odmiennego traktowania osób w istotnie odmiennej sytuacji</w:t>
      </w:r>
      <w:r w:rsidRPr="00490EA5">
        <w:rPr>
          <w:lang w:val="pl-PL"/>
        </w:rPr>
        <w:t xml:space="preserve"> </w:t>
      </w:r>
      <w:r>
        <w:rPr>
          <w:lang w:val="pl-PL"/>
        </w:rPr>
        <w:t>– Nie było wątpliwości, że poprzednie mieszkanie skarżącego, usytuowane na trzecim piętrze budynku bez windy, poważnie ograniczał</w:t>
      </w:r>
      <w:r w:rsidR="00B84589">
        <w:rPr>
          <w:lang w:val="pl-PL"/>
        </w:rPr>
        <w:t>o</w:t>
      </w:r>
      <w:r>
        <w:rPr>
          <w:lang w:val="pl-PL"/>
        </w:rPr>
        <w:t xml:space="preserve"> możliwość poruszania się jego syna i w rezultacie zagrażał</w:t>
      </w:r>
      <w:r w:rsidR="00B84589">
        <w:rPr>
          <w:lang w:val="pl-PL"/>
        </w:rPr>
        <w:t>o</w:t>
      </w:r>
      <w:r>
        <w:rPr>
          <w:lang w:val="pl-PL"/>
        </w:rPr>
        <w:t xml:space="preserve"> jego rozwojowi osobistemu oraz możliwoś</w:t>
      </w:r>
      <w:r w:rsidR="00B84589">
        <w:rPr>
          <w:lang w:val="pl-PL"/>
        </w:rPr>
        <w:t>ci</w:t>
      </w:r>
      <w:r>
        <w:rPr>
          <w:lang w:val="pl-PL"/>
        </w:rPr>
        <w:t xml:space="preserve"> </w:t>
      </w:r>
      <w:r w:rsidR="00B84589">
        <w:rPr>
          <w:lang w:val="pl-PL"/>
        </w:rPr>
        <w:t>realizacji</w:t>
      </w:r>
      <w:r>
        <w:rPr>
          <w:lang w:val="pl-PL"/>
        </w:rPr>
        <w:t xml:space="preserve"> jego pełnego potencjału. </w:t>
      </w:r>
      <w:r w:rsidR="002141F8">
        <w:rPr>
          <w:lang w:val="pl-PL"/>
        </w:rPr>
        <w:t xml:space="preserve">Starając się zastąpić to mieszkania domem dostosowanym do potrzeb rodziny skarżący znajdował się w sytuacji podobnej do sytuacji każdej innej osoby, która </w:t>
      </w:r>
      <w:r w:rsidR="00B84589">
        <w:rPr>
          <w:lang w:val="pl-PL"/>
        </w:rPr>
        <w:t>wymieniała</w:t>
      </w:r>
      <w:r w:rsidR="002141F8">
        <w:rPr>
          <w:lang w:val="pl-PL"/>
        </w:rPr>
        <w:t xml:space="preserve"> mieszkanie lub dom </w:t>
      </w:r>
      <w:r w:rsidR="00B84589">
        <w:rPr>
          <w:lang w:val="pl-PL"/>
        </w:rPr>
        <w:t>na inną nieruchomość</w:t>
      </w:r>
      <w:r w:rsidR="002141F8">
        <w:rPr>
          <w:lang w:val="pl-PL"/>
        </w:rPr>
        <w:t xml:space="preserve"> wyposażoną w podstawową infrastrukturę oraz </w:t>
      </w:r>
      <w:r w:rsidR="00B84589">
        <w:rPr>
          <w:lang w:val="pl-PL"/>
        </w:rPr>
        <w:t xml:space="preserve">spełniającą </w:t>
      </w:r>
      <w:r w:rsidR="002141F8">
        <w:rPr>
          <w:lang w:val="pl-PL"/>
        </w:rPr>
        <w:t xml:space="preserve">wymogi technicznego dostosowania. </w:t>
      </w:r>
      <w:r w:rsidR="00B84589">
        <w:rPr>
          <w:lang w:val="pl-PL"/>
        </w:rPr>
        <w:t>Tym niemniej j</w:t>
      </w:r>
      <w:r w:rsidR="002141F8">
        <w:rPr>
          <w:lang w:val="pl-PL"/>
        </w:rPr>
        <w:t xml:space="preserve">ego sytuacja była odmienna w odniesieniu do </w:t>
      </w:r>
      <w:r w:rsidR="00B84589">
        <w:rPr>
          <w:lang w:val="pl-PL"/>
        </w:rPr>
        <w:t xml:space="preserve">znaczenia </w:t>
      </w:r>
      <w:r w:rsidR="002141F8">
        <w:rPr>
          <w:lang w:val="pl-PL"/>
        </w:rPr>
        <w:t xml:space="preserve">pojęcia „wymogi podstawowej infrastruktury”, które – w świetle niepełnosprawności jego syna oraz właściwych standardów krajowych i międzynarodowych – oznaczało konieczne ułatwienia </w:t>
      </w:r>
      <w:r w:rsidR="00B84589">
        <w:rPr>
          <w:lang w:val="pl-PL"/>
        </w:rPr>
        <w:t>dotyczące</w:t>
      </w:r>
      <w:r w:rsidR="002141F8">
        <w:rPr>
          <w:lang w:val="pl-PL"/>
        </w:rPr>
        <w:t xml:space="preserve"> dostępności, takie jak winda. Wykluczając go spod zwolnienia podatkowego</w:t>
      </w:r>
      <w:r w:rsidR="00B84589">
        <w:rPr>
          <w:lang w:val="pl-PL"/>
        </w:rPr>
        <w:t>,</w:t>
      </w:r>
      <w:r w:rsidR="002141F8">
        <w:rPr>
          <w:lang w:val="pl-PL"/>
        </w:rPr>
        <w:t xml:space="preserve"> władze podatkowe oraz sądy krajowe nie rozważyły w żaden sposób szczególnych potrzeb rodziny związanych z niepełnosprawnością dziecka. Nie uznały więc faktycznej specyfiki sytuacji skarżącego w odniesieniu do kwestii podstawowej infrastruktury oraz technicznego dostosowania </w:t>
      </w:r>
      <w:r w:rsidR="007F64EC">
        <w:rPr>
          <w:lang w:val="pl-PL"/>
        </w:rPr>
        <w:t>niezbędnych do spełnienia potrzeb mieszkaniowych</w:t>
      </w:r>
      <w:r w:rsidR="002141F8">
        <w:rPr>
          <w:lang w:val="pl-PL"/>
        </w:rPr>
        <w:t xml:space="preserve"> </w:t>
      </w:r>
      <w:r w:rsidR="007F64EC">
        <w:rPr>
          <w:lang w:val="pl-PL"/>
        </w:rPr>
        <w:t>rodziny</w:t>
      </w:r>
      <w:r w:rsidR="002141F8">
        <w:rPr>
          <w:lang w:val="pl-PL"/>
        </w:rPr>
        <w:t xml:space="preserve">. </w:t>
      </w:r>
    </w:p>
    <w:p w:rsidR="003A186A" w:rsidRPr="003A186A" w:rsidRDefault="003A186A">
      <w:pPr>
        <w:pStyle w:val="ClinContent"/>
        <w:rPr>
          <w:lang w:val="pl-PL"/>
        </w:rPr>
      </w:pPr>
      <w:r w:rsidRPr="003A186A">
        <w:rPr>
          <w:lang w:val="pl-PL"/>
        </w:rPr>
        <w:t xml:space="preserve">(c) </w:t>
      </w:r>
      <w:r w:rsidRPr="00B84589">
        <w:rPr>
          <w:i/>
          <w:lang w:val="pl-PL"/>
        </w:rPr>
        <w:t>Obiektywne i rozsądne uzasadnienie</w:t>
      </w:r>
      <w:r w:rsidRPr="003A186A">
        <w:rPr>
          <w:lang w:val="pl-PL"/>
        </w:rPr>
        <w:t xml:space="preserve"> – W odniesieniu do argumentu rządu, że prawo </w:t>
      </w:r>
      <w:r w:rsidR="00B84589">
        <w:rPr>
          <w:lang w:val="pl-PL"/>
        </w:rPr>
        <w:t>k</w:t>
      </w:r>
      <w:r w:rsidRPr="003A186A">
        <w:rPr>
          <w:lang w:val="pl-PL"/>
        </w:rPr>
        <w:t xml:space="preserve">rajowe nie </w:t>
      </w:r>
      <w:r w:rsidR="00B84589">
        <w:rPr>
          <w:lang w:val="pl-PL"/>
        </w:rPr>
        <w:t>dawało</w:t>
      </w:r>
      <w:r w:rsidRPr="003A186A">
        <w:rPr>
          <w:lang w:val="pl-PL"/>
        </w:rPr>
        <w:t xml:space="preserve"> </w:t>
      </w:r>
      <w:r>
        <w:rPr>
          <w:lang w:val="pl-PL"/>
        </w:rPr>
        <w:t xml:space="preserve">władzom podatkowym </w:t>
      </w:r>
      <w:r w:rsidR="00B84589">
        <w:rPr>
          <w:lang w:val="pl-PL"/>
        </w:rPr>
        <w:t>pola uznaniowości</w:t>
      </w:r>
      <w:r>
        <w:rPr>
          <w:lang w:val="pl-PL"/>
        </w:rPr>
        <w:t xml:space="preserve"> przy wykładni</w:t>
      </w:r>
      <w:r w:rsidR="00B84589">
        <w:rPr>
          <w:lang w:val="pl-PL"/>
        </w:rPr>
        <w:t xml:space="preserve"> przepisów</w:t>
      </w:r>
      <w:r>
        <w:rPr>
          <w:lang w:val="pl-PL"/>
        </w:rPr>
        <w:t xml:space="preserve">, Trybunał zauważył, że choć właściwe ustawodawstwo zostało sformułowane raczej ogólnie, inne przepisy prawa krajowego </w:t>
      </w:r>
      <w:r w:rsidR="00B84589">
        <w:rPr>
          <w:lang w:val="pl-PL"/>
        </w:rPr>
        <w:t>zawierały pewne wskazówki</w:t>
      </w:r>
      <w:r>
        <w:rPr>
          <w:lang w:val="pl-PL"/>
        </w:rPr>
        <w:t xml:space="preserve"> w odniesieniu do kwestii podstawowych wymogów dostępności dla osób z niepełnosprawnością. Ponadto, ratyfikując</w:t>
      </w:r>
      <w:r w:rsidR="00B811A7">
        <w:rPr>
          <w:lang w:val="pl-PL"/>
        </w:rPr>
        <w:t xml:space="preserve"> </w:t>
      </w:r>
      <w:hyperlink r:id="rId9" w:history="1">
        <w:r w:rsidR="00B811A7" w:rsidRPr="003A186A">
          <w:rPr>
            <w:rStyle w:val="Hipercze"/>
            <w:lang w:val="pl-PL"/>
          </w:rPr>
          <w:t>Konwencję ONZ o prawach osób niepełnosprawnych</w:t>
        </w:r>
      </w:hyperlink>
      <w:r w:rsidR="00B811A7">
        <w:rPr>
          <w:rStyle w:val="Hipercze"/>
          <w:lang w:val="pl-PL"/>
        </w:rPr>
        <w:t>,</w:t>
      </w:r>
      <w:r>
        <w:rPr>
          <w:lang w:val="pl-PL"/>
        </w:rPr>
        <w:t xml:space="preserve"> pozwane Państwo było zobowiązane uwzględnić właściwe zasady, takie jak rozsądne udogodnienie, dostępność oraz niedyskryminacja wobec osób niepełnosprawnych w odniesieniu do ich pełnego i równego uczestnictwa we wszystkich aspektach życia społecznego. Jednakże władze krajowe zignorowały te obowiązki krajowe i międzynarodowe. A zatem, sposób, w jaki w praktyce </w:t>
      </w:r>
      <w:r w:rsidR="00590A02">
        <w:rPr>
          <w:lang w:val="pl-PL"/>
        </w:rPr>
        <w:t>za</w:t>
      </w:r>
      <w:r>
        <w:rPr>
          <w:lang w:val="pl-PL"/>
        </w:rPr>
        <w:t>stosowano prawo krajowe</w:t>
      </w:r>
      <w:r w:rsidR="00B84589">
        <w:rPr>
          <w:lang w:val="pl-PL"/>
        </w:rPr>
        <w:t>,</w:t>
      </w:r>
      <w:r>
        <w:rPr>
          <w:lang w:val="pl-PL"/>
        </w:rPr>
        <w:t xml:space="preserve"> </w:t>
      </w:r>
      <w:r w:rsidR="001420F8">
        <w:rPr>
          <w:lang w:val="pl-PL"/>
        </w:rPr>
        <w:t xml:space="preserve">nie uwzględnił w wystarczający sposób wymogów wynikających ze szczególnych aspektów sprawy skarżącego. </w:t>
      </w:r>
    </w:p>
    <w:p w:rsidR="001420F8" w:rsidRPr="001420F8" w:rsidRDefault="001420F8">
      <w:pPr>
        <w:pStyle w:val="ClinContent"/>
        <w:rPr>
          <w:lang w:val="pl-PL"/>
        </w:rPr>
      </w:pPr>
      <w:r w:rsidRPr="001420F8">
        <w:rPr>
          <w:lang w:val="pl-PL"/>
        </w:rPr>
        <w:t xml:space="preserve">Ponadto, chociaż </w:t>
      </w:r>
      <w:r>
        <w:rPr>
          <w:lang w:val="pl-PL"/>
        </w:rPr>
        <w:t>ogólnie</w:t>
      </w:r>
      <w:r w:rsidRPr="001420F8">
        <w:rPr>
          <w:lang w:val="pl-PL"/>
        </w:rPr>
        <w:t xml:space="preserve"> </w:t>
      </w:r>
      <w:r>
        <w:rPr>
          <w:lang w:val="pl-PL"/>
        </w:rPr>
        <w:t xml:space="preserve">rzecz biorąc, </w:t>
      </w:r>
      <w:r w:rsidRPr="001420F8">
        <w:rPr>
          <w:lang w:val="pl-PL"/>
        </w:rPr>
        <w:t xml:space="preserve">ochrona osób w </w:t>
      </w:r>
      <w:r>
        <w:rPr>
          <w:lang w:val="pl-PL"/>
        </w:rPr>
        <w:t xml:space="preserve">niekorzystnej sytuacji finansowej może być uznana za obiektywne uzasadnienie </w:t>
      </w:r>
      <w:r w:rsidR="00B84589">
        <w:rPr>
          <w:lang w:val="pl-PL"/>
        </w:rPr>
        <w:t xml:space="preserve">domniemanego </w:t>
      </w:r>
      <w:r w:rsidR="00955E6B">
        <w:rPr>
          <w:lang w:val="pl-PL"/>
        </w:rPr>
        <w:t xml:space="preserve">dyskryminacyjnego </w:t>
      </w:r>
      <w:r>
        <w:rPr>
          <w:lang w:val="pl-PL"/>
        </w:rPr>
        <w:t>traktowania, nie było to powodem wskazanym w sprawie skarżącego, któremu w rzeczywistości odmówiono zwolnienia podatkowego</w:t>
      </w:r>
      <w:r w:rsidR="00CA7984">
        <w:rPr>
          <w:lang w:val="pl-PL"/>
        </w:rPr>
        <w:t>,</w:t>
      </w:r>
      <w:r>
        <w:rPr>
          <w:lang w:val="pl-PL"/>
        </w:rPr>
        <w:t xml:space="preserve"> ponieważ uznano, że jego poprzednie mieszkanie spełnia wymogi podstawowej infrastruktury dla potrzeb mieszkaniowych jego rodziny.  </w:t>
      </w:r>
    </w:p>
    <w:p w:rsidR="005464C5" w:rsidRPr="005464C5" w:rsidRDefault="005464C5">
      <w:pPr>
        <w:pStyle w:val="ClinContent"/>
        <w:rPr>
          <w:lang w:val="pl-PL"/>
        </w:rPr>
      </w:pPr>
      <w:r w:rsidRPr="005464C5">
        <w:rPr>
          <w:lang w:val="pl-PL"/>
        </w:rPr>
        <w:t xml:space="preserve">W świetle powyższego, pozwane Państwo nie </w:t>
      </w:r>
      <w:r>
        <w:rPr>
          <w:lang w:val="pl-PL"/>
        </w:rPr>
        <w:t>przedstawiło obiektywnego i rozsądnego uzasadnienia dla braku uwzględnienia nierówności istotnej dla sytuacji skarżącego.</w:t>
      </w:r>
    </w:p>
    <w:p w:rsidR="005464C5" w:rsidRPr="00B84589" w:rsidRDefault="005464C5">
      <w:pPr>
        <w:pStyle w:val="ClinContent"/>
        <w:rPr>
          <w:lang w:val="pl-PL"/>
        </w:rPr>
      </w:pPr>
      <w:r w:rsidRPr="00B84589">
        <w:rPr>
          <w:i/>
          <w:lang w:val="pl-PL"/>
        </w:rPr>
        <w:t>Rozstrzygnięcie</w:t>
      </w:r>
      <w:r w:rsidRPr="00B84589">
        <w:rPr>
          <w:lang w:val="pl-PL"/>
        </w:rPr>
        <w:t>: naruszenie (jednomyślnie)</w:t>
      </w:r>
    </w:p>
    <w:p w:rsidR="002D4290" w:rsidRPr="005464C5" w:rsidRDefault="007B7111">
      <w:pPr>
        <w:pStyle w:val="ClinContent"/>
        <w:rPr>
          <w:lang w:val="pl-PL"/>
        </w:rPr>
      </w:pPr>
      <w:r w:rsidRPr="005464C5">
        <w:rPr>
          <w:lang w:val="pl-PL"/>
        </w:rPr>
        <w:t>Art.</w:t>
      </w:r>
      <w:r w:rsidR="00821CDD" w:rsidRPr="005464C5">
        <w:rPr>
          <w:lang w:val="pl-PL"/>
        </w:rPr>
        <w:t xml:space="preserve"> 41: 5</w:t>
      </w:r>
      <w:r w:rsidR="005464C5" w:rsidRPr="005464C5">
        <w:rPr>
          <w:lang w:val="pl-PL"/>
        </w:rPr>
        <w:t>.</w:t>
      </w:r>
      <w:r w:rsidR="00821CDD" w:rsidRPr="005464C5">
        <w:rPr>
          <w:lang w:val="pl-PL"/>
        </w:rPr>
        <w:t xml:space="preserve">000 </w:t>
      </w:r>
      <w:r w:rsidR="005464C5" w:rsidRPr="005464C5">
        <w:rPr>
          <w:lang w:val="pl-PL"/>
        </w:rPr>
        <w:t>euro z tytułu szkody niemajątkowej</w:t>
      </w:r>
      <w:r w:rsidR="00821CDD" w:rsidRPr="005464C5">
        <w:rPr>
          <w:lang w:val="pl-PL"/>
        </w:rPr>
        <w:t xml:space="preserve">; </w:t>
      </w:r>
      <w:r w:rsidR="005464C5" w:rsidRPr="005464C5">
        <w:rPr>
          <w:lang w:val="pl-PL"/>
        </w:rPr>
        <w:t>roszczenie z tytułu szkody majątkowej oddalone</w:t>
      </w:r>
      <w:r w:rsidR="00821CDD" w:rsidRPr="005464C5">
        <w:rPr>
          <w:lang w:val="pl-PL"/>
        </w:rPr>
        <w:t>.</w:t>
      </w:r>
    </w:p>
    <w:p w:rsidR="002D4290" w:rsidRPr="005464C5" w:rsidRDefault="00821CDD">
      <w:pPr>
        <w:pStyle w:val="ClinContent"/>
        <w:rPr>
          <w:lang w:val="pl-PL"/>
        </w:rPr>
      </w:pPr>
      <w:r w:rsidRPr="005464C5">
        <w:rPr>
          <w:lang w:val="pl-PL"/>
        </w:rPr>
        <w:t>(</w:t>
      </w:r>
      <w:r w:rsidR="005464C5" w:rsidRPr="005464C5">
        <w:rPr>
          <w:lang w:val="pl-PL"/>
        </w:rPr>
        <w:t xml:space="preserve">Zobacz </w:t>
      </w:r>
      <w:proofErr w:type="spellStart"/>
      <w:r w:rsidRPr="005464C5">
        <w:rPr>
          <w:i/>
          <w:lang w:val="pl-PL"/>
        </w:rPr>
        <w:t>Thlimmenos</w:t>
      </w:r>
      <w:proofErr w:type="spellEnd"/>
      <w:r w:rsidRPr="005464C5">
        <w:rPr>
          <w:i/>
          <w:lang w:val="pl-PL"/>
        </w:rPr>
        <w:t xml:space="preserve"> </w:t>
      </w:r>
      <w:r w:rsidR="007B7111" w:rsidRPr="005464C5">
        <w:rPr>
          <w:i/>
          <w:lang w:val="pl-PL"/>
        </w:rPr>
        <w:t>p.</w:t>
      </w:r>
      <w:r w:rsidRPr="005464C5">
        <w:rPr>
          <w:i/>
          <w:lang w:val="pl-PL"/>
        </w:rPr>
        <w:t xml:space="preserve"> Gre</w:t>
      </w:r>
      <w:r w:rsidR="005464C5" w:rsidRPr="005464C5">
        <w:rPr>
          <w:i/>
          <w:lang w:val="pl-PL"/>
        </w:rPr>
        <w:t>cji</w:t>
      </w:r>
      <w:r w:rsidRPr="005464C5">
        <w:rPr>
          <w:lang w:val="pl-PL"/>
        </w:rPr>
        <w:t xml:space="preserve"> [</w:t>
      </w:r>
      <w:r w:rsidR="005464C5" w:rsidRPr="005464C5">
        <w:rPr>
          <w:lang w:val="pl-PL"/>
        </w:rPr>
        <w:t>Wielka Izba</w:t>
      </w:r>
      <w:r w:rsidRPr="005464C5">
        <w:rPr>
          <w:lang w:val="pl-PL"/>
        </w:rPr>
        <w:t xml:space="preserve">], </w:t>
      </w:r>
      <w:r w:rsidR="005464C5" w:rsidRPr="005464C5">
        <w:rPr>
          <w:lang w:val="pl-PL"/>
        </w:rPr>
        <w:t xml:space="preserve">skarga nr </w:t>
      </w:r>
      <w:r w:rsidRPr="005464C5">
        <w:rPr>
          <w:lang w:val="pl-PL"/>
        </w:rPr>
        <w:t>34369/97, 6 </w:t>
      </w:r>
      <w:r w:rsidR="005464C5" w:rsidRPr="005464C5">
        <w:rPr>
          <w:lang w:val="pl-PL"/>
        </w:rPr>
        <w:t>kwietnia</w:t>
      </w:r>
      <w:r w:rsidRPr="005464C5">
        <w:rPr>
          <w:lang w:val="pl-PL"/>
        </w:rPr>
        <w:t xml:space="preserve"> 2000</w:t>
      </w:r>
      <w:r w:rsidR="005464C5" w:rsidRPr="005464C5">
        <w:rPr>
          <w:lang w:val="pl-PL"/>
        </w:rPr>
        <w:t xml:space="preserve"> r.</w:t>
      </w:r>
      <w:r w:rsidRPr="005464C5">
        <w:rPr>
          <w:lang w:val="pl-PL"/>
        </w:rPr>
        <w:t>,</w:t>
      </w:r>
      <w:r w:rsidR="00845AE1" w:rsidRPr="00845AE1">
        <w:rPr>
          <w:lang w:val="pl-PL"/>
        </w:rPr>
        <w:t xml:space="preserve"> </w:t>
      </w:r>
      <w:hyperlink r:id="rId10" w:history="1">
        <w:r w:rsidR="00845AE1">
          <w:rPr>
            <w:rStyle w:val="Hipercze"/>
            <w:lang w:val="pl-PL"/>
          </w:rPr>
          <w:t xml:space="preserve">Nota informacyjna </w:t>
        </w:r>
        <w:r w:rsidR="00845AE1">
          <w:rPr>
            <w:rStyle w:val="Hipercze"/>
            <w:lang w:val="pl-PL"/>
          </w:rPr>
          <w:t>n</w:t>
        </w:r>
        <w:r w:rsidR="00845AE1">
          <w:rPr>
            <w:rStyle w:val="Hipercze"/>
            <w:lang w:val="pl-PL"/>
          </w:rPr>
          <w:t>r</w:t>
        </w:r>
        <w:r w:rsidR="00845AE1" w:rsidRPr="00845AE1">
          <w:rPr>
            <w:rStyle w:val="Hipercze"/>
            <w:lang w:val="pl-PL"/>
          </w:rPr>
          <w:t> 17</w:t>
        </w:r>
      </w:hyperlink>
      <w:r w:rsidRPr="005464C5">
        <w:rPr>
          <w:lang w:val="pl-PL"/>
        </w:rPr>
        <w:t xml:space="preserve">; </w:t>
      </w:r>
      <w:proofErr w:type="spellStart"/>
      <w:r w:rsidRPr="005464C5">
        <w:rPr>
          <w:i/>
          <w:lang w:val="pl-PL"/>
        </w:rPr>
        <w:t>Efe</w:t>
      </w:r>
      <w:proofErr w:type="spellEnd"/>
      <w:r w:rsidRPr="005464C5">
        <w:rPr>
          <w:i/>
          <w:lang w:val="pl-PL"/>
        </w:rPr>
        <w:t xml:space="preserve"> </w:t>
      </w:r>
      <w:r w:rsidR="007B7111" w:rsidRPr="005464C5">
        <w:rPr>
          <w:i/>
          <w:lang w:val="pl-PL"/>
        </w:rPr>
        <w:t>p.</w:t>
      </w:r>
      <w:r w:rsidRPr="005464C5">
        <w:rPr>
          <w:i/>
          <w:lang w:val="pl-PL"/>
        </w:rPr>
        <w:t> Austri</w:t>
      </w:r>
      <w:r w:rsidR="005464C5" w:rsidRPr="005464C5">
        <w:rPr>
          <w:i/>
          <w:lang w:val="pl-PL"/>
        </w:rPr>
        <w:t>i</w:t>
      </w:r>
      <w:r w:rsidRPr="005464C5">
        <w:rPr>
          <w:lang w:val="pl-PL"/>
        </w:rPr>
        <w:t xml:space="preserve">, </w:t>
      </w:r>
      <w:r w:rsidR="005464C5">
        <w:rPr>
          <w:lang w:val="pl-PL"/>
        </w:rPr>
        <w:t xml:space="preserve">skarga nr </w:t>
      </w:r>
      <w:hyperlink r:id="rId11" w:history="1">
        <w:r w:rsidRPr="005464C5">
          <w:rPr>
            <w:rStyle w:val="Hipercze"/>
            <w:lang w:val="pl-PL"/>
          </w:rPr>
          <w:t>913</w:t>
        </w:r>
        <w:r w:rsidRPr="005464C5">
          <w:rPr>
            <w:rStyle w:val="Hipercze"/>
            <w:lang w:val="pl-PL"/>
          </w:rPr>
          <w:t>4</w:t>
        </w:r>
        <w:r w:rsidRPr="005464C5">
          <w:rPr>
            <w:rStyle w:val="Hipercze"/>
            <w:lang w:val="pl-PL"/>
          </w:rPr>
          <w:t>/06</w:t>
        </w:r>
      </w:hyperlink>
      <w:r w:rsidRPr="005464C5">
        <w:rPr>
          <w:lang w:val="pl-PL"/>
        </w:rPr>
        <w:t xml:space="preserve">, 8 </w:t>
      </w:r>
      <w:r w:rsidR="005464C5">
        <w:rPr>
          <w:lang w:val="pl-PL"/>
        </w:rPr>
        <w:t xml:space="preserve">stycznia </w:t>
      </w:r>
      <w:r w:rsidRPr="005464C5">
        <w:rPr>
          <w:lang w:val="pl-PL"/>
        </w:rPr>
        <w:t>2013</w:t>
      </w:r>
      <w:r w:rsidR="005464C5">
        <w:rPr>
          <w:lang w:val="pl-PL"/>
        </w:rPr>
        <w:t xml:space="preserve"> r.</w:t>
      </w:r>
      <w:r w:rsidRPr="005464C5">
        <w:rPr>
          <w:lang w:val="pl-PL"/>
        </w:rPr>
        <w:t xml:space="preserve">; </w:t>
      </w:r>
      <w:r w:rsidR="005464C5">
        <w:rPr>
          <w:lang w:val="pl-PL"/>
        </w:rPr>
        <w:t xml:space="preserve">oraz Zestawienie tematyczne pt. </w:t>
      </w:r>
      <w:hyperlink r:id="rId12" w:history="1">
        <w:r w:rsidR="005464C5">
          <w:rPr>
            <w:rStyle w:val="Hipercze"/>
            <w:lang w:val="pl-PL"/>
          </w:rPr>
          <w:t>Osoby niepełnosp</w:t>
        </w:r>
        <w:r w:rsidR="005464C5">
          <w:rPr>
            <w:rStyle w:val="Hipercze"/>
            <w:lang w:val="pl-PL"/>
          </w:rPr>
          <w:t>r</w:t>
        </w:r>
        <w:r w:rsidR="005464C5">
          <w:rPr>
            <w:rStyle w:val="Hipercze"/>
            <w:lang w:val="pl-PL"/>
          </w:rPr>
          <w:t>awne a Konwencja</w:t>
        </w:r>
      </w:hyperlink>
      <w:r w:rsidRPr="005464C5">
        <w:rPr>
          <w:lang w:val="pl-PL"/>
        </w:rPr>
        <w:t>)</w:t>
      </w:r>
      <w:r w:rsidR="005464C5">
        <w:rPr>
          <w:lang w:val="pl-PL"/>
        </w:rPr>
        <w:t>.</w:t>
      </w:r>
    </w:p>
    <w:p w:rsidR="002D4290" w:rsidRPr="005464C5" w:rsidRDefault="002D4290">
      <w:pPr>
        <w:pBdr>
          <w:bottom w:val="single" w:sz="8" w:space="1" w:color="auto"/>
        </w:pBdr>
        <w:rPr>
          <w:lang w:val="pl-PL"/>
        </w:rPr>
      </w:pPr>
    </w:p>
    <w:p w:rsidR="00AB4CD0" w:rsidRPr="0074070E" w:rsidRDefault="00AB4CD0" w:rsidP="00AB4CD0">
      <w:pPr>
        <w:pStyle w:val="ClinFooter"/>
        <w:rPr>
          <w:lang w:val="pl-PL"/>
        </w:rPr>
      </w:pPr>
      <w:r w:rsidRPr="0074070E">
        <w:rPr>
          <w:lang w:val="pl-PL"/>
        </w:rPr>
        <w:t>© Council of Europe/European Court of Human Rights</w:t>
      </w:r>
      <w:r w:rsidRPr="0074070E">
        <w:rPr>
          <w:lang w:val="pl-PL"/>
        </w:rPr>
        <w:br/>
        <w:t xml:space="preserve">Niniejsze streszczenie przygotowane przez Kancelarię nie wiąże Trybunału.  </w:t>
      </w:r>
    </w:p>
    <w:p w:rsidR="00AB4CD0" w:rsidRPr="001D0852" w:rsidRDefault="00AB4CD0" w:rsidP="00AB4CD0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13" w:history="1">
        <w:r w:rsidRPr="001D0852">
          <w:rPr>
            <w:rStyle w:val="Hipercze"/>
            <w:lang w:val="pl-PL"/>
          </w:rPr>
          <w:t>Not informa</w:t>
        </w:r>
        <w:r w:rsidRPr="001D0852">
          <w:rPr>
            <w:rStyle w:val="Hipercze"/>
            <w:lang w:val="pl-PL"/>
          </w:rPr>
          <w:t>c</w:t>
        </w:r>
        <w:r w:rsidRPr="001D0852">
          <w:rPr>
            <w:rStyle w:val="Hipercze"/>
            <w:lang w:val="pl-PL"/>
          </w:rPr>
          <w:t>yjnych nt. orzecznictwa</w:t>
        </w:r>
      </w:hyperlink>
      <w:bookmarkStart w:id="0" w:name="_GoBack"/>
      <w:bookmarkEnd w:id="0"/>
    </w:p>
    <w:sectPr w:rsidR="00AB4CD0" w:rsidRPr="001D0852" w:rsidSect="004A5B5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08F" w:rsidRDefault="0082608F" w:rsidP="00C63262">
      <w:r>
        <w:separator/>
      </w:r>
    </w:p>
  </w:endnote>
  <w:endnote w:type="continuationSeparator" w:id="0">
    <w:p w:rsidR="0082608F" w:rsidRDefault="0082608F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740" w:rsidRDefault="00C6474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740" w:rsidRDefault="00C6474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D6B0B55" wp14:editId="1E9E99EB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08F" w:rsidRDefault="0082608F" w:rsidP="00C63262">
      <w:r>
        <w:separator/>
      </w:r>
    </w:p>
  </w:footnote>
  <w:footnote w:type="continuationSeparator" w:id="0">
    <w:p w:rsidR="0082608F" w:rsidRDefault="0082608F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740" w:rsidRDefault="00C647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032713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27A539C1" wp14:editId="08A56D9E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1621A"/>
    <w:rsid w:val="00031E4F"/>
    <w:rsid w:val="00032713"/>
    <w:rsid w:val="00037CCC"/>
    <w:rsid w:val="000500C3"/>
    <w:rsid w:val="00097888"/>
    <w:rsid w:val="000F13B5"/>
    <w:rsid w:val="00107377"/>
    <w:rsid w:val="0011365D"/>
    <w:rsid w:val="00126AEF"/>
    <w:rsid w:val="001417D0"/>
    <w:rsid w:val="001420F8"/>
    <w:rsid w:val="00143602"/>
    <w:rsid w:val="001769E4"/>
    <w:rsid w:val="00186560"/>
    <w:rsid w:val="00212E83"/>
    <w:rsid w:val="002141F8"/>
    <w:rsid w:val="002966E7"/>
    <w:rsid w:val="002D4290"/>
    <w:rsid w:val="002E088D"/>
    <w:rsid w:val="0030264F"/>
    <w:rsid w:val="00330628"/>
    <w:rsid w:val="003450B3"/>
    <w:rsid w:val="00386958"/>
    <w:rsid w:val="003A186A"/>
    <w:rsid w:val="003A64A6"/>
    <w:rsid w:val="003D7BB3"/>
    <w:rsid w:val="0046453F"/>
    <w:rsid w:val="00490EA5"/>
    <w:rsid w:val="004A5B52"/>
    <w:rsid w:val="004C59D8"/>
    <w:rsid w:val="004D568D"/>
    <w:rsid w:val="004D5A84"/>
    <w:rsid w:val="004E1037"/>
    <w:rsid w:val="0052092D"/>
    <w:rsid w:val="00540D75"/>
    <w:rsid w:val="005464C5"/>
    <w:rsid w:val="005514E5"/>
    <w:rsid w:val="00590A02"/>
    <w:rsid w:val="006028A1"/>
    <w:rsid w:val="00631A28"/>
    <w:rsid w:val="006A36AD"/>
    <w:rsid w:val="006C1D96"/>
    <w:rsid w:val="0071773F"/>
    <w:rsid w:val="00774515"/>
    <w:rsid w:val="007B7111"/>
    <w:rsid w:val="007F64EC"/>
    <w:rsid w:val="00821CDD"/>
    <w:rsid w:val="0082608F"/>
    <w:rsid w:val="00845AE1"/>
    <w:rsid w:val="00895EF3"/>
    <w:rsid w:val="008C64D5"/>
    <w:rsid w:val="008D6882"/>
    <w:rsid w:val="00903D38"/>
    <w:rsid w:val="00955E6B"/>
    <w:rsid w:val="009A68DF"/>
    <w:rsid w:val="009B3B2C"/>
    <w:rsid w:val="009E3EF0"/>
    <w:rsid w:val="00A01052"/>
    <w:rsid w:val="00A04D9C"/>
    <w:rsid w:val="00A258BB"/>
    <w:rsid w:val="00A33541"/>
    <w:rsid w:val="00A45616"/>
    <w:rsid w:val="00AB4CD0"/>
    <w:rsid w:val="00AC7726"/>
    <w:rsid w:val="00B80CA0"/>
    <w:rsid w:val="00B811A7"/>
    <w:rsid w:val="00B84589"/>
    <w:rsid w:val="00B85770"/>
    <w:rsid w:val="00BF1CD9"/>
    <w:rsid w:val="00C21946"/>
    <w:rsid w:val="00C37433"/>
    <w:rsid w:val="00C575DD"/>
    <w:rsid w:val="00C63262"/>
    <w:rsid w:val="00C64740"/>
    <w:rsid w:val="00C72355"/>
    <w:rsid w:val="00C93CFB"/>
    <w:rsid w:val="00CA7984"/>
    <w:rsid w:val="00CF04B2"/>
    <w:rsid w:val="00CF4C29"/>
    <w:rsid w:val="00CF7BA6"/>
    <w:rsid w:val="00D22062"/>
    <w:rsid w:val="00D42086"/>
    <w:rsid w:val="00D425B3"/>
    <w:rsid w:val="00DC5C4D"/>
    <w:rsid w:val="00E11D38"/>
    <w:rsid w:val="00E37526"/>
    <w:rsid w:val="00E55491"/>
    <w:rsid w:val="00E83DB6"/>
    <w:rsid w:val="00EA53E7"/>
    <w:rsid w:val="00EB5201"/>
    <w:rsid w:val="00F508C9"/>
    <w:rsid w:val="00F50CCD"/>
    <w:rsid w:val="00F5247C"/>
    <w:rsid w:val="00F77631"/>
    <w:rsid w:val="00FA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746c8714">
    <w:name w:val="s746c8714"/>
    <w:basedOn w:val="Normalny"/>
    <w:rsid w:val="00EB5201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EB5201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EB5201"/>
  </w:style>
  <w:style w:type="character" w:customStyle="1" w:styleId="object">
    <w:name w:val="object"/>
    <w:basedOn w:val="Domylnaczcionkaakapitu"/>
    <w:rsid w:val="00EB5201"/>
  </w:style>
  <w:style w:type="character" w:styleId="UyteHipercze">
    <w:name w:val="FollowedHyperlink"/>
    <w:basedOn w:val="Domylnaczcionkaakapitu"/>
    <w:semiHidden/>
    <w:unhideWhenUsed/>
    <w:rsid w:val="00032713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746c8714">
    <w:name w:val="s746c8714"/>
    <w:basedOn w:val="Normalny"/>
    <w:rsid w:val="00EB5201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EB5201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EB5201"/>
  </w:style>
  <w:style w:type="character" w:customStyle="1" w:styleId="object">
    <w:name w:val="object"/>
    <w:basedOn w:val="Domylnaczcionkaakapitu"/>
    <w:rsid w:val="00EB5201"/>
  </w:style>
  <w:style w:type="character" w:styleId="UyteHipercze">
    <w:name w:val="FollowedHyperlink"/>
    <w:basedOn w:val="Domylnaczcionkaakapitu"/>
    <w:semiHidden/>
    <w:unhideWhenUsed/>
    <w:rsid w:val="00032713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z.gov.pl" TargetMode="External"/><Relationship Id="rId13" Type="http://schemas.openxmlformats.org/officeDocument/2006/relationships/hyperlink" Target="http://www.echr.coe.int/NoteInformation/en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mfa.gov.pl/en" TargetMode="External"/><Relationship Id="rId12" Type="http://schemas.openxmlformats.org/officeDocument/2006/relationships/hyperlink" Target="http://www.echr.coe.int/Documents/FS_Disabled_ENG.pdf" TargetMode="External"/><Relationship Id="rId17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hudoc.echr.coe.int/eng?i=001-115849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hudoc.echr.coe.int/eng?i=002-6928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un.org/disabilities/convention/conventionfull.shtml" TargetMode="Externa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847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2017-04-05T12:47:00Z</dcterms:created>
  <dcterms:modified xsi:type="dcterms:W3CDTF">2017-04-21T09:18:00Z</dcterms:modified>
</cp:coreProperties>
</file>