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7ED" w:rsidRDefault="005837ED" w:rsidP="005837ED">
      <w:pPr>
        <w:pStyle w:val="s746c8714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s4f807e54"/>
          <w:rFonts w:ascii="Arial" w:hAnsi="Arial" w:cs="Arial"/>
          <w:sz w:val="20"/>
          <w:szCs w:val="20"/>
        </w:rPr>
        <w:t xml:space="preserve">©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www.mfa</w:t>
        </w:r>
        <w:r>
          <w:rPr>
            <w:rStyle w:val="Hipercze"/>
            <w:rFonts w:ascii="Arial" w:hAnsi="Arial" w:cs="Arial"/>
            <w:sz w:val="20"/>
            <w:szCs w:val="20"/>
          </w:rPr>
          <w:t>.gov.pl</w:t>
        </w:r>
        <w:r>
          <w:rPr>
            <w:rStyle w:val="Hipercze"/>
            <w:rFonts w:ascii="Arial" w:eastAsia="MS Mincho" w:hAnsi="Arial" w:cs="Arial"/>
            <w:sz w:val="20"/>
            <w:szCs w:val="20"/>
          </w:rPr>
          <w:t>/en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37ED" w:rsidRDefault="005837ED" w:rsidP="005837ED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Style w:val="s4f807e54"/>
          <w:rFonts w:ascii="Arial" w:hAnsi="Arial" w:cs="Arial"/>
          <w:sz w:val="20"/>
          <w:szCs w:val="20"/>
          <w:lang w:val="en-US"/>
        </w:rPr>
        <w:t xml:space="preserve">Permission to re-publish this translation has been granted by the Polish </w:t>
      </w:r>
      <w:r>
        <w:rPr>
          <w:rStyle w:val="s4f807e54"/>
          <w:rFonts w:ascii="Arial" w:eastAsia="MS Mincho" w:hAnsi="Arial" w:cs="Arial"/>
          <w:sz w:val="20"/>
          <w:szCs w:val="20"/>
          <w:lang w:val="en-US"/>
        </w:rPr>
        <w:t xml:space="preserve">Ministry of Foreign Affairs </w:t>
      </w:r>
      <w:r>
        <w:rPr>
          <w:rStyle w:val="s4f807e54"/>
          <w:rFonts w:ascii="Arial" w:hAnsi="Arial" w:cs="Arial"/>
          <w:sz w:val="20"/>
          <w:szCs w:val="20"/>
          <w:lang w:val="en-US"/>
        </w:rPr>
        <w:t>for the sole purpose of its inclusion in the Court’s database HUDOC</w:t>
      </w:r>
    </w:p>
    <w:p w:rsidR="005837ED" w:rsidRDefault="005837ED" w:rsidP="005837ED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5837ED" w:rsidRDefault="005837ED" w:rsidP="005837ED">
      <w:pPr>
        <w:pStyle w:val="s6e50bd9a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Zezwolenie na publikację tego tłumaczenia zostało udzielone przez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wyłącznie w celu zamieszczenia w bazie Trybunału HUDOC</w:t>
      </w:r>
    </w:p>
    <w:p w:rsidR="005837ED" w:rsidRDefault="005837ED" w:rsidP="00790C00">
      <w:pPr>
        <w:pStyle w:val="ClinEditionNumber"/>
        <w:jc w:val="center"/>
        <w:rPr>
          <w:lang w:val="pl-PL"/>
        </w:rPr>
      </w:pPr>
    </w:p>
    <w:p w:rsidR="00790C00" w:rsidRDefault="00790C00" w:rsidP="00790C0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DD2CE0" w:rsidRPr="00790C00" w:rsidRDefault="00790C00" w:rsidP="00790C00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>rzecznictwa Trybunału nr</w:t>
      </w:r>
      <w:r w:rsidR="0015751E" w:rsidRPr="00790C00">
        <w:rPr>
          <w:lang w:val="pl-PL"/>
        </w:rPr>
        <w:t xml:space="preserve"> 193</w:t>
      </w:r>
    </w:p>
    <w:p w:rsidR="00DD2CE0" w:rsidRPr="00EC7D9D" w:rsidRDefault="00765809">
      <w:pPr>
        <w:pStyle w:val="ClinEditionMonth"/>
        <w:rPr>
          <w:lang w:val="pl-PL"/>
        </w:rPr>
      </w:pPr>
      <w:r w:rsidRPr="00EC7D9D">
        <w:rPr>
          <w:lang w:val="pl-PL"/>
        </w:rPr>
        <w:t xml:space="preserve">Luty </w:t>
      </w:r>
      <w:r w:rsidR="0015751E" w:rsidRPr="00EC7D9D">
        <w:rPr>
          <w:lang w:val="pl-PL"/>
        </w:rPr>
        <w:t>2016</w:t>
      </w:r>
      <w:r w:rsidRPr="00EC7D9D">
        <w:rPr>
          <w:lang w:val="pl-PL"/>
        </w:rPr>
        <w:t xml:space="preserve"> r.</w:t>
      </w:r>
    </w:p>
    <w:p w:rsidR="00DD2CE0" w:rsidRPr="00765809" w:rsidRDefault="0015751E">
      <w:pPr>
        <w:rPr>
          <w:lang w:val="pl-PL"/>
        </w:rPr>
      </w:pPr>
      <w:r w:rsidRPr="00765809">
        <w:rPr>
          <w:rStyle w:val="ClinCaseTitle"/>
          <w:lang w:val="pl-PL"/>
        </w:rPr>
        <w:t xml:space="preserve">Di </w:t>
      </w:r>
      <w:proofErr w:type="spellStart"/>
      <w:r w:rsidRPr="00765809">
        <w:rPr>
          <w:rStyle w:val="ClinCaseTitle"/>
          <w:lang w:val="pl-PL"/>
        </w:rPr>
        <w:t>Trizio</w:t>
      </w:r>
      <w:proofErr w:type="spellEnd"/>
      <w:r w:rsidRPr="00765809">
        <w:rPr>
          <w:rStyle w:val="ClinCaseTitle"/>
          <w:lang w:val="pl-PL"/>
        </w:rPr>
        <w:t xml:space="preserve"> </w:t>
      </w:r>
      <w:r w:rsidR="00765809" w:rsidRPr="00765809">
        <w:rPr>
          <w:rStyle w:val="ClinCaseTitle"/>
          <w:lang w:val="pl-PL"/>
        </w:rPr>
        <w:t>p</w:t>
      </w:r>
      <w:r w:rsidRPr="00765809">
        <w:rPr>
          <w:rStyle w:val="ClinCaseTitle"/>
          <w:lang w:val="pl-PL"/>
        </w:rPr>
        <w:t xml:space="preserve">. </w:t>
      </w:r>
      <w:r w:rsidR="00765809" w:rsidRPr="00765809">
        <w:rPr>
          <w:rStyle w:val="ClinCaseTitle"/>
          <w:lang w:val="pl-PL"/>
        </w:rPr>
        <w:t xml:space="preserve">Szwajcarii, </w:t>
      </w:r>
      <w:r w:rsidR="00765809" w:rsidRPr="00765809">
        <w:rPr>
          <w:rStyle w:val="ClinCaseTitle"/>
          <w:i w:val="0"/>
          <w:lang w:val="pl-PL"/>
        </w:rPr>
        <w:t>skarga nr</w:t>
      </w:r>
      <w:r w:rsidRPr="00765809">
        <w:rPr>
          <w:rStyle w:val="ClinApplicationNumber"/>
          <w:lang w:val="pl-PL"/>
        </w:rPr>
        <w:t xml:space="preserve"> 7186/09</w:t>
      </w:r>
    </w:p>
    <w:p w:rsidR="00DD2CE0" w:rsidRPr="00765809" w:rsidRDefault="00765809">
      <w:pPr>
        <w:rPr>
          <w:lang w:val="pl-PL"/>
        </w:rPr>
      </w:pPr>
      <w:r w:rsidRPr="00765809">
        <w:rPr>
          <w:rStyle w:val="ClinHudocDocumentTitle"/>
          <w:lang w:val="pl-PL"/>
        </w:rPr>
        <w:t xml:space="preserve">Wyrok z </w:t>
      </w:r>
      <w:r w:rsidR="0015751E" w:rsidRPr="00765809">
        <w:rPr>
          <w:rStyle w:val="ClinHudocDocumentTitle"/>
          <w:lang w:val="pl-PL"/>
        </w:rPr>
        <w:t>2.</w:t>
      </w:r>
      <w:r w:rsidR="00734BBE">
        <w:rPr>
          <w:rStyle w:val="ClinHudocDocumentTitle"/>
          <w:lang w:val="pl-PL"/>
        </w:rPr>
        <w:t>0</w:t>
      </w:r>
      <w:r w:rsidR="0015751E" w:rsidRPr="00765809">
        <w:rPr>
          <w:rStyle w:val="ClinHudocDocumentTitle"/>
          <w:lang w:val="pl-PL"/>
        </w:rPr>
        <w:t>2.2016</w:t>
      </w:r>
      <w:r w:rsidRPr="00765809">
        <w:rPr>
          <w:rStyle w:val="ClinHudocDocumentTitle"/>
          <w:lang w:val="pl-PL"/>
        </w:rPr>
        <w:t xml:space="preserve"> r.</w:t>
      </w:r>
      <w:r w:rsidR="0015751E" w:rsidRPr="00765809">
        <w:rPr>
          <w:rStyle w:val="ClinSectionName"/>
          <w:lang w:val="pl-PL"/>
        </w:rPr>
        <w:t xml:space="preserve"> [Se</w:t>
      </w:r>
      <w:r>
        <w:rPr>
          <w:rStyle w:val="ClinSectionName"/>
          <w:lang w:val="pl-PL"/>
        </w:rPr>
        <w:t>kcja II</w:t>
      </w:r>
      <w:r w:rsidR="0015751E" w:rsidRPr="00765809">
        <w:rPr>
          <w:rStyle w:val="ClinSectionName"/>
          <w:lang w:val="pl-PL"/>
        </w:rPr>
        <w:t>]</w:t>
      </w:r>
    </w:p>
    <w:p w:rsidR="00DD2CE0" w:rsidRPr="00CC11E2" w:rsidRDefault="0015751E">
      <w:pPr>
        <w:pStyle w:val="ClinMainKeywordCode"/>
        <w:rPr>
          <w:lang w:val="pl-PL"/>
        </w:rPr>
      </w:pPr>
      <w:r w:rsidRPr="00CC11E2">
        <w:rPr>
          <w:lang w:val="pl-PL"/>
        </w:rPr>
        <w:t>Art</w:t>
      </w:r>
      <w:r w:rsidR="00765809" w:rsidRPr="00CC11E2">
        <w:rPr>
          <w:lang w:val="pl-PL"/>
        </w:rPr>
        <w:t>.</w:t>
      </w:r>
      <w:r w:rsidRPr="00CC11E2">
        <w:rPr>
          <w:lang w:val="pl-PL"/>
        </w:rPr>
        <w:t xml:space="preserve"> 14</w:t>
      </w:r>
    </w:p>
    <w:p w:rsidR="00DD2CE0" w:rsidRPr="00CC11E2" w:rsidRDefault="00765809">
      <w:pPr>
        <w:pStyle w:val="ClinKeyword"/>
        <w:rPr>
          <w:lang w:val="pl-PL"/>
        </w:rPr>
      </w:pPr>
      <w:r w:rsidRPr="00CC11E2">
        <w:rPr>
          <w:lang w:val="pl-PL"/>
        </w:rPr>
        <w:t>Dyskryminacja</w:t>
      </w:r>
    </w:p>
    <w:p w:rsidR="00765809" w:rsidRPr="00765809" w:rsidRDefault="00765809" w:rsidP="008B5687">
      <w:pPr>
        <w:jc w:val="both"/>
        <w:rPr>
          <w:lang w:val="pl-PL"/>
        </w:rPr>
      </w:pPr>
      <w:r>
        <w:rPr>
          <w:lang w:val="pl-PL"/>
        </w:rPr>
        <w:t>Metoda</w:t>
      </w:r>
      <w:r w:rsidRPr="00765809">
        <w:rPr>
          <w:lang w:val="pl-PL"/>
        </w:rPr>
        <w:t xml:space="preserve"> wyliczania świadczeń z ty</w:t>
      </w:r>
      <w:r>
        <w:rPr>
          <w:lang w:val="pl-PL"/>
        </w:rPr>
        <w:t>tułu niepełnosprawności mająca</w:t>
      </w:r>
      <w:r w:rsidRPr="00765809">
        <w:rPr>
          <w:lang w:val="pl-PL"/>
        </w:rPr>
        <w:t xml:space="preserve"> w praktyce charakter dyskryminujący wobec kobiet</w:t>
      </w:r>
      <w:r>
        <w:rPr>
          <w:lang w:val="pl-PL"/>
        </w:rPr>
        <w:t xml:space="preserve">: </w:t>
      </w:r>
      <w:r>
        <w:rPr>
          <w:i/>
          <w:lang w:val="pl-PL"/>
        </w:rPr>
        <w:t>naruszenie</w:t>
      </w:r>
      <w:r w:rsidRPr="00765809">
        <w:rPr>
          <w:lang w:val="pl-PL"/>
        </w:rPr>
        <w:t xml:space="preserve">  </w:t>
      </w:r>
    </w:p>
    <w:p w:rsidR="00DD2CE0" w:rsidRPr="00EC7D9D" w:rsidRDefault="0015751E">
      <w:pPr>
        <w:pStyle w:val="ClinMainKeywordCode"/>
        <w:rPr>
          <w:lang w:val="pl-PL"/>
        </w:rPr>
      </w:pPr>
      <w:r w:rsidRPr="00EC7D9D">
        <w:rPr>
          <w:lang w:val="pl-PL"/>
        </w:rPr>
        <w:t>Art</w:t>
      </w:r>
      <w:r w:rsidR="00765809" w:rsidRPr="00EC7D9D">
        <w:rPr>
          <w:lang w:val="pl-PL"/>
        </w:rPr>
        <w:t>.</w:t>
      </w:r>
      <w:r w:rsidRPr="00EC7D9D">
        <w:rPr>
          <w:lang w:val="pl-PL"/>
        </w:rPr>
        <w:t xml:space="preserve"> 8</w:t>
      </w:r>
    </w:p>
    <w:p w:rsidR="00DD2CE0" w:rsidRPr="00765809" w:rsidRDefault="0015751E">
      <w:pPr>
        <w:pStyle w:val="ClinChildKeywordCode"/>
        <w:rPr>
          <w:lang w:val="pl-PL"/>
        </w:rPr>
      </w:pPr>
      <w:r w:rsidRPr="00765809">
        <w:rPr>
          <w:lang w:val="pl-PL"/>
        </w:rPr>
        <w:t>Art</w:t>
      </w:r>
      <w:r w:rsidR="00765809" w:rsidRPr="00765809">
        <w:rPr>
          <w:lang w:val="pl-PL"/>
        </w:rPr>
        <w:t xml:space="preserve">. 8 ust. 1  </w:t>
      </w:r>
    </w:p>
    <w:p w:rsidR="00DD2CE0" w:rsidRPr="00765809" w:rsidRDefault="00765809">
      <w:pPr>
        <w:pStyle w:val="ClinKeyword"/>
        <w:rPr>
          <w:lang w:val="pl-PL"/>
        </w:rPr>
      </w:pPr>
      <w:r w:rsidRPr="00765809">
        <w:rPr>
          <w:lang w:val="pl-PL"/>
        </w:rPr>
        <w:t xml:space="preserve">Poszanowanie życia rodzinnego </w:t>
      </w:r>
    </w:p>
    <w:p w:rsidR="00DD2CE0" w:rsidRPr="00291332" w:rsidRDefault="00765809">
      <w:pPr>
        <w:pStyle w:val="ClinKeyword"/>
        <w:rPr>
          <w:lang w:val="pl-PL"/>
        </w:rPr>
      </w:pPr>
      <w:r w:rsidRPr="00291332">
        <w:rPr>
          <w:lang w:val="pl-PL"/>
        </w:rPr>
        <w:t xml:space="preserve">Poszanowanie życia prywatnego </w:t>
      </w:r>
    </w:p>
    <w:p w:rsidR="00765809" w:rsidRPr="00765809" w:rsidRDefault="00300CA9" w:rsidP="008B5687">
      <w:pPr>
        <w:jc w:val="both"/>
        <w:rPr>
          <w:lang w:val="pl-PL"/>
        </w:rPr>
      </w:pPr>
      <w:r w:rsidRPr="00300CA9">
        <w:rPr>
          <w:i/>
          <w:lang w:val="pl-PL"/>
        </w:rPr>
        <w:t xml:space="preserve">De </w:t>
      </w:r>
      <w:r w:rsidR="00765809" w:rsidRPr="00300CA9">
        <w:rPr>
          <w:i/>
          <w:lang w:val="pl-PL"/>
        </w:rPr>
        <w:t>facto</w:t>
      </w:r>
      <w:r>
        <w:rPr>
          <w:lang w:val="pl-PL"/>
        </w:rPr>
        <w:t xml:space="preserve"> dyskryminacja kobiet wynikająca z</w:t>
      </w:r>
      <w:r w:rsidR="00765809" w:rsidRPr="00765809">
        <w:rPr>
          <w:lang w:val="pl-PL"/>
        </w:rPr>
        <w:t xml:space="preserve"> metody wyliczania świadczeń z tytułu niepełnosprawności</w:t>
      </w:r>
      <w:r>
        <w:rPr>
          <w:lang w:val="pl-PL"/>
        </w:rPr>
        <w:t xml:space="preserve">: </w:t>
      </w:r>
      <w:r w:rsidRPr="00300CA9">
        <w:rPr>
          <w:i/>
          <w:lang w:val="pl-PL"/>
        </w:rPr>
        <w:t>art. 8 ma zastosowanie</w:t>
      </w:r>
      <w:r>
        <w:rPr>
          <w:lang w:val="pl-PL"/>
        </w:rPr>
        <w:t xml:space="preserve"> </w:t>
      </w:r>
    </w:p>
    <w:p w:rsidR="00300CA9" w:rsidRPr="00300CA9" w:rsidRDefault="00300CA9">
      <w:pPr>
        <w:pStyle w:val="ClinContent"/>
        <w:rPr>
          <w:lang w:val="pl-PL"/>
        </w:rPr>
      </w:pPr>
      <w:r w:rsidRPr="00300CA9">
        <w:rPr>
          <w:i/>
          <w:lang w:val="pl-PL"/>
        </w:rPr>
        <w:t>Fakty</w:t>
      </w:r>
      <w:r w:rsidRPr="00300CA9">
        <w:rPr>
          <w:lang w:val="pl-PL"/>
        </w:rPr>
        <w:t xml:space="preserve"> – Skarżąca pracowała </w:t>
      </w:r>
      <w:r w:rsidR="00CC11E2">
        <w:rPr>
          <w:lang w:val="pl-PL"/>
        </w:rPr>
        <w:t>na pełny etat</w:t>
      </w:r>
      <w:r w:rsidRPr="00300CA9">
        <w:rPr>
          <w:lang w:val="pl-PL"/>
        </w:rPr>
        <w:t xml:space="preserve">. </w:t>
      </w:r>
      <w:r>
        <w:rPr>
          <w:lang w:val="pl-PL"/>
        </w:rPr>
        <w:t>W 2002 r. została zmuszona przerwać pracę z uwagi na problemy z</w:t>
      </w:r>
      <w:r w:rsidR="002803CB">
        <w:rPr>
          <w:lang w:val="pl-PL"/>
        </w:rPr>
        <w:t xml:space="preserve"> kręgosłupem</w:t>
      </w:r>
      <w:r>
        <w:rPr>
          <w:lang w:val="pl-PL"/>
        </w:rPr>
        <w:t xml:space="preserve">. W październiku 2003 r. wystąpiła o świadczenie z tytułu niepełnosprawności z uwagi na bóle w dolnym odcinku pleców i kręgosłupa. </w:t>
      </w:r>
      <w:r w:rsidRPr="00300CA9">
        <w:rPr>
          <w:lang w:val="pl-PL"/>
        </w:rPr>
        <w:t xml:space="preserve">W lutym 2004 r. urodziła bliźnięta </w:t>
      </w:r>
      <w:r>
        <w:rPr>
          <w:lang w:val="pl-PL"/>
        </w:rPr>
        <w:t>–</w:t>
      </w:r>
      <w:r w:rsidR="00CC11E2">
        <w:rPr>
          <w:lang w:val="pl-PL"/>
        </w:rPr>
        <w:t xml:space="preserve"> </w:t>
      </w:r>
      <w:r w:rsidRPr="00300CA9">
        <w:rPr>
          <w:lang w:val="pl-PL"/>
        </w:rPr>
        <w:t>w</w:t>
      </w:r>
      <w:r>
        <w:rPr>
          <w:lang w:val="pl-PL"/>
        </w:rPr>
        <w:t xml:space="preserve"> </w:t>
      </w:r>
      <w:r w:rsidRPr="00300CA9">
        <w:rPr>
          <w:lang w:val="pl-PL"/>
        </w:rPr>
        <w:t>trakcie ciąży bóle pleców pogorszyły się.</w:t>
      </w:r>
      <w:r>
        <w:rPr>
          <w:lang w:val="pl-PL"/>
        </w:rPr>
        <w:t xml:space="preserve"> W 2005 r. podczas kontroli </w:t>
      </w:r>
      <w:r w:rsidR="00CC11E2">
        <w:rPr>
          <w:lang w:val="pl-PL"/>
        </w:rPr>
        <w:t>gospodarstwa domowego</w:t>
      </w:r>
      <w:r>
        <w:rPr>
          <w:lang w:val="pl-PL"/>
        </w:rPr>
        <w:t xml:space="preserve"> przeprowadzonej w jej domu, skarżąca oświadczyła w szczególności, że będzie musiała pracować na pół etatu, ponieważ dochód jej męża </w:t>
      </w:r>
      <w:r w:rsidR="00CC11E2">
        <w:rPr>
          <w:lang w:val="pl-PL"/>
        </w:rPr>
        <w:t xml:space="preserve">jest </w:t>
      </w:r>
      <w:r>
        <w:rPr>
          <w:lang w:val="pl-PL"/>
        </w:rPr>
        <w:t>niewystarczający. Przyznano jej świadczenie z tytułu niepełnosprawności za okres od 2002 r. do maja 2004 r. Jednakże, począwszy od maja 2004 r., zastosowano „łączoną” metodę</w:t>
      </w:r>
      <w:r w:rsidR="009665DA">
        <w:rPr>
          <w:lang w:val="pl-PL"/>
        </w:rPr>
        <w:t xml:space="preserve"> na tej podstawie, że nawet przy braku niepełnosprawności skarżąca nie pracowałaby na pełny etat po urodzeniu dzieci. Decyzja o zastosowaniu tej metody opierała się, między innymi, na oświadczeniach skarżącej, iż czuje się w stanie pracować jedynie na pół etatu, a pozostały czas chciałaby poświęcić gospodarstwu domowemu </w:t>
      </w:r>
      <w:r w:rsidR="00CC11E2">
        <w:rPr>
          <w:lang w:val="pl-PL"/>
        </w:rPr>
        <w:t>i</w:t>
      </w:r>
      <w:r w:rsidR="009665DA">
        <w:rPr>
          <w:lang w:val="pl-PL"/>
        </w:rPr>
        <w:t xml:space="preserve"> </w:t>
      </w:r>
      <w:r w:rsidR="009665DA">
        <w:rPr>
          <w:lang w:val="pl-PL"/>
        </w:rPr>
        <w:lastRenderedPageBreak/>
        <w:t>dzieciom. W rezultacie zasto</w:t>
      </w:r>
      <w:r w:rsidR="00934BF4">
        <w:rPr>
          <w:lang w:val="pl-PL"/>
        </w:rPr>
        <w:t>sowania tego sposobu wyliczenia</w:t>
      </w:r>
      <w:r w:rsidR="009665DA">
        <w:rPr>
          <w:lang w:val="pl-PL"/>
        </w:rPr>
        <w:t xml:space="preserve"> skarżąca nie otrzymała żadnego świadczenia z tytułu niepełnosprawności.  </w:t>
      </w:r>
    </w:p>
    <w:p w:rsidR="00EC7D9D" w:rsidRPr="00EC7D9D" w:rsidRDefault="00EC7D9D">
      <w:pPr>
        <w:pStyle w:val="ClinContent"/>
        <w:rPr>
          <w:lang w:val="pl-PL"/>
        </w:rPr>
      </w:pPr>
      <w:r w:rsidRPr="00EC7D9D">
        <w:rPr>
          <w:lang w:val="pl-PL"/>
        </w:rPr>
        <w:t>W postępowaniu przed Trybunałem skarżąca skarżyła się, że za</w:t>
      </w:r>
      <w:r>
        <w:rPr>
          <w:lang w:val="pl-PL"/>
        </w:rPr>
        <w:t>s</w:t>
      </w:r>
      <w:r w:rsidRPr="00EC7D9D">
        <w:rPr>
          <w:lang w:val="pl-PL"/>
        </w:rPr>
        <w:t xml:space="preserve">tosowanie łączonej metody było dyskryminujące wobec osób </w:t>
      </w:r>
      <w:r>
        <w:rPr>
          <w:lang w:val="pl-PL"/>
        </w:rPr>
        <w:t xml:space="preserve">tym objętych w porównaniu do osób, które nie miały płatnego zatrudnienia, i do osób, które nie miały gospodarstwa domowego </w:t>
      </w:r>
      <w:r w:rsidR="00CC11E2">
        <w:rPr>
          <w:lang w:val="pl-PL"/>
        </w:rPr>
        <w:t>i</w:t>
      </w:r>
      <w:r>
        <w:rPr>
          <w:lang w:val="pl-PL"/>
        </w:rPr>
        <w:t xml:space="preserve"> dzieci wymagających opieki, a zatem mogły pracować w pełnym wymiarze, ponieważ łączona metoda nie znajdowała zastosowania w żadnym z tych przypadków. </w:t>
      </w:r>
    </w:p>
    <w:p w:rsidR="001907A9" w:rsidRPr="001907A9" w:rsidRDefault="001907A9">
      <w:pPr>
        <w:pStyle w:val="ClinContent"/>
        <w:rPr>
          <w:lang w:val="pl-PL"/>
        </w:rPr>
      </w:pPr>
      <w:r w:rsidRPr="001907A9">
        <w:rPr>
          <w:i/>
          <w:lang w:val="pl-PL"/>
        </w:rPr>
        <w:t>Prawo</w:t>
      </w:r>
      <w:r w:rsidRPr="001907A9">
        <w:rPr>
          <w:lang w:val="pl-PL"/>
        </w:rPr>
        <w:t xml:space="preserve"> – Art. 14 w związku z art. </w:t>
      </w:r>
      <w:r>
        <w:rPr>
          <w:lang w:val="pl-PL"/>
        </w:rPr>
        <w:t>8</w:t>
      </w:r>
    </w:p>
    <w:p w:rsidR="001907A9" w:rsidRPr="001907A9" w:rsidRDefault="001907A9">
      <w:pPr>
        <w:pStyle w:val="ClinContent"/>
        <w:rPr>
          <w:lang w:val="pl-PL"/>
        </w:rPr>
      </w:pPr>
      <w:r w:rsidRPr="001907A9">
        <w:rPr>
          <w:lang w:val="pl-PL"/>
        </w:rPr>
        <w:t xml:space="preserve">(a) </w:t>
      </w:r>
      <w:r w:rsidRPr="001907A9">
        <w:rPr>
          <w:i/>
          <w:lang w:val="pl-PL"/>
        </w:rPr>
        <w:t xml:space="preserve">Zastosowalność – </w:t>
      </w:r>
      <w:r w:rsidRPr="001907A9">
        <w:rPr>
          <w:lang w:val="pl-PL"/>
        </w:rPr>
        <w:t>Środki umożliwiające jednemu z rodziców pozostanie w domu w c</w:t>
      </w:r>
      <w:r>
        <w:rPr>
          <w:lang w:val="pl-PL"/>
        </w:rPr>
        <w:t>elu opieki nad dziećmi promują</w:t>
      </w:r>
      <w:r w:rsidRPr="001907A9">
        <w:rPr>
          <w:lang w:val="pl-PL"/>
        </w:rPr>
        <w:t xml:space="preserve"> życie rodzinne i m</w:t>
      </w:r>
      <w:r>
        <w:rPr>
          <w:lang w:val="pl-PL"/>
        </w:rPr>
        <w:t>ają</w:t>
      </w:r>
      <w:r w:rsidRPr="001907A9">
        <w:rPr>
          <w:lang w:val="pl-PL"/>
        </w:rPr>
        <w:t xml:space="preserve"> zatem wpływ na sposób, w jaki </w:t>
      </w:r>
      <w:r w:rsidR="00CC11E2">
        <w:rPr>
          <w:lang w:val="pl-PL"/>
        </w:rPr>
        <w:t>jest</w:t>
      </w:r>
      <w:r>
        <w:rPr>
          <w:lang w:val="pl-PL"/>
        </w:rPr>
        <w:t xml:space="preserve"> ono zorganizowane; środki takie wchodzą zatem w zakres art. 8. Obecna sprawa również dotyczyła kwestii </w:t>
      </w:r>
      <w:r w:rsidR="00CC11E2">
        <w:rPr>
          <w:lang w:val="pl-PL"/>
        </w:rPr>
        <w:t xml:space="preserve">odnoszących się do </w:t>
      </w:r>
      <w:r>
        <w:rPr>
          <w:lang w:val="pl-PL"/>
        </w:rPr>
        <w:t xml:space="preserve">organizacji życia rodzinnego, choć w inny sposób. Dostępne statystyki wykazywały, że łączona metoda w znacznej większości przypadków dotyczyła kobiet, które chciały pracować na część etatu po urodzeniu dzieci. W swym wyroku w sprawie skarżącej Sąd Federalny przyznał, że łączona metoda może w niektórych przypadkach skutkować utratą świadczenia, w szczególności </w:t>
      </w:r>
      <w:r w:rsidR="00CC11E2">
        <w:rPr>
          <w:lang w:val="pl-PL"/>
        </w:rPr>
        <w:t>wobec</w:t>
      </w:r>
      <w:r>
        <w:rPr>
          <w:lang w:val="pl-PL"/>
        </w:rPr>
        <w:t xml:space="preserve"> kobiet, któ</w:t>
      </w:r>
      <w:r w:rsidR="00DC2C51">
        <w:rPr>
          <w:lang w:val="pl-PL"/>
        </w:rPr>
        <w:t>r</w:t>
      </w:r>
      <w:r>
        <w:rPr>
          <w:lang w:val="pl-PL"/>
        </w:rPr>
        <w:t xml:space="preserve">e pracowały na część etatu po urodzeniu dzieci. Zastosowanie łączonej metody </w:t>
      </w:r>
      <w:r w:rsidR="00CC11E2">
        <w:rPr>
          <w:lang w:val="pl-PL"/>
        </w:rPr>
        <w:t xml:space="preserve">wobec </w:t>
      </w:r>
      <w:r>
        <w:rPr>
          <w:lang w:val="pl-PL"/>
        </w:rPr>
        <w:t xml:space="preserve">skarżącej mogło wpłynąć na jej oraz jej </w:t>
      </w:r>
      <w:r w:rsidR="00DC2C51">
        <w:rPr>
          <w:lang w:val="pl-PL"/>
        </w:rPr>
        <w:t>męża</w:t>
      </w:r>
      <w:r>
        <w:rPr>
          <w:lang w:val="pl-PL"/>
        </w:rPr>
        <w:t xml:space="preserve"> decyzję w sprawie podziału zadań w rodzinie i w związku z tym mieć wpływ na organizację ich życia rodzinnego oraz kariery zawodowej. Ponadto, Sąd Federalny wyraźnie uznał, że łączona metoda może mieć negatywne skutki dla osób pracujących na część etatu z powodów rodzinnych, jeśli staną się niepełnosprawne. Względy te były wystarczające dla Trybunału, by stwierdzić, że skarga </w:t>
      </w:r>
      <w:r w:rsidR="00CC11E2">
        <w:rPr>
          <w:lang w:val="pl-PL"/>
        </w:rPr>
        <w:t xml:space="preserve">jest </w:t>
      </w:r>
      <w:r>
        <w:rPr>
          <w:lang w:val="pl-PL"/>
        </w:rPr>
        <w:t xml:space="preserve">objęta zakresem art. 8 w odniesieniu do „życia rodzinnego”. Aspekt „życia prywatnego” zawarty w art. 8 również wchodził w grę w takim </w:t>
      </w:r>
      <w:r w:rsidR="00DC2C51">
        <w:rPr>
          <w:lang w:val="pl-PL"/>
        </w:rPr>
        <w:t>zakresie</w:t>
      </w:r>
      <w:r>
        <w:rPr>
          <w:lang w:val="pl-PL"/>
        </w:rPr>
        <w:t xml:space="preserve">, w jakim gwarantuje on </w:t>
      </w:r>
      <w:r w:rsidR="00155D70">
        <w:rPr>
          <w:lang w:val="pl-PL"/>
        </w:rPr>
        <w:t xml:space="preserve">prawo do </w:t>
      </w:r>
      <w:r w:rsidR="00CC11E2">
        <w:rPr>
          <w:lang w:val="pl-PL"/>
        </w:rPr>
        <w:t xml:space="preserve">osobistego </w:t>
      </w:r>
      <w:r w:rsidR="00155D70">
        <w:rPr>
          <w:lang w:val="pl-PL"/>
        </w:rPr>
        <w:t xml:space="preserve">rozwoju i autonomii. W zakresie, </w:t>
      </w:r>
      <w:r w:rsidR="00DC2C51">
        <w:rPr>
          <w:lang w:val="pl-PL"/>
        </w:rPr>
        <w:t>w jakim</w:t>
      </w:r>
      <w:r w:rsidR="00155D70">
        <w:rPr>
          <w:lang w:val="pl-PL"/>
        </w:rPr>
        <w:t xml:space="preserve"> łączona metoda stawiała osoby chcące pracować na część etatu w niekorzystnej sytuacji w porównaniu z osobami zatrudnionymi za wynagrodzeniem</w:t>
      </w:r>
      <w:r w:rsidR="00CC11E2">
        <w:rPr>
          <w:lang w:val="pl-PL"/>
        </w:rPr>
        <w:t xml:space="preserve"> na pełny etat oraz tymi, które nie pracowały</w:t>
      </w:r>
      <w:r w:rsidR="00155D70">
        <w:rPr>
          <w:lang w:val="pl-PL"/>
        </w:rPr>
        <w:t xml:space="preserve"> wcale, nie można wykluczyć, że metoda wyliczania świadczeń z tytułu niepełnosprawności ograniczy możliwość dokonywania </w:t>
      </w:r>
      <w:r w:rsidR="00CC11E2">
        <w:rPr>
          <w:lang w:val="pl-PL"/>
        </w:rPr>
        <w:t xml:space="preserve">przez tę pierwszą kategorię osób </w:t>
      </w:r>
      <w:r w:rsidR="00155D70">
        <w:rPr>
          <w:lang w:val="pl-PL"/>
        </w:rPr>
        <w:t xml:space="preserve">wyboru co do </w:t>
      </w:r>
      <w:r w:rsidR="00CC11E2">
        <w:rPr>
          <w:lang w:val="pl-PL"/>
        </w:rPr>
        <w:t>dzielenia ich życia prywatnego między pracą, zadaniami domowymi i opieką</w:t>
      </w:r>
      <w:r w:rsidR="00155D70">
        <w:rPr>
          <w:lang w:val="pl-PL"/>
        </w:rPr>
        <w:t xml:space="preserve"> nad dziećmi. </w:t>
      </w:r>
    </w:p>
    <w:p w:rsidR="00155D70" w:rsidRPr="00155D70" w:rsidRDefault="00155D70">
      <w:pPr>
        <w:pStyle w:val="ClinContent"/>
        <w:rPr>
          <w:lang w:val="pl-PL"/>
        </w:rPr>
      </w:pPr>
      <w:r w:rsidRPr="00155D70">
        <w:rPr>
          <w:lang w:val="pl-PL"/>
        </w:rPr>
        <w:t>Kobiety chcące ograniczyć</w:t>
      </w:r>
      <w:r w:rsidR="001E7F2B">
        <w:rPr>
          <w:lang w:val="pl-PL"/>
        </w:rPr>
        <w:t xml:space="preserve"> liczbę godzin</w:t>
      </w:r>
      <w:r w:rsidRPr="00155D70">
        <w:rPr>
          <w:lang w:val="pl-PL"/>
        </w:rPr>
        <w:t xml:space="preserve"> pracy po urodzeniu dziecka stanowiły p</w:t>
      </w:r>
      <w:r>
        <w:rPr>
          <w:lang w:val="pl-PL"/>
        </w:rPr>
        <w:t xml:space="preserve">rzeważającą większość osób, na które </w:t>
      </w:r>
      <w:r w:rsidR="001E7F2B">
        <w:rPr>
          <w:lang w:val="pl-PL"/>
        </w:rPr>
        <w:t>wpływała</w:t>
      </w:r>
      <w:r>
        <w:rPr>
          <w:lang w:val="pl-PL"/>
        </w:rPr>
        <w:t xml:space="preserve"> metoda łączona. W związku z powyższym, skarżąca mogła twierdzić, że jest ofiarą dyskryminacji z uwagi na płeć. W</w:t>
      </w:r>
      <w:r w:rsidR="00413316">
        <w:rPr>
          <w:lang w:val="pl-PL"/>
        </w:rPr>
        <w:t xml:space="preserve">ynika z tego, że </w:t>
      </w:r>
      <w:r>
        <w:rPr>
          <w:lang w:val="pl-PL"/>
        </w:rPr>
        <w:t>art.</w:t>
      </w:r>
      <w:r w:rsidR="00413316">
        <w:rPr>
          <w:lang w:val="pl-PL"/>
        </w:rPr>
        <w:t xml:space="preserve"> 14 w związku z art. 8 </w:t>
      </w:r>
      <w:r w:rsidR="00291332">
        <w:rPr>
          <w:lang w:val="pl-PL"/>
        </w:rPr>
        <w:t>ma</w:t>
      </w:r>
      <w:r>
        <w:rPr>
          <w:lang w:val="pl-PL"/>
        </w:rPr>
        <w:t xml:space="preserve"> </w:t>
      </w:r>
      <w:r w:rsidR="00D90FEA">
        <w:rPr>
          <w:lang w:val="pl-PL"/>
        </w:rPr>
        <w:t xml:space="preserve">również </w:t>
      </w:r>
      <w:r>
        <w:rPr>
          <w:lang w:val="pl-PL"/>
        </w:rPr>
        <w:t xml:space="preserve">zastosowanie. Nie było konieczne ustalanie, czy odmowa przyznania skarżącej świadczenia z tytułu niepełnosprawności stanowiła dyskryminację również z uwagi na niepełnosprawność. </w:t>
      </w:r>
    </w:p>
    <w:p w:rsidR="00DD2CE0" w:rsidRPr="00DC2C51" w:rsidRDefault="0015751E">
      <w:pPr>
        <w:pStyle w:val="ClinContent"/>
        <w:rPr>
          <w:i/>
          <w:lang w:val="pl-PL"/>
        </w:rPr>
      </w:pPr>
      <w:r w:rsidRPr="00DC2C51">
        <w:rPr>
          <w:lang w:val="pl-PL"/>
        </w:rPr>
        <w:t>(b)  </w:t>
      </w:r>
      <w:r w:rsidR="00DC2C51" w:rsidRPr="00DC2C51">
        <w:rPr>
          <w:i/>
          <w:lang w:val="pl-PL"/>
        </w:rPr>
        <w:t xml:space="preserve">Zgodność z art. 14 w związku z art. 8 Konwencji  </w:t>
      </w:r>
    </w:p>
    <w:p w:rsidR="00DC2C51" w:rsidRPr="00DC2C51" w:rsidRDefault="00D90FEA">
      <w:pPr>
        <w:pStyle w:val="ClinContent"/>
        <w:rPr>
          <w:lang w:val="pl-PL"/>
        </w:rPr>
      </w:pPr>
      <w:r w:rsidRPr="00DC2C51">
        <w:rPr>
          <w:lang w:val="pl-PL"/>
        </w:rPr>
        <w:t xml:space="preserve"> </w:t>
      </w:r>
      <w:r w:rsidR="00DC2C51" w:rsidRPr="00DC2C51">
        <w:rPr>
          <w:lang w:val="pl-PL"/>
        </w:rPr>
        <w:t xml:space="preserve">(i) </w:t>
      </w:r>
      <w:r w:rsidR="00DC2C51" w:rsidRPr="00DC2C51">
        <w:rPr>
          <w:i/>
          <w:lang w:val="pl-PL"/>
        </w:rPr>
        <w:t xml:space="preserve">Istnienie domniemania dyskryminacji pośredniej w obecnej sprawie </w:t>
      </w:r>
      <w:r w:rsidR="00DC2C51">
        <w:rPr>
          <w:lang w:val="pl-PL"/>
        </w:rPr>
        <w:t xml:space="preserve">– </w:t>
      </w:r>
      <w:r>
        <w:rPr>
          <w:lang w:val="pl-PL"/>
        </w:rPr>
        <w:t>W</w:t>
      </w:r>
      <w:r w:rsidR="00DC2C51">
        <w:rPr>
          <w:lang w:val="pl-PL"/>
        </w:rPr>
        <w:t xml:space="preserve"> 2009 r. metoda łączona była stosowana w 7,5% wszystkich decyzji </w:t>
      </w:r>
      <w:proofErr w:type="spellStart"/>
      <w:r w:rsidR="00DC2C51">
        <w:rPr>
          <w:lang w:val="pl-PL"/>
        </w:rPr>
        <w:t>ws</w:t>
      </w:r>
      <w:proofErr w:type="spellEnd"/>
      <w:r w:rsidR="00DC2C51">
        <w:rPr>
          <w:lang w:val="pl-PL"/>
        </w:rPr>
        <w:t xml:space="preserve">. świadczeń z tytułu niepełnosprawności. </w:t>
      </w:r>
      <w:r>
        <w:rPr>
          <w:lang w:val="pl-PL"/>
        </w:rPr>
        <w:t>W</w:t>
      </w:r>
      <w:r w:rsidR="00DC2C51">
        <w:rPr>
          <w:lang w:val="pl-PL"/>
        </w:rPr>
        <w:t xml:space="preserve">śród tych spraw </w:t>
      </w:r>
      <w:r>
        <w:rPr>
          <w:lang w:val="pl-PL"/>
        </w:rPr>
        <w:t>9</w:t>
      </w:r>
      <w:r w:rsidR="00DC2C51">
        <w:rPr>
          <w:lang w:val="pl-PL"/>
        </w:rPr>
        <w:t>7% dotyczyło kobiet. Liczby te mogą być uznane za wystarczająco wiarygodne i wymowne, by dać podstawy do domniemania dyskryminacji pośredniej.</w:t>
      </w:r>
    </w:p>
    <w:p w:rsidR="00DC2C51" w:rsidRPr="00291332" w:rsidRDefault="00D90FEA">
      <w:pPr>
        <w:pStyle w:val="ClinContent"/>
        <w:rPr>
          <w:lang w:val="pl-PL"/>
        </w:rPr>
      </w:pPr>
      <w:r w:rsidRPr="00DC2C51">
        <w:rPr>
          <w:lang w:val="pl-PL"/>
        </w:rPr>
        <w:t xml:space="preserve"> </w:t>
      </w:r>
      <w:r w:rsidR="00DC2C51" w:rsidRPr="00DC2C51">
        <w:rPr>
          <w:lang w:val="pl-PL"/>
        </w:rPr>
        <w:t xml:space="preserve">(ii) </w:t>
      </w:r>
      <w:r w:rsidR="00DC2C51" w:rsidRPr="00DC2C51">
        <w:rPr>
          <w:i/>
          <w:lang w:val="pl-PL"/>
        </w:rPr>
        <w:t xml:space="preserve">Czy istniało obiektywne i rozsądne uzasadnienie </w:t>
      </w:r>
      <w:r w:rsidR="00DC2C51">
        <w:rPr>
          <w:i/>
          <w:lang w:val="pl-PL"/>
        </w:rPr>
        <w:t xml:space="preserve">różnicy w traktowaniu – </w:t>
      </w:r>
      <w:r w:rsidR="00DC2C51">
        <w:rPr>
          <w:lang w:val="pl-PL"/>
        </w:rPr>
        <w:t xml:space="preserve">Celem ubezpieczenia z tytułu niepełnosprawności było zapewnienie jednostkom ubezpieczenia przed ryzykiem stania się niezdolnym </w:t>
      </w:r>
      <w:r>
        <w:rPr>
          <w:lang w:val="pl-PL"/>
        </w:rPr>
        <w:t>z powodu niepełnosprawności</w:t>
      </w:r>
      <w:r w:rsidR="00DC2C51">
        <w:rPr>
          <w:lang w:val="pl-PL"/>
        </w:rPr>
        <w:t xml:space="preserve"> do podjęcia płatnego zatrudnienia lub wykonywania zwykłych zadań, które były w stanie wykonywać wcześniej i które nadal byłyby w stanie wykonywać, jeśliby cieszyły</w:t>
      </w:r>
      <w:r>
        <w:rPr>
          <w:lang w:val="pl-PL"/>
        </w:rPr>
        <w:t>by</w:t>
      </w:r>
      <w:r w:rsidR="00DC2C51">
        <w:rPr>
          <w:lang w:val="pl-PL"/>
        </w:rPr>
        <w:t xml:space="preserve"> się nadal dobrym zdrowiem. To stanowiło uprawniony cel mogący </w:t>
      </w:r>
      <w:r>
        <w:rPr>
          <w:lang w:val="pl-PL"/>
        </w:rPr>
        <w:t xml:space="preserve">uzasadnić </w:t>
      </w:r>
      <w:r w:rsidR="00DC2C51">
        <w:rPr>
          <w:lang w:val="pl-PL"/>
        </w:rPr>
        <w:t>dostrzeżone różnice. Jako taki był on zgodny z istotą i ograniczeniami takiego systemu ubezpieczeń</w:t>
      </w:r>
      <w:r>
        <w:rPr>
          <w:lang w:val="pl-PL"/>
        </w:rPr>
        <w:t xml:space="preserve"> mającego do dyspozycji </w:t>
      </w:r>
      <w:r>
        <w:rPr>
          <w:lang w:val="pl-PL"/>
        </w:rPr>
        <w:lastRenderedPageBreak/>
        <w:t>ograniczone środk</w:t>
      </w:r>
      <w:r w:rsidR="00DC2C51">
        <w:rPr>
          <w:lang w:val="pl-PL"/>
        </w:rPr>
        <w:t>i</w:t>
      </w:r>
      <w:r>
        <w:rPr>
          <w:lang w:val="pl-PL"/>
        </w:rPr>
        <w:t xml:space="preserve"> i</w:t>
      </w:r>
      <w:r w:rsidR="00DC2C51">
        <w:rPr>
          <w:lang w:val="pl-PL"/>
        </w:rPr>
        <w:t xml:space="preserve"> którego jedną z wiodących zasad musiała zatem być kontrola wydatków. Tym niemniej, cel ten musi być oceniany w świetle równości płci. Należy wskazać bardzo ważkie powody, by różnica w traktowaniu oparta na tej przesłance mogła być uznana za zgodną z Konwencją. </w:t>
      </w:r>
      <w:r w:rsidR="00DC2C51" w:rsidRPr="00291332">
        <w:rPr>
          <w:lang w:val="pl-PL"/>
        </w:rPr>
        <w:t xml:space="preserve">Margines oceny władz był zatem bardzo wąski. </w:t>
      </w:r>
    </w:p>
    <w:p w:rsidR="00DC2C51" w:rsidRPr="00DC2C51" w:rsidRDefault="00DC2C51">
      <w:pPr>
        <w:pStyle w:val="ClinContent"/>
        <w:rPr>
          <w:lang w:val="pl-PL"/>
        </w:rPr>
      </w:pPr>
      <w:r w:rsidRPr="00DC2C51">
        <w:rPr>
          <w:lang w:val="pl-PL"/>
        </w:rPr>
        <w:t>Jeśli skarżąca pracowałaby</w:t>
      </w:r>
      <w:r w:rsidR="00D90FEA">
        <w:rPr>
          <w:lang w:val="pl-PL"/>
        </w:rPr>
        <w:t xml:space="preserve"> na pełny etat</w:t>
      </w:r>
      <w:r w:rsidRPr="00DC2C51">
        <w:rPr>
          <w:lang w:val="pl-PL"/>
        </w:rPr>
        <w:t xml:space="preserve"> lub jeśli poświęcała</w:t>
      </w:r>
      <w:r w:rsidR="00073674">
        <w:rPr>
          <w:lang w:val="pl-PL"/>
        </w:rPr>
        <w:t>by</w:t>
      </w:r>
      <w:r w:rsidRPr="00DC2C51">
        <w:rPr>
          <w:lang w:val="pl-PL"/>
        </w:rPr>
        <w:t xml:space="preserve"> </w:t>
      </w:r>
      <w:r w:rsidR="00515837" w:rsidRPr="00DC2C51">
        <w:rPr>
          <w:lang w:val="pl-PL"/>
        </w:rPr>
        <w:t>cały</w:t>
      </w:r>
      <w:r w:rsidRPr="00DC2C51">
        <w:rPr>
          <w:lang w:val="pl-PL"/>
        </w:rPr>
        <w:t xml:space="preserve"> swój czas na zadania domowe, otrzymywałaby częściowe świadczenie z tytułu niepełnosprawności. </w:t>
      </w:r>
      <w:r w:rsidR="00D90FEA">
        <w:rPr>
          <w:lang w:val="pl-PL"/>
        </w:rPr>
        <w:t>Wynika z tego w sposób</w:t>
      </w:r>
      <w:r>
        <w:rPr>
          <w:lang w:val="pl-PL"/>
        </w:rPr>
        <w:t xml:space="preserve"> jasn</w:t>
      </w:r>
      <w:r w:rsidR="00D90FEA">
        <w:rPr>
          <w:lang w:val="pl-PL"/>
        </w:rPr>
        <w:t>y</w:t>
      </w:r>
      <w:r>
        <w:rPr>
          <w:lang w:val="pl-PL"/>
        </w:rPr>
        <w:t>, że decyzja o odmowie przyznania jej uprawnienia do świadczenia oparta była jedynie na jej twierdzeniu, że chciała ograniczyć swe godziny pracy w celu zajęcia się dziećmi i domem. W praktyce, dla znacznej większości kobiet chcących pracować na część etatu po urodzeniu dzieci, metoda łączona była źró</w:t>
      </w:r>
      <w:r w:rsidR="00515837">
        <w:rPr>
          <w:lang w:val="pl-PL"/>
        </w:rPr>
        <w:t>dłem dyskryminacji.</w:t>
      </w:r>
    </w:p>
    <w:p w:rsidR="00515837" w:rsidRPr="00515837" w:rsidRDefault="00515837">
      <w:pPr>
        <w:pStyle w:val="ClinContent"/>
        <w:rPr>
          <w:lang w:val="pl-PL"/>
        </w:rPr>
      </w:pPr>
      <w:r w:rsidRPr="00515837">
        <w:rPr>
          <w:lang w:val="pl-PL"/>
        </w:rPr>
        <w:t xml:space="preserve">Ponadto, zastosowanie metody łączonej było </w:t>
      </w:r>
      <w:r w:rsidR="00D90FEA">
        <w:rPr>
          <w:lang w:val="pl-PL"/>
        </w:rPr>
        <w:t>od jakiegoś czasu</w:t>
      </w:r>
      <w:r w:rsidR="00D90FEA" w:rsidRPr="00515837">
        <w:rPr>
          <w:lang w:val="pl-PL"/>
        </w:rPr>
        <w:t xml:space="preserve"> </w:t>
      </w:r>
      <w:r w:rsidRPr="00515837">
        <w:rPr>
          <w:lang w:val="pl-PL"/>
        </w:rPr>
        <w:t xml:space="preserve">przedmiotem krytyki </w:t>
      </w:r>
      <w:r>
        <w:rPr>
          <w:lang w:val="pl-PL"/>
        </w:rPr>
        <w:t xml:space="preserve">ze strony </w:t>
      </w:r>
      <w:r w:rsidR="00D90FEA">
        <w:rPr>
          <w:lang w:val="pl-PL"/>
        </w:rPr>
        <w:t xml:space="preserve">niektórych </w:t>
      </w:r>
      <w:r>
        <w:rPr>
          <w:lang w:val="pl-PL"/>
        </w:rPr>
        <w:t>władz krajowych i komentatorów. Stanowiło to jasn</w:t>
      </w:r>
      <w:r w:rsidR="002803CB">
        <w:rPr>
          <w:lang w:val="pl-PL"/>
        </w:rPr>
        <w:t>ą oznakę</w:t>
      </w:r>
      <w:r>
        <w:rPr>
          <w:lang w:val="pl-PL"/>
        </w:rPr>
        <w:t xml:space="preserve"> rosnącej świadomości, że metoda łączona nie jest już zgodna z </w:t>
      </w:r>
      <w:r w:rsidR="002803CB">
        <w:rPr>
          <w:lang w:val="pl-PL"/>
        </w:rPr>
        <w:t>działaniami</w:t>
      </w:r>
      <w:r w:rsidR="002B3448">
        <w:rPr>
          <w:lang w:val="pl-PL"/>
        </w:rPr>
        <w:t xml:space="preserve"> na rzecz równości pł</w:t>
      </w:r>
      <w:r>
        <w:rPr>
          <w:lang w:val="pl-PL"/>
        </w:rPr>
        <w:t>ci w</w:t>
      </w:r>
      <w:r w:rsidR="00D90FEA">
        <w:rPr>
          <w:lang w:val="pl-PL"/>
        </w:rPr>
        <w:t>e współczesnym</w:t>
      </w:r>
      <w:r>
        <w:rPr>
          <w:lang w:val="pl-PL"/>
        </w:rPr>
        <w:t xml:space="preserve"> społeczeństwie, w którym kobiety w sposób uprawniony stara</w:t>
      </w:r>
      <w:r w:rsidR="00D90FEA">
        <w:rPr>
          <w:lang w:val="pl-PL"/>
        </w:rPr>
        <w:t>ją</w:t>
      </w:r>
      <w:r>
        <w:rPr>
          <w:lang w:val="pl-PL"/>
        </w:rPr>
        <w:t xml:space="preserve"> się godzić życie rodzinne z karierą zawodową. Ponadto, możliwe były alternatywne metody wyliczania, które w większym stopniu brałyby pod uwagę wybór kobiet, by pracować na część etatu po urodzeniu dziecka. Umożliwiłoby to realizację celu większej równości płci bez zagrożenia dla celu ubezpieczenia z tytułu niepełnosprawności. </w:t>
      </w:r>
    </w:p>
    <w:p w:rsidR="00515837" w:rsidRPr="00515837" w:rsidRDefault="00515837">
      <w:pPr>
        <w:pStyle w:val="ClinContent"/>
        <w:rPr>
          <w:lang w:val="pl-PL"/>
        </w:rPr>
      </w:pPr>
      <w:r w:rsidRPr="00515837">
        <w:rPr>
          <w:lang w:val="pl-PL"/>
        </w:rPr>
        <w:t xml:space="preserve">Dodatkowo w stosunku do tych względów ogólnych, odmowa przyznania skarżącej nawet częściowego świadczenia z tytułu niepełnosprawności </w:t>
      </w:r>
      <w:r>
        <w:rPr>
          <w:lang w:val="pl-PL"/>
        </w:rPr>
        <w:t xml:space="preserve">miała dla niej </w:t>
      </w:r>
      <w:r w:rsidRPr="00515837">
        <w:rPr>
          <w:lang w:val="pl-PL"/>
        </w:rPr>
        <w:t xml:space="preserve">poważne praktyczne </w:t>
      </w:r>
      <w:r>
        <w:rPr>
          <w:lang w:val="pl-PL"/>
        </w:rPr>
        <w:t xml:space="preserve">reperkusje, nawet zakładając, że mogła pracować na część etatu. W świetle powyższego, brak było rozsądnego uzasadnienia </w:t>
      </w:r>
      <w:r w:rsidR="00D90FEA">
        <w:rPr>
          <w:lang w:val="pl-PL"/>
        </w:rPr>
        <w:t xml:space="preserve">zróżnicowanego </w:t>
      </w:r>
      <w:r>
        <w:rPr>
          <w:lang w:val="pl-PL"/>
        </w:rPr>
        <w:t>traktowani</w:t>
      </w:r>
      <w:r w:rsidR="00D90FEA">
        <w:rPr>
          <w:lang w:val="pl-PL"/>
        </w:rPr>
        <w:t>a, któremu</w:t>
      </w:r>
      <w:r>
        <w:rPr>
          <w:lang w:val="pl-PL"/>
        </w:rPr>
        <w:t xml:space="preserve"> podlegała skarżąca. </w:t>
      </w:r>
    </w:p>
    <w:p w:rsidR="00515837" w:rsidRPr="00515837" w:rsidRDefault="00365CB6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515837" w:rsidRPr="00515837">
        <w:rPr>
          <w:i/>
          <w:lang w:val="pl-PL"/>
        </w:rPr>
        <w:t xml:space="preserve">: </w:t>
      </w:r>
      <w:r w:rsidR="00515837" w:rsidRPr="00515837">
        <w:rPr>
          <w:lang w:val="pl-PL"/>
        </w:rPr>
        <w:t>naruszenie (czterema głosami do trzech).</w:t>
      </w:r>
    </w:p>
    <w:p w:rsidR="00DD2CE0" w:rsidRPr="00515837" w:rsidRDefault="0015751E">
      <w:pPr>
        <w:pStyle w:val="ClinContent"/>
        <w:rPr>
          <w:lang w:val="pl-PL"/>
        </w:rPr>
      </w:pPr>
      <w:r w:rsidRPr="00515837">
        <w:rPr>
          <w:lang w:val="pl-PL"/>
        </w:rPr>
        <w:t>Art</w:t>
      </w:r>
      <w:r w:rsidR="00515837" w:rsidRPr="00515837">
        <w:rPr>
          <w:lang w:val="pl-PL"/>
        </w:rPr>
        <w:t>.</w:t>
      </w:r>
      <w:r w:rsidRPr="00515837">
        <w:rPr>
          <w:lang w:val="pl-PL"/>
        </w:rPr>
        <w:t xml:space="preserve"> 41: 5</w:t>
      </w:r>
      <w:r w:rsidR="00515837" w:rsidRPr="00515837">
        <w:rPr>
          <w:lang w:val="pl-PL"/>
        </w:rPr>
        <w:t>.</w:t>
      </w:r>
      <w:r w:rsidRPr="00515837">
        <w:rPr>
          <w:lang w:val="pl-PL"/>
        </w:rPr>
        <w:t xml:space="preserve">000 </w:t>
      </w:r>
      <w:r w:rsidR="00515837" w:rsidRPr="00515837">
        <w:rPr>
          <w:lang w:val="pl-PL"/>
        </w:rPr>
        <w:t>euro z tytułu szkody niemajątkowej; roszczenie z tytułu szkody majątkowej oddalone</w:t>
      </w:r>
      <w:r w:rsidRPr="00515837">
        <w:rPr>
          <w:lang w:val="pl-PL"/>
        </w:rPr>
        <w:t>.</w:t>
      </w:r>
    </w:p>
    <w:p w:rsidR="00DD2CE0" w:rsidRPr="00515837" w:rsidRDefault="0015751E">
      <w:pPr>
        <w:pStyle w:val="ClinContent"/>
        <w:rPr>
          <w:lang w:val="pl-PL"/>
        </w:rPr>
      </w:pPr>
      <w:r w:rsidRPr="00515837">
        <w:rPr>
          <w:lang w:val="pl-PL"/>
        </w:rPr>
        <w:t>(</w:t>
      </w:r>
      <w:r w:rsidR="00515837" w:rsidRPr="00515837">
        <w:rPr>
          <w:lang w:val="pl-PL"/>
        </w:rPr>
        <w:t xml:space="preserve">Zobacz również wyrok Trybunału Sprawiedliwości Unii Europejskiej w sprawie </w:t>
      </w:r>
      <w:r w:rsidRPr="00515837">
        <w:rPr>
          <w:i/>
          <w:lang w:val="pl-PL"/>
        </w:rPr>
        <w:t xml:space="preserve">Lourdes </w:t>
      </w:r>
      <w:proofErr w:type="spellStart"/>
      <w:r w:rsidRPr="00515837">
        <w:rPr>
          <w:i/>
          <w:lang w:val="pl-PL"/>
        </w:rPr>
        <w:t>Cachaldora</w:t>
      </w:r>
      <w:proofErr w:type="spellEnd"/>
      <w:r w:rsidRPr="00515837">
        <w:rPr>
          <w:i/>
          <w:lang w:val="pl-PL"/>
        </w:rPr>
        <w:t xml:space="preserve"> </w:t>
      </w:r>
      <w:proofErr w:type="spellStart"/>
      <w:r w:rsidRPr="00515837">
        <w:rPr>
          <w:i/>
          <w:lang w:val="pl-PL"/>
        </w:rPr>
        <w:t>Fernández</w:t>
      </w:r>
      <w:proofErr w:type="spellEnd"/>
      <w:r w:rsidRPr="00515837">
        <w:rPr>
          <w:i/>
          <w:lang w:val="pl-PL"/>
        </w:rPr>
        <w:t xml:space="preserve"> v </w:t>
      </w:r>
      <w:proofErr w:type="spellStart"/>
      <w:r w:rsidRPr="00515837">
        <w:rPr>
          <w:i/>
          <w:lang w:val="pl-PL"/>
        </w:rPr>
        <w:t>Instituto</w:t>
      </w:r>
      <w:proofErr w:type="spellEnd"/>
      <w:r w:rsidRPr="00515837">
        <w:rPr>
          <w:i/>
          <w:lang w:val="pl-PL"/>
        </w:rPr>
        <w:t xml:space="preserve"> </w:t>
      </w:r>
      <w:proofErr w:type="spellStart"/>
      <w:r w:rsidRPr="00515837">
        <w:rPr>
          <w:i/>
          <w:lang w:val="pl-PL"/>
        </w:rPr>
        <w:t>Nacional</w:t>
      </w:r>
      <w:proofErr w:type="spellEnd"/>
      <w:r w:rsidRPr="00515837">
        <w:rPr>
          <w:i/>
          <w:lang w:val="pl-PL"/>
        </w:rPr>
        <w:t xml:space="preserve"> de la </w:t>
      </w:r>
      <w:proofErr w:type="spellStart"/>
      <w:r w:rsidRPr="00515837">
        <w:rPr>
          <w:i/>
          <w:lang w:val="pl-PL"/>
        </w:rPr>
        <w:t>Seguridad</w:t>
      </w:r>
      <w:proofErr w:type="spellEnd"/>
      <w:r w:rsidRPr="00515837">
        <w:rPr>
          <w:i/>
          <w:lang w:val="pl-PL"/>
        </w:rPr>
        <w:t xml:space="preserve"> </w:t>
      </w:r>
      <w:proofErr w:type="spellStart"/>
      <w:r w:rsidRPr="00515837">
        <w:rPr>
          <w:i/>
          <w:lang w:val="pl-PL"/>
        </w:rPr>
        <w:t>Social</w:t>
      </w:r>
      <w:proofErr w:type="spellEnd"/>
      <w:r w:rsidRPr="00515837">
        <w:rPr>
          <w:i/>
          <w:lang w:val="pl-PL"/>
        </w:rPr>
        <w:t xml:space="preserve"> (INSS) and </w:t>
      </w:r>
      <w:proofErr w:type="spellStart"/>
      <w:r w:rsidRPr="00515837">
        <w:rPr>
          <w:i/>
          <w:lang w:val="pl-PL"/>
        </w:rPr>
        <w:t>Tesorería</w:t>
      </w:r>
      <w:proofErr w:type="spellEnd"/>
      <w:r w:rsidRPr="00515837">
        <w:rPr>
          <w:i/>
          <w:lang w:val="pl-PL"/>
        </w:rPr>
        <w:t xml:space="preserve"> General de la </w:t>
      </w:r>
      <w:proofErr w:type="spellStart"/>
      <w:r w:rsidRPr="00515837">
        <w:rPr>
          <w:i/>
          <w:lang w:val="pl-PL"/>
        </w:rPr>
        <w:t>Seguridad</w:t>
      </w:r>
      <w:proofErr w:type="spellEnd"/>
      <w:r w:rsidRPr="00515837">
        <w:rPr>
          <w:i/>
          <w:lang w:val="pl-PL"/>
        </w:rPr>
        <w:t xml:space="preserve"> </w:t>
      </w:r>
      <w:proofErr w:type="spellStart"/>
      <w:r w:rsidRPr="00515837">
        <w:rPr>
          <w:i/>
          <w:lang w:val="pl-PL"/>
        </w:rPr>
        <w:t>Social</w:t>
      </w:r>
      <w:proofErr w:type="spellEnd"/>
      <w:r w:rsidRPr="00515837">
        <w:rPr>
          <w:i/>
          <w:lang w:val="pl-PL"/>
        </w:rPr>
        <w:t xml:space="preserve"> (TGSS),</w:t>
      </w:r>
      <w:r w:rsidRPr="00515837">
        <w:rPr>
          <w:lang w:val="pl-PL"/>
        </w:rPr>
        <w:t xml:space="preserve"> C-527/13, 14 </w:t>
      </w:r>
      <w:r w:rsidR="00515837">
        <w:rPr>
          <w:lang w:val="pl-PL"/>
        </w:rPr>
        <w:t>kwietnia</w:t>
      </w:r>
      <w:r w:rsidRPr="00515837">
        <w:rPr>
          <w:lang w:val="pl-PL"/>
        </w:rPr>
        <w:t xml:space="preserve"> 2015</w:t>
      </w:r>
      <w:r w:rsidR="00515837">
        <w:rPr>
          <w:lang w:val="pl-PL"/>
        </w:rPr>
        <w:t xml:space="preserve"> r.</w:t>
      </w:r>
      <w:r w:rsidRPr="00515837">
        <w:rPr>
          <w:lang w:val="pl-PL"/>
        </w:rPr>
        <w:t xml:space="preserve">, </w:t>
      </w:r>
      <w:hyperlink r:id="rId9" w:history="1">
        <w:r w:rsidRPr="00515837">
          <w:rPr>
            <w:rStyle w:val="Hipercze"/>
            <w:lang w:val="pl-PL"/>
          </w:rPr>
          <w:t>No</w:t>
        </w:r>
        <w:r w:rsidRPr="00515837">
          <w:rPr>
            <w:rStyle w:val="Hipercze"/>
            <w:lang w:val="pl-PL"/>
          </w:rPr>
          <w:t>t</w:t>
        </w:r>
        <w:r w:rsidR="00515837">
          <w:rPr>
            <w:rStyle w:val="Hipercze"/>
            <w:lang w:val="pl-PL"/>
          </w:rPr>
          <w:t>a informacyjna nr</w:t>
        </w:r>
        <w:r w:rsidRPr="00515837">
          <w:rPr>
            <w:rStyle w:val="Hipercze"/>
            <w:lang w:val="pl-PL"/>
          </w:rPr>
          <w:t> 184</w:t>
        </w:r>
      </w:hyperlink>
      <w:r w:rsidRPr="00515837">
        <w:rPr>
          <w:lang w:val="pl-PL"/>
        </w:rPr>
        <w:t>)</w:t>
      </w:r>
    </w:p>
    <w:p w:rsidR="00DD2CE0" w:rsidRPr="00515837" w:rsidRDefault="00DD2CE0">
      <w:pPr>
        <w:pBdr>
          <w:bottom w:val="single" w:sz="8" w:space="1" w:color="auto"/>
        </w:pBdr>
        <w:rPr>
          <w:lang w:val="pl-PL"/>
        </w:rPr>
      </w:pPr>
    </w:p>
    <w:p w:rsidR="00790C00" w:rsidRPr="0074070E" w:rsidRDefault="00790C00" w:rsidP="00790C00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790C00" w:rsidRPr="00DE6EB6" w:rsidRDefault="00790C00" w:rsidP="00790C00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0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DD2CE0" w:rsidRPr="00790C00" w:rsidRDefault="00DD2CE0" w:rsidP="0005296E">
      <w:pPr>
        <w:pStyle w:val="ClinFooter"/>
        <w:jc w:val="left"/>
        <w:rPr>
          <w:lang w:val="pl-PL"/>
        </w:rPr>
      </w:pPr>
      <w:bookmarkStart w:id="0" w:name="_GoBack"/>
      <w:bookmarkEnd w:id="0"/>
    </w:p>
    <w:sectPr w:rsidR="00DD2CE0" w:rsidRPr="00790C00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015" w:rsidRDefault="00762015" w:rsidP="00C63262">
      <w:r>
        <w:separator/>
      </w:r>
    </w:p>
  </w:endnote>
  <w:endnote w:type="continuationSeparator" w:id="0">
    <w:p w:rsidR="00762015" w:rsidRDefault="00762015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C6" w:rsidRDefault="006413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C6" w:rsidRDefault="006413C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015" w:rsidRDefault="00762015" w:rsidP="00C63262">
      <w:r>
        <w:separator/>
      </w:r>
    </w:p>
  </w:footnote>
  <w:footnote w:type="continuationSeparator" w:id="0">
    <w:p w:rsidR="00762015" w:rsidRDefault="00762015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3C6" w:rsidRDefault="006413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73674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296E"/>
    <w:rsid w:val="00073674"/>
    <w:rsid w:val="00097888"/>
    <w:rsid w:val="000F13B5"/>
    <w:rsid w:val="00107377"/>
    <w:rsid w:val="00143602"/>
    <w:rsid w:val="00155D70"/>
    <w:rsid w:val="0015751E"/>
    <w:rsid w:val="001769E4"/>
    <w:rsid w:val="00186560"/>
    <w:rsid w:val="001907A9"/>
    <w:rsid w:val="001E7F2B"/>
    <w:rsid w:val="00212E83"/>
    <w:rsid w:val="002803CB"/>
    <w:rsid w:val="00282C4D"/>
    <w:rsid w:val="002873F0"/>
    <w:rsid w:val="00291332"/>
    <w:rsid w:val="002966E7"/>
    <w:rsid w:val="002A52F1"/>
    <w:rsid w:val="002B3448"/>
    <w:rsid w:val="002E088D"/>
    <w:rsid w:val="00300CA9"/>
    <w:rsid w:val="0030264F"/>
    <w:rsid w:val="003450B3"/>
    <w:rsid w:val="00365CB6"/>
    <w:rsid w:val="00386958"/>
    <w:rsid w:val="003A64A6"/>
    <w:rsid w:val="003D162C"/>
    <w:rsid w:val="003D7BB3"/>
    <w:rsid w:val="00413316"/>
    <w:rsid w:val="0046453F"/>
    <w:rsid w:val="004A5B52"/>
    <w:rsid w:val="004D568D"/>
    <w:rsid w:val="004E1037"/>
    <w:rsid w:val="004E65B0"/>
    <w:rsid w:val="00515837"/>
    <w:rsid w:val="0052092D"/>
    <w:rsid w:val="00540D75"/>
    <w:rsid w:val="005514E5"/>
    <w:rsid w:val="005837ED"/>
    <w:rsid w:val="005F0A9E"/>
    <w:rsid w:val="005F4E7A"/>
    <w:rsid w:val="006028A1"/>
    <w:rsid w:val="00631A28"/>
    <w:rsid w:val="006413C6"/>
    <w:rsid w:val="006A36AD"/>
    <w:rsid w:val="006C1D96"/>
    <w:rsid w:val="00701BF9"/>
    <w:rsid w:val="007062F0"/>
    <w:rsid w:val="0071773F"/>
    <w:rsid w:val="00734BBE"/>
    <w:rsid w:val="00762015"/>
    <w:rsid w:val="00765809"/>
    <w:rsid w:val="00774515"/>
    <w:rsid w:val="00790C00"/>
    <w:rsid w:val="00794312"/>
    <w:rsid w:val="00811BC3"/>
    <w:rsid w:val="00821A0F"/>
    <w:rsid w:val="00895EF3"/>
    <w:rsid w:val="008B5687"/>
    <w:rsid w:val="008C64D5"/>
    <w:rsid w:val="00903D38"/>
    <w:rsid w:val="00934BF4"/>
    <w:rsid w:val="009665DA"/>
    <w:rsid w:val="009B3B2C"/>
    <w:rsid w:val="009E3EF0"/>
    <w:rsid w:val="009F2CB9"/>
    <w:rsid w:val="00A0086E"/>
    <w:rsid w:val="00A01052"/>
    <w:rsid w:val="00A023CF"/>
    <w:rsid w:val="00A04D9C"/>
    <w:rsid w:val="00A258BB"/>
    <w:rsid w:val="00A33541"/>
    <w:rsid w:val="00A45616"/>
    <w:rsid w:val="00AC7726"/>
    <w:rsid w:val="00AE5208"/>
    <w:rsid w:val="00B54177"/>
    <w:rsid w:val="00B80CA0"/>
    <w:rsid w:val="00B85770"/>
    <w:rsid w:val="00BF1CD9"/>
    <w:rsid w:val="00C27AF7"/>
    <w:rsid w:val="00C37433"/>
    <w:rsid w:val="00C63262"/>
    <w:rsid w:val="00C72355"/>
    <w:rsid w:val="00C93CFB"/>
    <w:rsid w:val="00CC11E2"/>
    <w:rsid w:val="00CF7BA6"/>
    <w:rsid w:val="00D1345F"/>
    <w:rsid w:val="00D42086"/>
    <w:rsid w:val="00D425B3"/>
    <w:rsid w:val="00D90FEA"/>
    <w:rsid w:val="00DC2C51"/>
    <w:rsid w:val="00DD2CE0"/>
    <w:rsid w:val="00E55491"/>
    <w:rsid w:val="00E83DB6"/>
    <w:rsid w:val="00EA53E7"/>
    <w:rsid w:val="00EC7D9D"/>
    <w:rsid w:val="00F508C9"/>
    <w:rsid w:val="00F50CCD"/>
    <w:rsid w:val="00F5247C"/>
    <w:rsid w:val="00FA29E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przypisukocowego">
    <w:name w:val="endnote text"/>
    <w:basedOn w:val="Normalny"/>
    <w:link w:val="TekstprzypisukocowegoZnak"/>
    <w:semiHidden/>
    <w:unhideWhenUsed/>
    <w:rsid w:val="00DC2C5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DC2C51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DC2C51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515837"/>
    <w:rPr>
      <w:color w:val="7030A0" w:themeColor="followedHyperlink"/>
      <w:u w:val="single"/>
    </w:rPr>
  </w:style>
  <w:style w:type="paragraph" w:customStyle="1" w:styleId="s746c8714">
    <w:name w:val="s746c8714"/>
    <w:basedOn w:val="Normalny"/>
    <w:rsid w:val="00A023C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A023C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023CF"/>
  </w:style>
  <w:style w:type="character" w:customStyle="1" w:styleId="object">
    <w:name w:val="object"/>
    <w:basedOn w:val="Domylnaczcionkaakapitu"/>
    <w:rsid w:val="00A02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przypisukocowego">
    <w:name w:val="endnote text"/>
    <w:basedOn w:val="Normalny"/>
    <w:link w:val="TekstprzypisukocowegoZnak"/>
    <w:semiHidden/>
    <w:unhideWhenUsed/>
    <w:rsid w:val="00DC2C5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DC2C51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DC2C51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515837"/>
    <w:rPr>
      <w:color w:val="7030A0" w:themeColor="followedHyperlink"/>
      <w:u w:val="single"/>
    </w:rPr>
  </w:style>
  <w:style w:type="paragraph" w:customStyle="1" w:styleId="s746c8714">
    <w:name w:val="s746c8714"/>
    <w:basedOn w:val="Normalny"/>
    <w:rsid w:val="00A023C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A023C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023CF"/>
  </w:style>
  <w:style w:type="character" w:customStyle="1" w:styleId="object">
    <w:name w:val="object"/>
    <w:basedOn w:val="Domylnaczcionkaakapitu"/>
    <w:rsid w:val="00A02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fa.gov.pl/en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Documents/CLIN_2015_04_184_ENG.pdf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1215</Words>
  <Characters>7292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2017-04-20T12:47:00Z</dcterms:created>
  <dcterms:modified xsi:type="dcterms:W3CDTF">2017-04-21T09:06:00Z</dcterms:modified>
</cp:coreProperties>
</file>