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70" w:rsidRDefault="00BB5A70" w:rsidP="00EF0F42">
      <w:pPr>
        <w:pStyle w:val="s746c8714"/>
        <w:spacing w:before="120" w:beforeAutospacing="0" w:after="120" w:afterAutospacing="0"/>
        <w:jc w:val="both"/>
        <w:rPr>
          <w:rStyle w:val="s4f807e54"/>
          <w:rFonts w:ascii="Arial" w:hAnsi="Arial" w:cs="Arial"/>
          <w:sz w:val="20"/>
          <w:szCs w:val="20"/>
        </w:rPr>
      </w:pPr>
    </w:p>
    <w:p w:rsidR="00EF0F42" w:rsidRDefault="00EF0F42" w:rsidP="00EF0F42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C173BE" w:rsidRDefault="00C173BE" w:rsidP="00C173BE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E3498E" w:rsidRPr="00C173BE" w:rsidRDefault="00C173BE" w:rsidP="00C173BE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790C00">
        <w:rPr>
          <w:lang w:val="pl-PL"/>
        </w:rPr>
        <w:t xml:space="preserve"> </w:t>
      </w:r>
      <w:r w:rsidR="00443B85" w:rsidRPr="00C173BE">
        <w:rPr>
          <w:lang w:val="pl-PL"/>
        </w:rPr>
        <w:t>193</w:t>
      </w:r>
    </w:p>
    <w:p w:rsidR="00E3498E" w:rsidRPr="000D1AFE" w:rsidRDefault="00C173BE">
      <w:pPr>
        <w:pStyle w:val="ClinEditionMonth"/>
        <w:rPr>
          <w:lang w:val="pl-PL"/>
        </w:rPr>
      </w:pPr>
      <w:r w:rsidRPr="000D1AFE">
        <w:rPr>
          <w:lang w:val="pl-PL"/>
        </w:rPr>
        <w:t>Luty</w:t>
      </w:r>
      <w:r w:rsidR="00443B85" w:rsidRPr="000D1AFE">
        <w:rPr>
          <w:lang w:val="pl-PL"/>
        </w:rPr>
        <w:t xml:space="preserve"> 2016</w:t>
      </w:r>
      <w:r w:rsidRPr="000D1AFE">
        <w:rPr>
          <w:lang w:val="pl-PL"/>
        </w:rPr>
        <w:t xml:space="preserve"> r.</w:t>
      </w:r>
    </w:p>
    <w:p w:rsidR="00E3498E" w:rsidRPr="00EC0D9E" w:rsidRDefault="00443B85">
      <w:pPr>
        <w:rPr>
          <w:lang w:val="pl-PL"/>
        </w:rPr>
      </w:pPr>
      <w:proofErr w:type="spellStart"/>
      <w:r w:rsidRPr="00EC0D9E">
        <w:rPr>
          <w:rStyle w:val="ClinCaseTitle"/>
          <w:lang w:val="pl-PL"/>
        </w:rPr>
        <w:t>Çam</w:t>
      </w:r>
      <w:proofErr w:type="spellEnd"/>
      <w:r w:rsidRPr="00EC0D9E">
        <w:rPr>
          <w:rStyle w:val="ClinCaseTitle"/>
          <w:lang w:val="pl-PL"/>
        </w:rPr>
        <w:t xml:space="preserve"> </w:t>
      </w:r>
      <w:r w:rsidR="00EC0D9E" w:rsidRPr="00EC0D9E">
        <w:rPr>
          <w:rStyle w:val="ClinCaseTitle"/>
          <w:lang w:val="pl-PL"/>
        </w:rPr>
        <w:t>p</w:t>
      </w:r>
      <w:r w:rsidRPr="00EC0D9E">
        <w:rPr>
          <w:rStyle w:val="ClinCaseTitle"/>
          <w:lang w:val="pl-PL"/>
        </w:rPr>
        <w:t>. Tur</w:t>
      </w:r>
      <w:r w:rsidR="00EC0D9E" w:rsidRPr="00EC0D9E">
        <w:rPr>
          <w:rStyle w:val="ClinCaseTitle"/>
          <w:lang w:val="pl-PL"/>
        </w:rPr>
        <w:t>cji</w:t>
      </w:r>
      <w:r w:rsidRPr="00EC0D9E">
        <w:rPr>
          <w:rStyle w:val="ClinApplicationNumber"/>
          <w:lang w:val="pl-PL"/>
        </w:rPr>
        <w:t xml:space="preserve"> </w:t>
      </w:r>
      <w:r w:rsidR="00EC0D9E" w:rsidRPr="00EC0D9E">
        <w:rPr>
          <w:rStyle w:val="ClinApplicationNumber"/>
          <w:lang w:val="pl-PL"/>
        </w:rPr>
        <w:t>–</w:t>
      </w:r>
      <w:r w:rsidRPr="00EC0D9E">
        <w:rPr>
          <w:rStyle w:val="ClinApplicationNumber"/>
          <w:lang w:val="pl-PL"/>
        </w:rPr>
        <w:t xml:space="preserve"> </w:t>
      </w:r>
      <w:r w:rsidR="00EC0D9E" w:rsidRPr="00EC0D9E">
        <w:rPr>
          <w:rStyle w:val="ClinApplicationNumber"/>
          <w:lang w:val="pl-PL"/>
        </w:rPr>
        <w:t xml:space="preserve">skarga nr </w:t>
      </w:r>
      <w:r w:rsidRPr="00EC0D9E">
        <w:rPr>
          <w:rStyle w:val="ClinApplicationNumber"/>
          <w:lang w:val="pl-PL"/>
        </w:rPr>
        <w:t>51500/08</w:t>
      </w:r>
    </w:p>
    <w:p w:rsidR="00E3498E" w:rsidRPr="00EC0D9E" w:rsidRDefault="00EC0D9E">
      <w:pPr>
        <w:rPr>
          <w:lang w:val="pl-PL"/>
        </w:rPr>
      </w:pPr>
      <w:r w:rsidRPr="00EC0D9E">
        <w:rPr>
          <w:rStyle w:val="ClinHudocDocumentTitle"/>
          <w:lang w:val="pl-PL"/>
        </w:rPr>
        <w:t xml:space="preserve">Wyrok z </w:t>
      </w:r>
      <w:r w:rsidR="00443B85" w:rsidRPr="00EC0D9E">
        <w:rPr>
          <w:rStyle w:val="ClinHudocDocumentTitle"/>
          <w:lang w:val="pl-PL"/>
        </w:rPr>
        <w:t>23.</w:t>
      </w:r>
      <w:r w:rsidRPr="00EC0D9E">
        <w:rPr>
          <w:rStyle w:val="ClinHudocDocumentTitle"/>
          <w:lang w:val="pl-PL"/>
        </w:rPr>
        <w:t>0</w:t>
      </w:r>
      <w:r w:rsidR="00443B85" w:rsidRPr="00EC0D9E">
        <w:rPr>
          <w:rStyle w:val="ClinHudocDocumentTitle"/>
          <w:lang w:val="pl-PL"/>
        </w:rPr>
        <w:t>2.2016</w:t>
      </w:r>
      <w:r w:rsidRPr="00EC0D9E">
        <w:rPr>
          <w:rStyle w:val="ClinHudocDocumentTitle"/>
          <w:lang w:val="pl-PL"/>
        </w:rPr>
        <w:t xml:space="preserve"> r.</w:t>
      </w:r>
      <w:r w:rsidR="00443B85" w:rsidRPr="00EC0D9E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</w:t>
      </w:r>
      <w:r w:rsidR="00443B85" w:rsidRPr="00EC0D9E">
        <w:rPr>
          <w:rStyle w:val="ClinSectionName"/>
          <w:lang w:val="pl-PL"/>
        </w:rPr>
        <w:t xml:space="preserve"> II]</w:t>
      </w:r>
    </w:p>
    <w:p w:rsidR="00E3498E" w:rsidRPr="0069663A" w:rsidRDefault="00443B85">
      <w:pPr>
        <w:pStyle w:val="ClinMainKeywordCode"/>
        <w:rPr>
          <w:lang w:val="pl-PL"/>
        </w:rPr>
      </w:pPr>
      <w:r w:rsidRPr="0069663A">
        <w:rPr>
          <w:lang w:val="pl-PL"/>
        </w:rPr>
        <w:t>Art</w:t>
      </w:r>
      <w:r w:rsidR="00EC0D9E" w:rsidRPr="0069663A">
        <w:rPr>
          <w:lang w:val="pl-PL"/>
        </w:rPr>
        <w:t>.</w:t>
      </w:r>
      <w:r w:rsidRPr="0069663A">
        <w:rPr>
          <w:lang w:val="pl-PL"/>
        </w:rPr>
        <w:t xml:space="preserve"> 14</w:t>
      </w:r>
    </w:p>
    <w:p w:rsidR="00E3498E" w:rsidRPr="0069663A" w:rsidRDefault="00EC0D9E">
      <w:pPr>
        <w:pStyle w:val="ClinKeyword"/>
        <w:rPr>
          <w:lang w:val="pl-PL"/>
        </w:rPr>
      </w:pPr>
      <w:r w:rsidRPr="0069663A">
        <w:rPr>
          <w:lang w:val="pl-PL"/>
        </w:rPr>
        <w:t>Dyskryminacja</w:t>
      </w:r>
    </w:p>
    <w:p w:rsidR="00E3498E" w:rsidRPr="00EC0D9E" w:rsidRDefault="00EC0D9E" w:rsidP="0069663A">
      <w:pPr>
        <w:jc w:val="both"/>
        <w:rPr>
          <w:lang w:val="pl-PL"/>
        </w:rPr>
      </w:pPr>
      <w:r w:rsidRPr="00EC0D9E">
        <w:rPr>
          <w:rStyle w:val="ClinHeadNote"/>
          <w:lang w:val="pl-PL"/>
        </w:rPr>
        <w:t xml:space="preserve">Odmowa ze strony akademii muzycznej przyjęcia osoby niewidomej pomimo zdania przez nią </w:t>
      </w:r>
      <w:r w:rsidR="000D1AFE">
        <w:rPr>
          <w:rStyle w:val="ClinHeadNote"/>
          <w:lang w:val="pl-PL"/>
        </w:rPr>
        <w:t xml:space="preserve">konkursowego </w:t>
      </w:r>
      <w:r w:rsidRPr="00EC0D9E">
        <w:rPr>
          <w:rStyle w:val="ClinHeadNote"/>
          <w:lang w:val="pl-PL"/>
        </w:rPr>
        <w:t>egzaminu wstępnego</w:t>
      </w:r>
      <w:r w:rsidR="00443B85" w:rsidRPr="00EC0D9E">
        <w:rPr>
          <w:rStyle w:val="ClinHeadNote"/>
          <w:lang w:val="pl-PL"/>
        </w:rPr>
        <w:t xml:space="preserve">: </w:t>
      </w:r>
      <w:r w:rsidRPr="00EC0D9E">
        <w:rPr>
          <w:rStyle w:val="ClinHeadNote"/>
          <w:i/>
          <w:lang w:val="pl-PL"/>
        </w:rPr>
        <w:t>naruszenie</w:t>
      </w:r>
    </w:p>
    <w:p w:rsidR="00EC0D9E" w:rsidRPr="00EC0D9E" w:rsidRDefault="00EC0D9E">
      <w:pPr>
        <w:pStyle w:val="ClinContent"/>
        <w:rPr>
          <w:lang w:val="pl-PL"/>
        </w:rPr>
      </w:pPr>
      <w:r w:rsidRPr="00EC0D9E">
        <w:rPr>
          <w:i/>
          <w:lang w:val="pl-PL"/>
        </w:rPr>
        <w:t>Fakty</w:t>
      </w:r>
      <w:r w:rsidRPr="00EC0D9E">
        <w:rPr>
          <w:lang w:val="pl-PL"/>
        </w:rPr>
        <w:t xml:space="preserve"> – Skarżąca, która jest niewidoma, zdała egzamin wstępny na akademię muzyczną, pomyślnie przechodząc testy praktyczne </w:t>
      </w:r>
      <w:r>
        <w:rPr>
          <w:lang w:val="pl-PL"/>
        </w:rPr>
        <w:t xml:space="preserve">w zakresie opanowania lutni tureckiej. Według opinii sporządzonej przez radę medyczną i przekazanej akademii muzycznej, mogła ona uczęszczać na lekcje na tych wydziałach akademii, </w:t>
      </w:r>
      <w:r w:rsidR="00291271">
        <w:rPr>
          <w:lang w:val="pl-PL"/>
        </w:rPr>
        <w:t xml:space="preserve">na których </w:t>
      </w:r>
      <w:r>
        <w:rPr>
          <w:lang w:val="pl-PL"/>
        </w:rPr>
        <w:t xml:space="preserve">wzrok nie </w:t>
      </w:r>
      <w:r w:rsidR="00291271">
        <w:rPr>
          <w:lang w:val="pl-PL"/>
        </w:rPr>
        <w:t xml:space="preserve">jest </w:t>
      </w:r>
      <w:r>
        <w:rPr>
          <w:lang w:val="pl-PL"/>
        </w:rPr>
        <w:t xml:space="preserve">konieczny. Na wniosek dyrektora akademii muzycznej, opinia </w:t>
      </w:r>
      <w:r w:rsidR="005A115D">
        <w:rPr>
          <w:lang w:val="pl-PL"/>
        </w:rPr>
        <w:t xml:space="preserve">ta </w:t>
      </w:r>
      <w:r>
        <w:rPr>
          <w:lang w:val="pl-PL"/>
        </w:rPr>
        <w:t xml:space="preserve">została zmieniona w ten sposób, że wspominała, </w:t>
      </w:r>
      <w:r w:rsidR="00603C3A">
        <w:rPr>
          <w:lang w:val="pl-PL"/>
        </w:rPr>
        <w:t>i</w:t>
      </w:r>
      <w:r>
        <w:rPr>
          <w:lang w:val="pl-PL"/>
        </w:rPr>
        <w:t xml:space="preserve">ż skarżąca „nie może </w:t>
      </w:r>
      <w:r w:rsidR="005A115D">
        <w:rPr>
          <w:lang w:val="pl-PL"/>
        </w:rPr>
        <w:t>otrzymać kształcenia</w:t>
      </w:r>
      <w:r>
        <w:rPr>
          <w:lang w:val="pl-PL"/>
        </w:rPr>
        <w:t xml:space="preserve"> lub szkoleni</w:t>
      </w:r>
      <w:r w:rsidR="005A115D">
        <w:rPr>
          <w:lang w:val="pl-PL"/>
        </w:rPr>
        <w:t>a</w:t>
      </w:r>
      <w:r>
        <w:rPr>
          <w:lang w:val="pl-PL"/>
        </w:rPr>
        <w:t xml:space="preserve">”. Akademia odrzuciła wniosek skarżącej o przyjęcie. Jej odwołanie od </w:t>
      </w:r>
      <w:r w:rsidR="005A115D">
        <w:rPr>
          <w:lang w:val="pl-PL"/>
        </w:rPr>
        <w:t xml:space="preserve">tej </w:t>
      </w:r>
      <w:r>
        <w:rPr>
          <w:lang w:val="pl-PL"/>
        </w:rPr>
        <w:t xml:space="preserve">decyzji zostało oddalone przez sądy krajowe. Skarżąca podniosła przed Europejskim Trybunałem, że odrzucenie jej wniosku o przyjęcie na akademię muzyczną miało charakter dyskryminujący, jako że opierało się na fakcie, że jest niewidoma. </w:t>
      </w:r>
    </w:p>
    <w:p w:rsidR="00EC0D9E" w:rsidRPr="00EC0D9E" w:rsidRDefault="00F77CB3">
      <w:pPr>
        <w:pStyle w:val="ClinContent"/>
        <w:rPr>
          <w:lang w:val="pl-PL"/>
        </w:rPr>
      </w:pPr>
      <w:r>
        <w:rPr>
          <w:i/>
          <w:lang w:val="pl-PL"/>
        </w:rPr>
        <w:t>Prawo</w:t>
      </w:r>
      <w:r w:rsidR="00EC0D9E" w:rsidRPr="00EC0D9E">
        <w:rPr>
          <w:i/>
          <w:lang w:val="pl-PL"/>
        </w:rPr>
        <w:t xml:space="preserve"> – </w:t>
      </w:r>
      <w:r w:rsidR="00EC0D9E" w:rsidRPr="00EC0D9E">
        <w:rPr>
          <w:lang w:val="pl-PL"/>
        </w:rPr>
        <w:t>Art. 14 w związku z art. 2 Pro</w:t>
      </w:r>
      <w:r w:rsidR="00EC0D9E">
        <w:rPr>
          <w:lang w:val="pl-PL"/>
        </w:rPr>
        <w:t xml:space="preserve">tokołu nr 1: Fakt, że przedmiotowa akademia zapewniała kształcenie głównie w dziedzinie artystycznej, nie uzasadniał wykluczenia badania kryteriów dostępu do tej instytucji z zakresu art. 2 Protokołu nr 1. </w:t>
      </w:r>
    </w:p>
    <w:p w:rsidR="00EC0D9E" w:rsidRPr="00EC0D9E" w:rsidRDefault="00EC0D9E">
      <w:pPr>
        <w:pStyle w:val="ClinContent"/>
        <w:rPr>
          <w:lang w:val="pl-PL"/>
        </w:rPr>
      </w:pPr>
      <w:r w:rsidRPr="00EC0D9E">
        <w:rPr>
          <w:lang w:val="pl-PL"/>
        </w:rPr>
        <w:t xml:space="preserve">Różne przepisy ustawowe obowiązujące w przedmiotowym czasie </w:t>
      </w:r>
      <w:r>
        <w:rPr>
          <w:lang w:val="pl-PL"/>
        </w:rPr>
        <w:t>zawierały prawo dzieci z niepełnosprawnością do nauki bez dyskryminacji. A zatem, źródłem wykluczenia skarżącej z możliwości nauki na akademii m</w:t>
      </w:r>
      <w:r w:rsidR="00603C3A">
        <w:rPr>
          <w:lang w:val="pl-PL"/>
        </w:rPr>
        <w:t>uzycznej</w:t>
      </w:r>
      <w:r>
        <w:rPr>
          <w:lang w:val="pl-PL"/>
        </w:rPr>
        <w:t xml:space="preserve"> nie było ustawodawstwo, ale regula</w:t>
      </w:r>
      <w:r w:rsidR="00603C3A">
        <w:rPr>
          <w:lang w:val="pl-PL"/>
        </w:rPr>
        <w:t>min akademii, który wymagał</w:t>
      </w:r>
      <w:r>
        <w:rPr>
          <w:lang w:val="pl-PL"/>
        </w:rPr>
        <w:t>, by wszystk</w:t>
      </w:r>
      <w:r w:rsidR="00153396">
        <w:rPr>
          <w:lang w:val="pl-PL"/>
        </w:rPr>
        <w:t>ie osoby aplikujące o przyjęcie</w:t>
      </w:r>
      <w:r>
        <w:rPr>
          <w:lang w:val="pl-PL"/>
        </w:rPr>
        <w:t xml:space="preserve"> przedstawiały zaświadczenie lekarskie o zdolności fizycznej. Trybunał nie mógł nie </w:t>
      </w:r>
      <w:r w:rsidR="00291271">
        <w:rPr>
          <w:lang w:val="pl-PL"/>
        </w:rPr>
        <w:t>zauważyć</w:t>
      </w:r>
      <w:r>
        <w:rPr>
          <w:lang w:val="pl-PL"/>
        </w:rPr>
        <w:t xml:space="preserve"> skutków takiego wymogu </w:t>
      </w:r>
      <w:r w:rsidR="00291271">
        <w:rPr>
          <w:lang w:val="pl-PL"/>
        </w:rPr>
        <w:t>dla</w:t>
      </w:r>
      <w:r>
        <w:rPr>
          <w:lang w:val="pl-PL"/>
        </w:rPr>
        <w:t xml:space="preserve"> osób z niepełnosprawnością fizyczną, takich jak skarżąca. </w:t>
      </w:r>
      <w:r w:rsidR="004E57B8">
        <w:rPr>
          <w:lang w:val="pl-PL"/>
        </w:rPr>
        <w:t>Odnotowując</w:t>
      </w:r>
      <w:r w:rsidR="00334B2A">
        <w:rPr>
          <w:lang w:val="pl-PL"/>
        </w:rPr>
        <w:t xml:space="preserve"> łatwość, z jaką akademia muzyczna uzyskała zmianę opinii medycznej przedstawionej przez skarżącą, nie moż</w:t>
      </w:r>
      <w:r w:rsidR="005A115D">
        <w:rPr>
          <w:lang w:val="pl-PL"/>
        </w:rPr>
        <w:t>e być żadnych wątpliwości</w:t>
      </w:r>
      <w:r w:rsidR="00334B2A">
        <w:rPr>
          <w:lang w:val="pl-PL"/>
        </w:rPr>
        <w:t>, że jedyną prz</w:t>
      </w:r>
      <w:r w:rsidR="005A115D">
        <w:rPr>
          <w:lang w:val="pl-PL"/>
        </w:rPr>
        <w:t>yczyną odmowy przyjęcia jej był</w:t>
      </w:r>
      <w:r w:rsidR="00334B2A">
        <w:rPr>
          <w:lang w:val="pl-PL"/>
        </w:rPr>
        <w:t xml:space="preserve"> fakt, że </w:t>
      </w:r>
      <w:r w:rsidR="00291271">
        <w:rPr>
          <w:lang w:val="pl-PL"/>
        </w:rPr>
        <w:t>jest</w:t>
      </w:r>
      <w:r w:rsidR="00334B2A">
        <w:rPr>
          <w:lang w:val="pl-PL"/>
        </w:rPr>
        <w:t xml:space="preserve"> osobą niewidomą. W każdym razie skarżąca nie byłaby w stanie spełnić wymogu zdolności fizycznej, jako że zdefiniowanie</w:t>
      </w:r>
      <w:r w:rsidR="005A115D">
        <w:rPr>
          <w:lang w:val="pl-PL"/>
        </w:rPr>
        <w:t xml:space="preserve"> go </w:t>
      </w:r>
      <w:r w:rsidR="00334B2A">
        <w:rPr>
          <w:lang w:val="pl-PL"/>
        </w:rPr>
        <w:t xml:space="preserve">pozostawione było uznaniu akademii. </w:t>
      </w:r>
    </w:p>
    <w:p w:rsidR="00334B2A" w:rsidRPr="00334B2A" w:rsidRDefault="00334B2A">
      <w:pPr>
        <w:pStyle w:val="ClinContent"/>
        <w:rPr>
          <w:lang w:val="pl-PL"/>
        </w:rPr>
      </w:pPr>
      <w:r w:rsidRPr="00334B2A">
        <w:rPr>
          <w:lang w:val="pl-PL"/>
        </w:rPr>
        <w:t xml:space="preserve">Choć bez wątpienia władze </w:t>
      </w:r>
      <w:r>
        <w:rPr>
          <w:lang w:val="pl-PL"/>
        </w:rPr>
        <w:t>k</w:t>
      </w:r>
      <w:r w:rsidRPr="00334B2A">
        <w:rPr>
          <w:lang w:val="pl-PL"/>
        </w:rPr>
        <w:t>rajowe ko</w:t>
      </w:r>
      <w:r w:rsidR="005A115D">
        <w:rPr>
          <w:lang w:val="pl-PL"/>
        </w:rPr>
        <w:t>rzystają</w:t>
      </w:r>
      <w:r w:rsidRPr="00334B2A">
        <w:rPr>
          <w:lang w:val="pl-PL"/>
        </w:rPr>
        <w:t xml:space="preserve"> z marginesu uznania w określaniu umiejętności wymaganych od osób aplikujących do akademii muzycznych, argument ten nie m</w:t>
      </w:r>
      <w:r>
        <w:rPr>
          <w:lang w:val="pl-PL"/>
        </w:rPr>
        <w:t>i</w:t>
      </w:r>
      <w:r w:rsidRPr="00334B2A">
        <w:rPr>
          <w:lang w:val="pl-PL"/>
        </w:rPr>
        <w:t>a</w:t>
      </w:r>
      <w:r>
        <w:rPr>
          <w:lang w:val="pl-PL"/>
        </w:rPr>
        <w:t>ł</w:t>
      </w:r>
      <w:r w:rsidRPr="00334B2A">
        <w:rPr>
          <w:lang w:val="pl-PL"/>
        </w:rPr>
        <w:t xml:space="preserve"> zastosowania do obecnej sprawy. </w:t>
      </w:r>
      <w:r>
        <w:rPr>
          <w:lang w:val="pl-PL"/>
        </w:rPr>
        <w:t xml:space="preserve">Zdając egzamin wstępny przed </w:t>
      </w:r>
      <w:r>
        <w:rPr>
          <w:lang w:val="pl-PL"/>
        </w:rPr>
        <w:lastRenderedPageBreak/>
        <w:t xml:space="preserve">wnioskowaniem o przyjęcie, skarżąca wykazała, że w pełni kwalifikowała się do przyjęcia. </w:t>
      </w:r>
    </w:p>
    <w:p w:rsidR="00334B2A" w:rsidRPr="00334B2A" w:rsidRDefault="00334B2A">
      <w:pPr>
        <w:pStyle w:val="ClinContent"/>
        <w:rPr>
          <w:lang w:val="pl-PL"/>
        </w:rPr>
      </w:pPr>
      <w:r w:rsidRPr="00334B2A">
        <w:rPr>
          <w:lang w:val="pl-PL"/>
        </w:rPr>
        <w:t xml:space="preserve">W odniesieniu do rzekomego braku odpowiedniej </w:t>
      </w:r>
      <w:r w:rsidR="005A115D">
        <w:rPr>
          <w:lang w:val="pl-PL"/>
        </w:rPr>
        <w:t>i</w:t>
      </w:r>
      <w:r w:rsidRPr="00334B2A">
        <w:rPr>
          <w:lang w:val="pl-PL"/>
        </w:rPr>
        <w:t>nfrastruktury</w:t>
      </w:r>
      <w:r>
        <w:rPr>
          <w:lang w:val="pl-PL"/>
        </w:rPr>
        <w:t>, by</w:t>
      </w:r>
      <w:r w:rsidRPr="00334B2A">
        <w:rPr>
          <w:lang w:val="pl-PL"/>
        </w:rPr>
        <w:t xml:space="preserve"> </w:t>
      </w:r>
      <w:r>
        <w:rPr>
          <w:lang w:val="pl-PL"/>
        </w:rPr>
        <w:t>przyjąć</w:t>
      </w:r>
      <w:r w:rsidRPr="00334B2A">
        <w:rPr>
          <w:lang w:val="pl-PL"/>
        </w:rPr>
        <w:t xml:space="preserve"> studentów z niepełnosprawnościami, art. </w:t>
      </w:r>
      <w:r>
        <w:rPr>
          <w:lang w:val="pl-PL"/>
        </w:rPr>
        <w:t xml:space="preserve">14 Konwencji musi być odczytywany w świetle takich instrumentów międzynarodowych jak </w:t>
      </w:r>
      <w:hyperlink r:id="rId8" w:history="1">
        <w:r w:rsidRPr="00334B2A">
          <w:rPr>
            <w:rStyle w:val="Hipercze"/>
            <w:lang w:val="pl-PL"/>
          </w:rPr>
          <w:t>Europejska Karta Społeczna</w:t>
        </w:r>
      </w:hyperlink>
      <w:r>
        <w:rPr>
          <w:lang w:val="pl-PL"/>
        </w:rPr>
        <w:t xml:space="preserve"> oraz </w:t>
      </w:r>
      <w:hyperlink r:id="rId9" w:history="1">
        <w:r w:rsidRPr="00334B2A">
          <w:rPr>
            <w:rStyle w:val="Hipercze"/>
            <w:lang w:val="pl-PL"/>
          </w:rPr>
          <w:t>Konwencja NZ o prawach osób niepełnosprawnych</w:t>
        </w:r>
      </w:hyperlink>
      <w:r>
        <w:rPr>
          <w:lang w:val="pl-PL"/>
        </w:rPr>
        <w:t xml:space="preserve">, w odniesieniu do kwestii racjonalnych usprawnień, których osoby z niepełnosprawnościami mają prawo oczekiwać. </w:t>
      </w:r>
    </w:p>
    <w:p w:rsidR="00334B2A" w:rsidRPr="00334B2A" w:rsidRDefault="00334B2A">
      <w:pPr>
        <w:pStyle w:val="ClinContent"/>
        <w:rPr>
          <w:lang w:val="pl-PL"/>
        </w:rPr>
      </w:pPr>
      <w:r w:rsidRPr="00334B2A">
        <w:rPr>
          <w:lang w:val="pl-PL"/>
        </w:rPr>
        <w:t xml:space="preserve">Wszystkie dzieci mają własne szczególne potrzeby edukacyjne i odnosi się to </w:t>
      </w:r>
      <w:r w:rsidR="00291271">
        <w:rPr>
          <w:lang w:val="pl-PL"/>
        </w:rPr>
        <w:t>zwłaszcza</w:t>
      </w:r>
      <w:r w:rsidRPr="00334B2A">
        <w:rPr>
          <w:lang w:val="pl-PL"/>
        </w:rPr>
        <w:t xml:space="preserve"> do dzieci </w:t>
      </w:r>
      <w:r>
        <w:rPr>
          <w:lang w:val="pl-PL"/>
        </w:rPr>
        <w:t xml:space="preserve">z niepełnosprawnością. W dziedzinie edukacji, racjonalne usprawnienie może przyjąć różne formy, czy to </w:t>
      </w:r>
      <w:r w:rsidR="00291271">
        <w:rPr>
          <w:lang w:val="pl-PL"/>
        </w:rPr>
        <w:t>materialne</w:t>
      </w:r>
      <w:r w:rsidR="005A115D">
        <w:rPr>
          <w:lang w:val="pl-PL"/>
        </w:rPr>
        <w:t xml:space="preserve"> </w:t>
      </w:r>
      <w:r w:rsidR="00D06711">
        <w:rPr>
          <w:lang w:val="pl-PL"/>
        </w:rPr>
        <w:t>czy</w:t>
      </w:r>
      <w:r w:rsidR="00291271">
        <w:rPr>
          <w:lang w:val="pl-PL"/>
        </w:rPr>
        <w:t xml:space="preserve"> niematerialne</w:t>
      </w:r>
      <w:r>
        <w:rPr>
          <w:lang w:val="pl-PL"/>
        </w:rPr>
        <w:t xml:space="preserve">, edukacyjne lub organizacyjne bądź </w:t>
      </w:r>
      <w:r w:rsidR="00291271">
        <w:rPr>
          <w:lang w:val="pl-PL"/>
        </w:rPr>
        <w:t xml:space="preserve">usprawnienia </w:t>
      </w:r>
      <w:r>
        <w:rPr>
          <w:lang w:val="pl-PL"/>
        </w:rPr>
        <w:t xml:space="preserve">w zakresie architektonicznej dostępności szkół i uczelni wyższych, szkolenia nauczycieli, dostosowania programu </w:t>
      </w:r>
      <w:r w:rsidR="00BC6D4C">
        <w:rPr>
          <w:lang w:val="pl-PL"/>
        </w:rPr>
        <w:t xml:space="preserve">nauczania </w:t>
      </w:r>
      <w:r>
        <w:rPr>
          <w:lang w:val="pl-PL"/>
        </w:rPr>
        <w:t>lub zapewnienia odpowiednich udogodnień. Jednakże nie jest zadaniem Trybunału definiowanie sposobu lub środków za</w:t>
      </w:r>
      <w:r w:rsidR="005A115D">
        <w:rPr>
          <w:lang w:val="pl-PL"/>
        </w:rPr>
        <w:t>spokojenia</w:t>
      </w:r>
      <w:r>
        <w:rPr>
          <w:lang w:val="pl-PL"/>
        </w:rPr>
        <w:t xml:space="preserve"> potrzeb edukacyjnych dzieci z niepełnosprawnośc</w:t>
      </w:r>
      <w:r w:rsidR="005A115D">
        <w:rPr>
          <w:lang w:val="pl-PL"/>
        </w:rPr>
        <w:t>iami</w:t>
      </w:r>
      <w:r>
        <w:rPr>
          <w:lang w:val="pl-PL"/>
        </w:rPr>
        <w:t xml:space="preserve">, ponieważ to władze krajowe, </w:t>
      </w:r>
      <w:r w:rsidR="005A115D">
        <w:rPr>
          <w:lang w:val="pl-PL"/>
        </w:rPr>
        <w:t>mając bezpośredni</w:t>
      </w:r>
      <w:r>
        <w:rPr>
          <w:lang w:val="pl-PL"/>
        </w:rPr>
        <w:t xml:space="preserve"> i</w:t>
      </w:r>
      <w:r w:rsidR="005A115D">
        <w:rPr>
          <w:lang w:val="pl-PL"/>
        </w:rPr>
        <w:t xml:space="preserve"> stały</w:t>
      </w:r>
      <w:r>
        <w:rPr>
          <w:lang w:val="pl-PL"/>
        </w:rPr>
        <w:t xml:space="preserve"> kontaktu ze społeczeństwem </w:t>
      </w:r>
      <w:r w:rsidR="001F1782">
        <w:rPr>
          <w:lang w:val="pl-PL"/>
        </w:rPr>
        <w:t>swych</w:t>
      </w:r>
      <w:r>
        <w:rPr>
          <w:lang w:val="pl-PL"/>
        </w:rPr>
        <w:t xml:space="preserve"> krajów, są </w:t>
      </w:r>
      <w:r w:rsidR="001F1782">
        <w:rPr>
          <w:lang w:val="pl-PL"/>
        </w:rPr>
        <w:t xml:space="preserve">co do zasady </w:t>
      </w:r>
      <w:r>
        <w:rPr>
          <w:lang w:val="pl-PL"/>
        </w:rPr>
        <w:t xml:space="preserve">lepiej niż sąd międzynarodowy usytuowane </w:t>
      </w:r>
      <w:r w:rsidR="005A115D">
        <w:rPr>
          <w:lang w:val="pl-PL"/>
        </w:rPr>
        <w:t>d</w:t>
      </w:r>
      <w:r>
        <w:rPr>
          <w:lang w:val="pl-PL"/>
        </w:rPr>
        <w:t xml:space="preserve">o oceny </w:t>
      </w:r>
      <w:r w:rsidR="004E57B8">
        <w:rPr>
          <w:lang w:val="pl-PL"/>
        </w:rPr>
        <w:t xml:space="preserve">lokalnych </w:t>
      </w:r>
      <w:r>
        <w:rPr>
          <w:lang w:val="pl-PL"/>
        </w:rPr>
        <w:t xml:space="preserve">potrzeb i warunków w danym obszarze. </w:t>
      </w:r>
    </w:p>
    <w:p w:rsidR="00334B2A" w:rsidRPr="00334B2A" w:rsidRDefault="00334B2A">
      <w:pPr>
        <w:pStyle w:val="ClinContent"/>
        <w:rPr>
          <w:lang w:val="pl-PL"/>
        </w:rPr>
      </w:pPr>
      <w:r w:rsidRPr="00334B2A">
        <w:rPr>
          <w:lang w:val="pl-PL"/>
        </w:rPr>
        <w:t xml:space="preserve">Tym niemniej, Trybunał uznał za istotne, by Państwa </w:t>
      </w:r>
      <w:r w:rsidR="0099452A">
        <w:rPr>
          <w:lang w:val="pl-PL"/>
        </w:rPr>
        <w:t>dokładały szczególnej staranności</w:t>
      </w:r>
      <w:r w:rsidR="001F1782">
        <w:rPr>
          <w:lang w:val="pl-PL"/>
        </w:rPr>
        <w:t xml:space="preserve"> przy dokonywaniu</w:t>
      </w:r>
      <w:r w:rsidR="0099452A">
        <w:rPr>
          <w:lang w:val="pl-PL"/>
        </w:rPr>
        <w:t xml:space="preserve"> wyborów w tym obszarze, </w:t>
      </w:r>
      <w:r w:rsidR="005A115D">
        <w:rPr>
          <w:lang w:val="pl-PL"/>
        </w:rPr>
        <w:t>zważywszy na wpływ</w:t>
      </w:r>
      <w:r w:rsidR="0099452A">
        <w:rPr>
          <w:lang w:val="pl-PL"/>
        </w:rPr>
        <w:t>, jaki wybory te mogą mieć na dzieci z niepełnosprawnościami, których szczególnej wrażliwości nie wolno pomijać. W związku z tym Trybunał uznał, że dyskryminacja w oparciu o niepełnosprawność</w:t>
      </w:r>
      <w:r w:rsidR="003152AE">
        <w:rPr>
          <w:lang w:val="pl-PL"/>
        </w:rPr>
        <w:t xml:space="preserve"> obejmuje </w:t>
      </w:r>
      <w:r w:rsidR="005A115D">
        <w:rPr>
          <w:lang w:val="pl-PL"/>
        </w:rPr>
        <w:t>odmowę</w:t>
      </w:r>
      <w:r w:rsidR="0099452A">
        <w:rPr>
          <w:lang w:val="pl-PL"/>
        </w:rPr>
        <w:t xml:space="preserve"> przyznania racjonalnego usprawnienia.  </w:t>
      </w:r>
    </w:p>
    <w:p w:rsidR="0099452A" w:rsidRPr="0099452A" w:rsidRDefault="0099452A">
      <w:pPr>
        <w:pStyle w:val="ClinContent"/>
        <w:rPr>
          <w:lang w:val="pl-PL"/>
        </w:rPr>
      </w:pPr>
      <w:r w:rsidRPr="0099452A">
        <w:rPr>
          <w:lang w:val="pl-PL"/>
        </w:rPr>
        <w:t xml:space="preserve">W obecnej sprawie właściwe władze krajowe </w:t>
      </w:r>
      <w:r>
        <w:rPr>
          <w:lang w:val="pl-PL"/>
        </w:rPr>
        <w:t>nie podjęły żadnych wysiłków, by zidentyfikować potrzeby skarżącej</w:t>
      </w:r>
      <w:r w:rsidR="005A115D">
        <w:rPr>
          <w:lang w:val="pl-PL"/>
        </w:rPr>
        <w:t>,</w:t>
      </w:r>
      <w:r>
        <w:rPr>
          <w:lang w:val="pl-PL"/>
        </w:rPr>
        <w:t xml:space="preserve"> </w:t>
      </w:r>
      <w:r w:rsidR="001F1782">
        <w:rPr>
          <w:lang w:val="pl-PL"/>
        </w:rPr>
        <w:t>a także</w:t>
      </w:r>
      <w:r>
        <w:rPr>
          <w:lang w:val="pl-PL"/>
        </w:rPr>
        <w:t xml:space="preserve"> nie wyjaśniły, dlaczego fakt, że jest niewidoma, mógł utrudniać jej dostęp do edukacji muzycznej</w:t>
      </w:r>
      <w:r w:rsidR="00BC6D4C">
        <w:rPr>
          <w:lang w:val="pl-PL"/>
        </w:rPr>
        <w:t>, i w jaki sposób to sprawiał</w:t>
      </w:r>
      <w:r>
        <w:rPr>
          <w:lang w:val="pl-PL"/>
        </w:rPr>
        <w:t>. Nie spróbowa</w:t>
      </w:r>
      <w:r w:rsidR="005A115D">
        <w:rPr>
          <w:lang w:val="pl-PL"/>
        </w:rPr>
        <w:t>ł</w:t>
      </w:r>
      <w:r>
        <w:rPr>
          <w:lang w:val="pl-PL"/>
        </w:rPr>
        <w:t xml:space="preserve">y także rozważyć nowych udogodnień w celu zaspokojenia szczególnych potrzeb edukacyjnych wynikających z faktu, że </w:t>
      </w:r>
      <w:r w:rsidR="005A115D">
        <w:rPr>
          <w:lang w:val="pl-PL"/>
        </w:rPr>
        <w:t xml:space="preserve">skarżąca </w:t>
      </w:r>
      <w:r w:rsidR="007035DC">
        <w:rPr>
          <w:lang w:val="pl-PL"/>
        </w:rPr>
        <w:t>jest</w:t>
      </w:r>
      <w:r>
        <w:rPr>
          <w:lang w:val="pl-PL"/>
        </w:rPr>
        <w:t xml:space="preserve"> niewidoma. </w:t>
      </w:r>
      <w:r w:rsidRPr="0099452A">
        <w:rPr>
          <w:lang w:val="pl-PL"/>
        </w:rPr>
        <w:t>Akademia muzyczna nigdy od 1976 r. nie podjęła próby dostosowania swojego podejścia</w:t>
      </w:r>
      <w:r w:rsidR="007035DC">
        <w:rPr>
          <w:lang w:val="pl-PL"/>
        </w:rPr>
        <w:t xml:space="preserve"> do</w:t>
      </w:r>
      <w:r w:rsidR="001F1782">
        <w:rPr>
          <w:lang w:val="pl-PL"/>
        </w:rPr>
        <w:t xml:space="preserve"> nauczania</w:t>
      </w:r>
      <w:r w:rsidR="007035DC">
        <w:rPr>
          <w:lang w:val="pl-PL"/>
        </w:rPr>
        <w:t>, by udostępnić j</w:t>
      </w:r>
      <w:r w:rsidR="001F1782">
        <w:rPr>
          <w:lang w:val="pl-PL"/>
        </w:rPr>
        <w:t>e</w:t>
      </w:r>
      <w:r w:rsidRPr="0099452A">
        <w:rPr>
          <w:lang w:val="pl-PL"/>
        </w:rPr>
        <w:t xml:space="preserve"> </w:t>
      </w:r>
      <w:r>
        <w:rPr>
          <w:lang w:val="pl-PL"/>
        </w:rPr>
        <w:t xml:space="preserve">niewidomym studentom. A zatem skarżącej odmówiono bez obiektywnego i rozsądnego uzasadnienia możliwości skorzystania z kształcenia się na akademii muzycznej wyłącznie na podstawie jej niepełnosprawności wzrokowej.  </w:t>
      </w:r>
    </w:p>
    <w:p w:rsidR="0099452A" w:rsidRPr="009F3C6C" w:rsidRDefault="001F1782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99452A" w:rsidRPr="009F3C6C">
        <w:rPr>
          <w:lang w:val="pl-PL"/>
        </w:rPr>
        <w:t>: naruszenie (jednomyślnie)</w:t>
      </w:r>
      <w:r w:rsidR="007035DC">
        <w:rPr>
          <w:lang w:val="pl-PL"/>
        </w:rPr>
        <w:t>.</w:t>
      </w:r>
    </w:p>
    <w:p w:rsidR="0099452A" w:rsidRPr="0099452A" w:rsidRDefault="0099452A">
      <w:pPr>
        <w:pStyle w:val="ClinContent"/>
        <w:rPr>
          <w:lang w:val="pl-PL"/>
        </w:rPr>
      </w:pPr>
      <w:r w:rsidRPr="0099452A">
        <w:rPr>
          <w:lang w:val="pl-PL"/>
        </w:rPr>
        <w:t xml:space="preserve">Art. 41: 10.000 euro z tytułu szkody niematerialnej; roszczenie z tytułu szkody materialnej oddalone. </w:t>
      </w:r>
    </w:p>
    <w:p w:rsidR="00E3498E" w:rsidRPr="0099452A" w:rsidRDefault="00E3498E">
      <w:pPr>
        <w:pBdr>
          <w:bottom w:val="single" w:sz="8" w:space="1" w:color="auto"/>
        </w:pBdr>
        <w:rPr>
          <w:lang w:val="pl-PL"/>
        </w:rPr>
      </w:pPr>
    </w:p>
    <w:p w:rsidR="00C173BE" w:rsidRPr="0074070E" w:rsidRDefault="00C173BE" w:rsidP="00C173BE">
      <w:pPr>
        <w:pStyle w:val="ClinFooter"/>
        <w:rPr>
          <w:lang w:val="pl-PL"/>
        </w:rPr>
      </w:pPr>
      <w:r w:rsidRPr="000D1AFE">
        <w:rPr>
          <w:lang w:val="pl-PL"/>
        </w:rPr>
        <w:t xml:space="preserve">© </w:t>
      </w:r>
      <w:proofErr w:type="spellStart"/>
      <w:r w:rsidRPr="000D1AFE">
        <w:rPr>
          <w:lang w:val="pl-PL"/>
        </w:rPr>
        <w:t>Council</w:t>
      </w:r>
      <w:proofErr w:type="spellEnd"/>
      <w:r w:rsidRPr="000D1AFE">
        <w:rPr>
          <w:lang w:val="pl-PL"/>
        </w:rPr>
        <w:t xml:space="preserve"> </w:t>
      </w:r>
      <w:r w:rsidRPr="0074070E">
        <w:rPr>
          <w:lang w:val="pl-PL"/>
        </w:rPr>
        <w:t>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C173BE" w:rsidRPr="00DE6EB6" w:rsidRDefault="00C173BE" w:rsidP="00C173BE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E3498E" w:rsidRPr="00C173BE" w:rsidRDefault="00E3498E" w:rsidP="009F3C6C">
      <w:pPr>
        <w:pStyle w:val="ClinFooter"/>
        <w:jc w:val="left"/>
        <w:rPr>
          <w:lang w:val="pl-PL"/>
        </w:rPr>
      </w:pPr>
    </w:p>
    <w:sectPr w:rsidR="00E3498E" w:rsidRPr="00C173BE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250" w:rsidRDefault="00BC6250" w:rsidP="00C63262">
      <w:r>
        <w:separator/>
      </w:r>
    </w:p>
  </w:endnote>
  <w:endnote w:type="continuationSeparator" w:id="0">
    <w:p w:rsidR="00BC6250" w:rsidRDefault="00BC625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8B" w:rsidRDefault="000E13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8B" w:rsidRDefault="000E13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250" w:rsidRDefault="00BC6250" w:rsidP="00C63262">
      <w:r>
        <w:separator/>
      </w:r>
    </w:p>
  </w:footnote>
  <w:footnote w:type="continuationSeparator" w:id="0">
    <w:p w:rsidR="00BC6250" w:rsidRDefault="00BC6250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8B" w:rsidRDefault="000E13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3661B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D1AFE"/>
    <w:rsid w:val="000E138B"/>
    <w:rsid w:val="000F13B5"/>
    <w:rsid w:val="00107377"/>
    <w:rsid w:val="00120454"/>
    <w:rsid w:val="00143602"/>
    <w:rsid w:val="00153396"/>
    <w:rsid w:val="001769E4"/>
    <w:rsid w:val="00186560"/>
    <w:rsid w:val="001F1782"/>
    <w:rsid w:val="00212E83"/>
    <w:rsid w:val="00291271"/>
    <w:rsid w:val="002966E7"/>
    <w:rsid w:val="002E088D"/>
    <w:rsid w:val="0030264F"/>
    <w:rsid w:val="003152AE"/>
    <w:rsid w:val="00334B2A"/>
    <w:rsid w:val="003450B3"/>
    <w:rsid w:val="00386958"/>
    <w:rsid w:val="003A64A6"/>
    <w:rsid w:val="003D7BB3"/>
    <w:rsid w:val="0043661B"/>
    <w:rsid w:val="00443B85"/>
    <w:rsid w:val="0046453F"/>
    <w:rsid w:val="004A5B52"/>
    <w:rsid w:val="004C58FE"/>
    <w:rsid w:val="004D568D"/>
    <w:rsid w:val="004E1037"/>
    <w:rsid w:val="004E57B8"/>
    <w:rsid w:val="0052092D"/>
    <w:rsid w:val="00540D75"/>
    <w:rsid w:val="005514E5"/>
    <w:rsid w:val="005A115D"/>
    <w:rsid w:val="006028A1"/>
    <w:rsid w:val="00603C3A"/>
    <w:rsid w:val="00631A28"/>
    <w:rsid w:val="006378D6"/>
    <w:rsid w:val="0069663A"/>
    <w:rsid w:val="006A36AD"/>
    <w:rsid w:val="006C1D96"/>
    <w:rsid w:val="006F5A52"/>
    <w:rsid w:val="007035DC"/>
    <w:rsid w:val="0071773F"/>
    <w:rsid w:val="00774515"/>
    <w:rsid w:val="00895EF3"/>
    <w:rsid w:val="008C64D5"/>
    <w:rsid w:val="00903D38"/>
    <w:rsid w:val="00993278"/>
    <w:rsid w:val="0099452A"/>
    <w:rsid w:val="009B3B2C"/>
    <w:rsid w:val="009E3EF0"/>
    <w:rsid w:val="009F3C6C"/>
    <w:rsid w:val="00A01052"/>
    <w:rsid w:val="00A04D9C"/>
    <w:rsid w:val="00A258BB"/>
    <w:rsid w:val="00A33541"/>
    <w:rsid w:val="00A45616"/>
    <w:rsid w:val="00AC7726"/>
    <w:rsid w:val="00B80CA0"/>
    <w:rsid w:val="00B85770"/>
    <w:rsid w:val="00BB5A70"/>
    <w:rsid w:val="00BC6250"/>
    <w:rsid w:val="00BC6D4C"/>
    <w:rsid w:val="00BF1CD9"/>
    <w:rsid w:val="00C173BE"/>
    <w:rsid w:val="00C37433"/>
    <w:rsid w:val="00C63262"/>
    <w:rsid w:val="00C72355"/>
    <w:rsid w:val="00C85AFF"/>
    <w:rsid w:val="00C93CFB"/>
    <w:rsid w:val="00CF7BA6"/>
    <w:rsid w:val="00D06711"/>
    <w:rsid w:val="00D42086"/>
    <w:rsid w:val="00D425B3"/>
    <w:rsid w:val="00E21D85"/>
    <w:rsid w:val="00E3498E"/>
    <w:rsid w:val="00E55491"/>
    <w:rsid w:val="00E64035"/>
    <w:rsid w:val="00E83DB6"/>
    <w:rsid w:val="00EA53E7"/>
    <w:rsid w:val="00EB263D"/>
    <w:rsid w:val="00EC0D9E"/>
    <w:rsid w:val="00ED02B3"/>
    <w:rsid w:val="00EF0F42"/>
    <w:rsid w:val="00F508C9"/>
    <w:rsid w:val="00F50CCD"/>
    <w:rsid w:val="00F5247C"/>
    <w:rsid w:val="00F6426B"/>
    <w:rsid w:val="00F77CB3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EF0F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EF0F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F0F42"/>
  </w:style>
  <w:style w:type="character" w:customStyle="1" w:styleId="object">
    <w:name w:val="object"/>
    <w:basedOn w:val="Domylnaczcionkaakapitu"/>
    <w:rsid w:val="00EF0F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EF0F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EF0F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F0F42"/>
  </w:style>
  <w:style w:type="character" w:customStyle="1" w:styleId="object">
    <w:name w:val="object"/>
    <w:basedOn w:val="Domylnaczcionkaakapitu"/>
    <w:rsid w:val="00EF0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e.int/en/web/conventions/full-list/-/conventions/treaty/16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.org/disabilities/convention/conventionfull.shtml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2017-04-21T12:34:00Z</dcterms:created>
  <dcterms:modified xsi:type="dcterms:W3CDTF">2017-06-21T12:11:00Z</dcterms:modified>
</cp:coreProperties>
</file>