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CD" w:rsidRDefault="00A31FCD" w:rsidP="00A31FCD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A31FCD" w:rsidRDefault="00A31FCD" w:rsidP="004B48F9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4B48F9" w:rsidRDefault="004B48F9" w:rsidP="004B48F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D4169E" w:rsidRPr="004B48F9" w:rsidRDefault="004B48F9" w:rsidP="004B48F9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5D573F" w:rsidRPr="004B48F9">
        <w:rPr>
          <w:lang w:val="pl-PL"/>
        </w:rPr>
        <w:t>198</w:t>
      </w:r>
    </w:p>
    <w:p w:rsidR="00D4169E" w:rsidRPr="00D56A48" w:rsidRDefault="004B48F9">
      <w:pPr>
        <w:pStyle w:val="ClinEditionMonth"/>
        <w:rPr>
          <w:lang w:val="pl-PL"/>
        </w:rPr>
      </w:pPr>
      <w:r w:rsidRPr="00D56A48">
        <w:rPr>
          <w:lang w:val="pl-PL"/>
        </w:rPr>
        <w:t>Lipiec</w:t>
      </w:r>
      <w:r w:rsidR="005D573F" w:rsidRPr="00D56A48">
        <w:rPr>
          <w:lang w:val="pl-PL"/>
        </w:rPr>
        <w:t xml:space="preserve"> 2016</w:t>
      </w:r>
      <w:r w:rsidRPr="00D56A48">
        <w:rPr>
          <w:lang w:val="pl-PL"/>
        </w:rPr>
        <w:t xml:space="preserve"> r.</w:t>
      </w:r>
    </w:p>
    <w:p w:rsidR="00D4169E" w:rsidRPr="00DF12C9" w:rsidRDefault="005D573F">
      <w:pPr>
        <w:rPr>
          <w:lang w:val="pl-PL"/>
        </w:rPr>
      </w:pPr>
      <w:proofErr w:type="spellStart"/>
      <w:r w:rsidRPr="00DF12C9">
        <w:rPr>
          <w:rStyle w:val="ClinCaseTitle"/>
          <w:lang w:val="pl-PL"/>
        </w:rPr>
        <w:t>Buzadji</w:t>
      </w:r>
      <w:proofErr w:type="spellEnd"/>
      <w:r w:rsidRPr="00DF12C9">
        <w:rPr>
          <w:rStyle w:val="ClinCaseTitle"/>
          <w:lang w:val="pl-PL"/>
        </w:rPr>
        <w:t xml:space="preserve"> </w:t>
      </w:r>
      <w:r w:rsidR="004B48F9" w:rsidRPr="00DF12C9">
        <w:rPr>
          <w:rStyle w:val="ClinCaseTitle"/>
          <w:lang w:val="pl-PL"/>
        </w:rPr>
        <w:t>p.</w:t>
      </w:r>
      <w:r w:rsidRPr="00DF12C9">
        <w:rPr>
          <w:rStyle w:val="ClinCaseTitle"/>
          <w:lang w:val="pl-PL"/>
        </w:rPr>
        <w:t xml:space="preserve"> </w:t>
      </w:r>
      <w:r w:rsidRPr="009053C6">
        <w:rPr>
          <w:rStyle w:val="ClinCaseTitle"/>
          <w:lang w:val="pl-PL"/>
        </w:rPr>
        <w:t>Republic</w:t>
      </w:r>
      <w:r w:rsidR="00DF12C9" w:rsidRPr="009053C6">
        <w:rPr>
          <w:rStyle w:val="ClinCaseTitle"/>
          <w:lang w:val="pl-PL"/>
        </w:rPr>
        <w:t>e Mołdawii</w:t>
      </w:r>
      <w:r w:rsidRPr="00DF12C9">
        <w:rPr>
          <w:rStyle w:val="ClinCaseTitle"/>
          <w:lang w:val="pl-PL"/>
        </w:rPr>
        <w:t xml:space="preserve"> </w:t>
      </w:r>
      <w:r w:rsidR="004B48F9" w:rsidRPr="00DF12C9">
        <w:rPr>
          <w:rStyle w:val="ClinCaseTitle"/>
          <w:lang w:val="pl-PL"/>
        </w:rPr>
        <w:t xml:space="preserve">[Wielka Izba] </w:t>
      </w:r>
      <w:r w:rsidRPr="00DF12C9">
        <w:rPr>
          <w:rStyle w:val="ClinApplicationNumber"/>
          <w:lang w:val="pl-PL"/>
        </w:rPr>
        <w:t xml:space="preserve">- </w:t>
      </w:r>
      <w:r w:rsidR="004B48F9" w:rsidRPr="00DF12C9">
        <w:rPr>
          <w:rStyle w:val="ClinApplicationNumber"/>
          <w:lang w:val="pl-PL"/>
        </w:rPr>
        <w:t xml:space="preserve">skarga nr </w:t>
      </w:r>
      <w:r w:rsidRPr="00DF12C9">
        <w:rPr>
          <w:rStyle w:val="ClinApplicationNumber"/>
          <w:lang w:val="pl-PL"/>
        </w:rPr>
        <w:t>23755/07</w:t>
      </w:r>
    </w:p>
    <w:p w:rsidR="00D4169E" w:rsidRPr="00D56A48" w:rsidRDefault="00DF12C9">
      <w:pPr>
        <w:rPr>
          <w:lang w:val="pl-PL"/>
        </w:rPr>
      </w:pPr>
      <w:r w:rsidRPr="00D56A48">
        <w:rPr>
          <w:rStyle w:val="ClinHudocDocumentTitle"/>
          <w:lang w:val="pl-PL"/>
        </w:rPr>
        <w:t xml:space="preserve">Wyrok z </w:t>
      </w:r>
      <w:r w:rsidR="005D573F" w:rsidRPr="00D56A48">
        <w:rPr>
          <w:rStyle w:val="ClinHudocDocumentTitle"/>
          <w:lang w:val="pl-PL"/>
        </w:rPr>
        <w:t>5.</w:t>
      </w:r>
      <w:r w:rsidR="007C2710">
        <w:rPr>
          <w:rStyle w:val="ClinHudocDocumentTitle"/>
          <w:lang w:val="pl-PL"/>
        </w:rPr>
        <w:t>0</w:t>
      </w:r>
      <w:r w:rsidR="005D573F" w:rsidRPr="00D56A48">
        <w:rPr>
          <w:rStyle w:val="ClinHudocDocumentTitle"/>
          <w:lang w:val="pl-PL"/>
        </w:rPr>
        <w:t>7.2016</w:t>
      </w:r>
      <w:r w:rsidRPr="00D56A48">
        <w:rPr>
          <w:rStyle w:val="ClinHudocDocumentTitle"/>
          <w:lang w:val="pl-PL"/>
        </w:rPr>
        <w:t xml:space="preserve"> r.</w:t>
      </w:r>
      <w:r w:rsidR="005D573F" w:rsidRPr="00D56A48">
        <w:rPr>
          <w:rStyle w:val="ClinSectionName"/>
          <w:lang w:val="pl-PL"/>
        </w:rPr>
        <w:t xml:space="preserve"> </w:t>
      </w:r>
      <w:r w:rsidR="004B48F9" w:rsidRPr="00D56A48">
        <w:rPr>
          <w:rStyle w:val="ClinSectionName"/>
          <w:lang w:val="pl-PL"/>
        </w:rPr>
        <w:t xml:space="preserve">[Wielka Izba] </w:t>
      </w:r>
    </w:p>
    <w:p w:rsidR="00D4169E" w:rsidRPr="00D56A48" w:rsidRDefault="005D573F">
      <w:pPr>
        <w:pStyle w:val="ClinMainKeywordCode"/>
        <w:rPr>
          <w:lang w:val="pl-PL"/>
        </w:rPr>
      </w:pPr>
      <w:r w:rsidRPr="00D56A48">
        <w:rPr>
          <w:lang w:val="pl-PL"/>
        </w:rPr>
        <w:t>Art</w:t>
      </w:r>
      <w:r w:rsidR="0074282A" w:rsidRPr="00D56A48">
        <w:rPr>
          <w:lang w:val="pl-PL"/>
        </w:rPr>
        <w:t>.</w:t>
      </w:r>
      <w:r w:rsidRPr="00D56A48">
        <w:rPr>
          <w:lang w:val="pl-PL"/>
        </w:rPr>
        <w:t xml:space="preserve"> 5</w:t>
      </w:r>
    </w:p>
    <w:p w:rsidR="00D4169E" w:rsidRPr="00D56A48" w:rsidRDefault="005D573F">
      <w:pPr>
        <w:pStyle w:val="ClinChildKeywordCode"/>
        <w:rPr>
          <w:lang w:val="pl-PL"/>
        </w:rPr>
      </w:pPr>
      <w:r w:rsidRPr="00D56A48">
        <w:rPr>
          <w:lang w:val="pl-PL"/>
        </w:rPr>
        <w:t>Art</w:t>
      </w:r>
      <w:r w:rsidR="0074282A" w:rsidRPr="00D56A48">
        <w:rPr>
          <w:lang w:val="pl-PL"/>
        </w:rPr>
        <w:t>.</w:t>
      </w:r>
      <w:r w:rsidRPr="00D56A48">
        <w:rPr>
          <w:lang w:val="pl-PL"/>
        </w:rPr>
        <w:t xml:space="preserve"> 5</w:t>
      </w:r>
      <w:r w:rsidR="0074282A" w:rsidRPr="00D56A48">
        <w:rPr>
          <w:lang w:val="pl-PL"/>
        </w:rPr>
        <w:t xml:space="preserve"> ust. </w:t>
      </w:r>
      <w:r w:rsidRPr="00D56A48">
        <w:rPr>
          <w:lang w:val="pl-PL"/>
        </w:rPr>
        <w:t>3</w:t>
      </w:r>
    </w:p>
    <w:p w:rsidR="00D4169E" w:rsidRPr="00D56A48" w:rsidRDefault="0074282A">
      <w:pPr>
        <w:pStyle w:val="ClinKeyword"/>
        <w:rPr>
          <w:lang w:val="pl-PL"/>
        </w:rPr>
      </w:pPr>
      <w:r w:rsidRPr="00D56A48">
        <w:rPr>
          <w:lang w:val="pl-PL"/>
        </w:rPr>
        <w:t xml:space="preserve">Rozsądna długość tymczasowego aresztowania </w:t>
      </w:r>
    </w:p>
    <w:p w:rsidR="00444BE7" w:rsidRPr="00444BE7" w:rsidRDefault="00444BE7" w:rsidP="00320E65">
      <w:pPr>
        <w:jc w:val="both"/>
        <w:rPr>
          <w:i/>
          <w:lang w:val="pl-PL"/>
        </w:rPr>
      </w:pPr>
      <w:r>
        <w:rPr>
          <w:lang w:val="pl-PL"/>
        </w:rPr>
        <w:t>Brak</w:t>
      </w:r>
      <w:r w:rsidRPr="00444BE7">
        <w:rPr>
          <w:lang w:val="pl-PL"/>
        </w:rPr>
        <w:t xml:space="preserve"> </w:t>
      </w:r>
      <w:r w:rsidRPr="009053C6">
        <w:rPr>
          <w:lang w:val="pl-PL"/>
        </w:rPr>
        <w:t>właściwych</w:t>
      </w:r>
      <w:r w:rsidRPr="00444BE7">
        <w:rPr>
          <w:lang w:val="pl-PL"/>
        </w:rPr>
        <w:t xml:space="preserve"> i wystarczających powodów do tymczasowego aresztowania </w:t>
      </w:r>
      <w:r w:rsidR="009053C6">
        <w:rPr>
          <w:lang w:val="pl-PL"/>
        </w:rPr>
        <w:t xml:space="preserve">innych niż </w:t>
      </w:r>
      <w:r w:rsidR="00D3140F" w:rsidRPr="00EC3A22">
        <w:rPr>
          <w:lang w:val="pl-PL"/>
        </w:rPr>
        <w:t>zasadne</w:t>
      </w:r>
      <w:r w:rsidR="00D3140F">
        <w:rPr>
          <w:lang w:val="pl-PL"/>
        </w:rPr>
        <w:t xml:space="preserve"> </w:t>
      </w:r>
      <w:r w:rsidR="009053C6">
        <w:rPr>
          <w:lang w:val="pl-PL"/>
        </w:rPr>
        <w:t>podejrzenie</w:t>
      </w:r>
      <w:r w:rsidRPr="00444BE7">
        <w:rPr>
          <w:lang w:val="pl-PL"/>
        </w:rPr>
        <w:t xml:space="preserve"> popełnienia przestępstwa</w:t>
      </w:r>
      <w:r>
        <w:rPr>
          <w:lang w:val="pl-PL"/>
        </w:rPr>
        <w:t xml:space="preserve">: </w:t>
      </w:r>
      <w:r w:rsidRPr="00444BE7">
        <w:rPr>
          <w:i/>
          <w:lang w:val="pl-PL"/>
        </w:rPr>
        <w:t>naruszenie</w:t>
      </w:r>
    </w:p>
    <w:p w:rsidR="008E2C57" w:rsidRPr="008E2C57" w:rsidRDefault="008E2C57">
      <w:pPr>
        <w:pStyle w:val="ClinContent"/>
        <w:rPr>
          <w:lang w:val="pl-PL"/>
        </w:rPr>
      </w:pPr>
      <w:r w:rsidRPr="008E2C57">
        <w:rPr>
          <w:i/>
          <w:lang w:val="pl-PL"/>
        </w:rPr>
        <w:t>Fakty</w:t>
      </w:r>
      <w:r w:rsidRPr="008E2C57">
        <w:rPr>
          <w:lang w:val="pl-PL"/>
        </w:rPr>
        <w:t xml:space="preserve"> – Skarżący, biznesmen, został </w:t>
      </w:r>
      <w:r w:rsidR="009053C6">
        <w:rPr>
          <w:lang w:val="pl-PL"/>
        </w:rPr>
        <w:t>zatrzymany</w:t>
      </w:r>
      <w:r w:rsidRPr="008E2C57">
        <w:rPr>
          <w:lang w:val="pl-PL"/>
        </w:rPr>
        <w:t xml:space="preserve"> w maju 2007 r. </w:t>
      </w:r>
      <w:r>
        <w:rPr>
          <w:lang w:val="pl-PL"/>
        </w:rPr>
        <w:t xml:space="preserve">i oskarżony o defraudację wobec państwowej spółki, której był dyrektorem. Zastosowano wobec niego tymczasowe aresztowanie z uwagi na wagę zarzutów </w:t>
      </w:r>
      <w:r w:rsidR="009053C6">
        <w:rPr>
          <w:lang w:val="pl-PL"/>
        </w:rPr>
        <w:t xml:space="preserve">kierowanych </w:t>
      </w:r>
      <w:r>
        <w:rPr>
          <w:lang w:val="pl-PL"/>
        </w:rPr>
        <w:t xml:space="preserve">przeciwko niemu, złożony charakter sprawy oraz ryzyko zmowy. Jego aresztowanie było kilkakrotnie przedłużane do lipca 2007 r., kiedy to sądy krajowe </w:t>
      </w:r>
      <w:r w:rsidR="00D3140F">
        <w:rPr>
          <w:lang w:val="pl-PL"/>
        </w:rPr>
        <w:t xml:space="preserve">przychyliły się do </w:t>
      </w:r>
      <w:r>
        <w:rPr>
          <w:lang w:val="pl-PL"/>
        </w:rPr>
        <w:t xml:space="preserve"> jego wniosk</w:t>
      </w:r>
      <w:r w:rsidR="00D3140F">
        <w:rPr>
          <w:lang w:val="pl-PL"/>
        </w:rPr>
        <w:t>u</w:t>
      </w:r>
      <w:r>
        <w:rPr>
          <w:lang w:val="pl-PL"/>
        </w:rPr>
        <w:t xml:space="preserve"> o zastosowanie aresztu domowego. Pozostawał w areszcie domowym do marca 2008 r., kiedy zwolniono go za kaucją. </w:t>
      </w:r>
    </w:p>
    <w:p w:rsidR="008E2C57" w:rsidRPr="008E2C57" w:rsidRDefault="008E2C57">
      <w:pPr>
        <w:pStyle w:val="ClinContent"/>
        <w:rPr>
          <w:lang w:val="pl-PL"/>
        </w:rPr>
      </w:pPr>
      <w:r w:rsidRPr="008E2C57">
        <w:rPr>
          <w:lang w:val="pl-PL"/>
        </w:rPr>
        <w:t xml:space="preserve">W wyroku Izby z 16 grudnia 2014 r. </w:t>
      </w:r>
      <w:r>
        <w:rPr>
          <w:lang w:val="pl-PL"/>
        </w:rPr>
        <w:t xml:space="preserve">Trybunał orzekł, czterema głosami do trzech, że doszło do naruszenia art. 5 ust. 3 Konwencji, ponieważ sądy krajowe nie wskazały wystarczających powodów do przedłużenia tymczasowego aresztowania </w:t>
      </w:r>
      <w:r w:rsidR="00D3140F">
        <w:rPr>
          <w:lang w:val="pl-PL"/>
        </w:rPr>
        <w:t xml:space="preserve">wobec </w:t>
      </w:r>
      <w:r>
        <w:rPr>
          <w:lang w:val="pl-PL"/>
        </w:rPr>
        <w:t xml:space="preserve">skarżącego, a następnie do zarządzenia umieszczenia go w areszcie domowym. </w:t>
      </w:r>
    </w:p>
    <w:p w:rsidR="00734AB8" w:rsidRPr="00734AB8" w:rsidRDefault="00734AB8">
      <w:pPr>
        <w:pStyle w:val="ClinContent"/>
        <w:rPr>
          <w:lang w:val="pl-PL"/>
        </w:rPr>
      </w:pPr>
      <w:r w:rsidRPr="00734AB8">
        <w:rPr>
          <w:lang w:val="pl-PL"/>
        </w:rPr>
        <w:t xml:space="preserve">W dniu 20 kwietnia 2015 r. sprawa została przekazana do Wielkiej Izby na wniosek rządu. </w:t>
      </w:r>
    </w:p>
    <w:p w:rsidR="00734AB8" w:rsidRPr="00734AB8" w:rsidRDefault="00734AB8">
      <w:pPr>
        <w:pStyle w:val="ClinContent"/>
        <w:rPr>
          <w:lang w:val="pl-PL"/>
        </w:rPr>
      </w:pPr>
      <w:r w:rsidRPr="00734AB8">
        <w:rPr>
          <w:lang w:val="pl-PL"/>
        </w:rPr>
        <w:t>Prawo – Art. 5 ust. 3: W</w:t>
      </w:r>
      <w:r>
        <w:rPr>
          <w:lang w:val="pl-PL"/>
        </w:rPr>
        <w:t xml:space="preserve"> świetle pierwsze</w:t>
      </w:r>
      <w:r w:rsidR="009053C6">
        <w:rPr>
          <w:lang w:val="pl-PL"/>
        </w:rPr>
        <w:t>go</w:t>
      </w:r>
      <w:r>
        <w:rPr>
          <w:lang w:val="pl-PL"/>
        </w:rPr>
        <w:t xml:space="preserve"> </w:t>
      </w:r>
      <w:r w:rsidR="009053C6">
        <w:rPr>
          <w:lang w:val="pl-PL"/>
        </w:rPr>
        <w:t xml:space="preserve">aspektu </w:t>
      </w:r>
      <w:r>
        <w:rPr>
          <w:lang w:val="pl-PL"/>
        </w:rPr>
        <w:t>art. 5 ust. 3, osoby zatrzymane lub aresztowane na podstawie art. 5 ust. 1 lit. c w razie uzasadnionego podejrzenia popełnienia czynu zagrożonego karą, mają praw do „niezwłocznego” postawienia przed</w:t>
      </w:r>
      <w:r w:rsidR="009053C6">
        <w:rPr>
          <w:lang w:val="pl-PL"/>
        </w:rPr>
        <w:t xml:space="preserve"> władzą sądową, która</w:t>
      </w:r>
      <w:r>
        <w:rPr>
          <w:lang w:val="pl-PL"/>
        </w:rPr>
        <w:t xml:space="preserve"> zbada zgodność z prawem pozbawienia wolności, a także</w:t>
      </w:r>
      <w:r w:rsidR="00D43C39">
        <w:rPr>
          <w:lang w:val="pl-PL"/>
        </w:rPr>
        <w:t xml:space="preserve"> to,</w:t>
      </w:r>
      <w:r>
        <w:rPr>
          <w:lang w:val="pl-PL"/>
        </w:rPr>
        <w:t xml:space="preserve"> czy podejrzenie</w:t>
      </w:r>
      <w:r w:rsidR="009053C6">
        <w:rPr>
          <w:lang w:val="pl-PL"/>
        </w:rPr>
        <w:t xml:space="preserve"> jest uzasadnione</w:t>
      </w:r>
      <w:r>
        <w:rPr>
          <w:lang w:val="pl-PL"/>
        </w:rPr>
        <w:t xml:space="preserve">. </w:t>
      </w:r>
    </w:p>
    <w:p w:rsidR="00734AB8" w:rsidRPr="00734AB8" w:rsidRDefault="00734AB8">
      <w:pPr>
        <w:pStyle w:val="ClinContent"/>
        <w:rPr>
          <w:lang w:val="pl-PL"/>
        </w:rPr>
      </w:pPr>
      <w:r w:rsidRPr="009053C6">
        <w:rPr>
          <w:lang w:val="pl-PL"/>
        </w:rPr>
        <w:t xml:space="preserve">Zgodnie z </w:t>
      </w:r>
      <w:r w:rsidR="009053C6" w:rsidRPr="009053C6">
        <w:rPr>
          <w:lang w:val="pl-PL"/>
        </w:rPr>
        <w:t>drugim aspektem</w:t>
      </w:r>
      <w:r w:rsidRPr="00734AB8">
        <w:rPr>
          <w:lang w:val="pl-PL"/>
        </w:rPr>
        <w:t xml:space="preserve"> art. </w:t>
      </w:r>
      <w:r>
        <w:rPr>
          <w:lang w:val="pl-PL"/>
        </w:rPr>
        <w:t xml:space="preserve">5 ust. 3 – prawo </w:t>
      </w:r>
      <w:r w:rsidR="007241F9">
        <w:rPr>
          <w:lang w:val="pl-PL"/>
        </w:rPr>
        <w:t>do bycia sądzonym w rozsądnym terminie albo zwolnienia na czas postępowania – o</w:t>
      </w:r>
      <w:r w:rsidR="009053C6">
        <w:rPr>
          <w:lang w:val="pl-PL"/>
        </w:rPr>
        <w:t>rzecznictwo Trybunału przewidywało</w:t>
      </w:r>
      <w:r w:rsidR="007241F9">
        <w:rPr>
          <w:lang w:val="pl-PL"/>
        </w:rPr>
        <w:t xml:space="preserve">, że utrzymywanie się uzasadnionego podejrzenia jest warunkiem </w:t>
      </w:r>
      <w:r w:rsidR="007241F9" w:rsidRPr="007241F9">
        <w:rPr>
          <w:i/>
          <w:lang w:val="pl-PL"/>
        </w:rPr>
        <w:t>sine qua non</w:t>
      </w:r>
      <w:r w:rsidR="007241F9" w:rsidRPr="007241F9">
        <w:rPr>
          <w:lang w:val="pl-PL"/>
        </w:rPr>
        <w:t>, by</w:t>
      </w:r>
      <w:r w:rsidR="007241F9">
        <w:rPr>
          <w:lang w:val="pl-PL"/>
        </w:rPr>
        <w:t xml:space="preserve"> móc uznać ważność trwającego pozbawienia wolności, ale „po upływie</w:t>
      </w:r>
      <w:r w:rsidR="006E1FD7">
        <w:rPr>
          <w:lang w:val="pl-PL"/>
        </w:rPr>
        <w:t xml:space="preserve"> pewnego</w:t>
      </w:r>
      <w:r w:rsidR="009053C6">
        <w:rPr>
          <w:lang w:val="pl-PL"/>
        </w:rPr>
        <w:t xml:space="preserve"> czasu”</w:t>
      </w:r>
      <w:r w:rsidR="007241F9">
        <w:rPr>
          <w:lang w:val="pl-PL"/>
        </w:rPr>
        <w:t xml:space="preserve"> nie jest to już wystarczające i wymagane są inne „właściwe oraz wystarczające” powody pozbawienia wolności. Trybunał nie zdefiniował jednak nigdy długości tego „upływu </w:t>
      </w:r>
      <w:r w:rsidR="006E1FD7">
        <w:rPr>
          <w:lang w:val="pl-PL"/>
        </w:rPr>
        <w:t>pewnego</w:t>
      </w:r>
      <w:r w:rsidR="007241F9">
        <w:rPr>
          <w:lang w:val="pl-PL"/>
        </w:rPr>
        <w:t xml:space="preserve"> czasu”, choć uznał, że może to być nawet kilka dni. </w:t>
      </w:r>
    </w:p>
    <w:p w:rsidR="007241F9" w:rsidRPr="007241F9" w:rsidRDefault="007241F9">
      <w:pPr>
        <w:pStyle w:val="ClinContent"/>
        <w:rPr>
          <w:lang w:val="pl-PL"/>
        </w:rPr>
      </w:pPr>
      <w:r w:rsidRPr="007241F9">
        <w:rPr>
          <w:lang w:val="pl-PL"/>
        </w:rPr>
        <w:lastRenderedPageBreak/>
        <w:t xml:space="preserve">Trybunał uznał zatem, że użyteczne byłoby dalsze rozwinięcie orzecznictwa </w:t>
      </w:r>
      <w:r>
        <w:rPr>
          <w:lang w:val="pl-PL"/>
        </w:rPr>
        <w:t>w odniesieniu do wymogu po stronie krajowych władz sądowych uzasadnienia trwającego pozbawienia wolności na potrzeby drugie</w:t>
      </w:r>
      <w:r w:rsidR="009053C6">
        <w:rPr>
          <w:lang w:val="pl-PL"/>
        </w:rPr>
        <w:t>go aspektu</w:t>
      </w:r>
      <w:r>
        <w:rPr>
          <w:lang w:val="pl-PL"/>
        </w:rPr>
        <w:t xml:space="preserve"> art. 5 ust. 3. Na wstępie przypomniał, że na potrzeby oceny rozsą</w:t>
      </w:r>
      <w:r w:rsidR="009053C6">
        <w:rPr>
          <w:lang w:val="pl-PL"/>
        </w:rPr>
        <w:t xml:space="preserve">dnej długości </w:t>
      </w:r>
      <w:r w:rsidR="00272D28">
        <w:rPr>
          <w:lang w:val="pl-PL"/>
        </w:rPr>
        <w:t>[</w:t>
      </w:r>
      <w:r w:rsidR="003C55AA" w:rsidRPr="003C55AA">
        <w:rPr>
          <w:lang w:val="pl-PL"/>
        </w:rPr>
        <w:t>trwania tymczasowego aresztowania</w:t>
      </w:r>
      <w:r w:rsidR="003C55AA">
        <w:rPr>
          <w:lang w:val="pl-PL"/>
        </w:rPr>
        <w:t>]</w:t>
      </w:r>
      <w:r w:rsidR="003C55AA" w:rsidRPr="003C55AA">
        <w:rPr>
          <w:lang w:val="pl-PL"/>
        </w:rPr>
        <w:t xml:space="preserve"> </w:t>
      </w:r>
      <w:r w:rsidR="009053C6">
        <w:rPr>
          <w:lang w:val="pl-PL"/>
        </w:rPr>
        <w:t>na gruncie drugiego aspektu</w:t>
      </w:r>
      <w:r>
        <w:rPr>
          <w:lang w:val="pl-PL"/>
        </w:rPr>
        <w:t xml:space="preserve"> art. 5 ust. 3 okres czasu, który należy uwzględnić</w:t>
      </w:r>
      <w:r w:rsidR="009053C6">
        <w:rPr>
          <w:lang w:val="pl-PL"/>
        </w:rPr>
        <w:t>,</w:t>
      </w:r>
      <w:r>
        <w:rPr>
          <w:lang w:val="pl-PL"/>
        </w:rPr>
        <w:t xml:space="preserve"> rozpoczyna się od momentu, gdy osoba zostaje pozbawiona wolności </w:t>
      </w:r>
    </w:p>
    <w:p w:rsidR="007241F9" w:rsidRPr="007241F9" w:rsidRDefault="007241F9">
      <w:pPr>
        <w:pStyle w:val="ClinContent"/>
        <w:rPr>
          <w:lang w:val="pl-PL"/>
        </w:rPr>
      </w:pPr>
      <w:r w:rsidRPr="007241F9">
        <w:rPr>
          <w:lang w:val="pl-PL"/>
        </w:rPr>
        <w:t>Trybunał zauważył, że choć ob</w:t>
      </w:r>
      <w:r w:rsidR="009053C6">
        <w:rPr>
          <w:lang w:val="pl-PL"/>
        </w:rPr>
        <w:t>a</w:t>
      </w:r>
      <w:r w:rsidRPr="007241F9">
        <w:rPr>
          <w:lang w:val="pl-PL"/>
        </w:rPr>
        <w:t xml:space="preserve"> </w:t>
      </w:r>
      <w:r w:rsidR="009053C6">
        <w:rPr>
          <w:lang w:val="pl-PL"/>
        </w:rPr>
        <w:t>aspekty</w:t>
      </w:r>
      <w:r w:rsidRPr="007241F9">
        <w:rPr>
          <w:lang w:val="pl-PL"/>
        </w:rPr>
        <w:t xml:space="preserve"> [art. </w:t>
      </w:r>
      <w:r>
        <w:rPr>
          <w:lang w:val="pl-PL"/>
        </w:rPr>
        <w:t xml:space="preserve">5 ust. 3] przyznają oddzielne prawa, istnieje pewien zakres wspólny: w obu przypadkach okres </w:t>
      </w:r>
      <w:r w:rsidR="003C55AA">
        <w:rPr>
          <w:lang w:val="pl-PL"/>
        </w:rPr>
        <w:t>pozbawienia wolności</w:t>
      </w:r>
      <w:r>
        <w:rPr>
          <w:lang w:val="pl-PL"/>
        </w:rPr>
        <w:t xml:space="preserve"> rozpoczyna bieg od momentu zatrzymania; oba wymagają oceny władzy sądowej, czy istnieją podstawy uzasadniające </w:t>
      </w:r>
      <w:r w:rsidR="009053C6">
        <w:rPr>
          <w:lang w:val="pl-PL"/>
        </w:rPr>
        <w:t>pozbawienie wolności, a</w:t>
      </w:r>
      <w:r>
        <w:rPr>
          <w:lang w:val="pl-PL"/>
        </w:rPr>
        <w:t xml:space="preserve"> w </w:t>
      </w:r>
      <w:r w:rsidR="00E473B4">
        <w:rPr>
          <w:lang w:val="pl-PL"/>
        </w:rPr>
        <w:t>sytuacji,</w:t>
      </w:r>
      <w:r>
        <w:rPr>
          <w:lang w:val="pl-PL"/>
        </w:rPr>
        <w:t xml:space="preserve"> gdy ich brak</w:t>
      </w:r>
      <w:r w:rsidR="00320E65">
        <w:rPr>
          <w:lang w:val="pl-PL"/>
        </w:rPr>
        <w:t>,</w:t>
      </w:r>
      <w:r>
        <w:rPr>
          <w:lang w:val="pl-PL"/>
        </w:rPr>
        <w:t xml:space="preserve"> </w:t>
      </w:r>
      <w:r w:rsidR="009053C6">
        <w:rPr>
          <w:lang w:val="pl-PL"/>
        </w:rPr>
        <w:t>zarządzenia</w:t>
      </w:r>
      <w:r>
        <w:rPr>
          <w:lang w:val="pl-PL"/>
        </w:rPr>
        <w:t xml:space="preserve"> zwolnienia; w praktyce zastosowanie gwarancji na podstawie drugie</w:t>
      </w:r>
      <w:r w:rsidR="009053C6">
        <w:rPr>
          <w:lang w:val="pl-PL"/>
        </w:rPr>
        <w:t>go aspektu</w:t>
      </w:r>
      <w:r>
        <w:rPr>
          <w:lang w:val="pl-PL"/>
        </w:rPr>
        <w:t xml:space="preserve"> będ</w:t>
      </w:r>
      <w:r w:rsidR="00E473B4">
        <w:rPr>
          <w:lang w:val="pl-PL"/>
        </w:rPr>
        <w:t>zie</w:t>
      </w:r>
      <w:r w:rsidR="009053C6">
        <w:rPr>
          <w:lang w:val="pl-PL"/>
        </w:rPr>
        <w:t xml:space="preserve"> się pokrywać z tymi z pierwszego aspektu</w:t>
      </w:r>
      <w:r>
        <w:rPr>
          <w:lang w:val="pl-PL"/>
        </w:rPr>
        <w:t>, zazwyczaj w sytuacjach, w których organ sądowy, który upoważnia do za</w:t>
      </w:r>
      <w:r w:rsidR="00EF3F5F">
        <w:rPr>
          <w:lang w:val="pl-PL"/>
        </w:rPr>
        <w:t>trzymania na podstawie pierwszego aspektu</w:t>
      </w:r>
      <w:r w:rsidR="00320E65">
        <w:rPr>
          <w:lang w:val="pl-PL"/>
        </w:rPr>
        <w:t>,</w:t>
      </w:r>
      <w:r>
        <w:rPr>
          <w:lang w:val="pl-PL"/>
        </w:rPr>
        <w:t xml:space="preserve"> jednocześnie zarządza tymczasowe aresztowanie </w:t>
      </w:r>
      <w:r w:rsidR="00EF3F5F">
        <w:rPr>
          <w:lang w:val="pl-PL"/>
        </w:rPr>
        <w:t>podlegające gwarancjom z drugiego aspektu</w:t>
      </w:r>
      <w:r>
        <w:rPr>
          <w:lang w:val="pl-PL"/>
        </w:rPr>
        <w:t xml:space="preserve">. W takich sytuacjach, pierwsze postawienie </w:t>
      </w:r>
      <w:r w:rsidR="006E1FD7">
        <w:rPr>
          <w:lang w:val="pl-PL"/>
        </w:rPr>
        <w:t xml:space="preserve">podejrzanego </w:t>
      </w:r>
      <w:r>
        <w:rPr>
          <w:lang w:val="pl-PL"/>
        </w:rPr>
        <w:t xml:space="preserve">przed </w:t>
      </w:r>
      <w:r w:rsidR="006E1FD7">
        <w:rPr>
          <w:lang w:val="pl-PL"/>
        </w:rPr>
        <w:t xml:space="preserve">sędzią stanowi „skrzyżowanie”, na którym oba zestawy gwarancji się napotykają, a drugie wchodzą na miejsce pierwszych. Jednakże pytanie, kiedy drugi zestaw gwarancji ma pełne zastosowane, w tym znaczeniu, że dodatkowo w stosunku do zasadnego podejrzenia wymagane są dalsze </w:t>
      </w:r>
      <w:r w:rsidR="00D56A48">
        <w:rPr>
          <w:lang w:val="pl-PL"/>
        </w:rPr>
        <w:t>właściwe</w:t>
      </w:r>
      <w:r w:rsidR="006E1FD7">
        <w:rPr>
          <w:lang w:val="pl-PL"/>
        </w:rPr>
        <w:t xml:space="preserve"> i wystarczające powody, pozostawiono uzależnione od dość niejasnego sformułowania „upływu pewnego czasu” </w:t>
      </w:r>
    </w:p>
    <w:p w:rsidR="00395453" w:rsidRPr="00395453" w:rsidRDefault="00395453">
      <w:pPr>
        <w:pStyle w:val="ClinContent"/>
        <w:rPr>
          <w:lang w:val="pl-PL"/>
        </w:rPr>
      </w:pPr>
      <w:r w:rsidRPr="00395453">
        <w:rPr>
          <w:lang w:val="pl-PL"/>
        </w:rPr>
        <w:t xml:space="preserve">W tym względzie Trybunał odnotował, że prawo krajowe </w:t>
      </w:r>
      <w:r>
        <w:rPr>
          <w:lang w:val="pl-PL"/>
        </w:rPr>
        <w:t xml:space="preserve">znacznej większości trzydziestu jeden Państw Członkowskich Rady Europy, wobec których przeprowadził analizę </w:t>
      </w:r>
      <w:proofErr w:type="spellStart"/>
      <w:r>
        <w:rPr>
          <w:lang w:val="pl-PL"/>
        </w:rPr>
        <w:t>prawnoporównawczą</w:t>
      </w:r>
      <w:proofErr w:type="spellEnd"/>
      <w:r>
        <w:rPr>
          <w:lang w:val="pl-PL"/>
        </w:rPr>
        <w:t>, wymagał</w:t>
      </w:r>
      <w:r w:rsidR="00EF3F5F">
        <w:rPr>
          <w:lang w:val="pl-PL"/>
        </w:rPr>
        <w:t>o</w:t>
      </w:r>
      <w:r>
        <w:rPr>
          <w:lang w:val="pl-PL"/>
        </w:rPr>
        <w:t xml:space="preserve">, by właściwe władze sądowe wskazały „właściwe i wystarczające” powody dla utrzymania </w:t>
      </w:r>
      <w:r w:rsidR="00EF3F5F">
        <w:rPr>
          <w:lang w:val="pl-PL"/>
        </w:rPr>
        <w:t>pozbawienia wolności</w:t>
      </w:r>
      <w:r>
        <w:rPr>
          <w:lang w:val="pl-PL"/>
        </w:rPr>
        <w:t xml:space="preserve"> jeśli nie natychmiast to w ciągu zaledwie kilku dni od zatrzymania, a mianowicie w chwili, gdy sędzia badał po raz pierwszy konieczność zastosowania wobec podejrzanego tymczasowego aresztowania. Takie podejście, jeśliby przenieść je na grunt art. 5 ust. 3 Konwencji, nie tylko uprościłoby</w:t>
      </w:r>
      <w:r w:rsidR="00EF3F5F">
        <w:rPr>
          <w:lang w:val="pl-PL"/>
        </w:rPr>
        <w:t xml:space="preserve"> i </w:t>
      </w:r>
      <w:r>
        <w:rPr>
          <w:lang w:val="pl-PL"/>
        </w:rPr>
        <w:t xml:space="preserve">wprowadziło większą jasność i pewność w orzecznictwie na podstawie Konwencji, ale też wzmocniłoby ochronę przed pozbawieniem wolności wykraczającym poza rozsądny termin. </w:t>
      </w:r>
    </w:p>
    <w:p w:rsidR="00395453" w:rsidRPr="00395453" w:rsidRDefault="00395453">
      <w:pPr>
        <w:pStyle w:val="ClinContent"/>
        <w:rPr>
          <w:lang w:val="pl-PL"/>
        </w:rPr>
      </w:pPr>
      <w:r w:rsidRPr="00395453">
        <w:rPr>
          <w:lang w:val="pl-PL"/>
        </w:rPr>
        <w:t>Istniały zatem przekonujące argumenty na rzecz zsynchronizowania gwarancji na podstawie drugie</w:t>
      </w:r>
      <w:r w:rsidR="00EF3F5F">
        <w:rPr>
          <w:lang w:val="pl-PL"/>
        </w:rPr>
        <w:t>go aspektu</w:t>
      </w:r>
      <w:r w:rsidRPr="00395453">
        <w:rPr>
          <w:lang w:val="pl-PL"/>
        </w:rPr>
        <w:t xml:space="preserve"> art. </w:t>
      </w:r>
      <w:r>
        <w:rPr>
          <w:lang w:val="pl-PL"/>
        </w:rPr>
        <w:t xml:space="preserve">5 ust. 3 z przewidzianymi na podstawie </w:t>
      </w:r>
      <w:r w:rsidR="00EF3F5F">
        <w:rPr>
          <w:lang w:val="pl-PL"/>
        </w:rPr>
        <w:t>jego pierwszego aspektu</w:t>
      </w:r>
      <w:r>
        <w:rPr>
          <w:lang w:val="pl-PL"/>
        </w:rPr>
        <w:t xml:space="preserve">. A zatem, wymóg, by poza utrzymującym się zasadnym podejrzeniem urzędnik </w:t>
      </w:r>
      <w:r w:rsidR="00EF3F5F">
        <w:rPr>
          <w:lang w:val="pl-PL"/>
        </w:rPr>
        <w:t xml:space="preserve">uprawniony do wykonywania władzy sądowej </w:t>
      </w:r>
      <w:r>
        <w:rPr>
          <w:lang w:val="pl-PL"/>
        </w:rPr>
        <w:t>wskazał właściwe i wys</w:t>
      </w:r>
      <w:r w:rsidR="00DB6F18">
        <w:rPr>
          <w:lang w:val="pl-PL"/>
        </w:rPr>
        <w:t>tarczające powody pozbawienia wolności</w:t>
      </w:r>
      <w:r w:rsidR="006362CD">
        <w:rPr>
          <w:lang w:val="pl-PL"/>
        </w:rPr>
        <w:t>,</w:t>
      </w:r>
      <w:r w:rsidR="00DB6F18">
        <w:rPr>
          <w:lang w:val="pl-PL"/>
        </w:rPr>
        <w:t xml:space="preserve"> ma zastosowanie już w momencie podejmowania pierwszej decyzji o zastosowaniu tymczasowego aresztowania, czyli innymi słowy niezwłocznie po zatrzymaniu. </w:t>
      </w:r>
    </w:p>
    <w:p w:rsidR="00DB6F18" w:rsidRPr="00DB6F18" w:rsidRDefault="00DB6F18">
      <w:pPr>
        <w:pStyle w:val="ClinContent"/>
        <w:rPr>
          <w:lang w:val="pl-PL"/>
        </w:rPr>
      </w:pPr>
      <w:r w:rsidRPr="00DB6F18">
        <w:rPr>
          <w:lang w:val="pl-PL"/>
        </w:rPr>
        <w:t xml:space="preserve">Wielka Izba stwierdziła, że umieszczenie skarżącego w areszcie domowym również stanowiło pozbawienie wolności </w:t>
      </w:r>
      <w:r>
        <w:rPr>
          <w:lang w:val="pl-PL"/>
        </w:rPr>
        <w:t xml:space="preserve">i zastosowała te same kryteria do całego okresu pozbawienia wolności, niezależnie od miejsca, w którym skarżący został pozbawiony wolności. </w:t>
      </w:r>
    </w:p>
    <w:p w:rsidR="00DB6F18" w:rsidRPr="00D43C39" w:rsidRDefault="00DB6F18">
      <w:pPr>
        <w:pStyle w:val="ClinContent"/>
        <w:rPr>
          <w:lang w:val="pl-PL"/>
        </w:rPr>
      </w:pPr>
      <w:r>
        <w:rPr>
          <w:lang w:val="pl-PL"/>
        </w:rPr>
        <w:t>Wielka Izba stwierd</w:t>
      </w:r>
      <w:r w:rsidRPr="00DB6F18">
        <w:rPr>
          <w:lang w:val="pl-PL"/>
        </w:rPr>
        <w:t>z</w:t>
      </w:r>
      <w:r>
        <w:rPr>
          <w:lang w:val="pl-PL"/>
        </w:rPr>
        <w:t>i</w:t>
      </w:r>
      <w:r w:rsidRPr="00DB6F18">
        <w:rPr>
          <w:lang w:val="pl-PL"/>
        </w:rPr>
        <w:t xml:space="preserve">ła, że powody powoływane przez sądy krajowe </w:t>
      </w:r>
      <w:r>
        <w:rPr>
          <w:lang w:val="pl-PL"/>
        </w:rPr>
        <w:t xml:space="preserve">w sprawie zastosowania i przedłużenia </w:t>
      </w:r>
      <w:r w:rsidR="00EF3F5F">
        <w:rPr>
          <w:lang w:val="pl-PL"/>
        </w:rPr>
        <w:t>pozbawienia wolności</w:t>
      </w:r>
      <w:r>
        <w:rPr>
          <w:lang w:val="pl-PL"/>
        </w:rPr>
        <w:t xml:space="preserve"> skarżącego miały charakter stereotypowy i abstrakcyjny. Ich orzeczenia cytowały podstawy aresztowania bez żadnej próby wykazania, w jaki konkretnie sposób </w:t>
      </w:r>
      <w:r w:rsidR="00EF3F5F">
        <w:rPr>
          <w:lang w:val="pl-PL"/>
        </w:rPr>
        <w:t xml:space="preserve">miały one </w:t>
      </w:r>
      <w:r>
        <w:rPr>
          <w:lang w:val="pl-PL"/>
        </w:rPr>
        <w:t xml:space="preserve">zastosowanie w szczególnych okolicznościach sprawy skarżącego. Ponadto, nie można uznać, że sądy krajowe działały w sposób </w:t>
      </w:r>
      <w:r w:rsidR="00BC00ED" w:rsidRPr="00EC3A22">
        <w:rPr>
          <w:lang w:val="pl-PL"/>
        </w:rPr>
        <w:t>konsekwentny</w:t>
      </w:r>
      <w:r w:rsidRPr="00EC3A22">
        <w:rPr>
          <w:lang w:val="pl-PL"/>
        </w:rPr>
        <w:t>.</w:t>
      </w:r>
      <w:r>
        <w:rPr>
          <w:lang w:val="pl-PL"/>
        </w:rPr>
        <w:t xml:space="preserve"> W szczególności, w niektórych przypadkach oddalały jako nieudowodnione i nieprzekonujące twierdzenia prokuratora na temat </w:t>
      </w:r>
      <w:r w:rsidR="00EF3F5F">
        <w:rPr>
          <w:lang w:val="pl-PL"/>
        </w:rPr>
        <w:t>ryzyka ucieczki, wpływania na świadków</w:t>
      </w:r>
      <w:r w:rsidR="00E473B4">
        <w:rPr>
          <w:lang w:val="pl-PL"/>
        </w:rPr>
        <w:t>,</w:t>
      </w:r>
      <w:r w:rsidR="00EF3F5F">
        <w:rPr>
          <w:lang w:val="pl-PL"/>
        </w:rPr>
        <w:t xml:space="preserve"> czy też matactwa ze strony skarżącego</w:t>
      </w:r>
      <w:r>
        <w:rPr>
          <w:lang w:val="pl-PL"/>
        </w:rPr>
        <w:t>. W innych przypadkach uwzględniały te same powody</w:t>
      </w:r>
      <w:r w:rsidR="00EF3F5F">
        <w:rPr>
          <w:lang w:val="pl-PL"/>
        </w:rPr>
        <w:t xml:space="preserve"> bez </w:t>
      </w:r>
      <w:r>
        <w:rPr>
          <w:lang w:val="pl-PL"/>
        </w:rPr>
        <w:t>widocznej zmiany w okolicznościach i bez wyjaśnienia. Kiedy w grę wchodzi tak ważna kwestia jak prawo do wolności</w:t>
      </w:r>
      <w:r w:rsidR="00EF3F5F">
        <w:rPr>
          <w:lang w:val="pl-PL"/>
        </w:rPr>
        <w:t xml:space="preserve"> osobistej</w:t>
      </w:r>
      <w:r>
        <w:rPr>
          <w:lang w:val="pl-PL"/>
        </w:rPr>
        <w:t xml:space="preserve">, na władzach </w:t>
      </w:r>
      <w:r>
        <w:rPr>
          <w:lang w:val="pl-PL"/>
        </w:rPr>
        <w:lastRenderedPageBreak/>
        <w:t xml:space="preserve">krajowych ciąży obowiązek przekonującego wykazania, że pozbawienie wolności jest konieczne. </w:t>
      </w:r>
      <w:r w:rsidRPr="00D43C39">
        <w:rPr>
          <w:lang w:val="pl-PL"/>
        </w:rPr>
        <w:t xml:space="preserve">W </w:t>
      </w:r>
      <w:r w:rsidRPr="00973E43">
        <w:rPr>
          <w:lang w:val="pl-PL"/>
        </w:rPr>
        <w:t>obecnej sprawie z pewnością nie miało to miejsca</w:t>
      </w:r>
      <w:r w:rsidRPr="00D43C39">
        <w:rPr>
          <w:lang w:val="pl-PL"/>
        </w:rPr>
        <w:t xml:space="preserve">. </w:t>
      </w:r>
    </w:p>
    <w:p w:rsidR="00DB6F18" w:rsidRPr="00DB6F18" w:rsidRDefault="00DB6F18">
      <w:pPr>
        <w:pStyle w:val="ClinContent"/>
        <w:rPr>
          <w:lang w:val="pl-PL"/>
        </w:rPr>
      </w:pPr>
      <w:r w:rsidRPr="00DB6F18">
        <w:rPr>
          <w:lang w:val="pl-PL"/>
        </w:rPr>
        <w:t xml:space="preserve">Brak było zatem właściwych i wystarczających </w:t>
      </w:r>
      <w:r>
        <w:rPr>
          <w:lang w:val="pl-PL"/>
        </w:rPr>
        <w:t xml:space="preserve">powodów do zastosowania i przedłużenia tymczasowego aresztowania skarżącego. </w:t>
      </w:r>
    </w:p>
    <w:p w:rsidR="00977E32" w:rsidRPr="00977E32" w:rsidRDefault="00977E32">
      <w:pPr>
        <w:pStyle w:val="ClinContent"/>
        <w:rPr>
          <w:lang w:val="pl-PL"/>
        </w:rPr>
      </w:pPr>
      <w:r w:rsidRPr="00977E32">
        <w:rPr>
          <w:i/>
          <w:lang w:val="pl-PL"/>
        </w:rPr>
        <w:t>Rozstrzygnięcie</w:t>
      </w:r>
      <w:r w:rsidRPr="00977E32">
        <w:rPr>
          <w:lang w:val="pl-PL"/>
        </w:rPr>
        <w:t>: naruszenie (jednomyślnie).</w:t>
      </w:r>
    </w:p>
    <w:p w:rsidR="00D4169E" w:rsidRPr="00977E32" w:rsidRDefault="005D573F">
      <w:pPr>
        <w:pStyle w:val="ClinContent"/>
        <w:rPr>
          <w:lang w:val="pl-PL"/>
        </w:rPr>
      </w:pPr>
      <w:r w:rsidRPr="00977E32">
        <w:rPr>
          <w:lang w:val="pl-PL"/>
        </w:rPr>
        <w:t>Art</w:t>
      </w:r>
      <w:r w:rsidR="00977E32" w:rsidRPr="00977E32">
        <w:rPr>
          <w:lang w:val="pl-PL"/>
        </w:rPr>
        <w:t>.</w:t>
      </w:r>
      <w:r w:rsidRPr="00977E32">
        <w:rPr>
          <w:lang w:val="pl-PL"/>
        </w:rPr>
        <w:t xml:space="preserve"> 41: </w:t>
      </w:r>
      <w:r w:rsidR="00977E32">
        <w:rPr>
          <w:lang w:val="pl-PL"/>
        </w:rPr>
        <w:t>3.</w:t>
      </w:r>
      <w:r w:rsidRPr="00977E32">
        <w:rPr>
          <w:lang w:val="pl-PL"/>
        </w:rPr>
        <w:t xml:space="preserve">000 </w:t>
      </w:r>
      <w:r w:rsidR="00977E32">
        <w:rPr>
          <w:lang w:val="pl-PL"/>
        </w:rPr>
        <w:t>euro z tytułu szkody majątkowej</w:t>
      </w:r>
      <w:r w:rsidRPr="00977E32">
        <w:rPr>
          <w:lang w:val="pl-PL"/>
        </w:rPr>
        <w:t>.</w:t>
      </w:r>
    </w:p>
    <w:p w:rsidR="00D4169E" w:rsidRPr="00D56A48" w:rsidRDefault="005D573F">
      <w:pPr>
        <w:pStyle w:val="ClinContent"/>
        <w:rPr>
          <w:lang w:val="pl-PL"/>
        </w:rPr>
      </w:pPr>
      <w:r w:rsidRPr="00D56A48">
        <w:rPr>
          <w:lang w:val="pl-PL"/>
        </w:rPr>
        <w:t>(</w:t>
      </w:r>
      <w:r w:rsidR="00977E32" w:rsidRPr="00D56A48">
        <w:rPr>
          <w:lang w:val="pl-PL"/>
        </w:rPr>
        <w:t>Zobacz</w:t>
      </w:r>
      <w:r w:rsidRPr="00D56A48">
        <w:rPr>
          <w:lang w:val="pl-PL"/>
        </w:rPr>
        <w:t xml:space="preserve"> </w:t>
      </w:r>
      <w:proofErr w:type="spellStart"/>
      <w:r w:rsidRPr="00D56A48">
        <w:rPr>
          <w:i/>
          <w:lang w:val="pl-PL"/>
        </w:rPr>
        <w:t>Letellier</w:t>
      </w:r>
      <w:proofErr w:type="spellEnd"/>
      <w:r w:rsidRPr="00D56A48">
        <w:rPr>
          <w:i/>
          <w:lang w:val="pl-PL"/>
        </w:rPr>
        <w:t xml:space="preserve"> </w:t>
      </w:r>
      <w:r w:rsidR="004B48F9" w:rsidRPr="00D56A48">
        <w:rPr>
          <w:i/>
          <w:lang w:val="pl-PL"/>
        </w:rPr>
        <w:t>p.</w:t>
      </w:r>
      <w:r w:rsidRPr="00D56A48">
        <w:rPr>
          <w:i/>
          <w:lang w:val="pl-PL"/>
        </w:rPr>
        <w:t xml:space="preserve"> Franc</w:t>
      </w:r>
      <w:r w:rsidR="004B48F9" w:rsidRPr="00D56A48">
        <w:rPr>
          <w:i/>
          <w:lang w:val="pl-PL"/>
        </w:rPr>
        <w:t>ji</w:t>
      </w:r>
      <w:r w:rsidRPr="00D56A48">
        <w:rPr>
          <w:lang w:val="pl-PL"/>
        </w:rPr>
        <w:t>,</w:t>
      </w:r>
      <w:r w:rsidR="004B48F9" w:rsidRPr="00D56A48">
        <w:rPr>
          <w:lang w:val="pl-PL"/>
        </w:rPr>
        <w:t xml:space="preserve"> skarga nr</w:t>
      </w:r>
      <w:r w:rsidRPr="00D56A48">
        <w:rPr>
          <w:lang w:val="pl-PL"/>
        </w:rPr>
        <w:t xml:space="preserve"> </w:t>
      </w:r>
      <w:r w:rsidR="00983BFF">
        <w:fldChar w:fldCharType="begin"/>
      </w:r>
      <w:r w:rsidR="00983BFF" w:rsidRPr="00AD1071">
        <w:rPr>
          <w:lang w:val="pl-PL"/>
        </w:rPr>
        <w:instrText xml:space="preserve"> HYPERLINK "http://hudoc.echr.coe.int/eng?i=002-10046" </w:instrText>
      </w:r>
      <w:r w:rsidR="00983BFF">
        <w:fldChar w:fldCharType="separate"/>
      </w:r>
      <w:r w:rsidRPr="00D56A48">
        <w:rPr>
          <w:rStyle w:val="Hipercze"/>
          <w:lang w:val="pl-PL"/>
        </w:rPr>
        <w:t>12369/86</w:t>
      </w:r>
      <w:r w:rsidR="00983BFF">
        <w:rPr>
          <w:rStyle w:val="Hipercze"/>
          <w:lang w:val="pl-PL"/>
        </w:rPr>
        <w:fldChar w:fldCharType="end"/>
      </w:r>
      <w:r w:rsidRPr="00D56A48">
        <w:rPr>
          <w:lang w:val="pl-PL"/>
        </w:rPr>
        <w:t>, 26 </w:t>
      </w:r>
      <w:r w:rsidR="004B48F9" w:rsidRPr="00D56A48">
        <w:rPr>
          <w:lang w:val="pl-PL"/>
        </w:rPr>
        <w:t>czerwca</w:t>
      </w:r>
      <w:r w:rsidRPr="00D56A48">
        <w:rPr>
          <w:lang w:val="pl-PL"/>
        </w:rPr>
        <w:t xml:space="preserve"> 1991</w:t>
      </w:r>
      <w:r w:rsidR="004B48F9" w:rsidRPr="00D56A48">
        <w:rPr>
          <w:lang w:val="pl-PL"/>
        </w:rPr>
        <w:t xml:space="preserve"> r.</w:t>
      </w:r>
      <w:r w:rsidRPr="00D56A48">
        <w:rPr>
          <w:lang w:val="pl-PL"/>
        </w:rPr>
        <w:t xml:space="preserve">; </w:t>
      </w:r>
      <w:proofErr w:type="spellStart"/>
      <w:r w:rsidRPr="00D56A48">
        <w:rPr>
          <w:i/>
          <w:lang w:val="pl-PL"/>
        </w:rPr>
        <w:t>Labita</w:t>
      </w:r>
      <w:proofErr w:type="spellEnd"/>
      <w:r w:rsidRPr="00D56A48">
        <w:rPr>
          <w:i/>
          <w:lang w:val="pl-PL"/>
        </w:rPr>
        <w:t xml:space="preserve"> </w:t>
      </w:r>
      <w:r w:rsidR="004B48F9" w:rsidRPr="00D56A48">
        <w:rPr>
          <w:i/>
          <w:lang w:val="pl-PL"/>
        </w:rPr>
        <w:t>p.</w:t>
      </w:r>
      <w:r w:rsidRPr="00D56A48">
        <w:rPr>
          <w:i/>
          <w:lang w:val="pl-PL"/>
        </w:rPr>
        <w:t> </w:t>
      </w:r>
      <w:r w:rsidR="004B48F9" w:rsidRPr="00D56A48">
        <w:rPr>
          <w:i/>
          <w:lang w:val="pl-PL"/>
        </w:rPr>
        <w:t>Włochom</w:t>
      </w:r>
      <w:r w:rsidRPr="00D56A48">
        <w:rPr>
          <w:lang w:val="pl-PL"/>
        </w:rPr>
        <w:t xml:space="preserve"> </w:t>
      </w:r>
      <w:r w:rsidR="004B48F9" w:rsidRPr="00D56A48">
        <w:rPr>
          <w:lang w:val="pl-PL"/>
        </w:rPr>
        <w:t>[Wielka Izba]</w:t>
      </w:r>
      <w:r w:rsidRPr="00D56A48">
        <w:rPr>
          <w:lang w:val="pl-PL"/>
        </w:rPr>
        <w:t xml:space="preserve">, </w:t>
      </w:r>
      <w:r w:rsidR="004B48F9" w:rsidRPr="00D56A48">
        <w:rPr>
          <w:lang w:val="pl-PL"/>
        </w:rPr>
        <w:t xml:space="preserve">skarga nr </w:t>
      </w:r>
      <w:r w:rsidRPr="00D56A48">
        <w:rPr>
          <w:lang w:val="pl-PL"/>
        </w:rPr>
        <w:t>26772/95, 6 </w:t>
      </w:r>
      <w:r w:rsidR="004B48F9" w:rsidRPr="00D56A48">
        <w:rPr>
          <w:lang w:val="pl-PL"/>
        </w:rPr>
        <w:t xml:space="preserve">kwietnia </w:t>
      </w:r>
      <w:r w:rsidRPr="00D56A48">
        <w:rPr>
          <w:lang w:val="pl-PL"/>
        </w:rPr>
        <w:t>2000</w:t>
      </w:r>
      <w:r w:rsidR="004B48F9" w:rsidRPr="00D56A48">
        <w:rPr>
          <w:lang w:val="pl-PL"/>
        </w:rPr>
        <w:t xml:space="preserve"> r.</w:t>
      </w:r>
      <w:r w:rsidRPr="00D56A48">
        <w:rPr>
          <w:lang w:val="pl-PL"/>
        </w:rPr>
        <w:t xml:space="preserve">, </w:t>
      </w:r>
      <w:r w:rsidR="00983BFF">
        <w:fldChar w:fldCharType="begin"/>
      </w:r>
      <w:r w:rsidR="00983BFF" w:rsidRPr="00AD1071">
        <w:rPr>
          <w:lang w:val="pl-PL"/>
        </w:rPr>
        <w:instrText xml:space="preserve"> HYPERLINK "http://hudoc.echr.coe.int/eng?i=002-6867" </w:instrText>
      </w:r>
      <w:r w:rsidR="00983BFF">
        <w:fldChar w:fldCharType="separate"/>
      </w:r>
      <w:r w:rsidRPr="00D56A48">
        <w:rPr>
          <w:rStyle w:val="Hipercze"/>
          <w:lang w:val="pl-PL"/>
        </w:rPr>
        <w:t>Not</w:t>
      </w:r>
      <w:r w:rsidR="000034B1">
        <w:rPr>
          <w:rStyle w:val="Hipercze"/>
          <w:lang w:val="pl-PL"/>
        </w:rPr>
        <w:t xml:space="preserve">a </w:t>
      </w:r>
      <w:r w:rsidR="00BC00ED">
        <w:rPr>
          <w:rStyle w:val="Hipercze"/>
          <w:lang w:val="pl-PL"/>
        </w:rPr>
        <w:t>informacyjna</w:t>
      </w:r>
      <w:r w:rsidR="000034B1">
        <w:rPr>
          <w:rStyle w:val="Hipercze"/>
          <w:lang w:val="pl-PL"/>
        </w:rPr>
        <w:t xml:space="preserve"> nr</w:t>
      </w:r>
      <w:r w:rsidRPr="00D56A48">
        <w:rPr>
          <w:rStyle w:val="Hipercze"/>
          <w:lang w:val="pl-PL"/>
        </w:rPr>
        <w:t> 17</w:t>
      </w:r>
      <w:r w:rsidR="00983BFF">
        <w:rPr>
          <w:rStyle w:val="Hipercze"/>
          <w:lang w:val="pl-PL"/>
        </w:rPr>
        <w:fldChar w:fldCharType="end"/>
      </w:r>
      <w:r w:rsidRPr="00D56A48">
        <w:rPr>
          <w:lang w:val="pl-PL"/>
        </w:rPr>
        <w:t xml:space="preserve">; </w:t>
      </w:r>
      <w:r w:rsidR="003A476F">
        <w:rPr>
          <w:lang w:val="pl-PL"/>
        </w:rPr>
        <w:t>oraz</w:t>
      </w:r>
      <w:r w:rsidRPr="00D56A48">
        <w:rPr>
          <w:lang w:val="pl-PL"/>
        </w:rPr>
        <w:t xml:space="preserve"> </w:t>
      </w:r>
      <w:proofErr w:type="spellStart"/>
      <w:r w:rsidRPr="00D56A48">
        <w:rPr>
          <w:i/>
          <w:lang w:val="pl-PL"/>
        </w:rPr>
        <w:t>Idalov</w:t>
      </w:r>
      <w:proofErr w:type="spellEnd"/>
      <w:r w:rsidRPr="00D56A48">
        <w:rPr>
          <w:i/>
          <w:lang w:val="pl-PL"/>
        </w:rPr>
        <w:t xml:space="preserve"> </w:t>
      </w:r>
      <w:r w:rsidR="004B48F9" w:rsidRPr="00D56A48">
        <w:rPr>
          <w:i/>
          <w:lang w:val="pl-PL"/>
        </w:rPr>
        <w:t>p.</w:t>
      </w:r>
      <w:r w:rsidRPr="00D56A48">
        <w:rPr>
          <w:i/>
          <w:lang w:val="pl-PL"/>
        </w:rPr>
        <w:t> </w:t>
      </w:r>
      <w:r w:rsidR="004B48F9" w:rsidRPr="00D56A48">
        <w:rPr>
          <w:i/>
          <w:lang w:val="pl-PL"/>
        </w:rPr>
        <w:t xml:space="preserve">Rosji </w:t>
      </w:r>
      <w:r w:rsidRPr="00D56A48">
        <w:rPr>
          <w:lang w:val="pl-PL"/>
        </w:rPr>
        <w:t xml:space="preserve"> </w:t>
      </w:r>
      <w:r w:rsidR="004B48F9" w:rsidRPr="00D56A48">
        <w:rPr>
          <w:lang w:val="pl-PL"/>
        </w:rPr>
        <w:t>[Wielka Izba]</w:t>
      </w:r>
      <w:r w:rsidRPr="00D56A48">
        <w:rPr>
          <w:lang w:val="pl-PL"/>
        </w:rPr>
        <w:t xml:space="preserve">, </w:t>
      </w:r>
      <w:r w:rsidR="004B48F9" w:rsidRPr="00D56A48">
        <w:rPr>
          <w:lang w:val="pl-PL"/>
        </w:rPr>
        <w:t xml:space="preserve">skarga nr </w:t>
      </w:r>
      <w:r w:rsidRPr="00D56A48">
        <w:rPr>
          <w:lang w:val="pl-PL"/>
        </w:rPr>
        <w:t>5826/03, 22 </w:t>
      </w:r>
      <w:r w:rsidR="004B48F9" w:rsidRPr="00D56A48">
        <w:rPr>
          <w:lang w:val="pl-PL"/>
        </w:rPr>
        <w:t>maja</w:t>
      </w:r>
      <w:r w:rsidRPr="00D56A48">
        <w:rPr>
          <w:lang w:val="pl-PL"/>
        </w:rPr>
        <w:t xml:space="preserve"> 2012</w:t>
      </w:r>
      <w:r w:rsidR="004B48F9" w:rsidRPr="00D56A48">
        <w:rPr>
          <w:lang w:val="pl-PL"/>
        </w:rPr>
        <w:t xml:space="preserve"> r.</w:t>
      </w:r>
      <w:r w:rsidRPr="00D56A48">
        <w:rPr>
          <w:lang w:val="pl-PL"/>
        </w:rPr>
        <w:t>,</w:t>
      </w:r>
      <w:r w:rsidR="00272D28" w:rsidRPr="00272D28">
        <w:rPr>
          <w:lang w:val="pl-PL"/>
        </w:rPr>
        <w:t xml:space="preserve"> </w:t>
      </w:r>
      <w:r w:rsidR="00983BFF">
        <w:fldChar w:fldCharType="begin"/>
      </w:r>
      <w:r w:rsidR="00983BFF" w:rsidRPr="00AD1071">
        <w:rPr>
          <w:lang w:val="pl-PL"/>
        </w:rPr>
        <w:instrText xml:space="preserve"> HYPERLINK "http://hudoc.echr.coe.int/eng?i=002-3560" </w:instrText>
      </w:r>
      <w:r w:rsidR="00983BFF">
        <w:fldChar w:fldCharType="separate"/>
      </w:r>
      <w:r w:rsidR="00272D28">
        <w:rPr>
          <w:rStyle w:val="Hipercze"/>
          <w:lang w:val="pl-PL"/>
        </w:rPr>
        <w:t>Nota informacyjna nr</w:t>
      </w:r>
      <w:r w:rsidR="00272D28" w:rsidRPr="00272D28">
        <w:rPr>
          <w:rStyle w:val="Hipercze"/>
          <w:lang w:val="pl-PL"/>
        </w:rPr>
        <w:t> 152</w:t>
      </w:r>
      <w:r w:rsidR="00983BFF">
        <w:rPr>
          <w:rStyle w:val="Hipercze"/>
          <w:lang w:val="pl-PL"/>
        </w:rPr>
        <w:fldChar w:fldCharType="end"/>
      </w:r>
      <w:r w:rsidRPr="00D56A48">
        <w:rPr>
          <w:lang w:val="pl-PL"/>
        </w:rPr>
        <w:t>)</w:t>
      </w:r>
      <w:r w:rsidR="00ED1DF9">
        <w:rPr>
          <w:lang w:val="pl-PL"/>
        </w:rPr>
        <w:t>.</w:t>
      </w:r>
    </w:p>
    <w:p w:rsidR="00D4169E" w:rsidRPr="00D56A48" w:rsidRDefault="00D4169E">
      <w:pPr>
        <w:pBdr>
          <w:bottom w:val="single" w:sz="8" w:space="1" w:color="auto"/>
        </w:pBdr>
        <w:rPr>
          <w:lang w:val="pl-PL"/>
        </w:rPr>
      </w:pPr>
    </w:p>
    <w:p w:rsidR="00500D4C" w:rsidRPr="0074070E" w:rsidRDefault="00500D4C" w:rsidP="00500D4C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500D4C" w:rsidRPr="001D0852" w:rsidRDefault="00500D4C" w:rsidP="00500D4C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8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500D4C" w:rsidRPr="00500D4C" w:rsidRDefault="00500D4C" w:rsidP="00286933">
      <w:pPr>
        <w:pStyle w:val="ClinFooter"/>
        <w:jc w:val="left"/>
        <w:rPr>
          <w:lang w:val="pl-PL"/>
        </w:rPr>
      </w:pPr>
    </w:p>
    <w:sectPr w:rsidR="00500D4C" w:rsidRPr="00500D4C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FF" w:rsidRDefault="00983BFF" w:rsidP="00C63262">
      <w:r>
        <w:separator/>
      </w:r>
    </w:p>
  </w:endnote>
  <w:endnote w:type="continuationSeparator" w:id="0">
    <w:p w:rsidR="00983BFF" w:rsidRDefault="00983BF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9A4" w:rsidRDefault="001E39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9A4" w:rsidRDefault="001E39A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FF" w:rsidRDefault="00983BFF" w:rsidP="00C63262">
      <w:r>
        <w:separator/>
      </w:r>
    </w:p>
  </w:footnote>
  <w:footnote w:type="continuationSeparator" w:id="0">
    <w:p w:rsidR="00983BFF" w:rsidRDefault="00983BF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9A4" w:rsidRDefault="001E39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D1071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34B1"/>
    <w:rsid w:val="00037CCC"/>
    <w:rsid w:val="00097888"/>
    <w:rsid w:val="000F13B5"/>
    <w:rsid w:val="00107377"/>
    <w:rsid w:val="00143602"/>
    <w:rsid w:val="001769E4"/>
    <w:rsid w:val="00186560"/>
    <w:rsid w:val="001E39A4"/>
    <w:rsid w:val="00212E83"/>
    <w:rsid w:val="00272D28"/>
    <w:rsid w:val="00286933"/>
    <w:rsid w:val="002966E7"/>
    <w:rsid w:val="002E088D"/>
    <w:rsid w:val="0030264F"/>
    <w:rsid w:val="00320E65"/>
    <w:rsid w:val="003314C9"/>
    <w:rsid w:val="003450B3"/>
    <w:rsid w:val="00350084"/>
    <w:rsid w:val="00386958"/>
    <w:rsid w:val="00395453"/>
    <w:rsid w:val="003A476F"/>
    <w:rsid w:val="003A64A6"/>
    <w:rsid w:val="003C55AA"/>
    <w:rsid w:val="003D0CE2"/>
    <w:rsid w:val="003D7BB3"/>
    <w:rsid w:val="00444BE7"/>
    <w:rsid w:val="0046453F"/>
    <w:rsid w:val="004A5B52"/>
    <w:rsid w:val="004B48F9"/>
    <w:rsid w:val="004D568D"/>
    <w:rsid w:val="004E1037"/>
    <w:rsid w:val="004F6338"/>
    <w:rsid w:val="00500D4C"/>
    <w:rsid w:val="0052092D"/>
    <w:rsid w:val="00540D75"/>
    <w:rsid w:val="005514E5"/>
    <w:rsid w:val="005D573F"/>
    <w:rsid w:val="006028A1"/>
    <w:rsid w:val="006168EB"/>
    <w:rsid w:val="00631A28"/>
    <w:rsid w:val="006362CD"/>
    <w:rsid w:val="006A2AB3"/>
    <w:rsid w:val="006A36AD"/>
    <w:rsid w:val="006C1D96"/>
    <w:rsid w:val="006E1FD7"/>
    <w:rsid w:val="0071773F"/>
    <w:rsid w:val="007241F9"/>
    <w:rsid w:val="00734AB8"/>
    <w:rsid w:val="0074282A"/>
    <w:rsid w:val="00774515"/>
    <w:rsid w:val="007C2710"/>
    <w:rsid w:val="00873C7D"/>
    <w:rsid w:val="00895EF3"/>
    <w:rsid w:val="008B6FEF"/>
    <w:rsid w:val="008C64D5"/>
    <w:rsid w:val="008E2C57"/>
    <w:rsid w:val="00903D38"/>
    <w:rsid w:val="009053C6"/>
    <w:rsid w:val="009416D7"/>
    <w:rsid w:val="00973E43"/>
    <w:rsid w:val="00977E32"/>
    <w:rsid w:val="00983BFF"/>
    <w:rsid w:val="009B3B2C"/>
    <w:rsid w:val="009E054C"/>
    <w:rsid w:val="009E3EF0"/>
    <w:rsid w:val="00A01052"/>
    <w:rsid w:val="00A04D9C"/>
    <w:rsid w:val="00A258BB"/>
    <w:rsid w:val="00A30A0E"/>
    <w:rsid w:val="00A31FCD"/>
    <w:rsid w:val="00A33541"/>
    <w:rsid w:val="00A45616"/>
    <w:rsid w:val="00A8758E"/>
    <w:rsid w:val="00AC7726"/>
    <w:rsid w:val="00AD1071"/>
    <w:rsid w:val="00B80CA0"/>
    <w:rsid w:val="00B85770"/>
    <w:rsid w:val="00BB6A00"/>
    <w:rsid w:val="00BC00ED"/>
    <w:rsid w:val="00BD7B0C"/>
    <w:rsid w:val="00BF1CD9"/>
    <w:rsid w:val="00C37433"/>
    <w:rsid w:val="00C63262"/>
    <w:rsid w:val="00C72355"/>
    <w:rsid w:val="00C72640"/>
    <w:rsid w:val="00C93CFB"/>
    <w:rsid w:val="00CA7457"/>
    <w:rsid w:val="00CF7BA6"/>
    <w:rsid w:val="00D3140F"/>
    <w:rsid w:val="00D4169E"/>
    <w:rsid w:val="00D42086"/>
    <w:rsid w:val="00D425B3"/>
    <w:rsid w:val="00D43C39"/>
    <w:rsid w:val="00D56A48"/>
    <w:rsid w:val="00D81E73"/>
    <w:rsid w:val="00DA2B17"/>
    <w:rsid w:val="00DB6F18"/>
    <w:rsid w:val="00DF12C9"/>
    <w:rsid w:val="00E473B4"/>
    <w:rsid w:val="00E55491"/>
    <w:rsid w:val="00E83DB6"/>
    <w:rsid w:val="00EA53E7"/>
    <w:rsid w:val="00EC3A22"/>
    <w:rsid w:val="00ED1DF9"/>
    <w:rsid w:val="00EF3F5F"/>
    <w:rsid w:val="00F508C9"/>
    <w:rsid w:val="00F50CCD"/>
    <w:rsid w:val="00F5247C"/>
    <w:rsid w:val="00FA29ED"/>
    <w:rsid w:val="00FC0503"/>
    <w:rsid w:val="00FF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48"/>
    <w:lsdException w:name="footer" w:semiHidden="1" w:uiPriority="49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rsid w:val="00BB6A0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B6A0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6A0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B6A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6A00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6A2AB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A2AB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A2AB3"/>
  </w:style>
  <w:style w:type="character" w:customStyle="1" w:styleId="object">
    <w:name w:val="object"/>
    <w:basedOn w:val="Domylnaczcionkaakapitu"/>
    <w:rsid w:val="006A2AB3"/>
  </w:style>
  <w:style w:type="character" w:styleId="UyteHipercze">
    <w:name w:val="FollowedHyperlink"/>
    <w:basedOn w:val="Domylnaczcionkaakapitu"/>
    <w:semiHidden/>
    <w:rsid w:val="006362C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 w:uiPriority="48"/>
    <w:lsdException w:name="footer" w:semiHidden="1" w:uiPriority="49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rsid w:val="00BB6A0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B6A0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6A0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B6A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B6A00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6A2AB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A2AB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A2AB3"/>
  </w:style>
  <w:style w:type="character" w:customStyle="1" w:styleId="object">
    <w:name w:val="object"/>
    <w:basedOn w:val="Domylnaczcionkaakapitu"/>
    <w:rsid w:val="006A2AB3"/>
  </w:style>
  <w:style w:type="character" w:styleId="UyteHipercze">
    <w:name w:val="FollowedHyperlink"/>
    <w:basedOn w:val="Domylnaczcionkaakapitu"/>
    <w:semiHidden/>
    <w:rsid w:val="006362C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1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1038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2017-04-21T08:24:00Z</dcterms:created>
  <dcterms:modified xsi:type="dcterms:W3CDTF">2017-06-21T12:11:00Z</dcterms:modified>
</cp:coreProperties>
</file>