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2B3" w:rsidRDefault="000812B3" w:rsidP="000812B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0812B3" w:rsidRDefault="000812B3" w:rsidP="007928B7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7928B7" w:rsidRDefault="007928B7" w:rsidP="007928B7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BE7769" w:rsidRPr="007928B7" w:rsidRDefault="007928B7" w:rsidP="007928B7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615E2E" w:rsidRPr="007928B7">
        <w:rPr>
          <w:lang w:val="pl-PL"/>
        </w:rPr>
        <w:t>194</w:t>
      </w:r>
    </w:p>
    <w:p w:rsidR="00BE7769" w:rsidRPr="00757867" w:rsidRDefault="00615E2E">
      <w:pPr>
        <w:pStyle w:val="ClinEditionMonth"/>
        <w:rPr>
          <w:lang w:val="pl-PL"/>
        </w:rPr>
      </w:pPr>
      <w:r w:rsidRPr="00757867">
        <w:rPr>
          <w:lang w:val="pl-PL"/>
        </w:rPr>
        <w:t>Mar</w:t>
      </w:r>
      <w:r w:rsidR="007928B7" w:rsidRPr="00757867">
        <w:rPr>
          <w:lang w:val="pl-PL"/>
        </w:rPr>
        <w:t>zec</w:t>
      </w:r>
      <w:r w:rsidRPr="00757867">
        <w:rPr>
          <w:lang w:val="pl-PL"/>
        </w:rPr>
        <w:t xml:space="preserve"> 2016</w:t>
      </w:r>
      <w:r w:rsidR="007928B7" w:rsidRPr="00757867">
        <w:rPr>
          <w:lang w:val="pl-PL"/>
        </w:rPr>
        <w:t xml:space="preserve"> r.</w:t>
      </w:r>
    </w:p>
    <w:p w:rsidR="00BE7769" w:rsidRPr="00757867" w:rsidRDefault="00615E2E">
      <w:pPr>
        <w:rPr>
          <w:lang w:val="pl-PL"/>
        </w:rPr>
      </w:pPr>
      <w:proofErr w:type="spellStart"/>
      <w:r w:rsidRPr="00757867">
        <w:rPr>
          <w:rStyle w:val="ClinCaseTitle"/>
          <w:lang w:val="pl-PL"/>
        </w:rPr>
        <w:t>Blokhin</w:t>
      </w:r>
      <w:proofErr w:type="spellEnd"/>
      <w:r w:rsidRPr="00757867">
        <w:rPr>
          <w:rStyle w:val="ClinCaseTitle"/>
          <w:lang w:val="pl-PL"/>
        </w:rPr>
        <w:t xml:space="preserve"> </w:t>
      </w:r>
      <w:r w:rsidR="00757867" w:rsidRPr="00757867">
        <w:rPr>
          <w:rStyle w:val="ClinCaseTitle"/>
          <w:lang w:val="pl-PL"/>
        </w:rPr>
        <w:t>p.</w:t>
      </w:r>
      <w:r w:rsidRPr="00757867">
        <w:rPr>
          <w:rStyle w:val="ClinCaseTitle"/>
          <w:lang w:val="pl-PL"/>
        </w:rPr>
        <w:t xml:space="preserve"> R</w:t>
      </w:r>
      <w:r w:rsidR="00830EB6">
        <w:rPr>
          <w:rStyle w:val="ClinCaseTitle"/>
          <w:lang w:val="pl-PL"/>
        </w:rPr>
        <w:t>osji</w:t>
      </w:r>
      <w:r w:rsidRPr="00757867">
        <w:rPr>
          <w:rStyle w:val="ClinCaseTitle"/>
          <w:lang w:val="pl-PL"/>
        </w:rPr>
        <w:t xml:space="preserve"> </w:t>
      </w:r>
      <w:r w:rsidR="00757867">
        <w:rPr>
          <w:rStyle w:val="ClinCaseTitle"/>
          <w:lang w:val="pl-PL"/>
        </w:rPr>
        <w:t>[Wielka Izba]</w:t>
      </w:r>
      <w:r w:rsidRPr="00757867">
        <w:rPr>
          <w:rStyle w:val="ClinApplicationNumber"/>
          <w:lang w:val="pl-PL"/>
        </w:rPr>
        <w:t xml:space="preserve"> </w:t>
      </w:r>
      <w:r w:rsidR="001144AC">
        <w:rPr>
          <w:rStyle w:val="ClinApplicationNumber"/>
          <w:lang w:val="pl-PL"/>
        </w:rPr>
        <w:t>–</w:t>
      </w:r>
      <w:r w:rsidRPr="00757867">
        <w:rPr>
          <w:rStyle w:val="ClinApplicationNumber"/>
          <w:lang w:val="pl-PL"/>
        </w:rPr>
        <w:t xml:space="preserve"> </w:t>
      </w:r>
      <w:r w:rsidR="001144AC">
        <w:rPr>
          <w:rStyle w:val="ClinApplicationNumber"/>
          <w:lang w:val="pl-PL"/>
        </w:rPr>
        <w:t xml:space="preserve">skarga nr </w:t>
      </w:r>
      <w:r w:rsidRPr="00757867">
        <w:rPr>
          <w:rStyle w:val="ClinApplicationNumber"/>
          <w:lang w:val="pl-PL"/>
        </w:rPr>
        <w:t>47152/06</w:t>
      </w:r>
    </w:p>
    <w:p w:rsidR="00BE7769" w:rsidRPr="00F3494F" w:rsidRDefault="001144AC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615E2E" w:rsidRPr="00F3494F">
        <w:rPr>
          <w:rStyle w:val="ClinHudocDocumentTitle"/>
          <w:lang w:val="pl-PL"/>
        </w:rPr>
        <w:t>23.</w:t>
      </w:r>
      <w:r w:rsidR="00FA53F8">
        <w:rPr>
          <w:rStyle w:val="ClinHudocDocumentTitle"/>
          <w:lang w:val="pl-PL"/>
        </w:rPr>
        <w:t>0</w:t>
      </w:r>
      <w:r w:rsidR="00615E2E" w:rsidRPr="00F3494F">
        <w:rPr>
          <w:rStyle w:val="ClinHudocDocumentTitle"/>
          <w:lang w:val="pl-PL"/>
        </w:rPr>
        <w:t>3.2016</w:t>
      </w:r>
      <w:r>
        <w:rPr>
          <w:rStyle w:val="ClinHudocDocumentTitle"/>
          <w:lang w:val="pl-PL"/>
        </w:rPr>
        <w:t xml:space="preserve"> r.</w:t>
      </w:r>
      <w:r w:rsidR="00615E2E" w:rsidRPr="00F3494F">
        <w:rPr>
          <w:rStyle w:val="ClinSectionName"/>
          <w:lang w:val="pl-PL"/>
        </w:rPr>
        <w:t xml:space="preserve"> </w:t>
      </w:r>
      <w:r w:rsidR="00757867" w:rsidRPr="00F3494F">
        <w:rPr>
          <w:rStyle w:val="ClinSectionName"/>
          <w:lang w:val="pl-PL"/>
        </w:rPr>
        <w:t>[Wielka Izba]</w:t>
      </w:r>
    </w:p>
    <w:p w:rsidR="00BE7769" w:rsidRPr="00F3494F" w:rsidRDefault="00F3494F">
      <w:pPr>
        <w:pStyle w:val="ClinMainKeywordCode"/>
        <w:rPr>
          <w:lang w:val="pl-PL"/>
        </w:rPr>
      </w:pPr>
      <w:r w:rsidRPr="00F3494F">
        <w:rPr>
          <w:lang w:val="pl-PL"/>
        </w:rPr>
        <w:t>art.</w:t>
      </w:r>
      <w:r w:rsidR="00615E2E" w:rsidRPr="00F3494F">
        <w:rPr>
          <w:lang w:val="pl-PL"/>
        </w:rPr>
        <w:t xml:space="preserve"> 5</w:t>
      </w:r>
    </w:p>
    <w:p w:rsidR="00BE7769" w:rsidRPr="00F3494F" w:rsidRDefault="00F3494F">
      <w:pPr>
        <w:pStyle w:val="ClinChildKeywordCode"/>
        <w:rPr>
          <w:lang w:val="pl-PL"/>
        </w:rPr>
      </w:pPr>
      <w:r w:rsidRPr="00F3494F">
        <w:rPr>
          <w:lang w:val="pl-PL"/>
        </w:rPr>
        <w:t>art.</w:t>
      </w:r>
      <w:r w:rsidR="00615E2E" w:rsidRPr="00F3494F">
        <w:rPr>
          <w:lang w:val="pl-PL"/>
        </w:rPr>
        <w:t xml:space="preserve"> 5</w:t>
      </w:r>
      <w:r w:rsidRPr="00F3494F">
        <w:rPr>
          <w:lang w:val="pl-PL"/>
        </w:rPr>
        <w:t xml:space="preserve"> ust. </w:t>
      </w:r>
      <w:r w:rsidR="00615E2E" w:rsidRPr="00F3494F">
        <w:rPr>
          <w:lang w:val="pl-PL"/>
        </w:rPr>
        <w:t>1</w:t>
      </w:r>
      <w:r w:rsidRPr="00F3494F">
        <w:rPr>
          <w:lang w:val="pl-PL"/>
        </w:rPr>
        <w:t xml:space="preserve"> lit. </w:t>
      </w:r>
      <w:r w:rsidR="00615E2E" w:rsidRPr="00F3494F">
        <w:rPr>
          <w:lang w:val="pl-PL"/>
        </w:rPr>
        <w:t>d</w:t>
      </w:r>
    </w:p>
    <w:p w:rsidR="00BE7769" w:rsidRPr="00F3494F" w:rsidRDefault="00F3494F">
      <w:pPr>
        <w:pStyle w:val="ClinKeyword"/>
        <w:rPr>
          <w:lang w:val="pl-PL"/>
        </w:rPr>
      </w:pPr>
      <w:r w:rsidRPr="00F3494F">
        <w:rPr>
          <w:lang w:val="pl-PL"/>
        </w:rPr>
        <w:t>Nadzór wychowawczy</w:t>
      </w:r>
    </w:p>
    <w:p w:rsidR="000B206E" w:rsidRPr="000B206E" w:rsidRDefault="000B206E" w:rsidP="00EF2C34">
      <w:pPr>
        <w:jc w:val="both"/>
        <w:rPr>
          <w:rStyle w:val="ClinConclusions"/>
          <w:lang w:val="pl-PL"/>
        </w:rPr>
      </w:pPr>
      <w:r w:rsidRPr="000B206E">
        <w:rPr>
          <w:rStyle w:val="ClinConclusions"/>
          <w:i w:val="0"/>
          <w:lang w:val="pl-PL"/>
        </w:rPr>
        <w:t xml:space="preserve">Umieszczenie nieletniego na 30 dni w ośrodku zatrzymania dla </w:t>
      </w:r>
      <w:r w:rsidRPr="006E0E98">
        <w:rPr>
          <w:rStyle w:val="ClinConclusions"/>
          <w:i w:val="0"/>
          <w:lang w:val="pl-PL"/>
        </w:rPr>
        <w:t>młod</w:t>
      </w:r>
      <w:r w:rsidR="00042BF5" w:rsidRPr="006E0E98">
        <w:rPr>
          <w:rStyle w:val="ClinConclusions"/>
          <w:i w:val="0"/>
          <w:lang w:val="pl-PL"/>
        </w:rPr>
        <w:t>ocianych</w:t>
      </w:r>
      <w:r w:rsidRPr="006E0E98">
        <w:rPr>
          <w:rStyle w:val="ClinConclusions"/>
          <w:i w:val="0"/>
          <w:lang w:val="pl-PL"/>
        </w:rPr>
        <w:t xml:space="preserve"> sprawców </w:t>
      </w:r>
      <w:r w:rsidR="006E0E98">
        <w:rPr>
          <w:rStyle w:val="ClinConclusions"/>
          <w:i w:val="0"/>
          <w:lang w:val="pl-PL"/>
        </w:rPr>
        <w:t xml:space="preserve">czynów zabronionych </w:t>
      </w:r>
      <w:r w:rsidRPr="006E0E98">
        <w:rPr>
          <w:rStyle w:val="ClinConclusions"/>
          <w:i w:val="0"/>
          <w:lang w:val="pl-PL"/>
        </w:rPr>
        <w:t xml:space="preserve">w celu „skorygowania jego zachowania”: </w:t>
      </w:r>
      <w:r w:rsidRPr="006E0E98">
        <w:rPr>
          <w:rStyle w:val="ClinConclusions"/>
          <w:lang w:val="pl-PL"/>
        </w:rPr>
        <w:t>naruszenie</w:t>
      </w:r>
    </w:p>
    <w:p w:rsidR="00BE7769" w:rsidRPr="000B206E" w:rsidRDefault="00F3494F">
      <w:pPr>
        <w:pStyle w:val="ClinMainKeywordCode"/>
        <w:rPr>
          <w:lang w:val="pl-PL"/>
        </w:rPr>
      </w:pPr>
      <w:r w:rsidRPr="000B206E">
        <w:rPr>
          <w:lang w:val="pl-PL"/>
        </w:rPr>
        <w:t>art.</w:t>
      </w:r>
      <w:r w:rsidR="00615E2E" w:rsidRPr="000B206E">
        <w:rPr>
          <w:lang w:val="pl-PL"/>
        </w:rPr>
        <w:t xml:space="preserve"> 3</w:t>
      </w:r>
    </w:p>
    <w:p w:rsidR="00BE7769" w:rsidRPr="000B206E" w:rsidRDefault="00F3494F">
      <w:pPr>
        <w:pStyle w:val="ClinKeyword"/>
        <w:rPr>
          <w:lang w:val="pl-PL"/>
        </w:rPr>
      </w:pPr>
      <w:r w:rsidRPr="000B206E">
        <w:rPr>
          <w:lang w:val="pl-PL"/>
        </w:rPr>
        <w:t>Poniżające traktowanie</w:t>
      </w:r>
    </w:p>
    <w:p w:rsidR="00BE7769" w:rsidRPr="000B206E" w:rsidRDefault="00F3494F">
      <w:pPr>
        <w:pStyle w:val="ClinKeyword"/>
        <w:rPr>
          <w:lang w:val="pl-PL"/>
        </w:rPr>
      </w:pPr>
      <w:r w:rsidRPr="000B206E">
        <w:rPr>
          <w:lang w:val="pl-PL"/>
        </w:rPr>
        <w:t>Nieludzkie traktowanie</w:t>
      </w:r>
    </w:p>
    <w:p w:rsidR="000B206E" w:rsidRPr="000B206E" w:rsidRDefault="00E3273D" w:rsidP="00EF2C34">
      <w:pPr>
        <w:jc w:val="both"/>
        <w:rPr>
          <w:rStyle w:val="ClinConclusions"/>
          <w:lang w:val="pl-PL"/>
        </w:rPr>
      </w:pPr>
      <w:r w:rsidRPr="003D0E6D">
        <w:rPr>
          <w:rStyle w:val="ClinConclusions"/>
          <w:i w:val="0"/>
          <w:lang w:val="pl-PL"/>
        </w:rPr>
        <w:t xml:space="preserve">Brak zapewnienia odpowiedniej opieki medycznej dla nieletniego w czasie pozbawienia wolności </w:t>
      </w:r>
      <w:r w:rsidR="006E0E98">
        <w:rPr>
          <w:rStyle w:val="ClinConclusions"/>
          <w:i w:val="0"/>
          <w:lang w:val="pl-PL"/>
        </w:rPr>
        <w:t xml:space="preserve">mającego na </w:t>
      </w:r>
      <w:r>
        <w:rPr>
          <w:rStyle w:val="ClinConclusions"/>
          <w:i w:val="0"/>
          <w:lang w:val="pl-PL"/>
        </w:rPr>
        <w:t>celu</w:t>
      </w:r>
      <w:r w:rsidRPr="003D0E6D">
        <w:rPr>
          <w:rStyle w:val="ClinConclusions"/>
          <w:i w:val="0"/>
          <w:lang w:val="pl-PL"/>
        </w:rPr>
        <w:t xml:space="preserve"> „skorygowa</w:t>
      </w:r>
      <w:r w:rsidR="006E0E98">
        <w:rPr>
          <w:rStyle w:val="ClinConclusions"/>
          <w:i w:val="0"/>
          <w:lang w:val="pl-PL"/>
        </w:rPr>
        <w:t>nie</w:t>
      </w:r>
      <w:r w:rsidRPr="003D0E6D">
        <w:rPr>
          <w:rStyle w:val="ClinConclusions"/>
          <w:i w:val="0"/>
          <w:lang w:val="pl-PL"/>
        </w:rPr>
        <w:t xml:space="preserve"> jego zachowani</w:t>
      </w:r>
      <w:r>
        <w:rPr>
          <w:rStyle w:val="ClinConclusions"/>
          <w:i w:val="0"/>
          <w:lang w:val="pl-PL"/>
        </w:rPr>
        <w:t>a</w:t>
      </w:r>
      <w:r w:rsidRPr="003D0E6D">
        <w:rPr>
          <w:rStyle w:val="ClinConclusions"/>
          <w:i w:val="0"/>
          <w:lang w:val="pl-PL"/>
        </w:rPr>
        <w:t xml:space="preserve">”: </w:t>
      </w:r>
      <w:r>
        <w:rPr>
          <w:rStyle w:val="ClinConclusions"/>
          <w:lang w:val="pl-PL"/>
        </w:rPr>
        <w:t>naruszenie</w:t>
      </w:r>
    </w:p>
    <w:p w:rsidR="000B206E" w:rsidRPr="000B206E" w:rsidRDefault="000B206E">
      <w:pPr>
        <w:rPr>
          <w:lang w:val="pl-PL"/>
        </w:rPr>
      </w:pPr>
    </w:p>
    <w:p w:rsidR="00BE7769" w:rsidRPr="00F3494F" w:rsidRDefault="00F3494F">
      <w:pPr>
        <w:pStyle w:val="ClinMainKeywordCode"/>
        <w:rPr>
          <w:lang w:val="pl-PL"/>
        </w:rPr>
      </w:pPr>
      <w:r w:rsidRPr="00F3494F">
        <w:rPr>
          <w:lang w:val="pl-PL"/>
        </w:rPr>
        <w:t>art.</w:t>
      </w:r>
      <w:r w:rsidR="00615E2E" w:rsidRPr="00F3494F">
        <w:rPr>
          <w:lang w:val="pl-PL"/>
        </w:rPr>
        <w:t xml:space="preserve"> 6</w:t>
      </w:r>
    </w:p>
    <w:p w:rsidR="00BE7769" w:rsidRPr="00F3494F" w:rsidRDefault="00F3494F">
      <w:pPr>
        <w:pStyle w:val="ClinKeyword"/>
        <w:rPr>
          <w:lang w:val="pl-PL"/>
        </w:rPr>
      </w:pPr>
      <w:r w:rsidRPr="00F3494F">
        <w:rPr>
          <w:lang w:val="pl-PL"/>
        </w:rPr>
        <w:t>Postępowanie karne</w:t>
      </w:r>
    </w:p>
    <w:p w:rsidR="00BE7769" w:rsidRPr="00F3494F" w:rsidRDefault="00F3494F">
      <w:pPr>
        <w:pStyle w:val="ClinChildKeywordCode"/>
        <w:rPr>
          <w:lang w:val="pl-PL"/>
        </w:rPr>
      </w:pPr>
      <w:r w:rsidRPr="00F3494F">
        <w:rPr>
          <w:lang w:val="pl-PL"/>
        </w:rPr>
        <w:t>art.</w:t>
      </w:r>
      <w:r w:rsidR="00615E2E" w:rsidRPr="00F3494F">
        <w:rPr>
          <w:lang w:val="pl-PL"/>
        </w:rPr>
        <w:t xml:space="preserve"> 6</w:t>
      </w:r>
      <w:r w:rsidRPr="001144AC">
        <w:rPr>
          <w:lang w:val="pl-PL"/>
        </w:rPr>
        <w:t xml:space="preserve"> </w:t>
      </w:r>
      <w:r w:rsidRPr="00F3494F">
        <w:rPr>
          <w:lang w:val="pl-PL"/>
        </w:rPr>
        <w:t xml:space="preserve">ust. </w:t>
      </w:r>
      <w:r w:rsidR="00615E2E" w:rsidRPr="00F3494F">
        <w:rPr>
          <w:lang w:val="pl-PL"/>
        </w:rPr>
        <w:t>1</w:t>
      </w:r>
    </w:p>
    <w:p w:rsidR="00BE7769" w:rsidRPr="00F3494F" w:rsidRDefault="00F3494F">
      <w:pPr>
        <w:pStyle w:val="ClinKeyword"/>
        <w:rPr>
          <w:lang w:val="pl-PL"/>
        </w:rPr>
      </w:pPr>
      <w:r w:rsidRPr="00F3494F">
        <w:rPr>
          <w:lang w:val="pl-PL"/>
        </w:rPr>
        <w:t>Oskarżenie w sprawie karnej</w:t>
      </w:r>
    </w:p>
    <w:p w:rsidR="000B206E" w:rsidRPr="000B206E" w:rsidRDefault="00E03483" w:rsidP="00EF2C34">
      <w:pPr>
        <w:jc w:val="both"/>
        <w:rPr>
          <w:rStyle w:val="ClinConclusions"/>
          <w:lang w:val="pl-PL"/>
        </w:rPr>
      </w:pPr>
      <w:r w:rsidRPr="00E03483">
        <w:rPr>
          <w:rStyle w:val="ClinConclusions"/>
          <w:i w:val="0"/>
          <w:lang w:val="pl-PL"/>
        </w:rPr>
        <w:t>Postępowanie prowadzące</w:t>
      </w:r>
      <w:r w:rsidR="000B206E" w:rsidRPr="00E03483">
        <w:rPr>
          <w:rStyle w:val="ClinConclusions"/>
          <w:i w:val="0"/>
          <w:lang w:val="pl-PL"/>
        </w:rPr>
        <w:t xml:space="preserve"> do umieszczenia nieletniego w ośrodku zatrzymania dla młod</w:t>
      </w:r>
      <w:r w:rsidR="00042BF5">
        <w:rPr>
          <w:rStyle w:val="ClinConclusions"/>
          <w:i w:val="0"/>
          <w:lang w:val="pl-PL"/>
        </w:rPr>
        <w:t>ocian</w:t>
      </w:r>
      <w:r w:rsidR="000B206E" w:rsidRPr="00E03483">
        <w:rPr>
          <w:rStyle w:val="ClinConclusions"/>
          <w:i w:val="0"/>
          <w:lang w:val="pl-PL"/>
        </w:rPr>
        <w:t>ych sprawców</w:t>
      </w:r>
      <w:r w:rsidR="00627DF9">
        <w:rPr>
          <w:rStyle w:val="ClinConclusions"/>
          <w:i w:val="0"/>
          <w:lang w:val="pl-PL"/>
        </w:rPr>
        <w:t xml:space="preserve"> czynów zabronionych</w:t>
      </w:r>
      <w:r w:rsidR="000B206E" w:rsidRPr="00E03483">
        <w:rPr>
          <w:rStyle w:val="ClinConclusions"/>
          <w:i w:val="0"/>
          <w:lang w:val="pl-PL"/>
        </w:rPr>
        <w:t xml:space="preserve"> w celu „skorygowania jego zachowania”</w:t>
      </w:r>
      <w:r w:rsidRPr="00E03483">
        <w:rPr>
          <w:rStyle w:val="ClinConclusions"/>
          <w:i w:val="0"/>
          <w:lang w:val="pl-PL"/>
        </w:rPr>
        <w:t>:</w:t>
      </w:r>
      <w:r>
        <w:rPr>
          <w:rStyle w:val="ClinConclusions"/>
          <w:lang w:val="pl-PL"/>
        </w:rPr>
        <w:t xml:space="preserve"> art. 6 ma zastosowanie</w:t>
      </w:r>
    </w:p>
    <w:p w:rsidR="000B206E" w:rsidRDefault="000B206E" w:rsidP="000B206E">
      <w:pPr>
        <w:rPr>
          <w:lang w:val="pl-PL"/>
        </w:rPr>
      </w:pPr>
    </w:p>
    <w:p w:rsidR="00BE7769" w:rsidRPr="00F3494F" w:rsidRDefault="00F3494F">
      <w:pPr>
        <w:pStyle w:val="ClinChildKeywordCode"/>
        <w:rPr>
          <w:lang w:val="pl-PL"/>
        </w:rPr>
      </w:pPr>
      <w:r w:rsidRPr="00F3494F">
        <w:rPr>
          <w:lang w:val="pl-PL"/>
        </w:rPr>
        <w:t>art.</w:t>
      </w:r>
      <w:r w:rsidR="00615E2E" w:rsidRPr="00F3494F">
        <w:rPr>
          <w:lang w:val="pl-PL"/>
        </w:rPr>
        <w:t xml:space="preserve"> 6</w:t>
      </w:r>
      <w:r w:rsidRPr="00F3494F">
        <w:rPr>
          <w:lang w:val="pl-PL"/>
        </w:rPr>
        <w:t xml:space="preserve"> ust. </w:t>
      </w:r>
      <w:r w:rsidR="00615E2E" w:rsidRPr="00F3494F">
        <w:rPr>
          <w:lang w:val="pl-PL"/>
        </w:rPr>
        <w:t>3</w:t>
      </w:r>
    </w:p>
    <w:p w:rsidR="00BE7769" w:rsidRPr="00F3494F" w:rsidRDefault="00F3494F">
      <w:pPr>
        <w:pStyle w:val="ClinKeyword"/>
        <w:rPr>
          <w:lang w:val="pl-PL"/>
        </w:rPr>
      </w:pPr>
      <w:r w:rsidRPr="00F3494F">
        <w:rPr>
          <w:lang w:val="pl-PL"/>
        </w:rPr>
        <w:lastRenderedPageBreak/>
        <w:t>Praw</w:t>
      </w:r>
      <w:r w:rsidR="00642CBD">
        <w:rPr>
          <w:lang w:val="pl-PL"/>
        </w:rPr>
        <w:t>o</w:t>
      </w:r>
      <w:r w:rsidRPr="00F3494F">
        <w:rPr>
          <w:lang w:val="pl-PL"/>
        </w:rPr>
        <w:t xml:space="preserve"> do obrony</w:t>
      </w:r>
    </w:p>
    <w:p w:rsidR="000B206E" w:rsidRPr="000B206E" w:rsidRDefault="000B7738" w:rsidP="00EF2C34">
      <w:pPr>
        <w:jc w:val="both"/>
        <w:rPr>
          <w:rStyle w:val="ClinConclusions"/>
          <w:lang w:val="pl-PL"/>
        </w:rPr>
      </w:pPr>
      <w:r w:rsidRPr="000B7738">
        <w:rPr>
          <w:rStyle w:val="ClinConclusions"/>
          <w:i w:val="0"/>
          <w:lang w:val="pl-PL"/>
        </w:rPr>
        <w:t xml:space="preserve">Brak </w:t>
      </w:r>
      <w:r w:rsidR="000B206E" w:rsidRPr="000B7738">
        <w:rPr>
          <w:rStyle w:val="ClinConclusions"/>
          <w:i w:val="0"/>
          <w:lang w:val="pl-PL"/>
        </w:rPr>
        <w:t>odpowiednich gwarancji proceduralnych w postępowaniu prowadzącym do umieszczenia nieletniego w ośrodku zatrzymania dla młod</w:t>
      </w:r>
      <w:r w:rsidR="00042BF5">
        <w:rPr>
          <w:rStyle w:val="ClinConclusions"/>
          <w:i w:val="0"/>
          <w:lang w:val="pl-PL"/>
        </w:rPr>
        <w:t>ocian</w:t>
      </w:r>
      <w:r w:rsidR="000B206E" w:rsidRPr="000B7738">
        <w:rPr>
          <w:rStyle w:val="ClinConclusions"/>
          <w:i w:val="0"/>
          <w:lang w:val="pl-PL"/>
        </w:rPr>
        <w:t>ych sprawców</w:t>
      </w:r>
      <w:r w:rsidR="00627DF9">
        <w:rPr>
          <w:rStyle w:val="ClinConclusions"/>
          <w:i w:val="0"/>
          <w:lang w:val="pl-PL"/>
        </w:rPr>
        <w:t xml:space="preserve"> czynów zabronionych</w:t>
      </w:r>
      <w:r w:rsidR="000B206E" w:rsidRPr="000B7738">
        <w:rPr>
          <w:rStyle w:val="ClinConclusions"/>
          <w:i w:val="0"/>
          <w:lang w:val="pl-PL"/>
        </w:rPr>
        <w:t xml:space="preserve"> w celu „skorygowania jego zachowania”</w:t>
      </w:r>
      <w:r w:rsidRPr="000B7738">
        <w:rPr>
          <w:rStyle w:val="ClinConclusions"/>
          <w:i w:val="0"/>
          <w:lang w:val="pl-PL"/>
        </w:rPr>
        <w:t xml:space="preserve">: </w:t>
      </w:r>
      <w:r>
        <w:rPr>
          <w:rStyle w:val="ClinConclusions"/>
          <w:lang w:val="pl-PL"/>
        </w:rPr>
        <w:t>naruszenie</w:t>
      </w:r>
    </w:p>
    <w:p w:rsidR="000B206E" w:rsidRPr="000B206E" w:rsidRDefault="000B206E">
      <w:pPr>
        <w:rPr>
          <w:lang w:val="pl-PL"/>
        </w:rPr>
      </w:pPr>
    </w:p>
    <w:p w:rsidR="00D2690D" w:rsidRPr="00D2690D" w:rsidRDefault="00D2690D">
      <w:pPr>
        <w:pStyle w:val="ClinContent"/>
        <w:rPr>
          <w:lang w:val="pl-PL"/>
        </w:rPr>
      </w:pPr>
      <w:r w:rsidRPr="001144AC">
        <w:rPr>
          <w:i/>
          <w:lang w:val="pl-PL"/>
        </w:rPr>
        <w:t>Fakty</w:t>
      </w:r>
      <w:r w:rsidRPr="00D2690D">
        <w:rPr>
          <w:lang w:val="pl-PL"/>
        </w:rPr>
        <w:t xml:space="preserve"> – Skarżący, który w przedmiotowym czasie miał 12 lat i cierpiał na zespół nadpobudliwości psychoruchowej z deficytem uwagi</w:t>
      </w:r>
      <w:r>
        <w:rPr>
          <w:lang w:val="pl-PL"/>
        </w:rPr>
        <w:t xml:space="preserve"> (ADHD)</w:t>
      </w:r>
      <w:r w:rsidR="00BF109D">
        <w:rPr>
          <w:lang w:val="pl-PL"/>
        </w:rPr>
        <w:t>,</w:t>
      </w:r>
      <w:r>
        <w:rPr>
          <w:lang w:val="pl-PL"/>
        </w:rPr>
        <w:t xml:space="preserve"> został zatrzymany i zabrany na komisariat policji z podejrzeniem, że wymuszał pieniądze od dziewięciolatka. Władze uznały za udowodnione, że skarżący popełnił przestępstwa zagrożone karą na podstawie </w:t>
      </w:r>
      <w:r w:rsidR="00B76673">
        <w:rPr>
          <w:lang w:val="pl-PL"/>
        </w:rPr>
        <w:t xml:space="preserve">kodeksu </w:t>
      </w:r>
      <w:r w:rsidR="001144AC">
        <w:rPr>
          <w:lang w:val="pl-PL"/>
        </w:rPr>
        <w:t>karnego</w:t>
      </w:r>
      <w:r>
        <w:rPr>
          <w:lang w:val="pl-PL"/>
        </w:rPr>
        <w:t>, ale ponieważ nie osiągnął przewidzianego ustawą wieku odpowiedzialności karnej, nie wszczęto wobec niego postępowania karnego. Zamiast tego postawiono go przed sądem, który zarządził umieszczenie go w tymczasowym ośrodku zatrzymania dla młod</w:t>
      </w:r>
      <w:r w:rsidR="00042BF5">
        <w:rPr>
          <w:lang w:val="pl-PL"/>
        </w:rPr>
        <w:t>ocian</w:t>
      </w:r>
      <w:r>
        <w:rPr>
          <w:lang w:val="pl-PL"/>
        </w:rPr>
        <w:t xml:space="preserve">ych sprawców na okres 30 dni w celu „skorygowania jego zachowania” i zapobieżenia </w:t>
      </w:r>
      <w:r w:rsidR="001144AC">
        <w:rPr>
          <w:lang w:val="pl-PL"/>
        </w:rPr>
        <w:t xml:space="preserve">popełnieniu przez niego </w:t>
      </w:r>
      <w:r>
        <w:rPr>
          <w:lang w:val="pl-PL"/>
        </w:rPr>
        <w:t>kolejnych czynów przestępczych. Skarżący zarzucał, że jego zdrowi</w:t>
      </w:r>
      <w:r w:rsidR="00CD621C">
        <w:rPr>
          <w:lang w:val="pl-PL"/>
        </w:rPr>
        <w:t>e</w:t>
      </w:r>
      <w:r>
        <w:rPr>
          <w:lang w:val="pl-PL"/>
        </w:rPr>
        <w:t xml:space="preserve"> pogorszyło się w czasie pobytu w ośrodku, jako że nie otrzymywał leczenia przepisanego mu przez lekarza. </w:t>
      </w:r>
    </w:p>
    <w:p w:rsidR="00D2690D" w:rsidRPr="00D2690D" w:rsidRDefault="00D2690D">
      <w:pPr>
        <w:pStyle w:val="ClinContent"/>
        <w:rPr>
          <w:lang w:val="pl-PL"/>
        </w:rPr>
      </w:pPr>
      <w:r w:rsidRPr="00D2690D">
        <w:rPr>
          <w:lang w:val="pl-PL"/>
        </w:rPr>
        <w:t xml:space="preserve">W wyroku z 14 listopada 2013 r. </w:t>
      </w:r>
      <w:r>
        <w:rPr>
          <w:lang w:val="pl-PL"/>
        </w:rPr>
        <w:t xml:space="preserve">(zobacz </w:t>
      </w:r>
      <w:hyperlink r:id="rId9" w:history="1">
        <w:r w:rsidR="00337F23" w:rsidRPr="00337F23">
          <w:rPr>
            <w:rStyle w:val="Hipercze"/>
            <w:lang w:val="pl-PL"/>
          </w:rPr>
          <w:t>Not</w:t>
        </w:r>
        <w:r w:rsidR="00337F23">
          <w:rPr>
            <w:rStyle w:val="Hipercze"/>
            <w:lang w:val="pl-PL"/>
          </w:rPr>
          <w:t>a informacyjna nr</w:t>
        </w:r>
        <w:r w:rsidR="00337F23" w:rsidRPr="00337F23">
          <w:rPr>
            <w:rStyle w:val="Hipercze"/>
            <w:lang w:val="pl-PL"/>
          </w:rPr>
          <w:t> 168</w:t>
        </w:r>
      </w:hyperlink>
      <w:r>
        <w:rPr>
          <w:lang w:val="pl-PL"/>
        </w:rPr>
        <w:t xml:space="preserve">) Izba Trybunału jednomyślnie orzekła, że doszło do naruszenia art. 3 Konwencji (z uwagi na brak odpowiedniego do sytuacji skarżącego leczenia), art. 5 (z uwagi na pozbawienie skarżącego wolności w tymczasowym ośrodku zatrzymania, które uznano za arbitralne) oraz art. 6 ust. 1 w związku z art. 6 ust. 3 lit. c i d (z uwagi na brak odpowiednich gwarancji proceduralnych w postępowaniu prowadzącym do umieszczenia w ośrodku zatrzymania). Sprawa została przekazana do Wielkiej Izby na wniosek rządu. </w:t>
      </w:r>
    </w:p>
    <w:p w:rsidR="007D4D2A" w:rsidRPr="001144AC" w:rsidRDefault="007D4D2A">
      <w:pPr>
        <w:pStyle w:val="ClinContent"/>
        <w:rPr>
          <w:lang w:val="pl-PL"/>
        </w:rPr>
      </w:pPr>
      <w:r w:rsidRPr="001144AC">
        <w:rPr>
          <w:i/>
          <w:lang w:val="pl-PL"/>
        </w:rPr>
        <w:t xml:space="preserve">Prawo </w:t>
      </w:r>
    </w:p>
    <w:p w:rsidR="007D4D2A" w:rsidRPr="007D4D2A" w:rsidRDefault="007D4D2A">
      <w:pPr>
        <w:pStyle w:val="ClinContent"/>
        <w:rPr>
          <w:lang w:val="pl-PL"/>
        </w:rPr>
      </w:pPr>
      <w:r w:rsidRPr="007D4D2A">
        <w:rPr>
          <w:lang w:val="pl-PL"/>
        </w:rPr>
        <w:t xml:space="preserve">Art. 3: Zgodnie z ugruntowanym prawem międzynarodowym zdrowie nieletnich pozbawionych wolności powinno być zagwarantowane zgodnie z uznanymi standardami medycznymi mającymi </w:t>
      </w:r>
      <w:r>
        <w:rPr>
          <w:lang w:val="pl-PL"/>
        </w:rPr>
        <w:t xml:space="preserve">ogólnie </w:t>
      </w:r>
      <w:r w:rsidRPr="007D4D2A">
        <w:rPr>
          <w:lang w:val="pl-PL"/>
        </w:rPr>
        <w:t>zastosowanie do nieletnich</w:t>
      </w:r>
      <w:r>
        <w:rPr>
          <w:lang w:val="pl-PL"/>
        </w:rPr>
        <w:t xml:space="preserve"> w społeczeństwie. Władze zawsze powinny się kierować najlepszym interesem dziecka</w:t>
      </w:r>
      <w:r w:rsidR="001144AC">
        <w:rPr>
          <w:lang w:val="pl-PL"/>
        </w:rPr>
        <w:t xml:space="preserve"> </w:t>
      </w:r>
      <w:r>
        <w:rPr>
          <w:lang w:val="pl-PL"/>
        </w:rPr>
        <w:t xml:space="preserve">i </w:t>
      </w:r>
      <w:r w:rsidR="001144AC">
        <w:rPr>
          <w:lang w:val="pl-PL"/>
        </w:rPr>
        <w:t xml:space="preserve">powinny </w:t>
      </w:r>
      <w:r>
        <w:rPr>
          <w:lang w:val="pl-PL"/>
        </w:rPr>
        <w:t xml:space="preserve">zagwarantować </w:t>
      </w:r>
      <w:r w:rsidR="001144AC">
        <w:rPr>
          <w:lang w:val="pl-PL"/>
        </w:rPr>
        <w:t xml:space="preserve">mu </w:t>
      </w:r>
      <w:r>
        <w:rPr>
          <w:lang w:val="pl-PL"/>
        </w:rPr>
        <w:t>odpowiednią opiek</w:t>
      </w:r>
      <w:r w:rsidR="00BF109D">
        <w:rPr>
          <w:lang w:val="pl-PL"/>
        </w:rPr>
        <w:t>ę</w:t>
      </w:r>
      <w:r>
        <w:rPr>
          <w:lang w:val="pl-PL"/>
        </w:rPr>
        <w:t xml:space="preserve"> i ochronę. Ponadto, jeśli władze rozważają pozbawienie dziecka wolności, należy przeprowadzić ocenę medyczną stanu zdrowia dziecka w celu ustalenia, czy może ono zostać umieszczone w ośrodku zatrzymania dla nieletnich. </w:t>
      </w:r>
    </w:p>
    <w:p w:rsidR="007D4D2A" w:rsidRPr="007D4D2A" w:rsidRDefault="007D4D2A">
      <w:pPr>
        <w:pStyle w:val="ClinContent"/>
        <w:rPr>
          <w:lang w:val="pl-PL"/>
        </w:rPr>
      </w:pPr>
      <w:r w:rsidRPr="007D4D2A">
        <w:rPr>
          <w:lang w:val="pl-PL"/>
        </w:rPr>
        <w:t>W obecnej sprawie istniały wystarczające dowody wskazujące, że władze były świad</w:t>
      </w:r>
      <w:r>
        <w:rPr>
          <w:lang w:val="pl-PL"/>
        </w:rPr>
        <w:t>ome</w:t>
      </w:r>
      <w:r w:rsidR="001144AC" w:rsidRPr="001144AC">
        <w:rPr>
          <w:lang w:val="pl-PL"/>
        </w:rPr>
        <w:t xml:space="preserve"> </w:t>
      </w:r>
      <w:r w:rsidR="001144AC">
        <w:rPr>
          <w:lang w:val="pl-PL"/>
        </w:rPr>
        <w:t>od momentu jego przyjęcia do tymczasowego ośrodka zatrzymania</w:t>
      </w:r>
      <w:r>
        <w:rPr>
          <w:lang w:val="pl-PL"/>
        </w:rPr>
        <w:t>, że skarżący cierpi na ADHD i potrzebuje leczenia. Ponadto, fakt, że następnego dnia po zwolnieniu był hospitalizowany i przebywał w szpitalu psychiatrycznym przez prawie trzy tygodnie wskazuje, że w tymczasowym ośrodku zatrzymania nie otrzymał leczenia koniecznego z punktu widzenia jego stanu. Skarżący dowiódł zatem sw</w:t>
      </w:r>
      <w:r w:rsidR="00B84758">
        <w:rPr>
          <w:lang w:val="pl-PL"/>
        </w:rPr>
        <w:t>ych zarzutów</w:t>
      </w:r>
      <w:r>
        <w:rPr>
          <w:lang w:val="pl-PL"/>
        </w:rPr>
        <w:t xml:space="preserve"> </w:t>
      </w:r>
      <w:r>
        <w:rPr>
          <w:i/>
          <w:lang w:val="pl-PL"/>
        </w:rPr>
        <w:t xml:space="preserve">prima facie. </w:t>
      </w:r>
      <w:r>
        <w:rPr>
          <w:lang w:val="pl-PL"/>
        </w:rPr>
        <w:t xml:space="preserve">Rząd natomiast ze swej strony nie zdołał wykazać, że skarżący otrzymywał opiekę medyczną wymaganą przez stan jego zdrowia w </w:t>
      </w:r>
      <w:r w:rsidR="001144AC">
        <w:rPr>
          <w:lang w:val="pl-PL"/>
        </w:rPr>
        <w:t>c</w:t>
      </w:r>
      <w:r>
        <w:rPr>
          <w:lang w:val="pl-PL"/>
        </w:rPr>
        <w:t>zasie jego trzydziestodniowego pobytu w tymczasowym ośrodku zatrzymania, kiedy to znajdował się pod całkowitą kontrolą personelu, który ponosił za niego pełną odpowiedzialność. Mając na względ</w:t>
      </w:r>
      <w:r w:rsidR="001144AC">
        <w:rPr>
          <w:lang w:val="pl-PL"/>
        </w:rPr>
        <w:t xml:space="preserve">zie młody wiek skarżącego, a także szczególnie jego </w:t>
      </w:r>
      <w:r>
        <w:rPr>
          <w:lang w:val="pl-PL"/>
        </w:rPr>
        <w:t>wrażliwy status jako osoby cierpiącej na ADHD, doszło zatem do naruszenia praw skarżącego na gruncie art. 3 z uwagi na brak niezbędnego leczenia w tymczasowym ośrodku zatrzymania.</w:t>
      </w:r>
    </w:p>
    <w:p w:rsidR="007D4D2A" w:rsidRPr="001144AC" w:rsidRDefault="007D4D2A">
      <w:pPr>
        <w:pStyle w:val="ClinContent"/>
        <w:rPr>
          <w:lang w:val="pl-PL"/>
        </w:rPr>
      </w:pPr>
      <w:r w:rsidRPr="001144AC">
        <w:rPr>
          <w:i/>
          <w:lang w:val="pl-PL"/>
        </w:rPr>
        <w:t>Rozstrzygnięcie:</w:t>
      </w:r>
      <w:r w:rsidRPr="001144AC">
        <w:rPr>
          <w:lang w:val="pl-PL"/>
        </w:rPr>
        <w:t xml:space="preserve"> naruszenie (jednomyślnie)</w:t>
      </w:r>
    </w:p>
    <w:p w:rsidR="007D4D2A" w:rsidRPr="007D4D2A" w:rsidRDefault="007D4D2A">
      <w:pPr>
        <w:pStyle w:val="ClinContent"/>
        <w:rPr>
          <w:lang w:val="pl-PL"/>
        </w:rPr>
      </w:pPr>
      <w:r w:rsidRPr="007D4D2A">
        <w:rPr>
          <w:lang w:val="pl-PL"/>
        </w:rPr>
        <w:t xml:space="preserve">Art. 5 ust. 1: Wielka Izba potwierdziła stwierdzenia </w:t>
      </w:r>
      <w:r>
        <w:rPr>
          <w:lang w:val="pl-PL"/>
        </w:rPr>
        <w:t>Izby, że umieszczenie skarżącego na trzyd</w:t>
      </w:r>
      <w:r w:rsidR="00D708E3">
        <w:rPr>
          <w:lang w:val="pl-PL"/>
        </w:rPr>
        <w:t>zieści dni w tymczasowym ośrodku</w:t>
      </w:r>
      <w:r>
        <w:rPr>
          <w:lang w:val="pl-PL"/>
        </w:rPr>
        <w:t xml:space="preserve"> zatrzymania stanowiło pozbawienie wolności w rozumieniu art. 5 ust. 1. Izba odnotowała w szczególności, że ośrodek był zamknięty i strzeżony, prowadzono 24-godzinny nadzór mający zapobiec opuszczaniu ośrodka przez </w:t>
      </w:r>
      <w:r>
        <w:rPr>
          <w:lang w:val="pl-PL"/>
        </w:rPr>
        <w:lastRenderedPageBreak/>
        <w:t xml:space="preserve">osadzonych bez zezwolenia, </w:t>
      </w:r>
      <w:r w:rsidR="00B43181">
        <w:rPr>
          <w:lang w:val="pl-PL"/>
        </w:rPr>
        <w:t xml:space="preserve">a dyscyplina była egzekwowana przez pełniący obowiązki patrol. </w:t>
      </w:r>
    </w:p>
    <w:p w:rsidR="00B43181" w:rsidRPr="00B43181" w:rsidRDefault="00B43181">
      <w:pPr>
        <w:pStyle w:val="ClinContent"/>
        <w:rPr>
          <w:lang w:val="pl-PL"/>
        </w:rPr>
      </w:pPr>
      <w:r w:rsidRPr="00B43181">
        <w:rPr>
          <w:lang w:val="pl-PL"/>
        </w:rPr>
        <w:t xml:space="preserve">Wielka Izba zgodziła się z Izbą, że umieszczenie skarżącego nie </w:t>
      </w:r>
      <w:r>
        <w:rPr>
          <w:lang w:val="pl-PL"/>
        </w:rPr>
        <w:t xml:space="preserve">było objęte zakresem przesłanek z art. 5 ust. 1 lit. a, b, c, e lub f. W swym badaniu skoncentrowała się zatem na kwestii, czy umieszczenie skarżącego było zgodne z art. 5 ust. 1 lit. d (pozbawienie wolności w celu ustanowienia nadzoru wychowawczego). </w:t>
      </w:r>
    </w:p>
    <w:p w:rsidR="00B43181" w:rsidRPr="00B43181" w:rsidRDefault="00B43181">
      <w:pPr>
        <w:pStyle w:val="ClinContent"/>
        <w:rPr>
          <w:lang w:val="pl-PL"/>
        </w:rPr>
      </w:pPr>
      <w:r w:rsidRPr="00B43181">
        <w:rPr>
          <w:lang w:val="pl-PL"/>
        </w:rPr>
        <w:t xml:space="preserve">Wielka Izba powtórzyła, że wyrażenie “nadzór wychowawczy” nie </w:t>
      </w:r>
      <w:r w:rsidR="00453F0A">
        <w:rPr>
          <w:lang w:val="pl-PL"/>
        </w:rPr>
        <w:t xml:space="preserve">powinien </w:t>
      </w:r>
      <w:r>
        <w:rPr>
          <w:lang w:val="pl-PL"/>
        </w:rPr>
        <w:t xml:space="preserve">być utożsamiany ściśle z pojęciami nauczania w klasie: w kontekście młodych osób pozostających pod opieką władzy lokalnej nadzór wychowawczy musi obejmować wiele aspektów wykonywania przez władzę lokalną praw rodzicielskich na korzyść i w celu ochrony danej osoby. Ponadto, pozbawienie wolności w celu ustanowienia nadzoru wychowawczego musi mieć miejsce w odpowiedniej placówce posiadającej zasoby niezbędne do zapewnienia koniecznych celów wychowawczych i wymogów bezpieczeństwa. </w:t>
      </w:r>
    </w:p>
    <w:p w:rsidR="00B43181" w:rsidRPr="00B43181" w:rsidRDefault="00B43181">
      <w:pPr>
        <w:pStyle w:val="ClinContent"/>
        <w:rPr>
          <w:lang w:val="pl-PL"/>
        </w:rPr>
      </w:pPr>
      <w:r w:rsidRPr="00B43181">
        <w:rPr>
          <w:lang w:val="pl-PL"/>
        </w:rPr>
        <w:t>W odniesieniu do faktów sprawy skarżącego Wielka Izba zauważyła, że umieszczenie w tymczasowym ośrod</w:t>
      </w:r>
      <w:r>
        <w:rPr>
          <w:lang w:val="pl-PL"/>
        </w:rPr>
        <w:t>ku zatrzymania było krótkotrwałym</w:t>
      </w:r>
      <w:r w:rsidRPr="00B43181">
        <w:rPr>
          <w:lang w:val="pl-PL"/>
        </w:rPr>
        <w:t>, tymcz</w:t>
      </w:r>
      <w:r>
        <w:rPr>
          <w:lang w:val="pl-PL"/>
        </w:rPr>
        <w:t>asowym rozwiązaniem i nie może być porównywane z umieszczeniem w zamknię</w:t>
      </w:r>
      <w:r w:rsidR="001144AC">
        <w:rPr>
          <w:lang w:val="pl-PL"/>
        </w:rPr>
        <w:t>tej</w:t>
      </w:r>
      <w:r>
        <w:rPr>
          <w:lang w:val="pl-PL"/>
        </w:rPr>
        <w:t xml:space="preserve"> instytucji wychowawczej, co </w:t>
      </w:r>
      <w:r w:rsidR="00D37DC2">
        <w:rPr>
          <w:lang w:val="pl-PL"/>
        </w:rPr>
        <w:t xml:space="preserve">jest </w:t>
      </w:r>
      <w:r>
        <w:rPr>
          <w:lang w:val="pl-PL"/>
        </w:rPr>
        <w:t>od</w:t>
      </w:r>
      <w:r w:rsidR="00D37DC2">
        <w:rPr>
          <w:lang w:val="pl-PL"/>
        </w:rPr>
        <w:t>rębnym</w:t>
      </w:r>
      <w:r>
        <w:rPr>
          <w:lang w:val="pl-PL"/>
        </w:rPr>
        <w:t xml:space="preserve"> i długoterminowym środkiem mającym na celu pom</w:t>
      </w:r>
      <w:r w:rsidR="001144AC">
        <w:rPr>
          <w:lang w:val="pl-PL"/>
        </w:rPr>
        <w:t>ó</w:t>
      </w:r>
      <w:r>
        <w:rPr>
          <w:lang w:val="pl-PL"/>
        </w:rPr>
        <w:t xml:space="preserve">c nieletnim z poważnymi problemami. Wielka Izba nie była w stanie dostrzec, w jaki sposób </w:t>
      </w:r>
      <w:r w:rsidR="00D1609D">
        <w:rPr>
          <w:lang w:val="pl-PL"/>
        </w:rPr>
        <w:t xml:space="preserve">w ciągu maksymalnie 30 dni </w:t>
      </w:r>
      <w:r>
        <w:rPr>
          <w:lang w:val="pl-PL"/>
        </w:rPr>
        <w:t>można było zapewnić znaczący nadzór wychowawczy</w:t>
      </w:r>
      <w:r w:rsidR="001144AC">
        <w:rPr>
          <w:lang w:val="pl-PL"/>
        </w:rPr>
        <w:t xml:space="preserve"> zmierzający do zmiany</w:t>
      </w:r>
      <w:r>
        <w:rPr>
          <w:lang w:val="pl-PL"/>
        </w:rPr>
        <w:t xml:space="preserve"> zachowa</w:t>
      </w:r>
      <w:r w:rsidR="001144AC">
        <w:rPr>
          <w:lang w:val="pl-PL"/>
        </w:rPr>
        <w:t>nia nieletniego i zapewnienia mu odpowiedniego leczenia i rehabilitacji</w:t>
      </w:r>
      <w:r>
        <w:rPr>
          <w:lang w:val="pl-PL"/>
        </w:rPr>
        <w:t>.</w:t>
      </w:r>
    </w:p>
    <w:p w:rsidR="00D1609D" w:rsidRPr="00D1609D" w:rsidRDefault="00D1609D">
      <w:pPr>
        <w:pStyle w:val="ClinContent"/>
        <w:rPr>
          <w:lang w:val="pl-PL"/>
        </w:rPr>
      </w:pPr>
      <w:r w:rsidRPr="00D1609D">
        <w:rPr>
          <w:lang w:val="pl-PL"/>
        </w:rPr>
        <w:t>Choć Wielka Izba zgodziła si</w:t>
      </w:r>
      <w:r>
        <w:rPr>
          <w:lang w:val="pl-PL"/>
        </w:rPr>
        <w:t>ę, że w ośrodku zapewniono do pewnego stopnia nauk</w:t>
      </w:r>
      <w:r w:rsidR="001144AC">
        <w:rPr>
          <w:lang w:val="pl-PL"/>
        </w:rPr>
        <w:t>ę szkolną, uznała, że standardową praktyką</w:t>
      </w:r>
      <w:r>
        <w:rPr>
          <w:lang w:val="pl-PL"/>
        </w:rPr>
        <w:t xml:space="preserve"> powinno być zapewnienie nauki zgodnej ze zwykłym programem szkolnym dla wszystkich nieletnich pozbawionych wolności i umieszczonych pod kontrolą Państwa, nawet jeśli są oni umieszczani w tymczasowym ośrodku zatrzymania na ograniczony czas. Takie nauczanie jest konieczne, by uniknąć </w:t>
      </w:r>
      <w:r w:rsidR="001144AC">
        <w:rPr>
          <w:lang w:val="pl-PL"/>
        </w:rPr>
        <w:t xml:space="preserve">pojawienia się </w:t>
      </w:r>
      <w:r>
        <w:rPr>
          <w:lang w:val="pl-PL"/>
        </w:rPr>
        <w:t xml:space="preserve">luk w ich edukacji. Zapewnienie takiego nauczania nie stanowi jednak udowodnienia tezy rządu, że umieszczenie skarżącego w ośrodku </w:t>
      </w:r>
      <w:r w:rsidR="00565EEE">
        <w:rPr>
          <w:lang w:val="pl-PL"/>
        </w:rPr>
        <w:t>od</w:t>
      </w:r>
      <w:r>
        <w:rPr>
          <w:lang w:val="pl-PL"/>
        </w:rPr>
        <w:t xml:space="preserve">było </w:t>
      </w:r>
      <w:r w:rsidR="00565EEE">
        <w:rPr>
          <w:lang w:val="pl-PL"/>
        </w:rPr>
        <w:t xml:space="preserve">się </w:t>
      </w:r>
      <w:r>
        <w:rPr>
          <w:lang w:val="pl-PL"/>
        </w:rPr>
        <w:t xml:space="preserve">„w celu” nadzoru wychowawczego. Przeciwnie, ośrodek cechował się raczej reżimem dyscyplinarnym niż zapewnianiem nauki szkolnej. </w:t>
      </w:r>
    </w:p>
    <w:p w:rsidR="00D1609D" w:rsidRPr="00D1609D" w:rsidRDefault="00D1609D">
      <w:pPr>
        <w:pStyle w:val="ClinContent"/>
        <w:rPr>
          <w:lang w:val="pl-PL"/>
        </w:rPr>
      </w:pPr>
      <w:r>
        <w:rPr>
          <w:lang w:val="pl-PL"/>
        </w:rPr>
        <w:t>Istotny był</w:t>
      </w:r>
      <w:r w:rsidRPr="00D1609D">
        <w:rPr>
          <w:lang w:val="pl-PL"/>
        </w:rPr>
        <w:t xml:space="preserve"> również</w:t>
      </w:r>
      <w:r>
        <w:rPr>
          <w:lang w:val="pl-PL"/>
        </w:rPr>
        <w:t xml:space="preserve"> fakt</w:t>
      </w:r>
      <w:r w:rsidRPr="00D1609D">
        <w:rPr>
          <w:lang w:val="pl-PL"/>
        </w:rPr>
        <w:t xml:space="preserve">, że żaden z sądów krajowych nie stwierdził, że umieszczenie skarżącego </w:t>
      </w:r>
      <w:r w:rsidR="00565EEE">
        <w:rPr>
          <w:lang w:val="pl-PL"/>
        </w:rPr>
        <w:t>od</w:t>
      </w:r>
      <w:r w:rsidRPr="00D1609D">
        <w:rPr>
          <w:lang w:val="pl-PL"/>
        </w:rPr>
        <w:t xml:space="preserve">było </w:t>
      </w:r>
      <w:r w:rsidR="00565EEE">
        <w:rPr>
          <w:lang w:val="pl-PL"/>
        </w:rPr>
        <w:t xml:space="preserve">się </w:t>
      </w:r>
      <w:r w:rsidRPr="00D1609D">
        <w:rPr>
          <w:lang w:val="pl-PL"/>
        </w:rPr>
        <w:t xml:space="preserve">w celu ustanowienia nadzoru wychowawczego. </w:t>
      </w:r>
      <w:r>
        <w:rPr>
          <w:lang w:val="pl-PL"/>
        </w:rPr>
        <w:t xml:space="preserve">Zamiast tego </w:t>
      </w:r>
      <w:r w:rsidR="00942BE3">
        <w:rPr>
          <w:lang w:val="pl-PL"/>
        </w:rPr>
        <w:t xml:space="preserve">sądy </w:t>
      </w:r>
      <w:r>
        <w:rPr>
          <w:lang w:val="pl-PL"/>
        </w:rPr>
        <w:t>odnosiły się do „skorygowania zachowania” i potrzeby zapobieżenia popełnianiu przez skarżącego dalszych czynów przestępczych, a żade</w:t>
      </w:r>
      <w:r w:rsidR="00914AFE">
        <w:rPr>
          <w:lang w:val="pl-PL"/>
        </w:rPr>
        <w:t>n z tych argumentów nie stanowi</w:t>
      </w:r>
      <w:r>
        <w:rPr>
          <w:lang w:val="pl-PL"/>
        </w:rPr>
        <w:t xml:space="preserve"> ważnej podstawy objętej zakresem art. 5 ust. 1 lit. d Konwencji. Ponieważ pozbawienie wolności nie było objęte zakresem żadnego z podpunktów art. 5 ust. 1, doszło do naruszenia tego postanowienia. </w:t>
      </w:r>
    </w:p>
    <w:p w:rsidR="006C61DE" w:rsidRPr="001144AC" w:rsidRDefault="006C61DE">
      <w:pPr>
        <w:pStyle w:val="ClinContent"/>
        <w:rPr>
          <w:lang w:val="pl-PL"/>
        </w:rPr>
      </w:pPr>
      <w:r w:rsidRPr="001144AC">
        <w:rPr>
          <w:i/>
          <w:lang w:val="pl-PL"/>
        </w:rPr>
        <w:t>Rozstrzygnięcie</w:t>
      </w:r>
      <w:r w:rsidRPr="001144AC">
        <w:rPr>
          <w:lang w:val="pl-PL"/>
        </w:rPr>
        <w:t>: naruszenie (jednomyślnie)</w:t>
      </w:r>
    </w:p>
    <w:p w:rsidR="006C61DE" w:rsidRPr="006C61DE" w:rsidRDefault="006C61DE">
      <w:pPr>
        <w:pStyle w:val="ClinContent"/>
        <w:rPr>
          <w:lang w:val="pl-PL"/>
        </w:rPr>
      </w:pPr>
      <w:r w:rsidRPr="006C61DE">
        <w:rPr>
          <w:lang w:val="pl-PL"/>
        </w:rPr>
        <w:t xml:space="preserve">Art. 6 ust. 1 w związku z art. </w:t>
      </w:r>
      <w:r>
        <w:rPr>
          <w:lang w:val="pl-PL"/>
        </w:rPr>
        <w:t xml:space="preserve">6 ust. 3 lit. c i d: Skarżący skarżył się, że postępowanie dotyczące umieszczenia go w tymczasowym ośrodku zatrzymania nie było rzetelne, jako że został przesłuchany przez policję bez obecności jego opiekuna, obrońcy lub nauczyciela i nie miał możliwości przepytania świadków występujących przeciwko niemu w czasie postępowania. </w:t>
      </w:r>
    </w:p>
    <w:p w:rsidR="00042BF5" w:rsidRPr="00042BF5" w:rsidRDefault="00042BF5">
      <w:pPr>
        <w:pStyle w:val="ClinContent"/>
        <w:rPr>
          <w:lang w:val="pl-PL"/>
        </w:rPr>
      </w:pPr>
      <w:r w:rsidRPr="00042BF5">
        <w:rPr>
          <w:lang w:val="pl-PL"/>
        </w:rPr>
        <w:t>(a)  </w:t>
      </w:r>
      <w:r w:rsidRPr="00042BF5">
        <w:rPr>
          <w:i/>
          <w:lang w:val="pl-PL"/>
        </w:rPr>
        <w:t>Zastosowalność</w:t>
      </w:r>
      <w:r w:rsidRPr="00042BF5">
        <w:rPr>
          <w:lang w:val="pl-PL"/>
        </w:rPr>
        <w:t xml:space="preserve"> – Wielka Izba nie znalazła powodów do ods</w:t>
      </w:r>
      <w:r>
        <w:rPr>
          <w:lang w:val="pl-PL"/>
        </w:rPr>
        <w:t xml:space="preserve">tąpienia od stwierdzeń Izby, że postępowanie przeciwko skarżącemu stanowiło postępowanie karne w rozumieniu art. 6 </w:t>
      </w:r>
      <w:r w:rsidR="00D531C3">
        <w:rPr>
          <w:lang w:val="pl-PL"/>
        </w:rPr>
        <w:t>Konwencji</w:t>
      </w:r>
      <w:r>
        <w:rPr>
          <w:lang w:val="pl-PL"/>
        </w:rPr>
        <w:t>. Podobnie jak Izba</w:t>
      </w:r>
      <w:r w:rsidR="00D531C3">
        <w:rPr>
          <w:lang w:val="pl-PL"/>
        </w:rPr>
        <w:t>, Wielka Izba</w:t>
      </w:r>
      <w:r>
        <w:rPr>
          <w:lang w:val="pl-PL"/>
        </w:rPr>
        <w:t xml:space="preserve"> podkreśliła, że nie należy patrzeć na pozory i stosowaną terminologię, a koncentrować się na rzeczywistej sytuacji. Umieszczenie na trzydzieści dni w tymczasowym ośrodku zatrzymania dla młodocianych </w:t>
      </w:r>
      <w:r>
        <w:rPr>
          <w:lang w:val="pl-PL"/>
        </w:rPr>
        <w:lastRenderedPageBreak/>
        <w:t xml:space="preserve">sprawców zawierało w sobie wyraźne elementy zarówno odstraszania, jak i karania (Izba odnotowała, że ośrodek był zamknięty i strzeżony w celu uniemożliwiania osadzonym opuszczania go bez zezwolenia, podlegali oni też stałemu dozorowi i ścisłemu reżimowi dyscyplinarnemu). </w:t>
      </w:r>
    </w:p>
    <w:p w:rsidR="00773445" w:rsidRPr="00773445" w:rsidRDefault="006E5778">
      <w:pPr>
        <w:pStyle w:val="ClinContent"/>
        <w:rPr>
          <w:lang w:val="pl-PL"/>
        </w:rPr>
      </w:pPr>
      <w:r>
        <w:rPr>
          <w:lang w:val="pl-PL"/>
        </w:rPr>
        <w:t xml:space="preserve">Wielka </w:t>
      </w:r>
      <w:r w:rsidR="00773445" w:rsidRPr="00773445">
        <w:rPr>
          <w:lang w:val="pl-PL"/>
        </w:rPr>
        <w:t xml:space="preserve">Izba odrzuciła </w:t>
      </w:r>
      <w:r w:rsidR="00D531C3">
        <w:rPr>
          <w:lang w:val="pl-PL"/>
        </w:rPr>
        <w:t xml:space="preserve">też </w:t>
      </w:r>
      <w:r w:rsidR="00773445" w:rsidRPr="00773445">
        <w:rPr>
          <w:lang w:val="pl-PL"/>
        </w:rPr>
        <w:t xml:space="preserve">twierdzenie rządu, że skargi należy rozpatrywać na podstawie art. </w:t>
      </w:r>
      <w:r w:rsidR="00773445">
        <w:rPr>
          <w:lang w:val="pl-PL"/>
        </w:rPr>
        <w:t xml:space="preserve">5 ust. 4 Konwencji. W opinii Wielkiej Izby, ponieważ postępowanie przeciwko skarżącemu dotyczyło rozstrzygania o oskarżeniu w sprawie karnej, skargi skarżącego należy postrzegać w kontekście dalej idących gwarancji proceduralnych zawartych w art. 6 Konwencji, a nie art. 5 ust. 4. </w:t>
      </w:r>
    </w:p>
    <w:p w:rsidR="00773445" w:rsidRPr="00D531C3" w:rsidRDefault="00773445">
      <w:pPr>
        <w:pStyle w:val="ClinContent"/>
        <w:rPr>
          <w:lang w:val="pl-PL"/>
        </w:rPr>
      </w:pPr>
      <w:r w:rsidRPr="00D531C3">
        <w:rPr>
          <w:lang w:val="pl-PL"/>
        </w:rPr>
        <w:t xml:space="preserve">Art. 6 miał zatem zastosowanie. </w:t>
      </w:r>
    </w:p>
    <w:p w:rsidR="00773445" w:rsidRPr="00773445" w:rsidRDefault="00773445">
      <w:pPr>
        <w:pStyle w:val="ClinContent"/>
        <w:rPr>
          <w:lang w:val="pl-PL"/>
        </w:rPr>
      </w:pPr>
      <w:r w:rsidRPr="00773445">
        <w:rPr>
          <w:i/>
          <w:lang w:val="pl-PL"/>
        </w:rPr>
        <w:t xml:space="preserve">Rozstrzygnięcie: </w:t>
      </w:r>
      <w:r w:rsidRPr="00773445">
        <w:rPr>
          <w:lang w:val="pl-PL"/>
        </w:rPr>
        <w:t xml:space="preserve">zastrzeżenie wstępne oddalone (jednomyślnie). </w:t>
      </w:r>
    </w:p>
    <w:p w:rsidR="002D5746" w:rsidRPr="00EF2C34" w:rsidRDefault="002D5746">
      <w:pPr>
        <w:pStyle w:val="ClinContent"/>
        <w:rPr>
          <w:lang w:val="pl-PL"/>
        </w:rPr>
      </w:pPr>
      <w:r w:rsidRPr="002D5746">
        <w:rPr>
          <w:lang w:val="pl-PL"/>
        </w:rPr>
        <w:t xml:space="preserve">(b) </w:t>
      </w:r>
      <w:r w:rsidRPr="002D5746">
        <w:rPr>
          <w:i/>
          <w:lang w:val="pl-PL"/>
        </w:rPr>
        <w:t xml:space="preserve">Przedmiot skargi </w:t>
      </w:r>
      <w:r w:rsidRPr="002D5746">
        <w:rPr>
          <w:lang w:val="pl-PL"/>
        </w:rPr>
        <w:t xml:space="preserve">– Skarżący miał zaledwie dwanaście lat, gdy policja zabrała go na komisariat i przesłuchała, nie osiągnął więc jeszcze wieku odpowiedzialności karnej (14 lat) przewidzianego przez </w:t>
      </w:r>
      <w:r w:rsidR="00B76673" w:rsidRPr="002D5746">
        <w:rPr>
          <w:lang w:val="pl-PL"/>
        </w:rPr>
        <w:t xml:space="preserve">kodeks karny </w:t>
      </w:r>
      <w:r w:rsidRPr="002D5746">
        <w:rPr>
          <w:lang w:val="pl-PL"/>
        </w:rPr>
        <w:t>w odniesieniu do przestępstw, o które go oskarżono.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Potrzebował zatem szczególnego traktowania i ochrony ze strony władz. </w:t>
      </w:r>
      <w:r w:rsidR="00267325">
        <w:rPr>
          <w:lang w:val="pl-PL"/>
        </w:rPr>
        <w:t xml:space="preserve">Z </w:t>
      </w:r>
      <w:r>
        <w:rPr>
          <w:lang w:val="pl-PL"/>
        </w:rPr>
        <w:t>różnych</w:t>
      </w:r>
      <w:r w:rsidR="0034302B">
        <w:rPr>
          <w:lang w:val="pl-PL"/>
        </w:rPr>
        <w:t xml:space="preserve"> dokumentów</w:t>
      </w:r>
      <w:r>
        <w:rPr>
          <w:lang w:val="pl-PL"/>
        </w:rPr>
        <w:t xml:space="preserve"> międzynarodowych</w:t>
      </w:r>
      <w:r w:rsidRPr="002D5746">
        <w:rPr>
          <w:lang w:val="pl-PL"/>
        </w:rPr>
        <w:t>*</w:t>
      </w:r>
      <w:r w:rsidR="00267325">
        <w:rPr>
          <w:lang w:val="pl-PL"/>
        </w:rPr>
        <w:t xml:space="preserve"> w sposób wyraźny wynika</w:t>
      </w:r>
      <w:r>
        <w:rPr>
          <w:lang w:val="pl-PL"/>
        </w:rPr>
        <w:t xml:space="preserve">, że wszelkie środki przeciwko niemu powinny były opierać się na jego najlepszym interesie i że od czasu </w:t>
      </w:r>
      <w:r w:rsidR="00267325">
        <w:rPr>
          <w:lang w:val="pl-PL"/>
        </w:rPr>
        <w:t>zatrzymania</w:t>
      </w:r>
      <w:r>
        <w:rPr>
          <w:lang w:val="pl-PL"/>
        </w:rPr>
        <w:t xml:space="preserve"> go przez policję należało mu zagwarantować co najmniej te same prawa i gwarancje, jakie przewidziano dla dorosłych. Ponadto, fakt, że cierpiał na ADHD, zaburzenie psychiczne i </w:t>
      </w:r>
      <w:proofErr w:type="spellStart"/>
      <w:r>
        <w:rPr>
          <w:lang w:val="pl-PL"/>
        </w:rPr>
        <w:t>neurobehawioralne</w:t>
      </w:r>
      <w:proofErr w:type="spellEnd"/>
      <w:r>
        <w:rPr>
          <w:lang w:val="pl-PL"/>
        </w:rPr>
        <w:t xml:space="preserve">, </w:t>
      </w:r>
      <w:r w:rsidR="0034302B">
        <w:rPr>
          <w:lang w:val="pl-PL"/>
        </w:rPr>
        <w:t xml:space="preserve">sprawiał, że był on osobą szczególnie wrażliwą i potrzebującą szczególnej ochrony. </w:t>
      </w:r>
      <w:r w:rsidR="0034302B" w:rsidRPr="00EF2C34">
        <w:rPr>
          <w:lang w:val="pl-PL"/>
        </w:rPr>
        <w:t>**</w:t>
      </w:r>
    </w:p>
    <w:p w:rsidR="0034302B" w:rsidRPr="00EF2C34" w:rsidRDefault="0034302B">
      <w:pPr>
        <w:pStyle w:val="ClinContent"/>
        <w:rPr>
          <w:lang w:val="pl-PL"/>
        </w:rPr>
      </w:pPr>
      <w:r w:rsidRPr="0034302B">
        <w:rPr>
          <w:lang w:val="pl-PL"/>
        </w:rPr>
        <w:t xml:space="preserve">(i) </w:t>
      </w:r>
      <w:r w:rsidRPr="0034302B">
        <w:rPr>
          <w:i/>
          <w:lang w:val="pl-PL"/>
        </w:rPr>
        <w:t>Prawo do pomocy prawnej</w:t>
      </w:r>
      <w:r w:rsidRPr="0034302B">
        <w:rPr>
          <w:lang w:val="pl-PL"/>
        </w:rPr>
        <w:t xml:space="preserve"> </w:t>
      </w:r>
      <w:r>
        <w:rPr>
          <w:lang w:val="pl-PL"/>
        </w:rPr>
        <w:t>–</w:t>
      </w:r>
      <w:r w:rsidRPr="0034302B">
        <w:rPr>
          <w:lang w:val="pl-PL"/>
        </w:rPr>
        <w:t xml:space="preserve"> </w:t>
      </w:r>
      <w:r>
        <w:rPr>
          <w:lang w:val="pl-PL"/>
        </w:rPr>
        <w:t xml:space="preserve">Trybunał uznał za udowodnione, że policja nie pomagała skarżącemu w uzyskaniu zastępstwa prawnego. Ani też nie poinformowano skarżącego o prawie do adwokata oraz do obecności dziadka lub nauczyciela. To bierne podejście przyjęte przez policję w sposób </w:t>
      </w:r>
      <w:r w:rsidR="00267325">
        <w:rPr>
          <w:lang w:val="pl-PL"/>
        </w:rPr>
        <w:t>wyraźny</w:t>
      </w:r>
      <w:r>
        <w:rPr>
          <w:lang w:val="pl-PL"/>
        </w:rPr>
        <w:t xml:space="preserve"> nie było wystarczające do wypełnienia jej pozytywnego obowiązku zapewnienia skarżącemu – dziecku cierpiącemu na ADH</w:t>
      </w:r>
      <w:r w:rsidR="00D531C3">
        <w:rPr>
          <w:lang w:val="pl-PL"/>
        </w:rPr>
        <w:t>D</w:t>
      </w:r>
      <w:r>
        <w:rPr>
          <w:lang w:val="pl-PL"/>
        </w:rPr>
        <w:t xml:space="preserve"> – niezbędnych informacji umożliwiających mu otrzymanie zastępstwa prawnego. Fakt, że prawo krajowe nie </w:t>
      </w:r>
      <w:r w:rsidR="00E3273D">
        <w:rPr>
          <w:lang w:val="pl-PL"/>
        </w:rPr>
        <w:t xml:space="preserve">przewidywało udzielenia </w:t>
      </w:r>
      <w:r>
        <w:rPr>
          <w:lang w:val="pl-PL"/>
        </w:rPr>
        <w:t>pomocy prawnej nieletniemu, który nie osiągnął wieku odpowiedzialności karnej, w czasie przesłucha</w:t>
      </w:r>
      <w:r w:rsidR="00D531C3">
        <w:rPr>
          <w:lang w:val="pl-PL"/>
        </w:rPr>
        <w:t>nia przez policję, nie stanowił</w:t>
      </w:r>
      <w:r>
        <w:rPr>
          <w:lang w:val="pl-PL"/>
        </w:rPr>
        <w:t xml:space="preserve"> </w:t>
      </w:r>
      <w:r w:rsidR="00D531C3">
        <w:rPr>
          <w:lang w:val="pl-PL"/>
        </w:rPr>
        <w:t>uzasadnionego</w:t>
      </w:r>
      <w:r>
        <w:rPr>
          <w:lang w:val="pl-PL"/>
        </w:rPr>
        <w:t xml:space="preserve"> powodu braku spełnienia tego obowiązku. W istocie, było to sprzeczne z podstawowymi zasadami wyrażonymi w dokumentach międzynarodowych, </w:t>
      </w:r>
      <w:r w:rsidR="00D531C3">
        <w:rPr>
          <w:lang w:val="pl-PL"/>
        </w:rPr>
        <w:t>które wymagają</w:t>
      </w:r>
      <w:r w:rsidR="00267325">
        <w:rPr>
          <w:lang w:val="pl-PL"/>
        </w:rPr>
        <w:t xml:space="preserve"> zagwarantowania</w:t>
      </w:r>
      <w:r>
        <w:rPr>
          <w:lang w:val="pl-PL"/>
        </w:rPr>
        <w:t xml:space="preserve"> nieletnim prawn</w:t>
      </w:r>
      <w:r w:rsidR="00806310">
        <w:rPr>
          <w:lang w:val="pl-PL"/>
        </w:rPr>
        <w:t>ej lub innej właściwej</w:t>
      </w:r>
      <w:r>
        <w:rPr>
          <w:lang w:val="pl-PL"/>
        </w:rPr>
        <w:t xml:space="preserve"> pomoc</w:t>
      </w:r>
      <w:r w:rsidR="00806310">
        <w:rPr>
          <w:lang w:val="pl-PL"/>
        </w:rPr>
        <w:t>y</w:t>
      </w:r>
      <w:r>
        <w:rPr>
          <w:lang w:val="pl-PL"/>
        </w:rPr>
        <w:t>.</w:t>
      </w:r>
      <w:r w:rsidRPr="0034302B">
        <w:rPr>
          <w:lang w:val="pl-PL"/>
        </w:rPr>
        <w:t xml:space="preserve"> </w:t>
      </w:r>
      <w:r w:rsidRPr="00EF2C34">
        <w:rPr>
          <w:lang w:val="pl-PL"/>
        </w:rPr>
        <w:t xml:space="preserve">*** </w:t>
      </w:r>
    </w:p>
    <w:p w:rsidR="007D754E" w:rsidRPr="007D754E" w:rsidRDefault="007D754E">
      <w:pPr>
        <w:pStyle w:val="ClinContent"/>
        <w:rPr>
          <w:lang w:val="pl-PL"/>
        </w:rPr>
      </w:pPr>
      <w:r w:rsidRPr="007D754E">
        <w:rPr>
          <w:lang w:val="pl-PL"/>
        </w:rPr>
        <w:t xml:space="preserve">Ponadto, przyznanie się, uczynione pod nieobecność obrońcy, </w:t>
      </w:r>
      <w:r>
        <w:rPr>
          <w:lang w:val="pl-PL"/>
        </w:rPr>
        <w:t xml:space="preserve">nie tylko wykorzystano przeciwko skarżącemu w postępowaniu w sprawie umieszczenia go w ośrodku tymczasowego zatrzymania, ale stanowiło ono w istocie podstawę – łącznie z zeznaniami świadków – dla stwierdzenia przez sądy krajowe, że jego czyny nosiły znamiona przestępstwa wymuszenia, stanowiąc podstawę </w:t>
      </w:r>
      <w:r w:rsidR="00D531C3">
        <w:rPr>
          <w:lang w:val="pl-PL"/>
        </w:rPr>
        <w:t xml:space="preserve">do </w:t>
      </w:r>
      <w:r>
        <w:rPr>
          <w:lang w:val="pl-PL"/>
        </w:rPr>
        <w:t>umieszczenia go w ośrodku. Brak pomocy prawnej w czasie przesłuchania skarżącego przez policję bezpowrotnie wpłynął na jego praw</w:t>
      </w:r>
      <w:r w:rsidR="00E716D1">
        <w:rPr>
          <w:lang w:val="pl-PL"/>
        </w:rPr>
        <w:t>o</w:t>
      </w:r>
      <w:r>
        <w:rPr>
          <w:lang w:val="pl-PL"/>
        </w:rPr>
        <w:t xml:space="preserve"> do obrony i podważył rzetelność postępowania jako całości, z </w:t>
      </w:r>
      <w:r w:rsidR="00B51DE6">
        <w:rPr>
          <w:lang w:val="pl-PL"/>
        </w:rPr>
        <w:t>naruszeniem</w:t>
      </w:r>
      <w:r>
        <w:rPr>
          <w:lang w:val="pl-PL"/>
        </w:rPr>
        <w:t xml:space="preserve"> art. 6 ust. 1 oraz art. 6 ust. 3 lit. c. </w:t>
      </w:r>
    </w:p>
    <w:p w:rsidR="00B51DE6" w:rsidRPr="00B51DE6" w:rsidRDefault="00B51DE6">
      <w:pPr>
        <w:pStyle w:val="ClinContent"/>
        <w:rPr>
          <w:lang w:val="pl-PL"/>
        </w:rPr>
      </w:pPr>
      <w:r w:rsidRPr="00B51DE6">
        <w:rPr>
          <w:lang w:val="pl-PL"/>
        </w:rPr>
        <w:t xml:space="preserve">(ii) </w:t>
      </w:r>
      <w:r w:rsidRPr="00B51DE6">
        <w:rPr>
          <w:i/>
          <w:lang w:val="pl-PL"/>
        </w:rPr>
        <w:t xml:space="preserve">Prawo do obecności i </w:t>
      </w:r>
      <w:r w:rsidR="00E3273D">
        <w:rPr>
          <w:i/>
          <w:lang w:val="pl-PL"/>
        </w:rPr>
        <w:t>przesłuchania</w:t>
      </w:r>
      <w:r w:rsidR="00E3273D" w:rsidRPr="00B51DE6">
        <w:rPr>
          <w:i/>
          <w:lang w:val="pl-PL"/>
        </w:rPr>
        <w:t xml:space="preserve"> </w:t>
      </w:r>
      <w:r w:rsidRPr="00B51DE6">
        <w:rPr>
          <w:i/>
          <w:lang w:val="pl-PL"/>
        </w:rPr>
        <w:t>świadków</w:t>
      </w:r>
      <w:r>
        <w:rPr>
          <w:lang w:val="pl-PL"/>
        </w:rPr>
        <w:t xml:space="preserve"> – Ani dziecko, które zarzuciło, iż skarżący wymusił od niego pieniądze, ani matka dziecka nie zosta</w:t>
      </w:r>
      <w:r w:rsidR="00E716D1">
        <w:rPr>
          <w:lang w:val="pl-PL"/>
        </w:rPr>
        <w:t>li</w:t>
      </w:r>
      <w:r>
        <w:rPr>
          <w:lang w:val="pl-PL"/>
        </w:rPr>
        <w:t xml:space="preserve"> wezwan</w:t>
      </w:r>
      <w:r w:rsidR="00E716D1">
        <w:rPr>
          <w:lang w:val="pl-PL"/>
        </w:rPr>
        <w:t>i</w:t>
      </w:r>
      <w:r>
        <w:rPr>
          <w:lang w:val="pl-PL"/>
        </w:rPr>
        <w:t xml:space="preserve"> na rozprawę w celu złożenia zeznań i umo</w:t>
      </w:r>
      <w:r w:rsidR="00D531C3">
        <w:rPr>
          <w:lang w:val="pl-PL"/>
        </w:rPr>
        <w:t>żliwienia skarżącemu przepytani</w:t>
      </w:r>
      <w:r w:rsidR="00E716D1">
        <w:rPr>
          <w:lang w:val="pl-PL"/>
        </w:rPr>
        <w:t>a</w:t>
      </w:r>
      <w:r>
        <w:rPr>
          <w:lang w:val="pl-PL"/>
        </w:rPr>
        <w:t xml:space="preserve"> ich, pomimo że ich zeznania miały rozstrzygające znaczenie dla ustaleń postępowania przygotowawczego, że skarżący popełnił wymuszenie. </w:t>
      </w:r>
      <w:r w:rsidR="00477DF7">
        <w:rPr>
          <w:lang w:val="pl-PL"/>
        </w:rPr>
        <w:t xml:space="preserve">Brak było uzasadnionych powodów ich nieobecności. Ponadto, w świetle faktu, że skarżący wycofał swe przyznanie, dla rzetelności postępowania istotne było przesłuchanie tych świadków. Gwarancja ta jest jeszcze bardziej istotna w przypadkach, takich jak obecny, gdy sprawa dotyczy nieletniego, który nie osiągnął wieku odpowiedzialności karnej, </w:t>
      </w:r>
      <w:r w:rsidR="00D531C3">
        <w:rPr>
          <w:lang w:val="pl-PL"/>
        </w:rPr>
        <w:t>i postępowania</w:t>
      </w:r>
      <w:r w:rsidR="00477DF7">
        <w:rPr>
          <w:lang w:val="pl-PL"/>
        </w:rPr>
        <w:t xml:space="preserve">, które ma na celu rozstrzygnięcie </w:t>
      </w:r>
      <w:r w:rsidR="00D531C3">
        <w:rPr>
          <w:lang w:val="pl-PL"/>
        </w:rPr>
        <w:t xml:space="preserve">w sprawie </w:t>
      </w:r>
      <w:r w:rsidR="00477DF7">
        <w:rPr>
          <w:lang w:val="pl-PL"/>
        </w:rPr>
        <w:t xml:space="preserve">tak fundamentalnego prawa jak prawo do wolności osobistej. </w:t>
      </w:r>
      <w:r w:rsidR="00477DF7">
        <w:rPr>
          <w:lang w:val="pl-PL"/>
        </w:rPr>
        <w:lastRenderedPageBreak/>
        <w:t xml:space="preserve">Zważywszy na fakt, że skarżący był zagrożony pozbawieniem wolności na trzydzieści dni – okres czasu dość znaczny dla dwunastoletniego chłopca </w:t>
      </w:r>
      <w:r w:rsidR="00D531C3">
        <w:rPr>
          <w:lang w:val="pl-PL"/>
        </w:rPr>
        <w:t>–</w:t>
      </w:r>
      <w:r w:rsidR="00477DF7">
        <w:rPr>
          <w:lang w:val="pl-PL"/>
        </w:rPr>
        <w:t xml:space="preserve"> sprawą najwyższego znaczenia było, by sąd krajowy zagwarantował rzetelność postępowania, zapewniając poszanowanie zasady równości broni. W świetle braku jakichkolwiek czynników równoważących, mogących zrekompensować brak możliwości przepytania przez skarżącego świadków na jakimkolwiek etapie postępowania, prawa skarżącego do obrony, w szczególności prawo do podważania i kierowania pytań do świadków, zostało ograniczone w stopniu niezgodnym z gwarancjami przewidzianymi przez art. 6 ust. 1 oraz art. 6 ust. 3 lit. d. </w:t>
      </w:r>
    </w:p>
    <w:p w:rsidR="00BE7769" w:rsidRPr="00EF2C34" w:rsidRDefault="00615E2E">
      <w:pPr>
        <w:pStyle w:val="ClinContent"/>
        <w:rPr>
          <w:lang w:val="pl-PL"/>
        </w:rPr>
      </w:pPr>
      <w:r w:rsidRPr="00EF2C34">
        <w:rPr>
          <w:lang w:val="pl-PL"/>
        </w:rPr>
        <w:t>***</w:t>
      </w:r>
    </w:p>
    <w:p w:rsidR="00CF2047" w:rsidRPr="00CF2047" w:rsidRDefault="00CF2047">
      <w:pPr>
        <w:pStyle w:val="ClinContent"/>
        <w:rPr>
          <w:lang w:val="pl-PL"/>
        </w:rPr>
      </w:pPr>
      <w:r w:rsidRPr="00CF2047">
        <w:rPr>
          <w:lang w:val="pl-PL"/>
        </w:rPr>
        <w:t>Obecna sprawa, w której nieletni skarżący korzystał ze znacznie ograniczonych gwarancji proceduralnych na podstawie ustawy o nieletnich z 1999 r.</w:t>
      </w:r>
      <w:r>
        <w:rPr>
          <w:lang w:val="pl-PL"/>
        </w:rPr>
        <w:t xml:space="preserve"> w porównaniu do gwarancji przysługujących oskarżonym na podstawie </w:t>
      </w:r>
      <w:r w:rsidR="00B76673">
        <w:rPr>
          <w:lang w:val="pl-PL"/>
        </w:rPr>
        <w:t xml:space="preserve">kodeksu </w:t>
      </w:r>
      <w:r>
        <w:rPr>
          <w:lang w:val="pl-PL"/>
        </w:rPr>
        <w:t>postępowania karnego, obrazował</w:t>
      </w:r>
      <w:r w:rsidR="00E716D1">
        <w:rPr>
          <w:lang w:val="pl-PL"/>
        </w:rPr>
        <w:t>a</w:t>
      </w:r>
      <w:r>
        <w:rPr>
          <w:lang w:val="pl-PL"/>
        </w:rPr>
        <w:t xml:space="preserve">, jak zamiar ustawodawcy, by chronić dzieci i zapewnić im opiekę oraz leczenie, może stać w sprzeczności z realiami i zasadami wymagającymi odpowiednich gwarancji proceduralnych dla młodocianych przestępców. </w:t>
      </w:r>
    </w:p>
    <w:p w:rsidR="00CF2047" w:rsidRPr="00CF2047" w:rsidRDefault="00CF2047">
      <w:pPr>
        <w:pStyle w:val="ClinContent"/>
        <w:rPr>
          <w:lang w:val="pl-PL"/>
        </w:rPr>
      </w:pPr>
      <w:r w:rsidRPr="00CF2047">
        <w:rPr>
          <w:lang w:val="pl-PL"/>
        </w:rPr>
        <w:t xml:space="preserve">W opinii Wielkiej Izby, nieletni, których </w:t>
      </w:r>
      <w:r>
        <w:rPr>
          <w:lang w:val="pl-PL"/>
        </w:rPr>
        <w:t xml:space="preserve">rozwój poznawczy i </w:t>
      </w:r>
      <w:r w:rsidR="00D531C3">
        <w:rPr>
          <w:lang w:val="pl-PL"/>
        </w:rPr>
        <w:t>emocjona</w:t>
      </w:r>
      <w:r w:rsidR="0039057B">
        <w:rPr>
          <w:lang w:val="pl-PL"/>
        </w:rPr>
        <w:t>lny</w:t>
      </w:r>
      <w:r w:rsidR="00D531C3">
        <w:rPr>
          <w:lang w:val="pl-PL"/>
        </w:rPr>
        <w:t xml:space="preserve"> wymaga</w:t>
      </w:r>
      <w:r>
        <w:rPr>
          <w:lang w:val="pl-PL"/>
        </w:rPr>
        <w:t xml:space="preserve"> w każdym </w:t>
      </w:r>
      <w:r w:rsidR="00D531C3">
        <w:rPr>
          <w:lang w:val="pl-PL"/>
        </w:rPr>
        <w:t xml:space="preserve">przypadku </w:t>
      </w:r>
      <w:r>
        <w:rPr>
          <w:lang w:val="pl-PL"/>
        </w:rPr>
        <w:t>specjalnego uwzględnienia, a w szczególności małe dzieci poniżej wieku odpowiedzialności karnej, zasług</w:t>
      </w:r>
      <w:r w:rsidR="00F76F8D">
        <w:rPr>
          <w:lang w:val="pl-PL"/>
        </w:rPr>
        <w:t>ują</w:t>
      </w:r>
      <w:r>
        <w:rPr>
          <w:lang w:val="pl-PL"/>
        </w:rPr>
        <w:t xml:space="preserve"> na wsparcie i pomoc w celu ochrony ich praw w czasie stosowania wobec nich środków przymusu </w:t>
      </w:r>
      <w:r w:rsidR="0039057B">
        <w:rPr>
          <w:lang w:val="pl-PL"/>
        </w:rPr>
        <w:t>pod pozorem środków wychowawczych. Należy wprowadzić odpowiednie gwarancje proceduralne, by chronić najlepszy interes i dobro dziecka, szczególnie, gdy w grę wchodzi jego wolność osobista. Przeciwne stwierdze</w:t>
      </w:r>
      <w:r w:rsidR="00D531C3">
        <w:rPr>
          <w:lang w:val="pl-PL"/>
        </w:rPr>
        <w:t>nie postawiłoby dzieci w pozycji</w:t>
      </w:r>
      <w:r w:rsidR="0039057B">
        <w:rPr>
          <w:lang w:val="pl-PL"/>
        </w:rPr>
        <w:t xml:space="preserve"> w sposób </w:t>
      </w:r>
      <w:r w:rsidR="00D531C3">
        <w:rPr>
          <w:lang w:val="pl-PL"/>
        </w:rPr>
        <w:t xml:space="preserve">wyraźny </w:t>
      </w:r>
      <w:r w:rsidR="0039057B">
        <w:rPr>
          <w:lang w:val="pl-PL"/>
        </w:rPr>
        <w:t xml:space="preserve">bardziej niekorzystnej niż dorosłych w tej samej sytuacji. W tym względzie, dodatkowe gwarancje mogą być wymagane wobec dzieci z niepełnosprawnościami, by zapewnić im dostateczną ochronę. Nie oznacza to jednak, że dzieci powinny być narażone na </w:t>
      </w:r>
      <w:r w:rsidR="00E716D1">
        <w:rPr>
          <w:lang w:val="pl-PL"/>
        </w:rPr>
        <w:t xml:space="preserve">uczestnictwo w pełnym </w:t>
      </w:r>
      <w:r w:rsidR="0039057B">
        <w:rPr>
          <w:lang w:val="pl-PL"/>
        </w:rPr>
        <w:t>proces</w:t>
      </w:r>
      <w:r w:rsidR="00E716D1">
        <w:rPr>
          <w:lang w:val="pl-PL"/>
        </w:rPr>
        <w:t>ie</w:t>
      </w:r>
      <w:r w:rsidR="0039057B">
        <w:rPr>
          <w:lang w:val="pl-PL"/>
        </w:rPr>
        <w:t xml:space="preserve"> karny</w:t>
      </w:r>
      <w:r w:rsidR="00E716D1">
        <w:rPr>
          <w:lang w:val="pl-PL"/>
        </w:rPr>
        <w:t>m</w:t>
      </w:r>
      <w:r w:rsidR="0039057B">
        <w:rPr>
          <w:lang w:val="pl-PL"/>
        </w:rPr>
        <w:t xml:space="preserve">; ich prawa powinny być zapewnione w sposób dostosowany i właściwy do ich wieku, zgodnie z międzynarodowymi standardami, w szczególności Konwencją o prawach dziecka. </w:t>
      </w:r>
    </w:p>
    <w:p w:rsidR="0039057B" w:rsidRPr="0039057B" w:rsidRDefault="002306A1">
      <w:pPr>
        <w:pStyle w:val="ClinContent"/>
        <w:rPr>
          <w:lang w:val="pl-PL"/>
        </w:rPr>
      </w:pPr>
      <w:r>
        <w:rPr>
          <w:lang w:val="pl-PL"/>
        </w:rPr>
        <w:t>Podsumowując</w:t>
      </w:r>
      <w:r w:rsidR="0039057B" w:rsidRPr="0039057B">
        <w:rPr>
          <w:lang w:val="pl-PL"/>
        </w:rPr>
        <w:t xml:space="preserve">, skarżącemu nie zapewniono rzetelnego procesu w postępowaniu prowadzącym do umieszczenia go w tymczasowym ośrodku zatrzymania. </w:t>
      </w:r>
    </w:p>
    <w:p w:rsidR="0039057B" w:rsidRPr="0039057B" w:rsidRDefault="0039057B">
      <w:pPr>
        <w:pStyle w:val="ClinContent"/>
        <w:rPr>
          <w:lang w:val="pl-PL"/>
        </w:rPr>
      </w:pPr>
      <w:r w:rsidRPr="0039057B">
        <w:rPr>
          <w:i/>
          <w:lang w:val="pl-PL"/>
        </w:rPr>
        <w:t xml:space="preserve">Rozstrzygnięcie: </w:t>
      </w:r>
      <w:r w:rsidRPr="0039057B">
        <w:rPr>
          <w:lang w:val="pl-PL"/>
        </w:rPr>
        <w:t>naruszenie (jedenastoma głosami do sześciu).</w:t>
      </w:r>
    </w:p>
    <w:p w:rsidR="00BE7769" w:rsidRPr="0039057B" w:rsidRDefault="0039057B">
      <w:pPr>
        <w:pStyle w:val="ClinContent"/>
        <w:rPr>
          <w:lang w:val="pl-PL"/>
        </w:rPr>
      </w:pPr>
      <w:r w:rsidRPr="0039057B">
        <w:rPr>
          <w:lang w:val="pl-PL"/>
        </w:rPr>
        <w:t>A</w:t>
      </w:r>
      <w:r w:rsidR="00F3494F" w:rsidRPr="0039057B">
        <w:rPr>
          <w:lang w:val="pl-PL"/>
        </w:rPr>
        <w:t>rt.</w:t>
      </w:r>
      <w:r w:rsidR="00615E2E" w:rsidRPr="0039057B">
        <w:rPr>
          <w:lang w:val="pl-PL"/>
        </w:rPr>
        <w:t xml:space="preserve"> 41: 7</w:t>
      </w:r>
      <w:r w:rsidRPr="0039057B">
        <w:rPr>
          <w:lang w:val="pl-PL"/>
        </w:rPr>
        <w:t>.</w:t>
      </w:r>
      <w:r w:rsidR="00615E2E" w:rsidRPr="0039057B">
        <w:rPr>
          <w:lang w:val="pl-PL"/>
        </w:rPr>
        <w:t xml:space="preserve">500 </w:t>
      </w:r>
      <w:r w:rsidRPr="0039057B">
        <w:rPr>
          <w:lang w:val="pl-PL"/>
        </w:rPr>
        <w:t>euro z tytułu szkody niemajątkowej</w:t>
      </w:r>
      <w:r w:rsidR="00615E2E" w:rsidRPr="0039057B">
        <w:rPr>
          <w:lang w:val="pl-PL"/>
        </w:rPr>
        <w:t>.</w:t>
      </w:r>
    </w:p>
    <w:p w:rsidR="0039057B" w:rsidRPr="0039057B" w:rsidRDefault="00615E2E">
      <w:pPr>
        <w:pStyle w:val="ClinContent"/>
        <w:rPr>
          <w:lang w:val="pl-PL"/>
        </w:rPr>
      </w:pPr>
      <w:r w:rsidRPr="0039057B">
        <w:rPr>
          <w:lang w:val="pl-PL"/>
        </w:rPr>
        <w:t>* </w:t>
      </w:r>
      <w:r w:rsidR="0039057B" w:rsidRPr="0039057B">
        <w:rPr>
          <w:lang w:val="pl-PL"/>
        </w:rPr>
        <w:t xml:space="preserve">Zobacz, na przykład, Zalecenie Rady Europy nr </w:t>
      </w:r>
      <w:r w:rsidR="00D531C3">
        <w:rPr>
          <w:lang w:val="pl-PL"/>
        </w:rPr>
        <w:t xml:space="preserve">R </w:t>
      </w:r>
      <w:r w:rsidR="0039057B" w:rsidRPr="0039057B">
        <w:rPr>
          <w:lang w:val="pl-PL"/>
        </w:rPr>
        <w:t>(87) 20;</w:t>
      </w:r>
      <w:r w:rsidR="0039057B">
        <w:rPr>
          <w:lang w:val="pl-PL"/>
        </w:rPr>
        <w:t xml:space="preserve"> Zalecenie Rady Europy nr </w:t>
      </w:r>
      <w:r w:rsidR="0039057B" w:rsidRPr="0039057B">
        <w:rPr>
          <w:lang w:val="pl-PL"/>
        </w:rPr>
        <w:t>(2003)20;</w:t>
      </w:r>
      <w:r w:rsidR="0039057B">
        <w:rPr>
          <w:lang w:val="pl-PL"/>
        </w:rPr>
        <w:t xml:space="preserve"> Wytyczne Rady Europy </w:t>
      </w:r>
      <w:proofErr w:type="spellStart"/>
      <w:r w:rsidR="0039057B">
        <w:rPr>
          <w:lang w:val="pl-PL"/>
        </w:rPr>
        <w:t>ws</w:t>
      </w:r>
      <w:proofErr w:type="spellEnd"/>
      <w:r w:rsidR="0039057B">
        <w:rPr>
          <w:lang w:val="pl-PL"/>
        </w:rPr>
        <w:t xml:space="preserve">. wymiaru sprawiedliwości przyjaznego dziecku, wytyczne nr 1, 2 oraz 28-30; art. 40 Konwencji o prawach dziecka z 1989 r., oraz Komentarz Ogólny nr 10, pkt 33; a także Regułę 7.1 Reguł Pekińskich. </w:t>
      </w:r>
    </w:p>
    <w:p w:rsidR="006D3F87" w:rsidRPr="006D3F87" w:rsidRDefault="00615E2E">
      <w:pPr>
        <w:pStyle w:val="ClinContent"/>
        <w:rPr>
          <w:lang w:val="pl-PL"/>
        </w:rPr>
      </w:pPr>
      <w:r w:rsidRPr="006D3F87">
        <w:rPr>
          <w:lang w:val="pl-PL"/>
        </w:rPr>
        <w:t>** </w:t>
      </w:r>
      <w:hyperlink r:id="rId10" w:history="1">
        <w:r w:rsidR="00337F23" w:rsidRPr="006D3F87">
          <w:rPr>
            <w:rStyle w:val="Hipercze"/>
            <w:lang w:val="pl-PL"/>
          </w:rPr>
          <w:t xml:space="preserve">Wytyczne Rady Europy </w:t>
        </w:r>
        <w:proofErr w:type="spellStart"/>
        <w:r w:rsidR="00337F23" w:rsidRPr="006D3F87">
          <w:rPr>
            <w:rStyle w:val="Hipercze"/>
            <w:lang w:val="pl-PL"/>
          </w:rPr>
          <w:t>ws</w:t>
        </w:r>
        <w:proofErr w:type="spellEnd"/>
        <w:r w:rsidR="00337F23" w:rsidRPr="006D3F87">
          <w:rPr>
            <w:rStyle w:val="Hipercze"/>
            <w:lang w:val="pl-PL"/>
          </w:rPr>
          <w:t>. wymiaru sprawiedliwości przyjaznego dziecku</w:t>
        </w:r>
      </w:hyperlink>
      <w:r w:rsidR="00337F23">
        <w:rPr>
          <w:lang w:val="pl-PL"/>
        </w:rPr>
        <w:t>,</w:t>
      </w:r>
      <w:r w:rsidR="006D3F87">
        <w:rPr>
          <w:lang w:val="pl-PL"/>
        </w:rPr>
        <w:t xml:space="preserve"> wytyczna nr 27; art. 23</w:t>
      </w:r>
      <w:hyperlink r:id="rId11" w:history="1">
        <w:r w:rsidR="006D3F87" w:rsidRPr="006D3F87">
          <w:rPr>
            <w:rStyle w:val="Hipercze"/>
            <w:lang w:val="pl-PL"/>
          </w:rPr>
          <w:t xml:space="preserve"> Konwencji o prawach dziecka</w:t>
        </w:r>
      </w:hyperlink>
      <w:r w:rsidR="006D3F87">
        <w:rPr>
          <w:lang w:val="pl-PL"/>
        </w:rPr>
        <w:t xml:space="preserve">, oraz </w:t>
      </w:r>
      <w:hyperlink r:id="rId12" w:history="1">
        <w:r w:rsidR="006D3F87" w:rsidRPr="006D3F87">
          <w:rPr>
            <w:rStyle w:val="Hipercze"/>
            <w:lang w:val="pl-PL"/>
          </w:rPr>
          <w:t>Komentarz ogólny nr 9</w:t>
        </w:r>
      </w:hyperlink>
      <w:r w:rsidR="006D3F87">
        <w:rPr>
          <w:lang w:val="pl-PL"/>
        </w:rPr>
        <w:t xml:space="preserve"> (Prawa dzieci z niepełnosprawnością), pkt 73 i 74.</w:t>
      </w:r>
    </w:p>
    <w:p w:rsidR="006D3F87" w:rsidRPr="006D3F87" w:rsidRDefault="00615E2E" w:rsidP="006D3F87">
      <w:pPr>
        <w:pStyle w:val="ClinContent"/>
        <w:rPr>
          <w:lang w:val="pl-PL"/>
        </w:rPr>
      </w:pPr>
      <w:r w:rsidRPr="006D3F87">
        <w:rPr>
          <w:lang w:val="pl-PL"/>
        </w:rPr>
        <w:t>*** </w:t>
      </w:r>
      <w:r w:rsidR="006D3F87" w:rsidRPr="006D3F87">
        <w:rPr>
          <w:lang w:val="pl-PL"/>
        </w:rPr>
        <w:t xml:space="preserve">Zobacz, na przykład, </w:t>
      </w:r>
      <w:r w:rsidR="006D3F87">
        <w:rPr>
          <w:lang w:val="pl-PL"/>
        </w:rPr>
        <w:t xml:space="preserve">Konwencja o prawach dziecka, art. 40 ust. 2 lit. b pkt ii oraz komentarze do niej, </w:t>
      </w:r>
      <w:hyperlink r:id="rId13" w:history="1">
        <w:r w:rsidR="006D3F87" w:rsidRPr="006D3F87">
          <w:rPr>
            <w:rStyle w:val="Hipercze"/>
            <w:lang w:val="pl-PL"/>
          </w:rPr>
          <w:t xml:space="preserve">Wzorcowe Reguły Minimum NZ dotyczące Wymiaru Sprawiedliwości wobec Nieletnich (United Nations Standard Minimum </w:t>
        </w:r>
        <w:proofErr w:type="spellStart"/>
        <w:r w:rsidR="006D3F87" w:rsidRPr="006D3F87">
          <w:rPr>
            <w:rStyle w:val="Hipercze"/>
            <w:lang w:val="pl-PL"/>
          </w:rPr>
          <w:t>Rules</w:t>
        </w:r>
        <w:proofErr w:type="spellEnd"/>
        <w:r w:rsidR="006D3F87" w:rsidRPr="006D3F87">
          <w:rPr>
            <w:rStyle w:val="Hipercze"/>
            <w:lang w:val="pl-PL"/>
          </w:rPr>
          <w:t xml:space="preserve"> for the Administration of </w:t>
        </w:r>
        <w:proofErr w:type="spellStart"/>
        <w:r w:rsidR="006D3F87" w:rsidRPr="006D3F87">
          <w:rPr>
            <w:rStyle w:val="Hipercze"/>
            <w:lang w:val="pl-PL"/>
          </w:rPr>
          <w:t>Juvenile</w:t>
        </w:r>
        <w:proofErr w:type="spellEnd"/>
        <w:r w:rsidR="006D3F87" w:rsidRPr="006D3F87">
          <w:rPr>
            <w:rStyle w:val="Hipercze"/>
            <w:lang w:val="pl-PL"/>
          </w:rPr>
          <w:t xml:space="preserve"> </w:t>
        </w:r>
        <w:proofErr w:type="spellStart"/>
        <w:r w:rsidR="006D3F87" w:rsidRPr="006D3F87">
          <w:rPr>
            <w:rStyle w:val="Hipercze"/>
            <w:lang w:val="pl-PL"/>
          </w:rPr>
          <w:t>Justice</w:t>
        </w:r>
        <w:proofErr w:type="spellEnd"/>
        <w:r w:rsidR="006D3F87" w:rsidRPr="006D3F87">
          <w:rPr>
            <w:rStyle w:val="Hipercze"/>
            <w:lang w:val="pl-PL"/>
          </w:rPr>
          <w:t>)</w:t>
        </w:r>
      </w:hyperlink>
      <w:r w:rsidR="006D3F87">
        <w:rPr>
          <w:lang w:val="pl-PL"/>
        </w:rPr>
        <w:t xml:space="preserve"> („Reguły Pekińskie”), Reguła 7.1; oraz </w:t>
      </w:r>
      <w:hyperlink r:id="rId14" w:history="1">
        <w:r w:rsidR="006D3F87" w:rsidRPr="006D3F87">
          <w:rPr>
            <w:rStyle w:val="Hipercze"/>
            <w:lang w:val="pl-PL"/>
          </w:rPr>
          <w:t>Zalecenie Rady Europy nr R (87) 20</w:t>
        </w:r>
      </w:hyperlink>
      <w:r w:rsidR="006D3F87">
        <w:rPr>
          <w:lang w:val="pl-PL"/>
        </w:rPr>
        <w:t xml:space="preserve">, pkt 8. </w:t>
      </w:r>
    </w:p>
    <w:p w:rsidR="00BE7769" w:rsidRPr="001144AC" w:rsidRDefault="00BE7769">
      <w:pPr>
        <w:pBdr>
          <w:bottom w:val="single" w:sz="8" w:space="1" w:color="auto"/>
        </w:pBdr>
        <w:rPr>
          <w:lang w:val="pl-PL"/>
        </w:rPr>
      </w:pPr>
    </w:p>
    <w:p w:rsidR="007928B7" w:rsidRPr="0074070E" w:rsidRDefault="007928B7" w:rsidP="007928B7">
      <w:pPr>
        <w:pStyle w:val="ClinFooter"/>
        <w:rPr>
          <w:lang w:val="pl-PL"/>
        </w:rPr>
      </w:pPr>
      <w:r w:rsidRPr="0074070E">
        <w:rPr>
          <w:lang w:val="pl-PL"/>
        </w:rPr>
        <w:lastRenderedPageBreak/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7928B7" w:rsidRPr="001D0852" w:rsidRDefault="007928B7" w:rsidP="007928B7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5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BE7769" w:rsidRPr="007928B7" w:rsidRDefault="00BE7769" w:rsidP="00EF2C34">
      <w:pPr>
        <w:pStyle w:val="ClinFooter"/>
        <w:jc w:val="left"/>
        <w:rPr>
          <w:lang w:val="pl-PL"/>
        </w:rPr>
      </w:pPr>
    </w:p>
    <w:sectPr w:rsidR="00BE7769" w:rsidRPr="007928B7" w:rsidSect="004A5B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3AD" w:rsidRDefault="00EB33AD" w:rsidP="00C63262">
      <w:r>
        <w:separator/>
      </w:r>
    </w:p>
  </w:endnote>
  <w:endnote w:type="continuationSeparator" w:id="0">
    <w:p w:rsidR="00EB33AD" w:rsidRDefault="00EB33A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F33" w:rsidRDefault="00C53F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F33" w:rsidRDefault="00C53F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3AD" w:rsidRDefault="00EB33AD" w:rsidP="00C63262">
      <w:r>
        <w:separator/>
      </w:r>
    </w:p>
  </w:footnote>
  <w:footnote w:type="continuationSeparator" w:id="0">
    <w:p w:rsidR="00EB33AD" w:rsidRDefault="00EB33A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F33" w:rsidRDefault="00C53F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650CB">
          <w:rPr>
            <w:noProof/>
          </w:rPr>
          <w:t>6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42BF5"/>
    <w:rsid w:val="000812B3"/>
    <w:rsid w:val="00097888"/>
    <w:rsid w:val="000B206E"/>
    <w:rsid w:val="000B6E3D"/>
    <w:rsid w:val="000B7738"/>
    <w:rsid w:val="000F13B5"/>
    <w:rsid w:val="00107377"/>
    <w:rsid w:val="001144AC"/>
    <w:rsid w:val="00143602"/>
    <w:rsid w:val="001769E4"/>
    <w:rsid w:val="00186560"/>
    <w:rsid w:val="00212E83"/>
    <w:rsid w:val="002306A1"/>
    <w:rsid w:val="00267325"/>
    <w:rsid w:val="002966E7"/>
    <w:rsid w:val="002B0088"/>
    <w:rsid w:val="002D5746"/>
    <w:rsid w:val="002E088D"/>
    <w:rsid w:val="0030264F"/>
    <w:rsid w:val="00337F23"/>
    <w:rsid w:val="0034302B"/>
    <w:rsid w:val="003450B3"/>
    <w:rsid w:val="003660A5"/>
    <w:rsid w:val="003823C6"/>
    <w:rsid w:val="003830D8"/>
    <w:rsid w:val="00386958"/>
    <w:rsid w:val="00386F41"/>
    <w:rsid w:val="0039057B"/>
    <w:rsid w:val="00395771"/>
    <w:rsid w:val="003A64A6"/>
    <w:rsid w:val="003D077F"/>
    <w:rsid w:val="003D0E6D"/>
    <w:rsid w:val="003D7BB3"/>
    <w:rsid w:val="00453F0A"/>
    <w:rsid w:val="0046453F"/>
    <w:rsid w:val="00477DF7"/>
    <w:rsid w:val="00487CC8"/>
    <w:rsid w:val="004A5B52"/>
    <w:rsid w:val="004C1B78"/>
    <w:rsid w:val="004D568D"/>
    <w:rsid w:val="004E1037"/>
    <w:rsid w:val="0052092D"/>
    <w:rsid w:val="00536113"/>
    <w:rsid w:val="00540D75"/>
    <w:rsid w:val="0054407D"/>
    <w:rsid w:val="005514E5"/>
    <w:rsid w:val="00565EEE"/>
    <w:rsid w:val="006028A1"/>
    <w:rsid w:val="00615E2E"/>
    <w:rsid w:val="00627DF9"/>
    <w:rsid w:val="00631A28"/>
    <w:rsid w:val="00642CBD"/>
    <w:rsid w:val="006A36AD"/>
    <w:rsid w:val="006C1D96"/>
    <w:rsid w:val="006C61DE"/>
    <w:rsid w:val="006D3F87"/>
    <w:rsid w:val="006E0E98"/>
    <w:rsid w:val="006E5778"/>
    <w:rsid w:val="006F3363"/>
    <w:rsid w:val="0071773F"/>
    <w:rsid w:val="00757867"/>
    <w:rsid w:val="00770421"/>
    <w:rsid w:val="00773445"/>
    <w:rsid w:val="00774515"/>
    <w:rsid w:val="007928B7"/>
    <w:rsid w:val="007D4D2A"/>
    <w:rsid w:val="007D754E"/>
    <w:rsid w:val="00806310"/>
    <w:rsid w:val="00830EB6"/>
    <w:rsid w:val="00842701"/>
    <w:rsid w:val="00865648"/>
    <w:rsid w:val="00895EF3"/>
    <w:rsid w:val="008C64D5"/>
    <w:rsid w:val="008D4BEC"/>
    <w:rsid w:val="00903D38"/>
    <w:rsid w:val="00914AFE"/>
    <w:rsid w:val="00942BE3"/>
    <w:rsid w:val="009650CB"/>
    <w:rsid w:val="009B3B2C"/>
    <w:rsid w:val="009E3EF0"/>
    <w:rsid w:val="00A01052"/>
    <w:rsid w:val="00A04D9C"/>
    <w:rsid w:val="00A11BBC"/>
    <w:rsid w:val="00A258BB"/>
    <w:rsid w:val="00A33541"/>
    <w:rsid w:val="00A45616"/>
    <w:rsid w:val="00AC7726"/>
    <w:rsid w:val="00B43181"/>
    <w:rsid w:val="00B51DE6"/>
    <w:rsid w:val="00B76673"/>
    <w:rsid w:val="00B80CA0"/>
    <w:rsid w:val="00B84758"/>
    <w:rsid w:val="00B85770"/>
    <w:rsid w:val="00BE7769"/>
    <w:rsid w:val="00BF109D"/>
    <w:rsid w:val="00BF1CD9"/>
    <w:rsid w:val="00C37433"/>
    <w:rsid w:val="00C53F33"/>
    <w:rsid w:val="00C63262"/>
    <w:rsid w:val="00C72355"/>
    <w:rsid w:val="00C73B63"/>
    <w:rsid w:val="00C93CFB"/>
    <w:rsid w:val="00CD621C"/>
    <w:rsid w:val="00CF2047"/>
    <w:rsid w:val="00CF3C14"/>
    <w:rsid w:val="00CF7BA6"/>
    <w:rsid w:val="00D1609D"/>
    <w:rsid w:val="00D2690D"/>
    <w:rsid w:val="00D37DC2"/>
    <w:rsid w:val="00D42086"/>
    <w:rsid w:val="00D425B3"/>
    <w:rsid w:val="00D531C3"/>
    <w:rsid w:val="00D708E3"/>
    <w:rsid w:val="00DA0CC9"/>
    <w:rsid w:val="00E0219A"/>
    <w:rsid w:val="00E03483"/>
    <w:rsid w:val="00E3273D"/>
    <w:rsid w:val="00E55491"/>
    <w:rsid w:val="00E716D1"/>
    <w:rsid w:val="00E83DB6"/>
    <w:rsid w:val="00E906AC"/>
    <w:rsid w:val="00EA53E7"/>
    <w:rsid w:val="00EB33AD"/>
    <w:rsid w:val="00EF2C34"/>
    <w:rsid w:val="00F11617"/>
    <w:rsid w:val="00F3494F"/>
    <w:rsid w:val="00F508C9"/>
    <w:rsid w:val="00F50CCD"/>
    <w:rsid w:val="00F5247C"/>
    <w:rsid w:val="00F76F8D"/>
    <w:rsid w:val="00FA29ED"/>
    <w:rsid w:val="00FA53F8"/>
    <w:rsid w:val="00FB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unhideWhenUsed/>
    <w:rsid w:val="00337F2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37F23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7F23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7F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37F23"/>
    <w:rPr>
      <w:rFonts w:ascii="Verdana" w:hAnsi="Verdana"/>
      <w:b/>
      <w:bCs/>
    </w:rPr>
  </w:style>
  <w:style w:type="paragraph" w:customStyle="1" w:styleId="s746c8714">
    <w:name w:val="s746c8714"/>
    <w:basedOn w:val="Normalny"/>
    <w:rsid w:val="008427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8427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42701"/>
  </w:style>
  <w:style w:type="character" w:customStyle="1" w:styleId="object">
    <w:name w:val="object"/>
    <w:basedOn w:val="Domylnaczcionkaakapitu"/>
    <w:rsid w:val="00842701"/>
  </w:style>
  <w:style w:type="character" w:styleId="UyteHipercze">
    <w:name w:val="FollowedHyperlink"/>
    <w:basedOn w:val="Domylnaczcionkaakapitu"/>
    <w:semiHidden/>
    <w:unhideWhenUsed/>
    <w:rsid w:val="00BF109D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unhideWhenUsed/>
    <w:rsid w:val="00337F2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37F23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7F23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7F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37F23"/>
    <w:rPr>
      <w:rFonts w:ascii="Verdana" w:hAnsi="Verdana"/>
      <w:b/>
      <w:bCs/>
    </w:rPr>
  </w:style>
  <w:style w:type="paragraph" w:customStyle="1" w:styleId="s746c8714">
    <w:name w:val="s746c8714"/>
    <w:basedOn w:val="Normalny"/>
    <w:rsid w:val="008427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8427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42701"/>
  </w:style>
  <w:style w:type="character" w:customStyle="1" w:styleId="object">
    <w:name w:val="object"/>
    <w:basedOn w:val="Domylnaczcionkaakapitu"/>
    <w:rsid w:val="00842701"/>
  </w:style>
  <w:style w:type="character" w:styleId="UyteHipercze">
    <w:name w:val="FollowedHyperlink"/>
    <w:basedOn w:val="Domylnaczcionkaakapitu"/>
    <w:semiHidden/>
    <w:unhideWhenUsed/>
    <w:rsid w:val="00BF109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9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un.org/documents/ga/res/40/a40r033.htm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refworld.org/docid/461b93f72.htm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hchr.org/en/professionalinterest/pages/crc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chr.coe.int/NoteInformation/e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earch.coe.int/cm/Pages/result_details.aspx?ObjectID=09000016804b2cf3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sites/eng/pages/search.aspx?i=002-9120" TargetMode="External"/><Relationship Id="rId14" Type="http://schemas.openxmlformats.org/officeDocument/2006/relationships/hyperlink" Target="https://search.coe.int/cm/Pages/result_details.aspx?ObjectID=09000016805df0b3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670D8-AE75-48BC-AD15-787564178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2017-04-05T12:38:00Z</dcterms:created>
  <dcterms:modified xsi:type="dcterms:W3CDTF">2017-06-21T12:10:00Z</dcterms:modified>
</cp:coreProperties>
</file>