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F5B" w:rsidRDefault="00BF0F5B" w:rsidP="00BF0F5B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BF0F5B" w:rsidRDefault="00BF0F5B" w:rsidP="000121D4">
      <w:pPr>
        <w:pStyle w:val="ClinEditionNumber"/>
        <w:jc w:val="center"/>
      </w:pPr>
    </w:p>
    <w:p w:rsidR="000121D4" w:rsidRDefault="000121D4" w:rsidP="000121D4">
      <w:pPr>
        <w:pStyle w:val="ClinEditionNumber"/>
        <w:jc w:val="center"/>
      </w:pPr>
      <w:r>
        <w:t>EUROPEJSKI TRYBUNAŁ PRAW CZŁOWIEKA</w:t>
      </w:r>
    </w:p>
    <w:p w:rsidR="00A921B5" w:rsidRPr="000121D4" w:rsidRDefault="000121D4" w:rsidP="000121D4">
      <w:pPr>
        <w:pStyle w:val="ClinEditionNumber"/>
      </w:pPr>
      <w:r w:rsidRPr="00557F20">
        <w:t xml:space="preserve">Nota </w:t>
      </w:r>
      <w:r>
        <w:t>i</w:t>
      </w:r>
      <w:r w:rsidRPr="00557F20">
        <w:t xml:space="preserve">nformacyjna nt. </w:t>
      </w:r>
      <w:r>
        <w:t>o</w:t>
      </w:r>
      <w:r w:rsidRPr="00557F20">
        <w:t xml:space="preserve">rzecznictwa Trybunału nr </w:t>
      </w:r>
      <w:r w:rsidR="00C0255F" w:rsidRPr="000121D4">
        <w:t>196</w:t>
      </w:r>
    </w:p>
    <w:p w:rsidR="00A921B5" w:rsidRPr="00315DD8" w:rsidRDefault="00C0255F">
      <w:pPr>
        <w:pStyle w:val="ClinEditionMonth"/>
      </w:pPr>
      <w:r w:rsidRPr="00315DD8">
        <w:t>Ma</w:t>
      </w:r>
      <w:r w:rsidR="000121D4" w:rsidRPr="00315DD8">
        <w:t>j</w:t>
      </w:r>
      <w:r w:rsidRPr="00315DD8">
        <w:t xml:space="preserve"> 2016</w:t>
      </w:r>
      <w:r w:rsidR="000121D4" w:rsidRPr="00315DD8">
        <w:t xml:space="preserve"> r.</w:t>
      </w:r>
    </w:p>
    <w:p w:rsidR="00A921B5" w:rsidRPr="000121D4" w:rsidRDefault="00C0255F">
      <w:proofErr w:type="spellStart"/>
      <w:r w:rsidRPr="000121D4">
        <w:rPr>
          <w:rStyle w:val="ClinCaseTitle"/>
        </w:rPr>
        <w:t>Biao</w:t>
      </w:r>
      <w:proofErr w:type="spellEnd"/>
      <w:r w:rsidRPr="000121D4">
        <w:rPr>
          <w:rStyle w:val="ClinCaseTitle"/>
        </w:rPr>
        <w:t xml:space="preserve"> </w:t>
      </w:r>
      <w:r w:rsidR="000121D4" w:rsidRPr="000121D4">
        <w:rPr>
          <w:rStyle w:val="ClinCaseTitle"/>
        </w:rPr>
        <w:t>p.</w:t>
      </w:r>
      <w:r w:rsidRPr="000121D4">
        <w:rPr>
          <w:rStyle w:val="ClinCaseTitle"/>
        </w:rPr>
        <w:t xml:space="preserve"> D</w:t>
      </w:r>
      <w:r w:rsidR="000121D4">
        <w:rPr>
          <w:rStyle w:val="ClinCaseTitle"/>
        </w:rPr>
        <w:t>anii</w:t>
      </w:r>
      <w:r w:rsidRPr="000121D4">
        <w:rPr>
          <w:rStyle w:val="ClinCaseTitle"/>
        </w:rPr>
        <w:t xml:space="preserve"> </w:t>
      </w:r>
      <w:r w:rsidR="000121D4" w:rsidRPr="000121D4">
        <w:rPr>
          <w:rStyle w:val="ClinCaseTitle"/>
        </w:rPr>
        <w:t>[Wielka Izba]</w:t>
      </w:r>
      <w:r w:rsidRPr="000121D4">
        <w:rPr>
          <w:rStyle w:val="ClinApplicationNumber"/>
        </w:rPr>
        <w:t xml:space="preserve"> </w:t>
      </w:r>
      <w:r w:rsidR="000121D4">
        <w:rPr>
          <w:rStyle w:val="ClinApplicationNumber"/>
        </w:rPr>
        <w:t>– skarga nr</w:t>
      </w:r>
      <w:r w:rsidRPr="000121D4">
        <w:rPr>
          <w:rStyle w:val="ClinApplicationNumber"/>
        </w:rPr>
        <w:t xml:space="preserve"> 38590/10</w:t>
      </w:r>
    </w:p>
    <w:p w:rsidR="00A921B5" w:rsidRPr="00315DD8" w:rsidRDefault="000121D4">
      <w:r w:rsidRPr="00315DD8">
        <w:rPr>
          <w:rStyle w:val="ClinHudocDocumentTitle"/>
        </w:rPr>
        <w:t xml:space="preserve">Wyrok z </w:t>
      </w:r>
      <w:r w:rsidR="00C0255F" w:rsidRPr="00315DD8">
        <w:rPr>
          <w:rStyle w:val="ClinHudocDocumentTitle"/>
        </w:rPr>
        <w:t>24.</w:t>
      </w:r>
      <w:r w:rsidR="002F4464">
        <w:rPr>
          <w:rStyle w:val="ClinHudocDocumentTitle"/>
        </w:rPr>
        <w:t>0</w:t>
      </w:r>
      <w:r w:rsidR="00C0255F" w:rsidRPr="00315DD8">
        <w:rPr>
          <w:rStyle w:val="ClinHudocDocumentTitle"/>
        </w:rPr>
        <w:t>5.2016</w:t>
      </w:r>
      <w:r w:rsidRPr="00315DD8">
        <w:rPr>
          <w:rStyle w:val="ClinHudocDocumentTitle"/>
        </w:rPr>
        <w:t xml:space="preserve"> r.</w:t>
      </w:r>
      <w:r w:rsidR="00C0255F" w:rsidRPr="00315DD8">
        <w:rPr>
          <w:rStyle w:val="ClinSectionName"/>
        </w:rPr>
        <w:t xml:space="preserve"> </w:t>
      </w:r>
      <w:r w:rsidRPr="00315DD8">
        <w:rPr>
          <w:rStyle w:val="ClinSectionName"/>
        </w:rPr>
        <w:t>[Wielka Izba]</w:t>
      </w:r>
    </w:p>
    <w:p w:rsidR="00A921B5" w:rsidRPr="00263A6C" w:rsidRDefault="000121D4">
      <w:pPr>
        <w:pStyle w:val="ClinMainKeywordCode"/>
      </w:pPr>
      <w:r w:rsidRPr="00263A6C">
        <w:t>art.</w:t>
      </w:r>
      <w:r w:rsidR="00C0255F" w:rsidRPr="00263A6C">
        <w:t xml:space="preserve"> 14</w:t>
      </w:r>
    </w:p>
    <w:p w:rsidR="00A921B5" w:rsidRPr="00263A6C" w:rsidRDefault="000121D4">
      <w:pPr>
        <w:pStyle w:val="ClinKeyword"/>
      </w:pPr>
      <w:r w:rsidRPr="00263A6C">
        <w:t>Dyskryminacja</w:t>
      </w:r>
    </w:p>
    <w:p w:rsidR="000121D4" w:rsidRPr="000121D4" w:rsidRDefault="000121D4" w:rsidP="0085106C">
      <w:pPr>
        <w:jc w:val="both"/>
        <w:rPr>
          <w:rStyle w:val="ClinHeadNote"/>
          <w:i/>
        </w:rPr>
      </w:pPr>
      <w:r w:rsidRPr="000121D4">
        <w:rPr>
          <w:rStyle w:val="ClinHeadNote"/>
        </w:rPr>
        <w:t>Bardziej korzystne w</w:t>
      </w:r>
      <w:r>
        <w:rPr>
          <w:rStyle w:val="ClinHeadNote"/>
        </w:rPr>
        <w:t>arunk</w:t>
      </w:r>
      <w:r w:rsidR="00A8677F">
        <w:rPr>
          <w:rStyle w:val="ClinHeadNote"/>
        </w:rPr>
        <w:t>i</w:t>
      </w:r>
      <w:r>
        <w:rPr>
          <w:rStyle w:val="ClinHeadNote"/>
        </w:rPr>
        <w:t xml:space="preserve"> łączenia rodzin mające</w:t>
      </w:r>
      <w:r w:rsidRPr="000121D4">
        <w:rPr>
          <w:rStyle w:val="ClinHeadNote"/>
        </w:rPr>
        <w:t xml:space="preserve"> zastosowanie do osób, które miały obywatelstwo duńskie przez co najmniej 28 lat</w:t>
      </w:r>
      <w:r>
        <w:rPr>
          <w:rStyle w:val="ClinHeadNote"/>
        </w:rPr>
        <w:t xml:space="preserve">: </w:t>
      </w:r>
      <w:r>
        <w:rPr>
          <w:rStyle w:val="ClinHeadNote"/>
          <w:i/>
        </w:rPr>
        <w:t>naruszenie</w:t>
      </w:r>
    </w:p>
    <w:p w:rsidR="000121D4" w:rsidRPr="000121D4" w:rsidRDefault="000121D4">
      <w:pPr>
        <w:pStyle w:val="ClinContent"/>
        <w:rPr>
          <w:i/>
        </w:rPr>
      </w:pPr>
      <w:r w:rsidRPr="000121D4">
        <w:rPr>
          <w:i/>
        </w:rPr>
        <w:t xml:space="preserve">Fakty – </w:t>
      </w:r>
      <w:r w:rsidRPr="000121D4">
        <w:t xml:space="preserve">Skarżący są </w:t>
      </w:r>
      <w:r w:rsidR="00263A6C">
        <w:t>małżeństwem</w:t>
      </w:r>
      <w:r w:rsidRPr="000121D4">
        <w:t>.</w:t>
      </w:r>
      <w:r>
        <w:t xml:space="preserve"> Pierwszy skarżący jest naturalizowanym obywatelem duńskim pochodzenia togijskiego, który mieszkał w Ghanie w wieku </w:t>
      </w:r>
      <w:r w:rsidR="00263A6C">
        <w:t xml:space="preserve">od </w:t>
      </w:r>
      <w:r>
        <w:t xml:space="preserve">6 do 21 lat, przybył do Danii w 1993 r. w wieku 22 lat i nabył obywatelstwo duńskie w 2002 r. Poślubił drugą skarżącą w 2003 r. w Ghanie. Jest ona obywatelką Ghany, która urodziła się i dorastała w Ghanie, i która w czasie zawarcia związku małżeńskiego nigdy wcześniej nie odwiedziła </w:t>
      </w:r>
      <w:r w:rsidR="00263A6C">
        <w:t xml:space="preserve">Danii </w:t>
      </w:r>
      <w:r>
        <w:t>i nie mówiła po duńsku. Po zawarciu małżeństwa druga skarżąca wystąpiła o pozwolenie na pobyt w Danii, jednak Urząd ds. Cudzoziemców odmówił na tej podstawie, że skarżący nie spełniali wymogu prze</w:t>
      </w:r>
      <w:r w:rsidR="00263A6C">
        <w:t>widzianego ustawą o cudzoziemcach</w:t>
      </w:r>
      <w:r>
        <w:t xml:space="preserve"> (znanego jako „wymóg </w:t>
      </w:r>
      <w:r w:rsidR="0099605E">
        <w:t>więzi</w:t>
      </w:r>
      <w:r>
        <w:t xml:space="preserve">”), w świetle którego para wnioskująca o połączenie rodziny nie może mieć silniejszych związków z innych państwem (w przypadku skarżących – z Ghaną) niż z Danią. „Wymóg </w:t>
      </w:r>
      <w:r w:rsidR="0099605E">
        <w:t>więzi</w:t>
      </w:r>
      <w:r>
        <w:t>” nie miał zastosowania wobec osób, które miały obywatelstwo duńskie przez co najmniej 28 lat</w:t>
      </w:r>
      <w:r w:rsidR="002F4464">
        <w:t xml:space="preserve">, jak też wobec obywateli nieduńskich, którzy urodzili się w Danii i mieszkali tam zgodnie z prawem przez co najmniej 28 lat </w:t>
      </w:r>
      <w:r w:rsidR="00A70785">
        <w:t>(tzw. reguła 28 lat na po</w:t>
      </w:r>
      <w:r w:rsidR="002F4464">
        <w:t xml:space="preserve">dstawie ustawy o cudzoziemcach). </w:t>
      </w:r>
      <w:r w:rsidR="00A70785">
        <w:t xml:space="preserve">Skarżący bez powodzenia kwestionowali przed sądami duńskimi odmowę przyznania im prawa do połączenia rodziny. Twierdzili, że reguła 28 lat skutkowała różnym traktowaniem dwóch grup obywateli duńskich, a mianowicie tych, którzy z urodzenia byli obywatelami duńskimi, i tych którzy nabyli obywatelstwo duńskie później. W świetle tej </w:t>
      </w:r>
      <w:r w:rsidR="0089251B">
        <w:t>reguły</w:t>
      </w:r>
      <w:r w:rsidR="00A70785">
        <w:t xml:space="preserve">, </w:t>
      </w:r>
      <w:r w:rsidR="0089251B">
        <w:t xml:space="preserve">pierwszy </w:t>
      </w:r>
      <w:r w:rsidR="00A70785">
        <w:t xml:space="preserve">skarżący nie mógł być zwolniony z wymogu </w:t>
      </w:r>
      <w:r w:rsidR="0099605E">
        <w:t>więzi</w:t>
      </w:r>
      <w:r w:rsidR="00A70785">
        <w:t xml:space="preserve"> aż do 2030 r., kiedy osiągnie wiek 59 lat.</w:t>
      </w:r>
    </w:p>
    <w:p w:rsidR="00263A6C" w:rsidRPr="00263A6C" w:rsidRDefault="00263A6C">
      <w:pPr>
        <w:pStyle w:val="ClinContent"/>
      </w:pPr>
      <w:r w:rsidRPr="00263A6C">
        <w:t>W międzyczasie, druga skarżąca wjechała do Danii na podst</w:t>
      </w:r>
      <w:r>
        <w:t>a</w:t>
      </w:r>
      <w:r w:rsidRPr="00263A6C">
        <w:t xml:space="preserve">wie wizy turystycznej. </w:t>
      </w:r>
      <w:r>
        <w:t xml:space="preserve">Kilka miesięcy później para przeprowadziła się do Szwecji, gdzie w 2004 r. urodził się ich syn. Ich syn ma obywatelstwo duńskie, które nabył po ojcu. </w:t>
      </w:r>
    </w:p>
    <w:p w:rsidR="00A70785" w:rsidRPr="0085106C" w:rsidRDefault="00A70785">
      <w:pPr>
        <w:pStyle w:val="ClinContent"/>
      </w:pPr>
      <w:r w:rsidRPr="00A70785">
        <w:t xml:space="preserve">W wyroku z 25 marca 2014 r. </w:t>
      </w:r>
      <w:r>
        <w:t xml:space="preserve">(zobacz </w:t>
      </w:r>
      <w:hyperlink r:id="rId9" w:history="1">
        <w:r w:rsidRPr="00A70785">
          <w:rPr>
            <w:rStyle w:val="Hipercze"/>
          </w:rPr>
          <w:t>Nota informacyjna nr 172</w:t>
        </w:r>
      </w:hyperlink>
      <w:r w:rsidRPr="00A70785">
        <w:t>)</w:t>
      </w:r>
      <w:r>
        <w:t xml:space="preserve"> Izba Trybunału jednomyślnie orzekła, że nie doszło do naruszenia praw skarżących na gruncie art. 8 Konwencji. Czterema głosów do trzech orzekła, że nie doszło do naruszenia art. 14 w związku z art. 8 Konwencji z uwagi na różne traktowanie osób będących obywatelami duńskimi przez ponad 28 lat i tych, któr</w:t>
      </w:r>
      <w:r w:rsidR="004114A5">
        <w:t>e były</w:t>
      </w:r>
      <w:r>
        <w:t xml:space="preserve"> obywatelami przez krótszy czas. </w:t>
      </w:r>
      <w:r w:rsidRPr="0085106C">
        <w:t xml:space="preserve">Sprawa została przekazana do Wielkiej Izby na wniosek skarżących. </w:t>
      </w:r>
    </w:p>
    <w:p w:rsidR="005A4AE4" w:rsidRPr="005A4AE4" w:rsidRDefault="005A4AE4">
      <w:pPr>
        <w:pStyle w:val="ClinContent"/>
      </w:pPr>
      <w:r w:rsidRPr="005A4AE4">
        <w:rPr>
          <w:i/>
        </w:rPr>
        <w:lastRenderedPageBreak/>
        <w:t xml:space="preserve">Prawo – </w:t>
      </w:r>
      <w:r w:rsidR="004114A5" w:rsidRPr="005A4AE4">
        <w:t>Art</w:t>
      </w:r>
      <w:r w:rsidRPr="005A4AE4">
        <w:t xml:space="preserve">. 14 w związku z art. </w:t>
      </w:r>
      <w:r>
        <w:t>8: W celu ustalenia, czy obecna sprawa ujawnia „dyskryminację</w:t>
      </w:r>
      <w:r w:rsidR="0089251B" w:rsidRPr="0089251B">
        <w:t xml:space="preserve"> </w:t>
      </w:r>
      <w:r w:rsidR="0089251B">
        <w:t>pośrednią</w:t>
      </w:r>
      <w:r>
        <w:t>” opartą na rasie lub pochodzeniu etnicznym</w:t>
      </w:r>
      <w:r w:rsidR="004114A5">
        <w:t>,</w:t>
      </w:r>
      <w:r>
        <w:t xml:space="preserve"> konieczne było zbadanie, czy zastosowanie reguły 28 lat w praktyce rodziło nieproporcjonalnie krzywdzące skutki wobec osób, któr</w:t>
      </w:r>
      <w:r w:rsidR="004114A5">
        <w:t>e, jak pierwszy skarżący, nabyły</w:t>
      </w:r>
      <w:r>
        <w:t xml:space="preserve"> obywatelstwo duńskie po urodzeniu i nie mi</w:t>
      </w:r>
      <w:r w:rsidR="004114A5">
        <w:t>ały</w:t>
      </w:r>
      <w:r>
        <w:t xml:space="preserve"> duńskiego pochodzenia etnicznego.</w:t>
      </w:r>
    </w:p>
    <w:p w:rsidR="00997CF7" w:rsidRDefault="00997CF7" w:rsidP="00997CF7">
      <w:pPr>
        <w:pStyle w:val="ClinContent"/>
      </w:pPr>
      <w:r w:rsidRPr="005A4AE4">
        <w:t>Możliwość, że osoby, które uzyskały obywatelstwo duńskie po urodzeniu</w:t>
      </w:r>
      <w:r>
        <w:t>,</w:t>
      </w:r>
      <w:r w:rsidRPr="005A4AE4">
        <w:t xml:space="preserve"> </w:t>
      </w:r>
      <w:r>
        <w:t xml:space="preserve">mogły </w:t>
      </w:r>
      <w:r w:rsidRPr="005A4AE4">
        <w:t>nie mus</w:t>
      </w:r>
      <w:r>
        <w:t>ieć</w:t>
      </w:r>
      <w:r w:rsidRPr="005A4AE4">
        <w:t xml:space="preserve"> </w:t>
      </w:r>
      <w:r>
        <w:t>następnie czekać 28 lat, a jedynie, jak twierdził rząd, trzy lata lub więcej, by móc skorzystać z możliwości łączenia rodzin, nie zmienia faktu, że reguła 28 lat wywierała niekorzystny skutek wobec obywateli duńskich znajdujących się w sytuacji takiej jak skarżący.</w:t>
      </w:r>
    </w:p>
    <w:p w:rsidR="005A4AE4" w:rsidRPr="005A4AE4" w:rsidRDefault="005A4AE4">
      <w:pPr>
        <w:pStyle w:val="ClinContent"/>
      </w:pPr>
      <w:r w:rsidRPr="005A4AE4">
        <w:t xml:space="preserve">Ponadto, Trybunał stwierdził, że można rozsądnie przyjąć, że co najmniej </w:t>
      </w:r>
      <w:r>
        <w:t>znaczna większość duńskich emigrantów oraz duńskich obywateli urodzonych i zamieszkały</w:t>
      </w:r>
      <w:r w:rsidR="004114A5">
        <w:t>ch</w:t>
      </w:r>
      <w:r>
        <w:t xml:space="preserve"> w Danii (którzy mogli korzystać z reguły 28 lat) była </w:t>
      </w:r>
      <w:r w:rsidR="004114A5">
        <w:t xml:space="preserve">zwykle </w:t>
      </w:r>
      <w:r>
        <w:t xml:space="preserve">duńskiego pochodzenia etnicznego, natomiast </w:t>
      </w:r>
      <w:r w:rsidR="007E5781">
        <w:t>osoby, które nabyły obywatelstwo duńskie w ciągu życ</w:t>
      </w:r>
      <w:r w:rsidR="004114A5">
        <w:t>ia, jak pierwszy skarżący (które</w:t>
      </w:r>
      <w:r w:rsidR="007E5781">
        <w:t xml:space="preserve"> nie korzystał</w:t>
      </w:r>
      <w:r w:rsidR="004114A5">
        <w:t>y</w:t>
      </w:r>
      <w:r w:rsidR="007E5781">
        <w:t xml:space="preserve"> z reguły 28 lat w tym samym wieku)</w:t>
      </w:r>
      <w:r w:rsidR="002F4464">
        <w:t>,</w:t>
      </w:r>
      <w:r w:rsidR="007E5781">
        <w:t xml:space="preserve"> generalnie były obcego pochodzenia etnicznego. </w:t>
      </w:r>
    </w:p>
    <w:p w:rsidR="00257642" w:rsidRPr="007E5781" w:rsidRDefault="00257642" w:rsidP="00257642">
      <w:pPr>
        <w:pStyle w:val="ClinContent"/>
      </w:pPr>
      <w:r w:rsidRPr="007E5781">
        <w:t>Możliwość</w:t>
      </w:r>
      <w:r>
        <w:t xml:space="preserve"> korzystania z reguły 28 lat również przez </w:t>
      </w:r>
      <w:r w:rsidRPr="007E5781">
        <w:t xml:space="preserve">osoby obcego pochodzenia etnicznego, które urodziły się w Danii lub przybyły tam w </w:t>
      </w:r>
      <w:r>
        <w:t xml:space="preserve">młodym wieku, nie zmienia faktu, że reguła ta pośrednio </w:t>
      </w:r>
      <w:r w:rsidR="0089251B">
        <w:t>skutkowała faworyzowaniem</w:t>
      </w:r>
      <w:r>
        <w:t xml:space="preserve"> duńskich obywateli duńskiego pochodzenia etnicznego i </w:t>
      </w:r>
      <w:r w:rsidR="0089251B">
        <w:t xml:space="preserve">stawiała </w:t>
      </w:r>
      <w:r>
        <w:t xml:space="preserve">w niekorzystnej sytuacji lub </w:t>
      </w:r>
      <w:r w:rsidR="0089251B">
        <w:t xml:space="preserve">wywierała nieproporcjonalnie krzywdzący skutek wobec </w:t>
      </w:r>
      <w:r>
        <w:t xml:space="preserve">osób obcego pochodzenia etnicznego, które, podobnie jak pierwszy skarżący, nabyły obywatelstwo duńskie w późniejszym wieku. </w:t>
      </w:r>
    </w:p>
    <w:p w:rsidR="007E5781" w:rsidRPr="007E5781" w:rsidRDefault="007E5781">
      <w:pPr>
        <w:pStyle w:val="ClinContent"/>
      </w:pPr>
      <w:r w:rsidRPr="007E5781">
        <w:t>W tych okolicznościach to na rząd przerzucony jest ciężar d</w:t>
      </w:r>
      <w:r>
        <w:t xml:space="preserve">owodu wykazania, że zróżnicowanie skutków ustawodawstwa </w:t>
      </w:r>
      <w:r w:rsidR="00705B2D">
        <w:t>służyło realizacji</w:t>
      </w:r>
      <w:r>
        <w:t xml:space="preserve"> uprawnionego celu i było </w:t>
      </w:r>
      <w:r w:rsidR="006A2A04">
        <w:t>wynikiem</w:t>
      </w:r>
      <w:r>
        <w:t xml:space="preserve"> obiektywnych czynników </w:t>
      </w:r>
      <w:r w:rsidR="005208EE">
        <w:t>niezwiązanych</w:t>
      </w:r>
      <w:r>
        <w:t xml:space="preserve"> z pochodzeniem etnicznym. </w:t>
      </w:r>
    </w:p>
    <w:p w:rsidR="007E5781" w:rsidRPr="00B769C8" w:rsidRDefault="007E5781">
      <w:pPr>
        <w:pStyle w:val="ClinContent"/>
      </w:pPr>
      <w:r w:rsidRPr="007E5781">
        <w:t xml:space="preserve">Jednym z celów wprowadzenia reguły 28 lat było to, że </w:t>
      </w:r>
      <w:r>
        <w:t xml:space="preserve">uznano, że </w:t>
      </w:r>
      <w:r w:rsidRPr="007E5781">
        <w:t xml:space="preserve">poprzednia zmiana ustawy o cudzoziemcach, która rozszerzała wymóg </w:t>
      </w:r>
      <w:r w:rsidR="0099605E">
        <w:t>więzi</w:t>
      </w:r>
      <w:r w:rsidR="004114A5">
        <w:t xml:space="preserve"> </w:t>
      </w:r>
      <w:r>
        <w:t xml:space="preserve">również na obywateli duńskich, wywoływała niezamierzone konsekwencje dla osób </w:t>
      </w:r>
      <w:r w:rsidRPr="00B769C8">
        <w:t>takich jak obywatel</w:t>
      </w:r>
      <w:r w:rsidR="004114A5" w:rsidRPr="00B769C8">
        <w:t>e</w:t>
      </w:r>
      <w:r w:rsidRPr="00B769C8">
        <w:t xml:space="preserve"> duńscy, którzy zdecydowali się mieszkać za granicą przez długi czas i rozpoczęli życie rodzinne z</w:t>
      </w:r>
      <w:r w:rsidR="004114A5" w:rsidRPr="00B769C8">
        <w:t xml:space="preserve"> </w:t>
      </w:r>
      <w:r w:rsidRPr="00B769C8">
        <w:t>dala</w:t>
      </w:r>
      <w:r w:rsidR="004114A5" w:rsidRPr="00B769C8">
        <w:t xml:space="preserve"> </w:t>
      </w:r>
      <w:r w:rsidRPr="00B769C8">
        <w:t xml:space="preserve">od Danii, a następnie napotkali trudności ze spełnieniem wymogu </w:t>
      </w:r>
      <w:r w:rsidR="0099605E" w:rsidRPr="00B769C8">
        <w:t>więzi</w:t>
      </w:r>
      <w:r w:rsidR="004114A5" w:rsidRPr="00B769C8">
        <w:t xml:space="preserve"> </w:t>
      </w:r>
      <w:r w:rsidRPr="00B769C8">
        <w:t xml:space="preserve">po powrocie. </w:t>
      </w:r>
    </w:p>
    <w:p w:rsidR="007E5781" w:rsidRPr="007E5781" w:rsidRDefault="007E5781">
      <w:pPr>
        <w:pStyle w:val="ClinContent"/>
      </w:pPr>
      <w:r w:rsidRPr="00B769C8">
        <w:t>Uzasadnienie wskazywane przez rząd dla wprowadzenia</w:t>
      </w:r>
      <w:r w:rsidRPr="007E5781">
        <w:t xml:space="preserve"> reguły 28 lat </w:t>
      </w:r>
      <w:r>
        <w:t xml:space="preserve">było </w:t>
      </w:r>
      <w:r w:rsidRPr="007E5781">
        <w:t xml:space="preserve">w dużej mierze </w:t>
      </w:r>
      <w:r>
        <w:t xml:space="preserve">oparte na argumentach </w:t>
      </w:r>
      <w:r w:rsidR="004114A5">
        <w:t>mających charakter</w:t>
      </w:r>
      <w:r>
        <w:t xml:space="preserve"> spekulacji. W opinii Trybunału, odpowiedź na pytanie, kiedy można uznać, że obywatel duński ustanowił więzi z Danią na tyle silne, że połączenie rodziny z obywatelem cudzoziemskim rokowało powodzenie z punktu widzenia integracji, nie może zależeć jedynie od długości posiadania obywatelstwa, czy to 28 lat, czy mniej. Już w celu uzyskania obywatelstwa duńskiego </w:t>
      </w:r>
      <w:r w:rsidR="00A81F1A">
        <w:t xml:space="preserve">pan </w:t>
      </w:r>
      <w:proofErr w:type="spellStart"/>
      <w:r>
        <w:t>Biao</w:t>
      </w:r>
      <w:proofErr w:type="spellEnd"/>
      <w:r>
        <w:t xml:space="preserve"> musiał </w:t>
      </w:r>
      <w:r w:rsidR="004752EB">
        <w:t xml:space="preserve">spełnić wymóg spędzenia 9 lat w Danii i wykazać się znajomością duńskiego języka i kultury; dodatkowo, wcześniej pozostawał w związku małżeńskim z obywatelką duńską przez ok. 4 lata, uczestniczył w różnych kursach i pracował w Danii przez ponad sześć lat, miał syna, który był obywatelem duńskim z uwagi na obywatelstwo ojca. Żaden z tych czynników nie był, a nawet nie mógł być wzięty pod uwagę przy stosowaniu reguły 28 lat wobec </w:t>
      </w:r>
      <w:r w:rsidR="00A81F1A">
        <w:t xml:space="preserve">pana </w:t>
      </w:r>
      <w:proofErr w:type="spellStart"/>
      <w:r w:rsidR="004752EB">
        <w:t>Biao</w:t>
      </w:r>
      <w:proofErr w:type="spellEnd"/>
      <w:r w:rsidR="004752EB">
        <w:t xml:space="preserve">, choć były one rzeczywiście istotne dla oceny, czy istniały perspektywy skutecznej integracji jego żony. </w:t>
      </w:r>
    </w:p>
    <w:p w:rsidR="004752EB" w:rsidRPr="004752EB" w:rsidRDefault="004752EB">
      <w:pPr>
        <w:pStyle w:val="ClinContent"/>
      </w:pPr>
      <w:r w:rsidRPr="004752EB">
        <w:t xml:space="preserve">Prace przygotowawcze dotyczące ustawy, która zmieniła przedmiotową ustawę, </w:t>
      </w:r>
      <w:r>
        <w:t xml:space="preserve">w negatywny sposób </w:t>
      </w:r>
      <w:r w:rsidRPr="00AE616B">
        <w:t>od</w:t>
      </w:r>
      <w:r w:rsidR="00AE616B" w:rsidRPr="00AE616B">
        <w:t>nosiły się do</w:t>
      </w:r>
      <w:r>
        <w:t xml:space="preserve"> styl</w:t>
      </w:r>
      <w:r w:rsidR="00AE616B">
        <w:t>u</w:t>
      </w:r>
      <w:r>
        <w:t xml:space="preserve"> życia duńskich obywateli nieduńskiego pochodzenia etnicznego, na przykład, opisując ich „wzorce małżeństwa”, polegające na „poślubianiu osoby z kraju ich pochodzenia”, jako przyczyniające się do izolacji i „utrudniające integrację nowoprzybyłych do Danii cudzoziemców”. </w:t>
      </w:r>
      <w:r w:rsidR="007F76E9">
        <w:t>O</w:t>
      </w:r>
      <w:r>
        <w:t xml:space="preserve">dwołując się do swego orzecznictwa, w świetle którego ogólne tendencyjne założenia lub uprzedzenia </w:t>
      </w:r>
      <w:r>
        <w:lastRenderedPageBreak/>
        <w:t xml:space="preserve">społeczne </w:t>
      </w:r>
      <w:r w:rsidR="00AE616B">
        <w:t xml:space="preserve">dominujące </w:t>
      </w:r>
      <w:r>
        <w:t xml:space="preserve">w danym państwie nie stanowią wystarczającego uzasadnienia dla zróżnicowanego traktowania </w:t>
      </w:r>
      <w:r w:rsidR="00494BF7">
        <w:t>z uwagi na</w:t>
      </w:r>
      <w:r>
        <w:t xml:space="preserve"> płeć</w:t>
      </w:r>
      <w:r w:rsidR="00494BF7" w:rsidRPr="000121D4">
        <w:rPr>
          <w:i/>
        </w:rPr>
        <w:t>*</w:t>
      </w:r>
      <w:r>
        <w:t xml:space="preserve">, </w:t>
      </w:r>
      <w:r w:rsidR="007F76E9">
        <w:t xml:space="preserve">Trybunał </w:t>
      </w:r>
      <w:r>
        <w:t xml:space="preserve">uznał, że podobne rozumowanie należy stosować wobec dyskryminacji wobec naturalizowanych obywateli. </w:t>
      </w:r>
    </w:p>
    <w:p w:rsidR="004752EB" w:rsidRPr="004752EB" w:rsidRDefault="004752EB">
      <w:pPr>
        <w:pStyle w:val="ClinContent"/>
      </w:pPr>
      <w:r w:rsidRPr="004752EB">
        <w:t xml:space="preserve">Duński Sąd Najwyższy, uznając, że okoliczności faktyczne obecnej sprawy są identyczne jak w sprawie </w:t>
      </w:r>
      <w:r w:rsidR="006B6C37">
        <w:t xml:space="preserve">pani </w:t>
      </w:r>
      <w:proofErr w:type="spellStart"/>
      <w:r w:rsidRPr="004752EB">
        <w:t>Balkandali</w:t>
      </w:r>
      <w:proofErr w:type="spellEnd"/>
      <w:r w:rsidRPr="004752EB">
        <w:t xml:space="preserve">**, stwierdził, że kryterium 28 lat obywatelstwa duńskiego </w:t>
      </w:r>
      <w:r w:rsidR="00AE616B">
        <w:t>„</w:t>
      </w:r>
      <w:r w:rsidRPr="004752EB">
        <w:t>miało ten sam cel, co wymóg urodzenia w Wielkiej Brytanii, który został zaakceptowany przez Trybunał w wyroku z 1985 r.</w:t>
      </w:r>
      <w:r>
        <w:t xml:space="preserve"> </w:t>
      </w:r>
      <w:r w:rsidR="00AE616B">
        <w:t xml:space="preserve">jako niesprzeczny z Konwencją: </w:t>
      </w:r>
      <w:r>
        <w:t>o</w:t>
      </w:r>
      <w:r w:rsidR="00AE616B">
        <w:t>d</w:t>
      </w:r>
      <w:r>
        <w:t>różnienie grupy obywateli, którzy, z ogólnego</w:t>
      </w:r>
      <w:r w:rsidRPr="004752EB">
        <w:t xml:space="preserve"> </w:t>
      </w:r>
      <w:r w:rsidR="00E36FA4">
        <w:t xml:space="preserve">punktu widzenia mieli trwające i silne więzi z krajem”. Sąd Najwyższy uznał, że zarzucana dyskryminacja oparta była jedynie na długości obywatelstwa, kwestii, która </w:t>
      </w:r>
      <w:r w:rsidR="00AE616B">
        <w:t>była objęta sformułowaniem „inna przyczyna</w:t>
      </w:r>
      <w:r w:rsidR="00E36FA4">
        <w:t xml:space="preserve">” w rozumieniu art. 14 Konwencji. A zatem, test proporcjonalności zastosowany przez Sąd Najwyższy był odmienny od testu, który zastosowałby Europejski Trybunał Praw Człowieka, który dla uzasadnienia pośrednio dyskryminacyjnego skutku reguły 28 lat wymaga </w:t>
      </w:r>
      <w:r w:rsidR="00494BF7">
        <w:t xml:space="preserve">nieodpartych </w:t>
      </w:r>
      <w:r w:rsidR="00E36FA4">
        <w:t xml:space="preserve">lub bardzo </w:t>
      </w:r>
      <w:r w:rsidR="00494BF7">
        <w:t>waż</w:t>
      </w:r>
      <w:r w:rsidR="00AE616B">
        <w:t>nych</w:t>
      </w:r>
      <w:r w:rsidR="00494BF7">
        <w:t xml:space="preserve"> </w:t>
      </w:r>
      <w:r w:rsidR="00E36FA4">
        <w:t>powodów niezwiązanych z pochodzeniem etnicznym</w:t>
      </w:r>
      <w:r w:rsidR="006C101C">
        <w:t>.</w:t>
      </w:r>
      <w:r w:rsidR="00E36FA4">
        <w:t xml:space="preserve"> </w:t>
      </w:r>
    </w:p>
    <w:p w:rsidR="00657972" w:rsidRPr="00657972" w:rsidRDefault="00657972">
      <w:pPr>
        <w:pStyle w:val="ClinContent"/>
      </w:pPr>
      <w:r w:rsidRPr="00657972">
        <w:t xml:space="preserve">W obszarze dyskryminacji </w:t>
      </w:r>
      <w:r w:rsidR="005A0968" w:rsidRPr="00657972">
        <w:t xml:space="preserve">pośredniej </w:t>
      </w:r>
      <w:r w:rsidRPr="00657972">
        <w:t xml:space="preserve">własnych </w:t>
      </w:r>
      <w:r w:rsidR="00AE616B" w:rsidRPr="00657972">
        <w:t>obywateli</w:t>
      </w:r>
      <w:r w:rsidRPr="00657972">
        <w:t xml:space="preserve"> Państwa w oparciu o pochodzenie etniczne </w:t>
      </w:r>
      <w:r>
        <w:t xml:space="preserve">bardzo trudno jest pogodzić </w:t>
      </w:r>
      <w:r w:rsidRPr="001B6ED0">
        <w:t>przyznanie s</w:t>
      </w:r>
      <w:r w:rsidR="006B6C37" w:rsidRPr="001B6ED0">
        <w:t xml:space="preserve">pecjalnego </w:t>
      </w:r>
      <w:r>
        <w:t xml:space="preserve"> traktowania z obecnymi standardami międzynarodowymi i ich rozwojem: </w:t>
      </w:r>
    </w:p>
    <w:p w:rsidR="00657972" w:rsidRDefault="00657972">
      <w:pPr>
        <w:pStyle w:val="ClinContent"/>
      </w:pPr>
      <w:r>
        <w:t xml:space="preserve">(a) </w:t>
      </w:r>
      <w:r w:rsidR="002B057E" w:rsidRPr="00657972">
        <w:t>Art</w:t>
      </w:r>
      <w:r w:rsidR="000121D4" w:rsidRPr="00657972">
        <w:t>.</w:t>
      </w:r>
      <w:r w:rsidR="00C0255F" w:rsidRPr="00657972">
        <w:t xml:space="preserve"> 5 </w:t>
      </w:r>
      <w:r w:rsidRPr="00657972">
        <w:t>ust.</w:t>
      </w:r>
      <w:r w:rsidR="00C0255F" w:rsidRPr="00657972">
        <w:t xml:space="preserve"> 2 </w:t>
      </w:r>
      <w:hyperlink r:id="rId10" w:history="1">
        <w:r w:rsidRPr="00AE616B">
          <w:rPr>
            <w:rStyle w:val="Hipercze"/>
          </w:rPr>
          <w:t>Europejskiej Konwencji o obywatelstwie</w:t>
        </w:r>
      </w:hyperlink>
      <w:r w:rsidRPr="00657972">
        <w:t xml:space="preserve">, mający na celu </w:t>
      </w:r>
      <w:r w:rsidR="00AE616B">
        <w:t>likwidację</w:t>
      </w:r>
      <w:r w:rsidRPr="00657972">
        <w:t xml:space="preserve"> dyskryminacyjnego stosowania regulacji w </w:t>
      </w:r>
      <w:r>
        <w:t xml:space="preserve">obszarze </w:t>
      </w:r>
      <w:r w:rsidRPr="00657972">
        <w:t xml:space="preserve">obywatelstwa </w:t>
      </w:r>
      <w:r w:rsidR="00AE616B">
        <w:t xml:space="preserve">między </w:t>
      </w:r>
      <w:r w:rsidRPr="00657972">
        <w:t>obywatel</w:t>
      </w:r>
      <w:r w:rsidR="00AE616B">
        <w:t>ami</w:t>
      </w:r>
      <w:r w:rsidRPr="00657972">
        <w:t>, którzy nabyli o</w:t>
      </w:r>
      <w:r w:rsidR="001B6ED0">
        <w:t>bywatelstwo przez urodzenie,</w:t>
      </w:r>
      <w:r w:rsidRPr="00657972">
        <w:t xml:space="preserve"> </w:t>
      </w:r>
      <w:r w:rsidR="00AE616B">
        <w:t>a innymi obywatelami, w tym osobami naturalizowanymi</w:t>
      </w:r>
      <w:r w:rsidRPr="00657972">
        <w:t>, wskaz</w:t>
      </w:r>
      <w:r w:rsidR="00AE616B">
        <w:t>uje</w:t>
      </w:r>
      <w:r w:rsidRPr="00657972">
        <w:t xml:space="preserve"> na istnienie pewnego trendu w kierunku europejskiego standard</w:t>
      </w:r>
      <w:r w:rsidR="00AE616B">
        <w:t>u</w:t>
      </w:r>
      <w:r w:rsidRPr="00657972">
        <w:t>, który należy uznać za istotny w obecnej sprawie</w:t>
      </w:r>
      <w:r w:rsidR="00AE616B">
        <w:t>.</w:t>
      </w:r>
      <w:r w:rsidRPr="00657972">
        <w:t xml:space="preserve"> </w:t>
      </w:r>
    </w:p>
    <w:p w:rsidR="00657972" w:rsidRPr="00657972" w:rsidRDefault="00657972">
      <w:pPr>
        <w:pStyle w:val="ClinContent"/>
      </w:pPr>
      <w:r w:rsidRPr="00657972">
        <w:t xml:space="preserve">(b) </w:t>
      </w:r>
      <w:r w:rsidR="00AE616B" w:rsidRPr="00657972">
        <w:t xml:space="preserve">Ani </w:t>
      </w:r>
      <w:r w:rsidRPr="00657972">
        <w:t>w 29 Państwach Członkowskich Rady Europy, których regulacje zbadał Trybunał, ani w prawie Unii Europejskiej nie było żadnego rozr</w:t>
      </w:r>
      <w:r>
        <w:t xml:space="preserve">óżnienia między różnymi grupami obywateli przy ustalaniu warunków przyznania łączenia rodzin. </w:t>
      </w:r>
    </w:p>
    <w:p w:rsidR="00657972" w:rsidRPr="00657972" w:rsidRDefault="00657972">
      <w:pPr>
        <w:pStyle w:val="ClinContent"/>
      </w:pPr>
      <w:r w:rsidRPr="00657972">
        <w:t xml:space="preserve">(c) Różne niezależne organy wyrażały zaniepokojenie w </w:t>
      </w:r>
      <w:r w:rsidR="00AE616B">
        <w:t xml:space="preserve">odniesieniu do </w:t>
      </w:r>
      <w:r w:rsidRPr="00657972">
        <w:t xml:space="preserve">reguły 28 lat: Komitet ds. </w:t>
      </w:r>
      <w:r>
        <w:t xml:space="preserve">Likwidacji Dyskryminacji Rasowej (CERD), Europejska Komisja przeciwko Rasizmowi i Nietolerancji (ECRI) oraz Komisarz Praw Człowieka Rady Europy. </w:t>
      </w:r>
    </w:p>
    <w:p w:rsidR="00657972" w:rsidRPr="00494BF7" w:rsidRDefault="00EF0E99">
      <w:pPr>
        <w:pStyle w:val="ClinContent"/>
      </w:pPr>
      <w:r>
        <w:t>Podsumowując</w:t>
      </w:r>
      <w:r w:rsidR="00494BF7" w:rsidRPr="00494BF7">
        <w:t xml:space="preserve">, </w:t>
      </w:r>
      <w:r w:rsidR="005A0968">
        <w:t>zważywszy na</w:t>
      </w:r>
      <w:r w:rsidR="00494BF7" w:rsidRPr="00494BF7">
        <w:t xml:space="preserve"> bardzo wąski margines oceny </w:t>
      </w:r>
      <w:r w:rsidR="006C101C">
        <w:t>przysługujący pozwanemu Państwu</w:t>
      </w:r>
      <w:r w:rsidR="00494BF7" w:rsidRPr="00494BF7">
        <w:t xml:space="preserve"> w obecnej sprawie, rząd nie wykazał, że zachodziły</w:t>
      </w:r>
      <w:r w:rsidR="00494BF7">
        <w:t xml:space="preserve"> nieodparte</w:t>
      </w:r>
      <w:r w:rsidR="00494BF7" w:rsidRPr="00494BF7">
        <w:t xml:space="preserve"> lub bardzo </w:t>
      </w:r>
      <w:r w:rsidR="00494BF7">
        <w:t>waż</w:t>
      </w:r>
      <w:r w:rsidR="00AE616B">
        <w:t>n</w:t>
      </w:r>
      <w:r w:rsidR="00494BF7">
        <w:t xml:space="preserve">e powody niezwiązane z pochodzeniem etnicznym uzasadniające pośrednio dyskryminacyjny skutek reguły 28 lat. </w:t>
      </w:r>
    </w:p>
    <w:p w:rsidR="00494BF7" w:rsidRPr="00494BF7" w:rsidRDefault="00315DD8">
      <w:pPr>
        <w:pStyle w:val="ClinContent"/>
        <w:rPr>
          <w:i/>
        </w:rPr>
      </w:pPr>
      <w:r>
        <w:rPr>
          <w:i/>
        </w:rPr>
        <w:t>Rozstrzygnięcie</w:t>
      </w:r>
      <w:r w:rsidR="00494BF7" w:rsidRPr="00494BF7">
        <w:t>: naruszenie (dwunastoma głosami do pięciu)</w:t>
      </w:r>
      <w:r w:rsidR="001B6ED0">
        <w:t>.</w:t>
      </w:r>
    </w:p>
    <w:p w:rsidR="00494BF7" w:rsidRPr="00494BF7" w:rsidRDefault="00494BF7">
      <w:pPr>
        <w:pStyle w:val="ClinContent"/>
      </w:pPr>
      <w:r w:rsidRPr="00494BF7">
        <w:t xml:space="preserve">Trybunał uznał również, czternastoma głosami do trzech, że nie było potrzeby zbadania skargi oddzielnie na podstawie art. </w:t>
      </w:r>
      <w:r>
        <w:t xml:space="preserve">8 Konwencji. </w:t>
      </w:r>
    </w:p>
    <w:p w:rsidR="00A921B5" w:rsidRPr="00494BF7" w:rsidRDefault="00494BF7">
      <w:pPr>
        <w:pStyle w:val="ClinContent"/>
      </w:pPr>
      <w:r w:rsidRPr="00494BF7">
        <w:t>Art</w:t>
      </w:r>
      <w:r w:rsidR="000121D4" w:rsidRPr="00494BF7">
        <w:t>.</w:t>
      </w:r>
      <w:r w:rsidR="00C0255F" w:rsidRPr="00494BF7">
        <w:t xml:space="preserve"> 41: 6</w:t>
      </w:r>
      <w:r w:rsidRPr="00494BF7">
        <w:t>.</w:t>
      </w:r>
      <w:r w:rsidR="00C0255F" w:rsidRPr="00494BF7">
        <w:t xml:space="preserve">000 </w:t>
      </w:r>
      <w:r w:rsidRPr="00494BF7">
        <w:t>euro w odniesieniu do szkody niemajątkowej</w:t>
      </w:r>
      <w:r w:rsidR="00C0255F" w:rsidRPr="00494BF7">
        <w:t>.</w:t>
      </w:r>
    </w:p>
    <w:p w:rsidR="00A921B5" w:rsidRPr="000121D4" w:rsidRDefault="00C0255F">
      <w:pPr>
        <w:pStyle w:val="ClinContent"/>
      </w:pPr>
      <w:r w:rsidRPr="000121D4">
        <w:rPr>
          <w:i/>
        </w:rPr>
        <w:t xml:space="preserve">*  Konstantin Markin </w:t>
      </w:r>
      <w:r w:rsidR="000121D4" w:rsidRPr="000121D4">
        <w:rPr>
          <w:i/>
        </w:rPr>
        <w:t>p.</w:t>
      </w:r>
      <w:r w:rsidRPr="000121D4">
        <w:rPr>
          <w:i/>
        </w:rPr>
        <w:t xml:space="preserve"> R</w:t>
      </w:r>
      <w:r w:rsidR="000121D4" w:rsidRPr="000121D4">
        <w:rPr>
          <w:i/>
        </w:rPr>
        <w:t>osji</w:t>
      </w:r>
      <w:r w:rsidRPr="000121D4">
        <w:rPr>
          <w:i/>
        </w:rPr>
        <w:t xml:space="preserve"> </w:t>
      </w:r>
      <w:r w:rsidR="000121D4" w:rsidRPr="000121D4">
        <w:t>[Wielka Izba]</w:t>
      </w:r>
      <w:r w:rsidRPr="000121D4">
        <w:t xml:space="preserve">, </w:t>
      </w:r>
      <w:r w:rsidR="000121D4" w:rsidRPr="000121D4">
        <w:t xml:space="preserve">skarga nr </w:t>
      </w:r>
      <w:r w:rsidRPr="000121D4">
        <w:t xml:space="preserve">30078/06, 22 </w:t>
      </w:r>
      <w:r w:rsidR="000121D4" w:rsidRPr="000121D4">
        <w:t>maja</w:t>
      </w:r>
      <w:r w:rsidRPr="000121D4">
        <w:t xml:space="preserve"> 2012</w:t>
      </w:r>
      <w:r w:rsidR="000121D4" w:rsidRPr="000121D4">
        <w:t xml:space="preserve"> r.</w:t>
      </w:r>
      <w:r w:rsidRPr="000121D4">
        <w:t xml:space="preserve">, </w:t>
      </w:r>
      <w:hyperlink r:id="rId11" w:history="1">
        <w:r w:rsidR="000121D4" w:rsidRPr="000121D4">
          <w:rPr>
            <w:rStyle w:val="Hipercze"/>
          </w:rPr>
          <w:t xml:space="preserve">Nota informacyjna nr </w:t>
        </w:r>
        <w:r w:rsidRPr="000121D4">
          <w:rPr>
            <w:rStyle w:val="Hipercze"/>
          </w:rPr>
          <w:t>150</w:t>
        </w:r>
      </w:hyperlink>
      <w:r w:rsidRPr="000121D4">
        <w:t>.</w:t>
      </w:r>
    </w:p>
    <w:p w:rsidR="00A921B5" w:rsidRPr="000121D4" w:rsidRDefault="00C0255F">
      <w:pPr>
        <w:pStyle w:val="ClinContent"/>
      </w:pPr>
      <w:r w:rsidRPr="000121D4">
        <w:t xml:space="preserve">**  </w:t>
      </w:r>
      <w:proofErr w:type="spellStart"/>
      <w:r w:rsidR="00DE1865">
        <w:rPr>
          <w:i/>
        </w:rPr>
        <w:t>Abdulaziz</w:t>
      </w:r>
      <w:proofErr w:type="spellEnd"/>
      <w:r w:rsidR="00DE1865">
        <w:rPr>
          <w:i/>
        </w:rPr>
        <w:t xml:space="preserve">, </w:t>
      </w:r>
      <w:proofErr w:type="spellStart"/>
      <w:r w:rsidR="00DE1865">
        <w:rPr>
          <w:i/>
        </w:rPr>
        <w:t>Cabales</w:t>
      </w:r>
      <w:proofErr w:type="spellEnd"/>
      <w:r w:rsidR="00DE1865">
        <w:rPr>
          <w:i/>
        </w:rPr>
        <w:t xml:space="preserve"> i</w:t>
      </w:r>
      <w:r w:rsidRPr="000121D4">
        <w:rPr>
          <w:i/>
        </w:rPr>
        <w:t xml:space="preserve"> </w:t>
      </w:r>
      <w:proofErr w:type="spellStart"/>
      <w:r w:rsidRPr="000121D4">
        <w:rPr>
          <w:i/>
        </w:rPr>
        <w:t>Balkandali</w:t>
      </w:r>
      <w:proofErr w:type="spellEnd"/>
      <w:r w:rsidRPr="000121D4">
        <w:rPr>
          <w:i/>
        </w:rPr>
        <w:t xml:space="preserve"> </w:t>
      </w:r>
      <w:r w:rsidR="000121D4" w:rsidRPr="000121D4">
        <w:rPr>
          <w:i/>
        </w:rPr>
        <w:t>p.</w:t>
      </w:r>
      <w:r w:rsidRPr="000121D4">
        <w:rPr>
          <w:i/>
        </w:rPr>
        <w:t xml:space="preserve"> </w:t>
      </w:r>
      <w:r w:rsidR="000121D4" w:rsidRPr="000121D4">
        <w:rPr>
          <w:i/>
        </w:rPr>
        <w:t>Wielkiej Brytanii</w:t>
      </w:r>
      <w:r w:rsidRPr="000121D4">
        <w:t xml:space="preserve">, </w:t>
      </w:r>
      <w:r w:rsidR="000121D4" w:rsidRPr="000121D4">
        <w:t>skar</w:t>
      </w:r>
      <w:r w:rsidR="000121D4">
        <w:t xml:space="preserve">ga nr </w:t>
      </w:r>
      <w:hyperlink r:id="rId12" w:history="1">
        <w:r w:rsidRPr="000121D4">
          <w:rPr>
            <w:rStyle w:val="Hipercze"/>
          </w:rPr>
          <w:t>9214/80</w:t>
        </w:r>
      </w:hyperlink>
      <w:r w:rsidRPr="000121D4">
        <w:t xml:space="preserve"> </w:t>
      </w:r>
      <w:r w:rsidR="000121D4">
        <w:t>i inne</w:t>
      </w:r>
      <w:r w:rsidRPr="000121D4">
        <w:t>, 28 </w:t>
      </w:r>
      <w:r w:rsidR="000121D4">
        <w:t>maja</w:t>
      </w:r>
      <w:r w:rsidRPr="000121D4">
        <w:t xml:space="preserve"> 1985</w:t>
      </w:r>
      <w:r w:rsidR="000121D4">
        <w:t xml:space="preserve"> r.</w:t>
      </w:r>
    </w:p>
    <w:p w:rsidR="00A921B5" w:rsidRPr="000121D4" w:rsidRDefault="00A921B5">
      <w:pPr>
        <w:pBdr>
          <w:bottom w:val="single" w:sz="8" w:space="1" w:color="auto"/>
        </w:pBdr>
      </w:pPr>
    </w:p>
    <w:p w:rsidR="000121D4" w:rsidRPr="0074070E" w:rsidRDefault="000121D4" w:rsidP="000121D4">
      <w:pPr>
        <w:pStyle w:val="ClinFooter"/>
      </w:pPr>
      <w:r w:rsidRPr="0074070E">
        <w:t xml:space="preserve">© </w:t>
      </w:r>
      <w:proofErr w:type="spellStart"/>
      <w:r w:rsidRPr="0074070E">
        <w:t>Council</w:t>
      </w:r>
      <w:proofErr w:type="spellEnd"/>
      <w:r w:rsidRPr="0074070E">
        <w:t xml:space="preserve"> of Europe/</w:t>
      </w:r>
      <w:proofErr w:type="spellStart"/>
      <w:r w:rsidRPr="0074070E">
        <w:t>European</w:t>
      </w:r>
      <w:proofErr w:type="spellEnd"/>
      <w:r w:rsidRPr="0074070E">
        <w:t xml:space="preserve"> Court of Human </w:t>
      </w:r>
      <w:proofErr w:type="spellStart"/>
      <w:r w:rsidRPr="0074070E">
        <w:t>Rights</w:t>
      </w:r>
      <w:proofErr w:type="spellEnd"/>
      <w:r w:rsidRPr="0074070E">
        <w:br/>
        <w:t xml:space="preserve">Niniejsze streszczenie przygotowane przez Kancelarię nie wiąże Trybunału.  </w:t>
      </w:r>
    </w:p>
    <w:p w:rsidR="000121D4" w:rsidRPr="001D0852" w:rsidRDefault="000121D4" w:rsidP="000121D4">
      <w:pPr>
        <w:pStyle w:val="ClinFooter"/>
      </w:pPr>
      <w:r w:rsidRPr="0074070E">
        <w:t xml:space="preserve">Link do </w:t>
      </w:r>
      <w:hyperlink r:id="rId13" w:history="1">
        <w:r w:rsidRPr="001D0852">
          <w:rPr>
            <w:rStyle w:val="Hipercze"/>
          </w:rPr>
          <w:t>Not informacyjnych nt. orzecznictwa</w:t>
        </w:r>
      </w:hyperlink>
    </w:p>
    <w:p w:rsidR="000121D4" w:rsidRPr="000121D4" w:rsidRDefault="000121D4" w:rsidP="0085106C">
      <w:pPr>
        <w:pStyle w:val="ClinFooter"/>
        <w:jc w:val="left"/>
      </w:pPr>
    </w:p>
    <w:sectPr w:rsidR="000121D4" w:rsidRPr="000121D4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AF" w:rsidRDefault="00534BAF" w:rsidP="00C63262">
      <w:r>
        <w:separator/>
      </w:r>
    </w:p>
  </w:endnote>
  <w:endnote w:type="continuationSeparator" w:id="0">
    <w:p w:rsidR="00534BAF" w:rsidRDefault="00534BA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A1" w:rsidRDefault="003902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A1" w:rsidRDefault="003902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AF" w:rsidRDefault="00534BAF" w:rsidP="00C63262">
      <w:r>
        <w:separator/>
      </w:r>
    </w:p>
  </w:footnote>
  <w:footnote w:type="continuationSeparator" w:id="0">
    <w:p w:rsidR="00534BAF" w:rsidRDefault="00534BA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A1" w:rsidRDefault="003902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D73E2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F5BE4"/>
    <w:multiLevelType w:val="hybridMultilevel"/>
    <w:tmpl w:val="1E82DAA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21D4"/>
    <w:rsid w:val="00037CCC"/>
    <w:rsid w:val="00097888"/>
    <w:rsid w:val="000F13B5"/>
    <w:rsid w:val="00107377"/>
    <w:rsid w:val="00143602"/>
    <w:rsid w:val="001769E4"/>
    <w:rsid w:val="00186560"/>
    <w:rsid w:val="001B6ED0"/>
    <w:rsid w:val="001F2487"/>
    <w:rsid w:val="00212E83"/>
    <w:rsid w:val="00214477"/>
    <w:rsid w:val="00257642"/>
    <w:rsid w:val="00263A6C"/>
    <w:rsid w:val="00265888"/>
    <w:rsid w:val="002966E7"/>
    <w:rsid w:val="002B057E"/>
    <w:rsid w:val="002B77E7"/>
    <w:rsid w:val="002E088D"/>
    <w:rsid w:val="002F4464"/>
    <w:rsid w:val="0030264F"/>
    <w:rsid w:val="00315DD8"/>
    <w:rsid w:val="003450B3"/>
    <w:rsid w:val="00386958"/>
    <w:rsid w:val="003902A1"/>
    <w:rsid w:val="003A64A6"/>
    <w:rsid w:val="003D7BB3"/>
    <w:rsid w:val="004114A5"/>
    <w:rsid w:val="00436424"/>
    <w:rsid w:val="0046453F"/>
    <w:rsid w:val="004752EB"/>
    <w:rsid w:val="00494BF7"/>
    <w:rsid w:val="004A5B52"/>
    <w:rsid w:val="004D568D"/>
    <w:rsid w:val="004E1037"/>
    <w:rsid w:val="005208EE"/>
    <w:rsid w:val="0052092D"/>
    <w:rsid w:val="00534BAF"/>
    <w:rsid w:val="00540D75"/>
    <w:rsid w:val="005514E5"/>
    <w:rsid w:val="0057348C"/>
    <w:rsid w:val="005A0968"/>
    <w:rsid w:val="005A4AE4"/>
    <w:rsid w:val="005D5D53"/>
    <w:rsid w:val="006028A1"/>
    <w:rsid w:val="00631A28"/>
    <w:rsid w:val="00657972"/>
    <w:rsid w:val="006A2A04"/>
    <w:rsid w:val="006A36AD"/>
    <w:rsid w:val="006B6C37"/>
    <w:rsid w:val="006C101C"/>
    <w:rsid w:val="006C1D96"/>
    <w:rsid w:val="00705B2D"/>
    <w:rsid w:val="0071773F"/>
    <w:rsid w:val="00743C29"/>
    <w:rsid w:val="00774515"/>
    <w:rsid w:val="0078389A"/>
    <w:rsid w:val="007E5781"/>
    <w:rsid w:val="007F76E9"/>
    <w:rsid w:val="00813169"/>
    <w:rsid w:val="008179C3"/>
    <w:rsid w:val="0085106C"/>
    <w:rsid w:val="00863E4E"/>
    <w:rsid w:val="0089251B"/>
    <w:rsid w:val="00895EF3"/>
    <w:rsid w:val="008C64D5"/>
    <w:rsid w:val="00903D38"/>
    <w:rsid w:val="0099605E"/>
    <w:rsid w:val="00997CF7"/>
    <w:rsid w:val="009B3B2C"/>
    <w:rsid w:val="009E3EF0"/>
    <w:rsid w:val="009F119D"/>
    <w:rsid w:val="00A01052"/>
    <w:rsid w:val="00A04D9C"/>
    <w:rsid w:val="00A258BB"/>
    <w:rsid w:val="00A33541"/>
    <w:rsid w:val="00A45616"/>
    <w:rsid w:val="00A46489"/>
    <w:rsid w:val="00A70785"/>
    <w:rsid w:val="00A81F1A"/>
    <w:rsid w:val="00A8677F"/>
    <w:rsid w:val="00A921B5"/>
    <w:rsid w:val="00AC7726"/>
    <w:rsid w:val="00AD73E2"/>
    <w:rsid w:val="00AE616B"/>
    <w:rsid w:val="00B769C8"/>
    <w:rsid w:val="00B80CA0"/>
    <w:rsid w:val="00B85770"/>
    <w:rsid w:val="00BC6C32"/>
    <w:rsid w:val="00BE50B0"/>
    <w:rsid w:val="00BF0F5B"/>
    <w:rsid w:val="00BF1CD9"/>
    <w:rsid w:val="00C0255F"/>
    <w:rsid w:val="00C37433"/>
    <w:rsid w:val="00C63262"/>
    <w:rsid w:val="00C72355"/>
    <w:rsid w:val="00C93CFB"/>
    <w:rsid w:val="00CF38A7"/>
    <w:rsid w:val="00CF7BA6"/>
    <w:rsid w:val="00D42086"/>
    <w:rsid w:val="00D425B3"/>
    <w:rsid w:val="00D658A4"/>
    <w:rsid w:val="00DE1865"/>
    <w:rsid w:val="00DF17C1"/>
    <w:rsid w:val="00E36FA4"/>
    <w:rsid w:val="00E37312"/>
    <w:rsid w:val="00E51CC2"/>
    <w:rsid w:val="00E55491"/>
    <w:rsid w:val="00E83DB6"/>
    <w:rsid w:val="00EA53E7"/>
    <w:rsid w:val="00EF0E99"/>
    <w:rsid w:val="00F376EE"/>
    <w:rsid w:val="00F508C9"/>
    <w:rsid w:val="00F50CCD"/>
    <w:rsid w:val="00F5247C"/>
    <w:rsid w:val="00F85213"/>
    <w:rsid w:val="00FA29ED"/>
    <w:rsid w:val="00FA4C82"/>
    <w:rsid w:val="00FB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  <w:lang w:val="pl-PL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0121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121D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C6C3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6C32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C6C32"/>
    <w:rPr>
      <w:rFonts w:ascii="Verdana" w:hAnsi="Verdana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6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6C32"/>
    <w:rPr>
      <w:rFonts w:ascii="Verdana" w:hAnsi="Verdana"/>
      <w:b/>
      <w:bCs/>
      <w:lang w:val="pl-PL"/>
    </w:rPr>
  </w:style>
  <w:style w:type="paragraph" w:customStyle="1" w:styleId="s746c8714">
    <w:name w:val="s746c8714"/>
    <w:basedOn w:val="Normalny"/>
    <w:rsid w:val="00BF0F5B"/>
    <w:pPr>
      <w:spacing w:before="100" w:beforeAutospacing="1" w:after="100" w:afterAutospacing="1"/>
    </w:pPr>
    <w:rPr>
      <w:rFonts w:ascii="Times New Roman" w:hAnsi="Times New Roman"/>
      <w:sz w:val="24"/>
      <w:lang w:eastAsia="pl-PL"/>
    </w:rPr>
  </w:style>
  <w:style w:type="paragraph" w:customStyle="1" w:styleId="s6e50bd9a">
    <w:name w:val="s6e50bd9a"/>
    <w:basedOn w:val="Normalny"/>
    <w:rsid w:val="00BF0F5B"/>
    <w:pPr>
      <w:spacing w:before="100" w:beforeAutospacing="1" w:after="100" w:afterAutospacing="1"/>
    </w:pPr>
    <w:rPr>
      <w:rFonts w:ascii="Times New Roman" w:hAnsi="Times New Roman"/>
      <w:sz w:val="24"/>
      <w:lang w:eastAsia="pl-PL"/>
    </w:rPr>
  </w:style>
  <w:style w:type="character" w:customStyle="1" w:styleId="s4f807e54">
    <w:name w:val="s4f807e54"/>
    <w:basedOn w:val="Domylnaczcionkaakapitu"/>
    <w:rsid w:val="00BF0F5B"/>
  </w:style>
  <w:style w:type="character" w:customStyle="1" w:styleId="object">
    <w:name w:val="object"/>
    <w:basedOn w:val="Domylnaczcionkaakapitu"/>
    <w:rsid w:val="00BF0F5B"/>
  </w:style>
  <w:style w:type="character" w:styleId="UyteHipercze">
    <w:name w:val="FollowedHyperlink"/>
    <w:basedOn w:val="Domylnaczcionkaakapitu"/>
    <w:semiHidden/>
    <w:unhideWhenUsed/>
    <w:rsid w:val="002F4464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  <w:lang w:val="pl-PL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0121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121D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C6C3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6C32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C6C32"/>
    <w:rPr>
      <w:rFonts w:ascii="Verdana" w:hAnsi="Verdana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6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6C32"/>
    <w:rPr>
      <w:rFonts w:ascii="Verdana" w:hAnsi="Verdana"/>
      <w:b/>
      <w:bCs/>
      <w:lang w:val="pl-PL"/>
    </w:rPr>
  </w:style>
  <w:style w:type="paragraph" w:customStyle="1" w:styleId="s746c8714">
    <w:name w:val="s746c8714"/>
    <w:basedOn w:val="Normalny"/>
    <w:rsid w:val="00BF0F5B"/>
    <w:pPr>
      <w:spacing w:before="100" w:beforeAutospacing="1" w:after="100" w:afterAutospacing="1"/>
    </w:pPr>
    <w:rPr>
      <w:rFonts w:ascii="Times New Roman" w:hAnsi="Times New Roman"/>
      <w:sz w:val="24"/>
      <w:lang w:eastAsia="pl-PL"/>
    </w:rPr>
  </w:style>
  <w:style w:type="paragraph" w:customStyle="1" w:styleId="s6e50bd9a">
    <w:name w:val="s6e50bd9a"/>
    <w:basedOn w:val="Normalny"/>
    <w:rsid w:val="00BF0F5B"/>
    <w:pPr>
      <w:spacing w:before="100" w:beforeAutospacing="1" w:after="100" w:afterAutospacing="1"/>
    </w:pPr>
    <w:rPr>
      <w:rFonts w:ascii="Times New Roman" w:hAnsi="Times New Roman"/>
      <w:sz w:val="24"/>
      <w:lang w:eastAsia="pl-PL"/>
    </w:rPr>
  </w:style>
  <w:style w:type="character" w:customStyle="1" w:styleId="s4f807e54">
    <w:name w:val="s4f807e54"/>
    <w:basedOn w:val="Domylnaczcionkaakapitu"/>
    <w:rsid w:val="00BF0F5B"/>
  </w:style>
  <w:style w:type="character" w:customStyle="1" w:styleId="object">
    <w:name w:val="object"/>
    <w:basedOn w:val="Domylnaczcionkaakapitu"/>
    <w:rsid w:val="00BF0F5B"/>
  </w:style>
  <w:style w:type="character" w:styleId="UyteHipercze">
    <w:name w:val="FollowedHyperlink"/>
    <w:basedOn w:val="Domylnaczcionkaakapitu"/>
    <w:semiHidden/>
    <w:unhideWhenUsed/>
    <w:rsid w:val="002F4464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02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9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83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4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882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fre?i=001-61974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coe.int/en/web/conventions/full-list/-/conventions/treaty/166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sites/eng/pages/search.aspx?i=002-9308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1442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2017-04-21T12:31:00Z</dcterms:created>
  <dcterms:modified xsi:type="dcterms:W3CDTF">2017-06-21T12:10:00Z</dcterms:modified>
</cp:coreProperties>
</file>