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EA9" w:rsidRDefault="00430EA9" w:rsidP="00430EA9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F30D2D" w:rsidRDefault="00F30D2D" w:rsidP="0025064B">
      <w:pPr>
        <w:pStyle w:val="ClinEditionNumber"/>
        <w:jc w:val="center"/>
        <w:rPr>
          <w:lang w:val="pl-PL"/>
        </w:rPr>
      </w:pPr>
    </w:p>
    <w:p w:rsidR="0025064B" w:rsidRDefault="0025064B" w:rsidP="0025064B">
      <w:pPr>
        <w:pStyle w:val="ClinEditionNumber"/>
        <w:jc w:val="center"/>
        <w:rPr>
          <w:lang w:val="pl-PL"/>
        </w:rPr>
      </w:pPr>
      <w:bookmarkStart w:id="0" w:name="_GoBack"/>
      <w:bookmarkEnd w:id="0"/>
      <w:r>
        <w:rPr>
          <w:lang w:val="pl-PL"/>
        </w:rPr>
        <w:t>EUROPEJSKI TRYBUNAŁ PRAW CZŁOWIEKA</w:t>
      </w:r>
    </w:p>
    <w:p w:rsidR="00B702E7" w:rsidRPr="0025064B" w:rsidRDefault="0025064B" w:rsidP="0025064B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 xml:space="preserve">rzecznictwa Trybunału nr </w:t>
      </w:r>
      <w:r>
        <w:rPr>
          <w:lang w:val="pl-PL"/>
        </w:rPr>
        <w:t xml:space="preserve">202  </w:t>
      </w:r>
    </w:p>
    <w:p w:rsidR="00B702E7" w:rsidRPr="0025064B" w:rsidRDefault="0025064B">
      <w:pPr>
        <w:pStyle w:val="ClinEditionMonth"/>
        <w:rPr>
          <w:lang w:val="pl-PL"/>
        </w:rPr>
      </w:pPr>
      <w:r>
        <w:rPr>
          <w:lang w:val="pl-PL"/>
        </w:rPr>
        <w:t xml:space="preserve">Grudzień </w:t>
      </w:r>
      <w:r w:rsidR="00FA346D" w:rsidRPr="0025064B">
        <w:rPr>
          <w:lang w:val="pl-PL"/>
        </w:rPr>
        <w:t>2016</w:t>
      </w:r>
      <w:r>
        <w:rPr>
          <w:lang w:val="pl-PL"/>
        </w:rPr>
        <w:t xml:space="preserve"> r.</w:t>
      </w:r>
    </w:p>
    <w:p w:rsidR="00B702E7" w:rsidRPr="0025064B" w:rsidRDefault="00FA346D">
      <w:pPr>
        <w:rPr>
          <w:lang w:val="pl-PL"/>
        </w:rPr>
      </w:pPr>
      <w:r w:rsidRPr="0025064B">
        <w:rPr>
          <w:rStyle w:val="ClinCaseTitle"/>
          <w:lang w:val="pl-PL"/>
        </w:rPr>
        <w:t xml:space="preserve">Béláné Nagy </w:t>
      </w:r>
      <w:r w:rsidR="002624F7">
        <w:rPr>
          <w:rStyle w:val="ClinCaseTitle"/>
          <w:lang w:val="pl-PL"/>
        </w:rPr>
        <w:t>p</w:t>
      </w:r>
      <w:r w:rsidRPr="0025064B">
        <w:rPr>
          <w:rStyle w:val="ClinCaseTitle"/>
          <w:lang w:val="pl-PL"/>
        </w:rPr>
        <w:t xml:space="preserve">. </w:t>
      </w:r>
      <w:r w:rsidR="002624F7">
        <w:rPr>
          <w:rStyle w:val="ClinCaseTitle"/>
          <w:lang w:val="pl-PL"/>
        </w:rPr>
        <w:t>Węgrom</w:t>
      </w:r>
      <w:r w:rsidRPr="0025064B">
        <w:rPr>
          <w:rStyle w:val="ClinCaseTitle"/>
          <w:lang w:val="pl-PL"/>
        </w:rPr>
        <w:t xml:space="preserve"> [</w:t>
      </w:r>
      <w:r w:rsidR="002624F7">
        <w:rPr>
          <w:rStyle w:val="ClinCaseTitle"/>
          <w:lang w:val="pl-PL"/>
        </w:rPr>
        <w:t>Wielka Izba</w:t>
      </w:r>
      <w:r w:rsidRPr="0025064B">
        <w:rPr>
          <w:rStyle w:val="ClinCaseTitle"/>
          <w:lang w:val="pl-PL"/>
        </w:rPr>
        <w:t>]</w:t>
      </w:r>
      <w:r w:rsidRPr="0025064B">
        <w:rPr>
          <w:rStyle w:val="ClinApplicationNumber"/>
          <w:lang w:val="pl-PL"/>
        </w:rPr>
        <w:t xml:space="preserve"> </w:t>
      </w:r>
      <w:r w:rsidR="002624F7">
        <w:rPr>
          <w:rStyle w:val="ClinApplicationNumber"/>
          <w:lang w:val="pl-PL"/>
        </w:rPr>
        <w:t>–</w:t>
      </w:r>
      <w:r w:rsidRPr="0025064B">
        <w:rPr>
          <w:rStyle w:val="ClinApplicationNumber"/>
          <w:lang w:val="pl-PL"/>
        </w:rPr>
        <w:t xml:space="preserve"> </w:t>
      </w:r>
      <w:r w:rsidR="002624F7">
        <w:rPr>
          <w:rStyle w:val="ClinApplicationNumber"/>
          <w:lang w:val="pl-PL"/>
        </w:rPr>
        <w:t xml:space="preserve">skarga nr </w:t>
      </w:r>
      <w:r w:rsidRPr="0025064B">
        <w:rPr>
          <w:rStyle w:val="ClinApplicationNumber"/>
          <w:lang w:val="pl-PL"/>
        </w:rPr>
        <w:t>53080/13</w:t>
      </w:r>
    </w:p>
    <w:p w:rsidR="00B702E7" w:rsidRPr="002624F7" w:rsidRDefault="002624F7">
      <w:pPr>
        <w:rPr>
          <w:lang w:val="pl-PL"/>
        </w:rPr>
      </w:pPr>
      <w:r w:rsidRPr="002624F7">
        <w:rPr>
          <w:rStyle w:val="ClinHudocDocumentTitle"/>
          <w:lang w:val="pl-PL"/>
        </w:rPr>
        <w:t xml:space="preserve">Wyrok z </w:t>
      </w:r>
      <w:r w:rsidR="00FA346D" w:rsidRPr="002624F7">
        <w:rPr>
          <w:rStyle w:val="ClinHudocDocumentTitle"/>
          <w:lang w:val="pl-PL"/>
        </w:rPr>
        <w:t>13.12.2016</w:t>
      </w:r>
      <w:r w:rsidR="00D95E6F">
        <w:rPr>
          <w:rStyle w:val="ClinHudocDocumentTitle"/>
          <w:lang w:val="pl-PL"/>
        </w:rPr>
        <w:t xml:space="preserve"> r.</w:t>
      </w:r>
      <w:r w:rsidRPr="002624F7">
        <w:rPr>
          <w:rStyle w:val="ClinSectionName"/>
          <w:lang w:val="pl-PL"/>
        </w:rPr>
        <w:t xml:space="preserve"> [Wielka Izba</w:t>
      </w:r>
      <w:r w:rsidR="00FA346D" w:rsidRPr="002624F7">
        <w:rPr>
          <w:rStyle w:val="ClinSectionName"/>
          <w:lang w:val="pl-PL"/>
        </w:rPr>
        <w:t>]</w:t>
      </w:r>
    </w:p>
    <w:p w:rsidR="00F504B5" w:rsidRDefault="00F504B5">
      <w:pPr>
        <w:pStyle w:val="ClinMainKeywordCode"/>
        <w:rPr>
          <w:lang w:val="pl-PL"/>
        </w:rPr>
      </w:pPr>
    </w:p>
    <w:p w:rsidR="00B702E7" w:rsidRPr="002624F7" w:rsidRDefault="00FA346D">
      <w:pPr>
        <w:pStyle w:val="ClinMainKeywordCode"/>
        <w:rPr>
          <w:lang w:val="pl-PL"/>
        </w:rPr>
      </w:pPr>
      <w:r w:rsidRPr="002624F7">
        <w:rPr>
          <w:lang w:val="pl-PL"/>
        </w:rPr>
        <w:t>Art</w:t>
      </w:r>
      <w:r w:rsidR="002624F7" w:rsidRPr="002624F7">
        <w:rPr>
          <w:lang w:val="pl-PL"/>
        </w:rPr>
        <w:t>.</w:t>
      </w:r>
      <w:r w:rsidRPr="002624F7">
        <w:rPr>
          <w:lang w:val="pl-PL"/>
        </w:rPr>
        <w:t xml:space="preserve"> 1 Proto</w:t>
      </w:r>
      <w:r w:rsidR="002624F7">
        <w:rPr>
          <w:lang w:val="pl-PL"/>
        </w:rPr>
        <w:t>kołu nr</w:t>
      </w:r>
      <w:r w:rsidRPr="002624F7">
        <w:rPr>
          <w:lang w:val="pl-PL"/>
        </w:rPr>
        <w:t xml:space="preserve"> 1</w:t>
      </w:r>
    </w:p>
    <w:p w:rsidR="002624F7" w:rsidRPr="00D95E6F" w:rsidRDefault="002624F7" w:rsidP="002624F7">
      <w:pPr>
        <w:pStyle w:val="ClinMainKeywordCode"/>
        <w:rPr>
          <w:lang w:val="pl-PL"/>
        </w:rPr>
      </w:pPr>
      <w:r w:rsidRPr="00D95E6F">
        <w:rPr>
          <w:lang w:val="pl-PL"/>
        </w:rPr>
        <w:t xml:space="preserve">Art. 1 </w:t>
      </w:r>
      <w:r w:rsidR="00D95E6F">
        <w:rPr>
          <w:lang w:val="pl-PL"/>
        </w:rPr>
        <w:t xml:space="preserve">pierwszy akapit </w:t>
      </w:r>
      <w:r w:rsidRPr="00D95E6F">
        <w:rPr>
          <w:lang w:val="pl-PL"/>
        </w:rPr>
        <w:t>Protokołu nr 1</w:t>
      </w:r>
    </w:p>
    <w:p w:rsidR="00B702E7" w:rsidRPr="00D95E6F" w:rsidRDefault="002624F7">
      <w:pPr>
        <w:pStyle w:val="ClinKeyword"/>
        <w:rPr>
          <w:lang w:val="pl-PL"/>
        </w:rPr>
      </w:pPr>
      <w:r w:rsidRPr="00D95E6F">
        <w:rPr>
          <w:lang w:val="pl-PL"/>
        </w:rPr>
        <w:t xml:space="preserve">Poszanowanie mienia </w:t>
      </w:r>
      <w:r w:rsidR="00D95E6F" w:rsidRPr="00D95E6F">
        <w:rPr>
          <w:lang w:val="pl-PL"/>
        </w:rPr>
        <w:t xml:space="preserve"> </w:t>
      </w:r>
    </w:p>
    <w:p w:rsidR="008705DE" w:rsidRPr="00D95E6F" w:rsidRDefault="008705DE" w:rsidP="0098622B">
      <w:pPr>
        <w:jc w:val="both"/>
        <w:rPr>
          <w:i/>
          <w:lang w:val="pl-PL"/>
        </w:rPr>
      </w:pPr>
      <w:r w:rsidRPr="008705DE">
        <w:rPr>
          <w:rStyle w:val="ClinHeadNote"/>
          <w:lang w:val="pl-PL"/>
        </w:rPr>
        <w:t xml:space="preserve">Utrata </w:t>
      </w:r>
      <w:r w:rsidR="00AD2DFE">
        <w:rPr>
          <w:rStyle w:val="ClinHeadNote"/>
          <w:lang w:val="pl-PL"/>
        </w:rPr>
        <w:t xml:space="preserve">świadczeń z tytułu niepełnosprawności </w:t>
      </w:r>
      <w:r w:rsidRPr="008705DE">
        <w:rPr>
          <w:rStyle w:val="ClinHeadNote"/>
          <w:lang w:val="pl-PL"/>
        </w:rPr>
        <w:t xml:space="preserve">z uwagi na </w:t>
      </w:r>
      <w:r w:rsidRPr="00A33D3D">
        <w:rPr>
          <w:rStyle w:val="ClinHeadNote"/>
          <w:lang w:val="pl-PL"/>
        </w:rPr>
        <w:t>nowowprowadzone kryteria kwalifikujące</w:t>
      </w:r>
      <w:r w:rsidR="00D95E6F" w:rsidRPr="00A33D3D">
        <w:rPr>
          <w:rStyle w:val="ClinHeadNote"/>
          <w:lang w:val="pl-PL"/>
        </w:rPr>
        <w:t xml:space="preserve">: </w:t>
      </w:r>
      <w:r w:rsidR="00D95E6F" w:rsidRPr="00A33D3D">
        <w:rPr>
          <w:rStyle w:val="ClinHeadNote"/>
          <w:i/>
          <w:lang w:val="pl-PL"/>
        </w:rPr>
        <w:t>naruszenie</w:t>
      </w:r>
    </w:p>
    <w:p w:rsidR="00C94001" w:rsidRPr="00C94001" w:rsidRDefault="00C94001">
      <w:pPr>
        <w:pStyle w:val="ClinContent"/>
        <w:rPr>
          <w:lang w:val="pl-PL"/>
        </w:rPr>
      </w:pPr>
      <w:r w:rsidRPr="00D95E6F">
        <w:rPr>
          <w:i/>
          <w:lang w:val="pl-PL"/>
        </w:rPr>
        <w:t xml:space="preserve">Fakty </w:t>
      </w:r>
      <w:r w:rsidRPr="00D95E6F">
        <w:rPr>
          <w:lang w:val="pl-PL"/>
        </w:rPr>
        <w:t xml:space="preserve">– </w:t>
      </w:r>
      <w:r w:rsidR="00D95E6F" w:rsidRPr="00D95E6F">
        <w:rPr>
          <w:lang w:val="pl-PL"/>
        </w:rPr>
        <w:t>W</w:t>
      </w:r>
      <w:r w:rsidRPr="00D95E6F">
        <w:rPr>
          <w:lang w:val="pl-PL"/>
        </w:rPr>
        <w:t xml:space="preserve"> 2001 r. skarżącej przyznano</w:t>
      </w:r>
      <w:r w:rsidRPr="00D95E6F">
        <w:rPr>
          <w:i/>
          <w:lang w:val="pl-PL"/>
        </w:rPr>
        <w:t xml:space="preserve"> </w:t>
      </w:r>
      <w:r w:rsidRPr="00D95E6F">
        <w:rPr>
          <w:lang w:val="pl-PL"/>
        </w:rPr>
        <w:t xml:space="preserve">rentę </w:t>
      </w:r>
      <w:r w:rsidR="00BB506F" w:rsidRPr="00D95E6F">
        <w:rPr>
          <w:lang w:val="pl-PL"/>
        </w:rPr>
        <w:t>z tytułu niepełnosprawności</w:t>
      </w:r>
      <w:r w:rsidRPr="00D95E6F">
        <w:rPr>
          <w:lang w:val="pl-PL"/>
        </w:rPr>
        <w:t xml:space="preserve">, którą odebrano w 2010 r. po dokonaniu ponownej oceny i obniżeniu stopnia jej niepełnosprawności z wykorzystaniem odmiennej metodologii. W kolejnych latach przeszła </w:t>
      </w:r>
      <w:r w:rsidR="00BC5B88">
        <w:rPr>
          <w:lang w:val="pl-PL"/>
        </w:rPr>
        <w:t>dodatkowe</w:t>
      </w:r>
      <w:r w:rsidR="00BC5B88" w:rsidRPr="00D95E6F">
        <w:rPr>
          <w:lang w:val="pl-PL"/>
        </w:rPr>
        <w:t xml:space="preserve"> </w:t>
      </w:r>
      <w:r w:rsidRPr="00D95E6F">
        <w:rPr>
          <w:lang w:val="pl-PL"/>
        </w:rPr>
        <w:t>badania i ostatecznie</w:t>
      </w:r>
      <w:r w:rsidR="0078385E" w:rsidRPr="00D95E6F">
        <w:rPr>
          <w:lang w:val="pl-PL"/>
        </w:rPr>
        <w:t xml:space="preserve"> ustalono</w:t>
      </w:r>
      <w:r w:rsidRPr="00D95E6F">
        <w:rPr>
          <w:lang w:val="pl-PL"/>
        </w:rPr>
        <w:t xml:space="preserve">, że spełnia </w:t>
      </w:r>
      <w:r w:rsidR="0078385E" w:rsidRPr="00D95E6F">
        <w:rPr>
          <w:lang w:val="pl-PL"/>
        </w:rPr>
        <w:t xml:space="preserve">wymagany </w:t>
      </w:r>
      <w:r w:rsidRPr="00D95E6F">
        <w:rPr>
          <w:lang w:val="pl-PL"/>
        </w:rPr>
        <w:t xml:space="preserve">poziom </w:t>
      </w:r>
      <w:r w:rsidR="0078385E" w:rsidRPr="00D95E6F">
        <w:rPr>
          <w:lang w:val="pl-PL"/>
        </w:rPr>
        <w:t>niepełnosprawności</w:t>
      </w:r>
      <w:r w:rsidRPr="00D95E6F">
        <w:rPr>
          <w:lang w:val="pl-PL"/>
        </w:rPr>
        <w:t>. Jednakże, nowe ustawodawstwo, które weszło w życie w 2012 r.</w:t>
      </w:r>
      <w:r w:rsidR="0082791D" w:rsidRPr="00D95E6F">
        <w:rPr>
          <w:lang w:val="pl-PL"/>
        </w:rPr>
        <w:t>,</w:t>
      </w:r>
      <w:r w:rsidRPr="00D95E6F">
        <w:rPr>
          <w:lang w:val="pl-PL"/>
        </w:rPr>
        <w:t xml:space="preserve"> wprowadziło dodatkowe </w:t>
      </w:r>
      <w:r w:rsidR="00BC5B88" w:rsidRPr="00D95E6F">
        <w:rPr>
          <w:lang w:val="pl-PL"/>
        </w:rPr>
        <w:t>kryteri</w:t>
      </w:r>
      <w:r w:rsidR="00BC5B88">
        <w:rPr>
          <w:lang w:val="pl-PL"/>
        </w:rPr>
        <w:t>a</w:t>
      </w:r>
      <w:r w:rsidR="00BC5B88" w:rsidRPr="00D95E6F">
        <w:rPr>
          <w:lang w:val="pl-PL"/>
        </w:rPr>
        <w:t xml:space="preserve"> </w:t>
      </w:r>
      <w:r w:rsidRPr="00D95E6F">
        <w:rPr>
          <w:lang w:val="pl-PL"/>
        </w:rPr>
        <w:t>kwalifikujące, któr</w:t>
      </w:r>
      <w:r w:rsidR="00BC5B88">
        <w:rPr>
          <w:lang w:val="pl-PL"/>
        </w:rPr>
        <w:t>ych</w:t>
      </w:r>
      <w:r w:rsidRPr="00D95E6F">
        <w:rPr>
          <w:lang w:val="pl-PL"/>
        </w:rPr>
        <w:t xml:space="preserve"> skarżąca nie spełniała, a które dotyczył</w:t>
      </w:r>
      <w:r w:rsidR="00843120">
        <w:rPr>
          <w:lang w:val="pl-PL"/>
        </w:rPr>
        <w:t>y</w:t>
      </w:r>
      <w:r w:rsidRPr="00D95E6F">
        <w:rPr>
          <w:lang w:val="pl-PL"/>
        </w:rPr>
        <w:t xml:space="preserve"> </w:t>
      </w:r>
      <w:r w:rsidR="0078385E" w:rsidRPr="00D95E6F">
        <w:rPr>
          <w:lang w:val="pl-PL"/>
        </w:rPr>
        <w:t xml:space="preserve">długości objęcia </w:t>
      </w:r>
      <w:r w:rsidR="008E70BA" w:rsidRPr="00D95E6F">
        <w:rPr>
          <w:lang w:val="pl-PL"/>
        </w:rPr>
        <w:t>za</w:t>
      </w:r>
      <w:r w:rsidR="0078385E" w:rsidRPr="00D95E6F">
        <w:rPr>
          <w:lang w:val="pl-PL"/>
        </w:rPr>
        <w:t>bezpieczeniem społecznym</w:t>
      </w:r>
      <w:r w:rsidRPr="00D95E6F">
        <w:rPr>
          <w:lang w:val="pl-PL"/>
        </w:rPr>
        <w:t xml:space="preserve">. </w:t>
      </w:r>
      <w:r w:rsidR="008E70BA" w:rsidRPr="00D95E6F">
        <w:rPr>
          <w:lang w:val="pl-PL"/>
        </w:rPr>
        <w:t xml:space="preserve">W rezultacie, choć stopień jej niepełnosprawności w innym razie uprawniałby ją do świadczenia z tytułu niepełnosprawności w ramach nowego systemu, jej wniosek został oddalony. Skarżąca zarzuciła, że utraciła środki utrzymania, zagwarantowane jedynie przez </w:t>
      </w:r>
      <w:r w:rsidR="0078385E" w:rsidRPr="00D95E6F">
        <w:rPr>
          <w:lang w:val="pl-PL"/>
        </w:rPr>
        <w:t xml:space="preserve">świadczenie </w:t>
      </w:r>
      <w:r w:rsidR="008E70BA" w:rsidRPr="00D95E6F">
        <w:rPr>
          <w:lang w:val="pl-PL"/>
        </w:rPr>
        <w:t xml:space="preserve">z tytułu niepełnosprawności w rezultacie zmian legislacyjnych zastosowanych </w:t>
      </w:r>
      <w:r w:rsidR="0098622B" w:rsidRPr="00D95E6F">
        <w:rPr>
          <w:lang w:val="pl-PL"/>
        </w:rPr>
        <w:t xml:space="preserve">przez władze </w:t>
      </w:r>
      <w:r w:rsidR="0078385E" w:rsidRPr="00D95E6F">
        <w:rPr>
          <w:lang w:val="pl-PL"/>
        </w:rPr>
        <w:t>bez poszanowania zasad słuszności</w:t>
      </w:r>
      <w:r w:rsidR="008E70BA" w:rsidRPr="00D95E6F">
        <w:rPr>
          <w:lang w:val="pl-PL"/>
        </w:rPr>
        <w:t>, pomimo że jej zdrowie się nie poprawiło.</w:t>
      </w:r>
    </w:p>
    <w:p w:rsidR="008E70BA" w:rsidRPr="008E70BA" w:rsidRDefault="008E70BA">
      <w:pPr>
        <w:pStyle w:val="ClinContent"/>
        <w:rPr>
          <w:lang w:val="pl-PL"/>
        </w:rPr>
      </w:pPr>
      <w:r>
        <w:rPr>
          <w:lang w:val="pl-PL"/>
        </w:rPr>
        <w:t xml:space="preserve">Wyrokiem z </w:t>
      </w:r>
      <w:r w:rsidR="0059267E">
        <w:rPr>
          <w:lang w:val="pl-PL"/>
        </w:rPr>
        <w:t xml:space="preserve">dnia </w:t>
      </w:r>
      <w:r>
        <w:rPr>
          <w:lang w:val="pl-PL"/>
        </w:rPr>
        <w:t>10 lutego 2015 r. (z</w:t>
      </w:r>
      <w:r w:rsidRPr="008E70BA">
        <w:rPr>
          <w:lang w:val="pl-PL"/>
        </w:rPr>
        <w:t>o</w:t>
      </w:r>
      <w:r>
        <w:rPr>
          <w:lang w:val="pl-PL"/>
        </w:rPr>
        <w:t>b</w:t>
      </w:r>
      <w:r w:rsidRPr="008E70BA">
        <w:rPr>
          <w:lang w:val="pl-PL"/>
        </w:rPr>
        <w:t xml:space="preserve">acz </w:t>
      </w:r>
      <w:hyperlink r:id="rId8" w:history="1">
        <w:r w:rsidRPr="008E70BA">
          <w:rPr>
            <w:rStyle w:val="Hipercze"/>
            <w:lang w:val="pl-PL"/>
          </w:rPr>
          <w:t>Not</w:t>
        </w:r>
        <w:r>
          <w:rPr>
            <w:rStyle w:val="Hipercze"/>
            <w:lang w:val="pl-PL"/>
          </w:rPr>
          <w:t>a informacyjna nr</w:t>
        </w:r>
        <w:r w:rsidRPr="008E70BA">
          <w:rPr>
            <w:rStyle w:val="Hipercze"/>
            <w:lang w:val="pl-PL"/>
          </w:rPr>
          <w:t> 182</w:t>
        </w:r>
      </w:hyperlink>
      <w:r w:rsidRPr="008E70BA">
        <w:rPr>
          <w:lang w:val="pl-PL"/>
        </w:rPr>
        <w:t>)</w:t>
      </w:r>
      <w:r>
        <w:rPr>
          <w:lang w:val="pl-PL"/>
        </w:rPr>
        <w:t xml:space="preserve"> Izba Trybunału orzekła czterema głosami do trzech, że doszło do naruszenia art. 1 Protokołu nr 1. W szczególności uznała, że skarżącą całkowicie pozbawiono </w:t>
      </w:r>
      <w:r w:rsidR="00BB506F">
        <w:rPr>
          <w:lang w:val="pl-PL"/>
        </w:rPr>
        <w:t>świadczeń</w:t>
      </w:r>
      <w:r>
        <w:rPr>
          <w:lang w:val="pl-PL"/>
        </w:rPr>
        <w:t xml:space="preserve"> z tytułu niepełnosprawności z uwagi na drastyczną i nieprzewidywalną zmianę w warunkach </w:t>
      </w:r>
      <w:r w:rsidR="00D95E6F">
        <w:rPr>
          <w:lang w:val="pl-PL"/>
        </w:rPr>
        <w:t xml:space="preserve">jej </w:t>
      </w:r>
      <w:r>
        <w:rPr>
          <w:lang w:val="pl-PL"/>
        </w:rPr>
        <w:t xml:space="preserve">dostępu do </w:t>
      </w:r>
      <w:r w:rsidR="00AD2DFE">
        <w:rPr>
          <w:lang w:val="pl-PL"/>
        </w:rPr>
        <w:t>świadczeń z tytułu niepełnosprawności</w:t>
      </w:r>
      <w:r>
        <w:rPr>
          <w:lang w:val="pl-PL"/>
        </w:rPr>
        <w:t xml:space="preserve">. </w:t>
      </w:r>
    </w:p>
    <w:p w:rsidR="008E70BA" w:rsidRPr="008E70BA" w:rsidRDefault="008E70BA">
      <w:pPr>
        <w:pStyle w:val="ClinContent"/>
        <w:rPr>
          <w:lang w:val="pl-PL"/>
        </w:rPr>
      </w:pPr>
      <w:r w:rsidRPr="008E70BA">
        <w:rPr>
          <w:lang w:val="pl-PL"/>
        </w:rPr>
        <w:t>W dniu 1 czerwca 2015 r. sprawa została przekazana na wniosek rządu do Wielkie</w:t>
      </w:r>
      <w:r>
        <w:rPr>
          <w:lang w:val="pl-PL"/>
        </w:rPr>
        <w:t>j Izby.</w:t>
      </w:r>
    </w:p>
    <w:p w:rsidR="008E70BA" w:rsidRPr="00D95E6F" w:rsidRDefault="008E70BA">
      <w:pPr>
        <w:pStyle w:val="ClinContent"/>
        <w:rPr>
          <w:i/>
          <w:lang w:val="pl-PL"/>
        </w:rPr>
      </w:pPr>
      <w:r w:rsidRPr="00D95E6F">
        <w:rPr>
          <w:i/>
          <w:lang w:val="pl-PL"/>
        </w:rPr>
        <w:t xml:space="preserve">Prawo – </w:t>
      </w:r>
      <w:r w:rsidRPr="00D95E6F">
        <w:rPr>
          <w:lang w:val="pl-PL"/>
        </w:rPr>
        <w:t>art. 1 Protokołu nr 1</w:t>
      </w:r>
    </w:p>
    <w:p w:rsidR="008E70BA" w:rsidRPr="00D95E6F" w:rsidRDefault="008E70BA">
      <w:pPr>
        <w:pStyle w:val="ClinContent"/>
        <w:rPr>
          <w:lang w:val="pl-PL"/>
        </w:rPr>
      </w:pPr>
      <w:r w:rsidRPr="008E70BA">
        <w:rPr>
          <w:lang w:val="pl-PL"/>
        </w:rPr>
        <w:t>(a)  </w:t>
      </w:r>
      <w:r w:rsidRPr="008E70BA">
        <w:rPr>
          <w:i/>
          <w:lang w:val="pl-PL"/>
        </w:rPr>
        <w:t>Zastosowalność</w:t>
      </w:r>
      <w:r w:rsidRPr="008E70BA">
        <w:rPr>
          <w:lang w:val="pl-PL"/>
        </w:rPr>
        <w:t xml:space="preserve"> </w:t>
      </w:r>
      <w:r w:rsidR="0098622B">
        <w:rPr>
          <w:lang w:val="pl-PL"/>
        </w:rPr>
        <w:t>–</w:t>
      </w:r>
      <w:r w:rsidRPr="008E70BA">
        <w:rPr>
          <w:lang w:val="pl-PL"/>
        </w:rPr>
        <w:t xml:space="preserve"> </w:t>
      </w:r>
      <w:r w:rsidR="00D95E6F" w:rsidRPr="008E70BA">
        <w:rPr>
          <w:lang w:val="pl-PL"/>
        </w:rPr>
        <w:t>W</w:t>
      </w:r>
      <w:r w:rsidR="0098622B">
        <w:rPr>
          <w:lang w:val="pl-PL"/>
        </w:rPr>
        <w:t xml:space="preserve"> </w:t>
      </w:r>
      <w:r w:rsidRPr="008E70BA">
        <w:rPr>
          <w:lang w:val="pl-PL"/>
        </w:rPr>
        <w:t>pewnych okolicznościach uprawnione oczekiwanie otrzymania</w:t>
      </w:r>
      <w:r>
        <w:rPr>
          <w:lang w:val="pl-PL"/>
        </w:rPr>
        <w:t xml:space="preserve"> </w:t>
      </w:r>
      <w:r w:rsidRPr="00D95E6F">
        <w:rPr>
          <w:lang w:val="pl-PL"/>
        </w:rPr>
        <w:t>aktywu</w:t>
      </w:r>
      <w:r w:rsidRPr="008E70BA">
        <w:rPr>
          <w:lang w:val="pl-PL"/>
        </w:rPr>
        <w:t xml:space="preserve"> </w:t>
      </w:r>
      <w:r>
        <w:rPr>
          <w:lang w:val="pl-PL"/>
        </w:rPr>
        <w:t xml:space="preserve">może korzystać z ochrony na mocy art. 1 Protokołu nr 1. Uprawnione oczekiwanie musi mieć </w:t>
      </w:r>
      <w:r w:rsidR="009D1AE3" w:rsidRPr="00D95E6F">
        <w:rPr>
          <w:lang w:val="pl-PL"/>
        </w:rPr>
        <w:t>charakter</w:t>
      </w:r>
      <w:r>
        <w:rPr>
          <w:lang w:val="pl-PL"/>
        </w:rPr>
        <w:t xml:space="preserve"> bardziej </w:t>
      </w:r>
      <w:r w:rsidR="00AD2DFE">
        <w:rPr>
          <w:lang w:val="pl-PL"/>
        </w:rPr>
        <w:t>skonkretyzowany</w:t>
      </w:r>
      <w:r>
        <w:rPr>
          <w:lang w:val="pl-PL"/>
        </w:rPr>
        <w:t xml:space="preserve"> niż zaledwie nadzieja </w:t>
      </w:r>
      <w:r w:rsidR="009D1AE3">
        <w:rPr>
          <w:lang w:val="pl-PL"/>
        </w:rPr>
        <w:t xml:space="preserve">i opierać się na przepisie prawa lub akcie prawnym takim jak postanowienie sądu. </w:t>
      </w:r>
      <w:r w:rsidR="009D1AE3">
        <w:rPr>
          <w:lang w:val="pl-PL"/>
        </w:rPr>
        <w:lastRenderedPageBreak/>
        <w:t xml:space="preserve">Jednocześnie, interes majątkowy uznany na podstawie prawa krajowego – nawet jeśli może podlegać odwołaniu w pewnych okolicznościach – może </w:t>
      </w:r>
      <w:r w:rsidR="009D1AE3" w:rsidRPr="00D95E6F">
        <w:rPr>
          <w:lang w:val="pl-PL"/>
        </w:rPr>
        <w:t xml:space="preserve">stanowić mienie. </w:t>
      </w:r>
    </w:p>
    <w:p w:rsidR="009D1AE3" w:rsidRPr="009D1AE3" w:rsidRDefault="009D1AE3">
      <w:pPr>
        <w:pStyle w:val="ClinContent"/>
        <w:rPr>
          <w:lang w:val="pl-PL"/>
        </w:rPr>
      </w:pPr>
      <w:r w:rsidRPr="009D1AE3">
        <w:rPr>
          <w:lang w:val="pl-PL"/>
        </w:rPr>
        <w:t>Zmiany w ustawodawstwie z zakresu zabezpieczenia społecznego mogą b</w:t>
      </w:r>
      <w:r>
        <w:rPr>
          <w:lang w:val="pl-PL"/>
        </w:rPr>
        <w:t xml:space="preserve">yć przyjmowane w odpowiedzi na zmiany społeczne i zmieniające się poglądy co do kategorii osób, które potrzebują pomocy społecznej. Gdy krajowe wymogi prawne przyznania jakiejś szczególnej formy zasiłku lub renty zmieniły się i gdy osoba zainteresowana nie spełnia już wymogów z uwagi na ich zmianę, w celu sprawdzenia istnienia wystarczająco ustalonego materialnego interesu majątkowego na gruncie prawa krajowego </w:t>
      </w:r>
      <w:r w:rsidR="00D95E6F">
        <w:rPr>
          <w:lang w:val="pl-PL"/>
        </w:rPr>
        <w:t>wymagane</w:t>
      </w:r>
      <w:r>
        <w:rPr>
          <w:lang w:val="pl-PL"/>
        </w:rPr>
        <w:t xml:space="preserve"> może być staranne rozpatrzenie indywidualnych okoliczności sprawy</w:t>
      </w:r>
      <w:r w:rsidR="00D95E6F">
        <w:rPr>
          <w:lang w:val="pl-PL"/>
        </w:rPr>
        <w:t>,</w:t>
      </w:r>
      <w:r>
        <w:rPr>
          <w:lang w:val="pl-PL"/>
        </w:rPr>
        <w:t xml:space="preserve"> </w:t>
      </w:r>
      <w:r w:rsidRPr="00D95E6F">
        <w:rPr>
          <w:lang w:val="pl-PL"/>
        </w:rPr>
        <w:t>w szczególności natury zmian</w:t>
      </w:r>
      <w:r>
        <w:rPr>
          <w:lang w:val="pl-PL"/>
        </w:rPr>
        <w:t xml:space="preserve">y w tym wymogu. </w:t>
      </w:r>
    </w:p>
    <w:p w:rsidR="009D1AE3" w:rsidRPr="009D1AE3" w:rsidRDefault="009D1AE3">
      <w:pPr>
        <w:pStyle w:val="ClinContent"/>
        <w:rPr>
          <w:lang w:val="pl-PL"/>
        </w:rPr>
      </w:pPr>
      <w:r w:rsidRPr="009D1AE3">
        <w:rPr>
          <w:lang w:val="pl-PL"/>
        </w:rPr>
        <w:t xml:space="preserve">Skarżąca spełniała wszystkie wymogi, by </w:t>
      </w:r>
      <w:r w:rsidR="00D95E6F">
        <w:rPr>
          <w:lang w:val="pl-PL"/>
        </w:rPr>
        <w:t xml:space="preserve">kwalifikować się </w:t>
      </w:r>
      <w:r w:rsidRPr="009D1AE3">
        <w:rPr>
          <w:lang w:val="pl-PL"/>
        </w:rPr>
        <w:t xml:space="preserve">do otrzymywania renty </w:t>
      </w:r>
      <w:r w:rsidR="00D95E6F">
        <w:rPr>
          <w:lang w:val="pl-PL"/>
        </w:rPr>
        <w:t xml:space="preserve">z tytułu niepełnosprawności </w:t>
      </w:r>
      <w:r w:rsidRPr="009D1AE3">
        <w:rPr>
          <w:lang w:val="pl-PL"/>
        </w:rPr>
        <w:t xml:space="preserve">z mocy prawa przez prawie dziesięć lat. </w:t>
      </w:r>
      <w:r>
        <w:rPr>
          <w:lang w:val="pl-PL"/>
        </w:rPr>
        <w:t xml:space="preserve">Decyzja o przyznaniu jej renty </w:t>
      </w:r>
      <w:r w:rsidR="00D95E6F">
        <w:rPr>
          <w:lang w:val="pl-PL"/>
        </w:rPr>
        <w:t xml:space="preserve">z tytułu niepełnosprawności </w:t>
      </w:r>
      <w:r>
        <w:rPr>
          <w:lang w:val="pl-PL"/>
        </w:rPr>
        <w:t>zgodnie z postanowieniami właściwe</w:t>
      </w:r>
      <w:r w:rsidR="00D95E6F">
        <w:rPr>
          <w:lang w:val="pl-PL"/>
        </w:rPr>
        <w:t>j ustawy</w:t>
      </w:r>
      <w:r w:rsidR="00841167">
        <w:rPr>
          <w:lang w:val="pl-PL"/>
        </w:rPr>
        <w:t xml:space="preserve">, a która stanowiła podstawę jej pierwotnego uprawnienia, może zatem </w:t>
      </w:r>
      <w:r w:rsidR="00841167" w:rsidRPr="00D95E6F">
        <w:rPr>
          <w:lang w:val="pl-PL"/>
        </w:rPr>
        <w:t>być uważana za stanowiącą istniejące mienie. Przez cały ten ok</w:t>
      </w:r>
      <w:r w:rsidR="00D95E6F" w:rsidRPr="00D95E6F">
        <w:rPr>
          <w:lang w:val="pl-PL"/>
        </w:rPr>
        <w:t>res mogła ona, na podstawie tej ustawy</w:t>
      </w:r>
      <w:r w:rsidR="00841167" w:rsidRPr="00D95E6F">
        <w:rPr>
          <w:lang w:val="pl-PL"/>
        </w:rPr>
        <w:t xml:space="preserve">, żywić pewne uprawnione oczekiwanie, że w dalszym ciągu będzie otrzymywać </w:t>
      </w:r>
      <w:r w:rsidR="00AD2DFE" w:rsidRPr="00D95E6F">
        <w:rPr>
          <w:lang w:val="pl-PL"/>
        </w:rPr>
        <w:t>świadczenia</w:t>
      </w:r>
      <w:r w:rsidR="00841167" w:rsidRPr="00D95E6F">
        <w:rPr>
          <w:lang w:val="pl-PL"/>
        </w:rPr>
        <w:t xml:space="preserve"> z tytułu niepełnosprawności, jeśli jej niepełnosprawność będzie się utrzymywać na wymaganym poziomie.</w:t>
      </w:r>
      <w:r w:rsidR="00841167">
        <w:rPr>
          <w:lang w:val="pl-PL"/>
        </w:rPr>
        <w:t xml:space="preserve">  </w:t>
      </w:r>
    </w:p>
    <w:p w:rsidR="00841167" w:rsidRPr="00841167" w:rsidRDefault="00841167">
      <w:pPr>
        <w:pStyle w:val="ClinContent"/>
        <w:rPr>
          <w:lang w:val="pl-PL"/>
        </w:rPr>
      </w:pPr>
      <w:r w:rsidRPr="00841167">
        <w:rPr>
          <w:lang w:val="pl-PL"/>
        </w:rPr>
        <w:t>Do rozstrzygnięcia była kwestia, czy w czasie wejścia w życie</w:t>
      </w:r>
      <w:r>
        <w:rPr>
          <w:lang w:val="pl-PL"/>
        </w:rPr>
        <w:t xml:space="preserve"> nowego ustawodawstwa w 20</w:t>
      </w:r>
      <w:r w:rsidR="0098622B">
        <w:rPr>
          <w:lang w:val="pl-PL"/>
        </w:rPr>
        <w:t>12 r.</w:t>
      </w:r>
      <w:r>
        <w:rPr>
          <w:lang w:val="pl-PL"/>
        </w:rPr>
        <w:t xml:space="preserve"> skarżąca w dalszym ciągu miała uprawnione oczekiwanie otrzymywania </w:t>
      </w:r>
      <w:r w:rsidR="00AD2DFE">
        <w:rPr>
          <w:lang w:val="pl-PL"/>
        </w:rPr>
        <w:t>świadczenia</w:t>
      </w:r>
      <w:r>
        <w:rPr>
          <w:lang w:val="pl-PL"/>
        </w:rPr>
        <w:t xml:space="preserve"> z tytułu niepełnosprawności. Zmiana w prawie faktycznie wprowadziła względem pewnej kategorii osób ubezpieczonych, w tym skarżącej, warunek, który nie był przewidywalny w czasie właściwego </w:t>
      </w:r>
      <w:r w:rsidRPr="00D95E6F">
        <w:rPr>
          <w:lang w:val="pl-PL"/>
        </w:rPr>
        <w:t>potencjalnego</w:t>
      </w:r>
      <w:r>
        <w:rPr>
          <w:lang w:val="pl-PL"/>
        </w:rPr>
        <w:t xml:space="preserve"> okresu składkowego, a którego prawdopodobnie nie mogły </w:t>
      </w:r>
      <w:r w:rsidR="00D95E6F">
        <w:rPr>
          <w:lang w:val="pl-PL"/>
        </w:rPr>
        <w:t xml:space="preserve">one </w:t>
      </w:r>
      <w:r>
        <w:rPr>
          <w:lang w:val="pl-PL"/>
        </w:rPr>
        <w:t xml:space="preserve">spełnić po wejściu w życie nowego ustawodawstwa. </w:t>
      </w:r>
      <w:r w:rsidR="00660316">
        <w:rPr>
          <w:lang w:val="pl-PL"/>
        </w:rPr>
        <w:t xml:space="preserve">W okresie między zakończeniem wypłacania renty </w:t>
      </w:r>
      <w:r w:rsidR="00D95E6F">
        <w:rPr>
          <w:lang w:val="pl-PL"/>
        </w:rPr>
        <w:t xml:space="preserve">z tytułu niepełnosprawności </w:t>
      </w:r>
      <w:r w:rsidR="00660316">
        <w:rPr>
          <w:lang w:val="pl-PL"/>
        </w:rPr>
        <w:t xml:space="preserve">w 2010 r. a wprowadzeniem przez ustawodawcę nowego wymogu składkowego w 2012 r., skarżąca nie tylko w dalszym ciągu pozostawała w systemie zabezpieczenia społecznego, ale także w dalszym ciągu wypełniała właściwe wymogi dotyczące okresu </w:t>
      </w:r>
      <w:r w:rsidR="00F26F63">
        <w:rPr>
          <w:lang w:val="pl-PL"/>
        </w:rPr>
        <w:t>zatrudnienia</w:t>
      </w:r>
      <w:r w:rsidR="00660316">
        <w:rPr>
          <w:lang w:val="pl-PL"/>
        </w:rPr>
        <w:t xml:space="preserve"> dla </w:t>
      </w:r>
      <w:r w:rsidR="00AD2DFE">
        <w:rPr>
          <w:lang w:val="pl-PL"/>
        </w:rPr>
        <w:t>świadczeń z tytułu niepełnosprawności</w:t>
      </w:r>
      <w:r w:rsidR="00660316">
        <w:rPr>
          <w:lang w:val="pl-PL"/>
        </w:rPr>
        <w:t>. W tym względzie, chociaż nie otrzymyw</w:t>
      </w:r>
      <w:r w:rsidR="00AD2DFE">
        <w:rPr>
          <w:lang w:val="pl-PL"/>
        </w:rPr>
        <w:t>ała</w:t>
      </w:r>
      <w:r w:rsidR="00660316">
        <w:rPr>
          <w:lang w:val="pl-PL"/>
        </w:rPr>
        <w:t xml:space="preserve"> renty, w dalszym ciągu żywiła uprawnione oczekiwanie objęte pojęciem „mienia” zawartego w art. 1 Protokołu nr 1. </w:t>
      </w:r>
    </w:p>
    <w:p w:rsidR="00660316" w:rsidRPr="00CB500E" w:rsidRDefault="00660316">
      <w:pPr>
        <w:pStyle w:val="ClinContent"/>
        <w:rPr>
          <w:lang w:val="pl-PL"/>
        </w:rPr>
      </w:pPr>
      <w:r w:rsidRPr="00A5577B">
        <w:rPr>
          <w:lang w:val="pl-PL"/>
        </w:rPr>
        <w:t>Prawo skarżącej do pobierania korzyści z przedmiotowego system</w:t>
      </w:r>
      <w:r w:rsidR="0085189F">
        <w:rPr>
          <w:lang w:val="pl-PL"/>
        </w:rPr>
        <w:t>u</w:t>
      </w:r>
      <w:r w:rsidRPr="00A5577B">
        <w:rPr>
          <w:lang w:val="pl-PL"/>
        </w:rPr>
        <w:t xml:space="preserve"> zabezpieczenia społecznego </w:t>
      </w:r>
      <w:r w:rsidR="00A5577B" w:rsidRPr="00A5577B">
        <w:rPr>
          <w:lang w:val="pl-PL"/>
        </w:rPr>
        <w:t>zostało</w:t>
      </w:r>
      <w:r w:rsidRPr="00A5577B">
        <w:rPr>
          <w:lang w:val="pl-PL"/>
        </w:rPr>
        <w:t xml:space="preserve"> naruszone w sposób, który skutkował utratą jej praw rentowych. </w:t>
      </w:r>
      <w:r w:rsidRPr="00CB500E">
        <w:rPr>
          <w:lang w:val="pl-PL"/>
        </w:rPr>
        <w:t xml:space="preserve">A zatem art. 1 Protokołu nr 1 miał zastosowanie. </w:t>
      </w:r>
    </w:p>
    <w:p w:rsidR="00660316" w:rsidRPr="00660316" w:rsidRDefault="00660316">
      <w:pPr>
        <w:pStyle w:val="ClinContent"/>
        <w:rPr>
          <w:lang w:val="pl-PL"/>
        </w:rPr>
      </w:pPr>
      <w:r w:rsidRPr="00660316">
        <w:rPr>
          <w:lang w:val="pl-PL"/>
        </w:rPr>
        <w:t xml:space="preserve">(b) </w:t>
      </w:r>
      <w:r w:rsidRPr="00660316">
        <w:rPr>
          <w:i/>
          <w:lang w:val="pl-PL"/>
        </w:rPr>
        <w:t xml:space="preserve">Zgodność z art. 1 Protokołu nr 1 </w:t>
      </w:r>
      <w:r>
        <w:rPr>
          <w:lang w:val="pl-PL"/>
        </w:rPr>
        <w:t xml:space="preserve">– Trybunał stwierdził, że zaskarżona ingerencja była zgodna z wymogami zgodności z prawem i miała na celu </w:t>
      </w:r>
      <w:r w:rsidR="00C52EFD">
        <w:rPr>
          <w:lang w:val="pl-PL"/>
        </w:rPr>
        <w:t xml:space="preserve">realizację interesu społecznego związanego z ochroną środków publicznych poprzez zracjonalizowanie </w:t>
      </w:r>
      <w:r w:rsidR="00AD2DFE">
        <w:rPr>
          <w:lang w:val="pl-PL"/>
        </w:rPr>
        <w:t>świadczeń</w:t>
      </w:r>
      <w:r w:rsidR="00C52EFD">
        <w:rPr>
          <w:lang w:val="pl-PL"/>
        </w:rPr>
        <w:t xml:space="preserve"> z zabezpieczenia społecznego związanych z niepełnosprawnością. Art. 1 Protokołu nr 1 wymaga, by wszelka ingerencja była w sposób rozsądny proporcjonalna do celu, który ma realizować. Nie zostanie osiągnięta wymagana słuszna równowaga, jeśli osoba zainteresowana ponosiłaby indywidualny i nadmierny ciężar. Wobec skarżącej zastosowano całkowite pozbawienie uprawnienia, nie zaś zmniejszenie go w sposób współmierny. Nie posiadała żadnego innego istotnego dochodu, z którego mogłaby się utrzymać, napotykała zaś trudności w prowadzeniu działalności zarobkowej i należała do wrażliwej grupy osób niepełnosprawnych. </w:t>
      </w:r>
    </w:p>
    <w:p w:rsidR="00C52EFD" w:rsidRPr="00C52EFD" w:rsidRDefault="00C52EFD">
      <w:pPr>
        <w:pStyle w:val="ClinContent"/>
        <w:rPr>
          <w:lang w:val="pl-PL"/>
        </w:rPr>
      </w:pPr>
      <w:r w:rsidRPr="00C52EFD">
        <w:rPr>
          <w:lang w:val="pl-PL"/>
        </w:rPr>
        <w:t xml:space="preserve">Zaskarżony środek, choć miał na celu ochronę środków publicznych poprzez </w:t>
      </w:r>
      <w:r>
        <w:rPr>
          <w:lang w:val="pl-PL"/>
        </w:rPr>
        <w:t xml:space="preserve">przegląd i racjonalizację systemu </w:t>
      </w:r>
      <w:r w:rsidR="00AD2DFE">
        <w:rPr>
          <w:lang w:val="pl-PL"/>
        </w:rPr>
        <w:t>świadczeń</w:t>
      </w:r>
      <w:r>
        <w:rPr>
          <w:lang w:val="pl-PL"/>
        </w:rPr>
        <w:t xml:space="preserve"> z tytułu niepełnosprawności, oparty był na ustawodawstwie, które w danych okolicznościach nie zapewniło słusznej równowagi między wchodzącymi w grę interesami. T</w:t>
      </w:r>
      <w:r w:rsidR="00A5577B">
        <w:rPr>
          <w:lang w:val="pl-PL"/>
        </w:rPr>
        <w:t>ego typu</w:t>
      </w:r>
      <w:r>
        <w:rPr>
          <w:lang w:val="pl-PL"/>
        </w:rPr>
        <w:t xml:space="preserve"> względy nie mogą uzasadniać stanowienia prawa z mocą wsteczną i bez rozwiązań o charakterze przejściowym odpowiadających na szczególną sytuację, </w:t>
      </w:r>
      <w:r w:rsidR="00517952">
        <w:rPr>
          <w:lang w:val="pl-PL"/>
        </w:rPr>
        <w:t>pociągając za sobą konsekwencję</w:t>
      </w:r>
      <w:r w:rsidR="0045245F">
        <w:rPr>
          <w:lang w:val="pl-PL"/>
        </w:rPr>
        <w:t xml:space="preserve"> – jak to </w:t>
      </w:r>
      <w:r w:rsidR="0045245F">
        <w:rPr>
          <w:lang w:val="pl-PL"/>
        </w:rPr>
        <w:lastRenderedPageBreak/>
        <w:t xml:space="preserve">miało miejsce – w postaci pozbawienia skarżącej jej uprawnionego oczekiwania, że będzie otrzymywać </w:t>
      </w:r>
      <w:r w:rsidR="00AD2DFE">
        <w:rPr>
          <w:lang w:val="pl-PL"/>
        </w:rPr>
        <w:t xml:space="preserve">świadczenia </w:t>
      </w:r>
      <w:r w:rsidR="0045245F">
        <w:rPr>
          <w:lang w:val="pl-PL"/>
        </w:rPr>
        <w:t xml:space="preserve">z tytułu niepełnosprawności. Taka fundamentalna ingerencja w prawa skarżącej była niezgodna z zachowaniem słusznej równowagi między wchodzącymi w grę interesami. Nie </w:t>
      </w:r>
      <w:r w:rsidR="00A5577B">
        <w:rPr>
          <w:lang w:val="pl-PL"/>
        </w:rPr>
        <w:t>zachodziła rozsądna proporcjonalność</w:t>
      </w:r>
      <w:r w:rsidR="0045245F">
        <w:rPr>
          <w:lang w:val="pl-PL"/>
        </w:rPr>
        <w:t xml:space="preserve"> między celem, do którego dążono, a środkami, które zastosowano. Pomimo marginesu oceny przysługującego Państwu na skarżącą nałożono nadmierny indywidualny ciężar. </w:t>
      </w:r>
    </w:p>
    <w:p w:rsidR="0045245F" w:rsidRPr="0045245F" w:rsidRDefault="00FC387A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45245F" w:rsidRPr="0045245F">
        <w:rPr>
          <w:lang w:val="pl-PL"/>
        </w:rPr>
        <w:t>: naruszenie (dziewięcioma głos</w:t>
      </w:r>
      <w:r w:rsidR="00312C94">
        <w:rPr>
          <w:lang w:val="pl-PL"/>
        </w:rPr>
        <w:t>ami</w:t>
      </w:r>
      <w:r w:rsidR="0045245F" w:rsidRPr="0045245F">
        <w:rPr>
          <w:lang w:val="pl-PL"/>
        </w:rPr>
        <w:t xml:space="preserve"> do ośmiu)</w:t>
      </w:r>
    </w:p>
    <w:p w:rsidR="00B702E7" w:rsidRPr="0045245F" w:rsidRDefault="00FA346D">
      <w:pPr>
        <w:pStyle w:val="ClinContent"/>
        <w:rPr>
          <w:lang w:val="pl-PL"/>
        </w:rPr>
      </w:pPr>
      <w:r w:rsidRPr="0045245F">
        <w:rPr>
          <w:lang w:val="pl-PL"/>
        </w:rPr>
        <w:t>Art</w:t>
      </w:r>
      <w:r w:rsidR="0045245F" w:rsidRPr="0045245F">
        <w:rPr>
          <w:lang w:val="pl-PL"/>
        </w:rPr>
        <w:t>.</w:t>
      </w:r>
      <w:r w:rsidRPr="0045245F">
        <w:rPr>
          <w:lang w:val="pl-PL"/>
        </w:rPr>
        <w:t xml:space="preserve"> 41: 5</w:t>
      </w:r>
      <w:r w:rsidR="0045245F" w:rsidRPr="0045245F">
        <w:rPr>
          <w:lang w:val="pl-PL"/>
        </w:rPr>
        <w:t>.</w:t>
      </w:r>
      <w:r w:rsidRPr="0045245F">
        <w:rPr>
          <w:lang w:val="pl-PL"/>
        </w:rPr>
        <w:t xml:space="preserve">000 </w:t>
      </w:r>
      <w:r w:rsidR="0045245F" w:rsidRPr="0045245F">
        <w:rPr>
          <w:lang w:val="pl-PL"/>
        </w:rPr>
        <w:t xml:space="preserve">euro z tytułu szkody niemajątkowej; </w:t>
      </w:r>
      <w:r w:rsidRPr="0045245F">
        <w:rPr>
          <w:lang w:val="pl-PL"/>
        </w:rPr>
        <w:t>10</w:t>
      </w:r>
      <w:r w:rsidR="0045245F" w:rsidRPr="0045245F">
        <w:rPr>
          <w:lang w:val="pl-PL"/>
        </w:rPr>
        <w:t>.</w:t>
      </w:r>
      <w:r w:rsidRPr="0045245F">
        <w:rPr>
          <w:lang w:val="pl-PL"/>
        </w:rPr>
        <w:t xml:space="preserve">000 </w:t>
      </w:r>
      <w:r w:rsidR="0045245F">
        <w:rPr>
          <w:lang w:val="pl-PL"/>
        </w:rPr>
        <w:t>euro z tytułu szkody majątkowej</w:t>
      </w:r>
      <w:r w:rsidRPr="0045245F">
        <w:rPr>
          <w:lang w:val="pl-PL"/>
        </w:rPr>
        <w:t>.</w:t>
      </w:r>
    </w:p>
    <w:p w:rsidR="00B702E7" w:rsidRPr="001D0852" w:rsidRDefault="00FA346D">
      <w:pPr>
        <w:pStyle w:val="ClinContent"/>
        <w:rPr>
          <w:lang w:val="pl-PL"/>
        </w:rPr>
      </w:pPr>
      <w:r w:rsidRPr="0045245F">
        <w:rPr>
          <w:lang w:val="pl-PL"/>
        </w:rPr>
        <w:t>(</w:t>
      </w:r>
      <w:r w:rsidR="0045245F" w:rsidRPr="0045245F">
        <w:rPr>
          <w:lang w:val="pl-PL"/>
        </w:rPr>
        <w:t>Zobacz:</w:t>
      </w:r>
      <w:r w:rsidRPr="0045245F">
        <w:rPr>
          <w:lang w:val="pl-PL"/>
        </w:rPr>
        <w:t xml:space="preserve"> </w:t>
      </w:r>
      <w:r w:rsidRPr="0045245F">
        <w:rPr>
          <w:i/>
          <w:lang w:val="pl-PL"/>
        </w:rPr>
        <w:t xml:space="preserve">Kopecky </w:t>
      </w:r>
      <w:r w:rsidR="0045245F" w:rsidRPr="0045245F">
        <w:rPr>
          <w:i/>
          <w:lang w:val="pl-PL"/>
        </w:rPr>
        <w:t>p.</w:t>
      </w:r>
      <w:r w:rsidRPr="0045245F">
        <w:rPr>
          <w:i/>
          <w:lang w:val="pl-PL"/>
        </w:rPr>
        <w:t> S</w:t>
      </w:r>
      <w:r w:rsidR="0045245F">
        <w:rPr>
          <w:i/>
          <w:lang w:val="pl-PL"/>
        </w:rPr>
        <w:t>łowacji</w:t>
      </w:r>
      <w:r w:rsidRPr="0045245F">
        <w:rPr>
          <w:lang w:val="pl-PL"/>
        </w:rPr>
        <w:t xml:space="preserve"> [</w:t>
      </w:r>
      <w:r w:rsidR="0045245F" w:rsidRPr="0045245F">
        <w:rPr>
          <w:lang w:val="pl-PL"/>
        </w:rPr>
        <w:t>Wielka Izba</w:t>
      </w:r>
      <w:r w:rsidRPr="0045245F">
        <w:rPr>
          <w:lang w:val="pl-PL"/>
        </w:rPr>
        <w:t xml:space="preserve">], </w:t>
      </w:r>
      <w:r w:rsidR="0045245F">
        <w:rPr>
          <w:lang w:val="pl-PL"/>
        </w:rPr>
        <w:t xml:space="preserve">skarga nr </w:t>
      </w:r>
      <w:r w:rsidRPr="0045245F">
        <w:rPr>
          <w:lang w:val="pl-PL"/>
        </w:rPr>
        <w:t>44912/98, 28 </w:t>
      </w:r>
      <w:r w:rsidR="0045245F" w:rsidRPr="0045245F">
        <w:rPr>
          <w:lang w:val="pl-PL"/>
        </w:rPr>
        <w:t>września</w:t>
      </w:r>
      <w:r w:rsidRPr="0045245F">
        <w:rPr>
          <w:lang w:val="pl-PL"/>
        </w:rPr>
        <w:t xml:space="preserve"> 2004</w:t>
      </w:r>
      <w:r w:rsidR="0045245F" w:rsidRPr="0045245F">
        <w:rPr>
          <w:lang w:val="pl-PL"/>
        </w:rPr>
        <w:t xml:space="preserve"> r.</w:t>
      </w:r>
      <w:r w:rsidRPr="0045245F">
        <w:rPr>
          <w:lang w:val="pl-PL"/>
        </w:rPr>
        <w:t xml:space="preserve">, </w:t>
      </w:r>
      <w:hyperlink r:id="rId9" w:history="1">
        <w:r w:rsidR="0045245F" w:rsidRPr="0045245F">
          <w:rPr>
            <w:rStyle w:val="Hipercze"/>
            <w:lang w:val="pl-PL"/>
          </w:rPr>
          <w:t xml:space="preserve">Nota informacyjna nr </w:t>
        </w:r>
        <w:r w:rsidRPr="0045245F">
          <w:rPr>
            <w:rStyle w:val="Hipercze"/>
            <w:lang w:val="pl-PL"/>
          </w:rPr>
          <w:t>67</w:t>
        </w:r>
      </w:hyperlink>
      <w:r w:rsidRPr="0045245F">
        <w:rPr>
          <w:lang w:val="pl-PL"/>
        </w:rPr>
        <w:t xml:space="preserve">; </w:t>
      </w:r>
      <w:r w:rsidRPr="0045245F">
        <w:rPr>
          <w:i/>
          <w:lang w:val="pl-PL"/>
        </w:rPr>
        <w:t xml:space="preserve">Stec and Others </w:t>
      </w:r>
      <w:r w:rsidR="0045245F" w:rsidRPr="0045245F">
        <w:rPr>
          <w:i/>
          <w:lang w:val="pl-PL"/>
        </w:rPr>
        <w:t>p.</w:t>
      </w:r>
      <w:r w:rsidRPr="0045245F">
        <w:rPr>
          <w:i/>
          <w:lang w:val="pl-PL"/>
        </w:rPr>
        <w:t> </w:t>
      </w:r>
      <w:r w:rsidR="0045245F">
        <w:rPr>
          <w:i/>
          <w:lang w:val="pl-PL"/>
        </w:rPr>
        <w:t xml:space="preserve">Wielkiej Brytanii </w:t>
      </w:r>
      <w:r w:rsidRPr="0045245F">
        <w:rPr>
          <w:lang w:val="pl-PL"/>
        </w:rPr>
        <w:t>(dec</w:t>
      </w:r>
      <w:r w:rsidR="0045245F">
        <w:rPr>
          <w:lang w:val="pl-PL"/>
        </w:rPr>
        <w:t>yzja</w:t>
      </w:r>
      <w:r w:rsidRPr="0045245F">
        <w:rPr>
          <w:lang w:val="pl-PL"/>
        </w:rPr>
        <w:t>)</w:t>
      </w:r>
      <w:r w:rsidR="0045245F">
        <w:rPr>
          <w:lang w:val="pl-PL"/>
        </w:rPr>
        <w:t xml:space="preserve"> </w:t>
      </w:r>
      <w:r w:rsidRPr="0045245F">
        <w:rPr>
          <w:lang w:val="pl-PL"/>
        </w:rPr>
        <w:t>[</w:t>
      </w:r>
      <w:r w:rsidR="0045245F" w:rsidRPr="0045245F">
        <w:rPr>
          <w:lang w:val="pl-PL"/>
        </w:rPr>
        <w:t>Wielka Izba</w:t>
      </w:r>
      <w:r w:rsidRPr="0045245F">
        <w:rPr>
          <w:lang w:val="pl-PL"/>
        </w:rPr>
        <w:t xml:space="preserve">], </w:t>
      </w:r>
      <w:r w:rsidR="0045245F">
        <w:rPr>
          <w:lang w:val="pl-PL"/>
        </w:rPr>
        <w:t xml:space="preserve">skargi nr </w:t>
      </w:r>
      <w:hyperlink r:id="rId10" w:history="1">
        <w:r w:rsidRPr="0045245F">
          <w:rPr>
            <w:rStyle w:val="Hipercze"/>
            <w:lang w:val="pl-PL"/>
          </w:rPr>
          <w:t>65731/01</w:t>
        </w:r>
      </w:hyperlink>
      <w:r w:rsidRPr="0045245F">
        <w:rPr>
          <w:lang w:val="pl-PL"/>
        </w:rPr>
        <w:t xml:space="preserve"> </w:t>
      </w:r>
      <w:r w:rsidR="0045245F">
        <w:rPr>
          <w:lang w:val="pl-PL"/>
        </w:rPr>
        <w:t xml:space="preserve">i </w:t>
      </w:r>
      <w:r w:rsidRPr="0045245F">
        <w:rPr>
          <w:lang w:val="pl-PL"/>
        </w:rPr>
        <w:t>65900/01, 6</w:t>
      </w:r>
      <w:r w:rsidR="0045245F">
        <w:rPr>
          <w:lang w:val="pl-PL"/>
        </w:rPr>
        <w:t xml:space="preserve"> lipca</w:t>
      </w:r>
      <w:r w:rsidRPr="0045245F">
        <w:rPr>
          <w:lang w:val="pl-PL"/>
        </w:rPr>
        <w:t xml:space="preserve"> 2005</w:t>
      </w:r>
      <w:r w:rsidR="0045245F">
        <w:rPr>
          <w:lang w:val="pl-PL"/>
        </w:rPr>
        <w:t xml:space="preserve"> r.</w:t>
      </w:r>
      <w:r w:rsidRPr="0045245F">
        <w:rPr>
          <w:lang w:val="pl-PL"/>
        </w:rPr>
        <w:t xml:space="preserve">; </w:t>
      </w:r>
      <w:r w:rsidRPr="0045245F">
        <w:rPr>
          <w:i/>
          <w:lang w:val="pl-PL"/>
        </w:rPr>
        <w:t>Kjartan Ásmundsson</w:t>
      </w:r>
      <w:r w:rsidRPr="0045245F">
        <w:rPr>
          <w:lang w:val="pl-PL"/>
        </w:rPr>
        <w:t xml:space="preserve">, </w:t>
      </w:r>
      <w:r w:rsidR="0045245F">
        <w:rPr>
          <w:lang w:val="pl-PL"/>
        </w:rPr>
        <w:t xml:space="preserve">skarga nr </w:t>
      </w:r>
      <w:hyperlink r:id="rId11" w:history="1">
        <w:r w:rsidRPr="0045245F">
          <w:rPr>
            <w:rStyle w:val="Hipercze"/>
            <w:lang w:val="pl-PL"/>
          </w:rPr>
          <w:t>60669/00</w:t>
        </w:r>
      </w:hyperlink>
      <w:r w:rsidRPr="0045245F">
        <w:rPr>
          <w:lang w:val="pl-PL"/>
        </w:rPr>
        <w:t>, 12 </w:t>
      </w:r>
      <w:r w:rsidR="0045245F">
        <w:rPr>
          <w:lang w:val="pl-PL"/>
        </w:rPr>
        <w:t>października</w:t>
      </w:r>
      <w:r w:rsidRPr="0045245F">
        <w:rPr>
          <w:lang w:val="pl-PL"/>
        </w:rPr>
        <w:t xml:space="preserve"> 2004</w:t>
      </w:r>
      <w:r w:rsidR="0045245F">
        <w:rPr>
          <w:lang w:val="pl-PL"/>
        </w:rPr>
        <w:t xml:space="preserve"> r.</w:t>
      </w:r>
      <w:r w:rsidRPr="0045245F">
        <w:rPr>
          <w:lang w:val="pl-PL"/>
        </w:rPr>
        <w:t xml:space="preserve">, </w:t>
      </w:r>
      <w:hyperlink r:id="rId12" w:history="1">
        <w:r w:rsidR="0045245F" w:rsidRPr="0045245F">
          <w:rPr>
            <w:rStyle w:val="Hipercze"/>
            <w:lang w:val="pl-PL"/>
          </w:rPr>
          <w:t xml:space="preserve">Nota informacyjna nr </w:t>
        </w:r>
        <w:r w:rsidRPr="0045245F">
          <w:rPr>
            <w:rStyle w:val="Hipercze"/>
            <w:lang w:val="pl-PL"/>
          </w:rPr>
          <w:t>68</w:t>
        </w:r>
      </w:hyperlink>
      <w:r w:rsidRPr="0045245F">
        <w:rPr>
          <w:lang w:val="pl-PL"/>
        </w:rPr>
        <w:t xml:space="preserve">; </w:t>
      </w:r>
      <w:r w:rsidRPr="0045245F">
        <w:rPr>
          <w:i/>
          <w:lang w:val="pl-PL"/>
        </w:rPr>
        <w:t xml:space="preserve">Klein </w:t>
      </w:r>
      <w:r w:rsidR="0045245F" w:rsidRPr="0045245F">
        <w:rPr>
          <w:i/>
          <w:lang w:val="pl-PL"/>
        </w:rPr>
        <w:t>p.</w:t>
      </w:r>
      <w:r w:rsidRPr="0045245F">
        <w:rPr>
          <w:i/>
          <w:lang w:val="pl-PL"/>
        </w:rPr>
        <w:t> Austri</w:t>
      </w:r>
      <w:r w:rsidR="0045245F">
        <w:rPr>
          <w:i/>
          <w:lang w:val="pl-PL"/>
        </w:rPr>
        <w:t>i</w:t>
      </w:r>
      <w:r w:rsidRPr="0045245F">
        <w:rPr>
          <w:lang w:val="pl-PL"/>
        </w:rPr>
        <w:t xml:space="preserve">, </w:t>
      </w:r>
      <w:r w:rsidR="0045245F">
        <w:rPr>
          <w:lang w:val="pl-PL"/>
        </w:rPr>
        <w:t xml:space="preserve">skarga nr </w:t>
      </w:r>
      <w:r w:rsidRPr="0045245F">
        <w:rPr>
          <w:lang w:val="pl-PL"/>
        </w:rPr>
        <w:t>57028/00, 3 </w:t>
      </w:r>
      <w:r w:rsidR="0045245F">
        <w:rPr>
          <w:lang w:val="pl-PL"/>
        </w:rPr>
        <w:t>marca</w:t>
      </w:r>
      <w:r w:rsidRPr="0045245F">
        <w:rPr>
          <w:lang w:val="pl-PL"/>
        </w:rPr>
        <w:t xml:space="preserve"> 2011</w:t>
      </w:r>
      <w:r w:rsidR="0045245F">
        <w:rPr>
          <w:lang w:val="pl-PL"/>
        </w:rPr>
        <w:t xml:space="preserve"> r.</w:t>
      </w:r>
      <w:r w:rsidRPr="0045245F">
        <w:rPr>
          <w:lang w:val="pl-PL"/>
        </w:rPr>
        <w:t xml:space="preserve">, </w:t>
      </w:r>
      <w:hyperlink r:id="rId13" w:history="1">
        <w:r w:rsidR="0045245F" w:rsidRPr="0045245F">
          <w:rPr>
            <w:rStyle w:val="Hipercze"/>
            <w:lang w:val="pl-PL"/>
          </w:rPr>
          <w:t xml:space="preserve">Nota informacyjna nr </w:t>
        </w:r>
        <w:r w:rsidRPr="0045245F">
          <w:rPr>
            <w:rStyle w:val="Hipercze"/>
            <w:lang w:val="pl-PL"/>
          </w:rPr>
          <w:t>139</w:t>
        </w:r>
      </w:hyperlink>
      <w:r w:rsidRPr="0045245F">
        <w:rPr>
          <w:lang w:val="pl-PL"/>
        </w:rPr>
        <w:t xml:space="preserve">; </w:t>
      </w:r>
      <w:r w:rsidRPr="0045245F">
        <w:rPr>
          <w:i/>
          <w:lang w:val="pl-PL"/>
        </w:rPr>
        <w:t xml:space="preserve">Moskal </w:t>
      </w:r>
      <w:r w:rsidR="0045245F" w:rsidRPr="0045245F">
        <w:rPr>
          <w:i/>
          <w:lang w:val="pl-PL"/>
        </w:rPr>
        <w:t>p.</w:t>
      </w:r>
      <w:r w:rsidRPr="0045245F">
        <w:rPr>
          <w:i/>
          <w:lang w:val="pl-PL"/>
        </w:rPr>
        <w:t> Pol</w:t>
      </w:r>
      <w:r w:rsidR="0045245F">
        <w:rPr>
          <w:i/>
          <w:lang w:val="pl-PL"/>
        </w:rPr>
        <w:t>sce</w:t>
      </w:r>
      <w:r w:rsidRPr="0045245F">
        <w:rPr>
          <w:lang w:val="pl-PL"/>
        </w:rPr>
        <w:t xml:space="preserve">, </w:t>
      </w:r>
      <w:r w:rsidR="0045245F">
        <w:rPr>
          <w:lang w:val="pl-PL"/>
        </w:rPr>
        <w:t xml:space="preserve">skarga nr </w:t>
      </w:r>
      <w:r w:rsidRPr="0045245F">
        <w:rPr>
          <w:lang w:val="pl-PL"/>
        </w:rPr>
        <w:t>10373/05, 15 </w:t>
      </w:r>
      <w:r w:rsidR="0045245F">
        <w:rPr>
          <w:lang w:val="pl-PL"/>
        </w:rPr>
        <w:t xml:space="preserve">września </w:t>
      </w:r>
      <w:r w:rsidRPr="0045245F">
        <w:rPr>
          <w:lang w:val="pl-PL"/>
        </w:rPr>
        <w:t>2009</w:t>
      </w:r>
      <w:r w:rsidR="0045245F">
        <w:rPr>
          <w:lang w:val="pl-PL"/>
        </w:rPr>
        <w:t xml:space="preserve"> r.</w:t>
      </w:r>
      <w:r w:rsidRPr="0045245F">
        <w:rPr>
          <w:lang w:val="pl-PL"/>
        </w:rPr>
        <w:t xml:space="preserve">, </w:t>
      </w:r>
      <w:hyperlink r:id="rId14" w:history="1">
        <w:r w:rsidR="0045245F" w:rsidRPr="0045245F">
          <w:rPr>
            <w:rStyle w:val="Hipercze"/>
            <w:lang w:val="pl-PL"/>
          </w:rPr>
          <w:t xml:space="preserve">Nota informacyjna nr </w:t>
        </w:r>
        <w:r w:rsidRPr="0045245F">
          <w:rPr>
            <w:rStyle w:val="Hipercze"/>
            <w:lang w:val="pl-PL"/>
          </w:rPr>
          <w:t>122</w:t>
        </w:r>
      </w:hyperlink>
      <w:r w:rsidRPr="0045245F">
        <w:rPr>
          <w:lang w:val="pl-PL"/>
        </w:rPr>
        <w:t xml:space="preserve">; </w:t>
      </w:r>
      <w:r w:rsidR="0045245F">
        <w:rPr>
          <w:lang w:val="pl-PL"/>
        </w:rPr>
        <w:t>zobacz również</w:t>
      </w:r>
      <w:r w:rsidRPr="0045245F">
        <w:rPr>
          <w:lang w:val="pl-PL"/>
        </w:rPr>
        <w:t xml:space="preserve">, </w:t>
      </w:r>
      <w:r w:rsidR="0045245F">
        <w:rPr>
          <w:lang w:val="pl-PL"/>
        </w:rPr>
        <w:t xml:space="preserve">Zestawienie tematyczne pt. </w:t>
      </w:r>
      <w:hyperlink r:id="rId15" w:history="1">
        <w:r w:rsidR="0045245F" w:rsidRPr="001D0852">
          <w:rPr>
            <w:rStyle w:val="Hipercze"/>
            <w:lang w:val="pl-PL"/>
          </w:rPr>
          <w:t>Osoby z niepełnosprawnością a Europejska Konwencja Praw Człowieka</w:t>
        </w:r>
      </w:hyperlink>
      <w:r w:rsidRPr="001D0852">
        <w:rPr>
          <w:lang w:val="pl-PL"/>
        </w:rPr>
        <w:t>)</w:t>
      </w:r>
      <w:r w:rsidR="0071458E">
        <w:rPr>
          <w:lang w:val="pl-PL"/>
        </w:rPr>
        <w:t>.</w:t>
      </w:r>
    </w:p>
    <w:p w:rsidR="00B702E7" w:rsidRPr="001D0852" w:rsidRDefault="00B702E7">
      <w:pPr>
        <w:pBdr>
          <w:bottom w:val="single" w:sz="8" w:space="1" w:color="auto"/>
        </w:pBdr>
        <w:rPr>
          <w:lang w:val="pl-PL"/>
        </w:rPr>
      </w:pPr>
    </w:p>
    <w:p w:rsidR="001D0852" w:rsidRPr="0074070E" w:rsidRDefault="001D0852" w:rsidP="001D0852">
      <w:pPr>
        <w:pStyle w:val="ClinFooter"/>
        <w:rPr>
          <w:lang w:val="pl-PL"/>
        </w:rPr>
      </w:pPr>
      <w:r w:rsidRPr="0074070E">
        <w:rPr>
          <w:lang w:val="pl-PL"/>
        </w:rPr>
        <w:t>© Council of Europe/European Court of Human Rights</w:t>
      </w:r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1D0852" w:rsidRDefault="001D0852">
      <w:pPr>
        <w:pStyle w:val="ClinFooter"/>
        <w:rPr>
          <w:rStyle w:val="Hipercze"/>
          <w:lang w:val="pl-PL"/>
        </w:rPr>
      </w:pPr>
      <w:r w:rsidRPr="0074070E">
        <w:rPr>
          <w:lang w:val="pl-PL"/>
        </w:rPr>
        <w:t xml:space="preserve">Link do </w:t>
      </w:r>
      <w:hyperlink r:id="rId16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CB500E" w:rsidRDefault="00CB500E">
      <w:pPr>
        <w:pStyle w:val="ClinFooter"/>
        <w:rPr>
          <w:rStyle w:val="Hipercze"/>
          <w:lang w:val="pl-PL"/>
        </w:rPr>
      </w:pPr>
    </w:p>
    <w:p w:rsidR="00CB500E" w:rsidRPr="001D0852" w:rsidRDefault="00CB500E" w:rsidP="00CB500E">
      <w:pPr>
        <w:pStyle w:val="ClinFooter"/>
        <w:jc w:val="left"/>
        <w:rPr>
          <w:lang w:val="pl-PL"/>
        </w:rPr>
      </w:pPr>
    </w:p>
    <w:sectPr w:rsidR="00CB500E" w:rsidRPr="001D0852" w:rsidSect="004A5B5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DA1" w:rsidRDefault="006B3DA1" w:rsidP="00C63262">
      <w:r>
        <w:separator/>
      </w:r>
    </w:p>
  </w:endnote>
  <w:endnote w:type="continuationSeparator" w:id="0">
    <w:p w:rsidR="006B3DA1" w:rsidRDefault="006B3DA1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CF2" w:rsidRDefault="00AC2C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CF2" w:rsidRDefault="00AC2CF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DA1" w:rsidRDefault="006B3DA1" w:rsidP="00C63262">
      <w:r>
        <w:separator/>
      </w:r>
    </w:p>
  </w:footnote>
  <w:footnote w:type="continuationSeparator" w:id="0">
    <w:p w:rsidR="006B3DA1" w:rsidRDefault="006B3DA1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CF2" w:rsidRDefault="00AC2C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F30D2D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97888"/>
    <w:rsid w:val="000C6A8C"/>
    <w:rsid w:val="000D5AA3"/>
    <w:rsid w:val="000F13B5"/>
    <w:rsid w:val="00107377"/>
    <w:rsid w:val="00143602"/>
    <w:rsid w:val="001769E4"/>
    <w:rsid w:val="00186560"/>
    <w:rsid w:val="001C380E"/>
    <w:rsid w:val="001D0852"/>
    <w:rsid w:val="00212E83"/>
    <w:rsid w:val="0025064B"/>
    <w:rsid w:val="002624F7"/>
    <w:rsid w:val="002966E7"/>
    <w:rsid w:val="002A6FFC"/>
    <w:rsid w:val="002E088D"/>
    <w:rsid w:val="002F36E1"/>
    <w:rsid w:val="0030264F"/>
    <w:rsid w:val="00312C94"/>
    <w:rsid w:val="0033129F"/>
    <w:rsid w:val="003450B3"/>
    <w:rsid w:val="00347D40"/>
    <w:rsid w:val="00386958"/>
    <w:rsid w:val="003A64A6"/>
    <w:rsid w:val="003D7BB3"/>
    <w:rsid w:val="00430EA9"/>
    <w:rsid w:val="0045245F"/>
    <w:rsid w:val="0046453F"/>
    <w:rsid w:val="004A0826"/>
    <w:rsid w:val="004A5B52"/>
    <w:rsid w:val="004D568D"/>
    <w:rsid w:val="004E067A"/>
    <w:rsid w:val="004E1037"/>
    <w:rsid w:val="00517952"/>
    <w:rsid w:val="00517AA2"/>
    <w:rsid w:val="0052092D"/>
    <w:rsid w:val="00540D75"/>
    <w:rsid w:val="005514E5"/>
    <w:rsid w:val="00583E53"/>
    <w:rsid w:val="0059267E"/>
    <w:rsid w:val="006028A1"/>
    <w:rsid w:val="00630EA6"/>
    <w:rsid w:val="00631A28"/>
    <w:rsid w:val="00660316"/>
    <w:rsid w:val="006A36AD"/>
    <w:rsid w:val="006A461E"/>
    <w:rsid w:val="006B3DA1"/>
    <w:rsid w:val="006C1D96"/>
    <w:rsid w:val="006D54D7"/>
    <w:rsid w:val="0071458E"/>
    <w:rsid w:val="0071773F"/>
    <w:rsid w:val="00774515"/>
    <w:rsid w:val="0078385E"/>
    <w:rsid w:val="007F0E48"/>
    <w:rsid w:val="00807DEC"/>
    <w:rsid w:val="0082791D"/>
    <w:rsid w:val="00841167"/>
    <w:rsid w:val="00843120"/>
    <w:rsid w:val="0085189F"/>
    <w:rsid w:val="008705DE"/>
    <w:rsid w:val="00895EF3"/>
    <w:rsid w:val="008C64D5"/>
    <w:rsid w:val="008E70BA"/>
    <w:rsid w:val="00903D38"/>
    <w:rsid w:val="0098622B"/>
    <w:rsid w:val="009B3B2C"/>
    <w:rsid w:val="009D1AE3"/>
    <w:rsid w:val="009D3F65"/>
    <w:rsid w:val="009E3EF0"/>
    <w:rsid w:val="00A01052"/>
    <w:rsid w:val="00A04D9C"/>
    <w:rsid w:val="00A258BB"/>
    <w:rsid w:val="00A33541"/>
    <w:rsid w:val="00A33D3D"/>
    <w:rsid w:val="00A45616"/>
    <w:rsid w:val="00A5577B"/>
    <w:rsid w:val="00A924AD"/>
    <w:rsid w:val="00AC2CF2"/>
    <w:rsid w:val="00AC7726"/>
    <w:rsid w:val="00AD2DFE"/>
    <w:rsid w:val="00B5045D"/>
    <w:rsid w:val="00B702E7"/>
    <w:rsid w:val="00B80CA0"/>
    <w:rsid w:val="00B85770"/>
    <w:rsid w:val="00BB506F"/>
    <w:rsid w:val="00BC5B88"/>
    <w:rsid w:val="00BF1CD9"/>
    <w:rsid w:val="00C37433"/>
    <w:rsid w:val="00C52EFD"/>
    <w:rsid w:val="00C63262"/>
    <w:rsid w:val="00C72355"/>
    <w:rsid w:val="00C75F10"/>
    <w:rsid w:val="00C93CFB"/>
    <w:rsid w:val="00C94001"/>
    <w:rsid w:val="00CB500E"/>
    <w:rsid w:val="00CF1582"/>
    <w:rsid w:val="00CF7BA6"/>
    <w:rsid w:val="00D25303"/>
    <w:rsid w:val="00D42086"/>
    <w:rsid w:val="00D425B3"/>
    <w:rsid w:val="00D71DB5"/>
    <w:rsid w:val="00D95E6F"/>
    <w:rsid w:val="00DF06E3"/>
    <w:rsid w:val="00E55491"/>
    <w:rsid w:val="00E83DB6"/>
    <w:rsid w:val="00E95335"/>
    <w:rsid w:val="00EA53E7"/>
    <w:rsid w:val="00F01521"/>
    <w:rsid w:val="00F26F63"/>
    <w:rsid w:val="00F30D2D"/>
    <w:rsid w:val="00F504B5"/>
    <w:rsid w:val="00F508C9"/>
    <w:rsid w:val="00F50CCD"/>
    <w:rsid w:val="00F5247C"/>
    <w:rsid w:val="00FA29ED"/>
    <w:rsid w:val="00FA346D"/>
    <w:rsid w:val="00FC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ECHRPara">
    <w:name w:val="ECHR_Para"/>
    <w:aliases w:val="Ju_Para,Para"/>
    <w:basedOn w:val="Normalny"/>
    <w:link w:val="ECHRParaChar"/>
    <w:uiPriority w:val="12"/>
    <w:qFormat/>
    <w:rsid w:val="00A924AD"/>
    <w:pPr>
      <w:ind w:firstLine="284"/>
      <w:jc w:val="both"/>
    </w:pPr>
    <w:rPr>
      <w:rFonts w:asciiTheme="minorHAnsi" w:eastAsiaTheme="minorEastAsia" w:hAnsiTheme="minorHAnsi" w:cstheme="minorBidi"/>
      <w:sz w:val="24"/>
      <w:szCs w:val="22"/>
      <w:lang w:val="en-US" w:eastAsia="en-US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A924AD"/>
    <w:rPr>
      <w:rFonts w:asciiTheme="minorHAnsi" w:eastAsiaTheme="minorEastAsia" w:hAnsiTheme="minorHAnsi" w:cstheme="minorBidi"/>
      <w:sz w:val="24"/>
      <w:szCs w:val="22"/>
      <w:lang w:val="en-US" w:eastAsia="en-US"/>
    </w:rPr>
  </w:style>
  <w:style w:type="paragraph" w:customStyle="1" w:styleId="s746c8714">
    <w:name w:val="s746c8714"/>
    <w:basedOn w:val="Normalny"/>
    <w:rsid w:val="006A461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6A461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A461E"/>
  </w:style>
  <w:style w:type="character" w:customStyle="1" w:styleId="object">
    <w:name w:val="object"/>
    <w:basedOn w:val="Domylnaczcionkaakapitu"/>
    <w:rsid w:val="006A461E"/>
  </w:style>
  <w:style w:type="character" w:styleId="UyteHipercze">
    <w:name w:val="FollowedHyperlink"/>
    <w:basedOn w:val="Domylnaczcionkaakapitu"/>
    <w:semiHidden/>
    <w:unhideWhenUsed/>
    <w:rsid w:val="0098622B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ECHRPara">
    <w:name w:val="ECHR_Para"/>
    <w:aliases w:val="Ju_Para,Para"/>
    <w:basedOn w:val="Normalny"/>
    <w:link w:val="ECHRParaChar"/>
    <w:uiPriority w:val="12"/>
    <w:qFormat/>
    <w:rsid w:val="00A924AD"/>
    <w:pPr>
      <w:ind w:firstLine="284"/>
      <w:jc w:val="both"/>
    </w:pPr>
    <w:rPr>
      <w:rFonts w:asciiTheme="minorHAnsi" w:eastAsiaTheme="minorEastAsia" w:hAnsiTheme="minorHAnsi" w:cstheme="minorBidi"/>
      <w:sz w:val="24"/>
      <w:szCs w:val="22"/>
      <w:lang w:val="en-US" w:eastAsia="en-US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A924AD"/>
    <w:rPr>
      <w:rFonts w:asciiTheme="minorHAnsi" w:eastAsiaTheme="minorEastAsia" w:hAnsiTheme="minorHAnsi" w:cstheme="minorBidi"/>
      <w:sz w:val="24"/>
      <w:szCs w:val="22"/>
      <w:lang w:val="en-US" w:eastAsia="en-US"/>
    </w:rPr>
  </w:style>
  <w:style w:type="paragraph" w:customStyle="1" w:styleId="s746c8714">
    <w:name w:val="s746c8714"/>
    <w:basedOn w:val="Normalny"/>
    <w:rsid w:val="006A461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6A461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A461E"/>
  </w:style>
  <w:style w:type="character" w:customStyle="1" w:styleId="object">
    <w:name w:val="object"/>
    <w:basedOn w:val="Domylnaczcionkaakapitu"/>
    <w:rsid w:val="006A461E"/>
  </w:style>
  <w:style w:type="character" w:styleId="UyteHipercze">
    <w:name w:val="FollowedHyperlink"/>
    <w:basedOn w:val="Domylnaczcionkaakapitu"/>
    <w:semiHidden/>
    <w:unhideWhenUsed/>
    <w:rsid w:val="0098622B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8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0372" TargetMode="External"/><Relationship Id="rId13" Type="http://schemas.openxmlformats.org/officeDocument/2006/relationships/hyperlink" Target="http://hudoc.echr.coe.int/eng?i=002-586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://www.msz.gov.pl" TargetMode="External"/><Relationship Id="rId12" Type="http://schemas.openxmlformats.org/officeDocument/2006/relationships/hyperlink" Target="http://hudoc.echr.coe.int/eng?i=002-4202" TargetMode="External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://www.echr.coe.int/NoteInformation/en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hudoc.echr.coe.int/eng?i=001-67030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echr.coe.int/Documents/FS_Disabled_ENG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hudoc.echr.coe.int/eng?i=001-70087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4236" TargetMode="External"/><Relationship Id="rId14" Type="http://schemas.openxmlformats.org/officeDocument/2006/relationships/hyperlink" Target="http://hudoc.echr.coe.int/eng?i=002-1356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1156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2017-04-05T12:26:00Z</dcterms:created>
  <dcterms:modified xsi:type="dcterms:W3CDTF">2017-06-21T12:10:00Z</dcterms:modified>
</cp:coreProperties>
</file>