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9DA" w:rsidRDefault="008D59DA" w:rsidP="008D59DA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8D59DA" w:rsidRDefault="008D59DA" w:rsidP="002E0FD1">
      <w:pPr>
        <w:pStyle w:val="ClinEditionNumber"/>
        <w:jc w:val="center"/>
        <w:rPr>
          <w:lang w:val="pl-PL"/>
        </w:rPr>
      </w:pPr>
      <w:bookmarkStart w:id="0" w:name="_GoBack"/>
      <w:bookmarkEnd w:id="0"/>
    </w:p>
    <w:p w:rsidR="002E0FD1" w:rsidRDefault="002E0FD1" w:rsidP="002E0FD1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BC07E3" w:rsidRPr="002878E3" w:rsidRDefault="002878E3" w:rsidP="002878E3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>rzecznictwa Trybunału nr</w:t>
      </w:r>
      <w:r w:rsidRPr="002878E3">
        <w:rPr>
          <w:lang w:val="pl-PL"/>
        </w:rPr>
        <w:t xml:space="preserve"> </w:t>
      </w:r>
      <w:r w:rsidR="00E50944" w:rsidRPr="002878E3">
        <w:rPr>
          <w:lang w:val="pl-PL"/>
        </w:rPr>
        <w:t>196</w:t>
      </w:r>
    </w:p>
    <w:p w:rsidR="00BC07E3" w:rsidRPr="002878E3" w:rsidRDefault="00E50944">
      <w:pPr>
        <w:pStyle w:val="ClinEditionMonth"/>
        <w:rPr>
          <w:lang w:val="pl-PL"/>
        </w:rPr>
      </w:pPr>
      <w:r w:rsidRPr="002878E3">
        <w:rPr>
          <w:lang w:val="pl-PL"/>
        </w:rPr>
        <w:t>M</w:t>
      </w:r>
      <w:r w:rsidR="002878E3" w:rsidRPr="002878E3">
        <w:rPr>
          <w:lang w:val="pl-PL"/>
        </w:rPr>
        <w:t>aj</w:t>
      </w:r>
      <w:r w:rsidRPr="002878E3">
        <w:rPr>
          <w:lang w:val="pl-PL"/>
        </w:rPr>
        <w:t xml:space="preserve"> 2016</w:t>
      </w:r>
      <w:r w:rsidR="002878E3" w:rsidRPr="002878E3">
        <w:rPr>
          <w:lang w:val="pl-PL"/>
        </w:rPr>
        <w:t xml:space="preserve"> r.</w:t>
      </w:r>
    </w:p>
    <w:p w:rsidR="00BC07E3" w:rsidRPr="002878E3" w:rsidRDefault="00E50944">
      <w:pPr>
        <w:rPr>
          <w:lang w:val="pl-PL"/>
        </w:rPr>
      </w:pPr>
      <w:proofErr w:type="spellStart"/>
      <w:r w:rsidRPr="002878E3">
        <w:rPr>
          <w:rStyle w:val="ClinCaseTitle"/>
          <w:lang w:val="pl-PL"/>
        </w:rPr>
        <w:t>Avotiņš</w:t>
      </w:r>
      <w:proofErr w:type="spellEnd"/>
      <w:r w:rsidRPr="002878E3">
        <w:rPr>
          <w:rStyle w:val="ClinCaseTitle"/>
          <w:lang w:val="pl-PL"/>
        </w:rPr>
        <w:t xml:space="preserve"> </w:t>
      </w:r>
      <w:r w:rsidR="002878E3" w:rsidRPr="002878E3">
        <w:rPr>
          <w:rStyle w:val="ClinCaseTitle"/>
          <w:lang w:val="pl-PL"/>
        </w:rPr>
        <w:t>p.</w:t>
      </w:r>
      <w:r w:rsidRPr="002878E3">
        <w:rPr>
          <w:rStyle w:val="ClinCaseTitle"/>
          <w:lang w:val="pl-PL"/>
        </w:rPr>
        <w:t xml:space="preserve"> </w:t>
      </w:r>
      <w:r w:rsidR="002878E3">
        <w:rPr>
          <w:rStyle w:val="ClinCaseTitle"/>
          <w:lang w:val="pl-PL"/>
        </w:rPr>
        <w:t>Łotwie</w:t>
      </w:r>
      <w:r w:rsidRPr="002878E3">
        <w:rPr>
          <w:rStyle w:val="ClinCaseTitle"/>
          <w:lang w:val="pl-PL"/>
        </w:rPr>
        <w:t xml:space="preserve"> [</w:t>
      </w:r>
      <w:r w:rsidR="002878E3">
        <w:rPr>
          <w:rStyle w:val="ClinCaseTitle"/>
          <w:lang w:val="pl-PL"/>
        </w:rPr>
        <w:t>Wielka Izba</w:t>
      </w:r>
      <w:r w:rsidRPr="002878E3">
        <w:rPr>
          <w:rStyle w:val="ClinCaseTitle"/>
          <w:lang w:val="pl-PL"/>
        </w:rPr>
        <w:t>]</w:t>
      </w:r>
      <w:r w:rsidRPr="002878E3">
        <w:rPr>
          <w:rStyle w:val="ClinApplicationNumber"/>
          <w:lang w:val="pl-PL"/>
        </w:rPr>
        <w:t xml:space="preserve"> </w:t>
      </w:r>
      <w:r w:rsidR="002878E3">
        <w:rPr>
          <w:rStyle w:val="ClinApplicationNumber"/>
          <w:lang w:val="pl-PL"/>
        </w:rPr>
        <w:t>–</w:t>
      </w:r>
      <w:r w:rsidRPr="002878E3">
        <w:rPr>
          <w:rStyle w:val="ClinApplicationNumber"/>
          <w:lang w:val="pl-PL"/>
        </w:rPr>
        <w:t xml:space="preserve"> </w:t>
      </w:r>
      <w:r w:rsidR="002878E3">
        <w:rPr>
          <w:rStyle w:val="ClinApplicationNumber"/>
          <w:lang w:val="pl-PL"/>
        </w:rPr>
        <w:t xml:space="preserve">skarga nr </w:t>
      </w:r>
      <w:r w:rsidRPr="002878E3">
        <w:rPr>
          <w:rStyle w:val="ClinApplicationNumber"/>
          <w:lang w:val="pl-PL"/>
        </w:rPr>
        <w:t>17502/07</w:t>
      </w:r>
    </w:p>
    <w:p w:rsidR="00BC07E3" w:rsidRPr="002878E3" w:rsidRDefault="002878E3">
      <w:pPr>
        <w:rPr>
          <w:lang w:val="pl-PL"/>
        </w:rPr>
      </w:pPr>
      <w:r w:rsidRPr="002878E3">
        <w:rPr>
          <w:rStyle w:val="ClinHudocDocumentTitle"/>
          <w:lang w:val="pl-PL"/>
        </w:rPr>
        <w:t xml:space="preserve">Wyrok z </w:t>
      </w:r>
      <w:r w:rsidR="00E50944" w:rsidRPr="002878E3">
        <w:rPr>
          <w:rStyle w:val="ClinHudocDocumentTitle"/>
          <w:lang w:val="pl-PL"/>
        </w:rPr>
        <w:t>23.</w:t>
      </w:r>
      <w:r w:rsidR="00446AFC">
        <w:rPr>
          <w:rStyle w:val="ClinHudocDocumentTitle"/>
          <w:lang w:val="pl-PL"/>
        </w:rPr>
        <w:t>0</w:t>
      </w:r>
      <w:r w:rsidR="00E50944" w:rsidRPr="002878E3">
        <w:rPr>
          <w:rStyle w:val="ClinHudocDocumentTitle"/>
          <w:lang w:val="pl-PL"/>
        </w:rPr>
        <w:t>5.2016</w:t>
      </w:r>
      <w:r w:rsidRPr="002878E3">
        <w:rPr>
          <w:rStyle w:val="ClinHudocDocumentTitle"/>
          <w:lang w:val="pl-PL"/>
        </w:rPr>
        <w:t xml:space="preserve"> r.</w:t>
      </w:r>
      <w:r w:rsidR="00E50944" w:rsidRPr="002878E3">
        <w:rPr>
          <w:rStyle w:val="ClinSectionName"/>
          <w:lang w:val="pl-PL"/>
        </w:rPr>
        <w:t xml:space="preserve"> [</w:t>
      </w:r>
      <w:r w:rsidRPr="002878E3">
        <w:rPr>
          <w:rStyle w:val="ClinSectionName"/>
          <w:lang w:val="pl-PL"/>
        </w:rPr>
        <w:t>Wielka Izba</w:t>
      </w:r>
      <w:r w:rsidR="00E50944" w:rsidRPr="002878E3">
        <w:rPr>
          <w:rStyle w:val="ClinSectionName"/>
          <w:lang w:val="pl-PL"/>
        </w:rPr>
        <w:t>]</w:t>
      </w:r>
    </w:p>
    <w:p w:rsidR="00BC07E3" w:rsidRPr="00251205" w:rsidRDefault="00E50944">
      <w:pPr>
        <w:pStyle w:val="ClinMainKeywordCode"/>
        <w:rPr>
          <w:lang w:val="pl-PL"/>
        </w:rPr>
      </w:pPr>
      <w:r w:rsidRPr="00251205">
        <w:rPr>
          <w:lang w:val="pl-PL"/>
        </w:rPr>
        <w:t>Art</w:t>
      </w:r>
      <w:r w:rsidR="002878E3" w:rsidRPr="00251205">
        <w:rPr>
          <w:lang w:val="pl-PL"/>
        </w:rPr>
        <w:t>.</w:t>
      </w:r>
      <w:r w:rsidRPr="00251205">
        <w:rPr>
          <w:lang w:val="pl-PL"/>
        </w:rPr>
        <w:t xml:space="preserve"> 6</w:t>
      </w:r>
    </w:p>
    <w:p w:rsidR="00BC07E3" w:rsidRPr="00251205" w:rsidRDefault="002878E3">
      <w:pPr>
        <w:pStyle w:val="ClinKeyword"/>
        <w:rPr>
          <w:lang w:val="pl-PL"/>
        </w:rPr>
      </w:pPr>
      <w:r w:rsidRPr="00251205">
        <w:rPr>
          <w:lang w:val="pl-PL"/>
        </w:rPr>
        <w:t>Postępowanie cywilne</w:t>
      </w:r>
    </w:p>
    <w:p w:rsidR="00BC07E3" w:rsidRPr="00251205" w:rsidRDefault="00E50944">
      <w:pPr>
        <w:pStyle w:val="ClinChildKeywordCode"/>
        <w:rPr>
          <w:lang w:val="pl-PL"/>
        </w:rPr>
      </w:pPr>
      <w:r w:rsidRPr="00251205">
        <w:rPr>
          <w:lang w:val="pl-PL"/>
        </w:rPr>
        <w:t>Art</w:t>
      </w:r>
      <w:r w:rsidR="002878E3" w:rsidRPr="00251205">
        <w:rPr>
          <w:lang w:val="pl-PL"/>
        </w:rPr>
        <w:t>.</w:t>
      </w:r>
      <w:r w:rsidRPr="00251205">
        <w:rPr>
          <w:lang w:val="pl-PL"/>
        </w:rPr>
        <w:t xml:space="preserve"> 6</w:t>
      </w:r>
      <w:r w:rsidR="002878E3" w:rsidRPr="00251205">
        <w:rPr>
          <w:lang w:val="pl-PL"/>
        </w:rPr>
        <w:t xml:space="preserve"> ust. </w:t>
      </w:r>
      <w:r w:rsidRPr="00251205">
        <w:rPr>
          <w:lang w:val="pl-PL"/>
        </w:rPr>
        <w:t>1</w:t>
      </w:r>
    </w:p>
    <w:p w:rsidR="00BC07E3" w:rsidRPr="00251205" w:rsidRDefault="00251205">
      <w:pPr>
        <w:pStyle w:val="ClinKeyword"/>
        <w:rPr>
          <w:lang w:val="pl-PL"/>
        </w:rPr>
      </w:pPr>
      <w:r w:rsidRPr="00251205">
        <w:rPr>
          <w:lang w:val="pl-PL"/>
        </w:rPr>
        <w:t>Sprawiedliwe rozpatrzenie sprawy</w:t>
      </w:r>
    </w:p>
    <w:p w:rsidR="00BC07E3" w:rsidRPr="00251205" w:rsidRDefault="00276E4C">
      <w:pPr>
        <w:pStyle w:val="ClinKeyword"/>
        <w:rPr>
          <w:lang w:val="pl-PL"/>
        </w:rPr>
      </w:pPr>
      <w:r w:rsidRPr="00251205">
        <w:rPr>
          <w:lang w:val="pl-PL"/>
        </w:rPr>
        <w:t>Równość b</w:t>
      </w:r>
      <w:r w:rsidR="002878E3" w:rsidRPr="00251205">
        <w:rPr>
          <w:lang w:val="pl-PL"/>
        </w:rPr>
        <w:t>r</w:t>
      </w:r>
      <w:r w:rsidRPr="00251205">
        <w:rPr>
          <w:lang w:val="pl-PL"/>
        </w:rPr>
        <w:t>o</w:t>
      </w:r>
      <w:r w:rsidR="002878E3" w:rsidRPr="00251205">
        <w:rPr>
          <w:lang w:val="pl-PL"/>
        </w:rPr>
        <w:t xml:space="preserve">ni </w:t>
      </w:r>
    </w:p>
    <w:p w:rsidR="00276E4C" w:rsidRPr="00276E4C" w:rsidRDefault="00276E4C" w:rsidP="00A4612C">
      <w:pPr>
        <w:jc w:val="both"/>
        <w:rPr>
          <w:lang w:val="pl-PL"/>
        </w:rPr>
      </w:pPr>
      <w:r w:rsidRPr="00276E4C">
        <w:rPr>
          <w:rStyle w:val="ClinConclusions"/>
          <w:i w:val="0"/>
          <w:lang w:val="pl-PL"/>
        </w:rPr>
        <w:t>Wykonanie na Łotwie wyroku wydanego na Cyprze pod nieobecność dłużnika:</w:t>
      </w:r>
      <w:r w:rsidRPr="00276E4C">
        <w:rPr>
          <w:rStyle w:val="ClinConclusions"/>
          <w:lang w:val="pl-PL"/>
        </w:rPr>
        <w:t xml:space="preserve"> brak naruszenia</w:t>
      </w:r>
    </w:p>
    <w:p w:rsidR="00276E4C" w:rsidRPr="00276E4C" w:rsidRDefault="00276E4C">
      <w:pPr>
        <w:pStyle w:val="ClinContent"/>
        <w:rPr>
          <w:lang w:val="pl-PL"/>
        </w:rPr>
      </w:pPr>
      <w:r w:rsidRPr="00276E4C">
        <w:rPr>
          <w:i/>
          <w:lang w:val="pl-PL"/>
        </w:rPr>
        <w:t>Fakty</w:t>
      </w:r>
      <w:r w:rsidRPr="00276E4C">
        <w:rPr>
          <w:lang w:val="pl-PL"/>
        </w:rPr>
        <w:t xml:space="preserve"> – W maju 1999 r. skarżący, obywatel łotewski, </w:t>
      </w:r>
      <w:r>
        <w:rPr>
          <w:lang w:val="pl-PL"/>
        </w:rPr>
        <w:t>oraz spółka handlowa zarejestrowana na Cyprze podpisali przed notariuszem formalne uznanie długu, w którym skarżący oświadczył, że pożyczył sumę pienię</w:t>
      </w:r>
      <w:r w:rsidR="00642CC3">
        <w:rPr>
          <w:lang w:val="pl-PL"/>
        </w:rPr>
        <w:t>żną</w:t>
      </w:r>
      <w:r>
        <w:rPr>
          <w:lang w:val="pl-PL"/>
        </w:rPr>
        <w:t xml:space="preserve"> od spółki i zobowiązał się do jej spłaty z odsetkami do 30 czerwca tego samego roku. Dokument podlegał prawu cypryjskiemu, a sądy cypryjskie były właściwe do orzekania w sprawie wszelkich wynikających z niego sporów. </w:t>
      </w:r>
    </w:p>
    <w:p w:rsidR="00276E4C" w:rsidRPr="00276E4C" w:rsidRDefault="00276E4C">
      <w:pPr>
        <w:pStyle w:val="ClinContent"/>
        <w:rPr>
          <w:lang w:val="pl-PL"/>
        </w:rPr>
      </w:pPr>
      <w:r w:rsidRPr="00276E4C">
        <w:rPr>
          <w:lang w:val="pl-PL"/>
        </w:rPr>
        <w:t xml:space="preserve">W 2003 r. spółka pozwała skarżącego do sądu cypryjskiego za brak spłaty długu. </w:t>
      </w:r>
      <w:r>
        <w:rPr>
          <w:lang w:val="pl-PL"/>
        </w:rPr>
        <w:t xml:space="preserve">W maju 2004 r., orzekając pod nieobecność skarżącego, sąd nakazał mu spłacić dług wraz z odsetkami. Zgodnie z wyrokiem, skarżącego należycie powiadomiono o rozprawie, ale się na niej nie stawił. </w:t>
      </w:r>
    </w:p>
    <w:p w:rsidR="00276E4C" w:rsidRPr="00F212BD" w:rsidRDefault="00276E4C">
      <w:pPr>
        <w:pStyle w:val="ClinContent"/>
        <w:rPr>
          <w:lang w:val="pl-PL"/>
        </w:rPr>
      </w:pPr>
      <w:r w:rsidRPr="00276E4C">
        <w:rPr>
          <w:lang w:val="pl-PL"/>
        </w:rPr>
        <w:t xml:space="preserve">W lutym 2006 r., na </w:t>
      </w:r>
      <w:r w:rsidRPr="0008383F">
        <w:rPr>
          <w:lang w:val="pl-PL"/>
        </w:rPr>
        <w:t xml:space="preserve">wniosek spółki, sąd </w:t>
      </w:r>
      <w:r w:rsidRPr="00F212BD">
        <w:rPr>
          <w:lang w:val="pl-PL"/>
        </w:rPr>
        <w:t xml:space="preserve">łotewski </w:t>
      </w:r>
      <w:r w:rsidR="0008383F" w:rsidRPr="00F212BD">
        <w:rPr>
          <w:lang w:val="pl-PL"/>
        </w:rPr>
        <w:t xml:space="preserve">wydał zarządzenie o uznaniu </w:t>
      </w:r>
      <w:r w:rsidRPr="00F212BD">
        <w:rPr>
          <w:lang w:val="pl-PL"/>
        </w:rPr>
        <w:t xml:space="preserve">i </w:t>
      </w:r>
      <w:r w:rsidR="0008383F" w:rsidRPr="00F212BD">
        <w:rPr>
          <w:lang w:val="pl-PL"/>
        </w:rPr>
        <w:t>wykonaniu</w:t>
      </w:r>
      <w:r w:rsidRPr="00F212BD">
        <w:rPr>
          <w:lang w:val="pl-PL"/>
        </w:rPr>
        <w:t xml:space="preserve"> wyroku cypryjskiego </w:t>
      </w:r>
      <w:r w:rsidR="0008383F" w:rsidRPr="00F212BD">
        <w:rPr>
          <w:lang w:val="pl-PL"/>
        </w:rPr>
        <w:t>oraz odnotowaniu</w:t>
      </w:r>
      <w:r w:rsidRPr="00F212BD">
        <w:rPr>
          <w:lang w:val="pl-PL"/>
        </w:rPr>
        <w:t xml:space="preserve"> zarzutu przeciwko mieniu skarżącego w księdze wieczystej.</w:t>
      </w:r>
    </w:p>
    <w:p w:rsidR="00276E4C" w:rsidRPr="00F212BD" w:rsidRDefault="00276E4C">
      <w:pPr>
        <w:pStyle w:val="ClinContent"/>
        <w:rPr>
          <w:lang w:val="pl-PL"/>
        </w:rPr>
      </w:pPr>
      <w:r w:rsidRPr="00F212BD">
        <w:rPr>
          <w:lang w:val="pl-PL"/>
        </w:rPr>
        <w:t xml:space="preserve">Skarżący twierdził, że o istnieniu zarówno wyroku cypryjskiego, jak też </w:t>
      </w:r>
      <w:r w:rsidR="00642CC3" w:rsidRPr="00F212BD">
        <w:rPr>
          <w:lang w:val="pl-PL"/>
        </w:rPr>
        <w:t>zarządzenia</w:t>
      </w:r>
      <w:r w:rsidR="0008383F" w:rsidRPr="00F212BD">
        <w:rPr>
          <w:lang w:val="pl-PL"/>
        </w:rPr>
        <w:t xml:space="preserve"> egzekucyjnego sądu </w:t>
      </w:r>
      <w:r w:rsidR="00642CC3" w:rsidRPr="00F212BD">
        <w:rPr>
          <w:lang w:val="pl-PL"/>
        </w:rPr>
        <w:t xml:space="preserve">łotewskiego </w:t>
      </w:r>
      <w:r w:rsidR="0008383F" w:rsidRPr="00F212BD">
        <w:rPr>
          <w:lang w:val="pl-PL"/>
        </w:rPr>
        <w:t xml:space="preserve">dowiedział się przez przypadek w czerwcu 2006 r. Nie próbował podważać wyroku cypryjskiego przed sądami krajowymi, ale odwoływał się do sądów łotewskich od łotewskiego zarządzenia egzekucyjnego. </w:t>
      </w:r>
    </w:p>
    <w:p w:rsidR="0008383F" w:rsidRPr="003A630D" w:rsidRDefault="0008383F">
      <w:pPr>
        <w:pStyle w:val="ClinContent"/>
        <w:rPr>
          <w:lang w:val="pl-PL"/>
        </w:rPr>
      </w:pPr>
      <w:r w:rsidRPr="00F212BD">
        <w:rPr>
          <w:lang w:val="pl-PL"/>
        </w:rPr>
        <w:t xml:space="preserve">Ostatecznym wyrokiem ze stycznia 2007 r. Senat Łotewskiego Sądu Najwyższego uwzględnił wniosek spółki i zarządził uznanie i wykonanie wyroku cypryjskiego oraz odnotowanie zarzutu przeciwko nieruchomości skarżącego w księdze wieczystej. Na </w:t>
      </w:r>
      <w:r w:rsidRPr="00F212BD">
        <w:rPr>
          <w:lang w:val="pl-PL"/>
        </w:rPr>
        <w:lastRenderedPageBreak/>
        <w:t xml:space="preserve">podstawie tego wyroku sąd wydał nakaz egzekucyjny, a skarżący postąpił zgodnie z wyrokiem. </w:t>
      </w:r>
      <w:r w:rsidR="00642CC3" w:rsidRPr="003A630D">
        <w:rPr>
          <w:lang w:val="pl-PL"/>
        </w:rPr>
        <w:t>Zarzut</w:t>
      </w:r>
      <w:r w:rsidRPr="003A630D">
        <w:rPr>
          <w:lang w:val="pl-PL"/>
        </w:rPr>
        <w:t xml:space="preserve"> przeciwko jego mieniu został uchylony wkrótce potem. </w:t>
      </w:r>
    </w:p>
    <w:p w:rsidR="0008383F" w:rsidRPr="0008383F" w:rsidRDefault="0008383F">
      <w:pPr>
        <w:pStyle w:val="ClinContent"/>
        <w:rPr>
          <w:lang w:val="pl-PL"/>
        </w:rPr>
      </w:pPr>
      <w:r w:rsidRPr="0008383F">
        <w:rPr>
          <w:lang w:val="pl-PL"/>
        </w:rPr>
        <w:t xml:space="preserve">W skardze do </w:t>
      </w:r>
      <w:r w:rsidR="00152018" w:rsidRPr="0008383F">
        <w:rPr>
          <w:lang w:val="pl-PL"/>
        </w:rPr>
        <w:t>Europejskiego</w:t>
      </w:r>
      <w:r w:rsidRPr="0008383F">
        <w:rPr>
          <w:lang w:val="pl-PL"/>
        </w:rPr>
        <w:t xml:space="preserve"> Trybunału skarżący skarżył się, że </w:t>
      </w:r>
      <w:r w:rsidR="00152018">
        <w:rPr>
          <w:lang w:val="pl-PL"/>
        </w:rPr>
        <w:t xml:space="preserve">poprzez wykonanie wyroku sądu cypryjskiego, który, jego zdaniem, </w:t>
      </w:r>
      <w:r w:rsidR="00251205">
        <w:rPr>
          <w:lang w:val="pl-PL"/>
        </w:rPr>
        <w:t xml:space="preserve">był w sposób wyraźny wadliwy </w:t>
      </w:r>
      <w:r w:rsidR="00642CC3">
        <w:rPr>
          <w:lang w:val="pl-PL"/>
        </w:rPr>
        <w:t>jako wydany z naruszeniem jego praw do obrony</w:t>
      </w:r>
      <w:r w:rsidR="00152018">
        <w:rPr>
          <w:lang w:val="pl-PL"/>
        </w:rPr>
        <w:t xml:space="preserve">, sądy łotewskie nie wypełniły wymogów art. 6 ust. 1 Konwencji. Zarzucał przed sądami łotewskimi, że wezwanie do sądu na Cyprze, a także wniosek spółki, nie zostały mu należycie i w odpowiednim czasie doręczone, skutkiem </w:t>
      </w:r>
      <w:r w:rsidR="00251205">
        <w:rPr>
          <w:lang w:val="pl-PL"/>
        </w:rPr>
        <w:t xml:space="preserve">czego </w:t>
      </w:r>
      <w:r w:rsidR="00152018">
        <w:rPr>
          <w:lang w:val="pl-PL"/>
        </w:rPr>
        <w:t>było, iż nie był w stanie bronić swojej sprawy. W</w:t>
      </w:r>
      <w:r w:rsidR="00642CC3">
        <w:rPr>
          <w:lang w:val="pl-PL"/>
        </w:rPr>
        <w:t xml:space="preserve"> konsekwencji</w:t>
      </w:r>
      <w:r w:rsidR="00152018">
        <w:rPr>
          <w:lang w:val="pl-PL"/>
        </w:rPr>
        <w:t xml:space="preserve"> sądy łotewskie powinny były odmówić wykonania wyroku cypryjskiego.  </w:t>
      </w:r>
    </w:p>
    <w:p w:rsidR="00152018" w:rsidRPr="00152018" w:rsidRDefault="00152018">
      <w:pPr>
        <w:pStyle w:val="ClinContent"/>
        <w:rPr>
          <w:lang w:val="pl-PL"/>
        </w:rPr>
      </w:pPr>
      <w:r w:rsidRPr="00152018">
        <w:rPr>
          <w:lang w:val="pl-PL"/>
        </w:rPr>
        <w:t xml:space="preserve">W wyroku z dnia 25 lutego 2014 </w:t>
      </w:r>
      <w:r>
        <w:rPr>
          <w:lang w:val="pl-PL"/>
        </w:rPr>
        <w:t xml:space="preserve">r. (zobacz </w:t>
      </w:r>
      <w:hyperlink r:id="rId8" w:history="1">
        <w:r w:rsidRPr="00152018">
          <w:rPr>
            <w:rStyle w:val="Hipercze"/>
            <w:lang w:val="pl-PL"/>
          </w:rPr>
          <w:t>Nota informacyjna nr 177</w:t>
        </w:r>
      </w:hyperlink>
      <w:r w:rsidRPr="00152018">
        <w:rPr>
          <w:lang w:val="pl-PL"/>
        </w:rPr>
        <w:t xml:space="preserve">) Izba Trybunału jednomyślnie orzekła, iż nie doszło do naruszenia art. </w:t>
      </w:r>
      <w:r>
        <w:rPr>
          <w:lang w:val="pl-PL"/>
        </w:rPr>
        <w:t>6 ust. 1. W dniu 8 września 2014 r. sprawa została przekazana na wniosek skarżącego do Wielkiej Izby.</w:t>
      </w:r>
    </w:p>
    <w:p w:rsidR="00152018" w:rsidRPr="00251205" w:rsidRDefault="00152018">
      <w:pPr>
        <w:pStyle w:val="ClinContent"/>
        <w:rPr>
          <w:lang w:val="pl-PL"/>
        </w:rPr>
      </w:pPr>
      <w:r w:rsidRPr="00251205">
        <w:rPr>
          <w:i/>
          <w:lang w:val="pl-PL"/>
        </w:rPr>
        <w:t>Prawo</w:t>
      </w:r>
      <w:r w:rsidRPr="00251205">
        <w:rPr>
          <w:lang w:val="pl-PL"/>
        </w:rPr>
        <w:t xml:space="preserve"> – art. 6 ust. 1</w:t>
      </w:r>
    </w:p>
    <w:p w:rsidR="00152018" w:rsidRPr="003A630D" w:rsidRDefault="00152018">
      <w:pPr>
        <w:pStyle w:val="ClinContent"/>
        <w:rPr>
          <w:lang w:val="pl-PL"/>
        </w:rPr>
      </w:pPr>
      <w:r w:rsidRPr="00152018">
        <w:rPr>
          <w:lang w:val="pl-PL"/>
        </w:rPr>
        <w:t>(a)  </w:t>
      </w:r>
      <w:r w:rsidRPr="00152018">
        <w:rPr>
          <w:i/>
          <w:lang w:val="pl-PL"/>
        </w:rPr>
        <w:t>Zastosowalność</w:t>
      </w:r>
      <w:r w:rsidRPr="00152018">
        <w:rPr>
          <w:lang w:val="pl-PL"/>
        </w:rPr>
        <w:t xml:space="preserve"> – Wyrok sądu cypryjskiego nakazujący skarżącemu spłatę długu wynikającego z umowy dotyczył istoty obowiązku o charakterze “cywiln</w:t>
      </w:r>
      <w:r>
        <w:rPr>
          <w:lang w:val="pl-PL"/>
        </w:rPr>
        <w:t>ym</w:t>
      </w:r>
      <w:r w:rsidRPr="00152018">
        <w:rPr>
          <w:lang w:val="pl-PL"/>
        </w:rPr>
        <w:t xml:space="preserve">” </w:t>
      </w:r>
      <w:r>
        <w:rPr>
          <w:lang w:val="pl-PL"/>
        </w:rPr>
        <w:t xml:space="preserve">po stronie skarżącego. </w:t>
      </w:r>
      <w:r w:rsidRPr="003A630D">
        <w:rPr>
          <w:lang w:val="pl-PL"/>
        </w:rPr>
        <w:t xml:space="preserve">Art. 6 ust. 1 miał zatem zastosowanie. </w:t>
      </w:r>
    </w:p>
    <w:p w:rsidR="00152018" w:rsidRPr="009D2F7E" w:rsidRDefault="00152018">
      <w:pPr>
        <w:pStyle w:val="ClinContent"/>
        <w:rPr>
          <w:lang w:val="pl-PL"/>
        </w:rPr>
      </w:pPr>
      <w:r w:rsidRPr="00152018">
        <w:rPr>
          <w:lang w:val="pl-PL"/>
        </w:rPr>
        <w:t>(b)  </w:t>
      </w:r>
      <w:r w:rsidRPr="00152018">
        <w:rPr>
          <w:i/>
          <w:lang w:val="pl-PL"/>
        </w:rPr>
        <w:t xml:space="preserve">Domniemanie równoważnej ochrony (domniemanie </w:t>
      </w:r>
      <w:proofErr w:type="spellStart"/>
      <w:r w:rsidRPr="00152018">
        <w:rPr>
          <w:i/>
          <w:lang w:val="pl-PL"/>
        </w:rPr>
        <w:t>Bosphorus</w:t>
      </w:r>
      <w:proofErr w:type="spellEnd"/>
      <w:r w:rsidRPr="00152018">
        <w:rPr>
          <w:i/>
          <w:lang w:val="pl-PL"/>
        </w:rPr>
        <w:t>)</w:t>
      </w:r>
      <w:r>
        <w:rPr>
          <w:i/>
          <w:lang w:val="pl-PL"/>
        </w:rPr>
        <w:t xml:space="preserve"> </w:t>
      </w:r>
      <w:r w:rsidRPr="009D2F7E">
        <w:rPr>
          <w:lang w:val="pl-PL"/>
        </w:rPr>
        <w:t xml:space="preserve">– </w:t>
      </w:r>
      <w:r w:rsidR="009D2F7E" w:rsidRPr="009D2F7E">
        <w:rPr>
          <w:lang w:val="pl-PL"/>
        </w:rPr>
        <w:t xml:space="preserve">Zastosowanie </w:t>
      </w:r>
      <w:r w:rsidRPr="009D2F7E">
        <w:rPr>
          <w:lang w:val="pl-PL"/>
        </w:rPr>
        <w:t>domniemania równoważnej ochrony w systemi</w:t>
      </w:r>
      <w:r w:rsidR="009D2F7E" w:rsidRPr="009D2F7E">
        <w:rPr>
          <w:lang w:val="pl-PL"/>
        </w:rPr>
        <w:t>e</w:t>
      </w:r>
      <w:r w:rsidRPr="009D2F7E">
        <w:rPr>
          <w:lang w:val="pl-PL"/>
        </w:rPr>
        <w:t xml:space="preserve"> prawnym Unii </w:t>
      </w:r>
      <w:r w:rsidR="009D2F7E" w:rsidRPr="009D2F7E">
        <w:rPr>
          <w:lang w:val="pl-PL"/>
        </w:rPr>
        <w:t>Europejskiej</w:t>
      </w:r>
      <w:r w:rsidRPr="009D2F7E">
        <w:rPr>
          <w:lang w:val="pl-PL"/>
        </w:rPr>
        <w:t xml:space="preserve"> </w:t>
      </w:r>
      <w:r w:rsidR="00642CC3">
        <w:rPr>
          <w:lang w:val="pl-PL"/>
        </w:rPr>
        <w:t>podlega</w:t>
      </w:r>
      <w:r w:rsidRPr="009D2F7E">
        <w:rPr>
          <w:lang w:val="pl-PL"/>
        </w:rPr>
        <w:t xml:space="preserve"> dwóm warunkom, </w:t>
      </w:r>
      <w:r w:rsidR="009D2F7E" w:rsidRPr="009D2F7E">
        <w:rPr>
          <w:lang w:val="pl-PL"/>
        </w:rPr>
        <w:t>mianowicie</w:t>
      </w:r>
      <w:r w:rsidRPr="009D2F7E">
        <w:rPr>
          <w:lang w:val="pl-PL"/>
        </w:rPr>
        <w:t xml:space="preserve"> </w:t>
      </w:r>
      <w:r w:rsidR="009D2F7E">
        <w:rPr>
          <w:lang w:val="pl-PL"/>
        </w:rPr>
        <w:t>brak</w:t>
      </w:r>
      <w:r w:rsidR="00642CC3">
        <w:rPr>
          <w:lang w:val="pl-PL"/>
        </w:rPr>
        <w:t>u</w:t>
      </w:r>
      <w:r w:rsidR="009D2F7E">
        <w:rPr>
          <w:lang w:val="pl-PL"/>
        </w:rPr>
        <w:t xml:space="preserve"> po stronie </w:t>
      </w:r>
      <w:r w:rsidRPr="009D2F7E">
        <w:rPr>
          <w:lang w:val="pl-PL"/>
        </w:rPr>
        <w:t>w</w:t>
      </w:r>
      <w:r w:rsidR="009D2F7E">
        <w:rPr>
          <w:lang w:val="pl-PL"/>
        </w:rPr>
        <w:t>ładz krajowych</w:t>
      </w:r>
      <w:r w:rsidRPr="009D2F7E">
        <w:rPr>
          <w:lang w:val="pl-PL"/>
        </w:rPr>
        <w:t xml:space="preserve"> </w:t>
      </w:r>
      <w:r w:rsidRPr="00251205">
        <w:rPr>
          <w:lang w:val="pl-PL"/>
        </w:rPr>
        <w:t>margines</w:t>
      </w:r>
      <w:r w:rsidR="009D2F7E" w:rsidRPr="00251205">
        <w:rPr>
          <w:lang w:val="pl-PL"/>
        </w:rPr>
        <w:t>u</w:t>
      </w:r>
      <w:r w:rsidRPr="00251205">
        <w:rPr>
          <w:lang w:val="pl-PL"/>
        </w:rPr>
        <w:t xml:space="preserve"> uznania</w:t>
      </w:r>
      <w:r w:rsidR="009D2F7E" w:rsidRPr="009D2F7E">
        <w:rPr>
          <w:lang w:val="pl-PL"/>
        </w:rPr>
        <w:t xml:space="preserve"> oraz pełne</w:t>
      </w:r>
      <w:r w:rsidR="00351380">
        <w:rPr>
          <w:lang w:val="pl-PL"/>
        </w:rPr>
        <w:t>go</w:t>
      </w:r>
      <w:r w:rsidR="009D2F7E" w:rsidRPr="009D2F7E">
        <w:rPr>
          <w:lang w:val="pl-PL"/>
        </w:rPr>
        <w:t xml:space="preserve"> </w:t>
      </w:r>
      <w:r w:rsidR="00251205">
        <w:rPr>
          <w:lang w:val="pl-PL"/>
        </w:rPr>
        <w:t>zastosowanie</w:t>
      </w:r>
      <w:r w:rsidR="009D2F7E" w:rsidRPr="009D2F7E">
        <w:rPr>
          <w:lang w:val="pl-PL"/>
        </w:rPr>
        <w:t xml:space="preserve"> mechanizmu nadzorczego przewidzianego przez prawo Unii Europejskiej.  </w:t>
      </w:r>
    </w:p>
    <w:p w:rsidR="00152018" w:rsidRPr="009D2F7E" w:rsidRDefault="00152018">
      <w:pPr>
        <w:pStyle w:val="ClinContent"/>
        <w:rPr>
          <w:lang w:val="pl-PL"/>
        </w:rPr>
      </w:pPr>
      <w:r w:rsidRPr="009D2F7E">
        <w:rPr>
          <w:lang w:val="pl-PL"/>
        </w:rPr>
        <w:t xml:space="preserve">W odniesieniu do pierwszego </w:t>
      </w:r>
      <w:r w:rsidR="009D2F7E" w:rsidRPr="009D2F7E">
        <w:rPr>
          <w:lang w:val="pl-PL"/>
        </w:rPr>
        <w:t xml:space="preserve">warunku, </w:t>
      </w:r>
      <w:r w:rsidR="009D2F7E">
        <w:rPr>
          <w:lang w:val="pl-PL"/>
        </w:rPr>
        <w:t>przepis, który</w:t>
      </w:r>
      <w:r w:rsidR="009D2F7E" w:rsidRPr="009D2F7E">
        <w:rPr>
          <w:lang w:val="pl-PL"/>
        </w:rPr>
        <w:t xml:space="preserve"> zastosował </w:t>
      </w:r>
      <w:r w:rsidR="009D2F7E">
        <w:rPr>
          <w:lang w:val="pl-PL"/>
        </w:rPr>
        <w:t>Senat Sądu Najwyższego</w:t>
      </w:r>
      <w:r w:rsidR="00642CC3">
        <w:rPr>
          <w:lang w:val="pl-PL"/>
        </w:rPr>
        <w:t>, zawarty był</w:t>
      </w:r>
      <w:r w:rsidR="009D2F7E">
        <w:rPr>
          <w:lang w:val="pl-PL"/>
        </w:rPr>
        <w:t xml:space="preserve"> w </w:t>
      </w:r>
      <w:r w:rsidR="00251205">
        <w:rPr>
          <w:lang w:val="pl-PL"/>
        </w:rPr>
        <w:t>r</w:t>
      </w:r>
      <w:r w:rsidR="009D2F7E">
        <w:rPr>
          <w:lang w:val="pl-PL"/>
        </w:rPr>
        <w:t xml:space="preserve">ozporządzeniu </w:t>
      </w:r>
      <w:r w:rsidR="00251205">
        <w:rPr>
          <w:lang w:val="pl-PL"/>
        </w:rPr>
        <w:t>(</w:t>
      </w:r>
      <w:r w:rsidR="009D2F7E" w:rsidRPr="00251205">
        <w:rPr>
          <w:lang w:val="pl-PL"/>
        </w:rPr>
        <w:t>Bruksela I</w:t>
      </w:r>
      <w:r w:rsidR="00251205">
        <w:rPr>
          <w:lang w:val="pl-PL"/>
        </w:rPr>
        <w:t>)</w:t>
      </w:r>
      <w:r w:rsidR="009D2F7E" w:rsidRPr="00251205">
        <w:rPr>
          <w:lang w:val="pl-PL"/>
        </w:rPr>
        <w:t>,</w:t>
      </w:r>
      <w:r w:rsidR="009D2F7E">
        <w:rPr>
          <w:lang w:val="pl-PL"/>
        </w:rPr>
        <w:t xml:space="preserve"> które było </w:t>
      </w:r>
      <w:r w:rsidR="00251205">
        <w:rPr>
          <w:lang w:val="pl-PL"/>
        </w:rPr>
        <w:t xml:space="preserve">w pełni bezpośrednio </w:t>
      </w:r>
      <w:r w:rsidR="009D2F7E">
        <w:rPr>
          <w:lang w:val="pl-PL"/>
        </w:rPr>
        <w:t>stosowa</w:t>
      </w:r>
      <w:r w:rsidR="00A4612C">
        <w:rPr>
          <w:lang w:val="pl-PL"/>
        </w:rPr>
        <w:t>l</w:t>
      </w:r>
      <w:r w:rsidR="009D2F7E">
        <w:rPr>
          <w:lang w:val="pl-PL"/>
        </w:rPr>
        <w:t xml:space="preserve">ne w Państwach Członkowskich, a nie w </w:t>
      </w:r>
      <w:r w:rsidR="00C46640">
        <w:rPr>
          <w:lang w:val="pl-PL"/>
        </w:rPr>
        <w:t>d</w:t>
      </w:r>
      <w:r w:rsidR="009D2F7E">
        <w:rPr>
          <w:lang w:val="pl-PL"/>
        </w:rPr>
        <w:t>yrektywie, która byłaby wiążąca dla Państwa w odniesieniu do rezultatu, który miał</w:t>
      </w:r>
      <w:r w:rsidR="00C46640">
        <w:rPr>
          <w:lang w:val="pl-PL"/>
        </w:rPr>
        <w:t>by</w:t>
      </w:r>
      <w:r w:rsidR="009D2F7E">
        <w:rPr>
          <w:lang w:val="pl-PL"/>
        </w:rPr>
        <w:t xml:space="preserve"> być osiągnięty, ale z pozostawieniem Państwu wyboru środków i sposobu jego osiągnięcia. Przedmiotowy przepis dopuszczał odmowę uznania lub wykonania wyroku </w:t>
      </w:r>
      <w:r w:rsidR="00C46640">
        <w:rPr>
          <w:lang w:val="pl-PL"/>
        </w:rPr>
        <w:t xml:space="preserve">zagranicznego </w:t>
      </w:r>
      <w:r w:rsidR="009D2F7E">
        <w:rPr>
          <w:lang w:val="pl-PL"/>
        </w:rPr>
        <w:t xml:space="preserve">jedynie w bardzo precyzyjnie określonych granicach i pod pewnymi warunkami wstępnymi. Jasno wynikało z wykładni Trybunału Sprawiedliwości Unii Europejskiej (TSUE), że przepis ten nie przyznawał </w:t>
      </w:r>
      <w:r w:rsidR="00251205">
        <w:rPr>
          <w:lang w:val="pl-PL"/>
        </w:rPr>
        <w:t xml:space="preserve">żadnego uznania </w:t>
      </w:r>
      <w:r w:rsidR="009D2F7E">
        <w:rPr>
          <w:lang w:val="pl-PL"/>
        </w:rPr>
        <w:t xml:space="preserve">sądowi, do którego wystąpiono o wydanie deklaracji </w:t>
      </w:r>
      <w:proofErr w:type="spellStart"/>
      <w:r w:rsidR="009D2F7E">
        <w:rPr>
          <w:lang w:val="pl-PL"/>
        </w:rPr>
        <w:t>ws</w:t>
      </w:r>
      <w:proofErr w:type="spellEnd"/>
      <w:r w:rsidR="009D2F7E">
        <w:rPr>
          <w:lang w:val="pl-PL"/>
        </w:rPr>
        <w:t xml:space="preserve">. wykonalności. Trybunał uznał zatem, </w:t>
      </w:r>
      <w:r w:rsidR="009D2F7E" w:rsidRPr="00251205">
        <w:rPr>
          <w:lang w:val="pl-PL"/>
        </w:rPr>
        <w:t>że Senat Łotewskiego Sądu Najwyższego nie korzystał z żadnego marginesu uznania w</w:t>
      </w:r>
      <w:r w:rsidR="009D2F7E">
        <w:rPr>
          <w:lang w:val="pl-PL"/>
        </w:rPr>
        <w:t xml:space="preserve"> obecnej sprawie.</w:t>
      </w:r>
    </w:p>
    <w:p w:rsidR="009D2F7E" w:rsidRPr="009D2F7E" w:rsidRDefault="009D2F7E">
      <w:pPr>
        <w:pStyle w:val="ClinContent"/>
        <w:rPr>
          <w:lang w:val="pl-PL"/>
        </w:rPr>
      </w:pPr>
      <w:r w:rsidRPr="009D2F7E">
        <w:rPr>
          <w:lang w:val="pl-PL"/>
        </w:rPr>
        <w:t xml:space="preserve">W odniesieniu do drugiego warunku, </w:t>
      </w:r>
      <w:r w:rsidRPr="00251205">
        <w:rPr>
          <w:lang w:val="pl-PL"/>
        </w:rPr>
        <w:t xml:space="preserve">mianowicie pełnego </w:t>
      </w:r>
      <w:r w:rsidR="00251205">
        <w:rPr>
          <w:lang w:val="pl-PL"/>
        </w:rPr>
        <w:t>zastosowania</w:t>
      </w:r>
      <w:r w:rsidRPr="00251205">
        <w:rPr>
          <w:lang w:val="pl-PL"/>
        </w:rPr>
        <w:t xml:space="preserve"> mechanizmu nadzorczego przewidzianego przez prawo Unii Europ</w:t>
      </w:r>
      <w:r>
        <w:rPr>
          <w:lang w:val="pl-PL"/>
        </w:rPr>
        <w:t>ejskiej, Senat Sądu Najwyższego nie wystąpił do TSUE o wydanie orzeczenia w trybie prejudycjalnym w sprawie wykładni i stosowania właściwego artykułu Rozporządzenia. Jednakże, ten drugi wymóg należy stosować bez nadmiernego formalizmu i z uwzględnieniem szczególnych ce</w:t>
      </w:r>
      <w:r w:rsidR="00C46640">
        <w:rPr>
          <w:lang w:val="pl-PL"/>
        </w:rPr>
        <w:t>ch</w:t>
      </w:r>
      <w:r>
        <w:rPr>
          <w:lang w:val="pl-PL"/>
        </w:rPr>
        <w:t xml:space="preserve"> przedmiotowego mechanizmu nadzorczego. </w:t>
      </w:r>
    </w:p>
    <w:p w:rsidR="009D2F7E" w:rsidRPr="009D2F7E" w:rsidRDefault="009D2F7E">
      <w:pPr>
        <w:pStyle w:val="ClinContent"/>
        <w:rPr>
          <w:lang w:val="pl-PL"/>
        </w:rPr>
      </w:pPr>
      <w:r w:rsidRPr="009D2F7E">
        <w:rPr>
          <w:lang w:val="pl-PL"/>
        </w:rPr>
        <w:t xml:space="preserve">Skarżący nie podniósł żadnych szczególnych argumentów dotyczących wykładni właściwego przepisu Rozporządzenia </w:t>
      </w:r>
      <w:r>
        <w:rPr>
          <w:lang w:val="pl-PL"/>
        </w:rPr>
        <w:t>i</w:t>
      </w:r>
      <w:r w:rsidRPr="009D2F7E">
        <w:rPr>
          <w:lang w:val="pl-PL"/>
        </w:rPr>
        <w:t xml:space="preserve"> jego zgodności </w:t>
      </w:r>
      <w:r>
        <w:rPr>
          <w:lang w:val="pl-PL"/>
        </w:rPr>
        <w:t>z prawami podstawowymi, które uzasadniałyby st</w:t>
      </w:r>
      <w:r w:rsidR="00C46640">
        <w:rPr>
          <w:lang w:val="pl-PL"/>
        </w:rPr>
        <w:t>wierdzenie, że należało wystąpić</w:t>
      </w:r>
      <w:r>
        <w:rPr>
          <w:lang w:val="pl-PL"/>
        </w:rPr>
        <w:t xml:space="preserve"> o orzeczenie TSUE w trybie prejudycjalnym</w:t>
      </w:r>
      <w:r w:rsidR="00251205">
        <w:rPr>
          <w:lang w:val="pl-PL"/>
        </w:rPr>
        <w:t>.</w:t>
      </w:r>
      <w:r>
        <w:rPr>
          <w:lang w:val="pl-PL"/>
        </w:rPr>
        <w:t xml:space="preserve"> </w:t>
      </w:r>
      <w:r w:rsidR="00251205">
        <w:rPr>
          <w:lang w:val="pl-PL"/>
        </w:rPr>
        <w:t xml:space="preserve">Nie </w:t>
      </w:r>
      <w:r>
        <w:rPr>
          <w:lang w:val="pl-PL"/>
        </w:rPr>
        <w:t xml:space="preserve">przedłożył on </w:t>
      </w:r>
      <w:r w:rsidR="00251205">
        <w:rPr>
          <w:lang w:val="pl-PL"/>
        </w:rPr>
        <w:t xml:space="preserve">też </w:t>
      </w:r>
      <w:r>
        <w:rPr>
          <w:lang w:val="pl-PL"/>
        </w:rPr>
        <w:t xml:space="preserve">żadnego wniosku w tym celu do Senatu Łotewskiego Sądu Najwyższego. A zatem fakt, że sprawa nie została skierowana </w:t>
      </w:r>
      <w:r w:rsidR="00C46640">
        <w:rPr>
          <w:lang w:val="pl-PL"/>
        </w:rPr>
        <w:t>do</w:t>
      </w:r>
      <w:r>
        <w:rPr>
          <w:lang w:val="pl-PL"/>
        </w:rPr>
        <w:t xml:space="preserve"> wydania orzeczenia w trybie prejudycjalnym nie ma charakteru decydującego w obecnej sprawie. Należy więc uznać, że drugi w</w:t>
      </w:r>
      <w:r w:rsidR="00C46640">
        <w:rPr>
          <w:lang w:val="pl-PL"/>
        </w:rPr>
        <w:t>arunek</w:t>
      </w:r>
      <w:r>
        <w:rPr>
          <w:lang w:val="pl-PL"/>
        </w:rPr>
        <w:t xml:space="preserve"> do zastosowania domniemania </w:t>
      </w:r>
      <w:proofErr w:type="spellStart"/>
      <w:r>
        <w:rPr>
          <w:i/>
          <w:lang w:val="pl-PL"/>
        </w:rPr>
        <w:t>Bosphorus</w:t>
      </w:r>
      <w:proofErr w:type="spellEnd"/>
      <w:r>
        <w:rPr>
          <w:i/>
          <w:lang w:val="pl-PL"/>
        </w:rPr>
        <w:t xml:space="preserve"> </w:t>
      </w:r>
      <w:r>
        <w:rPr>
          <w:lang w:val="pl-PL"/>
        </w:rPr>
        <w:t xml:space="preserve">został spełniony. </w:t>
      </w:r>
    </w:p>
    <w:p w:rsidR="00FB53B4" w:rsidRPr="00FB53B4" w:rsidRDefault="00FB53B4">
      <w:pPr>
        <w:pStyle w:val="ClinContent"/>
        <w:rPr>
          <w:lang w:val="pl-PL"/>
        </w:rPr>
      </w:pPr>
      <w:r w:rsidRPr="00FB53B4">
        <w:rPr>
          <w:lang w:val="pl-PL"/>
        </w:rPr>
        <w:t xml:space="preserve">W świetle powyższych rozważań, domniemanie równoważnej ochrony miało zastosowanie w obecnej sprawie, jako że Senat Sądu Najwyższego jedynie </w:t>
      </w:r>
      <w:r>
        <w:rPr>
          <w:lang w:val="pl-PL"/>
        </w:rPr>
        <w:lastRenderedPageBreak/>
        <w:t xml:space="preserve">implementował </w:t>
      </w:r>
      <w:r w:rsidRPr="00FB53B4">
        <w:rPr>
          <w:lang w:val="pl-PL"/>
        </w:rPr>
        <w:t xml:space="preserve">obowiązki </w:t>
      </w:r>
      <w:r>
        <w:rPr>
          <w:lang w:val="pl-PL"/>
        </w:rPr>
        <w:t xml:space="preserve">prawne Łotwy wynikające z jej członkostwa w Unii Europejskiej. </w:t>
      </w:r>
    </w:p>
    <w:p w:rsidR="00FB53B4" w:rsidRPr="00FB53B4" w:rsidRDefault="00FB53B4">
      <w:pPr>
        <w:pStyle w:val="ClinContent"/>
        <w:rPr>
          <w:lang w:val="pl-PL"/>
        </w:rPr>
      </w:pPr>
      <w:r w:rsidRPr="00FB53B4">
        <w:rPr>
          <w:lang w:val="pl-PL"/>
        </w:rPr>
        <w:t>(c)  </w:t>
      </w:r>
      <w:r w:rsidRPr="00C46640">
        <w:rPr>
          <w:i/>
          <w:lang w:val="pl-PL"/>
        </w:rPr>
        <w:t>Zarzut, że ochrona praw gwarantowanych Konwencją była w sposób oczywisty niedostateczna</w:t>
      </w:r>
      <w:r>
        <w:rPr>
          <w:lang w:val="pl-PL"/>
        </w:rPr>
        <w:t xml:space="preserve"> </w:t>
      </w:r>
      <w:r w:rsidRPr="00FB53B4">
        <w:rPr>
          <w:lang w:val="pl-PL"/>
        </w:rPr>
        <w:t>–</w:t>
      </w:r>
      <w:r>
        <w:rPr>
          <w:lang w:val="pl-PL"/>
        </w:rPr>
        <w:t xml:space="preserve"> Trybunał </w:t>
      </w:r>
      <w:r w:rsidR="00C46640">
        <w:rPr>
          <w:lang w:val="pl-PL"/>
        </w:rPr>
        <w:t>zbadał</w:t>
      </w:r>
      <w:r>
        <w:rPr>
          <w:lang w:val="pl-PL"/>
        </w:rPr>
        <w:t>, czy ochrona praw podstawowych przyznana przez Senat Łotewskiego Sądu Najwyższego była w sposób oczywisty na tyle niedostateczna w obecnej sprawie, że obalone</w:t>
      </w:r>
      <w:r w:rsidR="00C46640">
        <w:rPr>
          <w:lang w:val="pl-PL"/>
        </w:rPr>
        <w:t xml:space="preserve"> zostało</w:t>
      </w:r>
      <w:r>
        <w:rPr>
          <w:lang w:val="pl-PL"/>
        </w:rPr>
        <w:t xml:space="preserve"> domniemanie równoważnej ochrony, w odniesieniu zarówno do </w:t>
      </w:r>
      <w:r w:rsidR="00251205">
        <w:rPr>
          <w:lang w:val="pl-PL"/>
        </w:rPr>
        <w:t xml:space="preserve">zastosowanego </w:t>
      </w:r>
      <w:r>
        <w:rPr>
          <w:lang w:val="pl-PL"/>
        </w:rPr>
        <w:t xml:space="preserve">przepisu prawa Unii Europejskiej, jak też jego implementacji w </w:t>
      </w:r>
      <w:r w:rsidR="00351380">
        <w:rPr>
          <w:lang w:val="pl-PL"/>
        </w:rPr>
        <w:t xml:space="preserve">konkretnej </w:t>
      </w:r>
      <w:r>
        <w:rPr>
          <w:lang w:val="pl-PL"/>
        </w:rPr>
        <w:t xml:space="preserve">sprawie skarżącego.  </w:t>
      </w:r>
    </w:p>
    <w:p w:rsidR="00FB53B4" w:rsidRPr="00FB53B4" w:rsidRDefault="00FB53B4">
      <w:pPr>
        <w:pStyle w:val="ClinContent"/>
        <w:rPr>
          <w:lang w:val="pl-PL"/>
        </w:rPr>
      </w:pPr>
      <w:r w:rsidRPr="00FB53B4">
        <w:rPr>
          <w:lang w:val="pl-PL"/>
        </w:rPr>
        <w:t>Wymóg wy</w:t>
      </w:r>
      <w:r w:rsidR="00C46640">
        <w:rPr>
          <w:lang w:val="pl-PL"/>
        </w:rPr>
        <w:t>korzystania środków wynikający</w:t>
      </w:r>
      <w:r w:rsidRPr="00FB53B4">
        <w:rPr>
          <w:lang w:val="pl-PL"/>
        </w:rPr>
        <w:t xml:space="preserve"> z mechanizmu przewidzianego przez właściwy przepis R</w:t>
      </w:r>
      <w:r>
        <w:rPr>
          <w:lang w:val="pl-PL"/>
        </w:rPr>
        <w:t>ozporządzenia</w:t>
      </w:r>
      <w:r w:rsidR="00C46640">
        <w:rPr>
          <w:lang w:val="pl-PL"/>
        </w:rPr>
        <w:t>, tak jak jest to interpretowane</w:t>
      </w:r>
      <w:r>
        <w:rPr>
          <w:lang w:val="pl-PL"/>
        </w:rPr>
        <w:t xml:space="preserve"> </w:t>
      </w:r>
      <w:r w:rsidRPr="00FB53B4">
        <w:rPr>
          <w:lang w:val="pl-PL"/>
        </w:rPr>
        <w:t xml:space="preserve">przez TSUE, sam w sobie nie </w:t>
      </w:r>
      <w:r w:rsidR="00C46640">
        <w:rPr>
          <w:lang w:val="pl-PL"/>
        </w:rPr>
        <w:t xml:space="preserve">jest </w:t>
      </w:r>
      <w:r w:rsidRPr="00FB53B4">
        <w:rPr>
          <w:lang w:val="pl-PL"/>
        </w:rPr>
        <w:t xml:space="preserve">problematyczny z punktu widzenia gwarancji art. </w:t>
      </w:r>
      <w:r>
        <w:rPr>
          <w:lang w:val="pl-PL"/>
        </w:rPr>
        <w:t xml:space="preserve">6 ust. 1 Konwencji. </w:t>
      </w:r>
    </w:p>
    <w:p w:rsidR="00FB53B4" w:rsidRPr="00FB53B4" w:rsidRDefault="00FB53B4">
      <w:pPr>
        <w:pStyle w:val="ClinContent"/>
        <w:rPr>
          <w:lang w:val="pl-PL"/>
        </w:rPr>
      </w:pPr>
      <w:r w:rsidRPr="00FB53B4">
        <w:rPr>
          <w:lang w:val="pl-PL"/>
        </w:rPr>
        <w:t>W postępowaniu przed Senatem Sądu Najwyższego s</w:t>
      </w:r>
      <w:r>
        <w:rPr>
          <w:lang w:val="pl-PL"/>
        </w:rPr>
        <w:t>karżący zarzucał, że nie otrzymał żadnego wezwania ani zawiadomienia o wyroku cypryjskim. Po</w:t>
      </w:r>
      <w:r w:rsidR="00C46640">
        <w:rPr>
          <w:lang w:val="pl-PL"/>
        </w:rPr>
        <w:t>wołał się przy tym na przesłanki</w:t>
      </w:r>
      <w:r>
        <w:rPr>
          <w:lang w:val="pl-PL"/>
        </w:rPr>
        <w:t xml:space="preserve"> do </w:t>
      </w:r>
      <w:r w:rsidR="00C46640">
        <w:rPr>
          <w:lang w:val="pl-PL"/>
        </w:rPr>
        <w:t>braku uznania</w:t>
      </w:r>
      <w:r w:rsidR="00251205">
        <w:rPr>
          <w:lang w:val="pl-PL"/>
        </w:rPr>
        <w:t>,</w:t>
      </w:r>
      <w:r w:rsidR="00C46640">
        <w:rPr>
          <w:lang w:val="pl-PL"/>
        </w:rPr>
        <w:t xml:space="preserve"> przewidziane</w:t>
      </w:r>
      <w:r>
        <w:rPr>
          <w:lang w:val="pl-PL"/>
        </w:rPr>
        <w:t xml:space="preserve"> przez właściwy przepis Rozporządzenia. Przepis ten wyraźnie stwierdzał, że tego typu przesłanki mogą być powoływane jedynie pod warunkiem, że wcześniej wszczęto postępowanie w celu zakwestionowania przedmiotowego wyroku, w zakresie, w jakim było to możliwe. Fakt, że skarżący </w:t>
      </w:r>
      <w:r w:rsidR="00C46640">
        <w:rPr>
          <w:lang w:val="pl-PL"/>
        </w:rPr>
        <w:t>powołał się na ten przepis</w:t>
      </w:r>
      <w:r>
        <w:rPr>
          <w:lang w:val="pl-PL"/>
        </w:rPr>
        <w:t>, a wcześniej nie kwestionował wyroku</w:t>
      </w:r>
      <w:r w:rsidR="00B602E6">
        <w:rPr>
          <w:lang w:val="pl-PL"/>
        </w:rPr>
        <w:t>,</w:t>
      </w:r>
      <w:r>
        <w:rPr>
          <w:lang w:val="pl-PL"/>
        </w:rPr>
        <w:t xml:space="preserve"> co było wymagane, </w:t>
      </w:r>
      <w:r w:rsidR="00C46640">
        <w:rPr>
          <w:lang w:val="pl-PL"/>
        </w:rPr>
        <w:t>rodził</w:t>
      </w:r>
      <w:r>
        <w:rPr>
          <w:lang w:val="pl-PL"/>
        </w:rPr>
        <w:t xml:space="preserve"> pytanie o dostępność takiego środka prawnego na Cyprze w okolicznościach obecnej sprawy. W</w:t>
      </w:r>
      <w:r w:rsidR="00C46640">
        <w:rPr>
          <w:lang w:val="pl-PL"/>
        </w:rPr>
        <w:t xml:space="preserve"> tej</w:t>
      </w:r>
      <w:r>
        <w:rPr>
          <w:lang w:val="pl-PL"/>
        </w:rPr>
        <w:t xml:space="preserve"> sytuacji Senat nie był uprawniony </w:t>
      </w:r>
      <w:r w:rsidR="00AE674E">
        <w:rPr>
          <w:lang w:val="pl-PL"/>
        </w:rPr>
        <w:t xml:space="preserve">do ograniczenia się </w:t>
      </w:r>
      <w:r w:rsidR="00C46640">
        <w:rPr>
          <w:lang w:val="pl-PL"/>
        </w:rPr>
        <w:t xml:space="preserve">jedynie </w:t>
      </w:r>
      <w:r w:rsidR="00AE674E">
        <w:rPr>
          <w:lang w:val="pl-PL"/>
        </w:rPr>
        <w:t>do skrytykowania skarżącego, co uczynił w wyroku ze stycznia 2007 r., za brak odwołania od przedmiotowego wyroku</w:t>
      </w:r>
      <w:r w:rsidR="00C46640">
        <w:rPr>
          <w:lang w:val="pl-PL"/>
        </w:rPr>
        <w:t>, a</w:t>
      </w:r>
      <w:r w:rsidR="00AE674E">
        <w:rPr>
          <w:lang w:val="pl-PL"/>
        </w:rPr>
        <w:t xml:space="preserve"> pominięcia milczeniem kwestii ciężaru dowodu co do istnienia i dostępności środka odwoławczego w państwie pochodzenia; </w:t>
      </w:r>
      <w:r w:rsidR="0045518F">
        <w:rPr>
          <w:lang w:val="pl-PL"/>
        </w:rPr>
        <w:t>a</w:t>
      </w:r>
      <w:r w:rsidR="00AE674E">
        <w:rPr>
          <w:lang w:val="pl-PL"/>
        </w:rPr>
        <w:t>rt. 6 ust. 1 Konwencji, podobnie jak właściwy przepis Rozporządzenia, wymaga</w:t>
      </w:r>
      <w:r w:rsidR="00EC4DBF">
        <w:rPr>
          <w:lang w:val="pl-PL"/>
        </w:rPr>
        <w:t>ł</w:t>
      </w:r>
      <w:r w:rsidR="00AE674E">
        <w:rPr>
          <w:lang w:val="pl-PL"/>
        </w:rPr>
        <w:t xml:space="preserve"> </w:t>
      </w:r>
      <w:r w:rsidR="00724891">
        <w:rPr>
          <w:lang w:val="pl-PL"/>
        </w:rPr>
        <w:t xml:space="preserve">od sądu </w:t>
      </w:r>
      <w:r w:rsidR="00AE674E">
        <w:rPr>
          <w:lang w:val="pl-PL"/>
        </w:rPr>
        <w:t xml:space="preserve">sprawdzenia, czy wymóg ten został spełniony, a w razie braku </w:t>
      </w:r>
      <w:r w:rsidR="00724891">
        <w:rPr>
          <w:lang w:val="pl-PL"/>
        </w:rPr>
        <w:t xml:space="preserve">sąd </w:t>
      </w:r>
      <w:r w:rsidR="00AE674E">
        <w:rPr>
          <w:lang w:val="pl-PL"/>
        </w:rPr>
        <w:t xml:space="preserve">nie mógł odmówić zbadania skargi skarżącego. </w:t>
      </w:r>
      <w:r w:rsidR="00EC4DBF">
        <w:rPr>
          <w:lang w:val="pl-PL"/>
        </w:rPr>
        <w:t xml:space="preserve">Określenie </w:t>
      </w:r>
      <w:r w:rsidR="00AE674E">
        <w:rPr>
          <w:lang w:val="pl-PL"/>
        </w:rPr>
        <w:t xml:space="preserve">ciężaru dowodu, </w:t>
      </w:r>
      <w:r w:rsidR="00EC4DBF">
        <w:rPr>
          <w:lang w:val="pl-PL"/>
        </w:rPr>
        <w:t xml:space="preserve">co </w:t>
      </w:r>
      <w:r w:rsidR="00AE674E">
        <w:rPr>
          <w:lang w:val="pl-PL"/>
        </w:rPr>
        <w:t>nie podlegał</w:t>
      </w:r>
      <w:r w:rsidR="00EC4DBF">
        <w:rPr>
          <w:lang w:val="pl-PL"/>
        </w:rPr>
        <w:t>o</w:t>
      </w:r>
      <w:r w:rsidR="00AE674E">
        <w:rPr>
          <w:lang w:val="pl-PL"/>
        </w:rPr>
        <w:t xml:space="preserve"> prawu Unii Europejskiej (co podkreślała Komisja Europejska), było zatem decydujące w obecnej sprawie. A zatem, kwestia ta powinna była zostać zbadana w kontradyktoryjnym postępowaniu prowadzącym do uzasadnionych ustaleń. Jednakże, Sąd </w:t>
      </w:r>
      <w:r w:rsidR="00724891">
        <w:rPr>
          <w:lang w:val="pl-PL"/>
        </w:rPr>
        <w:t xml:space="preserve">Najwyższy </w:t>
      </w:r>
      <w:r w:rsidR="00AE674E">
        <w:rPr>
          <w:lang w:val="pl-PL"/>
        </w:rPr>
        <w:t xml:space="preserve">w sposób milczący </w:t>
      </w:r>
      <w:r w:rsidR="00724891">
        <w:rPr>
          <w:lang w:val="pl-PL"/>
        </w:rPr>
        <w:t>założył,</w:t>
      </w:r>
      <w:r w:rsidR="00AE674E">
        <w:rPr>
          <w:lang w:val="pl-PL"/>
        </w:rPr>
        <w:t xml:space="preserve"> </w:t>
      </w:r>
      <w:r w:rsidR="00724891">
        <w:rPr>
          <w:lang w:val="pl-PL"/>
        </w:rPr>
        <w:t xml:space="preserve">że </w:t>
      </w:r>
      <w:r w:rsidR="00AE674E">
        <w:rPr>
          <w:lang w:val="pl-PL"/>
        </w:rPr>
        <w:t xml:space="preserve">ciężar dowodu spoczywał na skarżącym albo że taki środek faktycznie był dla niego dostępny. Podejście to, które </w:t>
      </w:r>
      <w:r w:rsidR="00EC4DBF">
        <w:rPr>
          <w:lang w:val="pl-PL"/>
        </w:rPr>
        <w:t>stanowiło</w:t>
      </w:r>
      <w:r w:rsidR="00AE674E">
        <w:rPr>
          <w:lang w:val="pl-PL"/>
        </w:rPr>
        <w:t xml:space="preserve"> dosłowne i automatyczne stosowanie właściwego przepisu Rozporządzenia, może teoretycznie prowadzić do stwierdzenia, że przyznana ochrona była w sposób oczywisty na tyle niedostateczna, że domniemanie równoważnej ochrony praw do obrony gwarantowanych </w:t>
      </w:r>
      <w:r w:rsidR="00EC4DBF">
        <w:rPr>
          <w:lang w:val="pl-PL"/>
        </w:rPr>
        <w:t xml:space="preserve">przez </w:t>
      </w:r>
      <w:r w:rsidR="00AE674E">
        <w:rPr>
          <w:lang w:val="pl-PL"/>
        </w:rPr>
        <w:t>art. 6 ust. 1 zostało podważone. Tym niemniej, w szczególnych okolicznościach ob</w:t>
      </w:r>
      <w:r w:rsidR="00EC4DBF">
        <w:rPr>
          <w:lang w:val="pl-PL"/>
        </w:rPr>
        <w:t xml:space="preserve">ecnej </w:t>
      </w:r>
      <w:r w:rsidR="00685C9C">
        <w:rPr>
          <w:lang w:val="pl-PL"/>
        </w:rPr>
        <w:t xml:space="preserve">skargi </w:t>
      </w:r>
      <w:r w:rsidR="00EC4DBF">
        <w:rPr>
          <w:lang w:val="pl-PL"/>
        </w:rPr>
        <w:t>Trybunał nie uznał</w:t>
      </w:r>
      <w:r w:rsidR="00AE674E">
        <w:rPr>
          <w:lang w:val="pl-PL"/>
        </w:rPr>
        <w:t xml:space="preserve">, że doszło do tego, pomimo że wspomniane niedociągnięcie </w:t>
      </w:r>
      <w:r w:rsidR="00EC4DBF">
        <w:rPr>
          <w:lang w:val="pl-PL"/>
        </w:rPr>
        <w:t xml:space="preserve">było </w:t>
      </w:r>
      <w:r w:rsidR="00AE674E">
        <w:rPr>
          <w:lang w:val="pl-PL"/>
        </w:rPr>
        <w:t xml:space="preserve">godne ubolewania.  </w:t>
      </w:r>
    </w:p>
    <w:p w:rsidR="00AE674E" w:rsidRPr="00AE674E" w:rsidRDefault="00AE674E">
      <w:pPr>
        <w:pStyle w:val="ClinContent"/>
        <w:rPr>
          <w:lang w:val="pl-PL"/>
        </w:rPr>
      </w:pPr>
      <w:r w:rsidRPr="00AE674E">
        <w:rPr>
          <w:lang w:val="pl-PL"/>
        </w:rPr>
        <w:t xml:space="preserve">Prawo cypryjskie dawało skarżącemu – po </w:t>
      </w:r>
      <w:r w:rsidR="00724891">
        <w:rPr>
          <w:lang w:val="pl-PL"/>
        </w:rPr>
        <w:t>uzyskaniu wiedzy</w:t>
      </w:r>
      <w:r w:rsidRPr="00AE674E">
        <w:rPr>
          <w:lang w:val="pl-PL"/>
        </w:rPr>
        <w:t xml:space="preserve"> o istnieniu wyroku – całkowicie realne </w:t>
      </w:r>
      <w:r>
        <w:rPr>
          <w:lang w:val="pl-PL"/>
        </w:rPr>
        <w:t xml:space="preserve">możliwości złożenia odwołania pomimo długiego czasu, jaki upłynął od wydania wyroku. </w:t>
      </w:r>
      <w:r w:rsidR="00941124">
        <w:rPr>
          <w:lang w:val="pl-PL"/>
        </w:rPr>
        <w:t xml:space="preserve">Zgodnie z cypryjskim ustawodawstwem i orzecznictwem, jeśli pozwany, przeciwko któremu został wydany wyrok zaoczny, wnioskował o uchylenie wyroku i twierdził, na dających się uzasadnić podstawach, że nie został on należycie wezwany przed sąd, który wydał wyrok, sąd rozpatrujący wniosek był zobowiązany, a nie jedynie upoważniony, uchylić </w:t>
      </w:r>
      <w:r w:rsidR="00EC4DBF">
        <w:rPr>
          <w:lang w:val="pl-PL"/>
        </w:rPr>
        <w:t xml:space="preserve">wydany zaocznie </w:t>
      </w:r>
      <w:r w:rsidR="00941124">
        <w:rPr>
          <w:lang w:val="pl-PL"/>
        </w:rPr>
        <w:t>wyrok. W okresie między czerwcem 2006 r. (kiedy udzielono</w:t>
      </w:r>
      <w:r w:rsidR="00724891">
        <w:rPr>
          <w:lang w:val="pl-PL"/>
        </w:rPr>
        <w:t xml:space="preserve"> skarżące</w:t>
      </w:r>
      <w:r w:rsidR="00941124">
        <w:rPr>
          <w:lang w:val="pl-PL"/>
        </w:rPr>
        <w:t xml:space="preserve">mu dostępu do całości akt sprawy w siedzibę sądu pierwszej instancji i umożliwiono zapoznanie się z treścią wyroku sądu cypryjskiego) a styczniem 2007 r. (kiedy miała miejsce rozprawa przed Senatem Sądu Najwyższego), skarżący miał wystarczająco dużo czasu, by skorzystać ze środka odwoławczego przed sądami cypryjskimi. Jednakże, z powodów znanych tylko jemu, nie podjął takiej próby. </w:t>
      </w:r>
    </w:p>
    <w:p w:rsidR="00941124" w:rsidRPr="00941124" w:rsidRDefault="00941124">
      <w:pPr>
        <w:pStyle w:val="ClinContent"/>
        <w:rPr>
          <w:lang w:val="pl-PL"/>
        </w:rPr>
      </w:pPr>
      <w:r w:rsidRPr="00941124">
        <w:rPr>
          <w:lang w:val="pl-PL"/>
        </w:rPr>
        <w:t>Fakt, że wyrok cypryjski nie wspominał o dostępnych środkach nie wpł</w:t>
      </w:r>
      <w:r>
        <w:rPr>
          <w:lang w:val="pl-PL"/>
        </w:rPr>
        <w:t>ywa</w:t>
      </w:r>
      <w:r w:rsidR="00EC4DBF">
        <w:rPr>
          <w:lang w:val="pl-PL"/>
        </w:rPr>
        <w:t>ł</w:t>
      </w:r>
      <w:r>
        <w:rPr>
          <w:lang w:val="pl-PL"/>
        </w:rPr>
        <w:t xml:space="preserve"> na ustalenia Trybunału. Prawdą jest, że łotewskie prawo </w:t>
      </w:r>
      <w:r w:rsidR="006A1D92">
        <w:rPr>
          <w:lang w:val="pl-PL"/>
        </w:rPr>
        <w:t xml:space="preserve">cywilne procesowe </w:t>
      </w:r>
      <w:r>
        <w:rPr>
          <w:lang w:val="pl-PL"/>
        </w:rPr>
        <w:t>zobowiązywało sądy do wskazania w t</w:t>
      </w:r>
      <w:r w:rsidR="006A1D92">
        <w:rPr>
          <w:lang w:val="pl-PL"/>
        </w:rPr>
        <w:t>reści</w:t>
      </w:r>
      <w:r>
        <w:rPr>
          <w:lang w:val="pl-PL"/>
        </w:rPr>
        <w:t xml:space="preserve"> ich orzeczeń </w:t>
      </w:r>
      <w:r w:rsidR="00E62CEA">
        <w:rPr>
          <w:lang w:val="pl-PL"/>
        </w:rPr>
        <w:t xml:space="preserve">szczegółowych rozwiązań i terminów dotyczących </w:t>
      </w:r>
      <w:r w:rsidR="00E62CEA">
        <w:rPr>
          <w:lang w:val="pl-PL"/>
        </w:rPr>
        <w:lastRenderedPageBreak/>
        <w:t xml:space="preserve">odwołań od tych orzeczeń. Jednakże, choć wymóg taki jest godny </w:t>
      </w:r>
      <w:r w:rsidR="00724891">
        <w:rPr>
          <w:lang w:val="pl-PL"/>
        </w:rPr>
        <w:t>pochwały</w:t>
      </w:r>
      <w:r w:rsidR="00EC4DBF">
        <w:rPr>
          <w:lang w:val="pl-PL"/>
        </w:rPr>
        <w:t xml:space="preserve">, jako że </w:t>
      </w:r>
      <w:r w:rsidR="00E62CEA">
        <w:rPr>
          <w:lang w:val="pl-PL"/>
        </w:rPr>
        <w:t xml:space="preserve">zapewnia </w:t>
      </w:r>
      <w:r w:rsidR="00724891">
        <w:rPr>
          <w:lang w:val="pl-PL"/>
        </w:rPr>
        <w:t xml:space="preserve">on </w:t>
      </w:r>
      <w:r w:rsidR="00E62CEA">
        <w:rPr>
          <w:lang w:val="pl-PL"/>
        </w:rPr>
        <w:t xml:space="preserve">dodatkowe gwarancje ułatwiające wykonywanie praw przez strony postępowania, jego istnienia nie można wywieść z art. 6 ust. 1 Konwencji. Do samego skarżącego należało zatem przeprowadzenie ustaleń – w razie potrzeby korzystając z właściwych porad – </w:t>
      </w:r>
      <w:r w:rsidR="00EC4DBF">
        <w:rPr>
          <w:lang w:val="pl-PL"/>
        </w:rPr>
        <w:t xml:space="preserve">co </w:t>
      </w:r>
      <w:r w:rsidR="00E62CEA">
        <w:rPr>
          <w:lang w:val="pl-PL"/>
        </w:rPr>
        <w:t xml:space="preserve">do środków </w:t>
      </w:r>
      <w:r w:rsidR="00724891">
        <w:rPr>
          <w:lang w:val="pl-PL"/>
        </w:rPr>
        <w:t xml:space="preserve">przysługujących </w:t>
      </w:r>
      <w:r w:rsidR="00E62CEA">
        <w:rPr>
          <w:lang w:val="pl-PL"/>
        </w:rPr>
        <w:t xml:space="preserve">mu na Cyprze, po tym jak uzyskał on wiedzę na temat przedmiotowego wyroku. </w:t>
      </w:r>
    </w:p>
    <w:p w:rsidR="004B4113" w:rsidRPr="004B4113" w:rsidRDefault="004B4113">
      <w:pPr>
        <w:pStyle w:val="ClinContent"/>
        <w:rPr>
          <w:lang w:val="pl-PL"/>
        </w:rPr>
      </w:pPr>
      <w:r w:rsidRPr="004B4113">
        <w:rPr>
          <w:lang w:val="pl-PL"/>
        </w:rPr>
        <w:t>W tej kwestii</w:t>
      </w:r>
      <w:r w:rsidR="00EC4DBF">
        <w:rPr>
          <w:lang w:val="pl-PL"/>
        </w:rPr>
        <w:t>,</w:t>
      </w:r>
      <w:r w:rsidRPr="004B4113">
        <w:rPr>
          <w:lang w:val="pl-PL"/>
        </w:rPr>
        <w:t xml:space="preserve"> skarżący, który był konsultantem inwestycyjnym, powinien</w:t>
      </w:r>
      <w:r w:rsidR="00724891">
        <w:rPr>
          <w:lang w:val="pl-PL"/>
        </w:rPr>
        <w:t xml:space="preserve"> był</w:t>
      </w:r>
      <w:r w:rsidRPr="004B4113">
        <w:rPr>
          <w:lang w:val="pl-PL"/>
        </w:rPr>
        <w:t xml:space="preserve"> być świadom konsekwencji prawnych uznania długu, kt</w:t>
      </w:r>
      <w:r>
        <w:rPr>
          <w:lang w:val="pl-PL"/>
        </w:rPr>
        <w:t xml:space="preserve">óre podpisał. </w:t>
      </w:r>
      <w:r w:rsidR="00EC4DBF">
        <w:rPr>
          <w:lang w:val="pl-PL"/>
        </w:rPr>
        <w:t>D</w:t>
      </w:r>
      <w:r>
        <w:rPr>
          <w:lang w:val="pl-PL"/>
        </w:rPr>
        <w:t xml:space="preserve">okument </w:t>
      </w:r>
      <w:r w:rsidR="00EC4DBF">
        <w:rPr>
          <w:lang w:val="pl-PL"/>
        </w:rPr>
        <w:t xml:space="preserve">ten </w:t>
      </w:r>
      <w:r>
        <w:rPr>
          <w:lang w:val="pl-PL"/>
        </w:rPr>
        <w:t>podlegał prawu cypryjskiemu, dotyczy</w:t>
      </w:r>
      <w:r w:rsidR="00724891">
        <w:rPr>
          <w:lang w:val="pl-PL"/>
        </w:rPr>
        <w:t>ł</w:t>
      </w:r>
      <w:r>
        <w:rPr>
          <w:lang w:val="pl-PL"/>
        </w:rPr>
        <w:t xml:space="preserve"> sumy pieniężnej pożyczonej przez skarżącego od spółki cypryjskiej i zawierał klauzulę przyznającą jurysdykcję sądom cypryjskim. A zatem, skarżący powinien być zapewnić sobie znajomość sposobu, w jaki będą prowadzone ewentualne postępowania przed sądami cypryjskimi. Poprzez zaniechanie uzyskania informacji na ten temat w dużym stopniu przyczynił się on, na skutek swej bezczynności i braku staranności, do spowodowani</w:t>
      </w:r>
      <w:r w:rsidR="00724891">
        <w:rPr>
          <w:lang w:val="pl-PL"/>
        </w:rPr>
        <w:t>a</w:t>
      </w:r>
      <w:r>
        <w:rPr>
          <w:lang w:val="pl-PL"/>
        </w:rPr>
        <w:t xml:space="preserve"> sytuacji, na którą poskarżył się do Trybunału, a której mógł by</w:t>
      </w:r>
      <w:r w:rsidR="00724891">
        <w:rPr>
          <w:lang w:val="pl-PL"/>
        </w:rPr>
        <w:t>ł</w:t>
      </w:r>
      <w:r>
        <w:rPr>
          <w:lang w:val="pl-PL"/>
        </w:rPr>
        <w:t xml:space="preserve"> zapobiec, by uniknąć wszelkiej szkody. </w:t>
      </w:r>
    </w:p>
    <w:p w:rsidR="004B4113" w:rsidRPr="004B4113" w:rsidRDefault="004B4113">
      <w:pPr>
        <w:pStyle w:val="ClinContent"/>
        <w:rPr>
          <w:lang w:val="pl-PL"/>
        </w:rPr>
      </w:pPr>
      <w:r w:rsidRPr="004B4113">
        <w:rPr>
          <w:lang w:val="pl-PL"/>
        </w:rPr>
        <w:t xml:space="preserve">A zatem, w szczególnych okolicznościach tej sprawy Trybunał nie uznaje, że ochrona praw podstawowych była w sposób oczywisty na tyle niedostateczna, że obalone zostało domniemanie równoważnej ochrony. </w:t>
      </w:r>
    </w:p>
    <w:p w:rsidR="004B4113" w:rsidRPr="004B4113" w:rsidRDefault="004B4113">
      <w:pPr>
        <w:pStyle w:val="ClinContent"/>
        <w:rPr>
          <w:lang w:val="pl-PL"/>
        </w:rPr>
      </w:pPr>
      <w:r w:rsidRPr="004B4113">
        <w:rPr>
          <w:lang w:val="pl-PL"/>
        </w:rPr>
        <w:t xml:space="preserve">Wreszcie, w odniesieniu do pozostałych </w:t>
      </w:r>
      <w:r w:rsidR="00724891">
        <w:rPr>
          <w:lang w:val="pl-PL"/>
        </w:rPr>
        <w:t>zarzutów</w:t>
      </w:r>
      <w:r w:rsidRPr="004B4113">
        <w:rPr>
          <w:lang w:val="pl-PL"/>
        </w:rPr>
        <w:t xml:space="preserve"> skarżącego na podstawie art. </w:t>
      </w:r>
      <w:r>
        <w:rPr>
          <w:lang w:val="pl-PL"/>
        </w:rPr>
        <w:t xml:space="preserve">6 ust. 1, w zakresie, w jakim Trybunał </w:t>
      </w:r>
      <w:r w:rsidR="00EC4DBF">
        <w:rPr>
          <w:lang w:val="pl-PL"/>
        </w:rPr>
        <w:t xml:space="preserve">był </w:t>
      </w:r>
      <w:r>
        <w:rPr>
          <w:lang w:val="pl-PL"/>
        </w:rPr>
        <w:t xml:space="preserve">właściwy do orzekania, </w:t>
      </w:r>
      <w:r w:rsidR="00EC4DBF">
        <w:rPr>
          <w:lang w:val="pl-PL"/>
        </w:rPr>
        <w:t xml:space="preserve">Trybunał nie </w:t>
      </w:r>
      <w:r w:rsidR="006A1D92">
        <w:rPr>
          <w:lang w:val="pl-PL"/>
        </w:rPr>
        <w:t>stw</w:t>
      </w:r>
      <w:r w:rsidR="00CA2001">
        <w:rPr>
          <w:lang w:val="pl-PL"/>
        </w:rPr>
        <w:t>i</w:t>
      </w:r>
      <w:r w:rsidR="006A1D92">
        <w:rPr>
          <w:lang w:val="pl-PL"/>
        </w:rPr>
        <w:t xml:space="preserve">erdził </w:t>
      </w:r>
      <w:r w:rsidR="00363213">
        <w:rPr>
          <w:lang w:val="pl-PL"/>
        </w:rPr>
        <w:t>naruszenia praw zapewnionych tym postanowieniem.</w:t>
      </w:r>
    </w:p>
    <w:p w:rsidR="00363213" w:rsidRPr="00363213" w:rsidRDefault="004E5802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363213" w:rsidRPr="00363213">
        <w:rPr>
          <w:lang w:val="pl-PL"/>
        </w:rPr>
        <w:t>: brak naruszenia (szesna</w:t>
      </w:r>
      <w:r w:rsidR="00EC4DBF">
        <w:rPr>
          <w:lang w:val="pl-PL"/>
        </w:rPr>
        <w:t>stoma</w:t>
      </w:r>
      <w:r w:rsidR="00363213" w:rsidRPr="00363213">
        <w:rPr>
          <w:lang w:val="pl-PL"/>
        </w:rPr>
        <w:t xml:space="preserve"> głos</w:t>
      </w:r>
      <w:r w:rsidR="00EC4DBF">
        <w:rPr>
          <w:lang w:val="pl-PL"/>
        </w:rPr>
        <w:t>ami</w:t>
      </w:r>
      <w:r w:rsidR="00363213" w:rsidRPr="00363213">
        <w:rPr>
          <w:lang w:val="pl-PL"/>
        </w:rPr>
        <w:t xml:space="preserve"> do jednego)</w:t>
      </w:r>
    </w:p>
    <w:p w:rsidR="00BC07E3" w:rsidRPr="00D718E4" w:rsidRDefault="00E50944">
      <w:pPr>
        <w:pStyle w:val="ClinContent"/>
        <w:rPr>
          <w:lang w:val="pl-PL"/>
        </w:rPr>
      </w:pPr>
      <w:r w:rsidRPr="00D718E4">
        <w:rPr>
          <w:lang w:val="pl-PL"/>
        </w:rPr>
        <w:t>(</w:t>
      </w:r>
      <w:r w:rsidR="00D718E4" w:rsidRPr="00D718E4">
        <w:rPr>
          <w:lang w:val="pl-PL"/>
        </w:rPr>
        <w:t>Zobacz</w:t>
      </w:r>
      <w:r w:rsidRPr="00D718E4">
        <w:rPr>
          <w:lang w:val="pl-PL"/>
        </w:rPr>
        <w:t xml:space="preserve"> </w:t>
      </w:r>
      <w:proofErr w:type="spellStart"/>
      <w:r w:rsidRPr="00D718E4">
        <w:rPr>
          <w:i/>
          <w:lang w:val="pl-PL"/>
        </w:rPr>
        <w:t>Bosphorus</w:t>
      </w:r>
      <w:proofErr w:type="spellEnd"/>
      <w:r w:rsidRPr="00D718E4">
        <w:rPr>
          <w:i/>
          <w:lang w:val="pl-PL"/>
        </w:rPr>
        <w:t xml:space="preserve"> </w:t>
      </w:r>
      <w:proofErr w:type="spellStart"/>
      <w:r w:rsidRPr="00D718E4">
        <w:rPr>
          <w:i/>
          <w:lang w:val="pl-PL"/>
        </w:rPr>
        <w:t>Hava</w:t>
      </w:r>
      <w:proofErr w:type="spellEnd"/>
      <w:r w:rsidRPr="00D718E4">
        <w:rPr>
          <w:i/>
          <w:lang w:val="pl-PL"/>
        </w:rPr>
        <w:t xml:space="preserve"> </w:t>
      </w:r>
      <w:proofErr w:type="spellStart"/>
      <w:r w:rsidRPr="00D718E4">
        <w:rPr>
          <w:i/>
          <w:lang w:val="pl-PL"/>
        </w:rPr>
        <w:t>Yolları</w:t>
      </w:r>
      <w:proofErr w:type="spellEnd"/>
      <w:r w:rsidRPr="00D718E4">
        <w:rPr>
          <w:i/>
          <w:lang w:val="pl-PL"/>
        </w:rPr>
        <w:t xml:space="preserve"> </w:t>
      </w:r>
      <w:proofErr w:type="spellStart"/>
      <w:r w:rsidRPr="00D718E4">
        <w:rPr>
          <w:i/>
          <w:lang w:val="pl-PL"/>
        </w:rPr>
        <w:t>Turizm</w:t>
      </w:r>
      <w:proofErr w:type="spellEnd"/>
      <w:r w:rsidRPr="00D718E4">
        <w:rPr>
          <w:i/>
          <w:lang w:val="pl-PL"/>
        </w:rPr>
        <w:t xml:space="preserve"> </w:t>
      </w:r>
      <w:proofErr w:type="spellStart"/>
      <w:r w:rsidRPr="00D718E4">
        <w:rPr>
          <w:i/>
          <w:lang w:val="pl-PL"/>
        </w:rPr>
        <w:t>ve</w:t>
      </w:r>
      <w:proofErr w:type="spellEnd"/>
      <w:r w:rsidRPr="00D718E4">
        <w:rPr>
          <w:i/>
          <w:lang w:val="pl-PL"/>
        </w:rPr>
        <w:t xml:space="preserve"> </w:t>
      </w:r>
      <w:proofErr w:type="spellStart"/>
      <w:r w:rsidRPr="00D718E4">
        <w:rPr>
          <w:i/>
          <w:lang w:val="pl-PL"/>
        </w:rPr>
        <w:t>Ticaret</w:t>
      </w:r>
      <w:proofErr w:type="spellEnd"/>
      <w:r w:rsidRPr="00D718E4">
        <w:rPr>
          <w:i/>
          <w:lang w:val="pl-PL"/>
        </w:rPr>
        <w:t xml:space="preserve"> Anonim </w:t>
      </w:r>
      <w:proofErr w:type="spellStart"/>
      <w:r w:rsidRPr="00D718E4">
        <w:rPr>
          <w:i/>
          <w:lang w:val="pl-PL"/>
        </w:rPr>
        <w:t>Şirketi</w:t>
      </w:r>
      <w:proofErr w:type="spellEnd"/>
      <w:r w:rsidRPr="00D718E4">
        <w:rPr>
          <w:i/>
          <w:lang w:val="pl-PL"/>
        </w:rPr>
        <w:t xml:space="preserve"> </w:t>
      </w:r>
      <w:r w:rsidR="002878E3" w:rsidRPr="00D718E4">
        <w:rPr>
          <w:i/>
          <w:lang w:val="pl-PL"/>
        </w:rPr>
        <w:t>p.</w:t>
      </w:r>
      <w:r w:rsidRPr="00D718E4">
        <w:rPr>
          <w:i/>
          <w:lang w:val="pl-PL"/>
        </w:rPr>
        <w:t> Ir</w:t>
      </w:r>
      <w:r w:rsidR="00D718E4">
        <w:rPr>
          <w:i/>
          <w:lang w:val="pl-PL"/>
        </w:rPr>
        <w:t>landii</w:t>
      </w:r>
      <w:r w:rsidRPr="00D718E4">
        <w:rPr>
          <w:lang w:val="pl-PL"/>
        </w:rPr>
        <w:t xml:space="preserve"> [</w:t>
      </w:r>
      <w:r w:rsidR="00D718E4">
        <w:rPr>
          <w:lang w:val="pl-PL"/>
        </w:rPr>
        <w:t>Wielka Izba</w:t>
      </w:r>
      <w:r w:rsidRPr="00D718E4">
        <w:rPr>
          <w:lang w:val="pl-PL"/>
        </w:rPr>
        <w:t xml:space="preserve">], </w:t>
      </w:r>
      <w:r w:rsidR="00D718E4">
        <w:rPr>
          <w:lang w:val="pl-PL"/>
        </w:rPr>
        <w:t xml:space="preserve">skarga nr </w:t>
      </w:r>
      <w:r w:rsidRPr="00D718E4">
        <w:rPr>
          <w:lang w:val="pl-PL"/>
        </w:rPr>
        <w:t>45036/98, 30 </w:t>
      </w:r>
      <w:r w:rsidR="00D718E4">
        <w:rPr>
          <w:lang w:val="pl-PL"/>
        </w:rPr>
        <w:t>czerwca</w:t>
      </w:r>
      <w:r w:rsidRPr="00D718E4">
        <w:rPr>
          <w:lang w:val="pl-PL"/>
        </w:rPr>
        <w:t xml:space="preserve"> 2005</w:t>
      </w:r>
      <w:r w:rsidR="00D718E4">
        <w:rPr>
          <w:lang w:val="pl-PL"/>
        </w:rPr>
        <w:t xml:space="preserve"> r.</w:t>
      </w:r>
      <w:r w:rsidRPr="00D718E4">
        <w:rPr>
          <w:lang w:val="pl-PL"/>
        </w:rPr>
        <w:t>,</w:t>
      </w:r>
      <w:r w:rsidR="00CA2001">
        <w:rPr>
          <w:lang w:val="pl-PL"/>
        </w:rPr>
        <w:t xml:space="preserve"> </w:t>
      </w:r>
      <w:hyperlink r:id="rId9" w:history="1">
        <w:r w:rsidR="00CA2001" w:rsidRPr="00CA2001">
          <w:rPr>
            <w:rStyle w:val="Hipercze"/>
            <w:lang w:val="pl-PL"/>
          </w:rPr>
          <w:t>Not</w:t>
        </w:r>
        <w:r w:rsidR="00CA2001">
          <w:rPr>
            <w:rStyle w:val="Hipercze"/>
            <w:lang w:val="pl-PL"/>
          </w:rPr>
          <w:t xml:space="preserve">a informacyjna nr </w:t>
        </w:r>
        <w:r w:rsidR="00CA2001" w:rsidRPr="00CA2001">
          <w:rPr>
            <w:rStyle w:val="Hipercze"/>
            <w:lang w:val="pl-PL"/>
          </w:rPr>
          <w:t>76</w:t>
        </w:r>
      </w:hyperlink>
      <w:r w:rsidRPr="00D718E4">
        <w:rPr>
          <w:lang w:val="pl-PL"/>
        </w:rPr>
        <w:t xml:space="preserve">; </w:t>
      </w:r>
      <w:r w:rsidRPr="00D718E4">
        <w:rPr>
          <w:i/>
          <w:lang w:val="pl-PL"/>
        </w:rPr>
        <w:t xml:space="preserve">M.S.S. </w:t>
      </w:r>
      <w:r w:rsidR="002878E3" w:rsidRPr="00D718E4">
        <w:rPr>
          <w:i/>
          <w:lang w:val="pl-PL"/>
        </w:rPr>
        <w:t>p.</w:t>
      </w:r>
      <w:r w:rsidRPr="00D718E4">
        <w:rPr>
          <w:i/>
          <w:lang w:val="pl-PL"/>
        </w:rPr>
        <w:t> Belgi</w:t>
      </w:r>
      <w:r w:rsidR="00D718E4">
        <w:rPr>
          <w:i/>
          <w:lang w:val="pl-PL"/>
        </w:rPr>
        <w:t>i i Grecji</w:t>
      </w:r>
      <w:r w:rsidRPr="00D718E4">
        <w:rPr>
          <w:lang w:val="pl-PL"/>
        </w:rPr>
        <w:t xml:space="preserve"> </w:t>
      </w:r>
      <w:r w:rsidR="00D718E4">
        <w:rPr>
          <w:lang w:val="pl-PL"/>
        </w:rPr>
        <w:t>[Wielka Izba</w:t>
      </w:r>
      <w:r w:rsidRPr="00D718E4">
        <w:rPr>
          <w:lang w:val="pl-PL"/>
        </w:rPr>
        <w:t xml:space="preserve">], </w:t>
      </w:r>
      <w:r w:rsidR="00D718E4">
        <w:rPr>
          <w:lang w:val="pl-PL"/>
        </w:rPr>
        <w:t xml:space="preserve">skarga nr </w:t>
      </w:r>
      <w:r w:rsidRPr="00D718E4">
        <w:rPr>
          <w:lang w:val="pl-PL"/>
        </w:rPr>
        <w:t>30696/09, 21 </w:t>
      </w:r>
      <w:r w:rsidR="00D718E4">
        <w:rPr>
          <w:lang w:val="pl-PL"/>
        </w:rPr>
        <w:t xml:space="preserve">stycznia </w:t>
      </w:r>
      <w:r w:rsidRPr="00D718E4">
        <w:rPr>
          <w:lang w:val="pl-PL"/>
        </w:rPr>
        <w:t>2011</w:t>
      </w:r>
      <w:r w:rsidR="00D718E4">
        <w:rPr>
          <w:lang w:val="pl-PL"/>
        </w:rPr>
        <w:t xml:space="preserve"> r.</w:t>
      </w:r>
      <w:r w:rsidRPr="00D718E4">
        <w:rPr>
          <w:lang w:val="pl-PL"/>
        </w:rPr>
        <w:t xml:space="preserve">, </w:t>
      </w:r>
      <w:hyperlink r:id="rId10" w:history="1">
        <w:r w:rsidR="00152018" w:rsidRPr="00D718E4">
          <w:rPr>
            <w:rStyle w:val="Hipercze"/>
            <w:lang w:val="pl-PL"/>
          </w:rPr>
          <w:t xml:space="preserve">Nota informacyjna nr </w:t>
        </w:r>
        <w:r w:rsidRPr="00D718E4">
          <w:rPr>
            <w:rStyle w:val="Hipercze"/>
            <w:lang w:val="pl-PL"/>
          </w:rPr>
          <w:t>137</w:t>
        </w:r>
      </w:hyperlink>
      <w:r w:rsidRPr="00D718E4">
        <w:rPr>
          <w:lang w:val="pl-PL"/>
        </w:rPr>
        <w:t xml:space="preserve">; </w:t>
      </w:r>
      <w:r w:rsidR="00D718E4">
        <w:rPr>
          <w:lang w:val="pl-PL"/>
        </w:rPr>
        <w:t>a także</w:t>
      </w:r>
      <w:r w:rsidRPr="00D718E4">
        <w:rPr>
          <w:lang w:val="pl-PL"/>
        </w:rPr>
        <w:t xml:space="preserve"> </w:t>
      </w:r>
      <w:proofErr w:type="spellStart"/>
      <w:r w:rsidRPr="00D718E4">
        <w:rPr>
          <w:i/>
          <w:lang w:val="pl-PL"/>
        </w:rPr>
        <w:t>Michaud</w:t>
      </w:r>
      <w:proofErr w:type="spellEnd"/>
      <w:r w:rsidRPr="00D718E4">
        <w:rPr>
          <w:i/>
          <w:lang w:val="pl-PL"/>
        </w:rPr>
        <w:t xml:space="preserve"> </w:t>
      </w:r>
      <w:r w:rsidR="002878E3" w:rsidRPr="00D718E4">
        <w:rPr>
          <w:i/>
          <w:lang w:val="pl-PL"/>
        </w:rPr>
        <w:t>p.</w:t>
      </w:r>
      <w:r w:rsidRPr="00D718E4">
        <w:rPr>
          <w:i/>
          <w:lang w:val="pl-PL"/>
        </w:rPr>
        <w:t> Franc</w:t>
      </w:r>
      <w:r w:rsidR="00D718E4">
        <w:rPr>
          <w:i/>
          <w:lang w:val="pl-PL"/>
        </w:rPr>
        <w:t>ji</w:t>
      </w:r>
      <w:r w:rsidRPr="00D718E4">
        <w:rPr>
          <w:lang w:val="pl-PL"/>
        </w:rPr>
        <w:t xml:space="preserve">, </w:t>
      </w:r>
      <w:r w:rsidR="00D718E4">
        <w:rPr>
          <w:lang w:val="pl-PL"/>
        </w:rPr>
        <w:t xml:space="preserve">skarga nr </w:t>
      </w:r>
      <w:r w:rsidRPr="00D718E4">
        <w:rPr>
          <w:lang w:val="pl-PL"/>
        </w:rPr>
        <w:t>12323/11, 6 </w:t>
      </w:r>
      <w:r w:rsidR="00D718E4">
        <w:rPr>
          <w:lang w:val="pl-PL"/>
        </w:rPr>
        <w:t xml:space="preserve">grudnia </w:t>
      </w:r>
      <w:r w:rsidRPr="00D718E4">
        <w:rPr>
          <w:lang w:val="pl-PL"/>
        </w:rPr>
        <w:t xml:space="preserve"> 2012</w:t>
      </w:r>
      <w:r w:rsidR="00D718E4">
        <w:rPr>
          <w:lang w:val="pl-PL"/>
        </w:rPr>
        <w:t xml:space="preserve"> r.</w:t>
      </w:r>
      <w:r w:rsidRPr="00D718E4">
        <w:rPr>
          <w:lang w:val="pl-PL"/>
        </w:rPr>
        <w:t xml:space="preserve">, </w:t>
      </w:r>
      <w:hyperlink r:id="rId11" w:history="1">
        <w:r w:rsidR="00152018" w:rsidRPr="00D718E4">
          <w:rPr>
            <w:rStyle w:val="Hipercze"/>
            <w:lang w:val="pl-PL"/>
          </w:rPr>
          <w:t xml:space="preserve">Nota informacyjna nr </w:t>
        </w:r>
        <w:r w:rsidRPr="00D718E4">
          <w:rPr>
            <w:rStyle w:val="Hipercze"/>
            <w:lang w:val="pl-PL"/>
          </w:rPr>
          <w:t>158</w:t>
        </w:r>
      </w:hyperlink>
      <w:r w:rsidRPr="00D718E4">
        <w:rPr>
          <w:lang w:val="pl-PL"/>
        </w:rPr>
        <w:t>).</w:t>
      </w:r>
    </w:p>
    <w:p w:rsidR="00BC07E3" w:rsidRPr="00D718E4" w:rsidRDefault="00BC07E3">
      <w:pPr>
        <w:pBdr>
          <w:bottom w:val="single" w:sz="8" w:space="1" w:color="auto"/>
        </w:pBdr>
        <w:rPr>
          <w:lang w:val="pl-PL"/>
        </w:rPr>
      </w:pPr>
    </w:p>
    <w:p w:rsidR="002878E3" w:rsidRPr="0074070E" w:rsidRDefault="002878E3" w:rsidP="002878E3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2878E3" w:rsidRPr="0074070E" w:rsidRDefault="002878E3" w:rsidP="002878E3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2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2878E3" w:rsidRPr="002878E3" w:rsidRDefault="002878E3" w:rsidP="00974A42">
      <w:pPr>
        <w:pStyle w:val="ClinFooter"/>
        <w:jc w:val="left"/>
        <w:rPr>
          <w:lang w:val="pl-PL"/>
        </w:rPr>
      </w:pPr>
    </w:p>
    <w:sectPr w:rsidR="002878E3" w:rsidRPr="002878E3" w:rsidSect="004A5B5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07A" w:rsidRDefault="00FC107A" w:rsidP="00C63262">
      <w:r>
        <w:separator/>
      </w:r>
    </w:p>
  </w:endnote>
  <w:endnote w:type="continuationSeparator" w:id="0">
    <w:p w:rsidR="00FC107A" w:rsidRDefault="00FC107A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0D" w:rsidRDefault="003A630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0D" w:rsidRDefault="003A630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07A" w:rsidRDefault="00FC107A" w:rsidP="00C63262">
      <w:r>
        <w:separator/>
      </w:r>
    </w:p>
  </w:footnote>
  <w:footnote w:type="continuationSeparator" w:id="0">
    <w:p w:rsidR="00FC107A" w:rsidRDefault="00FC107A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0D" w:rsidRDefault="003A63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AC29BB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75AD6"/>
    <w:rsid w:val="0008383F"/>
    <w:rsid w:val="00097888"/>
    <w:rsid w:val="000A661C"/>
    <w:rsid w:val="000F13B5"/>
    <w:rsid w:val="00107377"/>
    <w:rsid w:val="00143602"/>
    <w:rsid w:val="00152018"/>
    <w:rsid w:val="001769E4"/>
    <w:rsid w:val="00186560"/>
    <w:rsid w:val="00212E83"/>
    <w:rsid w:val="00251205"/>
    <w:rsid w:val="00276E4C"/>
    <w:rsid w:val="002878E3"/>
    <w:rsid w:val="002966E7"/>
    <w:rsid w:val="002E088D"/>
    <w:rsid w:val="002E0FD1"/>
    <w:rsid w:val="0030264F"/>
    <w:rsid w:val="003450B3"/>
    <w:rsid w:val="00351380"/>
    <w:rsid w:val="00363213"/>
    <w:rsid w:val="0036433B"/>
    <w:rsid w:val="00386958"/>
    <w:rsid w:val="003A630D"/>
    <w:rsid w:val="003A64A6"/>
    <w:rsid w:val="003C40CB"/>
    <w:rsid w:val="003D7BB3"/>
    <w:rsid w:val="00446AFC"/>
    <w:rsid w:val="0045518F"/>
    <w:rsid w:val="0046453F"/>
    <w:rsid w:val="004A5B52"/>
    <w:rsid w:val="004B4113"/>
    <w:rsid w:val="004D568D"/>
    <w:rsid w:val="004E1037"/>
    <w:rsid w:val="004E5802"/>
    <w:rsid w:val="0052092D"/>
    <w:rsid w:val="00540D75"/>
    <w:rsid w:val="005514E5"/>
    <w:rsid w:val="006028A1"/>
    <w:rsid w:val="00631A28"/>
    <w:rsid w:val="00642CC3"/>
    <w:rsid w:val="00685C9C"/>
    <w:rsid w:val="006A1D92"/>
    <w:rsid w:val="006A36AD"/>
    <w:rsid w:val="006C1D96"/>
    <w:rsid w:val="006F69C0"/>
    <w:rsid w:val="00712D3E"/>
    <w:rsid w:val="0071773F"/>
    <w:rsid w:val="00724891"/>
    <w:rsid w:val="00774515"/>
    <w:rsid w:val="007B29ED"/>
    <w:rsid w:val="00895EF3"/>
    <w:rsid w:val="008A669D"/>
    <w:rsid w:val="008C64D5"/>
    <w:rsid w:val="008D59DA"/>
    <w:rsid w:val="00903D38"/>
    <w:rsid w:val="00941124"/>
    <w:rsid w:val="009413D2"/>
    <w:rsid w:val="00974A42"/>
    <w:rsid w:val="00987860"/>
    <w:rsid w:val="009B3B2C"/>
    <w:rsid w:val="009D2F7E"/>
    <w:rsid w:val="009E3EF0"/>
    <w:rsid w:val="00A01052"/>
    <w:rsid w:val="00A04D9C"/>
    <w:rsid w:val="00A21C29"/>
    <w:rsid w:val="00A258BB"/>
    <w:rsid w:val="00A33306"/>
    <w:rsid w:val="00A33541"/>
    <w:rsid w:val="00A45616"/>
    <w:rsid w:val="00A4612C"/>
    <w:rsid w:val="00AC29BB"/>
    <w:rsid w:val="00AC4196"/>
    <w:rsid w:val="00AC7726"/>
    <w:rsid w:val="00AE674E"/>
    <w:rsid w:val="00B34A8A"/>
    <w:rsid w:val="00B602E6"/>
    <w:rsid w:val="00B80CA0"/>
    <w:rsid w:val="00B85770"/>
    <w:rsid w:val="00BC07E3"/>
    <w:rsid w:val="00BF1CD9"/>
    <w:rsid w:val="00C37433"/>
    <w:rsid w:val="00C46640"/>
    <w:rsid w:val="00C63262"/>
    <w:rsid w:val="00C72355"/>
    <w:rsid w:val="00C93CFB"/>
    <w:rsid w:val="00CA2001"/>
    <w:rsid w:val="00CB6D8D"/>
    <w:rsid w:val="00CF7BA6"/>
    <w:rsid w:val="00D42086"/>
    <w:rsid w:val="00D425B3"/>
    <w:rsid w:val="00D718E4"/>
    <w:rsid w:val="00DB33B0"/>
    <w:rsid w:val="00DE6B9C"/>
    <w:rsid w:val="00E50944"/>
    <w:rsid w:val="00E55491"/>
    <w:rsid w:val="00E56D59"/>
    <w:rsid w:val="00E62CEA"/>
    <w:rsid w:val="00E83DB6"/>
    <w:rsid w:val="00EA53E7"/>
    <w:rsid w:val="00EC4DBF"/>
    <w:rsid w:val="00F212BD"/>
    <w:rsid w:val="00F508C9"/>
    <w:rsid w:val="00F50CCD"/>
    <w:rsid w:val="00F5247C"/>
    <w:rsid w:val="00FA29ED"/>
    <w:rsid w:val="00FB53B4"/>
    <w:rsid w:val="00FC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styleId="Tekstprzypisukocowego">
    <w:name w:val="endnote text"/>
    <w:basedOn w:val="Normalny"/>
    <w:link w:val="TekstprzypisukocowegoZnak"/>
    <w:semiHidden/>
    <w:unhideWhenUsed/>
    <w:rsid w:val="00AE674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E674E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AE674E"/>
    <w:rPr>
      <w:vertAlign w:val="superscript"/>
    </w:rPr>
  </w:style>
  <w:style w:type="paragraph" w:customStyle="1" w:styleId="s746c8714">
    <w:name w:val="s746c8714"/>
    <w:basedOn w:val="Normalny"/>
    <w:rsid w:val="00B34A8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B34A8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34A8A"/>
  </w:style>
  <w:style w:type="character" w:customStyle="1" w:styleId="object">
    <w:name w:val="object"/>
    <w:basedOn w:val="Domylnaczcionkaakapitu"/>
    <w:rsid w:val="00B34A8A"/>
  </w:style>
  <w:style w:type="character" w:styleId="UyteHipercze">
    <w:name w:val="FollowedHyperlink"/>
    <w:basedOn w:val="Domylnaczcionkaakapitu"/>
    <w:semiHidden/>
    <w:unhideWhenUsed/>
    <w:rsid w:val="00A4612C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styleId="Tekstprzypisukocowego">
    <w:name w:val="endnote text"/>
    <w:basedOn w:val="Normalny"/>
    <w:link w:val="TekstprzypisukocowegoZnak"/>
    <w:semiHidden/>
    <w:unhideWhenUsed/>
    <w:rsid w:val="00AE674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E674E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AE674E"/>
    <w:rPr>
      <w:vertAlign w:val="superscript"/>
    </w:rPr>
  </w:style>
  <w:style w:type="paragraph" w:customStyle="1" w:styleId="s746c8714">
    <w:name w:val="s746c8714"/>
    <w:basedOn w:val="Normalny"/>
    <w:rsid w:val="00B34A8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B34A8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34A8A"/>
  </w:style>
  <w:style w:type="character" w:customStyle="1" w:styleId="object">
    <w:name w:val="object"/>
    <w:basedOn w:val="Domylnaczcionkaakapitu"/>
    <w:rsid w:val="00B34A8A"/>
  </w:style>
  <w:style w:type="character" w:styleId="UyteHipercze">
    <w:name w:val="FollowedHyperlink"/>
    <w:basedOn w:val="Domylnaczcionkaakapitu"/>
    <w:semiHidden/>
    <w:unhideWhenUsed/>
    <w:rsid w:val="00A4612C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0190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hyperlink" Target="http://www.echr.coe.int/NoteInformation/en" TargetMode="External"/><Relationship Id="rId17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hudoc.echr.coe.int/eng?i=002-7326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hudoc.echr.coe.int/eng?i=002-628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2-3835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1707</Words>
  <Characters>10244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2017-04-05T12:13:00Z</dcterms:created>
  <dcterms:modified xsi:type="dcterms:W3CDTF">2017-06-21T12:10:00Z</dcterms:modified>
</cp:coreProperties>
</file>