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05" w:rsidRDefault="00210305" w:rsidP="00210305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210305" w:rsidRDefault="00210305" w:rsidP="00266469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266469" w:rsidRDefault="00266469" w:rsidP="0026646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A024A4" w:rsidRPr="001E6385" w:rsidRDefault="001E6385" w:rsidP="001E6385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2878E3">
        <w:rPr>
          <w:lang w:val="pl-PL"/>
        </w:rPr>
        <w:t xml:space="preserve"> </w:t>
      </w:r>
      <w:r w:rsidR="003B10B6" w:rsidRPr="001E6385">
        <w:rPr>
          <w:lang w:val="pl-PL"/>
        </w:rPr>
        <w:t>194</w:t>
      </w:r>
    </w:p>
    <w:p w:rsidR="00A024A4" w:rsidRPr="001E6385" w:rsidRDefault="003B10B6">
      <w:pPr>
        <w:pStyle w:val="ClinEditionMonth"/>
        <w:rPr>
          <w:lang w:val="pl-PL"/>
        </w:rPr>
      </w:pPr>
      <w:r w:rsidRPr="001E6385">
        <w:rPr>
          <w:lang w:val="pl-PL"/>
        </w:rPr>
        <w:t>Mar</w:t>
      </w:r>
      <w:r w:rsidR="001E6385" w:rsidRPr="001E6385">
        <w:rPr>
          <w:lang w:val="pl-PL"/>
        </w:rPr>
        <w:t>zec</w:t>
      </w:r>
      <w:r w:rsidRPr="001E6385">
        <w:rPr>
          <w:lang w:val="pl-PL"/>
        </w:rPr>
        <w:t xml:space="preserve"> 2016</w:t>
      </w:r>
      <w:r w:rsidR="001E6385" w:rsidRPr="001E6385">
        <w:rPr>
          <w:lang w:val="pl-PL"/>
        </w:rPr>
        <w:t xml:space="preserve"> r.</w:t>
      </w:r>
    </w:p>
    <w:p w:rsidR="00A024A4" w:rsidRPr="001E6385" w:rsidRDefault="001E6385">
      <w:pPr>
        <w:rPr>
          <w:lang w:val="pl-PL"/>
        </w:rPr>
      </w:pPr>
      <w:r w:rsidRPr="001E6385">
        <w:rPr>
          <w:rStyle w:val="ClinCaseTitle"/>
          <w:lang w:val="pl-PL"/>
        </w:rPr>
        <w:t>Armani Da Silva p</w:t>
      </w:r>
      <w:r w:rsidR="003B10B6" w:rsidRPr="001E6385">
        <w:rPr>
          <w:rStyle w:val="ClinCaseTitle"/>
          <w:lang w:val="pl-PL"/>
        </w:rPr>
        <w:t xml:space="preserve">. </w:t>
      </w:r>
      <w:r w:rsidRPr="001E6385">
        <w:rPr>
          <w:rStyle w:val="ClinCaseTitle"/>
          <w:lang w:val="pl-PL"/>
        </w:rPr>
        <w:t xml:space="preserve">Wielkiej Brytanii </w:t>
      </w:r>
      <w:r w:rsidR="003B10B6" w:rsidRPr="001E6385">
        <w:rPr>
          <w:rStyle w:val="ClinCaseTitle"/>
          <w:lang w:val="pl-PL"/>
        </w:rPr>
        <w:t>[</w:t>
      </w:r>
      <w:r w:rsidRPr="001E6385">
        <w:rPr>
          <w:rStyle w:val="ClinCaseTitle"/>
          <w:lang w:val="pl-PL"/>
        </w:rPr>
        <w:t>Wielka Izba</w:t>
      </w:r>
      <w:r w:rsidR="003B10B6" w:rsidRPr="001E6385">
        <w:rPr>
          <w:rStyle w:val="ClinCaseTitle"/>
          <w:lang w:val="pl-PL"/>
        </w:rPr>
        <w:t>]</w:t>
      </w:r>
      <w:r w:rsidR="003B10B6" w:rsidRPr="001E6385">
        <w:rPr>
          <w:rStyle w:val="ClinApplicationNumber"/>
          <w:lang w:val="pl-PL"/>
        </w:rPr>
        <w:t xml:space="preserve"> </w:t>
      </w:r>
      <w:r w:rsidR="004D2C80">
        <w:rPr>
          <w:rStyle w:val="ClinApplicationNumber"/>
          <w:lang w:val="pl-PL"/>
        </w:rPr>
        <w:br/>
      </w:r>
      <w:r w:rsidRPr="001E6385">
        <w:rPr>
          <w:rStyle w:val="ClinApplicationNumber"/>
          <w:lang w:val="pl-PL"/>
        </w:rPr>
        <w:t>–</w:t>
      </w:r>
      <w:r w:rsidR="003B10B6" w:rsidRPr="001E6385">
        <w:rPr>
          <w:rStyle w:val="ClinApplicationNumber"/>
          <w:lang w:val="pl-PL"/>
        </w:rPr>
        <w:t xml:space="preserve"> </w:t>
      </w:r>
      <w:r w:rsidRPr="001E6385">
        <w:rPr>
          <w:rStyle w:val="ClinApplicationNumber"/>
          <w:lang w:val="pl-PL"/>
        </w:rPr>
        <w:t xml:space="preserve">skarga nr </w:t>
      </w:r>
      <w:r w:rsidR="003B10B6" w:rsidRPr="001E6385">
        <w:rPr>
          <w:rStyle w:val="ClinApplicationNumber"/>
          <w:lang w:val="pl-PL"/>
        </w:rPr>
        <w:t>5878/08</w:t>
      </w:r>
    </w:p>
    <w:p w:rsidR="00A024A4" w:rsidRPr="001E6385" w:rsidRDefault="001E6385">
      <w:pPr>
        <w:rPr>
          <w:lang w:val="pl-PL"/>
        </w:rPr>
      </w:pPr>
      <w:r w:rsidRPr="001E6385">
        <w:rPr>
          <w:rStyle w:val="ClinHudocDocumentTitle"/>
          <w:lang w:val="pl-PL"/>
        </w:rPr>
        <w:t xml:space="preserve">Wyrok z </w:t>
      </w:r>
      <w:r w:rsidR="003B10B6" w:rsidRPr="001E6385">
        <w:rPr>
          <w:rStyle w:val="ClinHudocDocumentTitle"/>
          <w:lang w:val="pl-PL"/>
        </w:rPr>
        <w:t>30.</w:t>
      </w:r>
      <w:r w:rsidR="007237B5">
        <w:rPr>
          <w:rStyle w:val="ClinHudocDocumentTitle"/>
          <w:lang w:val="pl-PL"/>
        </w:rPr>
        <w:t>0</w:t>
      </w:r>
      <w:r w:rsidR="003B10B6" w:rsidRPr="001E6385">
        <w:rPr>
          <w:rStyle w:val="ClinHudocDocumentTitle"/>
          <w:lang w:val="pl-PL"/>
        </w:rPr>
        <w:t>3.2016</w:t>
      </w:r>
      <w:r w:rsidR="003B10B6" w:rsidRPr="001E6385">
        <w:rPr>
          <w:rStyle w:val="ClinSectionName"/>
          <w:lang w:val="pl-PL"/>
        </w:rPr>
        <w:t xml:space="preserve"> </w:t>
      </w:r>
      <w:r w:rsidRPr="001E6385">
        <w:rPr>
          <w:rStyle w:val="ClinSectionName"/>
          <w:lang w:val="pl-PL"/>
        </w:rPr>
        <w:t xml:space="preserve">r. </w:t>
      </w:r>
      <w:r w:rsidR="003B10B6" w:rsidRPr="001E6385">
        <w:rPr>
          <w:rStyle w:val="ClinSectionName"/>
          <w:lang w:val="pl-PL"/>
        </w:rPr>
        <w:t>[</w:t>
      </w:r>
      <w:r w:rsidRPr="001E6385">
        <w:rPr>
          <w:rStyle w:val="ClinSectionName"/>
          <w:lang w:val="pl-PL"/>
        </w:rPr>
        <w:t>Wielka Izba</w:t>
      </w:r>
      <w:r w:rsidR="003B10B6" w:rsidRPr="001E6385">
        <w:rPr>
          <w:rStyle w:val="ClinSectionName"/>
          <w:lang w:val="pl-PL"/>
        </w:rPr>
        <w:t>]</w:t>
      </w:r>
    </w:p>
    <w:p w:rsidR="00A024A4" w:rsidRPr="00AD6FA2" w:rsidRDefault="00550E5D">
      <w:pPr>
        <w:pStyle w:val="ClinMainKeywordCode"/>
        <w:rPr>
          <w:lang w:val="pl-PL"/>
        </w:rPr>
      </w:pPr>
      <w:r w:rsidRPr="00AD6FA2">
        <w:rPr>
          <w:lang w:val="pl-PL"/>
        </w:rPr>
        <w:t>Art.</w:t>
      </w:r>
      <w:r w:rsidR="003B10B6" w:rsidRPr="00AD6FA2">
        <w:rPr>
          <w:lang w:val="pl-PL"/>
        </w:rPr>
        <w:t xml:space="preserve"> 2</w:t>
      </w:r>
    </w:p>
    <w:p w:rsidR="00A024A4" w:rsidRPr="00550E5D" w:rsidRDefault="00550E5D">
      <w:pPr>
        <w:pStyle w:val="ClinChildKeywordCode"/>
        <w:rPr>
          <w:lang w:val="pl-PL"/>
        </w:rPr>
      </w:pPr>
      <w:r w:rsidRPr="00550E5D">
        <w:rPr>
          <w:lang w:val="pl-PL"/>
        </w:rPr>
        <w:t>Art.</w:t>
      </w:r>
      <w:r w:rsidR="003B10B6" w:rsidRPr="00550E5D">
        <w:rPr>
          <w:lang w:val="pl-PL"/>
        </w:rPr>
        <w:t xml:space="preserve"> 2</w:t>
      </w:r>
      <w:r w:rsidRPr="00550E5D">
        <w:rPr>
          <w:lang w:val="pl-PL"/>
        </w:rPr>
        <w:t xml:space="preserve"> ust. </w:t>
      </w:r>
      <w:r w:rsidR="003B10B6" w:rsidRPr="00550E5D">
        <w:rPr>
          <w:lang w:val="pl-PL"/>
        </w:rPr>
        <w:t>1</w:t>
      </w:r>
    </w:p>
    <w:p w:rsidR="00A024A4" w:rsidRPr="00550E5D" w:rsidRDefault="00550E5D">
      <w:pPr>
        <w:pStyle w:val="ClinKeyword"/>
        <w:rPr>
          <w:lang w:val="pl-PL"/>
        </w:rPr>
      </w:pPr>
      <w:r w:rsidRPr="00550E5D">
        <w:rPr>
          <w:lang w:val="pl-PL"/>
        </w:rPr>
        <w:t xml:space="preserve">Skuteczne śledztwo </w:t>
      </w:r>
    </w:p>
    <w:p w:rsidR="00550E5D" w:rsidRPr="00550E5D" w:rsidRDefault="00550E5D" w:rsidP="00464C3A">
      <w:pPr>
        <w:jc w:val="both"/>
        <w:rPr>
          <w:lang w:val="pl-PL"/>
        </w:rPr>
      </w:pPr>
      <w:r>
        <w:rPr>
          <w:lang w:val="pl-PL"/>
        </w:rPr>
        <w:t>Zarzut</w:t>
      </w:r>
      <w:r w:rsidRPr="00550E5D">
        <w:rPr>
          <w:lang w:val="pl-PL"/>
        </w:rPr>
        <w:t xml:space="preserve"> braku przeprowadzenia skutecznego śledztwa w sprawie postrzelenia ze skutkiem śmiertelnym osoby omyłkowo zidentyfikowanej jako podejrzany terrorysta</w:t>
      </w:r>
      <w:r>
        <w:rPr>
          <w:lang w:val="pl-PL"/>
        </w:rPr>
        <w:t xml:space="preserve">: </w:t>
      </w:r>
      <w:r w:rsidRPr="00550E5D">
        <w:rPr>
          <w:i/>
          <w:lang w:val="pl-PL"/>
        </w:rPr>
        <w:t>brak naruszenia</w:t>
      </w:r>
    </w:p>
    <w:p w:rsidR="00550E5D" w:rsidRPr="00550E5D" w:rsidRDefault="00550E5D">
      <w:pPr>
        <w:pStyle w:val="ClinContent"/>
        <w:rPr>
          <w:lang w:val="pl-PL"/>
        </w:rPr>
      </w:pPr>
      <w:r w:rsidRPr="002E0927">
        <w:rPr>
          <w:i/>
          <w:lang w:val="pl-PL"/>
        </w:rPr>
        <w:t>Fakty</w:t>
      </w:r>
      <w:r w:rsidRPr="00550E5D">
        <w:rPr>
          <w:lang w:val="pl-PL"/>
        </w:rPr>
        <w:t xml:space="preserve"> - Skarżąc</w:t>
      </w:r>
      <w:r w:rsidR="001E37BE">
        <w:rPr>
          <w:lang w:val="pl-PL"/>
        </w:rPr>
        <w:t>a</w:t>
      </w:r>
      <w:r w:rsidRPr="00550E5D">
        <w:rPr>
          <w:lang w:val="pl-PL"/>
        </w:rPr>
        <w:t xml:space="preserve"> był</w:t>
      </w:r>
      <w:r w:rsidR="001E37BE">
        <w:rPr>
          <w:lang w:val="pl-PL"/>
        </w:rPr>
        <w:t>a</w:t>
      </w:r>
      <w:r w:rsidRPr="00550E5D">
        <w:rPr>
          <w:lang w:val="pl-PL"/>
        </w:rPr>
        <w:t xml:space="preserve"> krewn</w:t>
      </w:r>
      <w:r w:rsidR="001E37BE">
        <w:rPr>
          <w:lang w:val="pl-PL"/>
        </w:rPr>
        <w:t>ą</w:t>
      </w:r>
      <w:r w:rsidRPr="00550E5D">
        <w:rPr>
          <w:lang w:val="pl-PL"/>
        </w:rPr>
        <w:t xml:space="preserve"> </w:t>
      </w:r>
      <w:r w:rsidR="003D706D" w:rsidRPr="00550E5D">
        <w:rPr>
          <w:lang w:val="pl-PL"/>
        </w:rPr>
        <w:t>pan</w:t>
      </w:r>
      <w:r w:rsidR="003D706D">
        <w:rPr>
          <w:lang w:val="pl-PL"/>
        </w:rPr>
        <w:t>a</w:t>
      </w:r>
      <w:r w:rsidR="003D706D" w:rsidRPr="00550E5D">
        <w:rPr>
          <w:lang w:val="pl-PL"/>
        </w:rPr>
        <w:t xml:space="preserve"> </w:t>
      </w:r>
      <w:r w:rsidRPr="00550E5D">
        <w:rPr>
          <w:lang w:val="pl-PL"/>
        </w:rPr>
        <w:t xml:space="preserve">Jean Charles de </w:t>
      </w:r>
      <w:proofErr w:type="spellStart"/>
      <w:r w:rsidRPr="00550E5D">
        <w:rPr>
          <w:lang w:val="pl-PL"/>
        </w:rPr>
        <w:t>Meneze</w:t>
      </w:r>
      <w:r w:rsidR="00AB611D">
        <w:rPr>
          <w:lang w:val="pl-PL"/>
        </w:rPr>
        <w:t>sa</w:t>
      </w:r>
      <w:proofErr w:type="spellEnd"/>
      <w:r>
        <w:rPr>
          <w:lang w:val="pl-PL"/>
        </w:rPr>
        <w:t xml:space="preserve">, który omyłkowo został zidentyfikowany jako podejrzany terrorysta i zastrzelony w Londynie w dniu 22 lipca 2005 r. przez dwóch specjalnych snajperów. Do zastrzelenia doszło następnego dnia po rozpoczęciu </w:t>
      </w:r>
      <w:r w:rsidR="002E0927">
        <w:rPr>
          <w:lang w:val="pl-PL"/>
        </w:rPr>
        <w:t>obławy</w:t>
      </w:r>
      <w:r>
        <w:rPr>
          <w:lang w:val="pl-PL"/>
        </w:rPr>
        <w:t xml:space="preserve"> w celu odszukania osób odpowiedzialnych za </w:t>
      </w:r>
      <w:r w:rsidR="002E0927">
        <w:rPr>
          <w:lang w:val="pl-PL"/>
        </w:rPr>
        <w:t>podłożenie czterech bomb</w:t>
      </w:r>
      <w:r>
        <w:rPr>
          <w:lang w:val="pl-PL"/>
        </w:rPr>
        <w:t xml:space="preserve">, które nie eksplodowały, a które znaleziono na trzech stacjach </w:t>
      </w:r>
      <w:r w:rsidR="002E0927">
        <w:rPr>
          <w:lang w:val="pl-PL"/>
        </w:rPr>
        <w:t xml:space="preserve">metra </w:t>
      </w:r>
      <w:r>
        <w:rPr>
          <w:lang w:val="pl-PL"/>
        </w:rPr>
        <w:t xml:space="preserve">oraz w autobusie w Londynie. Istniała obawa, że </w:t>
      </w:r>
      <w:r w:rsidR="002E0927">
        <w:rPr>
          <w:lang w:val="pl-PL"/>
        </w:rPr>
        <w:t xml:space="preserve">w każdej chwili </w:t>
      </w:r>
      <w:r>
        <w:rPr>
          <w:lang w:val="pl-PL"/>
        </w:rPr>
        <w:t xml:space="preserve">może </w:t>
      </w:r>
      <w:r w:rsidR="002E0927">
        <w:rPr>
          <w:lang w:val="pl-PL"/>
        </w:rPr>
        <w:t xml:space="preserve">dojść </w:t>
      </w:r>
      <w:r>
        <w:rPr>
          <w:lang w:val="pl-PL"/>
        </w:rPr>
        <w:t xml:space="preserve">do kolejnego </w:t>
      </w:r>
      <w:r w:rsidR="002E0927">
        <w:rPr>
          <w:lang w:val="pl-PL"/>
        </w:rPr>
        <w:t xml:space="preserve">zamachu </w:t>
      </w:r>
      <w:r>
        <w:rPr>
          <w:lang w:val="pl-PL"/>
        </w:rPr>
        <w:t>bombowego. Dwa tygodnie wcześniej siły bezpieczeństwa zostały postawione w najwyższy stan alarmowy po tym</w:t>
      </w:r>
      <w:r w:rsidR="002E0927">
        <w:rPr>
          <w:lang w:val="pl-PL"/>
        </w:rPr>
        <w:t>,</w:t>
      </w:r>
      <w:r>
        <w:rPr>
          <w:lang w:val="pl-PL"/>
        </w:rPr>
        <w:t xml:space="preserve"> jak 50 osób zginęło na skutek </w:t>
      </w:r>
      <w:r w:rsidR="002E0927">
        <w:rPr>
          <w:lang w:val="pl-PL"/>
        </w:rPr>
        <w:t xml:space="preserve">wysadzenia </w:t>
      </w:r>
      <w:r>
        <w:rPr>
          <w:lang w:val="pl-PL"/>
        </w:rPr>
        <w:t xml:space="preserve">ładunków wybuchowych przez zamachowców samobójców w sieci transportowej Londynu. Pan de </w:t>
      </w:r>
      <w:proofErr w:type="spellStart"/>
      <w:r>
        <w:rPr>
          <w:lang w:val="pl-PL"/>
        </w:rPr>
        <w:t>Menezes</w:t>
      </w:r>
      <w:proofErr w:type="spellEnd"/>
      <w:r>
        <w:rPr>
          <w:lang w:val="pl-PL"/>
        </w:rPr>
        <w:t xml:space="preserve"> mieszkał w bloku, który miał wspólne wejście z innym blokiem, w którym mieszkali mężczyźni podejrzani o udział w nieudanych zamachach bombowych. Gdy w dniu 22 lipca</w:t>
      </w:r>
      <w:r w:rsidR="002E0927" w:rsidRPr="002E0927">
        <w:rPr>
          <w:lang w:val="pl-PL"/>
        </w:rPr>
        <w:t xml:space="preserve"> </w:t>
      </w:r>
      <w:r w:rsidR="002E0927">
        <w:rPr>
          <w:lang w:val="pl-PL"/>
        </w:rPr>
        <w:t>rano udawał się do pracy</w:t>
      </w:r>
      <w:r>
        <w:rPr>
          <w:lang w:val="pl-PL"/>
        </w:rPr>
        <w:t xml:space="preserve">, śledziło go dwóch funkcjonariuszy, którzy </w:t>
      </w:r>
      <w:r w:rsidR="002E0927">
        <w:rPr>
          <w:lang w:val="pl-PL"/>
        </w:rPr>
        <w:t xml:space="preserve">sądzili, </w:t>
      </w:r>
      <w:r>
        <w:rPr>
          <w:lang w:val="pl-PL"/>
        </w:rPr>
        <w:t xml:space="preserve">że może być jednym z podejrzanych. Na miejsce wysłano </w:t>
      </w:r>
      <w:r w:rsidR="00E05FE8">
        <w:rPr>
          <w:lang w:val="pl-PL"/>
        </w:rPr>
        <w:t>specjalnych snajperów z poleceniem powstrzymania go przed wejściem do pociągów metra. Jednakże zanim przybyli, wsiadł</w:t>
      </w:r>
      <w:r w:rsidR="002E0927">
        <w:rPr>
          <w:lang w:val="pl-PL"/>
        </w:rPr>
        <w:t xml:space="preserve"> on</w:t>
      </w:r>
      <w:r w:rsidR="00E05FE8">
        <w:rPr>
          <w:lang w:val="pl-PL"/>
        </w:rPr>
        <w:t xml:space="preserve"> już na stacji metra </w:t>
      </w:r>
      <w:proofErr w:type="spellStart"/>
      <w:r w:rsidR="00E05FE8">
        <w:rPr>
          <w:lang w:val="pl-PL"/>
        </w:rPr>
        <w:t>Stockwell</w:t>
      </w:r>
      <w:proofErr w:type="spellEnd"/>
      <w:r w:rsidR="00E05FE8">
        <w:rPr>
          <w:lang w:val="pl-PL"/>
        </w:rPr>
        <w:t>. Udali się za</w:t>
      </w:r>
      <w:r w:rsidR="002E0927">
        <w:rPr>
          <w:lang w:val="pl-PL"/>
        </w:rPr>
        <w:t xml:space="preserve"> </w:t>
      </w:r>
      <w:r w:rsidR="00E05FE8">
        <w:rPr>
          <w:lang w:val="pl-PL"/>
        </w:rPr>
        <w:t xml:space="preserve">nim do pociągu, schwytali i strzelili kilka razy w głowę. </w:t>
      </w:r>
    </w:p>
    <w:p w:rsidR="00E05FE8" w:rsidRPr="00E05FE8" w:rsidRDefault="00E05FE8">
      <w:pPr>
        <w:pStyle w:val="ClinContent"/>
        <w:rPr>
          <w:lang w:val="pl-PL"/>
        </w:rPr>
      </w:pPr>
      <w:r w:rsidRPr="00E05FE8">
        <w:rPr>
          <w:lang w:val="pl-PL"/>
        </w:rPr>
        <w:t xml:space="preserve">Sprawę przekazano do Niezależnej Komisji </w:t>
      </w:r>
      <w:proofErr w:type="spellStart"/>
      <w:r w:rsidRPr="00E05FE8">
        <w:rPr>
          <w:lang w:val="pl-PL"/>
        </w:rPr>
        <w:t>ws</w:t>
      </w:r>
      <w:proofErr w:type="spellEnd"/>
      <w:r w:rsidRPr="00E05FE8">
        <w:rPr>
          <w:lang w:val="pl-PL"/>
        </w:rPr>
        <w:t xml:space="preserve">. </w:t>
      </w:r>
      <w:r>
        <w:rPr>
          <w:lang w:val="pl-PL"/>
        </w:rPr>
        <w:t xml:space="preserve">Skarg na Policję (IPCC), która w raporcie datowanym na 19 stycznia 2006 r. przestawiła szereg zaleceń o charakterze operacyjnym i zidentyfikowała kilka możliwych przestępstw, które mogły zostać popełnione przez zaangażowanych funkcjonariuszy, w tym morderstwo i rażące zaniedbanie. Ostatecznie jednak, postanowiono nie nalegać na postawienie </w:t>
      </w:r>
      <w:r w:rsidR="002E0927">
        <w:rPr>
          <w:lang w:val="pl-PL"/>
        </w:rPr>
        <w:t xml:space="preserve">zarzutów karnych lub dyscyplinarnych </w:t>
      </w:r>
      <w:r>
        <w:rPr>
          <w:lang w:val="pl-PL"/>
        </w:rPr>
        <w:t>indywidualnym funkcjonariuszom policji</w:t>
      </w:r>
      <w:r w:rsidR="002E0927">
        <w:rPr>
          <w:lang w:val="pl-PL"/>
        </w:rPr>
        <w:t xml:space="preserve"> z uwagi na </w:t>
      </w:r>
      <w:r>
        <w:rPr>
          <w:lang w:val="pl-PL"/>
        </w:rPr>
        <w:t xml:space="preserve">brak jakichkolwiek realistycznych perspektyw, że zostaną one </w:t>
      </w:r>
      <w:r w:rsidR="002E0927">
        <w:rPr>
          <w:lang w:val="pl-PL"/>
        </w:rPr>
        <w:t>podtrzymane w sądzie. Następnie</w:t>
      </w:r>
      <w:r>
        <w:rPr>
          <w:lang w:val="pl-PL"/>
        </w:rPr>
        <w:t xml:space="preserve"> wniesiono z powodzeniem oskarżenie przeciwko policji na podstawie ustawy z 1974 r. w sprawie zdrowia i bezpieczeństwa w pracy. </w:t>
      </w:r>
      <w:r w:rsidRPr="00E05FE8">
        <w:rPr>
          <w:lang w:val="pl-PL"/>
        </w:rPr>
        <w:t xml:space="preserve">Policji nakazano wypłacenie grzywny w wysokości 175.000 </w:t>
      </w:r>
      <w:r w:rsidRPr="002E0927">
        <w:rPr>
          <w:lang w:val="pl-PL"/>
        </w:rPr>
        <w:t>£</w:t>
      </w:r>
      <w:r w:rsidRPr="00E05FE8">
        <w:rPr>
          <w:lang w:val="pl-PL"/>
        </w:rPr>
        <w:t xml:space="preserve"> (GBP) wraz z kosztami, </w:t>
      </w:r>
      <w:r w:rsidR="00C21CB6">
        <w:rPr>
          <w:lang w:val="pl-PL"/>
        </w:rPr>
        <w:t xml:space="preserve">ale w zatwierdzonym przez </w:t>
      </w:r>
      <w:r w:rsidR="00C21CB6">
        <w:rPr>
          <w:lang w:val="pl-PL"/>
        </w:rPr>
        <w:lastRenderedPageBreak/>
        <w:t xml:space="preserve">sędziego załączniku do werdyktu </w:t>
      </w:r>
      <w:r w:rsidR="008B1622">
        <w:rPr>
          <w:lang w:val="pl-PL"/>
        </w:rPr>
        <w:t>ława przysięgłych zwolniła</w:t>
      </w:r>
      <w:r w:rsidR="00C21CB6">
        <w:rPr>
          <w:lang w:val="pl-PL"/>
        </w:rPr>
        <w:t xml:space="preserve"> funkcjonariusza, który odpowiadał za operację</w:t>
      </w:r>
      <w:r w:rsidR="002E0927">
        <w:rPr>
          <w:lang w:val="pl-PL"/>
        </w:rPr>
        <w:t>,</w:t>
      </w:r>
      <w:r w:rsidR="00C21CB6">
        <w:rPr>
          <w:lang w:val="pl-PL"/>
        </w:rPr>
        <w:t xml:space="preserve"> od wszelkiej „osobistej winy” za wydarzenia. Na zakończenie śledztwa w 2008 r. </w:t>
      </w:r>
      <w:r w:rsidR="008B1622">
        <w:rPr>
          <w:lang w:val="pl-PL"/>
        </w:rPr>
        <w:t>ława przysięgłych wydała</w:t>
      </w:r>
      <w:r w:rsidR="00C21CB6">
        <w:rPr>
          <w:lang w:val="pl-PL"/>
        </w:rPr>
        <w:t xml:space="preserve"> werdykt bez ustaleń – po tym, jak </w:t>
      </w:r>
      <w:proofErr w:type="spellStart"/>
      <w:r w:rsidR="00C21CB6">
        <w:rPr>
          <w:lang w:val="pl-PL"/>
        </w:rPr>
        <w:t>koroner</w:t>
      </w:r>
      <w:proofErr w:type="spellEnd"/>
      <w:r w:rsidR="00C21CB6">
        <w:rPr>
          <w:lang w:val="pl-PL"/>
        </w:rPr>
        <w:t xml:space="preserve"> wykluczył bezprawne zabójstwo z listy możliwych do wydania werdyktów. Rodzina wniosła również powództwo cywilne o odszkodowanie, które zakończyło się zawartą poufnie ugodą w 2009 r. </w:t>
      </w:r>
    </w:p>
    <w:p w:rsidR="00104991" w:rsidRPr="00104991" w:rsidRDefault="00104991">
      <w:pPr>
        <w:pStyle w:val="ClinContent"/>
        <w:rPr>
          <w:lang w:val="pl-PL"/>
        </w:rPr>
      </w:pPr>
      <w:r w:rsidRPr="00104991">
        <w:rPr>
          <w:lang w:val="pl-PL"/>
        </w:rPr>
        <w:t xml:space="preserve">W swojej skardze do Europejskiego Trybunału skarżąca skarżyła się na decyzję o braku </w:t>
      </w:r>
      <w:r>
        <w:rPr>
          <w:lang w:val="pl-PL"/>
        </w:rPr>
        <w:t>ścigania</w:t>
      </w:r>
      <w:r w:rsidRPr="00104991">
        <w:rPr>
          <w:lang w:val="pl-PL"/>
        </w:rPr>
        <w:t xml:space="preserve"> jakiejkolwiek osoby w odniesieniu do śmierci </w:t>
      </w:r>
      <w:r w:rsidR="003D706D" w:rsidRPr="00104991">
        <w:rPr>
          <w:lang w:val="pl-PL"/>
        </w:rPr>
        <w:t xml:space="preserve">pana </w:t>
      </w:r>
      <w:r w:rsidRPr="00104991">
        <w:rPr>
          <w:lang w:val="pl-PL"/>
        </w:rPr>
        <w:t xml:space="preserve">de </w:t>
      </w:r>
      <w:proofErr w:type="spellStart"/>
      <w:r w:rsidRPr="00104991">
        <w:rPr>
          <w:lang w:val="pl-PL"/>
        </w:rPr>
        <w:t>Meneze</w:t>
      </w:r>
      <w:r w:rsidR="00AB611D">
        <w:rPr>
          <w:lang w:val="pl-PL"/>
        </w:rPr>
        <w:t>sa</w:t>
      </w:r>
      <w:proofErr w:type="spellEnd"/>
      <w:r>
        <w:rPr>
          <w:lang w:val="pl-PL"/>
        </w:rPr>
        <w:t>.</w:t>
      </w:r>
      <w:r w:rsidRPr="00104991">
        <w:rPr>
          <w:lang w:val="pl-PL"/>
        </w:rPr>
        <w:t xml:space="preserve"> </w:t>
      </w:r>
    </w:p>
    <w:p w:rsidR="00104991" w:rsidRPr="00175BE6" w:rsidRDefault="00104991">
      <w:pPr>
        <w:pStyle w:val="ClinContent"/>
        <w:rPr>
          <w:lang w:val="pl-PL"/>
        </w:rPr>
      </w:pPr>
      <w:r w:rsidRPr="00175BE6">
        <w:rPr>
          <w:lang w:val="pl-PL"/>
        </w:rPr>
        <w:t>W dniu 9 grudnia 2014 r. Izba Trybunału zrzekła się właściwości na rzecz Wielkiej Izby.</w:t>
      </w:r>
    </w:p>
    <w:p w:rsidR="00175BE6" w:rsidRPr="00175BE6" w:rsidRDefault="00175BE6">
      <w:pPr>
        <w:pStyle w:val="ClinContent"/>
        <w:rPr>
          <w:lang w:val="pl-PL"/>
        </w:rPr>
      </w:pPr>
      <w:r w:rsidRPr="00175BE6">
        <w:rPr>
          <w:i/>
          <w:lang w:val="pl-PL"/>
        </w:rPr>
        <w:t xml:space="preserve">Prawo – </w:t>
      </w:r>
      <w:r w:rsidRPr="00175BE6">
        <w:rPr>
          <w:lang w:val="pl-PL"/>
        </w:rPr>
        <w:t>Art. 2 (</w:t>
      </w:r>
      <w:r w:rsidRPr="00175BE6">
        <w:rPr>
          <w:i/>
          <w:lang w:val="pl-PL"/>
        </w:rPr>
        <w:t>aspe</w:t>
      </w:r>
      <w:r w:rsidR="00D2015A">
        <w:rPr>
          <w:i/>
          <w:lang w:val="pl-PL"/>
        </w:rPr>
        <w:t>k</w:t>
      </w:r>
      <w:r w:rsidRPr="00175BE6">
        <w:rPr>
          <w:i/>
          <w:lang w:val="pl-PL"/>
        </w:rPr>
        <w:t>t proceduralny</w:t>
      </w:r>
      <w:r w:rsidRPr="00175BE6">
        <w:rPr>
          <w:lang w:val="pl-PL"/>
        </w:rPr>
        <w:t xml:space="preserve">): W orzecznictwie Trybunału </w:t>
      </w:r>
      <w:r>
        <w:rPr>
          <w:lang w:val="pl-PL"/>
        </w:rPr>
        <w:t xml:space="preserve">ustanowione zostały liczne wymogi, by śledztwo w sprawie użycia śmiercionośnej siły przez funkcjonariuszy państwa </w:t>
      </w:r>
      <w:r w:rsidR="00697FCE">
        <w:rPr>
          <w:lang w:val="pl-PL"/>
        </w:rPr>
        <w:t>było „skuteczne”: osoby odpowiedzialne za prowadzenie śledztwa muszą być niezależne od osób zamieszanych w wydarzenia; śledztwo musi być „adekwatne”; jego wnioski muszą być oparte na dogłębnej, obiektywnej i bezstronnej analizie wszystkich istotnych elementów; musi być</w:t>
      </w:r>
      <w:r w:rsidR="002E0927">
        <w:rPr>
          <w:lang w:val="pl-PL"/>
        </w:rPr>
        <w:t xml:space="preserve"> ono</w:t>
      </w:r>
      <w:r w:rsidR="00697FCE">
        <w:rPr>
          <w:lang w:val="pl-PL"/>
        </w:rPr>
        <w:t xml:space="preserve"> dostatecznie dostępne dla rodziny ofiary i podlegać kontroli publicznej; a także musi być przeprowadzone niezwłocznie i z rozsądną szybkością. </w:t>
      </w:r>
    </w:p>
    <w:p w:rsidR="00697FCE" w:rsidRPr="00697FCE" w:rsidRDefault="00697FCE">
      <w:pPr>
        <w:pStyle w:val="ClinContent"/>
        <w:rPr>
          <w:lang w:val="pl-PL"/>
        </w:rPr>
      </w:pPr>
      <w:r w:rsidRPr="00697FCE">
        <w:rPr>
          <w:lang w:val="pl-PL"/>
        </w:rPr>
        <w:t>Śledztwo w obecnej sprawie prowadzone było przez niezależny organ (IPCC), który za</w:t>
      </w:r>
      <w:r w:rsidR="000572D7">
        <w:rPr>
          <w:lang w:val="pl-PL"/>
        </w:rPr>
        <w:t>bezpieczył</w:t>
      </w:r>
      <w:r w:rsidRPr="00697FCE">
        <w:rPr>
          <w:lang w:val="pl-PL"/>
        </w:rPr>
        <w:t xml:space="preserve"> właściwe dowody materialne i medyczne (</w:t>
      </w:r>
      <w:r>
        <w:rPr>
          <w:lang w:val="pl-PL"/>
        </w:rPr>
        <w:t xml:space="preserve">ponad 800 elementów), poszukiwał właściwych świadków (uzyskano zeznania prawie 890 świadków), </w:t>
      </w:r>
      <w:r w:rsidR="000572D7">
        <w:rPr>
          <w:lang w:val="pl-PL"/>
        </w:rPr>
        <w:t xml:space="preserve">sprawdził </w:t>
      </w:r>
      <w:r>
        <w:rPr>
          <w:lang w:val="pl-PL"/>
        </w:rPr>
        <w:t xml:space="preserve">wszystkie oczywiste kierunki </w:t>
      </w:r>
      <w:r w:rsidR="000572D7">
        <w:rPr>
          <w:lang w:val="pl-PL"/>
        </w:rPr>
        <w:t xml:space="preserve">śledztwa </w:t>
      </w:r>
      <w:r>
        <w:rPr>
          <w:lang w:val="pl-PL"/>
        </w:rPr>
        <w:t>i w sposób obiektywny przeanalizował wszystkie istotne dowody. Rodzina zmarłego otrzymywała reg</w:t>
      </w:r>
      <w:r w:rsidR="000572D7">
        <w:rPr>
          <w:lang w:val="pl-PL"/>
        </w:rPr>
        <w:t>ularnie szczegółowe podsumowania</w:t>
      </w:r>
      <w:r>
        <w:rPr>
          <w:lang w:val="pl-PL"/>
        </w:rPr>
        <w:t xml:space="preserve"> na temat postępu i wyników śledztwa, była w stanie uzyskać sądową kontrolę decyzji o braku ścigania i była reprezentowana w czasie śledztwa na koszt Państwa, </w:t>
      </w:r>
      <w:r w:rsidR="000572D7">
        <w:rPr>
          <w:lang w:val="pl-PL"/>
        </w:rPr>
        <w:t xml:space="preserve">a w jego </w:t>
      </w:r>
      <w:r>
        <w:rPr>
          <w:lang w:val="pl-PL"/>
        </w:rPr>
        <w:t xml:space="preserve">trakcie </w:t>
      </w:r>
      <w:r w:rsidR="000572D7">
        <w:rPr>
          <w:lang w:val="pl-PL"/>
        </w:rPr>
        <w:t>była w stanie przepytywać świad</w:t>
      </w:r>
      <w:r>
        <w:rPr>
          <w:lang w:val="pl-PL"/>
        </w:rPr>
        <w:t xml:space="preserve">ków i składać oświadczenia. Nic nie sugerowało, by zwłoka w przekazaniu IPCC miejsca wypadku zagroziła w jakikolwiek sposób integralności śledztwa. </w:t>
      </w:r>
    </w:p>
    <w:p w:rsidR="00697FCE" w:rsidRPr="00697FCE" w:rsidRDefault="00697FCE">
      <w:pPr>
        <w:pStyle w:val="ClinContent"/>
        <w:rPr>
          <w:lang w:val="pl-PL"/>
        </w:rPr>
      </w:pPr>
      <w:r w:rsidRPr="00697FCE">
        <w:rPr>
          <w:lang w:val="pl-PL"/>
        </w:rPr>
        <w:t>Chociaż skarżąca nie sk</w:t>
      </w:r>
      <w:r w:rsidR="00246AC3">
        <w:rPr>
          <w:lang w:val="pl-PL"/>
        </w:rPr>
        <w:t xml:space="preserve">arżyła się ogólnie na śledztwo, powyższe względy są istotne przy </w:t>
      </w:r>
      <w:r w:rsidR="000572D7">
        <w:rPr>
          <w:lang w:val="pl-PL"/>
        </w:rPr>
        <w:t xml:space="preserve">ocenie postępowania jako całości w świetle </w:t>
      </w:r>
      <w:r w:rsidR="0062222A">
        <w:rPr>
          <w:lang w:val="pl-PL"/>
        </w:rPr>
        <w:t>szczegółowych zarzutów skarżącej dotyczących</w:t>
      </w:r>
      <w:r w:rsidR="00246AC3">
        <w:rPr>
          <w:lang w:val="pl-PL"/>
        </w:rPr>
        <w:t xml:space="preserve"> jedynie dwóch aspektów adekwatności śledztwa: (a) czy władze prowadzące śledztwo były w stanie odpowiednio ocenić, czy użycie siły było uzasadnione, </w:t>
      </w:r>
      <w:r w:rsidR="004D2C80">
        <w:rPr>
          <w:lang w:val="pl-PL"/>
        </w:rPr>
        <w:t>a także</w:t>
      </w:r>
      <w:r w:rsidR="00246AC3">
        <w:rPr>
          <w:lang w:val="pl-PL"/>
        </w:rPr>
        <w:t xml:space="preserve"> (b) czy śledztwo było w stanie zidentyfikować oraz - jeśli to właściwe – doprowadzić do ukarania osób odpowiedzialnych. </w:t>
      </w:r>
    </w:p>
    <w:p w:rsidR="0062222A" w:rsidRPr="0062222A" w:rsidRDefault="000572D7">
      <w:pPr>
        <w:pStyle w:val="ClinContent"/>
        <w:rPr>
          <w:lang w:val="pl-PL"/>
        </w:rPr>
      </w:pPr>
      <w:r>
        <w:rPr>
          <w:lang w:val="pl-PL"/>
        </w:rPr>
        <w:t xml:space="preserve"> </w:t>
      </w:r>
      <w:r w:rsidR="0062222A">
        <w:rPr>
          <w:lang w:val="pl-PL"/>
        </w:rPr>
        <w:t xml:space="preserve">(a) </w:t>
      </w:r>
      <w:r w:rsidR="0062222A" w:rsidRPr="0062222A">
        <w:rPr>
          <w:i/>
          <w:lang w:val="pl-PL"/>
        </w:rPr>
        <w:t xml:space="preserve">Czy władze prowadzące śledztwo były w stanie odpowiednio ocenić, czy użycie siły było </w:t>
      </w:r>
      <w:r w:rsidR="0062222A" w:rsidRPr="000572D7">
        <w:rPr>
          <w:i/>
          <w:lang w:val="pl-PL"/>
        </w:rPr>
        <w:t>uzasadnione</w:t>
      </w:r>
      <w:r w:rsidR="0062222A" w:rsidRPr="0062222A">
        <w:rPr>
          <w:lang w:val="pl-PL"/>
        </w:rPr>
        <w:t xml:space="preserve"> – Skarżąca twierdziła, że śledztwo nie spełniło standardu wymaganego przez art. 2, ponieważ prawo krajowe uniemożliwi</w:t>
      </w:r>
      <w:r>
        <w:rPr>
          <w:lang w:val="pl-PL"/>
        </w:rPr>
        <w:t>a</w:t>
      </w:r>
      <w:r w:rsidR="0062222A" w:rsidRPr="0062222A">
        <w:rPr>
          <w:lang w:val="pl-PL"/>
        </w:rPr>
        <w:t xml:space="preserve">ło władzom krajowym </w:t>
      </w:r>
      <w:r>
        <w:rPr>
          <w:lang w:val="pl-PL"/>
        </w:rPr>
        <w:t>rozważenie, czy przekonanie</w:t>
      </w:r>
      <w:r w:rsidR="0062222A" w:rsidRPr="0062222A">
        <w:rPr>
          <w:lang w:val="pl-PL"/>
        </w:rPr>
        <w:t xml:space="preserve"> specjalnych snajperów co do tego, że użycie siły </w:t>
      </w:r>
      <w:r>
        <w:rPr>
          <w:lang w:val="pl-PL"/>
        </w:rPr>
        <w:t xml:space="preserve">jest </w:t>
      </w:r>
      <w:r w:rsidR="0062222A" w:rsidRPr="0062222A">
        <w:rPr>
          <w:lang w:val="pl-PL"/>
        </w:rPr>
        <w:t>koniec</w:t>
      </w:r>
      <w:r>
        <w:rPr>
          <w:lang w:val="pl-PL"/>
        </w:rPr>
        <w:t xml:space="preserve">zne, było obiektywnie rozsądne. </w:t>
      </w:r>
      <w:r w:rsidR="0062222A" w:rsidRPr="0062222A">
        <w:rPr>
          <w:lang w:val="pl-PL"/>
        </w:rPr>
        <w:t xml:space="preserve"> </w:t>
      </w:r>
    </w:p>
    <w:p w:rsidR="0062222A" w:rsidRPr="0062222A" w:rsidRDefault="0062222A">
      <w:pPr>
        <w:pStyle w:val="ClinContent"/>
        <w:rPr>
          <w:lang w:val="pl-PL"/>
        </w:rPr>
      </w:pPr>
      <w:r w:rsidRPr="0062222A">
        <w:rPr>
          <w:lang w:val="pl-PL"/>
        </w:rPr>
        <w:t xml:space="preserve">Trybunał zauważył, że podstawową kwestią, </w:t>
      </w:r>
      <w:r>
        <w:rPr>
          <w:lang w:val="pl-PL"/>
        </w:rPr>
        <w:t>do której należy się odnieść przy ocenie, czy użycie śmiercionośnej siły było uzasadnione na gruncie Konwencji, jest</w:t>
      </w:r>
      <w:r w:rsidR="000572D7">
        <w:rPr>
          <w:lang w:val="pl-PL"/>
        </w:rPr>
        <w:t xml:space="preserve"> to</w:t>
      </w:r>
      <w:r>
        <w:rPr>
          <w:lang w:val="pl-PL"/>
        </w:rPr>
        <w:t xml:space="preserve">, czy osoba utrzymująca, że działała w samoobronie, żywiła </w:t>
      </w:r>
      <w:r w:rsidR="004D2C80">
        <w:rPr>
          <w:lang w:val="pl-PL"/>
        </w:rPr>
        <w:t>szczere</w:t>
      </w:r>
      <w:r>
        <w:rPr>
          <w:lang w:val="pl-PL"/>
        </w:rPr>
        <w:t xml:space="preserve"> i rzeczywiste przekonanie, że użycie siły jest konieczne. Odpowiadając na to pytanie, Trybunał musi rozważyć, czy przekonanie było subiektywnie (w przeciwieństwie do obiektywnie) rozsądne, mając na względzie </w:t>
      </w:r>
      <w:r w:rsidR="000572D7">
        <w:rPr>
          <w:lang w:val="pl-PL"/>
        </w:rPr>
        <w:t xml:space="preserve">wszystkie </w:t>
      </w:r>
      <w:r>
        <w:rPr>
          <w:lang w:val="pl-PL"/>
        </w:rPr>
        <w:t xml:space="preserve">okoliczności, które zachodziły we właściwym czasie. </w:t>
      </w:r>
      <w:r w:rsidR="000967A0">
        <w:rPr>
          <w:lang w:val="pl-PL"/>
        </w:rPr>
        <w:t>Jeśli przekonanie nie było subiektywnie rozsądne (</w:t>
      </w:r>
      <w:r w:rsidR="000572D7">
        <w:rPr>
          <w:lang w:val="pl-PL"/>
        </w:rPr>
        <w:t xml:space="preserve">tj. </w:t>
      </w:r>
      <w:r w:rsidR="000967A0">
        <w:rPr>
          <w:lang w:val="pl-PL"/>
        </w:rPr>
        <w:t>nie było oparte na subiektywnie uzasadnionych powodach), prawdopodobnie trudno będzie zaakceptować</w:t>
      </w:r>
      <w:r w:rsidR="000572D7" w:rsidRPr="000572D7">
        <w:rPr>
          <w:lang w:val="pl-PL"/>
        </w:rPr>
        <w:t xml:space="preserve"> </w:t>
      </w:r>
      <w:r w:rsidR="000572D7">
        <w:rPr>
          <w:lang w:val="pl-PL"/>
        </w:rPr>
        <w:t>Trybunałowi</w:t>
      </w:r>
      <w:r w:rsidR="000967A0">
        <w:rPr>
          <w:lang w:val="pl-PL"/>
        </w:rPr>
        <w:t xml:space="preserve">, że przekonanie to było </w:t>
      </w:r>
      <w:r w:rsidR="004D2C80">
        <w:rPr>
          <w:lang w:val="pl-PL"/>
        </w:rPr>
        <w:t>szczerze</w:t>
      </w:r>
      <w:r w:rsidR="000967A0">
        <w:rPr>
          <w:lang w:val="pl-PL"/>
        </w:rPr>
        <w:t xml:space="preserve"> i rzeczywiście żywione. </w:t>
      </w:r>
    </w:p>
    <w:p w:rsidR="000967A0" w:rsidRPr="000967A0" w:rsidRDefault="000967A0">
      <w:pPr>
        <w:pStyle w:val="ClinContent"/>
        <w:rPr>
          <w:lang w:val="pl-PL"/>
        </w:rPr>
      </w:pPr>
      <w:r w:rsidRPr="000967A0">
        <w:rPr>
          <w:lang w:val="pl-PL"/>
        </w:rPr>
        <w:t xml:space="preserve">Test </w:t>
      </w:r>
      <w:r w:rsidR="000572D7">
        <w:rPr>
          <w:lang w:val="pl-PL"/>
        </w:rPr>
        <w:t xml:space="preserve">stosowany w Anglii i Walii w odniesieniu do </w:t>
      </w:r>
      <w:r w:rsidRPr="000967A0">
        <w:rPr>
          <w:lang w:val="pl-PL"/>
        </w:rPr>
        <w:t>samoobrony nie różnił się znacz</w:t>
      </w:r>
      <w:r>
        <w:rPr>
          <w:lang w:val="pl-PL"/>
        </w:rPr>
        <w:t>ąco ani nie był niższy od tego standardu. W każdym razie, wszystkie niezależne władze, które badały działania dwóch funkcjonariuszy odpowiedzialnych za zastrzelenie</w:t>
      </w:r>
      <w:r w:rsidR="000572D7">
        <w:rPr>
          <w:lang w:val="pl-PL"/>
        </w:rPr>
        <w:t>,</w:t>
      </w:r>
      <w:r>
        <w:rPr>
          <w:lang w:val="pl-PL"/>
        </w:rPr>
        <w:t xml:space="preserve"> starannie </w:t>
      </w:r>
      <w:r>
        <w:rPr>
          <w:lang w:val="pl-PL"/>
        </w:rPr>
        <w:lastRenderedPageBreak/>
        <w:t>zbadały</w:t>
      </w:r>
      <w:r w:rsidR="000572D7">
        <w:rPr>
          <w:lang w:val="pl-PL"/>
        </w:rPr>
        <w:t>, czy</w:t>
      </w:r>
      <w:r>
        <w:rPr>
          <w:lang w:val="pl-PL"/>
        </w:rPr>
        <w:t xml:space="preserve"> charakter przekonania</w:t>
      </w:r>
      <w:r w:rsidR="000572D7">
        <w:rPr>
          <w:lang w:val="pl-PL"/>
        </w:rPr>
        <w:t xml:space="preserve"> tych funkcjonariuszy</w:t>
      </w:r>
      <w:r>
        <w:rPr>
          <w:lang w:val="pl-PL"/>
        </w:rPr>
        <w:t xml:space="preserve">, że </w:t>
      </w:r>
      <w:r w:rsidR="003D706D">
        <w:rPr>
          <w:lang w:val="pl-PL"/>
        </w:rPr>
        <w:t xml:space="preserve">pan </w:t>
      </w:r>
      <w:r>
        <w:rPr>
          <w:lang w:val="pl-PL"/>
        </w:rPr>
        <w:t xml:space="preserve">de </w:t>
      </w:r>
      <w:proofErr w:type="spellStart"/>
      <w:r>
        <w:rPr>
          <w:lang w:val="pl-PL"/>
        </w:rPr>
        <w:t>Menezes</w:t>
      </w:r>
      <w:proofErr w:type="spellEnd"/>
      <w:r>
        <w:rPr>
          <w:lang w:val="pl-PL"/>
        </w:rPr>
        <w:t xml:space="preserve"> </w:t>
      </w:r>
      <w:r w:rsidR="000572D7">
        <w:rPr>
          <w:lang w:val="pl-PL"/>
        </w:rPr>
        <w:t xml:space="preserve">jest </w:t>
      </w:r>
      <w:r>
        <w:rPr>
          <w:lang w:val="pl-PL"/>
        </w:rPr>
        <w:t>zamachowcem samobójcą</w:t>
      </w:r>
      <w:r w:rsidR="000572D7">
        <w:rPr>
          <w:lang w:val="pl-PL"/>
        </w:rPr>
        <w:t xml:space="preserve"> mogącym </w:t>
      </w:r>
      <w:r>
        <w:rPr>
          <w:lang w:val="pl-PL"/>
        </w:rPr>
        <w:t>w każdej chwili zdetonować bombę</w:t>
      </w:r>
      <w:r w:rsidR="000572D7">
        <w:rPr>
          <w:lang w:val="pl-PL"/>
        </w:rPr>
        <w:t>, był rozsądny</w:t>
      </w:r>
      <w:r>
        <w:rPr>
          <w:lang w:val="pl-PL"/>
        </w:rPr>
        <w:t xml:space="preserve">. </w:t>
      </w:r>
      <w:r w:rsidR="000572D7">
        <w:rPr>
          <w:lang w:val="pl-PL"/>
        </w:rPr>
        <w:t xml:space="preserve">A zatem, nie można twierdzić, że władze krajowe nie rozważyły w sposób zgodny z wymogami art. 2, czy użycie siły było uzasadnione w tych okolicznościach. </w:t>
      </w:r>
    </w:p>
    <w:p w:rsidR="000967A0" w:rsidRPr="00697FCE" w:rsidRDefault="000967A0" w:rsidP="000967A0">
      <w:pPr>
        <w:pStyle w:val="ClinContent"/>
        <w:rPr>
          <w:lang w:val="pl-PL"/>
        </w:rPr>
      </w:pPr>
      <w:r>
        <w:rPr>
          <w:lang w:val="pl-PL"/>
        </w:rPr>
        <w:t xml:space="preserve">b) </w:t>
      </w:r>
      <w:r w:rsidRPr="000967A0">
        <w:rPr>
          <w:i/>
          <w:lang w:val="pl-PL"/>
        </w:rPr>
        <w:t xml:space="preserve">Czy śledztwo było w stanie zidentyfikować oraz </w:t>
      </w:r>
      <w:r w:rsidR="000572D7">
        <w:rPr>
          <w:i/>
          <w:lang w:val="pl-PL"/>
        </w:rPr>
        <w:t>–</w:t>
      </w:r>
      <w:r w:rsidRPr="000967A0">
        <w:rPr>
          <w:i/>
          <w:lang w:val="pl-PL"/>
        </w:rPr>
        <w:t xml:space="preserve"> jeśli to właściwe –</w:t>
      </w:r>
      <w:r w:rsidR="004D2C80">
        <w:rPr>
          <w:i/>
          <w:lang w:val="pl-PL"/>
        </w:rPr>
        <w:t xml:space="preserve"> </w:t>
      </w:r>
      <w:r w:rsidR="000572D7">
        <w:rPr>
          <w:i/>
          <w:lang w:val="pl-PL"/>
        </w:rPr>
        <w:t>ukarać osoby</w:t>
      </w:r>
      <w:r w:rsidRPr="000967A0">
        <w:rPr>
          <w:i/>
          <w:lang w:val="pl-PL"/>
        </w:rPr>
        <w:t xml:space="preserve"> odpowiedzialn</w:t>
      </w:r>
      <w:r w:rsidR="000572D7">
        <w:rPr>
          <w:i/>
          <w:lang w:val="pl-PL"/>
        </w:rPr>
        <w:t>e</w:t>
      </w:r>
      <w:r>
        <w:rPr>
          <w:lang w:val="pl-PL"/>
        </w:rPr>
        <w:t xml:space="preserve"> – Trybunał co do zasady jest niechętny wobec ingerowania w decyzje prokuratorskie podjęte w dobrej wierze po przeprowadzeniu skutecznego śledztwa. Jednakże uznawał </w:t>
      </w:r>
      <w:r w:rsidR="00BC2943">
        <w:rPr>
          <w:lang w:val="pl-PL"/>
        </w:rPr>
        <w:t xml:space="preserve">on </w:t>
      </w:r>
      <w:r>
        <w:rPr>
          <w:lang w:val="pl-PL"/>
        </w:rPr>
        <w:t xml:space="preserve">niekiedy, że „braki instytucjonalne” w wymiarze sprawiedliwości w sprawach karnych lub systemie prokuratury mogą naruszać art. 2. </w:t>
      </w:r>
    </w:p>
    <w:p w:rsidR="000967A0" w:rsidRPr="00AD6FA2" w:rsidRDefault="000967A0">
      <w:pPr>
        <w:pStyle w:val="ClinContent"/>
        <w:rPr>
          <w:lang w:val="pl-PL"/>
        </w:rPr>
      </w:pPr>
      <w:r w:rsidRPr="000967A0">
        <w:rPr>
          <w:lang w:val="pl-PL"/>
        </w:rPr>
        <w:t>W obecnej sprawie Trybunał stwierdził, po dokonaniu oceny postępowania karnego jako całości, że skarżąca nie wykazała istnienia “braków instytucjonaln</w:t>
      </w:r>
      <w:r>
        <w:rPr>
          <w:lang w:val="pl-PL"/>
        </w:rPr>
        <w:t>ych</w:t>
      </w:r>
      <w:r w:rsidRPr="000967A0">
        <w:rPr>
          <w:lang w:val="pl-PL"/>
        </w:rPr>
        <w:t>” w wymiarze sprawiedliwości w sprawach karnych lub systemie prokuratury</w:t>
      </w:r>
      <w:r>
        <w:rPr>
          <w:lang w:val="pl-PL"/>
        </w:rPr>
        <w:t xml:space="preserve"> mogących powodować naruszenie proceduralne art. 2 w odniesieniu do faktów. </w:t>
      </w:r>
      <w:r w:rsidRPr="00AD6FA2">
        <w:rPr>
          <w:lang w:val="pl-PL"/>
        </w:rPr>
        <w:t xml:space="preserve">W szczególności: </w:t>
      </w:r>
    </w:p>
    <w:p w:rsidR="0074403E" w:rsidRPr="0074403E" w:rsidRDefault="0074403E">
      <w:pPr>
        <w:pStyle w:val="ClinContent"/>
        <w:rPr>
          <w:lang w:val="pl-PL"/>
        </w:rPr>
      </w:pPr>
      <w:r w:rsidRPr="0074403E">
        <w:rPr>
          <w:lang w:val="pl-PL"/>
        </w:rPr>
        <w:t xml:space="preserve">– Trybunał nigdy nie stwierdził, że decyzje </w:t>
      </w:r>
      <w:r>
        <w:rPr>
          <w:lang w:val="pl-PL"/>
        </w:rPr>
        <w:t xml:space="preserve">w sprawie ścigania muszą być podejmowane przez sąd, a fakt, że decyzja w sprawie zaniechania ścigania została podjęta przez funkcjonariusza publicznego (Królewską Służbę Prokuratorską - </w:t>
      </w:r>
      <w:r w:rsidRPr="0074403E">
        <w:rPr>
          <w:lang w:val="pl-PL"/>
        </w:rPr>
        <w:t>CPS)</w:t>
      </w:r>
      <w:r>
        <w:rPr>
          <w:lang w:val="pl-PL"/>
        </w:rPr>
        <w:t xml:space="preserve"> nie jest sam w sobie i z siebie problematyczny</w:t>
      </w:r>
      <w:r w:rsidR="00BC2943">
        <w:rPr>
          <w:lang w:val="pl-PL"/>
        </w:rPr>
        <w:t xml:space="preserve"> –</w:t>
      </w:r>
      <w:r>
        <w:rPr>
          <w:lang w:val="pl-PL"/>
        </w:rPr>
        <w:t xml:space="preserve"> pod warunkiem, że są zapewnione wystarczające gwarancje niezależności i obiektywności. Nic też nie wskazywało w orzecznictwie Trybunału, że niezależny prokurator musi przeprowadzić przesłuchanie przed podjęciem decyzji w sprawie ścigania bądź nie.  </w:t>
      </w:r>
    </w:p>
    <w:p w:rsidR="0074403E" w:rsidRPr="0074403E" w:rsidRDefault="0074403E">
      <w:pPr>
        <w:pStyle w:val="ClinContent"/>
        <w:rPr>
          <w:lang w:val="pl-PL"/>
        </w:rPr>
      </w:pPr>
      <w:r w:rsidRPr="0074403E">
        <w:rPr>
          <w:lang w:val="pl-PL"/>
        </w:rPr>
        <w:t>– Progowy test dowodowy* zastosowany przez CPS przy podejmowaniu decyzji w sprawie ścigania pozostaje w ramach marginesu oceny Pań</w:t>
      </w:r>
      <w:r>
        <w:rPr>
          <w:lang w:val="pl-PL"/>
        </w:rPr>
        <w:t>s</w:t>
      </w:r>
      <w:r w:rsidRPr="0074403E">
        <w:rPr>
          <w:lang w:val="pl-PL"/>
        </w:rPr>
        <w:t xml:space="preserve">twa. </w:t>
      </w:r>
      <w:r>
        <w:rPr>
          <w:lang w:val="pl-PL"/>
        </w:rPr>
        <w:t>Ustanawiając p</w:t>
      </w:r>
      <w:r w:rsidRPr="0074403E">
        <w:rPr>
          <w:lang w:val="pl-PL"/>
        </w:rPr>
        <w:t>rogowy test dowodowy</w:t>
      </w:r>
      <w:r w:rsidR="00BC2943">
        <w:rPr>
          <w:lang w:val="pl-PL"/>
        </w:rPr>
        <w:t>,</w:t>
      </w:r>
      <w:r>
        <w:rPr>
          <w:lang w:val="pl-PL"/>
        </w:rPr>
        <w:t xml:space="preserve"> władze krajowe były zobowiązane do wyważenia między wieloma konkurującymi ze sobą interesami, w tym ofiar, potencjalnych oskar</w:t>
      </w:r>
      <w:r w:rsidR="00BC2943">
        <w:rPr>
          <w:lang w:val="pl-PL"/>
        </w:rPr>
        <w:t>żonych oraz ogółu społeczeństwa.</w:t>
      </w:r>
      <w:r>
        <w:rPr>
          <w:lang w:val="pl-PL"/>
        </w:rPr>
        <w:t xml:space="preserve"> </w:t>
      </w:r>
      <w:r w:rsidR="00BC2943">
        <w:rPr>
          <w:lang w:val="pl-PL"/>
        </w:rPr>
        <w:t>W</w:t>
      </w:r>
      <w:r>
        <w:rPr>
          <w:lang w:val="pl-PL"/>
        </w:rPr>
        <w:t xml:space="preserve">ładze te w sposób oczywisty znajdowały się w lepszej pozycji niż Trybunał do przeprowadzenia takiej oceny. Próg </w:t>
      </w:r>
      <w:r w:rsidR="00BC2943">
        <w:rPr>
          <w:lang w:val="pl-PL"/>
        </w:rPr>
        <w:t xml:space="preserve">[dowodowy] </w:t>
      </w:r>
      <w:r>
        <w:rPr>
          <w:lang w:val="pl-PL"/>
        </w:rPr>
        <w:t xml:space="preserve">stosowany w Anglii i Walii nie był arbitralny, a wcześniej podlegał licznym kontrolom, konsultacjom publicznym i analizie politycznej. </w:t>
      </w:r>
      <w:r w:rsidR="00BC2943">
        <w:rPr>
          <w:lang w:val="pl-PL"/>
        </w:rPr>
        <w:t>Wśród Państw Stron b</w:t>
      </w:r>
      <w:r>
        <w:rPr>
          <w:lang w:val="pl-PL"/>
        </w:rPr>
        <w:t xml:space="preserve">rak </w:t>
      </w:r>
      <w:r w:rsidR="00AD6FA2">
        <w:rPr>
          <w:lang w:val="pl-PL"/>
        </w:rPr>
        <w:t>jest</w:t>
      </w:r>
      <w:r>
        <w:rPr>
          <w:lang w:val="pl-PL"/>
        </w:rPr>
        <w:t xml:space="preserve"> jednolitego podejścia i choć próg przyjęty w Anglii i Walii mógł być wyższy niż w niektórych innych państwach, odzwierciedlał</w:t>
      </w:r>
      <w:r w:rsidR="00BC2943">
        <w:rPr>
          <w:lang w:val="pl-PL"/>
        </w:rPr>
        <w:t>o</w:t>
      </w:r>
      <w:r>
        <w:rPr>
          <w:lang w:val="pl-PL"/>
        </w:rPr>
        <w:t xml:space="preserve"> </w:t>
      </w:r>
      <w:r w:rsidR="00BC2943">
        <w:rPr>
          <w:lang w:val="pl-PL"/>
        </w:rPr>
        <w:t>to</w:t>
      </w:r>
      <w:r>
        <w:rPr>
          <w:lang w:val="pl-PL"/>
        </w:rPr>
        <w:t xml:space="preserve"> po prostu funkcjonowanie tam systemu ławy przysięgłych. Art. 2 nie wymaga też, by test dowodowy był niższy w sprawach, w których śmierć nastąpiła z rąk funkcjonariuszy Państwa. Władze pozwanego Państwa były uprawnione </w:t>
      </w:r>
      <w:r w:rsidR="00BC2943">
        <w:rPr>
          <w:lang w:val="pl-PL"/>
        </w:rPr>
        <w:t xml:space="preserve">do przyjęcia </w:t>
      </w:r>
      <w:r>
        <w:rPr>
          <w:lang w:val="pl-PL"/>
        </w:rPr>
        <w:t>pogląd</w:t>
      </w:r>
      <w:r w:rsidR="00BC2943">
        <w:rPr>
          <w:lang w:val="pl-PL"/>
        </w:rPr>
        <w:t>u</w:t>
      </w:r>
      <w:r>
        <w:rPr>
          <w:lang w:val="pl-PL"/>
        </w:rPr>
        <w:t xml:space="preserve">, że </w:t>
      </w:r>
      <w:r w:rsidR="00BC2943">
        <w:rPr>
          <w:lang w:val="pl-PL"/>
        </w:rPr>
        <w:t>najlepszym sposobem utrzymania zaufania</w:t>
      </w:r>
      <w:r>
        <w:rPr>
          <w:lang w:val="pl-PL"/>
        </w:rPr>
        <w:t xml:space="preserve"> </w:t>
      </w:r>
      <w:r w:rsidR="00BC2943">
        <w:rPr>
          <w:lang w:val="pl-PL"/>
        </w:rPr>
        <w:t xml:space="preserve">społecznego </w:t>
      </w:r>
      <w:r>
        <w:rPr>
          <w:lang w:val="pl-PL"/>
        </w:rPr>
        <w:t>do systemu prokuratorskiego</w:t>
      </w:r>
      <w:r w:rsidR="00BC2943">
        <w:rPr>
          <w:lang w:val="pl-PL"/>
        </w:rPr>
        <w:t xml:space="preserve"> będzie</w:t>
      </w:r>
      <w:r>
        <w:rPr>
          <w:lang w:val="pl-PL"/>
        </w:rPr>
        <w:t xml:space="preserve">, jeśli ściganie będzie prowadzone tam, gdzie uzasadniają to dowody, a </w:t>
      </w:r>
      <w:r w:rsidR="00BC2943">
        <w:rPr>
          <w:lang w:val="pl-PL"/>
        </w:rPr>
        <w:t>zaniecha się go</w:t>
      </w:r>
      <w:r>
        <w:rPr>
          <w:lang w:val="pl-PL"/>
        </w:rPr>
        <w:t xml:space="preserve"> tam</w:t>
      </w:r>
      <w:r w:rsidR="00BC2943">
        <w:rPr>
          <w:lang w:val="pl-PL"/>
        </w:rPr>
        <w:t>,</w:t>
      </w:r>
      <w:r>
        <w:rPr>
          <w:lang w:val="pl-PL"/>
        </w:rPr>
        <w:t xml:space="preserve"> gdzie </w:t>
      </w:r>
      <w:r w:rsidR="00BC2943">
        <w:rPr>
          <w:lang w:val="pl-PL"/>
        </w:rPr>
        <w:t xml:space="preserve">dowody </w:t>
      </w:r>
      <w:r>
        <w:rPr>
          <w:lang w:val="pl-PL"/>
        </w:rPr>
        <w:t>nie uzasadniają</w:t>
      </w:r>
      <w:r w:rsidR="00BC2943">
        <w:rPr>
          <w:lang w:val="pl-PL"/>
        </w:rPr>
        <w:t xml:space="preserve"> jego prowadzenia</w:t>
      </w:r>
      <w:r>
        <w:rPr>
          <w:lang w:val="pl-PL"/>
        </w:rPr>
        <w:t xml:space="preserve">. W każdym razie, w </w:t>
      </w:r>
      <w:r w:rsidR="00FE2670">
        <w:rPr>
          <w:lang w:val="pl-PL"/>
        </w:rPr>
        <w:t xml:space="preserve">sprawach dotyczących zastrzelenia przez policję i śmierci w czasie zatrzymania system </w:t>
      </w:r>
      <w:r w:rsidR="00F34657">
        <w:rPr>
          <w:lang w:val="pl-PL"/>
        </w:rPr>
        <w:t xml:space="preserve">ten </w:t>
      </w:r>
      <w:r w:rsidR="00FE2670">
        <w:rPr>
          <w:lang w:val="pl-PL"/>
        </w:rPr>
        <w:t xml:space="preserve">zawierał szereg gwarancji. </w:t>
      </w:r>
    </w:p>
    <w:p w:rsidR="0074403E" w:rsidRPr="00FE2670" w:rsidRDefault="0074403E">
      <w:pPr>
        <w:pStyle w:val="ClinContent"/>
        <w:rPr>
          <w:lang w:val="pl-PL"/>
        </w:rPr>
      </w:pPr>
      <w:r w:rsidRPr="00FE2670">
        <w:rPr>
          <w:lang w:val="pl-PL"/>
        </w:rPr>
        <w:t>– </w:t>
      </w:r>
      <w:r w:rsidR="00FE2670" w:rsidRPr="00FE2670">
        <w:rPr>
          <w:lang w:val="pl-PL"/>
        </w:rPr>
        <w:t xml:space="preserve">Trybunał nie był przekonany, że zakres kontroli sądowej decyzji o </w:t>
      </w:r>
      <w:r w:rsidR="00FE2670">
        <w:rPr>
          <w:lang w:val="pl-PL"/>
        </w:rPr>
        <w:t xml:space="preserve">nieściganiu był zbyt wąski (sądy krajowe mogły ingerować w decyzję prokuratora jedynie, jeśli naruszała prawo). Wśród Państw Członkowskich nie </w:t>
      </w:r>
      <w:r w:rsidR="00BC2943">
        <w:rPr>
          <w:lang w:val="pl-PL"/>
        </w:rPr>
        <w:t>ma</w:t>
      </w:r>
      <w:r w:rsidR="00FE2670">
        <w:rPr>
          <w:lang w:val="pl-PL"/>
        </w:rPr>
        <w:t xml:space="preserve"> jednolitego podejścia ani co do dostępności kontroli, ani – jeśli </w:t>
      </w:r>
      <w:r w:rsidR="00BC2943">
        <w:rPr>
          <w:lang w:val="pl-PL"/>
        </w:rPr>
        <w:t xml:space="preserve">jest </w:t>
      </w:r>
      <w:r w:rsidR="00FE2670">
        <w:rPr>
          <w:lang w:val="pl-PL"/>
        </w:rPr>
        <w:t>dostępna – zakresu tej kontroli.</w:t>
      </w:r>
    </w:p>
    <w:p w:rsidR="00A024A4" w:rsidRPr="00AD6FA2" w:rsidRDefault="003B10B6">
      <w:pPr>
        <w:pStyle w:val="ClinContent"/>
        <w:rPr>
          <w:lang w:val="pl-PL"/>
        </w:rPr>
      </w:pPr>
      <w:r w:rsidRPr="00AD6FA2">
        <w:rPr>
          <w:lang w:val="pl-PL"/>
        </w:rPr>
        <w:t>***</w:t>
      </w:r>
    </w:p>
    <w:p w:rsidR="001211CA" w:rsidRPr="001211CA" w:rsidRDefault="0065208B">
      <w:pPr>
        <w:pStyle w:val="ClinContent"/>
        <w:rPr>
          <w:lang w:val="pl-PL"/>
        </w:rPr>
      </w:pPr>
      <w:r>
        <w:rPr>
          <w:lang w:val="pl-PL"/>
        </w:rPr>
        <w:t>Podsumowując</w:t>
      </w:r>
      <w:r w:rsidR="001211CA" w:rsidRPr="001211CA">
        <w:rPr>
          <w:lang w:val="pl-PL"/>
        </w:rPr>
        <w:t xml:space="preserve">, choć fakty sprawy </w:t>
      </w:r>
      <w:r w:rsidR="00BC2943" w:rsidRPr="001211CA">
        <w:rPr>
          <w:lang w:val="pl-PL"/>
        </w:rPr>
        <w:t xml:space="preserve">były </w:t>
      </w:r>
      <w:r w:rsidR="001211CA" w:rsidRPr="001211CA">
        <w:rPr>
          <w:lang w:val="pl-PL"/>
        </w:rPr>
        <w:t xml:space="preserve">niewątpliwie tragiczne, a frustracja rodziny z powodu braku </w:t>
      </w:r>
      <w:r w:rsidR="001211CA">
        <w:rPr>
          <w:lang w:val="pl-PL"/>
        </w:rPr>
        <w:t xml:space="preserve">ścigania indywidualnych osób </w:t>
      </w:r>
      <w:r w:rsidR="00BC2943">
        <w:rPr>
          <w:lang w:val="pl-PL"/>
        </w:rPr>
        <w:t xml:space="preserve">– </w:t>
      </w:r>
      <w:r w:rsidR="001211CA">
        <w:rPr>
          <w:lang w:val="pl-PL"/>
        </w:rPr>
        <w:t>zrozumiała, nie można</w:t>
      </w:r>
      <w:r w:rsidR="00BC2943">
        <w:rPr>
          <w:lang w:val="pl-PL"/>
        </w:rPr>
        <w:t xml:space="preserve"> twierdzić</w:t>
      </w:r>
      <w:r w:rsidR="001211CA">
        <w:rPr>
          <w:lang w:val="pl-PL"/>
        </w:rPr>
        <w:t xml:space="preserve">, że </w:t>
      </w:r>
      <w:r w:rsidR="00BC2943">
        <w:rPr>
          <w:lang w:val="pl-PL"/>
        </w:rPr>
        <w:t>„</w:t>
      </w:r>
      <w:r w:rsidR="001211CA">
        <w:rPr>
          <w:lang w:val="pl-PL"/>
        </w:rPr>
        <w:t>jakakolwiek kwestia dotycząca odpowiedzialności władz za śmierć</w:t>
      </w:r>
      <w:r w:rsidR="00BC2943">
        <w:rPr>
          <w:lang w:val="pl-PL"/>
        </w:rPr>
        <w:t xml:space="preserve"> … pozostała w zawieszeniu</w:t>
      </w:r>
      <w:r w:rsidR="001211CA">
        <w:rPr>
          <w:lang w:val="pl-PL"/>
        </w:rPr>
        <w:t xml:space="preserve">”. </w:t>
      </w:r>
    </w:p>
    <w:p w:rsidR="001211CA" w:rsidRPr="001211CA" w:rsidRDefault="001211CA">
      <w:pPr>
        <w:pStyle w:val="ClinContent"/>
        <w:rPr>
          <w:lang w:val="pl-PL"/>
        </w:rPr>
      </w:pPr>
      <w:r w:rsidRPr="001211CA">
        <w:rPr>
          <w:lang w:val="pl-PL"/>
        </w:rPr>
        <w:t xml:space="preserve">Jak tylko potwierdzono, że </w:t>
      </w:r>
      <w:r w:rsidR="003D706D" w:rsidRPr="001211CA">
        <w:rPr>
          <w:lang w:val="pl-PL"/>
        </w:rPr>
        <w:t xml:space="preserve">pan </w:t>
      </w:r>
      <w:r w:rsidRPr="001211CA">
        <w:rPr>
          <w:lang w:val="pl-PL"/>
        </w:rPr>
        <w:t xml:space="preserve">de </w:t>
      </w:r>
      <w:proofErr w:type="spellStart"/>
      <w:r w:rsidRPr="001211CA">
        <w:rPr>
          <w:lang w:val="pl-PL"/>
        </w:rPr>
        <w:t>Menezes</w:t>
      </w:r>
      <w:proofErr w:type="spellEnd"/>
      <w:r w:rsidRPr="001211CA">
        <w:rPr>
          <w:lang w:val="pl-PL"/>
        </w:rPr>
        <w:t xml:space="preserve"> nie był zamieszany w usiłowanie zamachu w </w:t>
      </w:r>
      <w:r>
        <w:rPr>
          <w:lang w:val="pl-PL"/>
        </w:rPr>
        <w:t>d</w:t>
      </w:r>
      <w:r w:rsidRPr="001211CA">
        <w:rPr>
          <w:lang w:val="pl-PL"/>
        </w:rPr>
        <w:t>niu</w:t>
      </w:r>
      <w:r>
        <w:rPr>
          <w:lang w:val="pl-PL"/>
        </w:rPr>
        <w:t xml:space="preserve"> 1 lipca 2005 r., Metropolitarna Służba Policji (MPS) publicznie przyznała, że został zabity przez pomyłkę przez specjalnych snajperów. Przedstawiciel MPS poleciał do </w:t>
      </w:r>
      <w:r w:rsidR="00BC2943">
        <w:rPr>
          <w:lang w:val="pl-PL"/>
        </w:rPr>
        <w:t>Brazylii</w:t>
      </w:r>
      <w:r>
        <w:rPr>
          <w:lang w:val="pl-PL"/>
        </w:rPr>
        <w:t xml:space="preserve">, by </w:t>
      </w:r>
      <w:r w:rsidR="00BC2943">
        <w:rPr>
          <w:lang w:val="pl-PL"/>
        </w:rPr>
        <w:t xml:space="preserve">osobiście </w:t>
      </w:r>
      <w:r>
        <w:rPr>
          <w:lang w:val="pl-PL"/>
        </w:rPr>
        <w:t xml:space="preserve">przeprosić jego rodzinę i przekazać wypłatę </w:t>
      </w:r>
      <w:r>
        <w:rPr>
          <w:i/>
          <w:lang w:val="pl-PL"/>
        </w:rPr>
        <w:t xml:space="preserve">ex </w:t>
      </w:r>
      <w:proofErr w:type="spellStart"/>
      <w:r>
        <w:rPr>
          <w:i/>
          <w:lang w:val="pl-PL"/>
        </w:rPr>
        <w:t>gratia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 xml:space="preserve">na pokrycie </w:t>
      </w:r>
      <w:r>
        <w:rPr>
          <w:lang w:val="pl-PL"/>
        </w:rPr>
        <w:lastRenderedPageBreak/>
        <w:t xml:space="preserve">jej potrzeb finansowych. </w:t>
      </w:r>
      <w:r w:rsidR="00BC2943">
        <w:rPr>
          <w:lang w:val="pl-PL"/>
        </w:rPr>
        <w:t xml:space="preserve">Poradzono </w:t>
      </w:r>
      <w:r>
        <w:rPr>
          <w:lang w:val="pl-PL"/>
        </w:rPr>
        <w:t>im ponadto, by zwrócili się o niezależną poradę prawną</w:t>
      </w:r>
      <w:r w:rsidR="00BC2943">
        <w:rPr>
          <w:lang w:val="pl-PL"/>
        </w:rPr>
        <w:t>,</w:t>
      </w:r>
      <w:r>
        <w:rPr>
          <w:lang w:val="pl-PL"/>
        </w:rPr>
        <w:t xml:space="preserve"> i zapewniono, że wszelkie koszty zostaną poniesione przez MPS. Indywidualna odpowiedzialność funkcjonariuszy policji uczestniczących w wydarzeniach, a także instytucjonalna odpowiedzialność policji zostały rozważone dogłębnie przez I</w:t>
      </w:r>
      <w:r w:rsidR="00BC2943">
        <w:rPr>
          <w:lang w:val="pl-PL"/>
        </w:rPr>
        <w:t>P</w:t>
      </w:r>
      <w:r>
        <w:rPr>
          <w:lang w:val="pl-PL"/>
        </w:rPr>
        <w:t xml:space="preserve">CC, CPS, sąd karny, </w:t>
      </w:r>
      <w:proofErr w:type="spellStart"/>
      <w:r>
        <w:rPr>
          <w:lang w:val="pl-PL"/>
        </w:rPr>
        <w:t>koronera</w:t>
      </w:r>
      <w:proofErr w:type="spellEnd"/>
      <w:r>
        <w:rPr>
          <w:lang w:val="pl-PL"/>
        </w:rPr>
        <w:t xml:space="preserve"> oraz</w:t>
      </w:r>
      <w:r w:rsidR="003C7A2B">
        <w:rPr>
          <w:lang w:val="pl-PL"/>
        </w:rPr>
        <w:t xml:space="preserve"> ławę przysięgłych</w:t>
      </w:r>
      <w:r>
        <w:rPr>
          <w:lang w:val="pl-PL"/>
        </w:rPr>
        <w:t xml:space="preserve"> w czasie śledztwa. Na późniejszym etapie, gdy rodzina wniosła powództwo </w:t>
      </w:r>
      <w:r w:rsidR="00BC2943">
        <w:rPr>
          <w:lang w:val="pl-PL"/>
        </w:rPr>
        <w:t xml:space="preserve">cywilne </w:t>
      </w:r>
      <w:r>
        <w:rPr>
          <w:lang w:val="pl-PL"/>
        </w:rPr>
        <w:t xml:space="preserve">o odszkodowanie, MPS zgodziła się na polubowne załatwienie sprawy, wypłacając nieujawnioną kwotę pieniężną tytułem odszkodowania. </w:t>
      </w:r>
    </w:p>
    <w:p w:rsidR="000E2C20" w:rsidRPr="000E2C20" w:rsidRDefault="000E2C20">
      <w:pPr>
        <w:pStyle w:val="ClinContent"/>
        <w:rPr>
          <w:lang w:val="pl-PL"/>
        </w:rPr>
      </w:pPr>
      <w:r w:rsidRPr="000E2C20">
        <w:rPr>
          <w:lang w:val="pl-PL"/>
        </w:rPr>
        <w:t xml:space="preserve">Decyzja w sprawie </w:t>
      </w:r>
      <w:r>
        <w:rPr>
          <w:lang w:val="pl-PL"/>
        </w:rPr>
        <w:t xml:space="preserve">oskarżenia </w:t>
      </w:r>
      <w:r w:rsidRPr="000E2C20">
        <w:rPr>
          <w:lang w:val="pl-PL"/>
        </w:rPr>
        <w:t xml:space="preserve">policji nie </w:t>
      </w:r>
      <w:r w:rsidR="00BC2943">
        <w:rPr>
          <w:lang w:val="pl-PL"/>
        </w:rPr>
        <w:t>skutkowała</w:t>
      </w:r>
      <w:r w:rsidR="007E22D4">
        <w:rPr>
          <w:lang w:val="pl-PL"/>
        </w:rPr>
        <w:t xml:space="preserve"> ani</w:t>
      </w:r>
      <w:r>
        <w:rPr>
          <w:lang w:val="pl-PL"/>
        </w:rPr>
        <w:t xml:space="preserve"> w prawie,</w:t>
      </w:r>
      <w:r w:rsidR="00106237">
        <w:rPr>
          <w:lang w:val="pl-PL"/>
        </w:rPr>
        <w:t xml:space="preserve"> </w:t>
      </w:r>
      <w:r w:rsidR="007E22D4">
        <w:rPr>
          <w:lang w:val="pl-PL"/>
        </w:rPr>
        <w:t>ani</w:t>
      </w:r>
      <w:r w:rsidR="00106237">
        <w:rPr>
          <w:lang w:val="pl-PL"/>
        </w:rPr>
        <w:t xml:space="preserve"> w praktyce</w:t>
      </w:r>
      <w:r w:rsidR="00BC2943">
        <w:rPr>
          <w:lang w:val="pl-PL"/>
        </w:rPr>
        <w:t xml:space="preserve"> wykluczeniem możliwości</w:t>
      </w:r>
      <w:r>
        <w:rPr>
          <w:lang w:val="pl-PL"/>
        </w:rPr>
        <w:t xml:space="preserve"> ścigania również indywidualnych funkcjonariuszy policji. Decyzja o braku ścigania indywidualnych funkcjonariuszy nie była również spowodowana niedociągnięciami śledztwa lub </w:t>
      </w:r>
      <w:r w:rsidR="003B0D4B">
        <w:rPr>
          <w:lang w:val="pl-PL"/>
        </w:rPr>
        <w:t>przyzwoleniem</w:t>
      </w:r>
      <w:r>
        <w:rPr>
          <w:lang w:val="pl-PL"/>
        </w:rPr>
        <w:t xml:space="preserve"> Państwa</w:t>
      </w:r>
      <w:r w:rsidR="003B0D4B">
        <w:rPr>
          <w:lang w:val="pl-PL"/>
        </w:rPr>
        <w:t xml:space="preserve"> na dokonywanie tego typu aktów</w:t>
      </w:r>
      <w:r>
        <w:rPr>
          <w:lang w:val="pl-PL"/>
        </w:rPr>
        <w:t xml:space="preserve"> </w:t>
      </w:r>
      <w:r w:rsidR="00D43292">
        <w:rPr>
          <w:lang w:val="pl-PL"/>
        </w:rPr>
        <w:t>bądź</w:t>
      </w:r>
      <w:r w:rsidR="00882C94">
        <w:rPr>
          <w:lang w:val="pl-PL"/>
        </w:rPr>
        <w:t xml:space="preserve"> </w:t>
      </w:r>
      <w:r w:rsidR="00106237">
        <w:rPr>
          <w:lang w:val="pl-PL"/>
        </w:rPr>
        <w:t>zmową</w:t>
      </w:r>
      <w:r w:rsidR="00882C94">
        <w:rPr>
          <w:lang w:val="pl-PL"/>
        </w:rPr>
        <w:t xml:space="preserve"> w bezprawnych działaniach; </w:t>
      </w:r>
      <w:r w:rsidR="00106237">
        <w:rPr>
          <w:lang w:val="pl-PL"/>
        </w:rPr>
        <w:t xml:space="preserve">decyzja </w:t>
      </w:r>
      <w:r w:rsidR="00D43292">
        <w:rPr>
          <w:lang w:val="pl-PL"/>
        </w:rPr>
        <w:t xml:space="preserve">ta </w:t>
      </w:r>
      <w:r w:rsidR="00882C94">
        <w:rPr>
          <w:lang w:val="pl-PL"/>
        </w:rPr>
        <w:t xml:space="preserve">była spowodowana </w:t>
      </w:r>
      <w:r w:rsidR="00106237">
        <w:rPr>
          <w:lang w:val="pl-PL"/>
        </w:rPr>
        <w:t xml:space="preserve">raczej </w:t>
      </w:r>
      <w:r w:rsidR="00741A06">
        <w:rPr>
          <w:lang w:val="pl-PL"/>
        </w:rPr>
        <w:t>tym</w:t>
      </w:r>
      <w:r w:rsidR="00882C94">
        <w:rPr>
          <w:lang w:val="pl-PL"/>
        </w:rPr>
        <w:t xml:space="preserve">, że po dogłębnym śledztwie prokurator rozważył wszystkie fakty sprawy i uznał, że </w:t>
      </w:r>
      <w:r w:rsidR="00106237">
        <w:rPr>
          <w:lang w:val="pl-PL"/>
        </w:rPr>
        <w:t xml:space="preserve">brak </w:t>
      </w:r>
      <w:r w:rsidR="00882C94">
        <w:rPr>
          <w:lang w:val="pl-PL"/>
        </w:rPr>
        <w:t>było wystarczających dowodów przeciwko indywidualn</w:t>
      </w:r>
      <w:r w:rsidR="003B0D4B">
        <w:rPr>
          <w:lang w:val="pl-PL"/>
        </w:rPr>
        <w:t>ym funkcjonariusz</w:t>
      </w:r>
      <w:r w:rsidR="009F1DA8">
        <w:rPr>
          <w:lang w:val="pl-PL"/>
        </w:rPr>
        <w:t>o</w:t>
      </w:r>
      <w:r w:rsidR="003B0D4B">
        <w:rPr>
          <w:lang w:val="pl-PL"/>
        </w:rPr>
        <w:t>m</w:t>
      </w:r>
      <w:r w:rsidR="00882C94">
        <w:rPr>
          <w:lang w:val="pl-PL"/>
        </w:rPr>
        <w:t xml:space="preserve">, które wypełniałyby progowy test dowodowy. </w:t>
      </w:r>
    </w:p>
    <w:p w:rsidR="00281D45" w:rsidRPr="00281D45" w:rsidRDefault="00281D45" w:rsidP="00281D45">
      <w:pPr>
        <w:pStyle w:val="ClinContent"/>
        <w:rPr>
          <w:lang w:val="pl-PL"/>
        </w:rPr>
      </w:pPr>
      <w:r w:rsidRPr="00281D45">
        <w:rPr>
          <w:lang w:val="pl-PL"/>
        </w:rPr>
        <w:t xml:space="preserve">Zidentyfikowane braki instytucjonalne i operacyjne </w:t>
      </w:r>
      <w:r>
        <w:rPr>
          <w:lang w:val="pl-PL"/>
        </w:rPr>
        <w:t xml:space="preserve">skutkowały skazaniem policji za przestępstwa na podstawie ustawy z 1974 r. o zdrowiu i bezpieczeństwie w pracy. Brak było dowodów wskazujących, że „kara” (grzywna w wysokości 175.000 £ oraz koszty w wysokości 385.000 £) była zbyt łagodna za przestępstwa tego rodzaju. Nie był to przypadek „oczywistej nieproporcjonalności” między popełnionym przestępstwem a wymierzoną karą. </w:t>
      </w:r>
    </w:p>
    <w:p w:rsidR="00281D45" w:rsidRPr="00281D45" w:rsidRDefault="00281D45">
      <w:pPr>
        <w:pStyle w:val="ClinContent"/>
        <w:rPr>
          <w:lang w:val="pl-PL"/>
        </w:rPr>
      </w:pPr>
      <w:r w:rsidRPr="00281D45">
        <w:rPr>
          <w:lang w:val="pl-PL"/>
        </w:rPr>
        <w:t>Odpowiednio do powyższych ustaleń, mając na względzie postępo</w:t>
      </w:r>
      <w:r>
        <w:rPr>
          <w:lang w:val="pl-PL"/>
        </w:rPr>
        <w:t>wanie jako całość, nie można t</w:t>
      </w:r>
      <w:r w:rsidRPr="00281D45">
        <w:rPr>
          <w:lang w:val="pl-PL"/>
        </w:rPr>
        <w:t>w</w:t>
      </w:r>
      <w:r>
        <w:rPr>
          <w:lang w:val="pl-PL"/>
        </w:rPr>
        <w:t>i</w:t>
      </w:r>
      <w:r w:rsidRPr="00281D45">
        <w:rPr>
          <w:lang w:val="pl-PL"/>
        </w:rPr>
        <w:t xml:space="preserve">erdzić, że władze </w:t>
      </w:r>
      <w:r w:rsidR="00106237">
        <w:rPr>
          <w:lang w:val="pl-PL"/>
        </w:rPr>
        <w:t>k</w:t>
      </w:r>
      <w:r w:rsidRPr="00281D45">
        <w:rPr>
          <w:lang w:val="pl-PL"/>
        </w:rPr>
        <w:t xml:space="preserve">rajowe nie wypełniły obowiązków proceduralnych na gruncie art. </w:t>
      </w:r>
      <w:r>
        <w:rPr>
          <w:lang w:val="pl-PL"/>
        </w:rPr>
        <w:t xml:space="preserve">2 przeprowadzenia skutecznego śledztwa w </w:t>
      </w:r>
      <w:r w:rsidR="006E44BA">
        <w:rPr>
          <w:lang w:val="pl-PL"/>
        </w:rPr>
        <w:t xml:space="preserve"> sprawie </w:t>
      </w:r>
      <w:r>
        <w:rPr>
          <w:lang w:val="pl-PL"/>
        </w:rPr>
        <w:t xml:space="preserve"> zastrzelenia </w:t>
      </w:r>
      <w:r w:rsidR="003D706D">
        <w:rPr>
          <w:lang w:val="pl-PL"/>
        </w:rPr>
        <w:t xml:space="preserve">pana </w:t>
      </w:r>
      <w:r>
        <w:rPr>
          <w:lang w:val="pl-PL"/>
        </w:rPr>
        <w:t xml:space="preserve">de </w:t>
      </w:r>
      <w:proofErr w:type="spellStart"/>
      <w:r>
        <w:rPr>
          <w:lang w:val="pl-PL"/>
        </w:rPr>
        <w:t>Meneze</w:t>
      </w:r>
      <w:r w:rsidR="00AB611D">
        <w:rPr>
          <w:lang w:val="pl-PL"/>
        </w:rPr>
        <w:t>sa</w:t>
      </w:r>
      <w:proofErr w:type="spellEnd"/>
      <w:r>
        <w:rPr>
          <w:lang w:val="pl-PL"/>
        </w:rPr>
        <w:t xml:space="preserve">, które byłoby w stanie doprowadzić do ustalenia faktów, określenia, czy użycie siły było lub nie </w:t>
      </w:r>
      <w:r w:rsidR="00106237">
        <w:rPr>
          <w:lang w:val="pl-PL"/>
        </w:rPr>
        <w:t xml:space="preserve">było </w:t>
      </w:r>
      <w:r>
        <w:rPr>
          <w:lang w:val="pl-PL"/>
        </w:rPr>
        <w:t>uzasadnione w danych okolicznościach</w:t>
      </w:r>
      <w:r w:rsidR="00106237">
        <w:rPr>
          <w:lang w:val="pl-PL"/>
        </w:rPr>
        <w:t>, a także</w:t>
      </w:r>
      <w:r>
        <w:rPr>
          <w:lang w:val="pl-PL"/>
        </w:rPr>
        <w:t xml:space="preserve"> zidentyfikowania oraz – jeśli to właściwe – ukarania osób odpowiedzialnych. </w:t>
      </w:r>
    </w:p>
    <w:p w:rsidR="00AB611D" w:rsidRPr="00AB611D" w:rsidRDefault="00AB611D">
      <w:pPr>
        <w:pStyle w:val="ClinContent"/>
        <w:rPr>
          <w:i/>
          <w:lang w:val="pl-PL"/>
        </w:rPr>
      </w:pPr>
      <w:r w:rsidRPr="00AB611D">
        <w:rPr>
          <w:i/>
          <w:lang w:val="pl-PL"/>
        </w:rPr>
        <w:t xml:space="preserve">Rozstrzygnięcie: </w:t>
      </w:r>
      <w:r w:rsidRPr="00AB611D">
        <w:rPr>
          <w:lang w:val="pl-PL"/>
        </w:rPr>
        <w:t>brak naruszenia (trzynastoma głosów do czterech).</w:t>
      </w:r>
    </w:p>
    <w:p w:rsidR="00A024A4" w:rsidRPr="00AB611D" w:rsidRDefault="003B10B6">
      <w:pPr>
        <w:pStyle w:val="ClinContent"/>
        <w:rPr>
          <w:lang w:val="pl-PL"/>
        </w:rPr>
      </w:pPr>
      <w:r w:rsidRPr="00AB611D">
        <w:rPr>
          <w:lang w:val="pl-PL"/>
        </w:rPr>
        <w:t>(</w:t>
      </w:r>
      <w:r w:rsidR="00AB611D" w:rsidRPr="00AB611D">
        <w:rPr>
          <w:lang w:val="pl-PL"/>
        </w:rPr>
        <w:t xml:space="preserve">Zobacz również </w:t>
      </w:r>
      <w:hyperlink r:id="rId9" w:history="1">
        <w:proofErr w:type="spellStart"/>
        <w:r w:rsidRPr="00AB611D">
          <w:rPr>
            <w:rStyle w:val="Hipercze"/>
            <w:i/>
            <w:lang w:val="pl-PL"/>
          </w:rPr>
          <w:t>McCann</w:t>
        </w:r>
        <w:proofErr w:type="spellEnd"/>
        <w:r w:rsidRPr="00AB611D">
          <w:rPr>
            <w:rStyle w:val="Hipercze"/>
            <w:i/>
            <w:lang w:val="pl-PL"/>
          </w:rPr>
          <w:t xml:space="preserve"> </w:t>
        </w:r>
        <w:r w:rsidR="00AB611D" w:rsidRPr="00AB611D">
          <w:rPr>
            <w:rStyle w:val="Hipercze"/>
            <w:i/>
            <w:lang w:val="pl-PL"/>
          </w:rPr>
          <w:t>i Inni p. Wielkiej Brytanii</w:t>
        </w:r>
      </w:hyperlink>
      <w:r w:rsidRPr="00AB611D">
        <w:rPr>
          <w:lang w:val="pl-PL"/>
        </w:rPr>
        <w:t xml:space="preserve">, </w:t>
      </w:r>
      <w:r w:rsidR="00AB611D" w:rsidRPr="00AB611D">
        <w:rPr>
          <w:lang w:val="pl-PL"/>
        </w:rPr>
        <w:t>skarga</w:t>
      </w:r>
      <w:r w:rsidR="00AB611D">
        <w:rPr>
          <w:lang w:val="pl-PL"/>
        </w:rPr>
        <w:t xml:space="preserve"> </w:t>
      </w:r>
      <w:r w:rsidR="00AB611D" w:rsidRPr="00AB611D">
        <w:rPr>
          <w:lang w:val="pl-PL"/>
        </w:rPr>
        <w:t xml:space="preserve">nr </w:t>
      </w:r>
      <w:r w:rsidRPr="00AB611D">
        <w:rPr>
          <w:lang w:val="pl-PL"/>
        </w:rPr>
        <w:t>18984/91, 27 </w:t>
      </w:r>
      <w:r w:rsidR="00AB611D">
        <w:rPr>
          <w:lang w:val="pl-PL"/>
        </w:rPr>
        <w:t>września</w:t>
      </w:r>
      <w:r w:rsidRPr="00AB611D">
        <w:rPr>
          <w:lang w:val="pl-PL"/>
        </w:rPr>
        <w:t xml:space="preserve"> 1995</w:t>
      </w:r>
      <w:r w:rsidR="00AB611D">
        <w:rPr>
          <w:lang w:val="pl-PL"/>
        </w:rPr>
        <w:t xml:space="preserve"> r.</w:t>
      </w:r>
      <w:r w:rsidRPr="00AB611D">
        <w:rPr>
          <w:lang w:val="pl-PL"/>
        </w:rPr>
        <w:t xml:space="preserve">; </w:t>
      </w:r>
      <w:proofErr w:type="spellStart"/>
      <w:r w:rsidR="00AB611D">
        <w:rPr>
          <w:i/>
          <w:lang w:val="pl-PL"/>
        </w:rPr>
        <w:t>Öneryıldız</w:t>
      </w:r>
      <w:proofErr w:type="spellEnd"/>
      <w:r w:rsidR="00AB611D">
        <w:rPr>
          <w:i/>
          <w:lang w:val="pl-PL"/>
        </w:rPr>
        <w:t xml:space="preserve"> p</w:t>
      </w:r>
      <w:r w:rsidRPr="00AB611D">
        <w:rPr>
          <w:i/>
          <w:lang w:val="pl-PL"/>
        </w:rPr>
        <w:t>. Tur</w:t>
      </w:r>
      <w:r w:rsidR="00AB611D">
        <w:rPr>
          <w:i/>
          <w:lang w:val="pl-PL"/>
        </w:rPr>
        <w:t>cji</w:t>
      </w:r>
      <w:r w:rsidRPr="00AB611D">
        <w:rPr>
          <w:lang w:val="pl-PL"/>
        </w:rPr>
        <w:t xml:space="preserve"> [</w:t>
      </w:r>
      <w:r w:rsidR="00AB611D">
        <w:rPr>
          <w:lang w:val="pl-PL"/>
        </w:rPr>
        <w:t>Wielka Izba</w:t>
      </w:r>
      <w:r w:rsidRPr="00AB611D">
        <w:rPr>
          <w:lang w:val="pl-PL"/>
        </w:rPr>
        <w:t xml:space="preserve">], </w:t>
      </w:r>
      <w:r w:rsidR="00106237">
        <w:rPr>
          <w:lang w:val="pl-PL"/>
        </w:rPr>
        <w:t>skarga</w:t>
      </w:r>
      <w:r w:rsidR="00AB611D">
        <w:rPr>
          <w:lang w:val="pl-PL"/>
        </w:rPr>
        <w:t xml:space="preserve"> </w:t>
      </w:r>
      <w:r w:rsidR="00106237">
        <w:rPr>
          <w:lang w:val="pl-PL"/>
        </w:rPr>
        <w:t>n</w:t>
      </w:r>
      <w:r w:rsidR="00AB611D">
        <w:rPr>
          <w:lang w:val="pl-PL"/>
        </w:rPr>
        <w:t xml:space="preserve">r </w:t>
      </w:r>
      <w:r w:rsidRPr="00AB611D">
        <w:rPr>
          <w:lang w:val="pl-PL"/>
        </w:rPr>
        <w:t xml:space="preserve">48939/99, </w:t>
      </w:r>
      <w:r w:rsidR="00AB611D">
        <w:rPr>
          <w:lang w:val="pl-PL"/>
        </w:rPr>
        <w:t xml:space="preserve">30 listopada </w:t>
      </w:r>
      <w:r w:rsidRPr="00AB611D">
        <w:rPr>
          <w:lang w:val="pl-PL"/>
        </w:rPr>
        <w:t>2004</w:t>
      </w:r>
      <w:r w:rsidR="00AB611D">
        <w:rPr>
          <w:lang w:val="pl-PL"/>
        </w:rPr>
        <w:t xml:space="preserve"> r.</w:t>
      </w:r>
      <w:r w:rsidRPr="00AB611D">
        <w:rPr>
          <w:lang w:val="pl-PL"/>
        </w:rPr>
        <w:t xml:space="preserve">, </w:t>
      </w:r>
      <w:hyperlink r:id="rId10" w:history="1">
        <w:r w:rsidR="00AB611D">
          <w:rPr>
            <w:rStyle w:val="Hipercze"/>
            <w:lang w:val="pl-PL"/>
          </w:rPr>
          <w:t>Nota informacyjna nr</w:t>
        </w:r>
        <w:r w:rsidRPr="00AB611D">
          <w:rPr>
            <w:rStyle w:val="Hipercze"/>
            <w:lang w:val="pl-PL"/>
          </w:rPr>
          <w:t> 69</w:t>
        </w:r>
      </w:hyperlink>
      <w:r w:rsidRPr="00AB611D">
        <w:rPr>
          <w:lang w:val="pl-PL"/>
        </w:rPr>
        <w:t xml:space="preserve">; </w:t>
      </w:r>
      <w:r w:rsidR="00AB611D">
        <w:rPr>
          <w:lang w:val="pl-PL"/>
        </w:rPr>
        <w:t xml:space="preserve">oraz </w:t>
      </w:r>
      <w:r w:rsidRPr="00AB611D">
        <w:rPr>
          <w:i/>
          <w:lang w:val="pl-PL"/>
        </w:rPr>
        <w:t xml:space="preserve">Giuliani </w:t>
      </w:r>
      <w:r w:rsidR="00AB611D">
        <w:rPr>
          <w:i/>
          <w:lang w:val="pl-PL"/>
        </w:rPr>
        <w:t xml:space="preserve">i </w:t>
      </w:r>
      <w:proofErr w:type="spellStart"/>
      <w:r w:rsidRPr="00AB611D">
        <w:rPr>
          <w:i/>
          <w:lang w:val="pl-PL"/>
        </w:rPr>
        <w:t>Gaggio</w:t>
      </w:r>
      <w:proofErr w:type="spellEnd"/>
      <w:r w:rsidRPr="00AB611D">
        <w:rPr>
          <w:i/>
          <w:lang w:val="pl-PL"/>
        </w:rPr>
        <w:t xml:space="preserve"> </w:t>
      </w:r>
      <w:r w:rsidR="00AB611D">
        <w:rPr>
          <w:i/>
          <w:lang w:val="pl-PL"/>
        </w:rPr>
        <w:t>p</w:t>
      </w:r>
      <w:r w:rsidRPr="00AB611D">
        <w:rPr>
          <w:i/>
          <w:lang w:val="pl-PL"/>
        </w:rPr>
        <w:t>. </w:t>
      </w:r>
      <w:r w:rsidR="00AB611D">
        <w:rPr>
          <w:i/>
          <w:lang w:val="pl-PL"/>
        </w:rPr>
        <w:t>Włochom</w:t>
      </w:r>
      <w:r w:rsidRPr="00AB611D">
        <w:rPr>
          <w:lang w:val="pl-PL"/>
        </w:rPr>
        <w:t xml:space="preserve"> [</w:t>
      </w:r>
      <w:r w:rsidR="00AB611D">
        <w:rPr>
          <w:lang w:val="pl-PL"/>
        </w:rPr>
        <w:t>Wielka Brytania</w:t>
      </w:r>
      <w:r w:rsidRPr="00AB611D">
        <w:rPr>
          <w:lang w:val="pl-PL"/>
        </w:rPr>
        <w:t xml:space="preserve">], </w:t>
      </w:r>
      <w:r w:rsidR="00AB611D">
        <w:rPr>
          <w:lang w:val="pl-PL"/>
        </w:rPr>
        <w:t xml:space="preserve">skarga nr </w:t>
      </w:r>
      <w:r w:rsidRPr="00AB611D">
        <w:rPr>
          <w:lang w:val="pl-PL"/>
        </w:rPr>
        <w:t>23458/02, 24 </w:t>
      </w:r>
      <w:r w:rsidR="00AB611D">
        <w:rPr>
          <w:lang w:val="pl-PL"/>
        </w:rPr>
        <w:t xml:space="preserve">marca </w:t>
      </w:r>
      <w:r w:rsidRPr="00AB611D">
        <w:rPr>
          <w:lang w:val="pl-PL"/>
        </w:rPr>
        <w:t>2011</w:t>
      </w:r>
      <w:r w:rsidR="00AB611D">
        <w:rPr>
          <w:lang w:val="pl-PL"/>
        </w:rPr>
        <w:t xml:space="preserve"> r.</w:t>
      </w:r>
      <w:r w:rsidRPr="00AB611D">
        <w:rPr>
          <w:lang w:val="pl-PL"/>
        </w:rPr>
        <w:t xml:space="preserve">, </w:t>
      </w:r>
      <w:hyperlink r:id="rId11" w:history="1">
        <w:r w:rsidR="00AB611D">
          <w:rPr>
            <w:rStyle w:val="Hipercze"/>
            <w:lang w:val="pl-PL"/>
          </w:rPr>
          <w:t>Nota informacyjna nr</w:t>
        </w:r>
        <w:r w:rsidRPr="00AB611D">
          <w:rPr>
            <w:rStyle w:val="Hipercze"/>
            <w:lang w:val="pl-PL"/>
          </w:rPr>
          <w:t> 139</w:t>
        </w:r>
      </w:hyperlink>
      <w:r w:rsidRPr="00AB611D">
        <w:rPr>
          <w:lang w:val="pl-PL"/>
        </w:rPr>
        <w:t>)</w:t>
      </w:r>
      <w:r w:rsidR="00DC6749">
        <w:rPr>
          <w:lang w:val="pl-PL"/>
        </w:rPr>
        <w:t>.</w:t>
      </w:r>
    </w:p>
    <w:p w:rsidR="00551B2C" w:rsidRDefault="003B10B6">
      <w:pPr>
        <w:pStyle w:val="ClinContent"/>
        <w:rPr>
          <w:lang w:val="pl-PL"/>
        </w:rPr>
      </w:pPr>
      <w:r w:rsidRPr="00AB611D">
        <w:rPr>
          <w:lang w:val="pl-PL"/>
        </w:rPr>
        <w:t>* </w:t>
      </w:r>
      <w:r w:rsidR="00AB611D" w:rsidRPr="00AB611D">
        <w:rPr>
          <w:lang w:val="pl-PL"/>
        </w:rPr>
        <w:t xml:space="preserve">Na podstawie art. 5 ust. 2 i </w:t>
      </w:r>
      <w:r w:rsidR="009F1DA8">
        <w:rPr>
          <w:lang w:val="pl-PL"/>
        </w:rPr>
        <w:t xml:space="preserve">art. </w:t>
      </w:r>
      <w:r w:rsidR="00AB611D" w:rsidRPr="00AB611D">
        <w:rPr>
          <w:lang w:val="pl-PL"/>
        </w:rPr>
        <w:t xml:space="preserve">5 ust. 3 Kodeksu Prokuratury </w:t>
      </w:r>
      <w:r w:rsidR="00551B2C" w:rsidRPr="00AB611D">
        <w:rPr>
          <w:lang w:val="pl-PL"/>
        </w:rPr>
        <w:t>Królewskiej</w:t>
      </w:r>
      <w:r w:rsidR="00AB611D" w:rsidRPr="00AB611D">
        <w:rPr>
          <w:lang w:val="pl-PL"/>
        </w:rPr>
        <w:t xml:space="preserve">, królewscy prokuratorzy muszą upewnić się, że istnieją wystarczające dowody </w:t>
      </w:r>
      <w:r w:rsidR="00551B2C" w:rsidRPr="00AB611D">
        <w:rPr>
          <w:lang w:val="pl-PL"/>
        </w:rPr>
        <w:t>zapewniające</w:t>
      </w:r>
      <w:r w:rsidR="00AB611D" w:rsidRPr="00AB611D">
        <w:rPr>
          <w:lang w:val="pl-PL"/>
        </w:rPr>
        <w:t xml:space="preserve"> “realistyczne perspektywy skazania”, innymi słowa</w:t>
      </w:r>
      <w:r w:rsidR="00551B2C">
        <w:rPr>
          <w:lang w:val="pl-PL"/>
        </w:rPr>
        <w:t>mi</w:t>
      </w:r>
      <w:r w:rsidR="00AB611D" w:rsidRPr="00AB611D">
        <w:rPr>
          <w:lang w:val="pl-PL"/>
        </w:rPr>
        <w:t xml:space="preserve">, że </w:t>
      </w:r>
      <w:r w:rsidR="00AB611D">
        <w:rPr>
          <w:lang w:val="pl-PL"/>
        </w:rPr>
        <w:t xml:space="preserve">jest </w:t>
      </w:r>
      <w:r w:rsidR="00551B2C">
        <w:rPr>
          <w:lang w:val="pl-PL"/>
        </w:rPr>
        <w:t xml:space="preserve">bardziej </w:t>
      </w:r>
      <w:r w:rsidR="00AB611D">
        <w:rPr>
          <w:lang w:val="pl-PL"/>
        </w:rPr>
        <w:t xml:space="preserve">prawdopodobne, że </w:t>
      </w:r>
      <w:r w:rsidR="00AB611D" w:rsidRPr="00AB611D">
        <w:rPr>
          <w:lang w:val="pl-PL"/>
        </w:rPr>
        <w:t>właściwie</w:t>
      </w:r>
      <w:r w:rsidR="003C7A2B">
        <w:rPr>
          <w:lang w:val="pl-PL"/>
        </w:rPr>
        <w:t xml:space="preserve"> nakierowana ława przysięgłych</w:t>
      </w:r>
      <w:r w:rsidR="00AB611D" w:rsidRPr="00AB611D">
        <w:rPr>
          <w:lang w:val="pl-PL"/>
        </w:rPr>
        <w:t xml:space="preserve"> </w:t>
      </w:r>
      <w:r w:rsidR="00551B2C">
        <w:rPr>
          <w:lang w:val="pl-PL"/>
        </w:rPr>
        <w:t xml:space="preserve">skaże oskarżonego w oparciu o podnoszony zarzut. </w:t>
      </w:r>
    </w:p>
    <w:p w:rsidR="00A024A4" w:rsidRPr="00AD6FA2" w:rsidRDefault="00A024A4">
      <w:pPr>
        <w:pBdr>
          <w:bottom w:val="single" w:sz="8" w:space="1" w:color="auto"/>
        </w:pBdr>
        <w:rPr>
          <w:lang w:val="pl-PL"/>
        </w:rPr>
      </w:pPr>
    </w:p>
    <w:p w:rsidR="007370D8" w:rsidRPr="0074070E" w:rsidRDefault="007370D8" w:rsidP="007370D8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A024A4" w:rsidRPr="007370D8" w:rsidRDefault="007370D8" w:rsidP="00E74870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2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A024A4" w:rsidRPr="007370D8" w:rsidSect="00E748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135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6F6" w:rsidRDefault="005416F6" w:rsidP="00C63262">
      <w:r>
        <w:separator/>
      </w:r>
    </w:p>
  </w:endnote>
  <w:endnote w:type="continuationSeparator" w:id="0">
    <w:p w:rsidR="005416F6" w:rsidRDefault="005416F6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F9" w:rsidRDefault="008B20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F9" w:rsidRDefault="008B20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325D556F" wp14:editId="41A34749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6F6" w:rsidRDefault="005416F6" w:rsidP="00C63262">
      <w:r>
        <w:separator/>
      </w:r>
    </w:p>
  </w:footnote>
  <w:footnote w:type="continuationSeparator" w:id="0">
    <w:p w:rsidR="005416F6" w:rsidRDefault="005416F6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0F9" w:rsidRDefault="008B20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87A10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FC9EB50" wp14:editId="105545A4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1C6E"/>
    <w:rsid w:val="000572D7"/>
    <w:rsid w:val="000967A0"/>
    <w:rsid w:val="00097888"/>
    <w:rsid w:val="000E2C20"/>
    <w:rsid w:val="000F13B5"/>
    <w:rsid w:val="00104991"/>
    <w:rsid w:val="00106237"/>
    <w:rsid w:val="00107377"/>
    <w:rsid w:val="00110C9D"/>
    <w:rsid w:val="001211CA"/>
    <w:rsid w:val="00143602"/>
    <w:rsid w:val="00175BE6"/>
    <w:rsid w:val="001769E4"/>
    <w:rsid w:val="00180215"/>
    <w:rsid w:val="00186560"/>
    <w:rsid w:val="001B1C8E"/>
    <w:rsid w:val="001E37BE"/>
    <w:rsid w:val="001E6385"/>
    <w:rsid w:val="00210305"/>
    <w:rsid w:val="00212E83"/>
    <w:rsid w:val="00246AC3"/>
    <w:rsid w:val="002531B7"/>
    <w:rsid w:val="00266469"/>
    <w:rsid w:val="00281D45"/>
    <w:rsid w:val="002966E7"/>
    <w:rsid w:val="002E088D"/>
    <w:rsid w:val="002E0927"/>
    <w:rsid w:val="0030264F"/>
    <w:rsid w:val="00336820"/>
    <w:rsid w:val="00340CA9"/>
    <w:rsid w:val="003450B3"/>
    <w:rsid w:val="00386958"/>
    <w:rsid w:val="003A64A6"/>
    <w:rsid w:val="003B0D4B"/>
    <w:rsid w:val="003B10B6"/>
    <w:rsid w:val="003C7A2B"/>
    <w:rsid w:val="003D706D"/>
    <w:rsid w:val="003D7BB3"/>
    <w:rsid w:val="0046453F"/>
    <w:rsid w:val="00464C3A"/>
    <w:rsid w:val="00497B92"/>
    <w:rsid w:val="004A5B52"/>
    <w:rsid w:val="004D2C80"/>
    <w:rsid w:val="004D568D"/>
    <w:rsid w:val="004E1037"/>
    <w:rsid w:val="0052092D"/>
    <w:rsid w:val="00540D75"/>
    <w:rsid w:val="005416F6"/>
    <w:rsid w:val="00550E5D"/>
    <w:rsid w:val="005514E5"/>
    <w:rsid w:val="00551B2C"/>
    <w:rsid w:val="0058175B"/>
    <w:rsid w:val="005A5F93"/>
    <w:rsid w:val="006028A1"/>
    <w:rsid w:val="0062222A"/>
    <w:rsid w:val="00631A28"/>
    <w:rsid w:val="0065208B"/>
    <w:rsid w:val="00697FCE"/>
    <w:rsid w:val="006A36AD"/>
    <w:rsid w:val="006C1D96"/>
    <w:rsid w:val="006E44BA"/>
    <w:rsid w:val="00702E3D"/>
    <w:rsid w:val="007108AC"/>
    <w:rsid w:val="0071773F"/>
    <w:rsid w:val="007237B5"/>
    <w:rsid w:val="007370D8"/>
    <w:rsid w:val="00741A06"/>
    <w:rsid w:val="0074403E"/>
    <w:rsid w:val="00774515"/>
    <w:rsid w:val="007E22D4"/>
    <w:rsid w:val="007E4CD4"/>
    <w:rsid w:val="008340FD"/>
    <w:rsid w:val="00882C94"/>
    <w:rsid w:val="00895EF3"/>
    <w:rsid w:val="008B1622"/>
    <w:rsid w:val="008B20F9"/>
    <w:rsid w:val="008C64D5"/>
    <w:rsid w:val="00903D38"/>
    <w:rsid w:val="00934A89"/>
    <w:rsid w:val="009478C7"/>
    <w:rsid w:val="00987A10"/>
    <w:rsid w:val="009B3B2C"/>
    <w:rsid w:val="009E3EF0"/>
    <w:rsid w:val="009F1DA8"/>
    <w:rsid w:val="00A01052"/>
    <w:rsid w:val="00A024A4"/>
    <w:rsid w:val="00A04D9C"/>
    <w:rsid w:val="00A258BB"/>
    <w:rsid w:val="00A33541"/>
    <w:rsid w:val="00A45616"/>
    <w:rsid w:val="00A93C18"/>
    <w:rsid w:val="00AB611D"/>
    <w:rsid w:val="00AC7726"/>
    <w:rsid w:val="00AD6FA2"/>
    <w:rsid w:val="00B80CA0"/>
    <w:rsid w:val="00B85770"/>
    <w:rsid w:val="00BC2943"/>
    <w:rsid w:val="00BD5472"/>
    <w:rsid w:val="00BF1CD9"/>
    <w:rsid w:val="00BF56A4"/>
    <w:rsid w:val="00C21CB6"/>
    <w:rsid w:val="00C37433"/>
    <w:rsid w:val="00C63262"/>
    <w:rsid w:val="00C72355"/>
    <w:rsid w:val="00C86618"/>
    <w:rsid w:val="00C93CFB"/>
    <w:rsid w:val="00CE6497"/>
    <w:rsid w:val="00CF7BA6"/>
    <w:rsid w:val="00D2015A"/>
    <w:rsid w:val="00D42086"/>
    <w:rsid w:val="00D425B3"/>
    <w:rsid w:val="00D43292"/>
    <w:rsid w:val="00D47C28"/>
    <w:rsid w:val="00D51A15"/>
    <w:rsid w:val="00DA5416"/>
    <w:rsid w:val="00DC6749"/>
    <w:rsid w:val="00DF05CC"/>
    <w:rsid w:val="00E05FE8"/>
    <w:rsid w:val="00E15B3B"/>
    <w:rsid w:val="00E40D6D"/>
    <w:rsid w:val="00E55491"/>
    <w:rsid w:val="00E74870"/>
    <w:rsid w:val="00E83DB6"/>
    <w:rsid w:val="00EA53E7"/>
    <w:rsid w:val="00F34657"/>
    <w:rsid w:val="00F508C9"/>
    <w:rsid w:val="00F50CCD"/>
    <w:rsid w:val="00F5247C"/>
    <w:rsid w:val="00F901EB"/>
    <w:rsid w:val="00FA29ED"/>
    <w:rsid w:val="00FC473D"/>
    <w:rsid w:val="00FC4B09"/>
    <w:rsid w:val="00FE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FC47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FC47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C473D"/>
  </w:style>
  <w:style w:type="character" w:customStyle="1" w:styleId="object">
    <w:name w:val="object"/>
    <w:basedOn w:val="Domylnaczcionkaakapitu"/>
    <w:rsid w:val="00FC473D"/>
  </w:style>
  <w:style w:type="character" w:styleId="UyteHipercze">
    <w:name w:val="FollowedHyperlink"/>
    <w:basedOn w:val="Domylnaczcionkaakapitu"/>
    <w:semiHidden/>
    <w:unhideWhenUsed/>
    <w:rsid w:val="009F1DA8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FC47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FC47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C473D"/>
  </w:style>
  <w:style w:type="character" w:customStyle="1" w:styleId="object">
    <w:name w:val="object"/>
    <w:basedOn w:val="Domylnaczcionkaakapitu"/>
    <w:rsid w:val="00FC473D"/>
  </w:style>
  <w:style w:type="character" w:styleId="UyteHipercze">
    <w:name w:val="FollowedHyperlink"/>
    <w:basedOn w:val="Domylnaczcionkaakapitu"/>
    <w:semiHidden/>
    <w:unhideWhenUsed/>
    <w:rsid w:val="009F1DA8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6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56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409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101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780EF-79D9-4A9F-9B83-51B2A5FB3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1926</Words>
  <Characters>11560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2017-04-05T12:02:00Z</dcterms:created>
  <dcterms:modified xsi:type="dcterms:W3CDTF">2017-06-21T12:10:00Z</dcterms:modified>
</cp:coreProperties>
</file>