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37" w:rsidRPr="00861E95" w:rsidRDefault="00861E95" w:rsidP="00862C37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</w:rPr>
      </w:pPr>
      <w:r w:rsidRPr="00861E95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862C37" w:rsidRDefault="00862C37" w:rsidP="00862C37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862C37" w:rsidRDefault="00861E95" w:rsidP="00862C37">
      <w:pPr>
        <w:pStyle w:val="s6e50bd9a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</w:p>
    <w:p w:rsidR="003E1EA6" w:rsidRDefault="003E1EA6" w:rsidP="003E1EA6">
      <w:pPr>
        <w:pStyle w:val="s6e50bd9a"/>
        <w:spacing w:before="0" w:beforeAutospacing="0" w:after="0" w:afterAutospacing="0"/>
        <w:jc w:val="both"/>
        <w:rPr>
          <w:rFonts w:ascii="Arial" w:hAnsi="Arial" w:cs="Arial"/>
        </w:rPr>
      </w:pPr>
    </w:p>
    <w:p w:rsidR="00F61084" w:rsidRDefault="00F61084" w:rsidP="00F6108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2C7C59" w:rsidRPr="00557F20" w:rsidRDefault="005B2BD8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 w:rsidR="00057074"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 w:rsidR="00057074"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F6033D" w:rsidRPr="00557F20">
        <w:rPr>
          <w:lang w:val="pl-PL"/>
        </w:rPr>
        <w:t>201</w:t>
      </w:r>
    </w:p>
    <w:p w:rsidR="002C7C59" w:rsidRPr="00D35EFE" w:rsidRDefault="005B2BD8">
      <w:pPr>
        <w:pStyle w:val="ClinEditionMonth"/>
        <w:rPr>
          <w:lang w:val="pl-PL"/>
        </w:rPr>
      </w:pPr>
      <w:r w:rsidRPr="00D35EFE">
        <w:rPr>
          <w:lang w:val="pl-PL"/>
        </w:rPr>
        <w:t xml:space="preserve">Listopad </w:t>
      </w:r>
      <w:r w:rsidR="00F6033D" w:rsidRPr="00D35EFE">
        <w:rPr>
          <w:lang w:val="pl-PL"/>
        </w:rPr>
        <w:t>2016</w:t>
      </w:r>
      <w:r w:rsidRPr="00D35EFE">
        <w:rPr>
          <w:lang w:val="pl-PL"/>
        </w:rPr>
        <w:t xml:space="preserve"> r.</w:t>
      </w:r>
    </w:p>
    <w:p w:rsidR="002C7C59" w:rsidRPr="005B2BD8" w:rsidRDefault="00F6033D">
      <w:pPr>
        <w:rPr>
          <w:lang w:val="pl-PL"/>
        </w:rPr>
      </w:pPr>
      <w:r w:rsidRPr="005B2BD8">
        <w:rPr>
          <w:rStyle w:val="ClinCaseTitle"/>
          <w:lang w:val="pl-PL"/>
        </w:rPr>
        <w:t>A</w:t>
      </w:r>
      <w:r w:rsidR="005B2BD8" w:rsidRPr="005B2BD8">
        <w:rPr>
          <w:rStyle w:val="ClinCaseTitle"/>
          <w:lang w:val="pl-PL"/>
        </w:rPr>
        <w:t xml:space="preserve"> i</w:t>
      </w:r>
      <w:r w:rsidRPr="005B2BD8">
        <w:rPr>
          <w:rStyle w:val="ClinCaseTitle"/>
          <w:lang w:val="pl-PL"/>
        </w:rPr>
        <w:t xml:space="preserve"> B </w:t>
      </w:r>
      <w:r w:rsidR="005B2BD8" w:rsidRPr="005B2BD8">
        <w:rPr>
          <w:rStyle w:val="ClinCaseTitle"/>
          <w:lang w:val="pl-PL"/>
        </w:rPr>
        <w:t>p</w:t>
      </w:r>
      <w:r w:rsidRPr="005B2BD8">
        <w:rPr>
          <w:rStyle w:val="ClinCaseTitle"/>
          <w:lang w:val="pl-PL"/>
        </w:rPr>
        <w:t>. Norw</w:t>
      </w:r>
      <w:r w:rsidR="005B2BD8" w:rsidRPr="005B2BD8">
        <w:rPr>
          <w:rStyle w:val="ClinCaseTitle"/>
          <w:lang w:val="pl-PL"/>
        </w:rPr>
        <w:t>egii</w:t>
      </w:r>
      <w:r w:rsidRPr="005B2BD8">
        <w:rPr>
          <w:rStyle w:val="ClinCaseTitle"/>
          <w:lang w:val="pl-PL"/>
        </w:rPr>
        <w:t xml:space="preserve"> [</w:t>
      </w:r>
      <w:r w:rsidR="005B2BD8" w:rsidRPr="005B2BD8">
        <w:rPr>
          <w:rStyle w:val="ClinCaseTitle"/>
          <w:lang w:val="pl-PL"/>
        </w:rPr>
        <w:t>Wielka Izba</w:t>
      </w:r>
      <w:r w:rsidRPr="005B2BD8">
        <w:rPr>
          <w:rStyle w:val="ClinCaseTitle"/>
          <w:lang w:val="pl-PL"/>
        </w:rPr>
        <w:t>]</w:t>
      </w:r>
      <w:r w:rsidRPr="005B2BD8">
        <w:rPr>
          <w:rStyle w:val="ClinApplicationNumber"/>
          <w:lang w:val="pl-PL"/>
        </w:rPr>
        <w:t xml:space="preserve"> </w:t>
      </w:r>
      <w:r w:rsidR="005B2BD8" w:rsidRPr="005B2BD8">
        <w:rPr>
          <w:rStyle w:val="ClinApplicationNumber"/>
          <w:lang w:val="pl-PL"/>
        </w:rPr>
        <w:t>–</w:t>
      </w:r>
      <w:r w:rsidRPr="005B2BD8">
        <w:rPr>
          <w:rStyle w:val="ClinApplicationNumber"/>
          <w:lang w:val="pl-PL"/>
        </w:rPr>
        <w:t xml:space="preserve"> </w:t>
      </w:r>
      <w:r w:rsidR="005B2BD8" w:rsidRPr="005B2BD8">
        <w:rPr>
          <w:rStyle w:val="ClinApplicationNumber"/>
          <w:lang w:val="pl-PL"/>
        </w:rPr>
        <w:t xml:space="preserve">skargi nr </w:t>
      </w:r>
      <w:r w:rsidRPr="005B2BD8">
        <w:rPr>
          <w:rStyle w:val="ClinApplicationNumber"/>
          <w:lang w:val="pl-PL"/>
        </w:rPr>
        <w:t xml:space="preserve">24130/11 </w:t>
      </w:r>
      <w:r w:rsidR="00D35EFE">
        <w:rPr>
          <w:rStyle w:val="ClinApplicationNumber"/>
          <w:lang w:val="pl-PL"/>
        </w:rPr>
        <w:t>i</w:t>
      </w:r>
      <w:r w:rsidR="005B2BD8" w:rsidRPr="005B2BD8">
        <w:rPr>
          <w:rStyle w:val="ClinApplicationNumber"/>
          <w:lang w:val="pl-PL"/>
        </w:rPr>
        <w:t xml:space="preserve"> </w:t>
      </w:r>
      <w:r w:rsidRPr="005B2BD8">
        <w:rPr>
          <w:rStyle w:val="ClinApplicationNumber"/>
          <w:lang w:val="pl-PL"/>
        </w:rPr>
        <w:t>29758/11</w:t>
      </w:r>
    </w:p>
    <w:p w:rsidR="002C7C59" w:rsidRPr="00D35EFE" w:rsidRDefault="005B2BD8">
      <w:pPr>
        <w:rPr>
          <w:lang w:val="pl-PL"/>
        </w:rPr>
      </w:pPr>
      <w:r w:rsidRPr="00D35EFE">
        <w:rPr>
          <w:rStyle w:val="ClinHudocDocumentTitle"/>
          <w:lang w:val="pl-PL"/>
        </w:rPr>
        <w:t xml:space="preserve">Wyrok z </w:t>
      </w:r>
      <w:r w:rsidR="00F6033D" w:rsidRPr="00D35EFE">
        <w:rPr>
          <w:rStyle w:val="ClinHudocDocumentTitle"/>
          <w:lang w:val="pl-PL"/>
        </w:rPr>
        <w:t>15.11.2016</w:t>
      </w:r>
      <w:r w:rsidR="00D35EFE" w:rsidRPr="00D35EFE">
        <w:rPr>
          <w:rStyle w:val="ClinHudocDocumentTitle"/>
          <w:lang w:val="pl-PL"/>
        </w:rPr>
        <w:t xml:space="preserve"> r.</w:t>
      </w:r>
      <w:r w:rsidRPr="00D35EFE">
        <w:rPr>
          <w:rStyle w:val="ClinSectionName"/>
          <w:lang w:val="pl-PL"/>
        </w:rPr>
        <w:t xml:space="preserve"> [Wielka Izba</w:t>
      </w:r>
      <w:r w:rsidR="00F6033D" w:rsidRPr="00D35EFE">
        <w:rPr>
          <w:rStyle w:val="ClinSectionName"/>
          <w:lang w:val="pl-PL"/>
        </w:rPr>
        <w:t>]</w:t>
      </w:r>
    </w:p>
    <w:p w:rsidR="002C7C59" w:rsidRPr="005B2BD8" w:rsidRDefault="00F6033D">
      <w:pPr>
        <w:pStyle w:val="ClinMainKeywordCode"/>
        <w:rPr>
          <w:lang w:val="pl-PL"/>
        </w:rPr>
      </w:pPr>
      <w:r w:rsidRPr="005B2BD8">
        <w:rPr>
          <w:lang w:val="pl-PL"/>
        </w:rPr>
        <w:t>Art</w:t>
      </w:r>
      <w:r w:rsidR="005B2BD8" w:rsidRPr="005B2BD8">
        <w:rPr>
          <w:lang w:val="pl-PL"/>
        </w:rPr>
        <w:t xml:space="preserve">. </w:t>
      </w:r>
      <w:r w:rsidRPr="005B2BD8">
        <w:rPr>
          <w:lang w:val="pl-PL"/>
        </w:rPr>
        <w:t>4 Proto</w:t>
      </w:r>
      <w:r w:rsidR="005B2BD8" w:rsidRPr="005B2BD8">
        <w:rPr>
          <w:lang w:val="pl-PL"/>
        </w:rPr>
        <w:t>kołu nr</w:t>
      </w:r>
      <w:r w:rsidRPr="005B2BD8">
        <w:rPr>
          <w:lang w:val="pl-PL"/>
        </w:rPr>
        <w:t xml:space="preserve"> 7</w:t>
      </w:r>
    </w:p>
    <w:p w:rsidR="002C7C59" w:rsidRPr="005B2BD8" w:rsidRDefault="005B2BD8">
      <w:pPr>
        <w:pStyle w:val="ClinKeyword"/>
        <w:rPr>
          <w:lang w:val="pl-PL"/>
        </w:rPr>
      </w:pPr>
      <w:r w:rsidRPr="005B2BD8">
        <w:rPr>
          <w:lang w:val="pl-PL"/>
        </w:rPr>
        <w:t xml:space="preserve">Zakaz ponownego sądzenia lub karania </w:t>
      </w:r>
    </w:p>
    <w:p w:rsidR="005B2BD8" w:rsidRPr="005B2BD8" w:rsidRDefault="005B2BD8" w:rsidP="00D114B6">
      <w:pPr>
        <w:jc w:val="both"/>
        <w:rPr>
          <w:lang w:val="pl-PL"/>
        </w:rPr>
      </w:pPr>
      <w:r w:rsidRPr="00D35EFE">
        <w:rPr>
          <w:rStyle w:val="ClinHeadNote"/>
          <w:iCs/>
          <w:lang w:val="pl-PL"/>
        </w:rPr>
        <w:t>Równolegle prowadzone postępowanie karne i administracyjne w odniesieniu do tego samego zachowania:</w:t>
      </w:r>
      <w:r w:rsidRPr="00D35EFE">
        <w:rPr>
          <w:rStyle w:val="ClinHeadNote"/>
          <w:i/>
          <w:iCs/>
          <w:lang w:val="pl-PL"/>
        </w:rPr>
        <w:t xml:space="preserve"> </w:t>
      </w:r>
      <w:r>
        <w:rPr>
          <w:rStyle w:val="ClinConclusions"/>
          <w:lang w:val="pl-PL"/>
        </w:rPr>
        <w:t>brak naruszenia</w:t>
      </w:r>
    </w:p>
    <w:p w:rsidR="00F33838" w:rsidRPr="00207E9F" w:rsidRDefault="00F33838">
      <w:pPr>
        <w:pStyle w:val="ClinContent"/>
        <w:rPr>
          <w:lang w:val="pl-PL"/>
        </w:rPr>
      </w:pPr>
      <w:r w:rsidRPr="00F33838">
        <w:rPr>
          <w:i/>
          <w:lang w:val="pl-PL"/>
        </w:rPr>
        <w:t>Fakty</w:t>
      </w:r>
      <w:r>
        <w:rPr>
          <w:lang w:val="pl-PL"/>
        </w:rPr>
        <w:t xml:space="preserve"> - </w:t>
      </w:r>
      <w:r w:rsidRPr="00F33838">
        <w:rPr>
          <w:lang w:val="pl-PL"/>
        </w:rPr>
        <w:t xml:space="preserve">Na skarżących nałożono </w:t>
      </w:r>
      <w:r w:rsidRPr="00D35EFE">
        <w:rPr>
          <w:lang w:val="pl-PL"/>
        </w:rPr>
        <w:t>dopłaty podatkowe w postępowaniach administracyjnych za zaniechanie zadeklarowania pewnego dochodu w</w:t>
      </w:r>
      <w:r>
        <w:rPr>
          <w:lang w:val="pl-PL"/>
        </w:rPr>
        <w:t xml:space="preserve"> ich zeznaniach podatkowych. W toczących się równolegle postępowaniach karnych zostali skazani i ukarani za oszustwo podatkowe z powodu tych samych zaniechań. Skarżący </w:t>
      </w:r>
      <w:r w:rsidR="00D35EFE">
        <w:rPr>
          <w:lang w:val="pl-PL"/>
        </w:rPr>
        <w:t>skarżyli się</w:t>
      </w:r>
      <w:r>
        <w:rPr>
          <w:lang w:val="pl-PL"/>
        </w:rPr>
        <w:t xml:space="preserve"> na podstawie art. 4 Protokołu nr 7, że ścigano ich i ukarano dwukrotnie w odniesieniu do tego samego przestępstwa. </w:t>
      </w:r>
    </w:p>
    <w:p w:rsidR="00F33838" w:rsidRPr="00F33838" w:rsidRDefault="00F33838" w:rsidP="00F33838">
      <w:pPr>
        <w:pStyle w:val="ClinContent"/>
        <w:rPr>
          <w:lang w:val="pl-PL"/>
        </w:rPr>
      </w:pPr>
      <w:r>
        <w:rPr>
          <w:lang w:val="pl-PL"/>
        </w:rPr>
        <w:t xml:space="preserve">W dniu 7 lipca 2015 r. Izba Trybunału zrzekła się właściwości na rzecz Wielkiej Izby. </w:t>
      </w:r>
    </w:p>
    <w:p w:rsidR="00F33838" w:rsidRPr="00F33838" w:rsidRDefault="00F33838">
      <w:pPr>
        <w:pStyle w:val="ClinContent"/>
        <w:rPr>
          <w:lang w:val="pl-PL"/>
        </w:rPr>
      </w:pPr>
      <w:r w:rsidRPr="00F33838">
        <w:rPr>
          <w:i/>
          <w:lang w:val="pl-PL"/>
        </w:rPr>
        <w:t>Prawo</w:t>
      </w:r>
      <w:r w:rsidRPr="00F33838">
        <w:rPr>
          <w:lang w:val="pl-PL"/>
        </w:rPr>
        <w:t xml:space="preserve"> – Art. 4 Protokołu nr 7: Postanowienie to zawiera trzy odrębne gwarancje </w:t>
      </w:r>
      <w:r w:rsidR="00D35EFE">
        <w:rPr>
          <w:lang w:val="pl-PL"/>
        </w:rPr>
        <w:t>i</w:t>
      </w:r>
      <w:r w:rsidRPr="00F33838">
        <w:rPr>
          <w:lang w:val="pl-PL"/>
        </w:rPr>
        <w:t xml:space="preserve"> przewiduje, że za to samo przestępstwo nikt nie może:</w:t>
      </w:r>
      <w:r>
        <w:rPr>
          <w:lang w:val="pl-PL"/>
        </w:rPr>
        <w:t xml:space="preserve"> (i) </w:t>
      </w:r>
      <w:r w:rsidRPr="00D35EFE">
        <w:rPr>
          <w:lang w:val="pl-PL"/>
        </w:rPr>
        <w:t>podlegać możliwości sądzenia,</w:t>
      </w:r>
      <w:r>
        <w:rPr>
          <w:lang w:val="pl-PL"/>
        </w:rPr>
        <w:t xml:space="preserve"> (ii) być sądzony lub (iii) ukarany</w:t>
      </w:r>
      <w:r w:rsidR="00215A98">
        <w:rPr>
          <w:lang w:val="pl-PL"/>
        </w:rPr>
        <w:t>. To, czy postępowanie administracyjne ma charakter karny dla celów art. 4 Protokołu nr 7</w:t>
      </w:r>
      <w:r w:rsidR="00D114B6">
        <w:rPr>
          <w:lang w:val="pl-PL"/>
        </w:rPr>
        <w:t>,</w:t>
      </w:r>
      <w:r w:rsidR="00215A98">
        <w:rPr>
          <w:lang w:val="pl-PL"/>
        </w:rPr>
        <w:t xml:space="preserve"> należy oceniać na podstawie trzech kryteriów ze sprawy </w:t>
      </w:r>
      <w:proofErr w:type="spellStart"/>
      <w:r w:rsidR="00215A98">
        <w:rPr>
          <w:i/>
          <w:lang w:val="pl-PL"/>
        </w:rPr>
        <w:t>Engel</w:t>
      </w:r>
      <w:proofErr w:type="spellEnd"/>
      <w:r w:rsidR="00215A98">
        <w:rPr>
          <w:i/>
          <w:lang w:val="pl-PL"/>
        </w:rPr>
        <w:t xml:space="preserve">, </w:t>
      </w:r>
      <w:r w:rsidR="00215A98">
        <w:rPr>
          <w:lang w:val="pl-PL"/>
        </w:rPr>
        <w:t>wypracowany</w:t>
      </w:r>
      <w:r w:rsidR="00D35EFE">
        <w:rPr>
          <w:lang w:val="pl-PL"/>
        </w:rPr>
        <w:t>ch</w:t>
      </w:r>
      <w:r w:rsidR="00215A98">
        <w:rPr>
          <w:lang w:val="pl-PL"/>
        </w:rPr>
        <w:t xml:space="preserve"> na potrzeby art. 6 Konwencji. </w:t>
      </w:r>
      <w:r w:rsidR="00D35EFE">
        <w:rPr>
          <w:lang w:val="pl-PL"/>
        </w:rPr>
        <w:t>Kwestia zaś</w:t>
      </w:r>
      <w:r w:rsidR="00215A98">
        <w:rPr>
          <w:lang w:val="pl-PL"/>
        </w:rPr>
        <w:t>, czy przestępstwa, które były rozpatrywane w oddzielnych postępowaniach</w:t>
      </w:r>
      <w:r w:rsidR="00D35EFE">
        <w:rPr>
          <w:lang w:val="pl-PL"/>
        </w:rPr>
        <w:t>,</w:t>
      </w:r>
      <w:r w:rsidR="00215A98">
        <w:rPr>
          <w:lang w:val="pl-PL"/>
        </w:rPr>
        <w:t xml:space="preserve"> były tożsame</w:t>
      </w:r>
      <w:r w:rsidR="00D35EFE">
        <w:rPr>
          <w:lang w:val="pl-PL"/>
        </w:rPr>
        <w:t>, wymaga</w:t>
      </w:r>
      <w:r w:rsidR="00215A98">
        <w:rPr>
          <w:lang w:val="pl-PL"/>
        </w:rPr>
        <w:t xml:space="preserve"> oceny w opar</w:t>
      </w:r>
      <w:r w:rsidR="00D35EFE">
        <w:rPr>
          <w:lang w:val="pl-PL"/>
        </w:rPr>
        <w:t>ciu o fakty, a nie formalnej oceny polegającej</w:t>
      </w:r>
      <w:r w:rsidR="00215A98">
        <w:rPr>
          <w:lang w:val="pl-PL"/>
        </w:rPr>
        <w:t xml:space="preserve"> na porównaniu istotnych elementów tych przestępstw. </w:t>
      </w:r>
    </w:p>
    <w:p w:rsidR="00215A98" w:rsidRPr="00215A98" w:rsidRDefault="00215A98">
      <w:pPr>
        <w:pStyle w:val="ClinContent"/>
        <w:rPr>
          <w:i/>
          <w:lang w:val="pl-PL"/>
        </w:rPr>
      </w:pPr>
      <w:r w:rsidRPr="00215A98">
        <w:rPr>
          <w:lang w:val="pl-PL"/>
        </w:rPr>
        <w:t xml:space="preserve">Celem art. 4 Protokołu nr 7 </w:t>
      </w:r>
      <w:r w:rsidR="00D35EFE">
        <w:rPr>
          <w:lang w:val="pl-PL"/>
        </w:rPr>
        <w:t xml:space="preserve">jest </w:t>
      </w:r>
      <w:r w:rsidRPr="00215A98">
        <w:rPr>
          <w:lang w:val="pl-PL"/>
        </w:rPr>
        <w:t xml:space="preserve">zapobieganie niesprawiedliwości polegającej na dwukrotnym ściganiu lub karaniu osoby za to samo </w:t>
      </w:r>
      <w:r>
        <w:rPr>
          <w:lang w:val="pl-PL"/>
        </w:rPr>
        <w:t>zachowanie</w:t>
      </w:r>
      <w:r w:rsidR="00D35EFE">
        <w:rPr>
          <w:lang w:val="pl-PL"/>
        </w:rPr>
        <w:t xml:space="preserve"> uznane za przestępstwo</w:t>
      </w:r>
      <w:r>
        <w:rPr>
          <w:lang w:val="pl-PL"/>
        </w:rPr>
        <w:t xml:space="preserve">. Nie wyklucza </w:t>
      </w:r>
      <w:r w:rsidR="00D35EFE">
        <w:rPr>
          <w:lang w:val="pl-PL"/>
        </w:rPr>
        <w:t xml:space="preserve">on </w:t>
      </w:r>
      <w:r>
        <w:rPr>
          <w:lang w:val="pl-PL"/>
        </w:rPr>
        <w:t>istnienia systemów prawnych, które przyjmują zintegrowane podejście wobec danego wykroczenia społecznego, a w szczególności podejści</w:t>
      </w:r>
      <w:r w:rsidR="00D114B6">
        <w:rPr>
          <w:lang w:val="pl-PL"/>
        </w:rPr>
        <w:t>e</w:t>
      </w:r>
      <w:r>
        <w:rPr>
          <w:lang w:val="pl-PL"/>
        </w:rPr>
        <w:t xml:space="preserve"> zakładające równoległe etapy odpowiedzi prawnej ze strony różnych organów i dla rożnych celów. Należy o</w:t>
      </w:r>
      <w:r w:rsidR="00B30E0A">
        <w:rPr>
          <w:lang w:val="pl-PL"/>
        </w:rPr>
        <w:t>siągną</w:t>
      </w:r>
      <w:r w:rsidR="00353136">
        <w:rPr>
          <w:lang w:val="pl-PL"/>
        </w:rPr>
        <w:t>ć</w:t>
      </w:r>
      <w:r w:rsidR="00B30E0A">
        <w:rPr>
          <w:lang w:val="pl-PL"/>
        </w:rPr>
        <w:t xml:space="preserve"> słuszną równowagę między</w:t>
      </w:r>
      <w:r w:rsidR="00B30E0A">
        <w:rPr>
          <w:i/>
          <w:lang w:val="pl-PL"/>
        </w:rPr>
        <w:t xml:space="preserve"> </w:t>
      </w:r>
      <w:r w:rsidR="00B30E0A" w:rsidRPr="00215A98">
        <w:rPr>
          <w:lang w:val="pl-PL"/>
        </w:rPr>
        <w:t>z jednej strony</w:t>
      </w:r>
      <w:r w:rsidR="00B30E0A">
        <w:rPr>
          <w:lang w:val="pl-PL"/>
        </w:rPr>
        <w:t xml:space="preserve"> </w:t>
      </w:r>
      <w:r>
        <w:rPr>
          <w:lang w:val="pl-PL"/>
        </w:rPr>
        <w:t xml:space="preserve">należytym zagwarantowaniem interesów jednostki chronionych zasadą </w:t>
      </w:r>
      <w:proofErr w:type="spellStart"/>
      <w:r>
        <w:rPr>
          <w:i/>
          <w:lang w:val="pl-PL"/>
        </w:rPr>
        <w:t>ne</w:t>
      </w:r>
      <w:proofErr w:type="spellEnd"/>
      <w:r>
        <w:rPr>
          <w:i/>
          <w:lang w:val="pl-PL"/>
        </w:rPr>
        <w:t xml:space="preserve"> bis in </w:t>
      </w:r>
      <w:proofErr w:type="spellStart"/>
      <w:r>
        <w:rPr>
          <w:i/>
          <w:lang w:val="pl-PL"/>
        </w:rPr>
        <w:t>idem</w:t>
      </w:r>
      <w:proofErr w:type="spellEnd"/>
      <w:r w:rsidR="00B30E0A">
        <w:rPr>
          <w:lang w:val="pl-PL"/>
        </w:rPr>
        <w:t>, a</w:t>
      </w:r>
      <w:r w:rsidR="00D35EFE">
        <w:rPr>
          <w:lang w:val="pl-PL"/>
        </w:rPr>
        <w:t xml:space="preserve"> z drugiej strony</w:t>
      </w:r>
      <w:r w:rsidR="00B30E0A">
        <w:rPr>
          <w:lang w:val="pl-PL"/>
        </w:rPr>
        <w:t xml:space="preserve"> uwzględnieniem szczególnego interesu </w:t>
      </w:r>
      <w:r w:rsidR="00B30E0A" w:rsidRPr="00D35EFE">
        <w:rPr>
          <w:lang w:val="pl-PL"/>
        </w:rPr>
        <w:t>społeczności</w:t>
      </w:r>
      <w:r w:rsidR="00D35EFE">
        <w:rPr>
          <w:lang w:val="pl-PL"/>
        </w:rPr>
        <w:t xml:space="preserve"> w przyjęciu</w:t>
      </w:r>
      <w:r w:rsidR="00D35EFE" w:rsidRPr="00D35EFE">
        <w:rPr>
          <w:lang w:val="pl-PL"/>
        </w:rPr>
        <w:t xml:space="preserve"> odpowiedni</w:t>
      </w:r>
      <w:r w:rsidR="00D35EFE">
        <w:rPr>
          <w:lang w:val="pl-PL"/>
        </w:rPr>
        <w:t>o dostosowanych regulacji</w:t>
      </w:r>
      <w:r w:rsidR="00D35EFE" w:rsidRPr="00D35EFE">
        <w:rPr>
          <w:lang w:val="pl-PL"/>
        </w:rPr>
        <w:t xml:space="preserve"> w danym obszarze</w:t>
      </w:r>
      <w:r w:rsidR="00B30E0A" w:rsidRPr="00D35EFE">
        <w:rPr>
          <w:lang w:val="pl-PL"/>
        </w:rPr>
        <w:t>.</w:t>
      </w:r>
    </w:p>
    <w:p w:rsidR="0043529A" w:rsidRPr="0043529A" w:rsidRDefault="0043529A">
      <w:pPr>
        <w:pStyle w:val="ClinContent"/>
        <w:rPr>
          <w:lang w:val="pl-PL"/>
        </w:rPr>
      </w:pPr>
      <w:r w:rsidRPr="0043529A">
        <w:rPr>
          <w:lang w:val="pl-PL"/>
        </w:rPr>
        <w:lastRenderedPageBreak/>
        <w:t>Art. 4 Protokołu nr 7 nie wyklucza prowadzenia</w:t>
      </w:r>
      <w:r>
        <w:rPr>
          <w:lang w:val="pl-PL"/>
        </w:rPr>
        <w:t xml:space="preserve"> podwójnych postępowań pod warunkiem spełnienia pewnych warunków. W szczególności, pozwane Państwo musi wykazać w sposób przekonujący, że </w:t>
      </w:r>
      <w:r w:rsidR="00D35EFE">
        <w:rPr>
          <w:lang w:val="pl-PL"/>
        </w:rPr>
        <w:t>dane</w:t>
      </w:r>
      <w:r>
        <w:rPr>
          <w:lang w:val="pl-PL"/>
        </w:rPr>
        <w:t xml:space="preserve"> podwójne postępowania były dostatecznie blisko powiązane co do istoty i w czasie. </w:t>
      </w:r>
      <w:r w:rsidR="00641E7F">
        <w:rPr>
          <w:lang w:val="pl-PL"/>
        </w:rPr>
        <w:t>Oznacza to nie tylko</w:t>
      </w:r>
      <w:r w:rsidR="00B7221E">
        <w:rPr>
          <w:lang w:val="pl-PL"/>
        </w:rPr>
        <w:t>, że</w:t>
      </w:r>
      <w:r w:rsidR="00641E7F">
        <w:rPr>
          <w:lang w:val="pl-PL"/>
        </w:rPr>
        <w:t xml:space="preserve"> cele, do których się dąży, ale także środki wykorzystywane do ich osiągnięcia, powinny </w:t>
      </w:r>
      <w:r w:rsidR="00D35EFE">
        <w:rPr>
          <w:lang w:val="pl-PL"/>
        </w:rPr>
        <w:t xml:space="preserve">zasadniczo </w:t>
      </w:r>
      <w:r w:rsidR="00641E7F">
        <w:rPr>
          <w:lang w:val="pl-PL"/>
        </w:rPr>
        <w:t xml:space="preserve">się uzupełniać i być powiązane w czasie, ale także, że możliwe </w:t>
      </w:r>
      <w:r w:rsidR="00B7221E">
        <w:rPr>
          <w:lang w:val="pl-PL"/>
        </w:rPr>
        <w:t>konsekwencje</w:t>
      </w:r>
      <w:r w:rsidR="00641E7F">
        <w:rPr>
          <w:lang w:val="pl-PL"/>
        </w:rPr>
        <w:t xml:space="preserve"> zorganizowania w ten sposób </w:t>
      </w:r>
      <w:r w:rsidR="00B7221E">
        <w:rPr>
          <w:lang w:val="pl-PL"/>
        </w:rPr>
        <w:t xml:space="preserve">prawnego traktowania danego </w:t>
      </w:r>
      <w:r w:rsidR="00641E7F">
        <w:rPr>
          <w:lang w:val="pl-PL"/>
        </w:rPr>
        <w:t xml:space="preserve">zachowania powinny być proporcjonalne i przewidywalne dla osób, których to dotyczy. Czynniki istotne dla ustalenia, czy </w:t>
      </w:r>
      <w:r w:rsidR="00B7221E">
        <w:rPr>
          <w:lang w:val="pl-PL"/>
        </w:rPr>
        <w:t xml:space="preserve">zachodzi </w:t>
      </w:r>
      <w:r w:rsidR="00641E7F">
        <w:rPr>
          <w:lang w:val="pl-PL"/>
        </w:rPr>
        <w:t>dostatecznie bliski związek co do istoty, obejm</w:t>
      </w:r>
      <w:r w:rsidR="00B7221E">
        <w:rPr>
          <w:lang w:val="pl-PL"/>
        </w:rPr>
        <w:t>ują</w:t>
      </w:r>
      <w:r w:rsidR="00641E7F">
        <w:rPr>
          <w:lang w:val="pl-PL"/>
        </w:rPr>
        <w:t xml:space="preserve">: (i) czy te </w:t>
      </w:r>
      <w:r w:rsidR="00B7221E">
        <w:rPr>
          <w:lang w:val="pl-PL"/>
        </w:rPr>
        <w:t>odrębne postępowania realizują</w:t>
      </w:r>
      <w:r w:rsidR="00641E7F">
        <w:rPr>
          <w:lang w:val="pl-PL"/>
        </w:rPr>
        <w:t xml:space="preserve"> uzupełniające się cele, a zatem odnos</w:t>
      </w:r>
      <w:r w:rsidR="00B7221E">
        <w:rPr>
          <w:lang w:val="pl-PL"/>
        </w:rPr>
        <w:t>zą</w:t>
      </w:r>
      <w:r w:rsidR="00641E7F">
        <w:rPr>
          <w:lang w:val="pl-PL"/>
        </w:rPr>
        <w:t xml:space="preserve"> do odmiennych aspektów danego niewłaściwego społecznie zachowania, (ii) czy dwukrotność danych postępowań </w:t>
      </w:r>
      <w:r w:rsidR="00B7221E">
        <w:rPr>
          <w:lang w:val="pl-PL"/>
        </w:rPr>
        <w:t>jest</w:t>
      </w:r>
      <w:r w:rsidR="00641E7F">
        <w:rPr>
          <w:lang w:val="pl-PL"/>
        </w:rPr>
        <w:t xml:space="preserve"> na gruncie prawa i praktyki przewidywalną konsekwencją, (iii) czy </w:t>
      </w:r>
      <w:r w:rsidR="00B7221E">
        <w:rPr>
          <w:lang w:val="pl-PL"/>
        </w:rPr>
        <w:t>właściwe postępowania prowadzone są</w:t>
      </w:r>
      <w:r w:rsidR="00641E7F">
        <w:rPr>
          <w:lang w:val="pl-PL"/>
        </w:rPr>
        <w:t xml:space="preserve"> w taki sposób, by uniknąć na tyle, na ile to możliwe</w:t>
      </w:r>
      <w:r w:rsidR="00B7221E">
        <w:rPr>
          <w:lang w:val="pl-PL"/>
        </w:rPr>
        <w:t>,</w:t>
      </w:r>
      <w:r w:rsidR="00641E7F">
        <w:rPr>
          <w:lang w:val="pl-PL"/>
        </w:rPr>
        <w:t xml:space="preserve"> dublowania się procesu gromadzenia i oceny dowodów, w szczególności poprzez odpowiednią interakcję między różnymi właściwymi wła</w:t>
      </w:r>
      <w:r w:rsidR="0022065C">
        <w:rPr>
          <w:lang w:val="pl-PL"/>
        </w:rPr>
        <w:t>dzami prowadzącą do tego, by ustalenie faktów w jednym postępowaniu było wykorzystywane również w drugim postępowaniu, a także (iv) czy sankcja nałożona w postępowaniu, które się zakończyło w sposób ostateczny jako pierwsze,</w:t>
      </w:r>
      <w:r w:rsidR="00B7221E">
        <w:rPr>
          <w:lang w:val="pl-PL"/>
        </w:rPr>
        <w:t xml:space="preserve"> jest </w:t>
      </w:r>
      <w:r w:rsidR="0022065C">
        <w:rPr>
          <w:lang w:val="pl-PL"/>
        </w:rPr>
        <w:t xml:space="preserve"> uwzględniana w po</w:t>
      </w:r>
      <w:r w:rsidR="00B7221E">
        <w:rPr>
          <w:lang w:val="pl-PL"/>
        </w:rPr>
        <w:t>stępowaniu, które się zakończy</w:t>
      </w:r>
      <w:r w:rsidR="0022065C">
        <w:rPr>
          <w:lang w:val="pl-PL"/>
        </w:rPr>
        <w:t xml:space="preserve"> jako ostatnie, tak aby zapobiec ponoszeniu przed daną jednostkę nadmiernego ciężaru. Związek w czasie powinien być dostatecznie bliski, by chronić jednostkę przed stanem niepewności i zwłoki, a także </w:t>
      </w:r>
      <w:r w:rsidR="00B7221E">
        <w:rPr>
          <w:lang w:val="pl-PL"/>
        </w:rPr>
        <w:t xml:space="preserve">przed </w:t>
      </w:r>
      <w:r w:rsidR="0022065C">
        <w:rPr>
          <w:lang w:val="pl-PL"/>
        </w:rPr>
        <w:t>p</w:t>
      </w:r>
      <w:r w:rsidR="00B7221E">
        <w:rPr>
          <w:lang w:val="pl-PL"/>
        </w:rPr>
        <w:t>rzedłużaniem</w:t>
      </w:r>
      <w:r w:rsidR="0022065C">
        <w:rPr>
          <w:lang w:val="pl-PL"/>
        </w:rPr>
        <w:t xml:space="preserve"> się postępowaniem</w:t>
      </w:r>
      <w:r w:rsidR="00B7221E">
        <w:rPr>
          <w:lang w:val="pl-PL"/>
        </w:rPr>
        <w:t xml:space="preserve"> w czasie</w:t>
      </w:r>
      <w:r w:rsidR="0022065C">
        <w:rPr>
          <w:lang w:val="pl-PL"/>
        </w:rPr>
        <w:t xml:space="preserve">. Im słabszy jest ten związek w czasie, tym większy jest ciężar dowodu po stronie Państwa w wyjaśnieniu i uzasadnieniu wszelkiej zwłoki, </w:t>
      </w:r>
      <w:r w:rsidR="00B7221E">
        <w:rPr>
          <w:lang w:val="pl-PL"/>
        </w:rPr>
        <w:t>jaką można przypisać prowadzeniu</w:t>
      </w:r>
      <w:r w:rsidR="0022065C">
        <w:rPr>
          <w:lang w:val="pl-PL"/>
        </w:rPr>
        <w:t xml:space="preserve"> przez nie postępowania. </w:t>
      </w:r>
    </w:p>
    <w:p w:rsidR="006A09BD" w:rsidRPr="006A09BD" w:rsidRDefault="006A09BD">
      <w:pPr>
        <w:pStyle w:val="ClinContent"/>
        <w:rPr>
          <w:lang w:val="pl-PL"/>
        </w:rPr>
      </w:pPr>
      <w:r w:rsidRPr="006A09BD">
        <w:rPr>
          <w:lang w:val="pl-PL"/>
        </w:rPr>
        <w:t xml:space="preserve">Władze </w:t>
      </w:r>
      <w:r w:rsidR="00B7221E">
        <w:rPr>
          <w:lang w:val="pl-PL"/>
        </w:rPr>
        <w:t>k</w:t>
      </w:r>
      <w:r w:rsidRPr="006A09BD">
        <w:rPr>
          <w:lang w:val="pl-PL"/>
        </w:rPr>
        <w:t xml:space="preserve">rajowe stwierdziły, że zachowanie skarżących wymagało dwóch reakcji: kary administracyjnej i </w:t>
      </w:r>
      <w:r>
        <w:rPr>
          <w:lang w:val="pl-PL"/>
        </w:rPr>
        <w:t>na gruncie prawa karnego</w:t>
      </w:r>
      <w:r w:rsidRPr="006A09BD">
        <w:rPr>
          <w:lang w:val="pl-PL"/>
        </w:rPr>
        <w:t>.</w:t>
      </w:r>
      <w:r>
        <w:rPr>
          <w:lang w:val="pl-PL"/>
        </w:rPr>
        <w:t xml:space="preserve"> Kara administracyjna </w:t>
      </w:r>
      <w:r w:rsidR="00B7221E">
        <w:rPr>
          <w:lang w:val="pl-PL"/>
        </w:rPr>
        <w:t xml:space="preserve">w postaci </w:t>
      </w:r>
      <w:r>
        <w:rPr>
          <w:lang w:val="pl-PL"/>
        </w:rPr>
        <w:t>dopłaty podatkowej służyła jako środek odstraszający o charakterze generalnym i mający na celu zrekompensowanie znaczącej pracy i kosztów ponoszonych przez władze podatkowe w imieniu społeczeństwa, prowadząc</w:t>
      </w:r>
      <w:r w:rsidR="000B0B95">
        <w:rPr>
          <w:lang w:val="pl-PL"/>
        </w:rPr>
        <w:t>e</w:t>
      </w:r>
      <w:r>
        <w:rPr>
          <w:lang w:val="pl-PL"/>
        </w:rPr>
        <w:t xml:space="preserve"> kontrole i audyty w celu wykry</w:t>
      </w:r>
      <w:r w:rsidR="00B7221E">
        <w:rPr>
          <w:lang w:val="pl-PL"/>
        </w:rPr>
        <w:t>wania takich</w:t>
      </w:r>
      <w:r>
        <w:rPr>
          <w:lang w:val="pl-PL"/>
        </w:rPr>
        <w:t xml:space="preserve"> wadliwych zeznań. Skazanie na gruncie prawa karnego </w:t>
      </w:r>
      <w:r w:rsidR="00B7221E">
        <w:rPr>
          <w:lang w:val="pl-PL"/>
        </w:rPr>
        <w:t>służyło</w:t>
      </w:r>
      <w:r>
        <w:rPr>
          <w:lang w:val="pl-PL"/>
        </w:rPr>
        <w:t xml:space="preserve"> nie tylko odstraszaniu, ale także celom represyjnym w odniesieniu do tych samych antyspołecznych zaniechań, </w:t>
      </w:r>
      <w:r w:rsidR="00B7221E">
        <w:rPr>
          <w:lang w:val="pl-PL"/>
        </w:rPr>
        <w:t>zawierających w sobie</w:t>
      </w:r>
      <w:r>
        <w:rPr>
          <w:lang w:val="pl-PL"/>
        </w:rPr>
        <w:t xml:space="preserve"> dodatkowy element popełnienia zawinionego oszustwa. Szczególne</w:t>
      </w:r>
      <w:r w:rsidR="00B7221E">
        <w:rPr>
          <w:lang w:val="pl-PL"/>
        </w:rPr>
        <w:t xml:space="preserve"> znaczenie miał</w:t>
      </w:r>
      <w:r>
        <w:rPr>
          <w:lang w:val="pl-PL"/>
        </w:rPr>
        <w:t xml:space="preserve"> fakt, że skazując skarżących</w:t>
      </w:r>
      <w:r w:rsidR="00B7221E">
        <w:rPr>
          <w:lang w:val="pl-PL"/>
        </w:rPr>
        <w:t>,</w:t>
      </w:r>
      <w:r>
        <w:rPr>
          <w:lang w:val="pl-PL"/>
        </w:rPr>
        <w:t xml:space="preserve"> sąd krajowy wziął pod uwagę, że nałożono na nich już karę podatkową. Prowadzenie podwójnych postępowań z możliwością nałożenia różnych </w:t>
      </w:r>
      <w:r w:rsidRPr="00B7221E">
        <w:rPr>
          <w:lang w:val="pl-PL"/>
        </w:rPr>
        <w:t>skumulowanych</w:t>
      </w:r>
      <w:r>
        <w:rPr>
          <w:lang w:val="pl-PL"/>
        </w:rPr>
        <w:t xml:space="preserve"> kar było przewidywalne w danych okolicznościach, a </w:t>
      </w:r>
      <w:r w:rsidR="006A0E1C">
        <w:rPr>
          <w:lang w:val="pl-PL"/>
        </w:rPr>
        <w:t xml:space="preserve">na </w:t>
      </w:r>
      <w:r>
        <w:rPr>
          <w:lang w:val="pl-PL"/>
        </w:rPr>
        <w:t>ustalenia</w:t>
      </w:r>
      <w:r w:rsidR="006A0E1C">
        <w:rPr>
          <w:lang w:val="pl-PL"/>
        </w:rPr>
        <w:t>ch</w:t>
      </w:r>
      <w:r>
        <w:rPr>
          <w:lang w:val="pl-PL"/>
        </w:rPr>
        <w:t xml:space="preserve"> co do faktów </w:t>
      </w:r>
      <w:r w:rsidR="006A0E1C">
        <w:rPr>
          <w:lang w:val="pl-PL"/>
        </w:rPr>
        <w:t>poczynionych</w:t>
      </w:r>
      <w:r>
        <w:rPr>
          <w:lang w:val="pl-PL"/>
        </w:rPr>
        <w:t xml:space="preserve"> w jednym postępowaniu</w:t>
      </w:r>
      <w:r w:rsidR="006A0E1C">
        <w:rPr>
          <w:lang w:val="pl-PL"/>
        </w:rPr>
        <w:t xml:space="preserve"> oparto się w drugim postępowaniu. </w:t>
      </w:r>
    </w:p>
    <w:p w:rsidR="006A0E1C" w:rsidRDefault="006A0E1C">
      <w:pPr>
        <w:pStyle w:val="ClinContent"/>
        <w:rPr>
          <w:lang w:val="pl-PL"/>
        </w:rPr>
      </w:pPr>
      <w:r w:rsidRPr="006A0E1C">
        <w:rPr>
          <w:lang w:val="pl-PL"/>
        </w:rPr>
        <w:t xml:space="preserve">Nic nie wskazywało, że skarżący </w:t>
      </w:r>
      <w:r>
        <w:rPr>
          <w:lang w:val="pl-PL"/>
        </w:rPr>
        <w:t xml:space="preserve">ponieśli </w:t>
      </w:r>
      <w:r w:rsidR="00B7221E">
        <w:rPr>
          <w:lang w:val="pl-PL"/>
        </w:rPr>
        <w:t xml:space="preserve">jakikolwiek </w:t>
      </w:r>
      <w:r>
        <w:rPr>
          <w:lang w:val="pl-PL"/>
        </w:rPr>
        <w:t>nieproporcjonalny uszczerbek bądź niesprawiedliwość, zachodził także dostatecznie bliski związek zarówno co do istoty, jak i w czasie między dwoma postępowaniami.</w:t>
      </w:r>
    </w:p>
    <w:p w:rsidR="006A0E1C" w:rsidRPr="006A0E1C" w:rsidRDefault="001065CC">
      <w:pPr>
        <w:pStyle w:val="ClinContent"/>
        <w:rPr>
          <w:lang w:val="pl-PL"/>
        </w:rPr>
      </w:pPr>
      <w:r>
        <w:rPr>
          <w:i/>
          <w:lang w:val="pl-PL"/>
        </w:rPr>
        <w:t>Rozstrzygnięcie:</w:t>
      </w:r>
      <w:r w:rsidR="006A0E1C">
        <w:rPr>
          <w:lang w:val="pl-PL"/>
        </w:rPr>
        <w:t xml:space="preserve"> brak naruszenia (szesna</w:t>
      </w:r>
      <w:r w:rsidR="00B7221E">
        <w:rPr>
          <w:lang w:val="pl-PL"/>
        </w:rPr>
        <w:t>stoma</w:t>
      </w:r>
      <w:r w:rsidR="006A0E1C">
        <w:rPr>
          <w:lang w:val="pl-PL"/>
        </w:rPr>
        <w:t xml:space="preserve"> głos</w:t>
      </w:r>
      <w:r w:rsidR="000B0B95">
        <w:rPr>
          <w:lang w:val="pl-PL"/>
        </w:rPr>
        <w:t>ami</w:t>
      </w:r>
      <w:r w:rsidR="006A0E1C">
        <w:rPr>
          <w:lang w:val="pl-PL"/>
        </w:rPr>
        <w:t xml:space="preserve"> do jednego).</w:t>
      </w:r>
    </w:p>
    <w:p w:rsidR="0074070E" w:rsidRPr="00253058" w:rsidRDefault="0074070E" w:rsidP="0074070E">
      <w:pPr>
        <w:pStyle w:val="ClinContent"/>
        <w:rPr>
          <w:lang w:val="pl-PL"/>
        </w:rPr>
      </w:pPr>
      <w:r w:rsidRPr="00253058">
        <w:rPr>
          <w:lang w:val="pl-PL"/>
        </w:rPr>
        <w:t>(</w:t>
      </w:r>
      <w:r w:rsidR="00B7221E" w:rsidRPr="00253058">
        <w:rPr>
          <w:lang w:val="pl-PL"/>
        </w:rPr>
        <w:t>Z</w:t>
      </w:r>
      <w:r w:rsidRPr="00253058">
        <w:rPr>
          <w:lang w:val="pl-PL"/>
        </w:rPr>
        <w:t xml:space="preserve">obacz również: </w:t>
      </w:r>
      <w:proofErr w:type="spellStart"/>
      <w:r w:rsidRPr="00253058">
        <w:rPr>
          <w:i/>
          <w:lang w:val="pl-PL"/>
        </w:rPr>
        <w:t>Zolotukhin</w:t>
      </w:r>
      <w:proofErr w:type="spellEnd"/>
      <w:r w:rsidRPr="00253058">
        <w:rPr>
          <w:i/>
          <w:lang w:val="pl-PL"/>
        </w:rPr>
        <w:t xml:space="preserve"> p. </w:t>
      </w:r>
      <w:r w:rsidR="00B7221E" w:rsidRPr="00253058">
        <w:rPr>
          <w:i/>
          <w:lang w:val="pl-PL"/>
        </w:rPr>
        <w:t xml:space="preserve">Rosji </w:t>
      </w:r>
      <w:r w:rsidRPr="00253058">
        <w:rPr>
          <w:lang w:val="pl-PL"/>
        </w:rPr>
        <w:t xml:space="preserve">[Wielka Izba], skarga nr 14939/03, 10 lutego 2009 r., </w:t>
      </w:r>
      <w:hyperlink r:id="rId8" w:history="1">
        <w:r w:rsidRPr="00253058">
          <w:rPr>
            <w:rStyle w:val="Hipercze"/>
            <w:lang w:val="pl-PL"/>
          </w:rPr>
          <w:t>Nota Informacyjna nr 116</w:t>
        </w:r>
      </w:hyperlink>
      <w:r w:rsidRPr="00253058">
        <w:rPr>
          <w:lang w:val="pl-PL"/>
        </w:rPr>
        <w:t xml:space="preserve">; </w:t>
      </w:r>
      <w:proofErr w:type="spellStart"/>
      <w:r w:rsidRPr="00253058">
        <w:rPr>
          <w:i/>
          <w:lang w:val="pl-PL"/>
        </w:rPr>
        <w:t>Engel</w:t>
      </w:r>
      <w:proofErr w:type="spellEnd"/>
      <w:r w:rsidRPr="00253058">
        <w:rPr>
          <w:i/>
          <w:lang w:val="pl-PL"/>
        </w:rPr>
        <w:t xml:space="preserve"> i Inni p. Holan</w:t>
      </w:r>
      <w:r w:rsidR="00B7221E" w:rsidRPr="00253058">
        <w:rPr>
          <w:i/>
          <w:lang w:val="pl-PL"/>
        </w:rPr>
        <w:t>d</w:t>
      </w:r>
      <w:r w:rsidRPr="00253058">
        <w:rPr>
          <w:i/>
          <w:lang w:val="pl-PL"/>
        </w:rPr>
        <w:t>ii</w:t>
      </w:r>
      <w:r w:rsidRPr="00253058">
        <w:rPr>
          <w:lang w:val="pl-PL"/>
        </w:rPr>
        <w:t xml:space="preserve">, </w:t>
      </w:r>
      <w:hyperlink r:id="rId9" w:history="1">
        <w:r w:rsidRPr="00253058">
          <w:rPr>
            <w:rStyle w:val="Hipercze"/>
            <w:lang w:val="pl-PL"/>
          </w:rPr>
          <w:t>skarga nr 5100/71</w:t>
        </w:r>
      </w:hyperlink>
      <w:r w:rsidR="00B7221E" w:rsidRPr="00253058">
        <w:rPr>
          <w:lang w:val="pl-PL"/>
        </w:rPr>
        <w:t xml:space="preserve"> i inne</w:t>
      </w:r>
      <w:r w:rsidRPr="00253058">
        <w:rPr>
          <w:lang w:val="pl-PL"/>
        </w:rPr>
        <w:t xml:space="preserve">, 8 czerwca 1976 r.; </w:t>
      </w:r>
      <w:r w:rsidRPr="00253058">
        <w:rPr>
          <w:i/>
          <w:lang w:val="pl-PL"/>
        </w:rPr>
        <w:t>R.T. p. Szwajcarii</w:t>
      </w:r>
      <w:r w:rsidRPr="00253058">
        <w:rPr>
          <w:lang w:val="pl-PL"/>
        </w:rPr>
        <w:t xml:space="preserve"> (decyzja), skarga nr 31982/96, 30 maja 2000 r., </w:t>
      </w:r>
      <w:hyperlink r:id="rId10" w:history="1">
        <w:r w:rsidRPr="00253058">
          <w:rPr>
            <w:rStyle w:val="Hipercze"/>
            <w:lang w:val="pl-PL"/>
          </w:rPr>
          <w:t>Nota informacyjna nr 18</w:t>
        </w:r>
      </w:hyperlink>
      <w:r w:rsidRPr="00253058">
        <w:rPr>
          <w:lang w:val="pl-PL"/>
        </w:rPr>
        <w:t xml:space="preserve">; </w:t>
      </w:r>
      <w:proofErr w:type="spellStart"/>
      <w:r w:rsidRPr="00253058">
        <w:rPr>
          <w:i/>
          <w:lang w:val="pl-PL"/>
        </w:rPr>
        <w:t>Nilsson</w:t>
      </w:r>
      <w:proofErr w:type="spellEnd"/>
      <w:r w:rsidRPr="00253058">
        <w:rPr>
          <w:i/>
          <w:lang w:val="pl-PL"/>
        </w:rPr>
        <w:t xml:space="preserve"> p. Szwecji</w:t>
      </w:r>
      <w:r w:rsidRPr="00253058">
        <w:rPr>
          <w:lang w:val="pl-PL"/>
        </w:rPr>
        <w:t xml:space="preserve">, skarga nr 73661/01, 13 grudnia 2005 r., </w:t>
      </w:r>
      <w:hyperlink r:id="rId11" w:history="1">
        <w:r w:rsidRPr="00253058">
          <w:rPr>
            <w:rStyle w:val="Hipercze"/>
            <w:lang w:val="pl-PL"/>
          </w:rPr>
          <w:t>Nota informacyjna nr 81</w:t>
        </w:r>
      </w:hyperlink>
      <w:r w:rsidRPr="00253058">
        <w:rPr>
          <w:lang w:val="pl-PL"/>
        </w:rPr>
        <w:t xml:space="preserve">; oraz </w:t>
      </w:r>
      <w:proofErr w:type="spellStart"/>
      <w:r w:rsidRPr="00253058">
        <w:rPr>
          <w:i/>
          <w:lang w:val="pl-PL"/>
        </w:rPr>
        <w:t>Nykänen</w:t>
      </w:r>
      <w:proofErr w:type="spellEnd"/>
      <w:r w:rsidRPr="00253058">
        <w:rPr>
          <w:i/>
          <w:lang w:val="pl-PL"/>
        </w:rPr>
        <w:t xml:space="preserve"> p. Finlandii</w:t>
      </w:r>
      <w:r w:rsidRPr="00253058">
        <w:rPr>
          <w:lang w:val="pl-PL"/>
        </w:rPr>
        <w:t xml:space="preserve">, skarga nr </w:t>
      </w:r>
      <w:hyperlink r:id="rId12" w:history="1">
        <w:r w:rsidRPr="00253058">
          <w:rPr>
            <w:rStyle w:val="Hipercze"/>
            <w:lang w:val="pl-PL"/>
          </w:rPr>
          <w:t>11828/11</w:t>
        </w:r>
      </w:hyperlink>
      <w:r w:rsidRPr="00253058">
        <w:rPr>
          <w:lang w:val="pl-PL"/>
        </w:rPr>
        <w:t>, 20 maja 2014 r.)</w:t>
      </w:r>
      <w:r w:rsidR="002D409D">
        <w:rPr>
          <w:lang w:val="pl-PL"/>
        </w:rPr>
        <w:t>.</w:t>
      </w:r>
    </w:p>
    <w:p w:rsidR="002C7C59" w:rsidRPr="00253058" w:rsidRDefault="002C7C59">
      <w:pPr>
        <w:pBdr>
          <w:bottom w:val="single" w:sz="8" w:space="1" w:color="auto"/>
        </w:pBdr>
        <w:rPr>
          <w:lang w:val="pl-PL"/>
        </w:rPr>
      </w:pPr>
    </w:p>
    <w:p w:rsidR="002C7C59" w:rsidRPr="0074070E" w:rsidRDefault="00F6033D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</w:r>
      <w:r w:rsidR="0074070E" w:rsidRPr="0074070E">
        <w:rPr>
          <w:lang w:val="pl-PL"/>
        </w:rPr>
        <w:t xml:space="preserve">Niniejsze streszczenie przygotowane przez Kancelarię nie wiąże Trybunału.  </w:t>
      </w:r>
    </w:p>
    <w:p w:rsidR="00207E9F" w:rsidRPr="0074070E" w:rsidRDefault="0074070E" w:rsidP="00BA3292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3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207E9F" w:rsidRPr="0074070E" w:rsidSect="00BA32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851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9AF" w:rsidRDefault="003639AF" w:rsidP="00C63262">
      <w:r>
        <w:separator/>
      </w:r>
    </w:p>
  </w:endnote>
  <w:endnote w:type="continuationSeparator" w:id="0">
    <w:p w:rsidR="003639AF" w:rsidRDefault="003639A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57" w:rsidRDefault="00E53B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57" w:rsidRDefault="00E53B5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38C4B1A" wp14:editId="5829ECAD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9AF" w:rsidRDefault="003639AF" w:rsidP="00C63262">
      <w:r>
        <w:separator/>
      </w:r>
    </w:p>
  </w:footnote>
  <w:footnote w:type="continuationSeparator" w:id="0">
    <w:p w:rsidR="003639AF" w:rsidRDefault="003639A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57" w:rsidRDefault="00E53B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61E9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67FE2C76" wp14:editId="1CFCA680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7074"/>
    <w:rsid w:val="00097888"/>
    <w:rsid w:val="000B0B95"/>
    <w:rsid w:val="000F13B5"/>
    <w:rsid w:val="001065CC"/>
    <w:rsid w:val="00107377"/>
    <w:rsid w:val="00143602"/>
    <w:rsid w:val="001769E4"/>
    <w:rsid w:val="00186560"/>
    <w:rsid w:val="001B528D"/>
    <w:rsid w:val="001E21B3"/>
    <w:rsid w:val="00207E9F"/>
    <w:rsid w:val="00212E83"/>
    <w:rsid w:val="0021541C"/>
    <w:rsid w:val="00215A98"/>
    <w:rsid w:val="0022065C"/>
    <w:rsid w:val="00253058"/>
    <w:rsid w:val="00275B0C"/>
    <w:rsid w:val="002966E7"/>
    <w:rsid w:val="002C7C59"/>
    <w:rsid w:val="002D409D"/>
    <w:rsid w:val="002E088D"/>
    <w:rsid w:val="0030264F"/>
    <w:rsid w:val="00321F6A"/>
    <w:rsid w:val="003450B3"/>
    <w:rsid w:val="00353136"/>
    <w:rsid w:val="003639AF"/>
    <w:rsid w:val="0038661D"/>
    <w:rsid w:val="00386958"/>
    <w:rsid w:val="003A64A6"/>
    <w:rsid w:val="003D7BB3"/>
    <w:rsid w:val="003E1EA6"/>
    <w:rsid w:val="0043529A"/>
    <w:rsid w:val="0046453F"/>
    <w:rsid w:val="004A5B52"/>
    <w:rsid w:val="004D568D"/>
    <w:rsid w:val="004E1037"/>
    <w:rsid w:val="0052092D"/>
    <w:rsid w:val="00540D75"/>
    <w:rsid w:val="00546547"/>
    <w:rsid w:val="005514E5"/>
    <w:rsid w:val="00557F20"/>
    <w:rsid w:val="0059620D"/>
    <w:rsid w:val="005B2BD8"/>
    <w:rsid w:val="006028A1"/>
    <w:rsid w:val="00631A28"/>
    <w:rsid w:val="00641E7F"/>
    <w:rsid w:val="0067780C"/>
    <w:rsid w:val="006A09BD"/>
    <w:rsid w:val="006A0E1C"/>
    <w:rsid w:val="006A36AD"/>
    <w:rsid w:val="006A40E3"/>
    <w:rsid w:val="006C1D96"/>
    <w:rsid w:val="006C3F8F"/>
    <w:rsid w:val="0071773F"/>
    <w:rsid w:val="0074070E"/>
    <w:rsid w:val="00752298"/>
    <w:rsid w:val="00774515"/>
    <w:rsid w:val="00861E95"/>
    <w:rsid w:val="00862C37"/>
    <w:rsid w:val="00895EF3"/>
    <w:rsid w:val="008B0E3E"/>
    <w:rsid w:val="008C64D5"/>
    <w:rsid w:val="00903D38"/>
    <w:rsid w:val="009A02FD"/>
    <w:rsid w:val="009B3B2C"/>
    <w:rsid w:val="009E3EF0"/>
    <w:rsid w:val="00A01052"/>
    <w:rsid w:val="00A04D9C"/>
    <w:rsid w:val="00A258BB"/>
    <w:rsid w:val="00A33541"/>
    <w:rsid w:val="00A45616"/>
    <w:rsid w:val="00AA0095"/>
    <w:rsid w:val="00AC7726"/>
    <w:rsid w:val="00B11783"/>
    <w:rsid w:val="00B30E0A"/>
    <w:rsid w:val="00B7221E"/>
    <w:rsid w:val="00B80CA0"/>
    <w:rsid w:val="00B85770"/>
    <w:rsid w:val="00BA3292"/>
    <w:rsid w:val="00BF1CD9"/>
    <w:rsid w:val="00C37433"/>
    <w:rsid w:val="00C63262"/>
    <w:rsid w:val="00C72355"/>
    <w:rsid w:val="00C93CFB"/>
    <w:rsid w:val="00CF12BF"/>
    <w:rsid w:val="00CF7BA6"/>
    <w:rsid w:val="00D114B6"/>
    <w:rsid w:val="00D25861"/>
    <w:rsid w:val="00D35EFE"/>
    <w:rsid w:val="00D42086"/>
    <w:rsid w:val="00D425B3"/>
    <w:rsid w:val="00E53B57"/>
    <w:rsid w:val="00E55491"/>
    <w:rsid w:val="00E63BBA"/>
    <w:rsid w:val="00E81A2E"/>
    <w:rsid w:val="00E83DB6"/>
    <w:rsid w:val="00EA53E7"/>
    <w:rsid w:val="00EE0B2E"/>
    <w:rsid w:val="00F33838"/>
    <w:rsid w:val="00F508C9"/>
    <w:rsid w:val="00F50CCD"/>
    <w:rsid w:val="00F5247C"/>
    <w:rsid w:val="00F6033D"/>
    <w:rsid w:val="00F61084"/>
    <w:rsid w:val="00F745AB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48"/>
    <w:lsdException w:name="footer" w:semiHidden="1" w:uiPriority="49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3E1EA6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3E1EA6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E1EA6"/>
  </w:style>
  <w:style w:type="character" w:customStyle="1" w:styleId="object">
    <w:name w:val="object"/>
    <w:basedOn w:val="Domylnaczcionkaakapitu"/>
    <w:rsid w:val="003E1EA6"/>
  </w:style>
  <w:style w:type="character" w:styleId="UyteHipercze">
    <w:name w:val="FollowedHyperlink"/>
    <w:basedOn w:val="Domylnaczcionkaakapitu"/>
    <w:semiHidden/>
    <w:rsid w:val="00BA3292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48"/>
    <w:lsdException w:name="footer" w:semiHidden="1" w:uiPriority="49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3E1EA6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3E1EA6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E1EA6"/>
  </w:style>
  <w:style w:type="character" w:customStyle="1" w:styleId="object">
    <w:name w:val="object"/>
    <w:basedOn w:val="Domylnaczcionkaakapitu"/>
    <w:rsid w:val="003E1EA6"/>
  </w:style>
  <w:style w:type="character" w:styleId="UyteHipercze">
    <w:name w:val="FollowedHyperlink"/>
    <w:basedOn w:val="Domylnaczcionkaakapitu"/>
    <w:semiHidden/>
    <w:rsid w:val="00BA3292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693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hudoc.echr.coe.int/eng?i=001-144112" TargetMode="External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359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7020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1-57479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2017-04-05T11:56:00Z</dcterms:created>
  <dcterms:modified xsi:type="dcterms:W3CDTF">2017-06-21T12:09:00Z</dcterms:modified>
</cp:coreProperties>
</file>