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CDA" w:rsidRDefault="003738AC" w:rsidP="00600CDA">
      <w:pPr>
        <w:spacing w:after="120"/>
        <w:rPr>
          <w:rFonts w:ascii="Arial" w:hAnsi="Arial" w:cs="Arial"/>
          <w:sz w:val="20"/>
          <w:szCs w:val="20"/>
          <w:lang w:val="en-GB"/>
        </w:rPr>
      </w:pPr>
      <w:r>
        <w:rPr>
          <w:rFonts w:ascii="Arial" w:hAnsi="Arial" w:cs="Arial"/>
          <w:sz w:val="20"/>
          <w:szCs w:val="20"/>
          <w:lang w:val="en-GB"/>
        </w:rPr>
        <w:t xml:space="preserve"> </w:t>
      </w:r>
    </w:p>
    <w:p w:rsidR="003738AC" w:rsidRDefault="003738AC" w:rsidP="00600CDA">
      <w:pPr>
        <w:spacing w:after="120"/>
        <w:rPr>
          <w:rFonts w:ascii="Arial" w:hAnsi="Arial" w:cs="Arial"/>
          <w:sz w:val="20"/>
          <w:szCs w:val="20"/>
          <w:lang w:val="pl-PL"/>
        </w:rPr>
      </w:pPr>
    </w:p>
    <w:p w:rsidR="00600CDA" w:rsidRPr="003227B1" w:rsidRDefault="00600CDA" w:rsidP="00600CDA">
      <w:pPr>
        <w:spacing w:after="120"/>
        <w:rPr>
          <w:rFonts w:ascii="Arial" w:hAnsi="Arial" w:cs="Arial"/>
          <w:sz w:val="20"/>
          <w:szCs w:val="20"/>
          <w:lang w:val="pl-PL"/>
        </w:rPr>
      </w:pPr>
    </w:p>
    <w:p w:rsidR="00600CDA" w:rsidRPr="003227B1" w:rsidRDefault="00600CDA" w:rsidP="00600CDA">
      <w:pPr>
        <w:jc w:val="center"/>
        <w:rPr>
          <w:lang w:val="pl-PL"/>
        </w:rPr>
      </w:pPr>
      <w:r>
        <w:rPr>
          <w:lang w:val="pl-PL"/>
        </w:rPr>
        <w:t>EUROPEJSKI TRYBUNAŁ PRAW CZŁOWIEKA</w:t>
      </w:r>
    </w:p>
    <w:p w:rsidR="00854914" w:rsidRPr="00600CDA" w:rsidRDefault="00854914" w:rsidP="009645C3">
      <w:pPr>
        <w:pStyle w:val="ECHRDecisionBody"/>
        <w:rPr>
          <w:b/>
          <w:sz w:val="28"/>
          <w:szCs w:val="28"/>
          <w:lang w:val="pl-PL"/>
        </w:rPr>
      </w:pPr>
    </w:p>
    <w:p w:rsidR="00014566" w:rsidRPr="00600CDA" w:rsidRDefault="00014566" w:rsidP="009645C3">
      <w:pPr>
        <w:pStyle w:val="ECHRDecisionBody"/>
        <w:rPr>
          <w:lang w:val="pl-PL"/>
        </w:rPr>
      </w:pPr>
    </w:p>
    <w:p w:rsidR="00014566" w:rsidRPr="00844DE8" w:rsidRDefault="00844DE8" w:rsidP="009645C3">
      <w:pPr>
        <w:jc w:val="center"/>
        <w:rPr>
          <w:lang w:val="pl-PL"/>
        </w:rPr>
      </w:pPr>
      <w:r w:rsidRPr="004C015D">
        <w:rPr>
          <w:lang w:val="pl-PL"/>
        </w:rPr>
        <w:t>SEKCJA CZWARTA</w:t>
      </w:r>
    </w:p>
    <w:p w:rsidR="00014566" w:rsidRPr="00844DE8" w:rsidRDefault="00014566" w:rsidP="009645C3">
      <w:pPr>
        <w:jc w:val="center"/>
        <w:rPr>
          <w:lang w:val="pl-PL"/>
        </w:rPr>
      </w:pPr>
    </w:p>
    <w:p w:rsidR="00854914" w:rsidRPr="00844DE8" w:rsidRDefault="00854914" w:rsidP="009645C3">
      <w:pPr>
        <w:jc w:val="center"/>
        <w:rPr>
          <w:lang w:val="pl-PL"/>
        </w:rPr>
      </w:pPr>
    </w:p>
    <w:p w:rsidR="00854914" w:rsidRDefault="00854914" w:rsidP="009645C3">
      <w:pPr>
        <w:jc w:val="center"/>
        <w:rPr>
          <w:lang w:val="pl-PL"/>
        </w:rPr>
      </w:pPr>
    </w:p>
    <w:p w:rsidR="003738AC" w:rsidRDefault="003738AC" w:rsidP="009645C3">
      <w:pPr>
        <w:jc w:val="center"/>
        <w:rPr>
          <w:lang w:val="pl-PL"/>
        </w:rPr>
      </w:pPr>
    </w:p>
    <w:p w:rsidR="003738AC" w:rsidRPr="003738AC" w:rsidRDefault="003738AC" w:rsidP="009645C3">
      <w:pPr>
        <w:jc w:val="center"/>
        <w:rPr>
          <w:lang w:val="pl-PL"/>
        </w:rPr>
      </w:pPr>
    </w:p>
    <w:p w:rsidR="00014566" w:rsidRPr="00844DE8" w:rsidRDefault="00844DE8" w:rsidP="009645C3">
      <w:pPr>
        <w:jc w:val="center"/>
        <w:rPr>
          <w:b/>
          <w:lang w:val="pl-PL"/>
        </w:rPr>
      </w:pPr>
      <w:bookmarkStart w:id="0" w:name="To"/>
      <w:r w:rsidRPr="004C015D">
        <w:rPr>
          <w:b/>
          <w:lang w:val="pl-PL"/>
        </w:rPr>
        <w:t>SPRAWA</w:t>
      </w:r>
      <w:r w:rsidR="00014566" w:rsidRPr="00844DE8">
        <w:rPr>
          <w:b/>
          <w:lang w:val="pl-PL"/>
        </w:rPr>
        <w:t xml:space="preserve"> </w:t>
      </w:r>
      <w:bookmarkEnd w:id="0"/>
      <w:r w:rsidR="000F6502" w:rsidRPr="00844DE8">
        <w:rPr>
          <w:b/>
          <w:lang w:val="pl-PL"/>
        </w:rPr>
        <w:t xml:space="preserve">KURSKI </w:t>
      </w:r>
      <w:r w:rsidRPr="004C015D">
        <w:rPr>
          <w:b/>
          <w:lang w:val="pl-PL"/>
        </w:rPr>
        <w:t>PRZECIWKO POLSCE</w:t>
      </w:r>
    </w:p>
    <w:p w:rsidR="00014566" w:rsidRPr="00844DE8" w:rsidRDefault="00014566" w:rsidP="009645C3">
      <w:pPr>
        <w:jc w:val="center"/>
        <w:rPr>
          <w:lang w:val="pl-PL"/>
        </w:rPr>
      </w:pPr>
    </w:p>
    <w:p w:rsidR="00014566" w:rsidRPr="00844DE8" w:rsidRDefault="00014566" w:rsidP="009645C3">
      <w:pPr>
        <w:jc w:val="center"/>
        <w:rPr>
          <w:i/>
          <w:lang w:val="pl-PL"/>
        </w:rPr>
      </w:pPr>
      <w:r w:rsidRPr="00844DE8">
        <w:rPr>
          <w:i/>
          <w:lang w:val="pl-PL"/>
        </w:rPr>
        <w:t>(</w:t>
      </w:r>
      <w:r w:rsidR="00844DE8" w:rsidRPr="00844DE8">
        <w:rPr>
          <w:i/>
          <w:lang w:val="pl-PL"/>
        </w:rPr>
        <w:t xml:space="preserve">Skarga </w:t>
      </w:r>
      <w:r w:rsidR="00844DE8">
        <w:rPr>
          <w:i/>
          <w:lang w:val="pl-PL"/>
        </w:rPr>
        <w:t>Nr</w:t>
      </w:r>
      <w:r w:rsidR="000F6502" w:rsidRPr="00844DE8">
        <w:rPr>
          <w:i/>
          <w:lang w:val="pl-PL"/>
        </w:rPr>
        <w:t xml:space="preserve"> 26115/10</w:t>
      </w:r>
      <w:r w:rsidRPr="00844DE8">
        <w:rPr>
          <w:i/>
          <w:lang w:val="pl-PL"/>
        </w:rPr>
        <w:t>)</w:t>
      </w:r>
    </w:p>
    <w:p w:rsidR="00014566" w:rsidRPr="00844DE8" w:rsidRDefault="00014566" w:rsidP="009645C3">
      <w:pPr>
        <w:jc w:val="center"/>
        <w:rPr>
          <w:lang w:val="pl-PL"/>
        </w:rPr>
      </w:pPr>
    </w:p>
    <w:p w:rsidR="005D7D6A" w:rsidRDefault="005D7D6A" w:rsidP="009645C3">
      <w:pPr>
        <w:jc w:val="center"/>
        <w:rPr>
          <w:lang w:val="pl-PL"/>
        </w:rPr>
      </w:pPr>
    </w:p>
    <w:p w:rsidR="003738AC" w:rsidRDefault="003738AC" w:rsidP="009645C3">
      <w:pPr>
        <w:jc w:val="center"/>
        <w:rPr>
          <w:lang w:val="pl-PL"/>
        </w:rPr>
      </w:pPr>
    </w:p>
    <w:p w:rsidR="003738AC" w:rsidRDefault="003738AC" w:rsidP="009645C3">
      <w:pPr>
        <w:jc w:val="center"/>
        <w:rPr>
          <w:lang w:val="pl-PL"/>
        </w:rPr>
      </w:pPr>
    </w:p>
    <w:p w:rsidR="003738AC" w:rsidRPr="003738AC" w:rsidRDefault="003738AC" w:rsidP="009645C3">
      <w:pPr>
        <w:jc w:val="center"/>
        <w:rPr>
          <w:lang w:val="pl-PL"/>
        </w:rPr>
      </w:pPr>
      <w:bookmarkStart w:id="1" w:name="_GoBack"/>
      <w:bookmarkEnd w:id="1"/>
    </w:p>
    <w:p w:rsidR="00014566" w:rsidRPr="00844DE8" w:rsidRDefault="00014566" w:rsidP="009645C3">
      <w:pPr>
        <w:jc w:val="center"/>
        <w:rPr>
          <w:lang w:val="pl-PL"/>
        </w:rPr>
      </w:pPr>
    </w:p>
    <w:p w:rsidR="00844DE8" w:rsidRPr="004C015D" w:rsidRDefault="00844DE8" w:rsidP="00844DE8">
      <w:pPr>
        <w:jc w:val="center"/>
        <w:rPr>
          <w:szCs w:val="24"/>
          <w:lang w:val="pl-PL"/>
        </w:rPr>
      </w:pPr>
      <w:r w:rsidRPr="004C015D">
        <w:rPr>
          <w:szCs w:val="24"/>
          <w:lang w:val="pl-PL"/>
        </w:rPr>
        <w:t>WYROK</w:t>
      </w:r>
    </w:p>
    <w:p w:rsidR="00854914" w:rsidRPr="0083251E" w:rsidRDefault="00854914" w:rsidP="00844DE8">
      <w:pPr>
        <w:rPr>
          <w:lang w:val="pl-PL"/>
        </w:rPr>
      </w:pPr>
    </w:p>
    <w:p w:rsidR="00854914" w:rsidRPr="0083251E" w:rsidRDefault="00854914" w:rsidP="009645C3">
      <w:pPr>
        <w:jc w:val="center"/>
        <w:rPr>
          <w:lang w:val="pl-PL"/>
        </w:rPr>
      </w:pPr>
    </w:p>
    <w:p w:rsidR="00854914" w:rsidRPr="0083251E" w:rsidRDefault="00854914" w:rsidP="009645C3">
      <w:pPr>
        <w:jc w:val="center"/>
        <w:rPr>
          <w:lang w:val="pl-PL"/>
        </w:rPr>
      </w:pPr>
      <w:r w:rsidRPr="0083251E">
        <w:rPr>
          <w:lang w:val="pl-PL"/>
        </w:rPr>
        <w:t>STRASBOURG</w:t>
      </w:r>
    </w:p>
    <w:p w:rsidR="007679AD" w:rsidRPr="0083251E" w:rsidRDefault="007679AD" w:rsidP="009645C3">
      <w:pPr>
        <w:jc w:val="center"/>
        <w:rPr>
          <w:lang w:val="pl-PL"/>
        </w:rPr>
      </w:pPr>
    </w:p>
    <w:p w:rsidR="00854914" w:rsidRPr="00844DE8" w:rsidRDefault="00854914" w:rsidP="009645C3">
      <w:pPr>
        <w:jc w:val="center"/>
        <w:rPr>
          <w:lang w:val="pl-PL"/>
        </w:rPr>
      </w:pPr>
      <w:r w:rsidRPr="00844DE8">
        <w:rPr>
          <w:lang w:val="pl-PL"/>
        </w:rPr>
        <w:t xml:space="preserve">5 </w:t>
      </w:r>
      <w:r w:rsidR="00844DE8" w:rsidRPr="00844DE8">
        <w:rPr>
          <w:lang w:val="pl-PL"/>
        </w:rPr>
        <w:t>lipca</w:t>
      </w:r>
      <w:r w:rsidRPr="00844DE8">
        <w:rPr>
          <w:lang w:val="pl-PL"/>
        </w:rPr>
        <w:t xml:space="preserve"> 2016</w:t>
      </w:r>
    </w:p>
    <w:p w:rsidR="00903B7E" w:rsidRPr="00903B7E" w:rsidRDefault="00903B7E" w:rsidP="00903B7E">
      <w:pPr>
        <w:pStyle w:val="s32b251d"/>
        <w:jc w:val="center"/>
        <w:rPr>
          <w:b/>
          <w:color w:val="FF0000"/>
        </w:rPr>
      </w:pPr>
      <w:r w:rsidRPr="00903B7E">
        <w:rPr>
          <w:rStyle w:val="s15a9198a"/>
          <w:b/>
          <w:color w:val="FF0000"/>
          <w:u w:val="single"/>
        </w:rPr>
        <w:t>OSTATECZNY</w:t>
      </w:r>
    </w:p>
    <w:p w:rsidR="00903B7E" w:rsidRPr="00903B7E" w:rsidRDefault="00903B7E" w:rsidP="00903B7E">
      <w:pPr>
        <w:pStyle w:val="s32b251d"/>
        <w:jc w:val="center"/>
        <w:rPr>
          <w:b/>
          <w:color w:val="FF0000"/>
        </w:rPr>
      </w:pPr>
      <w:r w:rsidRPr="00903B7E">
        <w:rPr>
          <w:rStyle w:val="s556a1de3"/>
          <w:b/>
          <w:color w:val="FF0000"/>
        </w:rPr>
        <w:t>05/10/2016</w:t>
      </w:r>
    </w:p>
    <w:p w:rsidR="00854914" w:rsidRPr="003F3952" w:rsidRDefault="00844DE8" w:rsidP="00903B7E">
      <w:pPr>
        <w:pStyle w:val="s32b251d"/>
        <w:rPr>
          <w:i/>
          <w:sz w:val="22"/>
        </w:rPr>
      </w:pPr>
      <w:r w:rsidRPr="004C015D">
        <w:rPr>
          <w:rFonts w:eastAsia="MS Mincho"/>
          <w:i/>
          <w:sz w:val="22"/>
          <w:szCs w:val="20"/>
          <w:lang w:eastAsia="fr-FR"/>
        </w:rPr>
        <w:t>Ten wyrok uprawomocni</w:t>
      </w:r>
      <w:r w:rsidR="00903B7E">
        <w:rPr>
          <w:rFonts w:eastAsia="MS Mincho"/>
          <w:i/>
          <w:sz w:val="22"/>
          <w:szCs w:val="20"/>
          <w:lang w:eastAsia="fr-FR"/>
        </w:rPr>
        <w:t>ł</w:t>
      </w:r>
      <w:r w:rsidRPr="004C015D">
        <w:rPr>
          <w:rFonts w:eastAsia="MS Mincho"/>
          <w:i/>
          <w:sz w:val="22"/>
          <w:szCs w:val="20"/>
          <w:lang w:eastAsia="fr-FR"/>
        </w:rPr>
        <w:t xml:space="preserve"> się na warunkach określonych w Artykule 44 § 2 Konwencji. Może podlegać korekcie wydawniczej</w:t>
      </w:r>
      <w:r w:rsidR="00854914" w:rsidRPr="003F3952">
        <w:rPr>
          <w:i/>
          <w:sz w:val="22"/>
        </w:rPr>
        <w:t>.</w:t>
      </w:r>
    </w:p>
    <w:p w:rsidR="00600CDA" w:rsidRDefault="00600CDA">
      <w:pPr>
        <w:jc w:val="left"/>
        <w:rPr>
          <w:lang w:val="pl-PL"/>
        </w:rPr>
      </w:pPr>
    </w:p>
    <w:p w:rsidR="0008144F" w:rsidRDefault="0008144F" w:rsidP="009645C3">
      <w:pPr>
        <w:ind w:firstLine="284"/>
        <w:rPr>
          <w:lang w:val="pl-PL"/>
        </w:rPr>
      </w:pPr>
    </w:p>
    <w:p w:rsidR="00014566" w:rsidRPr="003F3952" w:rsidRDefault="00844DE8" w:rsidP="009645C3">
      <w:pPr>
        <w:ind w:firstLine="284"/>
        <w:rPr>
          <w:b/>
          <w:bCs/>
          <w:lang w:val="pl-PL"/>
        </w:rPr>
      </w:pPr>
      <w:r w:rsidRPr="004C015D">
        <w:rPr>
          <w:lang w:val="pl-PL"/>
        </w:rPr>
        <w:lastRenderedPageBreak/>
        <w:t xml:space="preserve">W sprawie </w:t>
      </w:r>
      <w:r w:rsidR="000F6502" w:rsidRPr="003F3952">
        <w:rPr>
          <w:b/>
          <w:bCs/>
          <w:lang w:val="pl-PL"/>
        </w:rPr>
        <w:t xml:space="preserve">Kurski </w:t>
      </w:r>
      <w:r w:rsidRPr="003F3952">
        <w:rPr>
          <w:b/>
          <w:bCs/>
          <w:lang w:val="pl-PL"/>
        </w:rPr>
        <w:t>przeciwko</w:t>
      </w:r>
      <w:r w:rsidR="000F6502" w:rsidRPr="003F3952">
        <w:rPr>
          <w:b/>
          <w:bCs/>
          <w:lang w:val="pl-PL"/>
        </w:rPr>
        <w:t xml:space="preserve"> Pol</w:t>
      </w:r>
      <w:r w:rsidRPr="003F3952">
        <w:rPr>
          <w:b/>
          <w:bCs/>
          <w:lang w:val="pl-PL"/>
        </w:rPr>
        <w:t>sce</w:t>
      </w:r>
      <w:r w:rsidR="00014566" w:rsidRPr="003F3952">
        <w:rPr>
          <w:b/>
          <w:bCs/>
          <w:lang w:val="pl-PL"/>
        </w:rPr>
        <w:t>,</w:t>
      </w:r>
    </w:p>
    <w:p w:rsidR="00014566" w:rsidRPr="003F3952" w:rsidRDefault="003F3952" w:rsidP="009645C3">
      <w:pPr>
        <w:pStyle w:val="ECHRPara"/>
        <w:rPr>
          <w:lang w:val="pl-PL"/>
        </w:rPr>
      </w:pPr>
      <w:r w:rsidRPr="004C015D">
        <w:rPr>
          <w:rFonts w:ascii="Times New Roman" w:eastAsia="MS Mincho" w:hAnsi="Times New Roman" w:cs="Times New Roman"/>
          <w:szCs w:val="24"/>
          <w:lang w:val="pl-PL" w:eastAsia="fr-FR"/>
        </w:rPr>
        <w:t>Europejski Trybunał Praw Człowieka (Sekcja Czwarta), zasiadając jako Izba w składzie</w:t>
      </w:r>
      <w:r w:rsidR="00014566" w:rsidRPr="003F3952">
        <w:rPr>
          <w:lang w:val="pl-PL"/>
        </w:rPr>
        <w:t>:</w:t>
      </w:r>
    </w:p>
    <w:p w:rsidR="00014566" w:rsidRPr="003F3952" w:rsidRDefault="00854914" w:rsidP="009645C3">
      <w:pPr>
        <w:pStyle w:val="ECHRDecisionBody"/>
        <w:rPr>
          <w:lang w:val="pl-PL"/>
        </w:rPr>
      </w:pPr>
      <w:r w:rsidRPr="003F3952">
        <w:rPr>
          <w:lang w:val="pl-PL"/>
        </w:rPr>
        <w:tab/>
        <w:t>András Sajó,</w:t>
      </w:r>
      <w:r w:rsidRPr="003F3952">
        <w:rPr>
          <w:i/>
          <w:lang w:val="pl-PL"/>
        </w:rPr>
        <w:t xml:space="preserve"> </w:t>
      </w:r>
      <w:r w:rsidR="003F3952" w:rsidRPr="004C015D">
        <w:rPr>
          <w:i/>
          <w:lang w:val="pl-PL"/>
        </w:rPr>
        <w:t>Przewodniczący</w:t>
      </w:r>
      <w:r w:rsidRPr="003F3952">
        <w:rPr>
          <w:i/>
          <w:lang w:val="pl-PL"/>
        </w:rPr>
        <w:t>,</w:t>
      </w:r>
      <w:r w:rsidRPr="003F3952">
        <w:rPr>
          <w:i/>
          <w:lang w:val="pl-PL"/>
        </w:rPr>
        <w:br/>
      </w:r>
      <w:r w:rsidRPr="003F3952">
        <w:rPr>
          <w:lang w:val="pl-PL"/>
        </w:rPr>
        <w:tab/>
        <w:t xml:space="preserve">Paulo </w:t>
      </w:r>
      <w:r w:rsidR="009B4F3A" w:rsidRPr="003F3952">
        <w:rPr>
          <w:lang w:val="pl-PL"/>
        </w:rPr>
        <w:t>Pinto d</w:t>
      </w:r>
      <w:r w:rsidRPr="003F3952">
        <w:rPr>
          <w:lang w:val="pl-PL"/>
        </w:rPr>
        <w:t>e Albuquerque,</w:t>
      </w:r>
      <w:r w:rsidRPr="003F3952">
        <w:rPr>
          <w:i/>
          <w:lang w:val="pl-PL"/>
        </w:rPr>
        <w:br/>
      </w:r>
      <w:r w:rsidRPr="003F3952">
        <w:rPr>
          <w:lang w:val="pl-PL"/>
        </w:rPr>
        <w:tab/>
        <w:t>Krzysztof Wojtyczek,</w:t>
      </w:r>
      <w:r w:rsidRPr="003F3952">
        <w:rPr>
          <w:i/>
          <w:lang w:val="pl-PL"/>
        </w:rPr>
        <w:br/>
      </w:r>
      <w:r w:rsidRPr="003F3952">
        <w:rPr>
          <w:lang w:val="pl-PL"/>
        </w:rPr>
        <w:tab/>
        <w:t>Egidijus Kūris,</w:t>
      </w:r>
      <w:r w:rsidRPr="003F3952">
        <w:rPr>
          <w:i/>
          <w:lang w:val="pl-PL"/>
        </w:rPr>
        <w:br/>
      </w:r>
      <w:r w:rsidRPr="003F3952">
        <w:rPr>
          <w:lang w:val="pl-PL"/>
        </w:rPr>
        <w:tab/>
        <w:t>Iulia Motoc,</w:t>
      </w:r>
      <w:r w:rsidRPr="003F3952">
        <w:rPr>
          <w:i/>
          <w:lang w:val="pl-PL"/>
        </w:rPr>
        <w:br/>
      </w:r>
      <w:r w:rsidRPr="003F3952">
        <w:rPr>
          <w:lang w:val="pl-PL"/>
        </w:rPr>
        <w:tab/>
        <w:t>Gabriele Kucsko-Stadlmayer,</w:t>
      </w:r>
      <w:r w:rsidRPr="003F3952">
        <w:rPr>
          <w:i/>
          <w:lang w:val="pl-PL"/>
        </w:rPr>
        <w:br/>
      </w:r>
      <w:r w:rsidRPr="003F3952">
        <w:rPr>
          <w:lang w:val="pl-PL"/>
        </w:rPr>
        <w:tab/>
        <w:t>Marko Bošnjak,</w:t>
      </w:r>
      <w:r w:rsidRPr="003F3952">
        <w:rPr>
          <w:i/>
          <w:lang w:val="pl-PL"/>
        </w:rPr>
        <w:t xml:space="preserve"> </w:t>
      </w:r>
      <w:r w:rsidR="003F3952" w:rsidRPr="004C015D">
        <w:rPr>
          <w:i/>
          <w:lang w:val="pl-PL"/>
        </w:rPr>
        <w:t>sędziowie</w:t>
      </w:r>
      <w:r w:rsidRPr="003F3952">
        <w:rPr>
          <w:i/>
          <w:lang w:val="pl-PL"/>
        </w:rPr>
        <w:t>,</w:t>
      </w:r>
      <w:r w:rsidR="00014566" w:rsidRPr="003F3952">
        <w:rPr>
          <w:szCs w:val="24"/>
          <w:lang w:val="pl-PL"/>
        </w:rPr>
        <w:br/>
      </w:r>
      <w:r w:rsidR="003F3952">
        <w:rPr>
          <w:lang w:val="pl-PL"/>
        </w:rPr>
        <w:t>oraz</w:t>
      </w:r>
      <w:r w:rsidR="001E479A" w:rsidRPr="009645C3">
        <w:rPr>
          <w:lang w:val="it-IT"/>
        </w:rPr>
        <w:t xml:space="preserve"> Marialena Tsirli</w:t>
      </w:r>
      <w:r w:rsidR="001A251E" w:rsidRPr="009645C3">
        <w:rPr>
          <w:lang w:val="it-IT"/>
        </w:rPr>
        <w:t>,</w:t>
      </w:r>
      <w:r w:rsidR="00014566" w:rsidRPr="003F3952">
        <w:rPr>
          <w:lang w:val="pl-PL"/>
        </w:rPr>
        <w:t xml:space="preserve"> </w:t>
      </w:r>
      <w:r w:rsidR="003F3952" w:rsidRPr="004C015D">
        <w:rPr>
          <w:i/>
          <w:lang w:val="pl-PL"/>
        </w:rPr>
        <w:t>Kanclerz Sekcji</w:t>
      </w:r>
      <w:r w:rsidR="00014566" w:rsidRPr="003F3952">
        <w:rPr>
          <w:i/>
          <w:lang w:val="pl-PL"/>
        </w:rPr>
        <w:t>,</w:t>
      </w:r>
    </w:p>
    <w:p w:rsidR="00014566" w:rsidRPr="003F3952" w:rsidRDefault="003F3952" w:rsidP="009645C3">
      <w:pPr>
        <w:pStyle w:val="ECHRPara"/>
        <w:rPr>
          <w:lang w:val="pl-PL"/>
        </w:rPr>
      </w:pPr>
      <w:r w:rsidRPr="004C015D">
        <w:rPr>
          <w:rFonts w:ascii="Times New Roman" w:eastAsia="MS Mincho" w:hAnsi="Times New Roman" w:cs="Times New Roman"/>
          <w:szCs w:val="20"/>
          <w:lang w:val="pl-PL" w:eastAsia="fr-FR"/>
        </w:rPr>
        <w:t>Obradując na posiedzeniu niejawnym w dniu</w:t>
      </w:r>
      <w:r w:rsidR="00014566" w:rsidRPr="003F3952">
        <w:rPr>
          <w:lang w:val="pl-PL"/>
        </w:rPr>
        <w:t xml:space="preserve"> </w:t>
      </w:r>
      <w:r w:rsidR="00854914" w:rsidRPr="003F3952">
        <w:rPr>
          <w:lang w:val="pl-PL"/>
        </w:rPr>
        <w:t xml:space="preserve">7 </w:t>
      </w:r>
      <w:r>
        <w:rPr>
          <w:lang w:val="pl-PL"/>
        </w:rPr>
        <w:t>lipca</w:t>
      </w:r>
      <w:r w:rsidR="00854914" w:rsidRPr="003F3952">
        <w:rPr>
          <w:lang w:val="pl-PL"/>
        </w:rPr>
        <w:t xml:space="preserve"> 2016</w:t>
      </w:r>
      <w:r w:rsidR="00014566" w:rsidRPr="003F3952">
        <w:rPr>
          <w:lang w:val="pl-PL"/>
        </w:rPr>
        <w:t>,</w:t>
      </w:r>
    </w:p>
    <w:p w:rsidR="00014566" w:rsidRPr="003F3952" w:rsidRDefault="003F3952" w:rsidP="009645C3">
      <w:pPr>
        <w:pStyle w:val="ECHRPara"/>
        <w:rPr>
          <w:lang w:val="pl-PL"/>
        </w:rPr>
      </w:pPr>
      <w:r w:rsidRPr="004C015D">
        <w:rPr>
          <w:rFonts w:ascii="Times New Roman" w:eastAsia="MS Mincho" w:hAnsi="Times New Roman" w:cs="Times New Roman"/>
          <w:szCs w:val="20"/>
          <w:lang w:val="pl-PL" w:eastAsia="fr-FR"/>
        </w:rPr>
        <w:t>Wydaje następujący wyrok, który został przyjęty w tym dniu</w:t>
      </w:r>
      <w:r w:rsidR="00014566" w:rsidRPr="003F3952">
        <w:rPr>
          <w:lang w:val="pl-PL"/>
        </w:rPr>
        <w:t>:</w:t>
      </w:r>
    </w:p>
    <w:p w:rsidR="00014566" w:rsidRPr="00E71E0A" w:rsidRDefault="003F3952" w:rsidP="009645C3">
      <w:pPr>
        <w:pStyle w:val="ECHRTitle1"/>
        <w:rPr>
          <w:lang w:val="pl-PL"/>
        </w:rPr>
      </w:pPr>
      <w:r w:rsidRPr="004C015D">
        <w:rPr>
          <w:lang w:val="pl-PL"/>
        </w:rPr>
        <w:t>POSTĘPOWANIE</w:t>
      </w:r>
    </w:p>
    <w:p w:rsidR="000F6502" w:rsidRPr="003F3952" w:rsidRDefault="001B7219" w:rsidP="009645C3">
      <w:pPr>
        <w:pStyle w:val="ECHRPara"/>
        <w:rPr>
          <w:lang w:val="pl-PL"/>
        </w:rPr>
      </w:pPr>
      <w:r>
        <w:fldChar w:fldCharType="begin"/>
      </w:r>
      <w:r w:rsidRPr="0083251E">
        <w:rPr>
          <w:lang w:val="pl-PL"/>
        </w:rPr>
        <w:instrText xml:space="preserve"> SEQ level0 \*arabic </w:instrText>
      </w:r>
      <w:r>
        <w:fldChar w:fldCharType="separate"/>
      </w:r>
      <w:r w:rsidR="00E71E0A">
        <w:rPr>
          <w:noProof/>
          <w:lang w:val="pl-PL"/>
        </w:rPr>
        <w:t>1</w:t>
      </w:r>
      <w:r>
        <w:rPr>
          <w:noProof/>
        </w:rPr>
        <w:fldChar w:fldCharType="end"/>
      </w:r>
      <w:r w:rsidR="00014566" w:rsidRPr="0083251E">
        <w:rPr>
          <w:lang w:val="pl-PL"/>
        </w:rPr>
        <w:t>.  </w:t>
      </w:r>
      <w:r w:rsidR="003F3952" w:rsidRPr="003F3952">
        <w:rPr>
          <w:lang w:val="pl-PL"/>
        </w:rPr>
        <w:t xml:space="preserve">Sprawa wywodzi się ze skargi (nr </w:t>
      </w:r>
      <w:r w:rsidR="000F6502" w:rsidRPr="003F3952">
        <w:rPr>
          <w:lang w:val="pl-PL"/>
        </w:rPr>
        <w:t>26115/10)</w:t>
      </w:r>
      <w:r w:rsidR="00014566" w:rsidRPr="003F3952">
        <w:rPr>
          <w:lang w:val="pl-PL"/>
        </w:rPr>
        <w:t xml:space="preserve"> </w:t>
      </w:r>
      <w:r w:rsidR="003F3952" w:rsidRPr="004C015D">
        <w:rPr>
          <w:rFonts w:ascii="Times New Roman" w:eastAsia="MS Mincho" w:hAnsi="Times New Roman" w:cs="Times New Roman"/>
          <w:szCs w:val="24"/>
          <w:lang w:val="pl-PL"/>
        </w:rPr>
        <w:t>przeciwko Rzeczypospolitej Polskiej</w:t>
      </w:r>
      <w:r w:rsidR="003F3952" w:rsidRPr="004C015D">
        <w:rPr>
          <w:lang w:val="pl-PL"/>
        </w:rPr>
        <w:t xml:space="preserve"> wniesionej do Trybunału </w:t>
      </w:r>
      <w:r w:rsidR="003F3952" w:rsidRPr="004C015D">
        <w:rPr>
          <w:rFonts w:ascii="Times New Roman" w:eastAsia="MS Mincho" w:hAnsi="Times New Roman" w:cs="Times New Roman"/>
          <w:szCs w:val="24"/>
          <w:lang w:val="pl-PL"/>
        </w:rPr>
        <w:t>na podstawie Artykułu 34 Konwencji o Ochronie Praw Człowieka i Podstawowych Wolności („Konwencja”) przez obywatela Polski, Pana</w:t>
      </w:r>
      <w:r w:rsidR="003F3952">
        <w:rPr>
          <w:lang w:val="pl-PL"/>
        </w:rPr>
        <w:t xml:space="preserve"> Jac</w:t>
      </w:r>
      <w:r w:rsidR="000F6502" w:rsidRPr="003F3952">
        <w:rPr>
          <w:lang w:val="pl-PL"/>
        </w:rPr>
        <w:t>k</w:t>
      </w:r>
      <w:r w:rsidR="003F3952">
        <w:rPr>
          <w:lang w:val="pl-PL"/>
        </w:rPr>
        <w:t>a</w:t>
      </w:r>
      <w:r w:rsidR="000F6502" w:rsidRPr="003F3952">
        <w:rPr>
          <w:lang w:val="pl-PL"/>
        </w:rPr>
        <w:t xml:space="preserve"> Kurski</w:t>
      </w:r>
      <w:r w:rsidR="003F3952">
        <w:rPr>
          <w:lang w:val="pl-PL"/>
        </w:rPr>
        <w:t>ego</w:t>
      </w:r>
      <w:r w:rsidR="000F6502" w:rsidRPr="003F3952">
        <w:rPr>
          <w:lang w:val="pl-PL"/>
        </w:rPr>
        <w:t xml:space="preserve"> (“</w:t>
      </w:r>
      <w:r w:rsidR="003F3952">
        <w:rPr>
          <w:lang w:val="pl-PL"/>
        </w:rPr>
        <w:t>skarżący</w:t>
      </w:r>
      <w:r w:rsidR="000F6502" w:rsidRPr="003F3952">
        <w:rPr>
          <w:lang w:val="pl-PL"/>
        </w:rPr>
        <w:t xml:space="preserve">”), </w:t>
      </w:r>
      <w:r w:rsidR="003F3952">
        <w:rPr>
          <w:lang w:val="pl-PL"/>
        </w:rPr>
        <w:t>w dniu</w:t>
      </w:r>
      <w:r w:rsidR="000F6502" w:rsidRPr="003F3952">
        <w:rPr>
          <w:lang w:val="pl-PL"/>
        </w:rPr>
        <w:t xml:space="preserve"> 5 </w:t>
      </w:r>
      <w:r w:rsidR="003F3952">
        <w:rPr>
          <w:lang w:val="pl-PL"/>
        </w:rPr>
        <w:t>maja</w:t>
      </w:r>
      <w:r w:rsidR="000F6502" w:rsidRPr="003F3952">
        <w:rPr>
          <w:lang w:val="pl-PL"/>
        </w:rPr>
        <w:t xml:space="preserve"> 2010</w:t>
      </w:r>
      <w:r w:rsidR="00014566" w:rsidRPr="003F3952">
        <w:rPr>
          <w:lang w:val="pl-PL"/>
        </w:rPr>
        <w:t>.</w:t>
      </w:r>
    </w:p>
    <w:p w:rsidR="009645C3" w:rsidRPr="003F3952" w:rsidRDefault="001B7219" w:rsidP="009645C3">
      <w:pPr>
        <w:pStyle w:val="ECHRPara"/>
        <w:rPr>
          <w:lang w:val="pl-PL"/>
        </w:rPr>
      </w:pPr>
      <w:r>
        <w:fldChar w:fldCharType="begin"/>
      </w:r>
      <w:r w:rsidRPr="0083251E">
        <w:rPr>
          <w:lang w:val="pl-PL"/>
        </w:rPr>
        <w:instrText xml:space="preserve"> SEQ level0 \*arabic </w:instrText>
      </w:r>
      <w:r>
        <w:fldChar w:fldCharType="separate"/>
      </w:r>
      <w:r w:rsidR="00E71E0A">
        <w:rPr>
          <w:noProof/>
          <w:lang w:val="pl-PL"/>
        </w:rPr>
        <w:t>2</w:t>
      </w:r>
      <w:r>
        <w:rPr>
          <w:noProof/>
        </w:rPr>
        <w:fldChar w:fldCharType="end"/>
      </w:r>
      <w:r w:rsidR="00014566" w:rsidRPr="0083251E">
        <w:rPr>
          <w:lang w:val="pl-PL"/>
        </w:rPr>
        <w:t>.  </w:t>
      </w:r>
      <w:r w:rsidR="003F3952" w:rsidRPr="003F3952">
        <w:rPr>
          <w:lang w:val="pl-PL"/>
        </w:rPr>
        <w:t xml:space="preserve">Skarżący </w:t>
      </w:r>
      <w:r w:rsidR="003F3952" w:rsidRPr="004C015D">
        <w:rPr>
          <w:rFonts w:ascii="Times New Roman" w:eastAsia="MS Mincho" w:hAnsi="Times New Roman" w:cs="Times New Roman"/>
          <w:szCs w:val="24"/>
          <w:lang w:val="pl-PL"/>
        </w:rPr>
        <w:t>był reprezentowany przez</w:t>
      </w:r>
      <w:r w:rsidR="003F3952">
        <w:rPr>
          <w:rFonts w:ascii="Times New Roman" w:eastAsia="MS Mincho" w:hAnsi="Times New Roman" w:cs="Times New Roman"/>
          <w:szCs w:val="24"/>
          <w:lang w:val="pl-PL"/>
        </w:rPr>
        <w:t xml:space="preserve"> </w:t>
      </w:r>
      <w:r w:rsidR="003F3952" w:rsidRPr="003F3952">
        <w:rPr>
          <w:lang w:val="pl-PL"/>
        </w:rPr>
        <w:t>Pana</w:t>
      </w:r>
      <w:r w:rsidR="000F6502" w:rsidRPr="003F3952">
        <w:rPr>
          <w:lang w:val="pl-PL"/>
        </w:rPr>
        <w:t xml:space="preserve"> </w:t>
      </w:r>
      <w:r w:rsidR="004B0818" w:rsidRPr="003F3952">
        <w:rPr>
          <w:lang w:val="pl-PL"/>
        </w:rPr>
        <w:t>R.</w:t>
      </w:r>
      <w:r w:rsidR="000F6502" w:rsidRPr="003F3952">
        <w:rPr>
          <w:lang w:val="pl-PL"/>
        </w:rPr>
        <w:t xml:space="preserve"> Janoś, </w:t>
      </w:r>
      <w:r w:rsidR="003F3952">
        <w:rPr>
          <w:lang w:val="pl-PL"/>
        </w:rPr>
        <w:t>prawnika praktykującego w Warszawie</w:t>
      </w:r>
      <w:r w:rsidR="000F6502" w:rsidRPr="003F3952">
        <w:rPr>
          <w:lang w:val="pl-PL"/>
        </w:rPr>
        <w:t xml:space="preserve">. </w:t>
      </w:r>
      <w:r w:rsidR="003F3952" w:rsidRPr="004C015D">
        <w:rPr>
          <w:rFonts w:ascii="Times New Roman" w:eastAsia="MS Mincho" w:hAnsi="Times New Roman" w:cs="Times New Roman"/>
          <w:szCs w:val="24"/>
          <w:lang w:val="pl-PL"/>
        </w:rPr>
        <w:t xml:space="preserve">Rząd </w:t>
      </w:r>
      <w:r w:rsidR="003F3952">
        <w:rPr>
          <w:rFonts w:ascii="Times New Roman" w:eastAsia="MS Mincho" w:hAnsi="Times New Roman" w:cs="Times New Roman"/>
          <w:szCs w:val="24"/>
          <w:lang w:val="pl-PL"/>
        </w:rPr>
        <w:t>P</w:t>
      </w:r>
      <w:r w:rsidR="003F3952" w:rsidRPr="004C015D">
        <w:rPr>
          <w:rFonts w:ascii="Times New Roman" w:eastAsia="MS Mincho" w:hAnsi="Times New Roman" w:cs="Times New Roman"/>
          <w:szCs w:val="24"/>
          <w:lang w:val="pl-PL"/>
        </w:rPr>
        <w:t>olski („Rząd”) był reprezentowany przez pełnomocnika</w:t>
      </w:r>
      <w:r w:rsidR="003F3952" w:rsidRPr="004C015D">
        <w:rPr>
          <w:lang w:val="pl-PL" w:eastAsia="fr-FR"/>
        </w:rPr>
        <w:t>, Panią J. Chrzanowską, z Ministerstwa Spraw Zagranicznych</w:t>
      </w:r>
      <w:r w:rsidR="004B0818" w:rsidRPr="003F3952">
        <w:rPr>
          <w:lang w:val="pl-PL"/>
        </w:rPr>
        <w:t>.</w:t>
      </w:r>
    </w:p>
    <w:p w:rsidR="009645C3" w:rsidRPr="001752E9" w:rsidRDefault="001B7219" w:rsidP="009645C3">
      <w:pPr>
        <w:pStyle w:val="ECHRPara"/>
        <w:rPr>
          <w:lang w:val="pl-PL"/>
        </w:rPr>
      </w:pPr>
      <w:r>
        <w:fldChar w:fldCharType="begin"/>
      </w:r>
      <w:r w:rsidRPr="0083251E">
        <w:rPr>
          <w:lang w:val="pl-PL"/>
        </w:rPr>
        <w:instrText xml:space="preserve"> SEQ level0 \*arabic </w:instrText>
      </w:r>
      <w:r>
        <w:fldChar w:fldCharType="separate"/>
      </w:r>
      <w:r w:rsidR="00E71E0A">
        <w:rPr>
          <w:noProof/>
          <w:lang w:val="pl-PL"/>
        </w:rPr>
        <w:t>3</w:t>
      </w:r>
      <w:r>
        <w:rPr>
          <w:noProof/>
        </w:rPr>
        <w:fldChar w:fldCharType="end"/>
      </w:r>
      <w:r w:rsidR="000F6502" w:rsidRPr="0083251E">
        <w:rPr>
          <w:lang w:val="pl-PL"/>
        </w:rPr>
        <w:t>.  </w:t>
      </w:r>
      <w:r w:rsidR="001752E9" w:rsidRPr="001752E9">
        <w:rPr>
          <w:lang w:val="pl-PL"/>
        </w:rPr>
        <w:t>Skarżący zarzucił, że jego prawo do swobody wypowiedzi zostało naruszone, z naruszeniem artykułu 10 Konwencji</w:t>
      </w:r>
      <w:r w:rsidR="00805A6A" w:rsidRPr="001752E9">
        <w:rPr>
          <w:lang w:val="pl-PL"/>
        </w:rPr>
        <w:t>.</w:t>
      </w:r>
    </w:p>
    <w:p w:rsidR="00014566" w:rsidRPr="001752E9" w:rsidRDefault="001B7219" w:rsidP="009645C3">
      <w:pPr>
        <w:pStyle w:val="ECHRPara"/>
        <w:rPr>
          <w:lang w:val="pl-PL"/>
        </w:rPr>
      </w:pPr>
      <w:r>
        <w:fldChar w:fldCharType="begin"/>
      </w:r>
      <w:r w:rsidRPr="0083251E">
        <w:rPr>
          <w:lang w:val="pl-PL"/>
        </w:rPr>
        <w:instrText xml:space="preserve"> SEQ level0 \*arabic </w:instrText>
      </w:r>
      <w:r>
        <w:fldChar w:fldCharType="separate"/>
      </w:r>
      <w:r w:rsidR="00E71E0A">
        <w:rPr>
          <w:noProof/>
          <w:lang w:val="pl-PL"/>
        </w:rPr>
        <w:t>4</w:t>
      </w:r>
      <w:r>
        <w:rPr>
          <w:noProof/>
        </w:rPr>
        <w:fldChar w:fldCharType="end"/>
      </w:r>
      <w:r w:rsidR="00014566" w:rsidRPr="0083251E">
        <w:rPr>
          <w:lang w:val="pl-PL"/>
        </w:rPr>
        <w:t>.  </w:t>
      </w:r>
      <w:r w:rsidR="001752E9" w:rsidRPr="001752E9">
        <w:rPr>
          <w:lang w:val="pl-PL"/>
        </w:rPr>
        <w:t>W dniu 1 września 2014 roku skarga została przekazana do Rządu</w:t>
      </w:r>
      <w:r w:rsidR="00014566" w:rsidRPr="001752E9">
        <w:rPr>
          <w:lang w:val="pl-PL"/>
        </w:rPr>
        <w:t>.</w:t>
      </w:r>
    </w:p>
    <w:p w:rsidR="00014566" w:rsidRPr="0083251E" w:rsidRDefault="001752E9" w:rsidP="009645C3">
      <w:pPr>
        <w:pStyle w:val="ECHRTitle1"/>
        <w:rPr>
          <w:lang w:val="pl-PL"/>
        </w:rPr>
      </w:pPr>
      <w:r w:rsidRPr="004C015D">
        <w:rPr>
          <w:lang w:val="pl-PL"/>
        </w:rPr>
        <w:t>STAN FAKTYCZNY</w:t>
      </w:r>
    </w:p>
    <w:p w:rsidR="00014566" w:rsidRPr="0083251E" w:rsidRDefault="00014566" w:rsidP="009645C3">
      <w:pPr>
        <w:pStyle w:val="ECHRHeading1"/>
        <w:rPr>
          <w:lang w:val="pl-PL"/>
        </w:rPr>
      </w:pPr>
      <w:r w:rsidRPr="0083251E">
        <w:rPr>
          <w:lang w:val="pl-PL"/>
        </w:rPr>
        <w:t>I.  </w:t>
      </w:r>
      <w:r w:rsidR="001752E9" w:rsidRPr="004C015D">
        <w:rPr>
          <w:lang w:val="pl-PL"/>
        </w:rPr>
        <w:t>OKOLICZNOŚCI SPRAWY</w:t>
      </w:r>
    </w:p>
    <w:p w:rsidR="00014566" w:rsidRPr="001752E9" w:rsidRDefault="001B7219" w:rsidP="009645C3">
      <w:pPr>
        <w:pStyle w:val="ECHRPara"/>
        <w:rPr>
          <w:lang w:val="pl-PL"/>
        </w:rPr>
      </w:pPr>
      <w:r>
        <w:fldChar w:fldCharType="begin"/>
      </w:r>
      <w:r w:rsidRPr="0083251E">
        <w:rPr>
          <w:lang w:val="pl-PL"/>
        </w:rPr>
        <w:instrText xml:space="preserve"> SEQ level0 \*arabic </w:instrText>
      </w:r>
      <w:r>
        <w:fldChar w:fldCharType="separate"/>
      </w:r>
      <w:r w:rsidR="00E71E0A">
        <w:rPr>
          <w:noProof/>
          <w:lang w:val="pl-PL"/>
        </w:rPr>
        <w:t>5</w:t>
      </w:r>
      <w:r>
        <w:rPr>
          <w:noProof/>
        </w:rPr>
        <w:fldChar w:fldCharType="end"/>
      </w:r>
      <w:r w:rsidR="00014566" w:rsidRPr="0083251E">
        <w:rPr>
          <w:lang w:val="pl-PL"/>
        </w:rPr>
        <w:t>.  </w:t>
      </w:r>
      <w:r w:rsidR="001752E9" w:rsidRPr="001752E9">
        <w:rPr>
          <w:lang w:val="pl-PL"/>
        </w:rPr>
        <w:t>Skarżący urodził się w 1966 roku i mieszka w Gdańsku</w:t>
      </w:r>
      <w:r w:rsidR="00014566" w:rsidRPr="001752E9">
        <w:rPr>
          <w:lang w:val="pl-PL"/>
        </w:rPr>
        <w:t>.</w:t>
      </w:r>
    </w:p>
    <w:p w:rsidR="009645C3" w:rsidRPr="001752E9" w:rsidRDefault="001B7219" w:rsidP="009645C3">
      <w:pPr>
        <w:pStyle w:val="ECHRPara"/>
        <w:rPr>
          <w:rFonts w:eastAsiaTheme="minorHAnsi"/>
          <w:lang w:val="pl-PL"/>
        </w:rPr>
      </w:pPr>
      <w:r>
        <w:fldChar w:fldCharType="begin"/>
      </w:r>
      <w:r w:rsidRPr="0083251E">
        <w:rPr>
          <w:lang w:val="pl-PL"/>
        </w:rPr>
        <w:instrText xml:space="preserve"> SEQ level0 \*arabic </w:instrText>
      </w:r>
      <w:r>
        <w:fldChar w:fldCharType="separate"/>
      </w:r>
      <w:r w:rsidR="00E71E0A">
        <w:rPr>
          <w:noProof/>
          <w:lang w:val="pl-PL"/>
        </w:rPr>
        <w:t>6</w:t>
      </w:r>
      <w:r>
        <w:rPr>
          <w:noProof/>
        </w:rPr>
        <w:fldChar w:fldCharType="end"/>
      </w:r>
      <w:r w:rsidR="00014566" w:rsidRPr="0083251E">
        <w:rPr>
          <w:lang w:val="pl-PL"/>
        </w:rPr>
        <w:t>.  </w:t>
      </w:r>
      <w:r w:rsidR="001752E9" w:rsidRPr="001752E9">
        <w:rPr>
          <w:lang w:val="pl-PL"/>
        </w:rPr>
        <w:t>W odnośnym czasie, skarżący był członkiem polskiego parlamentu i członkiem partii Prawo i Sprawiedliwość</w:t>
      </w:r>
      <w:r w:rsidR="0036242B" w:rsidRPr="001752E9">
        <w:rPr>
          <w:rFonts w:eastAsiaTheme="minorHAnsi"/>
          <w:lang w:val="pl-PL"/>
        </w:rPr>
        <w:t>.</w:t>
      </w:r>
    </w:p>
    <w:p w:rsidR="004B0818" w:rsidRPr="001752E9" w:rsidRDefault="00352867" w:rsidP="009645C3">
      <w:pPr>
        <w:pStyle w:val="ECHRPara"/>
        <w:rPr>
          <w:rFonts w:eastAsiaTheme="minorHAnsi"/>
          <w:lang w:val="pl-PL"/>
        </w:rPr>
      </w:pPr>
      <w:r w:rsidRPr="009645C3">
        <w:rPr>
          <w:rFonts w:eastAsiaTheme="minorHAnsi"/>
        </w:rPr>
        <w:fldChar w:fldCharType="begin"/>
      </w:r>
      <w:r w:rsidRPr="0083251E">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7</w:t>
      </w:r>
      <w:r w:rsidRPr="009645C3">
        <w:rPr>
          <w:rFonts w:eastAsiaTheme="minorHAnsi"/>
        </w:rPr>
        <w:fldChar w:fldCharType="end"/>
      </w:r>
      <w:r w:rsidRPr="0083251E">
        <w:rPr>
          <w:rFonts w:eastAsiaTheme="minorHAnsi"/>
          <w:lang w:val="pl-PL"/>
        </w:rPr>
        <w:t>.  </w:t>
      </w:r>
      <w:r w:rsidR="001752E9" w:rsidRPr="001752E9">
        <w:rPr>
          <w:lang w:val="pl-PL"/>
        </w:rPr>
        <w:t>W dniu 8 maja 2006 roku skarżący i kilku innych polityków, ekspertów i dziennikarzy, uczestniczył w programie telewizyjnym na żywo, "Warto rozmawiać", transmitowanym w kanale TVP2. Program ten był również transmitowany w TVP Polonia w dwóch kolejnych dniach</w:t>
      </w:r>
      <w:r w:rsidRPr="001752E9">
        <w:rPr>
          <w:rFonts w:eastAsiaTheme="minorHAnsi"/>
          <w:lang w:val="pl-PL"/>
        </w:rPr>
        <w:t>.</w:t>
      </w:r>
    </w:p>
    <w:p w:rsidR="004B0818" w:rsidRPr="00D74182" w:rsidRDefault="00523394" w:rsidP="009645C3">
      <w:pPr>
        <w:pStyle w:val="ECHRPara"/>
        <w:rPr>
          <w:rFonts w:eastAsiaTheme="minorHAnsi"/>
          <w:lang w:val="pl-PL"/>
        </w:rPr>
      </w:pPr>
      <w:r w:rsidRPr="009645C3">
        <w:rPr>
          <w:rFonts w:eastAsiaTheme="minorHAnsi"/>
        </w:rPr>
        <w:lastRenderedPageBreak/>
        <w:fldChar w:fldCharType="begin"/>
      </w:r>
      <w:r w:rsidRPr="0083251E">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8</w:t>
      </w:r>
      <w:r w:rsidRPr="009645C3">
        <w:rPr>
          <w:rFonts w:eastAsiaTheme="minorHAnsi"/>
        </w:rPr>
        <w:fldChar w:fldCharType="end"/>
      </w:r>
      <w:r w:rsidRPr="0083251E">
        <w:rPr>
          <w:rFonts w:eastAsiaTheme="minorHAnsi"/>
          <w:lang w:val="pl-PL"/>
        </w:rPr>
        <w:t>.  </w:t>
      </w:r>
      <w:r w:rsidR="00D74182" w:rsidRPr="00D74182">
        <w:rPr>
          <w:lang w:val="pl-PL"/>
        </w:rPr>
        <w:t xml:space="preserve">Podczas programu skarżący wyjął egzemplarz </w:t>
      </w:r>
      <w:r w:rsidR="00D74182" w:rsidRPr="00D74182">
        <w:rPr>
          <w:i/>
          <w:lang w:val="pl-PL"/>
        </w:rPr>
        <w:t>Gazety Wyborczej</w:t>
      </w:r>
      <w:r w:rsidR="00CF0E0B">
        <w:rPr>
          <w:lang w:val="pl-PL"/>
        </w:rPr>
        <w:t>, polskiego dziennika</w:t>
      </w:r>
      <w:r w:rsidR="00D74182" w:rsidRPr="00D74182">
        <w:rPr>
          <w:lang w:val="pl-PL"/>
        </w:rPr>
        <w:t xml:space="preserve"> </w:t>
      </w:r>
      <w:r w:rsidR="00CF0E0B">
        <w:rPr>
          <w:lang w:val="pl-PL"/>
        </w:rPr>
        <w:t>i</w:t>
      </w:r>
      <w:r w:rsidR="00D74182" w:rsidRPr="00D74182">
        <w:rPr>
          <w:lang w:val="pl-PL"/>
        </w:rPr>
        <w:t xml:space="preserve"> wskazując na poszczególne strony, powiedział</w:t>
      </w:r>
      <w:r w:rsidR="004B0818" w:rsidRPr="00D74182">
        <w:rPr>
          <w:rFonts w:eastAsiaTheme="minorHAnsi"/>
          <w:lang w:val="pl-PL"/>
        </w:rPr>
        <w:t>:</w:t>
      </w:r>
    </w:p>
    <w:p w:rsidR="004B0818" w:rsidRPr="00D74182" w:rsidRDefault="004B0818" w:rsidP="009645C3">
      <w:pPr>
        <w:pStyle w:val="ECHRParaQuote"/>
        <w:rPr>
          <w:rFonts w:eastAsiaTheme="minorHAnsi"/>
          <w:lang w:val="pl-PL"/>
        </w:rPr>
      </w:pPr>
      <w:r w:rsidRPr="00D74182">
        <w:rPr>
          <w:rFonts w:eastAsiaTheme="minorHAnsi"/>
          <w:lang w:val="pl-PL"/>
        </w:rPr>
        <w:t>“</w:t>
      </w:r>
      <w:r w:rsidR="00D74182" w:rsidRPr="00D74182">
        <w:rPr>
          <w:lang w:val="pl-PL"/>
        </w:rPr>
        <w:t xml:space="preserve">Chciałbym pokazać naturę relacji między "układem") ... i atakami na Prawo i Sprawiedliwość. Pokażę </w:t>
      </w:r>
      <w:r w:rsidR="00D74182" w:rsidRPr="00D74182">
        <w:rPr>
          <w:i/>
          <w:lang w:val="pl-PL"/>
        </w:rPr>
        <w:t>Gazetę Wyborczą</w:t>
      </w:r>
      <w:r w:rsidR="00D74182" w:rsidRPr="00D74182">
        <w:rPr>
          <w:lang w:val="pl-PL"/>
        </w:rPr>
        <w:t xml:space="preserve">, </w:t>
      </w:r>
      <w:r w:rsidR="00CF0E0B">
        <w:rPr>
          <w:lang w:val="pl-PL"/>
        </w:rPr>
        <w:t>która na</w:t>
      </w:r>
      <w:r w:rsidR="00D74182" w:rsidRPr="00D74182">
        <w:rPr>
          <w:lang w:val="pl-PL"/>
        </w:rPr>
        <w:t xml:space="preserve"> pierwszych siedmiu stronach, na przykład dzisiaj, </w:t>
      </w:r>
      <w:r w:rsidR="00CF0E0B">
        <w:rPr>
          <w:lang w:val="pl-PL"/>
        </w:rPr>
        <w:t>zawiera</w:t>
      </w:r>
      <w:r w:rsidR="00D74182" w:rsidRPr="00D74182">
        <w:rPr>
          <w:lang w:val="pl-PL"/>
        </w:rPr>
        <w:t xml:space="preserve"> </w:t>
      </w:r>
      <w:r w:rsidR="00CF0E0B">
        <w:rPr>
          <w:lang w:val="pl-PL"/>
        </w:rPr>
        <w:t>oszalały</w:t>
      </w:r>
      <w:r w:rsidR="00D74182" w:rsidRPr="00D74182">
        <w:rPr>
          <w:lang w:val="pl-PL"/>
        </w:rPr>
        <w:t xml:space="preserve"> atak na Prawo i Sprawiedliwość. Ze skromności nie wspomnę, że straszny kawałek o mnie, pełen kłamstw, jest na pierwszej stronie. Na drugiej stronie, </w:t>
      </w:r>
      <w:r w:rsidR="00CF0E0B">
        <w:rPr>
          <w:lang w:val="pl-PL"/>
        </w:rPr>
        <w:t>oszalały</w:t>
      </w:r>
      <w:r w:rsidR="00D74182" w:rsidRPr="00D74182">
        <w:rPr>
          <w:lang w:val="pl-PL"/>
        </w:rPr>
        <w:t xml:space="preserve"> atak na Kaczyńskiego i Ligę Polskich Rodzin. Tutaj, "Studenci obawiają się chłosty" itp., itd., "cuda Radio Maryja". To jest wręcz obsesyjna propaganda. Ale idźmy dalej, do strony trzydzieści pięć lat. I co widzimy? Widzimy reklamę zatytułowaną "Udało nam się zbudować jeden z największych na świecie rynków akcji z udziałem polskich akcjonariuszy. Jesteśmy z tego dumni. "To jest reklama dla firmy J&amp;S S.A</w:t>
      </w:r>
      <w:r w:rsidR="00D74182">
        <w:rPr>
          <w:lang w:val="pl-PL"/>
        </w:rPr>
        <w:t xml:space="preserve">. </w:t>
      </w:r>
      <w:r w:rsidR="005E6149" w:rsidRPr="00D74182">
        <w:rPr>
          <w:rFonts w:eastAsiaTheme="minorHAnsi"/>
          <w:lang w:val="pl-PL"/>
        </w:rPr>
        <w:t>.</w:t>
      </w:r>
      <w:r w:rsidRPr="00D74182">
        <w:rPr>
          <w:rFonts w:eastAsiaTheme="minorHAnsi"/>
          <w:lang w:val="pl-PL"/>
        </w:rPr>
        <w:t>...</w:t>
      </w:r>
    </w:p>
    <w:p w:rsidR="004B0818" w:rsidRPr="00D74182" w:rsidRDefault="00D74182" w:rsidP="009645C3">
      <w:pPr>
        <w:pStyle w:val="ECHRParaQuote"/>
        <w:rPr>
          <w:rFonts w:eastAsiaTheme="minorHAnsi"/>
          <w:lang w:val="pl-PL"/>
        </w:rPr>
      </w:pPr>
      <w:r w:rsidRPr="00D74182">
        <w:rPr>
          <w:lang w:val="pl-PL"/>
        </w:rPr>
        <w:t>Tak więc paradoksem jest to, że zazwyczaj w gazetach reklamuj</w:t>
      </w:r>
      <w:r w:rsidR="00D733A3">
        <w:rPr>
          <w:lang w:val="pl-PL"/>
        </w:rPr>
        <w:t>e</w:t>
      </w:r>
      <w:r w:rsidRPr="00D74182">
        <w:rPr>
          <w:lang w:val="pl-PL"/>
        </w:rPr>
        <w:t xml:space="preserve"> </w:t>
      </w:r>
      <w:r w:rsidR="00D733A3">
        <w:rPr>
          <w:lang w:val="pl-PL"/>
        </w:rPr>
        <w:t>się</w:t>
      </w:r>
      <w:r w:rsidRPr="00D74182">
        <w:rPr>
          <w:lang w:val="pl-PL"/>
        </w:rPr>
        <w:t xml:space="preserve"> proszki do prania, kosmetyki, piwo, czy samochody, które są towara</w:t>
      </w:r>
      <w:r w:rsidR="00CF0E0B">
        <w:rPr>
          <w:lang w:val="pl-PL"/>
        </w:rPr>
        <w:t>mi powszechnego nabycia. Ta</w:t>
      </w:r>
      <w:r w:rsidRPr="00D74182">
        <w:rPr>
          <w:lang w:val="pl-PL"/>
        </w:rPr>
        <w:t xml:space="preserve"> [firma] jest monopolistą. Nie potrzebuje ona żadnej reklamy. Firma ta importuje większość ropy naftowej do Polski i wyciąga miliardy euro z Polski do innej firmy, która jest zarejestrowana gdzieś na Cyprze. </w:t>
      </w:r>
      <w:hyperlink r:id="rId12" w:history="1">
        <w:r w:rsidR="00CF0E0B" w:rsidRPr="00CF0E0B">
          <w:rPr>
            <w:lang w:val="pl-PL"/>
          </w:rPr>
          <w:t>Tu nie chodzi o żadną reklamę. To jest finansowanie przez układ, który jest zagrożony przez PiS, zmasowanej propagandy przeciwko PiS</w:t>
        </w:r>
      </w:hyperlink>
      <w:r w:rsidRPr="00D74182">
        <w:rPr>
          <w:lang w:val="pl-PL"/>
        </w:rPr>
        <w:t>, żeby takie geszefty</w:t>
      </w:r>
      <w:r w:rsidR="00CF0E0B">
        <w:rPr>
          <w:lang w:val="pl-PL"/>
        </w:rPr>
        <w:t>….</w:t>
      </w:r>
    </w:p>
    <w:p w:rsidR="004B0818" w:rsidRPr="005F7AC1" w:rsidRDefault="005F7AC1" w:rsidP="009645C3">
      <w:pPr>
        <w:pStyle w:val="ECHRParaQuote"/>
        <w:rPr>
          <w:rFonts w:eastAsiaTheme="minorHAnsi"/>
          <w:lang w:val="pl-PL"/>
        </w:rPr>
      </w:pPr>
      <w:r w:rsidRPr="005F7AC1">
        <w:rPr>
          <w:lang w:val="pl-PL"/>
        </w:rPr>
        <w:t>Chodzi o to, że Prawo i Sprawiedliwość zaingerowało w bardzo poważne powiązania, które drenują</w:t>
      </w:r>
      <w:r w:rsidR="004B0818" w:rsidRPr="005F7AC1">
        <w:rPr>
          <w:rFonts w:eastAsiaTheme="minorHAnsi"/>
          <w:lang w:val="pl-PL"/>
        </w:rPr>
        <w:t>...</w:t>
      </w:r>
      <w:r>
        <w:rPr>
          <w:rFonts w:eastAsiaTheme="minorHAnsi"/>
          <w:lang w:val="pl-PL"/>
        </w:rPr>
        <w:t xml:space="preserve"> </w:t>
      </w:r>
    </w:p>
    <w:p w:rsidR="004B0818" w:rsidRPr="005F7AC1" w:rsidRDefault="005F7AC1" w:rsidP="009645C3">
      <w:pPr>
        <w:pStyle w:val="ECHRParaQuote"/>
        <w:rPr>
          <w:rFonts w:eastAsiaTheme="minorHAnsi"/>
          <w:lang w:val="pl-PL"/>
        </w:rPr>
      </w:pPr>
      <w:r w:rsidRPr="005F7AC1">
        <w:rPr>
          <w:lang w:val="pl-PL"/>
        </w:rPr>
        <w:t>Tylko jedno zdanie ... ale żarty się skończyły, a ten układ zrozumiał, że nie będzie wcześniejszych wyborów, nie będzie rządu mniejszościowego, to jest szansa na instytucjonalną budowę...</w:t>
      </w:r>
      <w:r w:rsidR="004B0818" w:rsidRPr="005F7AC1">
        <w:rPr>
          <w:rFonts w:eastAsiaTheme="minorHAnsi"/>
          <w:lang w:val="pl-PL"/>
        </w:rPr>
        <w:t>”</w:t>
      </w:r>
    </w:p>
    <w:p w:rsidR="009645C3" w:rsidRPr="009C1179" w:rsidRDefault="00D27B8C" w:rsidP="009645C3">
      <w:pPr>
        <w:pStyle w:val="ECHRPara"/>
        <w:rPr>
          <w:rFonts w:eastAsiaTheme="minorHAnsi"/>
          <w:lang w:val="pl-PL"/>
        </w:rPr>
      </w:pPr>
      <w:r w:rsidRPr="009645C3">
        <w:rPr>
          <w:rFonts w:eastAsiaTheme="minorHAnsi"/>
        </w:rPr>
        <w:fldChar w:fldCharType="begin"/>
      </w:r>
      <w:r w:rsidRPr="0083251E">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9</w:t>
      </w:r>
      <w:r w:rsidRPr="009645C3">
        <w:rPr>
          <w:rFonts w:eastAsiaTheme="minorHAnsi"/>
        </w:rPr>
        <w:fldChar w:fldCharType="end"/>
      </w:r>
      <w:r w:rsidRPr="0083251E">
        <w:rPr>
          <w:rFonts w:eastAsiaTheme="minorHAnsi"/>
          <w:lang w:val="pl-PL"/>
        </w:rPr>
        <w:t>.  </w:t>
      </w:r>
      <w:r w:rsidR="009C1179" w:rsidRPr="009C1179">
        <w:rPr>
          <w:lang w:val="pl-PL"/>
        </w:rPr>
        <w:t xml:space="preserve">W trakcie wystąpienia skarżącego, jeden z dziennikarzy przerwał mu, mówiąc: ". Ale to byłoby bardziej odpowiednie, jeśliby ktoś z </w:t>
      </w:r>
      <w:r w:rsidR="009C1179" w:rsidRPr="009C1179">
        <w:rPr>
          <w:i/>
          <w:lang w:val="pl-PL"/>
        </w:rPr>
        <w:t>Gazety Wyborczej</w:t>
      </w:r>
      <w:r w:rsidR="009C1179" w:rsidRPr="009C1179">
        <w:rPr>
          <w:lang w:val="pl-PL"/>
        </w:rPr>
        <w:t xml:space="preserve"> był tutaj" Jednakże, skarżący kontynuował swoją wypowiedź</w:t>
      </w:r>
      <w:r w:rsidRPr="009C1179">
        <w:rPr>
          <w:rFonts w:eastAsiaTheme="minorHAnsi"/>
          <w:lang w:val="pl-PL"/>
        </w:rPr>
        <w:t>.</w:t>
      </w:r>
    </w:p>
    <w:p w:rsidR="009645C3" w:rsidRPr="009C1179" w:rsidRDefault="00523394" w:rsidP="009645C3">
      <w:pPr>
        <w:pStyle w:val="ECHRPara"/>
        <w:rPr>
          <w:rFonts w:ascii="Times New Roman" w:eastAsiaTheme="minorHAnsi" w:hAnsi="Times New Roman" w:cs="Times New Roman"/>
          <w:color w:val="000000"/>
          <w:szCs w:val="24"/>
          <w:lang w:val="pl-PL"/>
        </w:rPr>
      </w:pPr>
      <w:r w:rsidRPr="009645C3">
        <w:rPr>
          <w:rStyle w:val="ECHRParaChar"/>
        </w:rPr>
        <w:fldChar w:fldCharType="begin"/>
      </w:r>
      <w:r w:rsidRPr="0083251E">
        <w:rPr>
          <w:rStyle w:val="ECHRParaChar"/>
          <w:lang w:val="pl-PL"/>
        </w:rPr>
        <w:instrText xml:space="preserve"> SEQ level0 \*arabic </w:instrText>
      </w:r>
      <w:r w:rsidRPr="009645C3">
        <w:rPr>
          <w:rStyle w:val="ECHRParaChar"/>
        </w:rPr>
        <w:fldChar w:fldCharType="separate"/>
      </w:r>
      <w:r w:rsidR="00E71E0A">
        <w:rPr>
          <w:rStyle w:val="ECHRParaChar"/>
          <w:noProof/>
          <w:lang w:val="pl-PL"/>
        </w:rPr>
        <w:t>10</w:t>
      </w:r>
      <w:r w:rsidRPr="009645C3">
        <w:rPr>
          <w:rStyle w:val="ECHRParaChar"/>
        </w:rPr>
        <w:fldChar w:fldCharType="end"/>
      </w:r>
      <w:r w:rsidRPr="0083251E">
        <w:rPr>
          <w:rStyle w:val="ECHRParaChar"/>
          <w:lang w:val="pl-PL"/>
        </w:rPr>
        <w:t>.  </w:t>
      </w:r>
      <w:r w:rsidR="009C1179" w:rsidRPr="009C1179">
        <w:rPr>
          <w:lang w:val="pl-PL"/>
        </w:rPr>
        <w:t xml:space="preserve">W dniu 16 maja 2006 roku, Agora S.A., wydawca Gazety Wyborczej, wniosła powództwo cywilne przeciwko </w:t>
      </w:r>
      <w:r w:rsidR="00D7076A" w:rsidRPr="009C1179">
        <w:rPr>
          <w:lang w:val="pl-PL"/>
        </w:rPr>
        <w:t>skarżącemu</w:t>
      </w:r>
      <w:r w:rsidR="009C1179" w:rsidRPr="009C1179">
        <w:rPr>
          <w:lang w:val="pl-PL"/>
        </w:rPr>
        <w:t xml:space="preserve"> o ochron</w:t>
      </w:r>
      <w:r w:rsidR="00D733A3">
        <w:rPr>
          <w:lang w:val="pl-PL"/>
        </w:rPr>
        <w:t>ę</w:t>
      </w:r>
      <w:r w:rsidR="009C1179" w:rsidRPr="009C1179">
        <w:rPr>
          <w:lang w:val="pl-PL"/>
        </w:rPr>
        <w:t xml:space="preserve"> </w:t>
      </w:r>
      <w:r w:rsidR="00B5119A">
        <w:rPr>
          <w:lang w:val="pl-PL"/>
        </w:rPr>
        <w:t>dóbr osobistych</w:t>
      </w:r>
      <w:r w:rsidR="009C1179" w:rsidRPr="009C1179">
        <w:rPr>
          <w:lang w:val="pl-PL"/>
        </w:rPr>
        <w:t>. Twierdził on</w:t>
      </w:r>
      <w:r w:rsidR="00D733A3">
        <w:rPr>
          <w:lang w:val="pl-PL"/>
        </w:rPr>
        <w:t>a</w:t>
      </w:r>
      <w:r w:rsidR="009C1179" w:rsidRPr="009C1179">
        <w:rPr>
          <w:lang w:val="pl-PL"/>
        </w:rPr>
        <w:t xml:space="preserve">, że oświadczenia </w:t>
      </w:r>
      <w:r w:rsidR="00D7076A" w:rsidRPr="009C1179">
        <w:rPr>
          <w:lang w:val="pl-PL"/>
        </w:rPr>
        <w:t>skarżącego</w:t>
      </w:r>
      <w:r w:rsidR="009C1179" w:rsidRPr="009C1179">
        <w:rPr>
          <w:lang w:val="pl-PL"/>
        </w:rPr>
        <w:t xml:space="preserve"> w trakcie programu telewizyjnego w dniu 8 maja 2006 roku zaszkodziły jego dobremu imieniu i wiarygodność i poprosił, aby skarżący został nakłoniony do przeprosin publikowanych w Gazecie Wyborczej i nadawanych w TVP2 i zapłaty 25.000 złotych polskich (PLN), na cele charytatywne</w:t>
      </w:r>
      <w:r w:rsidR="004B0818" w:rsidRPr="009C1179">
        <w:rPr>
          <w:rFonts w:ascii="Times New Roman" w:eastAsiaTheme="minorHAnsi" w:hAnsi="Times New Roman" w:cs="Times New Roman"/>
          <w:color w:val="000000"/>
          <w:szCs w:val="24"/>
          <w:lang w:val="pl-PL"/>
        </w:rPr>
        <w:t>.</w:t>
      </w:r>
      <w:r w:rsidR="00D50F27">
        <w:rPr>
          <w:rFonts w:ascii="Times New Roman" w:eastAsiaTheme="minorHAnsi" w:hAnsi="Times New Roman" w:cs="Times New Roman"/>
          <w:color w:val="000000"/>
          <w:szCs w:val="24"/>
          <w:lang w:val="pl-PL"/>
        </w:rPr>
        <w:t xml:space="preserve"> </w:t>
      </w:r>
    </w:p>
    <w:p w:rsidR="004B0818" w:rsidRPr="00D50F27" w:rsidRDefault="00523394" w:rsidP="009645C3">
      <w:pPr>
        <w:pStyle w:val="ECHRPara"/>
        <w:rPr>
          <w:rFonts w:eastAsiaTheme="minorHAnsi"/>
          <w:spacing w:val="-4"/>
          <w:lang w:val="pl-PL"/>
        </w:rPr>
      </w:pPr>
      <w:r w:rsidRPr="009645C3">
        <w:rPr>
          <w:rFonts w:eastAsiaTheme="minorHAnsi"/>
        </w:rPr>
        <w:fldChar w:fldCharType="begin"/>
      </w:r>
      <w:r w:rsidRPr="00D50F27">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11</w:t>
      </w:r>
      <w:r w:rsidRPr="009645C3">
        <w:rPr>
          <w:rFonts w:eastAsiaTheme="minorHAnsi"/>
        </w:rPr>
        <w:fldChar w:fldCharType="end"/>
      </w:r>
      <w:r w:rsidR="00B5119A" w:rsidRPr="00B5119A">
        <w:rPr>
          <w:rFonts w:eastAsiaTheme="minorHAnsi"/>
          <w:lang w:val="pl-PL"/>
        </w:rPr>
        <w:t xml:space="preserve">. </w:t>
      </w:r>
      <w:r w:rsidR="00D50F27" w:rsidRPr="00D50F27">
        <w:rPr>
          <w:lang w:val="pl-PL"/>
        </w:rPr>
        <w:t xml:space="preserve">W dniu 12 czerwca 2007 roku Sąd Okręgowy w Warszawie </w:t>
      </w:r>
      <w:r w:rsidR="003C6652">
        <w:rPr>
          <w:lang w:val="pl-PL"/>
        </w:rPr>
        <w:t xml:space="preserve">uwzględnił </w:t>
      </w:r>
      <w:r w:rsidR="00D50F27" w:rsidRPr="00D50F27">
        <w:rPr>
          <w:lang w:val="pl-PL"/>
        </w:rPr>
        <w:t xml:space="preserve">roszczenie i nakazał skarżącemu </w:t>
      </w:r>
      <w:r w:rsidR="00D91E1B">
        <w:rPr>
          <w:lang w:val="pl-PL"/>
        </w:rPr>
        <w:t>opublikować</w:t>
      </w:r>
      <w:r w:rsidR="00D50F27" w:rsidRPr="00D50F27">
        <w:rPr>
          <w:lang w:val="pl-PL"/>
        </w:rPr>
        <w:t xml:space="preserve"> przeprosiny za pośrednictwem </w:t>
      </w:r>
      <w:r w:rsidR="00D50F27" w:rsidRPr="00D50F27">
        <w:rPr>
          <w:i/>
          <w:lang w:val="pl-PL"/>
        </w:rPr>
        <w:t>Gazety Wyborczej</w:t>
      </w:r>
      <w:r w:rsidR="00D50F27" w:rsidRPr="00D50F27">
        <w:rPr>
          <w:lang w:val="pl-PL"/>
        </w:rPr>
        <w:t xml:space="preserve"> i TVP2 z tytułu </w:t>
      </w:r>
      <w:r w:rsidR="00D733A3">
        <w:rPr>
          <w:lang w:val="pl-PL"/>
        </w:rPr>
        <w:t>wypowiedzi</w:t>
      </w:r>
      <w:r w:rsidR="00D50F27" w:rsidRPr="00D50F27">
        <w:rPr>
          <w:lang w:val="pl-PL"/>
        </w:rPr>
        <w:t>, których dokonał. Ponadto nakazał skarżącemu zapłacić 10.000 złotych (około 2500 euro (EUR) na cele charytatywne i 2410 złotych (około 600 euro) opłat sądowych</w:t>
      </w:r>
      <w:r w:rsidR="004B0818" w:rsidRPr="00D50F27">
        <w:rPr>
          <w:rFonts w:eastAsiaTheme="minorHAnsi"/>
          <w:spacing w:val="-2"/>
          <w:lang w:val="pl-PL"/>
        </w:rPr>
        <w:t>.</w:t>
      </w:r>
    </w:p>
    <w:p w:rsidR="009645C3" w:rsidRPr="00D50F27" w:rsidRDefault="00E66073" w:rsidP="009645C3">
      <w:pPr>
        <w:pStyle w:val="ECHRPara"/>
        <w:rPr>
          <w:rFonts w:eastAsiaTheme="minorHAnsi"/>
          <w:lang w:val="pl-PL"/>
        </w:rPr>
      </w:pPr>
      <w:r w:rsidRPr="009645C3">
        <w:rPr>
          <w:rFonts w:eastAsiaTheme="minorHAnsi"/>
        </w:rPr>
        <w:fldChar w:fldCharType="begin"/>
      </w:r>
      <w:r w:rsidRPr="0083251E">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12</w:t>
      </w:r>
      <w:r w:rsidRPr="009645C3">
        <w:rPr>
          <w:rFonts w:eastAsiaTheme="minorHAnsi"/>
        </w:rPr>
        <w:fldChar w:fldCharType="end"/>
      </w:r>
      <w:r w:rsidRPr="0083251E">
        <w:rPr>
          <w:rFonts w:eastAsiaTheme="minorHAnsi"/>
          <w:lang w:val="pl-PL"/>
        </w:rPr>
        <w:t>.  </w:t>
      </w:r>
      <w:r w:rsidR="00D50F27" w:rsidRPr="00D50F27">
        <w:rPr>
          <w:lang w:val="pl-PL"/>
        </w:rPr>
        <w:t>Tekst przeprosin, które miały być opublikowane przez skarżącego był następujący</w:t>
      </w:r>
      <w:r w:rsidR="00FD5277" w:rsidRPr="00D50F27">
        <w:rPr>
          <w:rFonts w:eastAsiaTheme="minorHAnsi"/>
          <w:lang w:val="pl-PL"/>
        </w:rPr>
        <w:t>:</w:t>
      </w:r>
    </w:p>
    <w:p w:rsidR="009645C3" w:rsidRPr="0083251E" w:rsidRDefault="00FD5277" w:rsidP="009645C3">
      <w:pPr>
        <w:pStyle w:val="ECHRParaQuote"/>
        <w:rPr>
          <w:rFonts w:eastAsiaTheme="minorHAnsi"/>
          <w:lang w:val="pl-PL"/>
        </w:rPr>
      </w:pPr>
      <w:r w:rsidRPr="0083251E">
        <w:rPr>
          <w:rFonts w:eastAsiaTheme="minorHAnsi"/>
          <w:lang w:val="pl-PL"/>
        </w:rPr>
        <w:t>“</w:t>
      </w:r>
      <w:r w:rsidR="0083251E" w:rsidRPr="0083251E">
        <w:rPr>
          <w:lang w:val="pl-PL"/>
        </w:rPr>
        <w:t>Oświad</w:t>
      </w:r>
      <w:r w:rsidR="009B4863">
        <w:rPr>
          <w:lang w:val="pl-PL"/>
        </w:rPr>
        <w:t xml:space="preserve">czam, że </w:t>
      </w:r>
      <w:r w:rsidR="00E71E0A">
        <w:rPr>
          <w:lang w:val="pl-PL"/>
        </w:rPr>
        <w:t xml:space="preserve">w swojej </w:t>
      </w:r>
      <w:r w:rsidR="009B4863">
        <w:rPr>
          <w:lang w:val="pl-PL"/>
        </w:rPr>
        <w:t>publiczne</w:t>
      </w:r>
      <w:r w:rsidR="00E71E0A">
        <w:rPr>
          <w:lang w:val="pl-PL"/>
        </w:rPr>
        <w:t>j</w:t>
      </w:r>
      <w:r w:rsidR="009B4863">
        <w:rPr>
          <w:lang w:val="pl-PL"/>
        </w:rPr>
        <w:t xml:space="preserve"> </w:t>
      </w:r>
      <w:r w:rsidR="00E71E0A">
        <w:rPr>
          <w:lang w:val="pl-PL"/>
        </w:rPr>
        <w:t>wypowiedzi</w:t>
      </w:r>
      <w:r w:rsidR="0083251E" w:rsidRPr="0083251E">
        <w:rPr>
          <w:lang w:val="pl-PL"/>
        </w:rPr>
        <w:t xml:space="preserve">, </w:t>
      </w:r>
      <w:r w:rsidR="00E71E0A">
        <w:rPr>
          <w:lang w:val="pl-PL"/>
        </w:rPr>
        <w:t>w czasie</w:t>
      </w:r>
      <w:r w:rsidR="0083251E" w:rsidRPr="0083251E">
        <w:rPr>
          <w:lang w:val="pl-PL"/>
        </w:rPr>
        <w:t xml:space="preserve"> programu </w:t>
      </w:r>
      <w:r w:rsidR="00E71E0A">
        <w:rPr>
          <w:lang w:val="pl-PL"/>
        </w:rPr>
        <w:t>„</w:t>
      </w:r>
      <w:r w:rsidR="0083251E" w:rsidRPr="0083251E">
        <w:rPr>
          <w:i/>
          <w:lang w:val="pl-PL"/>
        </w:rPr>
        <w:t>Warto rozmawiać</w:t>
      </w:r>
      <w:r w:rsidR="00E71E0A">
        <w:rPr>
          <w:i/>
          <w:lang w:val="pl-PL"/>
        </w:rPr>
        <w:t xml:space="preserve">” </w:t>
      </w:r>
      <w:r w:rsidR="00E71E0A" w:rsidRPr="00E71E0A">
        <w:rPr>
          <w:lang w:val="pl-PL"/>
        </w:rPr>
        <w:t>na antenie Programu</w:t>
      </w:r>
      <w:r w:rsidR="00E71E0A">
        <w:rPr>
          <w:lang w:val="pl-PL"/>
        </w:rPr>
        <w:t xml:space="preserve"> 2</w:t>
      </w:r>
      <w:r w:rsidR="0083251E" w:rsidRPr="0083251E">
        <w:rPr>
          <w:lang w:val="pl-PL"/>
        </w:rPr>
        <w:t xml:space="preserve"> </w:t>
      </w:r>
      <w:r w:rsidR="00E71E0A">
        <w:rPr>
          <w:lang w:val="pl-PL"/>
        </w:rPr>
        <w:t>Telewizji Polskiej,</w:t>
      </w:r>
      <w:r w:rsidR="0083251E" w:rsidRPr="0083251E">
        <w:rPr>
          <w:lang w:val="pl-PL"/>
        </w:rPr>
        <w:t xml:space="preserve"> w dniu 8 maja 2006 </w:t>
      </w:r>
      <w:r w:rsidR="00E71E0A">
        <w:rPr>
          <w:lang w:val="pl-PL"/>
        </w:rPr>
        <w:t>r.</w:t>
      </w:r>
      <w:r w:rsidR="0083251E" w:rsidRPr="0083251E">
        <w:rPr>
          <w:lang w:val="pl-PL"/>
        </w:rPr>
        <w:t xml:space="preserve"> </w:t>
      </w:r>
      <w:r w:rsidR="00E71E0A">
        <w:rPr>
          <w:lang w:val="pl-PL"/>
        </w:rPr>
        <w:t xml:space="preserve">przedstawiłem </w:t>
      </w:r>
      <w:r w:rsidR="0083251E" w:rsidRPr="0083251E">
        <w:rPr>
          <w:lang w:val="pl-PL"/>
        </w:rPr>
        <w:t xml:space="preserve">nieprawdziwe, zniesławiające zarzuty i podejrzenia </w:t>
      </w:r>
      <w:r w:rsidR="00E71E0A">
        <w:rPr>
          <w:lang w:val="pl-PL"/>
        </w:rPr>
        <w:t>w stosunku do spółki pod firmą</w:t>
      </w:r>
      <w:r w:rsidR="0083251E" w:rsidRPr="0083251E">
        <w:rPr>
          <w:lang w:val="pl-PL"/>
        </w:rPr>
        <w:t xml:space="preserve"> AGORA S.A., </w:t>
      </w:r>
      <w:r w:rsidR="00E71E0A">
        <w:rPr>
          <w:lang w:val="pl-PL"/>
        </w:rPr>
        <w:t xml:space="preserve">z siedzibą w Warszawie i prowadzonej przez nią </w:t>
      </w:r>
      <w:r w:rsidR="00E71E0A">
        <w:rPr>
          <w:lang w:val="pl-PL"/>
        </w:rPr>
        <w:lastRenderedPageBreak/>
        <w:t>działalności wydawniczej, dotyczącej</w:t>
      </w:r>
      <w:r w:rsidR="0083251E" w:rsidRPr="0083251E">
        <w:rPr>
          <w:lang w:val="pl-PL"/>
        </w:rPr>
        <w:t xml:space="preserve"> </w:t>
      </w:r>
      <w:r w:rsidR="00E71E0A">
        <w:rPr>
          <w:lang w:val="pl-PL"/>
        </w:rPr>
        <w:t>„</w:t>
      </w:r>
      <w:r w:rsidR="0083251E" w:rsidRPr="0083251E">
        <w:rPr>
          <w:i/>
          <w:lang w:val="pl-PL"/>
        </w:rPr>
        <w:t>Gazety Wyborczej</w:t>
      </w:r>
      <w:r w:rsidR="00E71E0A">
        <w:rPr>
          <w:i/>
          <w:lang w:val="pl-PL"/>
        </w:rPr>
        <w:t>”</w:t>
      </w:r>
      <w:r w:rsidR="0083251E" w:rsidRPr="0083251E">
        <w:rPr>
          <w:lang w:val="pl-PL"/>
        </w:rPr>
        <w:t xml:space="preserve">. </w:t>
      </w:r>
      <w:r w:rsidR="00E71E0A">
        <w:rPr>
          <w:lang w:val="pl-PL"/>
        </w:rPr>
        <w:t>Przyznają także</w:t>
      </w:r>
      <w:r w:rsidR="0083251E" w:rsidRPr="0083251E">
        <w:rPr>
          <w:lang w:val="pl-PL"/>
        </w:rPr>
        <w:t xml:space="preserve">, że zarzuty te </w:t>
      </w:r>
      <w:r w:rsidR="00E71E0A">
        <w:rPr>
          <w:lang w:val="pl-PL"/>
        </w:rPr>
        <w:t>narażały Agorę SA na niekorzystne konsekwencje w zakresie prowadzonej działalności</w:t>
      </w:r>
      <w:r w:rsidR="0083251E" w:rsidRPr="0083251E">
        <w:rPr>
          <w:lang w:val="pl-PL"/>
        </w:rPr>
        <w:t xml:space="preserve">, </w:t>
      </w:r>
      <w:r w:rsidR="00E71E0A">
        <w:rPr>
          <w:lang w:val="pl-PL"/>
        </w:rPr>
        <w:t xml:space="preserve">a </w:t>
      </w:r>
      <w:r w:rsidR="0083251E" w:rsidRPr="0083251E">
        <w:rPr>
          <w:lang w:val="pl-PL"/>
        </w:rPr>
        <w:t>w szczególności utratę niezbędnej wiarygodności i zaufania</w:t>
      </w:r>
      <w:r w:rsidR="00E71E0A">
        <w:rPr>
          <w:lang w:val="pl-PL"/>
        </w:rPr>
        <w:t xml:space="preserve"> niezbędnego do jej wykonywania</w:t>
      </w:r>
      <w:r w:rsidR="00240BF7" w:rsidRPr="0083251E">
        <w:rPr>
          <w:rFonts w:eastAsiaTheme="minorHAnsi"/>
          <w:lang w:val="pl-PL"/>
        </w:rPr>
        <w:t>.</w:t>
      </w:r>
    </w:p>
    <w:p w:rsidR="009645C3" w:rsidRPr="0083251E" w:rsidRDefault="0083251E" w:rsidP="009645C3">
      <w:pPr>
        <w:pStyle w:val="ECHRParaQuote"/>
        <w:rPr>
          <w:rFonts w:eastAsiaTheme="minorHAnsi"/>
          <w:lang w:val="pl-PL"/>
        </w:rPr>
      </w:pPr>
      <w:r w:rsidRPr="0083251E">
        <w:rPr>
          <w:lang w:val="pl-PL"/>
        </w:rPr>
        <w:t xml:space="preserve">W związku z tym przepraszam </w:t>
      </w:r>
      <w:r w:rsidR="00E71E0A">
        <w:rPr>
          <w:lang w:val="pl-PL"/>
        </w:rPr>
        <w:t xml:space="preserve">Agorę SA z siedzibą w </w:t>
      </w:r>
      <w:r w:rsidRPr="0083251E">
        <w:rPr>
          <w:lang w:val="pl-PL"/>
        </w:rPr>
        <w:t xml:space="preserve">Warszawie S.A. (wydawcę </w:t>
      </w:r>
      <w:r w:rsidR="00E71E0A">
        <w:rPr>
          <w:lang w:val="pl-PL"/>
        </w:rPr>
        <w:t>„</w:t>
      </w:r>
      <w:r w:rsidRPr="0083251E">
        <w:rPr>
          <w:i/>
          <w:lang w:val="pl-PL"/>
        </w:rPr>
        <w:t>Gazety Wyborczej</w:t>
      </w:r>
      <w:r w:rsidR="00E71E0A">
        <w:rPr>
          <w:i/>
          <w:lang w:val="pl-PL"/>
        </w:rPr>
        <w:t>”</w:t>
      </w:r>
      <w:r w:rsidRPr="0083251E">
        <w:rPr>
          <w:lang w:val="pl-PL"/>
        </w:rPr>
        <w:t>) za publiczne rozpowszechnianie nieprawdziw</w:t>
      </w:r>
      <w:r w:rsidR="00E71E0A">
        <w:rPr>
          <w:lang w:val="pl-PL"/>
        </w:rPr>
        <w:t>ej</w:t>
      </w:r>
      <w:r w:rsidRPr="0083251E">
        <w:rPr>
          <w:lang w:val="pl-PL"/>
        </w:rPr>
        <w:t xml:space="preserve">, </w:t>
      </w:r>
      <w:r w:rsidR="00E71E0A">
        <w:rPr>
          <w:lang w:val="pl-PL"/>
        </w:rPr>
        <w:t xml:space="preserve">zniesławiającej wypowiedzi, godzącej w jej dobre imię, wiarygodność </w:t>
      </w:r>
      <w:r w:rsidRPr="0083251E">
        <w:rPr>
          <w:lang w:val="pl-PL"/>
        </w:rPr>
        <w:t>i renom</w:t>
      </w:r>
      <w:r w:rsidR="00E71E0A">
        <w:rPr>
          <w:lang w:val="pl-PL"/>
        </w:rPr>
        <w:t>ę</w:t>
      </w:r>
      <w:r w:rsidR="00E66073" w:rsidRPr="0083251E">
        <w:rPr>
          <w:rFonts w:eastAsiaTheme="minorHAnsi"/>
          <w:lang w:val="pl-PL"/>
        </w:rPr>
        <w:t>.</w:t>
      </w:r>
    </w:p>
    <w:p w:rsidR="009645C3" w:rsidRPr="0083251E" w:rsidRDefault="00E71E0A" w:rsidP="009645C3">
      <w:pPr>
        <w:pStyle w:val="ECHRParaQuote"/>
        <w:rPr>
          <w:rFonts w:eastAsiaTheme="minorHAnsi"/>
          <w:lang w:val="pl-PL"/>
        </w:rPr>
      </w:pPr>
      <w:r>
        <w:rPr>
          <w:lang w:val="pl-PL"/>
        </w:rPr>
        <w:t>Niniejsze</w:t>
      </w:r>
      <w:r w:rsidR="0083251E" w:rsidRPr="0083251E">
        <w:rPr>
          <w:lang w:val="pl-PL"/>
        </w:rPr>
        <w:t xml:space="preserve"> </w:t>
      </w:r>
      <w:r w:rsidR="0083251E">
        <w:rPr>
          <w:lang w:val="pl-PL"/>
        </w:rPr>
        <w:t>oświadczenie</w:t>
      </w:r>
      <w:r w:rsidR="0083251E" w:rsidRPr="0083251E">
        <w:rPr>
          <w:lang w:val="pl-PL"/>
        </w:rPr>
        <w:t xml:space="preserve"> </w:t>
      </w:r>
      <w:r>
        <w:rPr>
          <w:lang w:val="pl-PL"/>
        </w:rPr>
        <w:t>składam</w:t>
      </w:r>
      <w:r w:rsidR="0083251E" w:rsidRPr="0083251E">
        <w:rPr>
          <w:lang w:val="pl-PL"/>
        </w:rPr>
        <w:t xml:space="preserve"> w </w:t>
      </w:r>
      <w:r>
        <w:rPr>
          <w:lang w:val="pl-PL"/>
        </w:rPr>
        <w:t>następstwie przegranego</w:t>
      </w:r>
      <w:r w:rsidR="0083251E" w:rsidRPr="0083251E">
        <w:rPr>
          <w:lang w:val="pl-PL"/>
        </w:rPr>
        <w:t xml:space="preserve"> </w:t>
      </w:r>
      <w:r>
        <w:rPr>
          <w:lang w:val="pl-PL"/>
        </w:rPr>
        <w:t>procesu</w:t>
      </w:r>
      <w:r w:rsidR="0083251E" w:rsidRPr="0083251E">
        <w:rPr>
          <w:lang w:val="pl-PL"/>
        </w:rPr>
        <w:t xml:space="preserve"> </w:t>
      </w:r>
      <w:r>
        <w:rPr>
          <w:lang w:val="pl-PL"/>
        </w:rPr>
        <w:t>sądowego</w:t>
      </w:r>
      <w:r w:rsidR="00E66073" w:rsidRPr="0083251E">
        <w:rPr>
          <w:rFonts w:eastAsiaTheme="minorHAnsi"/>
          <w:lang w:val="pl-PL"/>
        </w:rPr>
        <w:t>.</w:t>
      </w:r>
      <w:r w:rsidR="0065450A" w:rsidRPr="0083251E">
        <w:rPr>
          <w:rFonts w:eastAsiaTheme="minorHAnsi"/>
          <w:lang w:val="pl-PL"/>
        </w:rPr>
        <w:t xml:space="preserve"> ”</w:t>
      </w:r>
    </w:p>
    <w:p w:rsidR="009645C3" w:rsidRPr="0083251E" w:rsidRDefault="0018758B"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13</w:t>
      </w:r>
      <w:r w:rsidRPr="009645C3">
        <w:rPr>
          <w:rFonts w:eastAsiaTheme="minorHAnsi"/>
        </w:rPr>
        <w:fldChar w:fldCharType="end"/>
      </w:r>
      <w:r w:rsidRPr="00C6231B">
        <w:rPr>
          <w:rFonts w:eastAsiaTheme="minorHAnsi"/>
          <w:lang w:val="pl-PL"/>
        </w:rPr>
        <w:t>.  </w:t>
      </w:r>
      <w:r w:rsidR="0083251E" w:rsidRPr="0083251E">
        <w:rPr>
          <w:lang w:val="pl-PL"/>
        </w:rPr>
        <w:t xml:space="preserve">W toku postępowania skarżący twierdził, że nie było jego intencją urazić powoda. W programie telewizyjnym miał jedynie wyrazić </w:t>
      </w:r>
      <w:r w:rsidR="00126970">
        <w:rPr>
          <w:lang w:val="pl-PL"/>
        </w:rPr>
        <w:t>sąd</w:t>
      </w:r>
      <w:r w:rsidR="0083251E" w:rsidRPr="0083251E">
        <w:rPr>
          <w:lang w:val="pl-PL"/>
        </w:rPr>
        <w:t xml:space="preserve"> wartościując</w:t>
      </w:r>
      <w:r w:rsidR="00126970">
        <w:rPr>
          <w:lang w:val="pl-PL"/>
        </w:rPr>
        <w:t>y</w:t>
      </w:r>
      <w:r w:rsidR="0083251E" w:rsidRPr="0083251E">
        <w:rPr>
          <w:lang w:val="pl-PL"/>
        </w:rPr>
        <w:t xml:space="preserve"> odnosząc</w:t>
      </w:r>
      <w:r w:rsidR="00126970">
        <w:rPr>
          <w:lang w:val="pl-PL"/>
        </w:rPr>
        <w:t>y</w:t>
      </w:r>
      <w:r w:rsidR="0083251E" w:rsidRPr="0083251E">
        <w:rPr>
          <w:lang w:val="pl-PL"/>
        </w:rPr>
        <w:t xml:space="preserve"> się do agresywnych i wyraźnie jednostronnych artykułów opublikowanych w </w:t>
      </w:r>
      <w:r w:rsidR="0083251E" w:rsidRPr="0083251E">
        <w:rPr>
          <w:i/>
          <w:lang w:val="pl-PL"/>
        </w:rPr>
        <w:t>Gazecie Wyborczej</w:t>
      </w:r>
      <w:r w:rsidR="0083251E" w:rsidRPr="0083251E">
        <w:rPr>
          <w:lang w:val="pl-PL"/>
        </w:rPr>
        <w:t>. Zauważył także</w:t>
      </w:r>
      <w:r w:rsidR="00126970">
        <w:rPr>
          <w:lang w:val="pl-PL"/>
        </w:rPr>
        <w:t>, że w jego wypowiedzi były sądami wartościującymi</w:t>
      </w:r>
      <w:r w:rsidR="0083251E" w:rsidRPr="0083251E">
        <w:rPr>
          <w:lang w:val="pl-PL"/>
        </w:rPr>
        <w:t xml:space="preserve"> </w:t>
      </w:r>
      <w:r w:rsidR="00126970">
        <w:rPr>
          <w:lang w:val="pl-PL"/>
        </w:rPr>
        <w:t xml:space="preserve">i </w:t>
      </w:r>
      <w:r w:rsidR="0083251E" w:rsidRPr="0083251E">
        <w:rPr>
          <w:lang w:val="pl-PL"/>
        </w:rPr>
        <w:t>nie musiał udowadniać ich prawdziwości</w:t>
      </w:r>
      <w:r w:rsidRPr="0083251E">
        <w:rPr>
          <w:rFonts w:eastAsiaTheme="minorHAnsi"/>
          <w:lang w:val="pl-PL"/>
        </w:rPr>
        <w:t>.</w:t>
      </w:r>
    </w:p>
    <w:p w:rsidR="0036242B" w:rsidRPr="0083251E" w:rsidRDefault="00523394"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14</w:t>
      </w:r>
      <w:r w:rsidRPr="009645C3">
        <w:rPr>
          <w:rFonts w:eastAsiaTheme="minorHAnsi"/>
        </w:rPr>
        <w:fldChar w:fldCharType="end"/>
      </w:r>
      <w:r w:rsidRPr="00C6231B">
        <w:rPr>
          <w:rFonts w:eastAsiaTheme="minorHAnsi"/>
          <w:lang w:val="pl-PL"/>
        </w:rPr>
        <w:t>.  </w:t>
      </w:r>
      <w:r w:rsidR="0083251E" w:rsidRPr="0083251E">
        <w:rPr>
          <w:lang w:val="pl-PL"/>
        </w:rPr>
        <w:t xml:space="preserve">Sąd uznał, że skarżący naruszył prawa powoda, w szczególności w odniesieniu do jego dobrego imienia, wiarygodności i renomy. Z </w:t>
      </w:r>
      <w:r w:rsidR="004E4AA6">
        <w:rPr>
          <w:lang w:val="pl-PL"/>
        </w:rPr>
        <w:t>wypowiedzi</w:t>
      </w:r>
      <w:r w:rsidR="0083251E" w:rsidRPr="0083251E">
        <w:rPr>
          <w:lang w:val="pl-PL"/>
        </w:rPr>
        <w:t xml:space="preserve"> skarżącego wynika, że chciał zwrócić uwagę publiczności na to, że powód i </w:t>
      </w:r>
      <w:r w:rsidR="0083251E" w:rsidRPr="0083251E">
        <w:rPr>
          <w:i/>
          <w:lang w:val="pl-PL"/>
        </w:rPr>
        <w:t>Gazeta Wyborcza</w:t>
      </w:r>
      <w:r w:rsidR="0083251E" w:rsidRPr="0083251E">
        <w:rPr>
          <w:lang w:val="pl-PL"/>
        </w:rPr>
        <w:t xml:space="preserve"> miała jakiś układ biznesowy/medialny, przy czym teksty przeciwko PiS zostały opublikowane w Gazecie Wyborczej i sfinansowane przez reklamy</w:t>
      </w:r>
      <w:r w:rsidR="004B0818" w:rsidRPr="0083251E">
        <w:rPr>
          <w:rFonts w:eastAsiaTheme="minorHAnsi"/>
          <w:lang w:val="pl-PL"/>
        </w:rPr>
        <w:t>.</w:t>
      </w:r>
    </w:p>
    <w:p w:rsidR="00195E41" w:rsidRPr="0083251E" w:rsidRDefault="0036242B" w:rsidP="009645C3">
      <w:pPr>
        <w:pStyle w:val="ECHRPara"/>
        <w:rPr>
          <w:rFonts w:eastAsiaTheme="minorHAnsi"/>
          <w:lang w:val="pl-PL"/>
        </w:rPr>
      </w:pPr>
      <w:r w:rsidRPr="009645C3">
        <w:rPr>
          <w:rFonts w:eastAsiaTheme="minorHAnsi"/>
        </w:rPr>
        <w:fldChar w:fldCharType="begin"/>
      </w:r>
      <w:r w:rsidRPr="0083251E">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15</w:t>
      </w:r>
      <w:r w:rsidRPr="009645C3">
        <w:rPr>
          <w:rFonts w:eastAsiaTheme="minorHAnsi"/>
        </w:rPr>
        <w:fldChar w:fldCharType="end"/>
      </w:r>
      <w:r w:rsidR="0083251E" w:rsidRPr="0083251E">
        <w:rPr>
          <w:lang w:val="pl-PL"/>
        </w:rPr>
        <w:t xml:space="preserve"> Sąd zauważył, że </w:t>
      </w:r>
      <w:r w:rsidR="004E4AA6">
        <w:rPr>
          <w:lang w:val="pl-PL"/>
        </w:rPr>
        <w:t>wypowiedzi</w:t>
      </w:r>
      <w:r w:rsidR="0083251E" w:rsidRPr="0083251E">
        <w:rPr>
          <w:lang w:val="pl-PL"/>
        </w:rPr>
        <w:t xml:space="preserve"> skarżącego zawierały zarówno fakty i wnioski z tych faktów</w:t>
      </w:r>
      <w:r w:rsidR="004B0818" w:rsidRPr="0083251E">
        <w:rPr>
          <w:rFonts w:eastAsiaTheme="minorHAnsi"/>
          <w:lang w:val="pl-PL"/>
        </w:rPr>
        <w:t>.</w:t>
      </w:r>
    </w:p>
    <w:p w:rsidR="009645C3" w:rsidRPr="0083251E" w:rsidRDefault="00195E41"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16</w:t>
      </w:r>
      <w:r w:rsidRPr="009645C3">
        <w:rPr>
          <w:rFonts w:eastAsiaTheme="minorHAnsi"/>
        </w:rPr>
        <w:fldChar w:fldCharType="end"/>
      </w:r>
      <w:r w:rsidRPr="00C6231B">
        <w:rPr>
          <w:rFonts w:eastAsiaTheme="minorHAnsi"/>
          <w:lang w:val="pl-PL"/>
        </w:rPr>
        <w:t>.  </w:t>
      </w:r>
      <w:r w:rsidR="0083251E" w:rsidRPr="0083251E">
        <w:rPr>
          <w:lang w:val="pl-PL"/>
        </w:rPr>
        <w:t xml:space="preserve">Sąd zauważył ponadto, że oskarżenie, że gazeta opublikowała artykuły na zlecenie sponsora było wyraźnie obraźliwe dla wydawcy. Podobnie było obraźliwe dla wydawca związanie z firmą, która rzekomo prowadziła działania moralnie wątpliwe. Pozwany nie przedstawił żadnych dowodów na poparcie swoich twierdzeń. Nie wyjaśnił, na jakiej podstawie miał wyciągnąć wniosek, że dochód uzyskany z danego ogłoszenia skutkował artykułami opublikowanymi w </w:t>
      </w:r>
      <w:r w:rsidR="0083251E" w:rsidRPr="0083251E">
        <w:rPr>
          <w:i/>
          <w:lang w:val="pl-PL"/>
        </w:rPr>
        <w:t>Gazecie Wyborczej</w:t>
      </w:r>
      <w:r w:rsidR="0083251E" w:rsidRPr="0083251E">
        <w:rPr>
          <w:lang w:val="pl-PL"/>
        </w:rPr>
        <w:t xml:space="preserve">. Ponadto, nie było żadnego powodu, aby sądzić, że dochody uzyskane z reklamy J&amp;S S.A. łączyły się z jakimikolwiek poszczególnymi artykułami w </w:t>
      </w:r>
      <w:r w:rsidR="0083251E" w:rsidRPr="0083251E">
        <w:rPr>
          <w:i/>
          <w:lang w:val="pl-PL"/>
        </w:rPr>
        <w:t>Gazecie Wyborczej</w:t>
      </w:r>
      <w:r w:rsidR="0083251E" w:rsidRPr="0083251E">
        <w:rPr>
          <w:lang w:val="pl-PL"/>
        </w:rPr>
        <w:t>, w szczególności tymi, które skarżący nazywał dalej "</w:t>
      </w:r>
      <w:r w:rsidR="004E4AA6">
        <w:rPr>
          <w:lang w:val="pl-PL"/>
        </w:rPr>
        <w:t>oszalałym</w:t>
      </w:r>
      <w:r w:rsidR="0083251E" w:rsidRPr="0083251E">
        <w:rPr>
          <w:lang w:val="pl-PL"/>
        </w:rPr>
        <w:t xml:space="preserve"> atakiem na Prawo i Sprawiedliwość"</w:t>
      </w:r>
      <w:r w:rsidR="00DD588D" w:rsidRPr="0083251E">
        <w:rPr>
          <w:rFonts w:eastAsiaTheme="minorHAnsi"/>
          <w:lang w:val="pl-PL"/>
        </w:rPr>
        <w:t>.</w:t>
      </w:r>
    </w:p>
    <w:p w:rsidR="009645C3" w:rsidRPr="006365D8" w:rsidRDefault="00523394"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17</w:t>
      </w:r>
      <w:r w:rsidRPr="009645C3">
        <w:rPr>
          <w:rFonts w:eastAsiaTheme="minorHAnsi"/>
        </w:rPr>
        <w:fldChar w:fldCharType="end"/>
      </w:r>
      <w:r w:rsidRPr="00C6231B">
        <w:rPr>
          <w:rFonts w:eastAsiaTheme="minorHAnsi"/>
          <w:lang w:val="pl-PL"/>
        </w:rPr>
        <w:t>.  </w:t>
      </w:r>
      <w:r w:rsidR="006365D8" w:rsidRPr="006365D8">
        <w:rPr>
          <w:lang w:val="pl-PL"/>
        </w:rPr>
        <w:t>Sąd podkreślił, że J&amp;S S.A. miał w odpowiednim czasie umieszczone reklamy w kilku gazetach i czasopismach. Jednakże skarżący nie twierdził, że ​​te inne gazety lub czasopisma były zaangażowane w rzekomy układ. Sąd wskazał, że wydawca nie mógł odmówić zamieszczenia reklamy, chyba że zaistniałaby jedna z przyczyn określonych w przepisach prawa prasowego, co nie miało miejsca w niniejszej sprawie. Ponadto, co do zasady, wydawca nie ponosi odpowiedzialności za treść reklam</w:t>
      </w:r>
      <w:r w:rsidRPr="006365D8">
        <w:rPr>
          <w:rFonts w:eastAsiaTheme="minorHAnsi"/>
          <w:lang w:val="pl-PL"/>
        </w:rPr>
        <w:t>.</w:t>
      </w:r>
    </w:p>
    <w:p w:rsidR="009645C3" w:rsidRPr="00C6231B" w:rsidRDefault="00E27318"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18</w:t>
      </w:r>
      <w:r w:rsidRPr="009645C3">
        <w:rPr>
          <w:rFonts w:eastAsiaTheme="minorHAnsi"/>
        </w:rPr>
        <w:fldChar w:fldCharType="end"/>
      </w:r>
      <w:r w:rsidRPr="00C6231B">
        <w:rPr>
          <w:rFonts w:eastAsiaTheme="minorHAnsi"/>
          <w:lang w:val="pl-PL"/>
        </w:rPr>
        <w:t>.  </w:t>
      </w:r>
      <w:r w:rsidR="006365D8" w:rsidRPr="006365D8">
        <w:rPr>
          <w:lang w:val="pl-PL"/>
        </w:rPr>
        <w:t xml:space="preserve">Sąd nie zgodził się ze skarżącym, że nie chciał naruszać praw powoda. Zauważył, że skarżący przygotował się z wyprzedzeniem, aby złożyć oświadczenie, o którym mowa. Miał on już egzemplarz </w:t>
      </w:r>
      <w:r w:rsidR="006365D8" w:rsidRPr="006365D8">
        <w:rPr>
          <w:i/>
          <w:lang w:val="pl-PL"/>
        </w:rPr>
        <w:t>Gazety Wyborczej</w:t>
      </w:r>
      <w:r w:rsidR="006365D8" w:rsidRPr="006365D8">
        <w:rPr>
          <w:lang w:val="pl-PL"/>
        </w:rPr>
        <w:t xml:space="preserve">, gdy wszedł do studia telewizyjnego, który trzymał w ręku </w:t>
      </w:r>
      <w:r w:rsidR="006365D8" w:rsidRPr="006365D8">
        <w:rPr>
          <w:lang w:val="pl-PL"/>
        </w:rPr>
        <w:lastRenderedPageBreak/>
        <w:t xml:space="preserve">podczas jednoczesnego wygłaszania oświadczenia. </w:t>
      </w:r>
      <w:r w:rsidR="006365D8" w:rsidRPr="00C6231B">
        <w:rPr>
          <w:lang w:val="pl-PL"/>
        </w:rPr>
        <w:t xml:space="preserve">W ocenie sądu, </w:t>
      </w:r>
      <w:r w:rsidR="004E4AA6">
        <w:rPr>
          <w:lang w:val="pl-PL"/>
        </w:rPr>
        <w:t>wypowiedź</w:t>
      </w:r>
      <w:r w:rsidR="006365D8" w:rsidRPr="00C6231B">
        <w:rPr>
          <w:lang w:val="pl-PL"/>
        </w:rPr>
        <w:t xml:space="preserve"> nie została wygłoszona spontanicznie</w:t>
      </w:r>
      <w:r w:rsidR="00887E3D" w:rsidRPr="00C6231B">
        <w:rPr>
          <w:rFonts w:eastAsiaTheme="minorHAnsi"/>
          <w:lang w:val="pl-PL"/>
        </w:rPr>
        <w:t>.</w:t>
      </w:r>
    </w:p>
    <w:p w:rsidR="009645C3" w:rsidRPr="006365D8" w:rsidRDefault="00E27318"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19</w:t>
      </w:r>
      <w:r w:rsidRPr="009645C3">
        <w:rPr>
          <w:rFonts w:eastAsiaTheme="minorHAnsi"/>
        </w:rPr>
        <w:fldChar w:fldCharType="end"/>
      </w:r>
      <w:r w:rsidRPr="00C6231B">
        <w:rPr>
          <w:rFonts w:eastAsiaTheme="minorHAnsi"/>
          <w:lang w:val="pl-PL"/>
        </w:rPr>
        <w:t>.  </w:t>
      </w:r>
      <w:r w:rsidR="006365D8" w:rsidRPr="006365D8">
        <w:rPr>
          <w:lang w:val="pl-PL"/>
        </w:rPr>
        <w:t xml:space="preserve">Wreszcie, sąd zauważył, że </w:t>
      </w:r>
      <w:r w:rsidR="004E4AA6">
        <w:rPr>
          <w:lang w:val="pl-PL"/>
        </w:rPr>
        <w:t>wypowiedź</w:t>
      </w:r>
      <w:r w:rsidR="006365D8" w:rsidRPr="006365D8">
        <w:rPr>
          <w:lang w:val="pl-PL"/>
        </w:rPr>
        <w:t xml:space="preserve"> skarżącego nie mogła być wyjaśniona na podstawie tego, że była w interesie publicznym. Wręcz przeciwnie, w interesie publicznym byłoby to, że osoby publiczne, takie jak skarżący, członek parlamentu, powinny opierać opinie, które wyrażają w mediach, na sprawdzonych faktach i nie naruszać praw osób trzecich</w:t>
      </w:r>
      <w:r w:rsidRPr="006365D8">
        <w:rPr>
          <w:rFonts w:eastAsiaTheme="minorHAnsi"/>
          <w:lang w:val="pl-PL"/>
        </w:rPr>
        <w:t>.</w:t>
      </w:r>
    </w:p>
    <w:p w:rsidR="009645C3" w:rsidRPr="006365D8" w:rsidRDefault="000F6CBD"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20</w:t>
      </w:r>
      <w:r w:rsidRPr="009645C3">
        <w:rPr>
          <w:rFonts w:eastAsiaTheme="minorHAnsi"/>
        </w:rPr>
        <w:fldChar w:fldCharType="end"/>
      </w:r>
      <w:r w:rsidRPr="00C6231B">
        <w:rPr>
          <w:rFonts w:eastAsiaTheme="minorHAnsi"/>
          <w:lang w:val="pl-PL"/>
        </w:rPr>
        <w:t>.  </w:t>
      </w:r>
      <w:r w:rsidR="006365D8" w:rsidRPr="006365D8">
        <w:rPr>
          <w:lang w:val="pl-PL"/>
        </w:rPr>
        <w:t>Skarżący wniósł apelację od wyroku. Twierdził, między innymi, że Sąd Okręgowy błędnie sklasyfikowa</w:t>
      </w:r>
      <w:r w:rsidR="004E4AA6">
        <w:rPr>
          <w:lang w:val="pl-PL"/>
        </w:rPr>
        <w:t>ł</w:t>
      </w:r>
      <w:r w:rsidR="006365D8" w:rsidRPr="006365D8">
        <w:rPr>
          <w:lang w:val="pl-PL"/>
        </w:rPr>
        <w:t xml:space="preserve"> jego wypowiedzi jako fakty, a nie jako sądy wartościujące</w:t>
      </w:r>
      <w:r w:rsidRPr="006365D8">
        <w:rPr>
          <w:rFonts w:eastAsiaTheme="minorHAnsi"/>
          <w:lang w:val="pl-PL"/>
        </w:rPr>
        <w:t>.</w:t>
      </w:r>
    </w:p>
    <w:p w:rsidR="004B0818" w:rsidRPr="00DC55BE" w:rsidRDefault="00523394"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21</w:t>
      </w:r>
      <w:r w:rsidRPr="009645C3">
        <w:rPr>
          <w:rFonts w:eastAsiaTheme="minorHAnsi"/>
        </w:rPr>
        <w:fldChar w:fldCharType="end"/>
      </w:r>
      <w:r w:rsidRPr="00C6231B">
        <w:rPr>
          <w:rFonts w:eastAsiaTheme="minorHAnsi"/>
          <w:lang w:val="pl-PL"/>
        </w:rPr>
        <w:t>.  </w:t>
      </w:r>
      <w:r w:rsidR="006365D8" w:rsidRPr="006365D8">
        <w:rPr>
          <w:lang w:val="pl-PL"/>
        </w:rPr>
        <w:t xml:space="preserve">W dniu 25 czerwca 2008 roku Sąd Apelacyjny w Warszawie </w:t>
      </w:r>
      <w:r w:rsidR="003C6652">
        <w:rPr>
          <w:lang w:val="pl-PL"/>
        </w:rPr>
        <w:t>oddalił apelację</w:t>
      </w:r>
      <w:r w:rsidR="00197D68">
        <w:rPr>
          <w:lang w:val="pl-PL"/>
        </w:rPr>
        <w:t xml:space="preserve"> pozwanego</w:t>
      </w:r>
      <w:r w:rsidR="006365D8" w:rsidRPr="006365D8">
        <w:rPr>
          <w:lang w:val="pl-PL"/>
        </w:rPr>
        <w:t xml:space="preserve"> i nakazał skarżącemu zapłacić 270 zł (około 67 euro) </w:t>
      </w:r>
      <w:r w:rsidR="00197D68">
        <w:rPr>
          <w:lang w:val="pl-PL"/>
        </w:rPr>
        <w:br/>
      </w:r>
      <w:r w:rsidR="006365D8" w:rsidRPr="006365D8">
        <w:rPr>
          <w:lang w:val="pl-PL"/>
        </w:rPr>
        <w:t xml:space="preserve">z </w:t>
      </w:r>
      <w:r w:rsidR="00DC55BE">
        <w:rPr>
          <w:lang w:val="pl-PL"/>
        </w:rPr>
        <w:t xml:space="preserve">tytułu </w:t>
      </w:r>
      <w:r w:rsidR="006365D8" w:rsidRPr="006365D8">
        <w:rPr>
          <w:lang w:val="pl-PL"/>
        </w:rPr>
        <w:t>opłat sądowych w postępowaniu w drugiej instancji</w:t>
      </w:r>
      <w:r w:rsidR="004B0818" w:rsidRPr="00DC55BE">
        <w:rPr>
          <w:rFonts w:eastAsiaTheme="minorHAnsi"/>
          <w:lang w:val="pl-PL"/>
        </w:rPr>
        <w:t>.</w:t>
      </w:r>
    </w:p>
    <w:p w:rsidR="004B0818" w:rsidRPr="00D7076A" w:rsidRDefault="00523394"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22</w:t>
      </w:r>
      <w:r w:rsidRPr="009645C3">
        <w:rPr>
          <w:rFonts w:eastAsiaTheme="minorHAnsi"/>
        </w:rPr>
        <w:fldChar w:fldCharType="end"/>
      </w:r>
      <w:r w:rsidRPr="00C6231B">
        <w:rPr>
          <w:rFonts w:eastAsiaTheme="minorHAnsi"/>
          <w:lang w:val="pl-PL"/>
        </w:rPr>
        <w:t>.  </w:t>
      </w:r>
      <w:r w:rsidR="00D7076A" w:rsidRPr="00D7076A">
        <w:rPr>
          <w:lang w:val="pl-PL"/>
        </w:rPr>
        <w:t xml:space="preserve">Sąd </w:t>
      </w:r>
      <w:r w:rsidR="00C56A8D">
        <w:rPr>
          <w:lang w:val="pl-PL"/>
        </w:rPr>
        <w:t>a</w:t>
      </w:r>
      <w:r w:rsidR="00D7076A" w:rsidRPr="00D7076A">
        <w:rPr>
          <w:lang w:val="pl-PL"/>
        </w:rPr>
        <w:t xml:space="preserve">pelacyjny uznał, że wyrok pierwszej instancji nie odniósł się do części </w:t>
      </w:r>
      <w:r w:rsidR="004E4AA6">
        <w:rPr>
          <w:lang w:val="pl-PL"/>
        </w:rPr>
        <w:t>wypowiedzi</w:t>
      </w:r>
      <w:r w:rsidR="00D7076A" w:rsidRPr="00D7076A">
        <w:rPr>
          <w:lang w:val="pl-PL"/>
        </w:rPr>
        <w:t xml:space="preserve"> skarżącego dotyczącej artykułów o nim i PiS, mimo że nazwał je "</w:t>
      </w:r>
      <w:r w:rsidR="004E4AA6">
        <w:rPr>
          <w:lang w:val="pl-PL"/>
        </w:rPr>
        <w:t>oszalałymi</w:t>
      </w:r>
      <w:r w:rsidR="00D7076A" w:rsidRPr="00D7076A">
        <w:rPr>
          <w:lang w:val="pl-PL"/>
        </w:rPr>
        <w:t xml:space="preserve"> atakami", ponieważ </w:t>
      </w:r>
      <w:r w:rsidR="00197D68">
        <w:rPr>
          <w:lang w:val="pl-PL"/>
        </w:rPr>
        <w:t xml:space="preserve">za </w:t>
      </w:r>
      <w:r w:rsidR="007F5BEC">
        <w:rPr>
          <w:lang w:val="pl-PL"/>
        </w:rPr>
        <w:t>powszechnie znaną</w:t>
      </w:r>
      <w:r w:rsidR="00197D68">
        <w:rPr>
          <w:lang w:val="pl-PL"/>
        </w:rPr>
        <w:t xml:space="preserve"> </w:t>
      </w:r>
      <w:r w:rsidR="007F5BEC">
        <w:rPr>
          <w:lang w:val="pl-PL"/>
        </w:rPr>
        <w:t xml:space="preserve">bez potrzeby dowodzenia </w:t>
      </w:r>
      <w:r w:rsidR="00197D68">
        <w:rPr>
          <w:lang w:val="pl-PL"/>
        </w:rPr>
        <w:t>należy uznać okoliczność</w:t>
      </w:r>
      <w:r w:rsidR="00D7076A" w:rsidRPr="00D7076A">
        <w:rPr>
          <w:lang w:val="pl-PL"/>
        </w:rPr>
        <w:t xml:space="preserve">, że </w:t>
      </w:r>
      <w:r w:rsidR="00D7076A" w:rsidRPr="00D7076A">
        <w:rPr>
          <w:i/>
          <w:lang w:val="pl-PL"/>
        </w:rPr>
        <w:t>Gazeta Wyborcza</w:t>
      </w:r>
      <w:r w:rsidR="00D7076A" w:rsidRPr="00D7076A">
        <w:rPr>
          <w:lang w:val="pl-PL"/>
        </w:rPr>
        <w:t xml:space="preserve"> była krytyczna wobec PiS i że nie było </w:t>
      </w:r>
      <w:r w:rsidR="004E4AA6">
        <w:rPr>
          <w:lang w:val="pl-PL"/>
        </w:rPr>
        <w:t>to czymś</w:t>
      </w:r>
      <w:r w:rsidR="00D7076A" w:rsidRPr="00D7076A">
        <w:rPr>
          <w:lang w:val="pl-PL"/>
        </w:rPr>
        <w:t xml:space="preserve">. Jednak zarzuty skarżącego, że J&amp;S S.A. prowadziła niejasne, a nawet podejrzane działania pod osłoną zamieszczania reklam w </w:t>
      </w:r>
      <w:r w:rsidR="00D7076A" w:rsidRPr="00D7076A">
        <w:rPr>
          <w:i/>
          <w:lang w:val="pl-PL"/>
        </w:rPr>
        <w:t>Gazecie Wyborczej</w:t>
      </w:r>
      <w:r w:rsidR="00D7076A" w:rsidRPr="00D7076A">
        <w:rPr>
          <w:lang w:val="pl-PL"/>
        </w:rPr>
        <w:t>, a w istocie finansowała ją wyłącznie w celu zniszczenia PiS, który, ze s</w:t>
      </w:r>
      <w:r w:rsidR="007D1645">
        <w:rPr>
          <w:lang w:val="pl-PL"/>
        </w:rPr>
        <w:t>wej strony, walczył przeciwko "</w:t>
      </w:r>
      <w:r w:rsidR="00D7076A" w:rsidRPr="00D7076A">
        <w:rPr>
          <w:lang w:val="pl-PL"/>
        </w:rPr>
        <w:t xml:space="preserve">układowi" między przedmiotową spółką i </w:t>
      </w:r>
      <w:r w:rsidR="00D7076A" w:rsidRPr="00D7076A">
        <w:rPr>
          <w:i/>
          <w:lang w:val="pl-PL"/>
        </w:rPr>
        <w:t>Gazetą Wyborczą</w:t>
      </w:r>
      <w:r w:rsidR="00D7076A" w:rsidRPr="00D7076A">
        <w:rPr>
          <w:lang w:val="pl-PL"/>
        </w:rPr>
        <w:t>, było stwierdzeniem faktu. Niemniej jednak skarżący nie udowodnił prawdziwość swoich twierdzeń o powiązaniach pomiędzy powodem a spółką J&amp;S S.A</w:t>
      </w:r>
      <w:r w:rsidR="004B0818" w:rsidRPr="00D7076A">
        <w:rPr>
          <w:rFonts w:eastAsiaTheme="minorHAnsi"/>
          <w:lang w:val="pl-PL"/>
        </w:rPr>
        <w:t>.</w:t>
      </w:r>
    </w:p>
    <w:p w:rsidR="009645C3" w:rsidRPr="00D7076A" w:rsidRDefault="002B1F93" w:rsidP="009645C3">
      <w:pPr>
        <w:pStyle w:val="ECHRPara"/>
        <w:rPr>
          <w:rFonts w:eastAsiaTheme="minorHAnsi"/>
          <w:lang w:val="pl-PL"/>
        </w:rPr>
      </w:pPr>
      <w:r w:rsidRPr="009645C3">
        <w:rPr>
          <w:rFonts w:eastAsiaTheme="minorHAnsi"/>
        </w:rPr>
        <w:fldChar w:fldCharType="begin"/>
      </w:r>
      <w:r w:rsidRPr="00C6231B">
        <w:rPr>
          <w:rFonts w:eastAsiaTheme="minorHAnsi"/>
          <w:lang w:val="pl-PL"/>
        </w:rPr>
        <w:instrText xml:space="preserve"> SEQ level0 \*arabic </w:instrText>
      </w:r>
      <w:r w:rsidRPr="009645C3">
        <w:rPr>
          <w:rFonts w:eastAsiaTheme="minorHAnsi"/>
        </w:rPr>
        <w:fldChar w:fldCharType="separate"/>
      </w:r>
      <w:r w:rsidR="00E71E0A">
        <w:rPr>
          <w:rFonts w:eastAsiaTheme="minorHAnsi"/>
          <w:noProof/>
          <w:lang w:val="pl-PL"/>
        </w:rPr>
        <w:t>23</w:t>
      </w:r>
      <w:r w:rsidRPr="009645C3">
        <w:rPr>
          <w:rFonts w:eastAsiaTheme="minorHAnsi"/>
        </w:rPr>
        <w:fldChar w:fldCharType="end"/>
      </w:r>
      <w:r w:rsidRPr="00C6231B">
        <w:rPr>
          <w:rFonts w:eastAsiaTheme="minorHAnsi"/>
          <w:lang w:val="pl-PL"/>
        </w:rPr>
        <w:t>.  </w:t>
      </w:r>
      <w:r w:rsidR="00D7076A" w:rsidRPr="00D7076A">
        <w:rPr>
          <w:lang w:val="pl-PL"/>
        </w:rPr>
        <w:t xml:space="preserve">Sąd zgodził się z </w:t>
      </w:r>
      <w:r w:rsidR="00C56A8D">
        <w:rPr>
          <w:lang w:val="pl-PL"/>
        </w:rPr>
        <w:t>s</w:t>
      </w:r>
      <w:r w:rsidR="00D7076A" w:rsidRPr="00D7076A">
        <w:rPr>
          <w:lang w:val="pl-PL"/>
        </w:rPr>
        <w:t xml:space="preserve">ądem </w:t>
      </w:r>
      <w:r w:rsidR="00C56A8D">
        <w:rPr>
          <w:lang w:val="pl-PL"/>
        </w:rPr>
        <w:t>o</w:t>
      </w:r>
      <w:r w:rsidR="00D7076A" w:rsidRPr="00D7076A">
        <w:rPr>
          <w:lang w:val="pl-PL"/>
        </w:rPr>
        <w:t>kręgowym, że skarżący przygotował się z wyprzedzeniem, aby złożyć oświadczenie</w:t>
      </w:r>
      <w:r w:rsidR="00FA1C73">
        <w:rPr>
          <w:lang w:val="pl-PL"/>
        </w:rPr>
        <w:t>,</w:t>
      </w:r>
      <w:r w:rsidR="00D7076A" w:rsidRPr="00D7076A">
        <w:rPr>
          <w:lang w:val="pl-PL"/>
        </w:rPr>
        <w:t xml:space="preserve"> o którym mowa. Program dotyczył różnych kwestii, a oświadczenie nie było odpowiedzią lub reakcją na dyskusję między uczestnikami. Podczas programu skarżący </w:t>
      </w:r>
      <w:r w:rsidR="007C46DC">
        <w:rPr>
          <w:lang w:val="pl-PL"/>
        </w:rPr>
        <w:t>trzymał</w:t>
      </w:r>
      <w:r w:rsidR="00D7076A" w:rsidRPr="00D7076A">
        <w:rPr>
          <w:lang w:val="pl-PL"/>
        </w:rPr>
        <w:t xml:space="preserve"> kopię </w:t>
      </w:r>
      <w:r w:rsidR="00D7076A" w:rsidRPr="00D7076A">
        <w:rPr>
          <w:i/>
          <w:lang w:val="pl-PL"/>
        </w:rPr>
        <w:t>Gazety Wyborczej</w:t>
      </w:r>
      <w:r w:rsidR="00D7076A" w:rsidRPr="00D7076A">
        <w:rPr>
          <w:lang w:val="pl-PL"/>
        </w:rPr>
        <w:t xml:space="preserve"> pod swoim krzesłem, którą pokazał </w:t>
      </w:r>
      <w:r w:rsidR="00FA1C73">
        <w:rPr>
          <w:lang w:val="pl-PL"/>
        </w:rPr>
        <w:t>do</w:t>
      </w:r>
      <w:r w:rsidR="00D7076A" w:rsidRPr="00D7076A">
        <w:rPr>
          <w:lang w:val="pl-PL"/>
        </w:rPr>
        <w:t xml:space="preserve"> kamery w odpowiednim momencie</w:t>
      </w:r>
      <w:r w:rsidRPr="00D7076A">
        <w:rPr>
          <w:rFonts w:eastAsiaTheme="minorHAnsi"/>
          <w:lang w:val="pl-PL"/>
        </w:rPr>
        <w:t>.</w:t>
      </w:r>
    </w:p>
    <w:p w:rsidR="009645C3" w:rsidRPr="00D7076A" w:rsidRDefault="002B1F93" w:rsidP="009645C3">
      <w:pPr>
        <w:pStyle w:val="ECHRPara"/>
        <w:rPr>
          <w:rFonts w:eastAsiaTheme="minorHAnsi"/>
          <w:lang w:val="pl-PL"/>
        </w:rPr>
      </w:pPr>
      <w:r w:rsidRPr="009645C3">
        <w:rPr>
          <w:rFonts w:eastAsiaTheme="minorHAnsi"/>
          <w:spacing w:val="-4"/>
        </w:rPr>
        <w:fldChar w:fldCharType="begin"/>
      </w:r>
      <w:r w:rsidRPr="00C6231B">
        <w:rPr>
          <w:rFonts w:eastAsiaTheme="minorHAnsi"/>
          <w:spacing w:val="-4"/>
          <w:lang w:val="pl-PL"/>
        </w:rPr>
        <w:instrText xml:space="preserve"> SEQ level0 \*arabic </w:instrText>
      </w:r>
      <w:r w:rsidRPr="009645C3">
        <w:rPr>
          <w:rFonts w:eastAsiaTheme="minorHAnsi"/>
          <w:spacing w:val="-4"/>
        </w:rPr>
        <w:fldChar w:fldCharType="separate"/>
      </w:r>
      <w:r w:rsidR="00E71E0A">
        <w:rPr>
          <w:rFonts w:eastAsiaTheme="minorHAnsi"/>
          <w:noProof/>
          <w:spacing w:val="-4"/>
          <w:lang w:val="pl-PL"/>
        </w:rPr>
        <w:t>24</w:t>
      </w:r>
      <w:r w:rsidRPr="009645C3">
        <w:rPr>
          <w:rFonts w:eastAsiaTheme="minorHAnsi"/>
          <w:spacing w:val="-4"/>
        </w:rPr>
        <w:fldChar w:fldCharType="end"/>
      </w:r>
      <w:r w:rsidRPr="00C6231B">
        <w:rPr>
          <w:rFonts w:eastAsiaTheme="minorHAnsi"/>
          <w:spacing w:val="-4"/>
          <w:lang w:val="pl-PL"/>
        </w:rPr>
        <w:t>.  </w:t>
      </w:r>
      <w:r w:rsidR="00D7076A" w:rsidRPr="00D7076A">
        <w:rPr>
          <w:lang w:val="pl-PL"/>
        </w:rPr>
        <w:t xml:space="preserve">Jeśli chodzi o 10.000 złotych (około 2500 euro) do zapłaty na cele charytatywne, sąd uznał, że jest to skromna suma a koszty publikacji przeprosin są normalną konsekwencją </w:t>
      </w:r>
      <w:r w:rsidR="007C46DC">
        <w:rPr>
          <w:lang w:val="pl-PL"/>
        </w:rPr>
        <w:t>naruszenia przez</w:t>
      </w:r>
      <w:r w:rsidR="00D7076A" w:rsidRPr="00D7076A">
        <w:rPr>
          <w:lang w:val="pl-PL"/>
        </w:rPr>
        <w:t xml:space="preserve"> </w:t>
      </w:r>
      <w:r w:rsidR="007C46DC" w:rsidRPr="00D7076A">
        <w:rPr>
          <w:lang w:val="pl-PL"/>
        </w:rPr>
        <w:t>skarżącego</w:t>
      </w:r>
      <w:r w:rsidR="007C46DC">
        <w:rPr>
          <w:lang w:val="pl-PL"/>
        </w:rPr>
        <w:t xml:space="preserve"> dóbr osobistych</w:t>
      </w:r>
      <w:r w:rsidRPr="00D7076A">
        <w:rPr>
          <w:rFonts w:eastAsiaTheme="minorHAnsi"/>
          <w:lang w:val="pl-PL"/>
        </w:rPr>
        <w:t>.</w:t>
      </w:r>
    </w:p>
    <w:p w:rsidR="009645C3" w:rsidRPr="00A813CD" w:rsidRDefault="004B2E88" w:rsidP="009645C3">
      <w:pPr>
        <w:pStyle w:val="ECHRPara"/>
        <w:rPr>
          <w:rFonts w:eastAsiaTheme="minorHAnsi"/>
          <w:spacing w:val="-6"/>
          <w:lang w:val="pl-PL"/>
        </w:rPr>
      </w:pPr>
      <w:r w:rsidRPr="009645C3">
        <w:rPr>
          <w:rFonts w:eastAsiaTheme="minorHAnsi"/>
          <w:spacing w:val="-6"/>
        </w:rPr>
        <w:fldChar w:fldCharType="begin"/>
      </w:r>
      <w:r w:rsidRPr="00C6231B">
        <w:rPr>
          <w:rFonts w:eastAsiaTheme="minorHAnsi"/>
          <w:spacing w:val="-6"/>
          <w:lang w:val="pl-PL"/>
        </w:rPr>
        <w:instrText xml:space="preserve"> SEQ level0 \*arabic </w:instrText>
      </w:r>
      <w:r w:rsidRPr="009645C3">
        <w:rPr>
          <w:rFonts w:eastAsiaTheme="minorHAnsi"/>
          <w:spacing w:val="-6"/>
        </w:rPr>
        <w:fldChar w:fldCharType="separate"/>
      </w:r>
      <w:r w:rsidR="00E71E0A">
        <w:rPr>
          <w:rFonts w:eastAsiaTheme="minorHAnsi"/>
          <w:noProof/>
          <w:spacing w:val="-6"/>
          <w:lang w:val="pl-PL"/>
        </w:rPr>
        <w:t>25</w:t>
      </w:r>
      <w:r w:rsidRPr="009645C3">
        <w:rPr>
          <w:rFonts w:eastAsiaTheme="minorHAnsi"/>
          <w:spacing w:val="-6"/>
        </w:rPr>
        <w:fldChar w:fldCharType="end"/>
      </w:r>
      <w:r w:rsidRPr="00C6231B">
        <w:rPr>
          <w:rFonts w:eastAsiaTheme="minorHAnsi"/>
          <w:spacing w:val="-6"/>
          <w:lang w:val="pl-PL"/>
        </w:rPr>
        <w:t>.  </w:t>
      </w:r>
      <w:r w:rsidR="00A813CD" w:rsidRPr="00A813CD">
        <w:rPr>
          <w:lang w:val="pl-PL"/>
        </w:rPr>
        <w:t xml:space="preserve">Skarżący </w:t>
      </w:r>
      <w:r w:rsidR="007C46DC">
        <w:rPr>
          <w:lang w:val="pl-PL"/>
        </w:rPr>
        <w:t>złożył skargę kasacyjną.</w:t>
      </w:r>
      <w:r w:rsidR="00A813CD" w:rsidRPr="00A813CD">
        <w:rPr>
          <w:lang w:val="pl-PL"/>
        </w:rPr>
        <w:t xml:space="preserve"> Twierdził, że sąd apelacyjny błędnie zastosował norm</w:t>
      </w:r>
      <w:r w:rsidR="00DF4825">
        <w:rPr>
          <w:lang w:val="pl-PL"/>
        </w:rPr>
        <w:t>ę</w:t>
      </w:r>
      <w:r w:rsidR="00A813CD" w:rsidRPr="00A813CD">
        <w:rPr>
          <w:lang w:val="pl-PL"/>
        </w:rPr>
        <w:t xml:space="preserve"> </w:t>
      </w:r>
      <w:r w:rsidR="00DF4825">
        <w:rPr>
          <w:lang w:val="pl-PL"/>
        </w:rPr>
        <w:t>przewidzianą</w:t>
      </w:r>
      <w:r w:rsidR="00A813CD" w:rsidRPr="00A813CD">
        <w:rPr>
          <w:lang w:val="pl-PL"/>
        </w:rPr>
        <w:t xml:space="preserve"> w art 10 Konwencji </w:t>
      </w:r>
      <w:r w:rsidR="00DF4825">
        <w:rPr>
          <w:lang w:val="pl-PL"/>
        </w:rPr>
        <w:t>w ten sposób, że</w:t>
      </w:r>
      <w:r w:rsidR="00A813CD" w:rsidRPr="00A813CD">
        <w:rPr>
          <w:lang w:val="pl-PL"/>
        </w:rPr>
        <w:t xml:space="preserve"> uznał jego </w:t>
      </w:r>
      <w:r w:rsidR="00FA1C73">
        <w:rPr>
          <w:lang w:val="pl-PL"/>
        </w:rPr>
        <w:t>wypowiedź</w:t>
      </w:r>
      <w:r w:rsidR="00A813CD" w:rsidRPr="00A813CD">
        <w:rPr>
          <w:lang w:val="pl-PL"/>
        </w:rPr>
        <w:t xml:space="preserve"> jako dotycząc</w:t>
      </w:r>
      <w:r w:rsidR="00FA1C73">
        <w:rPr>
          <w:lang w:val="pl-PL"/>
        </w:rPr>
        <w:t>ą faktu</w:t>
      </w:r>
      <w:r w:rsidR="00DF4825">
        <w:rPr>
          <w:lang w:val="pl-PL"/>
        </w:rPr>
        <w:t>,</w:t>
      </w:r>
      <w:r w:rsidR="00FA1C73">
        <w:rPr>
          <w:lang w:val="pl-PL"/>
        </w:rPr>
        <w:t xml:space="preserve"> a nie </w:t>
      </w:r>
      <w:r w:rsidR="00A813CD" w:rsidRPr="00A813CD">
        <w:rPr>
          <w:lang w:val="pl-PL"/>
        </w:rPr>
        <w:t xml:space="preserve">sądu </w:t>
      </w:r>
      <w:r w:rsidR="00DF4825">
        <w:rPr>
          <w:lang w:val="pl-PL"/>
        </w:rPr>
        <w:t>ocennego</w:t>
      </w:r>
      <w:r w:rsidR="00A813CD" w:rsidRPr="00A813CD">
        <w:rPr>
          <w:lang w:val="pl-PL"/>
        </w:rPr>
        <w:t xml:space="preserve">. </w:t>
      </w:r>
      <w:r w:rsidR="00DF4825">
        <w:rPr>
          <w:lang w:val="pl-PL"/>
        </w:rPr>
        <w:t>Zdaniem skarżącego</w:t>
      </w:r>
      <w:r w:rsidR="00A813CD" w:rsidRPr="00A813CD">
        <w:rPr>
          <w:lang w:val="pl-PL"/>
        </w:rPr>
        <w:t xml:space="preserve"> wyraził on sądy wartośc</w:t>
      </w:r>
      <w:r w:rsidR="00DF4825">
        <w:rPr>
          <w:lang w:val="pl-PL"/>
        </w:rPr>
        <w:t xml:space="preserve">iujące </w:t>
      </w:r>
      <w:r w:rsidR="00A813CD" w:rsidRPr="00A813CD">
        <w:rPr>
          <w:lang w:val="pl-PL"/>
        </w:rPr>
        <w:t xml:space="preserve">w trakcie debaty publicznej, a zatem nie </w:t>
      </w:r>
      <w:r w:rsidR="00DF4825">
        <w:rPr>
          <w:lang w:val="pl-PL"/>
        </w:rPr>
        <w:t>naruszył</w:t>
      </w:r>
      <w:r w:rsidR="00A813CD" w:rsidRPr="00A813CD">
        <w:rPr>
          <w:lang w:val="pl-PL"/>
        </w:rPr>
        <w:t xml:space="preserve"> dobrego imienia powoda</w:t>
      </w:r>
      <w:r w:rsidR="0025388E" w:rsidRPr="00A813CD">
        <w:rPr>
          <w:rFonts w:eastAsiaTheme="minorHAnsi"/>
          <w:spacing w:val="-6"/>
          <w:lang w:val="pl-PL"/>
        </w:rPr>
        <w:t>.</w:t>
      </w:r>
    </w:p>
    <w:p w:rsidR="009645C3" w:rsidRPr="00A813CD" w:rsidRDefault="0025388E" w:rsidP="009645C3">
      <w:pPr>
        <w:pStyle w:val="ECHRPara"/>
        <w:rPr>
          <w:rFonts w:eastAsiaTheme="minorHAnsi"/>
          <w:spacing w:val="-6"/>
          <w:lang w:val="pl-PL"/>
        </w:rPr>
      </w:pPr>
      <w:r w:rsidRPr="009645C3">
        <w:rPr>
          <w:rFonts w:eastAsiaTheme="minorHAnsi"/>
          <w:spacing w:val="-6"/>
        </w:rPr>
        <w:fldChar w:fldCharType="begin"/>
      </w:r>
      <w:r w:rsidRPr="00C6231B">
        <w:rPr>
          <w:rFonts w:eastAsiaTheme="minorHAnsi"/>
          <w:spacing w:val="-6"/>
          <w:lang w:val="pl-PL"/>
        </w:rPr>
        <w:instrText xml:space="preserve"> SEQ level0 \*arabic </w:instrText>
      </w:r>
      <w:r w:rsidRPr="009645C3">
        <w:rPr>
          <w:rFonts w:eastAsiaTheme="minorHAnsi"/>
          <w:spacing w:val="-6"/>
        </w:rPr>
        <w:fldChar w:fldCharType="separate"/>
      </w:r>
      <w:r w:rsidR="00E71E0A">
        <w:rPr>
          <w:rFonts w:eastAsiaTheme="minorHAnsi"/>
          <w:noProof/>
          <w:spacing w:val="-6"/>
          <w:lang w:val="pl-PL"/>
        </w:rPr>
        <w:t>26</w:t>
      </w:r>
      <w:r w:rsidRPr="009645C3">
        <w:rPr>
          <w:rFonts w:eastAsiaTheme="minorHAnsi"/>
          <w:spacing w:val="-6"/>
        </w:rPr>
        <w:fldChar w:fldCharType="end"/>
      </w:r>
      <w:r w:rsidRPr="00C6231B">
        <w:rPr>
          <w:rFonts w:eastAsiaTheme="minorHAnsi"/>
          <w:spacing w:val="-6"/>
          <w:lang w:val="pl-PL"/>
        </w:rPr>
        <w:t>.  </w:t>
      </w:r>
      <w:r w:rsidR="00DF4825">
        <w:rPr>
          <w:lang w:val="pl-PL"/>
        </w:rPr>
        <w:t>Skarga kasacyjna</w:t>
      </w:r>
      <w:r w:rsidR="00A813CD" w:rsidRPr="00A813CD">
        <w:rPr>
          <w:lang w:val="pl-PL"/>
        </w:rPr>
        <w:t xml:space="preserve"> skarżącego została oddalona przez Sąd Najwyższy w dniu 5 listopada 2009 r</w:t>
      </w:r>
      <w:r w:rsidR="004B0818" w:rsidRPr="00A813CD">
        <w:rPr>
          <w:rFonts w:eastAsiaTheme="minorHAnsi"/>
          <w:spacing w:val="-6"/>
          <w:lang w:val="pl-PL"/>
        </w:rPr>
        <w:t>.</w:t>
      </w:r>
    </w:p>
    <w:p w:rsidR="009645C3" w:rsidRPr="005C793A" w:rsidRDefault="00467BE5" w:rsidP="009645C3">
      <w:pPr>
        <w:pStyle w:val="ECHRPara"/>
        <w:rPr>
          <w:rFonts w:eastAsiaTheme="minorHAnsi"/>
          <w:spacing w:val="-6"/>
          <w:lang w:val="pl-PL"/>
        </w:rPr>
      </w:pPr>
      <w:r w:rsidRPr="009645C3">
        <w:rPr>
          <w:rFonts w:eastAsiaTheme="minorHAnsi"/>
          <w:spacing w:val="-6"/>
        </w:rPr>
        <w:fldChar w:fldCharType="begin"/>
      </w:r>
      <w:r w:rsidRPr="00C6231B">
        <w:rPr>
          <w:rFonts w:eastAsiaTheme="minorHAnsi"/>
          <w:spacing w:val="-6"/>
          <w:lang w:val="pl-PL"/>
        </w:rPr>
        <w:instrText xml:space="preserve"> SEQ level0 \*arabic </w:instrText>
      </w:r>
      <w:r w:rsidRPr="009645C3">
        <w:rPr>
          <w:rFonts w:eastAsiaTheme="minorHAnsi"/>
          <w:spacing w:val="-6"/>
        </w:rPr>
        <w:fldChar w:fldCharType="separate"/>
      </w:r>
      <w:r w:rsidR="00E71E0A">
        <w:rPr>
          <w:rFonts w:eastAsiaTheme="minorHAnsi"/>
          <w:noProof/>
          <w:spacing w:val="-6"/>
          <w:lang w:val="pl-PL"/>
        </w:rPr>
        <w:t>27</w:t>
      </w:r>
      <w:r w:rsidRPr="009645C3">
        <w:rPr>
          <w:rFonts w:eastAsiaTheme="minorHAnsi"/>
          <w:spacing w:val="-6"/>
        </w:rPr>
        <w:fldChar w:fldCharType="end"/>
      </w:r>
      <w:r w:rsidRPr="00C6231B">
        <w:rPr>
          <w:rFonts w:eastAsiaTheme="minorHAnsi"/>
          <w:spacing w:val="-6"/>
          <w:lang w:val="pl-PL"/>
        </w:rPr>
        <w:t>.  </w:t>
      </w:r>
      <w:r w:rsidR="005C793A" w:rsidRPr="005C793A">
        <w:rPr>
          <w:lang w:val="pl-PL"/>
        </w:rPr>
        <w:t xml:space="preserve">Sąd uznał, że oświadczenie, o którym mowa, w takim zakresie, w jakim dotyczyło relacji między J&amp;S S.A. i </w:t>
      </w:r>
      <w:r w:rsidR="005C793A" w:rsidRPr="005C793A">
        <w:rPr>
          <w:i/>
          <w:lang w:val="pl-PL"/>
        </w:rPr>
        <w:t>Gazety Wyborczej</w:t>
      </w:r>
      <w:r w:rsidR="005C793A" w:rsidRPr="005C793A">
        <w:rPr>
          <w:lang w:val="pl-PL"/>
        </w:rPr>
        <w:t xml:space="preserve">, było stwierdzeniem faktu. </w:t>
      </w:r>
      <w:r w:rsidR="00A422CC" w:rsidRPr="00A422CC">
        <w:rPr>
          <w:lang w:val="pl-PL"/>
        </w:rPr>
        <w:t xml:space="preserve">Pozwany zawarł w swej wypowiedzi informację o </w:t>
      </w:r>
      <w:r w:rsidR="00A422CC" w:rsidRPr="00A422CC">
        <w:rPr>
          <w:lang w:val="pl-PL"/>
        </w:rPr>
        <w:lastRenderedPageBreak/>
        <w:t>pozostawaniu Gazety Wyborczej w systemie podejrzanych powiązań z reklamodawcą o poddanej w wątpliwość reputacji i wspólnym tworzeniu fikcyjnych podstaw uzyskiwania od tego reklamodawcy funduszy, przekazywanych w rzeczywistości w tym celu, aby Gazeta Wyborcza zwalczała partię P</w:t>
      </w:r>
      <w:r w:rsidR="001D6646">
        <w:rPr>
          <w:lang w:val="pl-PL"/>
        </w:rPr>
        <w:t>rawo i Sprawiedliwość</w:t>
      </w:r>
      <w:r w:rsidR="00A422CC" w:rsidRPr="00A422CC">
        <w:rPr>
          <w:lang w:val="pl-PL"/>
        </w:rPr>
        <w:t xml:space="preserve">. </w:t>
      </w:r>
      <w:r w:rsidR="005C793A" w:rsidRPr="005C793A">
        <w:rPr>
          <w:lang w:val="pl-PL"/>
        </w:rPr>
        <w:t xml:space="preserve">Takie stwierdzenie, według sądu, wyszło poza zwykłą </w:t>
      </w:r>
      <w:r w:rsidR="00A422CC">
        <w:rPr>
          <w:lang w:val="pl-PL"/>
        </w:rPr>
        <w:t>ocenę</w:t>
      </w:r>
      <w:r w:rsidR="005C793A" w:rsidRPr="005C793A">
        <w:rPr>
          <w:lang w:val="pl-PL"/>
        </w:rPr>
        <w:t xml:space="preserve"> reklam</w:t>
      </w:r>
      <w:r w:rsidR="00A422CC">
        <w:rPr>
          <w:lang w:val="pl-PL"/>
        </w:rPr>
        <w:t>y</w:t>
      </w:r>
      <w:r w:rsidR="005C793A" w:rsidRPr="005C793A">
        <w:rPr>
          <w:lang w:val="pl-PL"/>
        </w:rPr>
        <w:t xml:space="preserve"> w prasie. Dodanie dalszych informacj</w:t>
      </w:r>
      <w:r w:rsidR="00543B0E">
        <w:rPr>
          <w:lang w:val="pl-PL"/>
        </w:rPr>
        <w:t xml:space="preserve">i przedstawiło reklamę J&amp;S S.A. </w:t>
      </w:r>
      <w:r w:rsidR="005C793A" w:rsidRPr="005C793A">
        <w:rPr>
          <w:lang w:val="pl-PL"/>
        </w:rPr>
        <w:t>w zupełnie innym, negatywnym świetle. Zwrócenie się do skarżącego o udowodnienie takiego twierdzenia nie było przesadne i nie zakłócało swobody debaty politycznej, ale było konieczne dla dokładności i trafności takiej debaty</w:t>
      </w:r>
      <w:r w:rsidR="005E6149" w:rsidRPr="005C793A">
        <w:rPr>
          <w:rFonts w:eastAsiaTheme="minorHAnsi"/>
          <w:spacing w:val="-6"/>
          <w:lang w:val="pl-PL"/>
        </w:rPr>
        <w:t>.</w:t>
      </w:r>
    </w:p>
    <w:p w:rsidR="004B0818" w:rsidRPr="005C793A" w:rsidRDefault="009B70EC" w:rsidP="009645C3">
      <w:pPr>
        <w:pStyle w:val="ECHRPara"/>
        <w:rPr>
          <w:spacing w:val="-6"/>
          <w:lang w:val="pl-PL"/>
        </w:rPr>
      </w:pPr>
      <w:r w:rsidRPr="009645C3">
        <w:rPr>
          <w:rFonts w:eastAsiaTheme="minorHAnsi"/>
          <w:spacing w:val="-6"/>
        </w:rPr>
        <w:fldChar w:fldCharType="begin"/>
      </w:r>
      <w:r w:rsidRPr="00C6231B">
        <w:rPr>
          <w:rFonts w:eastAsiaTheme="minorHAnsi"/>
          <w:spacing w:val="-6"/>
          <w:lang w:val="pl-PL"/>
        </w:rPr>
        <w:instrText xml:space="preserve"> SEQ level0 \*arabic </w:instrText>
      </w:r>
      <w:r w:rsidRPr="009645C3">
        <w:rPr>
          <w:rFonts w:eastAsiaTheme="minorHAnsi"/>
          <w:spacing w:val="-6"/>
        </w:rPr>
        <w:fldChar w:fldCharType="separate"/>
      </w:r>
      <w:r w:rsidR="00E71E0A">
        <w:rPr>
          <w:rFonts w:eastAsiaTheme="minorHAnsi"/>
          <w:noProof/>
          <w:spacing w:val="-6"/>
          <w:lang w:val="pl-PL"/>
        </w:rPr>
        <w:t>28</w:t>
      </w:r>
      <w:r w:rsidRPr="009645C3">
        <w:rPr>
          <w:rFonts w:eastAsiaTheme="minorHAnsi"/>
          <w:spacing w:val="-6"/>
        </w:rPr>
        <w:fldChar w:fldCharType="end"/>
      </w:r>
      <w:r w:rsidRPr="00C6231B">
        <w:rPr>
          <w:rFonts w:eastAsiaTheme="minorHAnsi"/>
          <w:spacing w:val="-6"/>
          <w:lang w:val="pl-PL"/>
        </w:rPr>
        <w:t>.  </w:t>
      </w:r>
      <w:r w:rsidR="005C793A" w:rsidRPr="005C793A">
        <w:rPr>
          <w:lang w:val="pl-PL"/>
        </w:rPr>
        <w:t xml:space="preserve">Ponadto sąd odniósł się do art 10 Konwencji i podkreślił, że </w:t>
      </w:r>
      <w:r w:rsidR="00D11384">
        <w:rPr>
          <w:lang w:val="pl-PL"/>
        </w:rPr>
        <w:t>prawo do swobody wypowiedzi</w:t>
      </w:r>
      <w:r w:rsidR="005C793A" w:rsidRPr="005C793A">
        <w:rPr>
          <w:lang w:val="pl-PL"/>
        </w:rPr>
        <w:t xml:space="preserve"> nie </w:t>
      </w:r>
      <w:r w:rsidR="00D11384">
        <w:rPr>
          <w:lang w:val="pl-PL"/>
        </w:rPr>
        <w:t>jest</w:t>
      </w:r>
      <w:r w:rsidR="005C793A" w:rsidRPr="005C793A">
        <w:rPr>
          <w:lang w:val="pl-PL"/>
        </w:rPr>
        <w:t xml:space="preserve"> bezwzględn</w:t>
      </w:r>
      <w:r w:rsidR="00D11384">
        <w:rPr>
          <w:lang w:val="pl-PL"/>
        </w:rPr>
        <w:t>e</w:t>
      </w:r>
      <w:r w:rsidR="005C793A" w:rsidRPr="005C793A">
        <w:rPr>
          <w:lang w:val="pl-PL"/>
        </w:rPr>
        <w:t>. Zwracając uwagę na sprawę Feldek przeciwko Słowacji (Nr 29032/95, ECHR 2001</w:t>
      </w:r>
      <w:r w:rsidR="00FA1C73">
        <w:rPr>
          <w:lang w:val="pl-PL"/>
        </w:rPr>
        <w:t xml:space="preserve"> VIII), dodatkowo </w:t>
      </w:r>
      <w:r w:rsidR="00D11384">
        <w:rPr>
          <w:lang w:val="pl-PL"/>
        </w:rPr>
        <w:t>podniósł</w:t>
      </w:r>
      <w:r w:rsidR="005C793A" w:rsidRPr="005C793A">
        <w:rPr>
          <w:lang w:val="pl-PL"/>
        </w:rPr>
        <w:t>, że ​​w przyp</w:t>
      </w:r>
      <w:r w:rsidR="00FA1C73">
        <w:rPr>
          <w:lang w:val="pl-PL"/>
        </w:rPr>
        <w:t xml:space="preserve">adku, gdy stwierdzenie stanowi </w:t>
      </w:r>
      <w:r w:rsidR="005C793A" w:rsidRPr="005C793A">
        <w:rPr>
          <w:lang w:val="pl-PL"/>
        </w:rPr>
        <w:t>sąd wartościujący, proporcjonalność ingerencji może zależeć od tego, czy istniała wystarczająca podstawa faktyczna dla kwestionowanego oświadczenia, ponieważ nawet sąd wartościujący bez podstaw faktycznych do jego wsparcia może być przesadny. W niniejszej sprawie pozwany nawet nie starał się dowieść prawdziwości swoich twierdzeń o rzekomych powiązaniach, o które oskarżył powoda</w:t>
      </w:r>
      <w:r w:rsidR="004B0818" w:rsidRPr="005C793A">
        <w:rPr>
          <w:spacing w:val="-6"/>
          <w:lang w:val="pl-PL"/>
        </w:rPr>
        <w:t>.</w:t>
      </w:r>
    </w:p>
    <w:p w:rsidR="009645C3" w:rsidRPr="005C793A" w:rsidRDefault="00F3114E" w:rsidP="009645C3">
      <w:pPr>
        <w:pStyle w:val="ECHRPara"/>
        <w:rPr>
          <w:spacing w:val="-6"/>
          <w:lang w:val="pl-PL"/>
        </w:rPr>
      </w:pPr>
      <w:r w:rsidRPr="009645C3">
        <w:rPr>
          <w:spacing w:val="-6"/>
        </w:rPr>
        <w:fldChar w:fldCharType="begin"/>
      </w:r>
      <w:r w:rsidRPr="00C6231B">
        <w:rPr>
          <w:spacing w:val="-6"/>
          <w:lang w:val="pl-PL"/>
        </w:rPr>
        <w:instrText xml:space="preserve"> SEQ level0 \*arabic </w:instrText>
      </w:r>
      <w:r w:rsidRPr="009645C3">
        <w:rPr>
          <w:spacing w:val="-6"/>
        </w:rPr>
        <w:fldChar w:fldCharType="separate"/>
      </w:r>
      <w:r w:rsidR="00E71E0A">
        <w:rPr>
          <w:noProof/>
          <w:spacing w:val="-6"/>
          <w:lang w:val="pl-PL"/>
        </w:rPr>
        <w:t>29</w:t>
      </w:r>
      <w:r w:rsidRPr="009645C3">
        <w:rPr>
          <w:spacing w:val="-6"/>
        </w:rPr>
        <w:fldChar w:fldCharType="end"/>
      </w:r>
      <w:r w:rsidRPr="00C6231B">
        <w:rPr>
          <w:spacing w:val="-6"/>
          <w:lang w:val="pl-PL"/>
        </w:rPr>
        <w:t>.  </w:t>
      </w:r>
      <w:r w:rsidR="005C793A" w:rsidRPr="005C793A">
        <w:rPr>
          <w:lang w:val="pl-PL"/>
        </w:rPr>
        <w:t>W dniu 29 sierpnia 2008 roku Agora S.A. wszcz</w:t>
      </w:r>
      <w:r w:rsidR="00FA1C73">
        <w:rPr>
          <w:lang w:val="pl-PL"/>
        </w:rPr>
        <w:t>ę</w:t>
      </w:r>
      <w:r w:rsidR="005C793A" w:rsidRPr="005C793A">
        <w:rPr>
          <w:lang w:val="pl-PL"/>
        </w:rPr>
        <w:t>ł</w:t>
      </w:r>
      <w:r w:rsidR="00FA1C73">
        <w:rPr>
          <w:lang w:val="pl-PL"/>
        </w:rPr>
        <w:t>a</w:t>
      </w:r>
      <w:r w:rsidR="005C793A" w:rsidRPr="005C793A">
        <w:rPr>
          <w:lang w:val="pl-PL"/>
        </w:rPr>
        <w:t xml:space="preserve"> postępowanie egzekucyjne w celu wezwania skarżącego do </w:t>
      </w:r>
      <w:r w:rsidR="00B0094A">
        <w:rPr>
          <w:lang w:val="pl-PL"/>
        </w:rPr>
        <w:t>wykonania</w:t>
      </w:r>
      <w:r w:rsidR="005C793A" w:rsidRPr="005C793A">
        <w:rPr>
          <w:lang w:val="pl-PL"/>
        </w:rPr>
        <w:t xml:space="preserve"> obowiązków nałożonych wyrokiem Sądu </w:t>
      </w:r>
      <w:r w:rsidR="00B0094A">
        <w:rPr>
          <w:lang w:val="pl-PL"/>
        </w:rPr>
        <w:t>Okręgowego</w:t>
      </w:r>
      <w:r w:rsidR="005C793A" w:rsidRPr="005C793A">
        <w:rPr>
          <w:lang w:val="pl-PL"/>
        </w:rPr>
        <w:t xml:space="preserve"> w Warszawie z dnia 12 czerwca 2007 r</w:t>
      </w:r>
      <w:r w:rsidR="000C0B89" w:rsidRPr="005C793A">
        <w:rPr>
          <w:spacing w:val="-6"/>
          <w:lang w:val="pl-PL"/>
        </w:rPr>
        <w:t>.</w:t>
      </w:r>
    </w:p>
    <w:p w:rsidR="004B0818" w:rsidRPr="005C793A" w:rsidRDefault="00F3114E" w:rsidP="009645C3">
      <w:pPr>
        <w:pStyle w:val="ECHRPara"/>
        <w:rPr>
          <w:rFonts w:eastAsiaTheme="minorHAnsi"/>
          <w:lang w:val="pl-PL"/>
        </w:rPr>
      </w:pPr>
      <w:r w:rsidRPr="009645C3">
        <w:rPr>
          <w:spacing w:val="-6"/>
        </w:rPr>
        <w:fldChar w:fldCharType="begin"/>
      </w:r>
      <w:r w:rsidRPr="00C6231B">
        <w:rPr>
          <w:spacing w:val="-6"/>
          <w:lang w:val="pl-PL"/>
        </w:rPr>
        <w:instrText xml:space="preserve"> SEQ level0 \*arabic </w:instrText>
      </w:r>
      <w:r w:rsidRPr="009645C3">
        <w:rPr>
          <w:spacing w:val="-6"/>
        </w:rPr>
        <w:fldChar w:fldCharType="separate"/>
      </w:r>
      <w:r w:rsidR="00E71E0A">
        <w:rPr>
          <w:noProof/>
          <w:spacing w:val="-6"/>
          <w:lang w:val="pl-PL"/>
        </w:rPr>
        <w:t>30</w:t>
      </w:r>
      <w:r w:rsidRPr="009645C3">
        <w:rPr>
          <w:spacing w:val="-6"/>
        </w:rPr>
        <w:fldChar w:fldCharType="end"/>
      </w:r>
      <w:r w:rsidRPr="00C6231B">
        <w:rPr>
          <w:spacing w:val="-6"/>
          <w:lang w:val="pl-PL"/>
        </w:rPr>
        <w:t>.  </w:t>
      </w:r>
      <w:r w:rsidR="005C793A" w:rsidRPr="005C793A">
        <w:rPr>
          <w:lang w:val="pl-PL"/>
        </w:rPr>
        <w:t xml:space="preserve">W dniu 12 stycznia 2010 roku Sąd Okręgowy w Warszawie nakazał skarżącemu opublikować przeprosiny, o których mowa, w </w:t>
      </w:r>
      <w:r w:rsidR="005C793A" w:rsidRPr="005C793A">
        <w:rPr>
          <w:i/>
          <w:lang w:val="pl-PL"/>
        </w:rPr>
        <w:t>Gazecie Wyborczej</w:t>
      </w:r>
      <w:r w:rsidR="005C793A" w:rsidRPr="005C793A">
        <w:rPr>
          <w:lang w:val="pl-PL"/>
        </w:rPr>
        <w:t xml:space="preserve"> (w mniejszym rozmiarze niż pierwotnie wskazane). Ponieważ skarżący nie spełnił tego nakazu, w dniu 26 lutego 2010 roku Sąd Rejonowy w Warszawie zezwolił Agora S.A. do opublikowania przeprosin w </w:t>
      </w:r>
      <w:r w:rsidR="005C793A" w:rsidRPr="005C793A">
        <w:rPr>
          <w:i/>
          <w:lang w:val="pl-PL"/>
        </w:rPr>
        <w:t>Gazecie Wyborczej</w:t>
      </w:r>
      <w:r w:rsidR="005C793A" w:rsidRPr="005C793A">
        <w:rPr>
          <w:lang w:val="pl-PL"/>
        </w:rPr>
        <w:t xml:space="preserve"> w imieniu skarżącego i nakazał mu pokrycie kosztów publikacji 34,897.36 zł (około 8700 euro)</w:t>
      </w:r>
      <w:r w:rsidR="004B0818" w:rsidRPr="005C793A">
        <w:rPr>
          <w:rFonts w:eastAsiaTheme="minorHAnsi"/>
          <w:lang w:val="pl-PL"/>
        </w:rPr>
        <w:t>.</w:t>
      </w:r>
    </w:p>
    <w:p w:rsidR="00014566" w:rsidRPr="00C6231B" w:rsidRDefault="00014566" w:rsidP="009645C3">
      <w:pPr>
        <w:pStyle w:val="ECHRHeading1"/>
        <w:rPr>
          <w:lang w:val="pl-PL"/>
        </w:rPr>
      </w:pPr>
      <w:r w:rsidRPr="00C6231B">
        <w:rPr>
          <w:lang w:val="pl-PL"/>
        </w:rPr>
        <w:t>II.  </w:t>
      </w:r>
      <w:r w:rsidR="00D24DCA" w:rsidRPr="00D57FB2">
        <w:rPr>
          <w:lang w:val="pl-PL"/>
        </w:rPr>
        <w:t>WŁAŚCIWE PRAWO KRAJOWE I PRAKTYKA</w:t>
      </w:r>
    </w:p>
    <w:p w:rsidR="004B0818" w:rsidRPr="00D24DCA" w:rsidRDefault="001B7219" w:rsidP="009645C3">
      <w:pPr>
        <w:pStyle w:val="ECHRPara"/>
        <w:rPr>
          <w:rFonts w:ascii="Times New Roman" w:eastAsiaTheme="minorHAnsi" w:hAnsi="Times New Roman" w:cs="Times New Roman"/>
          <w:color w:val="000000"/>
          <w:szCs w:val="24"/>
          <w:lang w:val="pl-PL"/>
        </w:rPr>
      </w:pPr>
      <w:r>
        <w:fldChar w:fldCharType="begin"/>
      </w:r>
      <w:r w:rsidRPr="00C6231B">
        <w:rPr>
          <w:lang w:val="pl-PL"/>
        </w:rPr>
        <w:instrText xml:space="preserve"> SEQ level0 \*arabic </w:instrText>
      </w:r>
      <w:r>
        <w:fldChar w:fldCharType="separate"/>
      </w:r>
      <w:r w:rsidR="00E71E0A">
        <w:rPr>
          <w:noProof/>
          <w:lang w:val="pl-PL"/>
        </w:rPr>
        <w:t>31</w:t>
      </w:r>
      <w:r>
        <w:rPr>
          <w:noProof/>
        </w:rPr>
        <w:fldChar w:fldCharType="end"/>
      </w:r>
      <w:r w:rsidR="00014566" w:rsidRPr="00C6231B">
        <w:rPr>
          <w:lang w:val="pl-PL"/>
        </w:rPr>
        <w:t>.  </w:t>
      </w:r>
      <w:r w:rsidR="00D24DCA" w:rsidRPr="00D24DCA">
        <w:rPr>
          <w:lang w:val="pl-PL"/>
        </w:rPr>
        <w:t xml:space="preserve">Artykuł 23 Kodeksu Cywilnego zawiera </w:t>
      </w:r>
      <w:r w:rsidR="001F57D7">
        <w:rPr>
          <w:lang w:val="pl-PL"/>
        </w:rPr>
        <w:t>otwarty katalog</w:t>
      </w:r>
      <w:r w:rsidR="00D24DCA" w:rsidRPr="00D24DCA">
        <w:rPr>
          <w:lang w:val="pl-PL"/>
        </w:rPr>
        <w:t xml:space="preserve"> praw zwanych</w:t>
      </w:r>
      <w:r w:rsidR="004B0818" w:rsidRPr="00D24DCA">
        <w:rPr>
          <w:rStyle w:val="ECHRParaChar"/>
          <w:lang w:val="pl-PL"/>
        </w:rPr>
        <w:t xml:space="preserve"> “</w:t>
      </w:r>
      <w:r w:rsidR="00D24DCA" w:rsidRPr="00D24DCA">
        <w:rPr>
          <w:rStyle w:val="ECHRParaChar"/>
          <w:lang w:val="pl-PL"/>
        </w:rPr>
        <w:t>dobra</w:t>
      </w:r>
      <w:r w:rsidR="00FA1C73">
        <w:rPr>
          <w:rStyle w:val="ECHRParaChar"/>
          <w:lang w:val="pl-PL"/>
        </w:rPr>
        <w:t>mi</w:t>
      </w:r>
      <w:r w:rsidR="00D24DCA" w:rsidRPr="00D24DCA">
        <w:rPr>
          <w:rStyle w:val="ECHRParaChar"/>
          <w:lang w:val="pl-PL"/>
        </w:rPr>
        <w:t xml:space="preserve"> osobis</w:t>
      </w:r>
      <w:r w:rsidR="00FA1C73">
        <w:rPr>
          <w:rStyle w:val="ECHRParaChar"/>
          <w:lang w:val="pl-PL"/>
        </w:rPr>
        <w:t>tymi</w:t>
      </w:r>
      <w:r w:rsidR="004B0818" w:rsidRPr="00D24DCA">
        <w:rPr>
          <w:rStyle w:val="ECHRParaChar"/>
          <w:lang w:val="pl-PL"/>
        </w:rPr>
        <w:t>”</w:t>
      </w:r>
      <w:r w:rsidR="004B0818" w:rsidRPr="00D24DCA">
        <w:rPr>
          <w:rStyle w:val="ECHRParaChar"/>
          <w:i/>
          <w:lang w:val="pl-PL"/>
        </w:rPr>
        <w:t>.</w:t>
      </w:r>
      <w:r w:rsidR="004B0818" w:rsidRPr="00D24DCA">
        <w:rPr>
          <w:rStyle w:val="ECHRParaChar"/>
          <w:lang w:val="pl-PL"/>
        </w:rPr>
        <w:t xml:space="preserve"> </w:t>
      </w:r>
      <w:r w:rsidR="00D24DCA" w:rsidRPr="00D24DCA">
        <w:rPr>
          <w:lang w:val="pl-PL"/>
        </w:rPr>
        <w:t>Przepis ten stanowi, że</w:t>
      </w:r>
      <w:r w:rsidR="004B0818" w:rsidRPr="00D24DCA">
        <w:rPr>
          <w:rFonts w:ascii="Times New Roman" w:eastAsiaTheme="minorHAnsi" w:hAnsi="Times New Roman" w:cs="Times New Roman"/>
          <w:color w:val="000000"/>
          <w:szCs w:val="24"/>
          <w:lang w:val="pl-PL"/>
        </w:rPr>
        <w:t>:</w:t>
      </w:r>
    </w:p>
    <w:p w:rsidR="004B0818" w:rsidRPr="00D24DCA" w:rsidRDefault="004B0818" w:rsidP="009645C3">
      <w:pPr>
        <w:pStyle w:val="ECHRParaQuote"/>
        <w:rPr>
          <w:rFonts w:eastAsiaTheme="minorHAnsi"/>
          <w:lang w:val="pl-PL"/>
        </w:rPr>
      </w:pPr>
      <w:r w:rsidRPr="00D24DCA">
        <w:rPr>
          <w:rFonts w:eastAsiaTheme="minorHAnsi"/>
          <w:lang w:val="pl-PL"/>
        </w:rPr>
        <w:t>“</w:t>
      </w:r>
      <w:r w:rsidR="00D24DCA" w:rsidRPr="00D24DCA">
        <w:rPr>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Pr="00D24DCA">
        <w:rPr>
          <w:rFonts w:eastAsiaTheme="minorHAnsi"/>
          <w:lang w:val="pl-PL"/>
        </w:rPr>
        <w:t>.”</w:t>
      </w:r>
    </w:p>
    <w:p w:rsidR="004B0818" w:rsidRPr="005A05F4" w:rsidRDefault="001B7219" w:rsidP="009645C3">
      <w:pPr>
        <w:pStyle w:val="ECHRPara"/>
        <w:rPr>
          <w:lang w:val="pl-PL"/>
        </w:rPr>
      </w:pPr>
      <w:r>
        <w:fldChar w:fldCharType="begin"/>
      </w:r>
      <w:r w:rsidRPr="005A05F4">
        <w:rPr>
          <w:lang w:val="pl-PL"/>
        </w:rPr>
        <w:instrText xml:space="preserve"> SEQ level0 \*arabic </w:instrText>
      </w:r>
      <w:r>
        <w:fldChar w:fldCharType="separate"/>
      </w:r>
      <w:r w:rsidR="00E71E0A">
        <w:rPr>
          <w:noProof/>
          <w:lang w:val="pl-PL"/>
        </w:rPr>
        <w:t>32</w:t>
      </w:r>
      <w:r>
        <w:rPr>
          <w:noProof/>
        </w:rPr>
        <w:fldChar w:fldCharType="end"/>
      </w:r>
      <w:r w:rsidR="004521D7">
        <w:rPr>
          <w:lang w:val="pl-PL"/>
        </w:rPr>
        <w:t>. </w:t>
      </w:r>
      <w:r w:rsidR="005A05F4" w:rsidRPr="005A05F4">
        <w:rPr>
          <w:lang w:val="pl-PL"/>
        </w:rPr>
        <w:t xml:space="preserve">Artykuł 24 Kodeksu Cywilnego przewiduje sposoby </w:t>
      </w:r>
      <w:r w:rsidR="00FB0935">
        <w:rPr>
          <w:lang w:val="pl-PL"/>
        </w:rPr>
        <w:t xml:space="preserve">naprawienia </w:t>
      </w:r>
      <w:r w:rsidR="005A05F4" w:rsidRPr="005A05F4">
        <w:rPr>
          <w:lang w:val="pl-PL"/>
        </w:rPr>
        <w:t xml:space="preserve">naruszenia dóbr osobistych. Zgodnie z tym przepisem osoba w obliczu groźby naruszenia może żądać, aby potencjalny sprawca powstrzymał się od </w:t>
      </w:r>
      <w:r w:rsidR="005A05F4" w:rsidRPr="005A05F4">
        <w:rPr>
          <w:lang w:val="pl-PL"/>
        </w:rPr>
        <w:lastRenderedPageBreak/>
        <w:t>działania bezprawnego, chyba, że nie jest to sprzeczne z prawem. W przypadku</w:t>
      </w:r>
      <w:r w:rsidR="00FA1C73">
        <w:rPr>
          <w:lang w:val="pl-PL"/>
        </w:rPr>
        <w:t>,</w:t>
      </w:r>
      <w:r w:rsidR="005A05F4" w:rsidRPr="005A05F4">
        <w:rPr>
          <w:lang w:val="pl-PL"/>
        </w:rPr>
        <w:t xml:space="preserve"> gdy naruszenie miało miejsce, poszkodowany może, między innymi, żądać, aby sprawca złożył oświadczenie odpowiedniej treści i</w:t>
      </w:r>
      <w:r w:rsidR="00071A22">
        <w:rPr>
          <w:lang w:val="pl-PL"/>
        </w:rPr>
        <w:t xml:space="preserve"> </w:t>
      </w:r>
      <w:r w:rsidR="005A05F4" w:rsidRPr="005A05F4">
        <w:rPr>
          <w:lang w:val="pl-PL"/>
        </w:rPr>
        <w:t xml:space="preserve">w odpowiedniej formie lub żądać </w:t>
      </w:r>
      <w:r w:rsidR="00FB0935" w:rsidRPr="005A05F4">
        <w:rPr>
          <w:lang w:val="pl-PL"/>
        </w:rPr>
        <w:t xml:space="preserve">od niego </w:t>
      </w:r>
      <w:r w:rsidR="005A05F4" w:rsidRPr="005A05F4">
        <w:rPr>
          <w:lang w:val="pl-PL"/>
        </w:rPr>
        <w:t>zadośćuczynienia. Jeżeli naruszenie dóbr osobistych powoduje stratę finansową, osoba zainteresowana może dochodzić odszkodowania</w:t>
      </w:r>
      <w:r w:rsidR="004B0818" w:rsidRPr="005A05F4">
        <w:rPr>
          <w:lang w:val="pl-PL"/>
        </w:rPr>
        <w:t>.</w:t>
      </w:r>
    </w:p>
    <w:p w:rsidR="004B0818" w:rsidRPr="00D741A0" w:rsidRDefault="00233A2D" w:rsidP="009645C3">
      <w:pPr>
        <w:pStyle w:val="ECHRPara"/>
        <w:rPr>
          <w:rFonts w:ascii="Times New Roman" w:eastAsiaTheme="minorHAnsi" w:hAnsi="Times New Roman" w:cs="Times New Roman"/>
          <w:color w:val="000000"/>
          <w:szCs w:val="24"/>
          <w:lang w:val="pl-PL"/>
        </w:rPr>
      </w:pPr>
      <w:r w:rsidRPr="009645C3">
        <w:rPr>
          <w:rFonts w:ascii="Times New Roman" w:eastAsiaTheme="minorHAnsi" w:hAnsi="Times New Roman" w:cs="Times New Roman"/>
          <w:color w:val="000000"/>
          <w:szCs w:val="24"/>
        </w:rPr>
        <w:fldChar w:fldCharType="begin"/>
      </w:r>
      <w:r w:rsidRPr="00C6231B">
        <w:rPr>
          <w:rFonts w:ascii="Times New Roman" w:eastAsiaTheme="minorHAnsi" w:hAnsi="Times New Roman" w:cs="Times New Roman"/>
          <w:color w:val="000000"/>
          <w:szCs w:val="24"/>
          <w:lang w:val="pl-PL"/>
        </w:rPr>
        <w:instrText xml:space="preserve"> SEQ level0 \*arabic </w:instrText>
      </w:r>
      <w:r w:rsidRPr="009645C3">
        <w:rPr>
          <w:rFonts w:ascii="Times New Roman" w:eastAsiaTheme="minorHAnsi" w:hAnsi="Times New Roman" w:cs="Times New Roman"/>
          <w:color w:val="000000"/>
          <w:szCs w:val="24"/>
        </w:rPr>
        <w:fldChar w:fldCharType="separate"/>
      </w:r>
      <w:r w:rsidR="00E71E0A">
        <w:rPr>
          <w:rFonts w:ascii="Times New Roman" w:eastAsiaTheme="minorHAnsi" w:hAnsi="Times New Roman" w:cs="Times New Roman"/>
          <w:noProof/>
          <w:color w:val="000000"/>
          <w:szCs w:val="24"/>
          <w:lang w:val="pl-PL"/>
        </w:rPr>
        <w:t>33</w:t>
      </w:r>
      <w:r w:rsidRPr="009645C3">
        <w:rPr>
          <w:rFonts w:ascii="Times New Roman" w:eastAsiaTheme="minorHAnsi" w:hAnsi="Times New Roman" w:cs="Times New Roman"/>
          <w:color w:val="000000"/>
          <w:szCs w:val="24"/>
        </w:rPr>
        <w:fldChar w:fldCharType="end"/>
      </w:r>
      <w:r w:rsidRPr="00C6231B">
        <w:rPr>
          <w:rFonts w:ascii="Times New Roman" w:eastAsiaTheme="minorHAnsi" w:hAnsi="Times New Roman" w:cs="Times New Roman"/>
          <w:color w:val="000000"/>
          <w:szCs w:val="24"/>
          <w:lang w:val="pl-PL"/>
        </w:rPr>
        <w:t>.  </w:t>
      </w:r>
      <w:r w:rsidR="005A05F4" w:rsidRPr="005A05F4">
        <w:rPr>
          <w:lang w:val="pl-PL"/>
        </w:rPr>
        <w:t xml:space="preserve">Zgodnie z artykułem 448 Kodeksu cywilnego, osoba, której dobra osobiste zostały naruszone może domagać się </w:t>
      </w:r>
      <w:r w:rsidR="004A532B">
        <w:rPr>
          <w:lang w:val="pl-PL"/>
        </w:rPr>
        <w:t>zadośćuczynienia</w:t>
      </w:r>
      <w:r w:rsidR="005A05F4" w:rsidRPr="005A05F4">
        <w:rPr>
          <w:lang w:val="pl-PL"/>
        </w:rPr>
        <w:t xml:space="preserve">. </w:t>
      </w:r>
      <w:r w:rsidR="005A05F4" w:rsidRPr="00D741A0">
        <w:rPr>
          <w:lang w:val="pl-PL"/>
        </w:rPr>
        <w:t>Przepis ten, w odpowiedniej części, brzmi</w:t>
      </w:r>
      <w:r w:rsidR="004B0818" w:rsidRPr="00D741A0">
        <w:rPr>
          <w:rFonts w:ascii="Times New Roman" w:eastAsiaTheme="minorHAnsi" w:hAnsi="Times New Roman" w:cs="Times New Roman"/>
          <w:color w:val="000000"/>
          <w:szCs w:val="24"/>
          <w:lang w:val="pl-PL"/>
        </w:rPr>
        <w:t>:</w:t>
      </w:r>
    </w:p>
    <w:p w:rsidR="00D81AA3" w:rsidRDefault="00D81AA3" w:rsidP="004A532B">
      <w:pPr>
        <w:rPr>
          <w:rFonts w:eastAsiaTheme="minorHAnsi"/>
          <w:lang w:val="pl-PL"/>
        </w:rPr>
      </w:pPr>
    </w:p>
    <w:p w:rsidR="004A532B" w:rsidRPr="00D81AA3" w:rsidRDefault="004B0818" w:rsidP="00D81AA3">
      <w:pPr>
        <w:ind w:left="426" w:firstLine="141"/>
        <w:rPr>
          <w:rFonts w:ascii="Times New Roman" w:eastAsia="Times New Roman" w:hAnsi="Times New Roman" w:cs="Times New Roman"/>
          <w:sz w:val="20"/>
          <w:szCs w:val="20"/>
          <w:lang w:val="pl-PL" w:eastAsia="pl-PL"/>
        </w:rPr>
      </w:pPr>
      <w:r w:rsidRPr="00D81AA3">
        <w:rPr>
          <w:rFonts w:eastAsiaTheme="minorHAnsi"/>
          <w:sz w:val="20"/>
          <w:szCs w:val="20"/>
          <w:lang w:val="pl-PL"/>
        </w:rPr>
        <w:t>“</w:t>
      </w:r>
      <w:r w:rsidR="004A532B" w:rsidRPr="00D81AA3">
        <w:rPr>
          <w:sz w:val="20"/>
          <w:szCs w:val="20"/>
          <w:lang w:val="pl-PL"/>
        </w:rPr>
        <w:t xml:space="preserve"> </w:t>
      </w:r>
      <w:r w:rsidR="004A532B" w:rsidRPr="00D81AA3">
        <w:rPr>
          <w:rFonts w:ascii="Times New Roman" w:eastAsia="Times New Roman" w:hAnsi="Times New Roman" w:cs="Times New Roman"/>
          <w:sz w:val="20"/>
          <w:szCs w:val="20"/>
          <w:lang w:val="pl-PL" w:eastAsia="pl-PL"/>
        </w:rPr>
        <w:t xml:space="preserve">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w:t>
      </w:r>
      <w:r w:rsidR="00D81AA3" w:rsidRPr="00D81AA3">
        <w:rPr>
          <w:rFonts w:ascii="Times New Roman" w:eastAsia="Times New Roman" w:hAnsi="Times New Roman" w:cs="Times New Roman"/>
          <w:sz w:val="20"/>
          <w:szCs w:val="20"/>
          <w:lang w:val="pl-PL" w:eastAsia="pl-PL"/>
        </w:rPr>
        <w:t>do usunięcia skutków naruszenia..</w:t>
      </w:r>
      <w:r w:rsidR="004A532B" w:rsidRPr="00D81AA3">
        <w:rPr>
          <w:rFonts w:ascii="Times New Roman" w:eastAsia="Times New Roman" w:hAnsi="Times New Roman" w:cs="Times New Roman"/>
          <w:sz w:val="20"/>
          <w:szCs w:val="20"/>
          <w:lang w:val="pl-PL" w:eastAsia="pl-PL"/>
        </w:rPr>
        <w:t>.</w:t>
      </w:r>
      <w:r w:rsidR="00D81AA3" w:rsidRPr="00D81AA3">
        <w:rPr>
          <w:rFonts w:ascii="Times New Roman" w:eastAsia="Times New Roman" w:hAnsi="Times New Roman" w:cs="Times New Roman"/>
          <w:sz w:val="20"/>
          <w:szCs w:val="20"/>
          <w:lang w:val="pl-PL" w:eastAsia="pl-PL"/>
        </w:rPr>
        <w:t>’’</w:t>
      </w:r>
    </w:p>
    <w:p w:rsidR="00014566" w:rsidRPr="00C6231B" w:rsidRDefault="00D741A0" w:rsidP="009645C3">
      <w:pPr>
        <w:pStyle w:val="ECHRTitle1"/>
        <w:rPr>
          <w:lang w:val="pl-PL"/>
        </w:rPr>
      </w:pPr>
      <w:r w:rsidRPr="00D57FB2">
        <w:rPr>
          <w:lang w:val="pl-PL"/>
        </w:rPr>
        <w:t>PRAWO</w:t>
      </w:r>
    </w:p>
    <w:p w:rsidR="00014566" w:rsidRPr="00C6231B" w:rsidRDefault="00A92391" w:rsidP="009645C3">
      <w:pPr>
        <w:pStyle w:val="ECHRHeading1"/>
        <w:ind w:left="0" w:firstLine="0"/>
        <w:rPr>
          <w:lang w:val="pl-PL"/>
        </w:rPr>
      </w:pPr>
      <w:r w:rsidRPr="00C6231B">
        <w:rPr>
          <w:lang w:val="pl-PL"/>
        </w:rPr>
        <w:t>I. </w:t>
      </w:r>
      <w:r w:rsidR="00854914" w:rsidRPr="00C6231B">
        <w:rPr>
          <w:lang w:val="pl-PL"/>
        </w:rPr>
        <w:t> </w:t>
      </w:r>
      <w:r w:rsidR="00D741A0" w:rsidRPr="00D57FB2">
        <w:rPr>
          <w:lang w:val="pl-PL"/>
        </w:rPr>
        <w:t xml:space="preserve">ZARZUT NARUSZENIA ARTYKUŁU </w:t>
      </w:r>
      <w:r w:rsidR="00D741A0">
        <w:rPr>
          <w:lang w:val="pl-PL"/>
        </w:rPr>
        <w:t>10</w:t>
      </w:r>
      <w:r w:rsidR="00D741A0" w:rsidRPr="00D57FB2">
        <w:rPr>
          <w:lang w:val="pl-PL"/>
        </w:rPr>
        <w:t xml:space="preserve"> KONWENCJI</w:t>
      </w:r>
    </w:p>
    <w:p w:rsidR="00014566" w:rsidRPr="00C6231B" w:rsidRDefault="001B7219" w:rsidP="009645C3">
      <w:pPr>
        <w:pStyle w:val="ECHRPara"/>
        <w:rPr>
          <w:lang w:val="pl-PL"/>
        </w:rPr>
      </w:pPr>
      <w:r>
        <w:fldChar w:fldCharType="begin"/>
      </w:r>
      <w:r w:rsidRPr="00C6231B">
        <w:rPr>
          <w:lang w:val="pl-PL"/>
        </w:rPr>
        <w:instrText xml:space="preserve"> SEQ level0 \*arabic </w:instrText>
      </w:r>
      <w:r>
        <w:fldChar w:fldCharType="separate"/>
      </w:r>
      <w:r w:rsidR="00E71E0A">
        <w:rPr>
          <w:noProof/>
          <w:lang w:val="pl-PL"/>
        </w:rPr>
        <w:t>34</w:t>
      </w:r>
      <w:r>
        <w:rPr>
          <w:noProof/>
        </w:rPr>
        <w:fldChar w:fldCharType="end"/>
      </w:r>
      <w:r w:rsidR="00014566" w:rsidRPr="00C6231B">
        <w:rPr>
          <w:lang w:val="pl-PL"/>
        </w:rPr>
        <w:t>.  </w:t>
      </w:r>
      <w:r w:rsidR="00D741A0" w:rsidRPr="00D741A0">
        <w:rPr>
          <w:lang w:val="pl-PL"/>
        </w:rPr>
        <w:t xml:space="preserve">Skarżący zarzucił na podstawie artykułu 10 Konwencji naruszenie jego prawa do wolności wypowiedzi. </w:t>
      </w:r>
      <w:r w:rsidR="00D741A0" w:rsidRPr="00C6231B">
        <w:rPr>
          <w:lang w:val="pl-PL"/>
        </w:rPr>
        <w:t>Artykuł ten brzmi następująco</w:t>
      </w:r>
      <w:r w:rsidR="00295968" w:rsidRPr="00C6231B">
        <w:rPr>
          <w:lang w:val="pl-PL"/>
        </w:rPr>
        <w:t>:</w:t>
      </w:r>
    </w:p>
    <w:p w:rsidR="00233A2D" w:rsidRPr="008D6FE8" w:rsidRDefault="00233A2D" w:rsidP="009645C3">
      <w:pPr>
        <w:pStyle w:val="ECHRParaQuote"/>
        <w:rPr>
          <w:lang w:val="pl-PL"/>
        </w:rPr>
      </w:pPr>
      <w:r w:rsidRPr="00C6231B">
        <w:rPr>
          <w:lang w:val="pl-PL"/>
        </w:rPr>
        <w:t>“1.  </w:t>
      </w:r>
      <w:r w:rsidR="008D6FE8" w:rsidRPr="008D6FE8">
        <w:rPr>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r w:rsidRPr="008D6FE8">
        <w:rPr>
          <w:lang w:val="pl-PL"/>
        </w:rPr>
        <w:t>.</w:t>
      </w:r>
    </w:p>
    <w:p w:rsidR="00014566" w:rsidRPr="008D6FE8" w:rsidRDefault="00233A2D" w:rsidP="009645C3">
      <w:pPr>
        <w:pStyle w:val="ECHRParaQuote"/>
        <w:rPr>
          <w:lang w:val="pl-PL"/>
        </w:rPr>
      </w:pPr>
      <w:r w:rsidRPr="00C6231B">
        <w:rPr>
          <w:lang w:val="pl-PL"/>
        </w:rPr>
        <w:t>2.  </w:t>
      </w:r>
      <w:r w:rsidR="008D6FE8" w:rsidRPr="008D6FE8">
        <w:rPr>
          <w:lang w:val="pl-PL"/>
        </w:rP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8D6FE8">
        <w:rPr>
          <w:lang w:val="pl-PL"/>
        </w:rPr>
        <w:t>.”</w:t>
      </w:r>
    </w:p>
    <w:p w:rsidR="000F6502" w:rsidRPr="00C6231B" w:rsidRDefault="001B7219" w:rsidP="009645C3">
      <w:pPr>
        <w:pStyle w:val="ECHRPara"/>
        <w:rPr>
          <w:lang w:val="pl-PL"/>
        </w:rPr>
      </w:pPr>
      <w:r>
        <w:fldChar w:fldCharType="begin"/>
      </w:r>
      <w:r w:rsidRPr="00C6231B">
        <w:rPr>
          <w:lang w:val="pl-PL"/>
        </w:rPr>
        <w:instrText xml:space="preserve"> SEQ level0 \*arabic </w:instrText>
      </w:r>
      <w:r>
        <w:fldChar w:fldCharType="separate"/>
      </w:r>
      <w:r w:rsidR="00E71E0A">
        <w:rPr>
          <w:noProof/>
          <w:lang w:val="pl-PL"/>
        </w:rPr>
        <w:t>35</w:t>
      </w:r>
      <w:r>
        <w:rPr>
          <w:noProof/>
        </w:rPr>
        <w:fldChar w:fldCharType="end"/>
      </w:r>
      <w:r w:rsidR="00295968" w:rsidRPr="00C6231B">
        <w:rPr>
          <w:lang w:val="pl-PL"/>
        </w:rPr>
        <w:t>.  </w:t>
      </w:r>
      <w:r w:rsidR="008D6FE8" w:rsidRPr="00C6231B">
        <w:rPr>
          <w:lang w:val="pl-PL"/>
        </w:rPr>
        <w:t>Rząd zakwestionował ten argument</w:t>
      </w:r>
      <w:r w:rsidR="00014566" w:rsidRPr="00C6231B">
        <w:rPr>
          <w:lang w:val="pl-PL"/>
        </w:rPr>
        <w:t>.</w:t>
      </w:r>
    </w:p>
    <w:p w:rsidR="00014566" w:rsidRPr="00E71E0A" w:rsidRDefault="00014566" w:rsidP="009645C3">
      <w:pPr>
        <w:pStyle w:val="ECHRHeading2"/>
        <w:keepNext w:val="0"/>
        <w:keepLines w:val="0"/>
        <w:widowControl w:val="0"/>
        <w:rPr>
          <w:lang w:val="pl-PL"/>
        </w:rPr>
      </w:pPr>
      <w:r w:rsidRPr="00C6231B">
        <w:rPr>
          <w:lang w:val="pl-PL"/>
        </w:rPr>
        <w:t>A.  </w:t>
      </w:r>
      <w:r w:rsidR="008D6FE8" w:rsidRPr="00D57FB2">
        <w:rPr>
          <w:lang w:val="pl-PL"/>
        </w:rPr>
        <w:t>Dopuszczalność skargi</w:t>
      </w:r>
    </w:p>
    <w:p w:rsidR="00014566" w:rsidRPr="00C6231B" w:rsidRDefault="001B7219" w:rsidP="009645C3">
      <w:pPr>
        <w:pStyle w:val="ECHRPara"/>
        <w:rPr>
          <w:lang w:val="pl-PL"/>
        </w:rPr>
      </w:pPr>
      <w:r>
        <w:fldChar w:fldCharType="begin"/>
      </w:r>
      <w:r w:rsidRPr="00C6231B">
        <w:rPr>
          <w:lang w:val="pl-PL"/>
        </w:rPr>
        <w:instrText xml:space="preserve"> SEQ level0 \*arabic </w:instrText>
      </w:r>
      <w:r>
        <w:fldChar w:fldCharType="separate"/>
      </w:r>
      <w:r w:rsidR="00E71E0A">
        <w:rPr>
          <w:noProof/>
          <w:lang w:val="pl-PL"/>
        </w:rPr>
        <w:t>36</w:t>
      </w:r>
      <w:r>
        <w:rPr>
          <w:noProof/>
        </w:rPr>
        <w:fldChar w:fldCharType="end"/>
      </w:r>
      <w:r w:rsidR="00233A2D" w:rsidRPr="00C6231B">
        <w:rPr>
          <w:lang w:val="pl-PL"/>
        </w:rPr>
        <w:t>.  </w:t>
      </w:r>
      <w:r w:rsidR="008D6FE8" w:rsidRPr="008D6FE8">
        <w:rPr>
          <w:lang w:val="pl-PL"/>
        </w:rPr>
        <w:t xml:space="preserve">Trybunał zauważa, że ​​skarga nie jest oczywiście bezzasadna w rozumieniu Artykułu 35 § 3 (a) Konwencji. Ponadto zauważa, że ​​nie jest ona niedopuszczalna z jakichkolwiek innych powodów. </w:t>
      </w:r>
      <w:r w:rsidR="008D6FE8" w:rsidRPr="00C6231B">
        <w:rPr>
          <w:lang w:val="pl-PL"/>
        </w:rPr>
        <w:t>Należy zatem uznać ją za dopuszczalną</w:t>
      </w:r>
      <w:r w:rsidR="00014566" w:rsidRPr="00C6231B">
        <w:rPr>
          <w:lang w:val="pl-PL"/>
        </w:rPr>
        <w:t>.</w:t>
      </w:r>
    </w:p>
    <w:p w:rsidR="00014566" w:rsidRPr="00C6231B" w:rsidRDefault="00014566" w:rsidP="009645C3">
      <w:pPr>
        <w:pStyle w:val="ECHRHeading2"/>
        <w:rPr>
          <w:lang w:val="pl-PL"/>
        </w:rPr>
      </w:pPr>
      <w:r w:rsidRPr="00C6231B">
        <w:rPr>
          <w:lang w:val="pl-PL"/>
        </w:rPr>
        <w:lastRenderedPageBreak/>
        <w:t>B.  </w:t>
      </w:r>
      <w:r w:rsidR="008D6FE8" w:rsidRPr="00D57FB2">
        <w:rPr>
          <w:lang w:val="pl-PL"/>
        </w:rPr>
        <w:t>Meritum skargi</w:t>
      </w:r>
    </w:p>
    <w:p w:rsidR="00295968" w:rsidRPr="00C6231B" w:rsidRDefault="00295968" w:rsidP="009645C3">
      <w:pPr>
        <w:pStyle w:val="ECHRHeading3"/>
        <w:rPr>
          <w:lang w:val="pl-PL"/>
        </w:rPr>
      </w:pPr>
      <w:r w:rsidRPr="00C6231B">
        <w:rPr>
          <w:lang w:val="pl-PL"/>
        </w:rPr>
        <w:t>1.</w:t>
      </w:r>
      <w:r w:rsidR="00C861AC" w:rsidRPr="00C6231B">
        <w:rPr>
          <w:lang w:val="pl-PL"/>
        </w:rPr>
        <w:t>  </w:t>
      </w:r>
      <w:r w:rsidR="008D6FE8" w:rsidRPr="00D57FB2">
        <w:rPr>
          <w:lang w:val="pl-PL"/>
        </w:rPr>
        <w:t>Stanowisko skarżącego</w:t>
      </w:r>
    </w:p>
    <w:p w:rsidR="009645C3" w:rsidRPr="00A73774" w:rsidRDefault="001B7219" w:rsidP="009645C3">
      <w:pPr>
        <w:pStyle w:val="ECHRPara"/>
        <w:rPr>
          <w:lang w:val="pl-PL"/>
        </w:rPr>
      </w:pPr>
      <w:r>
        <w:fldChar w:fldCharType="begin"/>
      </w:r>
      <w:r w:rsidRPr="00C6231B">
        <w:rPr>
          <w:lang w:val="pl-PL"/>
        </w:rPr>
        <w:instrText xml:space="preserve"> SEQ level0 \*arabic </w:instrText>
      </w:r>
      <w:r>
        <w:fldChar w:fldCharType="separate"/>
      </w:r>
      <w:r w:rsidR="00E71E0A">
        <w:rPr>
          <w:noProof/>
          <w:lang w:val="pl-PL"/>
        </w:rPr>
        <w:t>37</w:t>
      </w:r>
      <w:r>
        <w:rPr>
          <w:noProof/>
        </w:rPr>
        <w:fldChar w:fldCharType="end"/>
      </w:r>
      <w:r w:rsidR="00F759D3" w:rsidRPr="00C6231B">
        <w:rPr>
          <w:lang w:val="pl-PL"/>
        </w:rPr>
        <w:t>.</w:t>
      </w:r>
      <w:r w:rsidR="00C861AC" w:rsidRPr="00C6231B">
        <w:rPr>
          <w:lang w:val="pl-PL"/>
        </w:rPr>
        <w:t>  </w:t>
      </w:r>
      <w:r w:rsidR="00A73774" w:rsidRPr="00A73774">
        <w:rPr>
          <w:lang w:val="pl-PL"/>
        </w:rPr>
        <w:t>Skarżący twierdził, że jego wypowiedź w programie telewizyjnym została opart</w:t>
      </w:r>
      <w:r w:rsidR="00071A22">
        <w:rPr>
          <w:lang w:val="pl-PL"/>
        </w:rPr>
        <w:t>a</w:t>
      </w:r>
      <w:r w:rsidR="00A73774" w:rsidRPr="00A73774">
        <w:rPr>
          <w:lang w:val="pl-PL"/>
        </w:rPr>
        <w:t xml:space="preserve"> na obiektywnych faktach. Wypowiedzi, które rzekomo naruszyły prawa Agory S.A., wydawcy </w:t>
      </w:r>
      <w:r w:rsidR="00A73774" w:rsidRPr="00A73774">
        <w:rPr>
          <w:i/>
          <w:lang w:val="pl-PL"/>
        </w:rPr>
        <w:t>Gazety Wyborczej</w:t>
      </w:r>
      <w:r w:rsidR="00A73774" w:rsidRPr="00A73774">
        <w:rPr>
          <w:lang w:val="pl-PL"/>
        </w:rPr>
        <w:t>, były wnioskiem, na podstawie tych faktów. Ponadto, cał</w:t>
      </w:r>
      <w:r w:rsidR="001A7950">
        <w:rPr>
          <w:lang w:val="pl-PL"/>
        </w:rPr>
        <w:t>e</w:t>
      </w:r>
      <w:r w:rsidR="00A73774" w:rsidRPr="00A73774">
        <w:rPr>
          <w:lang w:val="pl-PL"/>
        </w:rPr>
        <w:t xml:space="preserve"> oświadczenie zostało złożone w ramach debaty publicznej i zostało dokonan</w:t>
      </w:r>
      <w:r w:rsidR="00071A22">
        <w:rPr>
          <w:lang w:val="pl-PL"/>
        </w:rPr>
        <w:t>e</w:t>
      </w:r>
      <w:r w:rsidR="00A73774" w:rsidRPr="00A73774">
        <w:rPr>
          <w:lang w:val="pl-PL"/>
        </w:rPr>
        <w:t xml:space="preserve"> w związku z tematem dyskusji, która dotyczyła tego, czy nowy rząd koalicyjny zmieni Polskę. Skarżący przedstawił fakty i logiczny wniosek, na podstawie tych faktów. Choć wnioski mogły być przesadzone, to na pewno były one wyw</w:t>
      </w:r>
      <w:r w:rsidR="00080882">
        <w:rPr>
          <w:lang w:val="pl-PL"/>
        </w:rPr>
        <w:t>iedzione</w:t>
      </w:r>
      <w:r w:rsidR="00A73774" w:rsidRPr="00A73774">
        <w:rPr>
          <w:lang w:val="pl-PL"/>
        </w:rPr>
        <w:t xml:space="preserve"> z faktów, które zostały przedstawione</w:t>
      </w:r>
      <w:r w:rsidR="00C17EF8" w:rsidRPr="00A73774">
        <w:rPr>
          <w:lang w:val="pl-PL"/>
        </w:rPr>
        <w:t>.</w:t>
      </w:r>
    </w:p>
    <w:p w:rsidR="00F759D3" w:rsidRPr="00A73774" w:rsidRDefault="001B7219" w:rsidP="009645C3">
      <w:pPr>
        <w:pStyle w:val="ECHRPara"/>
        <w:rPr>
          <w:lang w:val="pl-PL"/>
        </w:rPr>
      </w:pPr>
      <w:r>
        <w:fldChar w:fldCharType="begin"/>
      </w:r>
      <w:r w:rsidRPr="00C6231B">
        <w:rPr>
          <w:lang w:val="pl-PL"/>
        </w:rPr>
        <w:instrText xml:space="preserve"> SEQ level0 \*arabic </w:instrText>
      </w:r>
      <w:r>
        <w:fldChar w:fldCharType="separate"/>
      </w:r>
      <w:r w:rsidR="00E71E0A">
        <w:rPr>
          <w:noProof/>
          <w:lang w:val="pl-PL"/>
        </w:rPr>
        <w:t>38</w:t>
      </w:r>
      <w:r>
        <w:rPr>
          <w:noProof/>
        </w:rPr>
        <w:fldChar w:fldCharType="end"/>
      </w:r>
      <w:r w:rsidR="00F759D3" w:rsidRPr="00C6231B">
        <w:rPr>
          <w:lang w:val="pl-PL"/>
        </w:rPr>
        <w:t>.  </w:t>
      </w:r>
      <w:r w:rsidR="00A73774" w:rsidRPr="00A73774">
        <w:rPr>
          <w:lang w:val="pl-PL"/>
        </w:rPr>
        <w:t xml:space="preserve">Skarżący zauważył, że </w:t>
      </w:r>
      <w:r w:rsidR="00080882">
        <w:rPr>
          <w:lang w:val="pl-PL"/>
        </w:rPr>
        <w:t>s</w:t>
      </w:r>
      <w:r w:rsidR="00A73774" w:rsidRPr="00A73774">
        <w:rPr>
          <w:lang w:val="pl-PL"/>
        </w:rPr>
        <w:t xml:space="preserve">ąd </w:t>
      </w:r>
      <w:r w:rsidR="00080882">
        <w:rPr>
          <w:lang w:val="pl-PL"/>
        </w:rPr>
        <w:t>a</w:t>
      </w:r>
      <w:r w:rsidR="00A73774" w:rsidRPr="00A73774">
        <w:rPr>
          <w:lang w:val="pl-PL"/>
        </w:rPr>
        <w:t xml:space="preserve">pelacyjny potwierdził, że </w:t>
      </w:r>
      <w:r w:rsidR="00A73774" w:rsidRPr="00A73774">
        <w:rPr>
          <w:i/>
          <w:lang w:val="pl-PL"/>
        </w:rPr>
        <w:t>Gazeta Wyborcza</w:t>
      </w:r>
      <w:r w:rsidR="00A73774" w:rsidRPr="00A73774">
        <w:rPr>
          <w:lang w:val="pl-PL"/>
        </w:rPr>
        <w:t xml:space="preserve"> była krytyczna wobec Prawa i Sprawiedliwości. Nadto wskazał on, że J&amp;S S.A. opublikowało ogłoszenie na stronie 35 kopii rzeczonej </w:t>
      </w:r>
      <w:r w:rsidR="00A73774" w:rsidRPr="00A73774">
        <w:rPr>
          <w:i/>
          <w:lang w:val="pl-PL"/>
        </w:rPr>
        <w:t>Gazety Wyborczej</w:t>
      </w:r>
      <w:r w:rsidR="00A73774" w:rsidRPr="00A73774">
        <w:rPr>
          <w:lang w:val="pl-PL"/>
        </w:rPr>
        <w:t>. Pow</w:t>
      </w:r>
      <w:r w:rsidR="00C6231B">
        <w:rPr>
          <w:lang w:val="pl-PL"/>
        </w:rPr>
        <w:t xml:space="preserve">szechnie wiadomo, że J&amp;S S.A. </w:t>
      </w:r>
      <w:r w:rsidR="00A73774" w:rsidRPr="00A73774">
        <w:rPr>
          <w:lang w:val="pl-PL"/>
        </w:rPr>
        <w:t>importowała większość ropy naftowej w Polsce i że gazety uzyskują środki na swoją działalność z publikowania reklam. Ponadto, jest również powszechnie wiadomo, że PiS był krytyczny wobec działań J&amp;S S.A. Z tych faktów skarżący przedstawili logiczny wniosek, mówiąc</w:t>
      </w:r>
      <w:r w:rsidR="008F565D" w:rsidRPr="00A73774">
        <w:rPr>
          <w:lang w:val="pl-PL"/>
        </w:rPr>
        <w:t>:</w:t>
      </w:r>
    </w:p>
    <w:p w:rsidR="008F565D" w:rsidRPr="00A73774" w:rsidRDefault="00F759D3" w:rsidP="009645C3">
      <w:pPr>
        <w:pStyle w:val="ECHRParaQuote"/>
        <w:rPr>
          <w:lang w:val="pl-PL"/>
        </w:rPr>
      </w:pPr>
      <w:r w:rsidRPr="00A73774">
        <w:rPr>
          <w:lang w:val="pl-PL"/>
        </w:rPr>
        <w:t>“</w:t>
      </w:r>
      <w:hyperlink r:id="rId13" w:history="1">
        <w:r w:rsidR="00071A22" w:rsidRPr="00CF0E0B">
          <w:rPr>
            <w:lang w:val="pl-PL"/>
          </w:rPr>
          <w:t>Tu nie chodzi o żadną reklamę. To jest finansowanie przez układ, który jest zagrożony przez PiS, zmasowanej propagandy przeciwko PiS</w:t>
        </w:r>
      </w:hyperlink>
      <w:r w:rsidR="00071A22">
        <w:rPr>
          <w:lang w:val="pl-PL"/>
        </w:rPr>
        <w:t>, żeby takie geszefty</w:t>
      </w:r>
      <w:r w:rsidR="006D4F27" w:rsidRPr="00A73774">
        <w:rPr>
          <w:lang w:val="pl-PL"/>
        </w:rPr>
        <w:t xml:space="preserve"> </w:t>
      </w:r>
      <w:r w:rsidR="008F565D" w:rsidRPr="00A73774">
        <w:rPr>
          <w:lang w:val="pl-PL"/>
        </w:rPr>
        <w:t>...</w:t>
      </w:r>
      <w:r w:rsidRPr="00A73774">
        <w:rPr>
          <w:lang w:val="pl-PL"/>
        </w:rPr>
        <w:t>”</w:t>
      </w:r>
    </w:p>
    <w:p w:rsidR="009645C3" w:rsidRPr="00A73774" w:rsidRDefault="001B7219" w:rsidP="009645C3">
      <w:pPr>
        <w:pStyle w:val="ECHRPara"/>
        <w:rPr>
          <w:lang w:val="pl-PL"/>
        </w:rPr>
      </w:pPr>
      <w:r>
        <w:fldChar w:fldCharType="begin"/>
      </w:r>
      <w:r w:rsidRPr="00C6231B">
        <w:rPr>
          <w:lang w:val="pl-PL"/>
        </w:rPr>
        <w:instrText xml:space="preserve"> SEQ level0 \*arabic </w:instrText>
      </w:r>
      <w:r>
        <w:fldChar w:fldCharType="separate"/>
      </w:r>
      <w:r w:rsidR="00E71E0A">
        <w:rPr>
          <w:noProof/>
          <w:lang w:val="pl-PL"/>
        </w:rPr>
        <w:t>39</w:t>
      </w:r>
      <w:r>
        <w:rPr>
          <w:noProof/>
        </w:rPr>
        <w:fldChar w:fldCharType="end"/>
      </w:r>
      <w:r w:rsidR="00F759D3" w:rsidRPr="00C6231B">
        <w:rPr>
          <w:lang w:val="pl-PL"/>
        </w:rPr>
        <w:t>.  </w:t>
      </w:r>
      <w:r w:rsidR="00A73774" w:rsidRPr="00A73774">
        <w:rPr>
          <w:lang w:val="pl-PL"/>
        </w:rPr>
        <w:t>Biorąc pod uwagę wszystkie te elementy pod uwagę, Skarżący uznał, że jego wypowiedź nie przekroczyła granic ochrony przyznanej mu na mocy artykułu 10 Konwencji</w:t>
      </w:r>
      <w:r w:rsidR="00F759D3" w:rsidRPr="00A73774">
        <w:rPr>
          <w:lang w:val="pl-PL"/>
        </w:rPr>
        <w:t>.</w:t>
      </w:r>
    </w:p>
    <w:p w:rsidR="00295968" w:rsidRPr="00E71E0A" w:rsidRDefault="00295968" w:rsidP="009645C3">
      <w:pPr>
        <w:pStyle w:val="ECHRHeading3"/>
        <w:rPr>
          <w:lang w:val="pl-PL"/>
        </w:rPr>
      </w:pPr>
      <w:r w:rsidRPr="00E71E0A">
        <w:rPr>
          <w:lang w:val="pl-PL"/>
        </w:rPr>
        <w:t>2.</w:t>
      </w:r>
      <w:r w:rsidR="00C861AC" w:rsidRPr="00E71E0A">
        <w:rPr>
          <w:lang w:val="pl-PL"/>
        </w:rPr>
        <w:t>  </w:t>
      </w:r>
      <w:r w:rsidR="00A73774" w:rsidRPr="00E71E0A">
        <w:rPr>
          <w:lang w:val="pl-PL"/>
        </w:rPr>
        <w:t>Stanowisko Rządu</w:t>
      </w:r>
    </w:p>
    <w:p w:rsidR="009645C3" w:rsidRPr="00E71E0A" w:rsidRDefault="00565664" w:rsidP="009645C3">
      <w:pPr>
        <w:pStyle w:val="ECHRPara"/>
        <w:rPr>
          <w:lang w:val="pl-PL"/>
        </w:rPr>
      </w:pPr>
      <w:r>
        <w:fldChar w:fldCharType="begin"/>
      </w:r>
      <w:r w:rsidRPr="00884C2D">
        <w:rPr>
          <w:lang w:val="pl-PL"/>
        </w:rPr>
        <w:instrText xml:space="preserve"> SEQ level0 \*arabic </w:instrText>
      </w:r>
      <w:r>
        <w:fldChar w:fldCharType="separate"/>
      </w:r>
      <w:r w:rsidR="00E71E0A">
        <w:rPr>
          <w:noProof/>
          <w:lang w:val="pl-PL"/>
        </w:rPr>
        <w:t>40</w:t>
      </w:r>
      <w:r>
        <w:rPr>
          <w:noProof/>
        </w:rPr>
        <w:fldChar w:fldCharType="end"/>
      </w:r>
      <w:r w:rsidR="001114D2" w:rsidRPr="00884C2D">
        <w:rPr>
          <w:lang w:val="pl-PL"/>
        </w:rPr>
        <w:t>.  </w:t>
      </w:r>
      <w:r w:rsidR="00884C2D" w:rsidRPr="00884C2D">
        <w:rPr>
          <w:lang w:val="pl-PL"/>
        </w:rPr>
        <w:t xml:space="preserve">Rząd twierdził, że część </w:t>
      </w:r>
      <w:r w:rsidR="00CB3761">
        <w:rPr>
          <w:lang w:val="pl-PL"/>
        </w:rPr>
        <w:t>wypowiedzi</w:t>
      </w:r>
      <w:r w:rsidR="00884C2D" w:rsidRPr="00884C2D">
        <w:rPr>
          <w:lang w:val="pl-PL"/>
        </w:rPr>
        <w:t xml:space="preserve"> </w:t>
      </w:r>
      <w:r w:rsidR="00071A22" w:rsidRPr="00884C2D">
        <w:rPr>
          <w:lang w:val="pl-PL"/>
        </w:rPr>
        <w:t>skarżącego</w:t>
      </w:r>
      <w:r w:rsidR="00CB3761">
        <w:rPr>
          <w:lang w:val="pl-PL"/>
        </w:rPr>
        <w:t>, dokonanej</w:t>
      </w:r>
      <w:r w:rsidR="00884C2D" w:rsidRPr="00884C2D">
        <w:rPr>
          <w:lang w:val="pl-PL"/>
        </w:rPr>
        <w:t xml:space="preserve"> w programie telewizyjnym </w:t>
      </w:r>
      <w:r w:rsidR="00884C2D" w:rsidRPr="00071A22">
        <w:rPr>
          <w:lang w:val="pl-PL"/>
        </w:rPr>
        <w:t>odpowiadała</w:t>
      </w:r>
      <w:r w:rsidR="00884C2D" w:rsidRPr="00884C2D">
        <w:rPr>
          <w:lang w:val="pl-PL"/>
        </w:rPr>
        <w:t xml:space="preserve"> raczej stwierdzeniu faktu, niż sądowi wartościującemu oraz że z tego względu skarżący powinien, zatem wykazać autentyczność faktów, które przytoczył. </w:t>
      </w:r>
      <w:r w:rsidR="00884C2D" w:rsidRPr="00E71E0A">
        <w:rPr>
          <w:lang w:val="pl-PL"/>
        </w:rPr>
        <w:t>Tymczasem skarżący nie udowodnił prawdziwości swoich twierdzeń</w:t>
      </w:r>
      <w:r w:rsidR="00C26021" w:rsidRPr="00E71E0A">
        <w:rPr>
          <w:lang w:val="pl-PL"/>
        </w:rPr>
        <w:t>.</w:t>
      </w:r>
    </w:p>
    <w:p w:rsidR="009645C3" w:rsidRPr="007837C2"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41</w:t>
      </w:r>
      <w:r>
        <w:rPr>
          <w:noProof/>
        </w:rPr>
        <w:fldChar w:fldCharType="end"/>
      </w:r>
      <w:r w:rsidR="001114D2" w:rsidRPr="00E71E0A">
        <w:rPr>
          <w:lang w:val="pl-PL"/>
        </w:rPr>
        <w:t>.  </w:t>
      </w:r>
      <w:r w:rsidR="008D0B07" w:rsidRPr="00884C2D">
        <w:rPr>
          <w:lang w:val="pl-PL"/>
        </w:rPr>
        <w:t>Rząd</w:t>
      </w:r>
      <w:r w:rsidR="008D0B07" w:rsidRPr="007837C2">
        <w:rPr>
          <w:lang w:val="pl-PL"/>
        </w:rPr>
        <w:t xml:space="preserve"> </w:t>
      </w:r>
      <w:r w:rsidR="008D0B07">
        <w:rPr>
          <w:lang w:val="pl-PL"/>
        </w:rPr>
        <w:t xml:space="preserve">odnotował </w:t>
      </w:r>
      <w:r w:rsidR="007837C2" w:rsidRPr="007837C2">
        <w:rPr>
          <w:lang w:val="pl-PL"/>
        </w:rPr>
        <w:t xml:space="preserve">ponadto, że w </w:t>
      </w:r>
      <w:r w:rsidR="008D0B07">
        <w:rPr>
          <w:lang w:val="pl-PL"/>
        </w:rPr>
        <w:t>przedmiotowym</w:t>
      </w:r>
      <w:r w:rsidR="007837C2" w:rsidRPr="007837C2">
        <w:rPr>
          <w:lang w:val="pl-PL"/>
        </w:rPr>
        <w:t xml:space="preserve"> czasie skarżący był osobą publiczną, zatem sprawa mogła zostać uznana za sprawę powszechnego zainteresowania publicznego. Tymczasem skarżący nie wykazał, jaki rodzaj umowy handlowej miał na myśli, lub kto rzekomo był jej stroną. W związku z tym nie można było powiedzieć, że sprawa była sprawą ogólnego zainteresowania publicznego, jako, że niekorzystne nastawienie jednej gazety wobec danej partii politycznej nie było </w:t>
      </w:r>
      <w:r w:rsidR="007837C2" w:rsidRPr="008D0B07">
        <w:rPr>
          <w:i/>
          <w:lang w:val="pl-PL"/>
        </w:rPr>
        <w:t>per se</w:t>
      </w:r>
      <w:r w:rsidR="007837C2" w:rsidRPr="007837C2">
        <w:rPr>
          <w:lang w:val="pl-PL"/>
        </w:rPr>
        <w:t xml:space="preserve"> sprzeczne z interesem publicznym</w:t>
      </w:r>
      <w:r w:rsidR="001114D2" w:rsidRPr="007837C2">
        <w:rPr>
          <w:lang w:val="pl-PL"/>
        </w:rPr>
        <w:t>.</w:t>
      </w:r>
    </w:p>
    <w:p w:rsidR="009645C3" w:rsidRPr="007837C2"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42</w:t>
      </w:r>
      <w:r>
        <w:rPr>
          <w:noProof/>
        </w:rPr>
        <w:fldChar w:fldCharType="end"/>
      </w:r>
      <w:r w:rsidR="00D35CB3" w:rsidRPr="00E71E0A">
        <w:rPr>
          <w:lang w:val="pl-PL"/>
        </w:rPr>
        <w:t>.  </w:t>
      </w:r>
      <w:r w:rsidR="007837C2" w:rsidRPr="007837C2">
        <w:rPr>
          <w:lang w:val="pl-PL"/>
        </w:rPr>
        <w:t xml:space="preserve">Nadto zauważył, że wolność słowa nie może uzasadniać składania oświadczeń publicznych, które są nieprawdziwe i które naruszają dobra osobiste innych osób. Ponadto język używany przez skarżącego był </w:t>
      </w:r>
      <w:r w:rsidR="007837C2" w:rsidRPr="007837C2">
        <w:rPr>
          <w:lang w:val="pl-PL"/>
        </w:rPr>
        <w:lastRenderedPageBreak/>
        <w:t xml:space="preserve">niepotrzebnie sensacyjny, negatywny i że zawierał słowa, które wykroczyły poza </w:t>
      </w:r>
      <w:r w:rsidR="00826906">
        <w:rPr>
          <w:lang w:val="pl-PL"/>
        </w:rPr>
        <w:t>korzystanie z prawa do</w:t>
      </w:r>
      <w:r w:rsidR="007837C2" w:rsidRPr="007837C2">
        <w:rPr>
          <w:lang w:val="pl-PL"/>
        </w:rPr>
        <w:t xml:space="preserve"> swobody wypowiedzi</w:t>
      </w:r>
      <w:r w:rsidR="00162C61" w:rsidRPr="007837C2">
        <w:rPr>
          <w:lang w:val="pl-PL"/>
        </w:rPr>
        <w:t>.</w:t>
      </w:r>
    </w:p>
    <w:p w:rsidR="009645C3" w:rsidRPr="00A72E36"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43</w:t>
      </w:r>
      <w:r>
        <w:rPr>
          <w:noProof/>
        </w:rPr>
        <w:fldChar w:fldCharType="end"/>
      </w:r>
      <w:r w:rsidR="00D35CB3" w:rsidRPr="00E71E0A">
        <w:rPr>
          <w:lang w:val="pl-PL"/>
        </w:rPr>
        <w:t>.  </w:t>
      </w:r>
      <w:r w:rsidR="00A72E36" w:rsidRPr="00A72E36">
        <w:rPr>
          <w:lang w:val="pl-PL"/>
        </w:rPr>
        <w:t xml:space="preserve">W konkluzji stwierdził, że sądy krajowe przedstawiły szczegółowe uzasadnienia swoich decyzji. Ponadto ingerencja nie była nieproporcjonalna, gdyż skarżący zobowiązany został </w:t>
      </w:r>
      <w:r w:rsidR="00BD1447" w:rsidRPr="00A72E36">
        <w:rPr>
          <w:lang w:val="pl-PL"/>
        </w:rPr>
        <w:t xml:space="preserve">jedynie </w:t>
      </w:r>
      <w:r w:rsidR="00A72E36" w:rsidRPr="00A72E36">
        <w:rPr>
          <w:lang w:val="pl-PL"/>
        </w:rPr>
        <w:t xml:space="preserve">do opublikowania przeprosin w </w:t>
      </w:r>
      <w:r w:rsidR="00A72E36" w:rsidRPr="00A72E36">
        <w:rPr>
          <w:i/>
          <w:lang w:val="pl-PL"/>
        </w:rPr>
        <w:t>Gazecie Wyborczej</w:t>
      </w:r>
      <w:r w:rsidR="00A72E36" w:rsidRPr="00A72E36">
        <w:rPr>
          <w:lang w:val="pl-PL"/>
        </w:rPr>
        <w:t xml:space="preserve"> i zapłacenia 10.000 złotych na cele charytatywne</w:t>
      </w:r>
      <w:r w:rsidR="00A51EAD" w:rsidRPr="00A72E36">
        <w:rPr>
          <w:lang w:val="pl-PL"/>
        </w:rPr>
        <w:t>.</w:t>
      </w:r>
    </w:p>
    <w:p w:rsidR="009645C3" w:rsidRPr="00A72E36"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44</w:t>
      </w:r>
      <w:r>
        <w:rPr>
          <w:noProof/>
        </w:rPr>
        <w:fldChar w:fldCharType="end"/>
      </w:r>
      <w:r w:rsidR="00D35CB3" w:rsidRPr="00E71E0A">
        <w:rPr>
          <w:lang w:val="pl-PL"/>
        </w:rPr>
        <w:t>.  </w:t>
      </w:r>
      <w:r w:rsidR="00A72E36" w:rsidRPr="00A72E36">
        <w:rPr>
          <w:lang w:val="pl-PL"/>
        </w:rPr>
        <w:t xml:space="preserve">W konsekwencji, Rząd zwrócił się do Trybunału o stwierdzenie </w:t>
      </w:r>
      <w:r w:rsidR="00C77A39">
        <w:rPr>
          <w:lang w:val="pl-PL"/>
        </w:rPr>
        <w:t xml:space="preserve">braku </w:t>
      </w:r>
      <w:r w:rsidR="00A72E36" w:rsidRPr="00A72E36">
        <w:rPr>
          <w:lang w:val="pl-PL"/>
        </w:rPr>
        <w:t>naruszenia Artykułu 10 Konwencji w niniejszej sprawie</w:t>
      </w:r>
      <w:r w:rsidR="00A51EAD" w:rsidRPr="00A72E36">
        <w:rPr>
          <w:lang w:val="pl-PL"/>
        </w:rPr>
        <w:t>.</w:t>
      </w:r>
    </w:p>
    <w:p w:rsidR="002E3AD3" w:rsidRPr="00E71E0A" w:rsidRDefault="00A51EAD" w:rsidP="009645C3">
      <w:pPr>
        <w:pStyle w:val="ECHRHeading3"/>
        <w:rPr>
          <w:lang w:val="pl-PL"/>
        </w:rPr>
      </w:pPr>
      <w:r w:rsidRPr="00E71E0A">
        <w:rPr>
          <w:lang w:val="pl-PL"/>
        </w:rPr>
        <w:t>3.</w:t>
      </w:r>
      <w:r w:rsidR="00C861AC" w:rsidRPr="00E71E0A">
        <w:rPr>
          <w:lang w:val="pl-PL"/>
        </w:rPr>
        <w:t>  </w:t>
      </w:r>
      <w:r w:rsidR="00A72E36" w:rsidRPr="00E71E0A">
        <w:rPr>
          <w:lang w:val="pl-PL"/>
        </w:rPr>
        <w:t xml:space="preserve">Ocena Trybunału </w:t>
      </w:r>
    </w:p>
    <w:p w:rsidR="00A51EAD" w:rsidRPr="00E71E0A" w:rsidRDefault="00A51EAD" w:rsidP="009645C3">
      <w:pPr>
        <w:pStyle w:val="ECHRHeading4"/>
        <w:rPr>
          <w:lang w:val="pl-PL"/>
        </w:rPr>
      </w:pPr>
      <w:r w:rsidRPr="00E71E0A">
        <w:rPr>
          <w:lang w:val="pl-PL"/>
        </w:rPr>
        <w:t>(a)  </w:t>
      </w:r>
      <w:r w:rsidR="00A72E36" w:rsidRPr="00E71E0A">
        <w:rPr>
          <w:lang w:val="pl-PL"/>
        </w:rPr>
        <w:t>Zasady ogólne</w:t>
      </w:r>
    </w:p>
    <w:p w:rsidR="00A130FA" w:rsidRPr="00014581" w:rsidRDefault="00565664" w:rsidP="009645C3">
      <w:pPr>
        <w:pStyle w:val="ECHRPara"/>
        <w:rPr>
          <w:spacing w:val="-6"/>
          <w:lang w:val="pl-PL"/>
        </w:rPr>
      </w:pPr>
      <w:r>
        <w:fldChar w:fldCharType="begin"/>
      </w:r>
      <w:r w:rsidRPr="00E71E0A">
        <w:rPr>
          <w:lang w:val="pl-PL"/>
        </w:rPr>
        <w:instrText xml:space="preserve"> SEQ level0 \*arabic </w:instrText>
      </w:r>
      <w:r>
        <w:fldChar w:fldCharType="separate"/>
      </w:r>
      <w:r w:rsidR="00E71E0A" w:rsidRPr="00E71E0A">
        <w:rPr>
          <w:noProof/>
          <w:lang w:val="pl-PL"/>
        </w:rPr>
        <w:t>45</w:t>
      </w:r>
      <w:r>
        <w:rPr>
          <w:noProof/>
        </w:rPr>
        <w:fldChar w:fldCharType="end"/>
      </w:r>
      <w:r w:rsidR="00155F0B" w:rsidRPr="00E71E0A">
        <w:rPr>
          <w:lang w:val="pl-PL"/>
        </w:rPr>
        <w:t>.  </w:t>
      </w:r>
      <w:r w:rsidR="00014581" w:rsidRPr="00014581">
        <w:rPr>
          <w:lang w:val="pl-PL"/>
        </w:rPr>
        <w:t xml:space="preserve">Ogólne zasady oceny, czy ingerencja w korzystanie z prawa do wolności wypowiedzi jest "konieczna w demokratycznym społeczeństwie" w rozumieniu artykułu 10 § 2 Konwencji są również często rozstrzygane w orzecznictwie Trybunału. Zostały one niedawno zebrane i orzecznictwo to zostało przywołane w sprawie </w:t>
      </w:r>
      <w:r w:rsidR="00014581" w:rsidRPr="00014581">
        <w:rPr>
          <w:i/>
          <w:lang w:val="pl-PL"/>
        </w:rPr>
        <w:t>Perinçek przeciwko Szwajcarii</w:t>
      </w:r>
      <w:r w:rsidR="00014581" w:rsidRPr="00014581">
        <w:rPr>
          <w:lang w:val="pl-PL"/>
        </w:rPr>
        <w:t xml:space="preserve"> ([GC], n</w:t>
      </w:r>
      <w:r w:rsidR="00CB3761">
        <w:rPr>
          <w:lang w:val="pl-PL"/>
        </w:rPr>
        <w:t>r</w:t>
      </w:r>
      <w:r w:rsidR="00014581" w:rsidRPr="00014581">
        <w:rPr>
          <w:lang w:val="pl-PL"/>
        </w:rPr>
        <w:t xml:space="preserve"> 27510/08, § 196, ECHR 2015 (fragmenty))</w:t>
      </w:r>
      <w:r w:rsidR="00A130FA" w:rsidRPr="00014581">
        <w:rPr>
          <w:spacing w:val="-6"/>
          <w:lang w:val="pl-PL"/>
        </w:rPr>
        <w:t>.</w:t>
      </w:r>
    </w:p>
    <w:p w:rsidR="00EF5CD6" w:rsidRPr="00014581"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46</w:t>
      </w:r>
      <w:r>
        <w:rPr>
          <w:noProof/>
        </w:rPr>
        <w:fldChar w:fldCharType="end"/>
      </w:r>
      <w:r w:rsidR="00EF5CD6" w:rsidRPr="00E71E0A">
        <w:rPr>
          <w:lang w:val="pl-PL"/>
        </w:rPr>
        <w:t>.  </w:t>
      </w:r>
      <w:r w:rsidR="00A130FA" w:rsidRPr="00E71E0A" w:rsidDel="00A130FA">
        <w:rPr>
          <w:lang w:val="pl-PL"/>
        </w:rPr>
        <w:t xml:space="preserve"> </w:t>
      </w:r>
      <w:r w:rsidR="00014581" w:rsidRPr="00014581">
        <w:rPr>
          <w:lang w:val="pl-PL"/>
        </w:rPr>
        <w:t xml:space="preserve">Trybunał przypomina ponadto, że w swojej praktyce dokonywał rozróżnienia pomiędzy stwierdzeniem faktów i sądami wartościującymi. Podczas gdy istnienie faktów można wykazać, to prawdziwość sądów wartościujących nie podlega dowodzeniu (patrz </w:t>
      </w:r>
      <w:r w:rsidR="00014581" w:rsidRPr="00014581">
        <w:rPr>
          <w:i/>
          <w:lang w:val="pl-PL"/>
        </w:rPr>
        <w:t>De Haes i Gijsels przeciwko Belgii</w:t>
      </w:r>
      <w:r w:rsidR="00014581" w:rsidRPr="00014581">
        <w:rPr>
          <w:lang w:val="pl-PL"/>
        </w:rPr>
        <w:t xml:space="preserve">, 24 lutego 1997, § 47, </w:t>
      </w:r>
      <w:r w:rsidR="00014581" w:rsidRPr="00014581">
        <w:rPr>
          <w:i/>
          <w:lang w:val="pl-PL"/>
        </w:rPr>
        <w:t>Zbiór wyroków i decyzji</w:t>
      </w:r>
      <w:r w:rsidR="00014581" w:rsidRPr="00014581">
        <w:rPr>
          <w:lang w:val="pl-PL"/>
        </w:rPr>
        <w:t xml:space="preserve"> 1997-I oraz  cytow</w:t>
      </w:r>
      <w:r w:rsidR="00CB3761">
        <w:rPr>
          <w:lang w:val="pl-PL"/>
        </w:rPr>
        <w:t>any</w:t>
      </w:r>
      <w:r w:rsidR="00014581" w:rsidRPr="00014581">
        <w:rPr>
          <w:lang w:val="pl-PL"/>
        </w:rPr>
        <w:t xml:space="preserve"> wyżej </w:t>
      </w:r>
      <w:r w:rsidR="00014581" w:rsidRPr="00014581">
        <w:rPr>
          <w:i/>
          <w:lang w:val="pl-PL"/>
        </w:rPr>
        <w:t>Feldek</w:t>
      </w:r>
      <w:r w:rsidR="00014581" w:rsidRPr="00014581">
        <w:rPr>
          <w:lang w:val="pl-PL"/>
        </w:rPr>
        <w:t>, § 76)</w:t>
      </w:r>
      <w:r w:rsidR="00EF5CD6" w:rsidRPr="00014581">
        <w:rPr>
          <w:lang w:val="pl-PL"/>
        </w:rPr>
        <w:t>.</w:t>
      </w:r>
    </w:p>
    <w:p w:rsidR="00155F0B" w:rsidRPr="00014581" w:rsidRDefault="00565664" w:rsidP="009645C3">
      <w:pPr>
        <w:pStyle w:val="ECHRPara"/>
        <w:rPr>
          <w:spacing w:val="-4"/>
          <w:lang w:val="pl-PL"/>
        </w:rPr>
      </w:pPr>
      <w:r>
        <w:fldChar w:fldCharType="begin"/>
      </w:r>
      <w:r w:rsidRPr="00E71E0A">
        <w:rPr>
          <w:lang w:val="pl-PL"/>
        </w:rPr>
        <w:instrText xml:space="preserve"> SEQ level0 \*arabic </w:instrText>
      </w:r>
      <w:r>
        <w:fldChar w:fldCharType="separate"/>
      </w:r>
      <w:r w:rsidR="00E71E0A" w:rsidRPr="00E71E0A">
        <w:rPr>
          <w:noProof/>
          <w:lang w:val="pl-PL"/>
        </w:rPr>
        <w:t>47</w:t>
      </w:r>
      <w:r>
        <w:rPr>
          <w:noProof/>
        </w:rPr>
        <w:fldChar w:fldCharType="end"/>
      </w:r>
      <w:r w:rsidR="00155F0B" w:rsidRPr="00E71E0A">
        <w:rPr>
          <w:lang w:val="pl-PL"/>
        </w:rPr>
        <w:t>.  </w:t>
      </w:r>
      <w:r w:rsidR="00014581" w:rsidRPr="00014581">
        <w:rPr>
          <w:lang w:val="pl-PL"/>
        </w:rPr>
        <w:t xml:space="preserve">Trybunał zauważa ponadto, że artykuł 10 § 2 Konwencji w niewielkim zakresie dotyczy ograniczeń wypowiedzi politycznych lub debaty w kwestiach będących przedmiotem zainteresowania publicznego (patrz, między innymi, </w:t>
      </w:r>
      <w:r w:rsidR="00014581" w:rsidRPr="00014581">
        <w:rPr>
          <w:i/>
          <w:lang w:val="pl-PL"/>
        </w:rPr>
        <w:t>Wingrove przeciwko Wielkiej Brytanii</w:t>
      </w:r>
      <w:r w:rsidR="00014581" w:rsidRPr="00014581">
        <w:rPr>
          <w:lang w:val="pl-PL"/>
        </w:rPr>
        <w:t xml:space="preserve">, 25 listopada 1996 , § 58, </w:t>
      </w:r>
      <w:r w:rsidR="00014581" w:rsidRPr="00014581">
        <w:rPr>
          <w:i/>
          <w:lang w:val="pl-PL"/>
        </w:rPr>
        <w:t>Raporty</w:t>
      </w:r>
      <w:r w:rsidR="00014581" w:rsidRPr="00014581">
        <w:rPr>
          <w:lang w:val="pl-PL"/>
        </w:rPr>
        <w:t xml:space="preserve"> 1996-V, oraz </w:t>
      </w:r>
      <w:r w:rsidR="00014581" w:rsidRPr="00014581">
        <w:rPr>
          <w:i/>
          <w:lang w:val="pl-PL"/>
        </w:rPr>
        <w:t>Ceylan przeciwko Turcji</w:t>
      </w:r>
      <w:r w:rsidR="00014581" w:rsidRPr="00014581">
        <w:rPr>
          <w:lang w:val="pl-PL"/>
        </w:rPr>
        <w:t xml:space="preserve"> [GC], nr 23556/94, § 34, ECHR 1999-IV)</w:t>
      </w:r>
      <w:r w:rsidR="00155F0B" w:rsidRPr="00014581">
        <w:rPr>
          <w:spacing w:val="-4"/>
          <w:lang w:val="pl-PL"/>
        </w:rPr>
        <w:t>.</w:t>
      </w:r>
    </w:p>
    <w:p w:rsidR="00A51EAD" w:rsidRPr="00192311" w:rsidRDefault="00A51EAD" w:rsidP="009645C3">
      <w:pPr>
        <w:pStyle w:val="ECHRHeading4"/>
        <w:rPr>
          <w:lang w:val="pl-PL"/>
        </w:rPr>
      </w:pPr>
      <w:r w:rsidRPr="00192311">
        <w:rPr>
          <w:lang w:val="pl-PL"/>
        </w:rPr>
        <w:t>(b)  </w:t>
      </w:r>
      <w:r w:rsidR="00192311" w:rsidRPr="00192311">
        <w:rPr>
          <w:lang w:val="pl-PL"/>
        </w:rPr>
        <w:t>Zastosowanie powyższych zasad w niniejszej sprawie</w:t>
      </w:r>
    </w:p>
    <w:p w:rsidR="00E42789" w:rsidRPr="00192311"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48</w:t>
      </w:r>
      <w:r>
        <w:rPr>
          <w:noProof/>
        </w:rPr>
        <w:fldChar w:fldCharType="end"/>
      </w:r>
      <w:r w:rsidR="00C855B9" w:rsidRPr="00E71E0A">
        <w:rPr>
          <w:lang w:val="pl-PL"/>
        </w:rPr>
        <w:t>. </w:t>
      </w:r>
      <w:r w:rsidR="00CD21B6" w:rsidRPr="00E71E0A">
        <w:rPr>
          <w:lang w:val="pl-PL"/>
        </w:rPr>
        <w:t> </w:t>
      </w:r>
      <w:r w:rsidR="00192311" w:rsidRPr="00192311">
        <w:rPr>
          <w:lang w:val="pl-PL"/>
        </w:rPr>
        <w:t xml:space="preserve">Nie było wątpliwości, że decyzje sądów w niniejszej sprawie </w:t>
      </w:r>
      <w:r w:rsidR="001D5536">
        <w:rPr>
          <w:lang w:val="pl-PL"/>
        </w:rPr>
        <w:br/>
      </w:r>
      <w:r w:rsidR="00192311" w:rsidRPr="00192311">
        <w:rPr>
          <w:lang w:val="pl-PL"/>
        </w:rPr>
        <w:t xml:space="preserve">i sankcje nałożone na skarżącego stanowiły "ingerencję" w jego prawo do wolności wypowiedzi, zagwarantowane przez artykuł 10 § 1 Konwencji. Taka ingerencja była niewątpliwie przewidziana przez prawo, a mianowicie na podstawie artykułów 23 i 24 kodeksu cywilnego. Trybunał uznaje ponadto, że ingerencja realizowała uzasadniony cel, jakim jest ochrona dobrego imienia i praw innych osób - a mianowicie, dobrego imienia, reputacji i wiarygodności Agory SA, wydawcy </w:t>
      </w:r>
      <w:r w:rsidR="00192311" w:rsidRPr="00192311">
        <w:rPr>
          <w:i/>
          <w:lang w:val="pl-PL"/>
        </w:rPr>
        <w:t>Gazety Wyborczej</w:t>
      </w:r>
      <w:r w:rsidR="00192311" w:rsidRPr="00192311">
        <w:rPr>
          <w:lang w:val="pl-PL"/>
        </w:rPr>
        <w:t xml:space="preserve"> - w rozumieniu artykułu 10 § 2 Konwencji. W związku z tym jedynym pozostałym problemem jest to, czy ingerencja w prawo skarżącego do </w:t>
      </w:r>
      <w:r w:rsidR="00192311" w:rsidRPr="00192311">
        <w:rPr>
          <w:lang w:val="pl-PL"/>
        </w:rPr>
        <w:lastRenderedPageBreak/>
        <w:t>wolności wyrażania opinii była "konieczna w demokratycznym społeczeństwie"</w:t>
      </w:r>
      <w:r w:rsidR="00CD21B6" w:rsidRPr="00192311">
        <w:rPr>
          <w:lang w:val="pl-PL"/>
        </w:rPr>
        <w:t>.</w:t>
      </w:r>
    </w:p>
    <w:p w:rsidR="009645C3" w:rsidRPr="00736CA6"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49</w:t>
      </w:r>
      <w:r>
        <w:rPr>
          <w:noProof/>
        </w:rPr>
        <w:fldChar w:fldCharType="end"/>
      </w:r>
      <w:r w:rsidR="002E3AD3" w:rsidRPr="00E71E0A">
        <w:rPr>
          <w:lang w:val="pl-PL"/>
        </w:rPr>
        <w:t>.  </w:t>
      </w:r>
      <w:r w:rsidR="00736CA6" w:rsidRPr="00736CA6">
        <w:rPr>
          <w:lang w:val="pl-PL"/>
        </w:rPr>
        <w:t xml:space="preserve">Skarżący wziął udział w programie telewizyjnym, gdzie pokazał egzemplarz </w:t>
      </w:r>
      <w:r w:rsidR="00736CA6" w:rsidRPr="00736CA6">
        <w:rPr>
          <w:i/>
          <w:lang w:val="pl-PL"/>
        </w:rPr>
        <w:t>Gazety Wyborczej</w:t>
      </w:r>
      <w:r w:rsidR="00736CA6" w:rsidRPr="00736CA6">
        <w:rPr>
          <w:lang w:val="pl-PL"/>
        </w:rPr>
        <w:t xml:space="preserve"> i odnosząc się do konkretnych artykułów, zasugerował, że gazeta, wraz z firmą importującą ropę naftową, J&amp;S S.A., pozostawały w pewnego rodzaju porozumieniu biznesowym i że firma finansowała artykuły, które były krytyczne wobec partii PiS (patrz pkt 7 i 8 powyżej). Sądy krajowe zbadały prawdziwość jego oświadczeń i stwierdziły, że nie zostało udowodnione, że dochody uzyskane z reklamy J&amp;S S.A. były związane z jakimikolwiek konkretnym artykułem w </w:t>
      </w:r>
      <w:r w:rsidR="00736CA6" w:rsidRPr="00736CA6">
        <w:rPr>
          <w:i/>
          <w:lang w:val="pl-PL"/>
        </w:rPr>
        <w:t>Gazecie Wyborczej</w:t>
      </w:r>
      <w:r w:rsidR="00736CA6" w:rsidRPr="00736CA6">
        <w:rPr>
          <w:lang w:val="pl-PL"/>
        </w:rPr>
        <w:t xml:space="preserve">. Oświadczenia </w:t>
      </w:r>
      <w:r w:rsidR="00CB3761" w:rsidRPr="00736CA6">
        <w:rPr>
          <w:lang w:val="pl-PL"/>
        </w:rPr>
        <w:t>skarżącego</w:t>
      </w:r>
      <w:r w:rsidR="00736CA6" w:rsidRPr="00736CA6">
        <w:rPr>
          <w:lang w:val="pl-PL"/>
        </w:rPr>
        <w:t xml:space="preserve"> zostały zatem uznane za nieprawdziwe, a według sądów krajowych, takie nieprawdziwe oświadczenia musiały zostać uznane za nielegalne</w:t>
      </w:r>
      <w:r w:rsidR="005916A5" w:rsidRPr="00736CA6">
        <w:rPr>
          <w:lang w:val="pl-PL"/>
        </w:rPr>
        <w:t>.</w:t>
      </w:r>
    </w:p>
    <w:p w:rsidR="006B1F58" w:rsidRPr="00736CA6" w:rsidRDefault="00565664" w:rsidP="009645C3">
      <w:pPr>
        <w:pStyle w:val="ECHRPara"/>
        <w:rPr>
          <w:spacing w:val="-6"/>
          <w:lang w:val="pl-PL"/>
        </w:rPr>
      </w:pPr>
      <w:r>
        <w:fldChar w:fldCharType="begin"/>
      </w:r>
      <w:r w:rsidRPr="00E71E0A">
        <w:rPr>
          <w:lang w:val="pl-PL"/>
        </w:rPr>
        <w:instrText xml:space="preserve"> SEQ level0 \*arabic </w:instrText>
      </w:r>
      <w:r>
        <w:fldChar w:fldCharType="separate"/>
      </w:r>
      <w:r w:rsidR="00E71E0A" w:rsidRPr="00E71E0A">
        <w:rPr>
          <w:noProof/>
          <w:lang w:val="pl-PL"/>
        </w:rPr>
        <w:t>50</w:t>
      </w:r>
      <w:r>
        <w:rPr>
          <w:noProof/>
        </w:rPr>
        <w:fldChar w:fldCharType="end"/>
      </w:r>
      <w:r w:rsidR="00636168" w:rsidRPr="00E71E0A">
        <w:rPr>
          <w:lang w:val="pl-PL"/>
        </w:rPr>
        <w:t>.</w:t>
      </w:r>
      <w:r w:rsidR="009B4F3A" w:rsidRPr="00E71E0A">
        <w:rPr>
          <w:lang w:val="pl-PL"/>
        </w:rPr>
        <w:t>  </w:t>
      </w:r>
      <w:r w:rsidR="00736CA6" w:rsidRPr="00736CA6">
        <w:rPr>
          <w:lang w:val="pl-PL"/>
        </w:rPr>
        <w:t xml:space="preserve">Trybunał odnotowuje fakt, że, podczas, gdy zarzuty skarżącego wobec </w:t>
      </w:r>
      <w:r w:rsidR="00736CA6" w:rsidRPr="00736CA6">
        <w:rPr>
          <w:i/>
          <w:lang w:val="pl-PL"/>
        </w:rPr>
        <w:t>Gazety Wyborczej</w:t>
      </w:r>
      <w:r w:rsidR="00736CA6" w:rsidRPr="00736CA6">
        <w:rPr>
          <w:lang w:val="pl-PL"/>
        </w:rPr>
        <w:t xml:space="preserve"> były bardzo poważne, zostały one poczynione wobec gazety, która omawiając kwestie zainteresowania publicznego, jest aktywnie zaangażowan</w:t>
      </w:r>
      <w:r w:rsidR="00B04A75">
        <w:rPr>
          <w:lang w:val="pl-PL"/>
        </w:rPr>
        <w:t xml:space="preserve">a </w:t>
      </w:r>
      <w:r w:rsidR="00736CA6" w:rsidRPr="00736CA6">
        <w:rPr>
          <w:lang w:val="pl-PL"/>
        </w:rPr>
        <w:t xml:space="preserve">w debatę publiczną. W tym kontekście musi zostać podkreślona podstawowa funkcja, którą prasa spełnia w społeczeństwie demokratycznym. Chociaż prasa nie może przekraczać pewnych granic, jej obowiązkiem jest jednak nadanie - w sposób zgodny z jej obowiązkami i odpowiedzialnością - informacji i poglądów we wszystkich sprawach będących przedmiotem zainteresowania publicznego. Ponadto wolność dziennikarska obejmuje także możliwość uciekania się do pewnej przesady, a nawet prowokacji (zobacz </w:t>
      </w:r>
      <w:r w:rsidR="00736CA6" w:rsidRPr="00736CA6">
        <w:rPr>
          <w:i/>
          <w:lang w:val="pl-PL"/>
        </w:rPr>
        <w:t>Prager i Oberschlick przeciwko Austrii</w:t>
      </w:r>
      <w:r w:rsidR="00736CA6" w:rsidRPr="00736CA6">
        <w:rPr>
          <w:lang w:val="pl-PL"/>
        </w:rPr>
        <w:t xml:space="preserve">, 26 kwietnia 1995, § 38, Seria A, nr. 313). Rozważania te odgrywają szczególnie istotną rolę, biorąc pod uwagę wpływ posiadany przez media we współczesnym społeczeństwie: nie tylko informują one, ale mogą także sugerować, poprzez sposób, w jaki przedstawiają informacje, jak powinny one być oceniane (patrz </w:t>
      </w:r>
      <w:r w:rsidR="00736CA6" w:rsidRPr="00736CA6">
        <w:rPr>
          <w:i/>
          <w:lang w:val="pl-PL"/>
        </w:rPr>
        <w:t>Stoll przeciwko Szwajcarii</w:t>
      </w:r>
      <w:r w:rsidR="00736CA6" w:rsidRPr="00736CA6">
        <w:rPr>
          <w:lang w:val="pl-PL"/>
        </w:rPr>
        <w:t xml:space="preserve">. [GC], no. 69698/01, § 104, ECHR 2007 V). W tym kontekście Trybunał uważa, że dziennikarze i publicyści, jak również inne osoby aktywnie uczestniczące w życiu publicznym, powinni wykazywać większy stopień tolerancji na krytykę wobec nich (patrz, mutatis mutandis, </w:t>
      </w:r>
      <w:r w:rsidR="00736CA6" w:rsidRPr="00736CA6">
        <w:rPr>
          <w:i/>
          <w:lang w:val="pl-PL"/>
        </w:rPr>
        <w:t>Wydawnictwo I Avgi i Agencja Prasowa SA i Karis przeciwko Grecja</w:t>
      </w:r>
      <w:r w:rsidR="00736CA6" w:rsidRPr="00736CA6">
        <w:rPr>
          <w:lang w:val="pl-PL"/>
        </w:rPr>
        <w:t xml:space="preserve">, Nr 15909 / 06, § 34, 5 czerwca 2008;.. </w:t>
      </w:r>
      <w:r w:rsidR="00736CA6" w:rsidRPr="00CB3761">
        <w:rPr>
          <w:i/>
          <w:lang w:val="pl-PL"/>
        </w:rPr>
        <w:t>Seleckis przeciwko Łotwie</w:t>
      </w:r>
      <w:r w:rsidR="00736CA6" w:rsidRPr="00736CA6">
        <w:rPr>
          <w:lang w:val="pl-PL"/>
        </w:rPr>
        <w:t xml:space="preserve"> (dec.), Nr 41486/04, § 32, 2 marca 2010 roku). W związku z tym, w systemie demokratycznym granice dopuszczalnej krytyki są znacznie szersze w odniesieniu do gazet niż w stosunku do osoby prywatnej (patrz, mutatis mutandis, </w:t>
      </w:r>
      <w:r w:rsidR="00736CA6" w:rsidRPr="00CB3761">
        <w:rPr>
          <w:i/>
          <w:lang w:val="pl-PL"/>
        </w:rPr>
        <w:t>Ärztekammer für Wien oraz Dorner przeciwko Austrii</w:t>
      </w:r>
      <w:r w:rsidR="00736CA6" w:rsidRPr="00736CA6">
        <w:rPr>
          <w:lang w:val="pl-PL"/>
        </w:rPr>
        <w:t>, Nr 8895/10, § 65, 16 luty 2016)</w:t>
      </w:r>
      <w:r w:rsidR="00CA3DA5" w:rsidRPr="00736CA6">
        <w:rPr>
          <w:spacing w:val="-6"/>
          <w:lang w:val="pl-PL"/>
        </w:rPr>
        <w:t>.</w:t>
      </w:r>
    </w:p>
    <w:p w:rsidR="009645C3" w:rsidRPr="009B4863"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51</w:t>
      </w:r>
      <w:r>
        <w:rPr>
          <w:noProof/>
        </w:rPr>
        <w:fldChar w:fldCharType="end"/>
      </w:r>
      <w:r w:rsidR="00636168" w:rsidRPr="00E71E0A">
        <w:rPr>
          <w:lang w:val="pl-PL"/>
        </w:rPr>
        <w:t>.  </w:t>
      </w:r>
      <w:r w:rsidR="009B4863" w:rsidRPr="009B4863">
        <w:rPr>
          <w:lang w:val="pl-PL"/>
        </w:rPr>
        <w:t>Przy ocenie konieczności ingerencji, ważne jest zbadanie, w jaki sposób właściwe władze krajowe zajęły się tą sprawą, a w szczególności, czy stosowały one standardy, które były zgodne z zasadami zawartymi w artykule 10 Konwencji</w:t>
      </w:r>
      <w:r w:rsidR="00636168" w:rsidRPr="009B4863">
        <w:rPr>
          <w:lang w:val="pl-PL"/>
        </w:rPr>
        <w:t>.</w:t>
      </w:r>
    </w:p>
    <w:p w:rsidR="009645C3" w:rsidRPr="009B4863" w:rsidRDefault="00565664" w:rsidP="009645C3">
      <w:pPr>
        <w:pStyle w:val="ECHRPara"/>
        <w:rPr>
          <w:lang w:val="pl-PL"/>
        </w:rPr>
      </w:pPr>
      <w:r>
        <w:lastRenderedPageBreak/>
        <w:fldChar w:fldCharType="begin"/>
      </w:r>
      <w:r w:rsidRPr="00E71E0A">
        <w:rPr>
          <w:lang w:val="pl-PL"/>
        </w:rPr>
        <w:instrText xml:space="preserve"> SEQ level0 \*arabic </w:instrText>
      </w:r>
      <w:r>
        <w:fldChar w:fldCharType="separate"/>
      </w:r>
      <w:r w:rsidR="00E71E0A" w:rsidRPr="00E71E0A">
        <w:rPr>
          <w:noProof/>
          <w:lang w:val="pl-PL"/>
        </w:rPr>
        <w:t>52</w:t>
      </w:r>
      <w:r>
        <w:rPr>
          <w:noProof/>
        </w:rPr>
        <w:fldChar w:fldCharType="end"/>
      </w:r>
      <w:r w:rsidR="009B014C" w:rsidRPr="00E71E0A">
        <w:rPr>
          <w:lang w:val="pl-PL"/>
        </w:rPr>
        <w:t>.</w:t>
      </w:r>
      <w:r w:rsidR="00854914" w:rsidRPr="00E71E0A">
        <w:rPr>
          <w:lang w:val="pl-PL"/>
        </w:rPr>
        <w:t> </w:t>
      </w:r>
      <w:r w:rsidR="009B014C" w:rsidRPr="00E71E0A">
        <w:rPr>
          <w:lang w:val="pl-PL"/>
        </w:rPr>
        <w:t> </w:t>
      </w:r>
      <w:r w:rsidR="009B4863" w:rsidRPr="009B4863">
        <w:rPr>
          <w:lang w:val="pl-PL"/>
        </w:rPr>
        <w:t xml:space="preserve">W niniejszym przypadku, sądy krajowe uznały, że </w:t>
      </w:r>
      <w:r w:rsidR="000A6B0F">
        <w:rPr>
          <w:lang w:val="pl-PL"/>
        </w:rPr>
        <w:t>wypowiedzi</w:t>
      </w:r>
      <w:r w:rsidR="009B4863" w:rsidRPr="009B4863">
        <w:rPr>
          <w:lang w:val="pl-PL"/>
        </w:rPr>
        <w:t xml:space="preserve"> skarżącego w programie telewizyjnym obejmowały zarówno </w:t>
      </w:r>
      <w:r w:rsidR="000A6B0F">
        <w:rPr>
          <w:lang w:val="pl-PL"/>
        </w:rPr>
        <w:t xml:space="preserve">stwierdzenia faktu i </w:t>
      </w:r>
      <w:r w:rsidR="009B4863" w:rsidRPr="009B4863">
        <w:rPr>
          <w:lang w:val="pl-PL"/>
        </w:rPr>
        <w:t>sądy wartościujące, a jego wnioski zostały wysnute z tych faktów (patrz: pkt 15, 22 i 27 powyżej). Zbadały one dalej okoliczności sprawy i stwierdziły, że skarżący nie dowiódł prawdziwości jego twierdzeń, zarówno w czasie</w:t>
      </w:r>
      <w:r w:rsidR="000A6B0F">
        <w:rPr>
          <w:lang w:val="pl-PL"/>
        </w:rPr>
        <w:t>, w którym</w:t>
      </w:r>
      <w:r w:rsidR="009B4863" w:rsidRPr="009B4863">
        <w:rPr>
          <w:lang w:val="pl-PL"/>
        </w:rPr>
        <w:t xml:space="preserve"> zostały one dokonane ani później, w toku postępowania cywilnego (patrz akapit 16 powyżej)</w:t>
      </w:r>
      <w:r w:rsidR="009B014C" w:rsidRPr="009B4863">
        <w:rPr>
          <w:lang w:val="pl-PL"/>
        </w:rPr>
        <w:t>.</w:t>
      </w:r>
    </w:p>
    <w:p w:rsidR="009645C3" w:rsidRPr="006E6C12" w:rsidRDefault="00AE5036" w:rsidP="009645C3">
      <w:pPr>
        <w:pStyle w:val="ECHRPara"/>
        <w:rPr>
          <w:spacing w:val="-4"/>
          <w:lang w:val="pl-PL"/>
        </w:rPr>
      </w:pPr>
      <w:r w:rsidRPr="009645C3">
        <w:rPr>
          <w:spacing w:val="-4"/>
        </w:rPr>
        <w:fldChar w:fldCharType="begin"/>
      </w:r>
      <w:r w:rsidRPr="00E71E0A">
        <w:rPr>
          <w:spacing w:val="-4"/>
          <w:lang w:val="pl-PL"/>
        </w:rPr>
        <w:instrText xml:space="preserve"> SEQ level0 \*arabic </w:instrText>
      </w:r>
      <w:r w:rsidRPr="009645C3">
        <w:rPr>
          <w:spacing w:val="-4"/>
        </w:rPr>
        <w:fldChar w:fldCharType="separate"/>
      </w:r>
      <w:r w:rsidR="00E71E0A" w:rsidRPr="00E71E0A">
        <w:rPr>
          <w:noProof/>
          <w:spacing w:val="-4"/>
          <w:lang w:val="pl-PL"/>
        </w:rPr>
        <w:t>53</w:t>
      </w:r>
      <w:r w:rsidRPr="009645C3">
        <w:rPr>
          <w:noProof/>
          <w:spacing w:val="-4"/>
        </w:rPr>
        <w:fldChar w:fldCharType="end"/>
      </w:r>
      <w:r w:rsidR="009C5C7D" w:rsidRPr="00E71E0A">
        <w:rPr>
          <w:spacing w:val="-4"/>
          <w:lang w:val="pl-PL"/>
        </w:rPr>
        <w:t>.</w:t>
      </w:r>
      <w:r w:rsidR="009C5C7D" w:rsidRPr="00E71E0A">
        <w:rPr>
          <w:b/>
          <w:spacing w:val="-4"/>
          <w:lang w:val="pl-PL"/>
        </w:rPr>
        <w:t> </w:t>
      </w:r>
      <w:r w:rsidR="00854914" w:rsidRPr="00E71E0A">
        <w:rPr>
          <w:b/>
          <w:spacing w:val="-4"/>
          <w:lang w:val="pl-PL"/>
        </w:rPr>
        <w:t> </w:t>
      </w:r>
      <w:r w:rsidR="006E6C12" w:rsidRPr="006E6C12">
        <w:rPr>
          <w:lang w:val="pl-PL"/>
        </w:rPr>
        <w:t xml:space="preserve">Trybunał zauważa, że ​​skoro skarżący aktywnie i publicznie skomentował sprawy bieżące, jego oświadczenie było częścią trwającej debaty w sprawach interesu publicznego i niewątpliwie podniósł kwestię zainteresowania publicznego, czyli niezależności mediów w społeczeństwie demokratycznym. Trybunał przypomina w tym względzie, że Konwencja zapewnia ochronę wszystkim uczestnikom debaty w sprawach uzasadnionego zainteresowania publicznego (patrz </w:t>
      </w:r>
      <w:r w:rsidR="006E6C12" w:rsidRPr="006E6C12">
        <w:rPr>
          <w:i/>
          <w:lang w:val="pl-PL"/>
        </w:rPr>
        <w:t>Braun przeciwko Polsce</w:t>
      </w:r>
      <w:r w:rsidR="006E6C12" w:rsidRPr="006E6C12">
        <w:rPr>
          <w:lang w:val="pl-PL"/>
        </w:rPr>
        <w:t>, Nr 30162/10, § 47, 4 listopada 2014 roku)</w:t>
      </w:r>
      <w:r w:rsidR="00AB1127" w:rsidRPr="006E6C12">
        <w:rPr>
          <w:spacing w:val="-4"/>
          <w:lang w:val="pl-PL"/>
        </w:rPr>
        <w:t>.</w:t>
      </w:r>
    </w:p>
    <w:p w:rsidR="009645C3" w:rsidRPr="006E6C12"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54</w:t>
      </w:r>
      <w:r>
        <w:rPr>
          <w:noProof/>
        </w:rPr>
        <w:fldChar w:fldCharType="end"/>
      </w:r>
      <w:r w:rsidR="00E5752E" w:rsidRPr="00E71E0A">
        <w:rPr>
          <w:lang w:val="pl-PL"/>
        </w:rPr>
        <w:t>.  </w:t>
      </w:r>
      <w:r w:rsidR="006E6C12" w:rsidRPr="006E6C12">
        <w:rPr>
          <w:lang w:val="pl-PL"/>
        </w:rPr>
        <w:t xml:space="preserve">Jeśli chodzi o argumenty Rządu, że skarżący przyjął sensacyjny ton i zastosował całkowicie negatywny język (patrz pkt 42 powyżej), Trybunał zauważa, że ​​o ile skarżący skorzystał z pewnej przesady w jego wypowiedzi, w tym samym czasie nie wydaje się, że uciekł się do nieuzasadnionego obraźliwego i niestosownego języka lub wykraczał poza ogólnie akceptowalny stopień przesady (patrz </w:t>
      </w:r>
      <w:r w:rsidR="006E6C12" w:rsidRPr="006E6C12">
        <w:rPr>
          <w:i/>
          <w:lang w:val="pl-PL"/>
        </w:rPr>
        <w:t>Yordanova i Toshev przeciwko Bułgaria</w:t>
      </w:r>
      <w:r w:rsidR="006E6C12" w:rsidRPr="006E6C12">
        <w:rPr>
          <w:lang w:val="pl-PL"/>
        </w:rPr>
        <w:t>, Nr 5126/05, § 52, 2 października 2012)</w:t>
      </w:r>
      <w:r w:rsidR="009C5C7D" w:rsidRPr="006E6C12">
        <w:rPr>
          <w:spacing w:val="-6"/>
          <w:lang w:val="pl-PL"/>
        </w:rPr>
        <w:t>.</w:t>
      </w:r>
    </w:p>
    <w:p w:rsidR="009645C3" w:rsidRPr="00565664"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55</w:t>
      </w:r>
      <w:r>
        <w:rPr>
          <w:noProof/>
        </w:rPr>
        <w:fldChar w:fldCharType="end"/>
      </w:r>
      <w:r w:rsidR="00E5752E" w:rsidRPr="00E71E0A">
        <w:rPr>
          <w:lang w:val="pl-PL"/>
        </w:rPr>
        <w:t>.  </w:t>
      </w:r>
      <w:r w:rsidRPr="00565664">
        <w:rPr>
          <w:lang w:val="pl-PL"/>
        </w:rPr>
        <w:t xml:space="preserve">Ponadto, Trybunał nie jest </w:t>
      </w:r>
      <w:r w:rsidR="004320EF">
        <w:rPr>
          <w:lang w:val="pl-PL"/>
        </w:rPr>
        <w:t>właściwy</w:t>
      </w:r>
      <w:r w:rsidRPr="00565664">
        <w:rPr>
          <w:lang w:val="pl-PL"/>
        </w:rPr>
        <w:t xml:space="preserve"> do oce</w:t>
      </w:r>
      <w:r w:rsidR="004320EF">
        <w:rPr>
          <w:lang w:val="pl-PL"/>
        </w:rPr>
        <w:t>ny</w:t>
      </w:r>
      <w:r w:rsidRPr="00565664">
        <w:rPr>
          <w:lang w:val="pl-PL"/>
        </w:rPr>
        <w:t xml:space="preserve">, czy skarżący powołał się na dostatecznie dokładne i spójne informacje. Nie będzie również </w:t>
      </w:r>
      <w:r w:rsidR="004320EF">
        <w:rPr>
          <w:lang w:val="pl-PL"/>
        </w:rPr>
        <w:t>przedmiotem rozstrzygnięcia</w:t>
      </w:r>
      <w:r w:rsidRPr="00565664">
        <w:rPr>
          <w:lang w:val="pl-PL"/>
        </w:rPr>
        <w:t xml:space="preserve">, czy charakter i stopień zarzutów, które postawił były uzasadnione na podstawie faktycznej, na której on się oparł. </w:t>
      </w:r>
      <w:r w:rsidR="002C487B">
        <w:rPr>
          <w:lang w:val="pl-PL"/>
        </w:rPr>
        <w:t>S</w:t>
      </w:r>
      <w:r w:rsidRPr="00565664">
        <w:rPr>
          <w:lang w:val="pl-PL"/>
        </w:rPr>
        <w:t>ąd</w:t>
      </w:r>
      <w:r w:rsidR="002C487B">
        <w:rPr>
          <w:lang w:val="pl-PL"/>
        </w:rPr>
        <w:t>y</w:t>
      </w:r>
      <w:r w:rsidRPr="00565664">
        <w:rPr>
          <w:lang w:val="pl-PL"/>
        </w:rPr>
        <w:t xml:space="preserve"> krajow</w:t>
      </w:r>
      <w:r w:rsidR="002C487B">
        <w:rPr>
          <w:lang w:val="pl-PL"/>
        </w:rPr>
        <w:t>e</w:t>
      </w:r>
      <w:r w:rsidRPr="00565664">
        <w:rPr>
          <w:lang w:val="pl-PL"/>
        </w:rPr>
        <w:t xml:space="preserve">, są </w:t>
      </w:r>
      <w:r w:rsidR="008B6852">
        <w:rPr>
          <w:lang w:val="pl-PL"/>
        </w:rPr>
        <w:t>właściwe</w:t>
      </w:r>
      <w:r w:rsidRPr="00565664">
        <w:rPr>
          <w:lang w:val="pl-PL"/>
        </w:rPr>
        <w:t xml:space="preserve"> do oceny okoliczności faktycznych sprawy. Jednakże, przy rozstrzyganiu takich zagadnień sądy krajowe powinny przestrzegać standardów wolności wypowiedzi zawartych w Konwencji</w:t>
      </w:r>
      <w:r w:rsidR="00E5752E" w:rsidRPr="00565664">
        <w:rPr>
          <w:lang w:val="pl-PL"/>
        </w:rPr>
        <w:t>.</w:t>
      </w:r>
    </w:p>
    <w:p w:rsidR="0082039E" w:rsidRPr="00565664"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56</w:t>
      </w:r>
      <w:r>
        <w:rPr>
          <w:noProof/>
        </w:rPr>
        <w:fldChar w:fldCharType="end"/>
      </w:r>
      <w:r w:rsidR="00E5752E" w:rsidRPr="00E71E0A">
        <w:rPr>
          <w:lang w:val="pl-PL"/>
        </w:rPr>
        <w:t>.  </w:t>
      </w:r>
      <w:r w:rsidRPr="00565664">
        <w:rPr>
          <w:lang w:val="pl-PL"/>
        </w:rPr>
        <w:t>Trybunał uważa, że ​​skarżący był wyraźnie zaangażowany w debatę publiczną na temat ważnej kwestii (zob</w:t>
      </w:r>
      <w:r w:rsidR="001E4BF1">
        <w:rPr>
          <w:lang w:val="pl-PL"/>
        </w:rPr>
        <w:t>.</w:t>
      </w:r>
      <w:r w:rsidRPr="00565664">
        <w:rPr>
          <w:lang w:val="pl-PL"/>
        </w:rPr>
        <w:t xml:space="preserve"> </w:t>
      </w:r>
      <w:r w:rsidRPr="00565664">
        <w:rPr>
          <w:i/>
          <w:lang w:val="pl-PL"/>
        </w:rPr>
        <w:t>Braun</w:t>
      </w:r>
      <w:r w:rsidRPr="00565664">
        <w:rPr>
          <w:lang w:val="pl-PL"/>
        </w:rPr>
        <w:t xml:space="preserve">, cytowany powyżej, § 50). </w:t>
      </w:r>
      <w:r w:rsidR="008B6852">
        <w:rPr>
          <w:lang w:val="pl-PL"/>
        </w:rPr>
        <w:br/>
      </w:r>
      <w:r w:rsidRPr="00565664">
        <w:rPr>
          <w:lang w:val="pl-PL"/>
        </w:rPr>
        <w:t xml:space="preserve">W związku z tym Trybunał nie jest w stanie zaakceptować poglądu sądów krajowych, zgodnie, z którym od skarżącego wymagane było, aby udowodnił prawdziwość swoich twierdzeń. Nie </w:t>
      </w:r>
      <w:r w:rsidR="00935B76">
        <w:rPr>
          <w:lang w:val="pl-PL"/>
        </w:rPr>
        <w:t>jest</w:t>
      </w:r>
      <w:r w:rsidRPr="00565664">
        <w:rPr>
          <w:lang w:val="pl-PL"/>
        </w:rPr>
        <w:t xml:space="preserve"> uzasadnione, w świetle orzecznictwa Trybunału i w okolicznościach niniejszej sprawy, wymaganie, aby skarżący spełnił bardziej wymagające standardy niż standard należytej staranności</w:t>
      </w:r>
      <w:r w:rsidR="00E5752E" w:rsidRPr="00565664">
        <w:rPr>
          <w:lang w:val="pl-PL"/>
        </w:rPr>
        <w:t>.</w:t>
      </w:r>
    </w:p>
    <w:p w:rsidR="00E5752E" w:rsidRPr="00565664" w:rsidRDefault="00565664" w:rsidP="009645C3">
      <w:pPr>
        <w:pStyle w:val="ECHRPara"/>
        <w:rPr>
          <w:lang w:val="pl-PL"/>
        </w:rPr>
      </w:pPr>
      <w:r w:rsidRPr="00565664">
        <w:rPr>
          <w:lang w:val="pl-PL"/>
        </w:rPr>
        <w:t>Realizując takie podejści</w:t>
      </w:r>
      <w:r w:rsidR="00935B76">
        <w:rPr>
          <w:lang w:val="pl-PL"/>
        </w:rPr>
        <w:t>e</w:t>
      </w:r>
      <w:r w:rsidRPr="00565664">
        <w:rPr>
          <w:lang w:val="pl-PL"/>
        </w:rPr>
        <w:t xml:space="preserve"> sądy krajowe skutecznie pozbawiły skarżącego ochrony przyznanej mu na mocy artykułu 10</w:t>
      </w:r>
      <w:r w:rsidR="00E5752E" w:rsidRPr="00565664">
        <w:rPr>
          <w:lang w:val="pl-PL"/>
        </w:rPr>
        <w:t>.</w:t>
      </w:r>
    </w:p>
    <w:p w:rsidR="00D02C42" w:rsidRPr="00FE67FD" w:rsidRDefault="00565664" w:rsidP="009645C3">
      <w:pPr>
        <w:pStyle w:val="ECHRPara"/>
        <w:rPr>
          <w:szCs w:val="24"/>
          <w:lang w:val="pl-PL"/>
        </w:rPr>
      </w:pPr>
      <w:r>
        <w:fldChar w:fldCharType="begin"/>
      </w:r>
      <w:r w:rsidRPr="00E71E0A">
        <w:rPr>
          <w:lang w:val="pl-PL"/>
        </w:rPr>
        <w:instrText xml:space="preserve"> SEQ level0 \*arabic </w:instrText>
      </w:r>
      <w:r>
        <w:fldChar w:fldCharType="separate"/>
      </w:r>
      <w:r w:rsidR="00E71E0A" w:rsidRPr="00E71E0A">
        <w:rPr>
          <w:noProof/>
          <w:lang w:val="pl-PL"/>
        </w:rPr>
        <w:t>57</w:t>
      </w:r>
      <w:r>
        <w:rPr>
          <w:noProof/>
        </w:rPr>
        <w:fldChar w:fldCharType="end"/>
      </w:r>
      <w:r w:rsidR="00D02C42" w:rsidRPr="00E71E0A">
        <w:rPr>
          <w:lang w:val="pl-PL"/>
        </w:rPr>
        <w:t>.  </w:t>
      </w:r>
      <w:r w:rsidR="00FE67FD" w:rsidRPr="00FE67FD">
        <w:rPr>
          <w:lang w:val="pl-PL"/>
        </w:rPr>
        <w:t xml:space="preserve">Wreszcie Trybunał przypomina, że ​​ charakter i surowość nałożonej sankcji stanowią również czynniki, które należy wziąć pod uwagę przy ocenie proporcjonalności ingerencji na podstawie Artykułu 10 Konwencji (patrz </w:t>
      </w:r>
      <w:r w:rsidR="00FE67FD" w:rsidRPr="00FE67FD">
        <w:rPr>
          <w:i/>
          <w:lang w:val="pl-PL"/>
        </w:rPr>
        <w:t>Axel Springer AG przeciwko Niemcom</w:t>
      </w:r>
      <w:r w:rsidR="00FE67FD" w:rsidRPr="00FE67FD">
        <w:rPr>
          <w:lang w:val="pl-PL"/>
        </w:rPr>
        <w:t xml:space="preserve"> [GC], nr 39954/08, § 95, 07 lutego 2012). W przedmiotowej sprawie skarżący został zobowiązany do </w:t>
      </w:r>
      <w:r w:rsidR="00FE67FD" w:rsidRPr="00FE67FD">
        <w:rPr>
          <w:lang w:val="pl-PL"/>
        </w:rPr>
        <w:lastRenderedPageBreak/>
        <w:t xml:space="preserve">przygotowania publikacji przeprosin (kosztujących 34,897.36 zł, około 8700 euro) i zapłacenia 10.000 złotych (około 2500 euro) na cele charytatywne. Należy stwierdzić, że publikacja przeprosin pociągnęła za sobą znaczne koszty dla </w:t>
      </w:r>
      <w:r w:rsidR="001C009D" w:rsidRPr="00FE67FD">
        <w:rPr>
          <w:lang w:val="pl-PL"/>
        </w:rPr>
        <w:t>skarżącego</w:t>
      </w:r>
      <w:r w:rsidR="00FE67FD" w:rsidRPr="00FE67FD">
        <w:rPr>
          <w:lang w:val="pl-PL"/>
        </w:rPr>
        <w:t xml:space="preserve">, tak, że łączna kwota sięgnęła około osiemnastokrotności przeciętnego miesięcznego wynagrodzenia we właściwym czasie. W tych okolicznościach należy stwierdzić, że sankcje finansowe nałożone na skarżącego były nadmierne (patrz </w:t>
      </w:r>
      <w:r w:rsidR="00FE67FD" w:rsidRPr="00FE67FD">
        <w:rPr>
          <w:i/>
          <w:lang w:val="pl-PL"/>
        </w:rPr>
        <w:t>Kwiecień przeciwko Polsce</w:t>
      </w:r>
      <w:r w:rsidR="00FE67FD" w:rsidRPr="00FE67FD">
        <w:rPr>
          <w:lang w:val="pl-PL"/>
        </w:rPr>
        <w:t>, nr 51744/99, § 56, 9 stycznia 2007 roku)</w:t>
      </w:r>
      <w:r w:rsidR="00D02C42" w:rsidRPr="00FE67FD">
        <w:rPr>
          <w:szCs w:val="24"/>
          <w:lang w:val="pl-PL"/>
        </w:rPr>
        <w:t>.</w:t>
      </w:r>
    </w:p>
    <w:p w:rsidR="00D9062A" w:rsidRPr="004E1331"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58</w:t>
      </w:r>
      <w:r>
        <w:rPr>
          <w:noProof/>
        </w:rPr>
        <w:fldChar w:fldCharType="end"/>
      </w:r>
      <w:r w:rsidR="004F283B" w:rsidRPr="00E71E0A">
        <w:rPr>
          <w:lang w:val="pl-PL"/>
        </w:rPr>
        <w:t>.  </w:t>
      </w:r>
      <w:r w:rsidR="004E1331" w:rsidRPr="004E1331">
        <w:rPr>
          <w:lang w:val="pl-PL"/>
        </w:rPr>
        <w:t xml:space="preserve">Mając na uwadze powyższe rozważania, Trybunał stwierdza, że sądy krajowe nie ustaliły przekonująco jakiejkolwiek pilnej potrzeby społecznej dla </w:t>
      </w:r>
      <w:r w:rsidR="00CD5690">
        <w:rPr>
          <w:lang w:val="pl-PL"/>
        </w:rPr>
        <w:t xml:space="preserve">przedłożenia </w:t>
      </w:r>
      <w:r w:rsidR="004E1331" w:rsidRPr="004E1331">
        <w:rPr>
          <w:lang w:val="pl-PL"/>
        </w:rPr>
        <w:t xml:space="preserve">ochrony praw Agora SA, wydawcy </w:t>
      </w:r>
      <w:r w:rsidR="004E1331" w:rsidRPr="004E1331">
        <w:rPr>
          <w:i/>
          <w:lang w:val="pl-PL"/>
        </w:rPr>
        <w:t>Gazety Wyborczej</w:t>
      </w:r>
      <w:r w:rsidR="004E1331" w:rsidRPr="004E1331">
        <w:rPr>
          <w:lang w:val="pl-PL"/>
        </w:rPr>
        <w:t>, ponad praw</w:t>
      </w:r>
      <w:r w:rsidR="00CD5690">
        <w:rPr>
          <w:lang w:val="pl-PL"/>
        </w:rPr>
        <w:t>o</w:t>
      </w:r>
      <w:r w:rsidR="004E1331" w:rsidRPr="004E1331">
        <w:rPr>
          <w:lang w:val="pl-PL"/>
        </w:rPr>
        <w:t xml:space="preserve"> skarżącego do wolności wypowiedzi oraz ogóln</w:t>
      </w:r>
      <w:r w:rsidR="001C009D">
        <w:rPr>
          <w:lang w:val="pl-PL"/>
        </w:rPr>
        <w:t>y interes promowania</w:t>
      </w:r>
      <w:r w:rsidR="004E1331" w:rsidRPr="004E1331">
        <w:rPr>
          <w:lang w:val="pl-PL"/>
        </w:rPr>
        <w:t xml:space="preserve"> tej swobody tam, gdzie dotyczy to kwestii zainteresowania publicznego. Powody podane przez sądy nie mogą być traktowane jako wystarczające i odpowiednie uzasadnienie ingerencji w prawo skarżącego do wolności wypowiedzi. W związku z tym władzo</w:t>
      </w:r>
      <w:r w:rsidR="001C009D">
        <w:rPr>
          <w:lang w:val="pl-PL"/>
        </w:rPr>
        <w:t>m</w:t>
      </w:r>
      <w:r w:rsidR="004E1331" w:rsidRPr="004E1331">
        <w:rPr>
          <w:lang w:val="pl-PL"/>
        </w:rPr>
        <w:t xml:space="preserve"> krajowym nie udało się znaleźć właściwej równowagi między rzeczonymi interesami</w:t>
      </w:r>
      <w:r w:rsidR="0082039E" w:rsidRPr="004E1331">
        <w:rPr>
          <w:lang w:val="pl-PL"/>
        </w:rPr>
        <w:t>.</w:t>
      </w:r>
    </w:p>
    <w:p w:rsidR="00D9062A" w:rsidRPr="004E1331" w:rsidRDefault="00565664" w:rsidP="009645C3">
      <w:pPr>
        <w:pStyle w:val="ECHRPara"/>
        <w:rPr>
          <w:lang w:val="pl-PL"/>
        </w:rPr>
      </w:pPr>
      <w:r>
        <w:fldChar w:fldCharType="begin"/>
      </w:r>
      <w:r w:rsidRPr="00E71E0A">
        <w:rPr>
          <w:lang w:val="pl-PL"/>
        </w:rPr>
        <w:instrText xml:space="preserve"> SEQ level0 \*arabic </w:instrText>
      </w:r>
      <w:r>
        <w:fldChar w:fldCharType="separate"/>
      </w:r>
      <w:r w:rsidR="00E71E0A" w:rsidRPr="00E71E0A">
        <w:rPr>
          <w:noProof/>
          <w:lang w:val="pl-PL"/>
        </w:rPr>
        <w:t>59</w:t>
      </w:r>
      <w:r>
        <w:rPr>
          <w:noProof/>
        </w:rPr>
        <w:fldChar w:fldCharType="end"/>
      </w:r>
      <w:r w:rsidR="0075076D" w:rsidRPr="00E71E0A">
        <w:rPr>
          <w:lang w:val="pl-PL"/>
        </w:rPr>
        <w:t>.  </w:t>
      </w:r>
      <w:r w:rsidR="004E1331" w:rsidRPr="004E1331">
        <w:rPr>
          <w:lang w:val="pl-PL"/>
        </w:rPr>
        <w:t>Wynika z tego, że doszło do naruszenia artykułu 10 Konwencji</w:t>
      </w:r>
      <w:r w:rsidR="00D9062A" w:rsidRPr="004E1331">
        <w:rPr>
          <w:lang w:val="pl-PL"/>
        </w:rPr>
        <w:t>.</w:t>
      </w:r>
    </w:p>
    <w:p w:rsidR="00F34463" w:rsidRPr="00E71E0A" w:rsidRDefault="00F34463" w:rsidP="009645C3">
      <w:pPr>
        <w:pStyle w:val="ECHRHeading1"/>
        <w:rPr>
          <w:rFonts w:eastAsia="Times New Roman"/>
          <w:lang w:val="pl-PL"/>
        </w:rPr>
      </w:pPr>
      <w:r w:rsidRPr="00E71E0A">
        <w:rPr>
          <w:rFonts w:eastAsia="Times New Roman"/>
          <w:lang w:val="pl-PL"/>
        </w:rPr>
        <w:t>II.  </w:t>
      </w:r>
      <w:r w:rsidR="004E1331" w:rsidRPr="004C015D">
        <w:rPr>
          <w:lang w:val="pl-PL"/>
        </w:rPr>
        <w:t>ZASTOSOWANIE ARTYKUŁU 41 KONWENCJI</w:t>
      </w:r>
    </w:p>
    <w:p w:rsidR="00F34463" w:rsidRPr="004E1331" w:rsidRDefault="00F34463" w:rsidP="009645C3">
      <w:pPr>
        <w:pStyle w:val="ECHRPara"/>
        <w:rPr>
          <w:rFonts w:eastAsia="Times New Roman"/>
          <w:lang w:val="pl-PL"/>
        </w:rPr>
      </w:pPr>
      <w:r w:rsidRPr="009645C3">
        <w:rPr>
          <w:rFonts w:eastAsia="Times New Roman"/>
        </w:rPr>
        <w:fldChar w:fldCharType="begin"/>
      </w:r>
      <w:r w:rsidRPr="00E71E0A">
        <w:rPr>
          <w:rFonts w:eastAsia="Times New Roman"/>
          <w:lang w:val="pl-PL"/>
        </w:rPr>
        <w:instrText xml:space="preserve"> SEQ level0 \*arabic </w:instrText>
      </w:r>
      <w:r w:rsidRPr="009645C3">
        <w:rPr>
          <w:rFonts w:eastAsia="Times New Roman"/>
        </w:rPr>
        <w:fldChar w:fldCharType="separate"/>
      </w:r>
      <w:r w:rsidR="00E71E0A" w:rsidRPr="00E71E0A">
        <w:rPr>
          <w:rFonts w:eastAsia="Times New Roman"/>
          <w:noProof/>
          <w:lang w:val="pl-PL"/>
        </w:rPr>
        <w:t>60</w:t>
      </w:r>
      <w:r w:rsidRPr="009645C3">
        <w:rPr>
          <w:rFonts w:eastAsia="Times New Roman"/>
        </w:rPr>
        <w:fldChar w:fldCharType="end"/>
      </w:r>
      <w:r w:rsidRPr="00E71E0A">
        <w:rPr>
          <w:rFonts w:eastAsia="Times New Roman"/>
          <w:lang w:val="pl-PL"/>
        </w:rPr>
        <w:t>.  </w:t>
      </w:r>
      <w:r w:rsidR="004E1331" w:rsidRPr="004C015D">
        <w:rPr>
          <w:lang w:val="pl-PL"/>
        </w:rPr>
        <w:t>Artykuł 41 Konwencji stanowi</w:t>
      </w:r>
      <w:r w:rsidRPr="004E1331">
        <w:rPr>
          <w:rFonts w:eastAsia="Times New Roman"/>
          <w:lang w:val="pl-PL"/>
        </w:rPr>
        <w:t>:</w:t>
      </w:r>
    </w:p>
    <w:p w:rsidR="00F34463" w:rsidRPr="004E1331" w:rsidRDefault="00F34463" w:rsidP="009645C3">
      <w:pPr>
        <w:pStyle w:val="ECHRParaQuote"/>
        <w:rPr>
          <w:rFonts w:eastAsia="Times New Roman"/>
          <w:lang w:val="pl-PL" w:eastAsia="fr-FR"/>
        </w:rPr>
      </w:pPr>
      <w:r w:rsidRPr="004E1331">
        <w:rPr>
          <w:lang w:val="pl-PL"/>
        </w:rPr>
        <w:t>“</w:t>
      </w:r>
      <w:r w:rsidR="004E1331" w:rsidRPr="004C015D">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poszkodowanego</w:t>
      </w:r>
      <w:r w:rsidRPr="004E1331">
        <w:rPr>
          <w:rFonts w:eastAsia="Times New Roman"/>
          <w:lang w:val="pl-PL" w:eastAsia="fr-FR"/>
        </w:rPr>
        <w:t>.”</w:t>
      </w:r>
    </w:p>
    <w:p w:rsidR="00F34463" w:rsidRPr="00E71E0A" w:rsidRDefault="00F34463" w:rsidP="009645C3">
      <w:pPr>
        <w:pStyle w:val="ECHRHeading2"/>
        <w:rPr>
          <w:rFonts w:eastAsia="Times New Roman"/>
          <w:lang w:val="pl-PL"/>
        </w:rPr>
      </w:pPr>
      <w:r w:rsidRPr="00E71E0A">
        <w:rPr>
          <w:rFonts w:eastAsia="Times New Roman"/>
          <w:lang w:val="pl-PL"/>
        </w:rPr>
        <w:t>A.  </w:t>
      </w:r>
      <w:r w:rsidR="004E1331" w:rsidRPr="004C015D">
        <w:rPr>
          <w:lang w:val="pl-PL"/>
        </w:rPr>
        <w:t>Szkoda</w:t>
      </w:r>
    </w:p>
    <w:p w:rsidR="00F34463" w:rsidRPr="00E71E0A" w:rsidRDefault="00F34463" w:rsidP="009645C3">
      <w:pPr>
        <w:pStyle w:val="ECHRPara"/>
        <w:rPr>
          <w:rFonts w:eastAsia="Times New Roman"/>
          <w:spacing w:val="-4"/>
          <w:lang w:val="pl-PL"/>
        </w:rPr>
      </w:pPr>
      <w:r w:rsidRPr="009645C3">
        <w:rPr>
          <w:rFonts w:eastAsia="Times New Roman"/>
          <w:spacing w:val="-4"/>
        </w:rPr>
        <w:fldChar w:fldCharType="begin"/>
      </w:r>
      <w:r w:rsidRPr="00E71E0A">
        <w:rPr>
          <w:rFonts w:eastAsia="Times New Roman"/>
          <w:spacing w:val="-4"/>
          <w:lang w:val="pl-PL"/>
        </w:rPr>
        <w:instrText xml:space="preserve"> SEQ level0 \*arabic </w:instrText>
      </w:r>
      <w:r w:rsidRPr="009645C3">
        <w:rPr>
          <w:rFonts w:eastAsia="Times New Roman"/>
          <w:spacing w:val="-4"/>
        </w:rPr>
        <w:fldChar w:fldCharType="separate"/>
      </w:r>
      <w:r w:rsidR="00E71E0A" w:rsidRPr="00E71E0A">
        <w:rPr>
          <w:rFonts w:eastAsia="Times New Roman"/>
          <w:noProof/>
          <w:spacing w:val="-4"/>
          <w:lang w:val="pl-PL"/>
        </w:rPr>
        <w:t>61</w:t>
      </w:r>
      <w:r w:rsidRPr="009645C3">
        <w:rPr>
          <w:rFonts w:eastAsia="Times New Roman"/>
          <w:spacing w:val="-4"/>
        </w:rPr>
        <w:fldChar w:fldCharType="end"/>
      </w:r>
      <w:r w:rsidRPr="00E71E0A">
        <w:rPr>
          <w:rFonts w:eastAsia="Times New Roman"/>
          <w:spacing w:val="-4"/>
          <w:lang w:val="pl-PL"/>
        </w:rPr>
        <w:t>.  </w:t>
      </w:r>
      <w:r w:rsidR="004E1331" w:rsidRPr="004E1331">
        <w:rPr>
          <w:lang w:val="pl-PL"/>
        </w:rPr>
        <w:t>Skarżący domagał się</w:t>
      </w:r>
      <w:r w:rsidRPr="004E1331">
        <w:rPr>
          <w:rFonts w:eastAsia="Times New Roman"/>
          <w:spacing w:val="-4"/>
          <w:lang w:val="pl-PL"/>
        </w:rPr>
        <w:t xml:space="preserve"> 5</w:t>
      </w:r>
      <w:r w:rsidR="006C6C9B" w:rsidRPr="004E1331">
        <w:rPr>
          <w:rFonts w:eastAsia="Times New Roman"/>
          <w:spacing w:val="-4"/>
          <w:lang w:val="pl-PL"/>
        </w:rPr>
        <w:t>4</w:t>
      </w:r>
      <w:r w:rsidRPr="004E1331">
        <w:rPr>
          <w:rFonts w:eastAsia="Times New Roman"/>
          <w:spacing w:val="-4"/>
          <w:lang w:val="pl-PL"/>
        </w:rPr>
        <w:t>,</w:t>
      </w:r>
      <w:r w:rsidR="006C6C9B" w:rsidRPr="004E1331">
        <w:rPr>
          <w:rFonts w:eastAsia="Times New Roman"/>
          <w:spacing w:val="-4"/>
          <w:lang w:val="pl-PL"/>
        </w:rPr>
        <w:t>861.98</w:t>
      </w:r>
      <w:r w:rsidR="00DA232A" w:rsidRPr="004E1331">
        <w:rPr>
          <w:rFonts w:eastAsia="Times New Roman"/>
          <w:spacing w:val="-4"/>
          <w:lang w:val="pl-PL"/>
        </w:rPr>
        <w:t xml:space="preserve"> </w:t>
      </w:r>
      <w:r w:rsidR="004E1331" w:rsidRPr="004E1331">
        <w:rPr>
          <w:lang w:val="pl-PL"/>
        </w:rPr>
        <w:t xml:space="preserve">złotych polskich (PLN) (około 12.450 euro (EUR)) z tytułu szkód materialnych. Suma ta stanowiła 3.649 zł wypłacone przez skarżącego na rzecz powoda z tytułu zwrotu kosztów postępowania, 10.000 zł wypłacone na cele charytatywne, 34,897.36 zł na koszty publikacji przeprosin nakazanych przez sądy krajowe i 6.315.62 zł z tytułu postępowania egzekucyjnego. </w:t>
      </w:r>
      <w:r w:rsidR="004E1331" w:rsidRPr="00E71E0A">
        <w:rPr>
          <w:lang w:val="pl-PL"/>
        </w:rPr>
        <w:t>Ponadto skarżący domagał się 10.000 euro z tytułu szkody niemajątkowej</w:t>
      </w:r>
      <w:r w:rsidRPr="00E71E0A">
        <w:rPr>
          <w:rFonts w:eastAsia="Times New Roman"/>
          <w:spacing w:val="-4"/>
          <w:lang w:val="pl-PL"/>
        </w:rPr>
        <w:t>.</w:t>
      </w:r>
    </w:p>
    <w:p w:rsidR="00F34463" w:rsidRPr="004E1331" w:rsidRDefault="00F34463" w:rsidP="009645C3">
      <w:pPr>
        <w:pStyle w:val="ECHRPara"/>
        <w:rPr>
          <w:rFonts w:eastAsia="Times New Roman"/>
          <w:lang w:val="pl-PL"/>
        </w:rPr>
      </w:pPr>
      <w:r w:rsidRPr="009645C3">
        <w:rPr>
          <w:rFonts w:eastAsia="Times New Roman"/>
        </w:rPr>
        <w:fldChar w:fldCharType="begin"/>
      </w:r>
      <w:r w:rsidRPr="00E71E0A">
        <w:rPr>
          <w:rFonts w:eastAsia="Times New Roman"/>
          <w:lang w:val="pl-PL"/>
        </w:rPr>
        <w:instrText xml:space="preserve"> SEQ level0 \*arabic </w:instrText>
      </w:r>
      <w:r w:rsidRPr="009645C3">
        <w:rPr>
          <w:rFonts w:eastAsia="Times New Roman"/>
        </w:rPr>
        <w:fldChar w:fldCharType="separate"/>
      </w:r>
      <w:r w:rsidR="00E71E0A" w:rsidRPr="00E71E0A">
        <w:rPr>
          <w:rFonts w:eastAsia="Times New Roman"/>
          <w:noProof/>
          <w:lang w:val="pl-PL"/>
        </w:rPr>
        <w:t>62</w:t>
      </w:r>
      <w:r w:rsidRPr="009645C3">
        <w:rPr>
          <w:rFonts w:eastAsia="Times New Roman"/>
        </w:rPr>
        <w:fldChar w:fldCharType="end"/>
      </w:r>
      <w:r w:rsidRPr="00E71E0A">
        <w:rPr>
          <w:rFonts w:eastAsia="Times New Roman"/>
          <w:lang w:val="pl-PL"/>
        </w:rPr>
        <w:t>.  </w:t>
      </w:r>
      <w:r w:rsidR="004E1331" w:rsidRPr="004E1331">
        <w:rPr>
          <w:lang w:val="pl-PL"/>
        </w:rPr>
        <w:t>Rząd uznał, że roszczenia były nadmierne i nieuzasadnione</w:t>
      </w:r>
      <w:r w:rsidRPr="004E1331">
        <w:rPr>
          <w:rFonts w:eastAsia="Times New Roman"/>
          <w:lang w:val="pl-PL"/>
        </w:rPr>
        <w:t>.</w:t>
      </w:r>
    </w:p>
    <w:p w:rsidR="00F34463" w:rsidRPr="00B900EF" w:rsidRDefault="00F34463" w:rsidP="009645C3">
      <w:pPr>
        <w:pStyle w:val="ECHRPara"/>
        <w:rPr>
          <w:rFonts w:eastAsia="Times New Roman"/>
          <w:i/>
          <w:lang w:val="pl-PL"/>
        </w:rPr>
      </w:pPr>
      <w:r w:rsidRPr="009645C3">
        <w:rPr>
          <w:rFonts w:eastAsia="Times New Roman"/>
        </w:rPr>
        <w:fldChar w:fldCharType="begin"/>
      </w:r>
      <w:r w:rsidRPr="00E71E0A">
        <w:rPr>
          <w:rFonts w:eastAsia="Times New Roman"/>
          <w:lang w:val="pl-PL"/>
        </w:rPr>
        <w:instrText xml:space="preserve"> SEQ level0 \*arabic </w:instrText>
      </w:r>
      <w:r w:rsidRPr="009645C3">
        <w:rPr>
          <w:rFonts w:eastAsia="Times New Roman"/>
        </w:rPr>
        <w:fldChar w:fldCharType="separate"/>
      </w:r>
      <w:r w:rsidR="00E71E0A" w:rsidRPr="00E71E0A">
        <w:rPr>
          <w:rFonts w:eastAsia="Times New Roman"/>
          <w:noProof/>
          <w:lang w:val="pl-PL"/>
        </w:rPr>
        <w:t>63</w:t>
      </w:r>
      <w:r w:rsidRPr="009645C3">
        <w:rPr>
          <w:rFonts w:eastAsia="Times New Roman"/>
        </w:rPr>
        <w:fldChar w:fldCharType="end"/>
      </w:r>
      <w:r w:rsidRPr="00E71E0A">
        <w:rPr>
          <w:rFonts w:eastAsia="Times New Roman"/>
          <w:lang w:val="pl-PL"/>
        </w:rPr>
        <w:t>.  </w:t>
      </w:r>
      <w:r w:rsidR="00B900EF" w:rsidRPr="00B900EF">
        <w:rPr>
          <w:lang w:val="pl-PL"/>
        </w:rPr>
        <w:t>Trybunał stwierdza, w okolicznościach niniejszej sprawy, że istnieje związek przyczynowy między stwierdzonym naruszeniem a poniesioną szkodę majątkową, gdyż skarżący powołuje się na kwotę, której zapłatę nakazały mu sądy krajowe (zob</w:t>
      </w:r>
      <w:r w:rsidR="00A43A7F">
        <w:rPr>
          <w:lang w:val="pl-PL"/>
        </w:rPr>
        <w:t>.</w:t>
      </w:r>
      <w:r w:rsidR="00B900EF" w:rsidRPr="00B900EF">
        <w:rPr>
          <w:lang w:val="pl-PL"/>
        </w:rPr>
        <w:t xml:space="preserve"> </w:t>
      </w:r>
      <w:r w:rsidR="00B900EF" w:rsidRPr="00B900EF">
        <w:rPr>
          <w:i/>
          <w:lang w:val="pl-PL"/>
        </w:rPr>
        <w:t>Braun</w:t>
      </w:r>
      <w:r w:rsidR="00B900EF" w:rsidRPr="00B900EF">
        <w:rPr>
          <w:lang w:val="pl-PL"/>
        </w:rPr>
        <w:t>, cytowany powyżej , § 55). Trybunał zasądza na rzecz skarżącego dochodzone kwoty w całości, czyli 12.450 euro (EUR)</w:t>
      </w:r>
      <w:r w:rsidRPr="00B900EF">
        <w:rPr>
          <w:rFonts w:eastAsia="Times New Roman"/>
          <w:lang w:val="pl-PL"/>
        </w:rPr>
        <w:t>.</w:t>
      </w:r>
    </w:p>
    <w:p w:rsidR="00382CC8" w:rsidRPr="00B900EF" w:rsidRDefault="00F34463" w:rsidP="009645C3">
      <w:pPr>
        <w:pStyle w:val="ECHRPara"/>
        <w:keepLines/>
        <w:widowControl w:val="0"/>
        <w:rPr>
          <w:rFonts w:eastAsia="Times New Roman"/>
          <w:lang w:val="pl-PL"/>
        </w:rPr>
      </w:pPr>
      <w:r w:rsidRPr="009645C3">
        <w:rPr>
          <w:rFonts w:eastAsia="Times New Roman"/>
        </w:rPr>
        <w:lastRenderedPageBreak/>
        <w:fldChar w:fldCharType="begin"/>
      </w:r>
      <w:r w:rsidRPr="00E71E0A">
        <w:rPr>
          <w:rFonts w:eastAsia="Times New Roman"/>
          <w:lang w:val="pl-PL"/>
        </w:rPr>
        <w:instrText xml:space="preserve"> SEQ level0 \*arabic </w:instrText>
      </w:r>
      <w:r w:rsidRPr="009645C3">
        <w:rPr>
          <w:rFonts w:eastAsia="Times New Roman"/>
        </w:rPr>
        <w:fldChar w:fldCharType="separate"/>
      </w:r>
      <w:r w:rsidR="00E71E0A" w:rsidRPr="00E71E0A">
        <w:rPr>
          <w:rFonts w:eastAsia="Times New Roman"/>
          <w:noProof/>
          <w:lang w:val="pl-PL"/>
        </w:rPr>
        <w:t>64</w:t>
      </w:r>
      <w:r w:rsidRPr="009645C3">
        <w:rPr>
          <w:rFonts w:eastAsia="Times New Roman"/>
        </w:rPr>
        <w:fldChar w:fldCharType="end"/>
      </w:r>
      <w:r w:rsidRPr="00E71E0A">
        <w:rPr>
          <w:rFonts w:eastAsia="Times New Roman"/>
          <w:lang w:val="pl-PL"/>
        </w:rPr>
        <w:t>.  </w:t>
      </w:r>
      <w:r w:rsidR="00B900EF" w:rsidRPr="00B900EF">
        <w:rPr>
          <w:lang w:val="pl-PL"/>
        </w:rPr>
        <w:t>W odniesieniu do roszczenia z tytułu szkody niemajątkowej, Trybunał uznaje, że stwierdzenie naruszenia artykułu 10 Konwencji stanowi samo w sobie wystarczające zadośćuczynienie za szkody niemajątkowej poniesionej przez skarżącego</w:t>
      </w:r>
      <w:r w:rsidR="00382CC8" w:rsidRPr="00B900EF">
        <w:rPr>
          <w:lang w:val="pl-PL"/>
        </w:rPr>
        <w:t>.</w:t>
      </w:r>
    </w:p>
    <w:p w:rsidR="00F34463" w:rsidRPr="00E71E0A" w:rsidRDefault="00F34463" w:rsidP="009645C3">
      <w:pPr>
        <w:pStyle w:val="ECHRHeading2"/>
        <w:keepNext w:val="0"/>
        <w:keepLines w:val="0"/>
        <w:widowControl w:val="0"/>
        <w:rPr>
          <w:rFonts w:eastAsia="Times New Roman"/>
          <w:lang w:val="pl-PL"/>
        </w:rPr>
      </w:pPr>
      <w:r w:rsidRPr="00E71E0A">
        <w:rPr>
          <w:rFonts w:eastAsia="Times New Roman"/>
          <w:lang w:val="pl-PL"/>
        </w:rPr>
        <w:t>B.  </w:t>
      </w:r>
      <w:r w:rsidR="00B900EF" w:rsidRPr="004C015D">
        <w:rPr>
          <w:lang w:val="pl-PL"/>
        </w:rPr>
        <w:t>Koszty i wydatki</w:t>
      </w:r>
    </w:p>
    <w:p w:rsidR="00F34463" w:rsidRPr="00B900EF" w:rsidRDefault="0099567E" w:rsidP="009645C3">
      <w:pPr>
        <w:pStyle w:val="ECHRPara"/>
        <w:widowControl w:val="0"/>
        <w:rPr>
          <w:rFonts w:eastAsia="Times New Roman"/>
          <w:lang w:val="pl-PL"/>
        </w:rPr>
      </w:pPr>
      <w:r w:rsidRPr="009645C3">
        <w:rPr>
          <w:rFonts w:eastAsia="Times New Roman"/>
          <w:lang w:val="en-GB"/>
        </w:rPr>
        <w:fldChar w:fldCharType="begin"/>
      </w:r>
      <w:r w:rsidRPr="00E71E0A">
        <w:rPr>
          <w:rFonts w:eastAsia="Times New Roman"/>
          <w:lang w:val="pl-PL"/>
        </w:rPr>
        <w:instrText xml:space="preserve"> SEQ level0 \*arabic </w:instrText>
      </w:r>
      <w:r w:rsidRPr="009645C3">
        <w:rPr>
          <w:rFonts w:eastAsia="Times New Roman"/>
          <w:lang w:val="en-GB"/>
        </w:rPr>
        <w:fldChar w:fldCharType="separate"/>
      </w:r>
      <w:r w:rsidR="00E71E0A" w:rsidRPr="00E71E0A">
        <w:rPr>
          <w:rFonts w:eastAsia="Times New Roman"/>
          <w:noProof/>
          <w:lang w:val="pl-PL"/>
        </w:rPr>
        <w:t>65</w:t>
      </w:r>
      <w:r w:rsidRPr="009645C3">
        <w:rPr>
          <w:rFonts w:eastAsia="Times New Roman"/>
          <w:lang w:val="en-GB"/>
        </w:rPr>
        <w:fldChar w:fldCharType="end"/>
      </w:r>
      <w:r w:rsidRPr="00E71E0A">
        <w:rPr>
          <w:rFonts w:eastAsia="Times New Roman"/>
          <w:lang w:val="pl-PL"/>
        </w:rPr>
        <w:t>.  </w:t>
      </w:r>
      <w:r w:rsidR="00B900EF" w:rsidRPr="00B900EF">
        <w:rPr>
          <w:lang w:val="pl-PL"/>
        </w:rPr>
        <w:t xml:space="preserve">Skarżący, który był reprezentowany przez adwokata w postępowaniu przed Trybunałem, nie </w:t>
      </w:r>
      <w:r w:rsidR="007164B9">
        <w:rPr>
          <w:lang w:val="pl-PL"/>
        </w:rPr>
        <w:t>złożył wniosku</w:t>
      </w:r>
      <w:r w:rsidR="00B900EF" w:rsidRPr="00B900EF">
        <w:rPr>
          <w:lang w:val="pl-PL"/>
        </w:rPr>
        <w:t xml:space="preserve"> o zwrot kosztów </w:t>
      </w:r>
      <w:r w:rsidR="00A43A7F">
        <w:rPr>
          <w:lang w:val="pl-PL"/>
        </w:rPr>
        <w:br/>
      </w:r>
      <w:r w:rsidR="00B900EF" w:rsidRPr="00B900EF">
        <w:rPr>
          <w:lang w:val="pl-PL"/>
        </w:rPr>
        <w:t>i wydatków</w:t>
      </w:r>
      <w:r w:rsidR="00D12AD1" w:rsidRPr="00B900EF">
        <w:rPr>
          <w:lang w:val="pl-PL"/>
        </w:rPr>
        <w:t>.</w:t>
      </w:r>
    </w:p>
    <w:p w:rsidR="00F34463" w:rsidRPr="00E71E0A" w:rsidRDefault="00F34463" w:rsidP="009645C3">
      <w:pPr>
        <w:pStyle w:val="ECHRHeading2"/>
        <w:rPr>
          <w:rFonts w:eastAsia="Times New Roman"/>
          <w:lang w:val="pl-PL"/>
        </w:rPr>
      </w:pPr>
      <w:r w:rsidRPr="00E71E0A">
        <w:rPr>
          <w:rFonts w:eastAsia="Times New Roman"/>
          <w:lang w:val="pl-PL"/>
        </w:rPr>
        <w:t>C.  </w:t>
      </w:r>
      <w:r w:rsidR="00B900EF" w:rsidRPr="004C015D">
        <w:rPr>
          <w:lang w:val="pl-PL"/>
        </w:rPr>
        <w:t>Odsetki za zwłokę</w:t>
      </w:r>
    </w:p>
    <w:p w:rsidR="00F34463" w:rsidRPr="00B900EF" w:rsidRDefault="00F34463" w:rsidP="009645C3">
      <w:pPr>
        <w:pStyle w:val="ECHRPara"/>
        <w:rPr>
          <w:lang w:val="pl-PL"/>
        </w:rPr>
      </w:pPr>
      <w:r w:rsidRPr="009645C3">
        <w:rPr>
          <w:rFonts w:eastAsia="Times New Roman"/>
        </w:rPr>
        <w:fldChar w:fldCharType="begin"/>
      </w:r>
      <w:r w:rsidRPr="00E71E0A">
        <w:rPr>
          <w:rFonts w:eastAsia="Times New Roman"/>
          <w:lang w:val="pl-PL"/>
        </w:rPr>
        <w:instrText xml:space="preserve"> SEQ level0 \*arabic </w:instrText>
      </w:r>
      <w:r w:rsidRPr="009645C3">
        <w:rPr>
          <w:rFonts w:eastAsia="Times New Roman"/>
        </w:rPr>
        <w:fldChar w:fldCharType="separate"/>
      </w:r>
      <w:r w:rsidR="00E71E0A" w:rsidRPr="00E71E0A">
        <w:rPr>
          <w:rFonts w:eastAsia="Times New Roman"/>
          <w:noProof/>
          <w:lang w:val="pl-PL"/>
        </w:rPr>
        <w:t>66</w:t>
      </w:r>
      <w:r w:rsidRPr="009645C3">
        <w:rPr>
          <w:rFonts w:eastAsia="Times New Roman"/>
        </w:rPr>
        <w:fldChar w:fldCharType="end"/>
      </w:r>
      <w:r w:rsidRPr="00E71E0A">
        <w:rPr>
          <w:rFonts w:eastAsia="Times New Roman"/>
          <w:lang w:val="pl-PL"/>
        </w:rPr>
        <w:t>.  </w:t>
      </w:r>
      <w:r w:rsidR="00B900EF" w:rsidRPr="004C015D">
        <w:rPr>
          <w:lang w:val="pl-PL"/>
        </w:rPr>
        <w:t>Trybunał uznaje za właściwe, aby odsetki za zwłokę były oparte na marginalnej stopie procentowej Europejskiego Banku Centralnego, powiększonej o trzy punkty procentowe</w:t>
      </w:r>
      <w:r w:rsidR="00236A15" w:rsidRPr="00B900EF">
        <w:rPr>
          <w:rFonts w:eastAsia="Times New Roman"/>
          <w:lang w:val="pl-PL"/>
        </w:rPr>
        <w:t>.</w:t>
      </w:r>
    </w:p>
    <w:p w:rsidR="00014566" w:rsidRPr="00E71E0A" w:rsidRDefault="00B900EF" w:rsidP="009645C3">
      <w:pPr>
        <w:pStyle w:val="ECHRTitle1"/>
        <w:rPr>
          <w:lang w:val="pl-PL"/>
        </w:rPr>
      </w:pPr>
      <w:r w:rsidRPr="004C015D">
        <w:rPr>
          <w:lang w:val="pl-PL"/>
        </w:rPr>
        <w:t>Z TYCH PRZYCZYN TRYBUNAŁ, JEDNOMYŚLNIE</w:t>
      </w:r>
    </w:p>
    <w:p w:rsidR="00B637B9" w:rsidRPr="00B900EF" w:rsidRDefault="00B637B9" w:rsidP="009645C3">
      <w:pPr>
        <w:pStyle w:val="JuList"/>
        <w:rPr>
          <w:lang w:val="pl-PL"/>
        </w:rPr>
      </w:pPr>
      <w:r w:rsidRPr="00E71E0A">
        <w:rPr>
          <w:lang w:val="pl-PL"/>
        </w:rPr>
        <w:t>1.  </w:t>
      </w:r>
      <w:r w:rsidR="00B900EF" w:rsidRPr="004C015D">
        <w:rPr>
          <w:i/>
          <w:lang w:val="pl-PL"/>
        </w:rPr>
        <w:t>Uznaje</w:t>
      </w:r>
      <w:r w:rsidR="00B900EF" w:rsidRPr="004C015D">
        <w:rPr>
          <w:lang w:val="pl-PL"/>
        </w:rPr>
        <w:t xml:space="preserve"> </w:t>
      </w:r>
      <w:r w:rsidR="00B900EF" w:rsidRPr="00B900EF">
        <w:rPr>
          <w:lang w:val="pl-PL"/>
        </w:rPr>
        <w:t>jednogłośnie</w:t>
      </w:r>
      <w:r w:rsidR="00B900EF" w:rsidRPr="004C015D">
        <w:rPr>
          <w:lang w:val="pl-PL"/>
        </w:rPr>
        <w:t xml:space="preserve"> skargę za dopuszczalną</w:t>
      </w:r>
      <w:r w:rsidRPr="00B900EF">
        <w:rPr>
          <w:lang w:val="pl-PL"/>
        </w:rPr>
        <w:t>;</w:t>
      </w:r>
    </w:p>
    <w:p w:rsidR="0082039E" w:rsidRPr="00B900EF" w:rsidRDefault="0082039E" w:rsidP="009645C3">
      <w:pPr>
        <w:pStyle w:val="JuList"/>
        <w:rPr>
          <w:lang w:val="pl-PL"/>
        </w:rPr>
      </w:pPr>
    </w:p>
    <w:p w:rsidR="00014566" w:rsidRPr="00B900EF" w:rsidRDefault="00D9062A" w:rsidP="009645C3">
      <w:pPr>
        <w:pStyle w:val="JuList"/>
        <w:rPr>
          <w:lang w:val="pl-PL"/>
        </w:rPr>
      </w:pPr>
      <w:r w:rsidRPr="00E71E0A">
        <w:rPr>
          <w:lang w:val="pl-PL"/>
        </w:rPr>
        <w:t>2</w:t>
      </w:r>
      <w:r w:rsidR="00014566" w:rsidRPr="00E71E0A">
        <w:rPr>
          <w:lang w:val="pl-PL"/>
        </w:rPr>
        <w:t>.  </w:t>
      </w:r>
      <w:r w:rsidR="00B900EF" w:rsidRPr="00903B7E">
        <w:rPr>
          <w:i/>
          <w:lang w:val="pl-PL"/>
        </w:rPr>
        <w:t>Stwierdza</w:t>
      </w:r>
      <w:r w:rsidR="00B900EF" w:rsidRPr="00B900EF">
        <w:rPr>
          <w:lang w:val="pl-PL"/>
        </w:rPr>
        <w:t xml:space="preserve"> jednogłośnie, że doszło do naruszenia artykułu 10 Konwencji</w:t>
      </w:r>
      <w:r w:rsidR="007461FC" w:rsidRPr="00B900EF">
        <w:rPr>
          <w:lang w:val="pl-PL"/>
        </w:rPr>
        <w:t>;</w:t>
      </w:r>
    </w:p>
    <w:p w:rsidR="00CA3DA5" w:rsidRPr="00B900EF" w:rsidRDefault="00CA3DA5" w:rsidP="009645C3">
      <w:pPr>
        <w:pStyle w:val="JuList"/>
        <w:rPr>
          <w:lang w:val="pl-PL"/>
        </w:rPr>
      </w:pPr>
    </w:p>
    <w:p w:rsidR="00EB68D7" w:rsidRPr="00B900EF" w:rsidRDefault="00EB68D7" w:rsidP="009645C3">
      <w:pPr>
        <w:pStyle w:val="JuList"/>
        <w:rPr>
          <w:lang w:val="pl-PL"/>
        </w:rPr>
      </w:pPr>
      <w:r w:rsidRPr="00E71E0A">
        <w:rPr>
          <w:rFonts w:ascii="Times New Roman" w:eastAsia="Times New Roman" w:hAnsi="Times New Roman" w:cs="Times New Roman"/>
          <w:lang w:val="pl-PL" w:eastAsia="fr-FR"/>
        </w:rPr>
        <w:t>3.  </w:t>
      </w:r>
      <w:r w:rsidR="00B900EF" w:rsidRPr="00903B7E">
        <w:rPr>
          <w:i/>
          <w:lang w:val="pl-PL"/>
        </w:rPr>
        <w:t>Stwierdza</w:t>
      </w:r>
      <w:r w:rsidR="00B900EF" w:rsidRPr="00B900EF">
        <w:rPr>
          <w:lang w:val="pl-PL"/>
        </w:rPr>
        <w:t xml:space="preserve">, sześcioma głosami do jednego, że stwierdzenie naruszenia artykułu 10 stanowi samo w sobie wystarczające </w:t>
      </w:r>
      <w:r w:rsidR="00903B7E">
        <w:rPr>
          <w:lang w:val="pl-PL"/>
        </w:rPr>
        <w:t xml:space="preserve">słuszne </w:t>
      </w:r>
      <w:r w:rsidR="00B900EF" w:rsidRPr="00B900EF">
        <w:rPr>
          <w:lang w:val="pl-PL"/>
        </w:rPr>
        <w:t>zadośćuczynienie z tytułu wszelkich szkód niematerialnych poniesionych przez skarżącego</w:t>
      </w:r>
      <w:r w:rsidR="00855939" w:rsidRPr="00B900EF">
        <w:rPr>
          <w:lang w:val="pl-PL"/>
        </w:rPr>
        <w:t>;</w:t>
      </w:r>
    </w:p>
    <w:p w:rsidR="00A03B53" w:rsidRPr="00B900EF" w:rsidRDefault="00A03B53" w:rsidP="009645C3">
      <w:pPr>
        <w:pStyle w:val="JuList"/>
        <w:rPr>
          <w:rFonts w:ascii="Times New Roman" w:hAnsi="Times New Roman"/>
          <w:spacing w:val="-6"/>
          <w:lang w:val="pl-PL"/>
        </w:rPr>
      </w:pPr>
    </w:p>
    <w:p w:rsidR="00EB68D7" w:rsidRPr="00E71E0A" w:rsidRDefault="00EB68D7" w:rsidP="009645C3">
      <w:pPr>
        <w:ind w:left="340" w:hanging="340"/>
        <w:rPr>
          <w:rFonts w:ascii="Times New Roman" w:eastAsia="Times New Roman" w:hAnsi="Times New Roman" w:cs="Times New Roman"/>
          <w:lang w:val="pl-PL" w:eastAsia="fr-FR"/>
        </w:rPr>
      </w:pPr>
      <w:r w:rsidRPr="00E71E0A">
        <w:rPr>
          <w:rFonts w:ascii="Times New Roman" w:eastAsia="Times New Roman" w:hAnsi="Times New Roman" w:cs="Times New Roman"/>
          <w:lang w:val="pl-PL" w:eastAsia="fr-FR"/>
        </w:rPr>
        <w:t>4.  </w:t>
      </w:r>
      <w:r w:rsidR="00B900EF" w:rsidRPr="00903B7E">
        <w:rPr>
          <w:i/>
          <w:lang w:val="pl-PL"/>
        </w:rPr>
        <w:t>Stwierdza</w:t>
      </w:r>
      <w:r w:rsidRPr="00E71E0A">
        <w:rPr>
          <w:rFonts w:ascii="Times New Roman" w:eastAsia="Times New Roman" w:hAnsi="Times New Roman" w:cs="Times New Roman"/>
          <w:lang w:val="pl-PL" w:eastAsia="fr-FR"/>
        </w:rPr>
        <w:t xml:space="preserve">, </w:t>
      </w:r>
      <w:r w:rsidR="00B900EF" w:rsidRPr="00E71E0A">
        <w:rPr>
          <w:lang w:val="pl-PL"/>
        </w:rPr>
        <w:t>jednogłośnie</w:t>
      </w:r>
      <w:r w:rsidRPr="00E71E0A">
        <w:rPr>
          <w:rFonts w:ascii="Times New Roman" w:eastAsia="Times New Roman" w:hAnsi="Times New Roman" w:cs="Times New Roman"/>
          <w:lang w:val="pl-PL" w:eastAsia="fr-FR"/>
        </w:rPr>
        <w:t>,</w:t>
      </w:r>
    </w:p>
    <w:p w:rsidR="00552235" w:rsidRPr="00B900EF" w:rsidRDefault="00552235" w:rsidP="00B900EF">
      <w:pPr>
        <w:pStyle w:val="JuLista"/>
        <w:rPr>
          <w:rFonts w:eastAsia="Times New Roman"/>
          <w:lang w:val="pl-PL" w:eastAsia="fr-FR"/>
        </w:rPr>
      </w:pPr>
      <w:r w:rsidRPr="00B900EF">
        <w:rPr>
          <w:lang w:val="pl-PL"/>
        </w:rPr>
        <w:t>(a)  </w:t>
      </w:r>
      <w:r w:rsidR="00B900EF" w:rsidRPr="00B900EF">
        <w:rPr>
          <w:lang w:val="pl-PL"/>
        </w:rPr>
        <w:t>że pozwane Państwo ma wypłacić skarżącemu, w ciągu trzech miesięcy od dnia, w którym wyrok stanie się prawomocny zgodnie z artykułem 44 § 2 Konwencji</w:t>
      </w:r>
      <w:r w:rsidRPr="00B900EF">
        <w:rPr>
          <w:lang w:val="pl-PL"/>
        </w:rPr>
        <w:t xml:space="preserve">, </w:t>
      </w:r>
      <w:r w:rsidR="00B900EF" w:rsidRPr="00B900EF">
        <w:rPr>
          <w:lang w:val="pl-PL"/>
        </w:rPr>
        <w:t>12</w:t>
      </w:r>
      <w:r w:rsidR="00903B7E">
        <w:rPr>
          <w:lang w:val="pl-PL"/>
        </w:rPr>
        <w:t>.</w:t>
      </w:r>
      <w:r w:rsidR="00B900EF" w:rsidRPr="00B900EF">
        <w:rPr>
          <w:lang w:val="pl-PL"/>
        </w:rPr>
        <w:t xml:space="preserve">450 </w:t>
      </w:r>
      <w:r w:rsidRPr="00B900EF">
        <w:rPr>
          <w:lang w:val="pl-PL"/>
        </w:rPr>
        <w:t>EUR (</w:t>
      </w:r>
      <w:r w:rsidR="00B900EF" w:rsidRPr="00B900EF">
        <w:rPr>
          <w:lang w:val="pl-PL"/>
        </w:rPr>
        <w:t>dwanaści</w:t>
      </w:r>
      <w:r w:rsidR="00A669FB">
        <w:rPr>
          <w:lang w:val="pl-PL"/>
        </w:rPr>
        <w:t>e</w:t>
      </w:r>
      <w:r w:rsidR="00B900EF" w:rsidRPr="00B900EF">
        <w:rPr>
          <w:lang w:val="pl-PL"/>
        </w:rPr>
        <w:t xml:space="preserve"> tysięcy czterysta pięćdziesiąt euro</w:t>
      </w:r>
      <w:r w:rsidRPr="00B900EF">
        <w:rPr>
          <w:lang w:val="pl-PL"/>
        </w:rPr>
        <w:t xml:space="preserve">), </w:t>
      </w:r>
      <w:r w:rsidR="00B900EF">
        <w:rPr>
          <w:lang w:val="pl-PL"/>
        </w:rPr>
        <w:t xml:space="preserve">tytułem poniesionej szkody </w:t>
      </w:r>
      <w:r w:rsidR="00B900EF" w:rsidRPr="004C015D">
        <w:rPr>
          <w:lang w:val="pl-PL"/>
        </w:rPr>
        <w:t>materialnej, powiększoną o wszelkie podatki, które mogą zostać nałożone na skarżącego, przeliczoną na walutę pozwanego państwa po kursie obowiązującym w dniu wydania rozstrzygnięcia</w:t>
      </w:r>
      <w:r w:rsidRPr="00B900EF">
        <w:rPr>
          <w:lang w:val="pl-PL"/>
        </w:rPr>
        <w:t>;</w:t>
      </w:r>
    </w:p>
    <w:p w:rsidR="00EB68D7" w:rsidRPr="00B900EF" w:rsidRDefault="00EB68D7" w:rsidP="009645C3">
      <w:pPr>
        <w:pStyle w:val="JuList"/>
        <w:rPr>
          <w:rFonts w:eastAsia="Times New Roman"/>
          <w:lang w:val="pl-PL" w:eastAsia="fr-FR"/>
        </w:rPr>
      </w:pPr>
    </w:p>
    <w:p w:rsidR="00EB68D7" w:rsidRPr="00B900EF" w:rsidRDefault="00EB68D7" w:rsidP="009645C3">
      <w:pPr>
        <w:pStyle w:val="JuList"/>
        <w:rPr>
          <w:rFonts w:eastAsia="Times New Roman"/>
          <w:lang w:val="pl-PL" w:eastAsia="fr-FR"/>
        </w:rPr>
      </w:pPr>
      <w:r w:rsidRPr="00E71E0A">
        <w:rPr>
          <w:rFonts w:eastAsia="Times New Roman"/>
          <w:lang w:val="pl-PL" w:eastAsia="fr-FR"/>
        </w:rPr>
        <w:t>5.  </w:t>
      </w:r>
      <w:r w:rsidR="00B900EF" w:rsidRPr="00903B7E">
        <w:rPr>
          <w:i/>
          <w:lang w:val="pl-PL"/>
        </w:rPr>
        <w:t>Oddala</w:t>
      </w:r>
      <w:r w:rsidR="00B900EF" w:rsidRPr="00B900EF">
        <w:rPr>
          <w:lang w:val="pl-PL"/>
        </w:rPr>
        <w:t xml:space="preserve"> jednogłośnie pozostałą część roszczenia skarżącego o </w:t>
      </w:r>
      <w:r w:rsidR="00903B7E">
        <w:rPr>
          <w:lang w:val="pl-PL"/>
        </w:rPr>
        <w:t xml:space="preserve">słuszne </w:t>
      </w:r>
      <w:r w:rsidR="00B900EF" w:rsidRPr="00B900EF">
        <w:rPr>
          <w:lang w:val="pl-PL"/>
        </w:rPr>
        <w:t>zadośćuczynienie</w:t>
      </w:r>
      <w:r w:rsidRPr="00B900EF">
        <w:rPr>
          <w:rFonts w:eastAsia="Times New Roman"/>
          <w:spacing w:val="-6"/>
          <w:lang w:val="pl-PL" w:eastAsia="fr-FR"/>
        </w:rPr>
        <w:t>.</w:t>
      </w:r>
    </w:p>
    <w:p w:rsidR="00014566" w:rsidRPr="00B900EF" w:rsidRDefault="00B900EF" w:rsidP="009645C3">
      <w:pPr>
        <w:pStyle w:val="JuParaLast"/>
        <w:rPr>
          <w:lang w:val="pl-PL"/>
        </w:rPr>
      </w:pPr>
      <w:r w:rsidRPr="004C015D">
        <w:rPr>
          <w:lang w:val="pl-PL"/>
        </w:rPr>
        <w:lastRenderedPageBreak/>
        <w:t>Sporządzono w języku angielskim oraz obwieszczono pisemnie dnia</w:t>
      </w:r>
      <w:r w:rsidR="00014566" w:rsidRPr="00B900EF">
        <w:rPr>
          <w:lang w:val="pl-PL"/>
        </w:rPr>
        <w:t xml:space="preserve"> </w:t>
      </w:r>
      <w:r w:rsidR="00854914" w:rsidRPr="00B900EF">
        <w:rPr>
          <w:lang w:val="pl-PL"/>
        </w:rPr>
        <w:t xml:space="preserve">5 </w:t>
      </w:r>
      <w:r>
        <w:rPr>
          <w:lang w:val="pl-PL"/>
        </w:rPr>
        <w:t>lipca</w:t>
      </w:r>
      <w:r w:rsidR="00854914" w:rsidRPr="00B900EF">
        <w:rPr>
          <w:lang w:val="pl-PL"/>
        </w:rPr>
        <w:t xml:space="preserve"> 2016</w:t>
      </w:r>
      <w:r w:rsidR="00E46203">
        <w:rPr>
          <w:lang w:val="pl-PL"/>
        </w:rPr>
        <w:t>r.</w:t>
      </w:r>
      <w:r w:rsidRPr="004C015D">
        <w:rPr>
          <w:lang w:val="pl-PL"/>
        </w:rPr>
        <w:t>, zgodnie z Regułą 77 ust. 2 i ust. 3 Regulaminu Trybunału</w:t>
      </w:r>
      <w:r w:rsidR="00014566" w:rsidRPr="00B900EF">
        <w:rPr>
          <w:lang w:val="pl-PL"/>
        </w:rPr>
        <w:t>.</w:t>
      </w:r>
    </w:p>
    <w:p w:rsidR="004D15F3" w:rsidRPr="00B900EF" w:rsidRDefault="00014566" w:rsidP="009645C3">
      <w:pPr>
        <w:pStyle w:val="JuSigned"/>
        <w:rPr>
          <w:lang w:val="pl-PL"/>
        </w:rPr>
      </w:pPr>
      <w:r w:rsidRPr="00B900EF">
        <w:rPr>
          <w:lang w:val="pl-PL"/>
        </w:rPr>
        <w:tab/>
      </w:r>
      <w:r w:rsidR="009645C3" w:rsidRPr="00B900EF">
        <w:rPr>
          <w:lang w:val="pl-PL"/>
        </w:rPr>
        <w:t xml:space="preserve"> </w:t>
      </w:r>
      <w:r w:rsidR="00086411" w:rsidRPr="009645C3">
        <w:rPr>
          <w:lang w:val="it-IT"/>
        </w:rPr>
        <w:t>Marialena Tsirli</w:t>
      </w:r>
      <w:r w:rsidRPr="00B900EF">
        <w:rPr>
          <w:lang w:val="pl-PL"/>
        </w:rPr>
        <w:tab/>
      </w:r>
      <w:r w:rsidR="000F6502" w:rsidRPr="00B900EF">
        <w:rPr>
          <w:szCs w:val="24"/>
          <w:lang w:val="pl-PL"/>
        </w:rPr>
        <w:t>András Sajó</w:t>
      </w:r>
      <w:r w:rsidR="00E1557C" w:rsidRPr="00B900EF">
        <w:rPr>
          <w:szCs w:val="24"/>
          <w:lang w:val="pl-PL"/>
        </w:rPr>
        <w:br/>
      </w:r>
      <w:r w:rsidRPr="00B900EF">
        <w:rPr>
          <w:lang w:val="pl-PL"/>
        </w:rPr>
        <w:tab/>
      </w:r>
      <w:r w:rsidR="009645C3" w:rsidRPr="00B900EF">
        <w:rPr>
          <w:lang w:val="pl-PL"/>
        </w:rPr>
        <w:t xml:space="preserve"> </w:t>
      </w:r>
      <w:r w:rsidR="00B900EF" w:rsidRPr="004C015D">
        <w:rPr>
          <w:iCs/>
          <w:lang w:val="pl-PL"/>
        </w:rPr>
        <w:t>Kanclerz</w:t>
      </w:r>
      <w:r w:rsidRPr="00B900EF">
        <w:rPr>
          <w:lang w:val="pl-PL"/>
        </w:rPr>
        <w:tab/>
      </w:r>
      <w:r w:rsidR="00B900EF" w:rsidRPr="004C015D">
        <w:rPr>
          <w:lang w:val="pl-PL"/>
        </w:rPr>
        <w:t>Przewodniczący</w:t>
      </w:r>
    </w:p>
    <w:p w:rsidR="00CB3CA3" w:rsidRPr="004D24FE" w:rsidRDefault="004D24FE" w:rsidP="009645C3">
      <w:pPr>
        <w:pStyle w:val="JuParaLast"/>
        <w:rPr>
          <w:lang w:val="pl-PL"/>
        </w:rPr>
      </w:pPr>
      <w:r w:rsidRPr="004D24FE">
        <w:rPr>
          <w:lang w:val="pl-PL"/>
        </w:rPr>
        <w:t xml:space="preserve">Zgodnie z artykułem 45 § 2 Konwencji oraz Regułą 74 § 2 Regulaminu Trybunału, do niniejszego wyroku załącza się opinię </w:t>
      </w:r>
      <w:r w:rsidR="00903B7E" w:rsidRPr="004D24FE">
        <w:rPr>
          <w:lang w:val="pl-PL"/>
        </w:rPr>
        <w:t xml:space="preserve">odrębną </w:t>
      </w:r>
      <w:r w:rsidRPr="004D24FE">
        <w:rPr>
          <w:lang w:val="pl-PL"/>
        </w:rPr>
        <w:t>sędziego Kūris</w:t>
      </w:r>
      <w:r w:rsidR="00CB3CA3" w:rsidRPr="004D24FE">
        <w:rPr>
          <w:lang w:val="pl-PL"/>
        </w:rPr>
        <w:t>.</w:t>
      </w:r>
    </w:p>
    <w:p w:rsidR="00CB3CA3" w:rsidRPr="009645C3" w:rsidRDefault="00CB3CA3" w:rsidP="009645C3">
      <w:pPr>
        <w:pStyle w:val="JuInitialled"/>
        <w:rPr>
          <w:lang w:val="uk-UA"/>
        </w:rPr>
      </w:pPr>
      <w:r w:rsidRPr="00E71E0A">
        <w:rPr>
          <w:lang w:val="pl-PL"/>
        </w:rPr>
        <w:t>A.S.</w:t>
      </w:r>
      <w:r w:rsidRPr="00E71E0A">
        <w:rPr>
          <w:lang w:val="pl-PL"/>
        </w:rPr>
        <w:br/>
        <w:t>M.T.</w:t>
      </w:r>
    </w:p>
    <w:p w:rsidR="009645C3" w:rsidRPr="009645C3" w:rsidRDefault="009645C3" w:rsidP="009645C3">
      <w:pPr>
        <w:pStyle w:val="JuInitialled"/>
        <w:rPr>
          <w:lang w:val="uk-UA"/>
        </w:rPr>
      </w:pPr>
    </w:p>
    <w:p w:rsidR="0052709C" w:rsidRPr="00E71E0A" w:rsidRDefault="0052709C" w:rsidP="009645C3">
      <w:pPr>
        <w:pStyle w:val="JuInitialled"/>
        <w:rPr>
          <w:lang w:val="pl-PL"/>
        </w:rPr>
        <w:sectPr w:rsidR="0052709C" w:rsidRPr="00E71E0A" w:rsidSect="0008144F">
          <w:headerReference w:type="even" r:id="rId14"/>
          <w:head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A7689E" w:rsidRPr="00E71E0A" w:rsidRDefault="004D24FE" w:rsidP="009645C3">
      <w:pPr>
        <w:pStyle w:val="ECHRTitleCentre1"/>
        <w:rPr>
          <w:lang w:val="pl-PL"/>
        </w:rPr>
      </w:pPr>
      <w:r w:rsidRPr="00E71E0A">
        <w:rPr>
          <w:lang w:val="pl-PL"/>
        </w:rPr>
        <w:lastRenderedPageBreak/>
        <w:t xml:space="preserve">CZĘŚCIOWO </w:t>
      </w:r>
      <w:r w:rsidR="00903B7E">
        <w:rPr>
          <w:lang w:val="pl-PL"/>
        </w:rPr>
        <w:t xml:space="preserve">ROZBIEŻNA OPINIA ODRĘBNA </w:t>
      </w:r>
      <w:r w:rsidR="00903B7E">
        <w:rPr>
          <w:lang w:val="pl-PL"/>
        </w:rPr>
        <w:br/>
      </w:r>
      <w:r w:rsidRPr="00E71E0A">
        <w:rPr>
          <w:lang w:val="pl-PL"/>
        </w:rPr>
        <w:t>SĘDZIEGO</w:t>
      </w:r>
      <w:r w:rsidR="00A7689E" w:rsidRPr="00E71E0A">
        <w:rPr>
          <w:lang w:val="pl-PL"/>
        </w:rPr>
        <w:t xml:space="preserve"> KŪRIS</w:t>
      </w:r>
    </w:p>
    <w:p w:rsidR="00A7689E" w:rsidRPr="00EC61E1" w:rsidRDefault="00A7689E" w:rsidP="009645C3">
      <w:pPr>
        <w:pStyle w:val="OpiPara"/>
        <w:rPr>
          <w:rFonts w:eastAsia="Times New Roman"/>
          <w:lang w:val="pl-PL" w:eastAsia="fr-FR"/>
        </w:rPr>
      </w:pPr>
      <w:r w:rsidRPr="00126970">
        <w:rPr>
          <w:rFonts w:eastAsia="Times New Roman"/>
          <w:lang w:val="pl-PL" w:eastAsia="fr-FR"/>
        </w:rPr>
        <w:t>1.  </w:t>
      </w:r>
      <w:r w:rsidR="00EC61E1" w:rsidRPr="00EC61E1">
        <w:rPr>
          <w:lang w:val="pl-PL"/>
        </w:rPr>
        <w:t xml:space="preserve">Nie zgadzam się z większością odnośnie pkt 3 sentencji wyroku. </w:t>
      </w:r>
      <w:r w:rsidR="001A3E76">
        <w:rPr>
          <w:lang w:val="pl-PL"/>
        </w:rPr>
        <w:br/>
      </w:r>
      <w:r w:rsidR="00EC61E1" w:rsidRPr="00EC61E1">
        <w:rPr>
          <w:lang w:val="pl-PL"/>
        </w:rPr>
        <w:t xml:space="preserve">W pkt 64 stwierdza się, że "stwierdzenie naruszenia artykułu 10 Konwencji stanowi samo w sobie wystarczające zadośćuczynienie za szkody niemajątkowe poniesione przez skarżącego" (patrz pkt 64 wyroku). </w:t>
      </w:r>
      <w:r w:rsidR="001A3E76">
        <w:rPr>
          <w:lang w:val="pl-PL"/>
        </w:rPr>
        <w:br/>
      </w:r>
      <w:r w:rsidR="00EC61E1" w:rsidRPr="00EC61E1">
        <w:rPr>
          <w:lang w:val="pl-PL"/>
        </w:rPr>
        <w:t xml:space="preserve">W moim przekonaniu, </w:t>
      </w:r>
      <w:r w:rsidR="00E46203">
        <w:rPr>
          <w:lang w:val="pl-PL"/>
        </w:rPr>
        <w:t>zadośćuczynienie powinno zostać</w:t>
      </w:r>
      <w:r w:rsidR="00EC61E1" w:rsidRPr="00EC61E1">
        <w:rPr>
          <w:lang w:val="pl-PL"/>
        </w:rPr>
        <w:t xml:space="preserve"> przyznane. Nie wyjaśniono, dlaczego nie było</w:t>
      </w:r>
      <w:r w:rsidR="00E06A80">
        <w:rPr>
          <w:lang w:val="pl-PL"/>
        </w:rPr>
        <w:t xml:space="preserve"> to uzasadnione</w:t>
      </w:r>
      <w:r w:rsidRPr="00EC61E1">
        <w:rPr>
          <w:rFonts w:eastAsia="Times New Roman"/>
          <w:lang w:val="pl-PL" w:eastAsia="fr-FR"/>
        </w:rPr>
        <w:t>.</w:t>
      </w:r>
    </w:p>
    <w:p w:rsidR="00A7689E" w:rsidRPr="00EC61E1" w:rsidRDefault="00CA3B91" w:rsidP="009645C3">
      <w:pPr>
        <w:pStyle w:val="OpiPara"/>
        <w:rPr>
          <w:rFonts w:eastAsia="Times New Roman"/>
          <w:lang w:val="pl-PL" w:eastAsia="fr-FR"/>
        </w:rPr>
      </w:pPr>
      <w:r w:rsidRPr="00126970">
        <w:rPr>
          <w:rFonts w:eastAsia="Times New Roman"/>
          <w:lang w:val="pl-PL" w:eastAsia="fr-FR"/>
        </w:rPr>
        <w:t>2.  </w:t>
      </w:r>
      <w:r w:rsidR="00EC61E1" w:rsidRPr="00EC61E1">
        <w:rPr>
          <w:lang w:val="pl-PL"/>
        </w:rPr>
        <w:t xml:space="preserve">W sprawie </w:t>
      </w:r>
      <w:r w:rsidR="00EC61E1" w:rsidRPr="00EC61E1">
        <w:rPr>
          <w:i/>
          <w:lang w:val="pl-PL"/>
        </w:rPr>
        <w:t>Karácsony i inni przeciwko Węgrom</w:t>
      </w:r>
      <w:r w:rsidR="00EC61E1" w:rsidRPr="00EC61E1">
        <w:rPr>
          <w:lang w:val="pl-PL"/>
        </w:rPr>
        <w:t xml:space="preserve"> ([GC] (nr. 42461/13 i 44357/13, 17 maja 2016) </w:t>
      </w:r>
      <w:r w:rsidR="00AB77BF" w:rsidRPr="00EC61E1">
        <w:rPr>
          <w:lang w:val="pl-PL"/>
        </w:rPr>
        <w:t>skarżącym</w:t>
      </w:r>
      <w:r w:rsidR="00EC61E1" w:rsidRPr="00EC61E1">
        <w:rPr>
          <w:lang w:val="pl-PL"/>
        </w:rPr>
        <w:t xml:space="preserve">, którymi byli również politycy, również nie przyznano </w:t>
      </w:r>
      <w:r w:rsidR="001A3E76">
        <w:rPr>
          <w:lang w:val="pl-PL"/>
        </w:rPr>
        <w:t>zadośćuczynienia</w:t>
      </w:r>
      <w:r w:rsidR="00EC61E1" w:rsidRPr="00EC61E1">
        <w:rPr>
          <w:lang w:val="pl-PL"/>
        </w:rPr>
        <w:t xml:space="preserve"> za szkodę niemajątkową, chociaż Trybunał stwierdził, że doszło do naruszenia artykułu 10 w ich zakresie. Wielka </w:t>
      </w:r>
      <w:r w:rsidR="00AB77BF">
        <w:rPr>
          <w:lang w:val="pl-PL"/>
        </w:rPr>
        <w:t>I</w:t>
      </w:r>
      <w:r w:rsidR="00EC61E1" w:rsidRPr="00EC61E1">
        <w:rPr>
          <w:lang w:val="pl-PL"/>
        </w:rPr>
        <w:t xml:space="preserve">zba nie określiła powodów takiej decyzji o nieudzieleniu zadośćuczynienie (zob </w:t>
      </w:r>
      <w:r w:rsidR="00EC61E1" w:rsidRPr="00EC61E1">
        <w:rPr>
          <w:i/>
          <w:lang w:val="pl-PL"/>
        </w:rPr>
        <w:t>Karácsony i inni</w:t>
      </w:r>
      <w:r w:rsidR="00EC61E1" w:rsidRPr="00EC61E1">
        <w:rPr>
          <w:lang w:val="pl-PL"/>
        </w:rPr>
        <w:t>, § 181). Tak więc, można się tylko domyślać, jakie mogły być te powody</w:t>
      </w:r>
      <w:r w:rsidR="00A7689E" w:rsidRPr="00EC61E1">
        <w:rPr>
          <w:rFonts w:eastAsia="Times New Roman"/>
          <w:lang w:val="pl-PL" w:eastAsia="fr-FR"/>
        </w:rPr>
        <w:t>.</w:t>
      </w:r>
    </w:p>
    <w:p w:rsidR="00A7689E" w:rsidRPr="00EC61E1" w:rsidRDefault="00EC61E1" w:rsidP="009645C3">
      <w:pPr>
        <w:pStyle w:val="OpiPara"/>
        <w:rPr>
          <w:rFonts w:ascii="Times New Roman" w:eastAsia="Times New Roman" w:hAnsi="Times New Roman" w:cs="Times New Roman"/>
          <w:szCs w:val="24"/>
          <w:lang w:val="pl-PL" w:eastAsia="lt-LT"/>
        </w:rPr>
      </w:pPr>
      <w:r w:rsidRPr="00EC61E1">
        <w:rPr>
          <w:lang w:val="pl-PL"/>
        </w:rPr>
        <w:t xml:space="preserve">Mam powody, by sądzić, że przyczyny były podobne do tych wskazanych w mojej częściowo odrębnej opinii w dwóch sprawach Izby, które poprzedzały tą sprawę Wysokiej Izby (patrz </w:t>
      </w:r>
      <w:r w:rsidRPr="00EC61E1">
        <w:rPr>
          <w:i/>
          <w:lang w:val="pl-PL"/>
        </w:rPr>
        <w:t>Karácsony i inni przeciwko Węgrom</w:t>
      </w:r>
      <w:r w:rsidRPr="00EC61E1">
        <w:rPr>
          <w:lang w:val="pl-PL"/>
        </w:rPr>
        <w:t xml:space="preserve">. (Nr 42461/13) oraz </w:t>
      </w:r>
      <w:r w:rsidRPr="00EC61E1">
        <w:rPr>
          <w:i/>
          <w:lang w:val="pl-PL"/>
        </w:rPr>
        <w:t>Szel i inni przeciwko Węgrom</w:t>
      </w:r>
      <w:r w:rsidRPr="00EC61E1">
        <w:rPr>
          <w:lang w:val="pl-PL"/>
        </w:rPr>
        <w:t xml:space="preserve"> (nr 44357/13), oba wydane w dniu 16 września 2014 roku). W tych sprawach nie zgadzam się z większością, która przyznała odszkodowanie </w:t>
      </w:r>
      <w:r w:rsidR="00AB77BF" w:rsidRPr="00EC61E1">
        <w:rPr>
          <w:lang w:val="pl-PL"/>
        </w:rPr>
        <w:t>skarżącym z</w:t>
      </w:r>
      <w:r w:rsidRPr="00EC61E1">
        <w:rPr>
          <w:lang w:val="pl-PL"/>
        </w:rPr>
        <w:t xml:space="preserve"> tytułu szkody niemajątkowej. Twierdziłem, że</w:t>
      </w:r>
      <w:r w:rsidR="00AB77BF">
        <w:rPr>
          <w:lang w:val="pl-PL"/>
        </w:rPr>
        <w:t xml:space="preserve"> "przyznając znaczną finansową "satysfakcję</w:t>
      </w:r>
      <w:r w:rsidRPr="00EC61E1">
        <w:rPr>
          <w:lang w:val="pl-PL"/>
        </w:rPr>
        <w:t>"</w:t>
      </w:r>
      <w:r w:rsidR="00AB77BF">
        <w:rPr>
          <w:lang w:val="pl-PL"/>
        </w:rPr>
        <w:t xml:space="preserve"> </w:t>
      </w:r>
      <w:r w:rsidRPr="00EC61E1">
        <w:rPr>
          <w:lang w:val="pl-PL"/>
        </w:rPr>
        <w:t>wnioskodawcom za szkodę niemajątkową, którą rzekomo ponieśli zachęca, choćby pośrednio, do zachowania politycznego takiego rodzaju, które normalnie powinno być unikane w demokracji parlamenta</w:t>
      </w:r>
      <w:r w:rsidR="00AB77BF">
        <w:rPr>
          <w:lang w:val="pl-PL"/>
        </w:rPr>
        <w:t>rnej</w:t>
      </w:r>
      <w:r w:rsidRPr="00EC61E1">
        <w:rPr>
          <w:lang w:val="pl-PL"/>
        </w:rPr>
        <w:t>". Uwzględniając charakter polityczny tej sprawy, utrzymywałem, że "w przypadku członków Parlamentu ..., wygranie takiej sprawy przed Trybunałem jest samo w sobie, satysfakcją znacznie większą niż przyznane pieniądze ... z tytułu jakiejkolwiek straty niemajątkowej [której] mogli oni doznać", zatem "szkoda niematerialna rzekomo poniesiona ... jest już bardziej niż wystarczająco zrekompensowana przez stwierdzenie naruszeń” Konwencji</w:t>
      </w:r>
      <w:r w:rsidR="00A7689E" w:rsidRPr="00EC61E1">
        <w:rPr>
          <w:rFonts w:ascii="Times New Roman" w:eastAsia="Times New Roman" w:hAnsi="Times New Roman" w:cs="Times New Roman"/>
          <w:szCs w:val="24"/>
          <w:lang w:val="pl-PL" w:eastAsia="lt-LT"/>
        </w:rPr>
        <w:t>.</w:t>
      </w:r>
    </w:p>
    <w:p w:rsidR="00A7689E" w:rsidRPr="00B00D56" w:rsidRDefault="00B00D56" w:rsidP="009645C3">
      <w:pPr>
        <w:pStyle w:val="OpiPara"/>
        <w:rPr>
          <w:rStyle w:val="sb8d990e2"/>
          <w:lang w:val="pl-PL"/>
        </w:rPr>
      </w:pPr>
      <w:r w:rsidRPr="00B00D56">
        <w:rPr>
          <w:lang w:val="pl-PL"/>
        </w:rPr>
        <w:t>Wysoka Izba, również, uznała, postępowanie skarż</w:t>
      </w:r>
      <w:r w:rsidR="00F431C4">
        <w:rPr>
          <w:lang w:val="pl-PL"/>
        </w:rPr>
        <w:t>ących w tym przypadku jako "nie</w:t>
      </w:r>
      <w:r w:rsidRPr="00B00D56">
        <w:rPr>
          <w:lang w:val="pl-PL"/>
        </w:rPr>
        <w:t xml:space="preserve">konwencjonalny sposób dla deputowanych dla wyrażania swoich poglądów", </w:t>
      </w:r>
      <w:r w:rsidR="00AB77BF">
        <w:rPr>
          <w:lang w:val="pl-PL"/>
        </w:rPr>
        <w:t>oraz</w:t>
      </w:r>
      <w:r w:rsidRPr="00B00D56">
        <w:rPr>
          <w:lang w:val="pl-PL"/>
        </w:rPr>
        <w:t xml:space="preserve"> jako "zakłócenie porządku w parlamencie" (patrz </w:t>
      </w:r>
      <w:r w:rsidRPr="00B00D56">
        <w:rPr>
          <w:i/>
          <w:lang w:val="pl-PL"/>
        </w:rPr>
        <w:t>Karácsony i in. Przeciwko Węgrom</w:t>
      </w:r>
      <w:r w:rsidRPr="00B00D56">
        <w:rPr>
          <w:lang w:val="pl-PL"/>
        </w:rPr>
        <w:t xml:space="preserve"> [ GC], cytowany powyżej, § 149). Stwierdzono również, że "kwestionowane sankcje dyscyplinarne, które zostały nałożone na skarżących, były wsparte przez powody, które były istotne dla uzasadnionych celów" (ibid., § 151). Zatem skarżący byli krytykowani za swoje działania. Jednak "ingerencja w [ich] prawo do wolności wypowiedzi" został</w:t>
      </w:r>
      <w:r w:rsidR="00AB77BF">
        <w:rPr>
          <w:lang w:val="pl-PL"/>
        </w:rPr>
        <w:t>a</w:t>
      </w:r>
      <w:r w:rsidRPr="00B00D56">
        <w:rPr>
          <w:lang w:val="pl-PL"/>
        </w:rPr>
        <w:t xml:space="preserve"> uznana przez Wysoką Izbę jak</w:t>
      </w:r>
      <w:r w:rsidR="00AB77BF">
        <w:rPr>
          <w:lang w:val="pl-PL"/>
        </w:rPr>
        <w:t>o</w:t>
      </w:r>
      <w:r w:rsidRPr="00B00D56">
        <w:rPr>
          <w:lang w:val="pl-PL"/>
        </w:rPr>
        <w:t xml:space="preserve"> "nieproporcjonalna do uzasadnionego celu" (ibid., § 161)</w:t>
      </w:r>
      <w:r w:rsidR="00A7689E" w:rsidRPr="00B00D56">
        <w:rPr>
          <w:rStyle w:val="sb8d990e2"/>
          <w:lang w:val="pl-PL"/>
        </w:rPr>
        <w:t>.</w:t>
      </w:r>
    </w:p>
    <w:p w:rsidR="00A7689E" w:rsidRPr="00715F4F" w:rsidRDefault="00CA3B91" w:rsidP="009645C3">
      <w:pPr>
        <w:pStyle w:val="OpiPara"/>
        <w:rPr>
          <w:rStyle w:val="sb8d990e2"/>
          <w:lang w:val="pl-PL"/>
        </w:rPr>
      </w:pPr>
      <w:r w:rsidRPr="00126970">
        <w:rPr>
          <w:rStyle w:val="sb8d990e2"/>
          <w:lang w:val="pl-PL"/>
        </w:rPr>
        <w:lastRenderedPageBreak/>
        <w:t>3.  </w:t>
      </w:r>
      <w:r w:rsidR="00A65F74" w:rsidRPr="00A65F74">
        <w:rPr>
          <w:lang w:val="pl-PL"/>
        </w:rPr>
        <w:t>Niniejszy wyrok nie zawiera najmniejszej wskazówki, że skarżący mógł popełnić jakikolwiek czyn, który byłby nie tylko bezprawny, ale nieodpowiedni lub naganny</w:t>
      </w:r>
      <w:r w:rsidR="00A7689E" w:rsidRPr="00A65F74">
        <w:rPr>
          <w:rFonts w:eastAsia="Times New Roman"/>
          <w:lang w:val="pl-PL" w:eastAsia="lt-LT"/>
        </w:rPr>
        <w:t xml:space="preserve">. </w:t>
      </w:r>
      <w:r w:rsidR="00715F4F" w:rsidRPr="00715F4F">
        <w:rPr>
          <w:lang w:val="pl-PL"/>
        </w:rPr>
        <w:t xml:space="preserve">Trybunał nawet nie napomknął, że ukaranie </w:t>
      </w:r>
      <w:r w:rsidR="00F25106" w:rsidRPr="00715F4F">
        <w:rPr>
          <w:lang w:val="pl-PL"/>
        </w:rPr>
        <w:t>skarżącego</w:t>
      </w:r>
      <w:r w:rsidR="00715F4F" w:rsidRPr="00715F4F">
        <w:rPr>
          <w:lang w:val="pl-PL"/>
        </w:rPr>
        <w:t xml:space="preserve"> może być co najmniej w pewnym stopniu </w:t>
      </w:r>
      <w:r w:rsidR="00F25106" w:rsidRPr="00715F4F">
        <w:rPr>
          <w:lang w:val="pl-PL"/>
        </w:rPr>
        <w:t>uzasadniane przez</w:t>
      </w:r>
      <w:r w:rsidR="00715F4F" w:rsidRPr="00715F4F">
        <w:rPr>
          <w:lang w:val="pl-PL"/>
        </w:rPr>
        <w:t xml:space="preserve"> względy "istotne dla uzasadnionych celów". Wręcz przeciwnie, "podczas gdy skarżący miał odwoływać się do pewnej przesady w swoich </w:t>
      </w:r>
      <w:r w:rsidR="00F25106" w:rsidRPr="00715F4F">
        <w:rPr>
          <w:lang w:val="pl-PL"/>
        </w:rPr>
        <w:t xml:space="preserve">wypowiedziach,... </w:t>
      </w:r>
      <w:r w:rsidR="00715F4F" w:rsidRPr="00715F4F">
        <w:rPr>
          <w:lang w:val="pl-PL"/>
        </w:rPr>
        <w:t xml:space="preserve">to nie wydaje się, że uciekł się do nieuzasadnionego </w:t>
      </w:r>
      <w:r w:rsidR="00F25106" w:rsidRPr="00715F4F">
        <w:rPr>
          <w:lang w:val="pl-PL"/>
        </w:rPr>
        <w:t>obraźliwego</w:t>
      </w:r>
      <w:r w:rsidR="00715F4F" w:rsidRPr="00715F4F">
        <w:rPr>
          <w:lang w:val="pl-PL"/>
        </w:rPr>
        <w:t xml:space="preserve"> i niestosownego języka lub wykraczał poza ogólnie akceptowalny stopień przesady" (patrz </w:t>
      </w:r>
      <w:r w:rsidR="00F25106" w:rsidRPr="00715F4F">
        <w:rPr>
          <w:lang w:val="pl-PL"/>
        </w:rPr>
        <w:t xml:space="preserve">paragraf 54). </w:t>
      </w:r>
      <w:r w:rsidR="00715F4F" w:rsidRPr="00715F4F">
        <w:rPr>
          <w:lang w:val="pl-PL"/>
        </w:rPr>
        <w:t>Ponadto Trybunał nie zgodził si</w:t>
      </w:r>
      <w:r w:rsidR="00D40C9F">
        <w:rPr>
          <w:lang w:val="pl-PL"/>
        </w:rPr>
        <w:t>ę z poglądem sądów krajowych, "</w:t>
      </w:r>
      <w:r w:rsidR="00715F4F" w:rsidRPr="00715F4F">
        <w:rPr>
          <w:lang w:val="pl-PL"/>
        </w:rPr>
        <w:t>że skarżący by</w:t>
      </w:r>
      <w:r w:rsidR="00E76F4F">
        <w:rPr>
          <w:lang w:val="pl-PL"/>
        </w:rPr>
        <w:t>ł</w:t>
      </w:r>
      <w:r w:rsidR="00715F4F" w:rsidRPr="00715F4F">
        <w:rPr>
          <w:lang w:val="pl-PL"/>
        </w:rPr>
        <w:t xml:space="preserve"> zobowiązany udowodnić prawdziwość swoich twierdzeń" i uznał wymóg wobec </w:t>
      </w:r>
      <w:r w:rsidR="00F25106" w:rsidRPr="00715F4F">
        <w:rPr>
          <w:lang w:val="pl-PL"/>
        </w:rPr>
        <w:t>skarżącego</w:t>
      </w:r>
      <w:r w:rsidR="00D40C9F">
        <w:rPr>
          <w:lang w:val="pl-PL"/>
        </w:rPr>
        <w:t xml:space="preserve"> "</w:t>
      </w:r>
      <w:r w:rsidR="000F4AB5">
        <w:rPr>
          <w:lang w:val="pl-PL"/>
        </w:rPr>
        <w:t xml:space="preserve">w postaci </w:t>
      </w:r>
      <w:r w:rsidR="00715F4F" w:rsidRPr="00715F4F">
        <w:rPr>
          <w:lang w:val="pl-PL"/>
        </w:rPr>
        <w:t>spełnieni</w:t>
      </w:r>
      <w:r w:rsidR="000F4AB5">
        <w:rPr>
          <w:lang w:val="pl-PL"/>
        </w:rPr>
        <w:t>a</w:t>
      </w:r>
      <w:r w:rsidR="00715F4F" w:rsidRPr="00715F4F">
        <w:rPr>
          <w:lang w:val="pl-PL"/>
        </w:rPr>
        <w:t xml:space="preserve"> bardziej wymagającego standardu niż należyta staranność", </w:t>
      </w:r>
      <w:r w:rsidR="00D40C9F" w:rsidRPr="00715F4F">
        <w:rPr>
          <w:lang w:val="pl-PL"/>
        </w:rPr>
        <w:t xml:space="preserve">za </w:t>
      </w:r>
      <w:r w:rsidR="00D40C9F">
        <w:rPr>
          <w:lang w:val="pl-PL"/>
        </w:rPr>
        <w:t>nie</w:t>
      </w:r>
      <w:r w:rsidR="00E76F4F">
        <w:rPr>
          <w:lang w:val="pl-PL"/>
        </w:rPr>
        <w:t>zgodny</w:t>
      </w:r>
      <w:r w:rsidR="00715F4F" w:rsidRPr="00715F4F">
        <w:rPr>
          <w:lang w:val="pl-PL"/>
        </w:rPr>
        <w:t xml:space="preserve"> z orzecznictwem Trybunału (patrz: pkt 56 wyroku</w:t>
      </w:r>
      <w:r w:rsidR="00A7689E" w:rsidRPr="00715F4F">
        <w:rPr>
          <w:rStyle w:val="sb8d990e2"/>
          <w:lang w:val="pl-PL"/>
        </w:rPr>
        <w:t>).</w:t>
      </w:r>
    </w:p>
    <w:p w:rsidR="00B25284" w:rsidRPr="009645C3" w:rsidRDefault="00672371" w:rsidP="009645C3">
      <w:pPr>
        <w:pStyle w:val="OpiPara"/>
        <w:rPr>
          <w:rStyle w:val="sb8d990e2"/>
          <w:lang w:val="uk-UA"/>
        </w:rPr>
      </w:pPr>
      <w:r>
        <w:rPr>
          <w:lang w:val="pl-PL"/>
        </w:rPr>
        <w:t>To rozumowanie (z którym</w:t>
      </w:r>
      <w:r w:rsidR="00715F4F" w:rsidRPr="00715F4F">
        <w:rPr>
          <w:lang w:val="pl-PL"/>
        </w:rPr>
        <w:t xml:space="preserve"> się zgadzam) oznacza również, że nie ma ani faktycznej ani </w:t>
      </w:r>
      <w:r>
        <w:rPr>
          <w:lang w:val="pl-PL"/>
        </w:rPr>
        <w:t>prawnej podstawy do nie</w:t>
      </w:r>
      <w:r w:rsidR="00715F4F" w:rsidRPr="00715F4F">
        <w:rPr>
          <w:lang w:val="pl-PL"/>
        </w:rPr>
        <w:t xml:space="preserve">przyznania zadośćuczynienia za szkodę niemajątkową </w:t>
      </w:r>
      <w:r w:rsidR="00E34576" w:rsidRPr="00715F4F">
        <w:rPr>
          <w:lang w:val="pl-PL"/>
        </w:rPr>
        <w:t>skarżącemu</w:t>
      </w:r>
      <w:r w:rsidR="00715F4F" w:rsidRPr="00715F4F">
        <w:rPr>
          <w:lang w:val="pl-PL"/>
        </w:rPr>
        <w:t xml:space="preserve">, którego prawa </w:t>
      </w:r>
      <w:r>
        <w:rPr>
          <w:lang w:val="pl-PL"/>
        </w:rPr>
        <w:t>przewidziane</w:t>
      </w:r>
      <w:r w:rsidR="00715F4F" w:rsidRPr="00715F4F">
        <w:rPr>
          <w:lang w:val="pl-PL"/>
        </w:rPr>
        <w:t xml:space="preserve"> Konwencj</w:t>
      </w:r>
      <w:r>
        <w:rPr>
          <w:lang w:val="pl-PL"/>
        </w:rPr>
        <w:t>ą</w:t>
      </w:r>
      <w:r w:rsidR="00715F4F" w:rsidRPr="00715F4F">
        <w:rPr>
          <w:lang w:val="pl-PL"/>
        </w:rPr>
        <w:t xml:space="preserve"> zostały naruszone</w:t>
      </w:r>
      <w:r w:rsidR="00A7689E" w:rsidRPr="00715F4F">
        <w:rPr>
          <w:rStyle w:val="sb8d990e2"/>
          <w:lang w:val="pl-PL"/>
        </w:rPr>
        <w:t>.</w:t>
      </w:r>
    </w:p>
    <w:p w:rsidR="009645C3" w:rsidRDefault="009645C3" w:rsidP="009645C3">
      <w:pPr>
        <w:pStyle w:val="OpiPara"/>
        <w:rPr>
          <w:lang w:val="pl-PL"/>
        </w:rPr>
      </w:pPr>
    </w:p>
    <w:p w:rsidR="00E76F4F" w:rsidRPr="00E76F4F" w:rsidRDefault="00E76F4F" w:rsidP="009645C3">
      <w:pPr>
        <w:pStyle w:val="OpiPara"/>
        <w:rPr>
          <w:lang w:val="pl-PL"/>
        </w:rPr>
      </w:pPr>
    </w:p>
    <w:sectPr w:rsidR="00E76F4F" w:rsidRPr="00E76F4F">
      <w:headerReference w:type="even" r:id="rId18"/>
      <w:headerReference w:type="default" r:id="rId19"/>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E73" w:rsidRDefault="007B7E73" w:rsidP="00014566">
      <w:r>
        <w:separator/>
      </w:r>
    </w:p>
  </w:endnote>
  <w:endnote w:type="continuationSeparator" w:id="0">
    <w:p w:rsidR="007B7E73" w:rsidRDefault="007B7E7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44F" w:rsidRDefault="0008144F">
    <w:pPr>
      <w:pStyle w:val="Stopka"/>
    </w:pPr>
  </w:p>
  <w:p w:rsidR="0008144F" w:rsidRDefault="0008144F">
    <w:pPr>
      <w:pStyle w:val="Stopka"/>
    </w:pPr>
  </w:p>
  <w:p w:rsidR="0008144F" w:rsidRDefault="0008144F">
    <w:pPr>
      <w:pStyle w:val="Stopka"/>
    </w:pPr>
  </w:p>
  <w:p w:rsidR="0008144F" w:rsidRDefault="000814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E73" w:rsidRDefault="007B7E73" w:rsidP="00014566">
      <w:r>
        <w:separator/>
      </w:r>
    </w:p>
  </w:footnote>
  <w:footnote w:type="continuationSeparator" w:id="0">
    <w:p w:rsidR="007B7E73" w:rsidRDefault="007B7E7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64" w:rsidRPr="00600CDA" w:rsidRDefault="00565664" w:rsidP="00EE1DA9">
    <w:pPr>
      <w:pStyle w:val="ECHRHeader"/>
      <w:rPr>
        <w:lang w:val="pl-PL"/>
      </w:rPr>
    </w:pPr>
    <w:r>
      <w:rPr>
        <w:rStyle w:val="Numerstrony"/>
        <w:szCs w:val="18"/>
      </w:rPr>
      <w:fldChar w:fldCharType="begin"/>
    </w:r>
    <w:r w:rsidRPr="00600CDA">
      <w:rPr>
        <w:rStyle w:val="Numerstrony"/>
        <w:szCs w:val="18"/>
        <w:lang w:val="pl-PL"/>
      </w:rPr>
      <w:instrText xml:space="preserve"> PAGE </w:instrText>
    </w:r>
    <w:r>
      <w:rPr>
        <w:rStyle w:val="Numerstrony"/>
        <w:szCs w:val="18"/>
      </w:rPr>
      <w:fldChar w:fldCharType="separate"/>
    </w:r>
    <w:r w:rsidR="003738AC">
      <w:rPr>
        <w:rStyle w:val="Numerstrony"/>
        <w:noProof/>
        <w:szCs w:val="18"/>
        <w:lang w:val="pl-PL"/>
      </w:rPr>
      <w:t>2</w:t>
    </w:r>
    <w:r>
      <w:rPr>
        <w:rStyle w:val="Numerstrony"/>
        <w:szCs w:val="18"/>
      </w:rPr>
      <w:fldChar w:fldCharType="end"/>
    </w:r>
    <w:r w:rsidRPr="00600CDA">
      <w:rPr>
        <w:lang w:val="pl-PL"/>
      </w:rPr>
      <w:tab/>
    </w:r>
    <w:r w:rsidR="00600CDA" w:rsidRPr="00600CDA">
      <w:rPr>
        <w:lang w:val="pl-PL"/>
      </w:rPr>
      <w:t>WYROK W</w:t>
    </w:r>
    <w:r w:rsidR="00903B7E">
      <w:rPr>
        <w:lang w:val="pl-PL"/>
      </w:rPr>
      <w:t xml:space="preserve"> </w:t>
    </w:r>
    <w:r w:rsidR="00600CDA" w:rsidRPr="00600CDA">
      <w:rPr>
        <w:lang w:val="pl-PL"/>
      </w:rPr>
      <w:t>S</w:t>
    </w:r>
    <w:r w:rsidR="00903B7E">
      <w:rPr>
        <w:lang w:val="pl-PL"/>
      </w:rPr>
      <w:t>PRAWIE</w:t>
    </w:r>
    <w:r w:rsidR="00600CDA" w:rsidRPr="00600CDA">
      <w:rPr>
        <w:lang w:val="pl-PL"/>
      </w:rPr>
      <w:t xml:space="preserve"> </w:t>
    </w:r>
    <w:r w:rsidR="00F007FC">
      <w:rPr>
        <w:lang w:val="pl-PL"/>
      </w:rPr>
      <w:t xml:space="preserve"> </w:t>
    </w:r>
    <w:r w:rsidR="00600CDA" w:rsidRPr="00600CDA">
      <w:rPr>
        <w:lang w:val="pl-PL"/>
      </w:rPr>
      <w:t>KURSKI P. POL</w:t>
    </w:r>
    <w:r w:rsidR="00600CDA">
      <w:rPr>
        <w:lang w:val="pl-PL"/>
      </w:rPr>
      <w:t>SCE</w:t>
    </w:r>
    <w:r w:rsidR="00600CDA" w:rsidRPr="00600CDA">
      <w:rPr>
        <w:lang w:val="pl-PL"/>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64" w:rsidRPr="00600CDA" w:rsidRDefault="00565664" w:rsidP="00D60D87">
    <w:pPr>
      <w:pStyle w:val="ECHRHeader"/>
      <w:rPr>
        <w:lang w:val="pl-PL"/>
      </w:rPr>
    </w:pPr>
    <w:r w:rsidRPr="00D60D87">
      <w:tab/>
    </w:r>
    <w:r w:rsidR="00600CDA" w:rsidRPr="00600CDA">
      <w:rPr>
        <w:lang w:val="pl-PL"/>
      </w:rPr>
      <w:t>WYROK W</w:t>
    </w:r>
    <w:r w:rsidR="00903B7E">
      <w:rPr>
        <w:lang w:val="pl-PL"/>
      </w:rPr>
      <w:t xml:space="preserve"> </w:t>
    </w:r>
    <w:r w:rsidR="00600CDA" w:rsidRPr="00600CDA">
      <w:rPr>
        <w:lang w:val="pl-PL"/>
      </w:rPr>
      <w:t>S</w:t>
    </w:r>
    <w:r w:rsidR="00903B7E">
      <w:rPr>
        <w:lang w:val="pl-PL"/>
      </w:rPr>
      <w:t>PRAWIE</w:t>
    </w:r>
    <w:r w:rsidR="00600CDA" w:rsidRPr="00600CDA">
      <w:rPr>
        <w:lang w:val="pl-PL"/>
      </w:rPr>
      <w:t xml:space="preserve"> </w:t>
    </w:r>
    <w:r w:rsidR="00F007FC">
      <w:rPr>
        <w:lang w:val="pl-PL"/>
      </w:rPr>
      <w:t xml:space="preserve"> </w:t>
    </w:r>
    <w:r w:rsidR="00600CDA" w:rsidRPr="00600CDA">
      <w:rPr>
        <w:lang w:val="pl-PL"/>
      </w:rPr>
      <w:t>KURSKI P</w:t>
    </w:r>
    <w:r w:rsidRPr="00600CDA">
      <w:rPr>
        <w:lang w:val="pl-PL"/>
      </w:rPr>
      <w:t>. POL</w:t>
    </w:r>
    <w:r w:rsidR="00600CDA">
      <w:rPr>
        <w:lang w:val="pl-PL"/>
      </w:rPr>
      <w:t>SCE</w:t>
    </w:r>
    <w:r w:rsidRPr="00600CDA">
      <w:rPr>
        <w:lang w:val="pl-PL"/>
      </w:rPr>
      <w:tab/>
    </w:r>
    <w:r>
      <w:rPr>
        <w:rStyle w:val="Numerstrony"/>
        <w:szCs w:val="18"/>
      </w:rPr>
      <w:fldChar w:fldCharType="begin"/>
    </w:r>
    <w:r w:rsidRPr="00600CDA">
      <w:rPr>
        <w:rStyle w:val="Numerstrony"/>
        <w:szCs w:val="18"/>
        <w:lang w:val="pl-PL"/>
      </w:rPr>
      <w:instrText xml:space="preserve"> PAGE </w:instrText>
    </w:r>
    <w:r>
      <w:rPr>
        <w:rStyle w:val="Numerstrony"/>
        <w:szCs w:val="18"/>
      </w:rPr>
      <w:fldChar w:fldCharType="separate"/>
    </w:r>
    <w:r w:rsidR="003738AC">
      <w:rPr>
        <w:rStyle w:val="Numerstrony"/>
        <w:noProof/>
        <w:szCs w:val="18"/>
        <w:lang w:val="pl-PL"/>
      </w:rPr>
      <w:t>7</w:t>
    </w:r>
    <w:r>
      <w:rPr>
        <w:rStyle w:val="Numerstrony"/>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44F" w:rsidRDefault="0008144F">
    <w:pPr>
      <w:pStyle w:val="Nagwek"/>
    </w:pPr>
  </w:p>
  <w:p w:rsidR="00285BB2" w:rsidRDefault="0008144F" w:rsidP="0008144F">
    <w:pPr>
      <w:jc w:val="center"/>
    </w:pPr>
    <w:r>
      <w:rPr>
        <w:noProof/>
        <w:lang w:val="pl-PL" w:eastAsia="pl-PL"/>
      </w:rPr>
      <w:drawing>
        <wp:inline distT="0" distB="0" distL="0" distR="0" wp14:anchorId="0CF3D8A8" wp14:editId="01CB67F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64" w:rsidRPr="008A1419" w:rsidRDefault="00565664" w:rsidP="00A73774">
    <w:pPr>
      <w:pStyle w:val="ECHRHeader"/>
      <w:rPr>
        <w:lang w:val="pl-PL"/>
      </w:rPr>
    </w:pPr>
    <w:r>
      <w:rPr>
        <w:rStyle w:val="Numerstrony"/>
        <w:lang w:val="en-GB"/>
      </w:rPr>
      <w:fldChar w:fldCharType="begin"/>
    </w:r>
    <w:r w:rsidRPr="008A1419">
      <w:rPr>
        <w:rStyle w:val="Numerstrony"/>
        <w:lang w:val="pl-PL"/>
      </w:rPr>
      <w:instrText xml:space="preserve"> PAGE </w:instrText>
    </w:r>
    <w:r>
      <w:rPr>
        <w:rStyle w:val="Numerstrony"/>
        <w:lang w:val="en-GB"/>
      </w:rPr>
      <w:fldChar w:fldCharType="separate"/>
    </w:r>
    <w:r w:rsidR="003738AC">
      <w:rPr>
        <w:rStyle w:val="Numerstrony"/>
        <w:noProof/>
        <w:lang w:val="pl-PL"/>
      </w:rPr>
      <w:t>16</w:t>
    </w:r>
    <w:r>
      <w:rPr>
        <w:rStyle w:val="Numerstrony"/>
        <w:lang w:val="en-GB"/>
      </w:rPr>
      <w:fldChar w:fldCharType="end"/>
    </w:r>
    <w:r w:rsidRPr="008A1419">
      <w:rPr>
        <w:lang w:val="pl-PL"/>
      </w:rPr>
      <w:tab/>
    </w:r>
    <w:r w:rsidR="008A1419" w:rsidRPr="008A1419">
      <w:rPr>
        <w:lang w:val="pl-PL"/>
      </w:rPr>
      <w:t xml:space="preserve">WROK W SPRAWIE KURSKI PRZECIWKO POLSCE - </w:t>
    </w:r>
    <w:r w:rsidR="00903B7E">
      <w:rPr>
        <w:lang w:val="pl-PL"/>
      </w:rPr>
      <w:t>OPINIA</w:t>
    </w:r>
    <w:r w:rsidR="00903B7E" w:rsidRPr="00903B7E">
      <w:rPr>
        <w:lang w:val="pl-PL"/>
      </w:rPr>
      <w:t xml:space="preserve"> </w:t>
    </w:r>
    <w:r w:rsidR="00903B7E">
      <w:rPr>
        <w:lang w:val="pl-PL"/>
      </w:rPr>
      <w:t>ODRĘBNA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64" w:rsidRPr="00600CDA" w:rsidRDefault="00565664" w:rsidP="00A73774">
    <w:pPr>
      <w:pStyle w:val="ECHRHeader"/>
      <w:rPr>
        <w:lang w:val="pl-PL"/>
      </w:rPr>
    </w:pPr>
    <w:r w:rsidRPr="002D599D">
      <w:rPr>
        <w:lang w:val="en-GB"/>
      </w:rPr>
      <w:tab/>
    </w:r>
    <w:r w:rsidR="00600CDA" w:rsidRPr="00600CDA">
      <w:rPr>
        <w:lang w:val="pl-PL"/>
      </w:rPr>
      <w:t>WYROK WS. KURSKI P. POL</w:t>
    </w:r>
    <w:r w:rsidR="00600CDA">
      <w:rPr>
        <w:lang w:val="pl-PL"/>
      </w:rPr>
      <w:t xml:space="preserve">SCE </w:t>
    </w:r>
    <w:r w:rsidRPr="00600CDA">
      <w:rPr>
        <w:lang w:val="pl-PL"/>
      </w:rPr>
      <w:t>–</w:t>
    </w:r>
    <w:r w:rsidR="00903B7E">
      <w:rPr>
        <w:lang w:val="pl-PL"/>
      </w:rPr>
      <w:t xml:space="preserve"> </w:t>
    </w:r>
    <w:r w:rsidR="00600CDA">
      <w:rPr>
        <w:lang w:val="pl-PL"/>
      </w:rPr>
      <w:t>OPINIA</w:t>
    </w:r>
    <w:r w:rsidR="00903B7E" w:rsidRPr="00903B7E">
      <w:rPr>
        <w:lang w:val="pl-PL"/>
      </w:rPr>
      <w:t xml:space="preserve"> </w:t>
    </w:r>
    <w:r w:rsidR="00903B7E">
      <w:rPr>
        <w:lang w:val="pl-PL"/>
      </w:rPr>
      <w:t>ODRĘBNA</w:t>
    </w:r>
    <w:r w:rsidRPr="00600CDA">
      <w:rPr>
        <w:lang w:val="pl-PL"/>
      </w:rPr>
      <w:tab/>
    </w:r>
    <w:r>
      <w:rPr>
        <w:rStyle w:val="Numerstrony"/>
        <w:lang w:val="en-GB"/>
      </w:rPr>
      <w:fldChar w:fldCharType="begin"/>
    </w:r>
    <w:r w:rsidRPr="00600CDA">
      <w:rPr>
        <w:rStyle w:val="Numerstrony"/>
        <w:lang w:val="pl-PL"/>
      </w:rPr>
      <w:instrText xml:space="preserve"> PAGE </w:instrText>
    </w:r>
    <w:r>
      <w:rPr>
        <w:rStyle w:val="Numerstrony"/>
        <w:lang w:val="en-GB"/>
      </w:rPr>
      <w:fldChar w:fldCharType="separate"/>
    </w:r>
    <w:r w:rsidR="003738AC">
      <w:rPr>
        <w:rStyle w:val="Numerstrony"/>
        <w:noProof/>
        <w:lang w:val="pl-PL"/>
      </w:rPr>
      <w:t>15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F6502"/>
    <w:rsid w:val="000010ED"/>
    <w:rsid w:val="000041F8"/>
    <w:rsid w:val="000042A8"/>
    <w:rsid w:val="00004308"/>
    <w:rsid w:val="00005BF0"/>
    <w:rsid w:val="00007154"/>
    <w:rsid w:val="000103AE"/>
    <w:rsid w:val="0001099D"/>
    <w:rsid w:val="00011D69"/>
    <w:rsid w:val="00012AD3"/>
    <w:rsid w:val="00014566"/>
    <w:rsid w:val="00014581"/>
    <w:rsid w:val="00015C2D"/>
    <w:rsid w:val="00015F00"/>
    <w:rsid w:val="00022C1D"/>
    <w:rsid w:val="00034987"/>
    <w:rsid w:val="00040A09"/>
    <w:rsid w:val="000512F8"/>
    <w:rsid w:val="00052A4B"/>
    <w:rsid w:val="000602DF"/>
    <w:rsid w:val="00061B05"/>
    <w:rsid w:val="00062973"/>
    <w:rsid w:val="00062D5D"/>
    <w:rsid w:val="000632D5"/>
    <w:rsid w:val="000644EE"/>
    <w:rsid w:val="00071A22"/>
    <w:rsid w:val="000741CE"/>
    <w:rsid w:val="00080882"/>
    <w:rsid w:val="0008144F"/>
    <w:rsid w:val="000856D7"/>
    <w:rsid w:val="00086411"/>
    <w:rsid w:val="000925AD"/>
    <w:rsid w:val="000A24EB"/>
    <w:rsid w:val="000A6B0F"/>
    <w:rsid w:val="000B6923"/>
    <w:rsid w:val="000C033C"/>
    <w:rsid w:val="000C0B89"/>
    <w:rsid w:val="000C5F3C"/>
    <w:rsid w:val="000C6DCC"/>
    <w:rsid w:val="000C786E"/>
    <w:rsid w:val="000D47AA"/>
    <w:rsid w:val="000D721F"/>
    <w:rsid w:val="000E069B"/>
    <w:rsid w:val="000E0E82"/>
    <w:rsid w:val="000E1DC5"/>
    <w:rsid w:val="000E223F"/>
    <w:rsid w:val="000E35AC"/>
    <w:rsid w:val="000E5885"/>
    <w:rsid w:val="000E7D45"/>
    <w:rsid w:val="000F4AB5"/>
    <w:rsid w:val="000F6502"/>
    <w:rsid w:val="000F6CBD"/>
    <w:rsid w:val="000F7851"/>
    <w:rsid w:val="00104E23"/>
    <w:rsid w:val="001114D2"/>
    <w:rsid w:val="00111B0C"/>
    <w:rsid w:val="00113A2B"/>
    <w:rsid w:val="00117058"/>
    <w:rsid w:val="00120D6C"/>
    <w:rsid w:val="001257EC"/>
    <w:rsid w:val="00126970"/>
    <w:rsid w:val="00132C6A"/>
    <w:rsid w:val="00133D33"/>
    <w:rsid w:val="00134D64"/>
    <w:rsid w:val="00135A30"/>
    <w:rsid w:val="00135AFE"/>
    <w:rsid w:val="0013612C"/>
    <w:rsid w:val="00137FF6"/>
    <w:rsid w:val="00141650"/>
    <w:rsid w:val="00141EE5"/>
    <w:rsid w:val="00154B88"/>
    <w:rsid w:val="00155F0B"/>
    <w:rsid w:val="00162A12"/>
    <w:rsid w:val="00162C61"/>
    <w:rsid w:val="00166530"/>
    <w:rsid w:val="001752E9"/>
    <w:rsid w:val="00182F0E"/>
    <w:rsid w:val="001832BD"/>
    <w:rsid w:val="0018758B"/>
    <w:rsid w:val="00192311"/>
    <w:rsid w:val="001938DD"/>
    <w:rsid w:val="001943B5"/>
    <w:rsid w:val="00195134"/>
    <w:rsid w:val="00195183"/>
    <w:rsid w:val="00195E41"/>
    <w:rsid w:val="00195F1A"/>
    <w:rsid w:val="00197D68"/>
    <w:rsid w:val="001A145B"/>
    <w:rsid w:val="001A251E"/>
    <w:rsid w:val="001A3E76"/>
    <w:rsid w:val="001A4029"/>
    <w:rsid w:val="001A674C"/>
    <w:rsid w:val="001A6753"/>
    <w:rsid w:val="001A7950"/>
    <w:rsid w:val="001B3B24"/>
    <w:rsid w:val="001B3BF4"/>
    <w:rsid w:val="001B7219"/>
    <w:rsid w:val="001C009D"/>
    <w:rsid w:val="001C080C"/>
    <w:rsid w:val="001C0AD5"/>
    <w:rsid w:val="001C0F98"/>
    <w:rsid w:val="001C2A42"/>
    <w:rsid w:val="001D5536"/>
    <w:rsid w:val="001D63ED"/>
    <w:rsid w:val="001D6646"/>
    <w:rsid w:val="001D7348"/>
    <w:rsid w:val="001E035B"/>
    <w:rsid w:val="001E0961"/>
    <w:rsid w:val="001E3EAE"/>
    <w:rsid w:val="001E479A"/>
    <w:rsid w:val="001E4BF1"/>
    <w:rsid w:val="001E5348"/>
    <w:rsid w:val="001E6F32"/>
    <w:rsid w:val="001F07AD"/>
    <w:rsid w:val="001F2145"/>
    <w:rsid w:val="001F57D7"/>
    <w:rsid w:val="001F6262"/>
    <w:rsid w:val="001F67B0"/>
    <w:rsid w:val="001F7B3D"/>
    <w:rsid w:val="00205F9F"/>
    <w:rsid w:val="00210338"/>
    <w:rsid w:val="002115FC"/>
    <w:rsid w:val="002133F8"/>
    <w:rsid w:val="0021423C"/>
    <w:rsid w:val="002157C3"/>
    <w:rsid w:val="00230D00"/>
    <w:rsid w:val="00231DF7"/>
    <w:rsid w:val="00231FD1"/>
    <w:rsid w:val="002339E0"/>
    <w:rsid w:val="00233A2D"/>
    <w:rsid w:val="00233CF8"/>
    <w:rsid w:val="0023575D"/>
    <w:rsid w:val="00236A15"/>
    <w:rsid w:val="00237148"/>
    <w:rsid w:val="00240BF7"/>
    <w:rsid w:val="0024222D"/>
    <w:rsid w:val="00242655"/>
    <w:rsid w:val="00244B0E"/>
    <w:rsid w:val="00244F6C"/>
    <w:rsid w:val="002532C5"/>
    <w:rsid w:val="0025388E"/>
    <w:rsid w:val="00260C03"/>
    <w:rsid w:val="0026540E"/>
    <w:rsid w:val="00266CC8"/>
    <w:rsid w:val="0027225C"/>
    <w:rsid w:val="00275123"/>
    <w:rsid w:val="00282240"/>
    <w:rsid w:val="002850A5"/>
    <w:rsid w:val="0028572A"/>
    <w:rsid w:val="00285BB2"/>
    <w:rsid w:val="00285BD0"/>
    <w:rsid w:val="00292309"/>
    <w:rsid w:val="002948AD"/>
    <w:rsid w:val="00294C05"/>
    <w:rsid w:val="00294C92"/>
    <w:rsid w:val="00295968"/>
    <w:rsid w:val="002A01CC"/>
    <w:rsid w:val="002A61B1"/>
    <w:rsid w:val="002A663C"/>
    <w:rsid w:val="002B1E6C"/>
    <w:rsid w:val="002B1F93"/>
    <w:rsid w:val="002B444B"/>
    <w:rsid w:val="002B5887"/>
    <w:rsid w:val="002C0692"/>
    <w:rsid w:val="002C0E27"/>
    <w:rsid w:val="002C3040"/>
    <w:rsid w:val="002C487B"/>
    <w:rsid w:val="002D022D"/>
    <w:rsid w:val="002D2137"/>
    <w:rsid w:val="002D24BB"/>
    <w:rsid w:val="002D7852"/>
    <w:rsid w:val="002E3AD3"/>
    <w:rsid w:val="002F2AF7"/>
    <w:rsid w:val="002F7E1C"/>
    <w:rsid w:val="00301A75"/>
    <w:rsid w:val="00302F70"/>
    <w:rsid w:val="0030336F"/>
    <w:rsid w:val="0030375E"/>
    <w:rsid w:val="00312A30"/>
    <w:rsid w:val="00320C5D"/>
    <w:rsid w:val="00320F72"/>
    <w:rsid w:val="0032463E"/>
    <w:rsid w:val="00326224"/>
    <w:rsid w:val="00330487"/>
    <w:rsid w:val="00331D1A"/>
    <w:rsid w:val="00335362"/>
    <w:rsid w:val="00337EE4"/>
    <w:rsid w:val="00340FFD"/>
    <w:rsid w:val="00343E78"/>
    <w:rsid w:val="003446F4"/>
    <w:rsid w:val="003506B1"/>
    <w:rsid w:val="00352867"/>
    <w:rsid w:val="00356AC7"/>
    <w:rsid w:val="003609FA"/>
    <w:rsid w:val="0036231E"/>
    <w:rsid w:val="0036242B"/>
    <w:rsid w:val="003710C8"/>
    <w:rsid w:val="003738AC"/>
    <w:rsid w:val="003750BE"/>
    <w:rsid w:val="00382B21"/>
    <w:rsid w:val="00382CC8"/>
    <w:rsid w:val="00387B9D"/>
    <w:rsid w:val="0039364F"/>
    <w:rsid w:val="00396686"/>
    <w:rsid w:val="0039778E"/>
    <w:rsid w:val="003B4941"/>
    <w:rsid w:val="003C5714"/>
    <w:rsid w:val="003C6652"/>
    <w:rsid w:val="003C6B9F"/>
    <w:rsid w:val="003C6E2A"/>
    <w:rsid w:val="003D0299"/>
    <w:rsid w:val="003E6D80"/>
    <w:rsid w:val="003F05FA"/>
    <w:rsid w:val="003F244A"/>
    <w:rsid w:val="003F30B8"/>
    <w:rsid w:val="003F3952"/>
    <w:rsid w:val="003F4C45"/>
    <w:rsid w:val="003F4F46"/>
    <w:rsid w:val="003F5F7B"/>
    <w:rsid w:val="003F7D64"/>
    <w:rsid w:val="004069C7"/>
    <w:rsid w:val="00414300"/>
    <w:rsid w:val="00425C67"/>
    <w:rsid w:val="00427E7A"/>
    <w:rsid w:val="004320EF"/>
    <w:rsid w:val="00436307"/>
    <w:rsid w:val="00436C49"/>
    <w:rsid w:val="00445366"/>
    <w:rsid w:val="00447F5B"/>
    <w:rsid w:val="00451F40"/>
    <w:rsid w:val="004521D7"/>
    <w:rsid w:val="00461DB0"/>
    <w:rsid w:val="00463926"/>
    <w:rsid w:val="00463AD9"/>
    <w:rsid w:val="004646E0"/>
    <w:rsid w:val="00464C9A"/>
    <w:rsid w:val="00467BE5"/>
    <w:rsid w:val="00474F3D"/>
    <w:rsid w:val="0047693B"/>
    <w:rsid w:val="00477E3A"/>
    <w:rsid w:val="00483E5F"/>
    <w:rsid w:val="00484B4B"/>
    <w:rsid w:val="00484F97"/>
    <w:rsid w:val="00485FF9"/>
    <w:rsid w:val="004907F0"/>
    <w:rsid w:val="0049140B"/>
    <w:rsid w:val="004923A5"/>
    <w:rsid w:val="00496BFB"/>
    <w:rsid w:val="004A09D6"/>
    <w:rsid w:val="004A14DC"/>
    <w:rsid w:val="004A15C7"/>
    <w:rsid w:val="004A532B"/>
    <w:rsid w:val="004B013B"/>
    <w:rsid w:val="004B0818"/>
    <w:rsid w:val="004B112B"/>
    <w:rsid w:val="004B2E88"/>
    <w:rsid w:val="004B450C"/>
    <w:rsid w:val="004C01E4"/>
    <w:rsid w:val="004C086C"/>
    <w:rsid w:val="004C1F56"/>
    <w:rsid w:val="004C27BC"/>
    <w:rsid w:val="004D15F3"/>
    <w:rsid w:val="004D24FE"/>
    <w:rsid w:val="004D4133"/>
    <w:rsid w:val="004D5311"/>
    <w:rsid w:val="004D5DCC"/>
    <w:rsid w:val="004E1331"/>
    <w:rsid w:val="004E4AA6"/>
    <w:rsid w:val="004E553D"/>
    <w:rsid w:val="004F0E45"/>
    <w:rsid w:val="004F10AF"/>
    <w:rsid w:val="004F11A4"/>
    <w:rsid w:val="004F2389"/>
    <w:rsid w:val="004F283B"/>
    <w:rsid w:val="004F304D"/>
    <w:rsid w:val="004F61BE"/>
    <w:rsid w:val="004F66B1"/>
    <w:rsid w:val="004F795B"/>
    <w:rsid w:val="00500E9C"/>
    <w:rsid w:val="00511C07"/>
    <w:rsid w:val="005173A6"/>
    <w:rsid w:val="00520BAA"/>
    <w:rsid w:val="0052119E"/>
    <w:rsid w:val="00522F0F"/>
    <w:rsid w:val="00523394"/>
    <w:rsid w:val="00525208"/>
    <w:rsid w:val="005257A5"/>
    <w:rsid w:val="005264C0"/>
    <w:rsid w:val="00526A8A"/>
    <w:rsid w:val="0052709C"/>
    <w:rsid w:val="00531DF2"/>
    <w:rsid w:val="00543B0E"/>
    <w:rsid w:val="0054405C"/>
    <w:rsid w:val="005442EE"/>
    <w:rsid w:val="00547353"/>
    <w:rsid w:val="005474E7"/>
    <w:rsid w:val="005512A3"/>
    <w:rsid w:val="00552235"/>
    <w:rsid w:val="00554F7C"/>
    <w:rsid w:val="005578CE"/>
    <w:rsid w:val="00562781"/>
    <w:rsid w:val="00563E83"/>
    <w:rsid w:val="00565664"/>
    <w:rsid w:val="0057271C"/>
    <w:rsid w:val="00572845"/>
    <w:rsid w:val="0057746E"/>
    <w:rsid w:val="00580828"/>
    <w:rsid w:val="005916A5"/>
    <w:rsid w:val="00592772"/>
    <w:rsid w:val="0059574A"/>
    <w:rsid w:val="00595DC0"/>
    <w:rsid w:val="005A05F4"/>
    <w:rsid w:val="005A1B9B"/>
    <w:rsid w:val="005A6751"/>
    <w:rsid w:val="005B092E"/>
    <w:rsid w:val="005B152C"/>
    <w:rsid w:val="005B1EE0"/>
    <w:rsid w:val="005B2B24"/>
    <w:rsid w:val="005B4425"/>
    <w:rsid w:val="005B4B94"/>
    <w:rsid w:val="005C3EE8"/>
    <w:rsid w:val="005C793A"/>
    <w:rsid w:val="005D34F9"/>
    <w:rsid w:val="005D4190"/>
    <w:rsid w:val="005D67A3"/>
    <w:rsid w:val="005D7D6A"/>
    <w:rsid w:val="005E2988"/>
    <w:rsid w:val="005E2A43"/>
    <w:rsid w:val="005E3085"/>
    <w:rsid w:val="005E438A"/>
    <w:rsid w:val="005E6149"/>
    <w:rsid w:val="005F51E1"/>
    <w:rsid w:val="005F7AC1"/>
    <w:rsid w:val="00600CDA"/>
    <w:rsid w:val="0060112E"/>
    <w:rsid w:val="00611C80"/>
    <w:rsid w:val="00620692"/>
    <w:rsid w:val="006242CA"/>
    <w:rsid w:val="00624EF5"/>
    <w:rsid w:val="00627507"/>
    <w:rsid w:val="00633717"/>
    <w:rsid w:val="006344E1"/>
    <w:rsid w:val="00636168"/>
    <w:rsid w:val="006365D8"/>
    <w:rsid w:val="0065060D"/>
    <w:rsid w:val="0065450A"/>
    <w:rsid w:val="006545C4"/>
    <w:rsid w:val="00661971"/>
    <w:rsid w:val="00661CE8"/>
    <w:rsid w:val="006623D9"/>
    <w:rsid w:val="00663A54"/>
    <w:rsid w:val="0066550C"/>
    <w:rsid w:val="006716F2"/>
    <w:rsid w:val="00672371"/>
    <w:rsid w:val="00681C1F"/>
    <w:rsid w:val="00682BF2"/>
    <w:rsid w:val="006859CE"/>
    <w:rsid w:val="00691270"/>
    <w:rsid w:val="006935C3"/>
    <w:rsid w:val="00694BA8"/>
    <w:rsid w:val="006A037C"/>
    <w:rsid w:val="006A05CD"/>
    <w:rsid w:val="006A36F4"/>
    <w:rsid w:val="006A3FAC"/>
    <w:rsid w:val="006A406F"/>
    <w:rsid w:val="006A5D3A"/>
    <w:rsid w:val="006B1F58"/>
    <w:rsid w:val="006C23D4"/>
    <w:rsid w:val="006C2944"/>
    <w:rsid w:val="006C2D59"/>
    <w:rsid w:val="006C6C9B"/>
    <w:rsid w:val="006C7BB0"/>
    <w:rsid w:val="006D190F"/>
    <w:rsid w:val="006D3237"/>
    <w:rsid w:val="006D4F27"/>
    <w:rsid w:val="006E2E37"/>
    <w:rsid w:val="006E3CF1"/>
    <w:rsid w:val="006E6C12"/>
    <w:rsid w:val="006E7E80"/>
    <w:rsid w:val="006F1DF9"/>
    <w:rsid w:val="006F24DB"/>
    <w:rsid w:val="006F48CA"/>
    <w:rsid w:val="006F51CF"/>
    <w:rsid w:val="006F64DD"/>
    <w:rsid w:val="00701640"/>
    <w:rsid w:val="00704F2E"/>
    <w:rsid w:val="00715127"/>
    <w:rsid w:val="00715E8E"/>
    <w:rsid w:val="00715F4F"/>
    <w:rsid w:val="007164B9"/>
    <w:rsid w:val="00723580"/>
    <w:rsid w:val="00723755"/>
    <w:rsid w:val="0073136C"/>
    <w:rsid w:val="00731F0F"/>
    <w:rsid w:val="00733250"/>
    <w:rsid w:val="00736CA6"/>
    <w:rsid w:val="00737E1D"/>
    <w:rsid w:val="00741404"/>
    <w:rsid w:val="007449E5"/>
    <w:rsid w:val="007451BB"/>
    <w:rsid w:val="007461FC"/>
    <w:rsid w:val="00746C5A"/>
    <w:rsid w:val="00747603"/>
    <w:rsid w:val="00747FF0"/>
    <w:rsid w:val="0075076D"/>
    <w:rsid w:val="0075251E"/>
    <w:rsid w:val="0075549C"/>
    <w:rsid w:val="00764D4E"/>
    <w:rsid w:val="00765A1F"/>
    <w:rsid w:val="00766BF9"/>
    <w:rsid w:val="007679AD"/>
    <w:rsid w:val="00772019"/>
    <w:rsid w:val="00775B6D"/>
    <w:rsid w:val="00776D68"/>
    <w:rsid w:val="00777E63"/>
    <w:rsid w:val="007837C2"/>
    <w:rsid w:val="007850EE"/>
    <w:rsid w:val="00785B95"/>
    <w:rsid w:val="00790E96"/>
    <w:rsid w:val="00792CE3"/>
    <w:rsid w:val="00793366"/>
    <w:rsid w:val="007949D3"/>
    <w:rsid w:val="00795C70"/>
    <w:rsid w:val="007A51AA"/>
    <w:rsid w:val="007A716F"/>
    <w:rsid w:val="007B270A"/>
    <w:rsid w:val="007B5F8F"/>
    <w:rsid w:val="007B7E73"/>
    <w:rsid w:val="007C0695"/>
    <w:rsid w:val="007C419A"/>
    <w:rsid w:val="007C46DC"/>
    <w:rsid w:val="007C4CC8"/>
    <w:rsid w:val="007C5426"/>
    <w:rsid w:val="007C5798"/>
    <w:rsid w:val="007D1645"/>
    <w:rsid w:val="007D4832"/>
    <w:rsid w:val="007E21B2"/>
    <w:rsid w:val="007E2C4E"/>
    <w:rsid w:val="007F1905"/>
    <w:rsid w:val="007F5BEC"/>
    <w:rsid w:val="007F5DD3"/>
    <w:rsid w:val="00801300"/>
    <w:rsid w:val="00802C64"/>
    <w:rsid w:val="00805A6A"/>
    <w:rsid w:val="00805E52"/>
    <w:rsid w:val="008061D0"/>
    <w:rsid w:val="00810B38"/>
    <w:rsid w:val="0082039E"/>
    <w:rsid w:val="008204C7"/>
    <w:rsid w:val="00820992"/>
    <w:rsid w:val="00823602"/>
    <w:rsid w:val="008255F5"/>
    <w:rsid w:val="00826906"/>
    <w:rsid w:val="0083014E"/>
    <w:rsid w:val="0083214A"/>
    <w:rsid w:val="0083251E"/>
    <w:rsid w:val="00834220"/>
    <w:rsid w:val="00834983"/>
    <w:rsid w:val="00840DCF"/>
    <w:rsid w:val="008425A8"/>
    <w:rsid w:val="00842E5B"/>
    <w:rsid w:val="00844D0D"/>
    <w:rsid w:val="00844DE8"/>
    <w:rsid w:val="00845723"/>
    <w:rsid w:val="0084592B"/>
    <w:rsid w:val="008502A7"/>
    <w:rsid w:val="00851EF9"/>
    <w:rsid w:val="0085397A"/>
    <w:rsid w:val="00854914"/>
    <w:rsid w:val="00855939"/>
    <w:rsid w:val="00856FD2"/>
    <w:rsid w:val="008577FD"/>
    <w:rsid w:val="00857AB9"/>
    <w:rsid w:val="00857EE4"/>
    <w:rsid w:val="00860B03"/>
    <w:rsid w:val="0086497A"/>
    <w:rsid w:val="008713A1"/>
    <w:rsid w:val="008754AB"/>
    <w:rsid w:val="0088060C"/>
    <w:rsid w:val="00884C2D"/>
    <w:rsid w:val="00887E3D"/>
    <w:rsid w:val="00893576"/>
    <w:rsid w:val="00893E73"/>
    <w:rsid w:val="008A1419"/>
    <w:rsid w:val="008A43C4"/>
    <w:rsid w:val="008B02DC"/>
    <w:rsid w:val="008B57CE"/>
    <w:rsid w:val="008B659F"/>
    <w:rsid w:val="008B6852"/>
    <w:rsid w:val="008C26DE"/>
    <w:rsid w:val="008D0B07"/>
    <w:rsid w:val="008D2225"/>
    <w:rsid w:val="008D4752"/>
    <w:rsid w:val="008D552A"/>
    <w:rsid w:val="008D6FE8"/>
    <w:rsid w:val="008E271C"/>
    <w:rsid w:val="008E418E"/>
    <w:rsid w:val="008E5BC6"/>
    <w:rsid w:val="008E6A25"/>
    <w:rsid w:val="008F5193"/>
    <w:rsid w:val="008F565D"/>
    <w:rsid w:val="009013A7"/>
    <w:rsid w:val="009017FB"/>
    <w:rsid w:val="009017FC"/>
    <w:rsid w:val="00903B43"/>
    <w:rsid w:val="00903B7E"/>
    <w:rsid w:val="0090506B"/>
    <w:rsid w:val="009050C9"/>
    <w:rsid w:val="009066FC"/>
    <w:rsid w:val="009140A3"/>
    <w:rsid w:val="009144A2"/>
    <w:rsid w:val="0091510C"/>
    <w:rsid w:val="00924506"/>
    <w:rsid w:val="009259AC"/>
    <w:rsid w:val="00926F38"/>
    <w:rsid w:val="00934301"/>
    <w:rsid w:val="00935B76"/>
    <w:rsid w:val="00936CD1"/>
    <w:rsid w:val="00941747"/>
    <w:rsid w:val="00941EFB"/>
    <w:rsid w:val="00945392"/>
    <w:rsid w:val="00947AFB"/>
    <w:rsid w:val="00951D7D"/>
    <w:rsid w:val="00952C12"/>
    <w:rsid w:val="00956797"/>
    <w:rsid w:val="009630C7"/>
    <w:rsid w:val="009645C3"/>
    <w:rsid w:val="00972B55"/>
    <w:rsid w:val="009743B7"/>
    <w:rsid w:val="0098228B"/>
    <w:rsid w:val="009828DA"/>
    <w:rsid w:val="00985BAB"/>
    <w:rsid w:val="0099567E"/>
    <w:rsid w:val="00997F03"/>
    <w:rsid w:val="009A2FF6"/>
    <w:rsid w:val="009A46DF"/>
    <w:rsid w:val="009B014C"/>
    <w:rsid w:val="009B1B5F"/>
    <w:rsid w:val="009B2EC2"/>
    <w:rsid w:val="009B4863"/>
    <w:rsid w:val="009B4F3A"/>
    <w:rsid w:val="009B6673"/>
    <w:rsid w:val="009B6815"/>
    <w:rsid w:val="009B70EC"/>
    <w:rsid w:val="009C005C"/>
    <w:rsid w:val="009C1179"/>
    <w:rsid w:val="009C191B"/>
    <w:rsid w:val="009C2BD6"/>
    <w:rsid w:val="009C5C7D"/>
    <w:rsid w:val="009D4B3D"/>
    <w:rsid w:val="009E1F32"/>
    <w:rsid w:val="009E24D7"/>
    <w:rsid w:val="009E5829"/>
    <w:rsid w:val="009E776C"/>
    <w:rsid w:val="009F01F1"/>
    <w:rsid w:val="009F1FA5"/>
    <w:rsid w:val="009F34A2"/>
    <w:rsid w:val="00A03B53"/>
    <w:rsid w:val="00A04C16"/>
    <w:rsid w:val="00A130FA"/>
    <w:rsid w:val="00A1726E"/>
    <w:rsid w:val="00A204CF"/>
    <w:rsid w:val="00A23D49"/>
    <w:rsid w:val="00A24C94"/>
    <w:rsid w:val="00A27004"/>
    <w:rsid w:val="00A30C29"/>
    <w:rsid w:val="00A3403A"/>
    <w:rsid w:val="00A34DD6"/>
    <w:rsid w:val="00A36819"/>
    <w:rsid w:val="00A36989"/>
    <w:rsid w:val="00A422CC"/>
    <w:rsid w:val="00A43628"/>
    <w:rsid w:val="00A43A7F"/>
    <w:rsid w:val="00A51EAD"/>
    <w:rsid w:val="00A54192"/>
    <w:rsid w:val="00A555C1"/>
    <w:rsid w:val="00A5610D"/>
    <w:rsid w:val="00A6035E"/>
    <w:rsid w:val="00A6144C"/>
    <w:rsid w:val="00A65F74"/>
    <w:rsid w:val="00A66617"/>
    <w:rsid w:val="00A669FB"/>
    <w:rsid w:val="00A671F8"/>
    <w:rsid w:val="00A673A4"/>
    <w:rsid w:val="00A71510"/>
    <w:rsid w:val="00A724AE"/>
    <w:rsid w:val="00A72E36"/>
    <w:rsid w:val="00A73329"/>
    <w:rsid w:val="00A73774"/>
    <w:rsid w:val="00A7689E"/>
    <w:rsid w:val="00A813CD"/>
    <w:rsid w:val="00A82359"/>
    <w:rsid w:val="00A865D2"/>
    <w:rsid w:val="00A90160"/>
    <w:rsid w:val="00A92391"/>
    <w:rsid w:val="00A94C20"/>
    <w:rsid w:val="00A96ED6"/>
    <w:rsid w:val="00AA227F"/>
    <w:rsid w:val="00AA3BC7"/>
    <w:rsid w:val="00AA754A"/>
    <w:rsid w:val="00AB099E"/>
    <w:rsid w:val="00AB1127"/>
    <w:rsid w:val="00AB4328"/>
    <w:rsid w:val="00AB5FA0"/>
    <w:rsid w:val="00AB77BF"/>
    <w:rsid w:val="00AC0E80"/>
    <w:rsid w:val="00AD61B0"/>
    <w:rsid w:val="00AD75C7"/>
    <w:rsid w:val="00AE0A2E"/>
    <w:rsid w:val="00AE2293"/>
    <w:rsid w:val="00AE354C"/>
    <w:rsid w:val="00AE5036"/>
    <w:rsid w:val="00AF1855"/>
    <w:rsid w:val="00AF4B07"/>
    <w:rsid w:val="00AF6186"/>
    <w:rsid w:val="00AF6388"/>
    <w:rsid w:val="00AF7A3A"/>
    <w:rsid w:val="00B0094A"/>
    <w:rsid w:val="00B00D56"/>
    <w:rsid w:val="00B04A75"/>
    <w:rsid w:val="00B10BD8"/>
    <w:rsid w:val="00B160DB"/>
    <w:rsid w:val="00B20836"/>
    <w:rsid w:val="00B224AA"/>
    <w:rsid w:val="00B225A9"/>
    <w:rsid w:val="00B235BB"/>
    <w:rsid w:val="00B25284"/>
    <w:rsid w:val="00B2737F"/>
    <w:rsid w:val="00B27A44"/>
    <w:rsid w:val="00B30BBF"/>
    <w:rsid w:val="00B31470"/>
    <w:rsid w:val="00B33C03"/>
    <w:rsid w:val="00B37CB4"/>
    <w:rsid w:val="00B44E56"/>
    <w:rsid w:val="00B46543"/>
    <w:rsid w:val="00B47D33"/>
    <w:rsid w:val="00B5119A"/>
    <w:rsid w:val="00B52BE0"/>
    <w:rsid w:val="00B52DF1"/>
    <w:rsid w:val="00B54133"/>
    <w:rsid w:val="00B637B9"/>
    <w:rsid w:val="00B64662"/>
    <w:rsid w:val="00B65E86"/>
    <w:rsid w:val="00B701ED"/>
    <w:rsid w:val="00B8086C"/>
    <w:rsid w:val="00B861B4"/>
    <w:rsid w:val="00B86DFE"/>
    <w:rsid w:val="00B900EF"/>
    <w:rsid w:val="00B906F5"/>
    <w:rsid w:val="00B90990"/>
    <w:rsid w:val="00B922FF"/>
    <w:rsid w:val="00B9281E"/>
    <w:rsid w:val="00B93925"/>
    <w:rsid w:val="00B95187"/>
    <w:rsid w:val="00BA06BF"/>
    <w:rsid w:val="00BA2D55"/>
    <w:rsid w:val="00BA71B1"/>
    <w:rsid w:val="00BB0637"/>
    <w:rsid w:val="00BB345F"/>
    <w:rsid w:val="00BB5883"/>
    <w:rsid w:val="00BB68EA"/>
    <w:rsid w:val="00BC1C27"/>
    <w:rsid w:val="00BC6BBF"/>
    <w:rsid w:val="00BD1447"/>
    <w:rsid w:val="00BD1572"/>
    <w:rsid w:val="00BD4DE3"/>
    <w:rsid w:val="00BD6A2E"/>
    <w:rsid w:val="00BE14E3"/>
    <w:rsid w:val="00BE3774"/>
    <w:rsid w:val="00BE41E5"/>
    <w:rsid w:val="00BF0BBB"/>
    <w:rsid w:val="00BF4109"/>
    <w:rsid w:val="00BF4CC3"/>
    <w:rsid w:val="00C0489E"/>
    <w:rsid w:val="00C054C7"/>
    <w:rsid w:val="00C057B5"/>
    <w:rsid w:val="00C17EF8"/>
    <w:rsid w:val="00C22687"/>
    <w:rsid w:val="00C26021"/>
    <w:rsid w:val="00C3155F"/>
    <w:rsid w:val="00C32E4D"/>
    <w:rsid w:val="00C3334E"/>
    <w:rsid w:val="00C333A0"/>
    <w:rsid w:val="00C34C71"/>
    <w:rsid w:val="00C36A81"/>
    <w:rsid w:val="00C40824"/>
    <w:rsid w:val="00C41974"/>
    <w:rsid w:val="00C447AD"/>
    <w:rsid w:val="00C53F4A"/>
    <w:rsid w:val="00C54125"/>
    <w:rsid w:val="00C55B54"/>
    <w:rsid w:val="00C5662D"/>
    <w:rsid w:val="00C56A8D"/>
    <w:rsid w:val="00C6098E"/>
    <w:rsid w:val="00C6152C"/>
    <w:rsid w:val="00C621C2"/>
    <w:rsid w:val="00C6231B"/>
    <w:rsid w:val="00C72C9C"/>
    <w:rsid w:val="00C74810"/>
    <w:rsid w:val="00C77A39"/>
    <w:rsid w:val="00C83DF9"/>
    <w:rsid w:val="00C855B9"/>
    <w:rsid w:val="00C861AC"/>
    <w:rsid w:val="00C90D68"/>
    <w:rsid w:val="00C9380F"/>
    <w:rsid w:val="00C939FE"/>
    <w:rsid w:val="00CA3B91"/>
    <w:rsid w:val="00CA3DA5"/>
    <w:rsid w:val="00CA4BDA"/>
    <w:rsid w:val="00CB1F66"/>
    <w:rsid w:val="00CB2842"/>
    <w:rsid w:val="00CB2951"/>
    <w:rsid w:val="00CB3761"/>
    <w:rsid w:val="00CB3CA3"/>
    <w:rsid w:val="00CD21B6"/>
    <w:rsid w:val="00CD282B"/>
    <w:rsid w:val="00CD2EA2"/>
    <w:rsid w:val="00CD442B"/>
    <w:rsid w:val="00CD4C35"/>
    <w:rsid w:val="00CD5690"/>
    <w:rsid w:val="00CD7369"/>
    <w:rsid w:val="00CE0B0E"/>
    <w:rsid w:val="00CE3831"/>
    <w:rsid w:val="00CE6E6D"/>
    <w:rsid w:val="00CF0106"/>
    <w:rsid w:val="00CF0299"/>
    <w:rsid w:val="00CF0E0B"/>
    <w:rsid w:val="00D00ABB"/>
    <w:rsid w:val="00D00B62"/>
    <w:rsid w:val="00D02C42"/>
    <w:rsid w:val="00D02EEC"/>
    <w:rsid w:val="00D03551"/>
    <w:rsid w:val="00D06A63"/>
    <w:rsid w:val="00D07E0E"/>
    <w:rsid w:val="00D11384"/>
    <w:rsid w:val="00D11478"/>
    <w:rsid w:val="00D12AD1"/>
    <w:rsid w:val="00D15ED0"/>
    <w:rsid w:val="00D16E16"/>
    <w:rsid w:val="00D21B3E"/>
    <w:rsid w:val="00D21FED"/>
    <w:rsid w:val="00D24251"/>
    <w:rsid w:val="00D24DCA"/>
    <w:rsid w:val="00D2795B"/>
    <w:rsid w:val="00D27B8C"/>
    <w:rsid w:val="00D343E2"/>
    <w:rsid w:val="00D34ECC"/>
    <w:rsid w:val="00D35CB3"/>
    <w:rsid w:val="00D361A2"/>
    <w:rsid w:val="00D40C9F"/>
    <w:rsid w:val="00D44C2E"/>
    <w:rsid w:val="00D45414"/>
    <w:rsid w:val="00D46AE3"/>
    <w:rsid w:val="00D50F27"/>
    <w:rsid w:val="00D53C0F"/>
    <w:rsid w:val="00D566BD"/>
    <w:rsid w:val="00D57A4D"/>
    <w:rsid w:val="00D60AA7"/>
    <w:rsid w:val="00D60D87"/>
    <w:rsid w:val="00D62BDC"/>
    <w:rsid w:val="00D6435F"/>
    <w:rsid w:val="00D658D6"/>
    <w:rsid w:val="00D7076A"/>
    <w:rsid w:val="00D733A3"/>
    <w:rsid w:val="00D74182"/>
    <w:rsid w:val="00D741A0"/>
    <w:rsid w:val="00D75E28"/>
    <w:rsid w:val="00D772C2"/>
    <w:rsid w:val="00D8008E"/>
    <w:rsid w:val="00D81AA3"/>
    <w:rsid w:val="00D82C45"/>
    <w:rsid w:val="00D835EA"/>
    <w:rsid w:val="00D9062A"/>
    <w:rsid w:val="00D908A8"/>
    <w:rsid w:val="00D91E1B"/>
    <w:rsid w:val="00D977B6"/>
    <w:rsid w:val="00DA232A"/>
    <w:rsid w:val="00DA4A31"/>
    <w:rsid w:val="00DA61F2"/>
    <w:rsid w:val="00DA7B04"/>
    <w:rsid w:val="00DB36C2"/>
    <w:rsid w:val="00DB7196"/>
    <w:rsid w:val="00DC0899"/>
    <w:rsid w:val="00DC169B"/>
    <w:rsid w:val="00DC2AB9"/>
    <w:rsid w:val="00DC55BE"/>
    <w:rsid w:val="00DC5AEF"/>
    <w:rsid w:val="00DC63F0"/>
    <w:rsid w:val="00DC6D54"/>
    <w:rsid w:val="00DD0F75"/>
    <w:rsid w:val="00DD588D"/>
    <w:rsid w:val="00DD6EE5"/>
    <w:rsid w:val="00DD7D36"/>
    <w:rsid w:val="00DE1B8E"/>
    <w:rsid w:val="00DE2828"/>
    <w:rsid w:val="00DE386C"/>
    <w:rsid w:val="00DE4D35"/>
    <w:rsid w:val="00DF0549"/>
    <w:rsid w:val="00DF098B"/>
    <w:rsid w:val="00DF11C4"/>
    <w:rsid w:val="00DF210C"/>
    <w:rsid w:val="00DF4825"/>
    <w:rsid w:val="00DF4B6A"/>
    <w:rsid w:val="00E02C09"/>
    <w:rsid w:val="00E04D59"/>
    <w:rsid w:val="00E06A80"/>
    <w:rsid w:val="00E07DA1"/>
    <w:rsid w:val="00E11FC3"/>
    <w:rsid w:val="00E123CB"/>
    <w:rsid w:val="00E1443E"/>
    <w:rsid w:val="00E1557C"/>
    <w:rsid w:val="00E20E13"/>
    <w:rsid w:val="00E21DBC"/>
    <w:rsid w:val="00E27318"/>
    <w:rsid w:val="00E275D7"/>
    <w:rsid w:val="00E27BEC"/>
    <w:rsid w:val="00E27DBE"/>
    <w:rsid w:val="00E30843"/>
    <w:rsid w:val="00E32AB1"/>
    <w:rsid w:val="00E34576"/>
    <w:rsid w:val="00E36C71"/>
    <w:rsid w:val="00E40404"/>
    <w:rsid w:val="00E42789"/>
    <w:rsid w:val="00E459C6"/>
    <w:rsid w:val="00E46203"/>
    <w:rsid w:val="00E47589"/>
    <w:rsid w:val="00E5752E"/>
    <w:rsid w:val="00E64915"/>
    <w:rsid w:val="00E66073"/>
    <w:rsid w:val="00E661C6"/>
    <w:rsid w:val="00E661D4"/>
    <w:rsid w:val="00E6664B"/>
    <w:rsid w:val="00E70091"/>
    <w:rsid w:val="00E71E0A"/>
    <w:rsid w:val="00E720F5"/>
    <w:rsid w:val="00E76D47"/>
    <w:rsid w:val="00E76F4F"/>
    <w:rsid w:val="00E830B4"/>
    <w:rsid w:val="00E849F7"/>
    <w:rsid w:val="00E90302"/>
    <w:rsid w:val="00E9597F"/>
    <w:rsid w:val="00E97396"/>
    <w:rsid w:val="00EA185E"/>
    <w:rsid w:val="00EA592A"/>
    <w:rsid w:val="00EB14E4"/>
    <w:rsid w:val="00EB32A5"/>
    <w:rsid w:val="00EB34ED"/>
    <w:rsid w:val="00EB53BD"/>
    <w:rsid w:val="00EB68D7"/>
    <w:rsid w:val="00EB71AE"/>
    <w:rsid w:val="00EB7BE0"/>
    <w:rsid w:val="00EC315E"/>
    <w:rsid w:val="00EC3825"/>
    <w:rsid w:val="00EC61E1"/>
    <w:rsid w:val="00ED077C"/>
    <w:rsid w:val="00ED1190"/>
    <w:rsid w:val="00ED6544"/>
    <w:rsid w:val="00EE0277"/>
    <w:rsid w:val="00EE1DA9"/>
    <w:rsid w:val="00EE242F"/>
    <w:rsid w:val="00EE3E00"/>
    <w:rsid w:val="00EE5DD2"/>
    <w:rsid w:val="00EF41F1"/>
    <w:rsid w:val="00EF4F08"/>
    <w:rsid w:val="00EF5CD6"/>
    <w:rsid w:val="00F007FC"/>
    <w:rsid w:val="00F00A79"/>
    <w:rsid w:val="00F00E86"/>
    <w:rsid w:val="00F00F8B"/>
    <w:rsid w:val="00F07C1E"/>
    <w:rsid w:val="00F105DB"/>
    <w:rsid w:val="00F132BC"/>
    <w:rsid w:val="00F13D80"/>
    <w:rsid w:val="00F16AAA"/>
    <w:rsid w:val="00F16C89"/>
    <w:rsid w:val="00F20340"/>
    <w:rsid w:val="00F21161"/>
    <w:rsid w:val="00F218EF"/>
    <w:rsid w:val="00F21BC7"/>
    <w:rsid w:val="00F25106"/>
    <w:rsid w:val="00F266A2"/>
    <w:rsid w:val="00F278B5"/>
    <w:rsid w:val="00F3114E"/>
    <w:rsid w:val="00F32269"/>
    <w:rsid w:val="00F34463"/>
    <w:rsid w:val="00F36577"/>
    <w:rsid w:val="00F431C4"/>
    <w:rsid w:val="00F4457E"/>
    <w:rsid w:val="00F5237B"/>
    <w:rsid w:val="00F560FA"/>
    <w:rsid w:val="00F56A6F"/>
    <w:rsid w:val="00F5709C"/>
    <w:rsid w:val="00F64EF1"/>
    <w:rsid w:val="00F759D3"/>
    <w:rsid w:val="00F8463C"/>
    <w:rsid w:val="00F8765F"/>
    <w:rsid w:val="00F90767"/>
    <w:rsid w:val="00F921E6"/>
    <w:rsid w:val="00FA1C73"/>
    <w:rsid w:val="00FA685B"/>
    <w:rsid w:val="00FA6F74"/>
    <w:rsid w:val="00FB0935"/>
    <w:rsid w:val="00FB0C01"/>
    <w:rsid w:val="00FC18F2"/>
    <w:rsid w:val="00FC39E5"/>
    <w:rsid w:val="00FC3A78"/>
    <w:rsid w:val="00FC5FFE"/>
    <w:rsid w:val="00FD1005"/>
    <w:rsid w:val="00FD3180"/>
    <w:rsid w:val="00FD3E62"/>
    <w:rsid w:val="00FD5277"/>
    <w:rsid w:val="00FD6C75"/>
    <w:rsid w:val="00FE091D"/>
    <w:rsid w:val="00FE3505"/>
    <w:rsid w:val="00FE67FD"/>
    <w:rsid w:val="00FE71B3"/>
    <w:rsid w:val="00FF0C5D"/>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A05CD"/>
    <w:pPr>
      <w:jc w:val="both"/>
    </w:pPr>
    <w:rPr>
      <w:rFonts w:eastAsiaTheme="minorEastAsia"/>
      <w:sz w:val="24"/>
    </w:rPr>
  </w:style>
  <w:style w:type="paragraph" w:styleId="Nagwek1">
    <w:name w:val="heading 1"/>
    <w:basedOn w:val="Normalny"/>
    <w:next w:val="Normalny"/>
    <w:link w:val="Nagwek1Znak"/>
    <w:uiPriority w:val="99"/>
    <w:semiHidden/>
    <w:rsid w:val="006A05C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A05C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A05C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A05C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A05C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A05C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A05C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A05C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A05C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A05CD"/>
    <w:rPr>
      <w:rFonts w:ascii="Tahoma" w:hAnsi="Tahoma" w:cs="Tahoma"/>
      <w:sz w:val="16"/>
      <w:szCs w:val="16"/>
    </w:rPr>
  </w:style>
  <w:style w:type="character" w:customStyle="1" w:styleId="TekstdymkaZnak">
    <w:name w:val="Tekst dymka Znak"/>
    <w:basedOn w:val="Domylnaczcionkaakapitu"/>
    <w:link w:val="Tekstdymka"/>
    <w:uiPriority w:val="99"/>
    <w:semiHidden/>
    <w:rsid w:val="006A05CD"/>
    <w:rPr>
      <w:rFonts w:ascii="Tahoma" w:eastAsiaTheme="minorEastAsia" w:hAnsi="Tahoma" w:cs="Tahoma"/>
      <w:sz w:val="16"/>
      <w:szCs w:val="16"/>
    </w:rPr>
  </w:style>
  <w:style w:type="character" w:styleId="Tytuksiki">
    <w:name w:val="Book Title"/>
    <w:uiPriority w:val="99"/>
    <w:semiHidden/>
    <w:qFormat/>
    <w:rsid w:val="006A05CD"/>
    <w:rPr>
      <w:i/>
      <w:iCs/>
      <w:smallCaps/>
      <w:spacing w:val="5"/>
    </w:rPr>
  </w:style>
  <w:style w:type="paragraph" w:customStyle="1" w:styleId="ECHRHeader">
    <w:name w:val="ECHR_Header"/>
    <w:aliases w:val="Ju_Header"/>
    <w:basedOn w:val="Nagwek"/>
    <w:uiPriority w:val="4"/>
    <w:qFormat/>
    <w:rsid w:val="006A05C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A05CD"/>
    <w:pPr>
      <w:jc w:val="left"/>
    </w:pPr>
    <w:rPr>
      <w:sz w:val="8"/>
    </w:rPr>
  </w:style>
  <w:style w:type="character" w:styleId="Pogrubienie">
    <w:name w:val="Strong"/>
    <w:uiPriority w:val="99"/>
    <w:semiHidden/>
    <w:qFormat/>
    <w:rsid w:val="006A05CD"/>
    <w:rPr>
      <w:b/>
      <w:bCs/>
    </w:rPr>
  </w:style>
  <w:style w:type="paragraph" w:styleId="Bezodstpw">
    <w:name w:val="No Spacing"/>
    <w:basedOn w:val="Normalny"/>
    <w:link w:val="BezodstpwZnak"/>
    <w:semiHidden/>
    <w:qFormat/>
    <w:rsid w:val="006A05CD"/>
    <w:rPr>
      <w:sz w:val="22"/>
    </w:rPr>
  </w:style>
  <w:style w:type="character" w:customStyle="1" w:styleId="BezodstpwZnak">
    <w:name w:val="Bez odstępów Znak"/>
    <w:basedOn w:val="Domylnaczcionkaakapitu"/>
    <w:link w:val="Bezodstpw"/>
    <w:semiHidden/>
    <w:rsid w:val="006A05CD"/>
    <w:rPr>
      <w:rFonts w:eastAsiaTheme="minorEastAsia"/>
    </w:rPr>
  </w:style>
  <w:style w:type="paragraph" w:customStyle="1" w:styleId="ECHRFooterLine">
    <w:name w:val="ECHR_Footer_Line"/>
    <w:aliases w:val="Footer_Line"/>
    <w:basedOn w:val="Normalny"/>
    <w:next w:val="ECHRFooter"/>
    <w:uiPriority w:val="57"/>
    <w:semiHidden/>
    <w:rsid w:val="006A05C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A05CD"/>
    <w:pPr>
      <w:numPr>
        <w:numId w:val="14"/>
      </w:numPr>
      <w:jc w:val="left"/>
    </w:pPr>
    <w:rPr>
      <w:b/>
    </w:rPr>
  </w:style>
  <w:style w:type="paragraph" w:customStyle="1" w:styleId="OpiPara">
    <w:name w:val="Opi_Para"/>
    <w:basedOn w:val="ECHRPara"/>
    <w:uiPriority w:val="46"/>
    <w:qFormat/>
    <w:rsid w:val="006A05CD"/>
  </w:style>
  <w:style w:type="paragraph" w:customStyle="1" w:styleId="JuParaSub">
    <w:name w:val="Ju_Para_Sub"/>
    <w:basedOn w:val="ECHRPara"/>
    <w:uiPriority w:val="13"/>
    <w:qFormat/>
    <w:rsid w:val="006A05CD"/>
    <w:pPr>
      <w:ind w:left="284"/>
    </w:pPr>
  </w:style>
  <w:style w:type="paragraph" w:customStyle="1" w:styleId="ECHRTitleCentre3">
    <w:name w:val="ECHR_Title_Centre_3"/>
    <w:aliases w:val="Ju_H_Article"/>
    <w:basedOn w:val="Normalny"/>
    <w:next w:val="ECHRParaQuote"/>
    <w:uiPriority w:val="27"/>
    <w:qFormat/>
    <w:rsid w:val="006A05C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A05C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A05CD"/>
  </w:style>
  <w:style w:type="paragraph" w:customStyle="1" w:styleId="OpiQuot">
    <w:name w:val="Opi_Quot"/>
    <w:basedOn w:val="ECHRParaQuote"/>
    <w:uiPriority w:val="48"/>
    <w:qFormat/>
    <w:rsid w:val="006A05CD"/>
  </w:style>
  <w:style w:type="paragraph" w:customStyle="1" w:styleId="OpiQuotSub">
    <w:name w:val="Opi_Quot_Sub"/>
    <w:basedOn w:val="JuQuotSub"/>
    <w:uiPriority w:val="49"/>
    <w:qFormat/>
    <w:rsid w:val="006A05CD"/>
  </w:style>
  <w:style w:type="paragraph" w:customStyle="1" w:styleId="ECHRTitleCentre2">
    <w:name w:val="ECHR_Title_Centre_2"/>
    <w:aliases w:val="Dec_H_Case"/>
    <w:basedOn w:val="Normalny"/>
    <w:next w:val="ECHRPara"/>
    <w:uiPriority w:val="8"/>
    <w:rsid w:val="006A05CD"/>
    <w:pPr>
      <w:spacing w:after="240"/>
      <w:jc w:val="center"/>
      <w:outlineLvl w:val="0"/>
    </w:pPr>
    <w:rPr>
      <w:rFonts w:asciiTheme="majorHAnsi" w:hAnsiTheme="majorHAnsi"/>
    </w:rPr>
  </w:style>
  <w:style w:type="paragraph" w:customStyle="1" w:styleId="JuTitle">
    <w:name w:val="Ju_Title"/>
    <w:basedOn w:val="Normalny"/>
    <w:next w:val="ECHRPara"/>
    <w:uiPriority w:val="3"/>
    <w:rsid w:val="006A05C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A05C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A05C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A05C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A05C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A05C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A05C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A05CD"/>
    <w:pPr>
      <w:keepNext/>
      <w:keepLines/>
      <w:spacing w:before="240" w:after="120"/>
      <w:ind w:left="1236"/>
    </w:pPr>
    <w:rPr>
      <w:sz w:val="20"/>
    </w:rPr>
  </w:style>
  <w:style w:type="paragraph" w:customStyle="1" w:styleId="JuQuotSub">
    <w:name w:val="Ju_Quot_Sub"/>
    <w:basedOn w:val="ECHRParaQuote"/>
    <w:uiPriority w:val="15"/>
    <w:qFormat/>
    <w:rsid w:val="006A05CD"/>
    <w:pPr>
      <w:ind w:left="567"/>
    </w:pPr>
  </w:style>
  <w:style w:type="paragraph" w:customStyle="1" w:styleId="JuCase">
    <w:name w:val="Ju_Case"/>
    <w:basedOn w:val="Normalny"/>
    <w:next w:val="ECHRPara"/>
    <w:uiPriority w:val="10"/>
    <w:semiHidden/>
    <w:rsid w:val="006A05CD"/>
    <w:pPr>
      <w:ind w:firstLine="284"/>
    </w:pPr>
    <w:rPr>
      <w:b/>
    </w:rPr>
  </w:style>
  <w:style w:type="paragraph" w:customStyle="1" w:styleId="JuInitialled">
    <w:name w:val="Ju_Initialled"/>
    <w:basedOn w:val="Normalny"/>
    <w:qFormat/>
    <w:rsid w:val="006A05CD"/>
    <w:pPr>
      <w:tabs>
        <w:tab w:val="center" w:pos="6407"/>
      </w:tabs>
      <w:spacing w:before="720"/>
      <w:jc w:val="right"/>
    </w:pPr>
  </w:style>
  <w:style w:type="paragraph" w:styleId="Nagwek">
    <w:name w:val="header"/>
    <w:basedOn w:val="Normalny"/>
    <w:link w:val="NagwekZnak"/>
    <w:uiPriority w:val="57"/>
    <w:semiHidden/>
    <w:rsid w:val="006A05C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A05CD"/>
    <w:rPr>
      <w:sz w:val="24"/>
    </w:rPr>
  </w:style>
  <w:style w:type="character" w:customStyle="1" w:styleId="Nagwek1Znak">
    <w:name w:val="Nagłówek 1 Znak"/>
    <w:basedOn w:val="Domylnaczcionkaakapitu"/>
    <w:link w:val="Nagwek1"/>
    <w:uiPriority w:val="99"/>
    <w:semiHidden/>
    <w:rsid w:val="006A05C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A05C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A05C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A05CD"/>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6A05CD"/>
    <w:pPr>
      <w:tabs>
        <w:tab w:val="clear" w:pos="357"/>
      </w:tabs>
      <w:outlineLvl w:val="1"/>
    </w:pPr>
    <w:rPr>
      <w:b/>
    </w:rPr>
  </w:style>
  <w:style w:type="character" w:customStyle="1" w:styleId="JUNAMES">
    <w:name w:val="JU_NAMES"/>
    <w:uiPriority w:val="17"/>
    <w:qFormat/>
    <w:rsid w:val="006A05CD"/>
    <w:rPr>
      <w:caps w:val="0"/>
      <w:smallCaps/>
    </w:rPr>
  </w:style>
  <w:style w:type="character" w:customStyle="1" w:styleId="Nagwek3Znak">
    <w:name w:val="Nagłówek 3 Znak"/>
    <w:basedOn w:val="Domylnaczcionkaakapitu"/>
    <w:link w:val="Nagwek3"/>
    <w:uiPriority w:val="99"/>
    <w:semiHidden/>
    <w:rsid w:val="006A05C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A05C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A05CD"/>
    <w:rPr>
      <w:rFonts w:asciiTheme="majorHAnsi" w:eastAsiaTheme="majorEastAsia" w:hAnsiTheme="majorHAnsi" w:cstheme="majorBidi"/>
      <w:b/>
      <w:bCs/>
      <w:color w:val="808080"/>
    </w:rPr>
  </w:style>
  <w:style w:type="character" w:styleId="Wyrnieniedelikatne">
    <w:name w:val="Subtle Emphasis"/>
    <w:uiPriority w:val="99"/>
    <w:semiHidden/>
    <w:qFormat/>
    <w:rsid w:val="006A05C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A05CD"/>
    <w:pPr>
      <w:keepNext/>
      <w:keepLines/>
      <w:spacing w:before="720" w:after="240"/>
      <w:outlineLvl w:val="0"/>
    </w:pPr>
    <w:rPr>
      <w:rFonts w:asciiTheme="majorHAnsi" w:hAnsiTheme="majorHAnsi"/>
      <w:sz w:val="28"/>
    </w:rPr>
  </w:style>
  <w:style w:type="character" w:styleId="Uwydatnienie">
    <w:name w:val="Emphasis"/>
    <w:uiPriority w:val="99"/>
    <w:semiHidden/>
    <w:qFormat/>
    <w:rsid w:val="006A05CD"/>
    <w:rPr>
      <w:b/>
      <w:bCs/>
      <w:i/>
      <w:iCs/>
      <w:spacing w:val="10"/>
      <w:bdr w:val="none" w:sz="0" w:space="0" w:color="auto"/>
      <w:shd w:val="clear" w:color="auto" w:fill="auto"/>
    </w:rPr>
  </w:style>
  <w:style w:type="paragraph" w:styleId="Stopka">
    <w:name w:val="footer"/>
    <w:basedOn w:val="Normalny"/>
    <w:link w:val="StopkaZnak"/>
    <w:uiPriority w:val="57"/>
    <w:semiHidden/>
    <w:rsid w:val="006A05C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A05CD"/>
    <w:rPr>
      <w:sz w:val="24"/>
    </w:rPr>
  </w:style>
  <w:style w:type="character" w:styleId="Odwoanieprzypisudolnego">
    <w:name w:val="footnote reference"/>
    <w:basedOn w:val="Domylnaczcionkaakapitu"/>
    <w:uiPriority w:val="99"/>
    <w:semiHidden/>
    <w:rsid w:val="006A05CD"/>
    <w:rPr>
      <w:vertAlign w:val="superscript"/>
    </w:rPr>
  </w:style>
  <w:style w:type="paragraph" w:styleId="Tekstprzypisudolnego">
    <w:name w:val="footnote text"/>
    <w:basedOn w:val="Normalny"/>
    <w:link w:val="TekstprzypisudolnegoZnak"/>
    <w:uiPriority w:val="99"/>
    <w:semiHidden/>
    <w:rsid w:val="006A05CD"/>
    <w:rPr>
      <w:sz w:val="20"/>
      <w:szCs w:val="20"/>
    </w:rPr>
  </w:style>
  <w:style w:type="character" w:customStyle="1" w:styleId="TekstprzypisudolnegoZnak">
    <w:name w:val="Tekst przypisu dolnego Znak"/>
    <w:basedOn w:val="Domylnaczcionkaakapitu"/>
    <w:link w:val="Tekstprzypisudolnego"/>
    <w:uiPriority w:val="99"/>
    <w:semiHidden/>
    <w:rsid w:val="006A05CD"/>
    <w:rPr>
      <w:rFonts w:eastAsiaTheme="minorEastAsia"/>
      <w:sz w:val="20"/>
      <w:szCs w:val="20"/>
    </w:rPr>
  </w:style>
  <w:style w:type="character" w:customStyle="1" w:styleId="Nagwek6Znak">
    <w:name w:val="Nagłówek 6 Znak"/>
    <w:basedOn w:val="Domylnaczcionkaakapitu"/>
    <w:link w:val="Nagwek6"/>
    <w:uiPriority w:val="99"/>
    <w:semiHidden/>
    <w:rsid w:val="006A05C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A05C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A05C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A05C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6A05CD"/>
    <w:rPr>
      <w:color w:val="0072BC" w:themeColor="hyperlink"/>
      <w:u w:val="single"/>
    </w:rPr>
  </w:style>
  <w:style w:type="character" w:styleId="Wyrnienieintensywne">
    <w:name w:val="Intense Emphasis"/>
    <w:uiPriority w:val="99"/>
    <w:semiHidden/>
    <w:qFormat/>
    <w:rsid w:val="006A05CD"/>
    <w:rPr>
      <w:b/>
      <w:bCs/>
    </w:rPr>
  </w:style>
  <w:style w:type="paragraph" w:styleId="Cytatintensywny">
    <w:name w:val="Intense Quote"/>
    <w:basedOn w:val="Normalny"/>
    <w:next w:val="Normalny"/>
    <w:link w:val="CytatintensywnyZnak"/>
    <w:uiPriority w:val="99"/>
    <w:semiHidden/>
    <w:qFormat/>
    <w:rsid w:val="006A05C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A05CD"/>
    <w:rPr>
      <w:rFonts w:eastAsiaTheme="minorEastAsia"/>
      <w:b/>
      <w:bCs/>
      <w:i/>
      <w:iCs/>
      <w:lang w:bidi="en-US"/>
    </w:rPr>
  </w:style>
  <w:style w:type="character" w:styleId="Odwoanieintensywne">
    <w:name w:val="Intense Reference"/>
    <w:uiPriority w:val="99"/>
    <w:semiHidden/>
    <w:qFormat/>
    <w:rsid w:val="006A05CD"/>
    <w:rPr>
      <w:smallCaps/>
      <w:spacing w:val="5"/>
      <w:u w:val="single"/>
    </w:rPr>
  </w:style>
  <w:style w:type="paragraph" w:styleId="Akapitzlist">
    <w:name w:val="List Paragraph"/>
    <w:basedOn w:val="Normalny"/>
    <w:uiPriority w:val="99"/>
    <w:semiHidden/>
    <w:qFormat/>
    <w:rsid w:val="006A05C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A05CD"/>
    <w:pPr>
      <w:spacing w:before="200"/>
      <w:ind w:left="360" w:right="360"/>
    </w:pPr>
    <w:rPr>
      <w:i/>
      <w:iCs/>
      <w:sz w:val="22"/>
      <w:lang w:bidi="en-US"/>
    </w:rPr>
  </w:style>
  <w:style w:type="character" w:customStyle="1" w:styleId="CytatZnak">
    <w:name w:val="Cytat Znak"/>
    <w:basedOn w:val="Domylnaczcionkaakapitu"/>
    <w:link w:val="Cytat"/>
    <w:uiPriority w:val="99"/>
    <w:semiHidden/>
    <w:rsid w:val="006A05CD"/>
    <w:rPr>
      <w:rFonts w:eastAsiaTheme="minorEastAsia"/>
      <w:i/>
      <w:iCs/>
      <w:lang w:bidi="en-US"/>
    </w:rPr>
  </w:style>
  <w:style w:type="character" w:styleId="Odwoaniedelikatne">
    <w:name w:val="Subtle Reference"/>
    <w:uiPriority w:val="99"/>
    <w:semiHidden/>
    <w:qFormat/>
    <w:rsid w:val="006A05CD"/>
    <w:rPr>
      <w:smallCaps/>
    </w:rPr>
  </w:style>
  <w:style w:type="table" w:styleId="Tabela-Siatka">
    <w:name w:val="Table Grid"/>
    <w:basedOn w:val="Standardowy"/>
    <w:uiPriority w:val="59"/>
    <w:semiHidden/>
    <w:rsid w:val="006A05C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6A05CD"/>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6A05CD"/>
    <w:pPr>
      <w:spacing w:after="60"/>
      <w:ind w:left="680" w:right="340" w:hanging="340"/>
    </w:pPr>
  </w:style>
  <w:style w:type="paragraph" w:styleId="Spistreci3">
    <w:name w:val="toc 3"/>
    <w:basedOn w:val="Normalny"/>
    <w:next w:val="Normalny"/>
    <w:autoRedefine/>
    <w:uiPriority w:val="39"/>
    <w:rsid w:val="006A05CD"/>
    <w:pPr>
      <w:spacing w:after="60"/>
      <w:ind w:left="1020" w:right="340" w:hanging="340"/>
    </w:pPr>
  </w:style>
  <w:style w:type="paragraph" w:styleId="Spistreci4">
    <w:name w:val="toc 4"/>
    <w:basedOn w:val="Normalny"/>
    <w:next w:val="Normalny"/>
    <w:autoRedefine/>
    <w:uiPriority w:val="39"/>
    <w:rsid w:val="006A05CD"/>
    <w:pPr>
      <w:tabs>
        <w:tab w:val="right" w:leader="dot" w:pos="9017"/>
      </w:tabs>
      <w:spacing w:after="60"/>
      <w:ind w:left="1361" w:right="340" w:hanging="340"/>
    </w:pPr>
  </w:style>
  <w:style w:type="paragraph" w:styleId="Spistreci5">
    <w:name w:val="toc 5"/>
    <w:basedOn w:val="Normalny"/>
    <w:next w:val="Normalny"/>
    <w:autoRedefine/>
    <w:uiPriority w:val="99"/>
    <w:semiHidden/>
    <w:rsid w:val="006A05CD"/>
    <w:pPr>
      <w:spacing w:after="60"/>
      <w:ind w:left="1701" w:right="340" w:hanging="340"/>
    </w:pPr>
  </w:style>
  <w:style w:type="paragraph" w:styleId="Nagwekspisutreci">
    <w:name w:val="TOC Heading"/>
    <w:basedOn w:val="Nagwek1"/>
    <w:next w:val="Normalny"/>
    <w:uiPriority w:val="99"/>
    <w:semiHidden/>
    <w:qFormat/>
    <w:rsid w:val="006A05C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A05C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6A05CD"/>
    <w:pPr>
      <w:spacing w:before="120" w:after="120"/>
      <w:ind w:left="425" w:firstLine="142"/>
    </w:pPr>
    <w:rPr>
      <w:sz w:val="20"/>
    </w:rPr>
  </w:style>
  <w:style w:type="paragraph" w:customStyle="1" w:styleId="ECHRPara">
    <w:name w:val="ECHR_Para"/>
    <w:aliases w:val="Ju_Para,Para,Left,First line:  0 cm,Ju_Para + Interligne : Double"/>
    <w:basedOn w:val="Normalny"/>
    <w:link w:val="ECHRParaChar"/>
    <w:uiPriority w:val="12"/>
    <w:qFormat/>
    <w:rsid w:val="006A05C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A05C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A05C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A05CD"/>
    <w:pPr>
      <w:ind w:left="340" w:hanging="340"/>
    </w:pPr>
  </w:style>
  <w:style w:type="paragraph" w:customStyle="1" w:styleId="JuSigned">
    <w:name w:val="Ju_Signed"/>
    <w:basedOn w:val="Normalny"/>
    <w:next w:val="JuParaLast"/>
    <w:uiPriority w:val="32"/>
    <w:qFormat/>
    <w:rsid w:val="006A05CD"/>
    <w:pPr>
      <w:tabs>
        <w:tab w:val="center" w:pos="851"/>
        <w:tab w:val="center" w:pos="6407"/>
      </w:tabs>
      <w:spacing w:before="720"/>
      <w:jc w:val="left"/>
    </w:pPr>
  </w:style>
  <w:style w:type="paragraph" w:customStyle="1" w:styleId="JuParaLast">
    <w:name w:val="Ju_Para_Last"/>
    <w:basedOn w:val="Normalny"/>
    <w:next w:val="ECHRPara"/>
    <w:qFormat/>
    <w:rsid w:val="006A05CD"/>
    <w:pPr>
      <w:keepNext/>
      <w:keepLines/>
      <w:spacing w:before="240"/>
      <w:ind w:firstLine="284"/>
    </w:pPr>
  </w:style>
  <w:style w:type="character" w:customStyle="1" w:styleId="JuITMark">
    <w:name w:val="Ju_ITMark"/>
    <w:basedOn w:val="Domylnaczcionkaakapitu"/>
    <w:uiPriority w:val="38"/>
    <w:qFormat/>
    <w:rsid w:val="006A05CD"/>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6A05CD"/>
    <w:pPr>
      <w:jc w:val="center"/>
      <w:outlineLvl w:val="0"/>
    </w:pPr>
    <w:rPr>
      <w:i/>
    </w:rPr>
  </w:style>
  <w:style w:type="paragraph" w:customStyle="1" w:styleId="DecHTitle">
    <w:name w:val="Dec_H_Title"/>
    <w:basedOn w:val="ECHRTitleCentre1"/>
    <w:uiPriority w:val="7"/>
    <w:rsid w:val="006A05CD"/>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A05CD"/>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6A05CD"/>
    <w:pPr>
      <w:spacing w:before="240"/>
      <w:ind w:left="284"/>
    </w:pPr>
  </w:style>
  <w:style w:type="paragraph" w:styleId="Podtytu">
    <w:name w:val="Subtitle"/>
    <w:basedOn w:val="Normalny"/>
    <w:next w:val="Normalny"/>
    <w:link w:val="PodtytuZnak"/>
    <w:uiPriority w:val="99"/>
    <w:semiHidden/>
    <w:qFormat/>
    <w:rsid w:val="006A05C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A05C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6A05CD"/>
    <w:pPr>
      <w:ind w:left="346" w:firstLine="0"/>
    </w:pPr>
  </w:style>
  <w:style w:type="paragraph" w:customStyle="1" w:styleId="JuListi">
    <w:name w:val="Ju_List_i"/>
    <w:basedOn w:val="Normalny"/>
    <w:next w:val="JuLista"/>
    <w:uiPriority w:val="28"/>
    <w:qFormat/>
    <w:rsid w:val="006A05CD"/>
    <w:pPr>
      <w:ind w:left="794"/>
    </w:pPr>
  </w:style>
  <w:style w:type="paragraph" w:customStyle="1" w:styleId="OpiH1">
    <w:name w:val="Opi_H_1"/>
    <w:basedOn w:val="ECHRHeading2"/>
    <w:uiPriority w:val="42"/>
    <w:qFormat/>
    <w:rsid w:val="006A05CD"/>
    <w:pPr>
      <w:ind w:left="635" w:hanging="357"/>
      <w:outlineLvl w:val="2"/>
    </w:pPr>
  </w:style>
  <w:style w:type="paragraph" w:customStyle="1" w:styleId="OpiHa0">
    <w:name w:val="Opi_H_a"/>
    <w:basedOn w:val="ECHRHeading3"/>
    <w:uiPriority w:val="43"/>
    <w:qFormat/>
    <w:rsid w:val="006A05CD"/>
    <w:pPr>
      <w:ind w:left="833" w:hanging="357"/>
      <w:outlineLvl w:val="3"/>
    </w:pPr>
    <w:rPr>
      <w:b/>
      <w:i w:val="0"/>
      <w:sz w:val="20"/>
    </w:rPr>
  </w:style>
  <w:style w:type="paragraph" w:customStyle="1" w:styleId="OpiHi">
    <w:name w:val="Opi_H_i"/>
    <w:basedOn w:val="ECHRHeading4"/>
    <w:uiPriority w:val="44"/>
    <w:qFormat/>
    <w:rsid w:val="006A05CD"/>
    <w:pPr>
      <w:ind w:left="1037" w:hanging="357"/>
      <w:outlineLvl w:val="4"/>
    </w:pPr>
    <w:rPr>
      <w:b w:val="0"/>
      <w:i/>
    </w:rPr>
  </w:style>
  <w:style w:type="paragraph" w:customStyle="1" w:styleId="DummyStyle">
    <w:name w:val="Dummy_Style"/>
    <w:basedOn w:val="Normalny"/>
    <w:semiHidden/>
    <w:qFormat/>
    <w:rsid w:val="006A05CD"/>
    <w:rPr>
      <w:color w:val="00B050"/>
    </w:rPr>
  </w:style>
  <w:style w:type="character" w:customStyle="1" w:styleId="ECHRParaChar">
    <w:name w:val="ECHR_Para Char"/>
    <w:aliases w:val="Ju_Para Char"/>
    <w:basedOn w:val="Domylnaczcionkaakapitu"/>
    <w:link w:val="ECHRPara"/>
    <w:uiPriority w:val="12"/>
    <w:rsid w:val="004B0818"/>
    <w:rPr>
      <w:rFonts w:eastAsiaTheme="minorEastAsia"/>
      <w:sz w:val="24"/>
    </w:rPr>
  </w:style>
  <w:style w:type="character" w:customStyle="1" w:styleId="JuQuotChar">
    <w:name w:val="Ju_Quot Char"/>
    <w:basedOn w:val="Domylnaczcionkaakapitu"/>
    <w:link w:val="ECHRParaQuote"/>
    <w:uiPriority w:val="14"/>
    <w:rsid w:val="004B0818"/>
    <w:rPr>
      <w:rFonts w:eastAsiaTheme="minorEastAsia"/>
      <w:sz w:val="20"/>
    </w:rPr>
  </w:style>
  <w:style w:type="paragraph" w:styleId="Poprawka">
    <w:name w:val="Revision"/>
    <w:hidden/>
    <w:uiPriority w:val="99"/>
    <w:semiHidden/>
    <w:rsid w:val="00C34C71"/>
    <w:rPr>
      <w:rFonts w:eastAsiaTheme="minorEastAsia"/>
      <w:sz w:val="24"/>
      <w:lang w:val="en-GB"/>
    </w:rPr>
  </w:style>
  <w:style w:type="character" w:customStyle="1" w:styleId="JuParaCar">
    <w:name w:val="Ju_Para Car"/>
    <w:uiPriority w:val="12"/>
    <w:rsid w:val="00A7689E"/>
    <w:rPr>
      <w:rFonts w:eastAsiaTheme="minorEastAsia"/>
      <w:sz w:val="24"/>
      <w:lang w:val="en-US" w:eastAsia="en-US"/>
    </w:rPr>
  </w:style>
  <w:style w:type="character" w:customStyle="1" w:styleId="sb8d990e2">
    <w:name w:val="sb8d990e2"/>
    <w:basedOn w:val="Domylnaczcionkaakapitu"/>
    <w:rsid w:val="00A7689E"/>
  </w:style>
  <w:style w:type="character" w:customStyle="1" w:styleId="s7d2086b4">
    <w:name w:val="s7d2086b4"/>
    <w:basedOn w:val="Domylnaczcionkaakapitu"/>
    <w:rsid w:val="00A7689E"/>
  </w:style>
  <w:style w:type="paragraph" w:customStyle="1" w:styleId="s32b251d">
    <w:name w:val="s32b251d"/>
    <w:basedOn w:val="Normalny"/>
    <w:rsid w:val="00903B7E"/>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903B7E"/>
  </w:style>
  <w:style w:type="character" w:customStyle="1" w:styleId="s556a1de3">
    <w:name w:val="s556a1de3"/>
    <w:basedOn w:val="Domylnaczcionkaakapitu"/>
    <w:rsid w:val="00903B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A05CD"/>
    <w:pPr>
      <w:jc w:val="both"/>
    </w:pPr>
    <w:rPr>
      <w:rFonts w:eastAsiaTheme="minorEastAsia"/>
      <w:sz w:val="24"/>
    </w:rPr>
  </w:style>
  <w:style w:type="paragraph" w:styleId="Nagwek1">
    <w:name w:val="heading 1"/>
    <w:basedOn w:val="Normalny"/>
    <w:next w:val="Normalny"/>
    <w:link w:val="Nagwek1Znak"/>
    <w:uiPriority w:val="99"/>
    <w:semiHidden/>
    <w:rsid w:val="006A05C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A05C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A05C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A05C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A05C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A05C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A05C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A05C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A05C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A05CD"/>
    <w:rPr>
      <w:rFonts w:ascii="Tahoma" w:hAnsi="Tahoma" w:cs="Tahoma"/>
      <w:sz w:val="16"/>
      <w:szCs w:val="16"/>
    </w:rPr>
  </w:style>
  <w:style w:type="character" w:customStyle="1" w:styleId="TekstdymkaZnak">
    <w:name w:val="Tekst dymka Znak"/>
    <w:basedOn w:val="Domylnaczcionkaakapitu"/>
    <w:link w:val="Tekstdymka"/>
    <w:uiPriority w:val="99"/>
    <w:semiHidden/>
    <w:rsid w:val="006A05CD"/>
    <w:rPr>
      <w:rFonts w:ascii="Tahoma" w:eastAsiaTheme="minorEastAsia" w:hAnsi="Tahoma" w:cs="Tahoma"/>
      <w:sz w:val="16"/>
      <w:szCs w:val="16"/>
    </w:rPr>
  </w:style>
  <w:style w:type="character" w:styleId="Tytuksiki">
    <w:name w:val="Book Title"/>
    <w:uiPriority w:val="99"/>
    <w:semiHidden/>
    <w:qFormat/>
    <w:rsid w:val="006A05CD"/>
    <w:rPr>
      <w:i/>
      <w:iCs/>
      <w:smallCaps/>
      <w:spacing w:val="5"/>
    </w:rPr>
  </w:style>
  <w:style w:type="paragraph" w:customStyle="1" w:styleId="ECHRHeader">
    <w:name w:val="ECHR_Header"/>
    <w:aliases w:val="Ju_Header"/>
    <w:basedOn w:val="Nagwek"/>
    <w:uiPriority w:val="4"/>
    <w:qFormat/>
    <w:rsid w:val="006A05C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A05CD"/>
    <w:pPr>
      <w:jc w:val="left"/>
    </w:pPr>
    <w:rPr>
      <w:sz w:val="8"/>
    </w:rPr>
  </w:style>
  <w:style w:type="character" w:styleId="Pogrubienie">
    <w:name w:val="Strong"/>
    <w:uiPriority w:val="99"/>
    <w:semiHidden/>
    <w:qFormat/>
    <w:rsid w:val="006A05CD"/>
    <w:rPr>
      <w:b/>
      <w:bCs/>
    </w:rPr>
  </w:style>
  <w:style w:type="paragraph" w:styleId="Bezodstpw">
    <w:name w:val="No Spacing"/>
    <w:basedOn w:val="Normalny"/>
    <w:link w:val="BezodstpwZnak"/>
    <w:semiHidden/>
    <w:qFormat/>
    <w:rsid w:val="006A05CD"/>
    <w:rPr>
      <w:sz w:val="22"/>
    </w:rPr>
  </w:style>
  <w:style w:type="character" w:customStyle="1" w:styleId="BezodstpwZnak">
    <w:name w:val="Bez odstępów Znak"/>
    <w:basedOn w:val="Domylnaczcionkaakapitu"/>
    <w:link w:val="Bezodstpw"/>
    <w:semiHidden/>
    <w:rsid w:val="006A05CD"/>
    <w:rPr>
      <w:rFonts w:eastAsiaTheme="minorEastAsia"/>
    </w:rPr>
  </w:style>
  <w:style w:type="paragraph" w:customStyle="1" w:styleId="ECHRFooterLine">
    <w:name w:val="ECHR_Footer_Line"/>
    <w:aliases w:val="Footer_Line"/>
    <w:basedOn w:val="Normalny"/>
    <w:next w:val="ECHRFooter"/>
    <w:uiPriority w:val="57"/>
    <w:semiHidden/>
    <w:rsid w:val="006A05C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A05CD"/>
    <w:pPr>
      <w:numPr>
        <w:numId w:val="14"/>
      </w:numPr>
      <w:jc w:val="left"/>
    </w:pPr>
    <w:rPr>
      <w:b/>
    </w:rPr>
  </w:style>
  <w:style w:type="paragraph" w:customStyle="1" w:styleId="OpiPara">
    <w:name w:val="Opi_Para"/>
    <w:basedOn w:val="ECHRPara"/>
    <w:uiPriority w:val="46"/>
    <w:qFormat/>
    <w:rsid w:val="006A05CD"/>
  </w:style>
  <w:style w:type="paragraph" w:customStyle="1" w:styleId="JuParaSub">
    <w:name w:val="Ju_Para_Sub"/>
    <w:basedOn w:val="ECHRPara"/>
    <w:uiPriority w:val="13"/>
    <w:qFormat/>
    <w:rsid w:val="006A05CD"/>
    <w:pPr>
      <w:ind w:left="284"/>
    </w:pPr>
  </w:style>
  <w:style w:type="paragraph" w:customStyle="1" w:styleId="ECHRTitleCentre3">
    <w:name w:val="ECHR_Title_Centre_3"/>
    <w:aliases w:val="Ju_H_Article"/>
    <w:basedOn w:val="Normalny"/>
    <w:next w:val="ECHRParaQuote"/>
    <w:uiPriority w:val="27"/>
    <w:qFormat/>
    <w:rsid w:val="006A05C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A05C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A05CD"/>
  </w:style>
  <w:style w:type="paragraph" w:customStyle="1" w:styleId="OpiQuot">
    <w:name w:val="Opi_Quot"/>
    <w:basedOn w:val="ECHRParaQuote"/>
    <w:uiPriority w:val="48"/>
    <w:qFormat/>
    <w:rsid w:val="006A05CD"/>
  </w:style>
  <w:style w:type="paragraph" w:customStyle="1" w:styleId="OpiQuotSub">
    <w:name w:val="Opi_Quot_Sub"/>
    <w:basedOn w:val="JuQuotSub"/>
    <w:uiPriority w:val="49"/>
    <w:qFormat/>
    <w:rsid w:val="006A05CD"/>
  </w:style>
  <w:style w:type="paragraph" w:customStyle="1" w:styleId="ECHRTitleCentre2">
    <w:name w:val="ECHR_Title_Centre_2"/>
    <w:aliases w:val="Dec_H_Case"/>
    <w:basedOn w:val="Normalny"/>
    <w:next w:val="ECHRPara"/>
    <w:uiPriority w:val="8"/>
    <w:rsid w:val="006A05CD"/>
    <w:pPr>
      <w:spacing w:after="240"/>
      <w:jc w:val="center"/>
      <w:outlineLvl w:val="0"/>
    </w:pPr>
    <w:rPr>
      <w:rFonts w:asciiTheme="majorHAnsi" w:hAnsiTheme="majorHAnsi"/>
    </w:rPr>
  </w:style>
  <w:style w:type="paragraph" w:customStyle="1" w:styleId="JuTitle">
    <w:name w:val="Ju_Title"/>
    <w:basedOn w:val="Normalny"/>
    <w:next w:val="ECHRPara"/>
    <w:uiPriority w:val="3"/>
    <w:rsid w:val="006A05C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A05C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A05C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A05C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A05C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A05C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A05C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A05CD"/>
    <w:pPr>
      <w:keepNext/>
      <w:keepLines/>
      <w:spacing w:before="240" w:after="120"/>
      <w:ind w:left="1236"/>
    </w:pPr>
    <w:rPr>
      <w:sz w:val="20"/>
    </w:rPr>
  </w:style>
  <w:style w:type="paragraph" w:customStyle="1" w:styleId="JuQuotSub">
    <w:name w:val="Ju_Quot_Sub"/>
    <w:basedOn w:val="ECHRParaQuote"/>
    <w:uiPriority w:val="15"/>
    <w:qFormat/>
    <w:rsid w:val="006A05CD"/>
    <w:pPr>
      <w:ind w:left="567"/>
    </w:pPr>
  </w:style>
  <w:style w:type="paragraph" w:customStyle="1" w:styleId="JuCase">
    <w:name w:val="Ju_Case"/>
    <w:basedOn w:val="Normalny"/>
    <w:next w:val="ECHRPara"/>
    <w:uiPriority w:val="10"/>
    <w:semiHidden/>
    <w:rsid w:val="006A05CD"/>
    <w:pPr>
      <w:ind w:firstLine="284"/>
    </w:pPr>
    <w:rPr>
      <w:b/>
    </w:rPr>
  </w:style>
  <w:style w:type="paragraph" w:customStyle="1" w:styleId="JuInitialled">
    <w:name w:val="Ju_Initialled"/>
    <w:basedOn w:val="Normalny"/>
    <w:qFormat/>
    <w:rsid w:val="006A05CD"/>
    <w:pPr>
      <w:tabs>
        <w:tab w:val="center" w:pos="6407"/>
      </w:tabs>
      <w:spacing w:before="720"/>
      <w:jc w:val="right"/>
    </w:pPr>
  </w:style>
  <w:style w:type="paragraph" w:styleId="Nagwek">
    <w:name w:val="header"/>
    <w:basedOn w:val="Normalny"/>
    <w:link w:val="NagwekZnak"/>
    <w:uiPriority w:val="57"/>
    <w:semiHidden/>
    <w:rsid w:val="006A05C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A05CD"/>
    <w:rPr>
      <w:sz w:val="24"/>
    </w:rPr>
  </w:style>
  <w:style w:type="character" w:customStyle="1" w:styleId="Nagwek1Znak">
    <w:name w:val="Nagłówek 1 Znak"/>
    <w:basedOn w:val="Domylnaczcionkaakapitu"/>
    <w:link w:val="Nagwek1"/>
    <w:uiPriority w:val="99"/>
    <w:semiHidden/>
    <w:rsid w:val="006A05C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A05C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A05C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A05CD"/>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6A05CD"/>
    <w:pPr>
      <w:tabs>
        <w:tab w:val="clear" w:pos="357"/>
      </w:tabs>
      <w:outlineLvl w:val="1"/>
    </w:pPr>
    <w:rPr>
      <w:b/>
    </w:rPr>
  </w:style>
  <w:style w:type="character" w:customStyle="1" w:styleId="JUNAMES">
    <w:name w:val="JU_NAMES"/>
    <w:uiPriority w:val="17"/>
    <w:qFormat/>
    <w:rsid w:val="006A05CD"/>
    <w:rPr>
      <w:caps w:val="0"/>
      <w:smallCaps/>
    </w:rPr>
  </w:style>
  <w:style w:type="character" w:customStyle="1" w:styleId="Nagwek3Znak">
    <w:name w:val="Nagłówek 3 Znak"/>
    <w:basedOn w:val="Domylnaczcionkaakapitu"/>
    <w:link w:val="Nagwek3"/>
    <w:uiPriority w:val="99"/>
    <w:semiHidden/>
    <w:rsid w:val="006A05C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A05C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A05CD"/>
    <w:rPr>
      <w:rFonts w:asciiTheme="majorHAnsi" w:eastAsiaTheme="majorEastAsia" w:hAnsiTheme="majorHAnsi" w:cstheme="majorBidi"/>
      <w:b/>
      <w:bCs/>
      <w:color w:val="808080"/>
    </w:rPr>
  </w:style>
  <w:style w:type="character" w:styleId="Wyrnieniedelikatne">
    <w:name w:val="Subtle Emphasis"/>
    <w:uiPriority w:val="99"/>
    <w:semiHidden/>
    <w:qFormat/>
    <w:rsid w:val="006A05C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A05CD"/>
    <w:pPr>
      <w:keepNext/>
      <w:keepLines/>
      <w:spacing w:before="720" w:after="240"/>
      <w:outlineLvl w:val="0"/>
    </w:pPr>
    <w:rPr>
      <w:rFonts w:asciiTheme="majorHAnsi" w:hAnsiTheme="majorHAnsi"/>
      <w:sz w:val="28"/>
    </w:rPr>
  </w:style>
  <w:style w:type="character" w:styleId="Uwydatnienie">
    <w:name w:val="Emphasis"/>
    <w:uiPriority w:val="99"/>
    <w:semiHidden/>
    <w:qFormat/>
    <w:rsid w:val="006A05CD"/>
    <w:rPr>
      <w:b/>
      <w:bCs/>
      <w:i/>
      <w:iCs/>
      <w:spacing w:val="10"/>
      <w:bdr w:val="none" w:sz="0" w:space="0" w:color="auto"/>
      <w:shd w:val="clear" w:color="auto" w:fill="auto"/>
    </w:rPr>
  </w:style>
  <w:style w:type="paragraph" w:styleId="Stopka">
    <w:name w:val="footer"/>
    <w:basedOn w:val="Normalny"/>
    <w:link w:val="StopkaZnak"/>
    <w:uiPriority w:val="57"/>
    <w:semiHidden/>
    <w:rsid w:val="006A05C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A05CD"/>
    <w:rPr>
      <w:sz w:val="24"/>
    </w:rPr>
  </w:style>
  <w:style w:type="character" w:styleId="Odwoanieprzypisudolnego">
    <w:name w:val="footnote reference"/>
    <w:basedOn w:val="Domylnaczcionkaakapitu"/>
    <w:uiPriority w:val="99"/>
    <w:semiHidden/>
    <w:rsid w:val="006A05CD"/>
    <w:rPr>
      <w:vertAlign w:val="superscript"/>
    </w:rPr>
  </w:style>
  <w:style w:type="paragraph" w:styleId="Tekstprzypisudolnego">
    <w:name w:val="footnote text"/>
    <w:basedOn w:val="Normalny"/>
    <w:link w:val="TekstprzypisudolnegoZnak"/>
    <w:uiPriority w:val="99"/>
    <w:semiHidden/>
    <w:rsid w:val="006A05CD"/>
    <w:rPr>
      <w:sz w:val="20"/>
      <w:szCs w:val="20"/>
    </w:rPr>
  </w:style>
  <w:style w:type="character" w:customStyle="1" w:styleId="TekstprzypisudolnegoZnak">
    <w:name w:val="Tekst przypisu dolnego Znak"/>
    <w:basedOn w:val="Domylnaczcionkaakapitu"/>
    <w:link w:val="Tekstprzypisudolnego"/>
    <w:uiPriority w:val="99"/>
    <w:semiHidden/>
    <w:rsid w:val="006A05CD"/>
    <w:rPr>
      <w:rFonts w:eastAsiaTheme="minorEastAsia"/>
      <w:sz w:val="20"/>
      <w:szCs w:val="20"/>
    </w:rPr>
  </w:style>
  <w:style w:type="character" w:customStyle="1" w:styleId="Nagwek6Znak">
    <w:name w:val="Nagłówek 6 Znak"/>
    <w:basedOn w:val="Domylnaczcionkaakapitu"/>
    <w:link w:val="Nagwek6"/>
    <w:uiPriority w:val="99"/>
    <w:semiHidden/>
    <w:rsid w:val="006A05C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A05C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A05C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A05C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6A05CD"/>
    <w:rPr>
      <w:color w:val="0072BC" w:themeColor="hyperlink"/>
      <w:u w:val="single"/>
    </w:rPr>
  </w:style>
  <w:style w:type="character" w:styleId="Wyrnienieintensywne">
    <w:name w:val="Intense Emphasis"/>
    <w:uiPriority w:val="99"/>
    <w:semiHidden/>
    <w:qFormat/>
    <w:rsid w:val="006A05CD"/>
    <w:rPr>
      <w:b/>
      <w:bCs/>
    </w:rPr>
  </w:style>
  <w:style w:type="paragraph" w:styleId="Cytatintensywny">
    <w:name w:val="Intense Quote"/>
    <w:basedOn w:val="Normalny"/>
    <w:next w:val="Normalny"/>
    <w:link w:val="CytatintensywnyZnak"/>
    <w:uiPriority w:val="99"/>
    <w:semiHidden/>
    <w:qFormat/>
    <w:rsid w:val="006A05C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A05CD"/>
    <w:rPr>
      <w:rFonts w:eastAsiaTheme="minorEastAsia"/>
      <w:b/>
      <w:bCs/>
      <w:i/>
      <w:iCs/>
      <w:lang w:bidi="en-US"/>
    </w:rPr>
  </w:style>
  <w:style w:type="character" w:styleId="Odwoanieintensywne">
    <w:name w:val="Intense Reference"/>
    <w:uiPriority w:val="99"/>
    <w:semiHidden/>
    <w:qFormat/>
    <w:rsid w:val="006A05CD"/>
    <w:rPr>
      <w:smallCaps/>
      <w:spacing w:val="5"/>
      <w:u w:val="single"/>
    </w:rPr>
  </w:style>
  <w:style w:type="paragraph" w:styleId="Akapitzlist">
    <w:name w:val="List Paragraph"/>
    <w:basedOn w:val="Normalny"/>
    <w:uiPriority w:val="99"/>
    <w:semiHidden/>
    <w:qFormat/>
    <w:rsid w:val="006A05C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A05CD"/>
    <w:pPr>
      <w:spacing w:before="200"/>
      <w:ind w:left="360" w:right="360"/>
    </w:pPr>
    <w:rPr>
      <w:i/>
      <w:iCs/>
      <w:sz w:val="22"/>
      <w:lang w:bidi="en-US"/>
    </w:rPr>
  </w:style>
  <w:style w:type="character" w:customStyle="1" w:styleId="CytatZnak">
    <w:name w:val="Cytat Znak"/>
    <w:basedOn w:val="Domylnaczcionkaakapitu"/>
    <w:link w:val="Cytat"/>
    <w:uiPriority w:val="99"/>
    <w:semiHidden/>
    <w:rsid w:val="006A05CD"/>
    <w:rPr>
      <w:rFonts w:eastAsiaTheme="minorEastAsia"/>
      <w:i/>
      <w:iCs/>
      <w:lang w:bidi="en-US"/>
    </w:rPr>
  </w:style>
  <w:style w:type="character" w:styleId="Odwoaniedelikatne">
    <w:name w:val="Subtle Reference"/>
    <w:uiPriority w:val="99"/>
    <w:semiHidden/>
    <w:qFormat/>
    <w:rsid w:val="006A05CD"/>
    <w:rPr>
      <w:smallCaps/>
    </w:rPr>
  </w:style>
  <w:style w:type="table" w:styleId="Tabela-Siatka">
    <w:name w:val="Table Grid"/>
    <w:basedOn w:val="Standardowy"/>
    <w:uiPriority w:val="59"/>
    <w:semiHidden/>
    <w:rsid w:val="006A05C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6A05CD"/>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6A05CD"/>
    <w:pPr>
      <w:spacing w:after="60"/>
      <w:ind w:left="680" w:right="340" w:hanging="340"/>
    </w:pPr>
  </w:style>
  <w:style w:type="paragraph" w:styleId="Spistreci3">
    <w:name w:val="toc 3"/>
    <w:basedOn w:val="Normalny"/>
    <w:next w:val="Normalny"/>
    <w:autoRedefine/>
    <w:uiPriority w:val="39"/>
    <w:rsid w:val="006A05CD"/>
    <w:pPr>
      <w:spacing w:after="60"/>
      <w:ind w:left="1020" w:right="340" w:hanging="340"/>
    </w:pPr>
  </w:style>
  <w:style w:type="paragraph" w:styleId="Spistreci4">
    <w:name w:val="toc 4"/>
    <w:basedOn w:val="Normalny"/>
    <w:next w:val="Normalny"/>
    <w:autoRedefine/>
    <w:uiPriority w:val="39"/>
    <w:rsid w:val="006A05CD"/>
    <w:pPr>
      <w:tabs>
        <w:tab w:val="right" w:leader="dot" w:pos="9017"/>
      </w:tabs>
      <w:spacing w:after="60"/>
      <w:ind w:left="1361" w:right="340" w:hanging="340"/>
    </w:pPr>
  </w:style>
  <w:style w:type="paragraph" w:styleId="Spistreci5">
    <w:name w:val="toc 5"/>
    <w:basedOn w:val="Normalny"/>
    <w:next w:val="Normalny"/>
    <w:autoRedefine/>
    <w:uiPriority w:val="99"/>
    <w:semiHidden/>
    <w:rsid w:val="006A05CD"/>
    <w:pPr>
      <w:spacing w:after="60"/>
      <w:ind w:left="1701" w:right="340" w:hanging="340"/>
    </w:pPr>
  </w:style>
  <w:style w:type="paragraph" w:styleId="Nagwekspisutreci">
    <w:name w:val="TOC Heading"/>
    <w:basedOn w:val="Nagwek1"/>
    <w:next w:val="Normalny"/>
    <w:uiPriority w:val="99"/>
    <w:semiHidden/>
    <w:qFormat/>
    <w:rsid w:val="006A05C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A05C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6A05CD"/>
    <w:pPr>
      <w:spacing w:before="120" w:after="120"/>
      <w:ind w:left="425" w:firstLine="142"/>
    </w:pPr>
    <w:rPr>
      <w:sz w:val="20"/>
    </w:rPr>
  </w:style>
  <w:style w:type="paragraph" w:customStyle="1" w:styleId="ECHRPara">
    <w:name w:val="ECHR_Para"/>
    <w:aliases w:val="Ju_Para,Para,Left,First line:  0 cm,Ju_Para + Interligne : Double"/>
    <w:basedOn w:val="Normalny"/>
    <w:link w:val="ECHRParaChar"/>
    <w:uiPriority w:val="12"/>
    <w:qFormat/>
    <w:rsid w:val="006A05C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A05C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A05C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A05CD"/>
    <w:pPr>
      <w:ind w:left="340" w:hanging="340"/>
    </w:pPr>
  </w:style>
  <w:style w:type="paragraph" w:customStyle="1" w:styleId="JuSigned">
    <w:name w:val="Ju_Signed"/>
    <w:basedOn w:val="Normalny"/>
    <w:next w:val="JuParaLast"/>
    <w:uiPriority w:val="32"/>
    <w:qFormat/>
    <w:rsid w:val="006A05CD"/>
    <w:pPr>
      <w:tabs>
        <w:tab w:val="center" w:pos="851"/>
        <w:tab w:val="center" w:pos="6407"/>
      </w:tabs>
      <w:spacing w:before="720"/>
      <w:jc w:val="left"/>
    </w:pPr>
  </w:style>
  <w:style w:type="paragraph" w:customStyle="1" w:styleId="JuParaLast">
    <w:name w:val="Ju_Para_Last"/>
    <w:basedOn w:val="Normalny"/>
    <w:next w:val="ECHRPara"/>
    <w:qFormat/>
    <w:rsid w:val="006A05CD"/>
    <w:pPr>
      <w:keepNext/>
      <w:keepLines/>
      <w:spacing w:before="240"/>
      <w:ind w:firstLine="284"/>
    </w:pPr>
  </w:style>
  <w:style w:type="character" w:customStyle="1" w:styleId="JuITMark">
    <w:name w:val="Ju_ITMark"/>
    <w:basedOn w:val="Domylnaczcionkaakapitu"/>
    <w:uiPriority w:val="38"/>
    <w:qFormat/>
    <w:rsid w:val="006A05CD"/>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6A05CD"/>
    <w:pPr>
      <w:jc w:val="center"/>
      <w:outlineLvl w:val="0"/>
    </w:pPr>
    <w:rPr>
      <w:i/>
    </w:rPr>
  </w:style>
  <w:style w:type="paragraph" w:customStyle="1" w:styleId="DecHTitle">
    <w:name w:val="Dec_H_Title"/>
    <w:basedOn w:val="ECHRTitleCentre1"/>
    <w:uiPriority w:val="7"/>
    <w:rsid w:val="006A05CD"/>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A05CD"/>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6A05CD"/>
    <w:pPr>
      <w:spacing w:before="240"/>
      <w:ind w:left="284"/>
    </w:pPr>
  </w:style>
  <w:style w:type="paragraph" w:styleId="Podtytu">
    <w:name w:val="Subtitle"/>
    <w:basedOn w:val="Normalny"/>
    <w:next w:val="Normalny"/>
    <w:link w:val="PodtytuZnak"/>
    <w:uiPriority w:val="99"/>
    <w:semiHidden/>
    <w:qFormat/>
    <w:rsid w:val="006A05C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A05C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6A05CD"/>
    <w:pPr>
      <w:ind w:left="346" w:firstLine="0"/>
    </w:pPr>
  </w:style>
  <w:style w:type="paragraph" w:customStyle="1" w:styleId="JuListi">
    <w:name w:val="Ju_List_i"/>
    <w:basedOn w:val="Normalny"/>
    <w:next w:val="JuLista"/>
    <w:uiPriority w:val="28"/>
    <w:qFormat/>
    <w:rsid w:val="006A05CD"/>
    <w:pPr>
      <w:ind w:left="794"/>
    </w:pPr>
  </w:style>
  <w:style w:type="paragraph" w:customStyle="1" w:styleId="OpiH1">
    <w:name w:val="Opi_H_1"/>
    <w:basedOn w:val="ECHRHeading2"/>
    <w:uiPriority w:val="42"/>
    <w:qFormat/>
    <w:rsid w:val="006A05CD"/>
    <w:pPr>
      <w:ind w:left="635" w:hanging="357"/>
      <w:outlineLvl w:val="2"/>
    </w:pPr>
  </w:style>
  <w:style w:type="paragraph" w:customStyle="1" w:styleId="OpiHa0">
    <w:name w:val="Opi_H_a"/>
    <w:basedOn w:val="ECHRHeading3"/>
    <w:uiPriority w:val="43"/>
    <w:qFormat/>
    <w:rsid w:val="006A05CD"/>
    <w:pPr>
      <w:ind w:left="833" w:hanging="357"/>
      <w:outlineLvl w:val="3"/>
    </w:pPr>
    <w:rPr>
      <w:b/>
      <w:i w:val="0"/>
      <w:sz w:val="20"/>
    </w:rPr>
  </w:style>
  <w:style w:type="paragraph" w:customStyle="1" w:styleId="OpiHi">
    <w:name w:val="Opi_H_i"/>
    <w:basedOn w:val="ECHRHeading4"/>
    <w:uiPriority w:val="44"/>
    <w:qFormat/>
    <w:rsid w:val="006A05CD"/>
    <w:pPr>
      <w:ind w:left="1037" w:hanging="357"/>
      <w:outlineLvl w:val="4"/>
    </w:pPr>
    <w:rPr>
      <w:b w:val="0"/>
      <w:i/>
    </w:rPr>
  </w:style>
  <w:style w:type="paragraph" w:customStyle="1" w:styleId="DummyStyle">
    <w:name w:val="Dummy_Style"/>
    <w:basedOn w:val="Normalny"/>
    <w:semiHidden/>
    <w:qFormat/>
    <w:rsid w:val="006A05CD"/>
    <w:rPr>
      <w:color w:val="00B050"/>
    </w:rPr>
  </w:style>
  <w:style w:type="character" w:customStyle="1" w:styleId="ECHRParaChar">
    <w:name w:val="ECHR_Para Char"/>
    <w:aliases w:val="Ju_Para Char"/>
    <w:basedOn w:val="Domylnaczcionkaakapitu"/>
    <w:link w:val="ECHRPara"/>
    <w:uiPriority w:val="12"/>
    <w:rsid w:val="004B0818"/>
    <w:rPr>
      <w:rFonts w:eastAsiaTheme="minorEastAsia"/>
      <w:sz w:val="24"/>
    </w:rPr>
  </w:style>
  <w:style w:type="character" w:customStyle="1" w:styleId="JuQuotChar">
    <w:name w:val="Ju_Quot Char"/>
    <w:basedOn w:val="Domylnaczcionkaakapitu"/>
    <w:link w:val="ECHRParaQuote"/>
    <w:uiPriority w:val="14"/>
    <w:rsid w:val="004B0818"/>
    <w:rPr>
      <w:rFonts w:eastAsiaTheme="minorEastAsia"/>
      <w:sz w:val="20"/>
    </w:rPr>
  </w:style>
  <w:style w:type="paragraph" w:styleId="Poprawka">
    <w:name w:val="Revision"/>
    <w:hidden/>
    <w:uiPriority w:val="99"/>
    <w:semiHidden/>
    <w:rsid w:val="00C34C71"/>
    <w:rPr>
      <w:rFonts w:eastAsiaTheme="minorEastAsia"/>
      <w:sz w:val="24"/>
      <w:lang w:val="en-GB"/>
    </w:rPr>
  </w:style>
  <w:style w:type="character" w:customStyle="1" w:styleId="JuParaCar">
    <w:name w:val="Ju_Para Car"/>
    <w:uiPriority w:val="12"/>
    <w:rsid w:val="00A7689E"/>
    <w:rPr>
      <w:rFonts w:eastAsiaTheme="minorEastAsia"/>
      <w:sz w:val="24"/>
      <w:lang w:val="en-US" w:eastAsia="en-US"/>
    </w:rPr>
  </w:style>
  <w:style w:type="character" w:customStyle="1" w:styleId="sb8d990e2">
    <w:name w:val="sb8d990e2"/>
    <w:basedOn w:val="Domylnaczcionkaakapitu"/>
    <w:rsid w:val="00A7689E"/>
  </w:style>
  <w:style w:type="character" w:customStyle="1" w:styleId="s7d2086b4">
    <w:name w:val="s7d2086b4"/>
    <w:basedOn w:val="Domylnaczcionkaakapitu"/>
    <w:rsid w:val="00A7689E"/>
  </w:style>
  <w:style w:type="paragraph" w:customStyle="1" w:styleId="s32b251d">
    <w:name w:val="s32b251d"/>
    <w:basedOn w:val="Normalny"/>
    <w:rsid w:val="00903B7E"/>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903B7E"/>
  </w:style>
  <w:style w:type="character" w:customStyle="1" w:styleId="s556a1de3">
    <w:name w:val="s556a1de3"/>
    <w:basedOn w:val="Domylnaczcionkaakapitu"/>
    <w:rsid w:val="00903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340503">
      <w:bodyDiv w:val="1"/>
      <w:marLeft w:val="0"/>
      <w:marRight w:val="0"/>
      <w:marTop w:val="0"/>
      <w:marBottom w:val="0"/>
      <w:divBdr>
        <w:top w:val="none" w:sz="0" w:space="0" w:color="auto"/>
        <w:left w:val="none" w:sz="0" w:space="0" w:color="auto"/>
        <w:bottom w:val="none" w:sz="0" w:space="0" w:color="auto"/>
        <w:right w:val="none" w:sz="0" w:space="0" w:color="auto"/>
      </w:divBdr>
    </w:div>
    <w:div w:id="517936263">
      <w:bodyDiv w:val="1"/>
      <w:marLeft w:val="0"/>
      <w:marRight w:val="0"/>
      <w:marTop w:val="0"/>
      <w:marBottom w:val="0"/>
      <w:divBdr>
        <w:top w:val="none" w:sz="0" w:space="0" w:color="auto"/>
        <w:left w:val="none" w:sz="0" w:space="0" w:color="auto"/>
        <w:bottom w:val="none" w:sz="0" w:space="0" w:color="auto"/>
        <w:right w:val="none" w:sz="0" w:space="0" w:color="auto"/>
      </w:divBdr>
      <w:divsChild>
        <w:div w:id="107548437">
          <w:marLeft w:val="0"/>
          <w:marRight w:val="0"/>
          <w:marTop w:val="0"/>
          <w:marBottom w:val="0"/>
          <w:divBdr>
            <w:top w:val="none" w:sz="0" w:space="0" w:color="auto"/>
            <w:left w:val="none" w:sz="0" w:space="0" w:color="auto"/>
            <w:bottom w:val="none" w:sz="0" w:space="0" w:color="auto"/>
            <w:right w:val="none" w:sz="0" w:space="0" w:color="auto"/>
          </w:divBdr>
        </w:div>
      </w:divsChild>
    </w:div>
    <w:div w:id="593707368">
      <w:bodyDiv w:val="1"/>
      <w:marLeft w:val="0"/>
      <w:marRight w:val="0"/>
      <w:marTop w:val="0"/>
      <w:marBottom w:val="0"/>
      <w:divBdr>
        <w:top w:val="none" w:sz="0" w:space="0" w:color="auto"/>
        <w:left w:val="none" w:sz="0" w:space="0" w:color="auto"/>
        <w:bottom w:val="none" w:sz="0" w:space="0" w:color="auto"/>
        <w:right w:val="none" w:sz="0" w:space="0" w:color="auto"/>
      </w:divBdr>
      <w:divsChild>
        <w:div w:id="34475046">
          <w:marLeft w:val="0"/>
          <w:marRight w:val="0"/>
          <w:marTop w:val="0"/>
          <w:marBottom w:val="0"/>
          <w:divBdr>
            <w:top w:val="none" w:sz="0" w:space="0" w:color="auto"/>
            <w:left w:val="none" w:sz="0" w:space="0" w:color="auto"/>
            <w:bottom w:val="none" w:sz="0" w:space="0" w:color="auto"/>
            <w:right w:val="none" w:sz="0" w:space="0" w:color="auto"/>
          </w:divBdr>
        </w:div>
      </w:divsChild>
    </w:div>
    <w:div w:id="1055157923">
      <w:bodyDiv w:val="1"/>
      <w:marLeft w:val="0"/>
      <w:marRight w:val="0"/>
      <w:marTop w:val="0"/>
      <w:marBottom w:val="0"/>
      <w:divBdr>
        <w:top w:val="none" w:sz="0" w:space="0" w:color="auto"/>
        <w:left w:val="none" w:sz="0" w:space="0" w:color="auto"/>
        <w:bottom w:val="none" w:sz="0" w:space="0" w:color="auto"/>
        <w:right w:val="none" w:sz="0" w:space="0" w:color="auto"/>
      </w:divBdr>
      <w:divsChild>
        <w:div w:id="334498495">
          <w:marLeft w:val="0"/>
          <w:marRight w:val="0"/>
          <w:marTop w:val="0"/>
          <w:marBottom w:val="0"/>
          <w:divBdr>
            <w:top w:val="none" w:sz="0" w:space="0" w:color="auto"/>
            <w:left w:val="none" w:sz="0" w:space="0" w:color="auto"/>
            <w:bottom w:val="none" w:sz="0" w:space="0" w:color="auto"/>
            <w:right w:val="none" w:sz="0" w:space="0" w:color="auto"/>
          </w:divBdr>
        </w:div>
      </w:divsChild>
    </w:div>
    <w:div w:id="1147477435">
      <w:bodyDiv w:val="1"/>
      <w:marLeft w:val="0"/>
      <w:marRight w:val="0"/>
      <w:marTop w:val="0"/>
      <w:marBottom w:val="0"/>
      <w:divBdr>
        <w:top w:val="none" w:sz="0" w:space="0" w:color="auto"/>
        <w:left w:val="none" w:sz="0" w:space="0" w:color="auto"/>
        <w:bottom w:val="none" w:sz="0" w:space="0" w:color="auto"/>
        <w:right w:val="none" w:sz="0" w:space="0" w:color="auto"/>
      </w:divBdr>
      <w:divsChild>
        <w:div w:id="1391273258">
          <w:marLeft w:val="0"/>
          <w:marRight w:val="0"/>
          <w:marTop w:val="0"/>
          <w:marBottom w:val="0"/>
          <w:divBdr>
            <w:top w:val="none" w:sz="0" w:space="0" w:color="auto"/>
            <w:left w:val="none" w:sz="0" w:space="0" w:color="auto"/>
            <w:bottom w:val="none" w:sz="0" w:space="0" w:color="auto"/>
            <w:right w:val="none" w:sz="0" w:space="0" w:color="auto"/>
          </w:divBdr>
          <w:divsChild>
            <w:div w:id="1573806603">
              <w:marLeft w:val="0"/>
              <w:marRight w:val="0"/>
              <w:marTop w:val="0"/>
              <w:marBottom w:val="0"/>
              <w:divBdr>
                <w:top w:val="none" w:sz="0" w:space="0" w:color="auto"/>
                <w:left w:val="none" w:sz="0" w:space="0" w:color="auto"/>
                <w:bottom w:val="none" w:sz="0" w:space="0" w:color="auto"/>
                <w:right w:val="none" w:sz="0" w:space="0" w:color="auto"/>
              </w:divBdr>
              <w:divsChild>
                <w:div w:id="141771509">
                  <w:marLeft w:val="0"/>
                  <w:marRight w:val="0"/>
                  <w:marTop w:val="0"/>
                  <w:marBottom w:val="0"/>
                  <w:divBdr>
                    <w:top w:val="none" w:sz="0" w:space="0" w:color="auto"/>
                    <w:left w:val="none" w:sz="0" w:space="0" w:color="auto"/>
                    <w:bottom w:val="none" w:sz="0" w:space="0" w:color="auto"/>
                    <w:right w:val="none" w:sz="0" w:space="0" w:color="auto"/>
                  </w:divBdr>
                  <w:divsChild>
                    <w:div w:id="203375971">
                      <w:marLeft w:val="0"/>
                      <w:marRight w:val="0"/>
                      <w:marTop w:val="0"/>
                      <w:marBottom w:val="0"/>
                      <w:divBdr>
                        <w:top w:val="none" w:sz="0" w:space="0" w:color="auto"/>
                        <w:left w:val="none" w:sz="0" w:space="0" w:color="auto"/>
                        <w:bottom w:val="none" w:sz="0" w:space="0" w:color="auto"/>
                        <w:right w:val="none" w:sz="0" w:space="0" w:color="auto"/>
                      </w:divBdr>
                      <w:divsChild>
                        <w:div w:id="355422811">
                          <w:marLeft w:val="0"/>
                          <w:marRight w:val="0"/>
                          <w:marTop w:val="0"/>
                          <w:marBottom w:val="0"/>
                          <w:divBdr>
                            <w:top w:val="none" w:sz="0" w:space="0" w:color="auto"/>
                            <w:left w:val="none" w:sz="0" w:space="0" w:color="auto"/>
                            <w:bottom w:val="none" w:sz="0" w:space="0" w:color="auto"/>
                            <w:right w:val="none" w:sz="0" w:space="0" w:color="auto"/>
                          </w:divBdr>
                          <w:divsChild>
                            <w:div w:id="22815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741556">
      <w:bodyDiv w:val="1"/>
      <w:marLeft w:val="0"/>
      <w:marRight w:val="0"/>
      <w:marTop w:val="0"/>
      <w:marBottom w:val="0"/>
      <w:divBdr>
        <w:top w:val="none" w:sz="0" w:space="0" w:color="auto"/>
        <w:left w:val="none" w:sz="0" w:space="0" w:color="auto"/>
        <w:bottom w:val="none" w:sz="0" w:space="0" w:color="auto"/>
        <w:right w:val="none" w:sz="0" w:space="0" w:color="auto"/>
      </w:divBdr>
    </w:div>
    <w:div w:id="1532760368">
      <w:bodyDiv w:val="1"/>
      <w:marLeft w:val="0"/>
      <w:marRight w:val="0"/>
      <w:marTop w:val="0"/>
      <w:marBottom w:val="0"/>
      <w:divBdr>
        <w:top w:val="none" w:sz="0" w:space="0" w:color="auto"/>
        <w:left w:val="none" w:sz="0" w:space="0" w:color="auto"/>
        <w:bottom w:val="none" w:sz="0" w:space="0" w:color="auto"/>
        <w:right w:val="none" w:sz="0" w:space="0" w:color="auto"/>
      </w:divBdr>
      <w:divsChild>
        <w:div w:id="855311656">
          <w:marLeft w:val="0"/>
          <w:marRight w:val="0"/>
          <w:marTop w:val="0"/>
          <w:marBottom w:val="0"/>
          <w:divBdr>
            <w:top w:val="none" w:sz="0" w:space="0" w:color="auto"/>
            <w:left w:val="none" w:sz="0" w:space="0" w:color="auto"/>
            <w:bottom w:val="none" w:sz="0" w:space="0" w:color="auto"/>
            <w:right w:val="none" w:sz="0" w:space="0" w:color="auto"/>
          </w:divBdr>
          <w:divsChild>
            <w:div w:id="1744061920">
              <w:marLeft w:val="0"/>
              <w:marRight w:val="0"/>
              <w:marTop w:val="0"/>
              <w:marBottom w:val="0"/>
              <w:divBdr>
                <w:top w:val="none" w:sz="0" w:space="0" w:color="auto"/>
                <w:left w:val="none" w:sz="0" w:space="0" w:color="auto"/>
                <w:bottom w:val="none" w:sz="0" w:space="0" w:color="auto"/>
                <w:right w:val="none" w:sz="0" w:space="0" w:color="auto"/>
              </w:divBdr>
              <w:divsChild>
                <w:div w:id="1453792718">
                  <w:marLeft w:val="0"/>
                  <w:marRight w:val="0"/>
                  <w:marTop w:val="0"/>
                  <w:marBottom w:val="0"/>
                  <w:divBdr>
                    <w:top w:val="none" w:sz="0" w:space="0" w:color="auto"/>
                    <w:left w:val="none" w:sz="0" w:space="0" w:color="auto"/>
                    <w:bottom w:val="none" w:sz="0" w:space="0" w:color="auto"/>
                    <w:right w:val="none" w:sz="0" w:space="0" w:color="auto"/>
                  </w:divBdr>
                  <w:divsChild>
                    <w:div w:id="356931539">
                      <w:marLeft w:val="0"/>
                      <w:marRight w:val="0"/>
                      <w:marTop w:val="0"/>
                      <w:marBottom w:val="0"/>
                      <w:divBdr>
                        <w:top w:val="none" w:sz="0" w:space="0" w:color="auto"/>
                        <w:left w:val="none" w:sz="0" w:space="0" w:color="auto"/>
                        <w:bottom w:val="none" w:sz="0" w:space="0" w:color="auto"/>
                        <w:right w:val="none" w:sz="0" w:space="0" w:color="auto"/>
                      </w:divBdr>
                      <w:divsChild>
                        <w:div w:id="405685153">
                          <w:marLeft w:val="0"/>
                          <w:marRight w:val="0"/>
                          <w:marTop w:val="0"/>
                          <w:marBottom w:val="0"/>
                          <w:divBdr>
                            <w:top w:val="none" w:sz="0" w:space="0" w:color="auto"/>
                            <w:left w:val="none" w:sz="0" w:space="0" w:color="auto"/>
                            <w:bottom w:val="none" w:sz="0" w:space="0" w:color="auto"/>
                            <w:right w:val="none" w:sz="0" w:space="0" w:color="auto"/>
                          </w:divBdr>
                          <w:divsChild>
                            <w:div w:id="19582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1198874">
      <w:bodyDiv w:val="1"/>
      <w:marLeft w:val="0"/>
      <w:marRight w:val="0"/>
      <w:marTop w:val="0"/>
      <w:marBottom w:val="0"/>
      <w:divBdr>
        <w:top w:val="none" w:sz="0" w:space="0" w:color="auto"/>
        <w:left w:val="none" w:sz="0" w:space="0" w:color="auto"/>
        <w:bottom w:val="none" w:sz="0" w:space="0" w:color="auto"/>
        <w:right w:val="none" w:sz="0" w:space="0" w:color="auto"/>
      </w:divBdr>
    </w:div>
    <w:div w:id="2001344243">
      <w:bodyDiv w:val="1"/>
      <w:marLeft w:val="0"/>
      <w:marRight w:val="0"/>
      <w:marTop w:val="0"/>
      <w:marBottom w:val="0"/>
      <w:divBdr>
        <w:top w:val="none" w:sz="0" w:space="0" w:color="auto"/>
        <w:left w:val="none" w:sz="0" w:space="0" w:color="auto"/>
        <w:bottom w:val="none" w:sz="0" w:space="0" w:color="auto"/>
        <w:right w:val="none" w:sz="0" w:space="0" w:color="auto"/>
      </w:divBdr>
      <w:divsChild>
        <w:div w:id="1773889636">
          <w:marLeft w:val="0"/>
          <w:marRight w:val="0"/>
          <w:marTop w:val="0"/>
          <w:marBottom w:val="0"/>
          <w:divBdr>
            <w:top w:val="none" w:sz="0" w:space="0" w:color="auto"/>
            <w:left w:val="none" w:sz="0" w:space="0" w:color="auto"/>
            <w:bottom w:val="none" w:sz="0" w:space="0" w:color="auto"/>
            <w:right w:val="none" w:sz="0" w:space="0" w:color="auto"/>
          </w:divBdr>
          <w:divsChild>
            <w:div w:id="1338577293">
              <w:marLeft w:val="0"/>
              <w:marRight w:val="0"/>
              <w:marTop w:val="0"/>
              <w:marBottom w:val="0"/>
              <w:divBdr>
                <w:top w:val="none" w:sz="0" w:space="0" w:color="auto"/>
                <w:left w:val="none" w:sz="0" w:space="0" w:color="auto"/>
                <w:bottom w:val="none" w:sz="0" w:space="0" w:color="auto"/>
                <w:right w:val="none" w:sz="0" w:space="0" w:color="auto"/>
              </w:divBdr>
              <w:divsChild>
                <w:div w:id="2064327237">
                  <w:marLeft w:val="0"/>
                  <w:marRight w:val="0"/>
                  <w:marTop w:val="0"/>
                  <w:marBottom w:val="0"/>
                  <w:divBdr>
                    <w:top w:val="none" w:sz="0" w:space="0" w:color="auto"/>
                    <w:left w:val="none" w:sz="0" w:space="0" w:color="auto"/>
                    <w:bottom w:val="none" w:sz="0" w:space="0" w:color="auto"/>
                    <w:right w:val="none" w:sz="0" w:space="0" w:color="auto"/>
                  </w:divBdr>
                  <w:divsChild>
                    <w:div w:id="1776561575">
                      <w:marLeft w:val="0"/>
                      <w:marRight w:val="0"/>
                      <w:marTop w:val="0"/>
                      <w:marBottom w:val="0"/>
                      <w:divBdr>
                        <w:top w:val="none" w:sz="0" w:space="0" w:color="auto"/>
                        <w:left w:val="none" w:sz="0" w:space="0" w:color="auto"/>
                        <w:bottom w:val="none" w:sz="0" w:space="0" w:color="auto"/>
                        <w:right w:val="none" w:sz="0" w:space="0" w:color="auto"/>
                      </w:divBdr>
                      <w:divsChild>
                        <w:div w:id="923807887">
                          <w:marLeft w:val="0"/>
                          <w:marRight w:val="0"/>
                          <w:marTop w:val="0"/>
                          <w:marBottom w:val="0"/>
                          <w:divBdr>
                            <w:top w:val="none" w:sz="0" w:space="0" w:color="auto"/>
                            <w:left w:val="none" w:sz="0" w:space="0" w:color="auto"/>
                            <w:bottom w:val="none" w:sz="0" w:space="0" w:color="auto"/>
                            <w:right w:val="none" w:sz="0" w:space="0" w:color="auto"/>
                          </w:divBdr>
                          <w:divsChild>
                            <w:div w:id="104143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ress.pl/tresc/44700,jacek-kurski-wygral-z-polska-w-strasbourgu"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press.pl/tresc/44700,jacek-kurski-wygral-z-polska-w-strasbourg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29A46-6637-4A33-8128-35C45D70B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15EACBE-73E9-4A6B-9E05-44ADEC63B2E1}">
  <ds:schemaRefs>
    <ds:schemaRef ds:uri="http://schemas.microsoft.com/sharepoint/v3/contenttype/forms"/>
  </ds:schemaRefs>
</ds:datastoreItem>
</file>

<file path=customXml/itemProps3.xml><?xml version="1.0" encoding="utf-8"?>
<ds:datastoreItem xmlns:ds="http://schemas.openxmlformats.org/officeDocument/2006/customXml" ds:itemID="{4D157899-66B7-4012-90CC-336F6A8630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FE93D2-37CF-4EBC-B4D2-DB41515E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5188</Words>
  <Characters>31132</Characters>
  <Application>Microsoft Office Word</Application>
  <DocSecurity>0</DocSecurity>
  <Lines>259</Lines>
  <Paragraphs>72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2016-09-30T09:47:00Z</dcterms:created>
  <dcterms:modified xsi:type="dcterms:W3CDTF">2017-05-23T12:41:00Z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