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A18" w:rsidRDefault="002838F3" w:rsidP="00B15A18">
      <w:pPr>
        <w:spacing w:after="120"/>
        <w:rPr>
          <w:rFonts w:ascii="Arial" w:hAnsi="Arial" w:cs="Arial"/>
          <w:sz w:val="20"/>
        </w:rPr>
      </w:pPr>
      <w:r>
        <w:rPr>
          <w:rFonts w:ascii="Arial" w:hAnsi="Arial" w:cs="Arial"/>
          <w:sz w:val="20"/>
        </w:rPr>
        <w:t xml:space="preserve"> </w:t>
      </w:r>
    </w:p>
    <w:p w:rsidR="002838F3" w:rsidRDefault="002838F3" w:rsidP="00B15A18">
      <w:pPr>
        <w:spacing w:after="120"/>
        <w:rPr>
          <w:rFonts w:ascii="Arial" w:hAnsi="Arial" w:cs="Arial"/>
          <w:sz w:val="20"/>
        </w:rPr>
      </w:pPr>
    </w:p>
    <w:p w:rsidR="002838F3" w:rsidRDefault="002838F3" w:rsidP="00B15A18">
      <w:pPr>
        <w:spacing w:after="120"/>
        <w:rPr>
          <w:rFonts w:ascii="Arial" w:hAnsi="Arial" w:cs="Arial"/>
          <w:sz w:val="20"/>
        </w:rPr>
      </w:pPr>
    </w:p>
    <w:p w:rsidR="002838F3" w:rsidRDefault="002838F3" w:rsidP="00B15A18">
      <w:pPr>
        <w:spacing w:after="120"/>
        <w:rPr>
          <w:rFonts w:ascii="Arial" w:hAnsi="Arial" w:cs="Arial"/>
          <w:sz w:val="20"/>
          <w:lang w:val="pl-PL"/>
        </w:rPr>
      </w:pPr>
    </w:p>
    <w:p w:rsidR="00B15A18" w:rsidRDefault="00B15A18" w:rsidP="00B15A18">
      <w:pPr>
        <w:jc w:val="center"/>
        <w:rPr>
          <w:rFonts w:ascii="Times New Roman" w:hAnsi="Times New Roman" w:cs="Times New Roman"/>
          <w:lang w:val="pl-PL"/>
        </w:rPr>
      </w:pPr>
      <w:r>
        <w:rPr>
          <w:lang w:val="pl-PL"/>
        </w:rPr>
        <w:t>EUROPEJSKI TRYBUNAŁ PRAW CZŁOWIEKA</w:t>
      </w:r>
    </w:p>
    <w:p w:rsidR="0098410D" w:rsidRPr="00B15A18" w:rsidRDefault="0098410D" w:rsidP="00CE15E8">
      <w:pPr>
        <w:jc w:val="center"/>
        <w:rPr>
          <w:lang w:val="pl-PL"/>
        </w:rPr>
      </w:pPr>
    </w:p>
    <w:p w:rsidR="003D63F3" w:rsidRPr="00B15A18" w:rsidRDefault="003D63F3" w:rsidP="00CE15E8">
      <w:pPr>
        <w:jc w:val="center"/>
        <w:rPr>
          <w:lang w:val="pl-PL"/>
        </w:rPr>
      </w:pPr>
    </w:p>
    <w:p w:rsidR="0041163D" w:rsidRPr="0098514F" w:rsidRDefault="0041163D" w:rsidP="0041163D">
      <w:pPr>
        <w:jc w:val="center"/>
        <w:rPr>
          <w:lang w:val="pl-PL"/>
        </w:rPr>
      </w:pPr>
      <w:r w:rsidRPr="0098514F">
        <w:rPr>
          <w:lang w:val="pl-PL"/>
        </w:rPr>
        <w:t>SEKCJA CZWARTA</w:t>
      </w:r>
    </w:p>
    <w:p w:rsidR="0098410D" w:rsidRPr="0098514F" w:rsidRDefault="0098410D" w:rsidP="00CE15E8">
      <w:pPr>
        <w:jc w:val="center"/>
        <w:rPr>
          <w:lang w:val="pl-PL"/>
        </w:rPr>
      </w:pPr>
    </w:p>
    <w:p w:rsidR="0098410D" w:rsidRPr="0098514F" w:rsidRDefault="0098410D" w:rsidP="00CE15E8">
      <w:pPr>
        <w:jc w:val="center"/>
        <w:rPr>
          <w:lang w:val="pl-PL"/>
        </w:rPr>
      </w:pPr>
    </w:p>
    <w:p w:rsidR="005D1363" w:rsidRPr="0098514F" w:rsidRDefault="005D1363" w:rsidP="00CE15E8">
      <w:pPr>
        <w:jc w:val="center"/>
        <w:rPr>
          <w:lang w:val="pl-PL"/>
        </w:rPr>
      </w:pPr>
    </w:p>
    <w:p w:rsidR="005D1363" w:rsidRPr="0098514F" w:rsidRDefault="005D1363" w:rsidP="00CE15E8">
      <w:pPr>
        <w:jc w:val="center"/>
        <w:rPr>
          <w:lang w:val="pl-PL"/>
        </w:rPr>
      </w:pPr>
    </w:p>
    <w:p w:rsidR="0098410D" w:rsidRPr="0098514F" w:rsidRDefault="0098410D" w:rsidP="00CE15E8">
      <w:pPr>
        <w:jc w:val="center"/>
        <w:rPr>
          <w:lang w:val="pl-PL"/>
        </w:rPr>
      </w:pPr>
    </w:p>
    <w:p w:rsidR="0041163D" w:rsidRPr="0098514F" w:rsidRDefault="0041163D" w:rsidP="0041163D">
      <w:pPr>
        <w:jc w:val="center"/>
        <w:rPr>
          <w:b/>
          <w:lang w:val="pl-PL"/>
        </w:rPr>
      </w:pPr>
      <w:bookmarkStart w:id="0" w:name="To"/>
      <w:r w:rsidRPr="0098514F">
        <w:rPr>
          <w:b/>
          <w:lang w:val="pl-PL"/>
        </w:rPr>
        <w:t>SPRAWA KRASNODĘBSK</w:t>
      </w:r>
      <w:r w:rsidR="0076697D">
        <w:rPr>
          <w:b/>
          <w:lang w:val="pl-PL"/>
        </w:rPr>
        <w:t>A-KAZIKOWSKA I ŁUNIEWSKA</w:t>
      </w:r>
      <w:r w:rsidRPr="0098514F">
        <w:rPr>
          <w:b/>
          <w:lang w:val="pl-PL"/>
        </w:rPr>
        <w:t xml:space="preserve"> PRZECIWKO POLSCE </w:t>
      </w:r>
      <w:bookmarkEnd w:id="0"/>
    </w:p>
    <w:p w:rsidR="0098410D" w:rsidRPr="0098514F" w:rsidRDefault="0098410D" w:rsidP="00CE15E8">
      <w:pPr>
        <w:jc w:val="center"/>
        <w:rPr>
          <w:lang w:val="pl-PL"/>
        </w:rPr>
      </w:pPr>
    </w:p>
    <w:p w:rsidR="0041163D" w:rsidRPr="0098514F" w:rsidRDefault="00947F61" w:rsidP="0041163D">
      <w:pPr>
        <w:jc w:val="center"/>
        <w:rPr>
          <w:i/>
          <w:lang w:val="pl-PL"/>
        </w:rPr>
      </w:pPr>
      <w:r w:rsidRPr="0098514F">
        <w:rPr>
          <w:i/>
          <w:lang w:val="pl-PL"/>
        </w:rPr>
        <w:t xml:space="preserve">(Skarga </w:t>
      </w:r>
      <w:r w:rsidR="00E83873">
        <w:rPr>
          <w:i/>
          <w:lang w:val="pl-PL"/>
        </w:rPr>
        <w:t>n</w:t>
      </w:r>
      <w:r w:rsidRPr="0098514F">
        <w:rPr>
          <w:i/>
          <w:lang w:val="pl-PL"/>
        </w:rPr>
        <w:t>r</w:t>
      </w:r>
      <w:r w:rsidR="0041163D" w:rsidRPr="0098514F">
        <w:rPr>
          <w:i/>
          <w:lang w:val="pl-PL"/>
        </w:rPr>
        <w:t xml:space="preserve"> 26860/11)</w:t>
      </w:r>
    </w:p>
    <w:p w:rsidR="0098410D" w:rsidRPr="0098514F" w:rsidRDefault="0098410D" w:rsidP="00CE15E8">
      <w:pPr>
        <w:jc w:val="center"/>
        <w:rPr>
          <w:lang w:val="pl-PL"/>
        </w:rPr>
      </w:pPr>
    </w:p>
    <w:p w:rsidR="002838F3" w:rsidRDefault="002838F3" w:rsidP="0041163D">
      <w:pPr>
        <w:jc w:val="center"/>
        <w:rPr>
          <w:lang w:val="pl-PL"/>
        </w:rPr>
      </w:pPr>
    </w:p>
    <w:p w:rsidR="002838F3" w:rsidRDefault="002838F3" w:rsidP="0041163D">
      <w:pPr>
        <w:jc w:val="center"/>
        <w:rPr>
          <w:lang w:val="pl-PL"/>
        </w:rPr>
      </w:pPr>
    </w:p>
    <w:p w:rsidR="002838F3" w:rsidRDefault="002838F3" w:rsidP="0041163D">
      <w:pPr>
        <w:jc w:val="center"/>
        <w:rPr>
          <w:lang w:val="pl-PL"/>
        </w:rPr>
      </w:pPr>
    </w:p>
    <w:p w:rsidR="0041163D" w:rsidRDefault="00B15A18" w:rsidP="0041163D">
      <w:pPr>
        <w:jc w:val="center"/>
        <w:rPr>
          <w:lang w:val="pl-PL"/>
        </w:rPr>
      </w:pPr>
      <w:bookmarkStart w:id="1" w:name="_GoBack"/>
      <w:bookmarkEnd w:id="1"/>
      <w:r>
        <w:rPr>
          <w:lang w:val="pl-PL"/>
        </w:rPr>
        <w:t xml:space="preserve"> </w:t>
      </w:r>
    </w:p>
    <w:p w:rsidR="00B15A18" w:rsidRPr="0098514F" w:rsidRDefault="00B15A18" w:rsidP="0041163D">
      <w:pPr>
        <w:jc w:val="center"/>
        <w:rPr>
          <w:lang w:val="pl-PL"/>
        </w:rPr>
      </w:pPr>
    </w:p>
    <w:p w:rsidR="0041163D" w:rsidRPr="0098514F" w:rsidRDefault="0041163D" w:rsidP="0041163D">
      <w:pPr>
        <w:jc w:val="center"/>
        <w:outlineLvl w:val="0"/>
        <w:rPr>
          <w:lang w:val="pl-PL"/>
        </w:rPr>
      </w:pPr>
      <w:r w:rsidRPr="0098514F">
        <w:rPr>
          <w:lang w:val="pl-PL"/>
        </w:rPr>
        <w:t>WYROK</w:t>
      </w:r>
    </w:p>
    <w:p w:rsidR="0098410D" w:rsidRPr="0098514F" w:rsidRDefault="0098410D" w:rsidP="00CE15E8">
      <w:pPr>
        <w:jc w:val="center"/>
        <w:rPr>
          <w:i/>
          <w:lang w:val="pl-PL"/>
        </w:rPr>
      </w:pPr>
    </w:p>
    <w:p w:rsidR="0098410D" w:rsidRPr="0098514F" w:rsidRDefault="0041372C" w:rsidP="00CE15E8">
      <w:pPr>
        <w:jc w:val="center"/>
        <w:outlineLvl w:val="0"/>
        <w:rPr>
          <w:lang w:val="pl-PL"/>
        </w:rPr>
      </w:pPr>
      <w:r w:rsidRPr="0098514F">
        <w:rPr>
          <w:lang w:val="pl-PL"/>
        </w:rPr>
        <w:t>STRASB</w:t>
      </w:r>
      <w:r w:rsidR="0098410D" w:rsidRPr="0098514F">
        <w:rPr>
          <w:lang w:val="pl-PL"/>
        </w:rPr>
        <w:t>URG</w:t>
      </w:r>
    </w:p>
    <w:p w:rsidR="0098410D" w:rsidRPr="0098514F" w:rsidRDefault="0098410D" w:rsidP="00CE15E8">
      <w:pPr>
        <w:jc w:val="center"/>
        <w:rPr>
          <w:lang w:val="pl-PL"/>
        </w:rPr>
      </w:pPr>
    </w:p>
    <w:p w:rsidR="0041163D" w:rsidRPr="0098514F" w:rsidRDefault="00B84565" w:rsidP="0041163D">
      <w:pPr>
        <w:jc w:val="center"/>
        <w:rPr>
          <w:lang w:val="pl-PL"/>
        </w:rPr>
      </w:pPr>
      <w:r w:rsidRPr="0098514F">
        <w:rPr>
          <w:lang w:val="pl-PL"/>
        </w:rPr>
        <w:t>6 października</w:t>
      </w:r>
      <w:r w:rsidR="0041163D" w:rsidRPr="0098514F">
        <w:rPr>
          <w:lang w:val="pl-PL"/>
        </w:rPr>
        <w:t xml:space="preserve"> 2016</w:t>
      </w:r>
    </w:p>
    <w:p w:rsidR="0098410D" w:rsidRPr="0098514F" w:rsidRDefault="0098410D" w:rsidP="00CE15E8">
      <w:pPr>
        <w:jc w:val="center"/>
        <w:rPr>
          <w:lang w:val="pl-PL"/>
        </w:rPr>
      </w:pPr>
    </w:p>
    <w:p w:rsidR="0076697D" w:rsidRPr="0076697D" w:rsidRDefault="0076697D" w:rsidP="0076697D">
      <w:pPr>
        <w:jc w:val="center"/>
        <w:rPr>
          <w:b/>
          <w:color w:val="FF0000"/>
          <w:u w:val="single"/>
          <w:lang w:val="pl-PL"/>
        </w:rPr>
      </w:pPr>
      <w:r w:rsidRPr="0076697D">
        <w:rPr>
          <w:b/>
          <w:color w:val="FF0000"/>
          <w:u w:val="single"/>
          <w:lang w:val="pl-PL"/>
        </w:rPr>
        <w:t>OSTATECZNY</w:t>
      </w:r>
    </w:p>
    <w:p w:rsidR="0076697D" w:rsidRPr="0076697D" w:rsidRDefault="0076697D" w:rsidP="0076697D">
      <w:pPr>
        <w:jc w:val="center"/>
        <w:rPr>
          <w:b/>
          <w:color w:val="FF0000"/>
          <w:lang w:val="pl-PL"/>
        </w:rPr>
      </w:pPr>
    </w:p>
    <w:p w:rsidR="0098410D" w:rsidRPr="0076697D" w:rsidRDefault="0076697D" w:rsidP="0076697D">
      <w:pPr>
        <w:jc w:val="center"/>
        <w:rPr>
          <w:b/>
          <w:color w:val="FF0000"/>
          <w:lang w:val="pl-PL"/>
        </w:rPr>
      </w:pPr>
      <w:r w:rsidRPr="0076697D">
        <w:rPr>
          <w:b/>
          <w:color w:val="FF0000"/>
          <w:lang w:val="pl-PL"/>
        </w:rPr>
        <w:t>06/01/2016</w:t>
      </w:r>
    </w:p>
    <w:p w:rsidR="0098410D" w:rsidRPr="0098514F" w:rsidRDefault="0098410D" w:rsidP="00CE15E8">
      <w:pPr>
        <w:jc w:val="center"/>
        <w:rPr>
          <w:lang w:val="pl-PL"/>
        </w:rPr>
      </w:pPr>
    </w:p>
    <w:p w:rsidR="00CE15E8" w:rsidRPr="0098514F" w:rsidRDefault="00CE15E8" w:rsidP="00CE15E8">
      <w:pPr>
        <w:pStyle w:val="jupara"/>
        <w:ind w:firstLine="0"/>
        <w:jc w:val="center"/>
        <w:rPr>
          <w:sz w:val="28"/>
          <w:szCs w:val="28"/>
          <w:lang w:val="pl-PL"/>
        </w:rPr>
      </w:pPr>
    </w:p>
    <w:p w:rsidR="0098410D" w:rsidRPr="0098514F" w:rsidRDefault="00F673B1" w:rsidP="00F673B1">
      <w:pPr>
        <w:jc w:val="center"/>
        <w:rPr>
          <w:lang w:val="pl-PL"/>
        </w:rPr>
      </w:pPr>
      <w:r w:rsidRPr="0098514F">
        <w:rPr>
          <w:i/>
          <w:iCs/>
          <w:sz w:val="22"/>
          <w:lang w:val="pl-PL"/>
        </w:rPr>
        <w:t>Ten wyrok uprawomocni</w:t>
      </w:r>
      <w:r w:rsidR="0076697D">
        <w:rPr>
          <w:i/>
          <w:iCs/>
          <w:sz w:val="22"/>
          <w:lang w:val="pl-PL"/>
        </w:rPr>
        <w:t>ł</w:t>
      </w:r>
      <w:r w:rsidRPr="0098514F">
        <w:rPr>
          <w:i/>
          <w:iCs/>
          <w:sz w:val="22"/>
          <w:lang w:val="pl-PL"/>
        </w:rPr>
        <w:t xml:space="preserve"> się na warunkach określonych w Artykule 44 § 2 Konwencji. Może podlegać korekcie wydawniczej</w:t>
      </w:r>
    </w:p>
    <w:p w:rsidR="005D1363" w:rsidRPr="0098514F" w:rsidRDefault="005D1363" w:rsidP="00CE15E8">
      <w:pPr>
        <w:rPr>
          <w:lang w:val="pl-PL"/>
        </w:rPr>
        <w:sectPr w:rsidR="005D1363" w:rsidRPr="0098514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noEndnote/>
        </w:sectPr>
      </w:pPr>
    </w:p>
    <w:p w:rsidR="00F36002" w:rsidRPr="0098514F" w:rsidRDefault="00F36002" w:rsidP="00C73C4B">
      <w:pPr>
        <w:pStyle w:val="ECHRPara"/>
        <w:ind w:firstLine="0"/>
        <w:rPr>
          <w:b/>
          <w:lang w:val="pl-PL"/>
        </w:rPr>
      </w:pPr>
      <w:r w:rsidRPr="0098514F">
        <w:rPr>
          <w:b/>
          <w:lang w:val="pl-PL"/>
        </w:rPr>
        <w:lastRenderedPageBreak/>
        <w:t xml:space="preserve">W sprawie </w:t>
      </w:r>
      <w:r w:rsidR="00F673B1" w:rsidRPr="0098514F">
        <w:rPr>
          <w:b/>
          <w:lang w:val="pl-PL"/>
        </w:rPr>
        <w:t>Krasnodębsk</w:t>
      </w:r>
      <w:r w:rsidR="00C73C4B">
        <w:rPr>
          <w:b/>
          <w:lang w:val="pl-PL"/>
        </w:rPr>
        <w:t>a</w:t>
      </w:r>
      <w:r w:rsidR="0041163D" w:rsidRPr="0098514F">
        <w:rPr>
          <w:b/>
          <w:lang w:val="pl-PL"/>
        </w:rPr>
        <w:t>-</w:t>
      </w:r>
      <w:r w:rsidR="00C73C4B">
        <w:rPr>
          <w:b/>
          <w:lang w:val="pl-PL"/>
        </w:rPr>
        <w:t>Kazikowska</w:t>
      </w:r>
      <w:r w:rsidRPr="0098514F">
        <w:rPr>
          <w:b/>
          <w:lang w:val="pl-PL"/>
        </w:rPr>
        <w:t xml:space="preserve"> i </w:t>
      </w:r>
      <w:r w:rsidR="00C73C4B">
        <w:rPr>
          <w:b/>
          <w:lang w:val="pl-PL"/>
        </w:rPr>
        <w:t>Łuniewska</w:t>
      </w:r>
      <w:r w:rsidR="00F673B1" w:rsidRPr="0098514F">
        <w:rPr>
          <w:b/>
          <w:lang w:val="pl-PL"/>
        </w:rPr>
        <w:t xml:space="preserve"> </w:t>
      </w:r>
      <w:r w:rsidR="0041163D" w:rsidRPr="0098514F">
        <w:rPr>
          <w:b/>
          <w:lang w:val="pl-PL"/>
        </w:rPr>
        <w:t xml:space="preserve">przeciwko </w:t>
      </w:r>
      <w:r w:rsidR="00C73C4B">
        <w:rPr>
          <w:b/>
          <w:lang w:val="pl-PL"/>
        </w:rPr>
        <w:t>P</w:t>
      </w:r>
      <w:r w:rsidR="0041163D" w:rsidRPr="0098514F">
        <w:rPr>
          <w:b/>
          <w:lang w:val="pl-PL"/>
        </w:rPr>
        <w:t>olsce,</w:t>
      </w:r>
    </w:p>
    <w:p w:rsidR="00F36002" w:rsidRPr="0098514F" w:rsidRDefault="00F36002" w:rsidP="00F140EB">
      <w:pPr>
        <w:pStyle w:val="ECHRPara"/>
        <w:ind w:firstLine="0"/>
        <w:rPr>
          <w:lang w:val="pl-PL"/>
        </w:rPr>
      </w:pPr>
      <w:r w:rsidRPr="0098514F">
        <w:rPr>
          <w:lang w:val="pl-PL"/>
        </w:rPr>
        <w:t>Europejski Trybunał Praw Człowieka (Czwarta Sekcja), zasiadając jako Izba w składzie:</w:t>
      </w:r>
    </w:p>
    <w:p w:rsidR="00F36002" w:rsidRPr="0098514F" w:rsidRDefault="00F36002" w:rsidP="00F36002">
      <w:pPr>
        <w:pStyle w:val="ECHRDecisionBody"/>
        <w:rPr>
          <w:i/>
          <w:lang w:val="pl-PL"/>
        </w:rPr>
      </w:pPr>
      <w:r w:rsidRPr="0098514F">
        <w:rPr>
          <w:lang w:val="pl-PL"/>
        </w:rPr>
        <w:tab/>
        <w:t>Guido Raimondi,</w:t>
      </w:r>
      <w:r w:rsidRPr="0098514F">
        <w:rPr>
          <w:i/>
          <w:lang w:val="pl-PL"/>
        </w:rPr>
        <w:t xml:space="preserve"> Pr</w:t>
      </w:r>
      <w:r w:rsidR="00705914">
        <w:rPr>
          <w:i/>
          <w:lang w:val="pl-PL"/>
        </w:rPr>
        <w:t>zewodniczący</w:t>
      </w:r>
      <w:r w:rsidRPr="0098514F">
        <w:rPr>
          <w:i/>
          <w:lang w:val="pl-PL"/>
        </w:rPr>
        <w:t>,</w:t>
      </w:r>
      <w:r w:rsidRPr="0098514F">
        <w:rPr>
          <w:i/>
          <w:lang w:val="pl-PL"/>
        </w:rPr>
        <w:br/>
      </w:r>
      <w:r w:rsidRPr="0098514F">
        <w:rPr>
          <w:lang w:val="pl-PL"/>
        </w:rPr>
        <w:tab/>
        <w:t>Päivi Hirvelä,</w:t>
      </w:r>
      <w:r w:rsidRPr="0098514F">
        <w:rPr>
          <w:i/>
          <w:lang w:val="pl-PL"/>
        </w:rPr>
        <w:br/>
      </w:r>
      <w:r w:rsidRPr="0098514F">
        <w:rPr>
          <w:lang w:val="pl-PL"/>
        </w:rPr>
        <w:tab/>
        <w:t>Ledi Bianku,</w:t>
      </w:r>
      <w:r w:rsidRPr="0098514F">
        <w:rPr>
          <w:i/>
          <w:lang w:val="pl-PL"/>
        </w:rPr>
        <w:br/>
      </w:r>
      <w:r w:rsidRPr="0098514F">
        <w:rPr>
          <w:lang w:val="pl-PL"/>
        </w:rPr>
        <w:tab/>
        <w:t>Nona Tsotsoria,</w:t>
      </w:r>
      <w:r w:rsidRPr="0098514F">
        <w:rPr>
          <w:i/>
          <w:lang w:val="pl-PL"/>
        </w:rPr>
        <w:br/>
      </w:r>
      <w:r w:rsidRPr="0098514F">
        <w:rPr>
          <w:lang w:val="pl-PL"/>
        </w:rPr>
        <w:tab/>
        <w:t>Paul Mahoney,</w:t>
      </w:r>
      <w:r w:rsidRPr="0098514F">
        <w:rPr>
          <w:i/>
          <w:lang w:val="pl-PL"/>
        </w:rPr>
        <w:br/>
      </w:r>
      <w:r w:rsidRPr="0098514F">
        <w:rPr>
          <w:lang w:val="pl-PL"/>
        </w:rPr>
        <w:tab/>
        <w:t>Krzysztof Wojtyczek,</w:t>
      </w:r>
      <w:r w:rsidRPr="0098514F">
        <w:rPr>
          <w:i/>
          <w:lang w:val="pl-PL"/>
        </w:rPr>
        <w:br/>
      </w:r>
      <w:r w:rsidRPr="0098514F">
        <w:rPr>
          <w:lang w:val="pl-PL"/>
        </w:rPr>
        <w:tab/>
        <w:t>Faris Vehabović,</w:t>
      </w:r>
      <w:r w:rsidRPr="0098514F">
        <w:rPr>
          <w:i/>
          <w:lang w:val="pl-PL"/>
        </w:rPr>
        <w:t xml:space="preserve"> sędziowie</w:t>
      </w:r>
    </w:p>
    <w:p w:rsidR="00F36002" w:rsidRPr="0098514F" w:rsidRDefault="00F36002" w:rsidP="00CE15E8">
      <w:pPr>
        <w:pStyle w:val="ECHRPara"/>
        <w:rPr>
          <w:lang w:val="pl-PL"/>
        </w:rPr>
      </w:pPr>
    </w:p>
    <w:p w:rsidR="00F36002" w:rsidRPr="0098514F" w:rsidRDefault="00F36002" w:rsidP="00CE15E8">
      <w:pPr>
        <w:pStyle w:val="ECHRPara"/>
        <w:rPr>
          <w:lang w:val="pl-PL"/>
        </w:rPr>
      </w:pPr>
      <w:r w:rsidRPr="0098514F">
        <w:rPr>
          <w:lang w:val="pl-PL"/>
        </w:rPr>
        <w:t>oraz Fatoş Aracı, Kanclerz Sekcji,</w:t>
      </w:r>
    </w:p>
    <w:p w:rsidR="00F36002" w:rsidRPr="0098514F" w:rsidRDefault="00F36002" w:rsidP="00CE15E8">
      <w:pPr>
        <w:pStyle w:val="ECHRPara"/>
        <w:rPr>
          <w:lang w:val="pl-PL"/>
        </w:rPr>
      </w:pPr>
    </w:p>
    <w:p w:rsidR="00F36002" w:rsidRPr="0098514F" w:rsidRDefault="00F36002" w:rsidP="00F36002">
      <w:pPr>
        <w:pStyle w:val="ECHRPara"/>
        <w:rPr>
          <w:lang w:val="pl-PL"/>
        </w:rPr>
      </w:pPr>
      <w:r w:rsidRPr="0098514F">
        <w:rPr>
          <w:rFonts w:ascii="Times New Roman" w:eastAsia="MS Mincho" w:hAnsi="Times New Roman" w:cs="Times New Roman"/>
          <w:szCs w:val="20"/>
          <w:lang w:val="pl-PL" w:eastAsia="fr-FR"/>
        </w:rPr>
        <w:t>Obradując na posiedzeniu niejawnym w dniu</w:t>
      </w:r>
      <w:r w:rsidRPr="0098514F">
        <w:rPr>
          <w:lang w:val="pl-PL"/>
        </w:rPr>
        <w:t xml:space="preserve"> 1 września 2015,</w:t>
      </w:r>
    </w:p>
    <w:p w:rsidR="00F36002" w:rsidRPr="0098514F" w:rsidRDefault="00F36002" w:rsidP="00F36002">
      <w:pPr>
        <w:pStyle w:val="ECHRPara"/>
        <w:rPr>
          <w:lang w:val="pl-PL"/>
        </w:rPr>
      </w:pPr>
      <w:r w:rsidRPr="0098514F">
        <w:rPr>
          <w:rFonts w:ascii="Times New Roman" w:eastAsia="MS Mincho" w:hAnsi="Times New Roman" w:cs="Times New Roman"/>
          <w:szCs w:val="20"/>
          <w:lang w:val="pl-PL" w:eastAsia="fr-FR"/>
        </w:rPr>
        <w:t>Wydaje następujący wyrok, który został przyjęty w tym dniu</w:t>
      </w:r>
      <w:r w:rsidRPr="0098514F">
        <w:rPr>
          <w:lang w:val="pl-PL"/>
        </w:rPr>
        <w:t>:</w:t>
      </w:r>
    </w:p>
    <w:p w:rsidR="00F36002" w:rsidRPr="0098514F" w:rsidRDefault="00F36002" w:rsidP="00F36002">
      <w:pPr>
        <w:pStyle w:val="ECHRTitle1"/>
        <w:rPr>
          <w:lang w:val="pl-PL"/>
        </w:rPr>
      </w:pPr>
      <w:r w:rsidRPr="0098514F">
        <w:rPr>
          <w:lang w:val="pl-PL"/>
        </w:rPr>
        <w:t>POSTĘPOWANIE</w:t>
      </w:r>
    </w:p>
    <w:p w:rsidR="00F36002" w:rsidRPr="0098514F" w:rsidRDefault="00F36002" w:rsidP="00F36002">
      <w:pPr>
        <w:pStyle w:val="ECHRPara"/>
        <w:rPr>
          <w:lang w:val="pl-PL"/>
        </w:rPr>
      </w:pPr>
      <w:r w:rsidRPr="0098514F">
        <w:rPr>
          <w:lang w:val="pl-PL"/>
        </w:rPr>
        <w:fldChar w:fldCharType="begin"/>
      </w:r>
      <w:r w:rsidRPr="0098514F">
        <w:rPr>
          <w:lang w:val="pl-PL"/>
        </w:rPr>
        <w:instrText xml:space="preserve"> SEQ level0 \*arabic </w:instrText>
      </w:r>
      <w:r w:rsidRPr="0098514F">
        <w:rPr>
          <w:lang w:val="pl-PL"/>
        </w:rPr>
        <w:fldChar w:fldCharType="separate"/>
      </w:r>
      <w:r w:rsidR="00F308F4">
        <w:rPr>
          <w:noProof/>
          <w:lang w:val="pl-PL"/>
        </w:rPr>
        <w:t>1</w:t>
      </w:r>
      <w:r w:rsidRPr="0098514F">
        <w:rPr>
          <w:noProof/>
          <w:lang w:val="pl-PL"/>
        </w:rPr>
        <w:fldChar w:fldCharType="end"/>
      </w:r>
      <w:r w:rsidRPr="0098514F">
        <w:rPr>
          <w:lang w:val="pl-PL"/>
        </w:rPr>
        <w:t>.  Sprawa wywodzi się ze skargi (nr</w:t>
      </w:r>
      <w:r w:rsidRPr="0098514F">
        <w:rPr>
          <w:spacing w:val="4"/>
          <w:lang w:val="pl-PL"/>
        </w:rPr>
        <w:t xml:space="preserve"> </w:t>
      </w:r>
      <w:r w:rsidRPr="0098514F">
        <w:rPr>
          <w:lang w:val="pl-PL"/>
        </w:rPr>
        <w:t>26860/11</w:t>
      </w:r>
      <w:r w:rsidRPr="0098514F">
        <w:rPr>
          <w:spacing w:val="4"/>
          <w:lang w:val="pl-PL"/>
        </w:rPr>
        <w:t xml:space="preserve">) </w:t>
      </w:r>
      <w:r w:rsidRPr="0098514F">
        <w:rPr>
          <w:lang w:val="pl-PL"/>
        </w:rPr>
        <w:t>przeciwko Rzeczypospolitej Polskiej wniesionej do Trybunału na podstawie Artykułu 34 Konwencji o Ochronie Praw Człowieka i Podstawowych Wolności         ("Konwencja") przez polskich obywateli, panią</w:t>
      </w:r>
      <w:r w:rsidRPr="0098514F">
        <w:rPr>
          <w:spacing w:val="4"/>
          <w:lang w:val="pl-PL"/>
        </w:rPr>
        <w:t xml:space="preserve"> Marię Krasnodębską- Kazikowską i Panią Hannę Łuniewską (“skarżące”), w dniu 7 kwietnia 2011.</w:t>
      </w:r>
    </w:p>
    <w:p w:rsidR="00F36002" w:rsidRPr="0098514F" w:rsidRDefault="00F36002" w:rsidP="00F36002">
      <w:pPr>
        <w:pStyle w:val="ECHRPara"/>
        <w:rPr>
          <w:lang w:val="pl-PL"/>
        </w:rPr>
      </w:pPr>
      <w:r w:rsidRPr="0098514F">
        <w:rPr>
          <w:lang w:val="pl-PL"/>
        </w:rPr>
        <w:fldChar w:fldCharType="begin"/>
      </w:r>
      <w:r w:rsidRPr="0098514F">
        <w:rPr>
          <w:lang w:val="pl-PL"/>
        </w:rPr>
        <w:instrText xml:space="preserve"> SEQ level0 \*arabic </w:instrText>
      </w:r>
      <w:r w:rsidRPr="0098514F">
        <w:rPr>
          <w:lang w:val="pl-PL"/>
        </w:rPr>
        <w:fldChar w:fldCharType="separate"/>
      </w:r>
      <w:r w:rsidR="00F308F4">
        <w:rPr>
          <w:noProof/>
          <w:lang w:val="pl-PL"/>
        </w:rPr>
        <w:t>2</w:t>
      </w:r>
      <w:r w:rsidRPr="0098514F">
        <w:rPr>
          <w:noProof/>
          <w:lang w:val="pl-PL"/>
        </w:rPr>
        <w:fldChar w:fldCharType="end"/>
      </w:r>
      <w:r w:rsidRPr="0098514F">
        <w:rPr>
          <w:lang w:val="pl-PL"/>
        </w:rPr>
        <w:t>.  Skarżące był reprezentowane przez panią E. Słotwińską, prawnika praktykującego w Warszawie. Rząd Polski ("Rząd") był reprezentowany przez swojego pełnomocnika, panią J. Chrzanowską, z Ministerstwa Spraw Zagranicznych.</w:t>
      </w:r>
    </w:p>
    <w:p w:rsidR="00F36002" w:rsidRPr="0098514F" w:rsidRDefault="00F36002" w:rsidP="00CE15E8">
      <w:pPr>
        <w:ind w:firstLine="284"/>
        <w:rPr>
          <w:lang w:val="pl-PL"/>
        </w:rPr>
      </w:pPr>
      <w:r w:rsidRPr="0098514F">
        <w:rPr>
          <w:lang w:val="pl-PL"/>
        </w:rPr>
        <w:fldChar w:fldCharType="begin"/>
      </w:r>
      <w:r w:rsidRPr="0098514F">
        <w:rPr>
          <w:lang w:val="pl-PL"/>
        </w:rPr>
        <w:instrText xml:space="preserve"> SEQ level0 \*arabic </w:instrText>
      </w:r>
      <w:r w:rsidRPr="0098514F">
        <w:rPr>
          <w:lang w:val="pl-PL"/>
        </w:rPr>
        <w:fldChar w:fldCharType="separate"/>
      </w:r>
      <w:r w:rsidR="00F308F4">
        <w:rPr>
          <w:noProof/>
          <w:lang w:val="pl-PL"/>
        </w:rPr>
        <w:t>3</w:t>
      </w:r>
      <w:r w:rsidRPr="0098514F">
        <w:rPr>
          <w:noProof/>
          <w:lang w:val="pl-PL"/>
        </w:rPr>
        <w:fldChar w:fldCharType="end"/>
      </w:r>
      <w:r w:rsidRPr="0098514F">
        <w:rPr>
          <w:lang w:val="pl-PL"/>
        </w:rPr>
        <w:t xml:space="preserve">.  Skarżące zarzucały, że w wyniku rozbieżności co do interpretacji prawa krajowego odmówiono im prawa do odszkodowania za szkody powstałe w wyniku wywłaszczenia, które zostało uznane za niemające mocy prawnej </w:t>
      </w:r>
    </w:p>
    <w:p w:rsidR="00E740BF"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4</w:t>
      </w:r>
      <w:r w:rsidRPr="0098514F">
        <w:rPr>
          <w:lang w:val="en-GB"/>
        </w:rPr>
        <w:fldChar w:fldCharType="end"/>
      </w:r>
      <w:r w:rsidR="00E740BF" w:rsidRPr="0098514F">
        <w:rPr>
          <w:lang w:val="pl-PL"/>
        </w:rPr>
        <w:t>.  </w:t>
      </w:r>
      <w:r w:rsidR="00F36002" w:rsidRPr="0098514F">
        <w:rPr>
          <w:lang w:val="pl-PL"/>
        </w:rPr>
        <w:t>W dniu 24 września 2012 roku skarga została przekazana do Rządu</w:t>
      </w:r>
      <w:r w:rsidR="00E740BF" w:rsidRPr="0098514F">
        <w:rPr>
          <w:lang w:val="pl-PL"/>
        </w:rPr>
        <w:t>.</w:t>
      </w:r>
    </w:p>
    <w:p w:rsidR="00F36002" w:rsidRPr="0098514F" w:rsidRDefault="00F36002" w:rsidP="00F36002">
      <w:pPr>
        <w:pStyle w:val="ECHRTitle1"/>
        <w:rPr>
          <w:rFonts w:ascii="Cambria" w:hAnsi="Cambria"/>
          <w:lang w:val="pl-PL"/>
        </w:rPr>
      </w:pPr>
      <w:r w:rsidRPr="0098514F">
        <w:rPr>
          <w:rFonts w:ascii="Cambria" w:hAnsi="Cambria"/>
          <w:lang w:val="pl-PL"/>
        </w:rPr>
        <w:t>STAN FAKTYCZNY</w:t>
      </w:r>
    </w:p>
    <w:p w:rsidR="00F36002" w:rsidRPr="0098514F" w:rsidRDefault="00F36002" w:rsidP="00F36002">
      <w:pPr>
        <w:pStyle w:val="ECHRHeading1"/>
        <w:rPr>
          <w:rFonts w:ascii="Cambria" w:hAnsi="Cambria"/>
          <w:lang w:val="pl-PL"/>
        </w:rPr>
      </w:pPr>
      <w:r w:rsidRPr="0098514F">
        <w:rPr>
          <w:rFonts w:ascii="Cambria" w:hAnsi="Cambria"/>
          <w:lang w:val="pl-PL"/>
        </w:rPr>
        <w:t xml:space="preserve">I.  OKOLICZNOŚCI SPRAWY </w:t>
      </w:r>
    </w:p>
    <w:p w:rsidR="003C6998"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5</w:t>
      </w:r>
      <w:r w:rsidRPr="0098514F">
        <w:rPr>
          <w:lang w:val="en-GB"/>
        </w:rPr>
        <w:fldChar w:fldCharType="end"/>
      </w:r>
      <w:r w:rsidR="00E740BF" w:rsidRPr="0098514F">
        <w:rPr>
          <w:lang w:val="pl-PL"/>
        </w:rPr>
        <w:t>.  </w:t>
      </w:r>
      <w:r w:rsidR="003C6998" w:rsidRPr="0098514F">
        <w:rPr>
          <w:lang w:val="pl-PL"/>
        </w:rPr>
        <w:t xml:space="preserve">Skarżące urodziły się odpowiednio w 1942 i 1943 roku i mieszkają w Warszawie </w:t>
      </w:r>
    </w:p>
    <w:p w:rsidR="00526B73" w:rsidRPr="0098514F" w:rsidRDefault="00C0625E" w:rsidP="00CE15E8">
      <w:pPr>
        <w:ind w:firstLine="284"/>
        <w:rPr>
          <w:lang w:val="pl-PL"/>
        </w:rPr>
      </w:pPr>
      <w:r w:rsidRPr="0098514F">
        <w:lastRenderedPageBreak/>
        <w:fldChar w:fldCharType="begin"/>
      </w:r>
      <w:r w:rsidR="000D6E28" w:rsidRPr="0098514F">
        <w:rPr>
          <w:lang w:val="pl-PL"/>
        </w:rPr>
        <w:instrText xml:space="preserve"> SEQ level0 \*arabic </w:instrText>
      </w:r>
      <w:r w:rsidRPr="0098514F">
        <w:fldChar w:fldCharType="separate"/>
      </w:r>
      <w:r w:rsidR="00F308F4">
        <w:rPr>
          <w:noProof/>
          <w:lang w:val="pl-PL"/>
        </w:rPr>
        <w:t>6</w:t>
      </w:r>
      <w:r w:rsidRPr="0098514F">
        <w:rPr>
          <w:noProof/>
        </w:rPr>
        <w:fldChar w:fldCharType="end"/>
      </w:r>
      <w:r w:rsidR="00E740BF" w:rsidRPr="0098514F">
        <w:rPr>
          <w:lang w:val="pl-PL"/>
        </w:rPr>
        <w:t>.  </w:t>
      </w:r>
      <w:r w:rsidR="003C6998" w:rsidRPr="0098514F">
        <w:rPr>
          <w:lang w:val="pl-PL"/>
        </w:rPr>
        <w:t>Skarżące są prawnymi następcami byłych właścicieli nieruchomości w pobliżu Warszawy, zwanej Willa Janówka złożonej z wielu działek będących własnością różnych osób.</w:t>
      </w:r>
    </w:p>
    <w:p w:rsidR="003C6998" w:rsidRPr="0098514F" w:rsidRDefault="00C0625E" w:rsidP="003C6998">
      <w:pPr>
        <w:pStyle w:val="ECHRPara"/>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7</w:t>
      </w:r>
      <w:r w:rsidRPr="0098514F">
        <w:rPr>
          <w:noProof/>
        </w:rPr>
        <w:fldChar w:fldCharType="end"/>
      </w:r>
      <w:r w:rsidR="00E740BF" w:rsidRPr="0098514F">
        <w:rPr>
          <w:lang w:val="pl-PL"/>
        </w:rPr>
        <w:t>.  </w:t>
      </w:r>
      <w:r w:rsidR="003C6998" w:rsidRPr="0098514F">
        <w:rPr>
          <w:lang w:val="pl-PL"/>
        </w:rPr>
        <w:t>.  W 1971 roku ówcześni właściciele nieruchomości, w tym E.P., matka skarżących, zostali zobowiązani w drodze decyzji administracyjnej, aby przekazać swoje grunty na rzecz Skarbu Państwa bez odszkodowania w ramach większego programu wywłaszczenia.</w:t>
      </w:r>
    </w:p>
    <w:p w:rsidR="003C6998" w:rsidRPr="0098514F" w:rsidRDefault="003C6998" w:rsidP="003C6998">
      <w:pPr>
        <w:ind w:firstLine="284"/>
        <w:rPr>
          <w:lang w:val="pl-PL"/>
        </w:rPr>
      </w:pPr>
    </w:p>
    <w:p w:rsidR="00E740BF" w:rsidRPr="0098514F" w:rsidRDefault="00C21FAB" w:rsidP="003C6998">
      <w:pPr>
        <w:ind w:firstLine="284"/>
        <w:rPr>
          <w:b/>
          <w:lang w:val="pl-PL"/>
        </w:rPr>
      </w:pPr>
      <w:r w:rsidRPr="0098514F">
        <w:rPr>
          <w:b/>
          <w:lang w:val="pl-PL"/>
        </w:rPr>
        <w:t>A</w:t>
      </w:r>
      <w:r w:rsidR="00E740BF" w:rsidRPr="0098514F">
        <w:rPr>
          <w:b/>
          <w:lang w:val="pl-PL"/>
        </w:rPr>
        <w:t>.  </w:t>
      </w:r>
      <w:r w:rsidR="00A54855" w:rsidRPr="0098514F">
        <w:rPr>
          <w:b/>
          <w:lang w:val="pl-PL"/>
        </w:rPr>
        <w:t>Starania skarżących w celu otrzymania odszkodowania za szkody powstałe przez decyzję o wywłaszczeniu</w:t>
      </w:r>
    </w:p>
    <w:p w:rsidR="003C6998" w:rsidRPr="0098514F" w:rsidRDefault="003C6998" w:rsidP="003C6998">
      <w:pPr>
        <w:ind w:firstLine="284"/>
        <w:rPr>
          <w:b/>
          <w:lang w:val="pl-PL"/>
        </w:rPr>
      </w:pPr>
    </w:p>
    <w:p w:rsidR="003819F7" w:rsidRPr="0098514F" w:rsidRDefault="00C0625E" w:rsidP="003C699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8</w:t>
      </w:r>
      <w:r w:rsidRPr="0098514F">
        <w:rPr>
          <w:noProof/>
        </w:rPr>
        <w:fldChar w:fldCharType="end"/>
      </w:r>
      <w:r w:rsidR="00E740BF" w:rsidRPr="0098514F">
        <w:rPr>
          <w:lang w:val="pl-PL"/>
        </w:rPr>
        <w:t>.  </w:t>
      </w:r>
      <w:r w:rsidR="00536DC0" w:rsidRPr="0098514F">
        <w:rPr>
          <w:lang w:val="pl-PL"/>
        </w:rPr>
        <w:t xml:space="preserve">W dniu </w:t>
      </w:r>
      <w:r w:rsidR="003C6998" w:rsidRPr="0098514F">
        <w:rPr>
          <w:lang w:val="pl-PL"/>
        </w:rPr>
        <w:t>30 grudnia 2005 Samorządowe Kolegium Odwoławcze w Warszawie wydało decyzję uznającą powódki oraz trzy inne osoby za następców prawnych byłych właścicieli wywłaszczonych na mocy decyzji z 1971 roku.</w:t>
      </w:r>
      <w:r w:rsidR="003819F7" w:rsidRPr="0098514F">
        <w:rPr>
          <w:lang w:val="pl-PL"/>
        </w:rPr>
        <w:t xml:space="preserve"> Uznano, że decyzja została wydana z rażącym naruszeniem prawa obowiązującego w chwili zaistnienia. Strony zostały poinformowane ponadto, że decyzja nadzorcza daje podstawę do roszczenia odszkodowawczego z ich strony za szkody wyrządzone przez pierwotną bezprawną decyzję.</w:t>
      </w:r>
    </w:p>
    <w:p w:rsidR="003C6998" w:rsidRPr="0098514F" w:rsidRDefault="00C0625E" w:rsidP="003C6998">
      <w:pPr>
        <w:ind w:firstLine="284"/>
        <w:rPr>
          <w:snapToGrid w:val="0"/>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9</w:t>
      </w:r>
      <w:r w:rsidRPr="0098514F">
        <w:rPr>
          <w:snapToGrid w:val="0"/>
        </w:rPr>
        <w:fldChar w:fldCharType="end"/>
      </w:r>
      <w:r w:rsidR="00E740BF" w:rsidRPr="0098514F">
        <w:rPr>
          <w:snapToGrid w:val="0"/>
          <w:lang w:val="pl-PL"/>
        </w:rPr>
        <w:t>.  </w:t>
      </w:r>
      <w:r w:rsidR="003C6998" w:rsidRPr="0098514F">
        <w:rPr>
          <w:snapToGrid w:val="0"/>
          <w:lang w:val="pl-PL"/>
        </w:rPr>
        <w:t>W dniu 28 sierpnia 2006 roku skarżące domagały się odszkodowania za szkody wynikłe z decyzji wydanej w 1971 roku.</w:t>
      </w:r>
    </w:p>
    <w:p w:rsidR="003C6998" w:rsidRPr="0098514F" w:rsidRDefault="00C0625E" w:rsidP="00CE15E8">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10</w:t>
      </w:r>
      <w:r w:rsidRPr="0098514F">
        <w:rPr>
          <w:snapToGrid w:val="0"/>
        </w:rPr>
        <w:fldChar w:fldCharType="end"/>
      </w:r>
      <w:r w:rsidR="00E740BF" w:rsidRPr="0098514F">
        <w:rPr>
          <w:snapToGrid w:val="0"/>
          <w:lang w:val="pl-PL"/>
        </w:rPr>
        <w:t>.  </w:t>
      </w:r>
      <w:r w:rsidR="003C6998" w:rsidRPr="0098514F">
        <w:rPr>
          <w:lang w:val="pl-PL"/>
        </w:rPr>
        <w:t>W dniu 15 maja 2009 roku Sąd Okręgowy w Warszawie uwzględnił rosz</w:t>
      </w:r>
      <w:r w:rsidR="00947F61" w:rsidRPr="0098514F">
        <w:rPr>
          <w:lang w:val="pl-PL"/>
        </w:rPr>
        <w:t>czenie skarżących i zasądził 64</w:t>
      </w:r>
      <w:r w:rsidR="003C6998" w:rsidRPr="0098514F">
        <w:rPr>
          <w:lang w:val="pl-PL"/>
        </w:rPr>
        <w:t>487 złotych polskich  d</w:t>
      </w:r>
      <w:r w:rsidR="00947F61" w:rsidRPr="0098514F">
        <w:rPr>
          <w:lang w:val="pl-PL"/>
        </w:rPr>
        <w:t>la</w:t>
      </w:r>
      <w:r w:rsidR="003C6998" w:rsidRPr="0098514F">
        <w:rPr>
          <w:lang w:val="pl-PL"/>
        </w:rPr>
        <w:t xml:space="preserve"> każdego z nich, co odpowiada wartości wywłaszczonej ziemi. Stwierdził on, że</w:t>
      </w:r>
      <w:r w:rsidR="00F26F85" w:rsidRPr="0098514F">
        <w:rPr>
          <w:lang w:val="pl-PL"/>
        </w:rPr>
        <w:t xml:space="preserve"> zostały spełnione</w:t>
      </w:r>
      <w:r w:rsidR="003C6998" w:rsidRPr="0098514F">
        <w:rPr>
          <w:lang w:val="pl-PL"/>
        </w:rPr>
        <w:t xml:space="preserve"> </w:t>
      </w:r>
      <w:r w:rsidR="00F26F85" w:rsidRPr="0098514F">
        <w:rPr>
          <w:lang w:val="pl-PL"/>
        </w:rPr>
        <w:t>przesłanki</w:t>
      </w:r>
      <w:r w:rsidR="003C6998" w:rsidRPr="0098514F">
        <w:rPr>
          <w:lang w:val="pl-PL"/>
        </w:rPr>
        <w:t xml:space="preserve"> odpowiedzialności </w:t>
      </w:r>
      <w:r w:rsidR="00DC6153" w:rsidRPr="0098514F">
        <w:rPr>
          <w:lang w:val="pl-PL"/>
        </w:rPr>
        <w:t>odszkodowawczej</w:t>
      </w:r>
      <w:r w:rsidR="006923A1" w:rsidRPr="0098514F">
        <w:rPr>
          <w:lang w:val="pl-PL"/>
        </w:rPr>
        <w:t xml:space="preserve"> w postaci</w:t>
      </w:r>
      <w:r w:rsidR="00F26F85" w:rsidRPr="0098514F">
        <w:rPr>
          <w:lang w:val="pl-PL"/>
        </w:rPr>
        <w:t xml:space="preserve"> </w:t>
      </w:r>
      <w:r w:rsidR="003C6998" w:rsidRPr="0098514F">
        <w:rPr>
          <w:lang w:val="pl-PL"/>
        </w:rPr>
        <w:t>zdarzeni</w:t>
      </w:r>
      <w:r w:rsidR="00F26F85" w:rsidRPr="0098514F">
        <w:rPr>
          <w:lang w:val="pl-PL"/>
        </w:rPr>
        <w:t>a</w:t>
      </w:r>
      <w:r w:rsidR="003C6998" w:rsidRPr="0098514F">
        <w:rPr>
          <w:lang w:val="pl-PL"/>
        </w:rPr>
        <w:t>, które spowodowało szkodę</w:t>
      </w:r>
      <w:r w:rsidR="006923A1" w:rsidRPr="0098514F">
        <w:rPr>
          <w:lang w:val="pl-PL"/>
        </w:rPr>
        <w:t xml:space="preserve"> majątkową</w:t>
      </w:r>
      <w:r w:rsidR="003C6998" w:rsidRPr="0098514F">
        <w:rPr>
          <w:lang w:val="pl-PL"/>
        </w:rPr>
        <w:t xml:space="preserve"> i </w:t>
      </w:r>
      <w:r w:rsidR="006923A1" w:rsidRPr="0098514F">
        <w:rPr>
          <w:lang w:val="pl-PL"/>
        </w:rPr>
        <w:t>zaistnienia</w:t>
      </w:r>
      <w:r w:rsidR="003C6998" w:rsidRPr="0098514F">
        <w:rPr>
          <w:lang w:val="pl-PL"/>
        </w:rPr>
        <w:t xml:space="preserve"> związku przyczynowego pomiędzy </w:t>
      </w:r>
      <w:r w:rsidR="006923A1" w:rsidRPr="0098514F">
        <w:rPr>
          <w:lang w:val="pl-PL"/>
        </w:rPr>
        <w:t>tym zdarzeniem a szkodą</w:t>
      </w:r>
      <w:r w:rsidR="003C6998" w:rsidRPr="0098514F">
        <w:rPr>
          <w:lang w:val="pl-PL"/>
        </w:rPr>
        <w:t xml:space="preserve">. W odniesieniu do </w:t>
      </w:r>
      <w:r w:rsidR="006923A1" w:rsidRPr="0098514F">
        <w:rPr>
          <w:lang w:val="pl-PL"/>
        </w:rPr>
        <w:t>deliktu</w:t>
      </w:r>
      <w:r w:rsidR="003C6998" w:rsidRPr="0098514F">
        <w:rPr>
          <w:lang w:val="pl-PL"/>
        </w:rPr>
        <w:t xml:space="preserve"> popełnionego przez Skarb Państwa poprzez wydawanie niezgodnych z prawem decyzji administracyjnych</w:t>
      </w:r>
      <w:r w:rsidR="00DC6153" w:rsidRPr="0098514F">
        <w:rPr>
          <w:lang w:val="pl-PL"/>
        </w:rPr>
        <w:t>,</w:t>
      </w:r>
      <w:r w:rsidR="003C6998" w:rsidRPr="0098514F">
        <w:rPr>
          <w:lang w:val="pl-PL"/>
        </w:rPr>
        <w:t xml:space="preserve"> sprawa o odszkodowanie może być prowadzona tylko po późniejszej </w:t>
      </w:r>
      <w:r w:rsidR="00947F61" w:rsidRPr="0098514F">
        <w:rPr>
          <w:lang w:val="pl-PL"/>
        </w:rPr>
        <w:t>stwierdzeniu</w:t>
      </w:r>
      <w:r w:rsidR="003C6998" w:rsidRPr="0098514F">
        <w:rPr>
          <w:lang w:val="pl-PL"/>
        </w:rPr>
        <w:t>, że pierwotna decyzja administracyjna była niezgodna z prawem. Takie decyzje nadzorcze zostały wydane w sprawie skarżących w 2005 roku (patrz pkt. 8 powyżej).</w:t>
      </w:r>
    </w:p>
    <w:p w:rsidR="003C6998" w:rsidRPr="0098514F" w:rsidRDefault="00C0625E" w:rsidP="003C6998">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11</w:t>
      </w:r>
      <w:r w:rsidRPr="0098514F">
        <w:rPr>
          <w:snapToGrid w:val="0"/>
        </w:rPr>
        <w:fldChar w:fldCharType="end"/>
      </w:r>
      <w:r w:rsidR="00E740BF" w:rsidRPr="0098514F">
        <w:rPr>
          <w:snapToGrid w:val="0"/>
          <w:lang w:val="pl-PL"/>
        </w:rPr>
        <w:t>.  </w:t>
      </w:r>
      <w:r w:rsidR="003C6998" w:rsidRPr="0098514F">
        <w:rPr>
          <w:lang w:val="pl-PL"/>
        </w:rPr>
        <w:t xml:space="preserve">Sąd stwierdził ponadto, że </w:t>
      </w:r>
      <w:r w:rsidR="00DC6153" w:rsidRPr="0098514F">
        <w:rPr>
          <w:lang w:val="pl-PL"/>
        </w:rPr>
        <w:t>niezbędne jest ustalenie</w:t>
      </w:r>
      <w:r w:rsidR="003C6998" w:rsidRPr="0098514F">
        <w:rPr>
          <w:lang w:val="pl-PL"/>
        </w:rPr>
        <w:t>, które przepisy prawa materialnego miały zastosowanie do okoliczności niniejszej spra</w:t>
      </w:r>
      <w:r w:rsidR="00F673B1" w:rsidRPr="0098514F">
        <w:rPr>
          <w:lang w:val="pl-PL"/>
        </w:rPr>
        <w:t>wy</w:t>
      </w:r>
      <w:r w:rsidR="002754DA" w:rsidRPr="0098514F">
        <w:rPr>
          <w:lang w:val="pl-PL"/>
        </w:rPr>
        <w:t>, o czym decyduje</w:t>
      </w:r>
      <w:r w:rsidR="00F673B1" w:rsidRPr="0098514F">
        <w:rPr>
          <w:lang w:val="pl-PL"/>
        </w:rPr>
        <w:t xml:space="preserve"> ustalenie</w:t>
      </w:r>
      <w:r w:rsidR="003C6998" w:rsidRPr="0098514F">
        <w:rPr>
          <w:lang w:val="pl-PL"/>
        </w:rPr>
        <w:t xml:space="preserve"> </w:t>
      </w:r>
      <w:r w:rsidR="00F673B1" w:rsidRPr="0098514F">
        <w:rPr>
          <w:lang w:val="pl-PL"/>
        </w:rPr>
        <w:t>początku</w:t>
      </w:r>
      <w:r w:rsidR="002754DA" w:rsidRPr="0098514F">
        <w:rPr>
          <w:lang w:val="pl-PL"/>
        </w:rPr>
        <w:t xml:space="preserve"> </w:t>
      </w:r>
      <w:r w:rsidR="00F633AE" w:rsidRPr="0098514F">
        <w:rPr>
          <w:lang w:val="pl-PL"/>
        </w:rPr>
        <w:t>biegu terminu przedawnienia</w:t>
      </w:r>
      <w:r w:rsidR="003C6998" w:rsidRPr="0098514F">
        <w:rPr>
          <w:lang w:val="pl-PL"/>
        </w:rPr>
        <w:t xml:space="preserve"> i długość terminu</w:t>
      </w:r>
      <w:r w:rsidR="00611E2C" w:rsidRPr="0098514F">
        <w:rPr>
          <w:lang w:val="pl-PL"/>
        </w:rPr>
        <w:t xml:space="preserve"> przedawniania</w:t>
      </w:r>
      <w:r w:rsidR="003C6998" w:rsidRPr="0098514F">
        <w:rPr>
          <w:lang w:val="pl-PL"/>
        </w:rPr>
        <w:t>, w którym roszczenie o odszkodowanie musiało zostać wniesione przed sądem. Sąd zauważył, że pierwotna decyzja administracyjna została wydana</w:t>
      </w:r>
      <w:r w:rsidR="00DC5884" w:rsidRPr="0098514F">
        <w:rPr>
          <w:lang w:val="pl-PL"/>
        </w:rPr>
        <w:t xml:space="preserve"> przed dniem 1 września 2004 roku.</w:t>
      </w:r>
      <w:r w:rsidR="003C6998" w:rsidRPr="0098514F">
        <w:rPr>
          <w:lang w:val="pl-PL"/>
        </w:rPr>
        <w:t xml:space="preserve"> W tym dniu ustawa z dnia 17 czerwca 2004 roku o zmianie Kodeksu Cywilnego weszła w życie. Ustawa ta zmieniła zasadniczo ramy prawne dotyczące odpowiedzialności cywilnej Skarbu Państwa. To uchylony, ​​między innymi, artykuł 160 Kodeksu postępowania administracyjnego i uchwal</w:t>
      </w:r>
      <w:r w:rsidR="00F673B1" w:rsidRPr="0098514F">
        <w:rPr>
          <w:lang w:val="pl-PL"/>
        </w:rPr>
        <w:t>ony</w:t>
      </w:r>
      <w:r w:rsidR="003C6998" w:rsidRPr="0098514F">
        <w:rPr>
          <w:lang w:val="pl-PL"/>
        </w:rPr>
        <w:t xml:space="preserve"> Artykuł 417</w:t>
      </w:r>
      <w:r w:rsidR="00DC5884" w:rsidRPr="0098514F">
        <w:rPr>
          <w:vertAlign w:val="superscript"/>
          <w:lang w:val="pl-PL"/>
        </w:rPr>
        <w:t>1</w:t>
      </w:r>
      <w:r w:rsidR="003C6998" w:rsidRPr="0098514F">
        <w:rPr>
          <w:lang w:val="pl-PL"/>
        </w:rPr>
        <w:t xml:space="preserve"> Kodeksu cywilnego (patrz pkt. 22-24 poniżej). Sąd był zdania, że ​​ ostatni </w:t>
      </w:r>
      <w:r w:rsidR="0004529D" w:rsidRPr="0098514F">
        <w:rPr>
          <w:lang w:val="pl-PL"/>
        </w:rPr>
        <w:t xml:space="preserve">z powołanych </w:t>
      </w:r>
      <w:r w:rsidR="003C6998" w:rsidRPr="0098514F">
        <w:rPr>
          <w:lang w:val="pl-PL"/>
        </w:rPr>
        <w:t>przepis</w:t>
      </w:r>
      <w:r w:rsidR="0004529D" w:rsidRPr="0098514F">
        <w:rPr>
          <w:lang w:val="pl-PL"/>
        </w:rPr>
        <w:t>ów</w:t>
      </w:r>
      <w:r w:rsidR="003C6998" w:rsidRPr="0098514F">
        <w:rPr>
          <w:lang w:val="pl-PL"/>
        </w:rPr>
        <w:t xml:space="preserve"> </w:t>
      </w:r>
      <w:r w:rsidR="009367C2" w:rsidRPr="0098514F">
        <w:rPr>
          <w:lang w:val="pl-PL"/>
        </w:rPr>
        <w:t>znajduje</w:t>
      </w:r>
      <w:r w:rsidR="003C6998" w:rsidRPr="0098514F">
        <w:rPr>
          <w:lang w:val="pl-PL"/>
        </w:rPr>
        <w:t xml:space="preserve"> </w:t>
      </w:r>
      <w:r w:rsidR="009367C2" w:rsidRPr="0098514F">
        <w:rPr>
          <w:lang w:val="pl-PL"/>
        </w:rPr>
        <w:t>zastosowanie w</w:t>
      </w:r>
      <w:r w:rsidR="003C6998" w:rsidRPr="0098514F">
        <w:rPr>
          <w:lang w:val="pl-PL"/>
        </w:rPr>
        <w:t xml:space="preserve"> okoliczności</w:t>
      </w:r>
      <w:r w:rsidR="009367C2" w:rsidRPr="0098514F">
        <w:rPr>
          <w:lang w:val="pl-PL"/>
        </w:rPr>
        <w:t>ach</w:t>
      </w:r>
      <w:r w:rsidR="003C6998" w:rsidRPr="0098514F">
        <w:rPr>
          <w:lang w:val="pl-PL"/>
        </w:rPr>
        <w:t xml:space="preserve"> </w:t>
      </w:r>
      <w:r w:rsidR="009367C2" w:rsidRPr="0098514F">
        <w:rPr>
          <w:lang w:val="pl-PL"/>
        </w:rPr>
        <w:lastRenderedPageBreak/>
        <w:t>niniejszej</w:t>
      </w:r>
      <w:r w:rsidR="003C6998" w:rsidRPr="0098514F">
        <w:rPr>
          <w:lang w:val="pl-PL"/>
        </w:rPr>
        <w:t xml:space="preserve"> sprawy. Zgodnie z tym przepisem i  z przepisami Kodeksu cywilnego o odpowiedzialności deliktowej, okres przedawnienia zaczął biec dopiero wtedy, gdy decyzja</w:t>
      </w:r>
      <w:r w:rsidR="009367C2" w:rsidRPr="0098514F">
        <w:rPr>
          <w:lang w:val="pl-PL"/>
        </w:rPr>
        <w:t xml:space="preserve"> nadzorcza</w:t>
      </w:r>
      <w:r w:rsidR="003C6998" w:rsidRPr="0098514F">
        <w:rPr>
          <w:lang w:val="pl-PL"/>
        </w:rPr>
        <w:t xml:space="preserve"> z dnia 30 grudnia 2005 roku, </w:t>
      </w:r>
      <w:r w:rsidR="009367C2" w:rsidRPr="0098514F">
        <w:rPr>
          <w:lang w:val="pl-PL"/>
        </w:rPr>
        <w:t>stwierdzająca</w:t>
      </w:r>
      <w:r w:rsidR="003C6998" w:rsidRPr="0098514F">
        <w:rPr>
          <w:lang w:val="pl-PL"/>
        </w:rPr>
        <w:t xml:space="preserve"> bezprawno</w:t>
      </w:r>
      <w:r w:rsidR="009367C2" w:rsidRPr="0098514F">
        <w:rPr>
          <w:lang w:val="pl-PL"/>
        </w:rPr>
        <w:t xml:space="preserve">ść </w:t>
      </w:r>
      <w:r w:rsidR="003C6998" w:rsidRPr="0098514F">
        <w:rPr>
          <w:lang w:val="pl-PL"/>
        </w:rPr>
        <w:t>pierwotnej decyzji o wywłaszczeniu, stała się ostateczna. Okres przedawnienia wynoszący trzy lata  w związku z tym zakończył swój bieg.</w:t>
      </w:r>
    </w:p>
    <w:p w:rsidR="003C6998" w:rsidRPr="0098514F" w:rsidRDefault="00C0625E" w:rsidP="003C6998">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12</w:t>
      </w:r>
      <w:r w:rsidRPr="0098514F">
        <w:rPr>
          <w:snapToGrid w:val="0"/>
        </w:rPr>
        <w:fldChar w:fldCharType="end"/>
      </w:r>
      <w:r w:rsidR="00E740BF" w:rsidRPr="0098514F">
        <w:rPr>
          <w:snapToGrid w:val="0"/>
          <w:lang w:val="pl-PL"/>
        </w:rPr>
        <w:t>.  </w:t>
      </w:r>
      <w:r w:rsidR="00346A70" w:rsidRPr="0098514F">
        <w:rPr>
          <w:lang w:val="pl-PL"/>
        </w:rPr>
        <w:t>Pozwany</w:t>
      </w:r>
      <w:r w:rsidR="003C6998" w:rsidRPr="0098514F">
        <w:rPr>
          <w:lang w:val="pl-PL"/>
        </w:rPr>
        <w:t xml:space="preserve"> Skarb Państwa, reprezentowany przez prezydenta Warszawy złożył apelację.</w:t>
      </w:r>
    </w:p>
    <w:p w:rsidR="003C6998" w:rsidRPr="0098514F" w:rsidRDefault="00C0625E" w:rsidP="003C6998">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13</w:t>
      </w:r>
      <w:r w:rsidRPr="0098514F">
        <w:rPr>
          <w:snapToGrid w:val="0"/>
        </w:rPr>
        <w:fldChar w:fldCharType="end"/>
      </w:r>
      <w:r w:rsidR="00E740BF" w:rsidRPr="0098514F">
        <w:rPr>
          <w:snapToGrid w:val="0"/>
          <w:lang w:val="pl-PL"/>
        </w:rPr>
        <w:t>.  </w:t>
      </w:r>
      <w:r w:rsidR="003C6998" w:rsidRPr="0098514F">
        <w:rPr>
          <w:lang w:val="pl-PL"/>
        </w:rPr>
        <w:t xml:space="preserve">W dniu 26 listopada 2009 roku Sąd Apelacyjny w Warszawie po rozpoznaniu skargi  oddalił roszczenie skarżących. Potwierdził on ustalenia  dokonane przez sąd niższej instancji co do istnienia szkody majątkowej oraz związku przyczynowego pomiędzy decyzją z 1971 roku a tą szkodą. </w:t>
      </w:r>
      <w:r w:rsidR="00EF6CE6" w:rsidRPr="0098514F">
        <w:rPr>
          <w:lang w:val="pl-PL"/>
        </w:rPr>
        <w:t>Zajął jednak stanowisko</w:t>
      </w:r>
      <w:r w:rsidR="003C6998" w:rsidRPr="0098514F">
        <w:rPr>
          <w:lang w:val="pl-PL"/>
        </w:rPr>
        <w:t>, że ​​przepisy dotyczące odpowiedzialności cywilnej państwa za ten czyn powinien być interpretowany w inny sposób przez sąd pierwszej instancji, w szczególności w celu określenia okresu przedawnienia. Sąd zauważył, że w ramach reżimu komunistycznego było praktycznie niemożliwe, głównie z powodów politycznych, aby dochodzić roszczeń będących wynikiem</w:t>
      </w:r>
      <w:r w:rsidR="00E164C9" w:rsidRPr="0098514F">
        <w:rPr>
          <w:lang w:val="pl-PL"/>
        </w:rPr>
        <w:t xml:space="preserve"> </w:t>
      </w:r>
      <w:r w:rsidR="003C6998" w:rsidRPr="0098514F">
        <w:rPr>
          <w:lang w:val="pl-PL"/>
        </w:rPr>
        <w:t>bezprawnych decyzji administracyjnych lub do dochodzenia odszkodowania od Skarbu Państwa za szkody wyrządzone przez te decyzje. Najwcześniejszy termin, w którym można było zrobić to 4 czerwca 1989</w:t>
      </w:r>
      <w:r w:rsidR="00E164C9" w:rsidRPr="0098514F">
        <w:rPr>
          <w:lang w:val="pl-PL"/>
        </w:rPr>
        <w:t xml:space="preserve"> roku</w:t>
      </w:r>
      <w:r w:rsidR="003C6998" w:rsidRPr="0098514F">
        <w:rPr>
          <w:lang w:val="pl-PL"/>
        </w:rPr>
        <w:t xml:space="preserve">, kiedy pierwsze częściowo wolne wybory parlamentarne odbyły się w Polsce. To właśnie </w:t>
      </w:r>
      <w:r w:rsidR="00E164C9" w:rsidRPr="0098514F">
        <w:rPr>
          <w:lang w:val="pl-PL"/>
        </w:rPr>
        <w:t>od</w:t>
      </w:r>
      <w:r w:rsidR="003C6998" w:rsidRPr="0098514F">
        <w:rPr>
          <w:lang w:val="pl-PL"/>
        </w:rPr>
        <w:t xml:space="preserve"> tego dnia, ​​okres przedawnienia  wynoszący dziesięć lat przewidzianych w artykule 442 Kodeksu cywilnego zaczął </w:t>
      </w:r>
      <w:r w:rsidR="00F673B1" w:rsidRPr="0098514F">
        <w:rPr>
          <w:lang w:val="pl-PL"/>
        </w:rPr>
        <w:t>swój bieg</w:t>
      </w:r>
      <w:r w:rsidR="003C6998" w:rsidRPr="0098514F">
        <w:rPr>
          <w:lang w:val="pl-PL"/>
        </w:rPr>
        <w:t>. Wnioskodawcy powinni skorzystać z dostępnego środka prawnego</w:t>
      </w:r>
      <w:r w:rsidR="00E164C9" w:rsidRPr="0098514F">
        <w:rPr>
          <w:lang w:val="pl-PL"/>
        </w:rPr>
        <w:t xml:space="preserve">, a mianowicie powinni uzyskać </w:t>
      </w:r>
      <w:r w:rsidR="003C6998" w:rsidRPr="0098514F">
        <w:rPr>
          <w:lang w:val="pl-PL"/>
        </w:rPr>
        <w:t xml:space="preserve">decyzję stwierdzającą  bezprawność pierwotnej decyzji wywłaszczeniowej przed 4 czerwca 1999 roku, kiedy  dziesięcioletni  okres przedawnienia </w:t>
      </w:r>
      <w:r w:rsidR="00F673B1" w:rsidRPr="0098514F">
        <w:rPr>
          <w:lang w:val="pl-PL"/>
        </w:rPr>
        <w:t>dobiegł</w:t>
      </w:r>
      <w:r w:rsidR="003C6998" w:rsidRPr="0098514F">
        <w:rPr>
          <w:lang w:val="pl-PL"/>
        </w:rPr>
        <w:t xml:space="preserve"> końca.</w:t>
      </w:r>
    </w:p>
    <w:p w:rsidR="003C6998" w:rsidRPr="0098514F" w:rsidRDefault="00C0625E" w:rsidP="003C6998">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14</w:t>
      </w:r>
      <w:r w:rsidRPr="0098514F">
        <w:rPr>
          <w:snapToGrid w:val="0"/>
        </w:rPr>
        <w:fldChar w:fldCharType="end"/>
      </w:r>
      <w:r w:rsidR="00E740BF" w:rsidRPr="0098514F">
        <w:rPr>
          <w:snapToGrid w:val="0"/>
          <w:lang w:val="pl-PL"/>
        </w:rPr>
        <w:t>.  </w:t>
      </w:r>
      <w:r w:rsidR="003C6998" w:rsidRPr="0098514F">
        <w:rPr>
          <w:lang w:val="pl-PL"/>
        </w:rPr>
        <w:t xml:space="preserve">Skarżące odwołały się do kwestii prawnych. Argumentowały one, że zaskarżony wyrok stanowi naruszenie artykułu 77 Konstytucji </w:t>
      </w:r>
      <w:r w:rsidR="00E164C9" w:rsidRPr="0098514F">
        <w:rPr>
          <w:lang w:val="pl-PL"/>
        </w:rPr>
        <w:t xml:space="preserve">RP </w:t>
      </w:r>
      <w:r w:rsidR="003C6998" w:rsidRPr="0098514F">
        <w:rPr>
          <w:lang w:val="pl-PL"/>
        </w:rPr>
        <w:t xml:space="preserve">z 1997 roku, w zakresie, w jakim zagwarantowane prawo do odszkodowania za szkody wyrządzone przez państwo. Ani </w:t>
      </w:r>
      <w:r w:rsidR="00092CC5" w:rsidRPr="0098514F">
        <w:rPr>
          <w:lang w:val="pl-PL"/>
        </w:rPr>
        <w:t xml:space="preserve">kwestia </w:t>
      </w:r>
      <w:r w:rsidR="003C6998" w:rsidRPr="0098514F">
        <w:rPr>
          <w:lang w:val="pl-PL"/>
        </w:rPr>
        <w:t>szkody spowodowane</w:t>
      </w:r>
      <w:r w:rsidR="00092CC5" w:rsidRPr="0098514F">
        <w:rPr>
          <w:lang w:val="pl-PL"/>
        </w:rPr>
        <w:t>j</w:t>
      </w:r>
      <w:r w:rsidR="003C6998" w:rsidRPr="0098514F">
        <w:rPr>
          <w:lang w:val="pl-PL"/>
        </w:rPr>
        <w:t xml:space="preserve"> decyzją</w:t>
      </w:r>
      <w:r w:rsidR="00092CC5" w:rsidRPr="0098514F">
        <w:rPr>
          <w:lang w:val="pl-PL"/>
        </w:rPr>
        <w:t xml:space="preserve"> administracyjną</w:t>
      </w:r>
      <w:r w:rsidR="003C6998" w:rsidRPr="0098514F">
        <w:rPr>
          <w:lang w:val="pl-PL"/>
        </w:rPr>
        <w:t xml:space="preserve"> z 1971 roku ani </w:t>
      </w:r>
      <w:r w:rsidR="00092CC5" w:rsidRPr="0098514F">
        <w:rPr>
          <w:lang w:val="pl-PL"/>
        </w:rPr>
        <w:t xml:space="preserve">zagadnienie </w:t>
      </w:r>
      <w:r w:rsidR="003C6998" w:rsidRPr="0098514F">
        <w:rPr>
          <w:lang w:val="pl-PL"/>
        </w:rPr>
        <w:t>bezprawności</w:t>
      </w:r>
      <w:r w:rsidR="00092CC5" w:rsidRPr="0098514F">
        <w:rPr>
          <w:lang w:val="pl-PL"/>
        </w:rPr>
        <w:t xml:space="preserve"> działania Skarbu Państwa</w:t>
      </w:r>
      <w:r w:rsidR="003C6998" w:rsidRPr="0098514F">
        <w:rPr>
          <w:lang w:val="pl-PL"/>
        </w:rPr>
        <w:t xml:space="preserve"> nie były przedmiotem sporu między stronami.</w:t>
      </w:r>
    </w:p>
    <w:p w:rsidR="003C6998" w:rsidRPr="0098514F" w:rsidRDefault="003C6998" w:rsidP="003C6998">
      <w:pPr>
        <w:ind w:firstLine="284"/>
        <w:rPr>
          <w:lang w:val="pl-PL"/>
        </w:rPr>
      </w:pPr>
      <w:r w:rsidRPr="0098514F">
        <w:rPr>
          <w:lang w:val="pl-PL"/>
        </w:rPr>
        <w:t xml:space="preserve">Twierdziły też, że sprawa podnosi istotny problem prawny, gdyż  istniały rozbieżne nurty orzecznictwa dotyczące interpretacji przepisów prawnych dotyczących odpowiedzialności cywilnej państwa co do decyzji administracyjnych </w:t>
      </w:r>
      <w:r w:rsidR="009B13A2" w:rsidRPr="0098514F">
        <w:rPr>
          <w:lang w:val="pl-PL"/>
        </w:rPr>
        <w:t>wydanych</w:t>
      </w:r>
      <w:r w:rsidRPr="0098514F">
        <w:rPr>
          <w:lang w:val="pl-PL"/>
        </w:rPr>
        <w:t xml:space="preserve"> przed dniem 1 września 2004 roku i uznanych</w:t>
      </w:r>
      <w:r w:rsidR="000C62D2" w:rsidRPr="0098514F">
        <w:rPr>
          <w:lang w:val="pl-PL"/>
        </w:rPr>
        <w:t xml:space="preserve"> za</w:t>
      </w:r>
      <w:r w:rsidRPr="0098514F">
        <w:rPr>
          <w:lang w:val="pl-PL"/>
        </w:rPr>
        <w:t xml:space="preserve"> </w:t>
      </w:r>
      <w:r w:rsidR="00F673B1" w:rsidRPr="0098514F">
        <w:rPr>
          <w:lang w:val="pl-PL"/>
        </w:rPr>
        <w:t>bez</w:t>
      </w:r>
      <w:r w:rsidRPr="0098514F">
        <w:rPr>
          <w:lang w:val="pl-PL"/>
        </w:rPr>
        <w:t>prawne po tej dacie. Te różnice w podejściu sądów do podobnych przypadków, zarówno co do określenia początku</w:t>
      </w:r>
      <w:r w:rsidR="005F2D78" w:rsidRPr="0098514F">
        <w:rPr>
          <w:lang w:val="pl-PL"/>
        </w:rPr>
        <w:t xml:space="preserve"> biegu</w:t>
      </w:r>
      <w:r w:rsidRPr="0098514F">
        <w:rPr>
          <w:lang w:val="pl-PL"/>
        </w:rPr>
        <w:t xml:space="preserve"> okresu przedawnienia, a także co do jego długości, miały decydujący wpływ na wyniki spraw odszkodowawczych wniesionych przez ofiary bezprawnych decyzji administracyjnych i na sprawę skarżących.</w:t>
      </w:r>
    </w:p>
    <w:p w:rsidR="009B13A2" w:rsidRPr="0098514F" w:rsidRDefault="00C0625E" w:rsidP="009B13A2">
      <w:pPr>
        <w:ind w:firstLine="284"/>
        <w:rPr>
          <w:snapToGrid w:val="0"/>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15</w:t>
      </w:r>
      <w:r w:rsidRPr="0098514F">
        <w:rPr>
          <w:snapToGrid w:val="0"/>
        </w:rPr>
        <w:fldChar w:fldCharType="end"/>
      </w:r>
      <w:r w:rsidR="00E740BF" w:rsidRPr="0098514F">
        <w:rPr>
          <w:snapToGrid w:val="0"/>
          <w:lang w:val="pl-PL"/>
        </w:rPr>
        <w:t>.  </w:t>
      </w:r>
      <w:r w:rsidR="002A13D1" w:rsidRPr="0098514F">
        <w:rPr>
          <w:snapToGrid w:val="0"/>
          <w:lang w:val="pl-PL"/>
        </w:rPr>
        <w:t xml:space="preserve">W dniu </w:t>
      </w:r>
      <w:r w:rsidR="009B13A2" w:rsidRPr="0098514F">
        <w:rPr>
          <w:snapToGrid w:val="0"/>
          <w:lang w:val="pl-PL"/>
        </w:rPr>
        <w:t>21 p</w:t>
      </w:r>
      <w:r w:rsidR="002A13D1" w:rsidRPr="0098514F">
        <w:rPr>
          <w:snapToGrid w:val="0"/>
          <w:lang w:val="pl-PL"/>
        </w:rPr>
        <w:t xml:space="preserve">aździernika 2010 Sąd Najwyższy </w:t>
      </w:r>
      <w:r w:rsidR="009B13A2" w:rsidRPr="0098514F">
        <w:rPr>
          <w:snapToGrid w:val="0"/>
          <w:lang w:val="pl-PL"/>
        </w:rPr>
        <w:t>na posiedzeniu</w:t>
      </w:r>
      <w:r w:rsidR="002A13D1" w:rsidRPr="0098514F">
        <w:rPr>
          <w:snapToGrid w:val="0"/>
          <w:lang w:val="pl-PL"/>
        </w:rPr>
        <w:t xml:space="preserve"> niejawnym</w:t>
      </w:r>
      <w:r w:rsidR="009B13A2" w:rsidRPr="0098514F">
        <w:rPr>
          <w:snapToGrid w:val="0"/>
          <w:lang w:val="pl-PL"/>
        </w:rPr>
        <w:t xml:space="preserve"> w składzie jednego sędziego odmówił </w:t>
      </w:r>
      <w:r w:rsidR="002A13D1" w:rsidRPr="0098514F">
        <w:rPr>
          <w:snapToGrid w:val="0"/>
          <w:lang w:val="pl-PL"/>
        </w:rPr>
        <w:t xml:space="preserve">przyjęcia skargi </w:t>
      </w:r>
      <w:r w:rsidR="002A13D1" w:rsidRPr="0098514F">
        <w:rPr>
          <w:snapToGrid w:val="0"/>
          <w:lang w:val="pl-PL"/>
        </w:rPr>
        <w:lastRenderedPageBreak/>
        <w:t xml:space="preserve">kasacyjnej </w:t>
      </w:r>
      <w:r w:rsidR="009B13A2" w:rsidRPr="0098514F">
        <w:rPr>
          <w:snapToGrid w:val="0"/>
          <w:lang w:val="pl-PL"/>
        </w:rPr>
        <w:t xml:space="preserve">powódek </w:t>
      </w:r>
      <w:r w:rsidR="00C6071B" w:rsidRPr="0098514F">
        <w:rPr>
          <w:snapToGrid w:val="0"/>
          <w:lang w:val="pl-PL"/>
        </w:rPr>
        <w:t>z uwagi na brak istotnego zagadnienia prawnego oraz potrzeby wykładni przepisów.</w:t>
      </w:r>
    </w:p>
    <w:p w:rsidR="009B13A2" w:rsidRPr="0098514F" w:rsidRDefault="009B13A2" w:rsidP="009B13A2">
      <w:pPr>
        <w:ind w:firstLine="284"/>
        <w:rPr>
          <w:snapToGrid w:val="0"/>
          <w:lang w:val="pl-PL"/>
        </w:rPr>
      </w:pPr>
    </w:p>
    <w:p w:rsidR="00E740BF" w:rsidRPr="0098514F" w:rsidRDefault="00C21FAB" w:rsidP="009B13A2">
      <w:pPr>
        <w:ind w:firstLine="284"/>
        <w:rPr>
          <w:b/>
          <w:snapToGrid w:val="0"/>
          <w:lang w:val="pl-PL"/>
        </w:rPr>
      </w:pPr>
      <w:r w:rsidRPr="0098514F">
        <w:rPr>
          <w:b/>
          <w:snapToGrid w:val="0"/>
          <w:lang w:val="pl-PL"/>
        </w:rPr>
        <w:t>B</w:t>
      </w:r>
      <w:r w:rsidR="00E740BF" w:rsidRPr="0098514F">
        <w:rPr>
          <w:b/>
          <w:snapToGrid w:val="0"/>
          <w:lang w:val="pl-PL"/>
        </w:rPr>
        <w:t>.  </w:t>
      </w:r>
      <w:r w:rsidR="00A54855" w:rsidRPr="0098514F">
        <w:rPr>
          <w:b/>
          <w:snapToGrid w:val="0"/>
          <w:lang w:val="pl-PL"/>
        </w:rPr>
        <w:t>Starania innych osób dotkniętych pierwotną decyzją o wywłaszczeniu w celu uzyskania odszkodowania</w:t>
      </w:r>
    </w:p>
    <w:p w:rsidR="009B13A2" w:rsidRPr="0098514F" w:rsidRDefault="009B13A2" w:rsidP="009B13A2">
      <w:pPr>
        <w:ind w:firstLine="284"/>
        <w:rPr>
          <w:b/>
          <w:snapToGrid w:val="0"/>
          <w:lang w:val="pl-PL"/>
        </w:rPr>
      </w:pPr>
    </w:p>
    <w:p w:rsidR="009B13A2" w:rsidRPr="0098514F" w:rsidRDefault="00C0625E" w:rsidP="009B13A2">
      <w:pPr>
        <w:ind w:firstLine="284"/>
        <w:rPr>
          <w:rStyle w:val="JuParaCha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16</w:t>
      </w:r>
      <w:r w:rsidRPr="0098514F">
        <w:rPr>
          <w:snapToGrid w:val="0"/>
        </w:rPr>
        <w:fldChar w:fldCharType="end"/>
      </w:r>
      <w:r w:rsidR="00E740BF" w:rsidRPr="0098514F">
        <w:rPr>
          <w:snapToGrid w:val="0"/>
          <w:lang w:val="pl-PL"/>
        </w:rPr>
        <w:t>.  </w:t>
      </w:r>
      <w:r w:rsidR="009B13A2" w:rsidRPr="0098514F">
        <w:rPr>
          <w:rStyle w:val="JuParaChar"/>
          <w:lang w:val="pl-PL"/>
        </w:rPr>
        <w:t>Równolegle do przypadku skarżących, A.C., następc</w:t>
      </w:r>
      <w:r w:rsidR="00C6071B" w:rsidRPr="0098514F">
        <w:rPr>
          <w:rStyle w:val="JuParaChar"/>
          <w:lang w:val="pl-PL"/>
        </w:rPr>
        <w:t>a prawny</w:t>
      </w:r>
      <w:r w:rsidR="009B13A2" w:rsidRPr="0098514F">
        <w:rPr>
          <w:rStyle w:val="JuParaChar"/>
          <w:lang w:val="pl-PL"/>
        </w:rPr>
        <w:t xml:space="preserve"> innego właściciela wywłaszczonego tą samą decyzją wydaną w 1971 roku </w:t>
      </w:r>
      <w:r w:rsidR="00905D75" w:rsidRPr="0098514F">
        <w:rPr>
          <w:rStyle w:val="JuParaChar"/>
          <w:lang w:val="pl-PL"/>
        </w:rPr>
        <w:br/>
      </w:r>
      <w:r w:rsidR="009B13A2" w:rsidRPr="0098514F">
        <w:rPr>
          <w:rStyle w:val="JuParaChar"/>
          <w:lang w:val="pl-PL"/>
        </w:rPr>
        <w:t xml:space="preserve">i objętego tą samą decyzją nadzorczą z dnia 30 grudnia 2005 (patrz pkt. 8 powyżej), domagała się odszkodowania w postępowaniu cywilnym za szkody wyrządzone przez pierwotną decyzję. Wniosła ona swoje roszczenie do Sądu </w:t>
      </w:r>
      <w:r w:rsidR="00905D75" w:rsidRPr="0098514F">
        <w:rPr>
          <w:rStyle w:val="JuParaChar"/>
          <w:lang w:val="pl-PL"/>
        </w:rPr>
        <w:t>Okręgowego</w:t>
      </w:r>
      <w:r w:rsidR="009B13A2" w:rsidRPr="0098514F">
        <w:rPr>
          <w:rStyle w:val="JuParaChar"/>
          <w:lang w:val="pl-PL"/>
        </w:rPr>
        <w:t xml:space="preserve"> w Warszawie w dniu 30 sierpnia 2006 r.</w:t>
      </w:r>
    </w:p>
    <w:p w:rsidR="00485805" w:rsidRPr="0098514F" w:rsidRDefault="00C0625E" w:rsidP="00485805">
      <w:pPr>
        <w:ind w:firstLine="284"/>
        <w:rPr>
          <w:snapToGrid w:val="0"/>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17</w:t>
      </w:r>
      <w:r w:rsidRPr="0098514F">
        <w:rPr>
          <w:snapToGrid w:val="0"/>
        </w:rPr>
        <w:fldChar w:fldCharType="end"/>
      </w:r>
      <w:r w:rsidR="00E740BF" w:rsidRPr="0098514F">
        <w:rPr>
          <w:snapToGrid w:val="0"/>
          <w:lang w:val="pl-PL"/>
        </w:rPr>
        <w:t>.  </w:t>
      </w:r>
      <w:r w:rsidR="00485805" w:rsidRPr="0098514F">
        <w:rPr>
          <w:snapToGrid w:val="0"/>
          <w:lang w:val="pl-PL"/>
        </w:rPr>
        <w:t xml:space="preserve">Wyrokiem z dnia 30 września 2010 roku Sąd Okręgowy w Warszawie uwzględnił jej wniosek i przyznano jej odszkodowanie w kwocie 110187 zł, co odpowiada wartości działki należącej do poprzednika prawnego. Powstały rozbieżne poglądy wyrażane przez sądy cywilne oraz Sąd Najwyższy w </w:t>
      </w:r>
      <w:r w:rsidR="00905D75" w:rsidRPr="0098514F">
        <w:rPr>
          <w:snapToGrid w:val="0"/>
          <w:lang w:val="pl-PL"/>
        </w:rPr>
        <w:t xml:space="preserve">analogicznych </w:t>
      </w:r>
      <w:r w:rsidR="00485805" w:rsidRPr="0098514F">
        <w:rPr>
          <w:snapToGrid w:val="0"/>
          <w:lang w:val="pl-PL"/>
        </w:rPr>
        <w:t xml:space="preserve">sprawach dotyczących roszczeń </w:t>
      </w:r>
      <w:r w:rsidR="00905D75" w:rsidRPr="0098514F">
        <w:rPr>
          <w:snapToGrid w:val="0"/>
          <w:lang w:val="pl-PL"/>
        </w:rPr>
        <w:t>odszkodowawczych</w:t>
      </w:r>
      <w:r w:rsidR="00485805" w:rsidRPr="0098514F">
        <w:rPr>
          <w:snapToGrid w:val="0"/>
          <w:lang w:val="pl-PL"/>
        </w:rPr>
        <w:t xml:space="preserve"> spowodowaną decyzjami administracyjnymi uznanymi za bezprawne po 1 września 2004. Należy zauważyć, że sposób, w jaki przepisy dotyczące odpowiedzialności państwa za bezprawne decyzje administracyjne były interpretowane </w:t>
      </w:r>
      <w:r w:rsidR="00BF257E" w:rsidRPr="0098514F">
        <w:rPr>
          <w:snapToGrid w:val="0"/>
          <w:lang w:val="pl-PL"/>
        </w:rPr>
        <w:t xml:space="preserve">stanowił podstawę istotnych rozbieżności </w:t>
      </w:r>
      <w:r w:rsidR="00485805" w:rsidRPr="0098514F">
        <w:rPr>
          <w:snapToGrid w:val="0"/>
          <w:lang w:val="pl-PL"/>
        </w:rPr>
        <w:t>w praktyce sądowej</w:t>
      </w:r>
      <w:r w:rsidR="00B45F71" w:rsidRPr="0098514F">
        <w:rPr>
          <w:snapToGrid w:val="0"/>
          <w:lang w:val="pl-PL"/>
        </w:rPr>
        <w:t>. Sąd nie</w:t>
      </w:r>
      <w:r w:rsidR="00485805" w:rsidRPr="0098514F">
        <w:rPr>
          <w:snapToGrid w:val="0"/>
          <w:lang w:val="pl-PL"/>
        </w:rPr>
        <w:t xml:space="preserve"> zgodził się z poglądem</w:t>
      </w:r>
      <w:r w:rsidR="00B45F71" w:rsidRPr="0098514F">
        <w:rPr>
          <w:snapToGrid w:val="0"/>
          <w:lang w:val="pl-PL"/>
        </w:rPr>
        <w:t xml:space="preserve"> wyrażonym w niektórych orzeczeniach</w:t>
      </w:r>
      <w:r w:rsidR="00485805" w:rsidRPr="0098514F">
        <w:rPr>
          <w:snapToGrid w:val="0"/>
          <w:lang w:val="pl-PL"/>
        </w:rPr>
        <w:t xml:space="preserve"> sądowych, że dziesięcioletni okres przedawnienia na wniesienie roszczeń odszkodowawczych przed sądami </w:t>
      </w:r>
      <w:r w:rsidR="00B45F71" w:rsidRPr="0098514F">
        <w:rPr>
          <w:snapToGrid w:val="0"/>
          <w:lang w:val="pl-PL"/>
        </w:rPr>
        <w:t>zaczyna</w:t>
      </w:r>
      <w:r w:rsidR="00485805" w:rsidRPr="0098514F">
        <w:rPr>
          <w:snapToGrid w:val="0"/>
          <w:lang w:val="pl-PL"/>
        </w:rPr>
        <w:t xml:space="preserve"> biec, kiedy </w:t>
      </w:r>
      <w:r w:rsidR="00B45F71" w:rsidRPr="0098514F">
        <w:rPr>
          <w:snapToGrid w:val="0"/>
          <w:lang w:val="pl-PL"/>
        </w:rPr>
        <w:t>wydana została</w:t>
      </w:r>
      <w:r w:rsidR="00485805" w:rsidRPr="0098514F">
        <w:rPr>
          <w:snapToGrid w:val="0"/>
          <w:lang w:val="pl-PL"/>
        </w:rPr>
        <w:t xml:space="preserve"> bezprawna decyzja, ale jej </w:t>
      </w:r>
      <w:r w:rsidR="00B45F71" w:rsidRPr="0098514F">
        <w:rPr>
          <w:snapToGrid w:val="0"/>
          <w:lang w:val="pl-PL"/>
        </w:rPr>
        <w:t xml:space="preserve">bieg został </w:t>
      </w:r>
      <w:r w:rsidR="00485805" w:rsidRPr="0098514F">
        <w:rPr>
          <w:snapToGrid w:val="0"/>
          <w:lang w:val="pl-PL"/>
        </w:rPr>
        <w:t xml:space="preserve">następnie </w:t>
      </w:r>
      <w:r w:rsidR="00B45F71" w:rsidRPr="0098514F">
        <w:rPr>
          <w:snapToGrid w:val="0"/>
          <w:lang w:val="pl-PL"/>
        </w:rPr>
        <w:t>zawieszony</w:t>
      </w:r>
      <w:r w:rsidR="00485805" w:rsidRPr="0098514F">
        <w:rPr>
          <w:snapToGrid w:val="0"/>
          <w:lang w:val="pl-PL"/>
        </w:rPr>
        <w:t xml:space="preserve"> do dnia 4 czerwca 1989 roku</w:t>
      </w:r>
      <w:r w:rsidR="00B45F71" w:rsidRPr="0098514F">
        <w:rPr>
          <w:snapToGrid w:val="0"/>
          <w:lang w:val="pl-PL"/>
        </w:rPr>
        <w:t>.</w:t>
      </w:r>
      <w:r w:rsidR="00485805" w:rsidRPr="0098514F">
        <w:rPr>
          <w:snapToGrid w:val="0"/>
          <w:lang w:val="pl-PL"/>
        </w:rPr>
        <w:t xml:space="preserve"> Sąd Okręgowy był zdania, że ​​okres przedawnienia trzech lat, o którym mowa w poprzednim artykule 160 Kodeksu postępowania admi</w:t>
      </w:r>
      <w:r w:rsidR="00B45F71" w:rsidRPr="0098514F">
        <w:rPr>
          <w:snapToGrid w:val="0"/>
          <w:lang w:val="pl-PL"/>
        </w:rPr>
        <w:t>nistracyjnego, miał</w:t>
      </w:r>
      <w:r w:rsidR="00485805" w:rsidRPr="0098514F">
        <w:rPr>
          <w:snapToGrid w:val="0"/>
          <w:lang w:val="pl-PL"/>
        </w:rPr>
        <w:t xml:space="preserve"> zastosowanie do okoliczności danego przypadku. Ponadto stwierdził, że termin ten zaczął biec w momencie podjęcia decyzji naprawczych z dnia 30 grudnia 2005 r</w:t>
      </w:r>
      <w:r w:rsidR="00562B79" w:rsidRPr="0098514F">
        <w:rPr>
          <w:snapToGrid w:val="0"/>
          <w:lang w:val="pl-PL"/>
        </w:rPr>
        <w:t>.</w:t>
      </w:r>
      <w:r w:rsidR="00485805" w:rsidRPr="0098514F">
        <w:rPr>
          <w:snapToGrid w:val="0"/>
          <w:lang w:val="pl-PL"/>
        </w:rPr>
        <w:t xml:space="preserve"> </w:t>
      </w:r>
      <w:r w:rsidR="00B45F71" w:rsidRPr="0098514F">
        <w:rPr>
          <w:snapToGrid w:val="0"/>
          <w:lang w:val="pl-PL"/>
        </w:rPr>
        <w:t>uznając decyzję z 1971 r. za bezprawną.</w:t>
      </w:r>
    </w:p>
    <w:p w:rsidR="009B13A2" w:rsidRPr="0098514F" w:rsidRDefault="00C0625E" w:rsidP="00485805">
      <w:pPr>
        <w:ind w:firstLine="284"/>
        <w:rPr>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18</w:t>
      </w:r>
      <w:r w:rsidRPr="0098514F">
        <w:rPr>
          <w:snapToGrid w:val="0"/>
        </w:rPr>
        <w:fldChar w:fldCharType="end"/>
      </w:r>
      <w:r w:rsidR="00E740BF" w:rsidRPr="0098514F">
        <w:rPr>
          <w:snapToGrid w:val="0"/>
          <w:lang w:val="pl-PL"/>
        </w:rPr>
        <w:t>.  </w:t>
      </w:r>
      <w:r w:rsidR="00562B79" w:rsidRPr="0098514F">
        <w:rPr>
          <w:lang w:val="pl-PL"/>
        </w:rPr>
        <w:t>W dniu 5</w:t>
      </w:r>
      <w:r w:rsidR="009B13A2" w:rsidRPr="0098514F">
        <w:rPr>
          <w:lang w:val="pl-PL"/>
        </w:rPr>
        <w:t xml:space="preserve"> września 2006 r., R.W., kolejny prawny następca prawowitych właścicieli wniósł sprawę o odszkodowanie przed Sądem Okręgowym w Warszawie, domagając się odszkodowania od Skarbu Państwa, reprezentowanego przez Prezydenta Warszawy za szkody powstałe w wyniku decyzji z 1971 roku.  Odniósł się on również do decyzji nadzorczej z dnia 30 grudnia 2005 r.</w:t>
      </w:r>
    </w:p>
    <w:p w:rsidR="009B13A2" w:rsidRPr="0098514F" w:rsidRDefault="00C0625E" w:rsidP="009B13A2">
      <w:pPr>
        <w:rPr>
          <w:snapToGrid w:val="0"/>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19</w:t>
      </w:r>
      <w:r w:rsidRPr="0098514F">
        <w:rPr>
          <w:snapToGrid w:val="0"/>
        </w:rPr>
        <w:fldChar w:fldCharType="end"/>
      </w:r>
      <w:r w:rsidR="00E740BF" w:rsidRPr="0098514F">
        <w:rPr>
          <w:snapToGrid w:val="0"/>
          <w:lang w:val="pl-PL"/>
        </w:rPr>
        <w:t>.  </w:t>
      </w:r>
      <w:r w:rsidR="009B13A2" w:rsidRPr="0098514F">
        <w:rPr>
          <w:snapToGrid w:val="0"/>
          <w:lang w:val="pl-PL"/>
        </w:rPr>
        <w:t>Poprzez orz</w:t>
      </w:r>
      <w:r w:rsidR="003815A9" w:rsidRPr="0098514F">
        <w:rPr>
          <w:snapToGrid w:val="0"/>
          <w:lang w:val="pl-PL"/>
        </w:rPr>
        <w:t>eczenie z dnia 10 lipca 2012 r.</w:t>
      </w:r>
      <w:r w:rsidR="009B13A2" w:rsidRPr="0098514F">
        <w:rPr>
          <w:snapToGrid w:val="0"/>
          <w:lang w:val="pl-PL"/>
        </w:rPr>
        <w:t>, Sąd Okręgowy w Warszawie przychylił się do jego skargi i przyznał mu 82988 złotych, odpowiadających wartości gruntu. Sąd podkreślił, że nie ma wątpliwości, iż pierwotna decyzja administracyjna była bezprawna. Ponadto nie budzi również wątpliwości fakt, iż decyzja ta spowodowała szkody dla powoda. Sąd odniósł się również do uchwały Sądu Najwyższego z dnia 31 marca 2011 (pa</w:t>
      </w:r>
      <w:r w:rsidR="003815A9" w:rsidRPr="0098514F">
        <w:rPr>
          <w:snapToGrid w:val="0"/>
          <w:lang w:val="pl-PL"/>
        </w:rPr>
        <w:t>trz akapit 27 poniżej). Podzielił</w:t>
      </w:r>
      <w:r w:rsidR="009B13A2" w:rsidRPr="0098514F">
        <w:rPr>
          <w:snapToGrid w:val="0"/>
          <w:lang w:val="pl-PL"/>
        </w:rPr>
        <w:t xml:space="preserve"> on poglądy przedstawione przez </w:t>
      </w:r>
      <w:r w:rsidR="009B13A2" w:rsidRPr="0098514F">
        <w:rPr>
          <w:snapToGrid w:val="0"/>
          <w:lang w:val="pl-PL"/>
        </w:rPr>
        <w:lastRenderedPageBreak/>
        <w:t>Sąd Najwyższy w tej uchwale, iż nie było uzasadnienia do interpretacji stosowanych przepisów w sposób nakładający na powoda obowiązek poszukiwania niezgodności z prawem pierwotnej decyzji administracyjnej w ciągu</w:t>
      </w:r>
      <w:r w:rsidR="003815A9" w:rsidRPr="0098514F">
        <w:rPr>
          <w:snapToGrid w:val="0"/>
          <w:lang w:val="pl-PL"/>
        </w:rPr>
        <w:t xml:space="preserve"> pierwszych</w:t>
      </w:r>
      <w:r w:rsidR="009B13A2" w:rsidRPr="0098514F">
        <w:rPr>
          <w:snapToGrid w:val="0"/>
          <w:lang w:val="pl-PL"/>
        </w:rPr>
        <w:t xml:space="preserve"> dziesięciu lat po </w:t>
      </w:r>
      <w:r w:rsidR="003815A9" w:rsidRPr="0098514F">
        <w:rPr>
          <w:snapToGrid w:val="0"/>
          <w:lang w:val="pl-PL"/>
        </w:rPr>
        <w:t xml:space="preserve">dniu </w:t>
      </w:r>
      <w:r w:rsidR="009B13A2" w:rsidRPr="0098514F">
        <w:rPr>
          <w:snapToGrid w:val="0"/>
          <w:lang w:val="pl-PL"/>
        </w:rPr>
        <w:t>4 czerwca 1989 r.</w:t>
      </w:r>
    </w:p>
    <w:p w:rsidR="009B13A2" w:rsidRPr="0098514F" w:rsidRDefault="009B13A2" w:rsidP="009B13A2">
      <w:pPr>
        <w:pStyle w:val="ECHRPara"/>
        <w:rPr>
          <w:lang w:val="pl-PL"/>
        </w:rPr>
      </w:pPr>
    </w:p>
    <w:p w:rsidR="00E740BF" w:rsidRPr="0098514F" w:rsidRDefault="00E740BF" w:rsidP="009B13A2">
      <w:pPr>
        <w:pStyle w:val="ECHRPara"/>
        <w:rPr>
          <w:lang w:val="pl-PL"/>
        </w:rPr>
      </w:pPr>
      <w:r w:rsidRPr="0098514F">
        <w:rPr>
          <w:lang w:val="pl-PL"/>
        </w:rPr>
        <w:t>II.  </w:t>
      </w:r>
      <w:r w:rsidR="00A54855" w:rsidRPr="0098514F">
        <w:rPr>
          <w:lang w:val="pl-PL"/>
        </w:rPr>
        <w:t>WŁAŚCIWE PRAWO KRAJOWE I PRAKTYKA</w:t>
      </w:r>
    </w:p>
    <w:p w:rsidR="00E740BF" w:rsidRPr="0098514F" w:rsidRDefault="00A54855" w:rsidP="00CE15E8">
      <w:pPr>
        <w:pStyle w:val="ECHRHeading3"/>
        <w:rPr>
          <w:lang w:val="pl-PL"/>
        </w:rPr>
      </w:pPr>
      <w:r w:rsidRPr="0098514F">
        <w:rPr>
          <w:lang w:val="pl-PL"/>
        </w:rPr>
        <w:t>Odszkodowanie za szkody powstałe przez bezprawne decyzje administracyjne</w:t>
      </w:r>
    </w:p>
    <w:p w:rsidR="009B13A2" w:rsidRPr="0098514F" w:rsidRDefault="00C0625E" w:rsidP="00CE15E8">
      <w:pPr>
        <w:ind w:firstLine="284"/>
        <w:rPr>
          <w:snapToGrid w:val="0"/>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20</w:t>
      </w:r>
      <w:r w:rsidRPr="0098514F">
        <w:rPr>
          <w:noProof/>
        </w:rPr>
        <w:fldChar w:fldCharType="end"/>
      </w:r>
      <w:r w:rsidR="00E740BF" w:rsidRPr="0098514F">
        <w:rPr>
          <w:lang w:val="pl-PL"/>
        </w:rPr>
        <w:t>.  </w:t>
      </w:r>
      <w:r w:rsidR="009B13A2" w:rsidRPr="0098514F">
        <w:rPr>
          <w:snapToGrid w:val="0"/>
          <w:lang w:val="pl-PL"/>
        </w:rPr>
        <w:t>Zgodnie z artykułem 77 § 1 Konstytucji RP z 1997 roku, każdy ma prawo do odszkodowania za szkodę wyrządzoną przez niezgodne z prawem działania władzy publicznej. Zgodnie z § 2 tego samego artykułu, ustawa nie może nikomu zamykać drogi sądowej dochodzenia naruszonych wolności lub praw</w:t>
      </w:r>
      <w:r w:rsidR="00A54855" w:rsidRPr="0098514F">
        <w:rPr>
          <w:snapToGrid w:val="0"/>
          <w:lang w:val="pl-PL"/>
        </w:rPr>
        <w:t>.</w:t>
      </w:r>
    </w:p>
    <w:p w:rsidR="009B13A2" w:rsidRPr="0098514F" w:rsidRDefault="00C0625E" w:rsidP="009B13A2">
      <w:pPr>
        <w:rPr>
          <w:snapToGrid w:val="0"/>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21</w:t>
      </w:r>
      <w:r w:rsidRPr="0098514F">
        <w:rPr>
          <w:noProof/>
        </w:rPr>
        <w:fldChar w:fldCharType="end"/>
      </w:r>
      <w:r w:rsidR="00E740BF" w:rsidRPr="0098514F">
        <w:rPr>
          <w:lang w:val="pl-PL"/>
        </w:rPr>
        <w:t>.  </w:t>
      </w:r>
      <w:r w:rsidR="009B13A2" w:rsidRPr="0098514F">
        <w:rPr>
          <w:snapToGrid w:val="0"/>
          <w:lang w:val="pl-PL"/>
        </w:rPr>
        <w:t>Zgodnie z artykułem 156 Kodeksu postępowania administracyjnego, decyzja administracyjna podlega uchyleniu, w szczególności, jeżeli została ona wydana z naruszeniem przepisów o właściwości lub jeżeli wydana została bez podstawy prawnej lub z rażącym naruszeniem prawa.</w:t>
      </w:r>
      <w:bookmarkStart w:id="2" w:name="01000004"/>
      <w:bookmarkEnd w:id="2"/>
    </w:p>
    <w:p w:rsidR="00E740BF" w:rsidRPr="0098514F" w:rsidRDefault="00C0625E" w:rsidP="009B13A2">
      <w:pPr>
        <w:rPr>
          <w:snapToGrid w:val="0"/>
          <w:lang w:val="pl-PL"/>
        </w:rPr>
      </w:pPr>
      <w:r w:rsidRPr="0098514F">
        <w:fldChar w:fldCharType="begin"/>
      </w:r>
      <w:r w:rsidR="00E740BF" w:rsidRPr="0098514F">
        <w:rPr>
          <w:lang w:val="pl-PL"/>
        </w:rPr>
        <w:instrText xml:space="preserve"> SEQ level0 \*arabic </w:instrText>
      </w:r>
      <w:r w:rsidRPr="0098514F">
        <w:fldChar w:fldCharType="separate"/>
      </w:r>
      <w:r w:rsidR="00F308F4">
        <w:rPr>
          <w:noProof/>
          <w:lang w:val="pl-PL"/>
        </w:rPr>
        <w:t>22</w:t>
      </w:r>
      <w:r w:rsidRPr="0098514F">
        <w:fldChar w:fldCharType="end"/>
      </w:r>
      <w:r w:rsidR="00E740BF" w:rsidRPr="0098514F">
        <w:rPr>
          <w:lang w:val="pl-PL"/>
        </w:rPr>
        <w:t>.  </w:t>
      </w:r>
      <w:r w:rsidR="009B13A2" w:rsidRPr="0098514F">
        <w:rPr>
          <w:snapToGrid w:val="0"/>
          <w:lang w:val="pl-PL"/>
        </w:rPr>
        <w:t>Właściwa część artykułu 160 Kodeksu postępowania administracyjnego, zgodnie ze stanem prawnym obowiązującym przed 2001</w:t>
      </w:r>
      <w:r w:rsidR="0021455E" w:rsidRPr="0098514F">
        <w:rPr>
          <w:snapToGrid w:val="0"/>
          <w:lang w:val="pl-PL"/>
        </w:rPr>
        <w:t xml:space="preserve"> r.</w:t>
      </w:r>
      <w:r w:rsidR="009B13A2" w:rsidRPr="0098514F">
        <w:rPr>
          <w:snapToGrid w:val="0"/>
          <w:lang w:val="pl-PL"/>
        </w:rPr>
        <w:t>, brzmi</w:t>
      </w:r>
      <w:r w:rsidR="00947F61" w:rsidRPr="0098514F">
        <w:rPr>
          <w:snapToGrid w:val="0"/>
          <w:lang w:val="pl-PL"/>
        </w:rPr>
        <w:t>:</w:t>
      </w:r>
    </w:p>
    <w:p w:rsidR="00E740BF" w:rsidRPr="0098514F" w:rsidRDefault="00E740BF" w:rsidP="00CE15E8">
      <w:pPr>
        <w:spacing w:before="120" w:after="120"/>
        <w:ind w:left="425" w:firstLine="142"/>
        <w:rPr>
          <w:sz w:val="20"/>
          <w:lang w:val="pl-PL"/>
        </w:rPr>
      </w:pPr>
      <w:r w:rsidRPr="0098514F">
        <w:rPr>
          <w:sz w:val="20"/>
          <w:lang w:val="pl-PL"/>
        </w:rPr>
        <w:t>“</w:t>
      </w:r>
      <w:r w:rsidR="00947F61" w:rsidRPr="0098514F">
        <w:rPr>
          <w:sz w:val="20"/>
          <w:lang w:val="pl-PL"/>
        </w:rPr>
        <w:t>Stronie, która poniosła szkodę na skutek wydania decyzji dotkniętej jedną z wad wymienionych w art. 156 § 1 służy roszczenie o odszkodowanie za rzeczywistą szkodę, chyba że ponosi ona winę za powstanie okoliczności wymienionych w tym paragrafie</w:t>
      </w:r>
      <w:r w:rsidRPr="0098514F">
        <w:rPr>
          <w:sz w:val="20"/>
          <w:lang w:val="pl-PL"/>
        </w:rPr>
        <w:t>.”</w:t>
      </w:r>
    </w:p>
    <w:p w:rsidR="009B13A2" w:rsidRPr="0098514F" w:rsidRDefault="009B13A2" w:rsidP="009B13A2">
      <w:pPr>
        <w:rPr>
          <w:snapToGrid w:val="0"/>
          <w:lang w:val="pl-PL"/>
        </w:rPr>
      </w:pPr>
      <w:r w:rsidRPr="0098514F">
        <w:rPr>
          <w:snapToGrid w:val="0"/>
          <w:lang w:val="pl-PL"/>
        </w:rPr>
        <w:t>W następstwie wyroku Trybunału Konstytucyjnego z dnia 4 grudnia 2001 r przepisy</w:t>
      </w:r>
      <w:r w:rsidR="00947F61" w:rsidRPr="0098514F">
        <w:rPr>
          <w:snapToGrid w:val="0"/>
          <w:lang w:val="pl-PL"/>
        </w:rPr>
        <w:t xml:space="preserve"> </w:t>
      </w:r>
      <w:r w:rsidR="00EF35B7" w:rsidRPr="0098514F">
        <w:rPr>
          <w:snapToGrid w:val="0"/>
          <w:lang w:val="pl-PL"/>
        </w:rPr>
        <w:t>regulujące</w:t>
      </w:r>
      <w:r w:rsidRPr="0098514F">
        <w:rPr>
          <w:snapToGrid w:val="0"/>
          <w:lang w:val="pl-PL"/>
        </w:rPr>
        <w:t xml:space="preserve"> odpowiedzialnoś</w:t>
      </w:r>
      <w:r w:rsidR="00EF35B7" w:rsidRPr="0098514F">
        <w:rPr>
          <w:snapToGrid w:val="0"/>
          <w:lang w:val="pl-PL"/>
        </w:rPr>
        <w:t>ć</w:t>
      </w:r>
      <w:r w:rsidRPr="0098514F">
        <w:rPr>
          <w:snapToGrid w:val="0"/>
          <w:lang w:val="pl-PL"/>
        </w:rPr>
        <w:t xml:space="preserve"> cywiln</w:t>
      </w:r>
      <w:r w:rsidR="00EF35B7" w:rsidRPr="0098514F">
        <w:rPr>
          <w:snapToGrid w:val="0"/>
          <w:lang w:val="pl-PL"/>
        </w:rPr>
        <w:t>ą</w:t>
      </w:r>
      <w:r w:rsidRPr="0098514F">
        <w:rPr>
          <w:snapToGrid w:val="0"/>
          <w:lang w:val="pl-PL"/>
        </w:rPr>
        <w:t xml:space="preserve"> państwa za czyn</w:t>
      </w:r>
      <w:r w:rsidR="00EF35B7" w:rsidRPr="0098514F">
        <w:rPr>
          <w:snapToGrid w:val="0"/>
          <w:lang w:val="pl-PL"/>
        </w:rPr>
        <w:t xml:space="preserve"> niedozwolony</w:t>
      </w:r>
      <w:r w:rsidRPr="0098514F">
        <w:rPr>
          <w:snapToGrid w:val="0"/>
          <w:lang w:val="pl-PL"/>
        </w:rPr>
        <w:t xml:space="preserve"> zostały zmienione. Ponadto, w </w:t>
      </w:r>
      <w:r w:rsidR="00A077B2" w:rsidRPr="0098514F">
        <w:rPr>
          <w:snapToGrid w:val="0"/>
          <w:lang w:val="pl-PL"/>
        </w:rPr>
        <w:t>wyroku TK z</w:t>
      </w:r>
      <w:r w:rsidRPr="0098514F">
        <w:rPr>
          <w:snapToGrid w:val="0"/>
          <w:lang w:val="pl-PL"/>
        </w:rPr>
        <w:t xml:space="preserve"> dnia 23 września 2003 roku (K 20/02) </w:t>
      </w:r>
      <w:r w:rsidR="00A077B2" w:rsidRPr="0098514F">
        <w:rPr>
          <w:snapToGrid w:val="0"/>
          <w:lang w:val="pl-PL"/>
        </w:rPr>
        <w:t xml:space="preserve">art. 160 k.p.a. </w:t>
      </w:r>
      <w:r w:rsidR="00A077B2" w:rsidRPr="0098514F">
        <w:rPr>
          <w:rFonts w:ascii="Times New Roman" w:eastAsia="Times New Roman" w:hAnsi="Times New Roman" w:cs="Times New Roman"/>
          <w:szCs w:val="24"/>
          <w:lang w:val="pl-PL" w:eastAsia="pl-PL"/>
        </w:rPr>
        <w:t>w części ograniczającej odszkodowanie za niezgodne z prawem działanie organu władzy publicznej do rzeczywistej szkody, został uznany za niezgodny z art. 77 ust. 1 Konstytucji Rzeczpospolitej Polskiej</w:t>
      </w:r>
      <w:r w:rsidR="00A077B2" w:rsidRPr="0098514F">
        <w:rPr>
          <w:snapToGrid w:val="0"/>
          <w:lang w:val="pl-PL"/>
        </w:rPr>
        <w:t xml:space="preserve">. </w:t>
      </w:r>
      <w:r w:rsidRPr="0098514F">
        <w:rPr>
          <w:snapToGrid w:val="0"/>
          <w:lang w:val="pl-PL"/>
        </w:rPr>
        <w:t xml:space="preserve">W dniu 1 września 2004 roku poprawki do kodeksu cywilnego weszły w życie. Artykuł 160 </w:t>
      </w:r>
      <w:r w:rsidR="00B96FAD" w:rsidRPr="0098514F">
        <w:rPr>
          <w:snapToGrid w:val="0"/>
          <w:lang w:val="pl-PL"/>
        </w:rPr>
        <w:t>k.p.a.</w:t>
      </w:r>
      <w:r w:rsidRPr="0098514F">
        <w:rPr>
          <w:snapToGrid w:val="0"/>
          <w:lang w:val="pl-PL"/>
        </w:rPr>
        <w:t xml:space="preserve"> został uchylony i odpowiedzialności cywilna państwa za szkody wyrządzone przez niezgodne z prawem decyzje administracyjne od tej pory jest regulowana przez przepisy Kodeksu cywilnego o odpowiedzialności deliktowej.</w:t>
      </w:r>
    </w:p>
    <w:p w:rsidR="00E740BF"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23</w:t>
      </w:r>
      <w:r w:rsidRPr="0098514F">
        <w:rPr>
          <w:noProof/>
        </w:rPr>
        <w:fldChar w:fldCharType="end"/>
      </w:r>
      <w:r w:rsidR="0063722F" w:rsidRPr="0098514F">
        <w:rPr>
          <w:noProof/>
          <w:lang w:val="pl-PL"/>
        </w:rPr>
        <w:t>.</w:t>
      </w:r>
      <w:r w:rsidR="009B13A2" w:rsidRPr="0098514F">
        <w:rPr>
          <w:snapToGrid w:val="0"/>
          <w:lang w:val="pl-PL"/>
        </w:rPr>
        <w:t xml:space="preserve"> Decyzja administracyjna w odniesieniu do roszczenia odszkodowawczego może być zaskarżona do sądu cywilnego</w:t>
      </w:r>
      <w:r w:rsidR="00E1212D" w:rsidRPr="0098514F">
        <w:rPr>
          <w:snapToGrid w:val="0"/>
          <w:lang w:val="pl-PL"/>
        </w:rPr>
        <w:t>.</w:t>
      </w:r>
    </w:p>
    <w:p w:rsidR="00E740BF" w:rsidRPr="0098514F" w:rsidRDefault="009B13A2" w:rsidP="00CE15E8">
      <w:pPr>
        <w:ind w:firstLine="284"/>
        <w:rPr>
          <w:lang w:val="pl-PL"/>
        </w:rPr>
      </w:pPr>
      <w:r w:rsidRPr="0098514F">
        <w:rPr>
          <w:snapToGrid w:val="0"/>
          <w:lang w:val="pl-PL"/>
        </w:rPr>
        <w:t>Artykuł 417 § 1 Kodeksu cywilnego stanowi</w:t>
      </w:r>
      <w:r w:rsidR="00E740BF" w:rsidRPr="0098514F">
        <w:rPr>
          <w:lang w:val="pl-PL"/>
        </w:rPr>
        <w:t>:</w:t>
      </w:r>
    </w:p>
    <w:p w:rsidR="009B13A2" w:rsidRPr="0098514F" w:rsidRDefault="009B13A2" w:rsidP="009B13A2">
      <w:pPr>
        <w:rPr>
          <w:snapToGrid w:val="0"/>
          <w:lang w:val="pl-PL"/>
        </w:rPr>
      </w:pPr>
      <w:r w:rsidRPr="0098514F">
        <w:rPr>
          <w:snapToGrid w:val="0"/>
          <w:lang w:val="pl-PL"/>
        </w:rPr>
        <w:t>"Za szkodę wyrządzoną przez niezgodne z prawem działanie lub zaniechanie przy wykonywaniu władzy publicznej ponosi odpowiedzialność Skarb Państwa lub jednostka samorządu terytorialnego lub inna osoba prawna wykonująca tę władzę z mocy prawa."</w:t>
      </w:r>
    </w:p>
    <w:p w:rsidR="00485CB0" w:rsidRPr="0098514F" w:rsidRDefault="009B13A2" w:rsidP="009B13A2">
      <w:pPr>
        <w:rPr>
          <w:lang w:val="pl-PL"/>
        </w:rPr>
      </w:pPr>
      <w:r w:rsidRPr="0098514F">
        <w:rPr>
          <w:lang w:val="pl-PL"/>
        </w:rPr>
        <w:lastRenderedPageBreak/>
        <w:t xml:space="preserve">    </w:t>
      </w:r>
      <w:r w:rsidR="00C0625E" w:rsidRPr="0098514F">
        <w:fldChar w:fldCharType="begin"/>
      </w:r>
      <w:r w:rsidR="000D6E28" w:rsidRPr="0098514F">
        <w:rPr>
          <w:lang w:val="pl-PL"/>
        </w:rPr>
        <w:instrText xml:space="preserve"> SEQ level0 \*arabic </w:instrText>
      </w:r>
      <w:r w:rsidR="00C0625E" w:rsidRPr="0098514F">
        <w:fldChar w:fldCharType="separate"/>
      </w:r>
      <w:r w:rsidR="00F308F4">
        <w:rPr>
          <w:noProof/>
          <w:lang w:val="pl-PL"/>
        </w:rPr>
        <w:t>24</w:t>
      </w:r>
      <w:r w:rsidR="00C0625E" w:rsidRPr="0098514F">
        <w:rPr>
          <w:noProof/>
        </w:rPr>
        <w:fldChar w:fldCharType="end"/>
      </w:r>
      <w:r w:rsidRPr="0098514F">
        <w:rPr>
          <w:noProof/>
          <w:lang w:val="pl-PL"/>
        </w:rPr>
        <w:t>.</w:t>
      </w:r>
      <w:r w:rsidRPr="0098514F">
        <w:rPr>
          <w:lang w:val="pl-PL"/>
        </w:rPr>
        <w:t xml:space="preserve"> Artykuł 417</w:t>
      </w:r>
      <w:r w:rsidR="00485CB0" w:rsidRPr="0098514F">
        <w:rPr>
          <w:vertAlign w:val="superscript"/>
          <w:lang w:val="pl-PL"/>
        </w:rPr>
        <w:t>1</w:t>
      </w:r>
      <w:r w:rsidR="00485CB0" w:rsidRPr="0098514F">
        <w:rPr>
          <w:lang w:val="pl-PL"/>
        </w:rPr>
        <w:t xml:space="preserve"> </w:t>
      </w:r>
      <w:r w:rsidRPr="0098514F">
        <w:rPr>
          <w:lang w:val="pl-PL"/>
        </w:rPr>
        <w:t>§</w:t>
      </w:r>
      <w:r w:rsidR="00485CB0" w:rsidRPr="0098514F">
        <w:rPr>
          <w:lang w:val="pl-PL"/>
        </w:rPr>
        <w:t xml:space="preserve"> </w:t>
      </w:r>
      <w:r w:rsidRPr="0098514F">
        <w:rPr>
          <w:lang w:val="pl-PL"/>
        </w:rPr>
        <w:t xml:space="preserve">2 </w:t>
      </w:r>
      <w:r w:rsidR="00485CB0" w:rsidRPr="0098514F">
        <w:rPr>
          <w:lang w:val="pl-PL"/>
        </w:rPr>
        <w:t>K</w:t>
      </w:r>
      <w:r w:rsidRPr="0098514F">
        <w:rPr>
          <w:lang w:val="pl-PL"/>
        </w:rPr>
        <w:t>odeksu</w:t>
      </w:r>
      <w:r w:rsidR="00485CB0" w:rsidRPr="0098514F">
        <w:rPr>
          <w:lang w:val="pl-PL"/>
        </w:rPr>
        <w:t xml:space="preserve"> cywilnego</w:t>
      </w:r>
      <w:r w:rsidRPr="0098514F">
        <w:rPr>
          <w:lang w:val="pl-PL"/>
        </w:rPr>
        <w:t xml:space="preserve">, który wszedł w życie 1 września 2004 jako </w:t>
      </w:r>
      <w:r w:rsidR="00485CB0" w:rsidRPr="0098514F">
        <w:rPr>
          <w:lang w:val="pl-PL"/>
        </w:rPr>
        <w:t>nowelizacja</w:t>
      </w:r>
      <w:r w:rsidRPr="0098514F">
        <w:rPr>
          <w:lang w:val="pl-PL"/>
        </w:rPr>
        <w:t xml:space="preserve"> z dnia 17 czerwca 2004 </w:t>
      </w:r>
      <w:r w:rsidR="00485CB0" w:rsidRPr="0098514F">
        <w:rPr>
          <w:lang w:val="pl-PL"/>
        </w:rPr>
        <w:t>stanowi</w:t>
      </w:r>
      <w:r w:rsidRPr="0098514F">
        <w:rPr>
          <w:lang w:val="pl-PL"/>
        </w:rPr>
        <w:t xml:space="preserve">, </w:t>
      </w:r>
      <w:r w:rsidR="00485CB0" w:rsidRPr="0098514F">
        <w:rPr>
          <w:lang w:val="pl-PL"/>
        </w:rPr>
        <w:t>że j</w:t>
      </w:r>
      <w:r w:rsidR="00485CB0" w:rsidRPr="0098514F">
        <w:rPr>
          <w:rFonts w:ascii="Times New Roman" w:eastAsia="Times New Roman" w:hAnsi="Times New Roman" w:cs="Times New Roman"/>
          <w:szCs w:val="24"/>
          <w:lang w:val="pl-PL" w:eastAsia="pl-PL"/>
        </w:rPr>
        <w:t>eżeli szkoda została wyrządzona przez wydanie prawomocnego orzeczenia lub ostatecznej decyzji, jej naprawienia można żądać po stwierdzeniu we właściwym postępowaniu ich niezgodności z prawem.</w:t>
      </w:r>
    </w:p>
    <w:p w:rsidR="009B13A2" w:rsidRPr="0098514F" w:rsidRDefault="009B13A2" w:rsidP="009B13A2">
      <w:pPr>
        <w:rPr>
          <w:snapToGrid w:val="0"/>
          <w:lang w:val="pl-PL"/>
        </w:rPr>
      </w:pPr>
      <w:r w:rsidRPr="0098514F">
        <w:rPr>
          <w:lang w:val="pl-PL"/>
        </w:rPr>
        <w:t xml:space="preserve">    </w:t>
      </w:r>
      <w:r w:rsidR="00C0625E" w:rsidRPr="0098514F">
        <w:fldChar w:fldCharType="begin"/>
      </w:r>
      <w:r w:rsidR="000D6E28" w:rsidRPr="0098514F">
        <w:rPr>
          <w:lang w:val="pl-PL"/>
        </w:rPr>
        <w:instrText xml:space="preserve"> SEQ level0 \*arabic </w:instrText>
      </w:r>
      <w:r w:rsidR="00C0625E" w:rsidRPr="0098514F">
        <w:fldChar w:fldCharType="separate"/>
      </w:r>
      <w:r w:rsidR="00F308F4">
        <w:rPr>
          <w:noProof/>
          <w:lang w:val="pl-PL"/>
        </w:rPr>
        <w:t>25</w:t>
      </w:r>
      <w:r w:rsidR="00C0625E" w:rsidRPr="0098514F">
        <w:rPr>
          <w:noProof/>
        </w:rPr>
        <w:fldChar w:fldCharType="end"/>
      </w:r>
      <w:r w:rsidR="00E740BF" w:rsidRPr="0098514F">
        <w:rPr>
          <w:lang w:val="pl-PL"/>
        </w:rPr>
        <w:t>.  </w:t>
      </w:r>
      <w:r w:rsidRPr="0098514F">
        <w:rPr>
          <w:snapToGrid w:val="0"/>
          <w:lang w:val="pl-PL"/>
        </w:rPr>
        <w:t xml:space="preserve">W dniu 8 stycznia 2010 roku </w:t>
      </w:r>
      <w:r w:rsidR="00EF04C2" w:rsidRPr="0098514F">
        <w:rPr>
          <w:snapToGrid w:val="0"/>
          <w:lang w:val="pl-PL"/>
        </w:rPr>
        <w:t xml:space="preserve">Pierwszy </w:t>
      </w:r>
      <w:r w:rsidRPr="0098514F">
        <w:rPr>
          <w:snapToGrid w:val="0"/>
          <w:lang w:val="pl-PL"/>
        </w:rPr>
        <w:t>Prezes Sądu Najwyższego</w:t>
      </w:r>
      <w:r w:rsidR="009E1F23" w:rsidRPr="0098514F">
        <w:rPr>
          <w:snapToGrid w:val="0"/>
          <w:lang w:val="pl-PL"/>
        </w:rPr>
        <w:t xml:space="preserve"> wniósł o podjęcie przez Sąd Najwyższy</w:t>
      </w:r>
      <w:r w:rsidR="004F14CC" w:rsidRPr="0098514F">
        <w:rPr>
          <w:snapToGrid w:val="0"/>
          <w:lang w:val="pl-PL"/>
        </w:rPr>
        <w:t xml:space="preserve"> w składzie siedmiu sędziów</w:t>
      </w:r>
      <w:r w:rsidR="009E1F23" w:rsidRPr="0098514F">
        <w:rPr>
          <w:snapToGrid w:val="0"/>
          <w:lang w:val="pl-PL"/>
        </w:rPr>
        <w:t xml:space="preserve"> uchwały w przedmiocie</w:t>
      </w:r>
      <w:r w:rsidR="008E7195" w:rsidRPr="0098514F">
        <w:rPr>
          <w:snapToGrid w:val="0"/>
          <w:lang w:val="pl-PL"/>
        </w:rPr>
        <w:t xml:space="preserve"> zagadnień wywołujących rozbieżności w wykładni prawa i </w:t>
      </w:r>
      <w:r w:rsidRPr="0098514F">
        <w:rPr>
          <w:snapToGrid w:val="0"/>
          <w:lang w:val="pl-PL"/>
        </w:rPr>
        <w:t xml:space="preserve">udzielenia odpowiedzi na pytanie prawne co do prawa materialnego regulującego roszczenia odszkodowawcze z tytułu szkód spowodowanych przez decyzje administracyjne, które zostały wydane przed </w:t>
      </w:r>
      <w:r w:rsidR="00F37EFC" w:rsidRPr="0098514F">
        <w:rPr>
          <w:snapToGrid w:val="0"/>
          <w:lang w:val="pl-PL"/>
        </w:rPr>
        <w:t xml:space="preserve">dniem </w:t>
      </w:r>
      <w:r w:rsidRPr="0098514F">
        <w:rPr>
          <w:snapToGrid w:val="0"/>
          <w:lang w:val="pl-PL"/>
        </w:rPr>
        <w:t xml:space="preserve">1 września 2004 roku, gdzie bezprawność decyzji została stwierdzona w drodze decyzji </w:t>
      </w:r>
      <w:r w:rsidR="00F37EFC" w:rsidRPr="0098514F">
        <w:rPr>
          <w:snapToGrid w:val="0"/>
          <w:lang w:val="pl-PL"/>
        </w:rPr>
        <w:t>nadzorczej wydanej</w:t>
      </w:r>
      <w:r w:rsidRPr="0098514F">
        <w:rPr>
          <w:snapToGrid w:val="0"/>
          <w:lang w:val="pl-PL"/>
        </w:rPr>
        <w:t xml:space="preserve"> po tej dacie. </w:t>
      </w:r>
      <w:r w:rsidR="00EF04C2" w:rsidRPr="0098514F">
        <w:rPr>
          <w:snapToGrid w:val="0"/>
          <w:lang w:val="pl-PL"/>
        </w:rPr>
        <w:t>Pierwszy Prezes</w:t>
      </w:r>
      <w:r w:rsidRPr="0098514F">
        <w:rPr>
          <w:snapToGrid w:val="0"/>
          <w:lang w:val="pl-PL"/>
        </w:rPr>
        <w:t xml:space="preserve"> zauważył, między innymi, że </w:t>
      </w:r>
      <w:r w:rsidR="00EF04C2" w:rsidRPr="0098514F">
        <w:rPr>
          <w:snapToGrid w:val="0"/>
          <w:lang w:val="pl-PL"/>
        </w:rPr>
        <w:t xml:space="preserve">w </w:t>
      </w:r>
      <w:r w:rsidR="00B05393" w:rsidRPr="0098514F">
        <w:rPr>
          <w:snapToGrid w:val="0"/>
          <w:lang w:val="pl-PL"/>
        </w:rPr>
        <w:t>judykatach</w:t>
      </w:r>
      <w:r w:rsidR="00EF04C2" w:rsidRPr="0098514F">
        <w:rPr>
          <w:snapToGrid w:val="0"/>
          <w:lang w:val="pl-PL"/>
        </w:rPr>
        <w:t xml:space="preserve"> Sądu Najwyższego </w:t>
      </w:r>
      <w:r w:rsidR="00B05393" w:rsidRPr="0098514F">
        <w:rPr>
          <w:snapToGrid w:val="0"/>
          <w:lang w:val="pl-PL"/>
        </w:rPr>
        <w:t xml:space="preserve">i sądów powszechnych </w:t>
      </w:r>
      <w:r w:rsidR="00EF04C2" w:rsidRPr="0098514F">
        <w:rPr>
          <w:snapToGrid w:val="0"/>
          <w:lang w:val="pl-PL"/>
        </w:rPr>
        <w:t xml:space="preserve">rozwinęły się </w:t>
      </w:r>
      <w:r w:rsidRPr="0098514F">
        <w:rPr>
          <w:snapToGrid w:val="0"/>
          <w:lang w:val="pl-PL"/>
        </w:rPr>
        <w:t>dwa</w:t>
      </w:r>
      <w:r w:rsidR="00B05393" w:rsidRPr="0098514F">
        <w:rPr>
          <w:snapToGrid w:val="0"/>
          <w:lang w:val="pl-PL"/>
        </w:rPr>
        <w:t xml:space="preserve"> główne</w:t>
      </w:r>
      <w:r w:rsidRPr="0098514F">
        <w:rPr>
          <w:snapToGrid w:val="0"/>
          <w:lang w:val="pl-PL"/>
        </w:rPr>
        <w:t xml:space="preserve"> </w:t>
      </w:r>
      <w:r w:rsidR="00EF04C2" w:rsidRPr="0098514F">
        <w:rPr>
          <w:snapToGrid w:val="0"/>
          <w:lang w:val="pl-PL"/>
        </w:rPr>
        <w:t>nurty</w:t>
      </w:r>
      <w:r w:rsidR="00B05393" w:rsidRPr="0098514F">
        <w:rPr>
          <w:snapToGrid w:val="0"/>
          <w:lang w:val="pl-PL"/>
        </w:rPr>
        <w:t xml:space="preserve"> orzecznicze</w:t>
      </w:r>
      <w:r w:rsidRPr="0098514F">
        <w:rPr>
          <w:snapToGrid w:val="0"/>
          <w:lang w:val="pl-PL"/>
        </w:rPr>
        <w:t xml:space="preserve">, </w:t>
      </w:r>
      <w:r w:rsidR="00B05393" w:rsidRPr="0098514F">
        <w:rPr>
          <w:snapToGrid w:val="0"/>
          <w:lang w:val="pl-PL"/>
        </w:rPr>
        <w:t>w związku z</w:t>
      </w:r>
      <w:r w:rsidRPr="0098514F">
        <w:rPr>
          <w:snapToGrid w:val="0"/>
          <w:lang w:val="pl-PL"/>
        </w:rPr>
        <w:t xml:space="preserve"> poważny</w:t>
      </w:r>
      <w:r w:rsidR="00B05393" w:rsidRPr="0098514F">
        <w:rPr>
          <w:snapToGrid w:val="0"/>
          <w:lang w:val="pl-PL"/>
        </w:rPr>
        <w:t>mi</w:t>
      </w:r>
      <w:r w:rsidRPr="0098514F">
        <w:rPr>
          <w:snapToGrid w:val="0"/>
          <w:lang w:val="pl-PL"/>
        </w:rPr>
        <w:t xml:space="preserve"> trudności</w:t>
      </w:r>
      <w:r w:rsidR="00B05393" w:rsidRPr="0098514F">
        <w:rPr>
          <w:snapToGrid w:val="0"/>
          <w:lang w:val="pl-PL"/>
        </w:rPr>
        <w:t>ami</w:t>
      </w:r>
      <w:r w:rsidRPr="0098514F">
        <w:rPr>
          <w:snapToGrid w:val="0"/>
          <w:lang w:val="pl-PL"/>
        </w:rPr>
        <w:t xml:space="preserve"> dotyczący</w:t>
      </w:r>
      <w:r w:rsidR="00B05393" w:rsidRPr="0098514F">
        <w:rPr>
          <w:snapToGrid w:val="0"/>
          <w:lang w:val="pl-PL"/>
        </w:rPr>
        <w:t>mi</w:t>
      </w:r>
      <w:r w:rsidRPr="0098514F">
        <w:rPr>
          <w:snapToGrid w:val="0"/>
          <w:lang w:val="pl-PL"/>
        </w:rPr>
        <w:t xml:space="preserve"> </w:t>
      </w:r>
      <w:r w:rsidR="00947F61" w:rsidRPr="0098514F">
        <w:rPr>
          <w:snapToGrid w:val="0"/>
          <w:lang w:val="pl-PL"/>
        </w:rPr>
        <w:t xml:space="preserve"> określenia </w:t>
      </w:r>
      <w:r w:rsidRPr="0098514F">
        <w:rPr>
          <w:snapToGrid w:val="0"/>
          <w:lang w:val="pl-PL"/>
        </w:rPr>
        <w:t>czasowego zakresu</w:t>
      </w:r>
      <w:r w:rsidR="00947F61" w:rsidRPr="0098514F">
        <w:rPr>
          <w:snapToGrid w:val="0"/>
          <w:lang w:val="pl-PL"/>
        </w:rPr>
        <w:t xml:space="preserve"> </w:t>
      </w:r>
      <w:r w:rsidRPr="0098514F">
        <w:rPr>
          <w:snapToGrid w:val="0"/>
          <w:lang w:val="pl-PL"/>
        </w:rPr>
        <w:t xml:space="preserve">i skutków ustawy z dnia 17 czerwca 2004 </w:t>
      </w:r>
      <w:r w:rsidR="004F14CC" w:rsidRPr="0098514F">
        <w:rPr>
          <w:snapToGrid w:val="0"/>
          <w:lang w:val="pl-PL"/>
        </w:rPr>
        <w:t xml:space="preserve">r. </w:t>
      </w:r>
      <w:r w:rsidRPr="0098514F">
        <w:rPr>
          <w:snapToGrid w:val="0"/>
          <w:lang w:val="pl-PL"/>
        </w:rPr>
        <w:t>co do obowiązującego prawa materialnego i co za tym idzie, również obowiązujących okresów przedawnienia, ich długoś</w:t>
      </w:r>
      <w:r w:rsidR="004F14CC" w:rsidRPr="0098514F">
        <w:rPr>
          <w:snapToGrid w:val="0"/>
          <w:lang w:val="pl-PL"/>
        </w:rPr>
        <w:t>ci</w:t>
      </w:r>
      <w:r w:rsidRPr="0098514F">
        <w:rPr>
          <w:snapToGrid w:val="0"/>
          <w:lang w:val="pl-PL"/>
        </w:rPr>
        <w:t xml:space="preserve"> oraz daty rozpoczęcia</w:t>
      </w:r>
      <w:r w:rsidR="004F14CC" w:rsidRPr="0098514F">
        <w:rPr>
          <w:snapToGrid w:val="0"/>
          <w:lang w:val="pl-PL"/>
        </w:rPr>
        <w:t xml:space="preserve"> biegu</w:t>
      </w:r>
      <w:r w:rsidRPr="0098514F">
        <w:rPr>
          <w:snapToGrid w:val="0"/>
          <w:lang w:val="pl-PL"/>
        </w:rPr>
        <w:t xml:space="preserve">. Te rozbieżności miały decydujący wpływ na prawo do odszkodowania dla osób, </w:t>
      </w:r>
      <w:r w:rsidR="00836655" w:rsidRPr="0098514F">
        <w:rPr>
          <w:snapToGrid w:val="0"/>
          <w:lang w:val="pl-PL"/>
        </w:rPr>
        <w:t>wobec których zostały wydane</w:t>
      </w:r>
      <w:r w:rsidRPr="0098514F">
        <w:rPr>
          <w:snapToGrid w:val="0"/>
          <w:lang w:val="pl-PL"/>
        </w:rPr>
        <w:t xml:space="preserve"> bezprawne decyzje administracyjne przed </w:t>
      </w:r>
      <w:r w:rsidR="00836655" w:rsidRPr="0098514F">
        <w:rPr>
          <w:snapToGrid w:val="0"/>
          <w:lang w:val="pl-PL"/>
        </w:rPr>
        <w:t xml:space="preserve">dniem </w:t>
      </w:r>
      <w:r w:rsidRPr="0098514F">
        <w:rPr>
          <w:snapToGrid w:val="0"/>
          <w:lang w:val="pl-PL"/>
        </w:rPr>
        <w:t>1 września 2004 r.</w:t>
      </w:r>
    </w:p>
    <w:p w:rsidR="009B13A2" w:rsidRPr="0098514F" w:rsidRDefault="00C0625E" w:rsidP="00CE15E8">
      <w:pPr>
        <w:pStyle w:val="ECHRPara"/>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26</w:t>
      </w:r>
      <w:r w:rsidRPr="0098514F">
        <w:rPr>
          <w:noProof/>
        </w:rPr>
        <w:fldChar w:fldCharType="end"/>
      </w:r>
      <w:r w:rsidR="00E740BF" w:rsidRPr="0098514F">
        <w:rPr>
          <w:lang w:val="pl-PL"/>
        </w:rPr>
        <w:t>.  </w:t>
      </w:r>
      <w:r w:rsidR="00836655" w:rsidRPr="0098514F">
        <w:rPr>
          <w:lang w:val="pl-PL"/>
        </w:rPr>
        <w:t xml:space="preserve">W dniu </w:t>
      </w:r>
      <w:r w:rsidR="009B13A2" w:rsidRPr="0098514F">
        <w:rPr>
          <w:lang w:val="pl-PL"/>
        </w:rPr>
        <w:t xml:space="preserve">24 sierpnia 2010 r. Izba Cywilna Sądu Najwyższego, składająca się z siedmiu sędziów odniosła się do wniosku Prezesa, który zwrócił się do pełnego składu tej izby o przyjęcie uchwały wyjaśniającej wątpliwości podniesione przez Prezesa Sądu Najwyższego. Izba zauważyła, iż sprawa ta doprowadziła do rozbieżności w orzecznictwie, włączając w to rozbieżności również wśród samego Sądu Najwyższego. Rozważając znaczenie sprawy oraz fakt, że poprzednie decyzje i uchwały Sądu Najwyższego nie przyniosły ujednolicenia w orzecznictwie, </w:t>
      </w:r>
      <w:r w:rsidR="00C21671" w:rsidRPr="0098514F">
        <w:rPr>
          <w:lang w:val="pl-PL"/>
        </w:rPr>
        <w:t>wyznaczono</w:t>
      </w:r>
      <w:r w:rsidR="009B13A2" w:rsidRPr="0098514F">
        <w:rPr>
          <w:lang w:val="pl-PL"/>
        </w:rPr>
        <w:t xml:space="preserve"> Izbę Cywilną Sądu Najwyższego w pełnym składzie w celu wydania uchwały.</w:t>
      </w:r>
    </w:p>
    <w:p w:rsidR="00BF6E88" w:rsidRPr="0098514F" w:rsidRDefault="00C0625E" w:rsidP="00BF6E88">
      <w:pPr>
        <w:rPr>
          <w:snapToGrid w:val="0"/>
          <w:lang w:val="pl-PL"/>
        </w:rPr>
      </w:pPr>
      <w:r w:rsidRPr="0098514F">
        <w:rPr>
          <w:snapToGrid w:val="0"/>
        </w:rPr>
        <w:fldChar w:fldCharType="begin"/>
      </w:r>
      <w:r w:rsidR="00E740BF" w:rsidRPr="0098514F">
        <w:rPr>
          <w:snapToGrid w:val="0"/>
          <w:lang w:val="pl-PL"/>
        </w:rPr>
        <w:instrText xml:space="preserve"> SEQ level0 \*arabic </w:instrText>
      </w:r>
      <w:r w:rsidRPr="0098514F">
        <w:rPr>
          <w:snapToGrid w:val="0"/>
        </w:rPr>
        <w:fldChar w:fldCharType="separate"/>
      </w:r>
      <w:r w:rsidR="00F308F4">
        <w:rPr>
          <w:noProof/>
          <w:snapToGrid w:val="0"/>
          <w:lang w:val="pl-PL"/>
        </w:rPr>
        <w:t>27</w:t>
      </w:r>
      <w:r w:rsidRPr="0098514F">
        <w:rPr>
          <w:snapToGrid w:val="0"/>
        </w:rPr>
        <w:fldChar w:fldCharType="end"/>
      </w:r>
      <w:r w:rsidR="00E740BF" w:rsidRPr="0098514F">
        <w:rPr>
          <w:snapToGrid w:val="0"/>
          <w:lang w:val="pl-PL"/>
        </w:rPr>
        <w:t>.  </w:t>
      </w:r>
      <w:r w:rsidR="00C21671" w:rsidRPr="0098514F">
        <w:rPr>
          <w:snapToGrid w:val="0"/>
          <w:lang w:val="pl-PL"/>
        </w:rPr>
        <w:t xml:space="preserve">W dniu </w:t>
      </w:r>
      <w:r w:rsidR="00BF6E88" w:rsidRPr="0098514F">
        <w:rPr>
          <w:snapToGrid w:val="0"/>
          <w:lang w:val="pl-PL"/>
        </w:rPr>
        <w:t xml:space="preserve">31 marca 2011 r. Izba Cywilna Sądu Najwyższego na posiedzeniu w pełnym składzie podjęła uchwałę (III CZP 112/10). Stwierdza ona, iż mające zastosowanie przepisy doprowadziły do poważnych trudności i różnych interpretacji w orzecznictwie. Sąd Najwyższy </w:t>
      </w:r>
      <w:r w:rsidR="00E217B0" w:rsidRPr="0098514F">
        <w:rPr>
          <w:snapToGrid w:val="0"/>
          <w:lang w:val="pl-PL"/>
        </w:rPr>
        <w:t>stwierdził, że do roszczeń o naprawienie szkody wyrządzonej ostateczną decyzja administracyjną wydana przed dniem 1 września 2004 roku, której nieważność l</w:t>
      </w:r>
      <w:r w:rsidR="009157F5" w:rsidRPr="0098514F">
        <w:rPr>
          <w:snapToGrid w:val="0"/>
          <w:lang w:val="pl-PL"/>
        </w:rPr>
        <w:t>ub bezprawność stwierdzono po tym dniu, ma zastosowanie art. 160 k.p.a.</w:t>
      </w:r>
      <w:r w:rsidR="00BF6E88" w:rsidRPr="0098514F">
        <w:rPr>
          <w:snapToGrid w:val="0"/>
          <w:lang w:val="pl-PL"/>
        </w:rPr>
        <w:t xml:space="preserve">. Trzyletni okres czasu na </w:t>
      </w:r>
      <w:r w:rsidR="009157F5" w:rsidRPr="0098514F">
        <w:rPr>
          <w:snapToGrid w:val="0"/>
          <w:lang w:val="pl-PL"/>
        </w:rPr>
        <w:t>wystąpienie z pozwem</w:t>
      </w:r>
      <w:r w:rsidR="00BF6E88" w:rsidRPr="0098514F">
        <w:rPr>
          <w:snapToGrid w:val="0"/>
          <w:lang w:val="pl-PL"/>
        </w:rPr>
        <w:t xml:space="preserve"> o odszkodowanie za szkodę wyrządzoną przez bezprawną decyzję administracyjną wydaną przed 1 września 2004 zaczął biec od daty wydania decyzji nadzorczej.</w:t>
      </w:r>
    </w:p>
    <w:p w:rsidR="00E740BF" w:rsidRPr="0098514F" w:rsidRDefault="00E740BF" w:rsidP="00CE15E8">
      <w:pPr>
        <w:pStyle w:val="ECHRPara"/>
        <w:rPr>
          <w:snapToGrid w:val="0"/>
          <w:lang w:val="pl-PL"/>
        </w:rPr>
      </w:pPr>
    </w:p>
    <w:p w:rsidR="00BF6E88" w:rsidRPr="0098514F" w:rsidRDefault="00BF6E88" w:rsidP="00BF6E88">
      <w:pPr>
        <w:pStyle w:val="ECHRTitle1"/>
        <w:rPr>
          <w:lang w:val="pl-PL"/>
        </w:rPr>
      </w:pPr>
      <w:r w:rsidRPr="0098514F">
        <w:rPr>
          <w:lang w:val="pl-PL"/>
        </w:rPr>
        <w:lastRenderedPageBreak/>
        <w:t>PRAWO</w:t>
      </w:r>
    </w:p>
    <w:p w:rsidR="00E740BF" w:rsidRPr="0098514F" w:rsidRDefault="00E740BF" w:rsidP="00CE15E8">
      <w:pPr>
        <w:pStyle w:val="ECHRHeading1"/>
        <w:rPr>
          <w:lang w:val="pl-PL"/>
        </w:rPr>
      </w:pPr>
      <w:r w:rsidRPr="0098514F">
        <w:rPr>
          <w:lang w:val="pl-PL"/>
        </w:rPr>
        <w:t>I.  </w:t>
      </w:r>
      <w:r w:rsidR="00BF6E88" w:rsidRPr="0098514F">
        <w:rPr>
          <w:lang w:val="pl-PL"/>
        </w:rPr>
        <w:t>ZARZUT NARUSZENIA ARTYKUŁU 1 PROTOKOŁU  NR 1 KONWENCJI</w:t>
      </w:r>
    </w:p>
    <w:p w:rsidR="00BF6E88" w:rsidRPr="0098514F" w:rsidRDefault="00C0625E" w:rsidP="00BF6E88">
      <w:pPr>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28</w:t>
      </w:r>
      <w:r w:rsidRPr="0098514F">
        <w:rPr>
          <w:lang w:val="en-GB"/>
        </w:rPr>
        <w:fldChar w:fldCharType="end"/>
      </w:r>
      <w:r w:rsidR="00E740BF" w:rsidRPr="0098514F">
        <w:rPr>
          <w:lang w:val="pl-PL"/>
        </w:rPr>
        <w:t>.  </w:t>
      </w:r>
      <w:r w:rsidR="00BF6E88" w:rsidRPr="0098514F">
        <w:rPr>
          <w:lang w:val="pl-PL"/>
        </w:rPr>
        <w:t xml:space="preserve">Skarżący </w:t>
      </w:r>
      <w:r w:rsidR="00BF6170" w:rsidRPr="0098514F">
        <w:rPr>
          <w:lang w:val="pl-PL"/>
        </w:rPr>
        <w:t>wnosili</w:t>
      </w:r>
      <w:r w:rsidR="00BF6E88" w:rsidRPr="0098514F">
        <w:rPr>
          <w:lang w:val="pl-PL"/>
        </w:rPr>
        <w:t xml:space="preserve">, że w wyniku różnic w orzecznictwie sądy krajowe odmówiły im odszkodowania za szkody </w:t>
      </w:r>
      <w:r w:rsidR="008A0B9E" w:rsidRPr="0098514F">
        <w:rPr>
          <w:lang w:val="pl-PL"/>
        </w:rPr>
        <w:t>wynikające</w:t>
      </w:r>
      <w:r w:rsidR="00BF6E88" w:rsidRPr="0098514F">
        <w:rPr>
          <w:lang w:val="pl-PL"/>
        </w:rPr>
        <w:t xml:space="preserve"> z bezprawnego wywłaszczenia. Po</w:t>
      </w:r>
      <w:r w:rsidR="008A0B9E" w:rsidRPr="0098514F">
        <w:rPr>
          <w:lang w:val="pl-PL"/>
        </w:rPr>
        <w:t>wołali się</w:t>
      </w:r>
      <w:r w:rsidR="00BF6E88" w:rsidRPr="0098514F">
        <w:rPr>
          <w:lang w:val="pl-PL"/>
        </w:rPr>
        <w:t xml:space="preserve"> na art. 1 Konwencji, który brzmi następująco:</w:t>
      </w:r>
    </w:p>
    <w:p w:rsidR="00BF6E88" w:rsidRPr="0098514F" w:rsidRDefault="00BF6E88" w:rsidP="00CE15E8">
      <w:pPr>
        <w:spacing w:before="120" w:after="120"/>
        <w:ind w:left="425" w:firstLine="142"/>
        <w:rPr>
          <w:sz w:val="20"/>
          <w:lang w:val="pl-PL"/>
        </w:rPr>
      </w:pPr>
      <w:r w:rsidRPr="0098514F">
        <w:rPr>
          <w:sz w:val="20"/>
          <w:lang w:val="pl-PL"/>
        </w:rPr>
        <w:t xml:space="preserve"> </w:t>
      </w:r>
      <w:r w:rsidR="00E740BF" w:rsidRPr="0098514F">
        <w:rPr>
          <w:sz w:val="20"/>
          <w:lang w:val="pl-PL"/>
        </w:rPr>
        <w:t>“</w:t>
      </w:r>
      <w:r w:rsidRPr="0098514F">
        <w:rPr>
          <w:sz w:val="20"/>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E740BF" w:rsidRPr="0098514F" w:rsidRDefault="00BF6E88" w:rsidP="00CE15E8">
      <w:pPr>
        <w:spacing w:before="120" w:after="120"/>
        <w:ind w:left="425" w:firstLine="142"/>
        <w:rPr>
          <w:sz w:val="20"/>
          <w:lang w:val="pl-PL"/>
        </w:rPr>
      </w:pPr>
      <w:r w:rsidRPr="0098514F">
        <w:rPr>
          <w:sz w:val="20"/>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r w:rsidR="00E740BF" w:rsidRPr="0098514F">
        <w:rPr>
          <w:sz w:val="20"/>
          <w:lang w:val="pl-PL"/>
        </w:rPr>
        <w:t>”</w:t>
      </w:r>
    </w:p>
    <w:p w:rsidR="00E740BF" w:rsidRPr="0098514F" w:rsidRDefault="00E740BF" w:rsidP="00CE15E8">
      <w:pPr>
        <w:pStyle w:val="ECHRHeading2"/>
        <w:rPr>
          <w:lang w:val="pl-PL"/>
        </w:rPr>
      </w:pPr>
      <w:r w:rsidRPr="0098514F">
        <w:rPr>
          <w:lang w:val="pl-PL"/>
        </w:rPr>
        <w:t>A.  </w:t>
      </w:r>
      <w:r w:rsidR="00C92009" w:rsidRPr="0098514F">
        <w:rPr>
          <w:lang w:val="pl-PL"/>
        </w:rPr>
        <w:t>Dopuszczalność skargi</w:t>
      </w:r>
    </w:p>
    <w:p w:rsidR="00C92009"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29</w:t>
      </w:r>
      <w:r w:rsidRPr="0098514F">
        <w:rPr>
          <w:noProof/>
        </w:rPr>
        <w:fldChar w:fldCharType="end"/>
      </w:r>
      <w:r w:rsidR="00E740BF" w:rsidRPr="0098514F">
        <w:rPr>
          <w:lang w:val="pl-PL"/>
        </w:rPr>
        <w:t>.  </w:t>
      </w:r>
      <w:r w:rsidR="00C92009" w:rsidRPr="0098514F">
        <w:rPr>
          <w:lang w:val="pl-PL"/>
        </w:rPr>
        <w:t>Rząd nie przedstawił żadnych uwag co do dopuszczalności niniejszej aplikacji. Jednakże Trybunał musi najpierw ustalić, czy Artykuł 1 Protokołu nr 1 do Konwencji miał zastosowanie do okoliczności danego przypadku.</w:t>
      </w:r>
    </w:p>
    <w:p w:rsidR="00C92009"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30</w:t>
      </w:r>
      <w:r w:rsidRPr="0098514F">
        <w:rPr>
          <w:noProof/>
        </w:rPr>
        <w:fldChar w:fldCharType="end"/>
      </w:r>
      <w:r w:rsidR="00E740BF" w:rsidRPr="0098514F">
        <w:rPr>
          <w:lang w:val="pl-PL"/>
        </w:rPr>
        <w:t>.  </w:t>
      </w:r>
      <w:r w:rsidR="00C92009" w:rsidRPr="0098514F">
        <w:rPr>
          <w:lang w:val="pl-PL"/>
        </w:rPr>
        <w:t xml:space="preserve">Jeżeli prawa majątkowe mają charakter roszczenia mogą być traktowane jako "aktywa" tylko wtedy, gdy mają one wystarczającą podstawę w prawie krajowym, na przykład tam, gdzie ma to potwierdzenie w utrwalonym orzecznictwie sądów krajowych (patrz </w:t>
      </w:r>
      <w:r w:rsidR="00C92009" w:rsidRPr="0098514F">
        <w:rPr>
          <w:i/>
          <w:lang w:val="pl-PL"/>
        </w:rPr>
        <w:t>Kopecký przeciwko Słowacji</w:t>
      </w:r>
      <w:r w:rsidR="00C92009" w:rsidRPr="0098514F">
        <w:rPr>
          <w:lang w:val="pl-PL"/>
        </w:rPr>
        <w:t xml:space="preserve"> [GC], nr 44912/98, §§ 52, ECHR 2004 IX;.. </w:t>
      </w:r>
      <w:r w:rsidR="00C92009" w:rsidRPr="0098514F">
        <w:rPr>
          <w:i/>
          <w:lang w:val="pl-PL"/>
        </w:rPr>
        <w:t>Draon przeciwko Francji</w:t>
      </w:r>
      <w:r w:rsidR="00E37086" w:rsidRPr="0098514F">
        <w:rPr>
          <w:lang w:val="pl-PL"/>
        </w:rPr>
        <w:t xml:space="preserve"> [GC], nr 1513/03, § 68, 6 października 2005</w:t>
      </w:r>
      <w:r w:rsidR="00C92009" w:rsidRPr="0098514F">
        <w:rPr>
          <w:lang w:val="pl-PL"/>
        </w:rPr>
        <w:t xml:space="preserve"> i </w:t>
      </w:r>
      <w:r w:rsidR="00C92009" w:rsidRPr="0098514F">
        <w:rPr>
          <w:i/>
          <w:lang w:val="pl-PL"/>
        </w:rPr>
        <w:t>Anheuser-Busch Inc. przeciwko Portugalii</w:t>
      </w:r>
      <w:r w:rsidR="00C92009" w:rsidRPr="0098514F">
        <w:rPr>
          <w:lang w:val="pl-PL"/>
        </w:rPr>
        <w:t xml:space="preserve"> [GC], nr 73049/01, § 65, 11 stycznia 2007).</w:t>
      </w:r>
    </w:p>
    <w:p w:rsidR="00E740BF" w:rsidRPr="0098514F" w:rsidRDefault="00C0625E" w:rsidP="00CE15E8">
      <w:pPr>
        <w:ind w:firstLine="284"/>
        <w:rPr>
          <w:snapToGrid w:val="0"/>
          <w:szCs w:val="24"/>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31</w:t>
      </w:r>
      <w:r w:rsidRPr="0098514F">
        <w:rPr>
          <w:noProof/>
        </w:rPr>
        <w:fldChar w:fldCharType="end"/>
      </w:r>
      <w:r w:rsidR="00E740BF" w:rsidRPr="0098514F">
        <w:rPr>
          <w:lang w:val="pl-PL"/>
        </w:rPr>
        <w:t>.  </w:t>
      </w:r>
      <w:r w:rsidR="00C92009" w:rsidRPr="0098514F">
        <w:rPr>
          <w:lang w:val="pl-PL"/>
        </w:rPr>
        <w:t xml:space="preserve">Trybunał stwierdził w sprawach dotyczących praktycznego wdrażania programów restytucji wprowadzonych na podstawie ustawodawstwa o restytucji, że decyzje administracyjne rozpoznające prawo skarżących do odszkodowania za wywłaszczenia w przeszłości były wystarczające, aby stanowić podstawę do ochrony praw majątkowych w związku z artykułem 1 Protokołu nr . 1 (patrz, między innymi, Viaşu przeciwko Rumunii, §§ 59-60, i Maria Atanasiu i in. przeciwko Rumunii, nr 30767/05 i 33800/06, § 180, 12 października 2010). W szczególności uznano w sprawach przeciwko Polsce, że uprawnienie do dochodzenia odszkodowania pieniężnego  zapewnia ochronę z mocy artykułu 1 Protokołu nr 1, </w:t>
      </w:r>
      <w:r w:rsidR="00FF0657" w:rsidRPr="0098514F">
        <w:rPr>
          <w:lang w:val="pl-PL"/>
        </w:rPr>
        <w:t>(</w:t>
      </w:r>
      <w:r w:rsidR="00C92009" w:rsidRPr="0098514F">
        <w:rPr>
          <w:lang w:val="pl-PL"/>
        </w:rPr>
        <w:t>patrz Plechanow przeciwko Polsce, §§ 84-86, 7 lipca 2009, oraz Sierpiński przeciwko Polsce, nr 38016/07, § 66, 03 listopada 2009).</w:t>
      </w:r>
    </w:p>
    <w:p w:rsidR="00751983"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32</w:t>
      </w:r>
      <w:r w:rsidRPr="0098514F">
        <w:rPr>
          <w:noProof/>
        </w:rPr>
        <w:fldChar w:fldCharType="end"/>
      </w:r>
      <w:r w:rsidR="00E740BF" w:rsidRPr="0098514F">
        <w:rPr>
          <w:lang w:val="pl-PL"/>
        </w:rPr>
        <w:t>. </w:t>
      </w:r>
      <w:r w:rsidR="00751983" w:rsidRPr="0098514F">
        <w:rPr>
          <w:lang w:val="pl-PL"/>
        </w:rPr>
        <w:t>W niniejszej sprawie Samorządowe Kolegium Odwoławcze</w:t>
      </w:r>
      <w:r w:rsidR="00EC4DB6" w:rsidRPr="0098514F">
        <w:rPr>
          <w:lang w:val="pl-PL"/>
        </w:rPr>
        <w:t xml:space="preserve"> decyzją </w:t>
      </w:r>
      <w:r w:rsidR="00751983" w:rsidRPr="0098514F">
        <w:rPr>
          <w:lang w:val="pl-PL"/>
        </w:rPr>
        <w:t>z 2005 roku  ustalił</w:t>
      </w:r>
      <w:r w:rsidR="00EC4DB6" w:rsidRPr="0098514F">
        <w:rPr>
          <w:lang w:val="pl-PL"/>
        </w:rPr>
        <w:t>o</w:t>
      </w:r>
      <w:r w:rsidR="00751983" w:rsidRPr="0098514F">
        <w:rPr>
          <w:lang w:val="pl-PL"/>
        </w:rPr>
        <w:t>, że decyzja</w:t>
      </w:r>
      <w:r w:rsidR="00EC4DB6" w:rsidRPr="0098514F">
        <w:rPr>
          <w:lang w:val="pl-PL"/>
        </w:rPr>
        <w:t xml:space="preserve"> administracyjna</w:t>
      </w:r>
      <w:r w:rsidR="00751983" w:rsidRPr="0098514F">
        <w:rPr>
          <w:lang w:val="pl-PL"/>
        </w:rPr>
        <w:t xml:space="preserve"> z 1971 roku została wydana z rażącym naruszeniem prawa obowiązującego w </w:t>
      </w:r>
      <w:r w:rsidR="00EC4DB6" w:rsidRPr="0098514F">
        <w:rPr>
          <w:lang w:val="pl-PL"/>
        </w:rPr>
        <w:t xml:space="preserve">czasie jej </w:t>
      </w:r>
      <w:r w:rsidR="00EC4DB6" w:rsidRPr="0098514F">
        <w:rPr>
          <w:lang w:val="pl-PL"/>
        </w:rPr>
        <w:lastRenderedPageBreak/>
        <w:t>podjęcia</w:t>
      </w:r>
      <w:r w:rsidR="00751983" w:rsidRPr="0098514F">
        <w:rPr>
          <w:lang w:val="pl-PL"/>
        </w:rPr>
        <w:t>. Strony zostały poinformowane, że decyzja nadzorcza daje podstawę do</w:t>
      </w:r>
      <w:r w:rsidR="00F408A8" w:rsidRPr="0098514F">
        <w:rPr>
          <w:lang w:val="pl-PL"/>
        </w:rPr>
        <w:t xml:space="preserve"> wystąpienia z roszczeniem</w:t>
      </w:r>
      <w:r w:rsidR="00751983" w:rsidRPr="0098514F">
        <w:rPr>
          <w:lang w:val="pl-PL"/>
        </w:rPr>
        <w:t xml:space="preserve"> odszkodowawcz</w:t>
      </w:r>
      <w:r w:rsidR="00F408A8" w:rsidRPr="0098514F">
        <w:rPr>
          <w:lang w:val="pl-PL"/>
        </w:rPr>
        <w:t>ym</w:t>
      </w:r>
      <w:r w:rsidR="00751983" w:rsidRPr="0098514F">
        <w:rPr>
          <w:lang w:val="pl-PL"/>
        </w:rPr>
        <w:t xml:space="preserve"> z tytułu szkód spowodowanych przez  wydanie pierwotnej decyzji (patrz pkt. 8 powyżej). Trybunał jest zatem przekonany, że Artykuł 1 Protokołu nr 1 znajduje zastosowanie do okoliczności danego przypadku</w:t>
      </w:r>
    </w:p>
    <w:p w:rsidR="00751983" w:rsidRPr="0098514F" w:rsidRDefault="00C0625E" w:rsidP="00751983">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33</w:t>
      </w:r>
      <w:r w:rsidRPr="0098514F">
        <w:rPr>
          <w:noProof/>
        </w:rPr>
        <w:fldChar w:fldCharType="end"/>
      </w:r>
      <w:r w:rsidR="00E740BF" w:rsidRPr="0098514F">
        <w:rPr>
          <w:lang w:val="pl-PL"/>
        </w:rPr>
        <w:t>.  </w:t>
      </w:r>
      <w:r w:rsidR="00751983" w:rsidRPr="0098514F">
        <w:rPr>
          <w:lang w:val="pl-PL"/>
        </w:rPr>
        <w:t>Trybunał stwierdza, że skarga nie jest bezzasadna w rozumieniu Artykułu 35 § 3 (a) Konwencji. Ponadto zauważa, że nie jest ona niedopuszczalna z jakichkolwiek innych powodów. Należy zatem uznać ją za dopuszczalną.</w:t>
      </w:r>
    </w:p>
    <w:p w:rsidR="00751983" w:rsidRPr="0098514F" w:rsidRDefault="00751983" w:rsidP="00751983">
      <w:pPr>
        <w:ind w:firstLine="284"/>
        <w:rPr>
          <w:lang w:val="pl-PL"/>
        </w:rPr>
      </w:pPr>
    </w:p>
    <w:p w:rsidR="0079632B" w:rsidRPr="0098514F" w:rsidRDefault="0079632B" w:rsidP="0079632B">
      <w:pPr>
        <w:pStyle w:val="ECHRHeading2"/>
        <w:outlineLvl w:val="0"/>
        <w:rPr>
          <w:lang w:val="pl-PL"/>
        </w:rPr>
      </w:pPr>
      <w:r w:rsidRPr="0098514F">
        <w:rPr>
          <w:lang w:val="pl-PL"/>
        </w:rPr>
        <w:t xml:space="preserve">B.  Meritum </w:t>
      </w:r>
      <w:r w:rsidR="009636D3" w:rsidRPr="0098514F">
        <w:rPr>
          <w:lang w:val="pl-PL"/>
        </w:rPr>
        <w:t>sprawy</w:t>
      </w:r>
    </w:p>
    <w:p w:rsidR="00E740BF" w:rsidRPr="0098514F" w:rsidRDefault="0056219B" w:rsidP="00CE15E8">
      <w:pPr>
        <w:pStyle w:val="ECHRHeading3"/>
        <w:rPr>
          <w:lang w:val="pl-PL"/>
        </w:rPr>
      </w:pPr>
      <w:r w:rsidRPr="0098514F">
        <w:rPr>
          <w:lang w:val="pl-PL"/>
        </w:rPr>
        <w:t>1.  </w:t>
      </w:r>
      <w:r w:rsidR="0079632B" w:rsidRPr="0098514F">
        <w:rPr>
          <w:lang w:val="pl-PL"/>
        </w:rPr>
        <w:t>Stanowiska stron</w:t>
      </w:r>
    </w:p>
    <w:p w:rsidR="00E740BF"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34</w:t>
      </w:r>
      <w:r w:rsidRPr="0098514F">
        <w:rPr>
          <w:lang w:val="en-GB"/>
        </w:rPr>
        <w:fldChar w:fldCharType="end"/>
      </w:r>
      <w:r w:rsidR="00E740BF" w:rsidRPr="0098514F">
        <w:rPr>
          <w:lang w:val="pl-PL"/>
        </w:rPr>
        <w:t>.  </w:t>
      </w:r>
      <w:r w:rsidR="00E740BF" w:rsidRPr="0098514F">
        <w:rPr>
          <w:b/>
          <w:lang w:val="pl-PL"/>
        </w:rPr>
        <w:t xml:space="preserve"> </w:t>
      </w:r>
      <w:r w:rsidR="0079632B" w:rsidRPr="0098514F">
        <w:rPr>
          <w:lang w:val="pl-PL"/>
        </w:rPr>
        <w:t>Skarżące twierdziły, że były jedynymi spadkobiercami byłych właścicieli nieruchomości wywłaszczonych przez bezprawną decyzję z 1971 roku, którzy nie otrzymal</w:t>
      </w:r>
      <w:r w:rsidR="002555D9" w:rsidRPr="0098514F">
        <w:rPr>
          <w:lang w:val="pl-PL"/>
        </w:rPr>
        <w:t>i odszkodowania. Fakt, że szkody wynikające</w:t>
      </w:r>
      <w:r w:rsidR="0079632B" w:rsidRPr="0098514F">
        <w:rPr>
          <w:lang w:val="pl-PL"/>
        </w:rPr>
        <w:t xml:space="preserve"> z tego samego stanu faktycznego oraz prawnego były traktowane w różny sposób, a na ich niekorzyść, nie był</w:t>
      </w:r>
      <w:r w:rsidR="003819F7" w:rsidRPr="0098514F">
        <w:rPr>
          <w:lang w:val="pl-PL"/>
        </w:rPr>
        <w:t xml:space="preserve"> zgodny z</w:t>
      </w:r>
      <w:r w:rsidR="0079632B" w:rsidRPr="0098514F">
        <w:rPr>
          <w:lang w:val="pl-PL"/>
        </w:rPr>
        <w:t xml:space="preserve"> standardami Konwencji. </w:t>
      </w:r>
      <w:r w:rsidR="00E140FF" w:rsidRPr="0098514F">
        <w:rPr>
          <w:lang w:val="pl-PL"/>
        </w:rPr>
        <w:t>Rozstrzygnięcie</w:t>
      </w:r>
      <w:r w:rsidR="0079632B" w:rsidRPr="0098514F">
        <w:rPr>
          <w:lang w:val="pl-PL"/>
        </w:rPr>
        <w:t xml:space="preserve"> Sądu Apelacyjnego oddalającego ich roszczenia o odszkodowanie stanowi naruszenie artykułu 1 Protokołu nr 1 do Konwencji. Warszawski sąd apelacyjny błędnie zastosował prawo, gdyż uznał, że termin do wniesienia roszczenia przed sądem rozpoczął swój bieg w czerwcu 1989 roku. Sąd naruszył prawo, uznając, że skarżące powinny domagać się odszkodowania do końca 1999 roku, głównie dlatego, że artykuł 160 Kodeksu postępowania administracyjnego nigdy nie przewidywał</w:t>
      </w:r>
      <w:r w:rsidR="002555D9" w:rsidRPr="0098514F">
        <w:rPr>
          <w:lang w:val="pl-PL"/>
        </w:rPr>
        <w:t xml:space="preserve"> żadnego ograniczenia czasowego</w:t>
      </w:r>
      <w:r w:rsidR="0079632B" w:rsidRPr="0098514F">
        <w:rPr>
          <w:lang w:val="pl-PL"/>
        </w:rPr>
        <w:t>, w którym osoby dotknięte bezprawnymi decyzjami administracyjnymi mogłyby ubiegać się o odszkodowanie</w:t>
      </w:r>
      <w:r w:rsidR="00E740BF" w:rsidRPr="0098514F">
        <w:rPr>
          <w:lang w:val="pl-PL"/>
        </w:rPr>
        <w:t>.</w:t>
      </w:r>
    </w:p>
    <w:p w:rsidR="00E740BF"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35</w:t>
      </w:r>
      <w:r w:rsidRPr="0098514F">
        <w:rPr>
          <w:lang w:val="en-GB"/>
        </w:rPr>
        <w:fldChar w:fldCharType="end"/>
      </w:r>
      <w:r w:rsidR="00E740BF" w:rsidRPr="0098514F">
        <w:rPr>
          <w:lang w:val="pl-PL"/>
        </w:rPr>
        <w:t>.  </w:t>
      </w:r>
      <w:r w:rsidR="00744A07" w:rsidRPr="0098514F">
        <w:rPr>
          <w:lang w:val="pl-PL"/>
        </w:rPr>
        <w:t xml:space="preserve">W ocenie skarżących </w:t>
      </w:r>
      <w:r w:rsidR="0079632B" w:rsidRPr="0098514F">
        <w:rPr>
          <w:lang w:val="pl-PL"/>
        </w:rPr>
        <w:t xml:space="preserve">Sąd Najwyższy, na posiedzeniu niejawnym w składzie jednego sędziego, niesłusznie odmówił rozpatrzenia odwołania skarżących, </w:t>
      </w:r>
      <w:r w:rsidR="00592873" w:rsidRPr="0098514F">
        <w:rPr>
          <w:snapToGrid w:val="0"/>
          <w:lang w:val="pl-PL"/>
        </w:rPr>
        <w:t>z uwagi na brak istotnego zagadnienia prawnego oraz potrzeby wykładni przepisów</w:t>
      </w:r>
      <w:r w:rsidR="0079632B" w:rsidRPr="0098514F">
        <w:rPr>
          <w:lang w:val="pl-PL"/>
        </w:rPr>
        <w:t>. Decyzja ta była niezgodna z artykułem 77 Konstytucji Rzeczypospolitej Polskiej w zakresie, w jakim zagwarantowano prawo do odszkodowania za szkody wyrządzone przez państwo. Fakt, że rozbieżne nurty orzecznictwa powstały w odniesieniu do roszczeń odszkodowawczych z tytułu bezprawnych decyzji administracyjnych, był niezgodny z normami opracowanymi przez Trybunał w odniesieniu do artykułu 1 Protokołu nr 1. Spowodowało to niepewność prawną, która skutecznie pozbawiała skarżących jakiejkolwiek możliwości zaspokojenia ich roszczeń</w:t>
      </w:r>
      <w:r w:rsidR="00E740BF" w:rsidRPr="0098514F">
        <w:rPr>
          <w:lang w:val="pl-PL"/>
        </w:rPr>
        <w:t>.</w:t>
      </w:r>
    </w:p>
    <w:p w:rsidR="003851A8" w:rsidRPr="0098514F" w:rsidRDefault="00C0625E" w:rsidP="003851A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36</w:t>
      </w:r>
      <w:r w:rsidRPr="0098514F">
        <w:rPr>
          <w:lang w:val="en-GB"/>
        </w:rPr>
        <w:fldChar w:fldCharType="end"/>
      </w:r>
      <w:r w:rsidR="003851A8" w:rsidRPr="0098514F">
        <w:rPr>
          <w:lang w:val="pl-PL"/>
        </w:rPr>
        <w:t xml:space="preserve"> </w:t>
      </w:r>
      <w:r w:rsidR="002555D9" w:rsidRPr="0098514F">
        <w:rPr>
          <w:lang w:val="pl-PL"/>
        </w:rPr>
        <w:t>Skarżące podkreśliły</w:t>
      </w:r>
      <w:r w:rsidR="00744A07" w:rsidRPr="0098514F">
        <w:rPr>
          <w:lang w:val="pl-PL"/>
        </w:rPr>
        <w:t>, że tylko w ich przypadku</w:t>
      </w:r>
      <w:r w:rsidR="003851A8" w:rsidRPr="0098514F">
        <w:rPr>
          <w:lang w:val="pl-PL"/>
        </w:rPr>
        <w:t xml:space="preserve"> organy reprezentujące Skarb Państwa zdecydował</w:t>
      </w:r>
      <w:r w:rsidR="005206E2" w:rsidRPr="0098514F">
        <w:rPr>
          <w:lang w:val="pl-PL"/>
        </w:rPr>
        <w:t>y</w:t>
      </w:r>
      <w:r w:rsidR="003851A8" w:rsidRPr="0098514F">
        <w:rPr>
          <w:lang w:val="pl-PL"/>
        </w:rPr>
        <w:t xml:space="preserve"> się zaskarżyć wyrok sądu pierwszej instancji przed sądem apelacyjnym. W spraw</w:t>
      </w:r>
      <w:r w:rsidR="00744A07" w:rsidRPr="0098514F">
        <w:rPr>
          <w:lang w:val="pl-PL"/>
        </w:rPr>
        <w:t>ach</w:t>
      </w:r>
      <w:r w:rsidR="003851A8" w:rsidRPr="0098514F">
        <w:rPr>
          <w:lang w:val="pl-PL"/>
        </w:rPr>
        <w:t xml:space="preserve"> o odszkodowanie wniesionych </w:t>
      </w:r>
      <w:r w:rsidR="003851A8" w:rsidRPr="0098514F">
        <w:rPr>
          <w:lang w:val="pl-PL"/>
        </w:rPr>
        <w:lastRenderedPageBreak/>
        <w:t xml:space="preserve">przez innych następców prawnych właścicieli tej samej nieruchomości, </w:t>
      </w:r>
      <w:r w:rsidR="003D5B88" w:rsidRPr="0098514F">
        <w:rPr>
          <w:lang w:val="pl-PL"/>
        </w:rPr>
        <w:t>wyroki sądów</w:t>
      </w:r>
      <w:r w:rsidR="003851A8" w:rsidRPr="0098514F">
        <w:rPr>
          <w:lang w:val="pl-PL"/>
        </w:rPr>
        <w:t xml:space="preserve"> pierwszej instancji przyznawały im odszkodowanie i nie </w:t>
      </w:r>
      <w:r w:rsidR="003D5B88" w:rsidRPr="0098514F">
        <w:rPr>
          <w:lang w:val="pl-PL"/>
        </w:rPr>
        <w:t>zostały zaskarżone</w:t>
      </w:r>
      <w:r w:rsidR="003851A8" w:rsidRPr="0098514F">
        <w:rPr>
          <w:lang w:val="pl-PL"/>
        </w:rPr>
        <w:t xml:space="preserve">. Różnica w traktowaniu przez państwo przypadków o takim samym stanie faktycznym </w:t>
      </w:r>
      <w:r w:rsidR="002555D9" w:rsidRPr="0098514F">
        <w:rPr>
          <w:lang w:val="pl-PL"/>
        </w:rPr>
        <w:t>d</w:t>
      </w:r>
      <w:r w:rsidR="003851A8" w:rsidRPr="0098514F">
        <w:rPr>
          <w:lang w:val="pl-PL"/>
        </w:rPr>
        <w:t xml:space="preserve">odatkowo wspiera ich </w:t>
      </w:r>
      <w:r w:rsidR="003D5B88" w:rsidRPr="0098514F">
        <w:rPr>
          <w:lang w:val="pl-PL"/>
        </w:rPr>
        <w:t>stanowisko</w:t>
      </w:r>
      <w:r w:rsidR="003851A8" w:rsidRPr="0098514F">
        <w:rPr>
          <w:lang w:val="pl-PL"/>
        </w:rPr>
        <w:t xml:space="preserve">, gdyż ich </w:t>
      </w:r>
      <w:r w:rsidR="00825FD5" w:rsidRPr="0098514F">
        <w:rPr>
          <w:lang w:val="pl-PL"/>
        </w:rPr>
        <w:t>roszczenia zostały oddalone</w:t>
      </w:r>
      <w:r w:rsidR="003851A8" w:rsidRPr="0098514F">
        <w:rPr>
          <w:lang w:val="pl-PL"/>
        </w:rPr>
        <w:t xml:space="preserve"> w związku z </w:t>
      </w:r>
      <w:r w:rsidR="00825FD5" w:rsidRPr="0098514F">
        <w:rPr>
          <w:lang w:val="pl-PL"/>
        </w:rPr>
        <w:t>rozbieżnościami w orzecznictwie sądów krajowych dotyczących oceny relewantnych przepisów prawa</w:t>
      </w:r>
      <w:r w:rsidR="003851A8" w:rsidRPr="0098514F">
        <w:rPr>
          <w:lang w:val="pl-PL"/>
        </w:rPr>
        <w:t>.</w:t>
      </w:r>
    </w:p>
    <w:p w:rsidR="00E740BF"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37</w:t>
      </w:r>
      <w:r w:rsidRPr="0098514F">
        <w:rPr>
          <w:lang w:val="en-GB"/>
        </w:rPr>
        <w:fldChar w:fldCharType="end"/>
      </w:r>
      <w:r w:rsidR="00E740BF" w:rsidRPr="0098514F">
        <w:rPr>
          <w:lang w:val="pl-PL"/>
        </w:rPr>
        <w:t>.  </w:t>
      </w:r>
      <w:r w:rsidR="00F31B9A" w:rsidRPr="0098514F">
        <w:rPr>
          <w:lang w:val="pl-PL"/>
        </w:rPr>
        <w:t xml:space="preserve">Skarżący przyznali, że rozbieżności w orzecznictwie </w:t>
      </w:r>
      <w:r w:rsidR="00CD5390" w:rsidRPr="0098514F">
        <w:rPr>
          <w:lang w:val="pl-PL"/>
        </w:rPr>
        <w:t>są</w:t>
      </w:r>
      <w:r w:rsidR="00F31B9A" w:rsidRPr="0098514F">
        <w:rPr>
          <w:lang w:val="pl-PL"/>
        </w:rPr>
        <w:t xml:space="preserve"> nieodłącznym </w:t>
      </w:r>
      <w:r w:rsidR="00CD5390" w:rsidRPr="0098514F">
        <w:rPr>
          <w:lang w:val="pl-PL"/>
        </w:rPr>
        <w:t>elementem</w:t>
      </w:r>
      <w:r w:rsidR="00F31B9A" w:rsidRPr="0098514F">
        <w:rPr>
          <w:lang w:val="pl-PL"/>
        </w:rPr>
        <w:t xml:space="preserve"> jakiegokolwiek systemu sądowniczego w oparciu o sieć sądów </w:t>
      </w:r>
      <w:r w:rsidR="001E3AF6" w:rsidRPr="0098514F">
        <w:rPr>
          <w:lang w:val="pl-PL"/>
        </w:rPr>
        <w:t>pierwszej instancji oraz sądów odwoławczych</w:t>
      </w:r>
      <w:r w:rsidR="00F31B9A" w:rsidRPr="0098514F">
        <w:rPr>
          <w:lang w:val="pl-PL"/>
        </w:rPr>
        <w:t xml:space="preserve">. Jednak to zadaniem Sądu Najwyższego jest właśnie dążenie do rozwiązywania konfliktów między </w:t>
      </w:r>
      <w:r w:rsidR="001E3AF6" w:rsidRPr="0098514F">
        <w:rPr>
          <w:lang w:val="pl-PL"/>
        </w:rPr>
        <w:t>rozstrzygnięciami</w:t>
      </w:r>
      <w:r w:rsidR="00F31B9A" w:rsidRPr="0098514F">
        <w:rPr>
          <w:lang w:val="pl-PL"/>
        </w:rPr>
        <w:t xml:space="preserve"> sądów niższych instancji. W niniejszym przypadku, nawet Sąd Najwyższy nie </w:t>
      </w:r>
      <w:r w:rsidR="00476B30" w:rsidRPr="0098514F">
        <w:rPr>
          <w:lang w:val="pl-PL"/>
        </w:rPr>
        <w:t>wypracował</w:t>
      </w:r>
      <w:r w:rsidR="00F31B9A" w:rsidRPr="0098514F">
        <w:rPr>
          <w:lang w:val="pl-PL"/>
        </w:rPr>
        <w:t xml:space="preserve"> jednolitego orzecznictwa </w:t>
      </w:r>
      <w:r w:rsidR="00476B30" w:rsidRPr="0098514F">
        <w:rPr>
          <w:lang w:val="pl-PL"/>
        </w:rPr>
        <w:t>odnośnie</w:t>
      </w:r>
      <w:r w:rsidR="00F31B9A" w:rsidRPr="0098514F">
        <w:rPr>
          <w:lang w:val="pl-PL"/>
        </w:rPr>
        <w:t xml:space="preserve"> </w:t>
      </w:r>
      <w:r w:rsidR="00476B30" w:rsidRPr="0098514F">
        <w:rPr>
          <w:lang w:val="pl-PL"/>
        </w:rPr>
        <w:t xml:space="preserve">relewantnego </w:t>
      </w:r>
      <w:r w:rsidR="00F31B9A" w:rsidRPr="0098514F">
        <w:rPr>
          <w:lang w:val="pl-PL"/>
        </w:rPr>
        <w:t xml:space="preserve">prawa materialnego. Orzecznictwo samego Sądu Najwyższego było źródłem głębokich i trwałych różnic w rozstrzyganiu </w:t>
      </w:r>
      <w:r w:rsidR="00476B30" w:rsidRPr="0098514F">
        <w:rPr>
          <w:lang w:val="pl-PL"/>
        </w:rPr>
        <w:t>analogicznych</w:t>
      </w:r>
      <w:r w:rsidR="00F31B9A" w:rsidRPr="0098514F">
        <w:rPr>
          <w:lang w:val="pl-PL"/>
        </w:rPr>
        <w:t xml:space="preserve"> przypadków. Zamiast spełnienia swojej funkcji i ujednolicenia przepisów znacznie wcześniej, Sąd Najwyższy, wydając sprzeczne decyzje, sam był źródłem niepewności prawnej. Spowodowało to, że skarżący byli traktowane odmiennie od innych osób znajdujących się w porównywalnej sytuacji faktycznej i prawnej. Zasada pewności prawa i bezpieczeństwa zostały w ten sposób naruszone.</w:t>
      </w:r>
    </w:p>
    <w:p w:rsidR="005206E2" w:rsidRPr="0098514F" w:rsidRDefault="00C0625E" w:rsidP="00CE15E8">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38</w:t>
      </w:r>
      <w:r w:rsidRPr="0098514F">
        <w:rPr>
          <w:lang w:val="en-GB"/>
        </w:rPr>
        <w:fldChar w:fldCharType="end"/>
      </w:r>
      <w:r w:rsidR="00E740BF" w:rsidRPr="0098514F">
        <w:rPr>
          <w:lang w:val="pl-PL"/>
        </w:rPr>
        <w:t>.  </w:t>
      </w:r>
      <w:r w:rsidR="005206E2" w:rsidRPr="0098514F">
        <w:rPr>
          <w:lang w:val="pl-PL"/>
        </w:rPr>
        <w:t xml:space="preserve">Rząd stwierdził, że w niniejszej sprawie roszczenia skarżących zostały oddalone przez Sąd Apelacyjny w Warszawie, natomiast w sprawach wniesionych przez innych następców prawnych byłych właścicieli, ich roszczenia zostały </w:t>
      </w:r>
      <w:r w:rsidR="00F73668" w:rsidRPr="0098514F">
        <w:rPr>
          <w:lang w:val="pl-PL"/>
        </w:rPr>
        <w:t xml:space="preserve">uwzględnione </w:t>
      </w:r>
      <w:r w:rsidR="005206E2" w:rsidRPr="0098514F">
        <w:rPr>
          <w:lang w:val="pl-PL"/>
        </w:rPr>
        <w:t xml:space="preserve">przez Sąd Okręgowy w Warszawie. Stąd niniejsza sprawa nie dotyczy sytuacji, w której ten sam sąd miał interpretować te same przepisy prawa krajowego w różny sposób w podobnych sytuacjach i </w:t>
      </w:r>
      <w:r w:rsidR="00F73668" w:rsidRPr="0098514F">
        <w:rPr>
          <w:lang w:val="pl-PL"/>
        </w:rPr>
        <w:t>doszedł do sprzecznych wniosków</w:t>
      </w:r>
      <w:r w:rsidR="005206E2" w:rsidRPr="0098514F">
        <w:rPr>
          <w:lang w:val="pl-PL"/>
        </w:rPr>
        <w:t>.</w:t>
      </w:r>
    </w:p>
    <w:p w:rsidR="00F31B9A" w:rsidRPr="0098514F" w:rsidRDefault="00C0625E" w:rsidP="005206E2">
      <w:pPr>
        <w:ind w:firstLine="284"/>
        <w:rPr>
          <w:lang w:val="pl-PL"/>
        </w:rPr>
      </w:pPr>
      <w:r w:rsidRPr="0098514F">
        <w:rPr>
          <w:lang w:val="en-GB"/>
        </w:rPr>
        <w:fldChar w:fldCharType="begin"/>
      </w:r>
      <w:r w:rsidR="00E740BF" w:rsidRPr="0098514F">
        <w:rPr>
          <w:lang w:val="pl-PL"/>
        </w:rPr>
        <w:instrText xml:space="preserve"> SEQ level0 \*arabic </w:instrText>
      </w:r>
      <w:r w:rsidRPr="0098514F">
        <w:rPr>
          <w:lang w:val="en-GB"/>
        </w:rPr>
        <w:fldChar w:fldCharType="separate"/>
      </w:r>
      <w:r w:rsidR="00F308F4">
        <w:rPr>
          <w:noProof/>
          <w:lang w:val="pl-PL"/>
        </w:rPr>
        <w:t>39</w:t>
      </w:r>
      <w:r w:rsidRPr="0098514F">
        <w:rPr>
          <w:lang w:val="en-GB"/>
        </w:rPr>
        <w:fldChar w:fldCharType="end"/>
      </w:r>
      <w:r w:rsidR="00E740BF" w:rsidRPr="0098514F">
        <w:rPr>
          <w:lang w:val="pl-PL"/>
        </w:rPr>
        <w:t>.  </w:t>
      </w:r>
      <w:r w:rsidR="00F31B9A" w:rsidRPr="0098514F">
        <w:rPr>
          <w:lang w:val="pl-PL"/>
        </w:rPr>
        <w:t xml:space="preserve"> Nie było wątpliwości, że istotne kwestie prawne powstały po wejściu ustawy z dnia 17 czerwca 2004 w życie z dniem 1 września 2004 roku</w:t>
      </w:r>
      <w:r w:rsidR="00F73668" w:rsidRPr="0098514F">
        <w:rPr>
          <w:lang w:val="pl-PL"/>
        </w:rPr>
        <w:t>,</w:t>
      </w:r>
      <w:r w:rsidR="00F31B9A" w:rsidRPr="0098514F">
        <w:rPr>
          <w:lang w:val="pl-PL"/>
        </w:rPr>
        <w:t xml:space="preserve"> w odniesieniu do interpretacji przepisów regulujących uprawnienia do odszkodowania za szkody wyrządzone decyzjami administracyjnymi wydanymi przed tą datą i </w:t>
      </w:r>
      <w:r w:rsidR="005F6C92" w:rsidRPr="0098514F">
        <w:rPr>
          <w:lang w:val="pl-PL"/>
        </w:rPr>
        <w:t xml:space="preserve">następnie </w:t>
      </w:r>
      <w:r w:rsidR="00F31B9A" w:rsidRPr="0098514F">
        <w:rPr>
          <w:lang w:val="pl-PL"/>
        </w:rPr>
        <w:t>uznan</w:t>
      </w:r>
      <w:r w:rsidR="005F6C92" w:rsidRPr="0098514F">
        <w:rPr>
          <w:lang w:val="pl-PL"/>
        </w:rPr>
        <w:t>ych</w:t>
      </w:r>
      <w:r w:rsidR="00F31B9A" w:rsidRPr="0098514F">
        <w:rPr>
          <w:lang w:val="pl-PL"/>
        </w:rPr>
        <w:t xml:space="preserve"> za bezprawne po tej  dacie. Rozbieżności w celu określenia ram prawnych dotyczących odpowiedzialności cywilnej Skarbu Państwa w takich przypadkach </w:t>
      </w:r>
      <w:r w:rsidR="00C55D51" w:rsidRPr="0098514F">
        <w:rPr>
          <w:lang w:val="pl-PL"/>
        </w:rPr>
        <w:t xml:space="preserve">ujawniły się </w:t>
      </w:r>
      <w:r w:rsidR="00F31B9A" w:rsidRPr="0098514F">
        <w:rPr>
          <w:lang w:val="pl-PL"/>
        </w:rPr>
        <w:t xml:space="preserve">w orzecznictwie Sądu Najwyższego, Naczelnego Sądu Administracyjnego i sądów powszechnych. Powstały dwa rozbieżne nurty orzecznictwa, co </w:t>
      </w:r>
      <w:r w:rsidR="00455D8C" w:rsidRPr="0098514F">
        <w:rPr>
          <w:lang w:val="pl-PL"/>
        </w:rPr>
        <w:t>do sposobu zastosowania</w:t>
      </w:r>
      <w:r w:rsidR="00F31B9A" w:rsidRPr="0098514F">
        <w:rPr>
          <w:lang w:val="pl-PL"/>
        </w:rPr>
        <w:t xml:space="preserve"> przepis</w:t>
      </w:r>
      <w:r w:rsidR="00455D8C" w:rsidRPr="0098514F">
        <w:rPr>
          <w:lang w:val="pl-PL"/>
        </w:rPr>
        <w:t>ów</w:t>
      </w:r>
      <w:r w:rsidR="00F31B9A" w:rsidRPr="0098514F">
        <w:rPr>
          <w:lang w:val="pl-PL"/>
        </w:rPr>
        <w:t xml:space="preserve"> prawa materialnego - zarówno </w:t>
      </w:r>
      <w:r w:rsidR="00455D8C" w:rsidRPr="0098514F">
        <w:rPr>
          <w:lang w:val="pl-PL"/>
        </w:rPr>
        <w:t>artykuł 160 k</w:t>
      </w:r>
      <w:r w:rsidR="00F31B9A" w:rsidRPr="0098514F">
        <w:rPr>
          <w:lang w:val="pl-PL"/>
        </w:rPr>
        <w:t xml:space="preserve">pa </w:t>
      </w:r>
      <w:r w:rsidR="00455D8C" w:rsidRPr="0098514F">
        <w:rPr>
          <w:lang w:val="pl-PL"/>
        </w:rPr>
        <w:t>oraz</w:t>
      </w:r>
      <w:r w:rsidR="00F31B9A" w:rsidRPr="0098514F">
        <w:rPr>
          <w:lang w:val="pl-PL"/>
        </w:rPr>
        <w:t xml:space="preserve"> art. 417¹ § 2 Kodeksu Cywilnego </w:t>
      </w:r>
      <w:r w:rsidR="00455D8C" w:rsidRPr="0098514F">
        <w:rPr>
          <w:lang w:val="pl-PL"/>
        </w:rPr>
        <w:t xml:space="preserve">przewidzianego </w:t>
      </w:r>
      <w:r w:rsidR="00F31B9A" w:rsidRPr="0098514F">
        <w:rPr>
          <w:lang w:val="pl-PL"/>
        </w:rPr>
        <w:t>w ustawie z dnia 17</w:t>
      </w:r>
      <w:r w:rsidR="00455D8C" w:rsidRPr="0098514F">
        <w:rPr>
          <w:lang w:val="pl-PL"/>
        </w:rPr>
        <w:t xml:space="preserve"> czerwiec 2004. Wybór podstawy prawnej</w:t>
      </w:r>
      <w:r w:rsidR="00F31B9A" w:rsidRPr="0098514F">
        <w:rPr>
          <w:lang w:val="pl-PL"/>
        </w:rPr>
        <w:t xml:space="preserve"> i odpowiedniej procedury zależał od </w:t>
      </w:r>
      <w:r w:rsidR="00D95255" w:rsidRPr="0098514F">
        <w:rPr>
          <w:lang w:val="pl-PL"/>
        </w:rPr>
        <w:t>stanowiska</w:t>
      </w:r>
      <w:r w:rsidR="00F31B9A" w:rsidRPr="0098514F">
        <w:rPr>
          <w:lang w:val="pl-PL"/>
        </w:rPr>
        <w:t xml:space="preserve"> sędziów</w:t>
      </w:r>
      <w:r w:rsidR="00D95255" w:rsidRPr="0098514F">
        <w:rPr>
          <w:lang w:val="pl-PL"/>
        </w:rPr>
        <w:t xml:space="preserve"> </w:t>
      </w:r>
      <w:r w:rsidR="00F31B9A" w:rsidRPr="0098514F">
        <w:rPr>
          <w:lang w:val="pl-PL"/>
        </w:rPr>
        <w:t xml:space="preserve">(cywilnych lub administracyjnych), do których takie roszczenia były wnoszone, </w:t>
      </w:r>
      <w:r w:rsidR="00D95255" w:rsidRPr="0098514F">
        <w:rPr>
          <w:lang w:val="pl-PL"/>
        </w:rPr>
        <w:t>oraz miał znaczenie dla przyjętego okresu</w:t>
      </w:r>
      <w:r w:rsidR="00F31B9A" w:rsidRPr="0098514F">
        <w:rPr>
          <w:lang w:val="pl-PL"/>
        </w:rPr>
        <w:t xml:space="preserve"> przedawnienia w celu dochodzenia takich roszczeń.</w:t>
      </w:r>
    </w:p>
    <w:p w:rsidR="005206E2" w:rsidRPr="0098514F" w:rsidRDefault="00C0625E" w:rsidP="005206E2">
      <w:pPr>
        <w:ind w:firstLine="284"/>
        <w:rPr>
          <w:lang w:val="pl-PL"/>
        </w:rPr>
      </w:pPr>
      <w:r w:rsidRPr="0098514F">
        <w:lastRenderedPageBreak/>
        <w:fldChar w:fldCharType="begin"/>
      </w:r>
      <w:r w:rsidR="000D6E28" w:rsidRPr="0098514F">
        <w:rPr>
          <w:lang w:val="pl-PL"/>
        </w:rPr>
        <w:instrText xml:space="preserve"> SEQ level0 \*arabic </w:instrText>
      </w:r>
      <w:r w:rsidRPr="0098514F">
        <w:fldChar w:fldCharType="separate"/>
      </w:r>
      <w:r w:rsidR="00F308F4">
        <w:rPr>
          <w:noProof/>
          <w:lang w:val="pl-PL"/>
        </w:rPr>
        <w:t>40</w:t>
      </w:r>
      <w:r w:rsidRPr="0098514F">
        <w:rPr>
          <w:noProof/>
        </w:rPr>
        <w:fldChar w:fldCharType="end"/>
      </w:r>
      <w:r w:rsidR="00E740BF" w:rsidRPr="0098514F">
        <w:rPr>
          <w:lang w:val="pl-PL"/>
        </w:rPr>
        <w:t>.  </w:t>
      </w:r>
      <w:r w:rsidR="005206E2" w:rsidRPr="0098514F">
        <w:rPr>
          <w:lang w:val="pl-PL"/>
        </w:rPr>
        <w:t xml:space="preserve">Biorąc pod uwagę istnienie dwóch głównych </w:t>
      </w:r>
      <w:r w:rsidR="001A285A" w:rsidRPr="0098514F">
        <w:rPr>
          <w:lang w:val="pl-PL"/>
        </w:rPr>
        <w:t>nurtów orzeczniczych</w:t>
      </w:r>
      <w:r w:rsidR="005206E2" w:rsidRPr="0098514F">
        <w:rPr>
          <w:lang w:val="pl-PL"/>
        </w:rPr>
        <w:t xml:space="preserve">, w styczniu 2010 roku </w:t>
      </w:r>
      <w:r w:rsidR="001A285A" w:rsidRPr="0098514F">
        <w:rPr>
          <w:lang w:val="pl-PL"/>
        </w:rPr>
        <w:t xml:space="preserve">Pierwszy </w:t>
      </w:r>
      <w:r w:rsidR="005206E2" w:rsidRPr="0098514F">
        <w:rPr>
          <w:lang w:val="pl-PL"/>
        </w:rPr>
        <w:t xml:space="preserve">Prezes Sądu Najwyższego zwrócił się do </w:t>
      </w:r>
      <w:r w:rsidR="004546F3" w:rsidRPr="0098514F">
        <w:rPr>
          <w:lang w:val="pl-PL"/>
        </w:rPr>
        <w:t>Sądu Najwyższego w składzie siedmiu sędziów o podjęcie uchwały</w:t>
      </w:r>
      <w:r w:rsidR="005206E2" w:rsidRPr="0098514F">
        <w:rPr>
          <w:lang w:val="pl-PL"/>
        </w:rPr>
        <w:t xml:space="preserve"> w tej kwestii. W dniu 31 marca 2011 roku Izba Cywilna tego sądu, na posiedzeniu w pełnym składzie, przyjęła stosowną uchwałę (patrz paragraf 27 powyżej). Sąd był zdania, że ​​decyzja </w:t>
      </w:r>
      <w:r w:rsidR="004546F3" w:rsidRPr="0098514F">
        <w:rPr>
          <w:lang w:val="pl-PL"/>
        </w:rPr>
        <w:t>nadzorcza</w:t>
      </w:r>
      <w:r w:rsidR="005206E2" w:rsidRPr="0098514F">
        <w:rPr>
          <w:lang w:val="pl-PL"/>
        </w:rPr>
        <w:t xml:space="preserve"> </w:t>
      </w:r>
      <w:r w:rsidR="007469E3" w:rsidRPr="0098514F">
        <w:rPr>
          <w:lang w:val="pl-PL"/>
        </w:rPr>
        <w:t>stwierdzająca</w:t>
      </w:r>
      <w:r w:rsidR="005206E2" w:rsidRPr="0098514F">
        <w:rPr>
          <w:lang w:val="pl-PL"/>
        </w:rPr>
        <w:t xml:space="preserve"> bezprawność pierwotnej decyzji </w:t>
      </w:r>
      <w:r w:rsidR="00B72F64" w:rsidRPr="0098514F">
        <w:rPr>
          <w:lang w:val="pl-PL"/>
        </w:rPr>
        <w:t>rozpoczyna</w:t>
      </w:r>
      <w:r w:rsidR="005206E2" w:rsidRPr="0098514F">
        <w:rPr>
          <w:lang w:val="pl-PL"/>
        </w:rPr>
        <w:t xml:space="preserve"> bieg terminu przedawnienia.</w:t>
      </w:r>
    </w:p>
    <w:p w:rsidR="0064662E"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41</w:t>
      </w:r>
      <w:r w:rsidRPr="0098514F">
        <w:rPr>
          <w:noProof/>
        </w:rPr>
        <w:fldChar w:fldCharType="end"/>
      </w:r>
      <w:r w:rsidR="00E740BF" w:rsidRPr="0098514F">
        <w:rPr>
          <w:lang w:val="pl-PL"/>
        </w:rPr>
        <w:t>.  </w:t>
      </w:r>
      <w:r w:rsidR="005206E2" w:rsidRPr="0098514F">
        <w:rPr>
          <w:lang w:val="pl-PL"/>
        </w:rPr>
        <w:t>Rząd był zdania, że okres, w którym istniały rozbieżności nie trwał długo. Nie więcej niż pięć lat upłynęło między pierwszymi wyrokami wydanymi przez Sąd Najwyższy po tym jak ustawa z dnia 17 czerwca 2004 weszła w życie</w:t>
      </w:r>
      <w:r w:rsidR="00B72F64" w:rsidRPr="0098514F">
        <w:rPr>
          <w:lang w:val="pl-PL"/>
        </w:rPr>
        <w:t>, a</w:t>
      </w:r>
      <w:r w:rsidR="005206E2" w:rsidRPr="0098514F">
        <w:rPr>
          <w:lang w:val="pl-PL"/>
        </w:rPr>
        <w:t xml:space="preserve"> uchwałą Sądu Najwyższego z dnia 31 marca 2011. Uchwała przyniosła ujednolicenie interpretacji omawianych przepisów. Po</w:t>
      </w:r>
      <w:r w:rsidR="0064662E" w:rsidRPr="0098514F">
        <w:rPr>
          <w:lang w:val="pl-PL"/>
        </w:rPr>
        <w:t>nadto, prawo krajowe dostarczał</w:t>
      </w:r>
      <w:r w:rsidR="008E64CD" w:rsidRPr="0098514F">
        <w:rPr>
          <w:lang w:val="pl-PL"/>
        </w:rPr>
        <w:t>o</w:t>
      </w:r>
      <w:r w:rsidR="005206E2" w:rsidRPr="0098514F">
        <w:rPr>
          <w:lang w:val="pl-PL"/>
        </w:rPr>
        <w:t xml:space="preserve"> odpowiedniego mechanizmu w celu uniknięcia rozbieżności w praktyce sądowej.</w:t>
      </w:r>
    </w:p>
    <w:p w:rsidR="0064662E" w:rsidRPr="0098514F" w:rsidRDefault="00C0625E" w:rsidP="0064662E">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42</w:t>
      </w:r>
      <w:r w:rsidRPr="0098514F">
        <w:rPr>
          <w:noProof/>
        </w:rPr>
        <w:fldChar w:fldCharType="end"/>
      </w:r>
      <w:r w:rsidR="00E740BF" w:rsidRPr="0098514F">
        <w:rPr>
          <w:lang w:val="pl-PL"/>
        </w:rPr>
        <w:t>.  </w:t>
      </w:r>
      <w:r w:rsidR="0064662E" w:rsidRPr="0098514F">
        <w:rPr>
          <w:lang w:val="pl-PL"/>
        </w:rPr>
        <w:t xml:space="preserve">Ustalono, że nie doszło do naruszenia prawa skarżących w niniejszej sprawie </w:t>
      </w:r>
    </w:p>
    <w:p w:rsidR="0064662E" w:rsidRPr="0098514F" w:rsidRDefault="0064662E" w:rsidP="0064662E">
      <w:pPr>
        <w:ind w:firstLine="284"/>
        <w:rPr>
          <w:lang w:val="pl-PL"/>
        </w:rPr>
      </w:pPr>
    </w:p>
    <w:p w:rsidR="0064662E" w:rsidRPr="0098514F" w:rsidRDefault="0064662E" w:rsidP="0064662E">
      <w:pPr>
        <w:pStyle w:val="ECHRHeading3"/>
        <w:rPr>
          <w:lang w:val="pl-PL"/>
        </w:rPr>
      </w:pPr>
      <w:r w:rsidRPr="0098514F">
        <w:rPr>
          <w:lang w:val="pl-PL"/>
        </w:rPr>
        <w:t>2.  Ocena Trybunału</w:t>
      </w:r>
    </w:p>
    <w:p w:rsidR="00E740BF" w:rsidRPr="0098514F" w:rsidRDefault="00C0625E" w:rsidP="00CE15E8">
      <w:pPr>
        <w:ind w:firstLine="284"/>
        <w:rPr>
          <w:i/>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43</w:t>
      </w:r>
      <w:r w:rsidRPr="0098514F">
        <w:rPr>
          <w:noProof/>
        </w:rPr>
        <w:fldChar w:fldCharType="end"/>
      </w:r>
      <w:r w:rsidR="00E740BF" w:rsidRPr="0098514F">
        <w:rPr>
          <w:lang w:val="pl-PL"/>
        </w:rPr>
        <w:t>.  </w:t>
      </w:r>
      <w:r w:rsidR="00F13CE3" w:rsidRPr="0098514F">
        <w:rPr>
          <w:lang w:val="pl-PL"/>
        </w:rPr>
        <w:t xml:space="preserve">Trybunał wielokrotnie orzekał, że konwencja nie nakłada żadnego konkretnego obowiązku na państwa co do </w:t>
      </w:r>
      <w:r w:rsidR="008A2030" w:rsidRPr="0098514F">
        <w:rPr>
          <w:lang w:val="pl-PL"/>
        </w:rPr>
        <w:t>naprawienia niesprawiedliwości i szkód spowodowanych</w:t>
      </w:r>
      <w:r w:rsidR="00F13CE3" w:rsidRPr="0098514F">
        <w:rPr>
          <w:lang w:val="pl-PL"/>
        </w:rPr>
        <w:t xml:space="preserve"> przed ratyfikowaniem konwencji. Jednak, gdy takie rozwiązanie zostało przyjęte przez państwo, to musi być realizowane z należytą przejrzystością i spójnością, w celu uniknięcia, w miarę możliwości, niepewności prawnej i niejasności dla osób zainteresowanych działaniami zmierzającymi do jego wykonania. W tym kontekście należy podkreślić, że niepewność, czy to ustawodawcza, administracyjna lub wynikająca z praktyk stosowanych przez władze, jest ważnym czynnikiem, który należy brać pod uwagę przy ocenie postępowania państwa (zob </w:t>
      </w:r>
      <w:r w:rsidR="00F13CE3" w:rsidRPr="0098514F">
        <w:rPr>
          <w:i/>
          <w:lang w:val="pl-PL"/>
        </w:rPr>
        <w:t>Broniowski</w:t>
      </w:r>
      <w:r w:rsidR="00F13CE3" w:rsidRPr="0098514F">
        <w:rPr>
          <w:lang w:val="pl-PL"/>
        </w:rPr>
        <w:t xml:space="preserve">, cytowany powyżej, § 151; </w:t>
      </w:r>
      <w:r w:rsidR="00F13CE3" w:rsidRPr="0098514F">
        <w:rPr>
          <w:i/>
          <w:lang w:val="pl-PL"/>
        </w:rPr>
        <w:t>Tunel Report Limited przeciwko Francji</w:t>
      </w:r>
      <w:r w:rsidR="00F13CE3" w:rsidRPr="0098514F">
        <w:rPr>
          <w:lang w:val="pl-PL"/>
        </w:rPr>
        <w:t>, nr 27940</w:t>
      </w:r>
      <w:r w:rsidR="00B72F64" w:rsidRPr="0098514F">
        <w:rPr>
          <w:lang w:val="pl-PL"/>
        </w:rPr>
        <w:t>/07, § 39, 18 listopada 2010;</w:t>
      </w:r>
      <w:r w:rsidR="00F13CE3" w:rsidRPr="0098514F">
        <w:rPr>
          <w:lang w:val="pl-PL"/>
        </w:rPr>
        <w:t xml:space="preserve"> </w:t>
      </w:r>
      <w:r w:rsidR="00F13CE3" w:rsidRPr="0098514F">
        <w:rPr>
          <w:i/>
          <w:lang w:val="pl-PL"/>
        </w:rPr>
        <w:t>Zolotas przeciwko Grecji</w:t>
      </w:r>
      <w:r w:rsidR="00F13CE3" w:rsidRPr="0098514F">
        <w:rPr>
          <w:lang w:val="pl-PL"/>
        </w:rPr>
        <w:t xml:space="preserve">, nr 66610/09, § 42, ECHR 2013 (fragmenty) </w:t>
      </w:r>
      <w:r w:rsidR="00AA513B" w:rsidRPr="0098514F">
        <w:rPr>
          <w:lang w:val="pl-PL"/>
        </w:rPr>
        <w:t>oraz</w:t>
      </w:r>
      <w:r w:rsidR="00F13CE3" w:rsidRPr="0098514F">
        <w:rPr>
          <w:lang w:val="pl-PL"/>
        </w:rPr>
        <w:t xml:space="preserve"> </w:t>
      </w:r>
      <w:r w:rsidR="00F13CE3" w:rsidRPr="0098514F">
        <w:rPr>
          <w:i/>
          <w:lang w:val="pl-PL"/>
        </w:rPr>
        <w:t>Bitto i inni przeciwko Słowacji</w:t>
      </w:r>
      <w:r w:rsidR="00F13CE3" w:rsidRPr="0098514F">
        <w:rPr>
          <w:lang w:val="pl-PL"/>
        </w:rPr>
        <w:t>, nr 30255/09, § 55, 28 stycznia 2014 roku).</w:t>
      </w:r>
    </w:p>
    <w:p w:rsidR="00F13CE3"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44</w:t>
      </w:r>
      <w:r w:rsidRPr="0098514F">
        <w:rPr>
          <w:noProof/>
        </w:rPr>
        <w:fldChar w:fldCharType="end"/>
      </w:r>
      <w:r w:rsidR="00E740BF" w:rsidRPr="0098514F">
        <w:rPr>
          <w:lang w:val="pl-PL"/>
        </w:rPr>
        <w:t xml:space="preserve">.   </w:t>
      </w:r>
      <w:r w:rsidR="00F13CE3" w:rsidRPr="0098514F">
        <w:rPr>
          <w:lang w:val="pl-PL"/>
        </w:rPr>
        <w:t xml:space="preserve">W ocenie, czy państwo wywiązało się ze swojego zobowiązania do działania zgodnie z zasadą pewności prawa, właściwą postanowieniom Konwencji, Trybunał przywiązuje wagę do jakości prawa regulującego </w:t>
      </w:r>
      <w:r w:rsidR="005A3D17" w:rsidRPr="0098514F">
        <w:rPr>
          <w:lang w:val="pl-PL"/>
        </w:rPr>
        <w:t>określone zagadnienie</w:t>
      </w:r>
      <w:r w:rsidR="00F13CE3" w:rsidRPr="0098514F">
        <w:rPr>
          <w:lang w:val="pl-PL"/>
        </w:rPr>
        <w:t xml:space="preserve">. Pojęcie jakości prawa obejmuje również kwestię jego przewidywalności. Sam fakt, że przepis prawny </w:t>
      </w:r>
      <w:r w:rsidR="005A3D17" w:rsidRPr="0098514F">
        <w:rPr>
          <w:lang w:val="pl-PL"/>
        </w:rPr>
        <w:t xml:space="preserve">podlega więcej niż jednej interpretacji </w:t>
      </w:r>
      <w:r w:rsidR="00F13CE3" w:rsidRPr="0098514F">
        <w:rPr>
          <w:lang w:val="pl-PL"/>
        </w:rPr>
        <w:t xml:space="preserve">nie znaczy, że nie spełnia wymogu przewidywalności dla celów Konwencji. Rola orzekania spoczywająca na sądach ma właśnie rozproszyć takie wątpliwości interpretacyjne, biorąc pod uwagę zmiany w codziennej praktyce (patrz Gorzelik i inni przeciwko Polsce [GC], nr 44158/98, § 65, 17 lutego 2004 ).  Przede wszystkim to do władz krajowych należy interpretacja i stosowanie prawa krajowego. Jednakże Trybunał jest </w:t>
      </w:r>
      <w:r w:rsidR="00F13CE3" w:rsidRPr="0098514F">
        <w:rPr>
          <w:lang w:val="pl-PL"/>
        </w:rPr>
        <w:lastRenderedPageBreak/>
        <w:t>zobowiązany do sprawdzenia, czy sposób, w jaki prawo krajowe jest interpretowane i  czy skutki wywołane przez jego stosowanie, są zgodne z zasadami Konwencji. Bada on także czy  interpretowane są one w świetle</w:t>
      </w:r>
      <w:r w:rsidR="00AE4E89" w:rsidRPr="0098514F">
        <w:rPr>
          <w:lang w:val="pl-PL"/>
        </w:rPr>
        <w:t xml:space="preserve"> orzecznictwa Trybunału (por. </w:t>
      </w:r>
      <w:r w:rsidR="00F13CE3" w:rsidRPr="0098514F">
        <w:rPr>
          <w:i/>
          <w:lang w:val="pl-PL"/>
        </w:rPr>
        <w:t>Scordino przeciw. Włochom</w:t>
      </w:r>
      <w:r w:rsidR="00F13CE3" w:rsidRPr="0098514F">
        <w:rPr>
          <w:lang w:val="pl-PL"/>
        </w:rPr>
        <w:t xml:space="preserve"> (nr. 1) [GC], no. 36813/97, §§ 190 i 191, ECHR 2006 V).</w:t>
      </w:r>
    </w:p>
    <w:p w:rsidR="00E40ADD"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45</w:t>
      </w:r>
      <w:r w:rsidRPr="0098514F">
        <w:rPr>
          <w:noProof/>
        </w:rPr>
        <w:fldChar w:fldCharType="end"/>
      </w:r>
      <w:r w:rsidR="00E740BF" w:rsidRPr="0098514F">
        <w:rPr>
          <w:lang w:val="pl-PL"/>
        </w:rPr>
        <w:t>.  </w:t>
      </w:r>
      <w:r w:rsidR="00E40ADD" w:rsidRPr="0098514F">
        <w:rPr>
          <w:lang w:val="pl-PL"/>
        </w:rPr>
        <w:t>Trybunał uznaje, że trudności prawne mogą powstać w związku z postępowaniem w celu usunięcia naruszenia prawa do poszanowania własności, popełnionych w przeszłości przez władze komunisty</w:t>
      </w:r>
      <w:r w:rsidR="00013431" w:rsidRPr="0098514F">
        <w:rPr>
          <w:lang w:val="pl-PL"/>
        </w:rPr>
        <w:t xml:space="preserve">czne (zobacz </w:t>
      </w:r>
      <w:r w:rsidR="00013431" w:rsidRPr="0098514F">
        <w:rPr>
          <w:i/>
          <w:lang w:val="pl-PL"/>
        </w:rPr>
        <w:t>Jahn i Inni przeciwko</w:t>
      </w:r>
      <w:r w:rsidR="00E40ADD" w:rsidRPr="0098514F">
        <w:rPr>
          <w:i/>
          <w:lang w:val="pl-PL"/>
        </w:rPr>
        <w:t xml:space="preserve"> Niemcom</w:t>
      </w:r>
      <w:r w:rsidR="00DD0E15" w:rsidRPr="0098514F">
        <w:rPr>
          <w:lang w:val="pl-PL"/>
        </w:rPr>
        <w:t xml:space="preserve"> [GC]</w:t>
      </w:r>
      <w:r w:rsidR="00E40ADD" w:rsidRPr="0098514F">
        <w:rPr>
          <w:lang w:val="pl-PL"/>
        </w:rPr>
        <w:t xml:space="preserve">, nr 46720/99, 72203/01, 72552/01 i, ECHR 2005 VI, </w:t>
      </w:r>
      <w:r w:rsidR="00AE4E89" w:rsidRPr="0098514F">
        <w:rPr>
          <w:i/>
          <w:lang w:val="pl-PL"/>
        </w:rPr>
        <w:t>mutatis mutandis</w:t>
      </w:r>
      <w:r w:rsidR="00E40ADD" w:rsidRPr="0098514F">
        <w:rPr>
          <w:lang w:val="pl-PL"/>
        </w:rPr>
        <w:t xml:space="preserve">). W niniejszej sprawie skarżący </w:t>
      </w:r>
      <w:r w:rsidR="0088086F" w:rsidRPr="0098514F">
        <w:rPr>
          <w:lang w:val="pl-PL"/>
        </w:rPr>
        <w:t>uzyskali</w:t>
      </w:r>
      <w:r w:rsidR="00E40ADD" w:rsidRPr="0098514F">
        <w:rPr>
          <w:lang w:val="pl-PL"/>
        </w:rPr>
        <w:t xml:space="preserve"> decyzji </w:t>
      </w:r>
      <w:r w:rsidR="0088086F" w:rsidRPr="0098514F">
        <w:rPr>
          <w:lang w:val="pl-PL"/>
        </w:rPr>
        <w:t>nadzorczą stwierdzającą</w:t>
      </w:r>
      <w:r w:rsidR="00D44ED0" w:rsidRPr="0098514F">
        <w:rPr>
          <w:lang w:val="pl-PL"/>
        </w:rPr>
        <w:t xml:space="preserve"> </w:t>
      </w:r>
      <w:r w:rsidR="0088086F" w:rsidRPr="0098514F">
        <w:rPr>
          <w:lang w:val="pl-PL"/>
        </w:rPr>
        <w:t xml:space="preserve">bezprawność </w:t>
      </w:r>
      <w:r w:rsidR="00E40ADD" w:rsidRPr="0098514F">
        <w:rPr>
          <w:lang w:val="pl-PL"/>
        </w:rPr>
        <w:t>wywłaszczeni</w:t>
      </w:r>
      <w:r w:rsidR="0088086F" w:rsidRPr="0098514F">
        <w:rPr>
          <w:lang w:val="pl-PL"/>
        </w:rPr>
        <w:t>a</w:t>
      </w:r>
      <w:r w:rsidR="00E40ADD" w:rsidRPr="0098514F">
        <w:rPr>
          <w:lang w:val="pl-PL"/>
        </w:rPr>
        <w:t xml:space="preserve">. </w:t>
      </w:r>
      <w:r w:rsidR="008A2030" w:rsidRPr="0098514F">
        <w:rPr>
          <w:lang w:val="pl-PL"/>
        </w:rPr>
        <w:t>To dało im możliwość</w:t>
      </w:r>
      <w:r w:rsidR="00E40ADD" w:rsidRPr="0098514F">
        <w:rPr>
          <w:lang w:val="pl-PL"/>
        </w:rPr>
        <w:t xml:space="preserve">, </w:t>
      </w:r>
      <w:r w:rsidR="00182198" w:rsidRPr="0098514F">
        <w:rPr>
          <w:lang w:val="pl-PL"/>
        </w:rPr>
        <w:t>wystąpienia na drogę</w:t>
      </w:r>
      <w:r w:rsidR="00E40ADD" w:rsidRPr="0098514F">
        <w:rPr>
          <w:lang w:val="pl-PL"/>
        </w:rPr>
        <w:t xml:space="preserve"> postępowania sądowego w celu dochodzeni</w:t>
      </w:r>
      <w:r w:rsidR="008A2030" w:rsidRPr="0098514F">
        <w:rPr>
          <w:lang w:val="pl-PL"/>
        </w:rPr>
        <w:t>a</w:t>
      </w:r>
      <w:r w:rsidR="00E40ADD" w:rsidRPr="0098514F">
        <w:rPr>
          <w:lang w:val="pl-PL"/>
        </w:rPr>
        <w:t xml:space="preserve"> roszczeń odszkodowawczyc</w:t>
      </w:r>
      <w:r w:rsidR="00182198" w:rsidRPr="0098514F">
        <w:rPr>
          <w:lang w:val="pl-PL"/>
        </w:rPr>
        <w:t>h. Ich sprawa została zbadana przed sądami dwóch instancji</w:t>
      </w:r>
      <w:r w:rsidR="00E40ADD" w:rsidRPr="0098514F">
        <w:rPr>
          <w:lang w:val="pl-PL"/>
        </w:rPr>
        <w:t xml:space="preserve">. Nic nie wskazuje, że zostały one </w:t>
      </w:r>
      <w:r w:rsidR="00182198" w:rsidRPr="0098514F">
        <w:rPr>
          <w:lang w:val="pl-PL"/>
        </w:rPr>
        <w:t>pozbawione możliwości</w:t>
      </w:r>
      <w:r w:rsidR="00E40ADD" w:rsidRPr="0098514F">
        <w:rPr>
          <w:lang w:val="pl-PL"/>
        </w:rPr>
        <w:t xml:space="preserve"> </w:t>
      </w:r>
      <w:r w:rsidR="00182198" w:rsidRPr="0098514F">
        <w:rPr>
          <w:lang w:val="pl-PL"/>
        </w:rPr>
        <w:t>przedstawienia</w:t>
      </w:r>
      <w:r w:rsidR="00E40ADD" w:rsidRPr="0098514F">
        <w:rPr>
          <w:lang w:val="pl-PL"/>
        </w:rPr>
        <w:t xml:space="preserve"> dowodów i </w:t>
      </w:r>
      <w:r w:rsidR="00182198" w:rsidRPr="0098514F">
        <w:rPr>
          <w:lang w:val="pl-PL"/>
        </w:rPr>
        <w:t>popierania roszczenia przed</w:t>
      </w:r>
      <w:r w:rsidR="00E40ADD" w:rsidRPr="0098514F">
        <w:rPr>
          <w:lang w:val="pl-PL"/>
        </w:rPr>
        <w:t xml:space="preserve"> sądem. </w:t>
      </w:r>
      <w:r w:rsidR="008A4FAC" w:rsidRPr="0098514F">
        <w:rPr>
          <w:lang w:val="pl-PL"/>
        </w:rPr>
        <w:t>P</w:t>
      </w:r>
      <w:r w:rsidR="00E40ADD" w:rsidRPr="0098514F">
        <w:rPr>
          <w:lang w:val="pl-PL"/>
        </w:rPr>
        <w:t xml:space="preserve">rawo krajowe </w:t>
      </w:r>
      <w:r w:rsidR="008A4FAC" w:rsidRPr="0098514F">
        <w:rPr>
          <w:lang w:val="pl-PL"/>
        </w:rPr>
        <w:t xml:space="preserve">przewiduje </w:t>
      </w:r>
      <w:r w:rsidR="0052398C" w:rsidRPr="0098514F">
        <w:rPr>
          <w:lang w:val="pl-PL"/>
        </w:rPr>
        <w:t>drogę sądową</w:t>
      </w:r>
      <w:r w:rsidR="00013431" w:rsidRPr="0098514F">
        <w:rPr>
          <w:lang w:val="pl-PL"/>
        </w:rPr>
        <w:t xml:space="preserve">, </w:t>
      </w:r>
      <w:r w:rsidR="0052398C" w:rsidRPr="0098514F">
        <w:rPr>
          <w:lang w:val="pl-PL"/>
        </w:rPr>
        <w:t>przy wykorzystaniu której</w:t>
      </w:r>
      <w:r w:rsidR="00E40ADD" w:rsidRPr="0098514F">
        <w:rPr>
          <w:lang w:val="pl-PL"/>
        </w:rPr>
        <w:t xml:space="preserve"> skarżący m</w:t>
      </w:r>
      <w:r w:rsidR="008A4FAC" w:rsidRPr="0098514F">
        <w:rPr>
          <w:lang w:val="pl-PL"/>
        </w:rPr>
        <w:t>ogli  dążyć do zaspokojenia roszczeń wynikających z bezprawnego wywłaszczenia</w:t>
      </w:r>
      <w:r w:rsidR="00013431" w:rsidRPr="0098514F">
        <w:rPr>
          <w:lang w:val="pl-PL"/>
        </w:rPr>
        <w:t>.</w:t>
      </w:r>
    </w:p>
    <w:p w:rsidR="00E40ADD"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46</w:t>
      </w:r>
      <w:r w:rsidRPr="0098514F">
        <w:rPr>
          <w:noProof/>
        </w:rPr>
        <w:fldChar w:fldCharType="end"/>
      </w:r>
      <w:r w:rsidR="00E740BF" w:rsidRPr="0098514F">
        <w:rPr>
          <w:lang w:val="pl-PL"/>
        </w:rPr>
        <w:t>.  </w:t>
      </w:r>
      <w:r w:rsidR="00E40ADD" w:rsidRPr="0098514F">
        <w:rPr>
          <w:lang w:val="pl-PL"/>
        </w:rPr>
        <w:t xml:space="preserve">Do sądów krajowych należy interpretowanie prawa krajowego w sposób, który jest zgodny ze zobowiązaniami państw w ramach Konwencji. W niniejszej sprawie roszczenie o odszkodowanie wniesione przez skarżących </w:t>
      </w:r>
      <w:r w:rsidR="001A1B95" w:rsidRPr="0098514F">
        <w:rPr>
          <w:lang w:val="pl-PL"/>
        </w:rPr>
        <w:t>nie zostało uwzględnione</w:t>
      </w:r>
      <w:r w:rsidR="00E40ADD" w:rsidRPr="0098514F">
        <w:rPr>
          <w:lang w:val="pl-PL"/>
        </w:rPr>
        <w:t>. Ich sprawa ostatecznie zakończyła się niepowodzeniem, ponieważ Sąd Apelacyjny w Warszawie uchylił wyrok sądu pierwszej instancji i oddalił ich roszczenia. Stwierdził on, że przepisy dotyczące odpowiedzi</w:t>
      </w:r>
      <w:r w:rsidR="00A32A1C" w:rsidRPr="0098514F">
        <w:rPr>
          <w:lang w:val="pl-PL"/>
        </w:rPr>
        <w:t>alności państwa za delikt</w:t>
      </w:r>
      <w:r w:rsidR="00E76355" w:rsidRPr="0098514F">
        <w:rPr>
          <w:lang w:val="pl-PL"/>
        </w:rPr>
        <w:t xml:space="preserve"> powinny</w:t>
      </w:r>
      <w:r w:rsidR="00E40ADD" w:rsidRPr="0098514F">
        <w:rPr>
          <w:lang w:val="pl-PL"/>
        </w:rPr>
        <w:t xml:space="preserve"> być </w:t>
      </w:r>
      <w:r w:rsidR="00E76355" w:rsidRPr="0098514F">
        <w:rPr>
          <w:lang w:val="pl-PL"/>
        </w:rPr>
        <w:t>inaczej</w:t>
      </w:r>
      <w:r w:rsidR="00E40ADD" w:rsidRPr="0098514F">
        <w:rPr>
          <w:lang w:val="pl-PL"/>
        </w:rPr>
        <w:t xml:space="preserve"> interpretowane przez sąd pierwszej instancji. Sąd ten uznał, że okres przedawnienia wynoszący dziesięć lat w przypadku roszczenia o naprawienie szkody powstałej w wyniku  bezprawnych decyzji administracyjnych zaczął biec od dnia 4 czerwca 1989 roku, kiedy pierwsze częściowo wolne wybory parlamentarne odbyły się w Polsce. Sąd uznał, że skarżący powinni skorzystać z odpowiednich środków </w:t>
      </w:r>
      <w:r w:rsidR="00A32A1C" w:rsidRPr="0098514F">
        <w:rPr>
          <w:lang w:val="pl-PL"/>
        </w:rPr>
        <w:t>odwoławczych</w:t>
      </w:r>
      <w:r w:rsidR="00E40ADD" w:rsidRPr="0098514F">
        <w:rPr>
          <w:lang w:val="pl-PL"/>
        </w:rPr>
        <w:t xml:space="preserve"> przed</w:t>
      </w:r>
      <w:r w:rsidR="00A32A1C" w:rsidRPr="0098514F">
        <w:rPr>
          <w:lang w:val="pl-PL"/>
        </w:rPr>
        <w:t xml:space="preserve"> dniem</w:t>
      </w:r>
      <w:r w:rsidR="00E40ADD" w:rsidRPr="0098514F">
        <w:rPr>
          <w:lang w:val="pl-PL"/>
        </w:rPr>
        <w:t xml:space="preserve"> 4 czerwca 1999 roku. Sąd Najwyższy następnie odmówił </w:t>
      </w:r>
      <w:r w:rsidR="00C849DC" w:rsidRPr="0098514F">
        <w:rPr>
          <w:lang w:val="pl-PL"/>
        </w:rPr>
        <w:t>przyjęcia skargi kasacyjnej skarżących</w:t>
      </w:r>
      <w:r w:rsidR="00E40ADD" w:rsidRPr="0098514F">
        <w:rPr>
          <w:lang w:val="pl-PL"/>
        </w:rPr>
        <w:t>.</w:t>
      </w:r>
    </w:p>
    <w:p w:rsidR="000B2F82"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47</w:t>
      </w:r>
      <w:r w:rsidRPr="0098514F">
        <w:rPr>
          <w:noProof/>
        </w:rPr>
        <w:fldChar w:fldCharType="end"/>
      </w:r>
      <w:r w:rsidR="00E740BF" w:rsidRPr="0098514F">
        <w:rPr>
          <w:lang w:val="pl-PL"/>
        </w:rPr>
        <w:t>.  </w:t>
      </w:r>
      <w:r w:rsidR="000B2F82" w:rsidRPr="0098514F">
        <w:rPr>
          <w:lang w:val="pl-PL"/>
        </w:rPr>
        <w:t>Trybunał zauważa, że równolegle do postępowania w sprawie skarżących</w:t>
      </w:r>
      <w:r w:rsidR="00C849DC" w:rsidRPr="0098514F">
        <w:rPr>
          <w:lang w:val="pl-PL"/>
        </w:rPr>
        <w:t>,</w:t>
      </w:r>
      <w:r w:rsidR="000B2F82" w:rsidRPr="0098514F">
        <w:rPr>
          <w:lang w:val="pl-PL"/>
        </w:rPr>
        <w:t xml:space="preserve"> Sąd Najwyższy </w:t>
      </w:r>
      <w:r w:rsidR="00C849DC" w:rsidRPr="0098514F">
        <w:rPr>
          <w:lang w:val="pl-PL"/>
        </w:rPr>
        <w:t>był</w:t>
      </w:r>
      <w:r w:rsidR="000B2F82" w:rsidRPr="0098514F">
        <w:rPr>
          <w:lang w:val="pl-PL"/>
        </w:rPr>
        <w:t xml:space="preserve"> świadomy trudności interpretacyjnych, które powstały w związku ze stosowaniem </w:t>
      </w:r>
      <w:r w:rsidR="00C849DC" w:rsidRPr="0098514F">
        <w:rPr>
          <w:lang w:val="pl-PL"/>
        </w:rPr>
        <w:t xml:space="preserve">relewantnych </w:t>
      </w:r>
      <w:r w:rsidR="000B2F82" w:rsidRPr="0098514F">
        <w:rPr>
          <w:lang w:val="pl-PL"/>
        </w:rPr>
        <w:t xml:space="preserve">przepisów prawnych dotyczących odpowiedzialności </w:t>
      </w:r>
      <w:r w:rsidR="00C849DC" w:rsidRPr="0098514F">
        <w:rPr>
          <w:lang w:val="pl-PL"/>
        </w:rPr>
        <w:t xml:space="preserve">odszkodowawczej </w:t>
      </w:r>
      <w:r w:rsidR="00570C17" w:rsidRPr="0098514F">
        <w:rPr>
          <w:lang w:val="pl-PL"/>
        </w:rPr>
        <w:t>państwa w</w:t>
      </w:r>
      <w:r w:rsidR="000B2F82" w:rsidRPr="0098514F">
        <w:rPr>
          <w:lang w:val="pl-PL"/>
        </w:rPr>
        <w:t xml:space="preserve"> różnych przypadkach, gdy strony szukały możliwości naprawienia naruszenia prawa do poszanowania własności, które nastąpiło w przeszłości, przed przeprowadzeniem demokratycznych reform przeprowadzonych w Polsce. W styczniu 2010 roku </w:t>
      </w:r>
      <w:r w:rsidR="00570C17" w:rsidRPr="0098514F">
        <w:rPr>
          <w:lang w:val="pl-PL"/>
        </w:rPr>
        <w:t xml:space="preserve">Pierwszy </w:t>
      </w:r>
      <w:r w:rsidR="000B2F82" w:rsidRPr="0098514F">
        <w:rPr>
          <w:lang w:val="pl-PL"/>
        </w:rPr>
        <w:t xml:space="preserve">Prezes Sądu Najwyższego zwrócił się do </w:t>
      </w:r>
      <w:r w:rsidR="00485F69" w:rsidRPr="0098514F">
        <w:rPr>
          <w:lang w:val="pl-PL"/>
        </w:rPr>
        <w:t>składu siedmiu sędziów</w:t>
      </w:r>
      <w:r w:rsidR="000B2F82" w:rsidRPr="0098514F">
        <w:rPr>
          <w:lang w:val="pl-PL"/>
        </w:rPr>
        <w:t xml:space="preserve"> tego sądu</w:t>
      </w:r>
      <w:r w:rsidR="00E24F71" w:rsidRPr="0098514F">
        <w:rPr>
          <w:lang w:val="pl-PL"/>
        </w:rPr>
        <w:t xml:space="preserve"> </w:t>
      </w:r>
      <w:r w:rsidR="00485F69" w:rsidRPr="0098514F">
        <w:rPr>
          <w:lang w:val="pl-PL"/>
        </w:rPr>
        <w:t>z wnioskiem o podjęcie uchwały</w:t>
      </w:r>
      <w:r w:rsidR="000B2F82" w:rsidRPr="0098514F">
        <w:rPr>
          <w:lang w:val="pl-PL"/>
        </w:rPr>
        <w:t xml:space="preserve"> w celu ujednolicenia praktyki sądowej w tej istotnej kwestii. W odpowiedzi na ten wniosek, siedmiu sędziów uznało </w:t>
      </w:r>
      <w:r w:rsidR="00C974A2" w:rsidRPr="0098514F">
        <w:rPr>
          <w:lang w:val="pl-PL"/>
        </w:rPr>
        <w:t xml:space="preserve">doniosłość </w:t>
      </w:r>
      <w:r w:rsidR="000B2F82" w:rsidRPr="0098514F">
        <w:rPr>
          <w:lang w:val="pl-PL"/>
        </w:rPr>
        <w:t>znaczeni</w:t>
      </w:r>
      <w:r w:rsidR="00C974A2" w:rsidRPr="0098514F">
        <w:rPr>
          <w:lang w:val="pl-PL"/>
        </w:rPr>
        <w:t>a</w:t>
      </w:r>
      <w:r w:rsidR="000B2F82" w:rsidRPr="0098514F">
        <w:rPr>
          <w:lang w:val="pl-PL"/>
        </w:rPr>
        <w:t xml:space="preserve"> tych zagadnień </w:t>
      </w:r>
      <w:r w:rsidR="00A7167B" w:rsidRPr="0098514F">
        <w:rPr>
          <w:lang w:val="pl-PL"/>
        </w:rPr>
        <w:br/>
      </w:r>
      <w:r w:rsidR="000B2F82" w:rsidRPr="0098514F">
        <w:rPr>
          <w:lang w:val="pl-PL"/>
        </w:rPr>
        <w:lastRenderedPageBreak/>
        <w:t xml:space="preserve">i </w:t>
      </w:r>
      <w:r w:rsidR="00C974A2" w:rsidRPr="0098514F">
        <w:rPr>
          <w:lang w:val="pl-PL"/>
        </w:rPr>
        <w:t>podjęło decyzję o skierowaniu sprawy do rozstrzygnięcia przez skład pełnej Izby cywilnej Sądu Najwyższego</w:t>
      </w:r>
      <w:r w:rsidR="001B2A42" w:rsidRPr="0098514F">
        <w:rPr>
          <w:lang w:val="pl-PL"/>
        </w:rPr>
        <w:t xml:space="preserve">. </w:t>
      </w:r>
      <w:r w:rsidR="000B2F82" w:rsidRPr="0098514F">
        <w:rPr>
          <w:lang w:val="pl-PL"/>
        </w:rPr>
        <w:t>Ost</w:t>
      </w:r>
      <w:r w:rsidR="001B2A42" w:rsidRPr="0098514F">
        <w:rPr>
          <w:lang w:val="pl-PL"/>
        </w:rPr>
        <w:t xml:space="preserve">atecznie Izba Cywilna, uznając istnienie </w:t>
      </w:r>
      <w:r w:rsidR="00A7167B" w:rsidRPr="0098514F">
        <w:rPr>
          <w:lang w:val="pl-PL"/>
        </w:rPr>
        <w:t xml:space="preserve">poważnych </w:t>
      </w:r>
      <w:r w:rsidR="000B2F82" w:rsidRPr="0098514F">
        <w:rPr>
          <w:lang w:val="pl-PL"/>
        </w:rPr>
        <w:t>rozbieżności w praktyce sądowej podjęła uchwałę i stwierdziła, że trzyletni termin, w którym istnieje możliwość żądania naprawienia szkody wyrządzonej przez decyzję administracyjną wydaną niezgodne z prawem przed dniem 1 września 2004</w:t>
      </w:r>
      <w:r w:rsidR="00A7167B" w:rsidRPr="0098514F">
        <w:rPr>
          <w:lang w:val="pl-PL"/>
        </w:rPr>
        <w:t xml:space="preserve"> roku,</w:t>
      </w:r>
      <w:r w:rsidR="000B2F82" w:rsidRPr="0098514F">
        <w:rPr>
          <w:lang w:val="pl-PL"/>
        </w:rPr>
        <w:t xml:space="preserve"> rozpocz</w:t>
      </w:r>
      <w:r w:rsidR="00A7167B" w:rsidRPr="0098514F">
        <w:rPr>
          <w:lang w:val="pl-PL"/>
        </w:rPr>
        <w:t>yna</w:t>
      </w:r>
      <w:r w:rsidR="000B2F82" w:rsidRPr="0098514F">
        <w:rPr>
          <w:lang w:val="pl-PL"/>
        </w:rPr>
        <w:t xml:space="preserve"> swój bieg od dnia wydania decyzji </w:t>
      </w:r>
      <w:r w:rsidR="00A96D9B" w:rsidRPr="0098514F">
        <w:rPr>
          <w:lang w:val="pl-PL"/>
        </w:rPr>
        <w:t>nadzorczej</w:t>
      </w:r>
      <w:r w:rsidR="000B2F82" w:rsidRPr="0098514F">
        <w:rPr>
          <w:lang w:val="pl-PL"/>
        </w:rPr>
        <w:t>.</w:t>
      </w:r>
    </w:p>
    <w:p w:rsidR="00964B85"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48</w:t>
      </w:r>
      <w:r w:rsidRPr="0098514F">
        <w:rPr>
          <w:noProof/>
        </w:rPr>
        <w:fldChar w:fldCharType="end"/>
      </w:r>
      <w:r w:rsidR="00E740BF" w:rsidRPr="0098514F">
        <w:rPr>
          <w:lang w:val="pl-PL"/>
        </w:rPr>
        <w:t>.  </w:t>
      </w:r>
      <w:r w:rsidR="00964B85" w:rsidRPr="0098514F">
        <w:rPr>
          <w:lang w:val="pl-PL"/>
        </w:rPr>
        <w:t xml:space="preserve">Trybunał po pierwsze zauważa, że </w:t>
      </w:r>
      <w:r w:rsidR="00A96D9B" w:rsidRPr="0098514F">
        <w:rPr>
          <w:lang w:val="pl-PL"/>
        </w:rPr>
        <w:t>w</w:t>
      </w:r>
      <w:r w:rsidR="00964B85" w:rsidRPr="0098514F">
        <w:rPr>
          <w:lang w:val="pl-PL"/>
        </w:rPr>
        <w:t xml:space="preserve"> okoliczności</w:t>
      </w:r>
      <w:r w:rsidR="00A96D9B" w:rsidRPr="0098514F">
        <w:rPr>
          <w:lang w:val="pl-PL"/>
        </w:rPr>
        <w:t>ach</w:t>
      </w:r>
      <w:r w:rsidR="00964B85" w:rsidRPr="0098514F">
        <w:rPr>
          <w:lang w:val="pl-PL"/>
        </w:rPr>
        <w:t xml:space="preserve"> niniejszej sprawy fakt, że inni spadkobiercy byłych właścicieli tej samej nieruchomości uzyskali odszkodowanie jest bez znaczenia dla oceny wniosku skarżących. Podobnie fakt, że pozwany Skarb Państwa nie zdecydował się zaskarżyć decyzji w pierwszej instancji w sprawach wniesionych przez inne osoby, następców pierwotnych właścicieli, nie był decydujący dla oceny sprawy.</w:t>
      </w:r>
    </w:p>
    <w:p w:rsidR="00485805" w:rsidRPr="0098514F" w:rsidRDefault="00485805" w:rsidP="00485805">
      <w:pPr>
        <w:ind w:firstLine="284"/>
        <w:rPr>
          <w:lang w:val="pl-PL"/>
        </w:rPr>
      </w:pPr>
      <w:r w:rsidRPr="0098514F">
        <w:rPr>
          <w:lang w:val="pl-PL"/>
        </w:rPr>
        <w:t>49.Trybunał zauważa ponadto, że okoliczności niniejszej sprawy należy odróżnić od tych, które</w:t>
      </w:r>
      <w:r w:rsidR="00113402" w:rsidRPr="0098514F">
        <w:rPr>
          <w:lang w:val="pl-PL"/>
        </w:rPr>
        <w:t xml:space="preserve"> zbadano w </w:t>
      </w:r>
      <w:r w:rsidR="00A96D9B" w:rsidRPr="0098514F">
        <w:rPr>
          <w:lang w:val="pl-PL"/>
        </w:rPr>
        <w:t xml:space="preserve">sprawie </w:t>
      </w:r>
      <w:r w:rsidR="00A96D9B" w:rsidRPr="0098514F">
        <w:rPr>
          <w:i/>
          <w:lang w:val="pl-PL"/>
        </w:rPr>
        <w:t>Plechanow przeciwko</w:t>
      </w:r>
      <w:r w:rsidR="00113402" w:rsidRPr="0098514F">
        <w:rPr>
          <w:i/>
          <w:lang w:val="pl-PL"/>
        </w:rPr>
        <w:t xml:space="preserve"> Polsce</w:t>
      </w:r>
      <w:r w:rsidR="00113402" w:rsidRPr="0098514F">
        <w:rPr>
          <w:lang w:val="pl-PL"/>
        </w:rPr>
        <w:t>, nr</w:t>
      </w:r>
      <w:r w:rsidRPr="0098514F">
        <w:rPr>
          <w:lang w:val="pl-PL"/>
        </w:rPr>
        <w:t xml:space="preserve"> 22279/04,</w:t>
      </w:r>
      <w:r w:rsidR="00A96D9B" w:rsidRPr="0098514F">
        <w:rPr>
          <w:lang w:val="pl-PL"/>
        </w:rPr>
        <w:t xml:space="preserve">wyrok z dnia </w:t>
      </w:r>
      <w:r w:rsidRPr="0098514F">
        <w:rPr>
          <w:lang w:val="pl-PL"/>
        </w:rPr>
        <w:t>7 lipca 2009</w:t>
      </w:r>
      <w:r w:rsidR="00A96D9B" w:rsidRPr="0098514F">
        <w:rPr>
          <w:lang w:val="pl-PL"/>
        </w:rPr>
        <w:t xml:space="preserve"> roku</w:t>
      </w:r>
      <w:r w:rsidRPr="0098514F">
        <w:rPr>
          <w:lang w:val="pl-PL"/>
        </w:rPr>
        <w:t>. W tym przypadku okazało się, że naruszenie artykułu 1 Protokołu nr 1 do Konwencji</w:t>
      </w:r>
      <w:r w:rsidR="00113402" w:rsidRPr="0098514F">
        <w:rPr>
          <w:lang w:val="pl-PL"/>
        </w:rPr>
        <w:t xml:space="preserve"> wynikało</w:t>
      </w:r>
      <w:r w:rsidRPr="0098514F">
        <w:rPr>
          <w:lang w:val="pl-PL"/>
        </w:rPr>
        <w:t xml:space="preserve"> </w:t>
      </w:r>
      <w:r w:rsidR="00FF0F78" w:rsidRPr="0098514F">
        <w:rPr>
          <w:lang w:val="pl-PL"/>
        </w:rPr>
        <w:t>stąd</w:t>
      </w:r>
      <w:r w:rsidRPr="0098514F">
        <w:rPr>
          <w:lang w:val="pl-PL"/>
        </w:rPr>
        <w:t>, że skarżący początkowo pozwali za szkody powstałe w wyniku decyzji, które</w:t>
      </w:r>
      <w:r w:rsidR="00FF0F78" w:rsidRPr="0098514F">
        <w:rPr>
          <w:lang w:val="pl-PL"/>
        </w:rPr>
        <w:t xml:space="preserve"> </w:t>
      </w:r>
      <w:r w:rsidRPr="0098514F">
        <w:rPr>
          <w:lang w:val="pl-PL"/>
        </w:rPr>
        <w:t>zostały uznane za nieważne</w:t>
      </w:r>
      <w:r w:rsidR="00FF0F78" w:rsidRPr="0098514F">
        <w:rPr>
          <w:lang w:val="pl-PL"/>
        </w:rPr>
        <w:t>,</w:t>
      </w:r>
      <w:r w:rsidRPr="0098514F">
        <w:rPr>
          <w:lang w:val="pl-PL"/>
        </w:rPr>
        <w:t xml:space="preserve"> podmiot administracji publicznej, który następnie, w ramach ewolucji orzecznictwa sądów krajowych, utracił legitymację</w:t>
      </w:r>
      <w:r w:rsidR="00FF0F78" w:rsidRPr="0098514F">
        <w:rPr>
          <w:lang w:val="pl-PL"/>
        </w:rPr>
        <w:t xml:space="preserve"> procesową bierną</w:t>
      </w:r>
      <w:r w:rsidRPr="0098514F">
        <w:rPr>
          <w:lang w:val="pl-PL"/>
        </w:rPr>
        <w:t xml:space="preserve">. W rezultacie, ich roszczenia </w:t>
      </w:r>
      <w:r w:rsidR="00B550A1" w:rsidRPr="0098514F">
        <w:rPr>
          <w:lang w:val="pl-PL"/>
        </w:rPr>
        <w:t>zostały oddalone</w:t>
      </w:r>
      <w:r w:rsidRPr="0098514F">
        <w:rPr>
          <w:lang w:val="pl-PL"/>
        </w:rPr>
        <w:t>. Trybunał podkreślił, że gdy podmiot publiczny ponosi odpowiedzialność za szkody, pozytywne zobowiązanie państwa, aby ułatwić identyfikację właściwego pozwanego było tym bardziej ważne. Stwierdził on, że przesunięcie obowiązku identyfikacji właściwego organu, który miał zostać pozwany  na skarżących oraz pozbawienie ich odszkodowania na tej podstawie zaburzyło równowagę między interesem publicznym i praw skarżących.</w:t>
      </w:r>
    </w:p>
    <w:p w:rsidR="00485805" w:rsidRPr="0098514F" w:rsidRDefault="00485805" w:rsidP="00485805">
      <w:pPr>
        <w:ind w:firstLine="284"/>
        <w:rPr>
          <w:lang w:val="pl-PL"/>
        </w:rPr>
      </w:pPr>
      <w:r w:rsidRPr="0098514F">
        <w:rPr>
          <w:lang w:val="pl-PL"/>
        </w:rPr>
        <w:t>Jednak w niniejszym przypadku rozbieżności zarzucane przez skarżących nie dotyczą kwestii tak istotnych  dla losów sprawy jak określeni</w:t>
      </w:r>
      <w:r w:rsidR="005E1FE2" w:rsidRPr="0098514F">
        <w:rPr>
          <w:lang w:val="pl-PL"/>
        </w:rPr>
        <w:t>e</w:t>
      </w:r>
      <w:r w:rsidRPr="0098514F">
        <w:rPr>
          <w:lang w:val="pl-PL"/>
        </w:rPr>
        <w:t xml:space="preserve"> </w:t>
      </w:r>
      <w:r w:rsidR="005E1FE2" w:rsidRPr="0098514F">
        <w:rPr>
          <w:lang w:val="pl-PL"/>
        </w:rPr>
        <w:t>strony pozwanej</w:t>
      </w:r>
      <w:r w:rsidRPr="0098514F">
        <w:rPr>
          <w:lang w:val="pl-PL"/>
        </w:rPr>
        <w:t>. W toku sprawy ustalono początek i długości cywilnoprawnych terminów</w:t>
      </w:r>
      <w:r w:rsidR="005E1FE2" w:rsidRPr="0098514F">
        <w:rPr>
          <w:lang w:val="pl-PL"/>
        </w:rPr>
        <w:t xml:space="preserve"> przedawnienia,</w:t>
      </w:r>
      <w:r w:rsidRPr="0098514F">
        <w:rPr>
          <w:lang w:val="pl-PL"/>
        </w:rPr>
        <w:t xml:space="preserve"> istotnych dla </w:t>
      </w:r>
      <w:r w:rsidR="00144286" w:rsidRPr="0098514F">
        <w:rPr>
          <w:lang w:val="pl-PL"/>
        </w:rPr>
        <w:t xml:space="preserve">zasadności </w:t>
      </w:r>
      <w:r w:rsidRPr="0098514F">
        <w:rPr>
          <w:lang w:val="pl-PL"/>
        </w:rPr>
        <w:t>roszczenia cywilnego</w:t>
      </w:r>
      <w:r w:rsidR="00144286" w:rsidRPr="0098514F">
        <w:rPr>
          <w:lang w:val="pl-PL"/>
        </w:rPr>
        <w:t>,</w:t>
      </w:r>
      <w:r w:rsidRPr="0098514F">
        <w:rPr>
          <w:lang w:val="pl-PL"/>
        </w:rPr>
        <w:t xml:space="preserve"> wywodząc</w:t>
      </w:r>
      <w:r w:rsidR="005E1FE2" w:rsidRPr="0098514F">
        <w:rPr>
          <w:lang w:val="pl-PL"/>
        </w:rPr>
        <w:t>ego</w:t>
      </w:r>
      <w:r w:rsidRPr="0098514F">
        <w:rPr>
          <w:lang w:val="pl-PL"/>
        </w:rPr>
        <w:t xml:space="preserve"> się z uznania decyzji administracyjnej za </w:t>
      </w:r>
      <w:r w:rsidR="00144286" w:rsidRPr="0098514F">
        <w:rPr>
          <w:lang w:val="pl-PL"/>
        </w:rPr>
        <w:t>bezprawną</w:t>
      </w:r>
      <w:r w:rsidRPr="0098514F">
        <w:rPr>
          <w:lang w:val="pl-PL"/>
        </w:rPr>
        <w:t xml:space="preserve">. Trybunał jest zdania, że niepewności prawnej należy unikać oraz sprawdzi w jakim stopniu wpływa ona na </w:t>
      </w:r>
      <w:r w:rsidR="00DC35DC" w:rsidRPr="0098514F">
        <w:rPr>
          <w:lang w:val="pl-PL"/>
        </w:rPr>
        <w:t>skuteczność</w:t>
      </w:r>
      <w:r w:rsidRPr="0098514F">
        <w:rPr>
          <w:lang w:val="pl-PL"/>
        </w:rPr>
        <w:t xml:space="preserve"> roszczenia cywilnego. To Trybunał zdecyduje, czy okoliczności sprawy były zgodne z Konwencją. W niniejszym przypadku jest to stopień niepewności związany z subtelnymi aspektami istoty sprawy. Trybunał jest gotów zaakceptować fakt, że nie dotyczą one podstawowych aspektów proceduralnych sprawy, a zatem nie pociągają  za sobą naruszenie Konwencji.</w:t>
      </w:r>
    </w:p>
    <w:p w:rsidR="00964B85" w:rsidRPr="0098514F" w:rsidRDefault="00C0625E" w:rsidP="00485805">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49</w:t>
      </w:r>
      <w:r w:rsidRPr="0098514F">
        <w:rPr>
          <w:noProof/>
        </w:rPr>
        <w:fldChar w:fldCharType="end"/>
      </w:r>
      <w:r w:rsidR="00E740BF" w:rsidRPr="0098514F">
        <w:rPr>
          <w:lang w:val="pl-PL"/>
        </w:rPr>
        <w:t xml:space="preserve">.   </w:t>
      </w:r>
      <w:r w:rsidR="00964B85" w:rsidRPr="0098514F">
        <w:rPr>
          <w:lang w:val="pl-PL"/>
        </w:rPr>
        <w:t xml:space="preserve">W tych okolicznościach Trybunał jest przekonany, że sądy krajowe nie tylko potwierdziły istnienie trudności związanych z interpretacją ustawy stosowanej w przypadku skarżących, ale także podjęły niezbędne i </w:t>
      </w:r>
      <w:r w:rsidR="00964B85" w:rsidRPr="0098514F">
        <w:rPr>
          <w:lang w:val="pl-PL"/>
        </w:rPr>
        <w:lastRenderedPageBreak/>
        <w:t xml:space="preserve">wystarczające środki w celu rozwiązania tych problemów przez podjęcie </w:t>
      </w:r>
      <w:r w:rsidR="00E675BF" w:rsidRPr="0098514F">
        <w:rPr>
          <w:lang w:val="pl-PL"/>
        </w:rPr>
        <w:t>działań</w:t>
      </w:r>
      <w:r w:rsidR="00964B85" w:rsidRPr="0098514F">
        <w:rPr>
          <w:lang w:val="pl-PL"/>
        </w:rPr>
        <w:t xml:space="preserve"> zmierzających</w:t>
      </w:r>
      <w:r w:rsidR="00AD6890" w:rsidRPr="0098514F">
        <w:rPr>
          <w:lang w:val="pl-PL"/>
        </w:rPr>
        <w:t xml:space="preserve"> do</w:t>
      </w:r>
      <w:r w:rsidR="00964B85" w:rsidRPr="0098514F">
        <w:rPr>
          <w:lang w:val="pl-PL"/>
        </w:rPr>
        <w:t xml:space="preserve"> zaradzenia tym trudnościom poprzez zastosowanie się do konkretnego mechanizmu wyznaczonego celu zharmonizowania praktyki sądowej (zob</w:t>
      </w:r>
      <w:r w:rsidR="0027278F" w:rsidRPr="0098514F">
        <w:rPr>
          <w:lang w:val="pl-PL"/>
        </w:rPr>
        <w:t>.</w:t>
      </w:r>
      <w:r w:rsidR="00964B85" w:rsidRPr="0098514F">
        <w:rPr>
          <w:lang w:val="pl-PL"/>
        </w:rPr>
        <w:t xml:space="preserve"> </w:t>
      </w:r>
      <w:r w:rsidR="00964B85" w:rsidRPr="0098514F">
        <w:rPr>
          <w:i/>
          <w:lang w:val="pl-PL"/>
        </w:rPr>
        <w:t xml:space="preserve">Schwarzkopf i Taussik przeciwko Republice </w:t>
      </w:r>
      <w:r w:rsidR="0027278F" w:rsidRPr="0098514F">
        <w:rPr>
          <w:i/>
          <w:lang w:val="pl-PL"/>
        </w:rPr>
        <w:t>C</w:t>
      </w:r>
      <w:r w:rsidR="00964B85" w:rsidRPr="0098514F">
        <w:rPr>
          <w:i/>
          <w:lang w:val="pl-PL"/>
        </w:rPr>
        <w:t>zeskiej</w:t>
      </w:r>
      <w:r w:rsidR="0027278F" w:rsidRPr="0098514F">
        <w:rPr>
          <w:lang w:val="pl-PL"/>
        </w:rPr>
        <w:t xml:space="preserve"> (dEC), nr 42162/02, </w:t>
      </w:r>
      <w:r w:rsidR="00964B85" w:rsidRPr="0098514F">
        <w:rPr>
          <w:lang w:val="pl-PL"/>
        </w:rPr>
        <w:t>2 grudnia 2008</w:t>
      </w:r>
      <w:r w:rsidR="0027278F" w:rsidRPr="0098514F">
        <w:rPr>
          <w:lang w:val="pl-PL"/>
        </w:rPr>
        <w:t xml:space="preserve"> r.</w:t>
      </w:r>
      <w:r w:rsidR="00964B85" w:rsidRPr="0098514F">
        <w:rPr>
          <w:lang w:val="pl-PL"/>
        </w:rPr>
        <w:t xml:space="preserve">; </w:t>
      </w:r>
      <w:r w:rsidR="00964B85" w:rsidRPr="0098514F">
        <w:rPr>
          <w:i/>
          <w:lang w:val="pl-PL"/>
        </w:rPr>
        <w:t>Teresa Kowalczyk przeciwko Polsce</w:t>
      </w:r>
      <w:r w:rsidR="00964B85" w:rsidRPr="0098514F">
        <w:rPr>
          <w:lang w:val="pl-PL"/>
        </w:rPr>
        <w:t>, nr 23987/05, §§ 46</w:t>
      </w:r>
      <w:r w:rsidR="0027278F" w:rsidRPr="0098514F">
        <w:rPr>
          <w:lang w:val="pl-PL"/>
        </w:rPr>
        <w:t xml:space="preserve"> -48, 11 października 2011 r.;</w:t>
      </w:r>
      <w:r w:rsidR="00964B85" w:rsidRPr="0098514F">
        <w:rPr>
          <w:lang w:val="pl-PL"/>
        </w:rPr>
        <w:t xml:space="preserve"> </w:t>
      </w:r>
      <w:r w:rsidR="00964B85" w:rsidRPr="0098514F">
        <w:rPr>
          <w:i/>
          <w:lang w:val="pl-PL"/>
        </w:rPr>
        <w:t>Remuszko przeciwko Polsce</w:t>
      </w:r>
      <w:r w:rsidR="00964B85" w:rsidRPr="0098514F">
        <w:rPr>
          <w:lang w:val="pl-PL"/>
        </w:rPr>
        <w:t>, nr 1562/10, §§ 92-99, 16 lipca 2013 r</w:t>
      </w:r>
      <w:r w:rsidR="0027278F" w:rsidRPr="0098514F">
        <w:rPr>
          <w:lang w:val="pl-PL"/>
        </w:rPr>
        <w:t>.;</w:t>
      </w:r>
      <w:r w:rsidR="00964B85" w:rsidRPr="0098514F">
        <w:rPr>
          <w:lang w:val="pl-PL"/>
        </w:rPr>
        <w:t xml:space="preserve"> </w:t>
      </w:r>
      <w:r w:rsidR="00964B85" w:rsidRPr="0098514F">
        <w:rPr>
          <w:i/>
          <w:lang w:val="pl-PL"/>
        </w:rPr>
        <w:t>Nejdet Şahin i Perihan Şahin przeciwko Turcji</w:t>
      </w:r>
      <w:r w:rsidR="00964B85" w:rsidRPr="0098514F">
        <w:rPr>
          <w:lang w:val="pl-PL"/>
        </w:rPr>
        <w:t xml:space="preserve"> [GC], nr 13279/05, §§ 88- 95, 20 października 2011</w:t>
      </w:r>
      <w:r w:rsidR="0027278F" w:rsidRPr="0098514F">
        <w:rPr>
          <w:lang w:val="pl-PL"/>
        </w:rPr>
        <w:t xml:space="preserve"> r.</w:t>
      </w:r>
      <w:r w:rsidR="00964B85" w:rsidRPr="0098514F">
        <w:rPr>
          <w:lang w:val="pl-PL"/>
        </w:rPr>
        <w:t xml:space="preserve">, </w:t>
      </w:r>
      <w:r w:rsidR="0027278F" w:rsidRPr="0098514F">
        <w:rPr>
          <w:i/>
          <w:lang w:val="pl-PL"/>
        </w:rPr>
        <w:t>mutatis mutandis</w:t>
      </w:r>
      <w:r w:rsidR="00964B85" w:rsidRPr="0098514F">
        <w:rPr>
          <w:lang w:val="pl-PL"/>
        </w:rPr>
        <w:t>).</w:t>
      </w:r>
    </w:p>
    <w:p w:rsidR="00964B85" w:rsidRPr="0098514F" w:rsidRDefault="00C0625E" w:rsidP="00964B85">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50</w:t>
      </w:r>
      <w:r w:rsidRPr="0098514F">
        <w:rPr>
          <w:noProof/>
        </w:rPr>
        <w:fldChar w:fldCharType="end"/>
      </w:r>
      <w:r w:rsidR="00E740BF" w:rsidRPr="0098514F">
        <w:rPr>
          <w:lang w:val="pl-PL"/>
        </w:rPr>
        <w:t xml:space="preserve">.   </w:t>
      </w:r>
      <w:r w:rsidR="00964B85" w:rsidRPr="0098514F">
        <w:rPr>
          <w:lang w:val="pl-PL"/>
        </w:rPr>
        <w:t>Mając na uwadze okoliczności sprawy, postrzeganej jako całość, Trybunał jest zdania, że państwo nie uchybiło ciążącemu na nim obowiązk</w:t>
      </w:r>
      <w:r w:rsidR="00AF4132" w:rsidRPr="0098514F">
        <w:rPr>
          <w:lang w:val="pl-PL"/>
        </w:rPr>
        <w:t>owi</w:t>
      </w:r>
      <w:r w:rsidR="00964B85" w:rsidRPr="0098514F">
        <w:rPr>
          <w:lang w:val="pl-PL"/>
        </w:rPr>
        <w:t xml:space="preserve"> zapewnienia skarżącym skutecznego korzystania z praw gwarantowanych przez art. 1 Protokołu nr 1 do Konwencji. Dlatego nie doszło do naruszenia art. 1 tego przepisu. </w:t>
      </w:r>
    </w:p>
    <w:p w:rsidR="00964B85" w:rsidRPr="0098514F" w:rsidRDefault="00964B85" w:rsidP="00964B85">
      <w:pPr>
        <w:ind w:firstLine="284"/>
        <w:rPr>
          <w:lang w:val="pl-PL"/>
        </w:rPr>
      </w:pPr>
    </w:p>
    <w:p w:rsidR="00E740BF" w:rsidRPr="0098514F" w:rsidRDefault="0056219B" w:rsidP="00964B85">
      <w:pPr>
        <w:ind w:firstLine="284"/>
        <w:rPr>
          <w:rFonts w:ascii="Cambria" w:eastAsiaTheme="majorEastAsia" w:hAnsi="Cambria" w:cstheme="majorBidi"/>
          <w:b/>
          <w:bCs/>
          <w:szCs w:val="28"/>
          <w:lang w:val="pl-PL"/>
        </w:rPr>
      </w:pPr>
      <w:r w:rsidRPr="0098514F">
        <w:rPr>
          <w:rFonts w:ascii="Cambria" w:eastAsiaTheme="majorEastAsia" w:hAnsi="Cambria" w:cstheme="majorBidi"/>
          <w:b/>
          <w:bCs/>
          <w:szCs w:val="28"/>
          <w:lang w:val="pl-PL"/>
        </w:rPr>
        <w:t>I</w:t>
      </w:r>
      <w:r w:rsidR="00C21FAB" w:rsidRPr="0098514F">
        <w:rPr>
          <w:rFonts w:ascii="Cambria" w:eastAsiaTheme="majorEastAsia" w:hAnsi="Cambria" w:cstheme="majorBidi"/>
          <w:b/>
          <w:bCs/>
          <w:szCs w:val="28"/>
          <w:lang w:val="pl-PL"/>
        </w:rPr>
        <w:t>I</w:t>
      </w:r>
      <w:r w:rsidRPr="0098514F">
        <w:rPr>
          <w:rFonts w:ascii="Cambria" w:eastAsiaTheme="majorEastAsia" w:hAnsi="Cambria" w:cstheme="majorBidi"/>
          <w:b/>
          <w:bCs/>
          <w:szCs w:val="28"/>
          <w:lang w:val="pl-PL"/>
        </w:rPr>
        <w:t>.  </w:t>
      </w:r>
      <w:r w:rsidR="00A2193F" w:rsidRPr="0098514F">
        <w:rPr>
          <w:rFonts w:ascii="Cambria" w:eastAsiaTheme="majorEastAsia" w:hAnsi="Cambria" w:cstheme="majorBidi"/>
          <w:b/>
          <w:bCs/>
          <w:szCs w:val="28"/>
          <w:lang w:val="pl-PL"/>
        </w:rPr>
        <w:t>INNE NARUSZENIA KONWENCJI</w:t>
      </w:r>
    </w:p>
    <w:p w:rsidR="00E740BF"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51</w:t>
      </w:r>
      <w:r w:rsidRPr="0098514F">
        <w:rPr>
          <w:noProof/>
        </w:rPr>
        <w:fldChar w:fldCharType="end"/>
      </w:r>
      <w:r w:rsidR="00E740BF" w:rsidRPr="0098514F">
        <w:rPr>
          <w:lang w:val="pl-PL"/>
        </w:rPr>
        <w:t>.  </w:t>
      </w:r>
      <w:r w:rsidR="00AB5041" w:rsidRPr="0098514F">
        <w:rPr>
          <w:lang w:val="pl-PL"/>
        </w:rPr>
        <w:t>Skarżący zarzucali, że ich prawa zagwarantowane w artykule 6 § 1 zostały naruszone, gdyż ich sprawa została rozstrzygnięta w sposób sprzeczny z decyzjami polskich sądów orzekających  w podobnych sprawach.</w:t>
      </w:r>
    </w:p>
    <w:p w:rsidR="00E740BF"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52</w:t>
      </w:r>
      <w:r w:rsidRPr="0098514F">
        <w:rPr>
          <w:noProof/>
        </w:rPr>
        <w:fldChar w:fldCharType="end"/>
      </w:r>
      <w:r w:rsidR="00E740BF" w:rsidRPr="0098514F">
        <w:rPr>
          <w:lang w:val="pl-PL"/>
        </w:rPr>
        <w:t>.  </w:t>
      </w:r>
      <w:r w:rsidR="00AB5041" w:rsidRPr="0098514F">
        <w:rPr>
          <w:lang w:val="pl-PL"/>
        </w:rPr>
        <w:t>Odpowiednia część art. 6 § 1 Konwencji brzmi następująco</w:t>
      </w:r>
      <w:r w:rsidR="00E740BF" w:rsidRPr="0098514F">
        <w:rPr>
          <w:lang w:val="pl-PL"/>
        </w:rPr>
        <w:t>:</w:t>
      </w:r>
    </w:p>
    <w:p w:rsidR="00E740BF" w:rsidRPr="0098514F" w:rsidRDefault="00E740BF" w:rsidP="00CE15E8">
      <w:pPr>
        <w:spacing w:before="120" w:after="120"/>
        <w:ind w:left="425" w:firstLine="142"/>
        <w:rPr>
          <w:sz w:val="20"/>
          <w:lang w:val="pl-PL"/>
        </w:rPr>
      </w:pPr>
      <w:r w:rsidRPr="0098514F">
        <w:rPr>
          <w:sz w:val="20"/>
          <w:lang w:val="pl-PL"/>
        </w:rPr>
        <w:t>“</w:t>
      </w:r>
      <w:r w:rsidR="0033497C" w:rsidRPr="0098514F">
        <w:rPr>
          <w:sz w:val="20"/>
          <w:lang w:val="pl-PL"/>
        </w:rPr>
        <w:t xml:space="preserve">Każdy ma prawo sprawiedliwego i publicznego rozpatrzenia jego sprawy przez niezawisły i bezstronny sąd ustanowiony ustawą przy rozstrzyganiu o jego prawach </w:t>
      </w:r>
      <w:r w:rsidR="0033497C" w:rsidRPr="0098514F">
        <w:rPr>
          <w:sz w:val="20"/>
          <w:lang w:val="pl-PL"/>
        </w:rPr>
        <w:br/>
        <w:t>i obowiązkach o charakterze cywilnym (…)</w:t>
      </w:r>
      <w:r w:rsidRPr="0098514F">
        <w:rPr>
          <w:sz w:val="20"/>
          <w:lang w:val="pl-PL"/>
        </w:rPr>
        <w:t>.”</w:t>
      </w:r>
    </w:p>
    <w:p w:rsidR="00102F0A"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53</w:t>
      </w:r>
      <w:r w:rsidRPr="0098514F">
        <w:rPr>
          <w:noProof/>
        </w:rPr>
        <w:fldChar w:fldCharType="end"/>
      </w:r>
      <w:r w:rsidR="00E740BF" w:rsidRPr="0098514F">
        <w:rPr>
          <w:lang w:val="pl-PL"/>
        </w:rPr>
        <w:t>.  </w:t>
      </w:r>
      <w:r w:rsidR="00102F0A" w:rsidRPr="0098514F">
        <w:rPr>
          <w:lang w:val="pl-PL"/>
        </w:rPr>
        <w:t xml:space="preserve">Trybunał stwierdza, że skarga ta jest powiązana z </w:t>
      </w:r>
      <w:r w:rsidR="00F80F79" w:rsidRPr="0098514F">
        <w:rPr>
          <w:lang w:val="pl-PL"/>
        </w:rPr>
        <w:t>zarzutem</w:t>
      </w:r>
      <w:r w:rsidR="007B5C3C" w:rsidRPr="0098514F">
        <w:rPr>
          <w:lang w:val="pl-PL"/>
        </w:rPr>
        <w:t xml:space="preserve"> naruszenia art. 1 Protokołu nr 1</w:t>
      </w:r>
      <w:r w:rsidR="0033497C" w:rsidRPr="0098514F">
        <w:rPr>
          <w:lang w:val="pl-PL"/>
        </w:rPr>
        <w:t xml:space="preserve"> do Konwencji</w:t>
      </w:r>
      <w:r w:rsidR="007B5C3C" w:rsidRPr="0098514F">
        <w:rPr>
          <w:lang w:val="pl-PL"/>
        </w:rPr>
        <w:t xml:space="preserve"> </w:t>
      </w:r>
      <w:r w:rsidR="00F80F79" w:rsidRPr="0098514F">
        <w:rPr>
          <w:lang w:val="pl-PL"/>
        </w:rPr>
        <w:t>zbadanym powyżej</w:t>
      </w:r>
      <w:r w:rsidR="00102F0A" w:rsidRPr="0098514F">
        <w:rPr>
          <w:lang w:val="pl-PL"/>
        </w:rPr>
        <w:t xml:space="preserve"> i dlatego musi również zostać uznana za dopuszczalną.</w:t>
      </w:r>
    </w:p>
    <w:p w:rsidR="00E740BF" w:rsidRPr="0098514F" w:rsidRDefault="00C0625E" w:rsidP="00CE15E8">
      <w:pPr>
        <w:ind w:firstLine="284"/>
        <w:rPr>
          <w:lang w:val="pl-PL"/>
        </w:rPr>
      </w:pPr>
      <w:r w:rsidRPr="0098514F">
        <w:fldChar w:fldCharType="begin"/>
      </w:r>
      <w:r w:rsidR="000D6E28" w:rsidRPr="0098514F">
        <w:rPr>
          <w:lang w:val="pl-PL"/>
        </w:rPr>
        <w:instrText xml:space="preserve"> SEQ level0 \*arabic </w:instrText>
      </w:r>
      <w:r w:rsidRPr="0098514F">
        <w:fldChar w:fldCharType="separate"/>
      </w:r>
      <w:r w:rsidR="00F308F4">
        <w:rPr>
          <w:noProof/>
          <w:lang w:val="pl-PL"/>
        </w:rPr>
        <w:t>54</w:t>
      </w:r>
      <w:r w:rsidRPr="0098514F">
        <w:rPr>
          <w:noProof/>
        </w:rPr>
        <w:fldChar w:fldCharType="end"/>
      </w:r>
      <w:r w:rsidR="00E740BF" w:rsidRPr="0098514F">
        <w:rPr>
          <w:lang w:val="pl-PL"/>
        </w:rPr>
        <w:t>.  </w:t>
      </w:r>
      <w:r w:rsidR="00102F0A" w:rsidRPr="0098514F">
        <w:rPr>
          <w:lang w:val="pl-PL"/>
        </w:rPr>
        <w:t>Trybunał uważa, że</w:t>
      </w:r>
      <w:r w:rsidR="00A2193F" w:rsidRPr="0098514F">
        <w:rPr>
          <w:lang w:val="pl-PL"/>
        </w:rPr>
        <w:t xml:space="preserve"> </w:t>
      </w:r>
      <w:r w:rsidR="007B5C3C" w:rsidRPr="0098514F">
        <w:rPr>
          <w:lang w:val="pl-PL"/>
        </w:rPr>
        <w:t>zarzut naruszenia</w:t>
      </w:r>
      <w:r w:rsidR="00102F0A" w:rsidRPr="0098514F">
        <w:rPr>
          <w:lang w:val="pl-PL"/>
        </w:rPr>
        <w:t xml:space="preserve"> artykułu 6 nie </w:t>
      </w:r>
      <w:r w:rsidR="00041B5D" w:rsidRPr="0098514F">
        <w:rPr>
          <w:lang w:val="pl-PL"/>
        </w:rPr>
        <w:t xml:space="preserve">rodzi odrębnych zagadnień od zbadanych już </w:t>
      </w:r>
      <w:r w:rsidR="00102F0A" w:rsidRPr="0098514F">
        <w:rPr>
          <w:lang w:val="pl-PL"/>
        </w:rPr>
        <w:t xml:space="preserve">na </w:t>
      </w:r>
      <w:r w:rsidR="00041B5D" w:rsidRPr="0098514F">
        <w:rPr>
          <w:lang w:val="pl-PL"/>
        </w:rPr>
        <w:t>gruncie</w:t>
      </w:r>
      <w:r w:rsidR="00102F0A" w:rsidRPr="0098514F">
        <w:rPr>
          <w:lang w:val="pl-PL"/>
        </w:rPr>
        <w:t xml:space="preserve"> artykułu 1 Protokołu nr 1 do Konwencji.</w:t>
      </w:r>
    </w:p>
    <w:p w:rsidR="00102F0A" w:rsidRPr="0098514F" w:rsidRDefault="00102F0A" w:rsidP="00102F0A">
      <w:pPr>
        <w:pStyle w:val="ECHRTitle1"/>
        <w:rPr>
          <w:lang w:val="pl-PL"/>
        </w:rPr>
      </w:pPr>
      <w:r w:rsidRPr="0098514F">
        <w:rPr>
          <w:lang w:val="pl-PL"/>
        </w:rPr>
        <w:t>Z TYCH PRZYCZYN TRYBUNAŁ , JEDNOMYŚLNIE,</w:t>
      </w:r>
    </w:p>
    <w:p w:rsidR="00E740BF" w:rsidRPr="0098514F" w:rsidRDefault="00E740BF" w:rsidP="00CE15E8">
      <w:pPr>
        <w:pStyle w:val="JuList"/>
        <w:rPr>
          <w:lang w:val="pl-PL"/>
        </w:rPr>
      </w:pPr>
      <w:r w:rsidRPr="0098514F">
        <w:rPr>
          <w:lang w:val="pl-PL"/>
        </w:rPr>
        <w:t>1.  </w:t>
      </w:r>
      <w:r w:rsidR="00102F0A" w:rsidRPr="00F140EB">
        <w:rPr>
          <w:i/>
          <w:lang w:val="pl-PL"/>
        </w:rPr>
        <w:t>Uznaje</w:t>
      </w:r>
      <w:r w:rsidR="00102F0A" w:rsidRPr="0098514F">
        <w:rPr>
          <w:lang w:val="pl-PL"/>
        </w:rPr>
        <w:t xml:space="preserve"> skargę za dopuszczalną</w:t>
      </w:r>
      <w:r w:rsidR="00F80F79" w:rsidRPr="0098514F">
        <w:rPr>
          <w:i/>
          <w:lang w:val="pl-PL"/>
        </w:rPr>
        <w:t>;</w:t>
      </w:r>
    </w:p>
    <w:p w:rsidR="004570A5" w:rsidRPr="0098514F" w:rsidRDefault="004570A5" w:rsidP="00CE15E8">
      <w:pPr>
        <w:pStyle w:val="JuList"/>
        <w:rPr>
          <w:lang w:val="pl-PL"/>
        </w:rPr>
      </w:pPr>
    </w:p>
    <w:p w:rsidR="00E740BF" w:rsidRPr="0098514F" w:rsidRDefault="00E740BF" w:rsidP="00CE15E8">
      <w:pPr>
        <w:pStyle w:val="JuList"/>
        <w:rPr>
          <w:lang w:val="pl-PL"/>
        </w:rPr>
      </w:pPr>
      <w:r w:rsidRPr="0098514F">
        <w:rPr>
          <w:lang w:val="pl-PL"/>
        </w:rPr>
        <w:t>2.  </w:t>
      </w:r>
      <w:r w:rsidR="00102F0A" w:rsidRPr="00F140EB">
        <w:rPr>
          <w:i/>
          <w:lang w:val="pl-PL"/>
        </w:rPr>
        <w:t>Stwierdza</w:t>
      </w:r>
      <w:r w:rsidR="00102F0A" w:rsidRPr="0098514F">
        <w:rPr>
          <w:lang w:val="pl-PL"/>
        </w:rPr>
        <w:t>, że nie doszło do naruszenia artykułu 1 Protokołu nr 1 do Konwencji</w:t>
      </w:r>
      <w:r w:rsidRPr="0098514F">
        <w:rPr>
          <w:lang w:val="pl-PL"/>
        </w:rPr>
        <w:t>;</w:t>
      </w:r>
    </w:p>
    <w:p w:rsidR="004570A5" w:rsidRPr="0098514F" w:rsidRDefault="004570A5" w:rsidP="00CE15E8">
      <w:pPr>
        <w:pStyle w:val="JuList"/>
        <w:rPr>
          <w:lang w:val="pl-PL"/>
        </w:rPr>
      </w:pPr>
    </w:p>
    <w:p w:rsidR="00102F0A" w:rsidRPr="0098514F" w:rsidRDefault="00E740BF" w:rsidP="00102F0A">
      <w:pPr>
        <w:pStyle w:val="JuList"/>
        <w:rPr>
          <w:lang w:val="pl-PL"/>
        </w:rPr>
      </w:pPr>
      <w:r w:rsidRPr="0098514F">
        <w:rPr>
          <w:lang w:val="pl-PL"/>
        </w:rPr>
        <w:t>3.  </w:t>
      </w:r>
      <w:r w:rsidR="00102F0A" w:rsidRPr="00F140EB">
        <w:rPr>
          <w:i/>
          <w:lang w:val="pl-PL"/>
        </w:rPr>
        <w:t>Stwierdza</w:t>
      </w:r>
      <w:r w:rsidR="00102F0A" w:rsidRPr="0098514F">
        <w:rPr>
          <w:lang w:val="pl-PL"/>
        </w:rPr>
        <w:t>, że nie ma potrzeby badania s</w:t>
      </w:r>
      <w:r w:rsidR="00F80F79" w:rsidRPr="0098514F">
        <w:rPr>
          <w:lang w:val="pl-PL"/>
        </w:rPr>
        <w:t xml:space="preserve">kargi na podstawie artykułu 6 § </w:t>
      </w:r>
      <w:r w:rsidR="00102F0A" w:rsidRPr="0098514F">
        <w:rPr>
          <w:lang w:val="pl-PL"/>
        </w:rPr>
        <w:t>1 Konwencji</w:t>
      </w:r>
      <w:r w:rsidRPr="0098514F">
        <w:rPr>
          <w:lang w:val="pl-PL"/>
        </w:rPr>
        <w:t>.</w:t>
      </w:r>
    </w:p>
    <w:p w:rsidR="00102F0A" w:rsidRPr="0098514F" w:rsidRDefault="00102F0A" w:rsidP="00102F0A">
      <w:pPr>
        <w:pStyle w:val="JuList"/>
        <w:rPr>
          <w:lang w:val="pl-PL"/>
        </w:rPr>
      </w:pPr>
    </w:p>
    <w:p w:rsidR="00102F0A" w:rsidRPr="0098514F" w:rsidRDefault="00102F0A" w:rsidP="00102F0A">
      <w:pPr>
        <w:pStyle w:val="JuList"/>
        <w:rPr>
          <w:lang w:val="pl-PL"/>
        </w:rPr>
      </w:pPr>
    </w:p>
    <w:p w:rsidR="00102F0A" w:rsidRPr="0098514F" w:rsidRDefault="00102F0A" w:rsidP="00102F0A">
      <w:pPr>
        <w:pStyle w:val="JuList"/>
        <w:rPr>
          <w:lang w:val="pl-PL"/>
        </w:rPr>
      </w:pPr>
    </w:p>
    <w:p w:rsidR="00E740BF" w:rsidRPr="0098514F" w:rsidRDefault="00102F0A" w:rsidP="00FD3030">
      <w:pPr>
        <w:pStyle w:val="JuList"/>
        <w:ind w:left="0" w:firstLine="0"/>
        <w:rPr>
          <w:lang w:val="pl-PL"/>
        </w:rPr>
      </w:pPr>
      <w:r w:rsidRPr="0098514F">
        <w:rPr>
          <w:lang w:val="pl-PL"/>
        </w:rPr>
        <w:t>Sporządzono w języku angielskim, oraz obwieszczono pisemnie w dniu 6 października 2016, zgodnie z Regułą 77 §§ 2 i 3 Regulaminu Trybunału.</w:t>
      </w:r>
    </w:p>
    <w:p w:rsidR="00E740BF" w:rsidRPr="0098514F" w:rsidRDefault="00E740BF" w:rsidP="00CE15E8">
      <w:pPr>
        <w:tabs>
          <w:tab w:val="center" w:pos="851"/>
          <w:tab w:val="center" w:pos="6407"/>
        </w:tabs>
        <w:spacing w:before="720"/>
        <w:jc w:val="left"/>
        <w:rPr>
          <w:lang w:val="pl-PL"/>
        </w:rPr>
      </w:pPr>
      <w:r w:rsidRPr="0098514F">
        <w:rPr>
          <w:lang w:val="pl-PL"/>
        </w:rPr>
        <w:tab/>
        <w:t>Fatoş Aracı</w:t>
      </w:r>
      <w:r w:rsidR="005D1363" w:rsidRPr="0098514F">
        <w:rPr>
          <w:lang w:val="pl-PL"/>
        </w:rPr>
        <w:tab/>
        <w:t>Guido Raimondi</w:t>
      </w:r>
      <w:r w:rsidR="005D1363" w:rsidRPr="0098514F">
        <w:rPr>
          <w:lang w:val="pl-PL"/>
        </w:rPr>
        <w:br/>
      </w:r>
      <w:r w:rsidRPr="0098514F">
        <w:rPr>
          <w:lang w:val="pl-PL"/>
        </w:rPr>
        <w:tab/>
      </w:r>
      <w:r w:rsidR="00102F0A" w:rsidRPr="0098514F">
        <w:rPr>
          <w:lang w:val="pl-PL"/>
        </w:rPr>
        <w:t>Kanclerz</w:t>
      </w:r>
      <w:r w:rsidRPr="0098514F">
        <w:rPr>
          <w:lang w:val="pl-PL"/>
        </w:rPr>
        <w:tab/>
      </w:r>
      <w:r w:rsidR="00102F0A" w:rsidRPr="0098514F">
        <w:rPr>
          <w:lang w:val="pl-PL"/>
        </w:rPr>
        <w:t>Przewodniczący</w:t>
      </w:r>
    </w:p>
    <w:p w:rsidR="00E740BF" w:rsidRPr="0098514F" w:rsidRDefault="00E740BF" w:rsidP="00CE15E8">
      <w:pPr>
        <w:rPr>
          <w:lang w:val="pl-PL"/>
        </w:rPr>
      </w:pPr>
    </w:p>
    <w:p w:rsidR="008E3A08" w:rsidRPr="0098514F" w:rsidRDefault="008E3A08" w:rsidP="00CE15E8">
      <w:pPr>
        <w:jc w:val="left"/>
        <w:rPr>
          <w:lang w:val="pl-PL"/>
        </w:rPr>
      </w:pPr>
    </w:p>
    <w:p w:rsidR="00EB447C" w:rsidRPr="0098514F" w:rsidRDefault="00EB447C" w:rsidP="00CE15E8">
      <w:pPr>
        <w:rPr>
          <w:lang w:val="pl-PL"/>
        </w:rPr>
      </w:pPr>
    </w:p>
    <w:sectPr w:rsidR="00EB447C" w:rsidRPr="0098514F" w:rsidSect="000B7195">
      <w:headerReference w:type="even" r:id="rId18"/>
      <w:headerReference w:type="default" r:id="rId19"/>
      <w:footerReference w:type="even" r:id="rId20"/>
      <w:footerReference w:type="default" r:id="rId21"/>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B0A" w:rsidRDefault="001C1B0A" w:rsidP="0098410D">
      <w:r>
        <w:separator/>
      </w:r>
    </w:p>
  </w:endnote>
  <w:endnote w:type="continuationSeparator" w:id="0">
    <w:p w:rsidR="001C1B0A" w:rsidRDefault="001C1B0A"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04" w:rsidRDefault="00E8690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150BFA" w:rsidRDefault="004546F3" w:rsidP="00E76355">
    <w:pPr>
      <w:jc w:val="center"/>
    </w:pPr>
    <w:r>
      <w:rPr>
        <w:noProof/>
        <w:lang w:val="pl-PL" w:eastAsia="pl-PL"/>
      </w:rPr>
      <w:drawing>
        <wp:inline distT="0" distB="0" distL="0" distR="0" wp14:anchorId="7D37C917" wp14:editId="602A6BDE">
          <wp:extent cx="771525" cy="619125"/>
          <wp:effectExtent l="0" t="0" r="9525" b="9525"/>
          <wp:docPr id="2"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546F3" w:rsidRPr="00881CDE" w:rsidRDefault="004546F3" w:rsidP="00E76355">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04" w:rsidRDefault="00E86904">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Default="004546F3">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0B7195" w:rsidRDefault="004546F3" w:rsidP="00E7635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B0A" w:rsidRDefault="001C1B0A" w:rsidP="0098410D">
      <w:r>
        <w:separator/>
      </w:r>
    </w:p>
  </w:footnote>
  <w:footnote w:type="continuationSeparator" w:id="0">
    <w:p w:rsidR="001C1B0A" w:rsidRDefault="001C1B0A"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904" w:rsidRDefault="00E869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A45145" w:rsidRDefault="004546F3" w:rsidP="00E76355">
    <w:pPr>
      <w:jc w:val="center"/>
    </w:pPr>
    <w:r>
      <w:rPr>
        <w:noProof/>
        <w:lang w:val="pl-PL" w:eastAsia="pl-PL"/>
      </w:rPr>
      <w:drawing>
        <wp:inline distT="0" distB="0" distL="0" distR="0" wp14:anchorId="26B78902" wp14:editId="6A0FDA54">
          <wp:extent cx="2962275" cy="1219200"/>
          <wp:effectExtent l="0" t="0" r="9525" b="0"/>
          <wp:docPr id="1"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546F3" w:rsidRPr="00881CDE" w:rsidRDefault="004546F3" w:rsidP="00E76355">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A45145" w:rsidRDefault="004546F3" w:rsidP="00E76355">
    <w:pPr>
      <w:jc w:val="center"/>
    </w:pPr>
    <w:r>
      <w:rPr>
        <w:noProof/>
        <w:lang w:val="pl-PL" w:eastAsia="pl-PL"/>
      </w:rPr>
      <w:drawing>
        <wp:inline distT="0" distB="0" distL="0" distR="0" wp14:anchorId="56790EDF" wp14:editId="7D3C5813">
          <wp:extent cx="2962275" cy="1219200"/>
          <wp:effectExtent l="0" t="0" r="9525" b="0"/>
          <wp:docPr id="3"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546F3" w:rsidRDefault="004546F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E740BF" w:rsidRDefault="004546F3" w:rsidP="004D0EC7">
    <w:pPr>
      <w:pStyle w:val="ECHRHeader"/>
      <w:rPr>
        <w:lang w:val="pl-PL"/>
      </w:rPr>
    </w:pPr>
    <w:r>
      <w:rPr>
        <w:rStyle w:val="Numerstrony"/>
        <w:lang w:val="en-GB"/>
      </w:rPr>
      <w:fldChar w:fldCharType="begin"/>
    </w:r>
    <w:r w:rsidRPr="00E740BF">
      <w:rPr>
        <w:rStyle w:val="Numerstrony"/>
        <w:lang w:val="pl-PL"/>
      </w:rPr>
      <w:instrText xml:space="preserve"> PAGE </w:instrText>
    </w:r>
    <w:r>
      <w:rPr>
        <w:rStyle w:val="Numerstrony"/>
        <w:lang w:val="en-GB"/>
      </w:rPr>
      <w:fldChar w:fldCharType="separate"/>
    </w:r>
    <w:r w:rsidR="002838F3">
      <w:rPr>
        <w:rStyle w:val="Numerstrony"/>
        <w:noProof/>
        <w:lang w:val="pl-PL"/>
      </w:rPr>
      <w:t>14</w:t>
    </w:r>
    <w:r>
      <w:rPr>
        <w:rStyle w:val="Numerstrony"/>
        <w:lang w:val="en-GB"/>
      </w:rPr>
      <w:fldChar w:fldCharType="end"/>
    </w:r>
    <w:r w:rsidRPr="00E740BF">
      <w:rPr>
        <w:lang w:val="pl-PL"/>
      </w:rPr>
      <w:tab/>
    </w:r>
    <w:r w:rsidR="00E86904">
      <w:rPr>
        <w:lang w:val="pl-PL"/>
      </w:rPr>
      <w:t xml:space="preserve">WYROK W SPRAWIE </w:t>
    </w:r>
    <w:r w:rsidRPr="00E740BF">
      <w:rPr>
        <w:lang w:val="pl-PL"/>
      </w:rPr>
      <w:t>KRASNOD</w:t>
    </w:r>
    <w:r>
      <w:rPr>
        <w:lang w:val="pl-PL"/>
      </w:rPr>
      <w:t xml:space="preserve">ĘBSKA-KAZIKOWSKA </w:t>
    </w:r>
    <w:r w:rsidR="00E86904">
      <w:rPr>
        <w:lang w:val="pl-PL"/>
      </w:rPr>
      <w:t xml:space="preserve">I </w:t>
    </w:r>
    <w:r>
      <w:rPr>
        <w:lang w:val="pl-PL"/>
      </w:rPr>
      <w:t>Ł</w:t>
    </w:r>
    <w:r w:rsidR="00E86904">
      <w:rPr>
        <w:lang w:val="pl-PL"/>
      </w:rPr>
      <w:t>UNIEWSKA p</w:t>
    </w:r>
    <w:r w:rsidRPr="00E740BF">
      <w:rPr>
        <w:lang w:val="pl-PL"/>
      </w:rPr>
      <w:t>. POL</w:t>
    </w:r>
    <w:r w:rsidR="00E86904">
      <w:rPr>
        <w:lang w:val="pl-PL"/>
      </w:rPr>
      <w:t>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F3" w:rsidRPr="00E740BF" w:rsidRDefault="004546F3" w:rsidP="00882CD5">
    <w:pPr>
      <w:pStyle w:val="ECHRHeader"/>
      <w:rPr>
        <w:lang w:val="pl-PL"/>
      </w:rPr>
    </w:pPr>
    <w:r w:rsidRPr="00882CD5">
      <w:rPr>
        <w:lang w:val="en-GB"/>
      </w:rPr>
      <w:tab/>
    </w:r>
    <w:r w:rsidR="00E86904" w:rsidRPr="00E86904">
      <w:rPr>
        <w:lang w:val="pl-PL"/>
      </w:rPr>
      <w:t xml:space="preserve">WYROK W SPRAWIE </w:t>
    </w:r>
    <w:r>
      <w:rPr>
        <w:lang w:val="pl-PL"/>
      </w:rPr>
      <w:t xml:space="preserve">KRASNODĘBSKA-KAZIKOWSKA </w:t>
    </w:r>
    <w:r w:rsidR="00E86904">
      <w:rPr>
        <w:lang w:val="pl-PL"/>
      </w:rPr>
      <w:t xml:space="preserve">I </w:t>
    </w:r>
    <w:r>
      <w:rPr>
        <w:lang w:val="pl-PL"/>
      </w:rPr>
      <w:t>Ł</w:t>
    </w:r>
    <w:r w:rsidR="00E86904">
      <w:rPr>
        <w:lang w:val="pl-PL"/>
      </w:rPr>
      <w:t>UNIEWSKA P. POLSCE</w:t>
    </w:r>
    <w:r w:rsidRPr="00E740BF">
      <w:rPr>
        <w:lang w:val="pl-PL"/>
      </w:rPr>
      <w:tab/>
    </w:r>
    <w:r>
      <w:rPr>
        <w:rStyle w:val="Numerstrony"/>
        <w:lang w:val="en-GB"/>
      </w:rPr>
      <w:fldChar w:fldCharType="begin"/>
    </w:r>
    <w:r w:rsidRPr="00E740BF">
      <w:rPr>
        <w:rStyle w:val="Numerstrony"/>
        <w:lang w:val="pl-PL"/>
      </w:rPr>
      <w:instrText xml:space="preserve"> PAGE </w:instrText>
    </w:r>
    <w:r>
      <w:rPr>
        <w:rStyle w:val="Numerstrony"/>
        <w:lang w:val="en-GB"/>
      </w:rPr>
      <w:fldChar w:fldCharType="separate"/>
    </w:r>
    <w:r w:rsidR="002838F3">
      <w:rPr>
        <w:rStyle w:val="Numerstrony"/>
        <w:noProof/>
        <w:lang w:val="pl-PL"/>
      </w:rPr>
      <w:t>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740BF"/>
    <w:rsid w:val="000041F8"/>
    <w:rsid w:val="000042A8"/>
    <w:rsid w:val="00004308"/>
    <w:rsid w:val="00005BF0"/>
    <w:rsid w:val="00007154"/>
    <w:rsid w:val="000103AE"/>
    <w:rsid w:val="00011D69"/>
    <w:rsid w:val="00012AD3"/>
    <w:rsid w:val="00013431"/>
    <w:rsid w:val="00015C2D"/>
    <w:rsid w:val="00015F00"/>
    <w:rsid w:val="00022C1D"/>
    <w:rsid w:val="00034987"/>
    <w:rsid w:val="00041B5D"/>
    <w:rsid w:val="0004529D"/>
    <w:rsid w:val="000602DF"/>
    <w:rsid w:val="00061B05"/>
    <w:rsid w:val="000632D5"/>
    <w:rsid w:val="000644EE"/>
    <w:rsid w:val="00070258"/>
    <w:rsid w:val="000925AD"/>
    <w:rsid w:val="00092CC5"/>
    <w:rsid w:val="000A24EB"/>
    <w:rsid w:val="000B2F82"/>
    <w:rsid w:val="000B6923"/>
    <w:rsid w:val="000B7195"/>
    <w:rsid w:val="000C5F3C"/>
    <w:rsid w:val="000C62D2"/>
    <w:rsid w:val="000C6DCC"/>
    <w:rsid w:val="000D47AA"/>
    <w:rsid w:val="000D6E28"/>
    <w:rsid w:val="000D721F"/>
    <w:rsid w:val="000E069B"/>
    <w:rsid w:val="000E0E82"/>
    <w:rsid w:val="000E1DC5"/>
    <w:rsid w:val="000E223F"/>
    <w:rsid w:val="000E7D45"/>
    <w:rsid w:val="000F7851"/>
    <w:rsid w:val="00101505"/>
    <w:rsid w:val="00102F0A"/>
    <w:rsid w:val="00104E23"/>
    <w:rsid w:val="00111B0C"/>
    <w:rsid w:val="00113402"/>
    <w:rsid w:val="00120D6C"/>
    <w:rsid w:val="001257EC"/>
    <w:rsid w:val="00132A32"/>
    <w:rsid w:val="00133D33"/>
    <w:rsid w:val="00134D64"/>
    <w:rsid w:val="00135A30"/>
    <w:rsid w:val="0013612C"/>
    <w:rsid w:val="00137FF6"/>
    <w:rsid w:val="00141650"/>
    <w:rsid w:val="00144286"/>
    <w:rsid w:val="00150EF1"/>
    <w:rsid w:val="00162A12"/>
    <w:rsid w:val="00164F9B"/>
    <w:rsid w:val="00166530"/>
    <w:rsid w:val="00182198"/>
    <w:rsid w:val="001832BD"/>
    <w:rsid w:val="001902B2"/>
    <w:rsid w:val="001943B5"/>
    <w:rsid w:val="00195134"/>
    <w:rsid w:val="001954C2"/>
    <w:rsid w:val="001A145B"/>
    <w:rsid w:val="001A1B95"/>
    <w:rsid w:val="001A285A"/>
    <w:rsid w:val="001A674C"/>
    <w:rsid w:val="001B2A42"/>
    <w:rsid w:val="001B3B24"/>
    <w:rsid w:val="001C0F98"/>
    <w:rsid w:val="001C1B0A"/>
    <w:rsid w:val="001C2A42"/>
    <w:rsid w:val="001D4528"/>
    <w:rsid w:val="001D63ED"/>
    <w:rsid w:val="001D7348"/>
    <w:rsid w:val="001E035B"/>
    <w:rsid w:val="001E0961"/>
    <w:rsid w:val="001E3AF6"/>
    <w:rsid w:val="001E3EAE"/>
    <w:rsid w:val="001E6F32"/>
    <w:rsid w:val="001F2145"/>
    <w:rsid w:val="001F6262"/>
    <w:rsid w:val="001F67B0"/>
    <w:rsid w:val="001F7B3D"/>
    <w:rsid w:val="00205C9F"/>
    <w:rsid w:val="00205F9F"/>
    <w:rsid w:val="00210338"/>
    <w:rsid w:val="002115FC"/>
    <w:rsid w:val="0021423C"/>
    <w:rsid w:val="0021455E"/>
    <w:rsid w:val="00230D00"/>
    <w:rsid w:val="00231DF7"/>
    <w:rsid w:val="00231FD1"/>
    <w:rsid w:val="002339E0"/>
    <w:rsid w:val="00233CF8"/>
    <w:rsid w:val="0023575D"/>
    <w:rsid w:val="00237148"/>
    <w:rsid w:val="0024222D"/>
    <w:rsid w:val="00244B0E"/>
    <w:rsid w:val="00244F6C"/>
    <w:rsid w:val="002532C5"/>
    <w:rsid w:val="002555D9"/>
    <w:rsid w:val="00260C03"/>
    <w:rsid w:val="0026540E"/>
    <w:rsid w:val="0027278F"/>
    <w:rsid w:val="00275123"/>
    <w:rsid w:val="002754DA"/>
    <w:rsid w:val="00282240"/>
    <w:rsid w:val="002838F3"/>
    <w:rsid w:val="002948AD"/>
    <w:rsid w:val="002A01CC"/>
    <w:rsid w:val="002A13D1"/>
    <w:rsid w:val="002A61B1"/>
    <w:rsid w:val="002A663C"/>
    <w:rsid w:val="002B444B"/>
    <w:rsid w:val="002B5887"/>
    <w:rsid w:val="002C0E27"/>
    <w:rsid w:val="002C3040"/>
    <w:rsid w:val="002C4433"/>
    <w:rsid w:val="002D022D"/>
    <w:rsid w:val="002D24BB"/>
    <w:rsid w:val="002E3B68"/>
    <w:rsid w:val="002F2AF7"/>
    <w:rsid w:val="002F7E1C"/>
    <w:rsid w:val="00301A75"/>
    <w:rsid w:val="00302F70"/>
    <w:rsid w:val="0030336F"/>
    <w:rsid w:val="0030375E"/>
    <w:rsid w:val="00312A30"/>
    <w:rsid w:val="00320F72"/>
    <w:rsid w:val="0032463E"/>
    <w:rsid w:val="00326224"/>
    <w:rsid w:val="0033497C"/>
    <w:rsid w:val="00337EE4"/>
    <w:rsid w:val="00340FFD"/>
    <w:rsid w:val="00345C41"/>
    <w:rsid w:val="00346A70"/>
    <w:rsid w:val="003506B1"/>
    <w:rsid w:val="00356AC7"/>
    <w:rsid w:val="003609FA"/>
    <w:rsid w:val="003710C8"/>
    <w:rsid w:val="003750BE"/>
    <w:rsid w:val="003815A9"/>
    <w:rsid w:val="003819F7"/>
    <w:rsid w:val="003851A8"/>
    <w:rsid w:val="00387B9D"/>
    <w:rsid w:val="0039364F"/>
    <w:rsid w:val="00396686"/>
    <w:rsid w:val="0039778E"/>
    <w:rsid w:val="003B4941"/>
    <w:rsid w:val="003C5714"/>
    <w:rsid w:val="003C6998"/>
    <w:rsid w:val="003C6B9F"/>
    <w:rsid w:val="003C6E2A"/>
    <w:rsid w:val="003D0299"/>
    <w:rsid w:val="003D26E5"/>
    <w:rsid w:val="003D5B88"/>
    <w:rsid w:val="003D63F3"/>
    <w:rsid w:val="003E2D61"/>
    <w:rsid w:val="003E6D80"/>
    <w:rsid w:val="003F05FA"/>
    <w:rsid w:val="003F244A"/>
    <w:rsid w:val="003F30B8"/>
    <w:rsid w:val="003F4C45"/>
    <w:rsid w:val="003F5F7B"/>
    <w:rsid w:val="003F7D64"/>
    <w:rsid w:val="0041163D"/>
    <w:rsid w:val="0041372C"/>
    <w:rsid w:val="00414300"/>
    <w:rsid w:val="00425C67"/>
    <w:rsid w:val="00427E7A"/>
    <w:rsid w:val="00436C49"/>
    <w:rsid w:val="00445366"/>
    <w:rsid w:val="00447F5B"/>
    <w:rsid w:val="004546F3"/>
    <w:rsid w:val="00455D8C"/>
    <w:rsid w:val="004570A5"/>
    <w:rsid w:val="00461DB0"/>
    <w:rsid w:val="00463926"/>
    <w:rsid w:val="00464C9A"/>
    <w:rsid w:val="00474F3D"/>
    <w:rsid w:val="00476B30"/>
    <w:rsid w:val="004778D5"/>
    <w:rsid w:val="00477E3A"/>
    <w:rsid w:val="00483E5F"/>
    <w:rsid w:val="00485805"/>
    <w:rsid w:val="00485CB0"/>
    <w:rsid w:val="00485F69"/>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14CC"/>
    <w:rsid w:val="004F2389"/>
    <w:rsid w:val="004F304D"/>
    <w:rsid w:val="004F61BE"/>
    <w:rsid w:val="004F66B1"/>
    <w:rsid w:val="00511C07"/>
    <w:rsid w:val="005173A6"/>
    <w:rsid w:val="005206E2"/>
    <w:rsid w:val="00520BAA"/>
    <w:rsid w:val="005217D8"/>
    <w:rsid w:val="0052398C"/>
    <w:rsid w:val="00525208"/>
    <w:rsid w:val="005257A5"/>
    <w:rsid w:val="005264C0"/>
    <w:rsid w:val="00526A8A"/>
    <w:rsid w:val="00526B73"/>
    <w:rsid w:val="00531DF2"/>
    <w:rsid w:val="00535919"/>
    <w:rsid w:val="00536DC0"/>
    <w:rsid w:val="005442EE"/>
    <w:rsid w:val="00545DA6"/>
    <w:rsid w:val="00547353"/>
    <w:rsid w:val="005474E7"/>
    <w:rsid w:val="005512A3"/>
    <w:rsid w:val="00555D80"/>
    <w:rsid w:val="005578CE"/>
    <w:rsid w:val="0056219B"/>
    <w:rsid w:val="00562781"/>
    <w:rsid w:val="00562B6C"/>
    <w:rsid w:val="00562B79"/>
    <w:rsid w:val="00570C17"/>
    <w:rsid w:val="0057271C"/>
    <w:rsid w:val="00572845"/>
    <w:rsid w:val="00592772"/>
    <w:rsid w:val="00592873"/>
    <w:rsid w:val="0059574A"/>
    <w:rsid w:val="005A1B9B"/>
    <w:rsid w:val="005A3D17"/>
    <w:rsid w:val="005A6751"/>
    <w:rsid w:val="005B092E"/>
    <w:rsid w:val="005B152C"/>
    <w:rsid w:val="005B1EE0"/>
    <w:rsid w:val="005B2B24"/>
    <w:rsid w:val="005B4425"/>
    <w:rsid w:val="005B4B94"/>
    <w:rsid w:val="005C3EE8"/>
    <w:rsid w:val="005D1363"/>
    <w:rsid w:val="005D34F9"/>
    <w:rsid w:val="005D4190"/>
    <w:rsid w:val="005D67A3"/>
    <w:rsid w:val="005E1FE2"/>
    <w:rsid w:val="005E2988"/>
    <w:rsid w:val="005E3085"/>
    <w:rsid w:val="005F165F"/>
    <w:rsid w:val="005F2D78"/>
    <w:rsid w:val="005F51E1"/>
    <w:rsid w:val="005F6C92"/>
    <w:rsid w:val="00611C80"/>
    <w:rsid w:val="00611E2C"/>
    <w:rsid w:val="00620692"/>
    <w:rsid w:val="006242CA"/>
    <w:rsid w:val="00627507"/>
    <w:rsid w:val="00633717"/>
    <w:rsid w:val="006344E1"/>
    <w:rsid w:val="006345F2"/>
    <w:rsid w:val="0063722F"/>
    <w:rsid w:val="0064662E"/>
    <w:rsid w:val="006545C4"/>
    <w:rsid w:val="00661971"/>
    <w:rsid w:val="00661CE8"/>
    <w:rsid w:val="006623D9"/>
    <w:rsid w:val="00663317"/>
    <w:rsid w:val="0066550C"/>
    <w:rsid w:val="006716F2"/>
    <w:rsid w:val="00682BF2"/>
    <w:rsid w:val="006859CE"/>
    <w:rsid w:val="00691270"/>
    <w:rsid w:val="006923A1"/>
    <w:rsid w:val="00694BA8"/>
    <w:rsid w:val="006A037C"/>
    <w:rsid w:val="006A36F4"/>
    <w:rsid w:val="006A406F"/>
    <w:rsid w:val="006A5D3A"/>
    <w:rsid w:val="006C23D4"/>
    <w:rsid w:val="006C7BB0"/>
    <w:rsid w:val="006D3237"/>
    <w:rsid w:val="006E2E37"/>
    <w:rsid w:val="006E3CF1"/>
    <w:rsid w:val="006E7E80"/>
    <w:rsid w:val="006F48CA"/>
    <w:rsid w:val="006F64DD"/>
    <w:rsid w:val="00705914"/>
    <w:rsid w:val="00715127"/>
    <w:rsid w:val="00715E8E"/>
    <w:rsid w:val="00723580"/>
    <w:rsid w:val="00723755"/>
    <w:rsid w:val="0073136C"/>
    <w:rsid w:val="0073163B"/>
    <w:rsid w:val="00731F0F"/>
    <w:rsid w:val="00733250"/>
    <w:rsid w:val="00741404"/>
    <w:rsid w:val="007449E5"/>
    <w:rsid w:val="00744A07"/>
    <w:rsid w:val="007469E3"/>
    <w:rsid w:val="0074750E"/>
    <w:rsid w:val="00747FF0"/>
    <w:rsid w:val="00751983"/>
    <w:rsid w:val="00764D4E"/>
    <w:rsid w:val="00765969"/>
    <w:rsid w:val="00765A1F"/>
    <w:rsid w:val="0076697D"/>
    <w:rsid w:val="00775B6D"/>
    <w:rsid w:val="00776D68"/>
    <w:rsid w:val="007850EE"/>
    <w:rsid w:val="00785B95"/>
    <w:rsid w:val="00790E96"/>
    <w:rsid w:val="00793366"/>
    <w:rsid w:val="0079632B"/>
    <w:rsid w:val="007A2536"/>
    <w:rsid w:val="007A716F"/>
    <w:rsid w:val="007B270A"/>
    <w:rsid w:val="007B5C3C"/>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1D9"/>
    <w:rsid w:val="008255F5"/>
    <w:rsid w:val="00825FD5"/>
    <w:rsid w:val="0083014E"/>
    <w:rsid w:val="0083214A"/>
    <w:rsid w:val="00834220"/>
    <w:rsid w:val="00836655"/>
    <w:rsid w:val="00844814"/>
    <w:rsid w:val="00845723"/>
    <w:rsid w:val="00851EF9"/>
    <w:rsid w:val="008577FD"/>
    <w:rsid w:val="00860B03"/>
    <w:rsid w:val="0086497A"/>
    <w:rsid w:val="008713A1"/>
    <w:rsid w:val="008754AB"/>
    <w:rsid w:val="0088060C"/>
    <w:rsid w:val="0088086F"/>
    <w:rsid w:val="00882CD5"/>
    <w:rsid w:val="008854D3"/>
    <w:rsid w:val="00893576"/>
    <w:rsid w:val="00893E73"/>
    <w:rsid w:val="008A0B9E"/>
    <w:rsid w:val="008A2030"/>
    <w:rsid w:val="008A4FAC"/>
    <w:rsid w:val="008B02DC"/>
    <w:rsid w:val="008B57CE"/>
    <w:rsid w:val="008C26DE"/>
    <w:rsid w:val="008D2225"/>
    <w:rsid w:val="008D4752"/>
    <w:rsid w:val="008E271C"/>
    <w:rsid w:val="008E3A08"/>
    <w:rsid w:val="008E418E"/>
    <w:rsid w:val="008E5BC6"/>
    <w:rsid w:val="008E64CD"/>
    <w:rsid w:val="008E6A25"/>
    <w:rsid w:val="008E7195"/>
    <w:rsid w:val="008F5193"/>
    <w:rsid w:val="009013A7"/>
    <w:rsid w:val="009017FB"/>
    <w:rsid w:val="009017FC"/>
    <w:rsid w:val="0090506B"/>
    <w:rsid w:val="009050C9"/>
    <w:rsid w:val="00905D75"/>
    <w:rsid w:val="009066FC"/>
    <w:rsid w:val="00907A6F"/>
    <w:rsid w:val="009140A3"/>
    <w:rsid w:val="009144A2"/>
    <w:rsid w:val="0091510C"/>
    <w:rsid w:val="009157F5"/>
    <w:rsid w:val="00921E58"/>
    <w:rsid w:val="0092507F"/>
    <w:rsid w:val="009259AC"/>
    <w:rsid w:val="00926F38"/>
    <w:rsid w:val="00927BEB"/>
    <w:rsid w:val="00934301"/>
    <w:rsid w:val="009367C2"/>
    <w:rsid w:val="00936CD1"/>
    <w:rsid w:val="00941747"/>
    <w:rsid w:val="00941DB0"/>
    <w:rsid w:val="00941EFB"/>
    <w:rsid w:val="00947AFB"/>
    <w:rsid w:val="00947F61"/>
    <w:rsid w:val="009512DA"/>
    <w:rsid w:val="00951D7D"/>
    <w:rsid w:val="009630C7"/>
    <w:rsid w:val="009636D3"/>
    <w:rsid w:val="00964B85"/>
    <w:rsid w:val="00972B55"/>
    <w:rsid w:val="009743B7"/>
    <w:rsid w:val="0098228B"/>
    <w:rsid w:val="009828DA"/>
    <w:rsid w:val="0098410D"/>
    <w:rsid w:val="0098514F"/>
    <w:rsid w:val="00985BAB"/>
    <w:rsid w:val="009B13A2"/>
    <w:rsid w:val="009B1B5F"/>
    <w:rsid w:val="009B6673"/>
    <w:rsid w:val="009C191B"/>
    <w:rsid w:val="009C2BD6"/>
    <w:rsid w:val="009E1F23"/>
    <w:rsid w:val="009E1F32"/>
    <w:rsid w:val="009E776C"/>
    <w:rsid w:val="00A077B2"/>
    <w:rsid w:val="00A129EC"/>
    <w:rsid w:val="00A1726E"/>
    <w:rsid w:val="00A204CF"/>
    <w:rsid w:val="00A2193F"/>
    <w:rsid w:val="00A23D49"/>
    <w:rsid w:val="00A27004"/>
    <w:rsid w:val="00A30C29"/>
    <w:rsid w:val="00A32A1C"/>
    <w:rsid w:val="00A34DD6"/>
    <w:rsid w:val="00A36819"/>
    <w:rsid w:val="00A36989"/>
    <w:rsid w:val="00A43628"/>
    <w:rsid w:val="00A54192"/>
    <w:rsid w:val="00A54855"/>
    <w:rsid w:val="00A6035E"/>
    <w:rsid w:val="00A6144C"/>
    <w:rsid w:val="00A66617"/>
    <w:rsid w:val="00A671F8"/>
    <w:rsid w:val="00A673A4"/>
    <w:rsid w:val="00A7167B"/>
    <w:rsid w:val="00A724AE"/>
    <w:rsid w:val="00A73329"/>
    <w:rsid w:val="00A82359"/>
    <w:rsid w:val="00A865D2"/>
    <w:rsid w:val="00A871C4"/>
    <w:rsid w:val="00A90BCD"/>
    <w:rsid w:val="00A94C20"/>
    <w:rsid w:val="00A96906"/>
    <w:rsid w:val="00A96D9B"/>
    <w:rsid w:val="00AA227F"/>
    <w:rsid w:val="00AA3BC7"/>
    <w:rsid w:val="00AA513B"/>
    <w:rsid w:val="00AA754A"/>
    <w:rsid w:val="00AB099E"/>
    <w:rsid w:val="00AB4328"/>
    <w:rsid w:val="00AB5041"/>
    <w:rsid w:val="00AD6890"/>
    <w:rsid w:val="00AE0A2E"/>
    <w:rsid w:val="00AE354C"/>
    <w:rsid w:val="00AE4E89"/>
    <w:rsid w:val="00AF4132"/>
    <w:rsid w:val="00AF4B07"/>
    <w:rsid w:val="00AF6186"/>
    <w:rsid w:val="00AF7A3A"/>
    <w:rsid w:val="00B05393"/>
    <w:rsid w:val="00B15A18"/>
    <w:rsid w:val="00B160DB"/>
    <w:rsid w:val="00B20836"/>
    <w:rsid w:val="00B235BB"/>
    <w:rsid w:val="00B27A44"/>
    <w:rsid w:val="00B30BBF"/>
    <w:rsid w:val="00B33C03"/>
    <w:rsid w:val="00B43F30"/>
    <w:rsid w:val="00B44E56"/>
    <w:rsid w:val="00B45F71"/>
    <w:rsid w:val="00B46543"/>
    <w:rsid w:val="00B47D33"/>
    <w:rsid w:val="00B52BE0"/>
    <w:rsid w:val="00B54133"/>
    <w:rsid w:val="00B550A1"/>
    <w:rsid w:val="00B701ED"/>
    <w:rsid w:val="00B7297C"/>
    <w:rsid w:val="00B72F64"/>
    <w:rsid w:val="00B8086C"/>
    <w:rsid w:val="00B84565"/>
    <w:rsid w:val="00B8612E"/>
    <w:rsid w:val="00B861B4"/>
    <w:rsid w:val="00B86DFE"/>
    <w:rsid w:val="00B90990"/>
    <w:rsid w:val="00B922FF"/>
    <w:rsid w:val="00B9281E"/>
    <w:rsid w:val="00B93925"/>
    <w:rsid w:val="00B95187"/>
    <w:rsid w:val="00B954D9"/>
    <w:rsid w:val="00B96FAD"/>
    <w:rsid w:val="00BA2D55"/>
    <w:rsid w:val="00BA71B1"/>
    <w:rsid w:val="00BB0637"/>
    <w:rsid w:val="00BB345F"/>
    <w:rsid w:val="00BB68EA"/>
    <w:rsid w:val="00BC1C27"/>
    <w:rsid w:val="00BC6BBF"/>
    <w:rsid w:val="00BD1572"/>
    <w:rsid w:val="00BD3EC0"/>
    <w:rsid w:val="00BE14E3"/>
    <w:rsid w:val="00BE3774"/>
    <w:rsid w:val="00BE41E5"/>
    <w:rsid w:val="00BF257E"/>
    <w:rsid w:val="00BF4109"/>
    <w:rsid w:val="00BF4CC3"/>
    <w:rsid w:val="00BF6170"/>
    <w:rsid w:val="00BF6E88"/>
    <w:rsid w:val="00C054C7"/>
    <w:rsid w:val="00C057B5"/>
    <w:rsid w:val="00C0625E"/>
    <w:rsid w:val="00C21671"/>
    <w:rsid w:val="00C21FAB"/>
    <w:rsid w:val="00C22687"/>
    <w:rsid w:val="00C257CF"/>
    <w:rsid w:val="00C32E4D"/>
    <w:rsid w:val="00C333A0"/>
    <w:rsid w:val="00C36A81"/>
    <w:rsid w:val="00C41974"/>
    <w:rsid w:val="00C44422"/>
    <w:rsid w:val="00C53F4A"/>
    <w:rsid w:val="00C54125"/>
    <w:rsid w:val="00C55B54"/>
    <w:rsid w:val="00C55D51"/>
    <w:rsid w:val="00C6071B"/>
    <w:rsid w:val="00C6098E"/>
    <w:rsid w:val="00C6152C"/>
    <w:rsid w:val="00C73C4B"/>
    <w:rsid w:val="00C74810"/>
    <w:rsid w:val="00C849DC"/>
    <w:rsid w:val="00C90D68"/>
    <w:rsid w:val="00C92009"/>
    <w:rsid w:val="00C939FE"/>
    <w:rsid w:val="00C974A2"/>
    <w:rsid w:val="00CA4BDA"/>
    <w:rsid w:val="00CB1F66"/>
    <w:rsid w:val="00CB2951"/>
    <w:rsid w:val="00CD282B"/>
    <w:rsid w:val="00CD4C35"/>
    <w:rsid w:val="00CD5390"/>
    <w:rsid w:val="00CD7369"/>
    <w:rsid w:val="00CE0B0E"/>
    <w:rsid w:val="00CE15E8"/>
    <w:rsid w:val="00CE3831"/>
    <w:rsid w:val="00CF0A99"/>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4ED0"/>
    <w:rsid w:val="00D45414"/>
    <w:rsid w:val="00D566BD"/>
    <w:rsid w:val="00D57A4D"/>
    <w:rsid w:val="00D60AA7"/>
    <w:rsid w:val="00D6435F"/>
    <w:rsid w:val="00D75E28"/>
    <w:rsid w:val="00D772C2"/>
    <w:rsid w:val="00D8008E"/>
    <w:rsid w:val="00D82C45"/>
    <w:rsid w:val="00D908A8"/>
    <w:rsid w:val="00D95255"/>
    <w:rsid w:val="00D977B6"/>
    <w:rsid w:val="00DA4A31"/>
    <w:rsid w:val="00DA7B04"/>
    <w:rsid w:val="00DB36C2"/>
    <w:rsid w:val="00DB623B"/>
    <w:rsid w:val="00DC169B"/>
    <w:rsid w:val="00DC2AB9"/>
    <w:rsid w:val="00DC35DC"/>
    <w:rsid w:val="00DC5884"/>
    <w:rsid w:val="00DC6153"/>
    <w:rsid w:val="00DC63F0"/>
    <w:rsid w:val="00DD0E15"/>
    <w:rsid w:val="00DD6EE5"/>
    <w:rsid w:val="00DE386C"/>
    <w:rsid w:val="00DE4D35"/>
    <w:rsid w:val="00DE70AF"/>
    <w:rsid w:val="00DF098B"/>
    <w:rsid w:val="00DF11C4"/>
    <w:rsid w:val="00DF210C"/>
    <w:rsid w:val="00DF4B6A"/>
    <w:rsid w:val="00E02C09"/>
    <w:rsid w:val="00E04D59"/>
    <w:rsid w:val="00E07DA1"/>
    <w:rsid w:val="00E1212D"/>
    <w:rsid w:val="00E123CB"/>
    <w:rsid w:val="00E140FF"/>
    <w:rsid w:val="00E164C9"/>
    <w:rsid w:val="00E20E13"/>
    <w:rsid w:val="00E217B0"/>
    <w:rsid w:val="00E21DBC"/>
    <w:rsid w:val="00E24F71"/>
    <w:rsid w:val="00E275D7"/>
    <w:rsid w:val="00E27DBE"/>
    <w:rsid w:val="00E32AB1"/>
    <w:rsid w:val="00E36C71"/>
    <w:rsid w:val="00E37086"/>
    <w:rsid w:val="00E40404"/>
    <w:rsid w:val="00E40ADD"/>
    <w:rsid w:val="00E459C6"/>
    <w:rsid w:val="00E47589"/>
    <w:rsid w:val="00E64915"/>
    <w:rsid w:val="00E661D4"/>
    <w:rsid w:val="00E675BF"/>
    <w:rsid w:val="00E70091"/>
    <w:rsid w:val="00E720F5"/>
    <w:rsid w:val="00E740BF"/>
    <w:rsid w:val="00E76355"/>
    <w:rsid w:val="00E76D47"/>
    <w:rsid w:val="00E83873"/>
    <w:rsid w:val="00E849F7"/>
    <w:rsid w:val="00E86904"/>
    <w:rsid w:val="00E90302"/>
    <w:rsid w:val="00E97396"/>
    <w:rsid w:val="00EA185E"/>
    <w:rsid w:val="00EA592A"/>
    <w:rsid w:val="00EB14E4"/>
    <w:rsid w:val="00EB32A5"/>
    <w:rsid w:val="00EB34ED"/>
    <w:rsid w:val="00EB447C"/>
    <w:rsid w:val="00EB7BE0"/>
    <w:rsid w:val="00EC315E"/>
    <w:rsid w:val="00EC4DB6"/>
    <w:rsid w:val="00ED077C"/>
    <w:rsid w:val="00ED1190"/>
    <w:rsid w:val="00ED6544"/>
    <w:rsid w:val="00ED6FE4"/>
    <w:rsid w:val="00EE0277"/>
    <w:rsid w:val="00EE3E00"/>
    <w:rsid w:val="00EE5DD2"/>
    <w:rsid w:val="00EF04C2"/>
    <w:rsid w:val="00EF35B7"/>
    <w:rsid w:val="00EF3DB4"/>
    <w:rsid w:val="00EF6CE6"/>
    <w:rsid w:val="00F00A79"/>
    <w:rsid w:val="00F00E86"/>
    <w:rsid w:val="00F04A79"/>
    <w:rsid w:val="00F07C1E"/>
    <w:rsid w:val="00F105DB"/>
    <w:rsid w:val="00F132BC"/>
    <w:rsid w:val="00F13CE3"/>
    <w:rsid w:val="00F13D80"/>
    <w:rsid w:val="00F140EB"/>
    <w:rsid w:val="00F16AAA"/>
    <w:rsid w:val="00F1709C"/>
    <w:rsid w:val="00F21161"/>
    <w:rsid w:val="00F218EF"/>
    <w:rsid w:val="00F21BC7"/>
    <w:rsid w:val="00F266A2"/>
    <w:rsid w:val="00F26F85"/>
    <w:rsid w:val="00F308F4"/>
    <w:rsid w:val="00F31B9A"/>
    <w:rsid w:val="00F32269"/>
    <w:rsid w:val="00F36002"/>
    <w:rsid w:val="00F37EFC"/>
    <w:rsid w:val="00F408A8"/>
    <w:rsid w:val="00F56A6F"/>
    <w:rsid w:val="00F5709C"/>
    <w:rsid w:val="00F633AE"/>
    <w:rsid w:val="00F64EF1"/>
    <w:rsid w:val="00F673B1"/>
    <w:rsid w:val="00F73668"/>
    <w:rsid w:val="00F80F79"/>
    <w:rsid w:val="00F8765F"/>
    <w:rsid w:val="00F90767"/>
    <w:rsid w:val="00FA685B"/>
    <w:rsid w:val="00FB0C01"/>
    <w:rsid w:val="00FC18F2"/>
    <w:rsid w:val="00FC39E5"/>
    <w:rsid w:val="00FC3A78"/>
    <w:rsid w:val="00FD1005"/>
    <w:rsid w:val="00FD3030"/>
    <w:rsid w:val="00FD6C75"/>
    <w:rsid w:val="00FD772C"/>
    <w:rsid w:val="00FE71B3"/>
    <w:rsid w:val="00FF0657"/>
    <w:rsid w:val="00FF0F78"/>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21FA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21F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21F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21F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21F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21FAB"/>
    <w:rPr>
      <w:i/>
      <w:iCs/>
      <w:smallCaps/>
      <w:spacing w:val="5"/>
    </w:rPr>
  </w:style>
  <w:style w:type="paragraph" w:customStyle="1" w:styleId="ECHRHeader">
    <w:name w:val="ECHR_Header"/>
    <w:aliases w:val="Ju_Header"/>
    <w:basedOn w:val="Nagwek"/>
    <w:uiPriority w:val="4"/>
    <w:qFormat/>
    <w:rsid w:val="00C21FAB"/>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21FAB"/>
  </w:style>
  <w:style w:type="character" w:styleId="Pogrubienie">
    <w:name w:val="Strong"/>
    <w:uiPriority w:val="99"/>
    <w:semiHidden/>
    <w:qFormat/>
    <w:rsid w:val="00C21FAB"/>
    <w:rPr>
      <w:b/>
      <w:bCs/>
    </w:rPr>
  </w:style>
  <w:style w:type="paragraph" w:styleId="Bezodstpw">
    <w:name w:val="No Spacing"/>
    <w:basedOn w:val="Normalny"/>
    <w:link w:val="BezodstpwZnak"/>
    <w:semiHidden/>
    <w:qFormat/>
    <w:rsid w:val="00C21FAB"/>
    <w:rPr>
      <w:sz w:val="22"/>
    </w:rPr>
  </w:style>
  <w:style w:type="character" w:customStyle="1" w:styleId="BezodstpwZnak">
    <w:name w:val="Bez odstępów Znak"/>
    <w:basedOn w:val="Domylnaczcionkaakapitu"/>
    <w:link w:val="Bezodstpw"/>
    <w:semiHidden/>
    <w:rsid w:val="00C21FAB"/>
    <w:rPr>
      <w:rFonts w:eastAsiaTheme="minorEastAsia"/>
    </w:rPr>
  </w:style>
  <w:style w:type="paragraph" w:customStyle="1" w:styleId="ECHRParaQuote">
    <w:name w:val="ECHR_Para_Quote"/>
    <w:aliases w:val="Ju_Quot"/>
    <w:basedOn w:val="Normalny"/>
    <w:uiPriority w:val="14"/>
    <w:qFormat/>
    <w:rsid w:val="00C21FAB"/>
    <w:pPr>
      <w:spacing w:before="120" w:after="120"/>
      <w:ind w:left="425" w:firstLine="142"/>
    </w:pPr>
    <w:rPr>
      <w:sz w:val="20"/>
    </w:rPr>
  </w:style>
  <w:style w:type="paragraph" w:customStyle="1" w:styleId="JuParaSub">
    <w:name w:val="Ju_Para_Sub"/>
    <w:basedOn w:val="ECHRPara"/>
    <w:uiPriority w:val="13"/>
    <w:qFormat/>
    <w:rsid w:val="00C21FAB"/>
    <w:pPr>
      <w:ind w:left="284"/>
    </w:pPr>
  </w:style>
  <w:style w:type="paragraph" w:customStyle="1" w:styleId="OpiParaSub">
    <w:name w:val="Opi_Para_Sub"/>
    <w:basedOn w:val="JuParaSub"/>
    <w:uiPriority w:val="47"/>
    <w:qFormat/>
    <w:rsid w:val="00C21FAB"/>
  </w:style>
  <w:style w:type="paragraph" w:customStyle="1" w:styleId="OpiQuot">
    <w:name w:val="Opi_Quot"/>
    <w:basedOn w:val="ECHRParaQuote"/>
    <w:uiPriority w:val="48"/>
    <w:qFormat/>
    <w:rsid w:val="00C21FAB"/>
  </w:style>
  <w:style w:type="paragraph" w:customStyle="1" w:styleId="OpiQuotSub">
    <w:name w:val="Opi_Quot_Sub"/>
    <w:basedOn w:val="JuQuotSub"/>
    <w:uiPriority w:val="49"/>
    <w:qFormat/>
    <w:rsid w:val="00C21FAB"/>
  </w:style>
  <w:style w:type="paragraph" w:customStyle="1" w:styleId="ECHRTitleCentre3">
    <w:name w:val="ECHR_Title_Centre_3"/>
    <w:aliases w:val="Ju_H_Article"/>
    <w:basedOn w:val="Normalny"/>
    <w:next w:val="ECHRParaQuote"/>
    <w:uiPriority w:val="27"/>
    <w:qFormat/>
    <w:rsid w:val="00C21F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21FA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21FAB"/>
    <w:pPr>
      <w:ind w:left="567"/>
    </w:pPr>
  </w:style>
  <w:style w:type="paragraph" w:customStyle="1" w:styleId="ECHRTitle1">
    <w:name w:val="ECHR_Title_1"/>
    <w:aliases w:val="Ju_H_Head"/>
    <w:basedOn w:val="Normalny"/>
    <w:next w:val="ECHRPara"/>
    <w:uiPriority w:val="18"/>
    <w:qFormat/>
    <w:rsid w:val="00C21F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21FAB"/>
    <w:pPr>
      <w:tabs>
        <w:tab w:val="center" w:pos="6407"/>
      </w:tabs>
      <w:spacing w:before="720"/>
      <w:jc w:val="right"/>
    </w:pPr>
  </w:style>
  <w:style w:type="paragraph" w:customStyle="1" w:styleId="JuSigned">
    <w:name w:val="Ju_Signed"/>
    <w:basedOn w:val="Normalny"/>
    <w:next w:val="JuParaLast"/>
    <w:uiPriority w:val="32"/>
    <w:qFormat/>
    <w:rsid w:val="00C21FAB"/>
    <w:pPr>
      <w:tabs>
        <w:tab w:val="center" w:pos="851"/>
        <w:tab w:val="center" w:pos="6407"/>
      </w:tabs>
      <w:spacing w:before="720"/>
      <w:jc w:val="left"/>
    </w:pPr>
  </w:style>
  <w:style w:type="paragraph" w:styleId="Tytu">
    <w:name w:val="Title"/>
    <w:basedOn w:val="Normalny"/>
    <w:next w:val="Normalny"/>
    <w:link w:val="TytuZnak"/>
    <w:uiPriority w:val="99"/>
    <w:semiHidden/>
    <w:qFormat/>
    <w:rsid w:val="00C21F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21FA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21FAB"/>
    <w:pPr>
      <w:tabs>
        <w:tab w:val="clear" w:pos="357"/>
      </w:tabs>
      <w:outlineLvl w:val="1"/>
    </w:pPr>
    <w:rPr>
      <w:b/>
    </w:rPr>
  </w:style>
  <w:style w:type="character" w:customStyle="1" w:styleId="JUNAMES">
    <w:name w:val="JU_NAMES"/>
    <w:uiPriority w:val="17"/>
    <w:qFormat/>
    <w:rsid w:val="00C21FAB"/>
    <w:rPr>
      <w:caps w:val="0"/>
      <w:smallCaps/>
    </w:rPr>
  </w:style>
  <w:style w:type="character" w:customStyle="1" w:styleId="JuITMark">
    <w:name w:val="Ju_ITMark"/>
    <w:basedOn w:val="Domylnaczcionkaakapitu"/>
    <w:uiPriority w:val="38"/>
    <w:qFormat/>
    <w:rsid w:val="00C21FAB"/>
    <w:rPr>
      <w:vanish w:val="0"/>
      <w:color w:val="auto"/>
      <w:sz w:val="14"/>
    </w:rPr>
  </w:style>
  <w:style w:type="paragraph" w:customStyle="1" w:styleId="OpiTranslation">
    <w:name w:val="Opi_Translation"/>
    <w:basedOn w:val="Normalny"/>
    <w:next w:val="OpiPara"/>
    <w:uiPriority w:val="40"/>
    <w:qFormat/>
    <w:rsid w:val="00C21FAB"/>
    <w:pPr>
      <w:jc w:val="center"/>
      <w:outlineLvl w:val="0"/>
    </w:pPr>
    <w:rPr>
      <w:i/>
    </w:rPr>
  </w:style>
  <w:style w:type="paragraph" w:customStyle="1" w:styleId="JuCourt">
    <w:name w:val="Ju_Court"/>
    <w:basedOn w:val="Normalny"/>
    <w:next w:val="Normalny"/>
    <w:uiPriority w:val="16"/>
    <w:qFormat/>
    <w:rsid w:val="00C21FA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21F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21F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21F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21F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21F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21F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21FA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21FAB"/>
    <w:pPr>
      <w:keepNext/>
      <w:keepLines/>
      <w:spacing w:before="240"/>
      <w:ind w:firstLine="284"/>
    </w:pPr>
  </w:style>
  <w:style w:type="paragraph" w:customStyle="1" w:styleId="ECHRDecisionBody">
    <w:name w:val="ECHR_Decision_Body"/>
    <w:aliases w:val="Ju_Judges"/>
    <w:basedOn w:val="Normalny"/>
    <w:uiPriority w:val="11"/>
    <w:qFormat/>
    <w:rsid w:val="00C21FAB"/>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C21FAB"/>
    <w:pPr>
      <w:ind w:left="340" w:hanging="340"/>
    </w:pPr>
  </w:style>
  <w:style w:type="character" w:customStyle="1" w:styleId="Nagwek5Znak">
    <w:name w:val="Nagłówek 5 Znak"/>
    <w:basedOn w:val="Domylnaczcionkaakapitu"/>
    <w:link w:val="Nagwek5"/>
    <w:uiPriority w:val="99"/>
    <w:semiHidden/>
    <w:rsid w:val="00C21FAB"/>
    <w:rPr>
      <w:rFonts w:asciiTheme="majorHAnsi" w:eastAsiaTheme="majorEastAsia" w:hAnsiTheme="majorHAnsi" w:cstheme="majorBidi"/>
      <w:b/>
      <w:bCs/>
      <w:color w:val="808080"/>
    </w:rPr>
  </w:style>
  <w:style w:type="paragraph" w:customStyle="1" w:styleId="JuLista">
    <w:name w:val="Ju_List_a"/>
    <w:basedOn w:val="JuList"/>
    <w:uiPriority w:val="28"/>
    <w:qFormat/>
    <w:rsid w:val="00C21FAB"/>
    <w:pPr>
      <w:ind w:left="346" w:firstLine="0"/>
    </w:pPr>
  </w:style>
  <w:style w:type="paragraph" w:customStyle="1" w:styleId="JuListi">
    <w:name w:val="Ju_List_i"/>
    <w:basedOn w:val="Normalny"/>
    <w:next w:val="JuLista"/>
    <w:uiPriority w:val="28"/>
    <w:qFormat/>
    <w:rsid w:val="00C21FAB"/>
    <w:pPr>
      <w:ind w:left="794"/>
    </w:pPr>
  </w:style>
  <w:style w:type="character" w:styleId="Wyrnieniedelikatne">
    <w:name w:val="Subtle Emphasis"/>
    <w:uiPriority w:val="99"/>
    <w:semiHidden/>
    <w:qFormat/>
    <w:rsid w:val="00C21FAB"/>
    <w:rPr>
      <w:i/>
      <w:iCs/>
    </w:rPr>
  </w:style>
  <w:style w:type="paragraph" w:customStyle="1" w:styleId="OpiH1">
    <w:name w:val="Opi_H_1"/>
    <w:basedOn w:val="ECHRHeading2"/>
    <w:uiPriority w:val="42"/>
    <w:qFormat/>
    <w:rsid w:val="00C21FA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21FAB"/>
    <w:pPr>
      <w:ind w:left="833" w:hanging="357"/>
      <w:outlineLvl w:val="3"/>
    </w:pPr>
    <w:rPr>
      <w:b/>
      <w:i w:val="0"/>
      <w:sz w:val="20"/>
    </w:rPr>
  </w:style>
  <w:style w:type="paragraph" w:customStyle="1" w:styleId="OpiHi">
    <w:name w:val="Opi_H_i"/>
    <w:basedOn w:val="ECHRHeading4"/>
    <w:uiPriority w:val="44"/>
    <w:qFormat/>
    <w:rsid w:val="00C21FAB"/>
    <w:pPr>
      <w:ind w:left="1037" w:hanging="357"/>
      <w:outlineLvl w:val="4"/>
    </w:pPr>
    <w:rPr>
      <w:b w:val="0"/>
      <w:i/>
    </w:rPr>
  </w:style>
  <w:style w:type="paragraph" w:customStyle="1" w:styleId="DummyStyle">
    <w:name w:val="Dummy_Style"/>
    <w:basedOn w:val="Normalny"/>
    <w:semiHidden/>
    <w:qFormat/>
    <w:rsid w:val="00C21FAB"/>
    <w:rPr>
      <w:color w:val="00B050"/>
    </w:rPr>
  </w:style>
  <w:style w:type="character" w:styleId="Uwydatnienie">
    <w:name w:val="Emphasis"/>
    <w:uiPriority w:val="99"/>
    <w:semiHidden/>
    <w:qFormat/>
    <w:rsid w:val="00C21FAB"/>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21F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21F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21F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21FAB"/>
    <w:rPr>
      <w:b/>
      <w:bCs/>
    </w:rPr>
  </w:style>
  <w:style w:type="paragraph" w:styleId="Cytatintensywny">
    <w:name w:val="Intense Quote"/>
    <w:basedOn w:val="Normalny"/>
    <w:next w:val="Normalny"/>
    <w:link w:val="CytatintensywnyZnak"/>
    <w:uiPriority w:val="99"/>
    <w:semiHidden/>
    <w:qFormat/>
    <w:rsid w:val="00C21F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21FAB"/>
    <w:rPr>
      <w:rFonts w:eastAsiaTheme="minorEastAsia"/>
      <w:b/>
      <w:bCs/>
      <w:i/>
      <w:iCs/>
      <w:lang w:bidi="en-US"/>
    </w:rPr>
  </w:style>
  <w:style w:type="character" w:styleId="Odwoanieintensywne">
    <w:name w:val="Intense Reference"/>
    <w:uiPriority w:val="99"/>
    <w:semiHidden/>
    <w:qFormat/>
    <w:rsid w:val="00C21FAB"/>
    <w:rPr>
      <w:smallCaps/>
      <w:spacing w:val="5"/>
      <w:u w:val="single"/>
    </w:rPr>
  </w:style>
  <w:style w:type="paragraph" w:styleId="Akapitzlist">
    <w:name w:val="List Paragraph"/>
    <w:basedOn w:val="Normalny"/>
    <w:uiPriority w:val="99"/>
    <w:semiHidden/>
    <w:qFormat/>
    <w:rsid w:val="00C21FA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21FAB"/>
    <w:pPr>
      <w:spacing w:before="200"/>
      <w:ind w:left="360" w:right="360"/>
    </w:pPr>
    <w:rPr>
      <w:i/>
      <w:iCs/>
      <w:sz w:val="22"/>
      <w:lang w:bidi="en-US"/>
    </w:rPr>
  </w:style>
  <w:style w:type="character" w:customStyle="1" w:styleId="CytatZnak">
    <w:name w:val="Cytat Znak"/>
    <w:basedOn w:val="Domylnaczcionkaakapitu"/>
    <w:link w:val="Cytat"/>
    <w:uiPriority w:val="99"/>
    <w:semiHidden/>
    <w:rsid w:val="00C21FAB"/>
    <w:rPr>
      <w:rFonts w:eastAsiaTheme="minorEastAsia"/>
      <w:i/>
      <w:iCs/>
      <w:lang w:bidi="en-US"/>
    </w:rPr>
  </w:style>
  <w:style w:type="character" w:styleId="Odwoaniedelikatne">
    <w:name w:val="Subtle Reference"/>
    <w:uiPriority w:val="99"/>
    <w:semiHidden/>
    <w:qFormat/>
    <w:rsid w:val="00C21FAB"/>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semiHidden/>
    <w:rsid w:val="00EA185E"/>
    <w:pPr>
      <w:spacing w:after="60"/>
      <w:ind w:left="680" w:right="340" w:hanging="340"/>
    </w:pPr>
  </w:style>
  <w:style w:type="paragraph" w:styleId="Spistreci3">
    <w:name w:val="toc 3"/>
    <w:basedOn w:val="Normalny"/>
    <w:next w:val="Normalny"/>
    <w:autoRedefine/>
    <w:uiPriority w:val="3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21F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21F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21F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N_Para,Left,First line:  0 cm"/>
    <w:basedOn w:val="Normalny"/>
    <w:link w:val="JuParaChar"/>
    <w:uiPriority w:val="12"/>
    <w:qFormat/>
    <w:rsid w:val="00C21FA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aliases w:val="ECHR_Para Char"/>
    <w:link w:val="ECHRPara"/>
    <w:uiPriority w:val="12"/>
    <w:rsid w:val="00E740BF"/>
    <w:rPr>
      <w:rFonts w:eastAsiaTheme="minorEastAsia"/>
      <w:sz w:val="24"/>
    </w:rPr>
  </w:style>
  <w:style w:type="numbering" w:customStyle="1" w:styleId="1ai1">
    <w:name w:val="1 / a / i1"/>
    <w:basedOn w:val="Bezlisty"/>
    <w:next w:val="1ai"/>
    <w:uiPriority w:val="99"/>
    <w:semiHidden/>
    <w:rsid w:val="00E740BF"/>
    <w:pPr>
      <w:numPr>
        <w:numId w:val="21"/>
      </w:numPr>
    </w:pPr>
  </w:style>
  <w:style w:type="numbering" w:customStyle="1" w:styleId="ArticleSection1">
    <w:name w:val="Article / Section1"/>
    <w:basedOn w:val="Bezlisty"/>
    <w:next w:val="Artykusekcja"/>
    <w:uiPriority w:val="99"/>
    <w:semiHidden/>
    <w:rsid w:val="00E740BF"/>
    <w:pPr>
      <w:numPr>
        <w:numId w:val="22"/>
      </w:numPr>
    </w:pPr>
  </w:style>
  <w:style w:type="paragraph" w:customStyle="1" w:styleId="jupara">
    <w:name w:val="jupara"/>
    <w:basedOn w:val="Normalny"/>
    <w:rsid w:val="00CE15E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E15E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21FA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21F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21F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21F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21F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C21FAB"/>
    <w:rPr>
      <w:i/>
      <w:iCs/>
      <w:smallCaps/>
      <w:spacing w:val="5"/>
    </w:rPr>
  </w:style>
  <w:style w:type="paragraph" w:customStyle="1" w:styleId="ECHRHeader">
    <w:name w:val="ECHR_Header"/>
    <w:aliases w:val="Ju_Header"/>
    <w:basedOn w:val="Nagwek"/>
    <w:uiPriority w:val="4"/>
    <w:qFormat/>
    <w:rsid w:val="00C21FAB"/>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C21FAB"/>
  </w:style>
  <w:style w:type="character" w:styleId="Pogrubienie">
    <w:name w:val="Strong"/>
    <w:uiPriority w:val="99"/>
    <w:semiHidden/>
    <w:qFormat/>
    <w:rsid w:val="00C21FAB"/>
    <w:rPr>
      <w:b/>
      <w:bCs/>
    </w:rPr>
  </w:style>
  <w:style w:type="paragraph" w:styleId="Bezodstpw">
    <w:name w:val="No Spacing"/>
    <w:basedOn w:val="Normalny"/>
    <w:link w:val="BezodstpwZnak"/>
    <w:semiHidden/>
    <w:qFormat/>
    <w:rsid w:val="00C21FAB"/>
    <w:rPr>
      <w:sz w:val="22"/>
    </w:rPr>
  </w:style>
  <w:style w:type="character" w:customStyle="1" w:styleId="BezodstpwZnak">
    <w:name w:val="Bez odstępów Znak"/>
    <w:basedOn w:val="Domylnaczcionkaakapitu"/>
    <w:link w:val="Bezodstpw"/>
    <w:semiHidden/>
    <w:rsid w:val="00C21FAB"/>
    <w:rPr>
      <w:rFonts w:eastAsiaTheme="minorEastAsia"/>
    </w:rPr>
  </w:style>
  <w:style w:type="paragraph" w:customStyle="1" w:styleId="ECHRParaQuote">
    <w:name w:val="ECHR_Para_Quote"/>
    <w:aliases w:val="Ju_Quot"/>
    <w:basedOn w:val="Normalny"/>
    <w:uiPriority w:val="14"/>
    <w:qFormat/>
    <w:rsid w:val="00C21FAB"/>
    <w:pPr>
      <w:spacing w:before="120" w:after="120"/>
      <w:ind w:left="425" w:firstLine="142"/>
    </w:pPr>
    <w:rPr>
      <w:sz w:val="20"/>
    </w:rPr>
  </w:style>
  <w:style w:type="paragraph" w:customStyle="1" w:styleId="JuParaSub">
    <w:name w:val="Ju_Para_Sub"/>
    <w:basedOn w:val="ECHRPara"/>
    <w:uiPriority w:val="13"/>
    <w:qFormat/>
    <w:rsid w:val="00C21FAB"/>
    <w:pPr>
      <w:ind w:left="284"/>
    </w:pPr>
  </w:style>
  <w:style w:type="paragraph" w:customStyle="1" w:styleId="OpiParaSub">
    <w:name w:val="Opi_Para_Sub"/>
    <w:basedOn w:val="JuParaSub"/>
    <w:uiPriority w:val="47"/>
    <w:qFormat/>
    <w:rsid w:val="00C21FAB"/>
  </w:style>
  <w:style w:type="paragraph" w:customStyle="1" w:styleId="OpiQuot">
    <w:name w:val="Opi_Quot"/>
    <w:basedOn w:val="ECHRParaQuote"/>
    <w:uiPriority w:val="48"/>
    <w:qFormat/>
    <w:rsid w:val="00C21FAB"/>
  </w:style>
  <w:style w:type="paragraph" w:customStyle="1" w:styleId="OpiQuotSub">
    <w:name w:val="Opi_Quot_Sub"/>
    <w:basedOn w:val="JuQuotSub"/>
    <w:uiPriority w:val="49"/>
    <w:qFormat/>
    <w:rsid w:val="00C21FAB"/>
  </w:style>
  <w:style w:type="paragraph" w:customStyle="1" w:styleId="ECHRTitleCentre3">
    <w:name w:val="ECHR_Title_Centre_3"/>
    <w:aliases w:val="Ju_H_Article"/>
    <w:basedOn w:val="Normalny"/>
    <w:next w:val="ECHRParaQuote"/>
    <w:uiPriority w:val="27"/>
    <w:qFormat/>
    <w:rsid w:val="00C21F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21FA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21FAB"/>
    <w:pPr>
      <w:ind w:left="567"/>
    </w:pPr>
  </w:style>
  <w:style w:type="paragraph" w:customStyle="1" w:styleId="ECHRTitle1">
    <w:name w:val="ECHR_Title_1"/>
    <w:aliases w:val="Ju_H_Head"/>
    <w:basedOn w:val="Normalny"/>
    <w:next w:val="ECHRPara"/>
    <w:uiPriority w:val="18"/>
    <w:qFormat/>
    <w:rsid w:val="00C21F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21FAB"/>
    <w:pPr>
      <w:tabs>
        <w:tab w:val="center" w:pos="6407"/>
      </w:tabs>
      <w:spacing w:before="720"/>
      <w:jc w:val="right"/>
    </w:pPr>
  </w:style>
  <w:style w:type="paragraph" w:customStyle="1" w:styleId="JuSigned">
    <w:name w:val="Ju_Signed"/>
    <w:basedOn w:val="Normalny"/>
    <w:next w:val="JuParaLast"/>
    <w:uiPriority w:val="32"/>
    <w:qFormat/>
    <w:rsid w:val="00C21FAB"/>
    <w:pPr>
      <w:tabs>
        <w:tab w:val="center" w:pos="851"/>
        <w:tab w:val="center" w:pos="6407"/>
      </w:tabs>
      <w:spacing w:before="720"/>
      <w:jc w:val="left"/>
    </w:pPr>
  </w:style>
  <w:style w:type="paragraph" w:styleId="Tytu">
    <w:name w:val="Title"/>
    <w:basedOn w:val="Normalny"/>
    <w:next w:val="Normalny"/>
    <w:link w:val="TytuZnak"/>
    <w:uiPriority w:val="99"/>
    <w:semiHidden/>
    <w:qFormat/>
    <w:rsid w:val="00C21F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21FA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C21FAB"/>
    <w:pPr>
      <w:tabs>
        <w:tab w:val="clear" w:pos="357"/>
      </w:tabs>
      <w:outlineLvl w:val="1"/>
    </w:pPr>
    <w:rPr>
      <w:b/>
    </w:rPr>
  </w:style>
  <w:style w:type="character" w:customStyle="1" w:styleId="JUNAMES">
    <w:name w:val="JU_NAMES"/>
    <w:uiPriority w:val="17"/>
    <w:qFormat/>
    <w:rsid w:val="00C21FAB"/>
    <w:rPr>
      <w:caps w:val="0"/>
      <w:smallCaps/>
    </w:rPr>
  </w:style>
  <w:style w:type="character" w:customStyle="1" w:styleId="JuITMark">
    <w:name w:val="Ju_ITMark"/>
    <w:basedOn w:val="Domylnaczcionkaakapitu"/>
    <w:uiPriority w:val="38"/>
    <w:qFormat/>
    <w:rsid w:val="00C21FAB"/>
    <w:rPr>
      <w:vanish w:val="0"/>
      <w:color w:val="auto"/>
      <w:sz w:val="14"/>
    </w:rPr>
  </w:style>
  <w:style w:type="paragraph" w:customStyle="1" w:styleId="OpiTranslation">
    <w:name w:val="Opi_Translation"/>
    <w:basedOn w:val="Normalny"/>
    <w:next w:val="OpiPara"/>
    <w:uiPriority w:val="40"/>
    <w:qFormat/>
    <w:rsid w:val="00C21FAB"/>
    <w:pPr>
      <w:jc w:val="center"/>
      <w:outlineLvl w:val="0"/>
    </w:pPr>
    <w:rPr>
      <w:i/>
    </w:rPr>
  </w:style>
  <w:style w:type="paragraph" w:customStyle="1" w:styleId="JuCourt">
    <w:name w:val="Ju_Court"/>
    <w:basedOn w:val="Normalny"/>
    <w:next w:val="Normalny"/>
    <w:uiPriority w:val="16"/>
    <w:qFormat/>
    <w:rsid w:val="00C21FA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21F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21F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21F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21F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21F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21F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21FA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uiPriority w:val="30"/>
    <w:qFormat/>
    <w:rsid w:val="00C21FAB"/>
    <w:pPr>
      <w:keepNext/>
      <w:keepLines/>
      <w:spacing w:before="240"/>
      <w:ind w:firstLine="284"/>
    </w:pPr>
  </w:style>
  <w:style w:type="paragraph" w:customStyle="1" w:styleId="ECHRDecisionBody">
    <w:name w:val="ECHR_Decision_Body"/>
    <w:aliases w:val="Ju_Judges"/>
    <w:basedOn w:val="Normalny"/>
    <w:uiPriority w:val="11"/>
    <w:qFormat/>
    <w:rsid w:val="00C21FAB"/>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uiPriority w:val="28"/>
    <w:qFormat/>
    <w:rsid w:val="00C21FAB"/>
    <w:pPr>
      <w:ind w:left="340" w:hanging="340"/>
    </w:pPr>
  </w:style>
  <w:style w:type="character" w:customStyle="1" w:styleId="Nagwek5Znak">
    <w:name w:val="Nagłówek 5 Znak"/>
    <w:basedOn w:val="Domylnaczcionkaakapitu"/>
    <w:link w:val="Nagwek5"/>
    <w:uiPriority w:val="99"/>
    <w:semiHidden/>
    <w:rsid w:val="00C21FAB"/>
    <w:rPr>
      <w:rFonts w:asciiTheme="majorHAnsi" w:eastAsiaTheme="majorEastAsia" w:hAnsiTheme="majorHAnsi" w:cstheme="majorBidi"/>
      <w:b/>
      <w:bCs/>
      <w:color w:val="808080"/>
    </w:rPr>
  </w:style>
  <w:style w:type="paragraph" w:customStyle="1" w:styleId="JuLista">
    <w:name w:val="Ju_List_a"/>
    <w:basedOn w:val="JuList"/>
    <w:uiPriority w:val="28"/>
    <w:qFormat/>
    <w:rsid w:val="00C21FAB"/>
    <w:pPr>
      <w:ind w:left="346" w:firstLine="0"/>
    </w:pPr>
  </w:style>
  <w:style w:type="paragraph" w:customStyle="1" w:styleId="JuListi">
    <w:name w:val="Ju_List_i"/>
    <w:basedOn w:val="Normalny"/>
    <w:next w:val="JuLista"/>
    <w:uiPriority w:val="28"/>
    <w:qFormat/>
    <w:rsid w:val="00C21FAB"/>
    <w:pPr>
      <w:ind w:left="794"/>
    </w:pPr>
  </w:style>
  <w:style w:type="character" w:styleId="Wyrnieniedelikatne">
    <w:name w:val="Subtle Emphasis"/>
    <w:uiPriority w:val="99"/>
    <w:semiHidden/>
    <w:qFormat/>
    <w:rsid w:val="00C21FAB"/>
    <w:rPr>
      <w:i/>
      <w:iCs/>
    </w:rPr>
  </w:style>
  <w:style w:type="paragraph" w:customStyle="1" w:styleId="OpiH1">
    <w:name w:val="Opi_H_1"/>
    <w:basedOn w:val="ECHRHeading2"/>
    <w:uiPriority w:val="42"/>
    <w:qFormat/>
    <w:rsid w:val="00C21FA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C21FAB"/>
    <w:pPr>
      <w:ind w:left="833" w:hanging="357"/>
      <w:outlineLvl w:val="3"/>
    </w:pPr>
    <w:rPr>
      <w:b/>
      <w:i w:val="0"/>
      <w:sz w:val="20"/>
    </w:rPr>
  </w:style>
  <w:style w:type="paragraph" w:customStyle="1" w:styleId="OpiHi">
    <w:name w:val="Opi_H_i"/>
    <w:basedOn w:val="ECHRHeading4"/>
    <w:uiPriority w:val="44"/>
    <w:qFormat/>
    <w:rsid w:val="00C21FAB"/>
    <w:pPr>
      <w:ind w:left="1037" w:hanging="357"/>
      <w:outlineLvl w:val="4"/>
    </w:pPr>
    <w:rPr>
      <w:b w:val="0"/>
      <w:i/>
    </w:rPr>
  </w:style>
  <w:style w:type="paragraph" w:customStyle="1" w:styleId="DummyStyle">
    <w:name w:val="Dummy_Style"/>
    <w:basedOn w:val="Normalny"/>
    <w:semiHidden/>
    <w:qFormat/>
    <w:rsid w:val="00C21FAB"/>
    <w:rPr>
      <w:color w:val="00B050"/>
    </w:rPr>
  </w:style>
  <w:style w:type="character" w:styleId="Uwydatnienie">
    <w:name w:val="Emphasis"/>
    <w:uiPriority w:val="99"/>
    <w:semiHidden/>
    <w:qFormat/>
    <w:rsid w:val="00C21FAB"/>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C21F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21F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21F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C21FAB"/>
    <w:rPr>
      <w:b/>
      <w:bCs/>
    </w:rPr>
  </w:style>
  <w:style w:type="paragraph" w:styleId="Cytatintensywny">
    <w:name w:val="Intense Quote"/>
    <w:basedOn w:val="Normalny"/>
    <w:next w:val="Normalny"/>
    <w:link w:val="CytatintensywnyZnak"/>
    <w:uiPriority w:val="99"/>
    <w:semiHidden/>
    <w:qFormat/>
    <w:rsid w:val="00C21F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21FAB"/>
    <w:rPr>
      <w:rFonts w:eastAsiaTheme="minorEastAsia"/>
      <w:b/>
      <w:bCs/>
      <w:i/>
      <w:iCs/>
      <w:lang w:bidi="en-US"/>
    </w:rPr>
  </w:style>
  <w:style w:type="character" w:styleId="Odwoanieintensywne">
    <w:name w:val="Intense Reference"/>
    <w:uiPriority w:val="99"/>
    <w:semiHidden/>
    <w:qFormat/>
    <w:rsid w:val="00C21FAB"/>
    <w:rPr>
      <w:smallCaps/>
      <w:spacing w:val="5"/>
      <w:u w:val="single"/>
    </w:rPr>
  </w:style>
  <w:style w:type="paragraph" w:styleId="Akapitzlist">
    <w:name w:val="List Paragraph"/>
    <w:basedOn w:val="Normalny"/>
    <w:uiPriority w:val="99"/>
    <w:semiHidden/>
    <w:qFormat/>
    <w:rsid w:val="00C21FA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21FAB"/>
    <w:pPr>
      <w:spacing w:before="200"/>
      <w:ind w:left="360" w:right="360"/>
    </w:pPr>
    <w:rPr>
      <w:i/>
      <w:iCs/>
      <w:sz w:val="22"/>
      <w:lang w:bidi="en-US"/>
    </w:rPr>
  </w:style>
  <w:style w:type="character" w:customStyle="1" w:styleId="CytatZnak">
    <w:name w:val="Cytat Znak"/>
    <w:basedOn w:val="Domylnaczcionkaakapitu"/>
    <w:link w:val="Cytat"/>
    <w:uiPriority w:val="99"/>
    <w:semiHidden/>
    <w:rsid w:val="00C21FAB"/>
    <w:rPr>
      <w:rFonts w:eastAsiaTheme="minorEastAsia"/>
      <w:i/>
      <w:iCs/>
      <w:lang w:bidi="en-US"/>
    </w:rPr>
  </w:style>
  <w:style w:type="character" w:styleId="Odwoaniedelikatne">
    <w:name w:val="Subtle Reference"/>
    <w:uiPriority w:val="99"/>
    <w:semiHidden/>
    <w:qFormat/>
    <w:rsid w:val="00C21FAB"/>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semiHidden/>
    <w:rsid w:val="00EA185E"/>
    <w:pPr>
      <w:spacing w:after="60"/>
      <w:ind w:left="680" w:right="340" w:hanging="340"/>
    </w:pPr>
  </w:style>
  <w:style w:type="paragraph" w:styleId="Spistreci3">
    <w:name w:val="toc 3"/>
    <w:basedOn w:val="Normalny"/>
    <w:next w:val="Normalny"/>
    <w:autoRedefine/>
    <w:uiPriority w:val="3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C21F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21F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21F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N_Para,Left,First line:  0 cm"/>
    <w:basedOn w:val="Normalny"/>
    <w:link w:val="JuParaChar"/>
    <w:uiPriority w:val="12"/>
    <w:qFormat/>
    <w:rsid w:val="00C21FA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ParaChar">
    <w:name w:val="Ju_Para Char"/>
    <w:aliases w:val="ECHR_Para Char"/>
    <w:link w:val="ECHRPara"/>
    <w:uiPriority w:val="12"/>
    <w:rsid w:val="00E740BF"/>
    <w:rPr>
      <w:rFonts w:eastAsiaTheme="minorEastAsia"/>
      <w:sz w:val="24"/>
    </w:rPr>
  </w:style>
  <w:style w:type="numbering" w:customStyle="1" w:styleId="1ai1">
    <w:name w:val="1 / a / i1"/>
    <w:basedOn w:val="Bezlisty"/>
    <w:next w:val="1ai"/>
    <w:uiPriority w:val="99"/>
    <w:semiHidden/>
    <w:rsid w:val="00E740BF"/>
    <w:pPr>
      <w:numPr>
        <w:numId w:val="21"/>
      </w:numPr>
    </w:pPr>
  </w:style>
  <w:style w:type="numbering" w:customStyle="1" w:styleId="ArticleSection1">
    <w:name w:val="Article / Section1"/>
    <w:basedOn w:val="Bezlisty"/>
    <w:next w:val="Artykusekcja"/>
    <w:uiPriority w:val="99"/>
    <w:semiHidden/>
    <w:rsid w:val="00E740BF"/>
    <w:pPr>
      <w:numPr>
        <w:numId w:val="22"/>
      </w:numPr>
    </w:pPr>
  </w:style>
  <w:style w:type="paragraph" w:customStyle="1" w:styleId="jupara">
    <w:name w:val="jupara"/>
    <w:basedOn w:val="Normalny"/>
    <w:rsid w:val="00CE15E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E15E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866381">
      <w:bodyDiv w:val="1"/>
      <w:marLeft w:val="0"/>
      <w:marRight w:val="0"/>
      <w:marTop w:val="0"/>
      <w:marBottom w:val="0"/>
      <w:divBdr>
        <w:top w:val="none" w:sz="0" w:space="0" w:color="auto"/>
        <w:left w:val="none" w:sz="0" w:space="0" w:color="auto"/>
        <w:bottom w:val="none" w:sz="0" w:space="0" w:color="auto"/>
        <w:right w:val="none" w:sz="0" w:space="0" w:color="auto"/>
      </w:divBdr>
      <w:divsChild>
        <w:div w:id="1541825324">
          <w:marLeft w:val="0"/>
          <w:marRight w:val="0"/>
          <w:marTop w:val="0"/>
          <w:marBottom w:val="0"/>
          <w:divBdr>
            <w:top w:val="none" w:sz="0" w:space="0" w:color="auto"/>
            <w:left w:val="none" w:sz="0" w:space="0" w:color="auto"/>
            <w:bottom w:val="none" w:sz="0" w:space="0" w:color="auto"/>
            <w:right w:val="none" w:sz="0" w:space="0" w:color="auto"/>
          </w:divBdr>
        </w:div>
      </w:divsChild>
    </w:div>
    <w:div w:id="1112554686">
      <w:bodyDiv w:val="1"/>
      <w:marLeft w:val="0"/>
      <w:marRight w:val="0"/>
      <w:marTop w:val="0"/>
      <w:marBottom w:val="0"/>
      <w:divBdr>
        <w:top w:val="none" w:sz="0" w:space="0" w:color="auto"/>
        <w:left w:val="none" w:sz="0" w:space="0" w:color="auto"/>
        <w:bottom w:val="none" w:sz="0" w:space="0" w:color="auto"/>
        <w:right w:val="none" w:sz="0" w:space="0" w:color="auto"/>
      </w:divBdr>
    </w:div>
    <w:div w:id="1310742625">
      <w:bodyDiv w:val="1"/>
      <w:marLeft w:val="0"/>
      <w:marRight w:val="0"/>
      <w:marTop w:val="0"/>
      <w:marBottom w:val="0"/>
      <w:divBdr>
        <w:top w:val="none" w:sz="0" w:space="0" w:color="auto"/>
        <w:left w:val="none" w:sz="0" w:space="0" w:color="auto"/>
        <w:bottom w:val="none" w:sz="0" w:space="0" w:color="auto"/>
        <w:right w:val="none" w:sz="0" w:space="0" w:color="auto"/>
      </w:divBdr>
      <w:divsChild>
        <w:div w:id="541788356">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005A5-A60D-488F-9150-6F2251F2D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2466D79-B8B4-458B-BD2F-DB3F1CC63708}">
  <ds:schemaRefs>
    <ds:schemaRef ds:uri="http://schemas.microsoft.com/sharepoint/v3/contenttype/forms"/>
  </ds:schemaRefs>
</ds:datastoreItem>
</file>

<file path=customXml/itemProps3.xml><?xml version="1.0" encoding="utf-8"?>
<ds:datastoreItem xmlns:ds="http://schemas.openxmlformats.org/officeDocument/2006/customXml" ds:itemID="{B774F77F-1036-4B54-80C9-BA0244741D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55FB73-A4AB-4D02-952B-17985EDA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5037</Words>
  <Characters>30227</Characters>
  <Application>Microsoft Office Word</Application>
  <DocSecurity>0</DocSecurity>
  <Lines>251</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2016-12-22T14:20:00Z</dcterms:created>
  <dcterms:modified xsi:type="dcterms:W3CDTF">2017-05-23T12:41:00Z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