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C19" w:rsidRPr="00241BF2" w:rsidRDefault="00722C19" w:rsidP="00C30F73">
      <w:pPr>
        <w:jc w:val="center"/>
        <w:rPr>
          <w:lang w:val="pl-PL"/>
        </w:rPr>
      </w:pPr>
    </w:p>
    <w:p w:rsidR="001A078D" w:rsidRPr="003C53C6" w:rsidRDefault="00717AAF" w:rsidP="009A7420">
      <w:pPr>
        <w:spacing w:after="120"/>
        <w:jc w:val="both"/>
        <w:rPr>
          <w:rFonts w:ascii="Arial" w:hAnsi="Arial" w:cs="Arial"/>
          <w:sz w:val="20"/>
          <w:lang w:val="pl-PL"/>
        </w:rPr>
      </w:pPr>
      <w:r w:rsidRPr="003C53C6">
        <w:rPr>
          <w:rFonts w:ascii="Arial" w:hAnsi="Arial" w:cs="Arial"/>
          <w:sz w:val="20"/>
          <w:lang w:val="pl-PL"/>
        </w:rPr>
        <w:t xml:space="preserve"> </w:t>
      </w:r>
    </w:p>
    <w:p w:rsidR="00717AAF" w:rsidRDefault="00717AAF" w:rsidP="009A7420">
      <w:pPr>
        <w:spacing w:after="120"/>
        <w:jc w:val="both"/>
        <w:rPr>
          <w:rFonts w:ascii="Arial" w:hAnsi="Arial" w:cs="Arial"/>
          <w:sz w:val="20"/>
          <w:lang w:val="pl-PL"/>
        </w:rPr>
      </w:pPr>
    </w:p>
    <w:p w:rsidR="001A078D" w:rsidRDefault="001A078D" w:rsidP="001A078D">
      <w:pPr>
        <w:spacing w:after="120"/>
        <w:rPr>
          <w:rFonts w:ascii="Arial" w:hAnsi="Arial" w:cs="Arial"/>
          <w:sz w:val="20"/>
          <w:lang w:val="pl-PL"/>
        </w:rPr>
      </w:pPr>
    </w:p>
    <w:p w:rsidR="001A078D" w:rsidRDefault="001A078D" w:rsidP="001A078D">
      <w:pPr>
        <w:jc w:val="center"/>
        <w:rPr>
          <w:lang w:val="pl-PL"/>
        </w:rPr>
      </w:pPr>
      <w:r>
        <w:rPr>
          <w:lang w:val="pl-PL"/>
        </w:rPr>
        <w:t>EUROPEJSKI TRYBUNAŁ PRAW CZŁOWIEKA</w:t>
      </w:r>
    </w:p>
    <w:p w:rsidR="00722C19" w:rsidRPr="00241BF2" w:rsidRDefault="00722C19" w:rsidP="00C30F73">
      <w:pPr>
        <w:jc w:val="center"/>
        <w:rPr>
          <w:lang w:val="pl-PL"/>
        </w:rPr>
      </w:pPr>
    </w:p>
    <w:p w:rsidR="00722C19" w:rsidRPr="00B9782C" w:rsidRDefault="00722C19" w:rsidP="00C30F73">
      <w:pPr>
        <w:jc w:val="center"/>
        <w:rPr>
          <w:lang w:val="pl-PL"/>
        </w:rPr>
      </w:pPr>
      <w:r w:rsidRPr="00B9782C">
        <w:rPr>
          <w:lang w:val="pl-PL"/>
        </w:rPr>
        <w:t>CZWARTA SEKCJA</w:t>
      </w:r>
    </w:p>
    <w:p w:rsidR="00722C19" w:rsidRPr="00B9782C" w:rsidRDefault="00722C19" w:rsidP="00C30F73">
      <w:pPr>
        <w:jc w:val="center"/>
        <w:rPr>
          <w:lang w:val="pl-PL"/>
        </w:rPr>
      </w:pPr>
    </w:p>
    <w:p w:rsidR="00722C19" w:rsidRPr="00B9782C" w:rsidRDefault="00722C19" w:rsidP="00C30F73">
      <w:pPr>
        <w:jc w:val="center"/>
        <w:rPr>
          <w:lang w:val="pl-PL"/>
        </w:rPr>
      </w:pPr>
    </w:p>
    <w:p w:rsidR="00722C19" w:rsidRPr="00B9782C" w:rsidRDefault="00722C19" w:rsidP="00C30F73">
      <w:pPr>
        <w:jc w:val="center"/>
        <w:rPr>
          <w:lang w:val="pl-PL"/>
        </w:rPr>
      </w:pPr>
    </w:p>
    <w:p w:rsidR="003C53C6" w:rsidRDefault="003C53C6" w:rsidP="00C30F73">
      <w:pPr>
        <w:jc w:val="center"/>
        <w:rPr>
          <w:b/>
          <w:lang w:val="pl-PL"/>
        </w:rPr>
      </w:pPr>
    </w:p>
    <w:p w:rsidR="003C53C6" w:rsidRDefault="003C53C6" w:rsidP="00C30F73">
      <w:pPr>
        <w:jc w:val="center"/>
        <w:rPr>
          <w:b/>
          <w:lang w:val="pl-PL"/>
        </w:rPr>
      </w:pPr>
    </w:p>
    <w:p w:rsidR="00722C19" w:rsidRPr="00B9782C" w:rsidRDefault="00722C19" w:rsidP="00C30F73">
      <w:pPr>
        <w:jc w:val="center"/>
        <w:rPr>
          <w:b/>
          <w:lang w:val="pl-PL"/>
        </w:rPr>
      </w:pPr>
      <w:r w:rsidRPr="00B9782C">
        <w:rPr>
          <w:b/>
          <w:lang w:val="pl-PL"/>
        </w:rPr>
        <w:t xml:space="preserve">SPRAWA EL KASHIF </w:t>
      </w:r>
      <w:r>
        <w:rPr>
          <w:b/>
          <w:lang w:val="pl-PL"/>
        </w:rPr>
        <w:t>p. POLSCE</w:t>
      </w:r>
    </w:p>
    <w:p w:rsidR="00722C19" w:rsidRPr="00B9782C" w:rsidRDefault="00722C19" w:rsidP="00C30F73">
      <w:pPr>
        <w:jc w:val="center"/>
        <w:rPr>
          <w:lang w:val="pl-PL"/>
        </w:rPr>
      </w:pPr>
    </w:p>
    <w:p w:rsidR="00722C19" w:rsidRPr="00B9782C" w:rsidRDefault="00722C19" w:rsidP="00C30F73">
      <w:pPr>
        <w:jc w:val="center"/>
        <w:rPr>
          <w:szCs w:val="24"/>
          <w:lang w:val="pl-PL"/>
        </w:rPr>
      </w:pPr>
      <w:r w:rsidRPr="00B9782C">
        <w:rPr>
          <w:i/>
          <w:lang w:val="pl-PL"/>
        </w:rPr>
        <w:t>(</w:t>
      </w:r>
      <w:r>
        <w:rPr>
          <w:i/>
          <w:lang w:val="pl-PL"/>
        </w:rPr>
        <w:t>Skar</w:t>
      </w:r>
      <w:r w:rsidRPr="00B9782C">
        <w:rPr>
          <w:i/>
          <w:lang w:val="pl-PL"/>
        </w:rPr>
        <w:t>ga nr 69398/11)</w:t>
      </w:r>
    </w:p>
    <w:p w:rsidR="00722C19" w:rsidRPr="00B9782C" w:rsidRDefault="00722C19" w:rsidP="00C30F73">
      <w:pPr>
        <w:jc w:val="center"/>
        <w:rPr>
          <w:szCs w:val="24"/>
          <w:lang w:val="pl-PL"/>
        </w:rPr>
      </w:pPr>
    </w:p>
    <w:p w:rsidR="00722C19" w:rsidRPr="00B9782C" w:rsidRDefault="00722C19" w:rsidP="00C30F73">
      <w:pPr>
        <w:jc w:val="center"/>
        <w:rPr>
          <w:szCs w:val="24"/>
          <w:lang w:val="pl-PL"/>
        </w:rPr>
      </w:pPr>
    </w:p>
    <w:p w:rsidR="00722C19" w:rsidRPr="00B9782C" w:rsidRDefault="00722C19" w:rsidP="00C30F73">
      <w:pPr>
        <w:jc w:val="center"/>
        <w:rPr>
          <w:szCs w:val="24"/>
          <w:lang w:val="pl-PL"/>
        </w:rPr>
      </w:pPr>
    </w:p>
    <w:p w:rsidR="003C53C6" w:rsidRDefault="003C53C6" w:rsidP="00C30F73">
      <w:pPr>
        <w:jc w:val="center"/>
        <w:rPr>
          <w:szCs w:val="24"/>
          <w:lang w:val="pl-PL"/>
        </w:rPr>
      </w:pPr>
    </w:p>
    <w:p w:rsidR="003C53C6" w:rsidRDefault="003C53C6" w:rsidP="00C30F73">
      <w:pPr>
        <w:jc w:val="center"/>
        <w:rPr>
          <w:szCs w:val="24"/>
          <w:lang w:val="pl-PL"/>
        </w:rPr>
      </w:pPr>
    </w:p>
    <w:p w:rsidR="003C53C6" w:rsidRDefault="003C53C6" w:rsidP="00C30F73">
      <w:pPr>
        <w:jc w:val="center"/>
        <w:rPr>
          <w:szCs w:val="24"/>
          <w:lang w:val="pl-PL"/>
        </w:rPr>
      </w:pPr>
    </w:p>
    <w:p w:rsidR="003C53C6" w:rsidRDefault="003C53C6" w:rsidP="00C30F73">
      <w:pPr>
        <w:jc w:val="center"/>
        <w:rPr>
          <w:szCs w:val="24"/>
          <w:lang w:val="pl-PL"/>
        </w:rPr>
      </w:pPr>
    </w:p>
    <w:p w:rsidR="00722C19" w:rsidRPr="00B9782C" w:rsidRDefault="00722C19" w:rsidP="00C30F73">
      <w:pPr>
        <w:jc w:val="center"/>
        <w:rPr>
          <w:szCs w:val="24"/>
          <w:lang w:val="pl-PL"/>
        </w:rPr>
      </w:pPr>
      <w:bookmarkStart w:id="0" w:name="_GoBack"/>
      <w:bookmarkEnd w:id="0"/>
      <w:r w:rsidRPr="00B9782C">
        <w:rPr>
          <w:szCs w:val="24"/>
          <w:lang w:val="pl-PL"/>
        </w:rPr>
        <w:t>WYROK</w:t>
      </w:r>
    </w:p>
    <w:p w:rsidR="00722C19" w:rsidRPr="00B9782C" w:rsidRDefault="00722C19" w:rsidP="00C30F73">
      <w:pPr>
        <w:jc w:val="center"/>
        <w:rPr>
          <w:szCs w:val="24"/>
          <w:lang w:val="pl-PL"/>
        </w:rPr>
      </w:pPr>
    </w:p>
    <w:p w:rsidR="00722C19" w:rsidRPr="00B9782C" w:rsidRDefault="00722C19" w:rsidP="00C30F73">
      <w:pPr>
        <w:jc w:val="center"/>
        <w:rPr>
          <w:szCs w:val="24"/>
          <w:lang w:val="pl-PL"/>
        </w:rPr>
      </w:pPr>
    </w:p>
    <w:p w:rsidR="00722C19" w:rsidRPr="00B9782C" w:rsidRDefault="00722C19" w:rsidP="00C30F73">
      <w:pPr>
        <w:jc w:val="center"/>
        <w:rPr>
          <w:szCs w:val="24"/>
          <w:lang w:val="pl-PL"/>
        </w:rPr>
      </w:pPr>
      <w:r w:rsidRPr="00B9782C">
        <w:rPr>
          <w:szCs w:val="24"/>
          <w:lang w:val="pl-PL"/>
        </w:rPr>
        <w:t>STRASBURG</w:t>
      </w:r>
    </w:p>
    <w:p w:rsidR="00722C19" w:rsidRPr="00B9782C" w:rsidRDefault="00722C19" w:rsidP="00C30F73">
      <w:pPr>
        <w:jc w:val="center"/>
        <w:rPr>
          <w:szCs w:val="24"/>
          <w:lang w:val="pl-PL"/>
        </w:rPr>
      </w:pPr>
    </w:p>
    <w:p w:rsidR="00722C19" w:rsidRPr="00B9782C" w:rsidRDefault="00722C19" w:rsidP="00C30F73">
      <w:pPr>
        <w:jc w:val="center"/>
        <w:rPr>
          <w:szCs w:val="24"/>
          <w:lang w:val="pl-PL"/>
        </w:rPr>
      </w:pPr>
      <w:r>
        <w:rPr>
          <w:szCs w:val="24"/>
          <w:lang w:val="pl-PL"/>
        </w:rPr>
        <w:t xml:space="preserve">dnia </w:t>
      </w:r>
      <w:r w:rsidRPr="00B9782C">
        <w:rPr>
          <w:szCs w:val="24"/>
          <w:lang w:val="pl-PL"/>
        </w:rPr>
        <w:t>19 listopada 2013 r.</w:t>
      </w:r>
    </w:p>
    <w:p w:rsidR="00722C19" w:rsidRPr="00B9782C" w:rsidRDefault="00722C19" w:rsidP="00C30F73">
      <w:pPr>
        <w:jc w:val="both"/>
        <w:rPr>
          <w:szCs w:val="24"/>
          <w:lang w:val="pl-PL"/>
        </w:rPr>
      </w:pPr>
    </w:p>
    <w:p w:rsidR="00B22E86" w:rsidRPr="00B22E86" w:rsidRDefault="00B22E86" w:rsidP="00B22E86">
      <w:pPr>
        <w:pStyle w:val="s32b251d"/>
        <w:jc w:val="center"/>
        <w:rPr>
          <w:b/>
          <w:color w:val="FF0000"/>
          <w:u w:val="single"/>
        </w:rPr>
      </w:pPr>
      <w:r w:rsidRPr="00B22E86">
        <w:rPr>
          <w:rStyle w:val="s15a9198a"/>
          <w:b/>
          <w:color w:val="FF0000"/>
          <w:u w:val="single"/>
        </w:rPr>
        <w:t>OSTATECZNY</w:t>
      </w:r>
    </w:p>
    <w:p w:rsidR="00B22E86" w:rsidRPr="00B22E86" w:rsidRDefault="00B22E86" w:rsidP="00B22E86">
      <w:pPr>
        <w:pStyle w:val="s32b251d"/>
        <w:jc w:val="center"/>
        <w:rPr>
          <w:b/>
          <w:color w:val="FF0000"/>
        </w:rPr>
      </w:pPr>
      <w:r w:rsidRPr="00B22E86">
        <w:rPr>
          <w:rStyle w:val="s556a1de3"/>
          <w:b/>
          <w:color w:val="FF0000"/>
        </w:rPr>
        <w:t>14/04/2014</w:t>
      </w:r>
    </w:p>
    <w:p w:rsidR="00722C19" w:rsidRPr="00B9782C" w:rsidRDefault="00B22E86" w:rsidP="00B9782C">
      <w:pPr>
        <w:pStyle w:val="JuPara"/>
        <w:ind w:firstLine="0"/>
        <w:jc w:val="left"/>
        <w:rPr>
          <w:lang w:val="pl-PL" w:eastAsia="en-US"/>
        </w:rPr>
        <w:sectPr w:rsidR="00722C19" w:rsidRPr="00B9782C" w:rsidSect="00002FA5">
          <w:headerReference w:type="default" r:id="rId8"/>
          <w:headerReference w:type="first" r:id="rId9"/>
          <w:footerReference w:type="first" r:id="rId10"/>
          <w:pgSz w:w="11906" w:h="16838" w:code="9"/>
          <w:pgMar w:top="2274" w:right="2274" w:bottom="2274" w:left="2274" w:header="1701" w:footer="708" w:gutter="0"/>
          <w:pgNumType w:start="1"/>
          <w:cols w:space="708"/>
          <w:titlePg/>
          <w:docGrid w:linePitch="326"/>
        </w:sectPr>
      </w:pPr>
      <w:r>
        <w:rPr>
          <w:i/>
          <w:sz w:val="22"/>
          <w:szCs w:val="22"/>
          <w:lang w:val="pl-PL"/>
        </w:rPr>
        <w:t>Wyrok stał</w:t>
      </w:r>
      <w:r w:rsidR="00722C19" w:rsidRPr="00B9782C">
        <w:rPr>
          <w:i/>
          <w:sz w:val="22"/>
          <w:szCs w:val="22"/>
          <w:lang w:val="pl-PL"/>
        </w:rPr>
        <w:t xml:space="preserve"> się prawomocny zgodnie z warunkami określonymi w artykule 44 </w:t>
      </w:r>
      <w:r w:rsidR="00722C19" w:rsidRPr="00B9782C">
        <w:rPr>
          <w:rStyle w:val="FontStyle38"/>
          <w:i/>
          <w:noProof/>
          <w:lang w:val="pl-PL"/>
        </w:rPr>
        <w:t>§ 2 Konwencji. Wyrok ten podlega korekcie wydawniczej przed j</w:t>
      </w:r>
      <w:r w:rsidR="00722C19">
        <w:rPr>
          <w:rStyle w:val="FontStyle38"/>
          <w:i/>
          <w:noProof/>
          <w:lang w:val="pl-PL"/>
        </w:rPr>
        <w:t>go</w:t>
      </w:r>
      <w:r w:rsidR="00722C19" w:rsidRPr="00B9782C">
        <w:rPr>
          <w:rStyle w:val="FontStyle38"/>
          <w:i/>
          <w:noProof/>
          <w:lang w:val="pl-PL"/>
        </w:rPr>
        <w:t>j opublikowaniem      w ostatecznej wersji</w:t>
      </w:r>
    </w:p>
    <w:p w:rsidR="00722C19" w:rsidRPr="00D8667C" w:rsidRDefault="00722C19" w:rsidP="00B9782C">
      <w:pPr>
        <w:pStyle w:val="JuCase"/>
        <w:rPr>
          <w:sz w:val="24"/>
          <w:szCs w:val="24"/>
          <w:lang w:val="pl-PL"/>
        </w:rPr>
      </w:pPr>
      <w:r w:rsidRPr="00D8667C">
        <w:rPr>
          <w:sz w:val="24"/>
          <w:szCs w:val="24"/>
          <w:lang w:val="pl-PL"/>
        </w:rPr>
        <w:lastRenderedPageBreak/>
        <w:t>W sprawie El Kashif p. Polsce,</w:t>
      </w:r>
    </w:p>
    <w:p w:rsidR="00722C19" w:rsidRPr="00D8667C" w:rsidRDefault="00722C19" w:rsidP="00B9782C">
      <w:pPr>
        <w:pStyle w:val="JuPara"/>
        <w:rPr>
          <w:sz w:val="24"/>
          <w:szCs w:val="24"/>
          <w:lang w:val="pl-PL"/>
        </w:rPr>
      </w:pPr>
      <w:r w:rsidRPr="00D8667C">
        <w:rPr>
          <w:sz w:val="24"/>
          <w:szCs w:val="24"/>
          <w:lang w:val="pl-PL"/>
        </w:rPr>
        <w:t xml:space="preserve">Europejski Trybunał Praw Człowieka (czwarta sekcja), jako izba składająca się z następujących sędziów : </w:t>
      </w:r>
    </w:p>
    <w:p w:rsidR="00722C19" w:rsidRPr="00D8667C" w:rsidRDefault="00722C19" w:rsidP="00C30F73">
      <w:pPr>
        <w:pStyle w:val="JuJudges"/>
        <w:rPr>
          <w:sz w:val="24"/>
          <w:szCs w:val="24"/>
          <w:lang w:val="pl-PL"/>
        </w:rPr>
      </w:pPr>
      <w:r w:rsidRPr="00D8667C">
        <w:rPr>
          <w:sz w:val="24"/>
          <w:szCs w:val="24"/>
          <w:lang w:val="pl-PL"/>
        </w:rPr>
        <w:tab/>
        <w:t>Ineta Ziemele,</w:t>
      </w:r>
      <w:r w:rsidRPr="00D8667C">
        <w:rPr>
          <w:i/>
          <w:sz w:val="24"/>
          <w:szCs w:val="24"/>
          <w:lang w:val="pl-PL"/>
        </w:rPr>
        <w:t xml:space="preserve"> przewodnicząca,</w:t>
      </w:r>
      <w:r w:rsidRPr="00D8667C">
        <w:rPr>
          <w:i/>
          <w:sz w:val="24"/>
          <w:szCs w:val="24"/>
          <w:lang w:val="pl-PL"/>
        </w:rPr>
        <w:br/>
      </w:r>
      <w:r w:rsidRPr="00D8667C">
        <w:rPr>
          <w:sz w:val="24"/>
          <w:szCs w:val="24"/>
          <w:lang w:val="pl-PL"/>
        </w:rPr>
        <w:tab/>
        <w:t>Päivi Hirvelä,</w:t>
      </w:r>
      <w:r w:rsidRPr="00D8667C">
        <w:rPr>
          <w:i/>
          <w:sz w:val="24"/>
          <w:szCs w:val="24"/>
          <w:lang w:val="pl-PL"/>
        </w:rPr>
        <w:br/>
      </w:r>
      <w:r w:rsidRPr="00D8667C">
        <w:rPr>
          <w:sz w:val="24"/>
          <w:szCs w:val="24"/>
          <w:lang w:val="pl-PL"/>
        </w:rPr>
        <w:tab/>
        <w:t>George Nicolaou,</w:t>
      </w:r>
      <w:r w:rsidRPr="00D8667C">
        <w:rPr>
          <w:i/>
          <w:sz w:val="24"/>
          <w:szCs w:val="24"/>
          <w:lang w:val="pl-PL"/>
        </w:rPr>
        <w:br/>
      </w:r>
      <w:r w:rsidRPr="00D8667C">
        <w:rPr>
          <w:sz w:val="24"/>
          <w:szCs w:val="24"/>
          <w:lang w:val="pl-PL"/>
        </w:rPr>
        <w:tab/>
        <w:t>Ledi Bianku,</w:t>
      </w:r>
      <w:r w:rsidRPr="00D8667C">
        <w:rPr>
          <w:i/>
          <w:sz w:val="24"/>
          <w:szCs w:val="24"/>
          <w:lang w:val="pl-PL"/>
        </w:rPr>
        <w:br/>
      </w:r>
      <w:r w:rsidRPr="00D8667C">
        <w:rPr>
          <w:sz w:val="24"/>
          <w:szCs w:val="24"/>
          <w:lang w:val="pl-PL"/>
        </w:rPr>
        <w:tab/>
        <w:t>Zdravka Kalaydjieva,</w:t>
      </w:r>
      <w:r w:rsidRPr="00D8667C">
        <w:rPr>
          <w:i/>
          <w:sz w:val="24"/>
          <w:szCs w:val="24"/>
          <w:lang w:val="pl-PL"/>
        </w:rPr>
        <w:br/>
      </w:r>
      <w:r w:rsidRPr="00D8667C">
        <w:rPr>
          <w:sz w:val="24"/>
          <w:szCs w:val="24"/>
          <w:lang w:val="pl-PL"/>
        </w:rPr>
        <w:tab/>
        <w:t>Krzysztof Wojtyczek,</w:t>
      </w:r>
      <w:r w:rsidRPr="00D8667C">
        <w:rPr>
          <w:i/>
          <w:sz w:val="24"/>
          <w:szCs w:val="24"/>
          <w:lang w:val="pl-PL"/>
        </w:rPr>
        <w:br/>
      </w:r>
      <w:r w:rsidRPr="00D8667C">
        <w:rPr>
          <w:sz w:val="24"/>
          <w:szCs w:val="24"/>
          <w:lang w:val="pl-PL"/>
        </w:rPr>
        <w:tab/>
        <w:t>Faris Vehabović</w:t>
      </w:r>
      <w:r w:rsidRPr="00D8667C">
        <w:rPr>
          <w:i/>
          <w:sz w:val="24"/>
          <w:szCs w:val="24"/>
          <w:lang w:val="pl-PL"/>
        </w:rPr>
        <w:t>,sędziowie,</w:t>
      </w:r>
      <w:r w:rsidRPr="00D8667C">
        <w:rPr>
          <w:sz w:val="24"/>
          <w:szCs w:val="24"/>
          <w:lang w:val="pl-PL"/>
        </w:rPr>
        <w:br/>
        <w:t xml:space="preserve">oraz  Françoise Elens-Passos, </w:t>
      </w:r>
      <w:r w:rsidRPr="00D8667C">
        <w:rPr>
          <w:i/>
          <w:sz w:val="24"/>
          <w:szCs w:val="24"/>
          <w:lang w:val="pl-PL"/>
        </w:rPr>
        <w:t>kanclerz sekcji</w:t>
      </w:r>
      <w:r w:rsidRPr="00D8667C">
        <w:rPr>
          <w:sz w:val="24"/>
          <w:szCs w:val="24"/>
          <w:lang w:val="pl-PL"/>
        </w:rPr>
        <w:t>,</w:t>
      </w:r>
    </w:p>
    <w:p w:rsidR="00722C19" w:rsidRPr="00D8667C" w:rsidRDefault="00722C19" w:rsidP="00B9782C">
      <w:pPr>
        <w:pStyle w:val="JuPara"/>
        <w:rPr>
          <w:sz w:val="24"/>
          <w:szCs w:val="24"/>
          <w:lang w:val="pl-PL"/>
        </w:rPr>
      </w:pPr>
      <w:r w:rsidRPr="00D8667C">
        <w:rPr>
          <w:sz w:val="24"/>
          <w:szCs w:val="24"/>
          <w:lang w:val="pl-PL"/>
        </w:rPr>
        <w:t>obradując na posiedzeniu niejawnym w dniu 22 października 2013 r.,</w:t>
      </w:r>
    </w:p>
    <w:p w:rsidR="00722C19" w:rsidRPr="00D8667C" w:rsidRDefault="00722C19" w:rsidP="00B9782C">
      <w:pPr>
        <w:pStyle w:val="JuPara"/>
        <w:rPr>
          <w:sz w:val="24"/>
          <w:szCs w:val="24"/>
          <w:lang w:val="pl-PL"/>
        </w:rPr>
      </w:pPr>
      <w:r w:rsidRPr="00D8667C">
        <w:rPr>
          <w:sz w:val="24"/>
          <w:szCs w:val="24"/>
          <w:lang w:val="pl-PL"/>
        </w:rPr>
        <w:t>wydaje następujący wyrok, który został przyjęty w tym dniu.</w:t>
      </w:r>
    </w:p>
    <w:p w:rsidR="00722C19" w:rsidRPr="00D8667C" w:rsidRDefault="00722C19" w:rsidP="00C30F73">
      <w:pPr>
        <w:pStyle w:val="JuHHead"/>
        <w:rPr>
          <w:sz w:val="24"/>
          <w:szCs w:val="24"/>
          <w:lang w:val="pl-PL"/>
        </w:rPr>
      </w:pPr>
      <w:r w:rsidRPr="00D8667C">
        <w:rPr>
          <w:sz w:val="24"/>
          <w:szCs w:val="24"/>
          <w:lang w:val="pl-PL"/>
        </w:rPr>
        <w:t>POSTĘPOWANIE</w:t>
      </w:r>
    </w:p>
    <w:p w:rsidR="00722C19" w:rsidRPr="00D8667C" w:rsidRDefault="00722C19" w:rsidP="00C30F73">
      <w:pPr>
        <w:pStyle w:val="JuPara"/>
        <w:rPr>
          <w:sz w:val="24"/>
          <w:szCs w:val="24"/>
          <w:lang w:val="pl-PL"/>
        </w:rPr>
      </w:pPr>
      <w:r w:rsidRPr="00D8667C">
        <w:rPr>
          <w:sz w:val="24"/>
          <w:szCs w:val="24"/>
          <w:lang w:val="pl-PL"/>
        </w:rPr>
        <w:fldChar w:fldCharType="begin"/>
      </w:r>
      <w:r w:rsidRPr="00D8667C">
        <w:rPr>
          <w:sz w:val="24"/>
          <w:szCs w:val="24"/>
          <w:lang w:val="pl-PL"/>
        </w:rPr>
        <w:instrText xml:space="preserve"> SEQ level0 \*arabic </w:instrText>
      </w:r>
      <w:r w:rsidRPr="00D8667C">
        <w:rPr>
          <w:sz w:val="24"/>
          <w:szCs w:val="24"/>
          <w:lang w:val="pl-PL"/>
        </w:rPr>
        <w:fldChar w:fldCharType="separate"/>
      </w:r>
      <w:r w:rsidRPr="00D8667C">
        <w:rPr>
          <w:noProof/>
          <w:sz w:val="24"/>
          <w:szCs w:val="24"/>
          <w:lang w:val="pl-PL"/>
        </w:rPr>
        <w:t>1</w:t>
      </w:r>
      <w:r w:rsidRPr="00D8667C">
        <w:rPr>
          <w:sz w:val="24"/>
          <w:szCs w:val="24"/>
          <w:lang w:val="pl-PL"/>
        </w:rPr>
        <w:fldChar w:fldCharType="end"/>
      </w:r>
      <w:r w:rsidRPr="00D8667C">
        <w:rPr>
          <w:sz w:val="24"/>
          <w:szCs w:val="24"/>
          <w:lang w:val="pl-PL"/>
        </w:rPr>
        <w:t>. Sprawa wywodzi się ze skargi (nr 69398/11) przeciwko Rzeczpospolitej Polskiej wniesionej do Europejskiego Trybunału Praw Człowieka na podstawie artykułu 34 Konwencji o Ochronie Praw Człowieka i Podstawowych Wolności („Konwencja”)w dniu 21 października 2011 roku  przez obywatela polskiego Pana Karola El Kashif („skarżący).</w:t>
      </w:r>
    </w:p>
    <w:p w:rsidR="00722C19" w:rsidRPr="00D8667C" w:rsidRDefault="00722C19" w:rsidP="00F31D94">
      <w:pPr>
        <w:pStyle w:val="JuPara"/>
        <w:rPr>
          <w:sz w:val="24"/>
          <w:szCs w:val="24"/>
          <w:lang w:val="pl-PL"/>
        </w:rPr>
      </w:pPr>
      <w:r w:rsidRPr="00D8667C">
        <w:rPr>
          <w:sz w:val="24"/>
          <w:szCs w:val="24"/>
          <w:lang w:val="pl-PL"/>
        </w:rPr>
        <w:t> </w:t>
      </w:r>
      <w:r w:rsidRPr="00D8667C">
        <w:rPr>
          <w:sz w:val="24"/>
          <w:szCs w:val="24"/>
          <w:lang w:val="pl-PL"/>
        </w:rPr>
        <w:fldChar w:fldCharType="begin"/>
      </w:r>
      <w:r w:rsidRPr="00D8667C">
        <w:rPr>
          <w:sz w:val="24"/>
          <w:szCs w:val="24"/>
          <w:lang w:val="pl-PL"/>
        </w:rPr>
        <w:instrText xml:space="preserve"> SEQ level0 \*arabic </w:instrText>
      </w:r>
      <w:r w:rsidRPr="00D8667C">
        <w:rPr>
          <w:sz w:val="24"/>
          <w:szCs w:val="24"/>
          <w:lang w:val="pl-PL"/>
        </w:rPr>
        <w:fldChar w:fldCharType="separate"/>
      </w:r>
      <w:r w:rsidRPr="00D8667C">
        <w:rPr>
          <w:noProof/>
          <w:sz w:val="24"/>
          <w:szCs w:val="24"/>
          <w:lang w:val="pl-PL"/>
        </w:rPr>
        <w:t>2</w:t>
      </w:r>
      <w:r w:rsidRPr="00D8667C">
        <w:rPr>
          <w:sz w:val="24"/>
          <w:szCs w:val="24"/>
          <w:lang w:val="pl-PL"/>
        </w:rPr>
        <w:fldChar w:fldCharType="end"/>
      </w:r>
      <w:r w:rsidRPr="00D8667C">
        <w:rPr>
          <w:sz w:val="24"/>
          <w:szCs w:val="24"/>
          <w:lang w:val="pl-PL"/>
        </w:rPr>
        <w:t>.  Skarżący był reprezentowany mecenasa B. Zygmunta, adwokata praktykującego w Warszawie. Rząd polski („Rząd”) był reprezentowany przez swojego pełnomocnika Pana Jakuba Wołąsiewicza, a następnie przez Panią Justynę Chrzanowską z Ministerstwa Spraw Zagranicznych.</w:t>
      </w:r>
    </w:p>
    <w:p w:rsidR="00722C19" w:rsidRPr="00D8667C" w:rsidRDefault="00722C19" w:rsidP="00C30F73">
      <w:pPr>
        <w:pStyle w:val="JuPara"/>
        <w:rPr>
          <w:sz w:val="24"/>
          <w:szCs w:val="24"/>
          <w:lang w:val="pl-PL"/>
        </w:rPr>
      </w:pPr>
      <w:r w:rsidRPr="00D8667C">
        <w:rPr>
          <w:sz w:val="24"/>
          <w:szCs w:val="24"/>
          <w:lang w:val="pl-PL"/>
        </w:rPr>
        <w:fldChar w:fldCharType="begin"/>
      </w:r>
      <w:r w:rsidRPr="00D8667C">
        <w:rPr>
          <w:sz w:val="24"/>
          <w:szCs w:val="24"/>
          <w:lang w:val="pl-PL"/>
        </w:rPr>
        <w:instrText xml:space="preserve"> SEQ level0 \*arabic </w:instrText>
      </w:r>
      <w:r w:rsidRPr="00D8667C">
        <w:rPr>
          <w:sz w:val="24"/>
          <w:szCs w:val="24"/>
          <w:lang w:val="pl-PL"/>
        </w:rPr>
        <w:fldChar w:fldCharType="separate"/>
      </w:r>
      <w:r w:rsidRPr="00D8667C">
        <w:rPr>
          <w:noProof/>
          <w:sz w:val="24"/>
          <w:szCs w:val="24"/>
          <w:lang w:val="pl-PL"/>
        </w:rPr>
        <w:t>3</w:t>
      </w:r>
      <w:r w:rsidRPr="00D8667C">
        <w:rPr>
          <w:sz w:val="24"/>
          <w:szCs w:val="24"/>
          <w:lang w:val="pl-PL"/>
        </w:rPr>
        <w:fldChar w:fldCharType="end"/>
      </w:r>
      <w:r w:rsidRPr="00D8667C">
        <w:rPr>
          <w:sz w:val="24"/>
          <w:szCs w:val="24"/>
          <w:lang w:val="pl-PL"/>
        </w:rPr>
        <w:t>.  Skarżący zarzuca, że zastosowanie wobec niego tymczasowego aresztowania i niepostawienie go niezwłocznie przed sędzią w celu zbadania legalności pozbawienia go wolności spowodowanego tym aresztowaniem stanowi naruszenie artykułu 5 §§ 1 c)   i 3 Konwencji.</w:t>
      </w:r>
    </w:p>
    <w:p w:rsidR="00722C19" w:rsidRPr="00D8667C" w:rsidRDefault="00722C19" w:rsidP="00E72EA8">
      <w:pPr>
        <w:pStyle w:val="JuPara"/>
        <w:rPr>
          <w:sz w:val="24"/>
          <w:szCs w:val="24"/>
          <w:lang w:val="pl-PL"/>
        </w:rPr>
      </w:pPr>
      <w:r w:rsidRPr="00D8667C">
        <w:rPr>
          <w:sz w:val="24"/>
          <w:szCs w:val="24"/>
          <w:lang w:val="pl-PL"/>
        </w:rPr>
        <w:fldChar w:fldCharType="begin"/>
      </w:r>
      <w:r w:rsidRPr="00D8667C">
        <w:rPr>
          <w:sz w:val="24"/>
          <w:szCs w:val="24"/>
          <w:lang w:val="pl-PL"/>
        </w:rPr>
        <w:instrText xml:space="preserve"> SEQ level0 \*arabic </w:instrText>
      </w:r>
      <w:r w:rsidRPr="00D8667C">
        <w:rPr>
          <w:sz w:val="24"/>
          <w:szCs w:val="24"/>
          <w:lang w:val="pl-PL"/>
        </w:rPr>
        <w:fldChar w:fldCharType="separate"/>
      </w:r>
      <w:r w:rsidRPr="00D8667C">
        <w:rPr>
          <w:noProof/>
          <w:sz w:val="24"/>
          <w:szCs w:val="24"/>
          <w:lang w:val="pl-PL"/>
        </w:rPr>
        <w:t>4</w:t>
      </w:r>
      <w:r w:rsidRPr="00D8667C">
        <w:rPr>
          <w:sz w:val="24"/>
          <w:szCs w:val="24"/>
          <w:lang w:val="pl-PL"/>
        </w:rPr>
        <w:fldChar w:fldCharType="end"/>
      </w:r>
      <w:r w:rsidRPr="00D8667C">
        <w:rPr>
          <w:sz w:val="24"/>
          <w:szCs w:val="24"/>
          <w:lang w:val="pl-PL"/>
        </w:rPr>
        <w:t xml:space="preserve">. W dniu 1 października 2012 roku Trybunał podjął decyzję                    o zakomunikowaniu skargi Rządowi Nadto, na mocy artykułu </w:t>
      </w:r>
      <w:r w:rsidRPr="00D8667C">
        <w:rPr>
          <w:rStyle w:val="FontStyle38"/>
          <w:sz w:val="24"/>
          <w:szCs w:val="24"/>
          <w:lang w:val="pl-PL"/>
        </w:rPr>
        <w:t>29 § 3 Konwencji zdecydowano także, że sprawa zostanie rozpatrzona przez izbę     w tym samym czasie zarówno w przedmiocie dopuszczalności skargi, jak i co do meritum</w:t>
      </w:r>
      <w:r w:rsidRPr="00D8667C">
        <w:rPr>
          <w:sz w:val="24"/>
          <w:szCs w:val="24"/>
          <w:lang w:val="pl-PL"/>
        </w:rPr>
        <w:t xml:space="preserve">. </w:t>
      </w:r>
    </w:p>
    <w:p w:rsidR="00722C19" w:rsidRPr="00D8667C" w:rsidRDefault="00722C19" w:rsidP="00E72EA8">
      <w:pPr>
        <w:pStyle w:val="JuPara"/>
        <w:rPr>
          <w:sz w:val="24"/>
          <w:szCs w:val="24"/>
          <w:lang w:val="pl-PL"/>
        </w:rPr>
      </w:pPr>
    </w:p>
    <w:p w:rsidR="00722C19" w:rsidRPr="00D8667C" w:rsidRDefault="00722C19" w:rsidP="00E72EA8">
      <w:pPr>
        <w:pStyle w:val="JuPara"/>
        <w:rPr>
          <w:sz w:val="24"/>
          <w:szCs w:val="24"/>
          <w:lang w:val="pl-PL"/>
        </w:rPr>
      </w:pPr>
    </w:p>
    <w:p w:rsidR="00722C19" w:rsidRPr="00D8667C" w:rsidRDefault="00722C19" w:rsidP="00E72EA8">
      <w:pPr>
        <w:pStyle w:val="JuPara"/>
        <w:ind w:firstLine="0"/>
        <w:rPr>
          <w:sz w:val="24"/>
          <w:szCs w:val="24"/>
          <w:lang w:val="pl-PL"/>
        </w:rPr>
      </w:pPr>
      <w:r w:rsidRPr="00D8667C">
        <w:rPr>
          <w:sz w:val="24"/>
          <w:szCs w:val="24"/>
          <w:lang w:val="pl-PL"/>
        </w:rPr>
        <w:t>STAN FAKTYCZNY</w:t>
      </w:r>
    </w:p>
    <w:p w:rsidR="00722C19" w:rsidRPr="00D8667C" w:rsidRDefault="00722C19" w:rsidP="00C30F73">
      <w:pPr>
        <w:pStyle w:val="JuHIRoman"/>
        <w:outlineLvl w:val="0"/>
        <w:rPr>
          <w:sz w:val="24"/>
          <w:szCs w:val="24"/>
          <w:lang w:val="pl-PL"/>
        </w:rPr>
      </w:pPr>
      <w:r w:rsidRPr="00D8667C">
        <w:rPr>
          <w:sz w:val="24"/>
          <w:szCs w:val="24"/>
          <w:lang w:val="pl-PL"/>
        </w:rPr>
        <w:t>I.  OKOLICZNOŚCI SPRAWY</w:t>
      </w:r>
    </w:p>
    <w:p w:rsidR="00722C19" w:rsidRPr="00D8667C" w:rsidRDefault="00722C19" w:rsidP="00C30F73">
      <w:pPr>
        <w:pStyle w:val="JuPara"/>
        <w:rPr>
          <w:sz w:val="24"/>
          <w:szCs w:val="24"/>
          <w:lang w:val="pl-PL"/>
        </w:rPr>
      </w:pPr>
      <w:r w:rsidRPr="00D8667C">
        <w:rPr>
          <w:sz w:val="24"/>
          <w:szCs w:val="24"/>
          <w:lang w:val="pl-PL"/>
        </w:rPr>
        <w:fldChar w:fldCharType="begin"/>
      </w:r>
      <w:r w:rsidRPr="00D8667C">
        <w:rPr>
          <w:sz w:val="24"/>
          <w:szCs w:val="24"/>
          <w:lang w:val="pl-PL"/>
        </w:rPr>
        <w:instrText xml:space="preserve"> SEQ level0 \*arabic </w:instrText>
      </w:r>
      <w:r w:rsidRPr="00D8667C">
        <w:rPr>
          <w:sz w:val="24"/>
          <w:szCs w:val="24"/>
          <w:lang w:val="pl-PL"/>
        </w:rPr>
        <w:fldChar w:fldCharType="separate"/>
      </w:r>
      <w:r w:rsidRPr="00D8667C">
        <w:rPr>
          <w:noProof/>
          <w:sz w:val="24"/>
          <w:szCs w:val="24"/>
          <w:lang w:val="pl-PL"/>
        </w:rPr>
        <w:t>5</w:t>
      </w:r>
      <w:r w:rsidRPr="00D8667C">
        <w:rPr>
          <w:sz w:val="24"/>
          <w:szCs w:val="24"/>
          <w:lang w:val="pl-PL"/>
        </w:rPr>
        <w:fldChar w:fldCharType="end"/>
      </w:r>
      <w:r w:rsidRPr="00D8667C">
        <w:rPr>
          <w:sz w:val="24"/>
          <w:szCs w:val="24"/>
          <w:lang w:val="pl-PL"/>
        </w:rPr>
        <w:t>.  Skarżący urodził się w 1975 roku i mieszka w Warszawie.</w:t>
      </w:r>
    </w:p>
    <w:p w:rsidR="00722C19" w:rsidRPr="00D8667C" w:rsidRDefault="00722C19" w:rsidP="00B64902">
      <w:pPr>
        <w:ind w:firstLine="284"/>
        <w:jc w:val="both"/>
        <w:rPr>
          <w:szCs w:val="24"/>
          <w:lang w:val="pl-PL"/>
        </w:rPr>
      </w:pPr>
      <w:r w:rsidRPr="00D8667C">
        <w:rPr>
          <w:szCs w:val="24"/>
          <w:lang w:val="pl-PL"/>
        </w:rPr>
        <w:lastRenderedPageBreak/>
        <w:fldChar w:fldCharType="begin"/>
      </w:r>
      <w:r w:rsidRPr="00D8667C">
        <w:rPr>
          <w:szCs w:val="24"/>
          <w:lang w:val="pl-PL"/>
        </w:rPr>
        <w:instrText xml:space="preserve"> SEQ level0 \*arabic </w:instrText>
      </w:r>
      <w:r w:rsidRPr="00D8667C">
        <w:rPr>
          <w:szCs w:val="24"/>
          <w:lang w:val="pl-PL"/>
        </w:rPr>
        <w:fldChar w:fldCharType="separate"/>
      </w:r>
      <w:r w:rsidRPr="00D8667C">
        <w:rPr>
          <w:noProof/>
          <w:szCs w:val="24"/>
          <w:lang w:val="pl-PL"/>
        </w:rPr>
        <w:t>6</w:t>
      </w:r>
      <w:r w:rsidRPr="00D8667C">
        <w:rPr>
          <w:szCs w:val="24"/>
          <w:lang w:val="pl-PL"/>
        </w:rPr>
        <w:fldChar w:fldCharType="end"/>
      </w:r>
      <w:r w:rsidRPr="00D8667C">
        <w:rPr>
          <w:szCs w:val="24"/>
          <w:lang w:val="pl-PL"/>
        </w:rPr>
        <w:t xml:space="preserve">.  W 2009 roku wobec skarżącego zostało wszczęte uproszczone postępowanie karne. W jego wyniku wyrokiem Sądu Rejonowego                 w Warszawie z dnia 28 maja 2010 roku skarżący został skazany na karę grzywny w wysokości ok. 500 euro za nielegalne organizowanie gier hazardowych przez internet, w tym przypadku loterii, to jest czyn z artykułu 108 § 1 Kodeksu karnego skarbowego. </w:t>
      </w:r>
    </w:p>
    <w:p w:rsidR="00722C19" w:rsidRPr="001F7796"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7</w:t>
      </w:r>
      <w:r w:rsidRPr="00224451">
        <w:rPr>
          <w:lang w:val="pl-PL"/>
        </w:rPr>
        <w:fldChar w:fldCharType="end"/>
      </w:r>
      <w:r w:rsidRPr="00224451">
        <w:rPr>
          <w:lang w:val="pl-PL"/>
        </w:rPr>
        <w:t>.  </w:t>
      </w:r>
      <w:r>
        <w:rPr>
          <w:lang w:val="pl-PL"/>
        </w:rPr>
        <w:t>Wniesienie przez</w:t>
      </w:r>
      <w:r w:rsidRPr="004A112C">
        <w:rPr>
          <w:lang w:val="pl-PL"/>
        </w:rPr>
        <w:t xml:space="preserve"> skarżącego</w:t>
      </w:r>
      <w:r>
        <w:rPr>
          <w:lang w:val="pl-PL"/>
        </w:rPr>
        <w:t xml:space="preserve"> sprzeciwu</w:t>
      </w:r>
      <w:r w:rsidRPr="004A112C">
        <w:rPr>
          <w:lang w:val="pl-PL"/>
        </w:rPr>
        <w:t xml:space="preserve"> od wyroku z dnia 28 maja 2010 roku na podstawie artykułu 506 § 1 </w:t>
      </w:r>
      <w:r>
        <w:rPr>
          <w:lang w:val="pl-PL"/>
        </w:rPr>
        <w:t>k.p.k.</w:t>
      </w:r>
      <w:r w:rsidRPr="004A112C">
        <w:rPr>
          <w:lang w:val="pl-PL"/>
        </w:rPr>
        <w:t xml:space="preserve"> (</w:t>
      </w:r>
      <w:r>
        <w:rPr>
          <w:lang w:val="pl-PL"/>
        </w:rPr>
        <w:t>zob. poniżej, pkt. 35, prawo krajowe</w:t>
      </w:r>
      <w:r w:rsidRPr="004A112C">
        <w:rPr>
          <w:lang w:val="pl-PL"/>
        </w:rPr>
        <w:t xml:space="preserve">) </w:t>
      </w:r>
      <w:r>
        <w:rPr>
          <w:lang w:val="pl-PL"/>
        </w:rPr>
        <w:t>spowodowało, że wyrok nakazowy utracił moc prawną</w:t>
      </w:r>
      <w:r w:rsidRPr="004A112C">
        <w:rPr>
          <w:lang w:val="pl-PL"/>
        </w:rPr>
        <w:t xml:space="preserve">. </w:t>
      </w:r>
      <w:r w:rsidRPr="001F7796">
        <w:rPr>
          <w:lang w:val="pl-PL"/>
        </w:rPr>
        <w:t xml:space="preserve">Sprawa została </w:t>
      </w:r>
      <w:r>
        <w:rPr>
          <w:lang w:val="pl-PL"/>
        </w:rPr>
        <w:t>przekazana</w:t>
      </w:r>
      <w:r w:rsidRPr="001F7796">
        <w:rPr>
          <w:lang w:val="pl-PL"/>
        </w:rPr>
        <w:t xml:space="preserve"> do rozpoznania</w:t>
      </w:r>
      <w:r>
        <w:rPr>
          <w:lang w:val="pl-PL"/>
        </w:rPr>
        <w:t xml:space="preserve"> </w:t>
      </w:r>
      <w:r w:rsidRPr="001F7796">
        <w:rPr>
          <w:lang w:val="pl-PL"/>
        </w:rPr>
        <w:t>na rozprawie</w:t>
      </w:r>
      <w:r>
        <w:rPr>
          <w:lang w:val="pl-PL"/>
        </w:rPr>
        <w:t>, której termin został</w:t>
      </w:r>
      <w:r w:rsidRPr="001F7796">
        <w:rPr>
          <w:lang w:val="pl-PL"/>
        </w:rPr>
        <w:t xml:space="preserve"> w</w:t>
      </w:r>
      <w:r>
        <w:rPr>
          <w:lang w:val="pl-PL"/>
        </w:rPr>
        <w:t>yznaczono w Sądzie Rejonowym w Warszawie na dzień</w:t>
      </w:r>
      <w:r w:rsidRPr="001F7796">
        <w:rPr>
          <w:lang w:val="pl-PL"/>
        </w:rPr>
        <w:t xml:space="preserve"> 11 marca 2011 roku</w:t>
      </w:r>
      <w:r>
        <w:rPr>
          <w:lang w:val="pl-PL"/>
        </w:rPr>
        <w:t xml:space="preserve">. Jednak w tym dniu ani skarżący ani jego adwokat nie stawili się w sądzie. Z protokołu rozprawy wynikało, że skarżący nie odebrał dwukrotnie wysyłanego do jego miejsca stałego pobytu wezwania do stawiennictwa na rozprawę; następne wezwanie wysłane na wskazany przez skarżącego adres do doręczeń nie zostało skutecznie doręczone. Wziąwszy pod uwagę powyższe okoliczności sąd odroczył rozprawę do dnia 17 maja 2011 roku i zarządzono doręczenie skarżącemu wezwania do stawiennictwa przez policję. </w:t>
      </w:r>
      <w:r w:rsidRPr="001F7796">
        <w:rPr>
          <w:lang w:val="pl-PL"/>
        </w:rPr>
        <w:t xml:space="preserve"> </w:t>
      </w:r>
    </w:p>
    <w:p w:rsidR="00722C19" w:rsidRPr="00A14F5A" w:rsidRDefault="00722C19" w:rsidP="00A14F5A">
      <w:pPr>
        <w:ind w:firstLine="284"/>
        <w:jc w:val="both"/>
        <w:rPr>
          <w:lang w:val="pl-PL"/>
        </w:rPr>
      </w:pPr>
      <w:r w:rsidRPr="00002FA5">
        <w:rPr>
          <w:lang w:val="pl-PL"/>
        </w:rPr>
        <w:fldChar w:fldCharType="begin"/>
      </w:r>
      <w:r w:rsidRPr="00002FA5">
        <w:rPr>
          <w:lang w:val="pl-PL"/>
        </w:rPr>
        <w:instrText xml:space="preserve"> SEQ level0 \*arabic </w:instrText>
      </w:r>
      <w:r w:rsidRPr="00002FA5">
        <w:rPr>
          <w:lang w:val="pl-PL"/>
        </w:rPr>
        <w:fldChar w:fldCharType="separate"/>
      </w:r>
      <w:r>
        <w:rPr>
          <w:noProof/>
          <w:lang w:val="pl-PL"/>
        </w:rPr>
        <w:t>8</w:t>
      </w:r>
      <w:r w:rsidRPr="00002FA5">
        <w:rPr>
          <w:lang w:val="pl-PL"/>
        </w:rPr>
        <w:fldChar w:fldCharType="end"/>
      </w:r>
      <w:r w:rsidRPr="00002FA5">
        <w:rPr>
          <w:lang w:val="pl-PL"/>
        </w:rPr>
        <w:t>.  </w:t>
      </w:r>
      <w:r>
        <w:rPr>
          <w:lang w:val="pl-PL"/>
        </w:rPr>
        <w:t>Z protokołu rozprawy z dnia 17 maja 2011 roku wynika, że skarżący nie stawił się w tym dniu na rozprawę, ale był na niej obecny jego adwokat. Nadto, w protokole umieszczono informację, że policja nie była w stanie doręczyć wezwania skarżącemu ponieważ od października 2010 roku nie przebywał w miejscu stałego pobytu oraz nie prowadził działalności gospodarczej w miejscu wskazanym jako adres dla doręczeń. N</w:t>
      </w:r>
      <w:r w:rsidRPr="00A14F5A">
        <w:rPr>
          <w:lang w:val="pl-PL"/>
        </w:rPr>
        <w:t>a podstawie artykułów 249 § 1, 258 § 1 p</w:t>
      </w:r>
      <w:r>
        <w:rPr>
          <w:lang w:val="pl-PL"/>
        </w:rPr>
        <w:t>kt</w:t>
      </w:r>
      <w:r w:rsidRPr="00A14F5A">
        <w:rPr>
          <w:lang w:val="pl-PL"/>
        </w:rPr>
        <w:t xml:space="preserve"> 1 oraz 279 § 1 k.p.k. </w:t>
      </w:r>
      <w:r>
        <w:rPr>
          <w:lang w:val="pl-PL"/>
        </w:rPr>
        <w:t>sąd postanowił zastosować wobec skarżącego środek zapobiegawczy w postaci tymczasowego aresztowania na okres trzech miesięcy, zarządził poszukiwanie skarżącego listem gończym oraz zawiesił postępowanie do czasu zatrzymania skarżącego. Sąd zauważył, że zgromadzony w sprawie materiał dowodowy wskazuje na duże prawdopodobieństwo, że skarżący popełnił przestępstwo. Sąd wskazał, że tymczasowe aresztowania skarżącego jest konieczne dla zabezpieczenia prawidłowego toku toczącego się przeciw niemu postępowania. W istocie, skoro skarżący nie przebywał pod żadnym ze wskazanych przez niego władzom państwowym adresach, zachodziła obawa, że będzie ukrywał się przed wymiarem sprawiedliwości.</w:t>
      </w:r>
    </w:p>
    <w:p w:rsidR="00722C19" w:rsidRPr="00672A07"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9</w:t>
      </w:r>
      <w:r w:rsidRPr="00224451">
        <w:rPr>
          <w:lang w:val="pl-PL"/>
        </w:rPr>
        <w:fldChar w:fldCharType="end"/>
      </w:r>
      <w:r w:rsidRPr="00224451">
        <w:rPr>
          <w:lang w:val="pl-PL"/>
        </w:rPr>
        <w:t>.  </w:t>
      </w:r>
      <w:r w:rsidRPr="002754F8">
        <w:rPr>
          <w:lang w:val="pl-PL"/>
        </w:rPr>
        <w:t xml:space="preserve">W dniu 22 maja 2011 roku adwokat skarżącego wniósł o uchylenie postanowienia z dnia 17 maja. </w:t>
      </w:r>
      <w:r w:rsidRPr="00672A07">
        <w:rPr>
          <w:lang w:val="pl-PL"/>
        </w:rPr>
        <w:t>Utrzymywał, że zastosowany wobec jego klienta środek zapobiegawczy jest nieproporcjonalny zważywszy, że jego klien</w:t>
      </w:r>
      <w:r>
        <w:rPr>
          <w:lang w:val="pl-PL"/>
        </w:rPr>
        <w:t xml:space="preserve">t nie był uprzednio karany oraz że według niego, szkodliwość zarzuconego jego klientowi </w:t>
      </w:r>
      <w:r w:rsidRPr="00A8195E">
        <w:rPr>
          <w:lang w:val="pl-PL"/>
        </w:rPr>
        <w:t>czynu jest znikoma i nie jest on zagrożony karą pozbawienia wolności.</w:t>
      </w:r>
      <w:r w:rsidRPr="004603D9">
        <w:rPr>
          <w:b/>
          <w:lang w:val="pl-PL"/>
        </w:rPr>
        <w:t xml:space="preserve"> </w:t>
      </w:r>
      <w:r w:rsidRPr="00672A07">
        <w:rPr>
          <w:lang w:val="pl-PL"/>
        </w:rPr>
        <w:t>Podniósł, że zgodnie z artykułem 75 § 2 Kodeksu postępowania karnego (k.p.k.) s</w:t>
      </w:r>
      <w:r>
        <w:rPr>
          <w:lang w:val="pl-PL"/>
        </w:rPr>
        <w:t xml:space="preserve">tawiennictwo skarżącego można było </w:t>
      </w:r>
      <w:r>
        <w:rPr>
          <w:lang w:val="pl-PL"/>
        </w:rPr>
        <w:lastRenderedPageBreak/>
        <w:t xml:space="preserve">zapewnić za pomocą innych niż pozbawienie wolności środków, na przykład za pomocą przymusowego doprowadzenia do sądu.   </w:t>
      </w:r>
    </w:p>
    <w:p w:rsidR="00722C19" w:rsidRPr="00672A07"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10</w:t>
      </w:r>
      <w:r w:rsidRPr="00224451">
        <w:rPr>
          <w:lang w:val="pl-PL"/>
        </w:rPr>
        <w:fldChar w:fldCharType="end"/>
      </w:r>
      <w:r w:rsidRPr="00224451">
        <w:rPr>
          <w:lang w:val="pl-PL"/>
        </w:rPr>
        <w:t>.  </w:t>
      </w:r>
      <w:r w:rsidRPr="00672A07">
        <w:rPr>
          <w:lang w:val="pl-PL"/>
        </w:rPr>
        <w:t>W dniu 26 maja 2011 roku, sąd rejonowy</w:t>
      </w:r>
      <w:r>
        <w:rPr>
          <w:lang w:val="pl-PL"/>
        </w:rPr>
        <w:t xml:space="preserve"> postanowił nie przychylić się do zażalenia</w:t>
      </w:r>
      <w:r w:rsidRPr="00672A07">
        <w:rPr>
          <w:lang w:val="pl-PL"/>
        </w:rPr>
        <w:t xml:space="preserve"> i przekazał </w:t>
      </w:r>
      <w:r>
        <w:rPr>
          <w:lang w:val="pl-PL"/>
        </w:rPr>
        <w:t>je do rozpoznania</w:t>
      </w:r>
      <w:r w:rsidRPr="00672A07">
        <w:rPr>
          <w:lang w:val="pl-PL"/>
        </w:rPr>
        <w:t xml:space="preserve"> Sąd</w:t>
      </w:r>
      <w:r>
        <w:rPr>
          <w:lang w:val="pl-PL"/>
        </w:rPr>
        <w:t>owi</w:t>
      </w:r>
      <w:r w:rsidRPr="00672A07">
        <w:rPr>
          <w:lang w:val="pl-PL"/>
        </w:rPr>
        <w:t xml:space="preserve"> Okręgowe</w:t>
      </w:r>
      <w:r>
        <w:rPr>
          <w:lang w:val="pl-PL"/>
        </w:rPr>
        <w:t>mu</w:t>
      </w:r>
      <w:r w:rsidRPr="00672A07">
        <w:rPr>
          <w:lang w:val="pl-PL"/>
        </w:rPr>
        <w:t xml:space="preserve"> w Warszawie. </w:t>
      </w:r>
    </w:p>
    <w:p w:rsidR="00722C19" w:rsidRPr="00A82946"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11</w:t>
      </w:r>
      <w:r w:rsidRPr="00224451">
        <w:rPr>
          <w:lang w:val="pl-PL"/>
        </w:rPr>
        <w:fldChar w:fldCharType="end"/>
      </w:r>
      <w:r w:rsidRPr="00224451">
        <w:rPr>
          <w:lang w:val="pl-PL"/>
        </w:rPr>
        <w:t>.  </w:t>
      </w:r>
      <w:r w:rsidRPr="00A82946">
        <w:rPr>
          <w:lang w:val="pl-PL"/>
        </w:rPr>
        <w:t xml:space="preserve">W dniu 30 maja 2011 roku </w:t>
      </w:r>
      <w:r>
        <w:rPr>
          <w:lang w:val="pl-PL"/>
        </w:rPr>
        <w:t>adwokat skarżącego zwrócił się do sądu okręgowego</w:t>
      </w:r>
      <w:r w:rsidRPr="00A82946">
        <w:rPr>
          <w:lang w:val="pl-PL"/>
        </w:rPr>
        <w:t xml:space="preserve"> o </w:t>
      </w:r>
      <w:r>
        <w:rPr>
          <w:lang w:val="pl-PL"/>
        </w:rPr>
        <w:t>wstrzymanie</w:t>
      </w:r>
      <w:r w:rsidRPr="00A82946">
        <w:rPr>
          <w:lang w:val="pl-PL"/>
        </w:rPr>
        <w:t xml:space="preserve"> wykonania postanowienia z dnia 17 maja 2011 roku</w:t>
      </w:r>
      <w:r>
        <w:rPr>
          <w:lang w:val="pl-PL"/>
        </w:rPr>
        <w:t xml:space="preserve"> oraz o niezwłoczne rozpoznanie odwołania od tego postanowienia</w:t>
      </w:r>
      <w:r w:rsidRPr="00A82946">
        <w:rPr>
          <w:lang w:val="pl-PL"/>
        </w:rPr>
        <w:t>.</w:t>
      </w:r>
      <w:r>
        <w:rPr>
          <w:lang w:val="pl-PL"/>
        </w:rPr>
        <w:t xml:space="preserve"> Poza argumentami przytoczonymi w zażaleniu, adwokat podniósł kwestię stanu zdrowia, to znaczy konieczność kontynuacji przez jego klienta terapii przeciwretrowirusowej poza zakładem karnym. </w:t>
      </w:r>
    </w:p>
    <w:p w:rsidR="00722C19" w:rsidRPr="001713D4"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12</w:t>
      </w:r>
      <w:r w:rsidRPr="00224451">
        <w:rPr>
          <w:lang w:val="pl-PL"/>
        </w:rPr>
        <w:fldChar w:fldCharType="end"/>
      </w:r>
      <w:r w:rsidRPr="00224451">
        <w:rPr>
          <w:lang w:val="pl-PL"/>
        </w:rPr>
        <w:t>.  </w:t>
      </w:r>
      <w:r w:rsidRPr="001713D4">
        <w:rPr>
          <w:lang w:val="pl-PL"/>
        </w:rPr>
        <w:t xml:space="preserve">Tego samego dnia skarżący został </w:t>
      </w:r>
      <w:r>
        <w:rPr>
          <w:lang w:val="pl-PL"/>
        </w:rPr>
        <w:t>zatrzymany</w:t>
      </w:r>
      <w:r w:rsidRPr="001713D4">
        <w:rPr>
          <w:lang w:val="pl-PL"/>
        </w:rPr>
        <w:t xml:space="preserve"> i osadzony </w:t>
      </w:r>
      <w:r>
        <w:rPr>
          <w:lang w:val="pl-PL"/>
        </w:rPr>
        <w:t xml:space="preserve">               </w:t>
      </w:r>
      <w:r w:rsidRPr="001713D4">
        <w:rPr>
          <w:lang w:val="pl-PL"/>
        </w:rPr>
        <w:t>w areszcie śledczym w Warszawie.</w:t>
      </w:r>
      <w:r>
        <w:rPr>
          <w:lang w:val="pl-PL"/>
        </w:rPr>
        <w:t xml:space="preserve"> </w:t>
      </w:r>
      <w:r w:rsidRPr="001713D4">
        <w:rPr>
          <w:lang w:val="pl-PL"/>
        </w:rPr>
        <w:t xml:space="preserve"> </w:t>
      </w:r>
    </w:p>
    <w:p w:rsidR="00722C19" w:rsidRPr="00F47B85"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13</w:t>
      </w:r>
      <w:r w:rsidRPr="00224451">
        <w:rPr>
          <w:lang w:val="pl-PL"/>
        </w:rPr>
        <w:fldChar w:fldCharType="end"/>
      </w:r>
      <w:r w:rsidRPr="00224451">
        <w:rPr>
          <w:lang w:val="pl-PL"/>
        </w:rPr>
        <w:t>.  </w:t>
      </w:r>
      <w:r w:rsidRPr="009F116D">
        <w:rPr>
          <w:lang w:val="pl-PL"/>
        </w:rPr>
        <w:t xml:space="preserve">W odwołaniu z </w:t>
      </w:r>
      <w:r>
        <w:rPr>
          <w:lang w:val="pl-PL"/>
        </w:rPr>
        <w:t>2 czerwca 2011 roku stanowiącym</w:t>
      </w:r>
      <w:r w:rsidRPr="009F116D">
        <w:rPr>
          <w:lang w:val="pl-PL"/>
        </w:rPr>
        <w:t xml:space="preserve"> uzupełnienie </w:t>
      </w:r>
      <w:r>
        <w:rPr>
          <w:lang w:val="pl-PL"/>
        </w:rPr>
        <w:t>zażalenia</w:t>
      </w:r>
      <w:r w:rsidRPr="009F116D">
        <w:rPr>
          <w:lang w:val="pl-PL"/>
        </w:rPr>
        <w:t xml:space="preserve"> z dnia</w:t>
      </w:r>
      <w:r>
        <w:rPr>
          <w:lang w:val="pl-PL"/>
        </w:rPr>
        <w:t xml:space="preserve"> 22 maja 2011 roku adwokat skarż</w:t>
      </w:r>
      <w:r w:rsidRPr="009F116D">
        <w:rPr>
          <w:lang w:val="pl-PL"/>
        </w:rPr>
        <w:t>ącego</w:t>
      </w:r>
      <w:r>
        <w:rPr>
          <w:lang w:val="pl-PL"/>
        </w:rPr>
        <w:t xml:space="preserve"> utrzymywał, że zastosowanie tymczasowego aresztowania wobec jego klienta jest niezgodne z artykułem 259</w:t>
      </w:r>
      <w:r w:rsidRPr="009F116D">
        <w:rPr>
          <w:lang w:val="pl-PL"/>
        </w:rPr>
        <w:t xml:space="preserve"> § 2 </w:t>
      </w:r>
      <w:r>
        <w:rPr>
          <w:lang w:val="pl-PL"/>
        </w:rPr>
        <w:t xml:space="preserve">k.p.k. Wskazał, że obawa władz, że jego klient będzie ukrywał się przed wymiarem sprawiedliwości była nieuzasadniona twierdząc, że stawiał się regularnie w tym samym sądzie na rozprawach w innych sprawach toczących się równolegle przeciwko niemu, a w szczególności na rozprawie w dniu 20 maja 2011 roku, to jest trzy dni po wydaniu postanowienia o zastosowaniu wobec niego tymczasowego aresztowania. Dodał, że tymczasowe aresztowanie jego klienta nie było konieczne, podnosząc, że na podstawie danych, jakimi dysponowały z urzędu władze, aktualne miejsce pobytu skarżącego może być bez trudności ustalone. W szczególności zapewnił, że oficjalna korespondencja, dotycząca innych postępowań toczących się przed tym samym sądem, została doręczona na ten adres oraz, co więcej, że figuruje on w dostępnym w internecie rejestrze spółek Urzędu Miasta. </w:t>
      </w:r>
    </w:p>
    <w:p w:rsidR="00722C19" w:rsidRPr="00F5322E" w:rsidRDefault="00722C19" w:rsidP="00C30F73">
      <w:pPr>
        <w:ind w:firstLine="284"/>
        <w:jc w:val="both"/>
        <w:rPr>
          <w:lang w:val="pl-PL"/>
        </w:rPr>
      </w:pPr>
      <w:r w:rsidRPr="00F5322E">
        <w:rPr>
          <w:lang w:val="pl-PL"/>
        </w:rPr>
        <w:fldChar w:fldCharType="begin"/>
      </w:r>
      <w:r w:rsidRPr="00F5322E">
        <w:rPr>
          <w:lang w:val="pl-PL"/>
        </w:rPr>
        <w:instrText xml:space="preserve"> SEQ level0 \*arabic </w:instrText>
      </w:r>
      <w:r w:rsidRPr="00F5322E">
        <w:rPr>
          <w:lang w:val="pl-PL"/>
        </w:rPr>
        <w:fldChar w:fldCharType="separate"/>
      </w:r>
      <w:r>
        <w:rPr>
          <w:noProof/>
          <w:lang w:val="pl-PL"/>
        </w:rPr>
        <w:t>14</w:t>
      </w:r>
      <w:r w:rsidRPr="00F5322E">
        <w:rPr>
          <w:lang w:val="pl-PL"/>
        </w:rPr>
        <w:fldChar w:fldCharType="end"/>
      </w:r>
      <w:r w:rsidRPr="00F5322E">
        <w:rPr>
          <w:lang w:val="pl-PL"/>
        </w:rPr>
        <w:t xml:space="preserve">.  W dniu 7 czerwca 2011 roku sąd okręgowy oddalił </w:t>
      </w:r>
      <w:r>
        <w:rPr>
          <w:lang w:val="pl-PL"/>
        </w:rPr>
        <w:t xml:space="preserve">zażalenie uznając, że tymczasowe aresztowanie skarżącego jest jedynym środkiem zapewniającym prawidłowy tok postępowania, ponieważ skarżący może usiłować ukrywać się przed wymiarem sprawiedliwości i utrudniać przebieg postępowania. Sąd zauważył, że adres wskazany przez adwokata w odwołaniu od postanowienia z dnia 17 maja 2011 roku nie był adresem miejsca zameldowania skarżącego, a adresem, pod którym prowadził działalność gospodarczą. Według sądu, zgodnie z prawem, oskarżony winien wskazać sądowi adres miejsca zameldowania na pobyt stały, a w przedmiotowej sprawie skarżący nie dopełnił tego obowiązku. </w:t>
      </w:r>
    </w:p>
    <w:p w:rsidR="00722C19" w:rsidRPr="00221377" w:rsidRDefault="00722C19" w:rsidP="00C30F73">
      <w:pPr>
        <w:ind w:firstLine="284"/>
        <w:jc w:val="both"/>
        <w:rPr>
          <w:lang w:val="pl-PL"/>
        </w:rPr>
      </w:pPr>
      <w:r w:rsidRPr="00224451">
        <w:rPr>
          <w:lang w:val="pl-PL"/>
        </w:rPr>
        <w:fldChar w:fldCharType="begin"/>
      </w:r>
      <w:r w:rsidRPr="00224451">
        <w:rPr>
          <w:lang w:val="pl-PL"/>
        </w:rPr>
        <w:instrText xml:space="preserve"> SEQ level0 \*arabic </w:instrText>
      </w:r>
      <w:r w:rsidRPr="00224451">
        <w:rPr>
          <w:lang w:val="pl-PL"/>
        </w:rPr>
        <w:fldChar w:fldCharType="separate"/>
      </w:r>
      <w:r>
        <w:rPr>
          <w:noProof/>
          <w:lang w:val="pl-PL"/>
        </w:rPr>
        <w:t>15</w:t>
      </w:r>
      <w:r w:rsidRPr="00224451">
        <w:rPr>
          <w:lang w:val="pl-PL"/>
        </w:rPr>
        <w:fldChar w:fldCharType="end"/>
      </w:r>
      <w:r w:rsidRPr="00224451">
        <w:rPr>
          <w:lang w:val="pl-PL"/>
        </w:rPr>
        <w:t>.  </w:t>
      </w:r>
      <w:r w:rsidRPr="00221377">
        <w:rPr>
          <w:lang w:val="pl-PL"/>
        </w:rPr>
        <w:t>W dniu 9 cze</w:t>
      </w:r>
      <w:r>
        <w:rPr>
          <w:lang w:val="pl-PL"/>
        </w:rPr>
        <w:t>rwca 2011 roku adwokat skarż</w:t>
      </w:r>
      <w:r w:rsidRPr="00221377">
        <w:rPr>
          <w:lang w:val="pl-PL"/>
        </w:rPr>
        <w:t xml:space="preserve">ącego </w:t>
      </w:r>
      <w:r>
        <w:rPr>
          <w:lang w:val="pl-PL"/>
        </w:rPr>
        <w:t xml:space="preserve">wniósł o podjęcie zawieszonego postępowania karnego przeciw jego klientowi oraz o uchylenie zastosowanego wobec niego tymczasowego aresztowania. Przedłożył zaświadczenie z Urzędu Miasta w Warszawie, z którego wynikało, że adres zameldowania na pobyt stały skarżącego jest od marca </w:t>
      </w:r>
      <w:r>
        <w:rPr>
          <w:lang w:val="pl-PL"/>
        </w:rPr>
        <w:lastRenderedPageBreak/>
        <w:t xml:space="preserve">2010 roku taki sam, jak adres podany w zażaleniach na postanowienie o zastosowaniu tymczasowego aresztowania. </w:t>
      </w:r>
    </w:p>
    <w:p w:rsidR="00722C19" w:rsidRPr="00221377" w:rsidRDefault="00722C19" w:rsidP="00C30F73">
      <w:pPr>
        <w:ind w:firstLine="284"/>
        <w:jc w:val="both"/>
        <w:rPr>
          <w:lang w:val="pl-PL"/>
        </w:rPr>
      </w:pPr>
      <w:r w:rsidRPr="00221377">
        <w:rPr>
          <w:lang w:val="pl-PL"/>
        </w:rPr>
        <w:fldChar w:fldCharType="begin"/>
      </w:r>
      <w:r w:rsidRPr="00221377">
        <w:rPr>
          <w:lang w:val="pl-PL"/>
        </w:rPr>
        <w:instrText xml:space="preserve"> SEQ level0 \*arabic </w:instrText>
      </w:r>
      <w:r w:rsidRPr="00221377">
        <w:rPr>
          <w:lang w:val="pl-PL"/>
        </w:rPr>
        <w:fldChar w:fldCharType="separate"/>
      </w:r>
      <w:r>
        <w:rPr>
          <w:noProof/>
          <w:lang w:val="pl-PL"/>
        </w:rPr>
        <w:t>16</w:t>
      </w:r>
      <w:r w:rsidRPr="00221377">
        <w:rPr>
          <w:lang w:val="pl-PL"/>
        </w:rPr>
        <w:fldChar w:fldCharType="end"/>
      </w:r>
      <w:r w:rsidRPr="00221377">
        <w:rPr>
          <w:lang w:val="pl-PL"/>
        </w:rPr>
        <w:t>.  W dniu 10 czerwca 2011 roku Sąd Rejonowy w Warszawie postanowił</w:t>
      </w:r>
      <w:r>
        <w:rPr>
          <w:lang w:val="pl-PL"/>
        </w:rPr>
        <w:t xml:space="preserve"> o podjęciu postępowania karnego przeciw skarżącemu. </w:t>
      </w:r>
    </w:p>
    <w:p w:rsidR="00722C19" w:rsidRPr="004214DF" w:rsidRDefault="00722C19" w:rsidP="00C30F73">
      <w:pPr>
        <w:ind w:firstLine="284"/>
        <w:jc w:val="both"/>
        <w:rPr>
          <w:szCs w:val="24"/>
          <w:lang w:val="pl-PL"/>
        </w:rPr>
      </w:pPr>
      <w:r w:rsidRPr="004214DF">
        <w:rPr>
          <w:szCs w:val="24"/>
          <w:lang w:val="pl-PL"/>
        </w:rPr>
        <w:fldChar w:fldCharType="begin"/>
      </w:r>
      <w:r w:rsidRPr="004214DF">
        <w:rPr>
          <w:szCs w:val="24"/>
          <w:lang w:val="pl-PL"/>
        </w:rPr>
        <w:instrText xml:space="preserve"> SEQ level0 \*arabic </w:instrText>
      </w:r>
      <w:r w:rsidRPr="004214DF">
        <w:rPr>
          <w:szCs w:val="24"/>
          <w:lang w:val="pl-PL"/>
        </w:rPr>
        <w:fldChar w:fldCharType="separate"/>
      </w:r>
      <w:r w:rsidRPr="004214DF">
        <w:rPr>
          <w:noProof/>
          <w:szCs w:val="24"/>
          <w:lang w:val="pl-PL"/>
        </w:rPr>
        <w:t>17</w:t>
      </w:r>
      <w:r w:rsidRPr="004214DF">
        <w:rPr>
          <w:szCs w:val="24"/>
          <w:lang w:val="pl-PL"/>
        </w:rPr>
        <w:fldChar w:fldCharType="end"/>
      </w:r>
      <w:r w:rsidRPr="004214DF">
        <w:rPr>
          <w:szCs w:val="24"/>
          <w:lang w:val="pl-PL"/>
        </w:rPr>
        <w:t xml:space="preserve">.  W dniu 14 czerwca 2011 roku na rozprawie, w której uczestniczył adwokat skarżącego, sąd postanowił o zamianie tymczasowego aresztowania na dozór Policji, z obowiązkiem stawiennictwa jeden raz w tygodniu i zwolnieniu skarżącego. Sąd wziął pod uwagę kwestię zdrowia skarżącego, podnoszoną przez obronę oraz zaświadczenie z Urzędu Miasta przedłożone przez adwokata.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18</w:t>
      </w:r>
      <w:r w:rsidRPr="004214DF">
        <w:rPr>
          <w:sz w:val="24"/>
          <w:szCs w:val="24"/>
          <w:lang w:val="pl-PL"/>
        </w:rPr>
        <w:fldChar w:fldCharType="end"/>
      </w:r>
      <w:r w:rsidRPr="004214DF">
        <w:rPr>
          <w:sz w:val="24"/>
          <w:szCs w:val="24"/>
          <w:lang w:val="pl-PL"/>
        </w:rPr>
        <w:t xml:space="preserve">.  Skarżący nie stawił się w komisariacie policji w wyznaczonych terminach to jest w dniach 20 i 27 lipca, 3 sierpnia oraz 21 i 28 września 2011 roku. Nie odebrał też pism wysłanych przez organy sądowe na jego adres zamieszkania.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19</w:t>
      </w:r>
      <w:r w:rsidRPr="004214DF">
        <w:rPr>
          <w:sz w:val="24"/>
          <w:szCs w:val="24"/>
          <w:lang w:val="pl-PL"/>
        </w:rPr>
        <w:fldChar w:fldCharType="end"/>
      </w:r>
      <w:r w:rsidRPr="004214DF">
        <w:rPr>
          <w:sz w:val="24"/>
          <w:szCs w:val="24"/>
          <w:lang w:val="pl-PL"/>
        </w:rPr>
        <w:t>.  W dniu 19 sierpnia 2011 roku skarżący odebrał w siedzibie sądu wezwanie do stawiennictwa na rozprawę w dniu 6 października 2011 r. Stawił się na tę rozprawę, jak również na następne, które odbyły się w dniach 25 stycznia i 21 marca 2012 roku.</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20</w:t>
      </w:r>
      <w:r w:rsidRPr="004214DF">
        <w:rPr>
          <w:sz w:val="24"/>
          <w:szCs w:val="24"/>
          <w:lang w:val="pl-PL"/>
        </w:rPr>
        <w:fldChar w:fldCharType="end"/>
      </w:r>
      <w:r w:rsidRPr="004214DF">
        <w:rPr>
          <w:sz w:val="24"/>
          <w:szCs w:val="24"/>
          <w:lang w:val="pl-PL"/>
        </w:rPr>
        <w:t>.  Środek zapobiegawczy w postaci dozoru policji zastosowany wobec skarżącego został uchylony w dniu 6 października 2011 roku.</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21</w:t>
      </w:r>
      <w:r w:rsidRPr="004214DF">
        <w:rPr>
          <w:sz w:val="24"/>
          <w:szCs w:val="24"/>
          <w:lang w:val="pl-PL"/>
        </w:rPr>
        <w:fldChar w:fldCharType="end"/>
      </w:r>
      <w:r w:rsidRPr="004214DF">
        <w:rPr>
          <w:sz w:val="24"/>
          <w:szCs w:val="24"/>
          <w:lang w:val="pl-PL"/>
        </w:rPr>
        <w:t>.  W dniu 21 marca 2012 Sąd Rejonowy w Warszawie umorzył postępowanie przeciw skarżącemu z uwagi na znikomą szkodliwość społeczną zarzuconego mu czynu.</w:t>
      </w:r>
    </w:p>
    <w:p w:rsidR="00722C19" w:rsidRPr="004214DF" w:rsidRDefault="00722C19" w:rsidP="00C30F73">
      <w:pPr>
        <w:pStyle w:val="JuHIRoman"/>
        <w:outlineLvl w:val="0"/>
        <w:rPr>
          <w:sz w:val="24"/>
          <w:szCs w:val="24"/>
          <w:lang w:val="pl-PL"/>
        </w:rPr>
      </w:pPr>
      <w:r w:rsidRPr="004214DF">
        <w:rPr>
          <w:sz w:val="24"/>
          <w:szCs w:val="24"/>
          <w:lang w:val="pl-PL"/>
        </w:rPr>
        <w:t>II.  WŁAŚCIWE PRAWO KRAJOWE</w:t>
      </w:r>
    </w:p>
    <w:p w:rsidR="00722C19" w:rsidRPr="004214DF" w:rsidRDefault="00722C19" w:rsidP="00C30F73">
      <w:pPr>
        <w:pStyle w:val="JuHA"/>
        <w:rPr>
          <w:sz w:val="24"/>
          <w:szCs w:val="24"/>
          <w:lang w:val="pl-PL"/>
        </w:rPr>
      </w:pPr>
      <w:r w:rsidRPr="004214DF">
        <w:rPr>
          <w:sz w:val="24"/>
          <w:szCs w:val="24"/>
          <w:lang w:val="pl-PL"/>
        </w:rPr>
        <w:t>A.  Przepisy dotyczące tymczasowego aresztowania</w:t>
      </w:r>
    </w:p>
    <w:p w:rsidR="00722C19" w:rsidRPr="004214DF" w:rsidRDefault="00722C19" w:rsidP="00C30F73">
      <w:pPr>
        <w:keepLines/>
        <w:suppressAutoHyphens w:val="0"/>
        <w:ind w:firstLine="284"/>
        <w:jc w:val="both"/>
        <w:rPr>
          <w:szCs w:val="24"/>
          <w:lang w:val="pl-PL"/>
        </w:rPr>
      </w:pPr>
      <w:r w:rsidRPr="004214DF">
        <w:rPr>
          <w:szCs w:val="24"/>
          <w:lang w:val="pl-PL"/>
        </w:rPr>
        <w:fldChar w:fldCharType="begin"/>
      </w:r>
      <w:r w:rsidRPr="004214DF">
        <w:rPr>
          <w:szCs w:val="24"/>
          <w:lang w:val="pl-PL"/>
        </w:rPr>
        <w:instrText xml:space="preserve"> SEQ level0 \*arabic </w:instrText>
      </w:r>
      <w:r w:rsidRPr="004214DF">
        <w:rPr>
          <w:szCs w:val="24"/>
          <w:lang w:val="pl-PL"/>
        </w:rPr>
        <w:fldChar w:fldCharType="separate"/>
      </w:r>
      <w:r w:rsidRPr="004214DF">
        <w:rPr>
          <w:noProof/>
          <w:szCs w:val="24"/>
          <w:lang w:val="pl-PL"/>
        </w:rPr>
        <w:t>22</w:t>
      </w:r>
      <w:r w:rsidRPr="004214DF">
        <w:rPr>
          <w:szCs w:val="24"/>
          <w:lang w:val="pl-PL"/>
        </w:rPr>
        <w:fldChar w:fldCharType="end"/>
      </w:r>
      <w:r w:rsidRPr="004214DF">
        <w:rPr>
          <w:szCs w:val="24"/>
          <w:lang w:val="pl-PL"/>
        </w:rPr>
        <w:t xml:space="preserve">.  Kodeks postępowania karnego (k.p.k.) klasyfikuje tymczasowe aresztowanie jako jeden ze „środków zapobiegawczych” wraz z innymi, takimi jak poręczenie majątkowe, dozór policji, poręczenie osoby godnej zaufania, poręczenie społeczne, zakaz prowadzenia określonej działalności oraz zakaz opuszczania kraju.   </w:t>
      </w:r>
    </w:p>
    <w:p w:rsidR="00722C19" w:rsidRPr="004214DF" w:rsidRDefault="00722C19" w:rsidP="00C30F73">
      <w:pPr>
        <w:suppressAutoHyphens w:val="0"/>
        <w:ind w:firstLine="284"/>
        <w:jc w:val="both"/>
        <w:rPr>
          <w:szCs w:val="24"/>
          <w:lang w:val="pl-PL"/>
        </w:rPr>
      </w:pPr>
      <w:r w:rsidRPr="004214DF">
        <w:rPr>
          <w:szCs w:val="24"/>
          <w:lang w:val="pl-PL"/>
        </w:rPr>
        <w:fldChar w:fldCharType="begin"/>
      </w:r>
      <w:r w:rsidRPr="004214DF">
        <w:rPr>
          <w:szCs w:val="24"/>
          <w:lang w:val="pl-PL"/>
        </w:rPr>
        <w:instrText xml:space="preserve"> SEQ level0 \*arabic </w:instrText>
      </w:r>
      <w:r w:rsidRPr="004214DF">
        <w:rPr>
          <w:szCs w:val="24"/>
          <w:lang w:val="pl-PL"/>
        </w:rPr>
        <w:fldChar w:fldCharType="separate"/>
      </w:r>
      <w:r w:rsidRPr="004214DF">
        <w:rPr>
          <w:noProof/>
          <w:szCs w:val="24"/>
          <w:lang w:val="pl-PL"/>
        </w:rPr>
        <w:t>23</w:t>
      </w:r>
      <w:r w:rsidRPr="004214DF">
        <w:rPr>
          <w:szCs w:val="24"/>
          <w:lang w:val="pl-PL"/>
        </w:rPr>
        <w:fldChar w:fldCharType="end"/>
      </w:r>
      <w:r w:rsidRPr="004214DF">
        <w:rPr>
          <w:szCs w:val="24"/>
          <w:lang w:val="pl-PL"/>
        </w:rPr>
        <w:t>.  W artykule 249 § 1 k.p.k. przedstawione są ogólne zasady zastosowania środków zapobiegawczych  :</w:t>
      </w:r>
    </w:p>
    <w:p w:rsidR="00722C19" w:rsidRPr="00FB7729" w:rsidRDefault="00722C19" w:rsidP="00C30F73">
      <w:pPr>
        <w:pStyle w:val="JuQuot"/>
        <w:rPr>
          <w:lang w:val="pl-PL"/>
        </w:rPr>
      </w:pPr>
      <w:r w:rsidRPr="00252758">
        <w:rPr>
          <w:lang w:val="pl-PL"/>
        </w:rPr>
        <w:t>« 1.  </w:t>
      </w:r>
      <w:r w:rsidRPr="00FB7729">
        <w:rPr>
          <w:lang w:val="pl-PL"/>
        </w:rPr>
        <w:t>Środki zapobiegawcze można stosować w celu zabezpieczenia prawidłowego toku postępowania, a wyjątkowo także w celu zapobiegnięcia popełnieniu przez oskarżonego nowego, ciężkiego przestępstwa; można je stosować tylko wtedy, gdy zebrane dowody wskazują na duże prawdopodobieństwo, że oskarżony popełnił przestępstwo.</w:t>
      </w:r>
      <w:r>
        <w:rPr>
          <w:sz w:val="23"/>
          <w:szCs w:val="23"/>
          <w:lang w:val="pl-PL"/>
        </w:rPr>
        <w:t>”</w:t>
      </w:r>
    </w:p>
    <w:p w:rsidR="00722C19" w:rsidRPr="00274125" w:rsidRDefault="00722C19" w:rsidP="00C30F73">
      <w:pPr>
        <w:suppressAutoHyphens w:val="0"/>
        <w:ind w:firstLine="284"/>
        <w:jc w:val="both"/>
        <w:rPr>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24</w:t>
      </w:r>
      <w:r w:rsidRPr="00252758">
        <w:rPr>
          <w:lang w:val="pl-PL"/>
        </w:rPr>
        <w:fldChar w:fldCharType="end"/>
      </w:r>
      <w:r w:rsidRPr="00252758">
        <w:rPr>
          <w:lang w:val="pl-PL"/>
        </w:rPr>
        <w:t>.  </w:t>
      </w:r>
      <w:r w:rsidRPr="00FB7729">
        <w:rPr>
          <w:lang w:val="pl-PL"/>
        </w:rPr>
        <w:t xml:space="preserve">W </w:t>
      </w:r>
      <w:r>
        <w:rPr>
          <w:lang w:val="pl-PL"/>
        </w:rPr>
        <w:t>artykule</w:t>
      </w:r>
      <w:r w:rsidRPr="00FB7729">
        <w:rPr>
          <w:lang w:val="pl-PL"/>
        </w:rPr>
        <w:t xml:space="preserve"> 258</w:t>
      </w:r>
      <w:r>
        <w:rPr>
          <w:lang w:val="pl-PL"/>
        </w:rPr>
        <w:t xml:space="preserve"> </w:t>
      </w:r>
      <w:r w:rsidRPr="00FB7729">
        <w:rPr>
          <w:lang w:val="pl-PL"/>
        </w:rPr>
        <w:t>k.p</w:t>
      </w:r>
      <w:r>
        <w:rPr>
          <w:lang w:val="pl-PL"/>
        </w:rPr>
        <w:t>.</w:t>
      </w:r>
      <w:r w:rsidRPr="00FB7729">
        <w:rPr>
          <w:lang w:val="pl-PL"/>
        </w:rPr>
        <w:t>k. w</w:t>
      </w:r>
      <w:r>
        <w:rPr>
          <w:lang w:val="pl-PL"/>
        </w:rPr>
        <w:t>ymienione są</w:t>
      </w:r>
      <w:r w:rsidRPr="00FB7729">
        <w:rPr>
          <w:lang w:val="pl-PL"/>
        </w:rPr>
        <w:t xml:space="preserve"> powo</w:t>
      </w:r>
      <w:r>
        <w:rPr>
          <w:lang w:val="pl-PL"/>
        </w:rPr>
        <w:t>dy zastosowania tymczasowego aresztowania</w:t>
      </w:r>
      <w:r w:rsidRPr="00FB7729">
        <w:rPr>
          <w:lang w:val="pl-PL"/>
        </w:rPr>
        <w:t xml:space="preserve">. </w:t>
      </w:r>
      <w:r w:rsidRPr="00434C15">
        <w:rPr>
          <w:lang w:val="pl-PL"/>
        </w:rPr>
        <w:t>Artykuł</w:t>
      </w:r>
      <w:r w:rsidRPr="00274125">
        <w:rPr>
          <w:lang w:val="pl-PL"/>
        </w:rPr>
        <w:t xml:space="preserve"> </w:t>
      </w:r>
      <w:r>
        <w:rPr>
          <w:lang w:val="pl-PL"/>
        </w:rPr>
        <w:t>brzmi jak następuje</w:t>
      </w:r>
      <w:r w:rsidRPr="00274125">
        <w:rPr>
          <w:lang w:val="pl-PL"/>
        </w:rPr>
        <w:t>:</w:t>
      </w:r>
    </w:p>
    <w:p w:rsidR="00722C19" w:rsidRPr="00FB7729" w:rsidRDefault="00722C19" w:rsidP="00C30F73">
      <w:pPr>
        <w:pStyle w:val="JuQuot"/>
        <w:rPr>
          <w:lang w:val="pl-PL"/>
        </w:rPr>
      </w:pPr>
      <w:r w:rsidRPr="00274125">
        <w:rPr>
          <w:lang w:val="pl-PL"/>
        </w:rPr>
        <w:t>«  1.  </w:t>
      </w:r>
      <w:r w:rsidRPr="00FB7729">
        <w:rPr>
          <w:bCs/>
          <w:lang w:val="pl-PL"/>
        </w:rPr>
        <w:t xml:space="preserve">Tymczasowe aresztowanie </w:t>
      </w:r>
      <w:r>
        <w:rPr>
          <w:bCs/>
          <w:lang w:val="pl-PL"/>
        </w:rPr>
        <w:t>może nastąpić jeżeli</w:t>
      </w:r>
      <w:r w:rsidRPr="00FB7729">
        <w:rPr>
          <w:bCs/>
          <w:lang w:val="pl-PL"/>
        </w:rPr>
        <w:t>:</w:t>
      </w:r>
      <w:r w:rsidRPr="00FB7729">
        <w:rPr>
          <w:b/>
          <w:bCs/>
          <w:sz w:val="23"/>
          <w:szCs w:val="23"/>
          <w:lang w:val="pl-PL"/>
        </w:rPr>
        <w:t xml:space="preserve"> </w:t>
      </w:r>
    </w:p>
    <w:p w:rsidR="00722C19" w:rsidRPr="00312CF4" w:rsidRDefault="00722C19" w:rsidP="00312CF4">
      <w:pPr>
        <w:suppressAutoHyphens w:val="0"/>
        <w:autoSpaceDE w:val="0"/>
        <w:autoSpaceDN w:val="0"/>
        <w:adjustRightInd w:val="0"/>
        <w:ind w:left="426"/>
        <w:jc w:val="both"/>
        <w:rPr>
          <w:color w:val="000000"/>
          <w:sz w:val="20"/>
          <w:lang w:val="pl-PL" w:eastAsia="en-US"/>
        </w:rPr>
      </w:pPr>
      <w:r w:rsidRPr="00312CF4">
        <w:rPr>
          <w:iCs/>
          <w:color w:val="000000"/>
          <w:sz w:val="20"/>
          <w:lang w:val="pl-PL" w:eastAsia="en-US"/>
        </w:rPr>
        <w:lastRenderedPageBreak/>
        <w:t>1) zachodzi uzasadniona obawa ucieczki lub ukrywania się oskarżonego, zwłaszcza wtedy, gdy nie można ustalić jego tożsamości albo nie ma on</w:t>
      </w:r>
      <w:r>
        <w:rPr>
          <w:iCs/>
          <w:color w:val="000000"/>
          <w:sz w:val="20"/>
          <w:lang w:val="pl-PL" w:eastAsia="en-US"/>
        </w:rPr>
        <w:t xml:space="preserve"> w kraju stałego miejsca pobytu</w:t>
      </w:r>
      <w:r w:rsidRPr="00312CF4">
        <w:rPr>
          <w:iCs/>
          <w:color w:val="000000"/>
          <w:sz w:val="20"/>
          <w:lang w:val="pl-PL" w:eastAsia="en-US"/>
        </w:rPr>
        <w:t xml:space="preserve"> </w:t>
      </w:r>
      <w:r w:rsidRPr="00312CF4">
        <w:rPr>
          <w:bCs/>
          <w:sz w:val="20"/>
          <w:lang w:val="pl-PL"/>
        </w:rPr>
        <w:t>[w Polsce],</w:t>
      </w:r>
    </w:p>
    <w:p w:rsidR="00722C19" w:rsidRPr="00312CF4" w:rsidRDefault="00722C19" w:rsidP="00312CF4">
      <w:pPr>
        <w:suppressAutoHyphens w:val="0"/>
        <w:autoSpaceDE w:val="0"/>
        <w:autoSpaceDN w:val="0"/>
        <w:adjustRightInd w:val="0"/>
        <w:ind w:left="426"/>
        <w:jc w:val="both"/>
        <w:rPr>
          <w:color w:val="000000"/>
          <w:sz w:val="20"/>
          <w:lang w:val="pl-PL" w:eastAsia="en-US"/>
        </w:rPr>
      </w:pPr>
      <w:r w:rsidRPr="00312CF4">
        <w:rPr>
          <w:iCs/>
          <w:color w:val="000000"/>
          <w:sz w:val="20"/>
          <w:lang w:val="pl-PL" w:eastAsia="en-US"/>
        </w:rPr>
        <w:t>2) zachodzi uzasadniona obawa, że oskarżony będzie nakłaniał</w:t>
      </w:r>
      <w:r>
        <w:rPr>
          <w:iCs/>
          <w:color w:val="000000"/>
          <w:sz w:val="20"/>
          <w:lang w:val="pl-PL" w:eastAsia="en-US"/>
        </w:rPr>
        <w:t xml:space="preserve"> [świadków lub współoskarżonych]</w:t>
      </w:r>
      <w:r w:rsidRPr="00312CF4">
        <w:rPr>
          <w:iCs/>
          <w:color w:val="000000"/>
          <w:sz w:val="20"/>
          <w:lang w:val="pl-PL" w:eastAsia="en-US"/>
        </w:rPr>
        <w:t xml:space="preserve"> do składania fałszywych zeznań lub wyjaśnień albo w inny bezprawny sposób utrudniał postępowanie karne. </w:t>
      </w:r>
    </w:p>
    <w:p w:rsidR="00722C19" w:rsidRDefault="00722C19" w:rsidP="00312CF4">
      <w:pPr>
        <w:pStyle w:val="Default"/>
        <w:ind w:left="426"/>
        <w:jc w:val="both"/>
        <w:rPr>
          <w:iCs/>
          <w:sz w:val="20"/>
          <w:szCs w:val="20"/>
        </w:rPr>
      </w:pPr>
      <w:r w:rsidRPr="00312CF4">
        <w:rPr>
          <w:iCs/>
          <w:sz w:val="20"/>
          <w:szCs w:val="20"/>
        </w:rPr>
        <w:t>§ 2. Jeżeli oskarżonemu zarzuca się popełnienie zbrodni lub występku zagrożonego karą pozbawienia wolności, której górna grani</w:t>
      </w:r>
      <w:r>
        <w:rPr>
          <w:iCs/>
          <w:sz w:val="20"/>
          <w:szCs w:val="20"/>
        </w:rPr>
        <w:t>ca wynosi co najmniej 8 lat, al</w:t>
      </w:r>
      <w:r w:rsidRPr="00312CF4">
        <w:rPr>
          <w:iCs/>
          <w:sz w:val="20"/>
          <w:szCs w:val="20"/>
        </w:rPr>
        <w:t>bo gdy sąd pierwszej instancji skazał go na karę pozbawienia wolności nie niższą niż 3 lata, potrzeba zastosowania tymc</w:t>
      </w:r>
      <w:r>
        <w:rPr>
          <w:iCs/>
          <w:sz w:val="20"/>
          <w:szCs w:val="20"/>
        </w:rPr>
        <w:t>zasowego aresztowania w celu za</w:t>
      </w:r>
      <w:r w:rsidRPr="00312CF4">
        <w:rPr>
          <w:iCs/>
          <w:sz w:val="20"/>
          <w:szCs w:val="20"/>
        </w:rPr>
        <w:t>bezpieczenia prawidłowego toku postępowania może być uzasadniona grożącą oskarżonemu surową karą.</w:t>
      </w:r>
    </w:p>
    <w:p w:rsidR="00722C19" w:rsidRDefault="00722C19" w:rsidP="00312CF4">
      <w:pPr>
        <w:pStyle w:val="Default"/>
        <w:ind w:left="426"/>
        <w:rPr>
          <w:b/>
          <w:bCs/>
          <w:sz w:val="23"/>
          <w:szCs w:val="23"/>
        </w:rPr>
      </w:pPr>
      <w:r w:rsidRPr="00312CF4">
        <w:rPr>
          <w:i/>
          <w:iCs/>
          <w:sz w:val="23"/>
          <w:szCs w:val="23"/>
        </w:rPr>
        <w:t xml:space="preserve"> </w:t>
      </w:r>
    </w:p>
    <w:p w:rsidR="00722C19" w:rsidRPr="00252758" w:rsidRDefault="00722C19" w:rsidP="00C30F73">
      <w:pPr>
        <w:suppressAutoHyphens w:val="0"/>
        <w:ind w:firstLine="284"/>
        <w:jc w:val="both"/>
        <w:rPr>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25</w:t>
      </w:r>
      <w:r w:rsidRPr="00252758">
        <w:rPr>
          <w:lang w:val="pl-PL"/>
        </w:rPr>
        <w:fldChar w:fldCharType="end"/>
      </w:r>
      <w:r w:rsidRPr="00252758">
        <w:rPr>
          <w:lang w:val="pl-PL"/>
        </w:rPr>
        <w:t>.  </w:t>
      </w:r>
      <w:r w:rsidRPr="00434C15">
        <w:rPr>
          <w:lang w:val="pl-PL"/>
        </w:rPr>
        <w:t xml:space="preserve">K.p.k. przewiduje </w:t>
      </w:r>
      <w:r>
        <w:rPr>
          <w:lang w:val="pl-PL"/>
        </w:rPr>
        <w:t xml:space="preserve">ograniczenia, dotyczące przedłużania przez sąd każdego ze środków zapobiegawczych. </w:t>
      </w:r>
      <w:r w:rsidRPr="00434C15">
        <w:rPr>
          <w:lang w:val="pl-PL"/>
        </w:rPr>
        <w:t>Artykuł</w:t>
      </w:r>
      <w:r w:rsidRPr="00252758">
        <w:rPr>
          <w:lang w:val="pl-PL"/>
        </w:rPr>
        <w:t xml:space="preserve"> 257 </w:t>
      </w:r>
      <w:r w:rsidRPr="00434C15">
        <w:rPr>
          <w:lang w:val="pl-PL"/>
        </w:rPr>
        <w:t>k.p.k</w:t>
      </w:r>
      <w:r w:rsidRPr="00252758">
        <w:rPr>
          <w:lang w:val="pl-PL"/>
        </w:rPr>
        <w:t xml:space="preserve">. w </w:t>
      </w:r>
      <w:r w:rsidRPr="00434C15">
        <w:rPr>
          <w:lang w:val="pl-PL"/>
        </w:rPr>
        <w:t>szczególności</w:t>
      </w:r>
      <w:r w:rsidRPr="00252758">
        <w:rPr>
          <w:lang w:val="pl-PL"/>
        </w:rPr>
        <w:t xml:space="preserve"> </w:t>
      </w:r>
      <w:r w:rsidRPr="00434C15">
        <w:rPr>
          <w:lang w:val="pl-PL"/>
        </w:rPr>
        <w:t>stanowi</w:t>
      </w:r>
      <w:r w:rsidRPr="00252758">
        <w:rPr>
          <w:lang w:val="pl-PL"/>
        </w:rPr>
        <w:t xml:space="preserve"> :</w:t>
      </w:r>
    </w:p>
    <w:p w:rsidR="00722C19" w:rsidRPr="00274125" w:rsidRDefault="00722C19" w:rsidP="00C30F73">
      <w:pPr>
        <w:pStyle w:val="JuQuot"/>
        <w:rPr>
          <w:lang w:val="pl-PL"/>
        </w:rPr>
      </w:pPr>
      <w:r w:rsidRPr="00252758">
        <w:rPr>
          <w:lang w:val="pl-PL"/>
        </w:rPr>
        <w:t>« 1. </w:t>
      </w:r>
      <w:r w:rsidRPr="00274125">
        <w:rPr>
          <w:lang w:val="pl-PL"/>
        </w:rPr>
        <w:t>Tymczasowego aresztowania nie stosuje się, jeżeli wystarczający jest inny środek zapobiegawczy.</w:t>
      </w:r>
      <w:r w:rsidRPr="00274125">
        <w:rPr>
          <w:sz w:val="23"/>
          <w:szCs w:val="23"/>
          <w:lang w:val="pl-PL"/>
        </w:rPr>
        <w:t xml:space="preserve"> </w:t>
      </w:r>
    </w:p>
    <w:p w:rsidR="00722C19" w:rsidRPr="00274125" w:rsidRDefault="00722C19" w:rsidP="00C30F73">
      <w:pPr>
        <w:suppressAutoHyphens w:val="0"/>
        <w:ind w:firstLine="284"/>
        <w:jc w:val="both"/>
        <w:rPr>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26</w:t>
      </w:r>
      <w:r w:rsidRPr="00252758">
        <w:rPr>
          <w:lang w:val="pl-PL"/>
        </w:rPr>
        <w:fldChar w:fldCharType="end"/>
      </w:r>
      <w:r w:rsidRPr="00252758">
        <w:rPr>
          <w:lang w:val="pl-PL"/>
        </w:rPr>
        <w:t>.  </w:t>
      </w:r>
      <w:r w:rsidRPr="00274125">
        <w:rPr>
          <w:lang w:val="pl-PL"/>
        </w:rPr>
        <w:t>Artykuł 259 § 1 k.p.k. s</w:t>
      </w:r>
      <w:r>
        <w:rPr>
          <w:lang w:val="pl-PL"/>
        </w:rPr>
        <w:t>tanowi</w:t>
      </w:r>
      <w:r w:rsidRPr="00274125">
        <w:rPr>
          <w:lang w:val="pl-PL"/>
        </w:rPr>
        <w:t>:</w:t>
      </w:r>
    </w:p>
    <w:p w:rsidR="00722C19" w:rsidRPr="004A20AC" w:rsidRDefault="00722C19" w:rsidP="00274125">
      <w:pPr>
        <w:pStyle w:val="Default"/>
        <w:ind w:left="426"/>
        <w:rPr>
          <w:sz w:val="20"/>
          <w:szCs w:val="20"/>
        </w:rPr>
      </w:pPr>
      <w:r w:rsidRPr="004A20AC">
        <w:rPr>
          <w:sz w:val="20"/>
          <w:szCs w:val="20"/>
        </w:rPr>
        <w:t xml:space="preserve">„ 1. Jeżeli szczególne względy nie stoją temu na przeszkodzie, należy odstąpić od tymczasowego aresztowania, zwłaszcza gdy pozbawienie oskarżonego wolności: </w:t>
      </w:r>
    </w:p>
    <w:p w:rsidR="00722C19" w:rsidRPr="004603D9" w:rsidRDefault="00722C19" w:rsidP="004A20AC">
      <w:pPr>
        <w:pStyle w:val="Default"/>
        <w:ind w:left="426"/>
        <w:rPr>
          <w:sz w:val="20"/>
          <w:szCs w:val="20"/>
        </w:rPr>
      </w:pPr>
      <w:r w:rsidRPr="004A20AC">
        <w:rPr>
          <w:sz w:val="20"/>
          <w:szCs w:val="20"/>
        </w:rPr>
        <w:t xml:space="preserve">   1) spowodowałoby dla jego życia lub zdrowia poważne niebezpieczeństwo; lub</w:t>
      </w:r>
    </w:p>
    <w:p w:rsidR="00722C19" w:rsidRPr="004603D9" w:rsidRDefault="00722C19" w:rsidP="008A24B7">
      <w:pPr>
        <w:pStyle w:val="Default"/>
        <w:ind w:left="426" w:firstLine="114"/>
        <w:rPr>
          <w:sz w:val="20"/>
          <w:szCs w:val="20"/>
        </w:rPr>
      </w:pPr>
      <w:r w:rsidRPr="004603D9">
        <w:rPr>
          <w:sz w:val="20"/>
          <w:szCs w:val="20"/>
        </w:rPr>
        <w:t>2) pociągałoby wyjątkowo ciężkie skutki dla oskarżonego lub jego najbliższej rodziny.”</w:t>
      </w:r>
    </w:p>
    <w:p w:rsidR="00722C19" w:rsidRPr="00274125" w:rsidRDefault="00722C19" w:rsidP="00C30F73">
      <w:pPr>
        <w:suppressAutoHyphens w:val="0"/>
        <w:ind w:firstLine="284"/>
        <w:jc w:val="both"/>
        <w:rPr>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27</w:t>
      </w:r>
      <w:r w:rsidRPr="00252758">
        <w:rPr>
          <w:lang w:val="pl-PL"/>
        </w:rPr>
        <w:fldChar w:fldCharType="end"/>
      </w:r>
      <w:r w:rsidRPr="00252758">
        <w:rPr>
          <w:lang w:val="pl-PL"/>
        </w:rPr>
        <w:t>. </w:t>
      </w:r>
      <w:r w:rsidRPr="00274125">
        <w:rPr>
          <w:lang w:val="pl-PL"/>
        </w:rPr>
        <w:t>Artykuł 259 § 3 k.p.k. brzmi jak następuje :</w:t>
      </w:r>
    </w:p>
    <w:p w:rsidR="00722C19" w:rsidRDefault="00722C19" w:rsidP="00C30F73">
      <w:pPr>
        <w:pStyle w:val="JuQuot"/>
        <w:rPr>
          <w:i/>
          <w:iCs/>
          <w:sz w:val="23"/>
          <w:szCs w:val="23"/>
          <w:lang w:val="pl-PL"/>
        </w:rPr>
      </w:pPr>
      <w:r w:rsidRPr="00274125">
        <w:rPr>
          <w:lang w:val="pl-PL"/>
        </w:rPr>
        <w:t>« </w:t>
      </w:r>
      <w:r w:rsidRPr="00274125">
        <w:rPr>
          <w:iCs/>
          <w:lang w:val="pl-PL"/>
        </w:rPr>
        <w:t>Tymczasowe aresztowanie nie może być stosowane, jeżeli przestępstwo zagrożone jest karą pozbawienia wolności nieprze</w:t>
      </w:r>
      <w:r>
        <w:rPr>
          <w:iCs/>
          <w:lang w:val="pl-PL"/>
        </w:rPr>
        <w:t>kraczającą roku chyba, że spraw</w:t>
      </w:r>
      <w:r w:rsidRPr="00274125">
        <w:rPr>
          <w:iCs/>
          <w:lang w:val="pl-PL"/>
        </w:rPr>
        <w:t>ca został ujęty na gorącym</w:t>
      </w:r>
      <w:r>
        <w:rPr>
          <w:iCs/>
          <w:lang w:val="pl-PL"/>
        </w:rPr>
        <w:t xml:space="preserve"> </w:t>
      </w:r>
      <w:r w:rsidRPr="00274125">
        <w:rPr>
          <w:iCs/>
          <w:lang w:val="pl-PL"/>
        </w:rPr>
        <w:t>uczynku lub bezpośrednio potem</w:t>
      </w:r>
      <w:r>
        <w:rPr>
          <w:iCs/>
          <w:lang w:val="pl-PL"/>
        </w:rPr>
        <w:t>.”</w:t>
      </w:r>
      <w:r w:rsidRPr="00274125">
        <w:rPr>
          <w:i/>
          <w:iCs/>
          <w:sz w:val="23"/>
          <w:szCs w:val="23"/>
          <w:lang w:val="pl-PL"/>
        </w:rPr>
        <w:t xml:space="preserve"> </w:t>
      </w:r>
    </w:p>
    <w:p w:rsidR="00722C19" w:rsidRPr="00274125" w:rsidRDefault="00722C19" w:rsidP="00274125">
      <w:pPr>
        <w:suppressAutoHyphens w:val="0"/>
        <w:spacing w:line="276" w:lineRule="auto"/>
        <w:ind w:firstLine="284"/>
        <w:jc w:val="both"/>
        <w:rPr>
          <w:szCs w:val="24"/>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28</w:t>
      </w:r>
      <w:r w:rsidRPr="00252758">
        <w:rPr>
          <w:lang w:val="pl-PL"/>
        </w:rPr>
        <w:fldChar w:fldCharType="end"/>
      </w:r>
      <w:r w:rsidRPr="00252758">
        <w:rPr>
          <w:lang w:val="pl-PL"/>
        </w:rPr>
        <w:t>.  </w:t>
      </w:r>
      <w:r w:rsidRPr="00274125">
        <w:rPr>
          <w:lang w:val="pl-PL"/>
        </w:rPr>
        <w:t>Artykuł 259 § 4 k.p.k. uściśla, że zasada określona w artykule </w:t>
      </w:r>
      <w:r>
        <w:rPr>
          <w:lang w:val="pl-PL"/>
        </w:rPr>
        <w:t xml:space="preserve"> </w:t>
      </w:r>
      <w:r w:rsidRPr="00274125">
        <w:rPr>
          <w:lang w:val="pl-PL"/>
        </w:rPr>
        <w:t>259 § 3 nie ma</w:t>
      </w:r>
      <w:r>
        <w:rPr>
          <w:lang w:val="pl-PL"/>
        </w:rPr>
        <w:t xml:space="preserve"> </w:t>
      </w:r>
      <w:r w:rsidRPr="00274125">
        <w:rPr>
          <w:lang w:val="pl-PL"/>
        </w:rPr>
        <w:t>zastosowania</w:t>
      </w:r>
      <w:r>
        <w:rPr>
          <w:lang w:val="pl-PL"/>
        </w:rPr>
        <w:t xml:space="preserve">, </w:t>
      </w:r>
      <w:r w:rsidRPr="00274125">
        <w:rPr>
          <w:szCs w:val="24"/>
          <w:lang w:val="pl-PL"/>
        </w:rPr>
        <w:t>gdy oskarżony ukrywa się, uporczywie nie stawia się na wezwania lub w inny bezprawny sposób utrudnia postępowanie albo nie można ustalić jego tożsamości.</w:t>
      </w:r>
    </w:p>
    <w:p w:rsidR="00722C19" w:rsidRPr="004214DF" w:rsidRDefault="00722C19" w:rsidP="00C30F73">
      <w:pPr>
        <w:pStyle w:val="JuHA"/>
        <w:rPr>
          <w:sz w:val="24"/>
          <w:szCs w:val="24"/>
          <w:lang w:val="pl-PL"/>
        </w:rPr>
      </w:pPr>
      <w:r w:rsidRPr="004214DF">
        <w:rPr>
          <w:sz w:val="24"/>
          <w:szCs w:val="24"/>
          <w:lang w:val="pl-PL"/>
        </w:rPr>
        <w:t>B.  Obowiązki oskarżonego</w:t>
      </w:r>
    </w:p>
    <w:p w:rsidR="00722C19" w:rsidRPr="00274125" w:rsidRDefault="00722C19" w:rsidP="00C30F73">
      <w:pPr>
        <w:suppressAutoHyphens w:val="0"/>
        <w:ind w:firstLine="284"/>
        <w:jc w:val="both"/>
        <w:rPr>
          <w:szCs w:val="24"/>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29</w:t>
      </w:r>
      <w:r w:rsidRPr="00252758">
        <w:rPr>
          <w:lang w:val="pl-PL"/>
        </w:rPr>
        <w:fldChar w:fldCharType="end"/>
      </w:r>
      <w:r w:rsidRPr="00252758">
        <w:rPr>
          <w:lang w:val="pl-PL"/>
        </w:rPr>
        <w:t>.  </w:t>
      </w:r>
      <w:r w:rsidRPr="00274125">
        <w:rPr>
          <w:lang w:val="pl-PL"/>
        </w:rPr>
        <w:t>Artykuł 75 k.p.k. s</w:t>
      </w:r>
      <w:r>
        <w:rPr>
          <w:lang w:val="pl-PL"/>
        </w:rPr>
        <w:t xml:space="preserve">tanowi, że </w:t>
      </w:r>
      <w:r w:rsidRPr="00274125">
        <w:rPr>
          <w:iCs/>
          <w:szCs w:val="24"/>
          <w:lang w:val="pl-PL"/>
        </w:rPr>
        <w:t xml:space="preserve">oskarżony, który </w:t>
      </w:r>
      <w:r>
        <w:rPr>
          <w:iCs/>
          <w:szCs w:val="24"/>
          <w:lang w:val="pl-PL"/>
        </w:rPr>
        <w:t>pozostaje na wolności</w:t>
      </w:r>
      <w:r w:rsidRPr="00274125">
        <w:rPr>
          <w:iCs/>
          <w:szCs w:val="24"/>
          <w:lang w:val="pl-PL"/>
        </w:rPr>
        <w:t xml:space="preserve"> jest obowiązany stawić się na każde wezwanie w toku postępowania karnego</w:t>
      </w:r>
      <w:r>
        <w:rPr>
          <w:iCs/>
          <w:szCs w:val="24"/>
          <w:lang w:val="pl-PL"/>
        </w:rPr>
        <w:t>. Musi on także zawiado</w:t>
      </w:r>
      <w:r w:rsidRPr="00274125">
        <w:rPr>
          <w:iCs/>
          <w:szCs w:val="24"/>
          <w:lang w:val="pl-PL"/>
        </w:rPr>
        <w:t xml:space="preserve">mić organ prowadzący postępowanie </w:t>
      </w:r>
      <w:r>
        <w:rPr>
          <w:iCs/>
          <w:szCs w:val="24"/>
          <w:lang w:val="pl-PL"/>
        </w:rPr>
        <w:t xml:space="preserve">          </w:t>
      </w:r>
      <w:r w:rsidRPr="00274125">
        <w:rPr>
          <w:iCs/>
          <w:szCs w:val="24"/>
          <w:lang w:val="pl-PL"/>
        </w:rPr>
        <w:t>o każdej zmianie miejsca swego zamieszkania lub pobytu trwającego dłużej niż</w:t>
      </w:r>
      <w:r>
        <w:rPr>
          <w:iCs/>
          <w:szCs w:val="24"/>
          <w:lang w:val="pl-PL"/>
        </w:rPr>
        <w:t xml:space="preserve"> 7 dni.</w:t>
      </w:r>
      <w:r w:rsidRPr="00274125">
        <w:rPr>
          <w:iCs/>
          <w:szCs w:val="24"/>
          <w:lang w:val="pl-PL"/>
        </w:rPr>
        <w:t xml:space="preserve"> </w:t>
      </w:r>
      <w:r>
        <w:rPr>
          <w:iCs/>
          <w:szCs w:val="24"/>
          <w:lang w:val="pl-PL"/>
        </w:rPr>
        <w:t>O</w:t>
      </w:r>
      <w:r w:rsidRPr="00274125">
        <w:rPr>
          <w:iCs/>
          <w:szCs w:val="24"/>
          <w:lang w:val="pl-PL"/>
        </w:rPr>
        <w:t xml:space="preserve">skarżonego </w:t>
      </w:r>
      <w:r>
        <w:rPr>
          <w:iCs/>
          <w:szCs w:val="24"/>
          <w:lang w:val="pl-PL"/>
        </w:rPr>
        <w:t>należy</w:t>
      </w:r>
      <w:r w:rsidRPr="00274125">
        <w:rPr>
          <w:iCs/>
          <w:szCs w:val="24"/>
          <w:lang w:val="pl-PL"/>
        </w:rPr>
        <w:t xml:space="preserve"> uprzedzić</w:t>
      </w:r>
      <w:r>
        <w:rPr>
          <w:iCs/>
          <w:szCs w:val="24"/>
          <w:lang w:val="pl-PL"/>
        </w:rPr>
        <w:t xml:space="preserve"> o tych obowiązkach</w:t>
      </w:r>
      <w:r w:rsidRPr="00274125">
        <w:rPr>
          <w:iCs/>
          <w:szCs w:val="24"/>
          <w:lang w:val="pl-PL"/>
        </w:rPr>
        <w:t xml:space="preserve"> przy pierwszym przesł</w:t>
      </w:r>
      <w:r>
        <w:rPr>
          <w:iCs/>
          <w:szCs w:val="24"/>
          <w:lang w:val="pl-PL"/>
        </w:rPr>
        <w:t>uchaniu.</w:t>
      </w:r>
    </w:p>
    <w:p w:rsidR="00722C19" w:rsidRPr="00050B86" w:rsidRDefault="00722C19" w:rsidP="00050B86">
      <w:pPr>
        <w:suppressAutoHyphens w:val="0"/>
        <w:spacing w:line="276" w:lineRule="auto"/>
        <w:ind w:firstLine="284"/>
        <w:jc w:val="both"/>
        <w:rPr>
          <w:szCs w:val="24"/>
          <w:lang w:val="pl-PL"/>
        </w:rPr>
      </w:pPr>
      <w:r w:rsidRPr="00252758">
        <w:rPr>
          <w:lang w:val="pl-PL"/>
        </w:rPr>
        <w:fldChar w:fldCharType="begin"/>
      </w:r>
      <w:r w:rsidRPr="00252758">
        <w:rPr>
          <w:lang w:val="pl-PL"/>
        </w:rPr>
        <w:instrText xml:space="preserve"> SEQ level0 \*arabic </w:instrText>
      </w:r>
      <w:r w:rsidRPr="00252758">
        <w:rPr>
          <w:lang w:val="pl-PL"/>
        </w:rPr>
        <w:fldChar w:fldCharType="separate"/>
      </w:r>
      <w:r>
        <w:rPr>
          <w:noProof/>
          <w:lang w:val="pl-PL"/>
        </w:rPr>
        <w:t>30</w:t>
      </w:r>
      <w:r w:rsidRPr="00252758">
        <w:rPr>
          <w:lang w:val="pl-PL"/>
        </w:rPr>
        <w:fldChar w:fldCharType="end"/>
      </w:r>
      <w:r w:rsidRPr="00252758">
        <w:rPr>
          <w:lang w:val="pl-PL"/>
        </w:rPr>
        <w:t>.  </w:t>
      </w:r>
      <w:r w:rsidRPr="00050B86">
        <w:rPr>
          <w:lang w:val="pl-PL"/>
        </w:rPr>
        <w:t>Zgodnie z paragrafem 2 tego artykułu</w:t>
      </w:r>
      <w:r>
        <w:rPr>
          <w:lang w:val="pl-PL"/>
        </w:rPr>
        <w:t>,</w:t>
      </w:r>
      <w:r w:rsidRPr="00050B86">
        <w:rPr>
          <w:lang w:val="pl-PL"/>
        </w:rPr>
        <w:t xml:space="preserve"> </w:t>
      </w:r>
      <w:r w:rsidRPr="00050B86">
        <w:rPr>
          <w:szCs w:val="24"/>
          <w:lang w:val="pl-PL"/>
        </w:rPr>
        <w:t>w razie nie usprawiedliwionego niestawiennictwa oskarżonego można zatrzymać go i sprowadzić przymusowo.</w:t>
      </w:r>
    </w:p>
    <w:p w:rsidR="00722C19" w:rsidRPr="004214DF" w:rsidRDefault="00722C19" w:rsidP="00C30F73">
      <w:pPr>
        <w:pStyle w:val="JuHA"/>
        <w:rPr>
          <w:sz w:val="24"/>
          <w:szCs w:val="24"/>
          <w:lang w:val="pl-PL"/>
        </w:rPr>
      </w:pPr>
      <w:r w:rsidRPr="004214DF">
        <w:rPr>
          <w:sz w:val="24"/>
          <w:szCs w:val="24"/>
          <w:lang w:val="pl-PL"/>
        </w:rPr>
        <w:lastRenderedPageBreak/>
        <w:t>C.  </w:t>
      </w:r>
      <w:r w:rsidRPr="004214DF">
        <w:rPr>
          <w:bCs/>
          <w:iCs/>
          <w:sz w:val="24"/>
          <w:szCs w:val="24"/>
          <w:lang w:val="pl-PL"/>
        </w:rPr>
        <w:t>Odszkodowanie za niesłuszne skazanie, tymczasowe aresztowanie lub zatrzymanie</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31</w:t>
      </w:r>
      <w:r w:rsidRPr="004214DF">
        <w:rPr>
          <w:sz w:val="24"/>
          <w:szCs w:val="24"/>
          <w:lang w:val="pl-PL"/>
        </w:rPr>
        <w:fldChar w:fldCharType="end"/>
      </w:r>
      <w:r w:rsidRPr="004214DF">
        <w:rPr>
          <w:sz w:val="24"/>
          <w:szCs w:val="24"/>
          <w:lang w:val="pl-PL"/>
        </w:rPr>
        <w:t>.  Rozdział 58 k.p.k. zatytułowany „</w:t>
      </w:r>
      <w:r w:rsidRPr="004214DF">
        <w:rPr>
          <w:bCs/>
          <w:iCs/>
          <w:sz w:val="24"/>
          <w:szCs w:val="24"/>
          <w:lang w:val="pl-PL"/>
        </w:rPr>
        <w:t xml:space="preserve">Odszkodowanie za niesłuszne skazanie, tymczasowe aresztowanie lub zatrzymanie” stanowi                       o odpowiedzialności Państwa w przypadku niesłusznego skazania lub tymczasowego aresztowania zastosowanego w toku postępowania karnego.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32</w:t>
      </w:r>
      <w:r w:rsidRPr="004214DF">
        <w:rPr>
          <w:sz w:val="24"/>
          <w:szCs w:val="24"/>
          <w:lang w:val="pl-PL"/>
        </w:rPr>
        <w:fldChar w:fldCharType="end"/>
      </w:r>
      <w:r w:rsidRPr="004214DF">
        <w:rPr>
          <w:sz w:val="24"/>
          <w:szCs w:val="24"/>
          <w:lang w:val="pl-PL"/>
        </w:rPr>
        <w:t>.  I tak, artykuł 552 k.p.k. określa :</w:t>
      </w:r>
    </w:p>
    <w:p w:rsidR="00722C19" w:rsidRPr="000F65FD" w:rsidRDefault="00722C19" w:rsidP="000F65FD">
      <w:pPr>
        <w:pStyle w:val="JuQuot"/>
        <w:rPr>
          <w:iCs/>
          <w:lang w:val="pl-PL"/>
        </w:rPr>
      </w:pPr>
      <w:r w:rsidRPr="00252758">
        <w:rPr>
          <w:lang w:val="pl-PL"/>
        </w:rPr>
        <w:t> « 1.  </w:t>
      </w:r>
      <w:r w:rsidRPr="000F65FD">
        <w:rPr>
          <w:iCs/>
          <w:lang w:val="pl-PL"/>
        </w:rPr>
        <w:t>Oskarżonemu, który w wyniku wznowienia postępowania lub kasacji został uniewinniony lub skazany na łagodniejszą karę, służy od Skarbu Pań</w:t>
      </w:r>
      <w:r>
        <w:rPr>
          <w:iCs/>
          <w:lang w:val="pl-PL"/>
        </w:rPr>
        <w:t>stwa od</w:t>
      </w:r>
      <w:r w:rsidRPr="000F65FD">
        <w:rPr>
          <w:iCs/>
          <w:lang w:val="pl-PL"/>
        </w:rPr>
        <w:t xml:space="preserve">szkodowanie za poniesioną szkodę oraz zadośćuczynienie za doznaną krzywdę, wynikłe z wykonania względem niego w całości lub w części kary, której nie powinien był ponieść. </w:t>
      </w:r>
    </w:p>
    <w:p w:rsidR="00722C19" w:rsidRPr="00252758" w:rsidRDefault="00722C19" w:rsidP="00C30F73">
      <w:pPr>
        <w:pStyle w:val="JuQuot"/>
        <w:rPr>
          <w:lang w:val="pl-PL"/>
        </w:rPr>
      </w:pPr>
      <w:r w:rsidRPr="00252758">
        <w:rPr>
          <w:lang w:val="pl-PL"/>
        </w:rPr>
        <w:t>(...)</w:t>
      </w:r>
    </w:p>
    <w:p w:rsidR="00722C19" w:rsidRPr="000F65FD" w:rsidRDefault="00722C19" w:rsidP="00C30F73">
      <w:pPr>
        <w:pStyle w:val="JuQuot"/>
        <w:rPr>
          <w:lang w:val="pl-PL"/>
        </w:rPr>
      </w:pPr>
      <w:r w:rsidRPr="00252758">
        <w:rPr>
          <w:lang w:val="pl-PL"/>
        </w:rPr>
        <w:t>4.  </w:t>
      </w:r>
      <w:r w:rsidRPr="000F65FD">
        <w:rPr>
          <w:iCs/>
          <w:lang w:val="pl-PL"/>
        </w:rPr>
        <w:t>Odszkodowanie i zadośćuczynienie przysługuje również w wypadku niewątpliwie niesłusznego tymczasoweg</w:t>
      </w:r>
      <w:r>
        <w:rPr>
          <w:iCs/>
          <w:lang w:val="pl-PL"/>
        </w:rPr>
        <w:t>o aresztowania lub zatrzymania.”</w:t>
      </w:r>
      <w:r w:rsidRPr="000F65FD">
        <w:rPr>
          <w:lang w:val="pl-PL"/>
        </w:rPr>
        <w:t xml:space="preserve"> </w:t>
      </w:r>
    </w:p>
    <w:p w:rsidR="00722C19" w:rsidRPr="004214DF" w:rsidRDefault="00722C19" w:rsidP="00C30F73">
      <w:pPr>
        <w:pStyle w:val="JuHA"/>
        <w:rPr>
          <w:sz w:val="24"/>
          <w:szCs w:val="24"/>
          <w:lang w:val="pl-PL"/>
        </w:rPr>
      </w:pPr>
      <w:r w:rsidRPr="004214DF">
        <w:rPr>
          <w:sz w:val="24"/>
          <w:szCs w:val="24"/>
          <w:lang w:val="pl-PL"/>
        </w:rPr>
        <w:t>D.  Przepisy dotyczące postępowania uproszczonego</w:t>
      </w:r>
    </w:p>
    <w:p w:rsidR="00722C19" w:rsidRPr="004214DF" w:rsidRDefault="00722C19" w:rsidP="000D706B">
      <w:pPr>
        <w:pStyle w:val="JuPara"/>
        <w:spacing w:line="276" w:lineRule="auto"/>
        <w:ind w:firstLine="232"/>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33</w:t>
      </w:r>
      <w:r w:rsidRPr="004214DF">
        <w:rPr>
          <w:sz w:val="24"/>
          <w:szCs w:val="24"/>
          <w:lang w:val="pl-PL"/>
        </w:rPr>
        <w:fldChar w:fldCharType="end"/>
      </w:r>
      <w:r w:rsidRPr="004214DF">
        <w:rPr>
          <w:sz w:val="24"/>
          <w:szCs w:val="24"/>
          <w:lang w:val="pl-PL"/>
        </w:rPr>
        <w:t>.  Dział X k.p.k. obejmuje różne rodzaje postępowań uproszczonych. Jedno z tych postępowań dotyczy czynów, w przypadku których możliwe jest wymierzenie maksymalnie kary ograniczenia wolności lub grzywny do 100 stawek dziennych (postępowanie nakazowe).</w:t>
      </w:r>
    </w:p>
    <w:p w:rsidR="00722C19" w:rsidRPr="004214DF" w:rsidRDefault="00722C19" w:rsidP="000D706B">
      <w:pPr>
        <w:pStyle w:val="JuPara"/>
        <w:spacing w:line="276" w:lineRule="auto"/>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34</w:t>
      </w:r>
      <w:r w:rsidRPr="004214DF">
        <w:rPr>
          <w:sz w:val="24"/>
          <w:szCs w:val="24"/>
          <w:lang w:val="pl-PL"/>
        </w:rPr>
        <w:fldChar w:fldCharType="end"/>
      </w:r>
      <w:r w:rsidRPr="004214DF">
        <w:rPr>
          <w:sz w:val="24"/>
          <w:szCs w:val="24"/>
          <w:lang w:val="pl-PL"/>
        </w:rPr>
        <w:t xml:space="preserve">.  Artykuł 500 § 1 k.p.k. przewiduje, że </w:t>
      </w:r>
      <w:r w:rsidRPr="004214DF">
        <w:rPr>
          <w:iCs/>
          <w:sz w:val="24"/>
          <w:szCs w:val="24"/>
          <w:lang w:val="pl-PL"/>
        </w:rPr>
        <w:t>w sprawach o przestępstwa podlegające rozpoznaniu w postępowaniu uproszczonym, sąd uznając na podstawie zebranego w postępowaniu przygotowawczym materiału, że przeprowadzenie rozprawy nie jest konieczne, może wydać wyrok nakazowy w wypadkach pozwalających na orzeczenie kary ograniczenia wolności lub grzywny</w:t>
      </w:r>
      <w:r w:rsidRPr="004214DF">
        <w:rPr>
          <w:i/>
          <w:iCs/>
          <w:sz w:val="24"/>
          <w:szCs w:val="24"/>
          <w:lang w:val="pl-PL"/>
        </w:rPr>
        <w:t>.</w:t>
      </w:r>
    </w:p>
    <w:p w:rsidR="00722C19" w:rsidRPr="004214DF" w:rsidRDefault="00722C19" w:rsidP="000D706B">
      <w:pPr>
        <w:pStyle w:val="JuPara"/>
        <w:spacing w:line="276" w:lineRule="auto"/>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35</w:t>
      </w:r>
      <w:r w:rsidRPr="004214DF">
        <w:rPr>
          <w:sz w:val="24"/>
          <w:szCs w:val="24"/>
          <w:lang w:val="pl-PL"/>
        </w:rPr>
        <w:fldChar w:fldCharType="end"/>
      </w:r>
      <w:r w:rsidRPr="004214DF">
        <w:rPr>
          <w:sz w:val="24"/>
          <w:szCs w:val="24"/>
          <w:lang w:val="pl-PL"/>
        </w:rPr>
        <w:t xml:space="preserve">.  Zgodnie z artykułem 506 §§ 1 i 3 k.p.k., w przypadku wydania wyroku przewidzianego w artykule 500 § 1 k.p.k., zarówno oskarżonemu jak i oskarżycielowi przysługuje prawo wniesienia sprzeciwu do sądu, który wydał ten wyrok , w terminie zawitym 7 dni od jego doręczenia; wniesienie sprzeciwu sprawia, że wyrok nakazowy traci moc; sprawa podlega rozpoznaniu na zasadach ogólnych. </w:t>
      </w:r>
    </w:p>
    <w:p w:rsidR="00722C19" w:rsidRPr="004214DF" w:rsidRDefault="00722C19" w:rsidP="00C30F73">
      <w:pPr>
        <w:pStyle w:val="JuHHead"/>
        <w:rPr>
          <w:sz w:val="24"/>
          <w:szCs w:val="24"/>
          <w:lang w:val="pl-PL"/>
        </w:rPr>
      </w:pPr>
      <w:r w:rsidRPr="004214DF">
        <w:rPr>
          <w:sz w:val="24"/>
          <w:szCs w:val="24"/>
          <w:lang w:val="pl-PL"/>
        </w:rPr>
        <w:lastRenderedPageBreak/>
        <w:t>PRAWO</w:t>
      </w:r>
    </w:p>
    <w:p w:rsidR="00722C19" w:rsidRPr="004214DF" w:rsidRDefault="00722C19" w:rsidP="00C30F73">
      <w:pPr>
        <w:pStyle w:val="JuHIRoman"/>
        <w:rPr>
          <w:sz w:val="24"/>
          <w:szCs w:val="24"/>
          <w:lang w:val="pl-PL"/>
        </w:rPr>
      </w:pPr>
      <w:r w:rsidRPr="004214DF">
        <w:rPr>
          <w:sz w:val="24"/>
          <w:szCs w:val="24"/>
          <w:lang w:val="pl-PL"/>
        </w:rPr>
        <w:t>I.  DOMNIEMANE NARUSZENIE ARTYKUŁU 5 § 1 c) KONWENCJI</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36</w:t>
      </w:r>
      <w:r w:rsidRPr="004214DF">
        <w:rPr>
          <w:sz w:val="24"/>
          <w:szCs w:val="24"/>
          <w:lang w:val="pl-PL"/>
        </w:rPr>
        <w:fldChar w:fldCharType="end"/>
      </w:r>
      <w:r w:rsidRPr="004214DF">
        <w:rPr>
          <w:sz w:val="24"/>
          <w:szCs w:val="24"/>
          <w:lang w:val="pl-PL"/>
        </w:rPr>
        <w:t>.  Skarżący zarzuca, że zastosowanie wobec niego tymczasowego aresztowania było sprzeczne z artykułem 5 § 1 c) Konwencji, którego właściwa do przedmiotowej sprawy część brzmi, jak następuje:</w:t>
      </w:r>
    </w:p>
    <w:p w:rsidR="00722C19" w:rsidRPr="00BF4395" w:rsidRDefault="00722C19" w:rsidP="006C2655">
      <w:pPr>
        <w:pStyle w:val="JuQuot"/>
        <w:rPr>
          <w:lang w:val="pl-PL"/>
        </w:rPr>
      </w:pPr>
      <w:r w:rsidRPr="006C2655">
        <w:rPr>
          <w:lang w:val="pl-PL"/>
        </w:rPr>
        <w:t>« 1.  </w:t>
      </w:r>
      <w:r w:rsidRPr="00E60C9D">
        <w:rPr>
          <w:lang w:val="pl-PL"/>
        </w:rPr>
        <w:t>.  </w:t>
      </w:r>
      <w:r w:rsidRPr="00BF4395">
        <w:rPr>
          <w:lang w:val="pl-PL"/>
        </w:rPr>
        <w:t xml:space="preserve">Każdy ma prawo do wolności i bezpieczeństwa osobistego. </w:t>
      </w:r>
      <w:r>
        <w:rPr>
          <w:lang w:val="pl-PL"/>
        </w:rPr>
        <w:t>Nikt nie może być pozbawiony wolności, z wyjątkiem następujących przypadków i w trybie ustalonym przez prawo:</w:t>
      </w:r>
    </w:p>
    <w:p w:rsidR="00722C19" w:rsidRPr="00252758" w:rsidRDefault="00722C19" w:rsidP="006C2655">
      <w:pPr>
        <w:pStyle w:val="JuQuot"/>
        <w:rPr>
          <w:lang w:val="pl-PL"/>
        </w:rPr>
      </w:pPr>
      <w:r w:rsidRPr="00252758">
        <w:rPr>
          <w:lang w:val="pl-PL"/>
        </w:rPr>
        <w:t>(...)</w:t>
      </w:r>
    </w:p>
    <w:p w:rsidR="00722C19" w:rsidRPr="00C25A51" w:rsidRDefault="00722C19" w:rsidP="00C25A51">
      <w:pPr>
        <w:suppressAutoHyphens w:val="0"/>
        <w:autoSpaceDE w:val="0"/>
        <w:autoSpaceDN w:val="0"/>
        <w:adjustRightInd w:val="0"/>
        <w:jc w:val="both"/>
        <w:rPr>
          <w:sz w:val="20"/>
          <w:lang w:val="pl-PL" w:eastAsia="en-US"/>
        </w:rPr>
      </w:pPr>
      <w:r w:rsidRPr="00C25A51">
        <w:rPr>
          <w:sz w:val="20"/>
          <w:lang w:val="pl-PL"/>
        </w:rPr>
        <w:t>c)  </w:t>
      </w:r>
      <w:r w:rsidRPr="00C25A51">
        <w:rPr>
          <w:sz w:val="20"/>
          <w:lang w:val="pl-PL" w:eastAsia="en-US"/>
        </w:rPr>
        <w:t xml:space="preserve">zgodnego z prawem zatrzymania lub aresztowania w celu postawienia przed właściwym organem, jeżeli istnieje uzasadnione podejrzenie popełnienia czynu zagrożonego karą, lub, jeśli jest to konieczne, w celu zapobieżenia popełnieniu takiego czynu lub uniemożliwienia </w:t>
      </w:r>
      <w:r w:rsidRPr="00C25A51">
        <w:rPr>
          <w:rFonts w:ascii="TimesNewRoman" w:eastAsia="TimesNewRoman" w:cs="TimesNewRoman"/>
          <w:sz w:val="20"/>
          <w:lang w:val="pl-PL" w:eastAsia="en-US"/>
        </w:rPr>
        <w:t xml:space="preserve">ucieczki po jego dokonaniu </w:t>
      </w:r>
      <w:r>
        <w:rPr>
          <w:rFonts w:ascii="TimesNewRoman" w:eastAsia="TimesNewRoman" w:cs="TimesNewRoman" w:hint="eastAsia"/>
          <w:sz w:val="20"/>
          <w:lang w:val="pl-PL" w:eastAsia="en-US"/>
        </w:rPr>
        <w:t>;</w:t>
      </w:r>
    </w:p>
    <w:p w:rsidR="00722C19" w:rsidRPr="00252758" w:rsidRDefault="00722C19" w:rsidP="00C30F73">
      <w:pPr>
        <w:pStyle w:val="JuQuot"/>
        <w:rPr>
          <w:lang w:val="pl-PL"/>
        </w:rPr>
      </w:pPr>
      <w:r w:rsidRPr="00252758">
        <w:rPr>
          <w:lang w:val="pl-PL"/>
        </w:rPr>
        <w:t xml:space="preserve"> (...) »</w:t>
      </w:r>
    </w:p>
    <w:p w:rsidR="00722C19" w:rsidRPr="004214DF" w:rsidRDefault="00722C19" w:rsidP="00C30F73">
      <w:pPr>
        <w:pStyle w:val="JuHA"/>
        <w:outlineLvl w:val="0"/>
        <w:rPr>
          <w:sz w:val="24"/>
          <w:szCs w:val="24"/>
          <w:lang w:val="pl-PL"/>
        </w:rPr>
      </w:pPr>
      <w:r w:rsidRPr="004214DF">
        <w:rPr>
          <w:sz w:val="24"/>
          <w:szCs w:val="24"/>
          <w:lang w:val="pl-PL"/>
        </w:rPr>
        <w:t>A.  Dopuszczalność skargi</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37</w:t>
      </w:r>
      <w:r w:rsidRPr="004214DF">
        <w:rPr>
          <w:sz w:val="24"/>
          <w:szCs w:val="24"/>
          <w:lang w:val="pl-PL"/>
        </w:rPr>
        <w:fldChar w:fldCharType="end"/>
      </w:r>
      <w:r w:rsidRPr="004214DF">
        <w:rPr>
          <w:sz w:val="24"/>
          <w:szCs w:val="24"/>
          <w:lang w:val="pl-PL"/>
        </w:rPr>
        <w:t xml:space="preserve">.  Rząd uważa, że zarzut winien być uznany za niedopuszczalny z uwagi na niewyczerpanie krajowych środków odwoławczych. Według Rządu skarżący, przed wniesieniem skargi do Trybunału, mógł wystąpić na podstawie artykułu 552 § 4 k.p.k. (pkt. 32 powyżej) o odszkodowanie za niewątpliwie niesłuszne tymczasowe aresztowanie. Zdaniem Rządu, zastosowanie takiego środka umożliwiłoby sądom krajowym zbadanie, czy tymczasowe aresztowanie skarżącego było „niewątpliwie niesłuszne”,          a jeśli tak, to przyznanie mu odszkodowania za poniesioną szkodę. Rząd podniósł, że we wcześniejszych polskich sprawach Trybunał (w szczególności </w:t>
      </w:r>
      <w:r w:rsidRPr="004214DF">
        <w:rPr>
          <w:i/>
          <w:sz w:val="24"/>
          <w:szCs w:val="24"/>
          <w:lang w:val="pl-PL"/>
        </w:rPr>
        <w:t>Ryckie p. Polsce</w:t>
      </w:r>
      <w:r w:rsidRPr="004214DF">
        <w:rPr>
          <w:sz w:val="24"/>
          <w:szCs w:val="24"/>
          <w:lang w:val="pl-PL"/>
        </w:rPr>
        <w:t xml:space="preserve">, nr 19583/05, § 54, dn. 30 stycznia 2007 r., </w:t>
      </w:r>
      <w:r w:rsidRPr="004214DF">
        <w:rPr>
          <w:i/>
          <w:sz w:val="24"/>
          <w:szCs w:val="24"/>
          <w:lang w:val="pl-PL"/>
        </w:rPr>
        <w:t>Bruczyński p. Polsce</w:t>
      </w:r>
      <w:r w:rsidRPr="004214DF">
        <w:rPr>
          <w:sz w:val="24"/>
          <w:szCs w:val="24"/>
          <w:lang w:val="pl-PL"/>
        </w:rPr>
        <w:t xml:space="preserve"> nr 19206/03 , § 67, dn. 4 listopada 2008 r. oraz </w:t>
      </w:r>
      <w:r w:rsidRPr="004214DF">
        <w:rPr>
          <w:i/>
          <w:sz w:val="24"/>
          <w:szCs w:val="24"/>
          <w:lang w:val="pl-PL"/>
        </w:rPr>
        <w:t>Włoch p. Polsce</w:t>
      </w:r>
      <w:r w:rsidRPr="004214DF">
        <w:rPr>
          <w:sz w:val="24"/>
          <w:szCs w:val="24"/>
          <w:lang w:val="pl-PL"/>
        </w:rPr>
        <w:t xml:space="preserve"> </w:t>
      </w:r>
      <w:r w:rsidRPr="004214DF">
        <w:rPr>
          <w:i/>
          <w:sz w:val="24"/>
          <w:szCs w:val="24"/>
          <w:lang w:val="pl-PL"/>
        </w:rPr>
        <w:t>(nr 2),</w:t>
      </w:r>
      <w:r w:rsidRPr="004214DF">
        <w:rPr>
          <w:sz w:val="24"/>
          <w:szCs w:val="24"/>
          <w:lang w:val="pl-PL"/>
        </w:rPr>
        <w:t xml:space="preserve"> nr  33475/08, § 28, dn. 10 maja 2011 r.), zalecał zastosowanie środka przewidzianego przez artykuł 552 § 4 k.p.k. przed wniesieniem skargi przez osobę zarzucającą naruszenie artykułu 5 Konwencji.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38</w:t>
      </w:r>
      <w:r w:rsidRPr="004214DF">
        <w:rPr>
          <w:sz w:val="24"/>
          <w:szCs w:val="24"/>
          <w:lang w:val="pl-PL"/>
        </w:rPr>
        <w:fldChar w:fldCharType="end"/>
      </w:r>
      <w:r w:rsidRPr="004214DF">
        <w:rPr>
          <w:sz w:val="24"/>
          <w:szCs w:val="24"/>
          <w:lang w:val="pl-PL"/>
        </w:rPr>
        <w:t xml:space="preserve">.  Skarżący utrzymywał, że wyczerpał wszystkie środki odwoławcze, którymi, na gruncie prawa polskiego, może się posłużyć osoba pozbawiona wolności, by dowieść niezgodnego z prawem aresztowania i wnosić            o zwolnienie.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39</w:t>
      </w:r>
      <w:r w:rsidRPr="004214DF">
        <w:rPr>
          <w:sz w:val="24"/>
          <w:szCs w:val="24"/>
          <w:lang w:val="pl-PL"/>
        </w:rPr>
        <w:fldChar w:fldCharType="end"/>
      </w:r>
      <w:r w:rsidRPr="004214DF">
        <w:rPr>
          <w:sz w:val="24"/>
          <w:szCs w:val="24"/>
          <w:lang w:val="pl-PL"/>
        </w:rPr>
        <w:t xml:space="preserve">.  Trybunał przypomina, że zgodnie z artykułem 35 § 1 Konwencji, można wnieść skargę do Trybunału dopiero po wyczerpaniu krajowych środków odwoławczych. Celem tej zasady jest zapewnienie Układającym się Państwom możliwości przeciwdziałania lub skutecznego rozstrzygania skarg o naruszenia, które potem stanowią przedmiot skargi wniesionej </w:t>
      </w:r>
      <w:r w:rsidRPr="004214DF">
        <w:rPr>
          <w:sz w:val="24"/>
          <w:szCs w:val="24"/>
          <w:lang w:val="pl-PL"/>
        </w:rPr>
        <w:lastRenderedPageBreak/>
        <w:t xml:space="preserve">przeciwko nim do Trybunału. (zob. między innymi </w:t>
      </w:r>
      <w:r w:rsidRPr="004214DF">
        <w:rPr>
          <w:i/>
          <w:sz w:val="24"/>
          <w:szCs w:val="24"/>
          <w:lang w:val="pl-PL"/>
        </w:rPr>
        <w:t>Mifsud p. Francji</w:t>
      </w:r>
      <w:r w:rsidRPr="004214DF">
        <w:rPr>
          <w:sz w:val="24"/>
          <w:szCs w:val="24"/>
          <w:lang w:val="pl-PL"/>
        </w:rPr>
        <w:t xml:space="preserve"> (déc.) [WI], nr 57220/00, § 15, ETPC 2002-VIII, i ostatnio, </w:t>
      </w:r>
      <w:r w:rsidRPr="004214DF">
        <w:rPr>
          <w:i/>
          <w:sz w:val="24"/>
          <w:szCs w:val="24"/>
          <w:lang w:val="pl-PL"/>
        </w:rPr>
        <w:t>Simons p. Belgii</w:t>
      </w:r>
      <w:r w:rsidRPr="004214DF">
        <w:rPr>
          <w:sz w:val="24"/>
          <w:szCs w:val="24"/>
          <w:lang w:val="pl-PL"/>
        </w:rPr>
        <w:t xml:space="preserve"> (déc.), nr 71407/10, § 23, dn. 28 sierpnia 2012 r.).</w:t>
      </w:r>
    </w:p>
    <w:p w:rsidR="00722C19" w:rsidRPr="004214DF" w:rsidRDefault="00722C19" w:rsidP="00FB6424">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40</w:t>
      </w:r>
      <w:r w:rsidRPr="004214DF">
        <w:rPr>
          <w:sz w:val="24"/>
          <w:szCs w:val="24"/>
          <w:lang w:val="pl-PL"/>
        </w:rPr>
        <w:fldChar w:fldCharType="end"/>
      </w:r>
      <w:r w:rsidRPr="004214DF">
        <w:rPr>
          <w:sz w:val="24"/>
          <w:szCs w:val="24"/>
          <w:lang w:val="pl-PL"/>
        </w:rPr>
        <w:t xml:space="preserve">.  Artykuł 35§1 Konwencji powinno się stosować „elastycznie i bez nadmiernego formalizmu”; wystarczy, aby skarżący zgłosił krajowym organom „przynajmniej w zarysie i w terminie przewidzianym przez prawo wewnętrzne” zarzut, który ma następnie zamiar przedłożyć Trybunałowi (zob. m. in. </w:t>
      </w:r>
      <w:r w:rsidRPr="004214DF">
        <w:rPr>
          <w:i/>
          <w:sz w:val="24"/>
          <w:szCs w:val="24"/>
          <w:lang w:val="pl-PL"/>
        </w:rPr>
        <w:t xml:space="preserve">Castells p. Hiszpanii, </w:t>
      </w:r>
      <w:r w:rsidRPr="004214DF">
        <w:rPr>
          <w:sz w:val="24"/>
          <w:szCs w:val="24"/>
          <w:lang w:val="pl-PL"/>
        </w:rPr>
        <w:t>dn</w:t>
      </w:r>
      <w:r w:rsidRPr="004214DF">
        <w:rPr>
          <w:i/>
          <w:sz w:val="24"/>
          <w:szCs w:val="24"/>
          <w:lang w:val="pl-PL"/>
        </w:rPr>
        <w:t xml:space="preserve">. </w:t>
      </w:r>
      <w:r w:rsidRPr="004214DF">
        <w:rPr>
          <w:sz w:val="24"/>
          <w:szCs w:val="24"/>
          <w:lang w:val="pl-PL"/>
        </w:rPr>
        <w:t xml:space="preserve">23 kwietnia 1992 r., § 27, seria A nr 236, </w:t>
      </w:r>
      <w:r w:rsidRPr="004214DF">
        <w:rPr>
          <w:i/>
          <w:sz w:val="24"/>
          <w:szCs w:val="24"/>
          <w:lang w:val="pl-PL"/>
        </w:rPr>
        <w:t>Bielec p. Polsce</w:t>
      </w:r>
      <w:r w:rsidRPr="004214DF">
        <w:rPr>
          <w:sz w:val="24"/>
          <w:szCs w:val="24"/>
          <w:lang w:val="pl-PL"/>
        </w:rPr>
        <w:t>, nr 40082/02, dn. 27 czerwca 2006 r.).</w:t>
      </w:r>
    </w:p>
    <w:p w:rsidR="00722C19" w:rsidRPr="004214DF" w:rsidRDefault="00027510" w:rsidP="005C0DC5">
      <w:pPr>
        <w:pStyle w:val="Default"/>
        <w:ind w:firstLine="284"/>
        <w:jc w:val="both"/>
      </w:pPr>
      <w:r>
        <w:fldChar w:fldCharType="begin"/>
      </w:r>
      <w:r>
        <w:instrText xml:space="preserve"> SEQ level0 \*arabic </w:instrText>
      </w:r>
      <w:r>
        <w:fldChar w:fldCharType="separate"/>
      </w:r>
      <w:r w:rsidR="00722C19" w:rsidRPr="004214DF">
        <w:rPr>
          <w:noProof/>
        </w:rPr>
        <w:t>41</w:t>
      </w:r>
      <w:r>
        <w:rPr>
          <w:noProof/>
        </w:rPr>
        <w:fldChar w:fldCharType="end"/>
      </w:r>
      <w:r w:rsidR="00722C19" w:rsidRPr="004214DF">
        <w:t xml:space="preserve">. Niemniej jednak Trybunał musi w tym miejscu przypomnieć, że jedynymi środkami odwoławczymi, które zgodnie z Artykułem 35 Konwencji muszą być wyczerpane, są środki odwoławcze dotyczące domniemanych naruszeń oraz środki odwoławcze, które są dostępne oraz skuteczne. Istnienie takich środków odwoławczych musi być w sposób dostateczny potwierdzone w teorii oraz praktyce prawnej, gdyż                    w przypadku braku takiej pewności nie będą się one odznaczać wymaganą dostępnością i skutecznością (zob. m.in., powyżej </w:t>
      </w:r>
      <w:r w:rsidR="00722C19" w:rsidRPr="004214DF">
        <w:rPr>
          <w:i/>
        </w:rPr>
        <w:t xml:space="preserve">Mifsud, </w:t>
      </w:r>
      <w:r w:rsidR="00722C19" w:rsidRPr="004214DF">
        <w:t>§ 15).</w:t>
      </w:r>
    </w:p>
    <w:p w:rsidR="00722C19" w:rsidRPr="004214DF" w:rsidRDefault="00722C19" w:rsidP="00027371">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42</w:t>
      </w:r>
      <w:r w:rsidRPr="004214DF">
        <w:rPr>
          <w:sz w:val="24"/>
          <w:szCs w:val="24"/>
          <w:lang w:val="pl-PL"/>
        </w:rPr>
        <w:fldChar w:fldCharType="end"/>
      </w:r>
      <w:r w:rsidRPr="004214DF">
        <w:rPr>
          <w:sz w:val="24"/>
          <w:szCs w:val="24"/>
          <w:lang w:val="pl-PL"/>
        </w:rPr>
        <w:t xml:space="preserve">.  Trybunał przypomina również, że w kwestii wyczerpania środków odwoławczych przewidzianych prawem wewnętrznym, przewiduje się podział ciężaru dowodu.  Na Rządzie powołującym się na brak wyczerpania środków odwoławczych spoczywa obowiązek udowodnienia przed Trybunałem, że dany środek odwoławczy był skuteczny i dostępny zarówno teoretycznie, jak i praktycznie w danym czasie, co oznacza, że był dostępny  oraz zapewniał skarżącemu uzasadnione szanse powodzenia (wyrok </w:t>
      </w:r>
      <w:r w:rsidRPr="004214DF">
        <w:rPr>
          <w:i/>
          <w:sz w:val="24"/>
          <w:szCs w:val="24"/>
          <w:lang w:val="pl-PL"/>
        </w:rPr>
        <w:t xml:space="preserve">Akdivar oraz inni p. Turcji </w:t>
      </w:r>
      <w:r w:rsidRPr="004214DF">
        <w:rPr>
          <w:sz w:val="24"/>
          <w:szCs w:val="24"/>
          <w:lang w:val="pl-PL"/>
        </w:rPr>
        <w:t>z dn. 16 września 1996 r., Zbiór wyroków i postanowień 1996-IV, str. 1211, § 68).</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43</w:t>
      </w:r>
      <w:r w:rsidRPr="004214DF">
        <w:rPr>
          <w:sz w:val="24"/>
          <w:szCs w:val="24"/>
          <w:lang w:val="pl-PL"/>
        </w:rPr>
        <w:fldChar w:fldCharType="end"/>
      </w:r>
      <w:r w:rsidRPr="004214DF">
        <w:rPr>
          <w:sz w:val="24"/>
          <w:szCs w:val="24"/>
          <w:lang w:val="pl-PL"/>
        </w:rPr>
        <w:t xml:space="preserve">.  W przedmiotowej sprawie Rządowi nie udało się dowieść skuteczności działania przewidzianego przez artykuł 552 § 4 k.p.k. W szczególności Rząd nie przedstawił żadnego przykładu postanowienia, na mocy którego osobie tymczasowo aresztowanej, niezgodnie z artykułem 5 Konwencji, przyznano odszkodowanie na podstawie tego przepisu. Trybunał uważa, że dopóki Rząd nie wykaże, że można się powołać na artykuł 522 § 4 w takich jak skarżącego sprawie, Trybunał nie będzie          w stanie stwierdzić, że działanie określone w tym przepisie stanowi skuteczny środek, który można wykorzystać przed złożeniem skargi do Trybunału   (zob. analogicznie </w:t>
      </w:r>
      <w:r w:rsidRPr="004214DF">
        <w:rPr>
          <w:i/>
          <w:sz w:val="24"/>
          <w:szCs w:val="24"/>
          <w:lang w:val="pl-PL"/>
        </w:rPr>
        <w:t>Malasiewicz p. Polsce</w:t>
      </w:r>
      <w:r w:rsidRPr="004214DF">
        <w:rPr>
          <w:sz w:val="24"/>
          <w:szCs w:val="24"/>
          <w:lang w:val="pl-PL"/>
        </w:rPr>
        <w:t>, nr 22072/02, § 32, dn. 14 października 2003 r.).</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44</w:t>
      </w:r>
      <w:r w:rsidRPr="004214DF">
        <w:rPr>
          <w:sz w:val="24"/>
          <w:szCs w:val="24"/>
          <w:lang w:val="pl-PL"/>
        </w:rPr>
        <w:fldChar w:fldCharType="end"/>
      </w:r>
      <w:r w:rsidRPr="004214DF">
        <w:rPr>
          <w:sz w:val="24"/>
          <w:szCs w:val="24"/>
          <w:lang w:val="pl-PL"/>
        </w:rPr>
        <w:t>.  </w:t>
      </w:r>
      <w:r w:rsidRPr="004214DF">
        <w:rPr>
          <w:sz w:val="24"/>
          <w:szCs w:val="24"/>
          <w:lang w:val="pl-PL" w:eastAsia="en-US"/>
        </w:rPr>
        <w:t>Nie zostało więc - na razie</w:t>
      </w:r>
      <w:r w:rsidRPr="004214DF">
        <w:rPr>
          <w:sz w:val="24"/>
          <w:szCs w:val="24"/>
          <w:lang w:val="pl-PL"/>
        </w:rPr>
        <w:t xml:space="preserve"> - dowiedzione, że działanie przewidziane przez artykuł 552 § 4 k.p.k. jest skuteczne jeżeli chodzi o artykuł 5 Konwencji. W związku z tym Trybunał uważa, że w okolicznościach przedmiotowej sprawy, skarżący nie był obowiązany wnosić do sądów krajowych o odszkodowanie na podstawie artykułu 522 § 4 k.p.k.</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45</w:t>
      </w:r>
      <w:r w:rsidRPr="004214DF">
        <w:rPr>
          <w:sz w:val="24"/>
          <w:szCs w:val="24"/>
          <w:lang w:val="pl-PL"/>
        </w:rPr>
        <w:fldChar w:fldCharType="end"/>
      </w:r>
      <w:r w:rsidRPr="004214DF">
        <w:rPr>
          <w:sz w:val="24"/>
          <w:szCs w:val="24"/>
          <w:lang w:val="pl-PL"/>
        </w:rPr>
        <w:t xml:space="preserve">.   Wniosek ten nie przesądza o ewentualnym ponownym rozpatrzeniu kwestii skuteczności przedmiotowego środka, w przypadku, gdy Rząd </w:t>
      </w:r>
      <w:r w:rsidRPr="004214DF">
        <w:rPr>
          <w:sz w:val="24"/>
          <w:szCs w:val="24"/>
          <w:lang w:val="pl-PL"/>
        </w:rPr>
        <w:lastRenderedPageBreak/>
        <w:t xml:space="preserve">będzie w stanie dać dowód jego działania, na podstawie odpowiedniej praktyki sądowej.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46</w:t>
      </w:r>
      <w:r w:rsidRPr="004214DF">
        <w:rPr>
          <w:sz w:val="24"/>
          <w:szCs w:val="24"/>
          <w:lang w:val="pl-PL"/>
        </w:rPr>
        <w:fldChar w:fldCharType="end"/>
      </w:r>
      <w:r w:rsidRPr="004214DF">
        <w:rPr>
          <w:sz w:val="24"/>
          <w:szCs w:val="24"/>
          <w:lang w:val="pl-PL"/>
        </w:rPr>
        <w:t>.  Trybunał zauważa, że skarżący za pośrednictwem adwokata zakwestionował postanowienie z dnia 17 maja 2011 roku o zastosowaniu wobec niego tymczasowego aresztowania oraz że zażalenie na to postanowienie z dnia 7 czerwca 2011 roku zostało oddalone (ustępy 9 i 13-14 powyżej). Nadto, skarżący złożył jeszcze dwa zażalenia wnosząc             o wstrzymanie wykonania wyżej wspominanego postanowienia i zwolnienie go z aresztu (ustępy 11 i 13 powyżej). W każdym z wyżej wspomnianych zażaleń, skarżący wskazywał na niezgodny z prawem charakter zastosowanego wobec niego tymczasowego aresztowania i wnosił                o zwolnienie go z aresztu.</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47</w:t>
      </w:r>
      <w:r w:rsidRPr="004214DF">
        <w:rPr>
          <w:sz w:val="24"/>
          <w:szCs w:val="24"/>
          <w:lang w:val="pl-PL"/>
        </w:rPr>
        <w:fldChar w:fldCharType="end"/>
      </w:r>
      <w:r w:rsidRPr="004214DF">
        <w:rPr>
          <w:sz w:val="24"/>
          <w:szCs w:val="24"/>
          <w:lang w:val="pl-PL"/>
        </w:rPr>
        <w:t>.  Wziąwszy powyższe pod uwagę Trybunał uważa, że w przedmiotowej sprawie zostały wykorzystane krajowe środki odwoławcze oraz że należy oddalić zarzut Rządu.</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48</w:t>
      </w:r>
      <w:r w:rsidRPr="004214DF">
        <w:rPr>
          <w:sz w:val="24"/>
          <w:szCs w:val="24"/>
          <w:lang w:val="pl-PL"/>
        </w:rPr>
        <w:fldChar w:fldCharType="end"/>
      </w:r>
      <w:r w:rsidRPr="004214DF">
        <w:rPr>
          <w:sz w:val="24"/>
          <w:szCs w:val="24"/>
          <w:lang w:val="pl-PL"/>
        </w:rPr>
        <w:t xml:space="preserve">.  Stwierdzając, że skarga nie może być uznana za oczywiście nieuzasadnioną w rozumieniu artykułu 35 § </w:t>
      </w:r>
      <w:smartTag w:uri="urn:schemas-microsoft-com:office:smarttags" w:element="metricconverter">
        <w:smartTagPr>
          <w:attr w:name="ProductID" w:val="3 a"/>
        </w:smartTagPr>
        <w:r w:rsidRPr="004214DF">
          <w:rPr>
            <w:sz w:val="24"/>
            <w:szCs w:val="24"/>
            <w:lang w:val="pl-PL"/>
          </w:rPr>
          <w:t>3 a</w:t>
        </w:r>
      </w:smartTag>
      <w:r w:rsidRPr="004214DF">
        <w:rPr>
          <w:sz w:val="24"/>
          <w:szCs w:val="24"/>
          <w:lang w:val="pl-PL"/>
        </w:rPr>
        <w:t>) Konwencji</w:t>
      </w:r>
      <w:r w:rsidRPr="004214DF">
        <w:rPr>
          <w:rFonts w:ascii="Times New (W1)" w:hAnsi="Times New (W1)"/>
          <w:sz w:val="24"/>
          <w:szCs w:val="24"/>
          <w:lang w:val="pl-PL"/>
        </w:rPr>
        <w:t xml:space="preserve"> oraz </w:t>
      </w:r>
      <w:r w:rsidRPr="004214DF">
        <w:rPr>
          <w:rFonts w:ascii="Times New (W1) CE" w:hAnsi="Times New (W1) CE"/>
          <w:sz w:val="24"/>
          <w:szCs w:val="24"/>
          <w:lang w:val="pl-PL"/>
        </w:rPr>
        <w:t xml:space="preserve">że nie jest niedopuszczalna z jakichkolwiek innych </w:t>
      </w:r>
      <w:r w:rsidRPr="004214DF">
        <w:rPr>
          <w:rFonts w:ascii="Times New (W1)" w:hAnsi="Times New (W1)"/>
          <w:sz w:val="24"/>
          <w:szCs w:val="24"/>
          <w:lang w:val="pl-PL"/>
        </w:rPr>
        <w:t>przyczyn</w:t>
      </w:r>
      <w:r w:rsidRPr="004214DF">
        <w:rPr>
          <w:rFonts w:ascii="Times New (W1) CE" w:hAnsi="Times New (W1) CE"/>
          <w:sz w:val="24"/>
          <w:szCs w:val="24"/>
          <w:lang w:val="pl-PL"/>
        </w:rPr>
        <w:t xml:space="preserve">, Trybunał </w:t>
      </w:r>
      <w:r w:rsidRPr="004214DF">
        <w:rPr>
          <w:sz w:val="24"/>
          <w:szCs w:val="24"/>
          <w:lang w:val="pl-PL"/>
        </w:rPr>
        <w:t xml:space="preserve">uznaje ją za dopuszczalną. </w:t>
      </w:r>
    </w:p>
    <w:p w:rsidR="00722C19" w:rsidRPr="004214DF" w:rsidRDefault="00722C19" w:rsidP="00C30F73">
      <w:pPr>
        <w:pStyle w:val="JuHA"/>
        <w:outlineLvl w:val="0"/>
        <w:rPr>
          <w:sz w:val="24"/>
          <w:szCs w:val="24"/>
          <w:lang w:val="pl-PL"/>
        </w:rPr>
      </w:pPr>
      <w:r w:rsidRPr="004214DF">
        <w:rPr>
          <w:sz w:val="24"/>
          <w:szCs w:val="24"/>
          <w:lang w:val="pl-PL"/>
        </w:rPr>
        <w:t>B.  Meritum</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49</w:t>
      </w:r>
      <w:r w:rsidRPr="004214DF">
        <w:rPr>
          <w:sz w:val="24"/>
          <w:szCs w:val="24"/>
          <w:lang w:val="pl-PL"/>
        </w:rPr>
        <w:fldChar w:fldCharType="end"/>
      </w:r>
      <w:r w:rsidRPr="004214DF">
        <w:rPr>
          <w:sz w:val="24"/>
          <w:szCs w:val="24"/>
          <w:lang w:val="pl-PL"/>
        </w:rPr>
        <w:t>.  Rząd nie zajął stanowiska w kwestii zasadności zarzutu.</w:t>
      </w:r>
    </w:p>
    <w:p w:rsidR="00722C19" w:rsidRPr="004214DF" w:rsidRDefault="00722C19" w:rsidP="00C30F73">
      <w:pPr>
        <w:pStyle w:val="JuPara"/>
        <w:rPr>
          <w:sz w:val="24"/>
          <w:szCs w:val="24"/>
          <w:lang w:val="pl-PL"/>
        </w:rPr>
      </w:pPr>
      <w:r w:rsidRPr="004214DF">
        <w:rPr>
          <w:sz w:val="24"/>
          <w:szCs w:val="24"/>
        </w:rPr>
        <w:fldChar w:fldCharType="begin"/>
      </w:r>
      <w:r w:rsidRPr="00241BF2">
        <w:rPr>
          <w:sz w:val="24"/>
          <w:szCs w:val="24"/>
          <w:lang w:val="pl-PL"/>
        </w:rPr>
        <w:instrText xml:space="preserve"> SEQ level0 \*arabic </w:instrText>
      </w:r>
      <w:r w:rsidRPr="004214DF">
        <w:rPr>
          <w:sz w:val="24"/>
          <w:szCs w:val="24"/>
        </w:rPr>
        <w:fldChar w:fldCharType="separate"/>
      </w:r>
      <w:r w:rsidRPr="00241BF2">
        <w:rPr>
          <w:noProof/>
          <w:sz w:val="24"/>
          <w:szCs w:val="24"/>
          <w:lang w:val="pl-PL"/>
        </w:rPr>
        <w:t>50</w:t>
      </w:r>
      <w:r w:rsidRPr="004214DF">
        <w:rPr>
          <w:sz w:val="24"/>
          <w:szCs w:val="24"/>
        </w:rPr>
        <w:fldChar w:fldCharType="end"/>
      </w:r>
      <w:r w:rsidRPr="00241BF2">
        <w:rPr>
          <w:sz w:val="24"/>
          <w:szCs w:val="24"/>
          <w:lang w:val="pl-PL"/>
        </w:rPr>
        <w:t>.  </w:t>
      </w:r>
      <w:r w:rsidRPr="004214DF">
        <w:rPr>
          <w:sz w:val="24"/>
          <w:szCs w:val="24"/>
          <w:lang w:val="pl-PL"/>
        </w:rPr>
        <w:t>Skarżący podtrzymał przedstawione zarzuty.</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51</w:t>
      </w:r>
      <w:r w:rsidRPr="004214DF">
        <w:rPr>
          <w:sz w:val="24"/>
          <w:szCs w:val="24"/>
          <w:lang w:val="pl-PL"/>
        </w:rPr>
        <w:fldChar w:fldCharType="end"/>
      </w:r>
      <w:r w:rsidRPr="004214DF">
        <w:rPr>
          <w:sz w:val="24"/>
          <w:szCs w:val="24"/>
          <w:lang w:val="pl-PL"/>
        </w:rPr>
        <w:t>.  Zważywszy na okoliczności przedmiotowej sprawy, Trybunał uważa za celowe rozpatrzenie najpierw, czy tymczasowe aresztowanie skarżącego było objęte zakresem stosowania artykułu 5 § 1 c) Konwencji. W tym kontekście Trybunał przypomina, że zastosowanie ustępu c) artykułu  5 § 1 angażuje ochronę artykułu 5 § 3, przepisu stanowiącego dodatkowe ważne zabezpieczenie dla osoby, która została zatrzymana  (</w:t>
      </w:r>
      <w:r w:rsidRPr="004214DF">
        <w:rPr>
          <w:i/>
          <w:sz w:val="24"/>
          <w:szCs w:val="24"/>
          <w:lang w:val="pl-PL"/>
        </w:rPr>
        <w:t>Harkmann p. Estonii</w:t>
      </w:r>
      <w:r w:rsidRPr="004214DF">
        <w:rPr>
          <w:sz w:val="24"/>
          <w:szCs w:val="24"/>
          <w:lang w:val="pl-PL"/>
        </w:rPr>
        <w:t>, nr 2192/03, § 32, dn. 11 lipca 2006 r.).</w:t>
      </w:r>
    </w:p>
    <w:p w:rsidR="00722C19" w:rsidRPr="004214DF" w:rsidRDefault="00722C19" w:rsidP="00C30F73">
      <w:pPr>
        <w:ind w:firstLine="284"/>
        <w:jc w:val="both"/>
        <w:rPr>
          <w:szCs w:val="24"/>
          <w:lang w:val="pl-PL"/>
        </w:rPr>
      </w:pPr>
      <w:r w:rsidRPr="004214DF">
        <w:rPr>
          <w:szCs w:val="24"/>
          <w:lang w:val="pl-PL"/>
        </w:rPr>
        <w:fldChar w:fldCharType="begin"/>
      </w:r>
      <w:r w:rsidRPr="004214DF">
        <w:rPr>
          <w:szCs w:val="24"/>
          <w:lang w:val="pl-PL"/>
        </w:rPr>
        <w:instrText xml:space="preserve"> SEQ level0 \*arabic </w:instrText>
      </w:r>
      <w:r w:rsidRPr="004214DF">
        <w:rPr>
          <w:szCs w:val="24"/>
          <w:lang w:val="pl-PL"/>
        </w:rPr>
        <w:fldChar w:fldCharType="separate"/>
      </w:r>
      <w:r w:rsidRPr="004214DF">
        <w:rPr>
          <w:noProof/>
          <w:szCs w:val="24"/>
          <w:lang w:val="pl-PL"/>
        </w:rPr>
        <w:t>52</w:t>
      </w:r>
      <w:r w:rsidRPr="004214DF">
        <w:rPr>
          <w:szCs w:val="24"/>
          <w:lang w:val="pl-PL"/>
        </w:rPr>
        <w:fldChar w:fldCharType="end"/>
      </w:r>
      <w:r w:rsidRPr="004214DF">
        <w:rPr>
          <w:szCs w:val="24"/>
          <w:lang w:val="pl-PL"/>
        </w:rPr>
        <w:t xml:space="preserve">.  W przedmiotowej sprawie Trybunał odnotowuje, że skarżący przebywał 16 dni w areszcie na podstawie postanowienia wydanego            w czasie toczącego się przeciw niemu postępowania karnego, w którym oskarżono go o przestępstwo skarbowe. O tymczasowym aresztowaniu postanowiono na podstawie artykułów 249 § 1 i 259 § 4 k.p.k. w celu zapewnienia prawidłowego toku postępowania karnego oraz zagwarantowania stawiennictwa skarżącego na rozprawach                          w przedmiotowym postępowaniu przed Sądem Rejonowym w Warszawie. Trybunał zauważa, że zastosowanie wobec skarżącego tymczasowego aresztowania było uzasadniane obawą organów państwowych, że skarżący będzie próbował ukrywać się przed wymiarem sprawiedliwości, gdyż ustalono, że mimo wezwań do stawiennictwa przed sądem, nie stawiał się </w:t>
      </w:r>
      <w:r w:rsidRPr="004214DF">
        <w:rPr>
          <w:szCs w:val="24"/>
          <w:lang w:val="pl-PL"/>
        </w:rPr>
        <w:lastRenderedPageBreak/>
        <w:t xml:space="preserve">na rozprawach oraz że doręczenie mu wezwań okazało się bezskuteczne, ponieważ nie zamieszkiwał w miejscach wskazanych władzom do doręczeń.    </w:t>
      </w:r>
    </w:p>
    <w:p w:rsidR="00722C19" w:rsidRPr="004214DF" w:rsidRDefault="00722C19" w:rsidP="00C30F73">
      <w:pPr>
        <w:pStyle w:val="JuPara"/>
        <w:tabs>
          <w:tab w:val="left" w:pos="426"/>
        </w:tabs>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53</w:t>
      </w:r>
      <w:r w:rsidRPr="004214DF">
        <w:rPr>
          <w:sz w:val="24"/>
          <w:szCs w:val="24"/>
          <w:lang w:val="pl-PL"/>
        </w:rPr>
        <w:fldChar w:fldCharType="end"/>
      </w:r>
      <w:r w:rsidRPr="004214DF">
        <w:rPr>
          <w:sz w:val="24"/>
          <w:szCs w:val="24"/>
          <w:lang w:val="pl-PL"/>
        </w:rPr>
        <w:t xml:space="preserve">.  Trybunał zauważa również, że sprzeciw skarżącego od wyroku wydanego w jego sprawie w dniu 28 maja 2010 roku przez Sąd Rejonowy w Warszawie doprowadził do uchylenia postanowienia o wymierzeniu mu kary grzywny (ustępy 7 et 34-35 powyżej). Trybunał uważa, że okoliczności niniejszej sprawy pokazują, że tymczasowe aresztowanie skarżącego zostało wobec niego zastosowane w czasie toczącego się przeciw niemu postępowania karnego ze względu na podejrzenie popełnienia przez niego czynu zagrożonego karą, w celu doprowadzenia skarżącego przed właściwy organ sądowy. Z powyższego wynika, że pozbawienie go wolności było objęte zakresem stosowania artykułu 5 § 1 c) Konwencji (zob. powyżej </w:t>
      </w:r>
      <w:r w:rsidRPr="004214DF">
        <w:rPr>
          <w:i/>
          <w:sz w:val="24"/>
          <w:szCs w:val="24"/>
          <w:lang w:val="pl-PL"/>
        </w:rPr>
        <w:t xml:space="preserve">Harkmann, </w:t>
      </w:r>
      <w:r w:rsidRPr="004214DF">
        <w:rPr>
          <w:sz w:val="24"/>
          <w:szCs w:val="24"/>
          <w:lang w:val="pl-PL"/>
        </w:rPr>
        <w:t>§§ 33-34).</w:t>
      </w:r>
    </w:p>
    <w:p w:rsidR="00722C19" w:rsidRPr="004214DF" w:rsidRDefault="00722C19" w:rsidP="00C164B8">
      <w:pPr>
        <w:pStyle w:val="Tekstpodstawowywcity"/>
        <w:spacing w:before="60"/>
        <w:ind w:left="0" w:firstLine="340"/>
        <w:rPr>
          <w:i/>
          <w:sz w:val="24"/>
          <w:szCs w:val="24"/>
        </w:rPr>
      </w:pPr>
      <w:r w:rsidRPr="004214DF">
        <w:rPr>
          <w:sz w:val="24"/>
          <w:szCs w:val="24"/>
        </w:rPr>
        <w:fldChar w:fldCharType="begin"/>
      </w:r>
      <w:r w:rsidRPr="004214DF">
        <w:rPr>
          <w:sz w:val="24"/>
          <w:szCs w:val="24"/>
        </w:rPr>
        <w:instrText xml:space="preserve"> SEQ level0 \*arabic </w:instrText>
      </w:r>
      <w:r w:rsidRPr="004214DF">
        <w:rPr>
          <w:sz w:val="24"/>
          <w:szCs w:val="24"/>
        </w:rPr>
        <w:fldChar w:fldCharType="separate"/>
      </w:r>
      <w:r w:rsidRPr="004214DF">
        <w:rPr>
          <w:noProof/>
          <w:sz w:val="24"/>
          <w:szCs w:val="24"/>
        </w:rPr>
        <w:t>54</w:t>
      </w:r>
      <w:r w:rsidRPr="004214DF">
        <w:rPr>
          <w:sz w:val="24"/>
          <w:szCs w:val="24"/>
        </w:rPr>
        <w:fldChar w:fldCharType="end"/>
      </w:r>
      <w:r w:rsidRPr="004214DF">
        <w:rPr>
          <w:sz w:val="24"/>
          <w:szCs w:val="24"/>
        </w:rPr>
        <w:t>. Trybunał przypomina, że artykuł 5 § 1 Konwencji zawiera wyczerpującą listę dopuszczalnych podstaw pozbawienia wolności oraz że żadne pozbawienie wolności nie będzie zgodne z prawem, jeżeli nie jest oparte na jednej z podstaw wyznaczonych przez litery od a) do f) artykułu 5  (</w:t>
      </w:r>
      <w:r w:rsidRPr="004214DF">
        <w:rPr>
          <w:i/>
          <w:sz w:val="24"/>
          <w:szCs w:val="24"/>
        </w:rPr>
        <w:t>Witold Litwa p. Polsce</w:t>
      </w:r>
      <w:r w:rsidRPr="004214DF">
        <w:rPr>
          <w:sz w:val="24"/>
          <w:szCs w:val="24"/>
        </w:rPr>
        <w:t xml:space="preserve"> nr 26629/95, § 49, ETPC 2000-III).</w:t>
      </w:r>
    </w:p>
    <w:p w:rsidR="00722C19" w:rsidRPr="004214DF" w:rsidRDefault="00722C19" w:rsidP="001D334E">
      <w:pPr>
        <w:pStyle w:val="JuPara"/>
        <w:tabs>
          <w:tab w:val="left" w:pos="426"/>
        </w:tabs>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55</w:t>
      </w:r>
      <w:r w:rsidRPr="004214DF">
        <w:rPr>
          <w:sz w:val="24"/>
          <w:szCs w:val="24"/>
          <w:lang w:val="pl-PL"/>
        </w:rPr>
        <w:fldChar w:fldCharType="end"/>
      </w:r>
      <w:r w:rsidRPr="004214DF">
        <w:rPr>
          <w:sz w:val="24"/>
          <w:szCs w:val="24"/>
          <w:lang w:val="pl-PL"/>
        </w:rPr>
        <w:t xml:space="preserve">.  Trybunał podkreśla, że zgodnie z artykułem 5 § 1 Konwencji każde pozbawienie wolności musi być „zgodne z prawem”, co zawiera wymaganie, by zostało przeprowadzone „zgodnie z procedurą przewidzianą przez prawo”. W tym miejscu Konwencja nade wszystko odwołuje się do prawa krajowego i przedkłada obowiązek zgodności z jego materialnymi      i proceduralnymi postanowieniami (wyż, cyt. </w:t>
      </w:r>
      <w:r w:rsidRPr="004214DF">
        <w:rPr>
          <w:i/>
          <w:sz w:val="24"/>
          <w:szCs w:val="24"/>
          <w:lang w:val="pl-PL"/>
        </w:rPr>
        <w:t>Witold Litwa</w:t>
      </w:r>
      <w:r w:rsidRPr="004214DF">
        <w:rPr>
          <w:sz w:val="24"/>
          <w:szCs w:val="24"/>
          <w:lang w:val="pl-PL"/>
        </w:rPr>
        <w:t>,</w:t>
      </w:r>
      <w:r w:rsidRPr="004214DF">
        <w:rPr>
          <w:i/>
          <w:sz w:val="24"/>
          <w:szCs w:val="24"/>
          <w:lang w:val="pl-PL"/>
        </w:rPr>
        <w:t xml:space="preserve"> </w:t>
      </w:r>
      <w:r w:rsidRPr="004214DF">
        <w:rPr>
          <w:sz w:val="24"/>
          <w:szCs w:val="24"/>
          <w:lang w:val="pl-PL"/>
        </w:rPr>
        <w:t>§ 72).</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56</w:t>
      </w:r>
      <w:r w:rsidRPr="004214DF">
        <w:rPr>
          <w:sz w:val="24"/>
          <w:szCs w:val="24"/>
          <w:lang w:val="pl-PL"/>
        </w:rPr>
        <w:fldChar w:fldCharType="end"/>
      </w:r>
      <w:r w:rsidRPr="004214DF">
        <w:rPr>
          <w:sz w:val="24"/>
          <w:szCs w:val="24"/>
          <w:lang w:val="pl-PL"/>
        </w:rPr>
        <w:t xml:space="preserve">.  Jednak mimo, że z punktu widzenia prawa krajowego «zgodność z prawem » aresztowania jest istotnym elementem, to jednak to nie wystarcza. Trybunał musi być ponadto przekonany, że aresztowanie w danym okresie jest zgodne z celem artykułu 5 § 1, to jest ochroną jednostki przed arbitralnymi działaniami (zob. pośród wielu innych, </w:t>
      </w:r>
      <w:r w:rsidRPr="004214DF">
        <w:rPr>
          <w:i/>
          <w:sz w:val="24"/>
          <w:szCs w:val="24"/>
          <w:lang w:val="pl-PL"/>
        </w:rPr>
        <w:t>Amuur</w:t>
      </w:r>
      <w:r w:rsidRPr="004214DF">
        <w:rPr>
          <w:sz w:val="24"/>
          <w:szCs w:val="24"/>
          <w:lang w:val="pl-PL"/>
        </w:rPr>
        <w:t xml:space="preserve"> </w:t>
      </w:r>
      <w:r w:rsidRPr="004214DF">
        <w:rPr>
          <w:i/>
          <w:sz w:val="24"/>
          <w:szCs w:val="24"/>
          <w:lang w:val="pl-PL"/>
        </w:rPr>
        <w:t>p. Francji</w:t>
      </w:r>
      <w:r w:rsidRPr="004214DF">
        <w:rPr>
          <w:sz w:val="24"/>
          <w:szCs w:val="24"/>
          <w:lang w:val="pl-PL"/>
        </w:rPr>
        <w:t xml:space="preserve">, dn. 25 czerwca 1996 r., § 50, </w:t>
      </w:r>
      <w:r w:rsidRPr="004214DF">
        <w:rPr>
          <w:i/>
          <w:sz w:val="24"/>
          <w:szCs w:val="24"/>
          <w:lang w:val="pl-PL"/>
        </w:rPr>
        <w:t xml:space="preserve">Zbiór </w:t>
      </w:r>
      <w:r w:rsidRPr="004214DF">
        <w:rPr>
          <w:sz w:val="24"/>
          <w:szCs w:val="24"/>
          <w:lang w:val="pl-PL"/>
        </w:rPr>
        <w:t xml:space="preserve">1996-III ; </w:t>
      </w:r>
      <w:r w:rsidRPr="004214DF">
        <w:rPr>
          <w:rStyle w:val="ju--005fpara----char--char"/>
          <w:i/>
          <w:iCs/>
          <w:sz w:val="24"/>
          <w:szCs w:val="24"/>
          <w:lang w:val="pl-PL"/>
        </w:rPr>
        <w:t>Ilaşcu i inni p. Mołdowie i Rosji</w:t>
      </w:r>
      <w:r w:rsidRPr="004214DF">
        <w:rPr>
          <w:sz w:val="24"/>
          <w:szCs w:val="24"/>
          <w:lang w:val="pl-PL"/>
        </w:rPr>
        <w:t xml:space="preserve"> [WI], nr 48787/99, § 461, ETPC 2004-VII ; </w:t>
      </w:r>
      <w:r w:rsidRPr="004214DF">
        <w:rPr>
          <w:rStyle w:val="ju--005fpara----char--char"/>
          <w:i/>
          <w:iCs/>
          <w:sz w:val="24"/>
          <w:szCs w:val="24"/>
          <w:lang w:val="pl-PL"/>
        </w:rPr>
        <w:t>Assanidzé p. Gruzji</w:t>
      </w:r>
      <w:r w:rsidRPr="004214DF">
        <w:rPr>
          <w:sz w:val="24"/>
          <w:szCs w:val="24"/>
          <w:lang w:val="pl-PL"/>
        </w:rPr>
        <w:t xml:space="preserve"> [WI], nr 71503/01, § 171, ETPC 2004-II ; </w:t>
      </w:r>
      <w:r w:rsidRPr="004214DF">
        <w:rPr>
          <w:rStyle w:val="ju--005fpara----char--char"/>
          <w:i/>
          <w:iCs/>
          <w:sz w:val="24"/>
          <w:szCs w:val="24"/>
          <w:lang w:val="pl-PL"/>
        </w:rPr>
        <w:t xml:space="preserve">McKay p. Zjednoczonemu Królestwu </w:t>
      </w:r>
      <w:r w:rsidRPr="004214DF">
        <w:rPr>
          <w:sz w:val="24"/>
          <w:szCs w:val="24"/>
          <w:lang w:val="pl-PL"/>
        </w:rPr>
        <w:t>[WI], nr</w:t>
      </w:r>
      <w:r w:rsidRPr="004214DF">
        <w:rPr>
          <w:sz w:val="24"/>
          <w:szCs w:val="24"/>
          <w:vertAlign w:val="superscript"/>
          <w:lang w:val="pl-PL"/>
        </w:rPr>
        <w:t> </w:t>
      </w:r>
      <w:r w:rsidRPr="004214DF">
        <w:rPr>
          <w:sz w:val="24"/>
          <w:szCs w:val="24"/>
          <w:lang w:val="pl-PL"/>
        </w:rPr>
        <w:t xml:space="preserve">543/03, § 30, ETPC 2006-X ; </w:t>
      </w:r>
      <w:r w:rsidRPr="004214DF">
        <w:rPr>
          <w:i/>
          <w:sz w:val="24"/>
          <w:szCs w:val="24"/>
          <w:lang w:val="pl-PL"/>
        </w:rPr>
        <w:t>Mooren</w:t>
      </w:r>
      <w:r w:rsidRPr="004214DF">
        <w:rPr>
          <w:sz w:val="24"/>
          <w:szCs w:val="24"/>
          <w:lang w:val="pl-PL"/>
        </w:rPr>
        <w:t xml:space="preserve"> </w:t>
      </w:r>
      <w:r w:rsidRPr="004214DF">
        <w:rPr>
          <w:i/>
          <w:iCs/>
          <w:sz w:val="24"/>
          <w:szCs w:val="24"/>
          <w:lang w:val="pl-PL"/>
        </w:rPr>
        <w:t>p. Niemcom</w:t>
      </w:r>
      <w:r w:rsidRPr="004214DF">
        <w:rPr>
          <w:sz w:val="24"/>
          <w:szCs w:val="24"/>
          <w:lang w:val="pl-PL"/>
        </w:rPr>
        <w:t xml:space="preserve"> [WI], nr 11364/03, § 76, dn. 9 lipca 2009 r., oraz </w:t>
      </w:r>
      <w:r w:rsidRPr="004214DF">
        <w:rPr>
          <w:i/>
          <w:sz w:val="24"/>
          <w:szCs w:val="24"/>
          <w:lang w:val="pl-PL"/>
        </w:rPr>
        <w:t>Medvedyev i inni p. Francji</w:t>
      </w:r>
      <w:r w:rsidRPr="004214DF">
        <w:rPr>
          <w:sz w:val="24"/>
          <w:szCs w:val="24"/>
          <w:lang w:val="pl-PL"/>
        </w:rPr>
        <w:t xml:space="preserve"> [WI], nr 3394/03, § 79, dn. 29 marca 2010 r.). </w:t>
      </w:r>
    </w:p>
    <w:p w:rsidR="00722C19" w:rsidRPr="004214DF" w:rsidRDefault="00722C19" w:rsidP="00C30F73">
      <w:pPr>
        <w:pStyle w:val="JuPara"/>
        <w:tabs>
          <w:tab w:val="left" w:pos="426"/>
        </w:tabs>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57</w:t>
      </w:r>
      <w:r w:rsidRPr="004214DF">
        <w:rPr>
          <w:sz w:val="24"/>
          <w:szCs w:val="24"/>
          <w:lang w:val="pl-PL"/>
        </w:rPr>
        <w:fldChar w:fldCharType="end"/>
      </w:r>
      <w:r w:rsidRPr="004214DF">
        <w:rPr>
          <w:sz w:val="24"/>
          <w:szCs w:val="24"/>
          <w:lang w:val="pl-PL"/>
        </w:rPr>
        <w:t>. Uwzględniając treść artykułów 249 § 1 i 259 § 4 k.p.k. (ustęp 28 powyżej), Trybunał uznaje w przedmiotowej sprawie, że tymczasowe aresztowanie skarżącego miało podstawę w prawie krajowym.</w:t>
      </w:r>
    </w:p>
    <w:p w:rsidR="00722C19" w:rsidRPr="004214DF" w:rsidRDefault="00722C19" w:rsidP="00C30F73">
      <w:pPr>
        <w:ind w:firstLine="284"/>
        <w:jc w:val="both"/>
        <w:rPr>
          <w:szCs w:val="24"/>
          <w:lang w:val="pl-PL"/>
        </w:rPr>
      </w:pPr>
      <w:r w:rsidRPr="004214DF">
        <w:rPr>
          <w:szCs w:val="24"/>
          <w:lang w:val="pl-PL"/>
        </w:rPr>
        <w:fldChar w:fldCharType="begin"/>
      </w:r>
      <w:r w:rsidRPr="004214DF">
        <w:rPr>
          <w:szCs w:val="24"/>
          <w:lang w:val="pl-PL"/>
        </w:rPr>
        <w:instrText xml:space="preserve"> SEQ level0 \*arabic </w:instrText>
      </w:r>
      <w:r w:rsidRPr="004214DF">
        <w:rPr>
          <w:szCs w:val="24"/>
          <w:lang w:val="pl-PL"/>
        </w:rPr>
        <w:fldChar w:fldCharType="separate"/>
      </w:r>
      <w:r w:rsidRPr="004214DF">
        <w:rPr>
          <w:noProof/>
          <w:szCs w:val="24"/>
          <w:lang w:val="pl-PL"/>
        </w:rPr>
        <w:t>58</w:t>
      </w:r>
      <w:r w:rsidRPr="004214DF">
        <w:rPr>
          <w:szCs w:val="24"/>
          <w:lang w:val="pl-PL"/>
        </w:rPr>
        <w:fldChar w:fldCharType="end"/>
      </w:r>
      <w:r w:rsidRPr="004214DF">
        <w:rPr>
          <w:szCs w:val="24"/>
          <w:lang w:val="pl-PL"/>
        </w:rPr>
        <w:t>.  Pozostaje tylko jedna kwestia, a mianowicie czy pozbawienie wolności w przedmiotowej sprawie było zgodne z duchem artykułu 5 § 1 Konwencji, który stanowi, że taki środek winien być ostatecznym, inaczej mówiąc wolność osobista winna być regułą, a pozbawienie wolności przed wydaniem wyroku bezwzględnym wyjątkiem.</w:t>
      </w:r>
    </w:p>
    <w:p w:rsidR="00722C19" w:rsidRPr="00BA5698" w:rsidRDefault="00722C19" w:rsidP="00C30F73">
      <w:pPr>
        <w:ind w:firstLine="284"/>
        <w:jc w:val="both"/>
        <w:rPr>
          <w:lang w:val="pl-PL"/>
        </w:rPr>
      </w:pPr>
      <w:r w:rsidRPr="00DC6D59">
        <w:rPr>
          <w:lang w:val="pl-PL"/>
        </w:rPr>
        <w:lastRenderedPageBreak/>
        <w:t xml:space="preserve"> </w:t>
      </w:r>
      <w:r w:rsidRPr="00DC6D59">
        <w:rPr>
          <w:lang w:val="pl-PL"/>
        </w:rPr>
        <w:fldChar w:fldCharType="begin"/>
      </w:r>
      <w:r w:rsidRPr="00DC6D59">
        <w:rPr>
          <w:lang w:val="pl-PL"/>
        </w:rPr>
        <w:instrText xml:space="preserve"> SEQ level0 \*arabic </w:instrText>
      </w:r>
      <w:r w:rsidRPr="00DC6D59">
        <w:rPr>
          <w:lang w:val="pl-PL"/>
        </w:rPr>
        <w:fldChar w:fldCharType="separate"/>
      </w:r>
      <w:r>
        <w:rPr>
          <w:noProof/>
          <w:lang w:val="pl-PL"/>
        </w:rPr>
        <w:t>59</w:t>
      </w:r>
      <w:r w:rsidRPr="00DC6D59">
        <w:rPr>
          <w:lang w:val="pl-PL"/>
        </w:rPr>
        <w:fldChar w:fldCharType="end"/>
      </w:r>
      <w:r w:rsidRPr="00DC6D59">
        <w:rPr>
          <w:lang w:val="pl-PL"/>
        </w:rPr>
        <w:t>.  </w:t>
      </w:r>
      <w:r w:rsidRPr="00BA5698">
        <w:rPr>
          <w:lang w:val="pl-PL"/>
        </w:rPr>
        <w:t xml:space="preserve">Trybunał </w:t>
      </w:r>
      <w:r>
        <w:rPr>
          <w:lang w:val="pl-PL"/>
        </w:rPr>
        <w:t xml:space="preserve">podnosi w tym kontekście, że uzasadniając postanowienie o zastosowaniu wobec skarżącego tymczasowego aresztowania, organy państwowe twierdziły, że zapewni ono prawidłowy tok postępowania karnego, zaważywszy na obawy, że skarżący będzie ukrywał się przed wymiarem sprawiedliwości. Nie ma wątpliwości, że w wyjątkowych okolicznościach, pozbawienie wolności może być jedynym środkiem gwarantującym stawiennictwo oskarżonego, w szczególności zważywszy na jego postawę, charakter zarzucanego czynu lub surowość grożącej mu kary. Nie zmienia to faktu, że przywoływane przez organy powody uzasadniające zastosowanie środka polegającego na pozbawieniu wolności powinny być poparte konkretnym materiałem dowodowym dotyczącym podejrzanego, istotnym i przekonującym w okolicznościach sprawy </w:t>
      </w:r>
      <w:r w:rsidRPr="00BA5698">
        <w:rPr>
          <w:lang w:val="pl-PL"/>
        </w:rPr>
        <w:t>(</w:t>
      </w:r>
      <w:r w:rsidRPr="00BA5698">
        <w:rPr>
          <w:i/>
          <w:lang w:val="pl-PL"/>
        </w:rPr>
        <w:t xml:space="preserve">Ambruszkiewicz </w:t>
      </w:r>
      <w:r>
        <w:rPr>
          <w:i/>
          <w:lang w:val="pl-PL"/>
        </w:rPr>
        <w:t>p. Polsce</w:t>
      </w:r>
      <w:r>
        <w:rPr>
          <w:lang w:val="pl-PL"/>
        </w:rPr>
        <w:t>, nr</w:t>
      </w:r>
      <w:r w:rsidRPr="00BA5698">
        <w:rPr>
          <w:lang w:val="pl-PL"/>
        </w:rPr>
        <w:t xml:space="preserve"> 38797/03, § 29,</w:t>
      </w:r>
      <w:r>
        <w:rPr>
          <w:lang w:val="pl-PL"/>
        </w:rPr>
        <w:t xml:space="preserve"> dn. 4 maja</w:t>
      </w:r>
      <w:r w:rsidRPr="00BA5698">
        <w:rPr>
          <w:lang w:val="pl-PL"/>
        </w:rPr>
        <w:t xml:space="preserve"> 2006</w:t>
      </w:r>
      <w:r>
        <w:rPr>
          <w:lang w:val="pl-PL"/>
        </w:rPr>
        <w:t xml:space="preserve"> r.</w:t>
      </w:r>
      <w:r w:rsidRPr="00BA5698">
        <w:rPr>
          <w:lang w:val="pl-PL"/>
        </w:rPr>
        <w:t>).</w:t>
      </w:r>
      <w:r>
        <w:rPr>
          <w:lang w:val="pl-PL"/>
        </w:rPr>
        <w:t xml:space="preserve"> </w:t>
      </w:r>
    </w:p>
    <w:p w:rsidR="00722C19" w:rsidRPr="00974B74" w:rsidRDefault="00722C19" w:rsidP="00C30F73">
      <w:pPr>
        <w:ind w:firstLine="284"/>
        <w:jc w:val="both"/>
        <w:rPr>
          <w:lang w:val="pl-PL"/>
        </w:rPr>
      </w:pPr>
      <w:r w:rsidRPr="00192D3A">
        <w:rPr>
          <w:lang w:val="pl-PL"/>
        </w:rPr>
        <w:fldChar w:fldCharType="begin"/>
      </w:r>
      <w:r w:rsidRPr="00192D3A">
        <w:rPr>
          <w:lang w:val="pl-PL"/>
        </w:rPr>
        <w:instrText xml:space="preserve"> SEQ level0 \*arabic </w:instrText>
      </w:r>
      <w:r w:rsidRPr="00192D3A">
        <w:rPr>
          <w:lang w:val="pl-PL"/>
        </w:rPr>
        <w:fldChar w:fldCharType="separate"/>
      </w:r>
      <w:r>
        <w:rPr>
          <w:noProof/>
          <w:lang w:val="pl-PL"/>
        </w:rPr>
        <w:t>60</w:t>
      </w:r>
      <w:r w:rsidRPr="00192D3A">
        <w:rPr>
          <w:lang w:val="pl-PL"/>
        </w:rPr>
        <w:fldChar w:fldCharType="end"/>
      </w:r>
      <w:r w:rsidRPr="00192D3A">
        <w:rPr>
          <w:lang w:val="pl-PL"/>
        </w:rPr>
        <w:t>.  </w:t>
      </w:r>
      <w:r>
        <w:rPr>
          <w:lang w:val="pl-PL"/>
        </w:rPr>
        <w:t>W</w:t>
      </w:r>
      <w:r w:rsidRPr="00DC6C43">
        <w:rPr>
          <w:lang w:val="pl-PL"/>
        </w:rPr>
        <w:t xml:space="preserve"> </w:t>
      </w:r>
      <w:r>
        <w:rPr>
          <w:lang w:val="pl-PL"/>
        </w:rPr>
        <w:t>niniejszej</w:t>
      </w:r>
      <w:r w:rsidRPr="00DC6C43">
        <w:rPr>
          <w:lang w:val="pl-PL"/>
        </w:rPr>
        <w:t xml:space="preserve"> sprawie Trybunał wsk</w:t>
      </w:r>
      <w:r>
        <w:rPr>
          <w:lang w:val="pl-PL"/>
        </w:rPr>
        <w:t xml:space="preserve">azuje na kilka czynników skłaniających do zadania pytania o kwestię proporcjonalności                        i konieczności zastosowanego wobec skarżącego środka. Trybunał odnotowuje, że nie był on uprzednio karany oraz że posiadał stałe miejsce pobytu w Polsce </w:t>
      </w:r>
      <w:r w:rsidRPr="00DC6C43">
        <w:rPr>
          <w:lang w:val="pl-PL"/>
        </w:rPr>
        <w:t>(</w:t>
      </w:r>
      <w:r>
        <w:rPr>
          <w:lang w:val="pl-PL"/>
        </w:rPr>
        <w:t>ustępy 9 i</w:t>
      </w:r>
      <w:r w:rsidRPr="00DC6C43">
        <w:rPr>
          <w:lang w:val="pl-PL"/>
        </w:rPr>
        <w:t xml:space="preserve"> 15 </w:t>
      </w:r>
      <w:r>
        <w:rPr>
          <w:lang w:val="pl-PL"/>
        </w:rPr>
        <w:t>powyżej</w:t>
      </w:r>
      <w:r w:rsidRPr="00DC6C43">
        <w:rPr>
          <w:lang w:val="pl-PL"/>
        </w:rPr>
        <w:t xml:space="preserve">). </w:t>
      </w:r>
      <w:r w:rsidRPr="0030734C">
        <w:rPr>
          <w:lang w:val="pl-PL"/>
        </w:rPr>
        <w:t>Następnie Trybunał zauważa, że co do zasady, prawo krajowe nie stosuje środka zapobiegawczego w pos</w:t>
      </w:r>
      <w:r>
        <w:rPr>
          <w:lang w:val="pl-PL"/>
        </w:rPr>
        <w:t xml:space="preserve">taci tymczasowego aresztowania, jeśli </w:t>
      </w:r>
      <w:r w:rsidRPr="00274125">
        <w:rPr>
          <w:iCs/>
          <w:lang w:val="pl-PL"/>
        </w:rPr>
        <w:t>przestępstwo zagrożone jest karą pozbawienia wolności nieprze</w:t>
      </w:r>
      <w:r>
        <w:rPr>
          <w:iCs/>
          <w:lang w:val="pl-PL"/>
        </w:rPr>
        <w:t>kraczającą roku</w:t>
      </w:r>
      <w:r w:rsidRPr="0030734C">
        <w:rPr>
          <w:lang w:val="pl-PL"/>
        </w:rPr>
        <w:t xml:space="preserve"> (</w:t>
      </w:r>
      <w:r>
        <w:rPr>
          <w:lang w:val="pl-PL"/>
        </w:rPr>
        <w:t>ustęp</w:t>
      </w:r>
      <w:r w:rsidRPr="0030734C">
        <w:rPr>
          <w:lang w:val="pl-PL"/>
        </w:rPr>
        <w:t xml:space="preserve"> 27 </w:t>
      </w:r>
      <w:r>
        <w:rPr>
          <w:lang w:val="pl-PL"/>
        </w:rPr>
        <w:t>powyżej</w:t>
      </w:r>
      <w:r w:rsidRPr="0030734C">
        <w:rPr>
          <w:lang w:val="pl-PL"/>
        </w:rPr>
        <w:t>)</w:t>
      </w:r>
      <w:r w:rsidRPr="00974B74">
        <w:rPr>
          <w:lang w:val="pl-PL"/>
        </w:rPr>
        <w:t xml:space="preserve">; a </w:t>
      </w:r>
      <w:r>
        <w:rPr>
          <w:lang w:val="pl-PL"/>
        </w:rPr>
        <w:t xml:space="preserve">czyny zarzucane skarżącemu były </w:t>
      </w:r>
      <w:r w:rsidRPr="00974B74">
        <w:rPr>
          <w:lang w:val="pl-PL"/>
        </w:rPr>
        <w:t xml:space="preserve">zagrożone karą </w:t>
      </w:r>
      <w:r>
        <w:rPr>
          <w:lang w:val="pl-PL"/>
        </w:rPr>
        <w:t>niepozbawiającą wolności, to jest</w:t>
      </w:r>
      <w:r w:rsidRPr="00974B74">
        <w:rPr>
          <w:lang w:val="pl-PL"/>
        </w:rPr>
        <w:t xml:space="preserve"> </w:t>
      </w:r>
      <w:r>
        <w:rPr>
          <w:lang w:val="pl-PL"/>
        </w:rPr>
        <w:t>tylko</w:t>
      </w:r>
      <w:r w:rsidRPr="00974B74">
        <w:rPr>
          <w:lang w:val="pl-PL"/>
        </w:rPr>
        <w:t xml:space="preserve"> karą grzywny.</w:t>
      </w:r>
    </w:p>
    <w:p w:rsidR="00722C19" w:rsidRPr="004214DF" w:rsidRDefault="00722C19" w:rsidP="00C30F73">
      <w:pPr>
        <w:ind w:firstLine="284"/>
        <w:jc w:val="both"/>
        <w:rPr>
          <w:szCs w:val="24"/>
          <w:lang w:val="pl-PL"/>
        </w:rPr>
      </w:pPr>
      <w:r w:rsidRPr="00974B74">
        <w:rPr>
          <w:lang w:val="pl-PL"/>
        </w:rPr>
        <w:fldChar w:fldCharType="begin"/>
      </w:r>
      <w:r w:rsidRPr="00974B74">
        <w:rPr>
          <w:lang w:val="pl-PL"/>
        </w:rPr>
        <w:instrText xml:space="preserve"> SEQ level0 \*arabic </w:instrText>
      </w:r>
      <w:r w:rsidRPr="00974B74">
        <w:rPr>
          <w:lang w:val="pl-PL"/>
        </w:rPr>
        <w:fldChar w:fldCharType="separate"/>
      </w:r>
      <w:r>
        <w:rPr>
          <w:noProof/>
          <w:lang w:val="pl-PL"/>
        </w:rPr>
        <w:t>61</w:t>
      </w:r>
      <w:r w:rsidRPr="00974B74">
        <w:rPr>
          <w:lang w:val="pl-PL"/>
        </w:rPr>
        <w:fldChar w:fldCharType="end"/>
      </w:r>
      <w:r w:rsidRPr="00974B74">
        <w:rPr>
          <w:lang w:val="pl-PL"/>
        </w:rPr>
        <w:t>.  Pra</w:t>
      </w:r>
      <w:r w:rsidRPr="0030734C">
        <w:rPr>
          <w:lang w:val="pl-PL"/>
        </w:rPr>
        <w:t xml:space="preserve">wdą jest, że w czasie postępowania toczącego się przeciw </w:t>
      </w:r>
      <w:r w:rsidRPr="004214DF">
        <w:rPr>
          <w:szCs w:val="24"/>
          <w:lang w:val="pl-PL"/>
        </w:rPr>
        <w:t xml:space="preserve">skarżącemu, zmieniał on miejsce pobytu nie informując o tym organów państwowych, a co powinien uczynić zgodnie z przepisami prawa krajowego. Jednakże nie zostało udowodnione, że pozbawienie go wolności na okres szesnastu dni stanowiło, w okolicznościach przedmiotowej sprawy, niezbędny środek do ustalenia jego miejsca pobytu lub realizację czynności zapewniających, by stawił się osobiście przed sądem. </w:t>
      </w:r>
    </w:p>
    <w:p w:rsidR="00722C19" w:rsidRPr="004214DF" w:rsidRDefault="00722C19" w:rsidP="0030734C">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62</w:t>
      </w:r>
      <w:r w:rsidRPr="004214DF">
        <w:rPr>
          <w:sz w:val="24"/>
          <w:szCs w:val="24"/>
          <w:lang w:val="pl-PL"/>
        </w:rPr>
        <w:fldChar w:fldCharType="end"/>
      </w:r>
      <w:r w:rsidRPr="004214DF">
        <w:rPr>
          <w:sz w:val="24"/>
          <w:szCs w:val="24"/>
          <w:lang w:val="pl-PL"/>
        </w:rPr>
        <w:t xml:space="preserve">.  Trybunał ponownie stwierdza, że pozbawienie wolności jest tak poważnym środkiem, że jest on wyłącznie usprawiedliwiony w sytuacji, w której inne mniej surowe środki zostały rozpatrzone i uznane za niewystarczające w celu zabezpieczenia osoby lub interesu publicznego, który może wymagać by dana osoba była zatrzymana (wyż. cyt. </w:t>
      </w:r>
      <w:r w:rsidRPr="004214DF">
        <w:rPr>
          <w:i/>
          <w:sz w:val="24"/>
          <w:szCs w:val="24"/>
          <w:lang w:val="pl-PL"/>
        </w:rPr>
        <w:t>Witold Litwa</w:t>
      </w:r>
      <w:r w:rsidRPr="004214DF">
        <w:rPr>
          <w:sz w:val="24"/>
          <w:szCs w:val="24"/>
          <w:lang w:val="pl-PL"/>
        </w:rPr>
        <w:t>,</w:t>
      </w:r>
      <w:r w:rsidRPr="004214DF">
        <w:rPr>
          <w:i/>
          <w:sz w:val="24"/>
          <w:szCs w:val="24"/>
          <w:lang w:val="pl-PL"/>
        </w:rPr>
        <w:t xml:space="preserve"> </w:t>
      </w:r>
      <w:r w:rsidRPr="004214DF">
        <w:rPr>
          <w:sz w:val="24"/>
          <w:szCs w:val="24"/>
          <w:lang w:val="pl-PL"/>
        </w:rPr>
        <w:t>§ 78).</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63</w:t>
      </w:r>
      <w:r w:rsidRPr="004214DF">
        <w:rPr>
          <w:sz w:val="24"/>
          <w:szCs w:val="24"/>
          <w:lang w:val="pl-PL"/>
        </w:rPr>
        <w:fldChar w:fldCharType="end"/>
      </w:r>
      <w:r w:rsidRPr="004214DF">
        <w:rPr>
          <w:sz w:val="24"/>
          <w:szCs w:val="24"/>
          <w:lang w:val="pl-PL"/>
        </w:rPr>
        <w:t xml:space="preserve">.  Tymczasem, mimo że adwokat skarżącego zwrócił się z takim wnioskiem (ustępy 7 i 9 powyżej), nie wydaje się, żeby sąd  poważnie rozważał zastosowanie wobec skarżącego środków łagodniejszych niż pozbawienie wolności. Trybunał zauważa w szczególności, że zgodnie         z artykułem 75 § 2 k.p.k. sąd mógł postanowić o doprowadzeniu skarżącego na rozprawę przez policję. Oprócz tego artykuł 257 k.p.k. (ustęp 25 powyżej) nakłada na sąd obowiązek wcześniejszego rozważenia zastosowania łagodniejszego, niż pozbawienie wolności, środka oraz           </w:t>
      </w:r>
      <w:r w:rsidRPr="004214DF">
        <w:rPr>
          <w:sz w:val="24"/>
          <w:szCs w:val="24"/>
          <w:lang w:val="pl-PL"/>
        </w:rPr>
        <w:lastRenderedPageBreak/>
        <w:t xml:space="preserve">w przypadku, gdy postanowi jednak o zastosowaniu ostatniego                      z wymienionych środków, przedstawienia powodów uzasadniających aresztowanie. </w:t>
      </w:r>
    </w:p>
    <w:p w:rsidR="00722C19" w:rsidRPr="004214DF" w:rsidRDefault="00722C19" w:rsidP="00C30F73">
      <w:pPr>
        <w:pStyle w:val="JuPara"/>
        <w:rPr>
          <w:sz w:val="24"/>
          <w:szCs w:val="24"/>
          <w:lang w:val="pl-PL"/>
        </w:rPr>
      </w:pPr>
      <w:r w:rsidRPr="004214DF">
        <w:rPr>
          <w:sz w:val="24"/>
          <w:szCs w:val="24"/>
          <w:lang w:val="pl-PL"/>
        </w:rPr>
        <w:fldChar w:fldCharType="begin"/>
      </w:r>
      <w:r w:rsidRPr="004214DF">
        <w:rPr>
          <w:sz w:val="24"/>
          <w:szCs w:val="24"/>
          <w:lang w:val="pl-PL"/>
        </w:rPr>
        <w:instrText xml:space="preserve"> SEQ level0 \*arabic </w:instrText>
      </w:r>
      <w:r w:rsidRPr="004214DF">
        <w:rPr>
          <w:sz w:val="24"/>
          <w:szCs w:val="24"/>
          <w:lang w:val="pl-PL"/>
        </w:rPr>
        <w:fldChar w:fldCharType="separate"/>
      </w:r>
      <w:r w:rsidRPr="004214DF">
        <w:rPr>
          <w:noProof/>
          <w:sz w:val="24"/>
          <w:szCs w:val="24"/>
          <w:lang w:val="pl-PL"/>
        </w:rPr>
        <w:t>64</w:t>
      </w:r>
      <w:r w:rsidRPr="004214DF">
        <w:rPr>
          <w:sz w:val="24"/>
          <w:szCs w:val="24"/>
          <w:lang w:val="pl-PL"/>
        </w:rPr>
        <w:fldChar w:fldCharType="end"/>
      </w:r>
      <w:r w:rsidRPr="004214DF">
        <w:rPr>
          <w:sz w:val="24"/>
          <w:szCs w:val="24"/>
          <w:lang w:val="pl-PL"/>
        </w:rPr>
        <w:t>.  Wziąwszy powyższe pod uwagę Trybunał uważa, że aresztowanie skarżącego nie może być uznane za zgodne z prawem w rozumieniu artykułu 5 § 1 c) Konwencji. Doszło zatem do naruszenia tego przepisu.</w:t>
      </w:r>
    </w:p>
    <w:p w:rsidR="00722C19" w:rsidRPr="00036DCF" w:rsidRDefault="00722C19" w:rsidP="00C30F73">
      <w:pPr>
        <w:pStyle w:val="JuHIRoman"/>
        <w:rPr>
          <w:sz w:val="24"/>
          <w:szCs w:val="24"/>
          <w:lang w:val="pl-PL"/>
        </w:rPr>
      </w:pPr>
      <w:r w:rsidRPr="00036DCF">
        <w:rPr>
          <w:sz w:val="24"/>
          <w:szCs w:val="24"/>
          <w:lang w:val="pl-PL"/>
        </w:rPr>
        <w:t>II.  DOMNIEMANE NARUSZENIE ARTYKUŁU 5 § 3 KONWENCJI</w:t>
      </w:r>
    </w:p>
    <w:p w:rsidR="00722C19" w:rsidRPr="00192D3A" w:rsidRDefault="00722C19" w:rsidP="00C30F73">
      <w:pPr>
        <w:pStyle w:val="JuPara"/>
        <w:rPr>
          <w:lang w:val="pl-PL"/>
        </w:rPr>
      </w:pPr>
      <w:r w:rsidRPr="00C95FB5">
        <w:rPr>
          <w:lang w:val="pl-PL"/>
        </w:rPr>
        <w:fldChar w:fldCharType="begin"/>
      </w:r>
      <w:r w:rsidRPr="00C95FB5">
        <w:rPr>
          <w:lang w:val="pl-PL"/>
        </w:rPr>
        <w:instrText xml:space="preserve"> SEQ level0 \*arabic </w:instrText>
      </w:r>
      <w:r w:rsidRPr="00C95FB5">
        <w:rPr>
          <w:lang w:val="pl-PL"/>
        </w:rPr>
        <w:fldChar w:fldCharType="separate"/>
      </w:r>
      <w:r>
        <w:rPr>
          <w:noProof/>
          <w:lang w:val="pl-PL"/>
        </w:rPr>
        <w:t>65</w:t>
      </w:r>
      <w:r w:rsidRPr="00C95FB5">
        <w:rPr>
          <w:lang w:val="pl-PL"/>
        </w:rPr>
        <w:fldChar w:fldCharType="end"/>
      </w:r>
      <w:r w:rsidRPr="00C95FB5">
        <w:rPr>
          <w:lang w:val="pl-PL"/>
        </w:rPr>
        <w:t>.  </w:t>
      </w:r>
      <w:r w:rsidRPr="00192D3A">
        <w:rPr>
          <w:lang w:val="pl-PL"/>
        </w:rPr>
        <w:t>Skarżąc</w:t>
      </w:r>
      <w:r>
        <w:rPr>
          <w:lang w:val="pl-PL"/>
        </w:rPr>
        <w:t xml:space="preserve">y zarzuca, że bez uwzględnienia </w:t>
      </w:r>
      <w:r w:rsidRPr="00192D3A">
        <w:rPr>
          <w:lang w:val="pl-PL"/>
        </w:rPr>
        <w:t>artykułu 5 § 3 Konwencji, nie został</w:t>
      </w:r>
      <w:r>
        <w:rPr>
          <w:lang w:val="pl-PL"/>
        </w:rPr>
        <w:t xml:space="preserve"> „niezwłocznie”</w:t>
      </w:r>
      <w:r w:rsidRPr="00192D3A">
        <w:rPr>
          <w:lang w:val="pl-PL"/>
        </w:rPr>
        <w:t xml:space="preserve"> postawiony</w:t>
      </w:r>
      <w:r>
        <w:rPr>
          <w:lang w:val="pl-PL"/>
        </w:rPr>
        <w:t xml:space="preserve"> przed sędzią lub innym urzędnikiem uprawnionym przez ustawę do wykonywania władzy sądowej</w:t>
      </w:r>
      <w:r w:rsidRPr="00192D3A">
        <w:rPr>
          <w:lang w:val="pl-PL"/>
        </w:rPr>
        <w:t xml:space="preserve">. </w:t>
      </w:r>
      <w:r>
        <w:rPr>
          <w:lang w:val="pl-PL"/>
        </w:rPr>
        <w:t>Przywołany przez niego przepis brzmi jak następuje</w:t>
      </w:r>
      <w:r w:rsidRPr="00192D3A">
        <w:rPr>
          <w:lang w:val="pl-PL"/>
        </w:rPr>
        <w:t> :</w:t>
      </w:r>
    </w:p>
    <w:p w:rsidR="00722C19" w:rsidRPr="00192D3A" w:rsidRDefault="00722C19" w:rsidP="00C30F73">
      <w:pPr>
        <w:pStyle w:val="JuQuot"/>
        <w:rPr>
          <w:lang w:val="pl-PL"/>
        </w:rPr>
      </w:pPr>
      <w:r w:rsidRPr="00192D3A">
        <w:rPr>
          <w:lang w:val="pl-PL"/>
        </w:rPr>
        <w:t>(...)</w:t>
      </w:r>
    </w:p>
    <w:p w:rsidR="00722C19" w:rsidRPr="00192D3A" w:rsidRDefault="00722C19" w:rsidP="00192D3A">
      <w:pPr>
        <w:suppressAutoHyphens w:val="0"/>
        <w:autoSpaceDE w:val="0"/>
        <w:autoSpaceDN w:val="0"/>
        <w:adjustRightInd w:val="0"/>
        <w:jc w:val="both"/>
        <w:rPr>
          <w:sz w:val="20"/>
          <w:lang w:val="pl-PL" w:eastAsia="en-US"/>
        </w:rPr>
      </w:pPr>
      <w:r w:rsidRPr="00192D3A">
        <w:rPr>
          <w:sz w:val="20"/>
          <w:lang w:val="pl-PL"/>
        </w:rPr>
        <w:t>3.  </w:t>
      </w:r>
      <w:r w:rsidRPr="00192D3A">
        <w:rPr>
          <w:sz w:val="20"/>
          <w:lang w:val="pl-PL" w:eastAsia="en-US"/>
        </w:rPr>
        <w:t>Każdy zatrzymany lub aresztowany zgodnie z postanowieniami ustępu 1 lit. c) niniejszego artykułu powinien zostać niezwłocznie postawiony przed sędzią lub innym urzędnikiem uprawnionym przez ustawę do wykonywania władzy sądowej i ma prawo być sądzony w rozsądnym terminie albo zwolniony na czas postępowania. Zwolnienie może zostać uzależnione od udzielenia gwarancji zapewniających stawienie się na rozprawę.</w:t>
      </w:r>
    </w:p>
    <w:p w:rsidR="00722C19" w:rsidRPr="00192D3A" w:rsidRDefault="00722C19" w:rsidP="00192D3A">
      <w:pPr>
        <w:suppressAutoHyphens w:val="0"/>
        <w:autoSpaceDE w:val="0"/>
        <w:autoSpaceDN w:val="0"/>
        <w:adjustRightInd w:val="0"/>
        <w:rPr>
          <w:sz w:val="23"/>
          <w:szCs w:val="23"/>
          <w:lang w:val="pl-PL" w:eastAsia="en-US"/>
        </w:rPr>
      </w:pPr>
    </w:p>
    <w:p w:rsidR="00722C19" w:rsidRPr="00C95FB5" w:rsidRDefault="00722C19" w:rsidP="00C30F73">
      <w:pPr>
        <w:pStyle w:val="JuQuot"/>
        <w:rPr>
          <w:lang w:val="pl-PL"/>
        </w:rPr>
      </w:pPr>
      <w:r w:rsidRPr="00C95FB5">
        <w:rPr>
          <w:lang w:val="pl-PL"/>
        </w:rPr>
        <w:t xml:space="preserve"> (...)</w:t>
      </w:r>
    </w:p>
    <w:p w:rsidR="00722C19" w:rsidRPr="00036DCF" w:rsidRDefault="00722C19" w:rsidP="00C30F73">
      <w:pPr>
        <w:pStyle w:val="JuHA"/>
        <w:outlineLvl w:val="0"/>
        <w:rPr>
          <w:sz w:val="24"/>
          <w:szCs w:val="24"/>
          <w:lang w:val="pl-PL"/>
        </w:rPr>
      </w:pPr>
      <w:r w:rsidRPr="00036DCF">
        <w:rPr>
          <w:sz w:val="24"/>
          <w:szCs w:val="24"/>
          <w:lang w:val="pl-PL"/>
        </w:rPr>
        <w:t>A.  Dopuszczalność</w:t>
      </w:r>
    </w:p>
    <w:p w:rsidR="00722C19" w:rsidRPr="00036DCF" w:rsidRDefault="00722C19" w:rsidP="00421186">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66</w:t>
      </w:r>
      <w:r w:rsidRPr="00036DCF">
        <w:rPr>
          <w:sz w:val="24"/>
          <w:szCs w:val="24"/>
          <w:lang w:val="pl-PL"/>
        </w:rPr>
        <w:fldChar w:fldCharType="end"/>
      </w:r>
      <w:r w:rsidRPr="00036DCF">
        <w:rPr>
          <w:sz w:val="24"/>
          <w:szCs w:val="24"/>
          <w:lang w:val="pl-PL"/>
        </w:rPr>
        <w:t xml:space="preserve">.  Stwierdzając, że skarga nie może być uznana za oczywiście nieuzasadnioną w rozumieniu artykułu 35 § </w:t>
      </w:r>
      <w:smartTag w:uri="urn:schemas-microsoft-com:office:smarttags" w:element="metricconverter">
        <w:smartTagPr>
          <w:attr w:name="ProductID" w:val="3 a"/>
        </w:smartTagPr>
        <w:r w:rsidRPr="00036DCF">
          <w:rPr>
            <w:sz w:val="24"/>
            <w:szCs w:val="24"/>
            <w:lang w:val="pl-PL"/>
          </w:rPr>
          <w:t>3 a</w:t>
        </w:r>
      </w:smartTag>
      <w:r w:rsidRPr="00036DCF">
        <w:rPr>
          <w:sz w:val="24"/>
          <w:szCs w:val="24"/>
          <w:lang w:val="pl-PL"/>
        </w:rPr>
        <w:t>) Konwencji</w:t>
      </w:r>
      <w:r w:rsidRPr="00036DCF">
        <w:rPr>
          <w:rFonts w:ascii="Times New (W1)" w:hAnsi="Times New (W1)"/>
          <w:sz w:val="24"/>
          <w:szCs w:val="24"/>
          <w:lang w:val="pl-PL"/>
        </w:rPr>
        <w:t xml:space="preserve"> oraz, </w:t>
      </w:r>
      <w:r w:rsidRPr="00036DCF">
        <w:rPr>
          <w:rFonts w:ascii="Times New (W1) CE" w:hAnsi="Times New (W1) CE"/>
          <w:sz w:val="24"/>
          <w:szCs w:val="24"/>
          <w:lang w:val="pl-PL"/>
        </w:rPr>
        <w:t xml:space="preserve">że nie jest niedopuszczalna z jakichkolwiek innych </w:t>
      </w:r>
      <w:r w:rsidRPr="00036DCF">
        <w:rPr>
          <w:rFonts w:ascii="Times New (W1)" w:hAnsi="Times New (W1)"/>
          <w:sz w:val="24"/>
          <w:szCs w:val="24"/>
          <w:lang w:val="pl-PL"/>
        </w:rPr>
        <w:t>przyczyn</w:t>
      </w:r>
      <w:r w:rsidRPr="00036DCF">
        <w:rPr>
          <w:rFonts w:ascii="Times New (W1) CE" w:hAnsi="Times New (W1) CE"/>
          <w:sz w:val="24"/>
          <w:szCs w:val="24"/>
          <w:lang w:val="pl-PL"/>
        </w:rPr>
        <w:t xml:space="preserve">, Trybunał </w:t>
      </w:r>
      <w:r w:rsidRPr="00036DCF">
        <w:rPr>
          <w:sz w:val="24"/>
          <w:szCs w:val="24"/>
          <w:lang w:val="pl-PL"/>
        </w:rPr>
        <w:t xml:space="preserve">uznaje ją za dopuszczalną. </w:t>
      </w:r>
    </w:p>
    <w:p w:rsidR="00722C19" w:rsidRPr="00036DCF" w:rsidRDefault="00722C19" w:rsidP="00C30F73">
      <w:pPr>
        <w:pStyle w:val="JuHA"/>
        <w:outlineLvl w:val="0"/>
        <w:rPr>
          <w:sz w:val="24"/>
          <w:szCs w:val="24"/>
          <w:lang w:val="pl-PL"/>
        </w:rPr>
      </w:pPr>
      <w:r w:rsidRPr="00036DCF">
        <w:rPr>
          <w:sz w:val="24"/>
          <w:szCs w:val="24"/>
          <w:lang w:val="pl-PL"/>
        </w:rPr>
        <w:t>B.  Meritum</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67</w:t>
      </w:r>
      <w:r w:rsidRPr="00036DCF">
        <w:rPr>
          <w:sz w:val="24"/>
          <w:szCs w:val="24"/>
          <w:lang w:val="pl-PL"/>
        </w:rPr>
        <w:fldChar w:fldCharType="end"/>
      </w:r>
      <w:r w:rsidRPr="00036DCF">
        <w:rPr>
          <w:sz w:val="24"/>
          <w:szCs w:val="24"/>
          <w:lang w:val="pl-PL"/>
        </w:rPr>
        <w:t xml:space="preserve">.  Trybunał przypomina, że artykuł 5 § 3 Konwencji zapewnia osobom zatrzymanym i aresztowanym, podejrzanym o popełnienie czynu zagrożonego karą, ochronę przed arbitralnym lub nieuzasadnionym pozbawieniem wolności (zob. m.in., </w:t>
      </w:r>
      <w:r w:rsidRPr="00036DCF">
        <w:rPr>
          <w:i/>
          <w:sz w:val="24"/>
          <w:szCs w:val="24"/>
          <w:lang w:val="pl-PL"/>
        </w:rPr>
        <w:t>Assenov i inni p. Bułgarii</w:t>
      </w:r>
      <w:r w:rsidRPr="00036DCF">
        <w:rPr>
          <w:sz w:val="24"/>
          <w:szCs w:val="24"/>
          <w:lang w:val="pl-PL"/>
        </w:rPr>
        <w:t xml:space="preserve">, dn. 28 października 1998 r., § 146, </w:t>
      </w:r>
      <w:r w:rsidRPr="00036DCF">
        <w:rPr>
          <w:i/>
          <w:sz w:val="24"/>
          <w:szCs w:val="24"/>
          <w:lang w:val="pl-PL"/>
        </w:rPr>
        <w:t>Zbiór</w:t>
      </w:r>
      <w:r w:rsidRPr="00036DCF">
        <w:rPr>
          <w:sz w:val="24"/>
          <w:szCs w:val="24"/>
          <w:lang w:val="pl-PL"/>
        </w:rPr>
        <w:t xml:space="preserve"> 1998-VIII).</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68</w:t>
      </w:r>
      <w:r w:rsidRPr="00036DCF">
        <w:rPr>
          <w:sz w:val="24"/>
          <w:szCs w:val="24"/>
          <w:lang w:val="pl-PL"/>
        </w:rPr>
        <w:fldChar w:fldCharType="end"/>
      </w:r>
      <w:r w:rsidRPr="00036DCF">
        <w:rPr>
          <w:sz w:val="24"/>
          <w:szCs w:val="24"/>
          <w:lang w:val="pl-PL"/>
        </w:rPr>
        <w:t xml:space="preserve">.  Przepis ten, tworzący całość z artykułem 5 § 1 c), </w:t>
      </w:r>
      <w:r w:rsidRPr="00036DCF">
        <w:rPr>
          <w:rStyle w:val="sb8d990e2"/>
          <w:sz w:val="24"/>
          <w:szCs w:val="24"/>
          <w:lang w:val="pl-PL"/>
        </w:rPr>
        <w:t>ma na celu zapewnienie szybkiej i automatycznej kontroli sądowej nakazanego przez policję lub organ administracyjny aresztowania, zgodnie z warunkami określonymi w ustępie 1 c) artykułu 5</w:t>
      </w:r>
      <w:r w:rsidRPr="00036DCF">
        <w:rPr>
          <w:sz w:val="24"/>
          <w:szCs w:val="24"/>
          <w:lang w:val="pl-PL"/>
        </w:rPr>
        <w:t xml:space="preserve"> (</w:t>
      </w:r>
      <w:r w:rsidRPr="00036DCF">
        <w:rPr>
          <w:i/>
          <w:sz w:val="24"/>
          <w:szCs w:val="24"/>
          <w:lang w:val="pl-PL"/>
        </w:rPr>
        <w:t>De Jong, Baljet i Van den Brink p. Holandii</w:t>
      </w:r>
      <w:r w:rsidRPr="00036DCF">
        <w:rPr>
          <w:sz w:val="24"/>
          <w:szCs w:val="24"/>
          <w:lang w:val="pl-PL"/>
        </w:rPr>
        <w:t>, dn. 22 maja 1984 r., § 51, seria A</w:t>
      </w:r>
      <w:r w:rsidRPr="00036DCF">
        <w:rPr>
          <w:sz w:val="24"/>
          <w:szCs w:val="24"/>
          <w:vertAlign w:val="superscript"/>
          <w:lang w:val="pl-PL"/>
        </w:rPr>
        <w:t xml:space="preserve"> </w:t>
      </w:r>
      <w:r w:rsidRPr="00036DCF">
        <w:rPr>
          <w:sz w:val="24"/>
          <w:szCs w:val="24"/>
          <w:lang w:val="pl-PL"/>
        </w:rPr>
        <w:t>nr 77).</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69</w:t>
      </w:r>
      <w:r w:rsidRPr="00036DCF">
        <w:rPr>
          <w:sz w:val="24"/>
          <w:szCs w:val="24"/>
          <w:lang w:val="pl-PL"/>
        </w:rPr>
        <w:fldChar w:fldCharType="end"/>
      </w:r>
      <w:r w:rsidRPr="00036DCF">
        <w:rPr>
          <w:sz w:val="24"/>
          <w:szCs w:val="24"/>
          <w:lang w:val="pl-PL"/>
        </w:rPr>
        <w:t xml:space="preserve">.  Trybunał przypomina również, że artykuł 5 § 3 zawiera obowiązek spełnienia przesłanek zarówno proceduralnych, jak i materialnych. Do obowiązków „urzędnika uprawnionego przez ustawę do wykonywania </w:t>
      </w:r>
      <w:r w:rsidRPr="00036DCF">
        <w:rPr>
          <w:sz w:val="24"/>
          <w:szCs w:val="24"/>
          <w:lang w:val="pl-PL"/>
        </w:rPr>
        <w:lastRenderedPageBreak/>
        <w:t>władzy sądowej” należy po pierwsze osobiście przesłuchać osobę, która się przed nim stawiła, po drugie rozpatrzeć okoliczności za i przeciw aresztowaniu, wypowiedzieć się zgodnie z kryteriami prawnymi o istnieniu powodów uzasadniających aresztowanie, lub w przypadku braku takowych postanowić o zwolnieniu (Schiesser</w:t>
      </w:r>
      <w:r w:rsidRPr="00036DCF">
        <w:rPr>
          <w:i/>
          <w:sz w:val="24"/>
          <w:szCs w:val="24"/>
          <w:lang w:val="pl-PL"/>
        </w:rPr>
        <w:t xml:space="preserve"> p. Szwajcarii</w:t>
      </w:r>
      <w:r w:rsidRPr="00036DCF">
        <w:rPr>
          <w:sz w:val="24"/>
          <w:szCs w:val="24"/>
          <w:lang w:val="pl-PL"/>
        </w:rPr>
        <w:t>, dn. 4 grudnia 1979 r.,      § 31, seria A</w:t>
      </w:r>
      <w:r w:rsidRPr="00036DCF">
        <w:rPr>
          <w:sz w:val="24"/>
          <w:szCs w:val="24"/>
          <w:vertAlign w:val="superscript"/>
          <w:lang w:val="pl-PL"/>
        </w:rPr>
        <w:t xml:space="preserve"> </w:t>
      </w:r>
      <w:r w:rsidRPr="00036DCF">
        <w:rPr>
          <w:sz w:val="24"/>
          <w:szCs w:val="24"/>
          <w:lang w:val="pl-PL"/>
        </w:rPr>
        <w:t>nr 34).</w:t>
      </w:r>
    </w:p>
    <w:p w:rsidR="00722C19" w:rsidRPr="00036DCF" w:rsidRDefault="00722C19" w:rsidP="009061A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70</w:t>
      </w:r>
      <w:r w:rsidRPr="00036DCF">
        <w:rPr>
          <w:sz w:val="24"/>
          <w:szCs w:val="24"/>
          <w:lang w:val="pl-PL"/>
        </w:rPr>
        <w:fldChar w:fldCharType="end"/>
      </w:r>
      <w:r w:rsidRPr="00036DCF">
        <w:rPr>
          <w:sz w:val="24"/>
          <w:szCs w:val="24"/>
          <w:lang w:val="pl-PL"/>
        </w:rPr>
        <w:t xml:space="preserve">.  Trybunał przypomina, że artykuł 5 § 3 wymaga, by osoba została postawiona przed sędzią „niezwłocznie” po zatrzymaniu i aresztowaniu; nie zezwala na żadne odstępstwa od tej reguły nawet jeśli do aresztowania doszło w wyniku postanowienia sądu (wyż. cyt. </w:t>
      </w:r>
      <w:r w:rsidRPr="00036DCF">
        <w:rPr>
          <w:i/>
          <w:sz w:val="24"/>
          <w:szCs w:val="24"/>
          <w:lang w:val="pl-PL"/>
        </w:rPr>
        <w:t>Harkmann</w:t>
      </w:r>
      <w:r w:rsidRPr="00036DCF">
        <w:rPr>
          <w:sz w:val="24"/>
          <w:szCs w:val="24"/>
          <w:lang w:val="pl-PL"/>
        </w:rPr>
        <w:t>, §§ 37-38).</w:t>
      </w:r>
    </w:p>
    <w:p w:rsidR="00722C19" w:rsidRPr="00036DCF" w:rsidRDefault="00722C19" w:rsidP="00C30F73">
      <w:pPr>
        <w:pStyle w:val="JuPara"/>
        <w:rPr>
          <w:b/>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71</w:t>
      </w:r>
      <w:r w:rsidRPr="00036DCF">
        <w:rPr>
          <w:sz w:val="24"/>
          <w:szCs w:val="24"/>
          <w:lang w:val="pl-PL"/>
        </w:rPr>
        <w:fldChar w:fldCharType="end"/>
      </w:r>
      <w:r w:rsidRPr="00036DCF">
        <w:rPr>
          <w:sz w:val="24"/>
          <w:szCs w:val="24"/>
          <w:lang w:val="pl-PL"/>
        </w:rPr>
        <w:t>. Artykuł 5 § 3 wymaga, aby przed podjęciem właściwego postanowienia sędzia przesłuchał osobiście zatrzymanego (</w:t>
      </w:r>
      <w:r w:rsidRPr="00036DCF">
        <w:rPr>
          <w:i/>
          <w:sz w:val="24"/>
          <w:szCs w:val="24"/>
          <w:lang w:val="pl-PL"/>
        </w:rPr>
        <w:t xml:space="preserve">Aquilina p. Malcie </w:t>
      </w:r>
      <w:r w:rsidRPr="00036DCF">
        <w:rPr>
          <w:sz w:val="24"/>
          <w:szCs w:val="24"/>
          <w:lang w:val="pl-PL"/>
        </w:rPr>
        <w:t>[WI], nr</w:t>
      </w:r>
      <w:r w:rsidRPr="00036DCF">
        <w:rPr>
          <w:b/>
          <w:sz w:val="24"/>
          <w:szCs w:val="24"/>
          <w:lang w:val="pl-PL"/>
        </w:rPr>
        <w:t> </w:t>
      </w:r>
      <w:r w:rsidRPr="00036DCF">
        <w:rPr>
          <w:sz w:val="24"/>
          <w:szCs w:val="24"/>
          <w:lang w:val="pl-PL"/>
        </w:rPr>
        <w:t>25642/94, § 50, ETPC 1999-III).</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72</w:t>
      </w:r>
      <w:r w:rsidRPr="00036DCF">
        <w:rPr>
          <w:sz w:val="24"/>
          <w:szCs w:val="24"/>
          <w:lang w:val="pl-PL"/>
        </w:rPr>
        <w:fldChar w:fldCharType="end"/>
      </w:r>
      <w:r w:rsidRPr="00036DCF">
        <w:rPr>
          <w:sz w:val="24"/>
          <w:szCs w:val="24"/>
          <w:lang w:val="pl-PL"/>
        </w:rPr>
        <w:t xml:space="preserve">.  Przepis ten poza tym nakazuje, aby kontrola sądowa nastąpiła szybko, a szybkie tempo w takich postępowaniach winno być określane       w każdym przypadku na podstawie okoliczności sprawy (wyż. cyt. </w:t>
      </w:r>
      <w:r w:rsidRPr="00036DCF">
        <w:rPr>
          <w:i/>
          <w:sz w:val="24"/>
          <w:szCs w:val="24"/>
          <w:lang w:val="pl-PL"/>
        </w:rPr>
        <w:t>De Jong, Baljet i Van den Brink</w:t>
      </w:r>
      <w:r w:rsidRPr="00036DCF">
        <w:rPr>
          <w:sz w:val="24"/>
          <w:szCs w:val="24"/>
          <w:lang w:val="pl-PL"/>
        </w:rPr>
        <w:t>,</w:t>
      </w:r>
      <w:r w:rsidRPr="00036DCF">
        <w:rPr>
          <w:i/>
          <w:sz w:val="24"/>
          <w:szCs w:val="24"/>
          <w:lang w:val="pl-PL"/>
        </w:rPr>
        <w:t xml:space="preserve"> </w:t>
      </w:r>
      <w:r w:rsidRPr="00036DCF">
        <w:rPr>
          <w:sz w:val="24"/>
          <w:szCs w:val="24"/>
          <w:lang w:val="pl-PL"/>
        </w:rPr>
        <w:t xml:space="preserve">§§ 51 et 52). Bezwzględne ograniczenie czasowe nałożone przez ten przepis pozostawia niewielkie pole do interpretacji   (zob. </w:t>
      </w:r>
      <w:r w:rsidRPr="00036DCF">
        <w:rPr>
          <w:i/>
          <w:sz w:val="24"/>
          <w:szCs w:val="24"/>
          <w:lang w:val="pl-PL"/>
        </w:rPr>
        <w:t>Brogan i inni</w:t>
      </w:r>
      <w:r w:rsidRPr="00036DCF">
        <w:rPr>
          <w:sz w:val="24"/>
          <w:szCs w:val="24"/>
          <w:lang w:val="pl-PL"/>
        </w:rPr>
        <w:t>, dn. 29 grudnia 1988 r., § 62, seria A</w:t>
      </w:r>
      <w:r w:rsidRPr="00036DCF">
        <w:rPr>
          <w:sz w:val="24"/>
          <w:szCs w:val="24"/>
          <w:vertAlign w:val="superscript"/>
          <w:lang w:val="pl-PL"/>
        </w:rPr>
        <w:t xml:space="preserve"> </w:t>
      </w:r>
      <w:r w:rsidRPr="00036DCF">
        <w:rPr>
          <w:sz w:val="24"/>
          <w:szCs w:val="24"/>
          <w:lang w:val="pl-PL"/>
        </w:rPr>
        <w:t>nr 145-B w sytuacji, gdy aresztowanie skarżącego na cztery dni bez postawienia go przed sądem, zostało uznane za niezgodne z artykułem 5 § 3, mimo, że sprawa dotyczyła przestępstwa o charakterze terrorystycznym).</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73</w:t>
      </w:r>
      <w:r w:rsidRPr="00036DCF">
        <w:rPr>
          <w:sz w:val="24"/>
          <w:szCs w:val="24"/>
          <w:lang w:val="pl-PL"/>
        </w:rPr>
        <w:fldChar w:fldCharType="end"/>
      </w:r>
      <w:r w:rsidRPr="00036DCF">
        <w:rPr>
          <w:sz w:val="24"/>
          <w:szCs w:val="24"/>
          <w:lang w:val="pl-PL"/>
        </w:rPr>
        <w:t xml:space="preserve">.  Nadto kontrola sądowa zgodności aresztowania z prawem winna nastąpić nie tylko szybko, ale być automatyczna. Warunkiem kontroli nie może być wniosek złożony uprzednio przez osobę zatrzymaną (wyż. cyt. </w:t>
      </w:r>
      <w:r w:rsidRPr="00036DCF">
        <w:rPr>
          <w:i/>
          <w:sz w:val="24"/>
          <w:szCs w:val="24"/>
          <w:lang w:val="pl-PL"/>
        </w:rPr>
        <w:t>De Jong, Baljet i Van den Brink</w:t>
      </w:r>
      <w:r w:rsidRPr="00036DCF">
        <w:rPr>
          <w:sz w:val="24"/>
          <w:szCs w:val="24"/>
          <w:lang w:val="pl-PL"/>
        </w:rPr>
        <w:t>, § 57).</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74</w:t>
      </w:r>
      <w:r w:rsidRPr="00036DCF">
        <w:rPr>
          <w:sz w:val="24"/>
          <w:szCs w:val="24"/>
          <w:lang w:val="pl-PL"/>
        </w:rPr>
        <w:fldChar w:fldCharType="end"/>
      </w:r>
      <w:r w:rsidRPr="00036DCF">
        <w:rPr>
          <w:sz w:val="24"/>
          <w:szCs w:val="24"/>
          <w:lang w:val="pl-PL"/>
        </w:rPr>
        <w:t xml:space="preserve">.  W niniejszej sprawie Trybunał podnosi, że wobec skarżącego zastosowano tymczasowe aresztowanie na podstawie postanowienia Sądu Rejonowego w Warszawie wydanego w dniu 17 maja 2011 roku. Skarżący nie był obecny na rozprawie, podczas której postanowienie zostało ogłoszone, natomiast reprezentował go adwokat. Po zatrzymaniu skarżącego przez policję w dniu 30 maja 2011 roku, został on przewieziony do aresztu śledczego w Warszawie. Został zwolniony po szesnastu dniach na podstawie postanowienia wydanego w dniu 14 czerwca 2011 roku przez Sąd Rejonowy w Warszawie.   </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75</w:t>
      </w:r>
      <w:r w:rsidRPr="00036DCF">
        <w:rPr>
          <w:sz w:val="24"/>
          <w:szCs w:val="24"/>
          <w:lang w:val="pl-PL"/>
        </w:rPr>
        <w:fldChar w:fldCharType="end"/>
      </w:r>
      <w:r w:rsidRPr="00036DCF">
        <w:rPr>
          <w:sz w:val="24"/>
          <w:szCs w:val="24"/>
          <w:lang w:val="pl-PL"/>
        </w:rPr>
        <w:t xml:space="preserve">.  Trybunał zauważa, że w dniu 7 czerwca 2011 roku sąd okręgowy, w związku z zażaleniem wniesionym przez adwokata skarżącego na postanowienie z dnia 17 maja 2011 roku orzekł, że tymczasowe aresztowanie skarżącego jest zgodne z prawem. Jednak przed oddaleniem zażalenia przez sąd okręgowy, skarżący nie został postawiony przed sądem i przesłuchany. Podczas szesnastu dni, które upłynęły od dnia zatrzymania do dnia zwolnienia skarżącego nie był on - i Rząd nie twierdzi inaczej – postawiony przed sądem i przesłuchany w celu sprawdzenia zgodności z prawem zastosowanego wobec niego tymczasowego aresztowania.  </w:t>
      </w:r>
    </w:p>
    <w:p w:rsidR="00722C19" w:rsidRPr="00036DCF" w:rsidRDefault="00722C19" w:rsidP="00C30F73">
      <w:pPr>
        <w:pStyle w:val="JuPara"/>
        <w:rPr>
          <w:sz w:val="24"/>
          <w:szCs w:val="24"/>
          <w:lang w:val="pl-PL"/>
        </w:rPr>
      </w:pPr>
      <w:r w:rsidRPr="00036DCF">
        <w:rPr>
          <w:sz w:val="24"/>
          <w:szCs w:val="24"/>
          <w:lang w:val="pl-PL"/>
        </w:rPr>
        <w:lastRenderedPageBreak/>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76</w:t>
      </w:r>
      <w:r w:rsidRPr="00036DCF">
        <w:rPr>
          <w:sz w:val="24"/>
          <w:szCs w:val="24"/>
          <w:lang w:val="pl-PL"/>
        </w:rPr>
        <w:fldChar w:fldCharType="end"/>
      </w:r>
      <w:r w:rsidRPr="00036DCF">
        <w:rPr>
          <w:sz w:val="24"/>
          <w:szCs w:val="24"/>
          <w:lang w:val="pl-PL"/>
        </w:rPr>
        <w:t>.  Wziąwszy powyższe pod uwagę Trybunał stwierdza, że                     w okolicznościach przedmiotowej sprawy, okres szesnastu dni, w czasie których skarżący nie został postawiony przed sądem jest trudny do pogodzenia z pojęciem „niezwłocznie postawiony”, o którym mowa             w artykule 5 § 3 Konwencji.</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77</w:t>
      </w:r>
      <w:r w:rsidRPr="00036DCF">
        <w:rPr>
          <w:sz w:val="24"/>
          <w:szCs w:val="24"/>
          <w:lang w:val="pl-PL"/>
        </w:rPr>
        <w:fldChar w:fldCharType="end"/>
      </w:r>
      <w:r w:rsidRPr="00036DCF">
        <w:rPr>
          <w:sz w:val="24"/>
          <w:szCs w:val="24"/>
          <w:lang w:val="pl-PL"/>
        </w:rPr>
        <w:t>.  Trybunał stwierdza zatem, że doszło to naruszenia tego przepisu.</w:t>
      </w:r>
    </w:p>
    <w:p w:rsidR="00722C19" w:rsidRPr="00036DCF" w:rsidRDefault="00722C19" w:rsidP="00C30F73">
      <w:pPr>
        <w:pStyle w:val="JuHIRoman"/>
        <w:rPr>
          <w:sz w:val="24"/>
          <w:szCs w:val="24"/>
          <w:lang w:val="pl-PL"/>
        </w:rPr>
      </w:pPr>
      <w:r w:rsidRPr="00036DCF">
        <w:rPr>
          <w:sz w:val="24"/>
          <w:szCs w:val="24"/>
          <w:lang w:val="pl-PL"/>
        </w:rPr>
        <w:t>III.  ZASTOSOWANIE ARTYKUŁU 41 KONWENCJI</w:t>
      </w:r>
    </w:p>
    <w:p w:rsidR="00722C19" w:rsidRPr="00036DCF" w:rsidRDefault="00722C19" w:rsidP="00C30F73">
      <w:pPr>
        <w:pStyle w:val="JuPara"/>
        <w:keepNext/>
        <w:keepLines/>
        <w:outlineLvl w:val="0"/>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78</w:t>
      </w:r>
      <w:r w:rsidRPr="00036DCF">
        <w:rPr>
          <w:sz w:val="24"/>
          <w:szCs w:val="24"/>
          <w:lang w:val="pl-PL"/>
        </w:rPr>
        <w:fldChar w:fldCharType="end"/>
      </w:r>
      <w:r w:rsidRPr="00036DCF">
        <w:rPr>
          <w:sz w:val="24"/>
          <w:szCs w:val="24"/>
          <w:lang w:val="pl-PL"/>
        </w:rPr>
        <w:t>.  Zgodnie z artykułem 41 Konwencji,</w:t>
      </w:r>
    </w:p>
    <w:p w:rsidR="00722C19" w:rsidRPr="00036DCF" w:rsidRDefault="00722C19" w:rsidP="006F5C5C">
      <w:pPr>
        <w:pStyle w:val="JuQuot"/>
        <w:keepNext/>
        <w:keepLines/>
        <w:rPr>
          <w:lang w:val="pl-PL"/>
        </w:rPr>
      </w:pPr>
      <w:r w:rsidRPr="00036DCF">
        <w:rPr>
          <w:lang w:val="pl-PL"/>
        </w:rPr>
        <w:t xml:space="preserve">„Jeśli Trybunał stwierdzi, że nastąpiło naruszenie Konwencji lub jej Protokołów oraz jeśli prawo wewnętrzne Wysokiej Układającej się Strony pozwala tylko na częściowe usunięcie skutków tego naruszenia, Trybunał, gdy zachodzi taka potrzeba, zasądza na rzecz pokrzywdzonego słuszne zadośćuczynienie.” </w:t>
      </w:r>
    </w:p>
    <w:p w:rsidR="00722C19" w:rsidRPr="00036DCF" w:rsidRDefault="00722C19" w:rsidP="00C30F73">
      <w:pPr>
        <w:pStyle w:val="JuHA"/>
        <w:outlineLvl w:val="0"/>
        <w:rPr>
          <w:sz w:val="24"/>
          <w:szCs w:val="24"/>
          <w:lang w:val="pl-PL"/>
        </w:rPr>
      </w:pPr>
      <w:r w:rsidRPr="00036DCF">
        <w:rPr>
          <w:sz w:val="24"/>
          <w:szCs w:val="24"/>
          <w:lang w:val="pl-PL"/>
        </w:rPr>
        <w:t>A.  S</w:t>
      </w:r>
      <w:r>
        <w:rPr>
          <w:sz w:val="24"/>
          <w:szCs w:val="24"/>
          <w:lang w:val="pl-PL"/>
        </w:rPr>
        <w:t>zkoda</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79</w:t>
      </w:r>
      <w:r w:rsidRPr="00036DCF">
        <w:rPr>
          <w:sz w:val="24"/>
          <w:szCs w:val="24"/>
          <w:lang w:val="pl-PL"/>
        </w:rPr>
        <w:fldChar w:fldCharType="end"/>
      </w:r>
      <w:r w:rsidRPr="00036DCF">
        <w:rPr>
          <w:sz w:val="24"/>
          <w:szCs w:val="24"/>
          <w:lang w:val="pl-PL"/>
        </w:rPr>
        <w:t>.  Skarżący domaga się kwoty 74 000 euro (EUR) z tytułu doznanej szkody moralnej i materialnej z powodu niezgodnego z Konwencją, według niego, pozbawienia wolności.</w:t>
      </w:r>
    </w:p>
    <w:p w:rsidR="00722C19" w:rsidRPr="00036DCF" w:rsidRDefault="00722C19" w:rsidP="00C30F73">
      <w:pPr>
        <w:pStyle w:val="JuPara"/>
        <w:outlineLvl w:val="0"/>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80</w:t>
      </w:r>
      <w:r w:rsidRPr="00036DCF">
        <w:rPr>
          <w:sz w:val="24"/>
          <w:szCs w:val="24"/>
          <w:lang w:val="pl-PL"/>
        </w:rPr>
        <w:fldChar w:fldCharType="end"/>
      </w:r>
      <w:r w:rsidRPr="00036DCF">
        <w:rPr>
          <w:sz w:val="24"/>
          <w:szCs w:val="24"/>
          <w:lang w:val="pl-PL"/>
        </w:rPr>
        <w:t>.  Rząd uważa, że żądana przez skarżącego kwota jest wygórowana.</w:t>
      </w:r>
    </w:p>
    <w:p w:rsidR="00722C19" w:rsidRPr="00036DCF" w:rsidRDefault="00722C19" w:rsidP="00C56856">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81</w:t>
      </w:r>
      <w:r w:rsidRPr="00036DCF">
        <w:rPr>
          <w:sz w:val="24"/>
          <w:szCs w:val="24"/>
          <w:lang w:val="pl-PL"/>
        </w:rPr>
        <w:fldChar w:fldCharType="end"/>
      </w:r>
      <w:r w:rsidRPr="00036DCF">
        <w:rPr>
          <w:sz w:val="24"/>
          <w:szCs w:val="24"/>
          <w:lang w:val="pl-PL"/>
        </w:rPr>
        <w:t>.  Trybunał nie dostrzega związku przyczynowego pomiędzy stwierdzonym naruszeniem a przywołaną szkodą materialną i odrzuca to żądanie. Uznaje natomiast, że istnieją podstawy do przyznania skarżącemu kwoty 5 000 euro z tytułu szkody moralnej.</w:t>
      </w:r>
    </w:p>
    <w:p w:rsidR="00722C19" w:rsidRPr="00036DCF" w:rsidRDefault="00722C19" w:rsidP="00C30F73">
      <w:pPr>
        <w:pStyle w:val="JuHA"/>
        <w:outlineLvl w:val="0"/>
        <w:rPr>
          <w:sz w:val="24"/>
          <w:szCs w:val="24"/>
          <w:lang w:val="pl-PL"/>
        </w:rPr>
      </w:pPr>
      <w:r w:rsidRPr="00036DCF">
        <w:rPr>
          <w:sz w:val="24"/>
          <w:szCs w:val="24"/>
          <w:lang w:val="pl-PL"/>
        </w:rPr>
        <w:t>B.  Koszty i wydatki</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82</w:t>
      </w:r>
      <w:r w:rsidRPr="00036DCF">
        <w:rPr>
          <w:sz w:val="24"/>
          <w:szCs w:val="24"/>
          <w:lang w:val="pl-PL"/>
        </w:rPr>
        <w:fldChar w:fldCharType="end"/>
      </w:r>
      <w:r w:rsidRPr="00036DCF">
        <w:rPr>
          <w:sz w:val="24"/>
          <w:szCs w:val="24"/>
          <w:lang w:val="pl-PL"/>
        </w:rPr>
        <w:t>.  Skarżący domaga się również kwoty 6 150 polskich złotych (około 1 500 euro) tytułem kosztów i wydatków poniesionych przed Trybunałem. Na poparcie swoich żądań przedstawia rachunek wystawiony przez adwokata.</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83</w:t>
      </w:r>
      <w:r w:rsidRPr="00036DCF">
        <w:rPr>
          <w:sz w:val="24"/>
          <w:szCs w:val="24"/>
          <w:lang w:val="pl-PL"/>
        </w:rPr>
        <w:fldChar w:fldCharType="end"/>
      </w:r>
      <w:r w:rsidRPr="00036DCF">
        <w:rPr>
          <w:sz w:val="24"/>
          <w:szCs w:val="24"/>
          <w:lang w:val="pl-PL"/>
        </w:rPr>
        <w:t>.  Zgodnie z orzecznictwem Trybunału, skarżący jest uprawniony do otrzymania zwrotu kosztów oraz wydatków w takim zakresie, w jakim wykazał, że były one rzeczywiście i koniecznie poniesione i były uzasadnione co do wysokości. W przedmiotowej sprawie oraz wziąwszy pod uwagę będące w jego posiadaniu dokumenty i wyżej wymienione kryteria, Trybunał uważa, że kwota 1 500 euro jest rozsądną kwotą za postępowanie przed Trybunałem i przyznaje ją skarżącemu.</w:t>
      </w:r>
    </w:p>
    <w:p w:rsidR="00722C19" w:rsidRPr="00036DCF" w:rsidRDefault="00722C19" w:rsidP="00C30F73">
      <w:pPr>
        <w:pStyle w:val="JuHA"/>
        <w:outlineLvl w:val="0"/>
        <w:rPr>
          <w:sz w:val="24"/>
          <w:szCs w:val="24"/>
          <w:lang w:val="pl-PL"/>
        </w:rPr>
      </w:pPr>
      <w:r w:rsidRPr="00036DCF">
        <w:rPr>
          <w:sz w:val="24"/>
          <w:szCs w:val="24"/>
          <w:lang w:val="pl-PL"/>
        </w:rPr>
        <w:t>C.  Odsetki za zwłokę</w:t>
      </w:r>
    </w:p>
    <w:p w:rsidR="00722C19" w:rsidRPr="00036DCF" w:rsidRDefault="00722C19" w:rsidP="00C30F73">
      <w:pPr>
        <w:pStyle w:val="JuPara"/>
        <w:rPr>
          <w:sz w:val="24"/>
          <w:szCs w:val="24"/>
          <w:lang w:val="pl-PL"/>
        </w:rPr>
      </w:pPr>
      <w:r w:rsidRPr="00036DCF">
        <w:rPr>
          <w:sz w:val="24"/>
          <w:szCs w:val="24"/>
          <w:lang w:val="pl-PL"/>
        </w:rPr>
        <w:fldChar w:fldCharType="begin"/>
      </w:r>
      <w:r w:rsidRPr="00036DCF">
        <w:rPr>
          <w:sz w:val="24"/>
          <w:szCs w:val="24"/>
          <w:lang w:val="pl-PL"/>
        </w:rPr>
        <w:instrText xml:space="preserve"> SEQ level0 \*arabic </w:instrText>
      </w:r>
      <w:r w:rsidRPr="00036DCF">
        <w:rPr>
          <w:sz w:val="24"/>
          <w:szCs w:val="24"/>
          <w:lang w:val="pl-PL"/>
        </w:rPr>
        <w:fldChar w:fldCharType="separate"/>
      </w:r>
      <w:r w:rsidRPr="00036DCF">
        <w:rPr>
          <w:noProof/>
          <w:sz w:val="24"/>
          <w:szCs w:val="24"/>
          <w:lang w:val="pl-PL"/>
        </w:rPr>
        <w:t>84</w:t>
      </w:r>
      <w:r w:rsidRPr="00036DCF">
        <w:rPr>
          <w:sz w:val="24"/>
          <w:szCs w:val="24"/>
          <w:lang w:val="pl-PL"/>
        </w:rPr>
        <w:fldChar w:fldCharType="end"/>
      </w:r>
      <w:r w:rsidRPr="00036DCF">
        <w:rPr>
          <w:sz w:val="24"/>
          <w:szCs w:val="24"/>
          <w:lang w:val="pl-PL"/>
        </w:rPr>
        <w:t xml:space="preserve">.  Trybunał uznaje, że odsetki z tytułu niewypłacenia zasądzonych kwot powinny być naliczone według stopy równej marginalnej stopie </w:t>
      </w:r>
      <w:r w:rsidRPr="00036DCF">
        <w:rPr>
          <w:sz w:val="24"/>
          <w:szCs w:val="24"/>
          <w:lang w:val="pl-PL"/>
        </w:rPr>
        <w:lastRenderedPageBreak/>
        <w:t>procentowej Europejskiego Banku Centralnego, powiększonej o trzy punkty procentowe.</w:t>
      </w:r>
    </w:p>
    <w:p w:rsidR="00722C19" w:rsidRPr="00036DCF" w:rsidRDefault="00722C19" w:rsidP="00C30F73">
      <w:pPr>
        <w:pStyle w:val="JuHHead"/>
        <w:rPr>
          <w:sz w:val="24"/>
          <w:szCs w:val="24"/>
          <w:lang w:val="pl-PL"/>
        </w:rPr>
      </w:pPr>
      <w:r w:rsidRPr="00036DCF">
        <w:rPr>
          <w:sz w:val="24"/>
          <w:szCs w:val="24"/>
          <w:lang w:val="pl-PL"/>
        </w:rPr>
        <w:t>Z TYCH PRZYCZYN TRYBUNAŁ</w:t>
      </w:r>
    </w:p>
    <w:p w:rsidR="00722C19" w:rsidRPr="00036DCF" w:rsidRDefault="00722C19" w:rsidP="00C30F73">
      <w:pPr>
        <w:pStyle w:val="JuList"/>
        <w:rPr>
          <w:sz w:val="24"/>
          <w:szCs w:val="24"/>
          <w:lang w:val="pl-PL"/>
        </w:rPr>
      </w:pPr>
      <w:r w:rsidRPr="00036DCF">
        <w:rPr>
          <w:sz w:val="24"/>
          <w:szCs w:val="24"/>
          <w:lang w:val="pl-PL"/>
        </w:rPr>
        <w:t>1.  </w:t>
      </w:r>
      <w:r w:rsidRPr="00036DCF">
        <w:rPr>
          <w:i/>
          <w:sz w:val="24"/>
          <w:szCs w:val="24"/>
          <w:lang w:val="pl-PL"/>
        </w:rPr>
        <w:t>Uznaje</w:t>
      </w:r>
      <w:r w:rsidRPr="00036DCF">
        <w:rPr>
          <w:sz w:val="24"/>
          <w:szCs w:val="24"/>
          <w:lang w:val="pl-PL"/>
        </w:rPr>
        <w:t>, jednogłośnie, skargę za dopuszczalną;</w:t>
      </w:r>
    </w:p>
    <w:p w:rsidR="00722C19" w:rsidRPr="00036DCF" w:rsidRDefault="00722C19" w:rsidP="00C30F73">
      <w:pPr>
        <w:pStyle w:val="JuList"/>
        <w:rPr>
          <w:sz w:val="24"/>
          <w:szCs w:val="24"/>
          <w:lang w:val="pl-PL"/>
        </w:rPr>
      </w:pPr>
    </w:p>
    <w:p w:rsidR="00722C19" w:rsidRPr="00036DCF" w:rsidRDefault="00722C19" w:rsidP="00C30F73">
      <w:pPr>
        <w:pStyle w:val="JuList"/>
        <w:rPr>
          <w:sz w:val="24"/>
          <w:szCs w:val="24"/>
          <w:lang w:val="pl-PL"/>
        </w:rPr>
      </w:pPr>
      <w:r w:rsidRPr="00036DCF">
        <w:rPr>
          <w:sz w:val="24"/>
          <w:szCs w:val="24"/>
          <w:lang w:val="pl-PL"/>
        </w:rPr>
        <w:t>2.  </w:t>
      </w:r>
      <w:r w:rsidRPr="00036DCF">
        <w:rPr>
          <w:i/>
          <w:sz w:val="24"/>
          <w:szCs w:val="24"/>
          <w:lang w:val="pl-PL"/>
        </w:rPr>
        <w:t>Stwierdza</w:t>
      </w:r>
      <w:r w:rsidRPr="00036DCF">
        <w:rPr>
          <w:sz w:val="24"/>
          <w:szCs w:val="24"/>
          <w:lang w:val="pl-PL"/>
        </w:rPr>
        <w:t>, jednogłośnie, że doszło do naruszenia artykułu 5 § 1 c) Konwencji;</w:t>
      </w:r>
    </w:p>
    <w:p w:rsidR="00722C19" w:rsidRPr="00036DCF" w:rsidRDefault="00722C19" w:rsidP="00C30F73">
      <w:pPr>
        <w:pStyle w:val="JuList"/>
        <w:rPr>
          <w:sz w:val="24"/>
          <w:szCs w:val="24"/>
          <w:lang w:val="pl-PL"/>
        </w:rPr>
      </w:pPr>
    </w:p>
    <w:p w:rsidR="00722C19" w:rsidRPr="00036DCF" w:rsidRDefault="00722C19" w:rsidP="00C30F73">
      <w:pPr>
        <w:pStyle w:val="JuList"/>
        <w:rPr>
          <w:i/>
          <w:sz w:val="24"/>
          <w:szCs w:val="24"/>
          <w:lang w:val="pl-PL"/>
        </w:rPr>
      </w:pPr>
      <w:r w:rsidRPr="00036DCF">
        <w:rPr>
          <w:sz w:val="24"/>
          <w:szCs w:val="24"/>
          <w:lang w:val="pl-PL"/>
        </w:rPr>
        <w:t>3. </w:t>
      </w:r>
      <w:r w:rsidRPr="00036DCF">
        <w:rPr>
          <w:i/>
          <w:sz w:val="24"/>
          <w:szCs w:val="24"/>
          <w:lang w:val="pl-PL"/>
        </w:rPr>
        <w:t>Stwierdza</w:t>
      </w:r>
      <w:r w:rsidRPr="00036DCF">
        <w:rPr>
          <w:sz w:val="24"/>
          <w:szCs w:val="24"/>
          <w:lang w:val="pl-PL"/>
        </w:rPr>
        <w:t>, sześcioma głosami przeciw jednemu, że doszło do naruszenia artykułu 5 § 3 Konwencji;</w:t>
      </w:r>
    </w:p>
    <w:p w:rsidR="00722C19" w:rsidRPr="00036DCF" w:rsidRDefault="00722C19" w:rsidP="00C30F73">
      <w:pPr>
        <w:pStyle w:val="JuList"/>
        <w:rPr>
          <w:sz w:val="24"/>
          <w:szCs w:val="24"/>
          <w:lang w:val="pl-PL"/>
        </w:rPr>
      </w:pPr>
    </w:p>
    <w:p w:rsidR="00722C19" w:rsidRPr="00036DCF" w:rsidRDefault="00722C19" w:rsidP="00C30F73">
      <w:pPr>
        <w:pStyle w:val="JuList"/>
        <w:rPr>
          <w:sz w:val="24"/>
          <w:szCs w:val="24"/>
          <w:lang w:val="pl-PL"/>
        </w:rPr>
      </w:pPr>
      <w:r w:rsidRPr="00241BF2">
        <w:rPr>
          <w:sz w:val="24"/>
          <w:szCs w:val="24"/>
          <w:lang w:val="pl-PL"/>
        </w:rPr>
        <w:t>4.  </w:t>
      </w:r>
      <w:r w:rsidRPr="00036DCF">
        <w:rPr>
          <w:i/>
          <w:sz w:val="24"/>
          <w:szCs w:val="24"/>
          <w:lang w:val="pl-PL"/>
        </w:rPr>
        <w:t>Stwierdza</w:t>
      </w:r>
      <w:r w:rsidRPr="00036DCF">
        <w:rPr>
          <w:sz w:val="24"/>
          <w:szCs w:val="24"/>
          <w:lang w:val="pl-PL"/>
        </w:rPr>
        <w:t>, jednogłośnie,</w:t>
      </w:r>
    </w:p>
    <w:p w:rsidR="00722C19" w:rsidRPr="00036DCF" w:rsidRDefault="00722C19" w:rsidP="00C30B74">
      <w:pPr>
        <w:pStyle w:val="JuLista"/>
        <w:ind w:left="360"/>
        <w:rPr>
          <w:sz w:val="24"/>
          <w:szCs w:val="24"/>
          <w:lang w:val="pl-PL"/>
        </w:rPr>
      </w:pPr>
      <w:r w:rsidRPr="00036DCF">
        <w:rPr>
          <w:sz w:val="24"/>
          <w:szCs w:val="24"/>
          <w:lang w:val="pl-PL"/>
        </w:rPr>
        <w:t xml:space="preserve">a)  że </w:t>
      </w:r>
      <w:r w:rsidRPr="00036DCF">
        <w:rPr>
          <w:rFonts w:ascii="Times New (W1) CE" w:hAnsi="Times New (W1) CE"/>
          <w:sz w:val="24"/>
          <w:szCs w:val="24"/>
          <w:lang w:val="pl-PL" w:eastAsia="en-GB"/>
        </w:rPr>
        <w:t xml:space="preserve">pozwane Państwo </w:t>
      </w:r>
      <w:r w:rsidRPr="00036DCF">
        <w:rPr>
          <w:sz w:val="24"/>
          <w:szCs w:val="24"/>
          <w:lang w:val="pl-PL"/>
        </w:rPr>
        <w:t xml:space="preserve">winno wypłacić skarżącemu w ciągu trzech miesięcy od dnia, w którym wyrok stanie się prawomocny zgodnie         z artykułem 44 § 2 Konwencji następujące kwoty, </w:t>
      </w:r>
      <w:r w:rsidRPr="00036DCF">
        <w:rPr>
          <w:rStyle w:val="FontStyle26"/>
          <w:sz w:val="24"/>
          <w:szCs w:val="24"/>
          <w:lang w:val="pl-PL"/>
        </w:rPr>
        <w:t>które będą przeliczone</w:t>
      </w:r>
      <w:r w:rsidRPr="00036DCF">
        <w:rPr>
          <w:rStyle w:val="FontStyle26"/>
          <w:sz w:val="24"/>
          <w:szCs w:val="24"/>
          <w:lang w:val="es-ES_tradnl"/>
        </w:rPr>
        <w:t xml:space="preserve"> na walutę Państwa pozwanego po kursie z dnia zapłaty</w:t>
      </w:r>
      <w:r w:rsidRPr="00036DCF">
        <w:rPr>
          <w:rStyle w:val="FontStyle26"/>
          <w:sz w:val="24"/>
          <w:szCs w:val="24"/>
          <w:lang w:val="pl-PL"/>
        </w:rPr>
        <w:t xml:space="preserve">; </w:t>
      </w:r>
    </w:p>
    <w:p w:rsidR="00722C19" w:rsidRPr="00036DCF" w:rsidRDefault="00722C19" w:rsidP="00C30B74">
      <w:pPr>
        <w:pStyle w:val="JuListi"/>
        <w:rPr>
          <w:sz w:val="24"/>
          <w:szCs w:val="24"/>
          <w:lang w:val="pl-PL" w:eastAsia="en-GB"/>
        </w:rPr>
      </w:pPr>
      <w:r w:rsidRPr="00036DCF">
        <w:rPr>
          <w:sz w:val="24"/>
          <w:szCs w:val="24"/>
          <w:lang w:val="pl-PL" w:eastAsia="en-GB"/>
        </w:rPr>
        <w:t xml:space="preserve">i.   5 000 EUR (pięć tysięcy euro), </w:t>
      </w:r>
      <w:r w:rsidRPr="00036DCF">
        <w:rPr>
          <w:rStyle w:val="FontStyle26"/>
          <w:sz w:val="24"/>
          <w:szCs w:val="24"/>
          <w:lang w:val="pl-PL"/>
        </w:rPr>
        <w:t>powiększone</w:t>
      </w:r>
      <w:r w:rsidRPr="00036DCF">
        <w:rPr>
          <w:rStyle w:val="FontStyle26"/>
          <w:sz w:val="24"/>
          <w:szCs w:val="24"/>
          <w:lang w:val="es-ES_tradnl"/>
        </w:rPr>
        <w:t xml:space="preserve"> o</w:t>
      </w:r>
      <w:r w:rsidRPr="00036DCF">
        <w:rPr>
          <w:rStyle w:val="FontStyle26"/>
          <w:sz w:val="24"/>
          <w:szCs w:val="24"/>
          <w:lang w:val="pl-PL"/>
        </w:rPr>
        <w:t xml:space="preserve"> podatek</w:t>
      </w:r>
      <w:r w:rsidRPr="00036DCF">
        <w:rPr>
          <w:rStyle w:val="FontStyle26"/>
          <w:sz w:val="24"/>
          <w:szCs w:val="24"/>
          <w:lang w:val="es-ES_tradnl"/>
        </w:rPr>
        <w:t>, który może być pobrany</w:t>
      </w:r>
      <w:r w:rsidR="00B22E86">
        <w:rPr>
          <w:rStyle w:val="FontStyle26"/>
          <w:sz w:val="24"/>
          <w:szCs w:val="24"/>
          <w:lang w:val="es-ES_tradnl"/>
        </w:rPr>
        <w:t>,</w:t>
      </w:r>
      <w:r w:rsidRPr="00036DCF">
        <w:rPr>
          <w:sz w:val="24"/>
          <w:szCs w:val="24"/>
          <w:lang w:val="pl-PL"/>
        </w:rPr>
        <w:t xml:space="preserve"> </w:t>
      </w:r>
      <w:r w:rsidRPr="00036DCF">
        <w:rPr>
          <w:sz w:val="24"/>
          <w:szCs w:val="24"/>
          <w:lang w:val="pl-PL" w:eastAsia="en-GB"/>
        </w:rPr>
        <w:t>z tytułu szkody moralnej;</w:t>
      </w:r>
    </w:p>
    <w:p w:rsidR="00722C19" w:rsidRPr="00036DCF" w:rsidRDefault="00722C19" w:rsidP="005B0B1D">
      <w:pPr>
        <w:pStyle w:val="JuListi"/>
        <w:rPr>
          <w:sz w:val="24"/>
          <w:szCs w:val="24"/>
          <w:lang w:val="pl-PL"/>
        </w:rPr>
      </w:pPr>
      <w:r w:rsidRPr="00036DCF">
        <w:rPr>
          <w:sz w:val="24"/>
          <w:szCs w:val="24"/>
          <w:lang w:val="pl-PL" w:eastAsia="en-GB"/>
        </w:rPr>
        <w:t>ii. 1 500  EUR (tysiąc pięćset euro)</w:t>
      </w:r>
      <w:r w:rsidRPr="00036DCF">
        <w:rPr>
          <w:rStyle w:val="FontStyle26"/>
          <w:sz w:val="24"/>
          <w:szCs w:val="24"/>
          <w:lang w:val="es-ES_tradnl"/>
        </w:rPr>
        <w:t xml:space="preserve"> powiększone o podatek, który może być pobrany, z tytułu zwrotu kosztów i wydatków;</w:t>
      </w:r>
    </w:p>
    <w:p w:rsidR="00722C19" w:rsidRPr="00036DCF" w:rsidRDefault="00722C19" w:rsidP="004603D9">
      <w:pPr>
        <w:pStyle w:val="JuListi"/>
        <w:ind w:left="360"/>
        <w:rPr>
          <w:rFonts w:ascii="Times New (W1)" w:hAnsi="Times New (W1)"/>
          <w:sz w:val="24"/>
          <w:szCs w:val="24"/>
          <w:lang w:val="pl-PL"/>
        </w:rPr>
      </w:pPr>
      <w:r w:rsidRPr="00036DCF">
        <w:rPr>
          <w:sz w:val="24"/>
          <w:szCs w:val="24"/>
          <w:lang w:val="pl-PL"/>
        </w:rPr>
        <w:t>b)  że od wygaśnięcia wyżej wspomnianego terminu do momentu zapłaty będą płacone zwykłe odsetki według stopy procentowej równej marginalnej stopie procentowej Europejskiego Banku Centralnego stosowanej w tym okresie, powiększonej o trzy punkty procentowe;</w:t>
      </w:r>
    </w:p>
    <w:p w:rsidR="00722C19" w:rsidRPr="00036DCF" w:rsidRDefault="00722C19" w:rsidP="00C30F73">
      <w:pPr>
        <w:pStyle w:val="JuLista"/>
        <w:rPr>
          <w:sz w:val="24"/>
          <w:szCs w:val="24"/>
          <w:lang w:val="pl-PL"/>
        </w:rPr>
      </w:pPr>
    </w:p>
    <w:p w:rsidR="00722C19" w:rsidRPr="00036DCF" w:rsidRDefault="00722C19" w:rsidP="00C30F73">
      <w:pPr>
        <w:pStyle w:val="JuList"/>
        <w:rPr>
          <w:sz w:val="24"/>
          <w:szCs w:val="24"/>
          <w:lang w:val="pl-PL"/>
        </w:rPr>
      </w:pPr>
      <w:r w:rsidRPr="00036DCF">
        <w:rPr>
          <w:sz w:val="24"/>
          <w:szCs w:val="24"/>
          <w:lang w:val="pl-PL"/>
        </w:rPr>
        <w:t>5. </w:t>
      </w:r>
      <w:r w:rsidRPr="00036DCF">
        <w:rPr>
          <w:i/>
          <w:sz w:val="24"/>
          <w:szCs w:val="24"/>
          <w:lang w:val="pl-PL"/>
        </w:rPr>
        <w:t xml:space="preserve">Oddala, </w:t>
      </w:r>
      <w:r w:rsidRPr="00036DCF">
        <w:rPr>
          <w:sz w:val="24"/>
          <w:szCs w:val="24"/>
          <w:lang w:val="pl-PL"/>
        </w:rPr>
        <w:t>jednogłośnie,</w:t>
      </w:r>
      <w:r w:rsidRPr="00036DCF">
        <w:rPr>
          <w:i/>
          <w:sz w:val="24"/>
          <w:szCs w:val="24"/>
          <w:lang w:val="pl-PL"/>
        </w:rPr>
        <w:t xml:space="preserve"> </w:t>
      </w:r>
      <w:r w:rsidRPr="00036DCF">
        <w:rPr>
          <w:sz w:val="24"/>
          <w:szCs w:val="24"/>
          <w:lang w:val="pl-PL"/>
        </w:rPr>
        <w:t xml:space="preserve">pozostałą część roszczenia dotyczącą słusznego zadośćuczynienia. </w:t>
      </w:r>
    </w:p>
    <w:p w:rsidR="00722C19" w:rsidRPr="00036DCF" w:rsidRDefault="00722C19" w:rsidP="00C30F73">
      <w:pPr>
        <w:pStyle w:val="JuList"/>
        <w:rPr>
          <w:sz w:val="24"/>
          <w:szCs w:val="24"/>
          <w:lang w:val="pl-PL"/>
        </w:rPr>
      </w:pPr>
    </w:p>
    <w:p w:rsidR="00722C19" w:rsidRDefault="00722C19" w:rsidP="0063148A">
      <w:pPr>
        <w:jc w:val="both"/>
        <w:rPr>
          <w:lang w:val="pl-PL"/>
        </w:rPr>
      </w:pPr>
      <w:r w:rsidRPr="007876B2">
        <w:rPr>
          <w:lang w:val="pl-PL"/>
        </w:rPr>
        <w:t xml:space="preserve">Sporządzono w języku francuskim i obwieszczono pisemnie w dniu </w:t>
      </w:r>
      <w:r>
        <w:rPr>
          <w:lang w:val="pl-PL"/>
        </w:rPr>
        <w:t xml:space="preserve">            19 listopada 2013</w:t>
      </w:r>
      <w:r w:rsidRPr="007876B2">
        <w:rPr>
          <w:lang w:val="pl-PL"/>
        </w:rPr>
        <w:t xml:space="preserve"> roku, zgodnie z artykułem 77 §§ 2 i 3 Regulaminu Trybunału. </w:t>
      </w:r>
    </w:p>
    <w:p w:rsidR="00722C19" w:rsidRDefault="00722C19" w:rsidP="0063148A">
      <w:pPr>
        <w:jc w:val="both"/>
        <w:rPr>
          <w:lang w:val="pl-PL"/>
        </w:rPr>
      </w:pPr>
    </w:p>
    <w:p w:rsidR="00722C19" w:rsidRDefault="00722C19" w:rsidP="00F90D58">
      <w:pPr>
        <w:jc w:val="center"/>
        <w:rPr>
          <w:lang w:val="pl-PL"/>
        </w:rPr>
      </w:pPr>
      <w:r w:rsidRPr="00C30B74">
        <w:rPr>
          <w:lang w:val="pl-PL"/>
        </w:rPr>
        <w:t>Françoise Elens-Passos</w:t>
      </w:r>
      <w:r w:rsidRPr="00C30B74">
        <w:rPr>
          <w:lang w:val="pl-PL"/>
        </w:rPr>
        <w:tab/>
      </w:r>
      <w:r>
        <w:rPr>
          <w:lang w:val="pl-PL"/>
        </w:rPr>
        <w:t xml:space="preserve">                                               I</w:t>
      </w:r>
      <w:r w:rsidRPr="00C30B74">
        <w:rPr>
          <w:szCs w:val="24"/>
          <w:lang w:val="pl-PL"/>
        </w:rPr>
        <w:t>neta</w:t>
      </w:r>
      <w:r w:rsidR="00F90D58">
        <w:rPr>
          <w:szCs w:val="24"/>
          <w:lang w:val="pl-PL"/>
        </w:rPr>
        <w:t xml:space="preserve"> </w:t>
      </w:r>
      <w:r w:rsidRPr="00C30B74">
        <w:rPr>
          <w:szCs w:val="24"/>
          <w:lang w:val="pl-PL"/>
        </w:rPr>
        <w:t>Ziemele</w:t>
      </w:r>
      <w:r>
        <w:rPr>
          <w:lang w:val="pl-PL"/>
        </w:rPr>
        <w:br/>
      </w:r>
      <w:r w:rsidR="00F90D58">
        <w:rPr>
          <w:lang w:val="pl-PL"/>
        </w:rPr>
        <w:t xml:space="preserve">        </w:t>
      </w:r>
      <w:r w:rsidRPr="00C30B74">
        <w:rPr>
          <w:lang w:val="pl-PL"/>
        </w:rPr>
        <w:t>Kanclerz</w:t>
      </w:r>
      <w:r>
        <w:rPr>
          <w:lang w:val="pl-PL"/>
        </w:rPr>
        <w:t xml:space="preserve">                                                                      </w:t>
      </w:r>
      <w:r w:rsidRPr="00C30B74">
        <w:rPr>
          <w:lang w:val="pl-PL"/>
        </w:rPr>
        <w:tab/>
        <w:t>Przewodnicząca</w:t>
      </w:r>
    </w:p>
    <w:p w:rsidR="00722C19" w:rsidRDefault="00722C19" w:rsidP="0063148A">
      <w:pPr>
        <w:jc w:val="both"/>
        <w:rPr>
          <w:lang w:val="pl-PL"/>
        </w:rPr>
      </w:pPr>
    </w:p>
    <w:p w:rsidR="00722C19" w:rsidRPr="00C30B74" w:rsidRDefault="00722C19" w:rsidP="0063148A">
      <w:pPr>
        <w:jc w:val="both"/>
        <w:rPr>
          <w:lang w:val="pl-PL"/>
        </w:rPr>
      </w:pPr>
      <w:r w:rsidRPr="00C30B74">
        <w:rPr>
          <w:lang w:val="pl-PL"/>
        </w:rPr>
        <w:t xml:space="preserve">Zgodnie z artykułami 45 § 2 Konwencji oraz 74 § 2 rozporządzenia, </w:t>
      </w:r>
      <w:r>
        <w:rPr>
          <w:lang w:val="pl-PL"/>
        </w:rPr>
        <w:t>do niniejszego wyroku zostaje dołączone zdanie odrębne sędzi</w:t>
      </w:r>
      <w:r w:rsidR="00B22E86">
        <w:rPr>
          <w:lang w:val="pl-PL"/>
        </w:rPr>
        <w:t xml:space="preserve"> Z. Kalaydjievej.</w:t>
      </w:r>
    </w:p>
    <w:p w:rsidR="00722C19" w:rsidRPr="00C95FB5" w:rsidRDefault="00722C19" w:rsidP="00C30F73">
      <w:pPr>
        <w:pStyle w:val="JuInitialled"/>
        <w:rPr>
          <w:lang w:val="pl-PL"/>
        </w:rPr>
      </w:pPr>
      <w:r w:rsidRPr="00C95FB5">
        <w:rPr>
          <w:lang w:val="pl-PL"/>
        </w:rPr>
        <w:lastRenderedPageBreak/>
        <w:t>I.Z.</w:t>
      </w:r>
      <w:r w:rsidRPr="00C95FB5">
        <w:rPr>
          <w:lang w:val="pl-PL"/>
        </w:rPr>
        <w:br/>
        <w:t>F.E.P.</w:t>
      </w:r>
    </w:p>
    <w:p w:rsidR="00722C19" w:rsidRPr="00C95FB5" w:rsidRDefault="00722C19" w:rsidP="00C30F73">
      <w:pPr>
        <w:pStyle w:val="JuInitialled"/>
        <w:rPr>
          <w:lang w:val="pl-PL"/>
        </w:rPr>
      </w:pPr>
    </w:p>
    <w:p w:rsidR="00722C19" w:rsidRPr="00C95FB5" w:rsidRDefault="00722C19" w:rsidP="00C30F73">
      <w:pPr>
        <w:pStyle w:val="OpiHHead"/>
        <w:rPr>
          <w:lang w:val="pl-PL"/>
        </w:rPr>
        <w:sectPr w:rsidR="00722C19" w:rsidRPr="00C95FB5" w:rsidSect="00002FA5">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pPr>
    </w:p>
    <w:p w:rsidR="00722C19" w:rsidRPr="004D7325" w:rsidRDefault="00722C19" w:rsidP="00C30F73">
      <w:pPr>
        <w:pStyle w:val="OpiHHead"/>
        <w:rPr>
          <w:szCs w:val="28"/>
          <w:lang w:val="pl-PL"/>
        </w:rPr>
      </w:pPr>
      <w:r w:rsidRPr="004D7325">
        <w:rPr>
          <w:szCs w:val="28"/>
          <w:lang w:val="pl-PL"/>
        </w:rPr>
        <w:lastRenderedPageBreak/>
        <w:t>ZDANIE ODRĘBNE SĘDZI KALAYDJI</w:t>
      </w:r>
      <w:r w:rsidR="00B22E86">
        <w:rPr>
          <w:szCs w:val="28"/>
          <w:lang w:val="pl-PL"/>
        </w:rPr>
        <w:t>EVEJ</w:t>
      </w:r>
    </w:p>
    <w:p w:rsidR="00722C19" w:rsidRPr="004D7325" w:rsidRDefault="00722C19" w:rsidP="00C30F73">
      <w:pPr>
        <w:pStyle w:val="OpiTranslation"/>
        <w:rPr>
          <w:szCs w:val="24"/>
          <w:lang w:val="pl-PL"/>
        </w:rPr>
      </w:pPr>
      <w:r w:rsidRPr="004D7325">
        <w:rPr>
          <w:i w:val="0"/>
          <w:szCs w:val="24"/>
          <w:lang w:val="pl-PL"/>
        </w:rPr>
        <w:t>(</w:t>
      </w:r>
      <w:r w:rsidRPr="004D7325">
        <w:rPr>
          <w:szCs w:val="24"/>
          <w:lang w:val="pl-PL"/>
        </w:rPr>
        <w:t>Tłumaczenie</w:t>
      </w:r>
      <w:r w:rsidRPr="004D7325">
        <w:rPr>
          <w:i w:val="0"/>
          <w:szCs w:val="24"/>
          <w:lang w:val="pl-PL"/>
        </w:rPr>
        <w:t>)</w:t>
      </w:r>
    </w:p>
    <w:p w:rsidR="00722C19" w:rsidRPr="004D7325" w:rsidRDefault="00722C19" w:rsidP="00C30F73">
      <w:pPr>
        <w:pStyle w:val="OpiPara"/>
        <w:rPr>
          <w:sz w:val="24"/>
          <w:szCs w:val="24"/>
          <w:lang w:val="pl-PL"/>
        </w:rPr>
      </w:pPr>
      <w:r w:rsidRPr="004D7325">
        <w:rPr>
          <w:sz w:val="24"/>
          <w:szCs w:val="24"/>
          <w:lang w:val="pl-PL"/>
        </w:rPr>
        <w:t>Powody, dla których uznałam, że w niniejszej sprawie doszło do naruszenia artykułu 5 Konwencji różnią się od motywów przyjętych przez większość, która uznała, że zakwestionowane pozbawienie wolności było objęte zakresem stosowania artykułu 5 §1 c) ponieważ środek ten został zastosowany wobec skarżącego „ze względu na podejrzenie popełnienia czynu zagrożonego karą” i „w celu doprowadzenia go przed właściwy organ sądowy”.</w:t>
      </w:r>
    </w:p>
    <w:p w:rsidR="00722C19" w:rsidRPr="004D7325" w:rsidRDefault="00722C19" w:rsidP="00C30F73">
      <w:pPr>
        <w:pStyle w:val="OpiPara"/>
        <w:rPr>
          <w:sz w:val="24"/>
          <w:szCs w:val="24"/>
          <w:lang w:val="pl-PL"/>
        </w:rPr>
      </w:pPr>
    </w:p>
    <w:p w:rsidR="00722C19" w:rsidRPr="004D7325" w:rsidRDefault="00722C19" w:rsidP="00C30F73">
      <w:pPr>
        <w:pStyle w:val="OpiPara"/>
        <w:rPr>
          <w:sz w:val="24"/>
          <w:szCs w:val="24"/>
          <w:lang w:val="pl-PL"/>
        </w:rPr>
      </w:pPr>
      <w:r w:rsidRPr="004D7325">
        <w:rPr>
          <w:sz w:val="24"/>
          <w:szCs w:val="24"/>
          <w:lang w:val="pl-PL"/>
        </w:rPr>
        <w:t xml:space="preserve">Bezspornym pozostaje, że w świetle prawa krajowego, obecność skarżącego przed sądem nie była wymagana, gdyż sąd posiada uprawnienia do rozpoznania sprawy i rozstrzygnięcia pod nieobecność zainteresowanej osoby w przedmiocie czynu o jaki jest oskarżana oraz, że aresztowanie nie było środkiem izolacyjnym, które sądy mogły zgodnie z prawem zastosować w przypadku przestępstwa, co do którego istniały uzasadnione obawy, że osoba ta jest winna jego popełnienia. Dlatego też, nie mogę zgodzić się z większością, która uznała, że zakwestionowane aresztowanie było objęte zakresem stosowania artykułu 5 §1 c) oraz, że realizowało określony w tym przepisie zgodny z prawem cel. </w:t>
      </w:r>
    </w:p>
    <w:p w:rsidR="00722C19" w:rsidRPr="004D7325" w:rsidRDefault="00722C19" w:rsidP="00C30F73">
      <w:pPr>
        <w:pStyle w:val="OpiPara"/>
        <w:rPr>
          <w:sz w:val="24"/>
          <w:szCs w:val="24"/>
          <w:lang w:val="pl-PL"/>
        </w:rPr>
      </w:pPr>
    </w:p>
    <w:p w:rsidR="00722C19" w:rsidRPr="004D7325" w:rsidRDefault="00722C19" w:rsidP="00C30F73">
      <w:pPr>
        <w:pStyle w:val="OpiPara"/>
        <w:rPr>
          <w:sz w:val="24"/>
          <w:szCs w:val="24"/>
          <w:lang w:val="pl-PL"/>
        </w:rPr>
      </w:pPr>
      <w:r w:rsidRPr="004D7325">
        <w:rPr>
          <w:sz w:val="24"/>
          <w:szCs w:val="24"/>
          <w:lang w:val="pl-PL"/>
        </w:rPr>
        <w:t>Artykuł 5 § 1 Konwencji gwarantuje każdemu prawo do wolności             i bezpieczeństwa osobistego, z wyjątkiem przypadków dokładnie określonych w ustępach od a) do f). Z orzecznictwa Trybunału jasno wynika, że pozbawienie wolności w innych, niż określone w wyżej wymienionych ustępach, celach musi być uznane za arbitralne.</w:t>
      </w:r>
    </w:p>
    <w:p w:rsidR="00722C19" w:rsidRPr="004D7325" w:rsidRDefault="00722C19" w:rsidP="00C30F73">
      <w:pPr>
        <w:pStyle w:val="OpiPara"/>
        <w:rPr>
          <w:sz w:val="24"/>
          <w:szCs w:val="24"/>
          <w:lang w:val="pl-PL"/>
        </w:rPr>
      </w:pPr>
    </w:p>
    <w:p w:rsidR="00722C19" w:rsidRPr="004D7325" w:rsidRDefault="00722C19" w:rsidP="00C30F73">
      <w:pPr>
        <w:pStyle w:val="OpiPara"/>
        <w:rPr>
          <w:sz w:val="24"/>
          <w:szCs w:val="24"/>
          <w:lang w:val="pl-PL"/>
        </w:rPr>
      </w:pPr>
      <w:r w:rsidRPr="004D7325">
        <w:rPr>
          <w:sz w:val="24"/>
          <w:szCs w:val="24"/>
          <w:lang w:val="pl-PL"/>
        </w:rPr>
        <w:t>Nie stwierdzono, że zakwestionowany środek miał doprowadzić do osiągnięcia innego z określonych w ustępach artykułu 5 § 1 celów. Stanowi to w mojej ocenie wystarczający powód do uznania, że pozbawienie wolności skarżącego było w całości arbitralne, bez potrzeby badania czy środek ten był „proporcjonalny” w okolicznościach przedmiotowej sprawy. A jeżeli pozbawienie wolności nie wchodzi w zakres żadnego z celów wymienionego w artykule 5, nie może uchodzić za „proporcjonalne”.</w:t>
      </w:r>
    </w:p>
    <w:p w:rsidR="00722C19" w:rsidRPr="004D7325" w:rsidRDefault="00722C19" w:rsidP="00C30F73">
      <w:pPr>
        <w:pStyle w:val="OpiPara"/>
        <w:rPr>
          <w:sz w:val="24"/>
          <w:szCs w:val="24"/>
          <w:lang w:val="pl-PL"/>
        </w:rPr>
      </w:pPr>
    </w:p>
    <w:p w:rsidR="00722C19" w:rsidRPr="004D7325" w:rsidRDefault="00722C19" w:rsidP="00DC3A14">
      <w:pPr>
        <w:suppressAutoHyphens w:val="0"/>
        <w:autoSpaceDE w:val="0"/>
        <w:autoSpaceDN w:val="0"/>
        <w:adjustRightInd w:val="0"/>
        <w:jc w:val="both"/>
        <w:rPr>
          <w:szCs w:val="24"/>
          <w:lang w:val="pl-PL" w:eastAsia="en-US"/>
        </w:rPr>
      </w:pPr>
      <w:r w:rsidRPr="004D7325">
        <w:rPr>
          <w:szCs w:val="24"/>
          <w:lang w:val="pl-PL"/>
        </w:rPr>
        <w:t xml:space="preserve">A zatem, nie mam pewności czy większość miała rację uznając, że artykuł 5 § 3 miał zastosowanie w sytuacji skarżącego. Prawo do „zwolnienia na czas postępowania” w rozumieniu artykułu 5 § 1 Konwencji ma zastosowanie jedynie w przypadkach, gdy pozbawienie wolności spełnia jeden z celów określonych w artykule 5 § 1 c). W przypadku arbitralnego aresztowania Konwencja gwarantuje osobie aresztowanej prawo „do </w:t>
      </w:r>
      <w:r w:rsidRPr="004D7325">
        <w:rPr>
          <w:szCs w:val="24"/>
          <w:lang w:val="pl-PL" w:eastAsia="en-US"/>
        </w:rPr>
        <w:t>odwołania si</w:t>
      </w:r>
      <w:r w:rsidRPr="004D7325">
        <w:rPr>
          <w:rFonts w:ascii="TimesNewRoman" w:eastAsia="TimesNewRoman" w:cs="TimesNewRoman"/>
          <w:szCs w:val="24"/>
          <w:lang w:val="pl-PL" w:eastAsia="en-US"/>
        </w:rPr>
        <w:t>ę</w:t>
      </w:r>
      <w:r w:rsidRPr="004D7325">
        <w:rPr>
          <w:rFonts w:ascii="TimesNewRoman" w:eastAsia="TimesNewRoman" w:cs="TimesNewRoman"/>
          <w:szCs w:val="24"/>
          <w:lang w:val="pl-PL" w:eastAsia="en-US"/>
        </w:rPr>
        <w:t xml:space="preserve"> </w:t>
      </w:r>
      <w:r w:rsidRPr="004D7325">
        <w:rPr>
          <w:szCs w:val="24"/>
          <w:lang w:val="pl-PL" w:eastAsia="en-US"/>
        </w:rPr>
        <w:t>do s</w:t>
      </w:r>
      <w:r w:rsidRPr="004D7325">
        <w:rPr>
          <w:rFonts w:ascii="TimesNewRoman" w:eastAsia="TimesNewRoman" w:cs="TimesNewRoman"/>
          <w:szCs w:val="24"/>
          <w:lang w:val="pl-PL" w:eastAsia="en-US"/>
        </w:rPr>
        <w:t>ą</w:t>
      </w:r>
      <w:r w:rsidRPr="004D7325">
        <w:rPr>
          <w:szCs w:val="24"/>
          <w:lang w:val="pl-PL" w:eastAsia="en-US"/>
        </w:rPr>
        <w:t>du w celu ustalenia bezzwłocznie przez s</w:t>
      </w:r>
      <w:r w:rsidRPr="004D7325">
        <w:rPr>
          <w:rFonts w:ascii="TimesNewRoman" w:eastAsia="TimesNewRoman" w:cs="TimesNewRoman"/>
          <w:szCs w:val="24"/>
          <w:lang w:val="pl-PL" w:eastAsia="en-US"/>
        </w:rPr>
        <w:t>ą</w:t>
      </w:r>
      <w:r w:rsidRPr="004D7325">
        <w:rPr>
          <w:szCs w:val="24"/>
          <w:lang w:val="pl-PL" w:eastAsia="en-US"/>
        </w:rPr>
        <w:t>d legalno</w:t>
      </w:r>
      <w:r w:rsidRPr="004D7325">
        <w:rPr>
          <w:rFonts w:ascii="TimesNewRoman" w:eastAsia="TimesNewRoman" w:cs="TimesNewRoman"/>
          <w:szCs w:val="24"/>
          <w:lang w:val="pl-PL" w:eastAsia="en-US"/>
        </w:rPr>
        <w:t>ś</w:t>
      </w:r>
      <w:r w:rsidRPr="004D7325">
        <w:rPr>
          <w:szCs w:val="24"/>
          <w:lang w:val="pl-PL" w:eastAsia="en-US"/>
        </w:rPr>
        <w:t xml:space="preserve">ci pozbawienia </w:t>
      </w:r>
      <w:r w:rsidRPr="004D7325">
        <w:rPr>
          <w:szCs w:val="24"/>
          <w:lang w:val="pl-PL" w:eastAsia="en-US"/>
        </w:rPr>
        <w:lastRenderedPageBreak/>
        <w:t>wolno</w:t>
      </w:r>
      <w:r w:rsidRPr="004D7325">
        <w:rPr>
          <w:rFonts w:ascii="TimesNewRoman" w:eastAsia="TimesNewRoman" w:cs="TimesNewRoman"/>
          <w:szCs w:val="24"/>
          <w:lang w:val="pl-PL" w:eastAsia="en-US"/>
        </w:rPr>
        <w:t>ś</w:t>
      </w:r>
      <w:r w:rsidRPr="004D7325">
        <w:rPr>
          <w:szCs w:val="24"/>
          <w:lang w:val="pl-PL" w:eastAsia="en-US"/>
        </w:rPr>
        <w:t>ci i zarz</w:t>
      </w:r>
      <w:r w:rsidRPr="004D7325">
        <w:rPr>
          <w:rFonts w:ascii="TimesNewRoman" w:eastAsia="TimesNewRoman" w:cs="TimesNewRoman"/>
          <w:szCs w:val="24"/>
          <w:lang w:val="pl-PL" w:eastAsia="en-US"/>
        </w:rPr>
        <w:t>ą</w:t>
      </w:r>
      <w:r w:rsidRPr="004D7325">
        <w:rPr>
          <w:szCs w:val="24"/>
          <w:lang w:val="pl-PL" w:eastAsia="en-US"/>
        </w:rPr>
        <w:t>dzenia zwolnienia, je</w:t>
      </w:r>
      <w:r w:rsidRPr="004D7325">
        <w:rPr>
          <w:rFonts w:ascii="TimesNewRoman" w:eastAsia="TimesNewRoman" w:cs="TimesNewRoman"/>
          <w:szCs w:val="24"/>
          <w:lang w:val="pl-PL" w:eastAsia="en-US"/>
        </w:rPr>
        <w:t>ż</w:t>
      </w:r>
      <w:r w:rsidRPr="004D7325">
        <w:rPr>
          <w:szCs w:val="24"/>
          <w:lang w:val="pl-PL" w:eastAsia="en-US"/>
        </w:rPr>
        <w:t>eli pozbawienie wolno</w:t>
      </w:r>
      <w:r w:rsidRPr="004D7325">
        <w:rPr>
          <w:rFonts w:ascii="TimesNewRoman" w:eastAsia="TimesNewRoman" w:cs="TimesNewRoman"/>
          <w:szCs w:val="24"/>
          <w:lang w:val="pl-PL" w:eastAsia="en-US"/>
        </w:rPr>
        <w:t>ś</w:t>
      </w:r>
      <w:r w:rsidRPr="004D7325">
        <w:rPr>
          <w:szCs w:val="24"/>
          <w:lang w:val="pl-PL" w:eastAsia="en-US"/>
        </w:rPr>
        <w:t>ci jest niezgodne z prawem”</w:t>
      </w:r>
      <w:r w:rsidRPr="004D7325">
        <w:rPr>
          <w:szCs w:val="24"/>
          <w:lang w:val="pl-PL"/>
        </w:rPr>
        <w:t xml:space="preserve"> w każdej chwili i niezależnie od czasu trwania aresztowania (artykuł 5 § 4).</w:t>
      </w:r>
    </w:p>
    <w:p w:rsidR="00722C19" w:rsidRPr="004D7325" w:rsidRDefault="00722C19" w:rsidP="00AA080F">
      <w:pPr>
        <w:pStyle w:val="OpiPara"/>
        <w:rPr>
          <w:sz w:val="24"/>
          <w:szCs w:val="24"/>
          <w:lang w:val="pl-PL"/>
        </w:rPr>
      </w:pPr>
    </w:p>
    <w:p w:rsidR="00722C19" w:rsidRPr="004D7325" w:rsidRDefault="00722C19" w:rsidP="00C30F73">
      <w:pPr>
        <w:pStyle w:val="OpiPara"/>
        <w:rPr>
          <w:sz w:val="24"/>
          <w:szCs w:val="24"/>
          <w:lang w:val="pl-PL"/>
        </w:rPr>
      </w:pPr>
      <w:r w:rsidRPr="004D7325">
        <w:rPr>
          <w:sz w:val="24"/>
          <w:szCs w:val="24"/>
          <w:lang w:val="pl-PL"/>
        </w:rPr>
        <w:t>Fakt, że sąd mógł w świetle prawa krajowego, orzec o aresztowaniu skarżącego nie wydaje mi się wystarczającym argumentem, który uzasadniałby pozbawienie go wolności w przypadkach przewidzianych przez artykuł 5 Konwencji.</w:t>
      </w:r>
    </w:p>
    <w:p w:rsidR="00722C19" w:rsidRPr="003B65FA" w:rsidRDefault="00722C19" w:rsidP="00C30F73">
      <w:pPr>
        <w:pStyle w:val="OpiPara"/>
        <w:ind w:firstLine="0"/>
        <w:rPr>
          <w:lang w:val="pl-PL"/>
        </w:rPr>
      </w:pPr>
    </w:p>
    <w:p w:rsidR="00722C19" w:rsidRPr="003B65FA" w:rsidRDefault="00722C19">
      <w:pPr>
        <w:rPr>
          <w:lang w:val="pl-PL"/>
        </w:rPr>
      </w:pPr>
    </w:p>
    <w:sectPr w:rsidR="00722C19" w:rsidRPr="003B65FA" w:rsidSect="00002FA5">
      <w:headerReference w:type="even" r:id="rId13"/>
      <w:headerReference w:type="default" r:id="rId14"/>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510" w:rsidRDefault="00027510" w:rsidP="00262007">
      <w:r>
        <w:separator/>
      </w:r>
    </w:p>
  </w:endnote>
  <w:endnote w:type="continuationSeparator" w:id="0">
    <w:p w:rsidR="00027510" w:rsidRDefault="00027510" w:rsidP="00262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W1) CE">
    <w:altName w:val="Times New Roman"/>
    <w:panose1 w:val="00000000000000000000"/>
    <w:charset w:val="EE"/>
    <w:family w:val="roman"/>
    <w:notTrueType/>
    <w:pitch w:val="variable"/>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150BFA" w:rsidRDefault="00027510" w:rsidP="00002FA5">
    <w:pPr>
      <w:jc w:val="center"/>
      <w:rPr>
        <w:sz w:val="4"/>
        <w:szCs w:val="4"/>
      </w:rPr>
    </w:pPr>
    <w:r>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6" type="#_x0000_t75" style="width:60pt;height:48pt;visibility:visible">
          <v:imagedata r:id="rId1" o:title=""/>
        </v:shape>
      </w:pict>
    </w:r>
  </w:p>
  <w:p w:rsidR="00722C19" w:rsidRDefault="00722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510" w:rsidRDefault="00027510" w:rsidP="00262007">
      <w:r>
        <w:separator/>
      </w:r>
    </w:p>
  </w:footnote>
  <w:footnote w:type="continuationSeparator" w:id="0">
    <w:p w:rsidR="00027510" w:rsidRDefault="00027510" w:rsidP="00262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0B4A60" w:rsidRDefault="00722C19" w:rsidP="00002FA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C00F0F" w:rsidRDefault="00027510">
    <w:pPr>
      <w:pStyle w:val="Nagwek"/>
      <w:jc w:val="center"/>
      <w:rPr>
        <w:sz w:val="4"/>
        <w:szCs w:val="4"/>
      </w:rPr>
    </w:pPr>
    <w:r>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231.6pt;height:95.4pt;visibility:visible">
          <v:imagedata r:id="rId1" o:title=""/>
        </v:shape>
      </w:pict>
    </w:r>
  </w:p>
  <w:p w:rsidR="00722C19" w:rsidRDefault="00722C19" w:rsidP="00002FA5">
    <w:pPr>
      <w:pStyle w:val="Ju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DE593D" w:rsidRDefault="00722C19">
    <w:pPr>
      <w:pStyle w:val="JuHeader"/>
      <w:rPr>
        <w:lang w:val="en-US"/>
      </w:rPr>
    </w:pPr>
    <w:r>
      <w:rPr>
        <w:rStyle w:val="Numerstrony"/>
        <w:lang w:val="en-US"/>
      </w:rPr>
      <w:fldChar w:fldCharType="begin"/>
    </w:r>
    <w:r>
      <w:rPr>
        <w:rStyle w:val="Numerstrony"/>
        <w:lang w:val="en-US"/>
      </w:rPr>
      <w:instrText xml:space="preserve"> PAGE </w:instrText>
    </w:r>
    <w:r>
      <w:rPr>
        <w:rStyle w:val="Numerstrony"/>
        <w:lang w:val="en-US"/>
      </w:rPr>
      <w:fldChar w:fldCharType="separate"/>
    </w:r>
    <w:r>
      <w:rPr>
        <w:rStyle w:val="Numerstrony"/>
        <w:noProof/>
        <w:lang w:val="en-US"/>
      </w:rPr>
      <w:t>14</w:t>
    </w:r>
    <w:r>
      <w:rPr>
        <w:rStyle w:val="Numerstrony"/>
        <w:lang w:val="en-US"/>
      </w:rPr>
      <w:fldChar w:fldCharType="end"/>
    </w:r>
    <w:r w:rsidRPr="00DE593D">
      <w:rPr>
        <w:rStyle w:val="Numerstrony"/>
        <w:lang w:val="en-US"/>
      </w:rPr>
      <w:tab/>
    </w:r>
    <w:r>
      <w:rPr>
        <w:noProof/>
        <w:lang w:val="en-GB"/>
      </w:rPr>
      <w:t>ARRÊT</w:t>
    </w:r>
    <w:r w:rsidRPr="00DE593D">
      <w:rPr>
        <w:lang w:val="en-US"/>
      </w:rPr>
      <w:t xml:space="preserve"> </w:t>
    </w:r>
    <w:r>
      <w:rPr>
        <w:lang w:val="en-US"/>
      </w:rPr>
      <w:t>EL KASHIF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1A078D" w:rsidRDefault="00722C19">
    <w:pPr>
      <w:pStyle w:val="JuHeader"/>
      <w:rPr>
        <w:lang w:val="pl-PL"/>
      </w:rPr>
    </w:pPr>
    <w:r>
      <w:tab/>
    </w:r>
    <w:r w:rsidRPr="001A078D">
      <w:rPr>
        <w:noProof/>
        <w:lang w:val="pl-PL"/>
      </w:rPr>
      <w:t xml:space="preserve">WYROK </w:t>
    </w:r>
    <w:r w:rsidR="001A078D" w:rsidRPr="001A078D">
      <w:rPr>
        <w:noProof/>
        <w:lang w:val="pl-PL"/>
      </w:rPr>
      <w:t xml:space="preserve">W SPRAWIE </w:t>
    </w:r>
    <w:r w:rsidRPr="001A078D">
      <w:rPr>
        <w:noProof/>
        <w:lang w:val="pl-PL"/>
      </w:rPr>
      <w:t>EL KASHIF p. POLSCE</w:t>
    </w:r>
    <w:r w:rsidRPr="001A078D">
      <w:rPr>
        <w:lang w:val="pl-PL"/>
      </w:rPr>
      <w:tab/>
    </w:r>
    <w:r>
      <w:rPr>
        <w:rStyle w:val="Numerstrony"/>
        <w:lang w:val="en-US"/>
      </w:rPr>
      <w:fldChar w:fldCharType="begin"/>
    </w:r>
    <w:r w:rsidRPr="001A078D">
      <w:rPr>
        <w:rStyle w:val="Numerstrony"/>
        <w:lang w:val="pl-PL"/>
      </w:rPr>
      <w:instrText xml:space="preserve"> PAGE </w:instrText>
    </w:r>
    <w:r>
      <w:rPr>
        <w:rStyle w:val="Numerstrony"/>
        <w:lang w:val="en-US"/>
      </w:rPr>
      <w:fldChar w:fldCharType="separate"/>
    </w:r>
    <w:r w:rsidR="003C53C6">
      <w:rPr>
        <w:rStyle w:val="Numerstrony"/>
        <w:noProof/>
        <w:lang w:val="pl-PL"/>
      </w:rPr>
      <w:t>1</w:t>
    </w:r>
    <w:r>
      <w:rPr>
        <w:rStyle w:val="Numerstrony"/>
        <w:lang w:val="en-US"/>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727BEA" w:rsidRDefault="00722C19">
    <w:pPr>
      <w:pStyle w:val="JuHeader"/>
    </w:pPr>
    <w:r w:rsidRPr="00727BEA">
      <w:rPr>
        <w:rStyle w:val="Numerstrony"/>
      </w:rPr>
      <w:fldChar w:fldCharType="begin"/>
    </w:r>
    <w:r w:rsidRPr="00727BEA">
      <w:rPr>
        <w:rStyle w:val="Numerstrony"/>
      </w:rPr>
      <w:instrText xml:space="preserve"> PAGE </w:instrText>
    </w:r>
    <w:r w:rsidRPr="00727BEA">
      <w:rPr>
        <w:rStyle w:val="Numerstrony"/>
      </w:rPr>
      <w:fldChar w:fldCharType="separate"/>
    </w:r>
    <w:r>
      <w:rPr>
        <w:rStyle w:val="Numerstrony"/>
        <w:noProof/>
      </w:rPr>
      <w:t>16</w:t>
    </w:r>
    <w:r w:rsidRPr="00727BEA">
      <w:rPr>
        <w:rStyle w:val="Numerstrony"/>
      </w:rPr>
      <w:fldChar w:fldCharType="end"/>
    </w:r>
    <w:r w:rsidRPr="00727BEA">
      <w:rPr>
        <w:rStyle w:val="Numerstrony"/>
      </w:rPr>
      <w:tab/>
    </w:r>
    <w:r w:rsidRPr="00727BEA">
      <w:rPr>
        <w:noProof/>
      </w:rPr>
      <w:t>ARRÊT</w:t>
    </w:r>
    <w:r w:rsidRPr="00727BEA">
      <w:t xml:space="preserve"> EL KASHIF c. POLOGNE</w:t>
    </w:r>
    <w:r>
      <w:t xml:space="preserve"> -</w:t>
    </w:r>
    <w:r w:rsidRPr="00727BEA">
      <w:t xml:space="preserve"> OPINION</w:t>
    </w:r>
    <w:r>
      <w:t xml:space="preserve">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C19" w:rsidRPr="00262007" w:rsidRDefault="00722C19">
    <w:pPr>
      <w:pStyle w:val="JuHeader"/>
      <w:rPr>
        <w:lang w:val="pl-PL"/>
      </w:rPr>
    </w:pPr>
    <w:r>
      <w:tab/>
    </w:r>
    <w:r w:rsidRPr="00262007">
      <w:rPr>
        <w:noProof/>
        <w:lang w:val="pl-PL"/>
      </w:rPr>
      <w:t xml:space="preserve">WYROK </w:t>
    </w:r>
    <w:r w:rsidR="00B22E86">
      <w:rPr>
        <w:noProof/>
        <w:lang w:val="pl-PL"/>
      </w:rPr>
      <w:t xml:space="preserve">W SPRAWIE </w:t>
    </w:r>
    <w:r w:rsidRPr="00262007">
      <w:rPr>
        <w:noProof/>
        <w:lang w:val="pl-PL"/>
      </w:rPr>
      <w:t xml:space="preserve">EL KASHIF p. POLSCE – </w:t>
    </w:r>
    <w:r>
      <w:rPr>
        <w:noProof/>
        <w:lang w:val="pl-PL"/>
      </w:rPr>
      <w:t>ZDANIE ODRĘBNE</w:t>
    </w:r>
    <w:r w:rsidRPr="00262007">
      <w:rPr>
        <w:lang w:val="pl-PL"/>
      </w:rPr>
      <w:tab/>
    </w:r>
    <w:r w:rsidRPr="00262007">
      <w:rPr>
        <w:rStyle w:val="Numerstrony"/>
        <w:lang w:val="pl-PL"/>
      </w:rPr>
      <w:fldChar w:fldCharType="begin"/>
    </w:r>
    <w:r w:rsidRPr="00262007">
      <w:rPr>
        <w:rStyle w:val="Numerstrony"/>
        <w:lang w:val="pl-PL"/>
      </w:rPr>
      <w:instrText xml:space="preserve"> PAGE </w:instrText>
    </w:r>
    <w:r w:rsidRPr="00262007">
      <w:rPr>
        <w:rStyle w:val="Numerstrony"/>
        <w:lang w:val="pl-PL"/>
      </w:rPr>
      <w:fldChar w:fldCharType="separate"/>
    </w:r>
    <w:r w:rsidR="003C53C6">
      <w:rPr>
        <w:rStyle w:val="Numerstrony"/>
        <w:noProof/>
        <w:lang w:val="pl-PL"/>
      </w:rPr>
      <w:t>18</w:t>
    </w:r>
    <w:r w:rsidRPr="00262007">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0F73"/>
    <w:rsid w:val="00000277"/>
    <w:rsid w:val="00000A4A"/>
    <w:rsid w:val="00002053"/>
    <w:rsid w:val="000024A2"/>
    <w:rsid w:val="0000282B"/>
    <w:rsid w:val="00002FA5"/>
    <w:rsid w:val="0000491E"/>
    <w:rsid w:val="00004E4B"/>
    <w:rsid w:val="00005A77"/>
    <w:rsid w:val="000069DD"/>
    <w:rsid w:val="00006B80"/>
    <w:rsid w:val="000100FB"/>
    <w:rsid w:val="0001113C"/>
    <w:rsid w:val="00012482"/>
    <w:rsid w:val="000127D1"/>
    <w:rsid w:val="00012F47"/>
    <w:rsid w:val="00013F3F"/>
    <w:rsid w:val="0001453F"/>
    <w:rsid w:val="00014577"/>
    <w:rsid w:val="00015DB7"/>
    <w:rsid w:val="00017D4B"/>
    <w:rsid w:val="00017F36"/>
    <w:rsid w:val="00020C36"/>
    <w:rsid w:val="00021204"/>
    <w:rsid w:val="0002140E"/>
    <w:rsid w:val="00021F58"/>
    <w:rsid w:val="00022F9A"/>
    <w:rsid w:val="00024186"/>
    <w:rsid w:val="000249A0"/>
    <w:rsid w:val="00025057"/>
    <w:rsid w:val="00025FF4"/>
    <w:rsid w:val="00026276"/>
    <w:rsid w:val="00026B82"/>
    <w:rsid w:val="00027371"/>
    <w:rsid w:val="00027510"/>
    <w:rsid w:val="00031945"/>
    <w:rsid w:val="00031BF8"/>
    <w:rsid w:val="00032983"/>
    <w:rsid w:val="00032AF3"/>
    <w:rsid w:val="00032FD6"/>
    <w:rsid w:val="00033845"/>
    <w:rsid w:val="00034D78"/>
    <w:rsid w:val="00034F7E"/>
    <w:rsid w:val="00035212"/>
    <w:rsid w:val="00035B5C"/>
    <w:rsid w:val="00036DCF"/>
    <w:rsid w:val="000405ED"/>
    <w:rsid w:val="0004062A"/>
    <w:rsid w:val="000411C6"/>
    <w:rsid w:val="00041A3E"/>
    <w:rsid w:val="000450C2"/>
    <w:rsid w:val="00046F2C"/>
    <w:rsid w:val="00050206"/>
    <w:rsid w:val="000503F7"/>
    <w:rsid w:val="00050B86"/>
    <w:rsid w:val="0005157E"/>
    <w:rsid w:val="0005296E"/>
    <w:rsid w:val="00052AA4"/>
    <w:rsid w:val="00056308"/>
    <w:rsid w:val="000566F0"/>
    <w:rsid w:val="000572E2"/>
    <w:rsid w:val="0005779F"/>
    <w:rsid w:val="000579BB"/>
    <w:rsid w:val="00060865"/>
    <w:rsid w:val="000613CB"/>
    <w:rsid w:val="00061C93"/>
    <w:rsid w:val="000625F3"/>
    <w:rsid w:val="0006266D"/>
    <w:rsid w:val="00063188"/>
    <w:rsid w:val="000638A5"/>
    <w:rsid w:val="00063F0D"/>
    <w:rsid w:val="00063F34"/>
    <w:rsid w:val="00064A0D"/>
    <w:rsid w:val="000651E7"/>
    <w:rsid w:val="0006545D"/>
    <w:rsid w:val="00067151"/>
    <w:rsid w:val="00067366"/>
    <w:rsid w:val="00067A7F"/>
    <w:rsid w:val="00067C54"/>
    <w:rsid w:val="00070641"/>
    <w:rsid w:val="00070A0A"/>
    <w:rsid w:val="00071E57"/>
    <w:rsid w:val="00071F61"/>
    <w:rsid w:val="00072D32"/>
    <w:rsid w:val="00073702"/>
    <w:rsid w:val="00073ADD"/>
    <w:rsid w:val="00075692"/>
    <w:rsid w:val="0007680D"/>
    <w:rsid w:val="00076BCB"/>
    <w:rsid w:val="00076CC0"/>
    <w:rsid w:val="000773ED"/>
    <w:rsid w:val="00077445"/>
    <w:rsid w:val="00082592"/>
    <w:rsid w:val="00082D43"/>
    <w:rsid w:val="00083051"/>
    <w:rsid w:val="00083293"/>
    <w:rsid w:val="00083A7A"/>
    <w:rsid w:val="00083C0A"/>
    <w:rsid w:val="0008434B"/>
    <w:rsid w:val="00090BEE"/>
    <w:rsid w:val="00091D16"/>
    <w:rsid w:val="0009205D"/>
    <w:rsid w:val="00092920"/>
    <w:rsid w:val="00092CA7"/>
    <w:rsid w:val="000938E3"/>
    <w:rsid w:val="0009393E"/>
    <w:rsid w:val="000954A5"/>
    <w:rsid w:val="000968F4"/>
    <w:rsid w:val="000A05D4"/>
    <w:rsid w:val="000A171C"/>
    <w:rsid w:val="000A1B1C"/>
    <w:rsid w:val="000A2031"/>
    <w:rsid w:val="000A2A96"/>
    <w:rsid w:val="000A2BE9"/>
    <w:rsid w:val="000A3AAC"/>
    <w:rsid w:val="000A4536"/>
    <w:rsid w:val="000A4E31"/>
    <w:rsid w:val="000A5E6D"/>
    <w:rsid w:val="000A605B"/>
    <w:rsid w:val="000A6EF8"/>
    <w:rsid w:val="000A7F9E"/>
    <w:rsid w:val="000B278B"/>
    <w:rsid w:val="000B4A60"/>
    <w:rsid w:val="000B4DE4"/>
    <w:rsid w:val="000B5EF7"/>
    <w:rsid w:val="000B5FA7"/>
    <w:rsid w:val="000B5FF4"/>
    <w:rsid w:val="000B654F"/>
    <w:rsid w:val="000B6E54"/>
    <w:rsid w:val="000B6EF6"/>
    <w:rsid w:val="000B71D3"/>
    <w:rsid w:val="000C0420"/>
    <w:rsid w:val="000C0B8F"/>
    <w:rsid w:val="000C17D1"/>
    <w:rsid w:val="000C1C93"/>
    <w:rsid w:val="000C1F48"/>
    <w:rsid w:val="000C3B72"/>
    <w:rsid w:val="000C50B7"/>
    <w:rsid w:val="000C55BE"/>
    <w:rsid w:val="000C5764"/>
    <w:rsid w:val="000C6927"/>
    <w:rsid w:val="000C7A96"/>
    <w:rsid w:val="000D08E4"/>
    <w:rsid w:val="000D11CE"/>
    <w:rsid w:val="000D205F"/>
    <w:rsid w:val="000D3733"/>
    <w:rsid w:val="000D706B"/>
    <w:rsid w:val="000D7E46"/>
    <w:rsid w:val="000E069E"/>
    <w:rsid w:val="000E0EA3"/>
    <w:rsid w:val="000E145D"/>
    <w:rsid w:val="000E19C7"/>
    <w:rsid w:val="000E2DFC"/>
    <w:rsid w:val="000E4284"/>
    <w:rsid w:val="000E4795"/>
    <w:rsid w:val="000E4E4B"/>
    <w:rsid w:val="000E5488"/>
    <w:rsid w:val="000F000E"/>
    <w:rsid w:val="000F2892"/>
    <w:rsid w:val="000F2DA0"/>
    <w:rsid w:val="000F3C61"/>
    <w:rsid w:val="000F5D29"/>
    <w:rsid w:val="000F601E"/>
    <w:rsid w:val="000F625D"/>
    <w:rsid w:val="000F65FD"/>
    <w:rsid w:val="000F6631"/>
    <w:rsid w:val="000F6BDB"/>
    <w:rsid w:val="00100092"/>
    <w:rsid w:val="00100481"/>
    <w:rsid w:val="00102C3B"/>
    <w:rsid w:val="00103D40"/>
    <w:rsid w:val="00110DCB"/>
    <w:rsid w:val="00112BBD"/>
    <w:rsid w:val="0011386B"/>
    <w:rsid w:val="00114AF3"/>
    <w:rsid w:val="00115DDC"/>
    <w:rsid w:val="001163C5"/>
    <w:rsid w:val="00116BAE"/>
    <w:rsid w:val="00117A6F"/>
    <w:rsid w:val="001205D1"/>
    <w:rsid w:val="001225C1"/>
    <w:rsid w:val="00123ABB"/>
    <w:rsid w:val="00123C28"/>
    <w:rsid w:val="00124A0C"/>
    <w:rsid w:val="001253A4"/>
    <w:rsid w:val="00125DF4"/>
    <w:rsid w:val="00131A16"/>
    <w:rsid w:val="001335E6"/>
    <w:rsid w:val="00134117"/>
    <w:rsid w:val="00134814"/>
    <w:rsid w:val="001353AD"/>
    <w:rsid w:val="00135F39"/>
    <w:rsid w:val="001362D5"/>
    <w:rsid w:val="00137FDD"/>
    <w:rsid w:val="00140E71"/>
    <w:rsid w:val="00144710"/>
    <w:rsid w:val="001461A0"/>
    <w:rsid w:val="00147079"/>
    <w:rsid w:val="00147350"/>
    <w:rsid w:val="00147B50"/>
    <w:rsid w:val="0015069D"/>
    <w:rsid w:val="00150A84"/>
    <w:rsid w:val="00150BFA"/>
    <w:rsid w:val="00150F52"/>
    <w:rsid w:val="00151248"/>
    <w:rsid w:val="001513E1"/>
    <w:rsid w:val="001514B6"/>
    <w:rsid w:val="00151958"/>
    <w:rsid w:val="001519AA"/>
    <w:rsid w:val="00152208"/>
    <w:rsid w:val="0015504B"/>
    <w:rsid w:val="00155309"/>
    <w:rsid w:val="00155432"/>
    <w:rsid w:val="001566EB"/>
    <w:rsid w:val="00160C89"/>
    <w:rsid w:val="00160F10"/>
    <w:rsid w:val="00161B5A"/>
    <w:rsid w:val="00162E58"/>
    <w:rsid w:val="00163A2C"/>
    <w:rsid w:val="001646EC"/>
    <w:rsid w:val="00166100"/>
    <w:rsid w:val="00167444"/>
    <w:rsid w:val="00170558"/>
    <w:rsid w:val="001713D4"/>
    <w:rsid w:val="00172EA4"/>
    <w:rsid w:val="001735BC"/>
    <w:rsid w:val="001741C9"/>
    <w:rsid w:val="00175CF9"/>
    <w:rsid w:val="00176344"/>
    <w:rsid w:val="0017660D"/>
    <w:rsid w:val="001772F5"/>
    <w:rsid w:val="0017798C"/>
    <w:rsid w:val="00177B92"/>
    <w:rsid w:val="00177BCA"/>
    <w:rsid w:val="00180C2C"/>
    <w:rsid w:val="00181533"/>
    <w:rsid w:val="00181E9A"/>
    <w:rsid w:val="001848A9"/>
    <w:rsid w:val="001854D9"/>
    <w:rsid w:val="00185711"/>
    <w:rsid w:val="00186C66"/>
    <w:rsid w:val="00187033"/>
    <w:rsid w:val="00187672"/>
    <w:rsid w:val="0019253A"/>
    <w:rsid w:val="00192D3A"/>
    <w:rsid w:val="00192F0C"/>
    <w:rsid w:val="00193059"/>
    <w:rsid w:val="001965D3"/>
    <w:rsid w:val="00196A5A"/>
    <w:rsid w:val="00196CDA"/>
    <w:rsid w:val="00197365"/>
    <w:rsid w:val="00197C5E"/>
    <w:rsid w:val="001A0360"/>
    <w:rsid w:val="001A078D"/>
    <w:rsid w:val="001A1863"/>
    <w:rsid w:val="001A228B"/>
    <w:rsid w:val="001A2ACF"/>
    <w:rsid w:val="001A2B72"/>
    <w:rsid w:val="001A2D79"/>
    <w:rsid w:val="001A41D5"/>
    <w:rsid w:val="001A49CB"/>
    <w:rsid w:val="001A5C36"/>
    <w:rsid w:val="001A6789"/>
    <w:rsid w:val="001A6AED"/>
    <w:rsid w:val="001A7CEB"/>
    <w:rsid w:val="001B04AC"/>
    <w:rsid w:val="001B051F"/>
    <w:rsid w:val="001B0B31"/>
    <w:rsid w:val="001B2301"/>
    <w:rsid w:val="001B3475"/>
    <w:rsid w:val="001B3959"/>
    <w:rsid w:val="001B5A6D"/>
    <w:rsid w:val="001B61A8"/>
    <w:rsid w:val="001B757E"/>
    <w:rsid w:val="001C144D"/>
    <w:rsid w:val="001C26F7"/>
    <w:rsid w:val="001C3638"/>
    <w:rsid w:val="001C3A86"/>
    <w:rsid w:val="001C5437"/>
    <w:rsid w:val="001C7856"/>
    <w:rsid w:val="001C7DEE"/>
    <w:rsid w:val="001D0D39"/>
    <w:rsid w:val="001D1959"/>
    <w:rsid w:val="001D205B"/>
    <w:rsid w:val="001D2B64"/>
    <w:rsid w:val="001D334E"/>
    <w:rsid w:val="001D33E7"/>
    <w:rsid w:val="001D3C89"/>
    <w:rsid w:val="001D476C"/>
    <w:rsid w:val="001D6DF5"/>
    <w:rsid w:val="001E10BE"/>
    <w:rsid w:val="001E151D"/>
    <w:rsid w:val="001E1E6C"/>
    <w:rsid w:val="001E22E6"/>
    <w:rsid w:val="001E28A5"/>
    <w:rsid w:val="001E3219"/>
    <w:rsid w:val="001E4215"/>
    <w:rsid w:val="001E522D"/>
    <w:rsid w:val="001F0815"/>
    <w:rsid w:val="001F0935"/>
    <w:rsid w:val="001F0E42"/>
    <w:rsid w:val="001F1AAA"/>
    <w:rsid w:val="001F1C17"/>
    <w:rsid w:val="001F227A"/>
    <w:rsid w:val="001F28C5"/>
    <w:rsid w:val="001F339D"/>
    <w:rsid w:val="001F3493"/>
    <w:rsid w:val="001F3BE0"/>
    <w:rsid w:val="001F720E"/>
    <w:rsid w:val="001F727B"/>
    <w:rsid w:val="001F7796"/>
    <w:rsid w:val="001F7BF6"/>
    <w:rsid w:val="001F7D07"/>
    <w:rsid w:val="002021B3"/>
    <w:rsid w:val="00203315"/>
    <w:rsid w:val="0020358F"/>
    <w:rsid w:val="00203F02"/>
    <w:rsid w:val="0020415D"/>
    <w:rsid w:val="0020418E"/>
    <w:rsid w:val="00204E00"/>
    <w:rsid w:val="0020572D"/>
    <w:rsid w:val="00205B8E"/>
    <w:rsid w:val="0020602F"/>
    <w:rsid w:val="00207130"/>
    <w:rsid w:val="0020755E"/>
    <w:rsid w:val="0021060E"/>
    <w:rsid w:val="00211247"/>
    <w:rsid w:val="00211498"/>
    <w:rsid w:val="00212E63"/>
    <w:rsid w:val="0021312C"/>
    <w:rsid w:val="0021362B"/>
    <w:rsid w:val="00213ACD"/>
    <w:rsid w:val="00221377"/>
    <w:rsid w:val="00221549"/>
    <w:rsid w:val="0022229C"/>
    <w:rsid w:val="00222DCA"/>
    <w:rsid w:val="00222EE7"/>
    <w:rsid w:val="00224451"/>
    <w:rsid w:val="00225C7C"/>
    <w:rsid w:val="002269E4"/>
    <w:rsid w:val="002277E2"/>
    <w:rsid w:val="002310BF"/>
    <w:rsid w:val="00231CD3"/>
    <w:rsid w:val="00235761"/>
    <w:rsid w:val="002405D6"/>
    <w:rsid w:val="002407A7"/>
    <w:rsid w:val="00240F2F"/>
    <w:rsid w:val="002417CF"/>
    <w:rsid w:val="00241BF2"/>
    <w:rsid w:val="002422C3"/>
    <w:rsid w:val="00245C98"/>
    <w:rsid w:val="00246552"/>
    <w:rsid w:val="00246CED"/>
    <w:rsid w:val="00247878"/>
    <w:rsid w:val="002500B4"/>
    <w:rsid w:val="00252091"/>
    <w:rsid w:val="00252758"/>
    <w:rsid w:val="002532F1"/>
    <w:rsid w:val="00253475"/>
    <w:rsid w:val="00254369"/>
    <w:rsid w:val="0025466B"/>
    <w:rsid w:val="00255332"/>
    <w:rsid w:val="00255D5A"/>
    <w:rsid w:val="00255E3D"/>
    <w:rsid w:val="00262007"/>
    <w:rsid w:val="00264A41"/>
    <w:rsid w:val="002651D3"/>
    <w:rsid w:val="0026591F"/>
    <w:rsid w:val="00266AB5"/>
    <w:rsid w:val="00271D37"/>
    <w:rsid w:val="002725CF"/>
    <w:rsid w:val="002736B3"/>
    <w:rsid w:val="00274125"/>
    <w:rsid w:val="002742BF"/>
    <w:rsid w:val="00275299"/>
    <w:rsid w:val="002754F8"/>
    <w:rsid w:val="0027746C"/>
    <w:rsid w:val="00277539"/>
    <w:rsid w:val="002777B9"/>
    <w:rsid w:val="002811EC"/>
    <w:rsid w:val="00281203"/>
    <w:rsid w:val="0028242D"/>
    <w:rsid w:val="00282FF7"/>
    <w:rsid w:val="0028428E"/>
    <w:rsid w:val="002847AD"/>
    <w:rsid w:val="002860BC"/>
    <w:rsid w:val="00286896"/>
    <w:rsid w:val="002906A4"/>
    <w:rsid w:val="002927B7"/>
    <w:rsid w:val="0029457A"/>
    <w:rsid w:val="00294593"/>
    <w:rsid w:val="00294A34"/>
    <w:rsid w:val="002950D0"/>
    <w:rsid w:val="00295315"/>
    <w:rsid w:val="00295A6B"/>
    <w:rsid w:val="00296174"/>
    <w:rsid w:val="00296550"/>
    <w:rsid w:val="002A0AE2"/>
    <w:rsid w:val="002A157C"/>
    <w:rsid w:val="002A29DC"/>
    <w:rsid w:val="002A482C"/>
    <w:rsid w:val="002A485C"/>
    <w:rsid w:val="002A4EDF"/>
    <w:rsid w:val="002A5917"/>
    <w:rsid w:val="002A6731"/>
    <w:rsid w:val="002A6CB0"/>
    <w:rsid w:val="002A6DF6"/>
    <w:rsid w:val="002A7AE4"/>
    <w:rsid w:val="002B04DB"/>
    <w:rsid w:val="002B26B3"/>
    <w:rsid w:val="002B353A"/>
    <w:rsid w:val="002B38EF"/>
    <w:rsid w:val="002B3DC7"/>
    <w:rsid w:val="002B4A54"/>
    <w:rsid w:val="002B610C"/>
    <w:rsid w:val="002B69D6"/>
    <w:rsid w:val="002B6C5B"/>
    <w:rsid w:val="002C0EA5"/>
    <w:rsid w:val="002C4084"/>
    <w:rsid w:val="002C5713"/>
    <w:rsid w:val="002C5C29"/>
    <w:rsid w:val="002C6564"/>
    <w:rsid w:val="002C71DC"/>
    <w:rsid w:val="002C7DC0"/>
    <w:rsid w:val="002C7F57"/>
    <w:rsid w:val="002D1A76"/>
    <w:rsid w:val="002D33CD"/>
    <w:rsid w:val="002D40CD"/>
    <w:rsid w:val="002D606B"/>
    <w:rsid w:val="002D672A"/>
    <w:rsid w:val="002D7AE0"/>
    <w:rsid w:val="002E0681"/>
    <w:rsid w:val="002E0DD4"/>
    <w:rsid w:val="002E3453"/>
    <w:rsid w:val="002E3AC1"/>
    <w:rsid w:val="002F081C"/>
    <w:rsid w:val="002F0883"/>
    <w:rsid w:val="002F18F5"/>
    <w:rsid w:val="002F1D13"/>
    <w:rsid w:val="002F2744"/>
    <w:rsid w:val="002F2EDD"/>
    <w:rsid w:val="002F3A72"/>
    <w:rsid w:val="002F5071"/>
    <w:rsid w:val="002F579D"/>
    <w:rsid w:val="00302631"/>
    <w:rsid w:val="00303329"/>
    <w:rsid w:val="003037D8"/>
    <w:rsid w:val="00303962"/>
    <w:rsid w:val="00303A89"/>
    <w:rsid w:val="003052AC"/>
    <w:rsid w:val="00305B87"/>
    <w:rsid w:val="00305E66"/>
    <w:rsid w:val="00305F22"/>
    <w:rsid w:val="003068FF"/>
    <w:rsid w:val="0030734C"/>
    <w:rsid w:val="003074DD"/>
    <w:rsid w:val="00307992"/>
    <w:rsid w:val="00307AD5"/>
    <w:rsid w:val="00307F38"/>
    <w:rsid w:val="0031023F"/>
    <w:rsid w:val="00310781"/>
    <w:rsid w:val="00311518"/>
    <w:rsid w:val="00312014"/>
    <w:rsid w:val="0031222F"/>
    <w:rsid w:val="00312CF4"/>
    <w:rsid w:val="00313E09"/>
    <w:rsid w:val="003150A6"/>
    <w:rsid w:val="0031582C"/>
    <w:rsid w:val="0031591B"/>
    <w:rsid w:val="00320456"/>
    <w:rsid w:val="00321711"/>
    <w:rsid w:val="0032175E"/>
    <w:rsid w:val="003219E9"/>
    <w:rsid w:val="00322D7E"/>
    <w:rsid w:val="0032310F"/>
    <w:rsid w:val="003243ED"/>
    <w:rsid w:val="00324FBC"/>
    <w:rsid w:val="00325ACC"/>
    <w:rsid w:val="00325AD4"/>
    <w:rsid w:val="003265E9"/>
    <w:rsid w:val="00326FC5"/>
    <w:rsid w:val="00327C83"/>
    <w:rsid w:val="00330003"/>
    <w:rsid w:val="003303F9"/>
    <w:rsid w:val="00331247"/>
    <w:rsid w:val="00333A97"/>
    <w:rsid w:val="00334C81"/>
    <w:rsid w:val="00336131"/>
    <w:rsid w:val="00336BF5"/>
    <w:rsid w:val="00337172"/>
    <w:rsid w:val="0033751C"/>
    <w:rsid w:val="003377C5"/>
    <w:rsid w:val="00340E70"/>
    <w:rsid w:val="00341FB0"/>
    <w:rsid w:val="00342995"/>
    <w:rsid w:val="00342DDC"/>
    <w:rsid w:val="00345A03"/>
    <w:rsid w:val="00345C40"/>
    <w:rsid w:val="003462D4"/>
    <w:rsid w:val="003465AD"/>
    <w:rsid w:val="00346825"/>
    <w:rsid w:val="00347336"/>
    <w:rsid w:val="003501AB"/>
    <w:rsid w:val="00350DB4"/>
    <w:rsid w:val="00351614"/>
    <w:rsid w:val="00353BB7"/>
    <w:rsid w:val="0035438D"/>
    <w:rsid w:val="003559E5"/>
    <w:rsid w:val="00357B9F"/>
    <w:rsid w:val="00360586"/>
    <w:rsid w:val="003620A8"/>
    <w:rsid w:val="00363FD6"/>
    <w:rsid w:val="003640BE"/>
    <w:rsid w:val="0036493B"/>
    <w:rsid w:val="003652C5"/>
    <w:rsid w:val="003655A5"/>
    <w:rsid w:val="003659C3"/>
    <w:rsid w:val="00365F0D"/>
    <w:rsid w:val="00366937"/>
    <w:rsid w:val="00366B4B"/>
    <w:rsid w:val="00366ED6"/>
    <w:rsid w:val="00367837"/>
    <w:rsid w:val="00370500"/>
    <w:rsid w:val="003705BE"/>
    <w:rsid w:val="00371964"/>
    <w:rsid w:val="00371C08"/>
    <w:rsid w:val="00372047"/>
    <w:rsid w:val="0037271E"/>
    <w:rsid w:val="00374965"/>
    <w:rsid w:val="0037531A"/>
    <w:rsid w:val="00375688"/>
    <w:rsid w:val="0037741B"/>
    <w:rsid w:val="00377FE8"/>
    <w:rsid w:val="0038030F"/>
    <w:rsid w:val="003812DE"/>
    <w:rsid w:val="0038152D"/>
    <w:rsid w:val="00381C4E"/>
    <w:rsid w:val="00382655"/>
    <w:rsid w:val="0038281E"/>
    <w:rsid w:val="0038294A"/>
    <w:rsid w:val="00384E57"/>
    <w:rsid w:val="003869D4"/>
    <w:rsid w:val="00387086"/>
    <w:rsid w:val="003877AF"/>
    <w:rsid w:val="0039125A"/>
    <w:rsid w:val="00391382"/>
    <w:rsid w:val="003914D1"/>
    <w:rsid w:val="00392284"/>
    <w:rsid w:val="003944A7"/>
    <w:rsid w:val="00394600"/>
    <w:rsid w:val="003951E2"/>
    <w:rsid w:val="00396B27"/>
    <w:rsid w:val="003972F6"/>
    <w:rsid w:val="0039793D"/>
    <w:rsid w:val="003A03DE"/>
    <w:rsid w:val="003A049F"/>
    <w:rsid w:val="003A1A1F"/>
    <w:rsid w:val="003A31DB"/>
    <w:rsid w:val="003A453D"/>
    <w:rsid w:val="003A504B"/>
    <w:rsid w:val="003A63C0"/>
    <w:rsid w:val="003A72F3"/>
    <w:rsid w:val="003B0FA8"/>
    <w:rsid w:val="003B1291"/>
    <w:rsid w:val="003B2133"/>
    <w:rsid w:val="003B4ECC"/>
    <w:rsid w:val="003B501C"/>
    <w:rsid w:val="003B526A"/>
    <w:rsid w:val="003B5366"/>
    <w:rsid w:val="003B55BE"/>
    <w:rsid w:val="003B59D1"/>
    <w:rsid w:val="003B6490"/>
    <w:rsid w:val="003B65FA"/>
    <w:rsid w:val="003B7DCD"/>
    <w:rsid w:val="003C01BB"/>
    <w:rsid w:val="003C1254"/>
    <w:rsid w:val="003C1A3E"/>
    <w:rsid w:val="003C1AD1"/>
    <w:rsid w:val="003C3375"/>
    <w:rsid w:val="003C463A"/>
    <w:rsid w:val="003C4972"/>
    <w:rsid w:val="003C53C6"/>
    <w:rsid w:val="003C551D"/>
    <w:rsid w:val="003C5A99"/>
    <w:rsid w:val="003C6EF6"/>
    <w:rsid w:val="003C7866"/>
    <w:rsid w:val="003D035E"/>
    <w:rsid w:val="003D11BD"/>
    <w:rsid w:val="003D25C4"/>
    <w:rsid w:val="003D28D7"/>
    <w:rsid w:val="003D2E71"/>
    <w:rsid w:val="003D396B"/>
    <w:rsid w:val="003D3FCA"/>
    <w:rsid w:val="003D495B"/>
    <w:rsid w:val="003D5E58"/>
    <w:rsid w:val="003E128C"/>
    <w:rsid w:val="003E1469"/>
    <w:rsid w:val="003E16A2"/>
    <w:rsid w:val="003E1FDB"/>
    <w:rsid w:val="003E2508"/>
    <w:rsid w:val="003E2A3A"/>
    <w:rsid w:val="003E2F3B"/>
    <w:rsid w:val="003E3964"/>
    <w:rsid w:val="003E5152"/>
    <w:rsid w:val="003F1424"/>
    <w:rsid w:val="003F242D"/>
    <w:rsid w:val="003F2D8B"/>
    <w:rsid w:val="003F3B74"/>
    <w:rsid w:val="003F50A2"/>
    <w:rsid w:val="003F60D7"/>
    <w:rsid w:val="003F68F4"/>
    <w:rsid w:val="00402BC3"/>
    <w:rsid w:val="0040335D"/>
    <w:rsid w:val="004042DE"/>
    <w:rsid w:val="00404A1A"/>
    <w:rsid w:val="00404B0C"/>
    <w:rsid w:val="00406E6F"/>
    <w:rsid w:val="00407083"/>
    <w:rsid w:val="00407F40"/>
    <w:rsid w:val="00410CE7"/>
    <w:rsid w:val="00412F84"/>
    <w:rsid w:val="00413CAE"/>
    <w:rsid w:val="00415497"/>
    <w:rsid w:val="00415F9C"/>
    <w:rsid w:val="004163A8"/>
    <w:rsid w:val="00417968"/>
    <w:rsid w:val="0041796A"/>
    <w:rsid w:val="00421186"/>
    <w:rsid w:val="004214DF"/>
    <w:rsid w:val="004219BF"/>
    <w:rsid w:val="004231A7"/>
    <w:rsid w:val="0042324B"/>
    <w:rsid w:val="00423516"/>
    <w:rsid w:val="00423BFE"/>
    <w:rsid w:val="00424BDA"/>
    <w:rsid w:val="00427872"/>
    <w:rsid w:val="00427DC3"/>
    <w:rsid w:val="004308F4"/>
    <w:rsid w:val="00431D95"/>
    <w:rsid w:val="004323EE"/>
    <w:rsid w:val="00432B73"/>
    <w:rsid w:val="00433BB8"/>
    <w:rsid w:val="00434C15"/>
    <w:rsid w:val="00435B28"/>
    <w:rsid w:val="00436E58"/>
    <w:rsid w:val="00436F5A"/>
    <w:rsid w:val="00437087"/>
    <w:rsid w:val="004379DE"/>
    <w:rsid w:val="00437F53"/>
    <w:rsid w:val="00437F7A"/>
    <w:rsid w:val="004412C6"/>
    <w:rsid w:val="00442410"/>
    <w:rsid w:val="00444122"/>
    <w:rsid w:val="00445281"/>
    <w:rsid w:val="0044564E"/>
    <w:rsid w:val="004462C5"/>
    <w:rsid w:val="00446773"/>
    <w:rsid w:val="00446F85"/>
    <w:rsid w:val="00447241"/>
    <w:rsid w:val="00447B40"/>
    <w:rsid w:val="00450D7C"/>
    <w:rsid w:val="004515A0"/>
    <w:rsid w:val="00451696"/>
    <w:rsid w:val="00451EA7"/>
    <w:rsid w:val="004527F5"/>
    <w:rsid w:val="00453821"/>
    <w:rsid w:val="00454856"/>
    <w:rsid w:val="00454A67"/>
    <w:rsid w:val="00454C67"/>
    <w:rsid w:val="00454F47"/>
    <w:rsid w:val="00457014"/>
    <w:rsid w:val="004603D9"/>
    <w:rsid w:val="00463564"/>
    <w:rsid w:val="004649B3"/>
    <w:rsid w:val="004657DF"/>
    <w:rsid w:val="00465896"/>
    <w:rsid w:val="00466ACA"/>
    <w:rsid w:val="00467827"/>
    <w:rsid w:val="00470EBF"/>
    <w:rsid w:val="00471974"/>
    <w:rsid w:val="00472188"/>
    <w:rsid w:val="004722AD"/>
    <w:rsid w:val="0047323B"/>
    <w:rsid w:val="004732D8"/>
    <w:rsid w:val="00473E37"/>
    <w:rsid w:val="00474B16"/>
    <w:rsid w:val="004806FD"/>
    <w:rsid w:val="00480A68"/>
    <w:rsid w:val="004816B0"/>
    <w:rsid w:val="0048187B"/>
    <w:rsid w:val="0048306E"/>
    <w:rsid w:val="00483E7D"/>
    <w:rsid w:val="004842F9"/>
    <w:rsid w:val="00484DB6"/>
    <w:rsid w:val="0048566D"/>
    <w:rsid w:val="00487873"/>
    <w:rsid w:val="004919CB"/>
    <w:rsid w:val="004920B9"/>
    <w:rsid w:val="0049238C"/>
    <w:rsid w:val="004936B3"/>
    <w:rsid w:val="00493CCF"/>
    <w:rsid w:val="004945A8"/>
    <w:rsid w:val="00494EE8"/>
    <w:rsid w:val="0049575B"/>
    <w:rsid w:val="00495945"/>
    <w:rsid w:val="004963DC"/>
    <w:rsid w:val="0049717E"/>
    <w:rsid w:val="00497EDC"/>
    <w:rsid w:val="004A112C"/>
    <w:rsid w:val="004A17F4"/>
    <w:rsid w:val="004A1CF4"/>
    <w:rsid w:val="004A20AC"/>
    <w:rsid w:val="004A2DD4"/>
    <w:rsid w:val="004A3AAC"/>
    <w:rsid w:val="004A3B8A"/>
    <w:rsid w:val="004A44AD"/>
    <w:rsid w:val="004A48E9"/>
    <w:rsid w:val="004A57E5"/>
    <w:rsid w:val="004A6657"/>
    <w:rsid w:val="004A6A1B"/>
    <w:rsid w:val="004B0386"/>
    <w:rsid w:val="004B0531"/>
    <w:rsid w:val="004B08DE"/>
    <w:rsid w:val="004B0F14"/>
    <w:rsid w:val="004B117F"/>
    <w:rsid w:val="004B305D"/>
    <w:rsid w:val="004B4BCB"/>
    <w:rsid w:val="004B56FC"/>
    <w:rsid w:val="004C2260"/>
    <w:rsid w:val="004C2C88"/>
    <w:rsid w:val="004C3037"/>
    <w:rsid w:val="004C3892"/>
    <w:rsid w:val="004C63A3"/>
    <w:rsid w:val="004D009B"/>
    <w:rsid w:val="004D1461"/>
    <w:rsid w:val="004D1854"/>
    <w:rsid w:val="004D2465"/>
    <w:rsid w:val="004D24A9"/>
    <w:rsid w:val="004D421C"/>
    <w:rsid w:val="004D4E6A"/>
    <w:rsid w:val="004D60BC"/>
    <w:rsid w:val="004D7078"/>
    <w:rsid w:val="004D7325"/>
    <w:rsid w:val="004D7F93"/>
    <w:rsid w:val="004E08C8"/>
    <w:rsid w:val="004E0D69"/>
    <w:rsid w:val="004E1E15"/>
    <w:rsid w:val="004E27B9"/>
    <w:rsid w:val="004E37FB"/>
    <w:rsid w:val="004E41C8"/>
    <w:rsid w:val="004E4A82"/>
    <w:rsid w:val="004E6722"/>
    <w:rsid w:val="004E7D7C"/>
    <w:rsid w:val="004F2981"/>
    <w:rsid w:val="004F29C7"/>
    <w:rsid w:val="004F2AE7"/>
    <w:rsid w:val="004F2BC2"/>
    <w:rsid w:val="004F3172"/>
    <w:rsid w:val="004F4577"/>
    <w:rsid w:val="004F51A0"/>
    <w:rsid w:val="004F5E31"/>
    <w:rsid w:val="004F733C"/>
    <w:rsid w:val="004F7E1A"/>
    <w:rsid w:val="005006CF"/>
    <w:rsid w:val="00501111"/>
    <w:rsid w:val="00501968"/>
    <w:rsid w:val="0050292B"/>
    <w:rsid w:val="00503BB5"/>
    <w:rsid w:val="0050520D"/>
    <w:rsid w:val="00505E69"/>
    <w:rsid w:val="00506B7C"/>
    <w:rsid w:val="005070F5"/>
    <w:rsid w:val="00512F8B"/>
    <w:rsid w:val="00513D76"/>
    <w:rsid w:val="00514999"/>
    <w:rsid w:val="00517139"/>
    <w:rsid w:val="0051780C"/>
    <w:rsid w:val="005218CA"/>
    <w:rsid w:val="005228D3"/>
    <w:rsid w:val="00522A75"/>
    <w:rsid w:val="00523B11"/>
    <w:rsid w:val="00523C08"/>
    <w:rsid w:val="0052458E"/>
    <w:rsid w:val="0052595C"/>
    <w:rsid w:val="005262A3"/>
    <w:rsid w:val="005271E3"/>
    <w:rsid w:val="00527462"/>
    <w:rsid w:val="00527F31"/>
    <w:rsid w:val="00530613"/>
    <w:rsid w:val="00530AD7"/>
    <w:rsid w:val="00531101"/>
    <w:rsid w:val="00532E5D"/>
    <w:rsid w:val="00535515"/>
    <w:rsid w:val="00535D0F"/>
    <w:rsid w:val="00535DB1"/>
    <w:rsid w:val="00536045"/>
    <w:rsid w:val="00536869"/>
    <w:rsid w:val="00536F0C"/>
    <w:rsid w:val="00540C2A"/>
    <w:rsid w:val="005418F4"/>
    <w:rsid w:val="00542189"/>
    <w:rsid w:val="00542605"/>
    <w:rsid w:val="00542FFD"/>
    <w:rsid w:val="005437A7"/>
    <w:rsid w:val="00543F5C"/>
    <w:rsid w:val="005448D2"/>
    <w:rsid w:val="005453AE"/>
    <w:rsid w:val="005546CF"/>
    <w:rsid w:val="00555567"/>
    <w:rsid w:val="0056041A"/>
    <w:rsid w:val="00560898"/>
    <w:rsid w:val="005634E8"/>
    <w:rsid w:val="00563955"/>
    <w:rsid w:val="00563D19"/>
    <w:rsid w:val="00564F19"/>
    <w:rsid w:val="00565799"/>
    <w:rsid w:val="00565B6D"/>
    <w:rsid w:val="00567F04"/>
    <w:rsid w:val="0057013B"/>
    <w:rsid w:val="00572D82"/>
    <w:rsid w:val="00573797"/>
    <w:rsid w:val="00574615"/>
    <w:rsid w:val="0057501E"/>
    <w:rsid w:val="005758F0"/>
    <w:rsid w:val="00575920"/>
    <w:rsid w:val="0057640E"/>
    <w:rsid w:val="00580E9B"/>
    <w:rsid w:val="00582C45"/>
    <w:rsid w:val="00582FCD"/>
    <w:rsid w:val="00583C40"/>
    <w:rsid w:val="00584082"/>
    <w:rsid w:val="00585015"/>
    <w:rsid w:val="00585A6E"/>
    <w:rsid w:val="00585F63"/>
    <w:rsid w:val="005864CA"/>
    <w:rsid w:val="00586D37"/>
    <w:rsid w:val="005912D4"/>
    <w:rsid w:val="0059134A"/>
    <w:rsid w:val="00591F29"/>
    <w:rsid w:val="00593917"/>
    <w:rsid w:val="00593D0A"/>
    <w:rsid w:val="0059582B"/>
    <w:rsid w:val="005966BE"/>
    <w:rsid w:val="00596EF0"/>
    <w:rsid w:val="0059754A"/>
    <w:rsid w:val="005A0331"/>
    <w:rsid w:val="005A04DA"/>
    <w:rsid w:val="005A1B46"/>
    <w:rsid w:val="005A1DAB"/>
    <w:rsid w:val="005A2D69"/>
    <w:rsid w:val="005A4C7E"/>
    <w:rsid w:val="005A5B74"/>
    <w:rsid w:val="005A7F2F"/>
    <w:rsid w:val="005B0B1D"/>
    <w:rsid w:val="005B3105"/>
    <w:rsid w:val="005B554F"/>
    <w:rsid w:val="005B7230"/>
    <w:rsid w:val="005C0817"/>
    <w:rsid w:val="005C0BA9"/>
    <w:rsid w:val="005C0DC5"/>
    <w:rsid w:val="005C3501"/>
    <w:rsid w:val="005C3922"/>
    <w:rsid w:val="005C3CF3"/>
    <w:rsid w:val="005C4D04"/>
    <w:rsid w:val="005C67D4"/>
    <w:rsid w:val="005C6AC9"/>
    <w:rsid w:val="005C6CAE"/>
    <w:rsid w:val="005C76A6"/>
    <w:rsid w:val="005D0E78"/>
    <w:rsid w:val="005D1BA9"/>
    <w:rsid w:val="005D488B"/>
    <w:rsid w:val="005D4AF6"/>
    <w:rsid w:val="005D4C5B"/>
    <w:rsid w:val="005D568F"/>
    <w:rsid w:val="005D68DF"/>
    <w:rsid w:val="005D7763"/>
    <w:rsid w:val="005E000C"/>
    <w:rsid w:val="005E070F"/>
    <w:rsid w:val="005E1437"/>
    <w:rsid w:val="005E41D6"/>
    <w:rsid w:val="005E47CC"/>
    <w:rsid w:val="005E4852"/>
    <w:rsid w:val="005E636A"/>
    <w:rsid w:val="005E6C78"/>
    <w:rsid w:val="005E735F"/>
    <w:rsid w:val="005E77CD"/>
    <w:rsid w:val="005F0D85"/>
    <w:rsid w:val="005F2AA4"/>
    <w:rsid w:val="005F37E6"/>
    <w:rsid w:val="005F4239"/>
    <w:rsid w:val="005F4FB9"/>
    <w:rsid w:val="005F50E8"/>
    <w:rsid w:val="005F5307"/>
    <w:rsid w:val="005F55C5"/>
    <w:rsid w:val="005F577B"/>
    <w:rsid w:val="005F5993"/>
    <w:rsid w:val="005F5DC7"/>
    <w:rsid w:val="005F7482"/>
    <w:rsid w:val="00600A97"/>
    <w:rsid w:val="00600F22"/>
    <w:rsid w:val="0060122A"/>
    <w:rsid w:val="006019EE"/>
    <w:rsid w:val="006043F3"/>
    <w:rsid w:val="0060788F"/>
    <w:rsid w:val="006100C1"/>
    <w:rsid w:val="00610BF2"/>
    <w:rsid w:val="00611807"/>
    <w:rsid w:val="00611935"/>
    <w:rsid w:val="00611A6E"/>
    <w:rsid w:val="0061299B"/>
    <w:rsid w:val="0061305D"/>
    <w:rsid w:val="0061343D"/>
    <w:rsid w:val="006135A3"/>
    <w:rsid w:val="006145B8"/>
    <w:rsid w:val="0061585E"/>
    <w:rsid w:val="00615A68"/>
    <w:rsid w:val="00620512"/>
    <w:rsid w:val="00622853"/>
    <w:rsid w:val="00622967"/>
    <w:rsid w:val="00622ED7"/>
    <w:rsid w:val="00626A67"/>
    <w:rsid w:val="006274A9"/>
    <w:rsid w:val="006309EC"/>
    <w:rsid w:val="00630BED"/>
    <w:rsid w:val="006311F6"/>
    <w:rsid w:val="0063148A"/>
    <w:rsid w:val="00632E04"/>
    <w:rsid w:val="0063318E"/>
    <w:rsid w:val="00635A2F"/>
    <w:rsid w:val="006374B4"/>
    <w:rsid w:val="006378FA"/>
    <w:rsid w:val="00640DB4"/>
    <w:rsid w:val="006411F6"/>
    <w:rsid w:val="0064154E"/>
    <w:rsid w:val="00641675"/>
    <w:rsid w:val="00642182"/>
    <w:rsid w:val="0064251C"/>
    <w:rsid w:val="00642B88"/>
    <w:rsid w:val="0064456F"/>
    <w:rsid w:val="006456B5"/>
    <w:rsid w:val="00647F20"/>
    <w:rsid w:val="00650AD8"/>
    <w:rsid w:val="006510D7"/>
    <w:rsid w:val="00651881"/>
    <w:rsid w:val="00651ECB"/>
    <w:rsid w:val="00653B88"/>
    <w:rsid w:val="00654330"/>
    <w:rsid w:val="00654B61"/>
    <w:rsid w:val="00656DB9"/>
    <w:rsid w:val="0066491B"/>
    <w:rsid w:val="0066532B"/>
    <w:rsid w:val="0066626C"/>
    <w:rsid w:val="006703DB"/>
    <w:rsid w:val="00672569"/>
    <w:rsid w:val="00672A07"/>
    <w:rsid w:val="00672E75"/>
    <w:rsid w:val="0067328F"/>
    <w:rsid w:val="0067467A"/>
    <w:rsid w:val="00674695"/>
    <w:rsid w:val="006759BB"/>
    <w:rsid w:val="00676E59"/>
    <w:rsid w:val="006778C1"/>
    <w:rsid w:val="006814B6"/>
    <w:rsid w:val="006826F7"/>
    <w:rsid w:val="00684A31"/>
    <w:rsid w:val="006862B5"/>
    <w:rsid w:val="006865C2"/>
    <w:rsid w:val="00686C01"/>
    <w:rsid w:val="0068749C"/>
    <w:rsid w:val="00690471"/>
    <w:rsid w:val="00690E79"/>
    <w:rsid w:val="0069101E"/>
    <w:rsid w:val="006923C0"/>
    <w:rsid w:val="0069307C"/>
    <w:rsid w:val="0069401D"/>
    <w:rsid w:val="00694027"/>
    <w:rsid w:val="00694CD2"/>
    <w:rsid w:val="006960E0"/>
    <w:rsid w:val="00696607"/>
    <w:rsid w:val="00696630"/>
    <w:rsid w:val="0069671B"/>
    <w:rsid w:val="00696D2B"/>
    <w:rsid w:val="00696EDB"/>
    <w:rsid w:val="00697F8F"/>
    <w:rsid w:val="006A385F"/>
    <w:rsid w:val="006A73CF"/>
    <w:rsid w:val="006A7D36"/>
    <w:rsid w:val="006B074C"/>
    <w:rsid w:val="006B07A7"/>
    <w:rsid w:val="006B7DEA"/>
    <w:rsid w:val="006B7E4F"/>
    <w:rsid w:val="006C1888"/>
    <w:rsid w:val="006C1AAE"/>
    <w:rsid w:val="006C2344"/>
    <w:rsid w:val="006C2655"/>
    <w:rsid w:val="006C2900"/>
    <w:rsid w:val="006C2F58"/>
    <w:rsid w:val="006C3AE5"/>
    <w:rsid w:val="006C458A"/>
    <w:rsid w:val="006C56E0"/>
    <w:rsid w:val="006C688B"/>
    <w:rsid w:val="006C695A"/>
    <w:rsid w:val="006C6F4B"/>
    <w:rsid w:val="006C7364"/>
    <w:rsid w:val="006C7DE7"/>
    <w:rsid w:val="006C7EC2"/>
    <w:rsid w:val="006D0507"/>
    <w:rsid w:val="006D37AC"/>
    <w:rsid w:val="006D4702"/>
    <w:rsid w:val="006E047F"/>
    <w:rsid w:val="006E0CC3"/>
    <w:rsid w:val="006E2BEE"/>
    <w:rsid w:val="006E2C8F"/>
    <w:rsid w:val="006E2D3B"/>
    <w:rsid w:val="006E3331"/>
    <w:rsid w:val="006E441F"/>
    <w:rsid w:val="006E728C"/>
    <w:rsid w:val="006E73A0"/>
    <w:rsid w:val="006E7693"/>
    <w:rsid w:val="006E7EF4"/>
    <w:rsid w:val="006F081E"/>
    <w:rsid w:val="006F0C22"/>
    <w:rsid w:val="006F1997"/>
    <w:rsid w:val="006F19B2"/>
    <w:rsid w:val="006F1C0A"/>
    <w:rsid w:val="006F2967"/>
    <w:rsid w:val="006F4389"/>
    <w:rsid w:val="006F4D15"/>
    <w:rsid w:val="006F4F8D"/>
    <w:rsid w:val="006F5C5C"/>
    <w:rsid w:val="006F6D9C"/>
    <w:rsid w:val="006F790A"/>
    <w:rsid w:val="006F7B42"/>
    <w:rsid w:val="00702267"/>
    <w:rsid w:val="0070250F"/>
    <w:rsid w:val="0070559C"/>
    <w:rsid w:val="00705CC6"/>
    <w:rsid w:val="00705ED4"/>
    <w:rsid w:val="0070654F"/>
    <w:rsid w:val="00706E42"/>
    <w:rsid w:val="00707579"/>
    <w:rsid w:val="00707CCB"/>
    <w:rsid w:val="007111D4"/>
    <w:rsid w:val="00712D6A"/>
    <w:rsid w:val="007134EB"/>
    <w:rsid w:val="00713957"/>
    <w:rsid w:val="0071432B"/>
    <w:rsid w:val="0071462E"/>
    <w:rsid w:val="00717478"/>
    <w:rsid w:val="00717AAF"/>
    <w:rsid w:val="007200EE"/>
    <w:rsid w:val="00720BB5"/>
    <w:rsid w:val="0072191A"/>
    <w:rsid w:val="007222D9"/>
    <w:rsid w:val="00722481"/>
    <w:rsid w:val="00722C19"/>
    <w:rsid w:val="00723441"/>
    <w:rsid w:val="0072446C"/>
    <w:rsid w:val="00725587"/>
    <w:rsid w:val="00725A4B"/>
    <w:rsid w:val="00727115"/>
    <w:rsid w:val="00727BEA"/>
    <w:rsid w:val="00731E00"/>
    <w:rsid w:val="00732D16"/>
    <w:rsid w:val="007337B3"/>
    <w:rsid w:val="00733DB9"/>
    <w:rsid w:val="00734FE4"/>
    <w:rsid w:val="007354E4"/>
    <w:rsid w:val="0073584D"/>
    <w:rsid w:val="00735E7D"/>
    <w:rsid w:val="00736523"/>
    <w:rsid w:val="0073750B"/>
    <w:rsid w:val="00737F4C"/>
    <w:rsid w:val="0074230D"/>
    <w:rsid w:val="0074296E"/>
    <w:rsid w:val="00743090"/>
    <w:rsid w:val="00743F1E"/>
    <w:rsid w:val="00744604"/>
    <w:rsid w:val="00744F51"/>
    <w:rsid w:val="00747BC1"/>
    <w:rsid w:val="00747ED2"/>
    <w:rsid w:val="00751136"/>
    <w:rsid w:val="0075168F"/>
    <w:rsid w:val="007524FC"/>
    <w:rsid w:val="007536C7"/>
    <w:rsid w:val="007552F4"/>
    <w:rsid w:val="007559D0"/>
    <w:rsid w:val="00756213"/>
    <w:rsid w:val="00756B7B"/>
    <w:rsid w:val="00756D1B"/>
    <w:rsid w:val="007608DA"/>
    <w:rsid w:val="00763566"/>
    <w:rsid w:val="00763C1E"/>
    <w:rsid w:val="00763C96"/>
    <w:rsid w:val="00763E6B"/>
    <w:rsid w:val="00764447"/>
    <w:rsid w:val="00764C23"/>
    <w:rsid w:val="00764C6E"/>
    <w:rsid w:val="00764E39"/>
    <w:rsid w:val="00765A5E"/>
    <w:rsid w:val="007672C7"/>
    <w:rsid w:val="00770E94"/>
    <w:rsid w:val="007711B5"/>
    <w:rsid w:val="00771E98"/>
    <w:rsid w:val="0077489E"/>
    <w:rsid w:val="00775C12"/>
    <w:rsid w:val="007760EA"/>
    <w:rsid w:val="00776E57"/>
    <w:rsid w:val="00783839"/>
    <w:rsid w:val="007841BD"/>
    <w:rsid w:val="0078460B"/>
    <w:rsid w:val="00784CD2"/>
    <w:rsid w:val="00786859"/>
    <w:rsid w:val="007876B2"/>
    <w:rsid w:val="00787C64"/>
    <w:rsid w:val="00790C7A"/>
    <w:rsid w:val="0079104B"/>
    <w:rsid w:val="00791986"/>
    <w:rsid w:val="00793831"/>
    <w:rsid w:val="0079447A"/>
    <w:rsid w:val="00794D93"/>
    <w:rsid w:val="00795644"/>
    <w:rsid w:val="0079591F"/>
    <w:rsid w:val="00795C70"/>
    <w:rsid w:val="00796957"/>
    <w:rsid w:val="00796B4E"/>
    <w:rsid w:val="007A0805"/>
    <w:rsid w:val="007A0859"/>
    <w:rsid w:val="007A0A8B"/>
    <w:rsid w:val="007A3344"/>
    <w:rsid w:val="007A4D71"/>
    <w:rsid w:val="007A5378"/>
    <w:rsid w:val="007A67D9"/>
    <w:rsid w:val="007A683D"/>
    <w:rsid w:val="007A6B13"/>
    <w:rsid w:val="007A781A"/>
    <w:rsid w:val="007A79E7"/>
    <w:rsid w:val="007A7D08"/>
    <w:rsid w:val="007B007E"/>
    <w:rsid w:val="007B2BAC"/>
    <w:rsid w:val="007B2E0B"/>
    <w:rsid w:val="007B350D"/>
    <w:rsid w:val="007B3529"/>
    <w:rsid w:val="007B3724"/>
    <w:rsid w:val="007B3771"/>
    <w:rsid w:val="007B460A"/>
    <w:rsid w:val="007B496C"/>
    <w:rsid w:val="007B4B50"/>
    <w:rsid w:val="007B4E6E"/>
    <w:rsid w:val="007B544E"/>
    <w:rsid w:val="007B608F"/>
    <w:rsid w:val="007B7AF2"/>
    <w:rsid w:val="007B7D11"/>
    <w:rsid w:val="007C0ACB"/>
    <w:rsid w:val="007C33A7"/>
    <w:rsid w:val="007C362D"/>
    <w:rsid w:val="007C3720"/>
    <w:rsid w:val="007C69DB"/>
    <w:rsid w:val="007D0959"/>
    <w:rsid w:val="007D0B53"/>
    <w:rsid w:val="007D31E3"/>
    <w:rsid w:val="007D4666"/>
    <w:rsid w:val="007D55C0"/>
    <w:rsid w:val="007D561F"/>
    <w:rsid w:val="007D5C3C"/>
    <w:rsid w:val="007D7AB6"/>
    <w:rsid w:val="007D7B65"/>
    <w:rsid w:val="007E05EE"/>
    <w:rsid w:val="007E119F"/>
    <w:rsid w:val="007E1ED8"/>
    <w:rsid w:val="007E2A5B"/>
    <w:rsid w:val="007E3AC1"/>
    <w:rsid w:val="007E3DF6"/>
    <w:rsid w:val="007E47F6"/>
    <w:rsid w:val="007E64EC"/>
    <w:rsid w:val="007E655A"/>
    <w:rsid w:val="007E6B1E"/>
    <w:rsid w:val="007F05CF"/>
    <w:rsid w:val="007F0872"/>
    <w:rsid w:val="007F2320"/>
    <w:rsid w:val="007F5AAA"/>
    <w:rsid w:val="007F5D5C"/>
    <w:rsid w:val="007F5FB0"/>
    <w:rsid w:val="007F74AC"/>
    <w:rsid w:val="007F7CE2"/>
    <w:rsid w:val="0080093D"/>
    <w:rsid w:val="00802131"/>
    <w:rsid w:val="008021C1"/>
    <w:rsid w:val="0080285B"/>
    <w:rsid w:val="00803538"/>
    <w:rsid w:val="00803905"/>
    <w:rsid w:val="00803923"/>
    <w:rsid w:val="00803B9E"/>
    <w:rsid w:val="0080527E"/>
    <w:rsid w:val="008057BF"/>
    <w:rsid w:val="00805F6C"/>
    <w:rsid w:val="0080606A"/>
    <w:rsid w:val="00806CBE"/>
    <w:rsid w:val="008102E4"/>
    <w:rsid w:val="0081089D"/>
    <w:rsid w:val="00812386"/>
    <w:rsid w:val="00812E3A"/>
    <w:rsid w:val="00812EC2"/>
    <w:rsid w:val="008138E5"/>
    <w:rsid w:val="008163D3"/>
    <w:rsid w:val="00816D59"/>
    <w:rsid w:val="00816E9A"/>
    <w:rsid w:val="00816EC0"/>
    <w:rsid w:val="00816FE7"/>
    <w:rsid w:val="00817E13"/>
    <w:rsid w:val="00821CFB"/>
    <w:rsid w:val="008227A5"/>
    <w:rsid w:val="00823038"/>
    <w:rsid w:val="00827B04"/>
    <w:rsid w:val="00830C66"/>
    <w:rsid w:val="00833762"/>
    <w:rsid w:val="00833D98"/>
    <w:rsid w:val="00834829"/>
    <w:rsid w:val="00834E19"/>
    <w:rsid w:val="00835090"/>
    <w:rsid w:val="00835258"/>
    <w:rsid w:val="00835B2D"/>
    <w:rsid w:val="0084031A"/>
    <w:rsid w:val="00841DD3"/>
    <w:rsid w:val="00842E86"/>
    <w:rsid w:val="008447BC"/>
    <w:rsid w:val="008453CC"/>
    <w:rsid w:val="008456C0"/>
    <w:rsid w:val="00845DD5"/>
    <w:rsid w:val="008460E2"/>
    <w:rsid w:val="0084767D"/>
    <w:rsid w:val="0084798F"/>
    <w:rsid w:val="00850BD6"/>
    <w:rsid w:val="00850D8D"/>
    <w:rsid w:val="008517FE"/>
    <w:rsid w:val="008529DF"/>
    <w:rsid w:val="00854CDE"/>
    <w:rsid w:val="00855187"/>
    <w:rsid w:val="008559DA"/>
    <w:rsid w:val="00857BCD"/>
    <w:rsid w:val="00860DB6"/>
    <w:rsid w:val="00860E31"/>
    <w:rsid w:val="00861C08"/>
    <w:rsid w:val="00861C6E"/>
    <w:rsid w:val="00861D0E"/>
    <w:rsid w:val="00861D3A"/>
    <w:rsid w:val="00861DB9"/>
    <w:rsid w:val="00862608"/>
    <w:rsid w:val="008632A8"/>
    <w:rsid w:val="00864AA6"/>
    <w:rsid w:val="00864E57"/>
    <w:rsid w:val="0086564E"/>
    <w:rsid w:val="00865FE0"/>
    <w:rsid w:val="008665BF"/>
    <w:rsid w:val="0086675B"/>
    <w:rsid w:val="00870556"/>
    <w:rsid w:val="0087242C"/>
    <w:rsid w:val="008725E2"/>
    <w:rsid w:val="00873F30"/>
    <w:rsid w:val="00875388"/>
    <w:rsid w:val="00877400"/>
    <w:rsid w:val="008801C4"/>
    <w:rsid w:val="00880770"/>
    <w:rsid w:val="00880BC6"/>
    <w:rsid w:val="0088182C"/>
    <w:rsid w:val="00882BC9"/>
    <w:rsid w:val="008831D2"/>
    <w:rsid w:val="00883D4E"/>
    <w:rsid w:val="00886323"/>
    <w:rsid w:val="00887B2B"/>
    <w:rsid w:val="00890FBA"/>
    <w:rsid w:val="0089306A"/>
    <w:rsid w:val="008931AE"/>
    <w:rsid w:val="0089435C"/>
    <w:rsid w:val="0089473A"/>
    <w:rsid w:val="00895CB6"/>
    <w:rsid w:val="008960EC"/>
    <w:rsid w:val="008961D5"/>
    <w:rsid w:val="008964DA"/>
    <w:rsid w:val="008A1F72"/>
    <w:rsid w:val="008A24B7"/>
    <w:rsid w:val="008A475C"/>
    <w:rsid w:val="008A554C"/>
    <w:rsid w:val="008A5EF8"/>
    <w:rsid w:val="008A61AF"/>
    <w:rsid w:val="008A67E8"/>
    <w:rsid w:val="008A6A8B"/>
    <w:rsid w:val="008A7695"/>
    <w:rsid w:val="008A78E3"/>
    <w:rsid w:val="008B08CF"/>
    <w:rsid w:val="008B0B90"/>
    <w:rsid w:val="008B10F8"/>
    <w:rsid w:val="008B161D"/>
    <w:rsid w:val="008B195F"/>
    <w:rsid w:val="008B1AD5"/>
    <w:rsid w:val="008B1D13"/>
    <w:rsid w:val="008B1D36"/>
    <w:rsid w:val="008B235E"/>
    <w:rsid w:val="008B3DEB"/>
    <w:rsid w:val="008B6DB9"/>
    <w:rsid w:val="008B7F88"/>
    <w:rsid w:val="008C0294"/>
    <w:rsid w:val="008C1D69"/>
    <w:rsid w:val="008C20BF"/>
    <w:rsid w:val="008C2284"/>
    <w:rsid w:val="008C23E2"/>
    <w:rsid w:val="008C269B"/>
    <w:rsid w:val="008C2A3F"/>
    <w:rsid w:val="008C36CD"/>
    <w:rsid w:val="008C4621"/>
    <w:rsid w:val="008C4FC3"/>
    <w:rsid w:val="008C551D"/>
    <w:rsid w:val="008C555F"/>
    <w:rsid w:val="008C59F8"/>
    <w:rsid w:val="008C636D"/>
    <w:rsid w:val="008C748D"/>
    <w:rsid w:val="008D0900"/>
    <w:rsid w:val="008D1842"/>
    <w:rsid w:val="008D2AE7"/>
    <w:rsid w:val="008D6F54"/>
    <w:rsid w:val="008D70C6"/>
    <w:rsid w:val="008E02BE"/>
    <w:rsid w:val="008E2D3A"/>
    <w:rsid w:val="008E31F3"/>
    <w:rsid w:val="008E3F8C"/>
    <w:rsid w:val="008E4157"/>
    <w:rsid w:val="008E4275"/>
    <w:rsid w:val="008E4434"/>
    <w:rsid w:val="008E681E"/>
    <w:rsid w:val="008E72A1"/>
    <w:rsid w:val="008F0DE3"/>
    <w:rsid w:val="008F1011"/>
    <w:rsid w:val="008F1536"/>
    <w:rsid w:val="008F2063"/>
    <w:rsid w:val="008F2F3C"/>
    <w:rsid w:val="008F325D"/>
    <w:rsid w:val="008F38E6"/>
    <w:rsid w:val="008F4317"/>
    <w:rsid w:val="008F4C4F"/>
    <w:rsid w:val="008F6033"/>
    <w:rsid w:val="008F6932"/>
    <w:rsid w:val="008F6E8E"/>
    <w:rsid w:val="008F7DEF"/>
    <w:rsid w:val="009010A4"/>
    <w:rsid w:val="0090126D"/>
    <w:rsid w:val="00901503"/>
    <w:rsid w:val="00901D90"/>
    <w:rsid w:val="009049A6"/>
    <w:rsid w:val="00904EA5"/>
    <w:rsid w:val="00905676"/>
    <w:rsid w:val="00905881"/>
    <w:rsid w:val="009061A3"/>
    <w:rsid w:val="00910F7E"/>
    <w:rsid w:val="00911897"/>
    <w:rsid w:val="009118AB"/>
    <w:rsid w:val="0091224B"/>
    <w:rsid w:val="00912A1A"/>
    <w:rsid w:val="00913329"/>
    <w:rsid w:val="00914736"/>
    <w:rsid w:val="00914B87"/>
    <w:rsid w:val="00914D04"/>
    <w:rsid w:val="009155DD"/>
    <w:rsid w:val="00915B9D"/>
    <w:rsid w:val="00916195"/>
    <w:rsid w:val="00917FAE"/>
    <w:rsid w:val="009209AC"/>
    <w:rsid w:val="00922005"/>
    <w:rsid w:val="00923316"/>
    <w:rsid w:val="0092472C"/>
    <w:rsid w:val="00924A05"/>
    <w:rsid w:val="00925845"/>
    <w:rsid w:val="009263DF"/>
    <w:rsid w:val="00927518"/>
    <w:rsid w:val="009306F5"/>
    <w:rsid w:val="009327D7"/>
    <w:rsid w:val="009343D1"/>
    <w:rsid w:val="0093474B"/>
    <w:rsid w:val="00934F5E"/>
    <w:rsid w:val="009351B2"/>
    <w:rsid w:val="00935672"/>
    <w:rsid w:val="00935BBC"/>
    <w:rsid w:val="0093611F"/>
    <w:rsid w:val="00937871"/>
    <w:rsid w:val="0094024F"/>
    <w:rsid w:val="00940637"/>
    <w:rsid w:val="00941C22"/>
    <w:rsid w:val="009426DE"/>
    <w:rsid w:val="0094276E"/>
    <w:rsid w:val="00942AB7"/>
    <w:rsid w:val="00943189"/>
    <w:rsid w:val="009441B9"/>
    <w:rsid w:val="009441C0"/>
    <w:rsid w:val="0094485C"/>
    <w:rsid w:val="00944A97"/>
    <w:rsid w:val="00944E2E"/>
    <w:rsid w:val="00946164"/>
    <w:rsid w:val="00946748"/>
    <w:rsid w:val="009478AB"/>
    <w:rsid w:val="00947F57"/>
    <w:rsid w:val="0095111C"/>
    <w:rsid w:val="009516A7"/>
    <w:rsid w:val="00951A34"/>
    <w:rsid w:val="00952146"/>
    <w:rsid w:val="0095238A"/>
    <w:rsid w:val="00952E2D"/>
    <w:rsid w:val="00954408"/>
    <w:rsid w:val="00954D0E"/>
    <w:rsid w:val="0095775A"/>
    <w:rsid w:val="00957A9A"/>
    <w:rsid w:val="00963969"/>
    <w:rsid w:val="00965CD6"/>
    <w:rsid w:val="009668BE"/>
    <w:rsid w:val="00966A8C"/>
    <w:rsid w:val="00967001"/>
    <w:rsid w:val="00967037"/>
    <w:rsid w:val="00967284"/>
    <w:rsid w:val="009703A1"/>
    <w:rsid w:val="0097156A"/>
    <w:rsid w:val="009735B5"/>
    <w:rsid w:val="00973658"/>
    <w:rsid w:val="00974817"/>
    <w:rsid w:val="00974B74"/>
    <w:rsid w:val="00974E10"/>
    <w:rsid w:val="00975787"/>
    <w:rsid w:val="009765A4"/>
    <w:rsid w:val="009768B8"/>
    <w:rsid w:val="009826B1"/>
    <w:rsid w:val="0098487B"/>
    <w:rsid w:val="0098493B"/>
    <w:rsid w:val="00986D30"/>
    <w:rsid w:val="00990836"/>
    <w:rsid w:val="00991713"/>
    <w:rsid w:val="00993975"/>
    <w:rsid w:val="00994763"/>
    <w:rsid w:val="00995195"/>
    <w:rsid w:val="00995B3B"/>
    <w:rsid w:val="0099682F"/>
    <w:rsid w:val="0099781B"/>
    <w:rsid w:val="00997E7E"/>
    <w:rsid w:val="009A1638"/>
    <w:rsid w:val="009A7420"/>
    <w:rsid w:val="009B350F"/>
    <w:rsid w:val="009B41C3"/>
    <w:rsid w:val="009B4D1B"/>
    <w:rsid w:val="009B4E12"/>
    <w:rsid w:val="009B62AA"/>
    <w:rsid w:val="009B6AE0"/>
    <w:rsid w:val="009B7319"/>
    <w:rsid w:val="009C0249"/>
    <w:rsid w:val="009C0371"/>
    <w:rsid w:val="009C1607"/>
    <w:rsid w:val="009C1AD0"/>
    <w:rsid w:val="009C4072"/>
    <w:rsid w:val="009C4102"/>
    <w:rsid w:val="009C4456"/>
    <w:rsid w:val="009C5A45"/>
    <w:rsid w:val="009C5DEC"/>
    <w:rsid w:val="009D0845"/>
    <w:rsid w:val="009D1B1C"/>
    <w:rsid w:val="009D2D33"/>
    <w:rsid w:val="009D2E3B"/>
    <w:rsid w:val="009D3764"/>
    <w:rsid w:val="009D3D6C"/>
    <w:rsid w:val="009D4099"/>
    <w:rsid w:val="009D7148"/>
    <w:rsid w:val="009D7A04"/>
    <w:rsid w:val="009D7D5E"/>
    <w:rsid w:val="009E0CBB"/>
    <w:rsid w:val="009E17B0"/>
    <w:rsid w:val="009E1AB9"/>
    <w:rsid w:val="009E1C17"/>
    <w:rsid w:val="009E40C9"/>
    <w:rsid w:val="009E540A"/>
    <w:rsid w:val="009E6A84"/>
    <w:rsid w:val="009E7C04"/>
    <w:rsid w:val="009F0221"/>
    <w:rsid w:val="009F0CBF"/>
    <w:rsid w:val="009F1081"/>
    <w:rsid w:val="009F1122"/>
    <w:rsid w:val="009F116D"/>
    <w:rsid w:val="009F269E"/>
    <w:rsid w:val="009F3F74"/>
    <w:rsid w:val="009F459D"/>
    <w:rsid w:val="00A01434"/>
    <w:rsid w:val="00A01C3F"/>
    <w:rsid w:val="00A02CFC"/>
    <w:rsid w:val="00A0640C"/>
    <w:rsid w:val="00A06B23"/>
    <w:rsid w:val="00A1131D"/>
    <w:rsid w:val="00A11AA2"/>
    <w:rsid w:val="00A11CB7"/>
    <w:rsid w:val="00A13328"/>
    <w:rsid w:val="00A1408B"/>
    <w:rsid w:val="00A149C3"/>
    <w:rsid w:val="00A14F5A"/>
    <w:rsid w:val="00A15F0F"/>
    <w:rsid w:val="00A16437"/>
    <w:rsid w:val="00A17679"/>
    <w:rsid w:val="00A1786E"/>
    <w:rsid w:val="00A20372"/>
    <w:rsid w:val="00A22290"/>
    <w:rsid w:val="00A223B3"/>
    <w:rsid w:val="00A22B07"/>
    <w:rsid w:val="00A22C0E"/>
    <w:rsid w:val="00A25681"/>
    <w:rsid w:val="00A264DD"/>
    <w:rsid w:val="00A266E9"/>
    <w:rsid w:val="00A3303C"/>
    <w:rsid w:val="00A33655"/>
    <w:rsid w:val="00A33701"/>
    <w:rsid w:val="00A33A24"/>
    <w:rsid w:val="00A3510A"/>
    <w:rsid w:val="00A36FBE"/>
    <w:rsid w:val="00A372C8"/>
    <w:rsid w:val="00A377A3"/>
    <w:rsid w:val="00A377BE"/>
    <w:rsid w:val="00A37D03"/>
    <w:rsid w:val="00A4088A"/>
    <w:rsid w:val="00A40913"/>
    <w:rsid w:val="00A4245A"/>
    <w:rsid w:val="00A425D3"/>
    <w:rsid w:val="00A42889"/>
    <w:rsid w:val="00A42BBB"/>
    <w:rsid w:val="00A438F8"/>
    <w:rsid w:val="00A43E51"/>
    <w:rsid w:val="00A45145"/>
    <w:rsid w:val="00A45601"/>
    <w:rsid w:val="00A50892"/>
    <w:rsid w:val="00A51896"/>
    <w:rsid w:val="00A527A4"/>
    <w:rsid w:val="00A53786"/>
    <w:rsid w:val="00A53DF9"/>
    <w:rsid w:val="00A54894"/>
    <w:rsid w:val="00A558C8"/>
    <w:rsid w:val="00A55D3A"/>
    <w:rsid w:val="00A57F59"/>
    <w:rsid w:val="00A6179F"/>
    <w:rsid w:val="00A61CEB"/>
    <w:rsid w:val="00A62A42"/>
    <w:rsid w:val="00A62DF5"/>
    <w:rsid w:val="00A646C8"/>
    <w:rsid w:val="00A64C0E"/>
    <w:rsid w:val="00A64E02"/>
    <w:rsid w:val="00A671F9"/>
    <w:rsid w:val="00A67AFA"/>
    <w:rsid w:val="00A70DDF"/>
    <w:rsid w:val="00A712D1"/>
    <w:rsid w:val="00A725FD"/>
    <w:rsid w:val="00A72AD1"/>
    <w:rsid w:val="00A73682"/>
    <w:rsid w:val="00A74302"/>
    <w:rsid w:val="00A74952"/>
    <w:rsid w:val="00A756DF"/>
    <w:rsid w:val="00A778F3"/>
    <w:rsid w:val="00A81329"/>
    <w:rsid w:val="00A8195E"/>
    <w:rsid w:val="00A82946"/>
    <w:rsid w:val="00A8320E"/>
    <w:rsid w:val="00A838F9"/>
    <w:rsid w:val="00A83ED8"/>
    <w:rsid w:val="00A84055"/>
    <w:rsid w:val="00A84B04"/>
    <w:rsid w:val="00A853AC"/>
    <w:rsid w:val="00A86463"/>
    <w:rsid w:val="00A87A2C"/>
    <w:rsid w:val="00A87C85"/>
    <w:rsid w:val="00A87D86"/>
    <w:rsid w:val="00A90810"/>
    <w:rsid w:val="00A911C4"/>
    <w:rsid w:val="00A923FA"/>
    <w:rsid w:val="00A9373B"/>
    <w:rsid w:val="00A937CD"/>
    <w:rsid w:val="00A94737"/>
    <w:rsid w:val="00A95101"/>
    <w:rsid w:val="00A9522D"/>
    <w:rsid w:val="00A958A0"/>
    <w:rsid w:val="00A958B8"/>
    <w:rsid w:val="00A95C76"/>
    <w:rsid w:val="00A96E18"/>
    <w:rsid w:val="00AA080F"/>
    <w:rsid w:val="00AA0EA2"/>
    <w:rsid w:val="00AA2A5D"/>
    <w:rsid w:val="00AA341C"/>
    <w:rsid w:val="00AA3BC4"/>
    <w:rsid w:val="00AA3E2F"/>
    <w:rsid w:val="00AA4690"/>
    <w:rsid w:val="00AA5BF6"/>
    <w:rsid w:val="00AA7BCF"/>
    <w:rsid w:val="00AB0102"/>
    <w:rsid w:val="00AB09EA"/>
    <w:rsid w:val="00AB0C20"/>
    <w:rsid w:val="00AB0EFB"/>
    <w:rsid w:val="00AB16ED"/>
    <w:rsid w:val="00AB3131"/>
    <w:rsid w:val="00AB4ECA"/>
    <w:rsid w:val="00AB5330"/>
    <w:rsid w:val="00AB5643"/>
    <w:rsid w:val="00AB5B05"/>
    <w:rsid w:val="00AB6B25"/>
    <w:rsid w:val="00AC1037"/>
    <w:rsid w:val="00AC11F1"/>
    <w:rsid w:val="00AC342D"/>
    <w:rsid w:val="00AC4404"/>
    <w:rsid w:val="00AC4984"/>
    <w:rsid w:val="00AC625C"/>
    <w:rsid w:val="00AC67EF"/>
    <w:rsid w:val="00AC7219"/>
    <w:rsid w:val="00AD0A7F"/>
    <w:rsid w:val="00AD0B4A"/>
    <w:rsid w:val="00AD0C84"/>
    <w:rsid w:val="00AD1844"/>
    <w:rsid w:val="00AD33EE"/>
    <w:rsid w:val="00AD35BD"/>
    <w:rsid w:val="00AD370F"/>
    <w:rsid w:val="00AD3BC6"/>
    <w:rsid w:val="00AD4570"/>
    <w:rsid w:val="00AD4FAF"/>
    <w:rsid w:val="00AD6115"/>
    <w:rsid w:val="00AE01E9"/>
    <w:rsid w:val="00AE03BE"/>
    <w:rsid w:val="00AE04EB"/>
    <w:rsid w:val="00AE2625"/>
    <w:rsid w:val="00AE3C4D"/>
    <w:rsid w:val="00AE583C"/>
    <w:rsid w:val="00AE6338"/>
    <w:rsid w:val="00AE69EC"/>
    <w:rsid w:val="00AF1A01"/>
    <w:rsid w:val="00AF2344"/>
    <w:rsid w:val="00AF2374"/>
    <w:rsid w:val="00AF2C43"/>
    <w:rsid w:val="00AF40FF"/>
    <w:rsid w:val="00AF4CB9"/>
    <w:rsid w:val="00AF4E25"/>
    <w:rsid w:val="00AF5C10"/>
    <w:rsid w:val="00AF6B82"/>
    <w:rsid w:val="00AF70FE"/>
    <w:rsid w:val="00AF76A1"/>
    <w:rsid w:val="00B01A28"/>
    <w:rsid w:val="00B01F10"/>
    <w:rsid w:val="00B02FE7"/>
    <w:rsid w:val="00B05D92"/>
    <w:rsid w:val="00B06B5D"/>
    <w:rsid w:val="00B06C4C"/>
    <w:rsid w:val="00B07437"/>
    <w:rsid w:val="00B07B0C"/>
    <w:rsid w:val="00B07FBF"/>
    <w:rsid w:val="00B11BE1"/>
    <w:rsid w:val="00B11C33"/>
    <w:rsid w:val="00B11CD9"/>
    <w:rsid w:val="00B129E7"/>
    <w:rsid w:val="00B135D8"/>
    <w:rsid w:val="00B14575"/>
    <w:rsid w:val="00B14D69"/>
    <w:rsid w:val="00B151D7"/>
    <w:rsid w:val="00B16C75"/>
    <w:rsid w:val="00B16EDA"/>
    <w:rsid w:val="00B178DF"/>
    <w:rsid w:val="00B17D40"/>
    <w:rsid w:val="00B20759"/>
    <w:rsid w:val="00B2268B"/>
    <w:rsid w:val="00B22843"/>
    <w:rsid w:val="00B22C24"/>
    <w:rsid w:val="00B22E86"/>
    <w:rsid w:val="00B24DDC"/>
    <w:rsid w:val="00B25344"/>
    <w:rsid w:val="00B25865"/>
    <w:rsid w:val="00B25A5E"/>
    <w:rsid w:val="00B25C88"/>
    <w:rsid w:val="00B2623A"/>
    <w:rsid w:val="00B263D9"/>
    <w:rsid w:val="00B26582"/>
    <w:rsid w:val="00B27FA9"/>
    <w:rsid w:val="00B318C9"/>
    <w:rsid w:val="00B33159"/>
    <w:rsid w:val="00B33474"/>
    <w:rsid w:val="00B33951"/>
    <w:rsid w:val="00B34433"/>
    <w:rsid w:val="00B3602C"/>
    <w:rsid w:val="00B3727A"/>
    <w:rsid w:val="00B409EA"/>
    <w:rsid w:val="00B40DC9"/>
    <w:rsid w:val="00B4127F"/>
    <w:rsid w:val="00B422D5"/>
    <w:rsid w:val="00B428DE"/>
    <w:rsid w:val="00B4302A"/>
    <w:rsid w:val="00B4373E"/>
    <w:rsid w:val="00B43A1A"/>
    <w:rsid w:val="00B4462A"/>
    <w:rsid w:val="00B449A4"/>
    <w:rsid w:val="00B449B6"/>
    <w:rsid w:val="00B500C9"/>
    <w:rsid w:val="00B512CD"/>
    <w:rsid w:val="00B516FD"/>
    <w:rsid w:val="00B548C3"/>
    <w:rsid w:val="00B55E64"/>
    <w:rsid w:val="00B57366"/>
    <w:rsid w:val="00B612F6"/>
    <w:rsid w:val="00B61364"/>
    <w:rsid w:val="00B61AFE"/>
    <w:rsid w:val="00B62310"/>
    <w:rsid w:val="00B6306F"/>
    <w:rsid w:val="00B630D9"/>
    <w:rsid w:val="00B6317F"/>
    <w:rsid w:val="00B64185"/>
    <w:rsid w:val="00B64902"/>
    <w:rsid w:val="00B65192"/>
    <w:rsid w:val="00B65A41"/>
    <w:rsid w:val="00B65AB2"/>
    <w:rsid w:val="00B70226"/>
    <w:rsid w:val="00B7191C"/>
    <w:rsid w:val="00B75F09"/>
    <w:rsid w:val="00B76288"/>
    <w:rsid w:val="00B770CD"/>
    <w:rsid w:val="00B81724"/>
    <w:rsid w:val="00B830A8"/>
    <w:rsid w:val="00B83F08"/>
    <w:rsid w:val="00B83FD1"/>
    <w:rsid w:val="00B8501C"/>
    <w:rsid w:val="00B852EC"/>
    <w:rsid w:val="00B867C9"/>
    <w:rsid w:val="00B910BE"/>
    <w:rsid w:val="00B92DFD"/>
    <w:rsid w:val="00B94555"/>
    <w:rsid w:val="00B958C5"/>
    <w:rsid w:val="00B958E1"/>
    <w:rsid w:val="00B96BA2"/>
    <w:rsid w:val="00B9782C"/>
    <w:rsid w:val="00BA11E2"/>
    <w:rsid w:val="00BA1C0B"/>
    <w:rsid w:val="00BA23DF"/>
    <w:rsid w:val="00BA420B"/>
    <w:rsid w:val="00BA42A1"/>
    <w:rsid w:val="00BA5588"/>
    <w:rsid w:val="00BA5698"/>
    <w:rsid w:val="00BA6021"/>
    <w:rsid w:val="00BA62EC"/>
    <w:rsid w:val="00BA72EE"/>
    <w:rsid w:val="00BA7C5C"/>
    <w:rsid w:val="00BA7C75"/>
    <w:rsid w:val="00BB1771"/>
    <w:rsid w:val="00BB1E01"/>
    <w:rsid w:val="00BB2705"/>
    <w:rsid w:val="00BB373A"/>
    <w:rsid w:val="00BB3993"/>
    <w:rsid w:val="00BB3B69"/>
    <w:rsid w:val="00BB4497"/>
    <w:rsid w:val="00BB4ACC"/>
    <w:rsid w:val="00BB4E33"/>
    <w:rsid w:val="00BB5C91"/>
    <w:rsid w:val="00BB6636"/>
    <w:rsid w:val="00BB6C2A"/>
    <w:rsid w:val="00BB6FCF"/>
    <w:rsid w:val="00BB757C"/>
    <w:rsid w:val="00BC1CEB"/>
    <w:rsid w:val="00BC4989"/>
    <w:rsid w:val="00BC4F56"/>
    <w:rsid w:val="00BC72F6"/>
    <w:rsid w:val="00BC7D96"/>
    <w:rsid w:val="00BD0097"/>
    <w:rsid w:val="00BD09C0"/>
    <w:rsid w:val="00BD1BE7"/>
    <w:rsid w:val="00BD2007"/>
    <w:rsid w:val="00BD2315"/>
    <w:rsid w:val="00BD37DA"/>
    <w:rsid w:val="00BD47ED"/>
    <w:rsid w:val="00BD6D14"/>
    <w:rsid w:val="00BD7B4B"/>
    <w:rsid w:val="00BE1E41"/>
    <w:rsid w:val="00BE1E62"/>
    <w:rsid w:val="00BE257F"/>
    <w:rsid w:val="00BE29D4"/>
    <w:rsid w:val="00BE4380"/>
    <w:rsid w:val="00BE4A33"/>
    <w:rsid w:val="00BE4E03"/>
    <w:rsid w:val="00BE4F69"/>
    <w:rsid w:val="00BE556E"/>
    <w:rsid w:val="00BE792F"/>
    <w:rsid w:val="00BE7DD6"/>
    <w:rsid w:val="00BF0050"/>
    <w:rsid w:val="00BF2F27"/>
    <w:rsid w:val="00BF32CA"/>
    <w:rsid w:val="00BF4395"/>
    <w:rsid w:val="00BF48C3"/>
    <w:rsid w:val="00BF5248"/>
    <w:rsid w:val="00BF5D01"/>
    <w:rsid w:val="00BF6B14"/>
    <w:rsid w:val="00BF6DD7"/>
    <w:rsid w:val="00C00041"/>
    <w:rsid w:val="00C004A4"/>
    <w:rsid w:val="00C00B42"/>
    <w:rsid w:val="00C00F0F"/>
    <w:rsid w:val="00C02245"/>
    <w:rsid w:val="00C02A75"/>
    <w:rsid w:val="00C033BD"/>
    <w:rsid w:val="00C04753"/>
    <w:rsid w:val="00C04F51"/>
    <w:rsid w:val="00C053E8"/>
    <w:rsid w:val="00C05A98"/>
    <w:rsid w:val="00C05B13"/>
    <w:rsid w:val="00C1046A"/>
    <w:rsid w:val="00C1161E"/>
    <w:rsid w:val="00C126DD"/>
    <w:rsid w:val="00C1297C"/>
    <w:rsid w:val="00C138C0"/>
    <w:rsid w:val="00C14F1C"/>
    <w:rsid w:val="00C15804"/>
    <w:rsid w:val="00C15DFB"/>
    <w:rsid w:val="00C164B8"/>
    <w:rsid w:val="00C16725"/>
    <w:rsid w:val="00C16CEB"/>
    <w:rsid w:val="00C17443"/>
    <w:rsid w:val="00C200B2"/>
    <w:rsid w:val="00C201BB"/>
    <w:rsid w:val="00C202F3"/>
    <w:rsid w:val="00C2037E"/>
    <w:rsid w:val="00C20610"/>
    <w:rsid w:val="00C20706"/>
    <w:rsid w:val="00C217E4"/>
    <w:rsid w:val="00C22071"/>
    <w:rsid w:val="00C23D51"/>
    <w:rsid w:val="00C25876"/>
    <w:rsid w:val="00C25A51"/>
    <w:rsid w:val="00C26EE4"/>
    <w:rsid w:val="00C301DE"/>
    <w:rsid w:val="00C306D3"/>
    <w:rsid w:val="00C30B74"/>
    <w:rsid w:val="00C30EB1"/>
    <w:rsid w:val="00C30F73"/>
    <w:rsid w:val="00C326DD"/>
    <w:rsid w:val="00C331A9"/>
    <w:rsid w:val="00C33263"/>
    <w:rsid w:val="00C33A0E"/>
    <w:rsid w:val="00C33D8D"/>
    <w:rsid w:val="00C34AD9"/>
    <w:rsid w:val="00C36578"/>
    <w:rsid w:val="00C36DE1"/>
    <w:rsid w:val="00C36DF4"/>
    <w:rsid w:val="00C371FB"/>
    <w:rsid w:val="00C372D0"/>
    <w:rsid w:val="00C37E3D"/>
    <w:rsid w:val="00C412FC"/>
    <w:rsid w:val="00C41A68"/>
    <w:rsid w:val="00C427A9"/>
    <w:rsid w:val="00C42BFE"/>
    <w:rsid w:val="00C42EAE"/>
    <w:rsid w:val="00C44E4B"/>
    <w:rsid w:val="00C45097"/>
    <w:rsid w:val="00C46BDE"/>
    <w:rsid w:val="00C46D16"/>
    <w:rsid w:val="00C46F99"/>
    <w:rsid w:val="00C477A5"/>
    <w:rsid w:val="00C51747"/>
    <w:rsid w:val="00C523E9"/>
    <w:rsid w:val="00C53137"/>
    <w:rsid w:val="00C543C4"/>
    <w:rsid w:val="00C543E4"/>
    <w:rsid w:val="00C55EAC"/>
    <w:rsid w:val="00C5620D"/>
    <w:rsid w:val="00C56856"/>
    <w:rsid w:val="00C577B4"/>
    <w:rsid w:val="00C60A4C"/>
    <w:rsid w:val="00C64F96"/>
    <w:rsid w:val="00C652AB"/>
    <w:rsid w:val="00C658D5"/>
    <w:rsid w:val="00C67707"/>
    <w:rsid w:val="00C70833"/>
    <w:rsid w:val="00C70F1F"/>
    <w:rsid w:val="00C70F36"/>
    <w:rsid w:val="00C71D0A"/>
    <w:rsid w:val="00C72490"/>
    <w:rsid w:val="00C72BBB"/>
    <w:rsid w:val="00C74191"/>
    <w:rsid w:val="00C74C21"/>
    <w:rsid w:val="00C7520F"/>
    <w:rsid w:val="00C75A57"/>
    <w:rsid w:val="00C80575"/>
    <w:rsid w:val="00C81683"/>
    <w:rsid w:val="00C83337"/>
    <w:rsid w:val="00C869CA"/>
    <w:rsid w:val="00C90145"/>
    <w:rsid w:val="00C90CF7"/>
    <w:rsid w:val="00C90D22"/>
    <w:rsid w:val="00C91800"/>
    <w:rsid w:val="00C9246F"/>
    <w:rsid w:val="00C92FA4"/>
    <w:rsid w:val="00C93BF5"/>
    <w:rsid w:val="00C947FB"/>
    <w:rsid w:val="00C94ACE"/>
    <w:rsid w:val="00C95277"/>
    <w:rsid w:val="00C95FB5"/>
    <w:rsid w:val="00C962F4"/>
    <w:rsid w:val="00C972F0"/>
    <w:rsid w:val="00CA09E4"/>
    <w:rsid w:val="00CA0F61"/>
    <w:rsid w:val="00CA196C"/>
    <w:rsid w:val="00CA1F1B"/>
    <w:rsid w:val="00CA2187"/>
    <w:rsid w:val="00CA3FCE"/>
    <w:rsid w:val="00CA61EF"/>
    <w:rsid w:val="00CA620F"/>
    <w:rsid w:val="00CA6229"/>
    <w:rsid w:val="00CB321C"/>
    <w:rsid w:val="00CB36A7"/>
    <w:rsid w:val="00CB38BE"/>
    <w:rsid w:val="00CB471F"/>
    <w:rsid w:val="00CB5385"/>
    <w:rsid w:val="00CB555D"/>
    <w:rsid w:val="00CB563B"/>
    <w:rsid w:val="00CB5C6B"/>
    <w:rsid w:val="00CC114E"/>
    <w:rsid w:val="00CC2771"/>
    <w:rsid w:val="00CC45F5"/>
    <w:rsid w:val="00CC5344"/>
    <w:rsid w:val="00CC639D"/>
    <w:rsid w:val="00CC6655"/>
    <w:rsid w:val="00CC6EAB"/>
    <w:rsid w:val="00CC7739"/>
    <w:rsid w:val="00CC7760"/>
    <w:rsid w:val="00CD0EDF"/>
    <w:rsid w:val="00CD1A3F"/>
    <w:rsid w:val="00CD28D5"/>
    <w:rsid w:val="00CD2E1F"/>
    <w:rsid w:val="00CD4C61"/>
    <w:rsid w:val="00CD665B"/>
    <w:rsid w:val="00CD7D92"/>
    <w:rsid w:val="00CE0982"/>
    <w:rsid w:val="00CE1570"/>
    <w:rsid w:val="00CE1AAA"/>
    <w:rsid w:val="00CE2626"/>
    <w:rsid w:val="00CE457B"/>
    <w:rsid w:val="00CE5230"/>
    <w:rsid w:val="00CE5399"/>
    <w:rsid w:val="00CE5D53"/>
    <w:rsid w:val="00CF099D"/>
    <w:rsid w:val="00CF1D31"/>
    <w:rsid w:val="00CF32A6"/>
    <w:rsid w:val="00CF37D1"/>
    <w:rsid w:val="00CF39F0"/>
    <w:rsid w:val="00CF3DB0"/>
    <w:rsid w:val="00CF40FE"/>
    <w:rsid w:val="00CF4B83"/>
    <w:rsid w:val="00CF548D"/>
    <w:rsid w:val="00CF6CF4"/>
    <w:rsid w:val="00CF71BE"/>
    <w:rsid w:val="00CF7A08"/>
    <w:rsid w:val="00CF7AA7"/>
    <w:rsid w:val="00D00A96"/>
    <w:rsid w:val="00D0420E"/>
    <w:rsid w:val="00D04704"/>
    <w:rsid w:val="00D07F8F"/>
    <w:rsid w:val="00D12C6D"/>
    <w:rsid w:val="00D13060"/>
    <w:rsid w:val="00D13AB7"/>
    <w:rsid w:val="00D152C5"/>
    <w:rsid w:val="00D153D5"/>
    <w:rsid w:val="00D1591C"/>
    <w:rsid w:val="00D17FAA"/>
    <w:rsid w:val="00D205A8"/>
    <w:rsid w:val="00D20BDB"/>
    <w:rsid w:val="00D21C73"/>
    <w:rsid w:val="00D24840"/>
    <w:rsid w:val="00D26ACA"/>
    <w:rsid w:val="00D30E83"/>
    <w:rsid w:val="00D332E7"/>
    <w:rsid w:val="00D358A2"/>
    <w:rsid w:val="00D37302"/>
    <w:rsid w:val="00D37CA8"/>
    <w:rsid w:val="00D37CE1"/>
    <w:rsid w:val="00D407E6"/>
    <w:rsid w:val="00D41117"/>
    <w:rsid w:val="00D417FF"/>
    <w:rsid w:val="00D41C37"/>
    <w:rsid w:val="00D41D1D"/>
    <w:rsid w:val="00D42443"/>
    <w:rsid w:val="00D43443"/>
    <w:rsid w:val="00D4357A"/>
    <w:rsid w:val="00D43D19"/>
    <w:rsid w:val="00D44DFC"/>
    <w:rsid w:val="00D464CD"/>
    <w:rsid w:val="00D46D75"/>
    <w:rsid w:val="00D46F30"/>
    <w:rsid w:val="00D47773"/>
    <w:rsid w:val="00D47EA8"/>
    <w:rsid w:val="00D50AB6"/>
    <w:rsid w:val="00D52E51"/>
    <w:rsid w:val="00D52E95"/>
    <w:rsid w:val="00D535F7"/>
    <w:rsid w:val="00D539E8"/>
    <w:rsid w:val="00D54BB3"/>
    <w:rsid w:val="00D57A0C"/>
    <w:rsid w:val="00D57AB3"/>
    <w:rsid w:val="00D57D55"/>
    <w:rsid w:val="00D605FC"/>
    <w:rsid w:val="00D64F8E"/>
    <w:rsid w:val="00D6512C"/>
    <w:rsid w:val="00D66AF8"/>
    <w:rsid w:val="00D70C7E"/>
    <w:rsid w:val="00D72623"/>
    <w:rsid w:val="00D73189"/>
    <w:rsid w:val="00D73B71"/>
    <w:rsid w:val="00D74B5F"/>
    <w:rsid w:val="00D74F26"/>
    <w:rsid w:val="00D755B8"/>
    <w:rsid w:val="00D75A88"/>
    <w:rsid w:val="00D75D89"/>
    <w:rsid w:val="00D76963"/>
    <w:rsid w:val="00D7787A"/>
    <w:rsid w:val="00D802B5"/>
    <w:rsid w:val="00D80560"/>
    <w:rsid w:val="00D80D1E"/>
    <w:rsid w:val="00D81A74"/>
    <w:rsid w:val="00D822A8"/>
    <w:rsid w:val="00D835C9"/>
    <w:rsid w:val="00D8387A"/>
    <w:rsid w:val="00D8454A"/>
    <w:rsid w:val="00D85447"/>
    <w:rsid w:val="00D862C2"/>
    <w:rsid w:val="00D86442"/>
    <w:rsid w:val="00D86490"/>
    <w:rsid w:val="00D8667C"/>
    <w:rsid w:val="00D86F9A"/>
    <w:rsid w:val="00D87F6F"/>
    <w:rsid w:val="00D90110"/>
    <w:rsid w:val="00D91412"/>
    <w:rsid w:val="00D91455"/>
    <w:rsid w:val="00D92351"/>
    <w:rsid w:val="00D92A19"/>
    <w:rsid w:val="00D92D21"/>
    <w:rsid w:val="00D930B6"/>
    <w:rsid w:val="00D93905"/>
    <w:rsid w:val="00D947D3"/>
    <w:rsid w:val="00D955AB"/>
    <w:rsid w:val="00D957F4"/>
    <w:rsid w:val="00D9639D"/>
    <w:rsid w:val="00DA2CBA"/>
    <w:rsid w:val="00DA4B1A"/>
    <w:rsid w:val="00DA7131"/>
    <w:rsid w:val="00DA716A"/>
    <w:rsid w:val="00DB1311"/>
    <w:rsid w:val="00DB1F6C"/>
    <w:rsid w:val="00DB22E2"/>
    <w:rsid w:val="00DB2573"/>
    <w:rsid w:val="00DB2D75"/>
    <w:rsid w:val="00DB2EBC"/>
    <w:rsid w:val="00DB4808"/>
    <w:rsid w:val="00DB58AE"/>
    <w:rsid w:val="00DB7133"/>
    <w:rsid w:val="00DB71E8"/>
    <w:rsid w:val="00DB78C6"/>
    <w:rsid w:val="00DC01BA"/>
    <w:rsid w:val="00DC2649"/>
    <w:rsid w:val="00DC2F9D"/>
    <w:rsid w:val="00DC3A14"/>
    <w:rsid w:val="00DC5049"/>
    <w:rsid w:val="00DC5FCE"/>
    <w:rsid w:val="00DC67B8"/>
    <w:rsid w:val="00DC6C43"/>
    <w:rsid w:val="00DC6D59"/>
    <w:rsid w:val="00DC746B"/>
    <w:rsid w:val="00DD0236"/>
    <w:rsid w:val="00DD11A0"/>
    <w:rsid w:val="00DD1950"/>
    <w:rsid w:val="00DD1A36"/>
    <w:rsid w:val="00DD407B"/>
    <w:rsid w:val="00DD44AA"/>
    <w:rsid w:val="00DD4AB7"/>
    <w:rsid w:val="00DD7AE9"/>
    <w:rsid w:val="00DD7CE5"/>
    <w:rsid w:val="00DD7E63"/>
    <w:rsid w:val="00DE006E"/>
    <w:rsid w:val="00DE0440"/>
    <w:rsid w:val="00DE4A08"/>
    <w:rsid w:val="00DE4C12"/>
    <w:rsid w:val="00DE515C"/>
    <w:rsid w:val="00DE5160"/>
    <w:rsid w:val="00DE553A"/>
    <w:rsid w:val="00DE593D"/>
    <w:rsid w:val="00DE6566"/>
    <w:rsid w:val="00DE67FD"/>
    <w:rsid w:val="00DE6C9B"/>
    <w:rsid w:val="00DE6FF7"/>
    <w:rsid w:val="00DE70CA"/>
    <w:rsid w:val="00DF12D4"/>
    <w:rsid w:val="00DF1692"/>
    <w:rsid w:val="00DF19C9"/>
    <w:rsid w:val="00DF1B9B"/>
    <w:rsid w:val="00DF3A79"/>
    <w:rsid w:val="00DF3B7F"/>
    <w:rsid w:val="00DF425B"/>
    <w:rsid w:val="00DF45EF"/>
    <w:rsid w:val="00DF5766"/>
    <w:rsid w:val="00DF7C65"/>
    <w:rsid w:val="00E0014C"/>
    <w:rsid w:val="00E02152"/>
    <w:rsid w:val="00E026DA"/>
    <w:rsid w:val="00E030B0"/>
    <w:rsid w:val="00E04456"/>
    <w:rsid w:val="00E12012"/>
    <w:rsid w:val="00E12350"/>
    <w:rsid w:val="00E1245D"/>
    <w:rsid w:val="00E139E7"/>
    <w:rsid w:val="00E15DE6"/>
    <w:rsid w:val="00E21613"/>
    <w:rsid w:val="00E2243C"/>
    <w:rsid w:val="00E23F6C"/>
    <w:rsid w:val="00E24B63"/>
    <w:rsid w:val="00E26116"/>
    <w:rsid w:val="00E268E9"/>
    <w:rsid w:val="00E2708D"/>
    <w:rsid w:val="00E30D13"/>
    <w:rsid w:val="00E32875"/>
    <w:rsid w:val="00E33584"/>
    <w:rsid w:val="00E33749"/>
    <w:rsid w:val="00E35E66"/>
    <w:rsid w:val="00E36724"/>
    <w:rsid w:val="00E36B43"/>
    <w:rsid w:val="00E37344"/>
    <w:rsid w:val="00E41C6B"/>
    <w:rsid w:val="00E42943"/>
    <w:rsid w:val="00E431B8"/>
    <w:rsid w:val="00E43A49"/>
    <w:rsid w:val="00E44324"/>
    <w:rsid w:val="00E4446A"/>
    <w:rsid w:val="00E45768"/>
    <w:rsid w:val="00E46AB7"/>
    <w:rsid w:val="00E47476"/>
    <w:rsid w:val="00E50FDA"/>
    <w:rsid w:val="00E51013"/>
    <w:rsid w:val="00E510CF"/>
    <w:rsid w:val="00E5176E"/>
    <w:rsid w:val="00E51EA9"/>
    <w:rsid w:val="00E52AF9"/>
    <w:rsid w:val="00E52C7B"/>
    <w:rsid w:val="00E535FA"/>
    <w:rsid w:val="00E54B1F"/>
    <w:rsid w:val="00E54BD4"/>
    <w:rsid w:val="00E554BB"/>
    <w:rsid w:val="00E56F14"/>
    <w:rsid w:val="00E57684"/>
    <w:rsid w:val="00E60A6C"/>
    <w:rsid w:val="00E60C9D"/>
    <w:rsid w:val="00E612F7"/>
    <w:rsid w:val="00E62264"/>
    <w:rsid w:val="00E64FD7"/>
    <w:rsid w:val="00E679C6"/>
    <w:rsid w:val="00E703A2"/>
    <w:rsid w:val="00E7070A"/>
    <w:rsid w:val="00E72874"/>
    <w:rsid w:val="00E72EA8"/>
    <w:rsid w:val="00E7381F"/>
    <w:rsid w:val="00E77A6B"/>
    <w:rsid w:val="00E81678"/>
    <w:rsid w:val="00E8292A"/>
    <w:rsid w:val="00E82E7E"/>
    <w:rsid w:val="00E834D2"/>
    <w:rsid w:val="00E839F8"/>
    <w:rsid w:val="00E85347"/>
    <w:rsid w:val="00E8562A"/>
    <w:rsid w:val="00E85985"/>
    <w:rsid w:val="00E8643F"/>
    <w:rsid w:val="00E90B54"/>
    <w:rsid w:val="00E9136F"/>
    <w:rsid w:val="00E91B0C"/>
    <w:rsid w:val="00E9255D"/>
    <w:rsid w:val="00E933DE"/>
    <w:rsid w:val="00E9355F"/>
    <w:rsid w:val="00E95CFE"/>
    <w:rsid w:val="00E97634"/>
    <w:rsid w:val="00EA01B5"/>
    <w:rsid w:val="00EA0AA6"/>
    <w:rsid w:val="00EA0E7D"/>
    <w:rsid w:val="00EA1F9A"/>
    <w:rsid w:val="00EA2B49"/>
    <w:rsid w:val="00EA5BEA"/>
    <w:rsid w:val="00EA67DA"/>
    <w:rsid w:val="00EA6B04"/>
    <w:rsid w:val="00EB0772"/>
    <w:rsid w:val="00EB0AAD"/>
    <w:rsid w:val="00EB2F66"/>
    <w:rsid w:val="00EB329D"/>
    <w:rsid w:val="00EB423A"/>
    <w:rsid w:val="00EB4F45"/>
    <w:rsid w:val="00EB5197"/>
    <w:rsid w:val="00EB5F17"/>
    <w:rsid w:val="00EB7890"/>
    <w:rsid w:val="00EC008E"/>
    <w:rsid w:val="00EC1107"/>
    <w:rsid w:val="00EC1343"/>
    <w:rsid w:val="00EC33EB"/>
    <w:rsid w:val="00EC3FA0"/>
    <w:rsid w:val="00EC5530"/>
    <w:rsid w:val="00EC5DEC"/>
    <w:rsid w:val="00EC6950"/>
    <w:rsid w:val="00EC72E6"/>
    <w:rsid w:val="00EC77D4"/>
    <w:rsid w:val="00ED0235"/>
    <w:rsid w:val="00ED12A1"/>
    <w:rsid w:val="00ED23D9"/>
    <w:rsid w:val="00ED23F8"/>
    <w:rsid w:val="00ED2E9C"/>
    <w:rsid w:val="00ED3868"/>
    <w:rsid w:val="00ED4340"/>
    <w:rsid w:val="00ED54AA"/>
    <w:rsid w:val="00EE0D95"/>
    <w:rsid w:val="00EE1931"/>
    <w:rsid w:val="00EE262B"/>
    <w:rsid w:val="00EE2702"/>
    <w:rsid w:val="00EE2F23"/>
    <w:rsid w:val="00EE54AE"/>
    <w:rsid w:val="00EE6E67"/>
    <w:rsid w:val="00EE7A37"/>
    <w:rsid w:val="00EF095A"/>
    <w:rsid w:val="00EF12CE"/>
    <w:rsid w:val="00EF2328"/>
    <w:rsid w:val="00EF39FD"/>
    <w:rsid w:val="00EF4299"/>
    <w:rsid w:val="00EF4C37"/>
    <w:rsid w:val="00EF6035"/>
    <w:rsid w:val="00EF7A80"/>
    <w:rsid w:val="00EF7B51"/>
    <w:rsid w:val="00F006A8"/>
    <w:rsid w:val="00F01461"/>
    <w:rsid w:val="00F017AF"/>
    <w:rsid w:val="00F04D59"/>
    <w:rsid w:val="00F05060"/>
    <w:rsid w:val="00F06AB2"/>
    <w:rsid w:val="00F06DD9"/>
    <w:rsid w:val="00F07456"/>
    <w:rsid w:val="00F079F8"/>
    <w:rsid w:val="00F11682"/>
    <w:rsid w:val="00F11886"/>
    <w:rsid w:val="00F1224F"/>
    <w:rsid w:val="00F12A33"/>
    <w:rsid w:val="00F139AC"/>
    <w:rsid w:val="00F13D07"/>
    <w:rsid w:val="00F161E2"/>
    <w:rsid w:val="00F165DD"/>
    <w:rsid w:val="00F166BD"/>
    <w:rsid w:val="00F16E48"/>
    <w:rsid w:val="00F20AC0"/>
    <w:rsid w:val="00F217CB"/>
    <w:rsid w:val="00F2270E"/>
    <w:rsid w:val="00F227BC"/>
    <w:rsid w:val="00F259EB"/>
    <w:rsid w:val="00F26542"/>
    <w:rsid w:val="00F271E0"/>
    <w:rsid w:val="00F27CBB"/>
    <w:rsid w:val="00F27CE6"/>
    <w:rsid w:val="00F311EF"/>
    <w:rsid w:val="00F317DF"/>
    <w:rsid w:val="00F31D94"/>
    <w:rsid w:val="00F32031"/>
    <w:rsid w:val="00F32370"/>
    <w:rsid w:val="00F35080"/>
    <w:rsid w:val="00F350B9"/>
    <w:rsid w:val="00F35C59"/>
    <w:rsid w:val="00F4029B"/>
    <w:rsid w:val="00F42CD4"/>
    <w:rsid w:val="00F43C6D"/>
    <w:rsid w:val="00F44122"/>
    <w:rsid w:val="00F45C03"/>
    <w:rsid w:val="00F4682F"/>
    <w:rsid w:val="00F46CAD"/>
    <w:rsid w:val="00F46DCB"/>
    <w:rsid w:val="00F4751D"/>
    <w:rsid w:val="00F477FC"/>
    <w:rsid w:val="00F4780D"/>
    <w:rsid w:val="00F47B85"/>
    <w:rsid w:val="00F47F71"/>
    <w:rsid w:val="00F50134"/>
    <w:rsid w:val="00F50238"/>
    <w:rsid w:val="00F5086D"/>
    <w:rsid w:val="00F515CC"/>
    <w:rsid w:val="00F522EF"/>
    <w:rsid w:val="00F523A2"/>
    <w:rsid w:val="00F5322E"/>
    <w:rsid w:val="00F53492"/>
    <w:rsid w:val="00F563B3"/>
    <w:rsid w:val="00F56C5C"/>
    <w:rsid w:val="00F573EE"/>
    <w:rsid w:val="00F60043"/>
    <w:rsid w:val="00F606AD"/>
    <w:rsid w:val="00F63170"/>
    <w:rsid w:val="00F6573B"/>
    <w:rsid w:val="00F65C3C"/>
    <w:rsid w:val="00F66821"/>
    <w:rsid w:val="00F66E35"/>
    <w:rsid w:val="00F67070"/>
    <w:rsid w:val="00F713CF"/>
    <w:rsid w:val="00F72363"/>
    <w:rsid w:val="00F731E9"/>
    <w:rsid w:val="00F741F6"/>
    <w:rsid w:val="00F74D7B"/>
    <w:rsid w:val="00F7601F"/>
    <w:rsid w:val="00F76952"/>
    <w:rsid w:val="00F76D8F"/>
    <w:rsid w:val="00F77E58"/>
    <w:rsid w:val="00F813D5"/>
    <w:rsid w:val="00F82642"/>
    <w:rsid w:val="00F8291B"/>
    <w:rsid w:val="00F83688"/>
    <w:rsid w:val="00F83F14"/>
    <w:rsid w:val="00F8519B"/>
    <w:rsid w:val="00F85B5B"/>
    <w:rsid w:val="00F86284"/>
    <w:rsid w:val="00F901BC"/>
    <w:rsid w:val="00F90B0E"/>
    <w:rsid w:val="00F90D58"/>
    <w:rsid w:val="00F91CED"/>
    <w:rsid w:val="00F92E9E"/>
    <w:rsid w:val="00F9339F"/>
    <w:rsid w:val="00F93B5D"/>
    <w:rsid w:val="00F93E48"/>
    <w:rsid w:val="00F946C3"/>
    <w:rsid w:val="00F94E73"/>
    <w:rsid w:val="00F9585E"/>
    <w:rsid w:val="00F96056"/>
    <w:rsid w:val="00F96062"/>
    <w:rsid w:val="00F97F5B"/>
    <w:rsid w:val="00FA3F0B"/>
    <w:rsid w:val="00FA4D0E"/>
    <w:rsid w:val="00FA5345"/>
    <w:rsid w:val="00FA60B8"/>
    <w:rsid w:val="00FA6977"/>
    <w:rsid w:val="00FA6B3D"/>
    <w:rsid w:val="00FA735A"/>
    <w:rsid w:val="00FA7BEC"/>
    <w:rsid w:val="00FB0192"/>
    <w:rsid w:val="00FB0F4C"/>
    <w:rsid w:val="00FB17AB"/>
    <w:rsid w:val="00FB23AB"/>
    <w:rsid w:val="00FB46D5"/>
    <w:rsid w:val="00FB5456"/>
    <w:rsid w:val="00FB5C74"/>
    <w:rsid w:val="00FB6031"/>
    <w:rsid w:val="00FB6424"/>
    <w:rsid w:val="00FB74CF"/>
    <w:rsid w:val="00FB7729"/>
    <w:rsid w:val="00FC1A8C"/>
    <w:rsid w:val="00FC2A96"/>
    <w:rsid w:val="00FC4032"/>
    <w:rsid w:val="00FC61CB"/>
    <w:rsid w:val="00FC6B8D"/>
    <w:rsid w:val="00FC7AF9"/>
    <w:rsid w:val="00FD1DDA"/>
    <w:rsid w:val="00FD2EC9"/>
    <w:rsid w:val="00FD3FDF"/>
    <w:rsid w:val="00FD5CBF"/>
    <w:rsid w:val="00FD6CE3"/>
    <w:rsid w:val="00FD711B"/>
    <w:rsid w:val="00FD7479"/>
    <w:rsid w:val="00FE06A5"/>
    <w:rsid w:val="00FE2019"/>
    <w:rsid w:val="00FE390D"/>
    <w:rsid w:val="00FE3B46"/>
    <w:rsid w:val="00FE3F94"/>
    <w:rsid w:val="00FE5CE6"/>
    <w:rsid w:val="00FE6121"/>
    <w:rsid w:val="00FF21BC"/>
    <w:rsid w:val="00FF4330"/>
    <w:rsid w:val="00FF4E8F"/>
    <w:rsid w:val="00FF5F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C30F73"/>
    <w:pPr>
      <w:suppressAutoHyphens/>
    </w:pPr>
    <w:rPr>
      <w:rFonts w:ascii="Times New Roman" w:eastAsia="Times New Roman" w:hAnsi="Times New Roman"/>
      <w:sz w:val="24"/>
      <w:lang w:val="fr-FR" w:eastAsia="fr-FR"/>
    </w:rPr>
  </w:style>
  <w:style w:type="paragraph" w:styleId="Nagwek1">
    <w:name w:val="heading 1"/>
    <w:basedOn w:val="Normalny"/>
    <w:next w:val="Normalny"/>
    <w:link w:val="Nagwek1Znak"/>
    <w:uiPriority w:val="99"/>
    <w:qFormat/>
    <w:rsid w:val="00C30F73"/>
    <w:pPr>
      <w:keepNext/>
      <w:spacing w:before="360" w:after="240"/>
      <w:jc w:val="center"/>
      <w:outlineLvl w:val="0"/>
    </w:pPr>
    <w:rPr>
      <w:b/>
      <w:sz w:val="28"/>
    </w:rPr>
  </w:style>
  <w:style w:type="paragraph" w:styleId="Nagwek2">
    <w:name w:val="heading 2"/>
    <w:basedOn w:val="Normalny"/>
    <w:next w:val="Normalny"/>
    <w:link w:val="Nagwek2Znak"/>
    <w:uiPriority w:val="99"/>
    <w:qFormat/>
    <w:rsid w:val="00C30F73"/>
    <w:pPr>
      <w:keepNext/>
      <w:spacing w:before="240" w:after="120"/>
      <w:ind w:left="284" w:hanging="284"/>
      <w:outlineLvl w:val="1"/>
    </w:pPr>
    <w:rPr>
      <w:b/>
    </w:rPr>
  </w:style>
  <w:style w:type="paragraph" w:styleId="Nagwek3">
    <w:name w:val="heading 3"/>
    <w:basedOn w:val="Normalny"/>
    <w:next w:val="Normalny"/>
    <w:link w:val="Nagwek3Znak"/>
    <w:uiPriority w:val="99"/>
    <w:qFormat/>
    <w:rsid w:val="00C30F73"/>
    <w:pPr>
      <w:keepNext/>
      <w:spacing w:before="120" w:after="60"/>
      <w:ind w:left="1418" w:hanging="851"/>
      <w:outlineLvl w:val="2"/>
    </w:pPr>
    <w:rPr>
      <w:i/>
    </w:rPr>
  </w:style>
  <w:style w:type="paragraph" w:styleId="Nagwek4">
    <w:name w:val="heading 4"/>
    <w:basedOn w:val="Normalny"/>
    <w:next w:val="Normalny"/>
    <w:link w:val="Nagwek4Znak"/>
    <w:uiPriority w:val="99"/>
    <w:qFormat/>
    <w:rsid w:val="00C30F73"/>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C30F73"/>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C30F73"/>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C30F73"/>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C30F73"/>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C30F7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30F73"/>
    <w:rPr>
      <w:rFonts w:ascii="Times New Roman" w:hAnsi="Times New Roman" w:cs="Times New Roman"/>
      <w:b/>
      <w:sz w:val="20"/>
      <w:szCs w:val="20"/>
      <w:lang w:val="fr-FR" w:eastAsia="fr-FR"/>
    </w:rPr>
  </w:style>
  <w:style w:type="character" w:customStyle="1" w:styleId="Nagwek2Znak">
    <w:name w:val="Nagłówek 2 Znak"/>
    <w:link w:val="Nagwek2"/>
    <w:uiPriority w:val="99"/>
    <w:locked/>
    <w:rsid w:val="00C30F73"/>
    <w:rPr>
      <w:rFonts w:ascii="Times New Roman" w:hAnsi="Times New Roman" w:cs="Times New Roman"/>
      <w:b/>
      <w:sz w:val="20"/>
      <w:szCs w:val="20"/>
      <w:lang w:val="fr-FR" w:eastAsia="fr-FR"/>
    </w:rPr>
  </w:style>
  <w:style w:type="character" w:customStyle="1" w:styleId="Nagwek3Znak">
    <w:name w:val="Nagłówek 3 Znak"/>
    <w:link w:val="Nagwek3"/>
    <w:uiPriority w:val="99"/>
    <w:locked/>
    <w:rsid w:val="00C30F73"/>
    <w:rPr>
      <w:rFonts w:ascii="Times New Roman" w:hAnsi="Times New Roman" w:cs="Times New Roman"/>
      <w:i/>
      <w:sz w:val="20"/>
      <w:szCs w:val="20"/>
      <w:lang w:val="fr-FR" w:eastAsia="fr-FR"/>
    </w:rPr>
  </w:style>
  <w:style w:type="character" w:customStyle="1" w:styleId="Nagwek4Znak">
    <w:name w:val="Nagłówek 4 Znak"/>
    <w:link w:val="Nagwek4"/>
    <w:uiPriority w:val="99"/>
    <w:locked/>
    <w:rsid w:val="00C30F73"/>
    <w:rPr>
      <w:rFonts w:ascii="Courier" w:hAnsi="Courier" w:cs="Times New Roman"/>
      <w:snapToGrid w:val="0"/>
      <w:sz w:val="20"/>
      <w:szCs w:val="20"/>
      <w:lang w:val="en-US"/>
    </w:rPr>
  </w:style>
  <w:style w:type="character" w:customStyle="1" w:styleId="Nagwek5Znak">
    <w:name w:val="Nagłówek 5 Znak"/>
    <w:link w:val="Nagwek5"/>
    <w:uiPriority w:val="99"/>
    <w:locked/>
    <w:rsid w:val="00C30F73"/>
    <w:rPr>
      <w:rFonts w:ascii="Courier" w:hAnsi="Courier" w:cs="Times New Roman"/>
      <w:snapToGrid w:val="0"/>
      <w:sz w:val="20"/>
      <w:szCs w:val="20"/>
      <w:lang w:val="en-US"/>
    </w:rPr>
  </w:style>
  <w:style w:type="character" w:customStyle="1" w:styleId="Nagwek6Znak">
    <w:name w:val="Nagłówek 6 Znak"/>
    <w:link w:val="Nagwek6"/>
    <w:uiPriority w:val="99"/>
    <w:locked/>
    <w:rsid w:val="00C30F73"/>
    <w:rPr>
      <w:rFonts w:ascii="Courier" w:hAnsi="Courier" w:cs="Times New Roman"/>
      <w:snapToGrid w:val="0"/>
      <w:sz w:val="20"/>
      <w:szCs w:val="20"/>
      <w:lang w:val="en-US"/>
    </w:rPr>
  </w:style>
  <w:style w:type="character" w:customStyle="1" w:styleId="Nagwek7Znak">
    <w:name w:val="Nagłówek 7 Znak"/>
    <w:link w:val="Nagwek7"/>
    <w:uiPriority w:val="99"/>
    <w:locked/>
    <w:rsid w:val="00C30F73"/>
    <w:rPr>
      <w:rFonts w:ascii="Courier" w:hAnsi="Courier" w:cs="Times New Roman"/>
      <w:snapToGrid w:val="0"/>
      <w:sz w:val="20"/>
      <w:szCs w:val="20"/>
      <w:lang w:val="en-US"/>
    </w:rPr>
  </w:style>
  <w:style w:type="character" w:customStyle="1" w:styleId="Nagwek8Znak">
    <w:name w:val="Nagłówek 8 Znak"/>
    <w:link w:val="Nagwek8"/>
    <w:uiPriority w:val="99"/>
    <w:locked/>
    <w:rsid w:val="00C30F73"/>
    <w:rPr>
      <w:rFonts w:ascii="Courier" w:hAnsi="Courier" w:cs="Times New Roman"/>
      <w:snapToGrid w:val="0"/>
      <w:sz w:val="20"/>
      <w:szCs w:val="20"/>
      <w:lang w:val="en-US"/>
    </w:rPr>
  </w:style>
  <w:style w:type="character" w:customStyle="1" w:styleId="Nagwek9Znak">
    <w:name w:val="Nagłówek 9 Znak"/>
    <w:link w:val="Nagwek9"/>
    <w:uiPriority w:val="99"/>
    <w:locked/>
    <w:rsid w:val="00C30F73"/>
    <w:rPr>
      <w:rFonts w:ascii="Times New Roman" w:hAnsi="Times New Roman" w:cs="Times New Roman"/>
      <w:i/>
      <w:spacing w:val="-2"/>
      <w:sz w:val="20"/>
      <w:szCs w:val="20"/>
      <w:lang w:val="fr-FR" w:eastAsia="fr-FR"/>
    </w:rPr>
  </w:style>
  <w:style w:type="paragraph" w:styleId="Tekstdymka">
    <w:name w:val="Balloon Text"/>
    <w:basedOn w:val="Normalny"/>
    <w:link w:val="TekstdymkaZnak"/>
    <w:uiPriority w:val="99"/>
    <w:semiHidden/>
    <w:rsid w:val="00C30F73"/>
    <w:rPr>
      <w:rFonts w:ascii="Tahoma" w:hAnsi="Tahoma" w:cs="Tahoma"/>
      <w:sz w:val="16"/>
      <w:szCs w:val="16"/>
    </w:rPr>
  </w:style>
  <w:style w:type="character" w:customStyle="1" w:styleId="TekstdymkaZnak">
    <w:name w:val="Tekst dymka Znak"/>
    <w:link w:val="Tekstdymka"/>
    <w:uiPriority w:val="99"/>
    <w:semiHidden/>
    <w:locked/>
    <w:rsid w:val="00C30F73"/>
    <w:rPr>
      <w:rFonts w:ascii="Tahoma" w:hAnsi="Tahoma" w:cs="Tahoma"/>
      <w:sz w:val="16"/>
      <w:szCs w:val="16"/>
      <w:lang w:val="fr-FR" w:eastAsia="fr-FR"/>
    </w:rPr>
  </w:style>
  <w:style w:type="paragraph" w:customStyle="1" w:styleId="OpiHA">
    <w:name w:val="Opi_H_A"/>
    <w:basedOn w:val="JuHIRoman"/>
    <w:next w:val="OpiPara"/>
    <w:uiPriority w:val="99"/>
    <w:rsid w:val="00C30F73"/>
    <w:pPr>
      <w:tabs>
        <w:tab w:val="clear" w:pos="357"/>
      </w:tabs>
    </w:pPr>
    <w:rPr>
      <w:b/>
    </w:rPr>
  </w:style>
  <w:style w:type="paragraph" w:customStyle="1" w:styleId="JuHIRoman">
    <w:name w:val="Ju_H_I_Roman"/>
    <w:basedOn w:val="JuHHead"/>
    <w:next w:val="JuPara"/>
    <w:link w:val="JuHIRomanChar"/>
    <w:uiPriority w:val="99"/>
    <w:rsid w:val="00C30F73"/>
    <w:pPr>
      <w:tabs>
        <w:tab w:val="left" w:pos="357"/>
      </w:tabs>
      <w:spacing w:before="360"/>
      <w:ind w:left="357" w:hanging="357"/>
      <w:outlineLvl w:val="1"/>
    </w:pPr>
    <w:rPr>
      <w:rFonts w:eastAsia="Calibri"/>
      <w:sz w:val="20"/>
    </w:rPr>
  </w:style>
  <w:style w:type="paragraph" w:customStyle="1" w:styleId="JuHHead">
    <w:name w:val="Ju_H_Head"/>
    <w:basedOn w:val="NormalTimesNewRoman"/>
    <w:next w:val="JuPara"/>
    <w:uiPriority w:val="99"/>
    <w:rsid w:val="00C30F73"/>
    <w:pPr>
      <w:keepNext/>
      <w:keepLines/>
      <w:spacing w:before="720" w:after="240"/>
      <w:jc w:val="both"/>
      <w:outlineLvl w:val="0"/>
    </w:pPr>
    <w:rPr>
      <w:sz w:val="28"/>
    </w:rPr>
  </w:style>
  <w:style w:type="paragraph" w:customStyle="1" w:styleId="NormalTimesNewRoman">
    <w:name w:val="Normal_TimesNewRoman"/>
    <w:uiPriority w:val="99"/>
    <w:rsid w:val="00C30F73"/>
    <w:rPr>
      <w:rFonts w:ascii="Times New Roman" w:eastAsia="Times New Roman" w:hAnsi="Times New Roman"/>
      <w:sz w:val="24"/>
      <w:lang w:val="fr-FR" w:eastAsia="fr-FR"/>
    </w:rPr>
  </w:style>
  <w:style w:type="paragraph" w:customStyle="1" w:styleId="JuPara">
    <w:name w:val="Ju_Para"/>
    <w:aliases w:val="Left,First line:  0 cm,ECHR_Para"/>
    <w:basedOn w:val="NormalTimesNewRoman"/>
    <w:link w:val="JuParaCar"/>
    <w:uiPriority w:val="99"/>
    <w:rsid w:val="00C30F73"/>
    <w:pPr>
      <w:ind w:firstLine="284"/>
      <w:jc w:val="both"/>
    </w:pPr>
    <w:rPr>
      <w:rFonts w:eastAsia="Calibri"/>
      <w:sz w:val="20"/>
    </w:rPr>
  </w:style>
  <w:style w:type="character" w:customStyle="1" w:styleId="JuParaCar">
    <w:name w:val="Ju_Para Car"/>
    <w:link w:val="JuPara"/>
    <w:uiPriority w:val="99"/>
    <w:locked/>
    <w:rsid w:val="00C30F73"/>
    <w:rPr>
      <w:rFonts w:ascii="Times New Roman" w:hAnsi="Times New Roman"/>
      <w:sz w:val="20"/>
      <w:lang w:val="fr-FR" w:eastAsia="fr-FR"/>
    </w:rPr>
  </w:style>
  <w:style w:type="character" w:customStyle="1" w:styleId="JuHIRomanChar">
    <w:name w:val="Ju_H_I_Roman Char"/>
    <w:link w:val="JuHIRoman"/>
    <w:uiPriority w:val="99"/>
    <w:locked/>
    <w:rsid w:val="00C30F73"/>
    <w:rPr>
      <w:rFonts w:ascii="Times New Roman" w:hAnsi="Times New Roman"/>
      <w:sz w:val="20"/>
      <w:lang w:val="fr-FR" w:eastAsia="fr-FR"/>
    </w:rPr>
  </w:style>
  <w:style w:type="paragraph" w:customStyle="1" w:styleId="OpiPara">
    <w:name w:val="Opi_Para"/>
    <w:basedOn w:val="JuPara"/>
    <w:uiPriority w:val="99"/>
    <w:rsid w:val="00C30F73"/>
  </w:style>
  <w:style w:type="character" w:customStyle="1" w:styleId="DefaultTimesNewRoman">
    <w:name w:val="Default_TimesNewRoman"/>
    <w:uiPriority w:val="99"/>
    <w:rsid w:val="00C30F73"/>
    <w:rPr>
      <w:rFonts w:ascii="Times New Roman" w:hAnsi="Times New Roman"/>
    </w:rPr>
  </w:style>
  <w:style w:type="paragraph" w:customStyle="1" w:styleId="OpiH1">
    <w:name w:val="Opi_H_1."/>
    <w:basedOn w:val="OpiHA"/>
    <w:next w:val="OpiPara"/>
    <w:uiPriority w:val="99"/>
    <w:rsid w:val="00C30F73"/>
    <w:pPr>
      <w:spacing w:before="240" w:after="120"/>
      <w:ind w:left="635"/>
      <w:outlineLvl w:val="2"/>
    </w:pPr>
    <w:rPr>
      <w:b w:val="0"/>
      <w:i/>
    </w:rPr>
  </w:style>
  <w:style w:type="paragraph" w:customStyle="1" w:styleId="OpiHa0">
    <w:name w:val="Opi_H_a"/>
    <w:basedOn w:val="OpiH1"/>
    <w:next w:val="OpiPara"/>
    <w:uiPriority w:val="99"/>
    <w:rsid w:val="00C30F73"/>
    <w:pPr>
      <w:ind w:left="833"/>
      <w:outlineLvl w:val="3"/>
    </w:pPr>
    <w:rPr>
      <w:b/>
      <w:i w:val="0"/>
    </w:rPr>
  </w:style>
  <w:style w:type="paragraph" w:customStyle="1" w:styleId="OpiHHead">
    <w:name w:val="Opi_H_Head"/>
    <w:basedOn w:val="JuHHead"/>
    <w:next w:val="OpiPara"/>
    <w:uiPriority w:val="99"/>
    <w:rsid w:val="00C30F73"/>
    <w:pPr>
      <w:spacing w:before="0"/>
      <w:jc w:val="center"/>
    </w:pPr>
  </w:style>
  <w:style w:type="paragraph" w:customStyle="1" w:styleId="OpiHi">
    <w:name w:val="Opi_H_i"/>
    <w:basedOn w:val="OpiHa0"/>
    <w:next w:val="OpiPara"/>
    <w:uiPriority w:val="99"/>
    <w:rsid w:val="00C30F73"/>
    <w:pPr>
      <w:ind w:left="1037"/>
      <w:outlineLvl w:val="4"/>
    </w:pPr>
    <w:rPr>
      <w:b w:val="0"/>
      <w:i/>
    </w:rPr>
  </w:style>
  <w:style w:type="paragraph" w:styleId="Stopka">
    <w:name w:val="footer"/>
    <w:basedOn w:val="Normalny"/>
    <w:link w:val="StopkaZnak"/>
    <w:uiPriority w:val="99"/>
    <w:rsid w:val="00C30F73"/>
    <w:pPr>
      <w:tabs>
        <w:tab w:val="center" w:pos="3686"/>
        <w:tab w:val="right" w:pos="7371"/>
      </w:tabs>
    </w:pPr>
    <w:rPr>
      <w:sz w:val="18"/>
    </w:rPr>
  </w:style>
  <w:style w:type="character" w:customStyle="1" w:styleId="StopkaZnak">
    <w:name w:val="Stopka Znak"/>
    <w:link w:val="Stopka"/>
    <w:uiPriority w:val="99"/>
    <w:locked/>
    <w:rsid w:val="00C30F73"/>
    <w:rPr>
      <w:rFonts w:ascii="Times New Roman" w:hAnsi="Times New Roman" w:cs="Times New Roman"/>
      <w:sz w:val="20"/>
      <w:szCs w:val="20"/>
      <w:lang w:val="fr-FR" w:eastAsia="fr-FR"/>
    </w:rPr>
  </w:style>
  <w:style w:type="paragraph" w:customStyle="1" w:styleId="JuJudges">
    <w:name w:val="Ju_Judges"/>
    <w:basedOn w:val="NormalTimesNewRoman"/>
    <w:link w:val="JuJudgesChar"/>
    <w:uiPriority w:val="99"/>
    <w:rsid w:val="00C30F73"/>
    <w:pPr>
      <w:tabs>
        <w:tab w:val="left" w:pos="567"/>
        <w:tab w:val="left" w:pos="1134"/>
      </w:tabs>
    </w:pPr>
    <w:rPr>
      <w:rFonts w:eastAsia="Calibri"/>
      <w:sz w:val="20"/>
    </w:rPr>
  </w:style>
  <w:style w:type="character" w:customStyle="1" w:styleId="JuJudgesChar">
    <w:name w:val="Ju_Judges Char"/>
    <w:link w:val="JuJudges"/>
    <w:uiPriority w:val="99"/>
    <w:locked/>
    <w:rsid w:val="00C30F73"/>
    <w:rPr>
      <w:rFonts w:ascii="Times New Roman" w:hAnsi="Times New Roman"/>
      <w:sz w:val="20"/>
      <w:lang w:val="fr-FR" w:eastAsia="fr-FR"/>
    </w:rPr>
  </w:style>
  <w:style w:type="character" w:styleId="Pogrubienie">
    <w:name w:val="Strong"/>
    <w:uiPriority w:val="99"/>
    <w:qFormat/>
    <w:rsid w:val="00C30F73"/>
    <w:rPr>
      <w:rFonts w:cs="Times New Roman"/>
      <w:b/>
    </w:rPr>
  </w:style>
  <w:style w:type="paragraph" w:customStyle="1" w:styleId="JuHA">
    <w:name w:val="Ju_H_A"/>
    <w:basedOn w:val="JuHIRoman"/>
    <w:next w:val="JuPara"/>
    <w:uiPriority w:val="99"/>
    <w:rsid w:val="00C30F73"/>
    <w:pPr>
      <w:tabs>
        <w:tab w:val="clear" w:pos="357"/>
        <w:tab w:val="left" w:pos="584"/>
      </w:tabs>
      <w:ind w:left="584" w:hanging="352"/>
      <w:outlineLvl w:val="2"/>
    </w:pPr>
    <w:rPr>
      <w:b/>
    </w:rPr>
  </w:style>
  <w:style w:type="paragraph" w:customStyle="1" w:styleId="JuQuot">
    <w:name w:val="Ju_Quot"/>
    <w:basedOn w:val="JuPara"/>
    <w:uiPriority w:val="99"/>
    <w:rsid w:val="00C30F73"/>
    <w:pPr>
      <w:spacing w:before="120" w:after="120"/>
      <w:ind w:left="425" w:firstLine="142"/>
    </w:pPr>
  </w:style>
  <w:style w:type="paragraph" w:customStyle="1" w:styleId="JuSigned">
    <w:name w:val="Ju_Signed"/>
    <w:basedOn w:val="NormalTimesNewRoman"/>
    <w:next w:val="JuParaLast"/>
    <w:uiPriority w:val="99"/>
    <w:rsid w:val="00C30F73"/>
    <w:pPr>
      <w:tabs>
        <w:tab w:val="center" w:pos="851"/>
        <w:tab w:val="center" w:pos="6407"/>
      </w:tabs>
      <w:spacing w:before="720"/>
    </w:pPr>
  </w:style>
  <w:style w:type="paragraph" w:customStyle="1" w:styleId="JuParaLast">
    <w:name w:val="Ju_Para_Last"/>
    <w:basedOn w:val="JuPara"/>
    <w:next w:val="JuPara"/>
    <w:uiPriority w:val="99"/>
    <w:rsid w:val="00C30F73"/>
    <w:pPr>
      <w:keepNext/>
      <w:keepLines/>
      <w:spacing w:before="240"/>
    </w:pPr>
  </w:style>
  <w:style w:type="paragraph" w:customStyle="1" w:styleId="JuCase">
    <w:name w:val="Ju_Case"/>
    <w:basedOn w:val="JuPara"/>
    <w:next w:val="JuPara"/>
    <w:uiPriority w:val="99"/>
    <w:rsid w:val="00C30F73"/>
    <w:rPr>
      <w:b/>
    </w:rPr>
  </w:style>
  <w:style w:type="paragraph" w:customStyle="1" w:styleId="JuList">
    <w:name w:val="Ju_List"/>
    <w:basedOn w:val="JuPara"/>
    <w:uiPriority w:val="99"/>
    <w:rsid w:val="00C30F73"/>
    <w:pPr>
      <w:ind w:left="340" w:hanging="340"/>
    </w:pPr>
  </w:style>
  <w:style w:type="paragraph" w:customStyle="1" w:styleId="JuHArticle">
    <w:name w:val="Ju_H_Article"/>
    <w:basedOn w:val="JuHa0"/>
    <w:next w:val="JuQuot"/>
    <w:uiPriority w:val="99"/>
    <w:rsid w:val="00C30F73"/>
    <w:pPr>
      <w:ind w:left="0" w:firstLine="0"/>
      <w:jc w:val="center"/>
    </w:pPr>
  </w:style>
  <w:style w:type="paragraph" w:customStyle="1" w:styleId="JuHa0">
    <w:name w:val="Ju_H_a"/>
    <w:basedOn w:val="JuH1"/>
    <w:next w:val="JuPara"/>
    <w:uiPriority w:val="99"/>
    <w:rsid w:val="00C30F73"/>
    <w:pPr>
      <w:tabs>
        <w:tab w:val="clear" w:pos="731"/>
        <w:tab w:val="left" w:pos="975"/>
      </w:tabs>
      <w:ind w:left="975" w:hanging="340"/>
      <w:outlineLvl w:val="4"/>
    </w:pPr>
    <w:rPr>
      <w:b/>
      <w:i w:val="0"/>
    </w:rPr>
  </w:style>
  <w:style w:type="paragraph" w:customStyle="1" w:styleId="JuH1">
    <w:name w:val="Ju_H_1."/>
    <w:basedOn w:val="JuHA"/>
    <w:next w:val="JuPara"/>
    <w:link w:val="JuH1Char"/>
    <w:uiPriority w:val="99"/>
    <w:rsid w:val="00C30F73"/>
    <w:pPr>
      <w:tabs>
        <w:tab w:val="clear" w:pos="584"/>
        <w:tab w:val="left" w:pos="731"/>
      </w:tabs>
      <w:spacing w:before="240" w:after="120"/>
      <w:ind w:left="732" w:hanging="301"/>
      <w:outlineLvl w:val="3"/>
    </w:pPr>
    <w:rPr>
      <w:b w:val="0"/>
      <w:i/>
    </w:rPr>
  </w:style>
  <w:style w:type="character" w:customStyle="1" w:styleId="JuH1Char">
    <w:name w:val="Ju_H_1. Char"/>
    <w:link w:val="JuH1"/>
    <w:uiPriority w:val="99"/>
    <w:locked/>
    <w:rsid w:val="00C30F73"/>
    <w:rPr>
      <w:rFonts w:ascii="Times New Roman" w:hAnsi="Times New Roman"/>
      <w:i/>
      <w:sz w:val="20"/>
      <w:lang w:val="fr-FR" w:eastAsia="fr-FR"/>
    </w:rPr>
  </w:style>
  <w:style w:type="paragraph" w:customStyle="1" w:styleId="JuCourt">
    <w:name w:val="Ju_Court"/>
    <w:basedOn w:val="JuJudges"/>
    <w:uiPriority w:val="99"/>
    <w:rsid w:val="00C30F7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C30F73"/>
  </w:style>
  <w:style w:type="paragraph" w:customStyle="1" w:styleId="OpiTranslation">
    <w:name w:val="Opi_Translation"/>
    <w:basedOn w:val="OpiHHead"/>
    <w:next w:val="OpiPara"/>
    <w:uiPriority w:val="99"/>
    <w:rsid w:val="00C30F73"/>
    <w:rPr>
      <w:i/>
      <w:sz w:val="24"/>
    </w:rPr>
  </w:style>
  <w:style w:type="paragraph" w:styleId="Tekstprzypisudolnego">
    <w:name w:val="footnote text"/>
    <w:basedOn w:val="Normalny"/>
    <w:link w:val="TekstprzypisudolnegoZnak"/>
    <w:uiPriority w:val="99"/>
    <w:semiHidden/>
    <w:rsid w:val="00C30F73"/>
    <w:pPr>
      <w:jc w:val="both"/>
    </w:pPr>
    <w:rPr>
      <w:sz w:val="20"/>
    </w:rPr>
  </w:style>
  <w:style w:type="character" w:customStyle="1" w:styleId="TekstprzypisudolnegoZnak">
    <w:name w:val="Tekst przypisu dolnego Znak"/>
    <w:link w:val="Tekstprzypisudolnego"/>
    <w:uiPriority w:val="99"/>
    <w:semiHidden/>
    <w:locked/>
    <w:rsid w:val="00C30F73"/>
    <w:rPr>
      <w:rFonts w:ascii="Times New Roman" w:hAnsi="Times New Roman" w:cs="Times New Roman"/>
      <w:sz w:val="20"/>
      <w:szCs w:val="20"/>
      <w:lang w:val="fr-FR" w:eastAsia="fr-FR"/>
    </w:rPr>
  </w:style>
  <w:style w:type="paragraph" w:customStyle="1" w:styleId="JuHi">
    <w:name w:val="Ju_H_i"/>
    <w:basedOn w:val="JuHa0"/>
    <w:next w:val="JuPara"/>
    <w:uiPriority w:val="99"/>
    <w:rsid w:val="00C30F73"/>
    <w:pPr>
      <w:tabs>
        <w:tab w:val="clear" w:pos="975"/>
        <w:tab w:val="left" w:pos="1191"/>
      </w:tabs>
      <w:ind w:left="1190" w:hanging="357"/>
      <w:outlineLvl w:val="5"/>
    </w:pPr>
    <w:rPr>
      <w:b w:val="0"/>
      <w:i/>
    </w:rPr>
  </w:style>
  <w:style w:type="paragraph" w:styleId="Nagwek">
    <w:name w:val="header"/>
    <w:basedOn w:val="Normalny"/>
    <w:link w:val="NagwekZnak"/>
    <w:uiPriority w:val="99"/>
    <w:rsid w:val="00C30F73"/>
    <w:pPr>
      <w:tabs>
        <w:tab w:val="center" w:pos="3686"/>
        <w:tab w:val="right" w:pos="7371"/>
      </w:tabs>
    </w:pPr>
    <w:rPr>
      <w:sz w:val="18"/>
    </w:rPr>
  </w:style>
  <w:style w:type="character" w:customStyle="1" w:styleId="NagwekZnak">
    <w:name w:val="Nagłówek Znak"/>
    <w:link w:val="Nagwek"/>
    <w:uiPriority w:val="99"/>
    <w:locked/>
    <w:rsid w:val="00C30F73"/>
    <w:rPr>
      <w:rFonts w:ascii="Times New Roman" w:hAnsi="Times New Roman" w:cs="Times New Roman"/>
      <w:sz w:val="20"/>
      <w:szCs w:val="20"/>
      <w:lang w:val="fr-FR" w:eastAsia="fr-FR"/>
    </w:rPr>
  </w:style>
  <w:style w:type="character" w:styleId="Numerstrony">
    <w:name w:val="page number"/>
    <w:uiPriority w:val="99"/>
    <w:rsid w:val="00C30F73"/>
    <w:rPr>
      <w:rFonts w:ascii="Times New Roman" w:hAnsi="Times New Roman" w:cs="Times New Roman"/>
      <w:sz w:val="18"/>
    </w:rPr>
  </w:style>
  <w:style w:type="paragraph" w:customStyle="1" w:styleId="JuH">
    <w:name w:val="Ju_H_–"/>
    <w:basedOn w:val="JuHalpha"/>
    <w:next w:val="JuPara"/>
    <w:uiPriority w:val="99"/>
    <w:rsid w:val="00C30F73"/>
    <w:pPr>
      <w:tabs>
        <w:tab w:val="clear" w:pos="1372"/>
      </w:tabs>
      <w:ind w:left="1236" w:firstLine="0"/>
    </w:pPr>
    <w:rPr>
      <w:i/>
    </w:rPr>
  </w:style>
  <w:style w:type="paragraph" w:customStyle="1" w:styleId="JuHalpha">
    <w:name w:val="Ju_H_alpha"/>
    <w:basedOn w:val="JuHi"/>
    <w:next w:val="JuPara"/>
    <w:uiPriority w:val="99"/>
    <w:rsid w:val="00C30F73"/>
    <w:pPr>
      <w:tabs>
        <w:tab w:val="clear" w:pos="1191"/>
        <w:tab w:val="left" w:pos="1372"/>
      </w:tabs>
      <w:ind w:left="1373" w:hanging="335"/>
      <w:outlineLvl w:val="9"/>
    </w:pPr>
    <w:rPr>
      <w:i w:val="0"/>
    </w:rPr>
  </w:style>
  <w:style w:type="paragraph" w:customStyle="1" w:styleId="JuLista">
    <w:name w:val="Ju_List_a"/>
    <w:basedOn w:val="JuList"/>
    <w:uiPriority w:val="99"/>
    <w:rsid w:val="00C30F73"/>
    <w:pPr>
      <w:ind w:left="346" w:firstLine="0"/>
    </w:pPr>
  </w:style>
  <w:style w:type="paragraph" w:customStyle="1" w:styleId="JuListi">
    <w:name w:val="Ju_List_i"/>
    <w:basedOn w:val="JuLista"/>
    <w:uiPriority w:val="99"/>
    <w:rsid w:val="00C30F73"/>
    <w:pPr>
      <w:ind w:left="794"/>
    </w:pPr>
  </w:style>
  <w:style w:type="character" w:customStyle="1" w:styleId="CommentTextChar">
    <w:name w:val="Comment Text Char"/>
    <w:uiPriority w:val="99"/>
    <w:semiHidden/>
    <w:locked/>
    <w:rsid w:val="00C30F73"/>
    <w:rPr>
      <w:rFonts w:ascii="Times New Roman" w:hAnsi="Times New Roman" w:cs="Times New Roman"/>
      <w:sz w:val="20"/>
      <w:szCs w:val="20"/>
      <w:lang w:val="fr-FR" w:eastAsia="fr-FR"/>
    </w:rPr>
  </w:style>
  <w:style w:type="paragraph" w:styleId="Tekstkomentarza">
    <w:name w:val="annotation text"/>
    <w:basedOn w:val="Normalny"/>
    <w:link w:val="TekstkomentarzaZnak"/>
    <w:uiPriority w:val="99"/>
    <w:semiHidden/>
    <w:rsid w:val="00C30F73"/>
    <w:rPr>
      <w:sz w:val="20"/>
    </w:rPr>
  </w:style>
  <w:style w:type="character" w:customStyle="1" w:styleId="TekstkomentarzaZnak">
    <w:name w:val="Tekst komentarza Znak"/>
    <w:link w:val="Tekstkomentarza"/>
    <w:uiPriority w:val="99"/>
    <w:semiHidden/>
    <w:locked/>
    <w:rPr>
      <w:rFonts w:ascii="Times New Roman" w:hAnsi="Times New Roman" w:cs="Times New Roman"/>
      <w:sz w:val="20"/>
      <w:szCs w:val="20"/>
      <w:lang w:val="fr-FR" w:eastAsia="fr-FR"/>
    </w:rPr>
  </w:style>
  <w:style w:type="paragraph" w:customStyle="1" w:styleId="JuInitialled">
    <w:name w:val="Ju_Initialled"/>
    <w:basedOn w:val="JuSigned"/>
    <w:uiPriority w:val="99"/>
    <w:rsid w:val="00C30F73"/>
    <w:pPr>
      <w:tabs>
        <w:tab w:val="clear" w:pos="851"/>
      </w:tabs>
      <w:jc w:val="right"/>
    </w:pPr>
  </w:style>
  <w:style w:type="paragraph" w:customStyle="1" w:styleId="JuHeader">
    <w:name w:val="Ju_Header"/>
    <w:aliases w:val="ECHR_Header"/>
    <w:basedOn w:val="Nagwek"/>
    <w:uiPriority w:val="99"/>
    <w:rsid w:val="00C30F73"/>
  </w:style>
  <w:style w:type="paragraph" w:customStyle="1" w:styleId="DecHTitle">
    <w:name w:val="Dec_H_Title"/>
    <w:basedOn w:val="Normalny"/>
    <w:uiPriority w:val="99"/>
    <w:rsid w:val="00C30F73"/>
    <w:pPr>
      <w:spacing w:after="240"/>
      <w:jc w:val="center"/>
      <w:outlineLvl w:val="0"/>
    </w:pPr>
    <w:rPr>
      <w:sz w:val="28"/>
    </w:rPr>
  </w:style>
  <w:style w:type="paragraph" w:customStyle="1" w:styleId="DecHCase">
    <w:name w:val="Dec_H_Case"/>
    <w:basedOn w:val="DecHTitle"/>
    <w:next w:val="JuPara"/>
    <w:uiPriority w:val="99"/>
    <w:rsid w:val="00C30F73"/>
    <w:rPr>
      <w:sz w:val="24"/>
    </w:rPr>
  </w:style>
  <w:style w:type="paragraph" w:customStyle="1" w:styleId="DecList">
    <w:name w:val="Dec_List"/>
    <w:basedOn w:val="Normalny"/>
    <w:uiPriority w:val="99"/>
    <w:rsid w:val="00C30F73"/>
    <w:pPr>
      <w:spacing w:before="240"/>
      <w:ind w:left="284"/>
      <w:jc w:val="both"/>
    </w:pPr>
  </w:style>
  <w:style w:type="paragraph" w:customStyle="1" w:styleId="SuCoverTitle1">
    <w:name w:val="Su_Cover_Title1"/>
    <w:basedOn w:val="Normalny"/>
    <w:next w:val="SuCoverTitle2"/>
    <w:uiPriority w:val="99"/>
    <w:rsid w:val="00C30F73"/>
    <w:pPr>
      <w:spacing w:before="2500"/>
      <w:jc w:val="center"/>
    </w:pPr>
    <w:rPr>
      <w:sz w:val="22"/>
    </w:rPr>
  </w:style>
  <w:style w:type="paragraph" w:customStyle="1" w:styleId="SuCoverTitle2">
    <w:name w:val="Su_Cover_Title2"/>
    <w:basedOn w:val="SuCoverTitle1"/>
    <w:next w:val="Normalny"/>
    <w:uiPriority w:val="99"/>
    <w:rsid w:val="00C30F73"/>
    <w:pPr>
      <w:spacing w:before="240"/>
    </w:pPr>
    <w:rPr>
      <w:sz w:val="18"/>
    </w:rPr>
  </w:style>
  <w:style w:type="paragraph" w:customStyle="1" w:styleId="JuQuotSub">
    <w:name w:val="Ju_Quot_Sub"/>
    <w:basedOn w:val="JuQuot"/>
    <w:uiPriority w:val="99"/>
    <w:rsid w:val="00C30F73"/>
    <w:pPr>
      <w:ind w:left="567"/>
    </w:pPr>
  </w:style>
  <w:style w:type="paragraph" w:customStyle="1" w:styleId="JuParaSub">
    <w:name w:val="Ju_Para_Sub"/>
    <w:basedOn w:val="JuPara"/>
    <w:uiPriority w:val="99"/>
    <w:rsid w:val="00C30F73"/>
    <w:pPr>
      <w:ind w:left="284"/>
    </w:pPr>
  </w:style>
  <w:style w:type="paragraph" w:customStyle="1" w:styleId="SuPara">
    <w:name w:val="Su_Para"/>
    <w:basedOn w:val="SuKeywords"/>
    <w:uiPriority w:val="99"/>
    <w:rsid w:val="00C30F73"/>
    <w:pPr>
      <w:spacing w:before="0" w:after="0"/>
    </w:pPr>
    <w:rPr>
      <w:i w:val="0"/>
    </w:rPr>
  </w:style>
  <w:style w:type="paragraph" w:customStyle="1" w:styleId="SuKeywords">
    <w:name w:val="Su_Keywords"/>
    <w:basedOn w:val="SuHHead"/>
    <w:uiPriority w:val="99"/>
    <w:rsid w:val="00C30F73"/>
    <w:pPr>
      <w:spacing w:before="120"/>
    </w:pPr>
    <w:rPr>
      <w:b w:val="0"/>
      <w:i/>
    </w:rPr>
  </w:style>
  <w:style w:type="paragraph" w:customStyle="1" w:styleId="SuHHead">
    <w:name w:val="Su_H_Head"/>
    <w:basedOn w:val="SuSubject"/>
    <w:uiPriority w:val="99"/>
    <w:rsid w:val="00C30F73"/>
    <w:pPr>
      <w:spacing w:after="120"/>
    </w:pPr>
  </w:style>
  <w:style w:type="paragraph" w:customStyle="1" w:styleId="SuSubject">
    <w:name w:val="Su_Subject"/>
    <w:basedOn w:val="SuSummary"/>
    <w:uiPriority w:val="99"/>
    <w:rsid w:val="00C30F73"/>
    <w:pPr>
      <w:suppressAutoHyphens w:val="0"/>
      <w:spacing w:before="360"/>
      <w:jc w:val="both"/>
    </w:pPr>
    <w:rPr>
      <w:b/>
      <w:sz w:val="22"/>
      <w:lang w:val="en-GB"/>
    </w:rPr>
  </w:style>
  <w:style w:type="paragraph" w:customStyle="1" w:styleId="SuSummary">
    <w:name w:val="Su_Summary"/>
    <w:basedOn w:val="Normalny"/>
    <w:next w:val="SuSubject"/>
    <w:uiPriority w:val="99"/>
    <w:rsid w:val="00C30F73"/>
    <w:pPr>
      <w:spacing w:after="240"/>
      <w:jc w:val="center"/>
    </w:pPr>
  </w:style>
  <w:style w:type="character" w:styleId="Hipercze">
    <w:name w:val="Hyperlink"/>
    <w:uiPriority w:val="99"/>
    <w:rsid w:val="00C30F73"/>
    <w:rPr>
      <w:rFonts w:ascii="Times New Roman" w:hAnsi="Times New Roman" w:cs="Times New Roman"/>
      <w:color w:val="0000FF"/>
      <w:u w:val="single"/>
    </w:rPr>
  </w:style>
  <w:style w:type="paragraph" w:styleId="Tekstprzypisukocowego">
    <w:name w:val="endnote text"/>
    <w:basedOn w:val="Normalny"/>
    <w:link w:val="TekstprzypisukocowegoZnak"/>
    <w:uiPriority w:val="99"/>
    <w:semiHidden/>
    <w:rsid w:val="00C30F73"/>
    <w:rPr>
      <w:sz w:val="20"/>
    </w:rPr>
  </w:style>
  <w:style w:type="character" w:customStyle="1" w:styleId="TekstprzypisukocowegoZnak">
    <w:name w:val="Tekst przypisu końcowego Znak"/>
    <w:link w:val="Tekstprzypisukocowego"/>
    <w:uiPriority w:val="99"/>
    <w:semiHidden/>
    <w:locked/>
    <w:rsid w:val="00C30F73"/>
    <w:rPr>
      <w:rFonts w:ascii="Times New Roman" w:hAnsi="Times New Roman" w:cs="Times New Roman"/>
      <w:sz w:val="20"/>
      <w:szCs w:val="20"/>
      <w:lang w:val="fr-FR" w:eastAsia="fr-FR"/>
    </w:rPr>
  </w:style>
  <w:style w:type="character" w:styleId="UyteHipercze">
    <w:name w:val="FollowedHyperlink"/>
    <w:uiPriority w:val="99"/>
    <w:rsid w:val="00C30F73"/>
    <w:rPr>
      <w:rFonts w:ascii="Times New Roman" w:hAnsi="Times New Roman" w:cs="Times New Roman"/>
      <w:color w:val="800080"/>
      <w:u w:val="single"/>
    </w:rPr>
  </w:style>
  <w:style w:type="paragraph" w:customStyle="1" w:styleId="JuAppQuestion">
    <w:name w:val="Ju_App_Question"/>
    <w:basedOn w:val="Listapunktowana"/>
    <w:uiPriority w:val="99"/>
    <w:rsid w:val="00C30F73"/>
    <w:pPr>
      <w:numPr>
        <w:numId w:val="6"/>
      </w:numPr>
      <w:suppressAutoHyphens w:val="0"/>
    </w:pPr>
    <w:rPr>
      <w:b/>
      <w:color w:val="333333"/>
      <w:lang w:val="en-GB"/>
    </w:rPr>
  </w:style>
  <w:style w:type="paragraph" w:styleId="Listapunktowana">
    <w:name w:val="List Bullet"/>
    <w:basedOn w:val="Normalny"/>
    <w:uiPriority w:val="99"/>
    <w:rsid w:val="00C30F73"/>
    <w:pPr>
      <w:numPr>
        <w:numId w:val="2"/>
      </w:numPr>
    </w:pPr>
  </w:style>
  <w:style w:type="character" w:customStyle="1" w:styleId="JuNames">
    <w:name w:val="Ju_Names"/>
    <w:uiPriority w:val="99"/>
    <w:rsid w:val="00C30F73"/>
    <w:rPr>
      <w:rFonts w:ascii="Times New Roman" w:hAnsi="Times New Roman"/>
      <w:smallCaps/>
    </w:rPr>
  </w:style>
  <w:style w:type="paragraph" w:customStyle="1" w:styleId="OpiParaSub">
    <w:name w:val="Opi_Para_Sub"/>
    <w:basedOn w:val="JuParaSub"/>
    <w:uiPriority w:val="99"/>
    <w:rsid w:val="00C30F73"/>
  </w:style>
  <w:style w:type="paragraph" w:customStyle="1" w:styleId="OpiQuotSub">
    <w:name w:val="Opi_Quot_Sub"/>
    <w:basedOn w:val="JuQuotSub"/>
    <w:uiPriority w:val="99"/>
    <w:rsid w:val="00C30F73"/>
  </w:style>
  <w:style w:type="character" w:customStyle="1" w:styleId="CommentSubjectChar">
    <w:name w:val="Comment Subject Char"/>
    <w:uiPriority w:val="99"/>
    <w:semiHidden/>
    <w:locked/>
    <w:rsid w:val="00C30F73"/>
    <w:rPr>
      <w:rFonts w:ascii="Times New Roman" w:hAnsi="Times New Roman" w:cs="Times New Roman"/>
      <w:b/>
      <w:bCs/>
      <w:sz w:val="20"/>
      <w:szCs w:val="20"/>
      <w:lang w:val="fr-FR" w:eastAsia="fr-FR"/>
    </w:rPr>
  </w:style>
  <w:style w:type="paragraph" w:styleId="Tematkomentarza">
    <w:name w:val="annotation subject"/>
    <w:basedOn w:val="Tekstkomentarza"/>
    <w:next w:val="Tekstkomentarza"/>
    <w:link w:val="TematkomentarzaZnak"/>
    <w:uiPriority w:val="99"/>
    <w:semiHidden/>
    <w:rsid w:val="00C30F73"/>
    <w:rPr>
      <w:b/>
      <w:bCs/>
    </w:rPr>
  </w:style>
  <w:style w:type="character" w:customStyle="1" w:styleId="TematkomentarzaZnak">
    <w:name w:val="Temat komentarza Znak"/>
    <w:link w:val="Tematkomentarza"/>
    <w:uiPriority w:val="99"/>
    <w:semiHidden/>
    <w:locked/>
    <w:rPr>
      <w:rFonts w:ascii="Times New Roman" w:hAnsi="Times New Roman" w:cs="Times New Roman"/>
      <w:b/>
      <w:bCs/>
      <w:sz w:val="20"/>
      <w:szCs w:val="20"/>
      <w:lang w:val="fr-FR" w:eastAsia="fr-FR"/>
    </w:rPr>
  </w:style>
  <w:style w:type="character" w:customStyle="1" w:styleId="DocumentMapChar">
    <w:name w:val="Document Map Char"/>
    <w:uiPriority w:val="99"/>
    <w:semiHidden/>
    <w:locked/>
    <w:rsid w:val="00C30F73"/>
    <w:rPr>
      <w:rFonts w:ascii="Tahoma" w:hAnsi="Tahoma" w:cs="Tahoma"/>
      <w:sz w:val="20"/>
      <w:szCs w:val="20"/>
      <w:shd w:val="clear" w:color="auto" w:fill="000080"/>
      <w:lang w:val="fr-FR" w:eastAsia="fr-FR"/>
    </w:rPr>
  </w:style>
  <w:style w:type="paragraph" w:styleId="Mapadokumentu">
    <w:name w:val="Document Map"/>
    <w:basedOn w:val="Normalny"/>
    <w:link w:val="MapadokumentuZnak"/>
    <w:uiPriority w:val="99"/>
    <w:semiHidden/>
    <w:rsid w:val="00C30F73"/>
    <w:pPr>
      <w:shd w:val="clear" w:color="auto" w:fill="000080"/>
    </w:pPr>
    <w:rPr>
      <w:rFonts w:ascii="Tahoma" w:hAnsi="Tahoma" w:cs="Tahoma"/>
      <w:sz w:val="20"/>
    </w:rPr>
  </w:style>
  <w:style w:type="character" w:customStyle="1" w:styleId="MapadokumentuZnak">
    <w:name w:val="Mapa dokumentu Znak"/>
    <w:link w:val="Mapadokumentu"/>
    <w:uiPriority w:val="99"/>
    <w:semiHidden/>
    <w:locked/>
    <w:rPr>
      <w:rFonts w:ascii="Times New Roman" w:hAnsi="Times New Roman" w:cs="Times New Roman"/>
      <w:sz w:val="2"/>
      <w:lang w:val="fr-FR" w:eastAsia="fr-FR"/>
    </w:rPr>
  </w:style>
  <w:style w:type="character" w:customStyle="1" w:styleId="JuITMark">
    <w:name w:val="Ju_ITMark"/>
    <w:uiPriority w:val="99"/>
    <w:rsid w:val="00C30F73"/>
    <w:rPr>
      <w:rFonts w:ascii="Times New Roman" w:hAnsi="Times New Roman"/>
      <w:vanish/>
      <w:color w:val="339966"/>
      <w:sz w:val="16"/>
      <w:lang w:val="fi-FI"/>
    </w:rPr>
  </w:style>
  <w:style w:type="paragraph" w:customStyle="1" w:styleId="JuTitle">
    <w:name w:val="Ju_Title"/>
    <w:basedOn w:val="JuHHead"/>
    <w:next w:val="JuPara"/>
    <w:uiPriority w:val="99"/>
    <w:rsid w:val="00C30F73"/>
    <w:pPr>
      <w:jc w:val="center"/>
    </w:pPr>
    <w:rPr>
      <w:b/>
      <w:caps/>
      <w:sz w:val="24"/>
      <w:szCs w:val="24"/>
      <w:u w:val="single"/>
    </w:rPr>
  </w:style>
  <w:style w:type="character" w:customStyle="1" w:styleId="JuParaChar">
    <w:name w:val="Ju_Para Char"/>
    <w:uiPriority w:val="99"/>
    <w:locked/>
    <w:rsid w:val="00C30F73"/>
    <w:rPr>
      <w:sz w:val="24"/>
      <w:lang w:val="en-GB" w:eastAsia="fr-FR"/>
    </w:rPr>
  </w:style>
  <w:style w:type="character" w:customStyle="1" w:styleId="ju--005fpara----char--char">
    <w:name w:val="ju--005fpara----char--char"/>
    <w:uiPriority w:val="99"/>
    <w:rsid w:val="00C30F73"/>
  </w:style>
  <w:style w:type="paragraph" w:customStyle="1" w:styleId="SuCountry">
    <w:name w:val="Su_Country"/>
    <w:basedOn w:val="Normalny"/>
    <w:next w:val="Normalny"/>
    <w:uiPriority w:val="99"/>
    <w:rsid w:val="00C30F73"/>
    <w:pPr>
      <w:keepNext/>
      <w:keepLines/>
      <w:spacing w:before="360" w:after="240"/>
      <w:jc w:val="both"/>
    </w:pPr>
    <w:rPr>
      <w:i/>
      <w:iCs/>
      <w:sz w:val="20"/>
      <w:lang w:eastAsia="ja-JP"/>
    </w:rPr>
  </w:style>
  <w:style w:type="character" w:customStyle="1" w:styleId="sb8d990e2">
    <w:name w:val="sb8d990e2"/>
    <w:uiPriority w:val="99"/>
    <w:rsid w:val="00C30F73"/>
  </w:style>
  <w:style w:type="character" w:customStyle="1" w:styleId="FontStyle38">
    <w:name w:val="Font Style38"/>
    <w:uiPriority w:val="99"/>
    <w:rsid w:val="00B9782C"/>
    <w:rPr>
      <w:rFonts w:ascii="Times New Roman" w:hAnsi="Times New Roman" w:cs="Times New Roman"/>
      <w:sz w:val="22"/>
      <w:szCs w:val="22"/>
    </w:rPr>
  </w:style>
  <w:style w:type="paragraph" w:customStyle="1" w:styleId="Default">
    <w:name w:val="Default"/>
    <w:uiPriority w:val="99"/>
    <w:rsid w:val="00FB7729"/>
    <w:pPr>
      <w:autoSpaceDE w:val="0"/>
      <w:autoSpaceDN w:val="0"/>
      <w:adjustRightInd w:val="0"/>
    </w:pPr>
    <w:rPr>
      <w:rFonts w:ascii="Times New Roman" w:hAnsi="Times New Roman"/>
      <w:color w:val="000000"/>
      <w:sz w:val="24"/>
      <w:szCs w:val="24"/>
      <w:lang w:eastAsia="en-US"/>
    </w:rPr>
  </w:style>
  <w:style w:type="character" w:customStyle="1" w:styleId="normal----char--char">
    <w:name w:val="normal----char--char"/>
    <w:uiPriority w:val="99"/>
    <w:rsid w:val="00705CC6"/>
    <w:rPr>
      <w:rFonts w:cs="Times New Roman"/>
    </w:rPr>
  </w:style>
  <w:style w:type="paragraph" w:styleId="Tekstpodstawowywcity">
    <w:name w:val="Body Text Indent"/>
    <w:basedOn w:val="Normalny"/>
    <w:link w:val="TekstpodstawowywcityZnak"/>
    <w:uiPriority w:val="99"/>
    <w:semiHidden/>
    <w:rsid w:val="00C164B8"/>
    <w:pPr>
      <w:suppressAutoHyphens w:val="0"/>
      <w:ind w:left="907" w:hanging="227"/>
      <w:jc w:val="both"/>
    </w:pPr>
    <w:rPr>
      <w:sz w:val="22"/>
      <w:lang w:val="pl-PL" w:eastAsia="pl-PL"/>
    </w:rPr>
  </w:style>
  <w:style w:type="character" w:customStyle="1" w:styleId="TekstpodstawowywcityZnak">
    <w:name w:val="Tekst podstawowy wcięty Znak"/>
    <w:link w:val="Tekstpodstawowywcity"/>
    <w:uiPriority w:val="99"/>
    <w:semiHidden/>
    <w:locked/>
    <w:rsid w:val="00C164B8"/>
    <w:rPr>
      <w:rFonts w:ascii="Times New Roman" w:hAnsi="Times New Roman" w:cs="Times New Roman"/>
      <w:sz w:val="20"/>
      <w:szCs w:val="20"/>
      <w:lang w:eastAsia="pl-PL"/>
    </w:rPr>
  </w:style>
  <w:style w:type="character" w:customStyle="1" w:styleId="FontStyle44">
    <w:name w:val="Font Style44"/>
    <w:uiPriority w:val="99"/>
    <w:rsid w:val="006F5C5C"/>
    <w:rPr>
      <w:rFonts w:ascii="Times New Roman" w:hAnsi="Times New Roman" w:cs="Times New Roman"/>
      <w:sz w:val="18"/>
      <w:szCs w:val="18"/>
    </w:rPr>
  </w:style>
  <w:style w:type="character" w:customStyle="1" w:styleId="FontStyle26">
    <w:name w:val="Font Style26"/>
    <w:uiPriority w:val="99"/>
    <w:rsid w:val="00C30B74"/>
    <w:rPr>
      <w:rFonts w:ascii="Times New Roman" w:hAnsi="Times New Roman" w:cs="Times New Roman"/>
      <w:sz w:val="22"/>
      <w:szCs w:val="22"/>
    </w:rPr>
  </w:style>
  <w:style w:type="paragraph" w:customStyle="1" w:styleId="s32b251d">
    <w:name w:val="s32b251d"/>
    <w:basedOn w:val="Normalny"/>
    <w:rsid w:val="00B22E86"/>
    <w:pPr>
      <w:suppressAutoHyphens w:val="0"/>
      <w:spacing w:before="100" w:beforeAutospacing="1" w:after="100" w:afterAutospacing="1"/>
    </w:pPr>
    <w:rPr>
      <w:szCs w:val="24"/>
      <w:lang w:val="pl-PL" w:eastAsia="pl-PL"/>
    </w:rPr>
  </w:style>
  <w:style w:type="character" w:customStyle="1" w:styleId="s15a9198a">
    <w:name w:val="s15a9198a"/>
    <w:rsid w:val="00B22E86"/>
  </w:style>
  <w:style w:type="paragraph" w:customStyle="1" w:styleId="s746c8714">
    <w:name w:val="s746c8714"/>
    <w:basedOn w:val="Normalny"/>
    <w:rsid w:val="00B22E86"/>
    <w:pPr>
      <w:suppressAutoHyphens w:val="0"/>
      <w:spacing w:before="100" w:beforeAutospacing="1" w:after="100" w:afterAutospacing="1"/>
    </w:pPr>
    <w:rPr>
      <w:szCs w:val="24"/>
      <w:lang w:val="pl-PL" w:eastAsia="pl-PL"/>
    </w:rPr>
  </w:style>
  <w:style w:type="character" w:customStyle="1" w:styleId="s556a1de3">
    <w:name w:val="s556a1de3"/>
    <w:rsid w:val="00B22E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947029">
      <w:bodyDiv w:val="1"/>
      <w:marLeft w:val="0"/>
      <w:marRight w:val="0"/>
      <w:marTop w:val="0"/>
      <w:marBottom w:val="0"/>
      <w:divBdr>
        <w:top w:val="none" w:sz="0" w:space="0" w:color="auto"/>
        <w:left w:val="none" w:sz="0" w:space="0" w:color="auto"/>
        <w:bottom w:val="none" w:sz="0" w:space="0" w:color="auto"/>
        <w:right w:val="none" w:sz="0" w:space="0" w:color="auto"/>
      </w:divBdr>
    </w:div>
    <w:div w:id="1129056403">
      <w:bodyDiv w:val="1"/>
      <w:marLeft w:val="0"/>
      <w:marRight w:val="0"/>
      <w:marTop w:val="0"/>
      <w:marBottom w:val="0"/>
      <w:divBdr>
        <w:top w:val="none" w:sz="0" w:space="0" w:color="auto"/>
        <w:left w:val="none" w:sz="0" w:space="0" w:color="auto"/>
        <w:bottom w:val="none" w:sz="0" w:space="0" w:color="auto"/>
        <w:right w:val="none" w:sz="0" w:space="0" w:color="auto"/>
      </w:divBdr>
    </w:div>
    <w:div w:id="1753963724">
      <w:bodyDiv w:val="1"/>
      <w:marLeft w:val="0"/>
      <w:marRight w:val="0"/>
      <w:marTop w:val="0"/>
      <w:marBottom w:val="0"/>
      <w:divBdr>
        <w:top w:val="none" w:sz="0" w:space="0" w:color="auto"/>
        <w:left w:val="none" w:sz="0" w:space="0" w:color="auto"/>
        <w:bottom w:val="none" w:sz="0" w:space="0" w:color="auto"/>
        <w:right w:val="none" w:sz="0" w:space="0" w:color="auto"/>
      </w:divBdr>
      <w:divsChild>
        <w:div w:id="1366638392">
          <w:marLeft w:val="0"/>
          <w:marRight w:val="0"/>
          <w:marTop w:val="0"/>
          <w:marBottom w:val="0"/>
          <w:divBdr>
            <w:top w:val="none" w:sz="0" w:space="0" w:color="auto"/>
            <w:left w:val="none" w:sz="0" w:space="0" w:color="auto"/>
            <w:bottom w:val="none" w:sz="0" w:space="0" w:color="auto"/>
            <w:right w:val="none" w:sz="0" w:space="0" w:color="auto"/>
          </w:divBdr>
          <w:divsChild>
            <w:div w:id="1785729167">
              <w:marLeft w:val="0"/>
              <w:marRight w:val="0"/>
              <w:marTop w:val="0"/>
              <w:marBottom w:val="0"/>
              <w:divBdr>
                <w:top w:val="none" w:sz="0" w:space="0" w:color="auto"/>
                <w:left w:val="none" w:sz="0" w:space="0" w:color="auto"/>
                <w:bottom w:val="none" w:sz="0" w:space="0" w:color="auto"/>
                <w:right w:val="none" w:sz="0" w:space="0" w:color="auto"/>
              </w:divBdr>
              <w:divsChild>
                <w:div w:id="518004607">
                  <w:marLeft w:val="0"/>
                  <w:marRight w:val="0"/>
                  <w:marTop w:val="0"/>
                  <w:marBottom w:val="0"/>
                  <w:divBdr>
                    <w:top w:val="none" w:sz="0" w:space="0" w:color="auto"/>
                    <w:left w:val="none" w:sz="0" w:space="0" w:color="auto"/>
                    <w:bottom w:val="none" w:sz="0" w:space="0" w:color="auto"/>
                    <w:right w:val="none" w:sz="0" w:space="0" w:color="auto"/>
                  </w:divBdr>
                  <w:divsChild>
                    <w:div w:id="1878659254">
                      <w:marLeft w:val="0"/>
                      <w:marRight w:val="0"/>
                      <w:marTop w:val="0"/>
                      <w:marBottom w:val="0"/>
                      <w:divBdr>
                        <w:top w:val="none" w:sz="0" w:space="0" w:color="auto"/>
                        <w:left w:val="none" w:sz="0" w:space="0" w:color="auto"/>
                        <w:bottom w:val="none" w:sz="0" w:space="0" w:color="auto"/>
                        <w:right w:val="none" w:sz="0" w:space="0" w:color="auto"/>
                      </w:divBdr>
                      <w:divsChild>
                        <w:div w:id="1061438862">
                          <w:marLeft w:val="0"/>
                          <w:marRight w:val="0"/>
                          <w:marTop w:val="0"/>
                          <w:marBottom w:val="0"/>
                          <w:divBdr>
                            <w:top w:val="none" w:sz="0" w:space="0" w:color="auto"/>
                            <w:left w:val="none" w:sz="0" w:space="0" w:color="auto"/>
                            <w:bottom w:val="none" w:sz="0" w:space="0" w:color="auto"/>
                            <w:right w:val="none" w:sz="0" w:space="0" w:color="auto"/>
                          </w:divBdr>
                          <w:divsChild>
                            <w:div w:id="192672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29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19</Pages>
  <Words>5969</Words>
  <Characters>35817</Characters>
  <Application>Microsoft Office Word</Application>
  <DocSecurity>0</DocSecurity>
  <Lines>298</Lines>
  <Paragraphs>83</Paragraphs>
  <ScaleCrop>false</ScaleCrop>
  <Company/>
  <LinksUpToDate>false</LinksUpToDate>
  <CharactersWithSpaces>41703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CZWARTA SEKCJA</dc:title>
  <dc:subject/>
  <dc:creator>Dell</dc:creator>
  <cp:keywords/>
  <dc:description/>
  <cp:lastModifiedBy>Suchożebrska Eliza</cp:lastModifiedBy>
  <cp:revision>13</cp:revision>
  <dcterms:created xsi:type="dcterms:W3CDTF">2014-03-07T12:43:00Z</dcterms:created>
  <dcterms:modified xsi:type="dcterms:W3CDTF">2017-05-23T12:47:00Z</dcterms:modified>
</cp:coreProperties>
</file>