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50C" w:rsidRPr="003227B1" w:rsidRDefault="00F0150C" w:rsidP="00F0150C">
      <w:pPr>
        <w:jc w:val="center"/>
        <w:rPr>
          <w:lang w:val="pl-PL"/>
        </w:rPr>
      </w:pPr>
      <w:bookmarkStart w:id="0" w:name="_GoBack"/>
      <w:bookmarkEnd w:id="0"/>
      <w:r>
        <w:rPr>
          <w:lang w:val="pl-PL"/>
        </w:rPr>
        <w:t>EUROPEJSKI TRYBUNAŁ PRAW CZŁOWIEKA</w:t>
      </w:r>
    </w:p>
    <w:p w:rsidR="006B7307" w:rsidRPr="00501736" w:rsidRDefault="006B7307" w:rsidP="00746E5E">
      <w:pPr>
        <w:pStyle w:val="ECHRDecisionBody"/>
        <w:jc w:val="center"/>
        <w:rPr>
          <w:lang w:val="pl-PL"/>
        </w:rPr>
      </w:pPr>
    </w:p>
    <w:p w:rsidR="006B7307" w:rsidRPr="00501736" w:rsidRDefault="006B7307" w:rsidP="00746E5E">
      <w:pPr>
        <w:pStyle w:val="ECHRDecisionBody"/>
        <w:jc w:val="center"/>
        <w:rPr>
          <w:lang w:val="pl-PL"/>
        </w:rPr>
      </w:pPr>
    </w:p>
    <w:p w:rsidR="00014566" w:rsidRPr="00501736" w:rsidRDefault="003330F9" w:rsidP="00746E5E">
      <w:pPr>
        <w:jc w:val="center"/>
        <w:rPr>
          <w:lang w:val="pl-PL"/>
        </w:rPr>
      </w:pPr>
      <w:r w:rsidRPr="00501736">
        <w:rPr>
          <w:lang w:val="pl-PL"/>
        </w:rPr>
        <w:t>SEKCJA CZWARTA</w:t>
      </w:r>
    </w:p>
    <w:p w:rsidR="00014566" w:rsidRPr="00501736" w:rsidRDefault="00014566" w:rsidP="00746E5E">
      <w:pPr>
        <w:jc w:val="center"/>
        <w:rPr>
          <w:lang w:val="pl-PL"/>
        </w:rPr>
      </w:pPr>
    </w:p>
    <w:p w:rsidR="00014566" w:rsidRPr="00501736" w:rsidRDefault="00014566" w:rsidP="00746E5E">
      <w:pPr>
        <w:jc w:val="center"/>
        <w:rPr>
          <w:lang w:val="pl-PL"/>
        </w:rPr>
      </w:pPr>
    </w:p>
    <w:p w:rsidR="00014566" w:rsidRPr="00501736" w:rsidRDefault="00014566" w:rsidP="00746E5E">
      <w:pPr>
        <w:jc w:val="center"/>
        <w:rPr>
          <w:lang w:val="pl-PL"/>
        </w:rPr>
      </w:pPr>
    </w:p>
    <w:p w:rsidR="00014566" w:rsidRPr="00501736" w:rsidRDefault="003330F9" w:rsidP="00746E5E">
      <w:pPr>
        <w:jc w:val="center"/>
        <w:rPr>
          <w:b/>
          <w:lang w:val="pl-PL"/>
        </w:rPr>
      </w:pPr>
      <w:bookmarkStart w:id="1" w:name="To"/>
      <w:r w:rsidRPr="00501736">
        <w:rPr>
          <w:b/>
          <w:lang w:val="pl-PL"/>
        </w:rPr>
        <w:t xml:space="preserve">SPRAWA </w:t>
      </w:r>
      <w:bookmarkEnd w:id="1"/>
      <w:r w:rsidR="001B64EC" w:rsidRPr="00501736">
        <w:rPr>
          <w:b/>
          <w:lang w:val="pl-PL"/>
        </w:rPr>
        <w:t xml:space="preserve">PUGŽLYS </w:t>
      </w:r>
      <w:r w:rsidRPr="00501736">
        <w:rPr>
          <w:b/>
          <w:lang w:val="pl-PL"/>
        </w:rPr>
        <w:t>PRZECIWKO</w:t>
      </w:r>
      <w:r w:rsidR="001B64EC" w:rsidRPr="00501736">
        <w:rPr>
          <w:b/>
          <w:lang w:val="pl-PL"/>
        </w:rPr>
        <w:t xml:space="preserve"> </w:t>
      </w:r>
      <w:r w:rsidRPr="00501736">
        <w:rPr>
          <w:b/>
          <w:lang w:val="pl-PL"/>
        </w:rPr>
        <w:t>POLSCE</w:t>
      </w:r>
    </w:p>
    <w:p w:rsidR="00014566" w:rsidRPr="00501736" w:rsidRDefault="00014566" w:rsidP="00746E5E">
      <w:pPr>
        <w:jc w:val="center"/>
        <w:rPr>
          <w:lang w:val="pl-PL"/>
        </w:rPr>
      </w:pPr>
    </w:p>
    <w:p w:rsidR="00014566" w:rsidRPr="00501736" w:rsidRDefault="00014566" w:rsidP="00746E5E">
      <w:pPr>
        <w:jc w:val="center"/>
        <w:rPr>
          <w:i/>
          <w:lang w:val="pl-PL"/>
        </w:rPr>
      </w:pPr>
      <w:r w:rsidRPr="00501736">
        <w:rPr>
          <w:i/>
          <w:lang w:val="pl-PL"/>
        </w:rPr>
        <w:t>(</w:t>
      </w:r>
      <w:r w:rsidR="003330F9" w:rsidRPr="00501736">
        <w:rPr>
          <w:i/>
          <w:lang w:val="pl-PL"/>
        </w:rPr>
        <w:t>Skarga nr</w:t>
      </w:r>
      <w:r w:rsidR="001B64EC" w:rsidRPr="00501736">
        <w:rPr>
          <w:i/>
          <w:lang w:val="pl-PL"/>
        </w:rPr>
        <w:t xml:space="preserve"> 446/10</w:t>
      </w:r>
      <w:r w:rsidRPr="00501736">
        <w:rPr>
          <w:i/>
          <w:lang w:val="pl-PL"/>
        </w:rPr>
        <w:t>)</w:t>
      </w:r>
    </w:p>
    <w:p w:rsidR="00014566" w:rsidRPr="00501736" w:rsidRDefault="00014566" w:rsidP="00746E5E">
      <w:pPr>
        <w:jc w:val="center"/>
        <w:rPr>
          <w:lang w:val="pl-PL"/>
        </w:rPr>
      </w:pPr>
    </w:p>
    <w:p w:rsidR="00014566" w:rsidRPr="00501736" w:rsidRDefault="00014566" w:rsidP="00746E5E">
      <w:pPr>
        <w:jc w:val="center"/>
        <w:rPr>
          <w:lang w:val="pl-PL"/>
        </w:rPr>
      </w:pPr>
    </w:p>
    <w:p w:rsidR="00746E5E" w:rsidRPr="00501736" w:rsidRDefault="00746E5E" w:rsidP="00746E5E">
      <w:pPr>
        <w:jc w:val="center"/>
        <w:rPr>
          <w:lang w:val="pl-PL"/>
        </w:rPr>
      </w:pPr>
    </w:p>
    <w:p w:rsidR="00014566" w:rsidRPr="00501736" w:rsidRDefault="00014566" w:rsidP="00746E5E">
      <w:pPr>
        <w:jc w:val="center"/>
        <w:rPr>
          <w:lang w:val="pl-PL"/>
        </w:rPr>
      </w:pPr>
    </w:p>
    <w:p w:rsidR="00014566" w:rsidRPr="00501736" w:rsidRDefault="00014566" w:rsidP="00746E5E">
      <w:pPr>
        <w:jc w:val="center"/>
        <w:rPr>
          <w:lang w:val="pl-PL"/>
        </w:rPr>
      </w:pPr>
    </w:p>
    <w:p w:rsidR="00BD4A48" w:rsidRPr="00501736" w:rsidRDefault="003330F9" w:rsidP="00746E5E">
      <w:pPr>
        <w:spacing w:before="120"/>
        <w:jc w:val="center"/>
        <w:rPr>
          <w:sz w:val="22"/>
          <w:lang w:val="pl-PL"/>
        </w:rPr>
      </w:pPr>
      <w:r w:rsidRPr="00501736">
        <w:rPr>
          <w:sz w:val="22"/>
          <w:lang w:val="pl-PL"/>
        </w:rPr>
        <w:t>WYROK</w:t>
      </w:r>
    </w:p>
    <w:p w:rsidR="006B7307" w:rsidRPr="00501736" w:rsidRDefault="006B7307" w:rsidP="00746E5E">
      <w:pPr>
        <w:pStyle w:val="JuCase"/>
        <w:ind w:firstLine="0"/>
        <w:jc w:val="center"/>
        <w:rPr>
          <w:b w:val="0"/>
          <w:lang w:val="pl-PL"/>
        </w:rPr>
      </w:pPr>
    </w:p>
    <w:p w:rsidR="006B7307" w:rsidRPr="00501736" w:rsidRDefault="006B7307" w:rsidP="00746E5E">
      <w:pPr>
        <w:pStyle w:val="JuCase"/>
        <w:ind w:firstLine="0"/>
        <w:jc w:val="center"/>
        <w:rPr>
          <w:b w:val="0"/>
          <w:lang w:val="pl-PL"/>
        </w:rPr>
      </w:pPr>
    </w:p>
    <w:p w:rsidR="006B7307" w:rsidRPr="00501736" w:rsidRDefault="006B7307" w:rsidP="00746E5E">
      <w:pPr>
        <w:pStyle w:val="JuCase"/>
        <w:ind w:firstLine="0"/>
        <w:jc w:val="center"/>
        <w:rPr>
          <w:b w:val="0"/>
          <w:lang w:val="pl-PL"/>
        </w:rPr>
      </w:pPr>
      <w:r w:rsidRPr="00501736">
        <w:rPr>
          <w:b w:val="0"/>
          <w:lang w:val="pl-PL"/>
        </w:rPr>
        <w:t>STRASBOURG</w:t>
      </w:r>
    </w:p>
    <w:p w:rsidR="006B7307" w:rsidRPr="00501736" w:rsidRDefault="006B7307" w:rsidP="00746E5E">
      <w:pPr>
        <w:pStyle w:val="JuCase"/>
        <w:ind w:firstLine="0"/>
        <w:jc w:val="center"/>
        <w:rPr>
          <w:b w:val="0"/>
          <w:lang w:val="pl-PL"/>
        </w:rPr>
      </w:pPr>
    </w:p>
    <w:p w:rsidR="006B7307" w:rsidRPr="00501736" w:rsidRDefault="006B7307" w:rsidP="00746E5E">
      <w:pPr>
        <w:pStyle w:val="JuCase"/>
        <w:ind w:firstLine="0"/>
        <w:jc w:val="center"/>
        <w:rPr>
          <w:b w:val="0"/>
          <w:lang w:val="pl-PL"/>
        </w:rPr>
      </w:pPr>
      <w:r w:rsidRPr="00501736">
        <w:rPr>
          <w:b w:val="0"/>
          <w:lang w:val="pl-PL"/>
        </w:rPr>
        <w:t xml:space="preserve">14 </w:t>
      </w:r>
      <w:r w:rsidR="003330F9" w:rsidRPr="00501736">
        <w:rPr>
          <w:b w:val="0"/>
          <w:lang w:val="pl-PL"/>
        </w:rPr>
        <w:t>czerwca</w:t>
      </w:r>
      <w:r w:rsidRPr="00501736">
        <w:rPr>
          <w:b w:val="0"/>
          <w:lang w:val="pl-PL"/>
        </w:rPr>
        <w:t xml:space="preserve"> 2016</w:t>
      </w:r>
    </w:p>
    <w:p w:rsidR="006B7307" w:rsidRPr="00501736" w:rsidRDefault="006B7307" w:rsidP="00746E5E">
      <w:pPr>
        <w:pStyle w:val="JuCase"/>
        <w:ind w:firstLine="0"/>
        <w:jc w:val="center"/>
        <w:rPr>
          <w:b w:val="0"/>
          <w:lang w:val="pl-PL"/>
        </w:rPr>
      </w:pPr>
    </w:p>
    <w:p w:rsidR="00A842E7" w:rsidRPr="00A842E7" w:rsidRDefault="00A842E7" w:rsidP="00A842E7">
      <w:pPr>
        <w:pStyle w:val="s32b251d"/>
        <w:jc w:val="center"/>
        <w:rPr>
          <w:b/>
          <w:color w:val="FF0000"/>
          <w:u w:val="single"/>
        </w:rPr>
      </w:pPr>
      <w:r w:rsidRPr="00A842E7">
        <w:rPr>
          <w:rStyle w:val="s15a9198a"/>
          <w:b/>
          <w:color w:val="FF0000"/>
          <w:u w:val="single"/>
        </w:rPr>
        <w:t>OSTATECZNY</w:t>
      </w:r>
    </w:p>
    <w:p w:rsidR="00A842E7" w:rsidRPr="00A842E7" w:rsidRDefault="00A842E7" w:rsidP="00A842E7">
      <w:pPr>
        <w:pStyle w:val="s32b251d"/>
        <w:jc w:val="center"/>
        <w:rPr>
          <w:b/>
          <w:color w:val="FF0000"/>
        </w:rPr>
      </w:pPr>
      <w:r w:rsidRPr="00A842E7">
        <w:rPr>
          <w:rStyle w:val="s556a1de3"/>
          <w:b/>
          <w:color w:val="FF0000"/>
        </w:rPr>
        <w:t>14/09/2016</w:t>
      </w:r>
    </w:p>
    <w:p w:rsidR="006B7307" w:rsidRPr="00501736" w:rsidRDefault="006B7307" w:rsidP="00746E5E">
      <w:pPr>
        <w:pStyle w:val="JuCase"/>
        <w:ind w:firstLine="0"/>
        <w:jc w:val="center"/>
        <w:rPr>
          <w:b w:val="0"/>
          <w:lang w:val="pl-PL"/>
        </w:rPr>
      </w:pPr>
    </w:p>
    <w:p w:rsidR="006B7307" w:rsidRPr="00501736" w:rsidRDefault="003330F9" w:rsidP="00746E5E">
      <w:pPr>
        <w:pStyle w:val="JuCase"/>
        <w:ind w:firstLine="0"/>
        <w:rPr>
          <w:b w:val="0"/>
          <w:i/>
          <w:sz w:val="22"/>
          <w:lang w:val="pl-PL"/>
        </w:rPr>
      </w:pPr>
      <w:r w:rsidRPr="00501736">
        <w:rPr>
          <w:b w:val="0"/>
          <w:i/>
          <w:sz w:val="22"/>
          <w:lang w:val="pl-PL"/>
        </w:rPr>
        <w:t>Ten wyrok uprawomocni</w:t>
      </w:r>
      <w:r w:rsidR="00A842E7">
        <w:rPr>
          <w:b w:val="0"/>
          <w:i/>
          <w:sz w:val="22"/>
          <w:lang w:val="pl-PL"/>
        </w:rPr>
        <w:t>ł</w:t>
      </w:r>
      <w:r w:rsidRPr="00501736">
        <w:rPr>
          <w:b w:val="0"/>
          <w:i/>
          <w:sz w:val="22"/>
          <w:lang w:val="pl-PL"/>
        </w:rPr>
        <w:t xml:space="preserve"> się na warunkach określonych w Artykule 44 § 2 Konwencji. Może podlegać korekcie wydawniczej</w:t>
      </w:r>
      <w:r w:rsidR="006B7307" w:rsidRPr="00501736">
        <w:rPr>
          <w:b w:val="0"/>
          <w:i/>
          <w:sz w:val="22"/>
          <w:lang w:val="pl-PL"/>
        </w:rPr>
        <w:t>.</w:t>
      </w:r>
    </w:p>
    <w:p w:rsidR="00F0150C" w:rsidRDefault="00F0150C">
      <w:pPr>
        <w:jc w:val="left"/>
        <w:rPr>
          <w:b/>
          <w:lang w:val="pl-PL"/>
        </w:rPr>
      </w:pPr>
      <w:r>
        <w:rPr>
          <w:lang w:val="pl-PL"/>
        </w:rPr>
        <w:br w:type="page"/>
      </w:r>
    </w:p>
    <w:p w:rsidR="00014566" w:rsidRPr="00501736" w:rsidRDefault="003330F9" w:rsidP="00746E5E">
      <w:pPr>
        <w:pStyle w:val="JuCase"/>
        <w:rPr>
          <w:bCs/>
          <w:lang w:val="pl-PL"/>
        </w:rPr>
      </w:pPr>
      <w:r w:rsidRPr="00501736">
        <w:rPr>
          <w:lang w:val="pl-PL"/>
        </w:rPr>
        <w:lastRenderedPageBreak/>
        <w:t xml:space="preserve">W sprawie  </w:t>
      </w:r>
      <w:proofErr w:type="spellStart"/>
      <w:r w:rsidR="001B64EC" w:rsidRPr="00501736">
        <w:rPr>
          <w:lang w:val="pl-PL"/>
        </w:rPr>
        <w:t>Pugžlys</w:t>
      </w:r>
      <w:proofErr w:type="spellEnd"/>
      <w:r w:rsidR="001B64EC" w:rsidRPr="00501736">
        <w:rPr>
          <w:lang w:val="pl-PL"/>
        </w:rPr>
        <w:t xml:space="preserve"> </w:t>
      </w:r>
      <w:r w:rsidRPr="00501736">
        <w:rPr>
          <w:lang w:val="pl-PL"/>
        </w:rPr>
        <w:t>przeciwko</w:t>
      </w:r>
      <w:r w:rsidRPr="00501736">
        <w:rPr>
          <w:b w:val="0"/>
          <w:lang w:val="pl-PL"/>
        </w:rPr>
        <w:t xml:space="preserve"> </w:t>
      </w:r>
      <w:r w:rsidRPr="00501736">
        <w:rPr>
          <w:lang w:val="pl-PL"/>
        </w:rPr>
        <w:t>Polsce</w:t>
      </w:r>
      <w:r w:rsidR="00014566" w:rsidRPr="00501736">
        <w:rPr>
          <w:lang w:val="pl-PL"/>
        </w:rPr>
        <w:t>,</w:t>
      </w:r>
    </w:p>
    <w:p w:rsidR="00014566" w:rsidRPr="00501736" w:rsidRDefault="003330F9" w:rsidP="00746E5E">
      <w:pPr>
        <w:pStyle w:val="ECHRPara"/>
        <w:rPr>
          <w:lang w:val="pl-PL"/>
        </w:rPr>
      </w:pPr>
      <w:r w:rsidRPr="00501736">
        <w:rPr>
          <w:lang w:val="pl-PL"/>
        </w:rPr>
        <w:t>Europejski Trybunał Praw Człowieka (Czwarta Sekcja), zasiadając jako Izba w składzie</w:t>
      </w:r>
      <w:r w:rsidR="00014566" w:rsidRPr="00501736">
        <w:rPr>
          <w:lang w:val="pl-PL"/>
        </w:rPr>
        <w:t>:</w:t>
      </w:r>
    </w:p>
    <w:p w:rsidR="00014566" w:rsidRPr="00501736" w:rsidRDefault="006B7307" w:rsidP="00746E5E">
      <w:pPr>
        <w:pStyle w:val="ECHRDecisionBody"/>
        <w:rPr>
          <w:lang w:val="pl-PL"/>
        </w:rPr>
      </w:pPr>
      <w:r w:rsidRPr="00501736">
        <w:rPr>
          <w:lang w:val="pl-PL"/>
        </w:rPr>
        <w:tab/>
      </w:r>
      <w:proofErr w:type="spellStart"/>
      <w:r w:rsidRPr="00501736">
        <w:rPr>
          <w:lang w:val="pl-PL"/>
        </w:rPr>
        <w:t>András</w:t>
      </w:r>
      <w:proofErr w:type="spellEnd"/>
      <w:r w:rsidRPr="00501736">
        <w:rPr>
          <w:lang w:val="pl-PL"/>
        </w:rPr>
        <w:t xml:space="preserve"> </w:t>
      </w:r>
      <w:proofErr w:type="spellStart"/>
      <w:r w:rsidRPr="00501736">
        <w:rPr>
          <w:lang w:val="pl-PL"/>
        </w:rPr>
        <w:t>Sajó</w:t>
      </w:r>
      <w:proofErr w:type="spellEnd"/>
      <w:r w:rsidRPr="00501736">
        <w:rPr>
          <w:lang w:val="pl-PL"/>
        </w:rPr>
        <w:t>,</w:t>
      </w:r>
      <w:r w:rsidRPr="00501736">
        <w:rPr>
          <w:i/>
          <w:lang w:val="pl-PL"/>
        </w:rPr>
        <w:t xml:space="preserve"> </w:t>
      </w:r>
      <w:r w:rsidR="003330F9" w:rsidRPr="00501736">
        <w:rPr>
          <w:i/>
          <w:lang w:val="pl-PL"/>
        </w:rPr>
        <w:t>Przewodniczący</w:t>
      </w:r>
      <w:r w:rsidRPr="00501736">
        <w:rPr>
          <w:i/>
          <w:lang w:val="pl-PL"/>
        </w:rPr>
        <w:t>,</w:t>
      </w:r>
      <w:r w:rsidRPr="00501736">
        <w:rPr>
          <w:i/>
          <w:lang w:val="pl-PL"/>
        </w:rPr>
        <w:br/>
      </w:r>
      <w:r w:rsidRPr="00501736">
        <w:rPr>
          <w:lang w:val="pl-PL"/>
        </w:rPr>
        <w:tab/>
        <w:t>Vincent A. De Gaetano,</w:t>
      </w:r>
      <w:r w:rsidRPr="00501736">
        <w:rPr>
          <w:i/>
          <w:lang w:val="pl-PL"/>
        </w:rPr>
        <w:br/>
      </w:r>
      <w:r w:rsidRPr="00501736">
        <w:rPr>
          <w:lang w:val="pl-PL"/>
        </w:rPr>
        <w:tab/>
      </w:r>
      <w:proofErr w:type="spellStart"/>
      <w:r w:rsidRPr="00501736">
        <w:rPr>
          <w:lang w:val="pl-PL"/>
        </w:rPr>
        <w:t>Boštjan</w:t>
      </w:r>
      <w:proofErr w:type="spellEnd"/>
      <w:r w:rsidRPr="00501736">
        <w:rPr>
          <w:lang w:val="pl-PL"/>
        </w:rPr>
        <w:t xml:space="preserve"> M. </w:t>
      </w:r>
      <w:proofErr w:type="spellStart"/>
      <w:r w:rsidRPr="00501736">
        <w:rPr>
          <w:lang w:val="pl-PL"/>
        </w:rPr>
        <w:t>Zupančič</w:t>
      </w:r>
      <w:proofErr w:type="spellEnd"/>
      <w:r w:rsidRPr="00501736">
        <w:rPr>
          <w:lang w:val="pl-PL"/>
        </w:rPr>
        <w:t>,</w:t>
      </w:r>
      <w:r w:rsidRPr="00501736">
        <w:rPr>
          <w:i/>
          <w:lang w:val="pl-PL"/>
        </w:rPr>
        <w:br/>
      </w:r>
      <w:r w:rsidRPr="00501736">
        <w:rPr>
          <w:lang w:val="pl-PL"/>
        </w:rPr>
        <w:tab/>
        <w:t xml:space="preserve">Nona </w:t>
      </w:r>
      <w:proofErr w:type="spellStart"/>
      <w:r w:rsidRPr="00501736">
        <w:rPr>
          <w:lang w:val="pl-PL"/>
        </w:rPr>
        <w:t>Tsotsoria</w:t>
      </w:r>
      <w:proofErr w:type="spellEnd"/>
      <w:r w:rsidRPr="00501736">
        <w:rPr>
          <w:lang w:val="pl-PL"/>
        </w:rPr>
        <w:t>,</w:t>
      </w:r>
      <w:r w:rsidRPr="00501736">
        <w:rPr>
          <w:i/>
          <w:lang w:val="pl-PL"/>
        </w:rPr>
        <w:br/>
      </w:r>
      <w:r w:rsidRPr="00501736">
        <w:rPr>
          <w:lang w:val="pl-PL"/>
        </w:rPr>
        <w:tab/>
        <w:t xml:space="preserve">Paulo </w:t>
      </w:r>
      <w:proofErr w:type="spellStart"/>
      <w:r w:rsidRPr="00501736">
        <w:rPr>
          <w:lang w:val="pl-PL"/>
        </w:rPr>
        <w:t>Pinto</w:t>
      </w:r>
      <w:proofErr w:type="spellEnd"/>
      <w:r w:rsidRPr="00501736">
        <w:rPr>
          <w:lang w:val="pl-PL"/>
        </w:rPr>
        <w:t xml:space="preserve"> de Albuquerque,</w:t>
      </w:r>
      <w:r w:rsidRPr="00501736">
        <w:rPr>
          <w:i/>
          <w:lang w:val="pl-PL"/>
        </w:rPr>
        <w:br/>
      </w:r>
      <w:r w:rsidRPr="00501736">
        <w:rPr>
          <w:lang w:val="pl-PL"/>
        </w:rPr>
        <w:tab/>
        <w:t xml:space="preserve">Krzysztof </w:t>
      </w:r>
      <w:proofErr w:type="spellStart"/>
      <w:r w:rsidRPr="00501736">
        <w:rPr>
          <w:lang w:val="pl-PL"/>
        </w:rPr>
        <w:t>Wojtyczek</w:t>
      </w:r>
      <w:proofErr w:type="spellEnd"/>
      <w:r w:rsidRPr="00501736">
        <w:rPr>
          <w:lang w:val="pl-PL"/>
        </w:rPr>
        <w:t>,</w:t>
      </w:r>
      <w:r w:rsidRPr="00501736">
        <w:rPr>
          <w:i/>
          <w:lang w:val="pl-PL"/>
        </w:rPr>
        <w:br/>
      </w:r>
      <w:r w:rsidRPr="00501736">
        <w:rPr>
          <w:lang w:val="pl-PL"/>
        </w:rPr>
        <w:tab/>
        <w:t xml:space="preserve">Gabriele </w:t>
      </w:r>
      <w:proofErr w:type="spellStart"/>
      <w:r w:rsidRPr="00501736">
        <w:rPr>
          <w:lang w:val="pl-PL"/>
        </w:rPr>
        <w:t>Kucsko-Stadlmayer</w:t>
      </w:r>
      <w:proofErr w:type="spellEnd"/>
      <w:r w:rsidRPr="00501736">
        <w:rPr>
          <w:lang w:val="pl-PL"/>
        </w:rPr>
        <w:t>,</w:t>
      </w:r>
      <w:r w:rsidRPr="00501736">
        <w:rPr>
          <w:i/>
          <w:lang w:val="pl-PL"/>
        </w:rPr>
        <w:t xml:space="preserve"> </w:t>
      </w:r>
      <w:r w:rsidR="003330F9" w:rsidRPr="00501736">
        <w:rPr>
          <w:i/>
          <w:lang w:val="pl-PL"/>
        </w:rPr>
        <w:t>sędziowie</w:t>
      </w:r>
      <w:r w:rsidRPr="00501736">
        <w:rPr>
          <w:i/>
          <w:lang w:val="pl-PL"/>
        </w:rPr>
        <w:t>,</w:t>
      </w:r>
      <w:r w:rsidR="00014566" w:rsidRPr="00501736">
        <w:rPr>
          <w:szCs w:val="24"/>
          <w:lang w:val="pl-PL"/>
        </w:rPr>
        <w:br/>
      </w:r>
      <w:r w:rsidR="003330F9" w:rsidRPr="00501736">
        <w:rPr>
          <w:lang w:val="pl-PL"/>
        </w:rPr>
        <w:t>oraz</w:t>
      </w:r>
      <w:r w:rsidR="00014566" w:rsidRPr="00501736">
        <w:rPr>
          <w:lang w:val="pl-PL"/>
        </w:rPr>
        <w:t xml:space="preserve"> </w:t>
      </w:r>
      <w:proofErr w:type="spellStart"/>
      <w:r w:rsidRPr="00501736">
        <w:rPr>
          <w:lang w:val="pl-PL"/>
        </w:rPr>
        <w:t>Fatoş</w:t>
      </w:r>
      <w:proofErr w:type="spellEnd"/>
      <w:r w:rsidRPr="00501736">
        <w:rPr>
          <w:lang w:val="pl-PL"/>
        </w:rPr>
        <w:t xml:space="preserve"> </w:t>
      </w:r>
      <w:proofErr w:type="spellStart"/>
      <w:r w:rsidRPr="00501736">
        <w:rPr>
          <w:lang w:val="pl-PL"/>
        </w:rPr>
        <w:t>Aracı</w:t>
      </w:r>
      <w:proofErr w:type="spellEnd"/>
      <w:r w:rsidRPr="00501736">
        <w:rPr>
          <w:lang w:val="pl-PL"/>
        </w:rPr>
        <w:t xml:space="preserve">, </w:t>
      </w:r>
      <w:r w:rsidR="003330F9" w:rsidRPr="00501736">
        <w:rPr>
          <w:i/>
          <w:lang w:val="pl-PL"/>
        </w:rPr>
        <w:t>Zastępca</w:t>
      </w:r>
      <w:r w:rsidRPr="00501736">
        <w:rPr>
          <w:i/>
          <w:lang w:val="pl-PL"/>
        </w:rPr>
        <w:t xml:space="preserve"> </w:t>
      </w:r>
      <w:r w:rsidR="003330F9" w:rsidRPr="00501736">
        <w:rPr>
          <w:i/>
          <w:lang w:val="pl-PL"/>
        </w:rPr>
        <w:t>Kanclerza Sekcji</w:t>
      </w:r>
      <w:r w:rsidR="00014566" w:rsidRPr="00501736">
        <w:rPr>
          <w:i/>
          <w:lang w:val="pl-PL"/>
        </w:rPr>
        <w:t>,</w:t>
      </w:r>
    </w:p>
    <w:p w:rsidR="00014566" w:rsidRPr="00501736" w:rsidRDefault="003330F9" w:rsidP="00746E5E">
      <w:pPr>
        <w:pStyle w:val="ECHRPara"/>
        <w:rPr>
          <w:lang w:val="pl-PL"/>
        </w:rPr>
      </w:pPr>
      <w:r w:rsidRPr="00501736">
        <w:rPr>
          <w:rFonts w:ascii="Times New Roman" w:eastAsia="MS Mincho" w:hAnsi="Times New Roman" w:cs="Times New Roman"/>
          <w:szCs w:val="20"/>
          <w:lang w:val="pl-PL" w:eastAsia="fr-FR"/>
        </w:rPr>
        <w:t>Obradując na posiedzeniu niejawnym w dniu</w:t>
      </w:r>
      <w:r w:rsidR="00014566" w:rsidRPr="00501736">
        <w:rPr>
          <w:lang w:val="pl-PL"/>
        </w:rPr>
        <w:t xml:space="preserve"> </w:t>
      </w:r>
      <w:r w:rsidR="006B7307" w:rsidRPr="00501736">
        <w:rPr>
          <w:lang w:val="pl-PL"/>
        </w:rPr>
        <w:t xml:space="preserve">24 </w:t>
      </w:r>
      <w:r w:rsidRPr="00501736">
        <w:rPr>
          <w:lang w:val="pl-PL"/>
        </w:rPr>
        <w:t>maja</w:t>
      </w:r>
      <w:r w:rsidR="006B7307" w:rsidRPr="00501736">
        <w:rPr>
          <w:lang w:val="pl-PL"/>
        </w:rPr>
        <w:t xml:space="preserve"> 2016</w:t>
      </w:r>
      <w:r w:rsidR="00014566" w:rsidRPr="00501736">
        <w:rPr>
          <w:lang w:val="pl-PL"/>
        </w:rPr>
        <w:t>,</w:t>
      </w:r>
    </w:p>
    <w:p w:rsidR="00014566" w:rsidRPr="00501736" w:rsidRDefault="003330F9" w:rsidP="00746E5E">
      <w:pPr>
        <w:pStyle w:val="ECHRPara"/>
        <w:rPr>
          <w:lang w:val="pl-PL"/>
        </w:rPr>
      </w:pPr>
      <w:r w:rsidRPr="00501736">
        <w:rPr>
          <w:rFonts w:ascii="Times New Roman" w:eastAsia="MS Mincho" w:hAnsi="Times New Roman" w:cs="Times New Roman"/>
          <w:szCs w:val="20"/>
          <w:lang w:val="pl-PL" w:eastAsia="fr-FR"/>
        </w:rPr>
        <w:t>Wydaje następujący wyrok, który został przyjęty w tym dniu</w:t>
      </w:r>
      <w:r w:rsidR="00014566" w:rsidRPr="00501736">
        <w:rPr>
          <w:lang w:val="pl-PL"/>
        </w:rPr>
        <w:t>:</w:t>
      </w:r>
    </w:p>
    <w:p w:rsidR="00014566" w:rsidRPr="00501736" w:rsidRDefault="003330F9" w:rsidP="00746E5E">
      <w:pPr>
        <w:pStyle w:val="ECHRTitle1"/>
        <w:rPr>
          <w:lang w:val="pl-PL"/>
        </w:rPr>
      </w:pPr>
      <w:r w:rsidRPr="00501736">
        <w:rPr>
          <w:lang w:val="pl-PL"/>
        </w:rPr>
        <w:t>POSTĘPOWANIE</w:t>
      </w:r>
    </w:p>
    <w:p w:rsidR="001B64EC"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w:t>
      </w:r>
      <w:r w:rsidRPr="00501736">
        <w:rPr>
          <w:lang w:val="pl-PL"/>
        </w:rPr>
        <w:fldChar w:fldCharType="end"/>
      </w:r>
      <w:r w:rsidR="00014566" w:rsidRPr="00501736">
        <w:rPr>
          <w:lang w:val="pl-PL"/>
        </w:rPr>
        <w:t>.  </w:t>
      </w:r>
      <w:r w:rsidR="003330F9" w:rsidRPr="00501736">
        <w:rPr>
          <w:lang w:val="pl-PL"/>
        </w:rPr>
        <w:t>Sprawa wywodzi się ze skargi (nr</w:t>
      </w:r>
      <w:r w:rsidRPr="00501736">
        <w:rPr>
          <w:lang w:val="pl-PL"/>
        </w:rPr>
        <w:t xml:space="preserve"> 446/10)</w:t>
      </w:r>
      <w:r w:rsidR="00014566" w:rsidRPr="00501736">
        <w:rPr>
          <w:lang w:val="pl-PL"/>
        </w:rPr>
        <w:t xml:space="preserve"> </w:t>
      </w:r>
      <w:r w:rsidR="003330F9" w:rsidRPr="00501736">
        <w:rPr>
          <w:lang w:val="pl-PL"/>
        </w:rPr>
        <w:t>przeciwko Rzeczypospolitej Polskiej wniesionej do Trybunału na podstawie Artykułu 34 Konwencji o Ochronie Praw Czło</w:t>
      </w:r>
      <w:r w:rsidR="00746DBA" w:rsidRPr="00501736">
        <w:rPr>
          <w:lang w:val="pl-PL"/>
        </w:rPr>
        <w:t>wieka i Podstawowych Wolności (</w:t>
      </w:r>
      <w:r w:rsidR="003330F9" w:rsidRPr="00501736">
        <w:rPr>
          <w:lang w:val="pl-PL"/>
        </w:rPr>
        <w:t>"Konwencja") przez litewskiego obywatela</w:t>
      </w:r>
      <w:r w:rsidRPr="00501736">
        <w:rPr>
          <w:lang w:val="pl-PL"/>
        </w:rPr>
        <w:t xml:space="preserve">, </w:t>
      </w:r>
      <w:r w:rsidR="003330F9" w:rsidRPr="00501736">
        <w:rPr>
          <w:lang w:val="pl-PL"/>
        </w:rPr>
        <w:t>Pana</w:t>
      </w:r>
      <w:r w:rsidRPr="00501736">
        <w:rPr>
          <w:lang w:val="pl-PL"/>
        </w:rPr>
        <w:t xml:space="preserve"> </w:t>
      </w:r>
      <w:proofErr w:type="spellStart"/>
      <w:r w:rsidRPr="00501736">
        <w:rPr>
          <w:lang w:val="pl-PL"/>
        </w:rPr>
        <w:t>Juozas</w:t>
      </w:r>
      <w:r w:rsidR="003330F9" w:rsidRPr="00501736">
        <w:rPr>
          <w:lang w:val="pl-PL"/>
        </w:rPr>
        <w:t>a</w:t>
      </w:r>
      <w:proofErr w:type="spellEnd"/>
      <w:r w:rsidRPr="00501736">
        <w:rPr>
          <w:lang w:val="pl-PL"/>
        </w:rPr>
        <w:t xml:space="preserve"> </w:t>
      </w:r>
      <w:proofErr w:type="spellStart"/>
      <w:r w:rsidRPr="00501736">
        <w:rPr>
          <w:lang w:val="pl-PL"/>
        </w:rPr>
        <w:t>Pugžlys</w:t>
      </w:r>
      <w:r w:rsidR="003330F9" w:rsidRPr="00501736">
        <w:rPr>
          <w:lang w:val="pl-PL"/>
        </w:rPr>
        <w:t>a</w:t>
      </w:r>
      <w:proofErr w:type="spellEnd"/>
      <w:r w:rsidRPr="00501736">
        <w:rPr>
          <w:lang w:val="pl-PL"/>
        </w:rPr>
        <w:t xml:space="preserve"> (“</w:t>
      </w:r>
      <w:r w:rsidR="003330F9" w:rsidRPr="00501736">
        <w:rPr>
          <w:lang w:val="pl-PL"/>
        </w:rPr>
        <w:t>skarżący</w:t>
      </w:r>
      <w:r w:rsidRPr="00501736">
        <w:rPr>
          <w:lang w:val="pl-PL"/>
        </w:rPr>
        <w:t xml:space="preserve">”), </w:t>
      </w:r>
      <w:r w:rsidR="003330F9" w:rsidRPr="00501736">
        <w:rPr>
          <w:spacing w:val="4"/>
          <w:lang w:val="pl-PL"/>
        </w:rPr>
        <w:t>w dniu</w:t>
      </w:r>
      <w:r w:rsidRPr="00501736">
        <w:rPr>
          <w:lang w:val="pl-PL"/>
        </w:rPr>
        <w:t xml:space="preserve"> 13 </w:t>
      </w:r>
      <w:r w:rsidR="003330F9" w:rsidRPr="00501736">
        <w:rPr>
          <w:lang w:val="pl-PL"/>
        </w:rPr>
        <w:t>listopada</w:t>
      </w:r>
      <w:r w:rsidRPr="00501736">
        <w:rPr>
          <w:lang w:val="pl-PL"/>
        </w:rPr>
        <w:t xml:space="preserve"> 2009</w:t>
      </w:r>
      <w:r w:rsidR="00014566" w:rsidRPr="00501736">
        <w:rPr>
          <w:lang w:val="pl-PL"/>
        </w:rPr>
        <w:t>.</w:t>
      </w:r>
    </w:p>
    <w:p w:rsidR="00282D54"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w:t>
      </w:r>
      <w:r w:rsidRPr="00501736">
        <w:rPr>
          <w:lang w:val="pl-PL"/>
        </w:rPr>
        <w:fldChar w:fldCharType="end"/>
      </w:r>
      <w:r w:rsidR="00014566" w:rsidRPr="00501736">
        <w:rPr>
          <w:lang w:val="pl-PL"/>
        </w:rPr>
        <w:t>.  </w:t>
      </w:r>
      <w:r w:rsidR="003330F9" w:rsidRPr="00501736">
        <w:rPr>
          <w:lang w:val="pl-PL"/>
        </w:rPr>
        <w:t xml:space="preserve">Skarżący był reprezentowany przez pana </w:t>
      </w:r>
      <w:r w:rsidRPr="00501736">
        <w:rPr>
          <w:lang w:val="pl-PL"/>
        </w:rPr>
        <w:t xml:space="preserve">L. </w:t>
      </w:r>
      <w:proofErr w:type="spellStart"/>
      <w:r w:rsidRPr="00501736">
        <w:rPr>
          <w:lang w:val="pl-PL"/>
        </w:rPr>
        <w:t>Belevičius</w:t>
      </w:r>
      <w:proofErr w:type="spellEnd"/>
      <w:r w:rsidRPr="00501736">
        <w:rPr>
          <w:lang w:val="pl-PL"/>
        </w:rPr>
        <w:t xml:space="preserve">, </w:t>
      </w:r>
      <w:r w:rsidR="003330F9" w:rsidRPr="00501736">
        <w:rPr>
          <w:lang w:val="pl-PL"/>
        </w:rPr>
        <w:t>prawnika praktykującego w Wilnie</w:t>
      </w:r>
      <w:r w:rsidRPr="00501736">
        <w:rPr>
          <w:lang w:val="pl-PL"/>
        </w:rPr>
        <w:t xml:space="preserve">. </w:t>
      </w:r>
      <w:r w:rsidR="003330F9" w:rsidRPr="00501736">
        <w:rPr>
          <w:lang w:val="pl-PL"/>
        </w:rPr>
        <w:t>Rząd Polski ("Rząd") był reprezentowany przez swojego pełnomocnika, panią J. Chrzanowską, z Ministerstwa Spraw Zagranicznych</w:t>
      </w:r>
      <w:r w:rsidR="00282D54" w:rsidRPr="00501736">
        <w:rPr>
          <w:lang w:val="pl-PL"/>
        </w:rPr>
        <w:t xml:space="preserve">. </w:t>
      </w:r>
      <w:r w:rsidR="00180129" w:rsidRPr="00501736">
        <w:rPr>
          <w:lang w:val="pl-PL"/>
        </w:rPr>
        <w:t>Rząd litewski nie skorzystał z prawa do interwencji (art 36 § 1 Konwencji)</w:t>
      </w:r>
      <w:r w:rsidR="000808CC" w:rsidRPr="00501736">
        <w:rPr>
          <w:lang w:val="pl-PL"/>
        </w:rPr>
        <w:t>.</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w:t>
      </w:r>
      <w:r w:rsidRPr="00501736">
        <w:rPr>
          <w:lang w:val="pl-PL"/>
        </w:rPr>
        <w:fldChar w:fldCharType="end"/>
      </w:r>
      <w:r w:rsidRPr="00501736">
        <w:rPr>
          <w:lang w:val="pl-PL"/>
        </w:rPr>
        <w:t>.  </w:t>
      </w:r>
      <w:r w:rsidR="00180129" w:rsidRPr="00501736">
        <w:rPr>
          <w:lang w:val="pl-PL"/>
        </w:rPr>
        <w:t>Skarżący zarzucał w szczególności, że reżim "niebezpiecznego więźnia" był nałożony na niego przez okres dziewięciu lat, że podczas jego r</w:t>
      </w:r>
      <w:r w:rsidR="000E29BD">
        <w:rPr>
          <w:lang w:val="pl-PL"/>
        </w:rPr>
        <w:t>ozpraw sądowych był umieszczony</w:t>
      </w:r>
      <w:r w:rsidR="00180129" w:rsidRPr="00501736">
        <w:rPr>
          <w:lang w:val="pl-PL"/>
        </w:rPr>
        <w:t xml:space="preserve"> w metalowej klatce, a jego adwokat z urzędu nie mówił po litewsku. Skarżący </w:t>
      </w:r>
      <w:r w:rsidR="000E29BD">
        <w:rPr>
          <w:lang w:val="pl-PL"/>
        </w:rPr>
        <w:t>podnosił również zarzuty odnośnie do</w:t>
      </w:r>
      <w:r w:rsidR="00180129" w:rsidRPr="00501736">
        <w:rPr>
          <w:lang w:val="pl-PL"/>
        </w:rPr>
        <w:t xml:space="preserve"> </w:t>
      </w:r>
      <w:r w:rsidR="000E29BD">
        <w:rPr>
          <w:lang w:val="pl-PL"/>
        </w:rPr>
        <w:t>ograniczeń jego kontaktów z</w:t>
      </w:r>
      <w:r w:rsidR="00180129" w:rsidRPr="00501736">
        <w:rPr>
          <w:lang w:val="pl-PL"/>
        </w:rPr>
        <w:t xml:space="preserve"> rodziną</w:t>
      </w:r>
      <w:r w:rsidR="001F4993" w:rsidRPr="00501736">
        <w:rPr>
          <w:lang w:val="pl-PL"/>
        </w:rPr>
        <w:t>.</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w:t>
      </w:r>
      <w:r w:rsidRPr="00501736">
        <w:rPr>
          <w:lang w:val="pl-PL"/>
        </w:rPr>
        <w:fldChar w:fldCharType="end"/>
      </w:r>
      <w:r w:rsidR="00014566" w:rsidRPr="00501736">
        <w:rPr>
          <w:lang w:val="pl-PL"/>
        </w:rPr>
        <w:t>.  </w:t>
      </w:r>
      <w:r w:rsidR="003A4151" w:rsidRPr="00501736">
        <w:rPr>
          <w:lang w:val="pl-PL"/>
        </w:rPr>
        <w:t>W dniu 7 lipca 2014 skargi</w:t>
      </w:r>
      <w:r w:rsidR="00170246">
        <w:rPr>
          <w:lang w:val="pl-PL"/>
        </w:rPr>
        <w:t>:</w:t>
      </w:r>
      <w:r w:rsidR="003A4151" w:rsidRPr="00501736">
        <w:rPr>
          <w:lang w:val="pl-PL"/>
        </w:rPr>
        <w:t xml:space="preserve"> </w:t>
      </w:r>
      <w:r w:rsidR="00170246">
        <w:rPr>
          <w:lang w:val="pl-PL"/>
        </w:rPr>
        <w:t>z art. 3 Konwencji dotycząca</w:t>
      </w:r>
      <w:r w:rsidR="003A4151" w:rsidRPr="00501736">
        <w:rPr>
          <w:lang w:val="pl-PL"/>
        </w:rPr>
        <w:t xml:space="preserve"> r</w:t>
      </w:r>
      <w:r w:rsidR="00A54819">
        <w:rPr>
          <w:lang w:val="pl-PL"/>
        </w:rPr>
        <w:t>eżi</w:t>
      </w:r>
      <w:r w:rsidR="00746DBA" w:rsidRPr="00501736">
        <w:rPr>
          <w:lang w:val="pl-PL"/>
        </w:rPr>
        <w:t>mu "więźnia niebezpiecznego"</w:t>
      </w:r>
      <w:r w:rsidR="003A4151" w:rsidRPr="00501736">
        <w:rPr>
          <w:lang w:val="pl-PL"/>
        </w:rPr>
        <w:t xml:space="preserve"> i jego umieszczaniu</w:t>
      </w:r>
      <w:r w:rsidR="00170246">
        <w:rPr>
          <w:lang w:val="pl-PL"/>
        </w:rPr>
        <w:t xml:space="preserve"> w klatce, zakuwaniu w kajdanki</w:t>
      </w:r>
      <w:r w:rsidR="003A4151" w:rsidRPr="00501736">
        <w:rPr>
          <w:lang w:val="pl-PL"/>
        </w:rPr>
        <w:t xml:space="preserve"> podcza</w:t>
      </w:r>
      <w:r w:rsidR="00170246">
        <w:rPr>
          <w:lang w:val="pl-PL"/>
        </w:rPr>
        <w:t>s rozpraw sądowych, z art.</w:t>
      </w:r>
      <w:r w:rsidR="003A4151" w:rsidRPr="00501736">
        <w:rPr>
          <w:lang w:val="pl-PL"/>
        </w:rPr>
        <w:t xml:space="preserve"> 6 i 13 o</w:t>
      </w:r>
      <w:r w:rsidR="00170246">
        <w:rPr>
          <w:lang w:val="pl-PL"/>
        </w:rPr>
        <w:t>dnośnie</w:t>
      </w:r>
      <w:r w:rsidR="003A4151" w:rsidRPr="00501736">
        <w:rPr>
          <w:lang w:val="pl-PL"/>
        </w:rPr>
        <w:t xml:space="preserve"> braku rzetelnego procesu sądowego i skuteczn</w:t>
      </w:r>
      <w:r w:rsidR="00170246">
        <w:rPr>
          <w:lang w:val="pl-PL"/>
        </w:rPr>
        <w:t>ego środka odwoławczego, z art.</w:t>
      </w:r>
      <w:r w:rsidR="003A4151" w:rsidRPr="00501736">
        <w:rPr>
          <w:lang w:val="pl-PL"/>
        </w:rPr>
        <w:t xml:space="preserve"> 6 § 3 (b), (c), (e) o prawie do tłumacza i</w:t>
      </w:r>
      <w:r w:rsidR="00763C61" w:rsidRPr="00501736">
        <w:rPr>
          <w:lang w:val="pl-PL"/>
        </w:rPr>
        <w:t xml:space="preserve"> poszanowania</w:t>
      </w:r>
      <w:r w:rsidR="00170246">
        <w:rPr>
          <w:lang w:val="pl-PL"/>
        </w:rPr>
        <w:t xml:space="preserve"> jego prawa do obrony oraz z art. 8 odnośnie ograniczenia</w:t>
      </w:r>
      <w:r w:rsidR="003A4151" w:rsidRPr="00501736">
        <w:rPr>
          <w:lang w:val="pl-PL"/>
        </w:rPr>
        <w:t xml:space="preserve"> kontaktu z rodziną</w:t>
      </w:r>
      <w:r w:rsidR="000714D9">
        <w:rPr>
          <w:lang w:val="pl-PL"/>
        </w:rPr>
        <w:t>, zostały zakomunikowane R</w:t>
      </w:r>
      <w:r w:rsidR="003A4151" w:rsidRPr="00501736">
        <w:rPr>
          <w:lang w:val="pl-PL"/>
        </w:rPr>
        <w:t>ządowi</w:t>
      </w:r>
      <w:r w:rsidR="00763C61" w:rsidRPr="00501736">
        <w:rPr>
          <w:lang w:val="pl-PL"/>
        </w:rPr>
        <w:t>,</w:t>
      </w:r>
      <w:r w:rsidR="003A4151" w:rsidRPr="00501736">
        <w:rPr>
          <w:lang w:val="pl-PL"/>
        </w:rPr>
        <w:t xml:space="preserve"> </w:t>
      </w:r>
      <w:r w:rsidR="00763C61" w:rsidRPr="00501736">
        <w:rPr>
          <w:lang w:val="pl-PL"/>
        </w:rPr>
        <w:t>n</w:t>
      </w:r>
      <w:r w:rsidR="003A4151" w:rsidRPr="00501736">
        <w:rPr>
          <w:lang w:val="pl-PL"/>
        </w:rPr>
        <w:t>a</w:t>
      </w:r>
      <w:r w:rsidR="00763C61" w:rsidRPr="00501736">
        <w:rPr>
          <w:lang w:val="pl-PL"/>
        </w:rPr>
        <w:t>tomiast</w:t>
      </w:r>
      <w:r w:rsidR="003A4151" w:rsidRPr="00501736">
        <w:rPr>
          <w:lang w:val="pl-PL"/>
        </w:rPr>
        <w:t xml:space="preserve"> pozostałej części </w:t>
      </w:r>
      <w:r w:rsidR="000E29BD">
        <w:rPr>
          <w:lang w:val="pl-PL"/>
        </w:rPr>
        <w:t xml:space="preserve">skarga </w:t>
      </w:r>
      <w:r w:rsidR="003A4151" w:rsidRPr="00501736">
        <w:rPr>
          <w:lang w:val="pl-PL"/>
        </w:rPr>
        <w:t>został</w:t>
      </w:r>
      <w:r w:rsidR="000E29BD">
        <w:rPr>
          <w:lang w:val="pl-PL"/>
        </w:rPr>
        <w:t>a uznana za niedopuszczalną</w:t>
      </w:r>
      <w:r w:rsidR="00014566" w:rsidRPr="00501736">
        <w:rPr>
          <w:lang w:val="pl-PL"/>
        </w:rPr>
        <w:t>.</w:t>
      </w:r>
    </w:p>
    <w:p w:rsidR="00014566" w:rsidRPr="00501736" w:rsidRDefault="003A4151" w:rsidP="00746E5E">
      <w:pPr>
        <w:pStyle w:val="ECHRTitle1"/>
        <w:rPr>
          <w:lang w:val="pl-PL"/>
        </w:rPr>
      </w:pPr>
      <w:r w:rsidRPr="00501736">
        <w:rPr>
          <w:lang w:val="pl-PL"/>
        </w:rPr>
        <w:lastRenderedPageBreak/>
        <w:t>STAN FAKTYCZNY</w:t>
      </w:r>
    </w:p>
    <w:p w:rsidR="00014566" w:rsidRPr="00501736" w:rsidRDefault="00014566" w:rsidP="00746E5E">
      <w:pPr>
        <w:pStyle w:val="ECHRHeading1"/>
        <w:rPr>
          <w:lang w:val="pl-PL"/>
        </w:rPr>
      </w:pPr>
      <w:r w:rsidRPr="00501736">
        <w:rPr>
          <w:lang w:val="pl-PL"/>
        </w:rPr>
        <w:t>I.  </w:t>
      </w:r>
      <w:r w:rsidR="003A4151" w:rsidRPr="00501736">
        <w:rPr>
          <w:lang w:val="pl-PL"/>
        </w:rPr>
        <w:t>OKOLICZNOŚCI SPRAWY</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w:t>
      </w:r>
      <w:r w:rsidRPr="00501736">
        <w:rPr>
          <w:lang w:val="pl-PL"/>
        </w:rPr>
        <w:fldChar w:fldCharType="end"/>
      </w:r>
      <w:r w:rsidR="00014566" w:rsidRPr="00501736">
        <w:rPr>
          <w:lang w:val="pl-PL"/>
        </w:rPr>
        <w:t>.  </w:t>
      </w:r>
      <w:r w:rsidR="008256D3" w:rsidRPr="00501736">
        <w:rPr>
          <w:lang w:val="pl-PL"/>
        </w:rPr>
        <w:t>Skarżący urodził się w</w:t>
      </w:r>
      <w:r w:rsidR="000E29BD">
        <w:rPr>
          <w:lang w:val="pl-PL"/>
        </w:rPr>
        <w:t xml:space="preserve"> 1966 roku i jest osadzony w Zakładzie K</w:t>
      </w:r>
      <w:r w:rsidR="008256D3" w:rsidRPr="00501736">
        <w:rPr>
          <w:lang w:val="pl-PL"/>
        </w:rPr>
        <w:t>arnym w Suwałkach</w:t>
      </w:r>
      <w:r w:rsidR="00014566" w:rsidRPr="00501736">
        <w:rPr>
          <w:lang w:val="pl-PL"/>
        </w:rPr>
        <w:t>.</w:t>
      </w:r>
    </w:p>
    <w:p w:rsidR="00282D54"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w:t>
      </w:r>
      <w:r w:rsidRPr="00501736">
        <w:rPr>
          <w:lang w:val="pl-PL"/>
        </w:rPr>
        <w:fldChar w:fldCharType="end"/>
      </w:r>
      <w:r w:rsidRPr="00501736">
        <w:rPr>
          <w:lang w:val="pl-PL"/>
        </w:rPr>
        <w:t>.  </w:t>
      </w:r>
      <w:r w:rsidR="008256D3" w:rsidRPr="00501736">
        <w:rPr>
          <w:lang w:val="pl-PL"/>
        </w:rPr>
        <w:t>Okoliczności sprawy, przedstawione przez skarżącego, można streścić w następujący sposób</w:t>
      </w:r>
      <w:r w:rsidRPr="00501736">
        <w:rPr>
          <w:lang w:val="pl-PL"/>
        </w:rPr>
        <w:t>.</w:t>
      </w:r>
    </w:p>
    <w:p w:rsidR="00282D54" w:rsidRPr="00501736" w:rsidRDefault="00282D54" w:rsidP="00746E5E">
      <w:pPr>
        <w:pStyle w:val="ECHRHeading2"/>
        <w:rPr>
          <w:lang w:val="pl-PL"/>
        </w:rPr>
      </w:pPr>
      <w:r w:rsidRPr="00501736">
        <w:rPr>
          <w:lang w:val="pl-PL"/>
        </w:rPr>
        <w:t>A.  </w:t>
      </w:r>
      <w:r w:rsidR="008256D3" w:rsidRPr="00501736">
        <w:rPr>
          <w:lang w:val="pl-PL"/>
        </w:rPr>
        <w:t>Postępowanie karne przeciwko skarżącemu (sygn.</w:t>
      </w:r>
      <w:r w:rsidRPr="00501736">
        <w:rPr>
          <w:lang w:val="pl-PL"/>
        </w:rPr>
        <w:t xml:space="preserve"> IVK 338/06)</w:t>
      </w:r>
    </w:p>
    <w:p w:rsidR="00282D54"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w:t>
      </w:r>
      <w:r w:rsidRPr="00501736">
        <w:rPr>
          <w:lang w:val="pl-PL"/>
        </w:rPr>
        <w:fldChar w:fldCharType="end"/>
      </w:r>
      <w:r w:rsidRPr="00501736">
        <w:rPr>
          <w:lang w:val="pl-PL"/>
        </w:rPr>
        <w:t>.  </w:t>
      </w:r>
      <w:r w:rsidR="00F7398C" w:rsidRPr="00501736">
        <w:rPr>
          <w:lang w:val="pl-PL"/>
        </w:rPr>
        <w:t>W dniu 30 kwietnia 2003 r</w:t>
      </w:r>
      <w:r w:rsidR="000E29BD">
        <w:rPr>
          <w:lang w:val="pl-PL"/>
        </w:rPr>
        <w:t>. Prokuratura Okręgowa w Suwałkach  wydała nakaz zatrzymania skarżącego</w:t>
      </w:r>
      <w:r w:rsidR="00F7398C" w:rsidRPr="00501736">
        <w:rPr>
          <w:lang w:val="pl-PL"/>
        </w:rPr>
        <w:t xml:space="preserve"> w związku z podejrzeniem o </w:t>
      </w:r>
      <w:r w:rsidR="00763C61" w:rsidRPr="00501736">
        <w:rPr>
          <w:lang w:val="pl-PL"/>
        </w:rPr>
        <w:t>kierowanie</w:t>
      </w:r>
      <w:r w:rsidR="00F7398C" w:rsidRPr="00501736">
        <w:rPr>
          <w:lang w:val="pl-PL"/>
        </w:rPr>
        <w:t xml:space="preserve"> międzynarodow</w:t>
      </w:r>
      <w:r w:rsidR="00763C61" w:rsidRPr="00501736">
        <w:rPr>
          <w:lang w:val="pl-PL"/>
        </w:rPr>
        <w:t>ą</w:t>
      </w:r>
      <w:r w:rsidR="00F7398C" w:rsidRPr="00501736">
        <w:rPr>
          <w:lang w:val="pl-PL"/>
        </w:rPr>
        <w:t xml:space="preserve"> zorganizowan</w:t>
      </w:r>
      <w:r w:rsidR="00763C61" w:rsidRPr="00501736">
        <w:rPr>
          <w:lang w:val="pl-PL"/>
        </w:rPr>
        <w:t>ą</w:t>
      </w:r>
      <w:r w:rsidR="00F7398C" w:rsidRPr="00501736">
        <w:rPr>
          <w:lang w:val="pl-PL"/>
        </w:rPr>
        <w:t xml:space="preserve"> grup</w:t>
      </w:r>
      <w:r w:rsidR="00763C61" w:rsidRPr="00501736">
        <w:rPr>
          <w:lang w:val="pl-PL"/>
        </w:rPr>
        <w:t>ą</w:t>
      </w:r>
      <w:r w:rsidR="00F7398C" w:rsidRPr="00501736">
        <w:rPr>
          <w:lang w:val="pl-PL"/>
        </w:rPr>
        <w:t xml:space="preserve"> przestępcz</w:t>
      </w:r>
      <w:r w:rsidR="00763C61" w:rsidRPr="00501736">
        <w:rPr>
          <w:lang w:val="pl-PL"/>
        </w:rPr>
        <w:t>ą</w:t>
      </w:r>
      <w:r w:rsidR="005A175C">
        <w:rPr>
          <w:lang w:val="pl-PL"/>
        </w:rPr>
        <w:t xml:space="preserve"> oraz sześć porwań</w:t>
      </w:r>
      <w:r w:rsidR="00F7398C" w:rsidRPr="00501736">
        <w:rPr>
          <w:lang w:val="pl-PL"/>
        </w:rPr>
        <w:t xml:space="preserve"> dla okupu popełnionych przez członków tej grupy. Tego samego dnia Sąd Rejonowy w Suwałkach </w:t>
      </w:r>
      <w:r w:rsidR="005A175C">
        <w:rPr>
          <w:lang w:val="pl-PL"/>
        </w:rPr>
        <w:t>zastosował wobec skarżącego tymczasowe aresztowanie wobec</w:t>
      </w:r>
      <w:r w:rsidR="00F7398C" w:rsidRPr="00501736">
        <w:rPr>
          <w:lang w:val="pl-PL"/>
        </w:rPr>
        <w:t xml:space="preserve"> uzasadnione</w:t>
      </w:r>
      <w:r w:rsidR="005A175C">
        <w:rPr>
          <w:lang w:val="pl-PL"/>
        </w:rPr>
        <w:t>go podejrzenia, że skarżący dopuścił się popełnienia zarzuconych mu czynów</w:t>
      </w:r>
      <w:r w:rsidR="00F7398C" w:rsidRPr="00501736">
        <w:rPr>
          <w:lang w:val="pl-PL"/>
        </w:rPr>
        <w:t xml:space="preserve">. </w:t>
      </w:r>
      <w:r w:rsidR="00F77D2D">
        <w:rPr>
          <w:lang w:val="pl-PL"/>
        </w:rPr>
        <w:t>Sąd w znacznej mierze oparł się na wysokim prawdopodobieństwie, że skarżący może podjąć próby utrudniania postępowania poprzez wpływanie</w:t>
      </w:r>
      <w:r w:rsidR="00F7398C" w:rsidRPr="00501736">
        <w:rPr>
          <w:lang w:val="pl-PL"/>
        </w:rPr>
        <w:t xml:space="preserve"> na świadków i innych podejrzanych</w:t>
      </w:r>
      <w:r w:rsidRPr="00501736">
        <w:rPr>
          <w:lang w:val="pl-PL"/>
        </w:rPr>
        <w:t>.</w:t>
      </w:r>
    </w:p>
    <w:p w:rsidR="00282D54"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w:t>
      </w:r>
      <w:r w:rsidRPr="00501736">
        <w:rPr>
          <w:lang w:val="pl-PL"/>
        </w:rPr>
        <w:fldChar w:fldCharType="end"/>
      </w:r>
      <w:r w:rsidRPr="00501736">
        <w:rPr>
          <w:lang w:val="pl-PL"/>
        </w:rPr>
        <w:t>.  </w:t>
      </w:r>
      <w:r w:rsidR="00F7398C" w:rsidRPr="00501736">
        <w:rPr>
          <w:lang w:val="pl-PL"/>
        </w:rPr>
        <w:t>W dniu 22 kwietnia 2003 roku skarżący został zatrzymany w Holandii</w:t>
      </w:r>
      <w:r w:rsidRPr="00501736">
        <w:rPr>
          <w:lang w:val="pl-PL"/>
        </w:rPr>
        <w:t>.</w:t>
      </w:r>
    </w:p>
    <w:p w:rsidR="00282D54"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w:t>
      </w:r>
      <w:r w:rsidRPr="00501736">
        <w:rPr>
          <w:lang w:val="pl-PL"/>
        </w:rPr>
        <w:fldChar w:fldCharType="end"/>
      </w:r>
      <w:r w:rsidRPr="00501736">
        <w:rPr>
          <w:lang w:val="pl-PL"/>
        </w:rPr>
        <w:t>.  </w:t>
      </w:r>
      <w:r w:rsidR="000E3568" w:rsidRPr="00501736">
        <w:rPr>
          <w:lang w:val="pl-PL"/>
        </w:rPr>
        <w:t>Wniosek o ekstradycję, list gończy i nakaz zatrzymania zostały wysłane do Holandii. Skarżący został przekazany do Polski w dniu 20 października 2003</w:t>
      </w:r>
      <w:r w:rsidRPr="00501736">
        <w:rPr>
          <w:lang w:val="pl-PL"/>
        </w:rPr>
        <w:t>.</w:t>
      </w:r>
    </w:p>
    <w:p w:rsidR="00746E5E"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w:t>
      </w:r>
      <w:r w:rsidRPr="00501736">
        <w:rPr>
          <w:lang w:val="pl-PL"/>
        </w:rPr>
        <w:fldChar w:fldCharType="end"/>
      </w:r>
      <w:r w:rsidRPr="00501736">
        <w:rPr>
          <w:lang w:val="pl-PL"/>
        </w:rPr>
        <w:t>.  </w:t>
      </w:r>
      <w:r w:rsidR="00CA6BF4" w:rsidRPr="00501736">
        <w:rPr>
          <w:lang w:val="pl-PL"/>
        </w:rPr>
        <w:t xml:space="preserve">W dniu 8 kwietnia 2004 roku Prokurator Okręgowy w Suwałkach </w:t>
      </w:r>
      <w:r w:rsidR="00E27AF1">
        <w:rPr>
          <w:lang w:val="pl-PL"/>
        </w:rPr>
        <w:t>wniósł akt oskarżenia do Sądu Rejonowego</w:t>
      </w:r>
      <w:r w:rsidR="00CA6BF4" w:rsidRPr="00501736">
        <w:rPr>
          <w:lang w:val="pl-PL"/>
        </w:rPr>
        <w:t xml:space="preserve"> w Augustowie. Sprawa została następnie przeniesiona do Sądu Okręgowego w Lublinie</w:t>
      </w:r>
      <w:r w:rsidRPr="00501736">
        <w:rPr>
          <w:lang w:val="pl-PL"/>
        </w:rPr>
        <w:t>.</w:t>
      </w:r>
    </w:p>
    <w:p w:rsidR="00746E5E"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w:t>
      </w:r>
      <w:r w:rsidRPr="00501736">
        <w:rPr>
          <w:lang w:val="pl-PL"/>
        </w:rPr>
        <w:fldChar w:fldCharType="end"/>
      </w:r>
      <w:r w:rsidRPr="00501736">
        <w:rPr>
          <w:lang w:val="pl-PL"/>
        </w:rPr>
        <w:t>.  </w:t>
      </w:r>
      <w:r w:rsidR="00445FC9">
        <w:rPr>
          <w:lang w:val="pl-PL"/>
        </w:rPr>
        <w:t>Zarówno z</w:t>
      </w:r>
      <w:r w:rsidR="00E27AF1">
        <w:rPr>
          <w:lang w:val="pl-PL"/>
        </w:rPr>
        <w:t>ażalenie</w:t>
      </w:r>
      <w:r w:rsidR="00CA6BF4" w:rsidRPr="00501736">
        <w:rPr>
          <w:lang w:val="pl-PL"/>
        </w:rPr>
        <w:t xml:space="preserve"> </w:t>
      </w:r>
      <w:r w:rsidR="00E27AF1">
        <w:rPr>
          <w:lang w:val="pl-PL"/>
        </w:rPr>
        <w:t>skarżącego na tymczasowe aresztowanie,</w:t>
      </w:r>
      <w:r w:rsidR="00445FC9">
        <w:rPr>
          <w:lang w:val="pl-PL"/>
        </w:rPr>
        <w:t xml:space="preserve"> jak i jego kolejne zażalenia od</w:t>
      </w:r>
      <w:r w:rsidR="00CA6BF4" w:rsidRPr="00501736">
        <w:rPr>
          <w:lang w:val="pl-PL"/>
        </w:rPr>
        <w:t xml:space="preserve"> decyz</w:t>
      </w:r>
      <w:r w:rsidR="00445FC9">
        <w:rPr>
          <w:lang w:val="pl-PL"/>
        </w:rPr>
        <w:t>ji o jego przedłużeniu oraz wszystkie</w:t>
      </w:r>
      <w:r w:rsidR="00CA6BF4" w:rsidRPr="00501736">
        <w:rPr>
          <w:lang w:val="pl-PL"/>
        </w:rPr>
        <w:t xml:space="preserve"> kolejne wnioski o zwolnienie i odwołania</w:t>
      </w:r>
      <w:r w:rsidR="00445FC9">
        <w:rPr>
          <w:lang w:val="pl-PL"/>
        </w:rPr>
        <w:t xml:space="preserve"> od odmowy jego zwolnienia, okazały się</w:t>
      </w:r>
      <w:r w:rsidR="00CA6BF4" w:rsidRPr="00501736">
        <w:rPr>
          <w:lang w:val="pl-PL"/>
        </w:rPr>
        <w:t xml:space="preserve"> bezskuteczne</w:t>
      </w:r>
      <w:r w:rsidRPr="00501736">
        <w:rPr>
          <w:lang w:val="pl-PL"/>
        </w:rPr>
        <w:t>.</w:t>
      </w:r>
    </w:p>
    <w:p w:rsidR="00746E5E"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12</w:t>
      </w:r>
      <w:r w:rsidRPr="00501736">
        <w:rPr>
          <w:lang w:val="pl-PL"/>
        </w:rPr>
        <w:fldChar w:fldCharType="end"/>
      </w:r>
      <w:r w:rsidRPr="00501736">
        <w:rPr>
          <w:lang w:val="pl-PL"/>
        </w:rPr>
        <w:t>.  </w:t>
      </w:r>
      <w:r w:rsidR="00CA6BF4" w:rsidRPr="00501736">
        <w:rPr>
          <w:lang w:val="pl-PL"/>
        </w:rPr>
        <w:t xml:space="preserve">W międzyczasie, w innym postępowaniu karnym, w dniu 1 kwietnia 2005 roku Sąd Okręgowy w Suwałkach uznał skarżącego winnym rozboju i skazał go na cztery lata i sześć miesięcy pozbawienia wolności (II K 96/04). Wyrok został utrzymany w mocy w postępowaniu odwoławczym. </w:t>
      </w:r>
      <w:r w:rsidR="00445FC9">
        <w:rPr>
          <w:lang w:val="pl-PL"/>
        </w:rPr>
        <w:t>Skarżący odbywał wskazaną</w:t>
      </w:r>
      <w:r w:rsidR="00CA6BF4" w:rsidRPr="00501736">
        <w:rPr>
          <w:lang w:val="pl-PL"/>
        </w:rPr>
        <w:t xml:space="preserve"> karę w dniach od 21 stycznia 2006 roku do dnia 20 lipca 2010</w:t>
      </w:r>
      <w:r w:rsidRPr="00501736">
        <w:rPr>
          <w:lang w:val="pl-PL"/>
        </w:rPr>
        <w:t>.</w:t>
      </w:r>
    </w:p>
    <w:p w:rsidR="00393842" w:rsidRPr="00501736" w:rsidRDefault="002B4A8B"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13</w:t>
      </w:r>
      <w:r w:rsidRPr="00501736">
        <w:rPr>
          <w:lang w:val="pl-PL"/>
        </w:rPr>
        <w:fldChar w:fldCharType="end"/>
      </w:r>
      <w:r w:rsidRPr="00501736">
        <w:rPr>
          <w:lang w:val="pl-PL"/>
        </w:rPr>
        <w:t>.  </w:t>
      </w:r>
      <w:r w:rsidR="00CA6BF4" w:rsidRPr="00501736">
        <w:rPr>
          <w:lang w:val="pl-PL"/>
        </w:rPr>
        <w:t>Akt oskarżenia został po raz pierwszy złożony w Sądzie</w:t>
      </w:r>
      <w:r w:rsidR="00445FC9">
        <w:rPr>
          <w:lang w:val="pl-PL"/>
        </w:rPr>
        <w:t xml:space="preserve"> Rejonowym w Augustowie, który stwierdził swoją niewłaściwość</w:t>
      </w:r>
      <w:r w:rsidR="00CA6BF4" w:rsidRPr="00501736">
        <w:rPr>
          <w:lang w:val="pl-PL"/>
        </w:rPr>
        <w:t xml:space="preserve"> do rozpoznania sprawy w dniu 14 kwietnia 2004 roku. Spraw</w:t>
      </w:r>
      <w:r w:rsidR="00445FC9">
        <w:rPr>
          <w:lang w:val="pl-PL"/>
        </w:rPr>
        <w:t xml:space="preserve">a została następnie przekazana </w:t>
      </w:r>
      <w:r w:rsidR="00CA6BF4" w:rsidRPr="00501736">
        <w:rPr>
          <w:lang w:val="pl-PL"/>
        </w:rPr>
        <w:t xml:space="preserve"> do Sądu </w:t>
      </w:r>
      <w:r w:rsidR="0025302B">
        <w:rPr>
          <w:lang w:val="pl-PL"/>
        </w:rPr>
        <w:t>Rejonowego</w:t>
      </w:r>
      <w:r w:rsidR="00CA6BF4" w:rsidRPr="00501736">
        <w:rPr>
          <w:lang w:val="pl-PL"/>
        </w:rPr>
        <w:t xml:space="preserve"> w Lublinie, gdzie proces rozpoczął się w dniu 21 wrześni</w:t>
      </w:r>
      <w:r w:rsidR="0025302B">
        <w:rPr>
          <w:lang w:val="pl-PL"/>
        </w:rPr>
        <w:t>a 2004 r. Sąd przeprowadził</w:t>
      </w:r>
      <w:r w:rsidR="00CA6BF4" w:rsidRPr="00501736">
        <w:rPr>
          <w:lang w:val="pl-PL"/>
        </w:rPr>
        <w:t xml:space="preserve"> wiele</w:t>
      </w:r>
      <w:r w:rsidR="0025302B">
        <w:rPr>
          <w:lang w:val="pl-PL"/>
        </w:rPr>
        <w:t xml:space="preserve"> terminów</w:t>
      </w:r>
      <w:r w:rsidR="00CA6BF4" w:rsidRPr="00501736">
        <w:rPr>
          <w:lang w:val="pl-PL"/>
        </w:rPr>
        <w:t xml:space="preserve"> rozpraw</w:t>
      </w:r>
      <w:r w:rsidR="0025302B">
        <w:rPr>
          <w:lang w:val="pl-PL"/>
        </w:rPr>
        <w:t>y</w:t>
      </w:r>
      <w:r w:rsidR="00CA6BF4" w:rsidRPr="00501736">
        <w:rPr>
          <w:lang w:val="pl-PL"/>
        </w:rPr>
        <w:t xml:space="preserve"> i przesłuchał </w:t>
      </w:r>
      <w:r w:rsidR="00CA6BF4" w:rsidRPr="00501736">
        <w:rPr>
          <w:lang w:val="pl-PL"/>
        </w:rPr>
        <w:lastRenderedPageBreak/>
        <w:t>świadków. W dniu 26 stycznia 2006 roku prokurator złożył wniosek o przekazanie sprawy do Sądu Okręgowego w Lublinie. Po szeregu odwołań i sprzeciwów, w dniu 26 września 2006 roku Sąd Apelacyjny w Warszawie w końcu zdecydował, że Sąd Okręgowy w Lubli</w:t>
      </w:r>
      <w:r w:rsidR="0025302B">
        <w:rPr>
          <w:lang w:val="pl-PL"/>
        </w:rPr>
        <w:t>nie jest właściwy do przeprowadzenia procesu skarżącego</w:t>
      </w:r>
      <w:r w:rsidR="00CA6BF4" w:rsidRPr="00501736">
        <w:rPr>
          <w:lang w:val="pl-PL"/>
        </w:rPr>
        <w:t>. Proces rozpoczął się przed Sądem Okręgowym w Lublinie w grudniu 2006 roku. Sąd przeprowadził co najmniej sześćdziesiąt pięć publicznych</w:t>
      </w:r>
      <w:r w:rsidR="0025302B">
        <w:rPr>
          <w:lang w:val="pl-PL"/>
        </w:rPr>
        <w:t xml:space="preserve"> terminów</w:t>
      </w:r>
      <w:r w:rsidR="00CA6BF4" w:rsidRPr="00501736">
        <w:rPr>
          <w:lang w:val="pl-PL"/>
        </w:rPr>
        <w:t xml:space="preserve"> </w:t>
      </w:r>
      <w:r w:rsidR="00763C61" w:rsidRPr="00501736">
        <w:rPr>
          <w:lang w:val="pl-PL"/>
        </w:rPr>
        <w:t>rozpraw</w:t>
      </w:r>
      <w:r w:rsidR="0025302B">
        <w:rPr>
          <w:lang w:val="pl-PL"/>
        </w:rPr>
        <w:t>y</w:t>
      </w:r>
      <w:r w:rsidR="00CA6BF4" w:rsidRPr="00501736">
        <w:rPr>
          <w:lang w:val="pl-PL"/>
        </w:rPr>
        <w:t xml:space="preserve"> trwających do czterech godzin</w:t>
      </w:r>
      <w:r w:rsidR="00603F03" w:rsidRPr="00501736">
        <w:rPr>
          <w:lang w:val="pl-PL"/>
        </w:rPr>
        <w:t>.</w:t>
      </w:r>
    </w:p>
    <w:p w:rsidR="00746E5E" w:rsidRPr="00501736" w:rsidRDefault="006C7B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14</w:t>
      </w:r>
      <w:r w:rsidRPr="00501736">
        <w:rPr>
          <w:lang w:val="pl-PL"/>
        </w:rPr>
        <w:fldChar w:fldCharType="end"/>
      </w:r>
      <w:r w:rsidRPr="00501736">
        <w:rPr>
          <w:lang w:val="pl-PL"/>
        </w:rPr>
        <w:t>.  </w:t>
      </w:r>
      <w:r w:rsidR="00CA6BF4" w:rsidRPr="00501736">
        <w:rPr>
          <w:lang w:val="pl-PL"/>
        </w:rPr>
        <w:t xml:space="preserve">Na rozprawach przed Sądem Rejonowym w Lublinie i Sądem Okręgowym </w:t>
      </w:r>
      <w:r w:rsidR="00763C61" w:rsidRPr="00501736">
        <w:rPr>
          <w:lang w:val="pl-PL"/>
        </w:rPr>
        <w:t xml:space="preserve">w Lublinie </w:t>
      </w:r>
      <w:r w:rsidR="00CA6BF4" w:rsidRPr="00501736">
        <w:rPr>
          <w:lang w:val="pl-PL"/>
        </w:rPr>
        <w:t>skarżący korzystał z usługi litewskiego tłumacza. W kilku przypadkach zapewniono rosyjskiego tłumacza, gdyż skarżący wyraził na to zgodę, gdyż mówi po rosyjsku wystarczająco dobrze. W dniu 4 stycznia 2007 roku sk</w:t>
      </w:r>
      <w:r w:rsidR="0025302B">
        <w:rPr>
          <w:lang w:val="pl-PL"/>
        </w:rPr>
        <w:t>arżący stwierdził, że wolałby</w:t>
      </w:r>
      <w:r w:rsidR="00CE6813">
        <w:rPr>
          <w:lang w:val="pl-PL"/>
        </w:rPr>
        <w:t xml:space="preserve"> udział</w:t>
      </w:r>
      <w:r w:rsidR="00CA6BF4" w:rsidRPr="00501736">
        <w:rPr>
          <w:lang w:val="pl-PL"/>
        </w:rPr>
        <w:t xml:space="preserve"> tłumacza litewskiego i taki</w:t>
      </w:r>
      <w:r w:rsidR="00CE6813">
        <w:rPr>
          <w:lang w:val="pl-PL"/>
        </w:rPr>
        <w:t xml:space="preserve"> też</w:t>
      </w:r>
      <w:r w:rsidR="00CA6BF4" w:rsidRPr="00501736">
        <w:rPr>
          <w:lang w:val="pl-PL"/>
        </w:rPr>
        <w:t xml:space="preserve"> został zapewniony do końca procesu</w:t>
      </w:r>
      <w:r w:rsidRPr="00501736">
        <w:rPr>
          <w:lang w:val="pl-PL"/>
        </w:rPr>
        <w:t>.</w:t>
      </w:r>
    </w:p>
    <w:p w:rsidR="006C7BEC" w:rsidRPr="00501736" w:rsidRDefault="006C7B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15</w:t>
      </w:r>
      <w:r w:rsidRPr="00501736">
        <w:rPr>
          <w:lang w:val="pl-PL"/>
        </w:rPr>
        <w:fldChar w:fldCharType="end"/>
      </w:r>
      <w:r w:rsidRPr="00501736">
        <w:rPr>
          <w:lang w:val="pl-PL"/>
        </w:rPr>
        <w:t>.  </w:t>
      </w:r>
      <w:r w:rsidR="002C0579" w:rsidRPr="00501736">
        <w:rPr>
          <w:lang w:val="pl-PL"/>
        </w:rPr>
        <w:t>W wielu przypadkach skarżący, wspierany przez tłumacza, zapoznawał się z aktami. Według Rządu, akta były badane co najmniej w dniu 14 listopada i 2 grudnia 2007 roku, 3 stycznia, 7, 17 i 31 marca i 5 maja 2008. Na żądanie skarżącego sąd przekazał mu tłumaczenia dokumentów. Dodatkowo na czterech rozprawach w 2005 roku skarżący zażądał kopii odpowiednich dokumentów w języku polskim</w:t>
      </w:r>
      <w:r w:rsidRPr="00501736">
        <w:rPr>
          <w:lang w:val="pl-PL"/>
        </w:rPr>
        <w:t>.</w:t>
      </w:r>
    </w:p>
    <w:p w:rsidR="00E045B0" w:rsidRPr="00501736" w:rsidRDefault="00C42BE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16</w:t>
      </w:r>
      <w:r w:rsidRPr="00501736">
        <w:rPr>
          <w:lang w:val="pl-PL"/>
        </w:rPr>
        <w:fldChar w:fldCharType="end"/>
      </w:r>
      <w:r w:rsidRPr="00501736">
        <w:rPr>
          <w:lang w:val="pl-PL"/>
        </w:rPr>
        <w:t>.  </w:t>
      </w:r>
      <w:r w:rsidR="002C0579" w:rsidRPr="00501736">
        <w:rPr>
          <w:lang w:val="pl-PL"/>
        </w:rPr>
        <w:t xml:space="preserve">W dniu 5 października 2007 roku skarżący zwrócił się do sądu o </w:t>
      </w:r>
      <w:r w:rsidR="00CE6813">
        <w:rPr>
          <w:lang w:val="pl-PL"/>
        </w:rPr>
        <w:t>przydzielenie mu innego obrońcy</w:t>
      </w:r>
      <w:r w:rsidR="002C0579" w:rsidRPr="00501736">
        <w:rPr>
          <w:lang w:val="pl-PL"/>
        </w:rPr>
        <w:t xml:space="preserve"> z urzędu. Twierdził, że spierał się z obecnym prawnikiem i nie mógł się z n</w:t>
      </w:r>
      <w:r w:rsidR="001432BD">
        <w:rPr>
          <w:lang w:val="pl-PL"/>
        </w:rPr>
        <w:t>im porozumieć. W</w:t>
      </w:r>
      <w:r w:rsidR="002C0579" w:rsidRPr="00501736">
        <w:rPr>
          <w:lang w:val="pl-PL"/>
        </w:rPr>
        <w:t xml:space="preserve"> trakcie rozprawy adwokat </w:t>
      </w:r>
      <w:r w:rsidR="00763C61" w:rsidRPr="00501736">
        <w:rPr>
          <w:lang w:val="pl-PL"/>
        </w:rPr>
        <w:t>przedstawił</w:t>
      </w:r>
      <w:r w:rsidR="002C0579" w:rsidRPr="00501736">
        <w:rPr>
          <w:lang w:val="pl-PL"/>
        </w:rPr>
        <w:t xml:space="preserve"> wniosek </w:t>
      </w:r>
      <w:r w:rsidR="001432BD">
        <w:rPr>
          <w:lang w:val="pl-PL"/>
        </w:rPr>
        <w:t>złożony</w:t>
      </w:r>
      <w:r w:rsidR="002C0579" w:rsidRPr="00501736">
        <w:rPr>
          <w:lang w:val="pl-PL"/>
        </w:rPr>
        <w:t xml:space="preserve"> przez skarżącego, ale sąd oddalił go</w:t>
      </w:r>
      <w:r w:rsidR="00E045B0" w:rsidRPr="00501736">
        <w:rPr>
          <w:lang w:val="pl-PL"/>
        </w:rPr>
        <w:t>.</w:t>
      </w:r>
    </w:p>
    <w:p w:rsidR="00746E5E" w:rsidRPr="00501736" w:rsidRDefault="00E045B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17</w:t>
      </w:r>
      <w:r w:rsidRPr="00501736">
        <w:rPr>
          <w:lang w:val="pl-PL"/>
        </w:rPr>
        <w:fldChar w:fldCharType="end"/>
      </w:r>
      <w:r w:rsidRPr="00501736">
        <w:rPr>
          <w:lang w:val="pl-PL"/>
        </w:rPr>
        <w:t>.  </w:t>
      </w:r>
      <w:r w:rsidR="002C0579" w:rsidRPr="00501736">
        <w:rPr>
          <w:lang w:val="pl-PL"/>
        </w:rPr>
        <w:t>Na rozprawie w dniu 7 stycznia 2009 roku skarżący wni</w:t>
      </w:r>
      <w:r w:rsidR="001432BD">
        <w:rPr>
          <w:lang w:val="pl-PL"/>
        </w:rPr>
        <w:t>oskował o wyłączenie sędziego, j</w:t>
      </w:r>
      <w:r w:rsidR="002C0579" w:rsidRPr="00501736">
        <w:rPr>
          <w:lang w:val="pl-PL"/>
        </w:rPr>
        <w:t>ednak jego wniosek został oddalony</w:t>
      </w:r>
      <w:r w:rsidR="00603F03" w:rsidRPr="00501736">
        <w:rPr>
          <w:lang w:val="pl-PL"/>
        </w:rPr>
        <w:t>.</w:t>
      </w:r>
    </w:p>
    <w:p w:rsidR="00282D54"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18</w:t>
      </w:r>
      <w:r w:rsidRPr="00501736">
        <w:rPr>
          <w:lang w:val="pl-PL"/>
        </w:rPr>
        <w:fldChar w:fldCharType="end"/>
      </w:r>
      <w:r w:rsidRPr="00501736">
        <w:rPr>
          <w:lang w:val="pl-PL"/>
        </w:rPr>
        <w:t>.  </w:t>
      </w:r>
      <w:r w:rsidR="000B007E" w:rsidRPr="00501736">
        <w:rPr>
          <w:lang w:val="pl-PL"/>
        </w:rPr>
        <w:t>W dniu 27 stycznia 2010 roku Sąd Okręgowy w Lublinie (IV Ka 338/06) uznał ska</w:t>
      </w:r>
      <w:r w:rsidR="001432BD">
        <w:rPr>
          <w:lang w:val="pl-PL"/>
        </w:rPr>
        <w:t>rżącego winnym. W szczególności</w:t>
      </w:r>
      <w:r w:rsidR="000B007E" w:rsidRPr="00501736">
        <w:rPr>
          <w:lang w:val="pl-PL"/>
        </w:rPr>
        <w:t xml:space="preserve"> został</w:t>
      </w:r>
      <w:r w:rsidR="001432BD">
        <w:rPr>
          <w:lang w:val="pl-PL"/>
        </w:rPr>
        <w:t xml:space="preserve"> on skazany za winnego popełnienia sześciu porwań</w:t>
      </w:r>
      <w:r w:rsidR="000B007E" w:rsidRPr="00501736">
        <w:rPr>
          <w:lang w:val="pl-PL"/>
        </w:rPr>
        <w:t xml:space="preserve"> dla okupu i kierowania zorganizowaną grupą przestępczą. Skarżący został skazany na dwanaście lat pozbawienia wolności. Okres tymczasowego aresztowania skarżącego z dnia 22 kwietnia 2003 roku do 20 stycznia 2006 roku został zaliczony na poczet kary</w:t>
      </w:r>
      <w:r w:rsidRPr="00501736">
        <w:rPr>
          <w:lang w:val="pl-PL"/>
        </w:rPr>
        <w:t>.</w:t>
      </w:r>
    </w:p>
    <w:p w:rsidR="00E045B0" w:rsidRPr="00501736" w:rsidRDefault="00E045B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19</w:t>
      </w:r>
      <w:r w:rsidRPr="00501736">
        <w:rPr>
          <w:lang w:val="pl-PL"/>
        </w:rPr>
        <w:fldChar w:fldCharType="end"/>
      </w:r>
      <w:r w:rsidRPr="00501736">
        <w:rPr>
          <w:lang w:val="pl-PL"/>
        </w:rPr>
        <w:t>.  </w:t>
      </w:r>
      <w:r w:rsidR="000B007E" w:rsidRPr="00501736">
        <w:rPr>
          <w:lang w:val="pl-PL"/>
        </w:rPr>
        <w:t>Podczas rozprawy przed lubelskimi sądami rejonowym i okręgowym skarżący był reprezentowany przez pana M. C. prawnika z Białegostoku, wyznaczonego dla niego przez są</w:t>
      </w:r>
      <w:r w:rsidR="001432BD">
        <w:rPr>
          <w:lang w:val="pl-PL"/>
        </w:rPr>
        <w:t>d. Prawnik przygotował apelację</w:t>
      </w:r>
      <w:r w:rsidR="000B007E" w:rsidRPr="00501736">
        <w:rPr>
          <w:lang w:val="pl-PL"/>
        </w:rPr>
        <w:t xml:space="preserve"> w</w:t>
      </w:r>
      <w:r w:rsidR="001432BD">
        <w:rPr>
          <w:lang w:val="pl-PL"/>
        </w:rPr>
        <w:t xml:space="preserve"> jego imieniu. W apelacji podniósł między innymi</w:t>
      </w:r>
      <w:r w:rsidR="000B007E" w:rsidRPr="00501736">
        <w:rPr>
          <w:lang w:val="pl-PL"/>
        </w:rPr>
        <w:t xml:space="preserve"> naruszenie prawa do obrony skarżącego na podstawie art 6 Konwencji i s</w:t>
      </w:r>
      <w:r w:rsidR="003400E9" w:rsidRPr="00501736">
        <w:rPr>
          <w:lang w:val="pl-PL"/>
        </w:rPr>
        <w:t>twierdził, że skarżący nie miał</w:t>
      </w:r>
      <w:r w:rsidR="000B007E" w:rsidRPr="00501736">
        <w:rPr>
          <w:lang w:val="pl-PL"/>
        </w:rPr>
        <w:t xml:space="preserve"> dostępu do adwokata w obecności tłumacza i pełnego dostępu do akt sprawy w swoim własnym języku</w:t>
      </w:r>
      <w:r w:rsidRPr="00501736">
        <w:rPr>
          <w:lang w:val="pl-PL"/>
        </w:rPr>
        <w:t>.</w:t>
      </w:r>
    </w:p>
    <w:p w:rsidR="00C42BE1"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20</w:t>
      </w:r>
      <w:r w:rsidRPr="00501736">
        <w:rPr>
          <w:lang w:val="pl-PL"/>
        </w:rPr>
        <w:fldChar w:fldCharType="end"/>
      </w:r>
      <w:r w:rsidRPr="00501736">
        <w:rPr>
          <w:lang w:val="pl-PL"/>
        </w:rPr>
        <w:t>.  </w:t>
      </w:r>
      <w:r w:rsidR="000B007E" w:rsidRPr="00501736">
        <w:rPr>
          <w:lang w:val="pl-PL"/>
        </w:rPr>
        <w:t>W dniu 7 grudnia 2010 roku Sąd Apelacyjny w Lub</w:t>
      </w:r>
      <w:r w:rsidR="001432BD">
        <w:rPr>
          <w:lang w:val="pl-PL"/>
        </w:rPr>
        <w:t xml:space="preserve">linie (II </w:t>
      </w:r>
      <w:proofErr w:type="spellStart"/>
      <w:r w:rsidR="001432BD">
        <w:rPr>
          <w:lang w:val="pl-PL"/>
        </w:rPr>
        <w:t>Aka</w:t>
      </w:r>
      <w:proofErr w:type="spellEnd"/>
      <w:r w:rsidR="001432BD">
        <w:rPr>
          <w:lang w:val="pl-PL"/>
        </w:rPr>
        <w:t xml:space="preserve"> 235/10) utrzymał w mocy zaskarżony</w:t>
      </w:r>
      <w:r w:rsidR="000B007E" w:rsidRPr="00501736">
        <w:rPr>
          <w:lang w:val="pl-PL"/>
        </w:rPr>
        <w:t xml:space="preserve"> wyrok skazujący. Sąd oddalił zarzuty dotyczące braku możliwości kontaktu z adwokatem, który mówił tylko </w:t>
      </w:r>
      <w:r w:rsidR="003400E9" w:rsidRPr="00501736">
        <w:rPr>
          <w:lang w:val="pl-PL"/>
        </w:rPr>
        <w:t>polsku</w:t>
      </w:r>
      <w:r w:rsidR="000B007E" w:rsidRPr="00501736">
        <w:rPr>
          <w:lang w:val="pl-PL"/>
        </w:rPr>
        <w:t>, jako oczywiście bezzasadn</w:t>
      </w:r>
      <w:r w:rsidR="003400E9" w:rsidRPr="00501736">
        <w:rPr>
          <w:lang w:val="pl-PL"/>
        </w:rPr>
        <w:t>e</w:t>
      </w:r>
      <w:r w:rsidR="000B007E" w:rsidRPr="00501736">
        <w:rPr>
          <w:lang w:val="pl-PL"/>
        </w:rPr>
        <w:t xml:space="preserve">. Sąd ustalił, że skarżący miał dostęp do tłumacza przysięgłego podczas całego procesu, w tym spotkań z </w:t>
      </w:r>
      <w:r w:rsidR="001432BD">
        <w:rPr>
          <w:lang w:val="pl-PL"/>
        </w:rPr>
        <w:lastRenderedPageBreak/>
        <w:t>prawnikiem. Sąd odwoławczy</w:t>
      </w:r>
      <w:r w:rsidR="000B007E" w:rsidRPr="00501736">
        <w:rPr>
          <w:lang w:val="pl-PL"/>
        </w:rPr>
        <w:t xml:space="preserve"> uznał również, że skarżącemu nie utrudniano </w:t>
      </w:r>
      <w:r w:rsidR="003400E9" w:rsidRPr="00501736">
        <w:rPr>
          <w:lang w:val="pl-PL"/>
        </w:rPr>
        <w:t xml:space="preserve">wykonywania </w:t>
      </w:r>
      <w:r w:rsidR="000B007E" w:rsidRPr="00501736">
        <w:rPr>
          <w:lang w:val="pl-PL"/>
        </w:rPr>
        <w:t>jego prawa dostępu do akt sprawy, które wielokrotnie konsultował w obecności jego tłumacza. Sąd stwierdził</w:t>
      </w:r>
      <w:r w:rsidR="00C42BE1" w:rsidRPr="00501736">
        <w:rPr>
          <w:lang w:val="pl-PL"/>
        </w:rPr>
        <w:t>:</w:t>
      </w:r>
    </w:p>
    <w:p w:rsidR="00C42BE1" w:rsidRPr="00501736" w:rsidRDefault="00C42BE1" w:rsidP="00746E5E">
      <w:pPr>
        <w:pStyle w:val="ECHRParaQuote"/>
        <w:rPr>
          <w:lang w:val="pl-PL"/>
        </w:rPr>
      </w:pPr>
      <w:r w:rsidRPr="00501736">
        <w:rPr>
          <w:lang w:val="pl-PL"/>
        </w:rPr>
        <w:t>“</w:t>
      </w:r>
      <w:r w:rsidR="007D26ED" w:rsidRPr="00501736">
        <w:rPr>
          <w:lang w:val="pl-PL"/>
        </w:rPr>
        <w:t>W trakcie całego postępowania oskarżony korzystał z bezpłatnego adwokata, z którymi mógł komunikować się w obecności tłumacza. Sąd Okr</w:t>
      </w:r>
      <w:r w:rsidR="001432BD">
        <w:rPr>
          <w:lang w:val="pl-PL"/>
        </w:rPr>
        <w:t>ęgowy nawet zorganizował</w:t>
      </w:r>
      <w:r w:rsidR="007D26ED" w:rsidRPr="00501736">
        <w:rPr>
          <w:lang w:val="pl-PL"/>
        </w:rPr>
        <w:t xml:space="preserve"> przerwy podczas rozprawy w celu umożliwienia skarżącemu kontaktu z jego adwokatem w obecności tłumacza przysięgłego. W konsekwencji, nie można podzielić zarzutu oskarżonego odnośnie naruszenia artykułu 6 Konwencji lub innych przepisów. Ponadto w trakcie postępowania sąd pierwszej instancji dostarczył mu kopie żądanych dokumentów</w:t>
      </w:r>
      <w:r w:rsidR="006B7307" w:rsidRPr="00501736">
        <w:rPr>
          <w:lang w:val="pl-PL"/>
        </w:rPr>
        <w:t>.</w:t>
      </w:r>
      <w:r w:rsidRPr="00501736">
        <w:rPr>
          <w:lang w:val="pl-PL"/>
        </w:rPr>
        <w:t>”</w:t>
      </w:r>
    </w:p>
    <w:p w:rsidR="00746E5E" w:rsidRPr="00501736" w:rsidRDefault="00C42BE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21</w:t>
      </w:r>
      <w:r w:rsidRPr="00501736">
        <w:rPr>
          <w:lang w:val="pl-PL"/>
        </w:rPr>
        <w:fldChar w:fldCharType="end"/>
      </w:r>
      <w:r w:rsidRPr="00501736">
        <w:rPr>
          <w:lang w:val="pl-PL"/>
        </w:rPr>
        <w:t>.  </w:t>
      </w:r>
      <w:r w:rsidR="001432BD">
        <w:rPr>
          <w:lang w:val="pl-PL"/>
        </w:rPr>
        <w:t>Nowy obrońca ustanowiony dla skarżącego</w:t>
      </w:r>
      <w:r w:rsidR="00FF65AF" w:rsidRPr="00501736">
        <w:rPr>
          <w:lang w:val="pl-PL"/>
        </w:rPr>
        <w:t xml:space="preserve"> na tym etapie postępowania, pan A. D., wniósł kasację od wyroku. Twi</w:t>
      </w:r>
      <w:r w:rsidR="001432BD">
        <w:rPr>
          <w:lang w:val="pl-PL"/>
        </w:rPr>
        <w:t>erdził, że kontakty z obrońcą</w:t>
      </w:r>
      <w:r w:rsidR="00FF65AF" w:rsidRPr="00501736">
        <w:rPr>
          <w:lang w:val="pl-PL"/>
        </w:rPr>
        <w:t xml:space="preserve"> w trakcie przerwy w procesie miały miejsce w obecności policjantów, a czasem ławników lub asystentów sędziów. To czyniło </w:t>
      </w:r>
      <w:r w:rsidR="00CE378D" w:rsidRPr="00501736">
        <w:rPr>
          <w:lang w:val="pl-PL"/>
        </w:rPr>
        <w:t xml:space="preserve">iluzorycznym </w:t>
      </w:r>
      <w:r w:rsidR="00FF65AF" w:rsidRPr="00501736">
        <w:rPr>
          <w:lang w:val="pl-PL"/>
        </w:rPr>
        <w:t xml:space="preserve">szacunek </w:t>
      </w:r>
      <w:r w:rsidR="00CE378D">
        <w:rPr>
          <w:lang w:val="pl-PL"/>
        </w:rPr>
        <w:t>dla prawa skarżącego do obrony</w:t>
      </w:r>
      <w:r w:rsidR="00FF65AF" w:rsidRPr="00501736">
        <w:rPr>
          <w:lang w:val="pl-PL"/>
        </w:rPr>
        <w:t>. Wnioski o niekontrolowane spotkania z adwokatem w obecności tłumacza zostały odrzucone zarówno przez sąd pierwsze</w:t>
      </w:r>
      <w:r w:rsidR="00CE378D">
        <w:rPr>
          <w:lang w:val="pl-PL"/>
        </w:rPr>
        <w:t>j instancji jak i sąd odwoławczy</w:t>
      </w:r>
      <w:r w:rsidR="00FF65AF" w:rsidRPr="00501736">
        <w:rPr>
          <w:lang w:val="pl-PL"/>
        </w:rPr>
        <w:t>. W kasacji twierdził on ponadto, że sąd nigdy faktycznie nie zapewnił skarżącemu kopii przetłumaczonych dokumentów, choć wyraził na to zgodę. Ponadto sąd zwrócił się do skarżącego, aby zapłacił za nie, choć nie miał żadnych środków finansowych</w:t>
      </w:r>
      <w:r w:rsidR="00664D35" w:rsidRPr="00501736">
        <w:rPr>
          <w:lang w:val="pl-PL"/>
        </w:rPr>
        <w:t>.</w:t>
      </w:r>
    </w:p>
    <w:p w:rsidR="00746E5E"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22</w:t>
      </w:r>
      <w:r w:rsidRPr="00501736">
        <w:rPr>
          <w:lang w:val="pl-PL"/>
        </w:rPr>
        <w:fldChar w:fldCharType="end"/>
      </w:r>
      <w:r w:rsidRPr="00501736">
        <w:rPr>
          <w:lang w:val="pl-PL"/>
        </w:rPr>
        <w:t>.  </w:t>
      </w:r>
      <w:r w:rsidR="00FF65AF" w:rsidRPr="00501736">
        <w:rPr>
          <w:lang w:val="pl-PL"/>
        </w:rPr>
        <w:t>W dniu 4 kwietnia 2012 roku Sąd Najwyższy oddalił kasację skarżącego. Tłumaczenie na język litewski niniejszego wyroku zostało odebrane przez skarżącego w dniu 7 lipca 2012. W odniesieniu do argumentów przedstawionych w skardze kasacyjnej, sąd stwierdził, że skarżący został tymczasowo aresztowany, a zatem musieli towarzyszyć mu strażni</w:t>
      </w:r>
      <w:r w:rsidR="00D76718">
        <w:rPr>
          <w:lang w:val="pl-PL"/>
        </w:rPr>
        <w:t>cy w czasie spotkań z obrońcą</w:t>
      </w:r>
      <w:r w:rsidR="00FF65AF" w:rsidRPr="00501736">
        <w:rPr>
          <w:lang w:val="pl-PL"/>
        </w:rPr>
        <w:t>, które miały miejsce podczas przerw w rozpraw</w:t>
      </w:r>
      <w:r w:rsidR="003400E9" w:rsidRPr="00501736">
        <w:rPr>
          <w:lang w:val="pl-PL"/>
        </w:rPr>
        <w:t>ie</w:t>
      </w:r>
      <w:r w:rsidR="00D76718">
        <w:rPr>
          <w:lang w:val="pl-PL"/>
        </w:rPr>
        <w:t xml:space="preserve"> w sądzie</w:t>
      </w:r>
      <w:r w:rsidR="00FF65AF" w:rsidRPr="00501736">
        <w:rPr>
          <w:lang w:val="pl-PL"/>
        </w:rPr>
        <w:t>. Sąd zauważył ponadto, że wymagania określone w artykule 6 Konwencji zostały spełnione, ponieważ skarżący miał przekłady najważniejszych dokumentów niezbędnych do jego rozeznania sprawy, nawet jeśli nie była to całość akt</w:t>
      </w:r>
      <w:r w:rsidR="002B2ACF" w:rsidRPr="00501736">
        <w:rPr>
          <w:lang w:val="pl-PL"/>
        </w:rPr>
        <w:t>.</w:t>
      </w:r>
    </w:p>
    <w:p w:rsidR="00282D54" w:rsidRPr="00501736" w:rsidRDefault="00282D54" w:rsidP="00746E5E">
      <w:pPr>
        <w:pStyle w:val="ECHRHeading2"/>
        <w:rPr>
          <w:lang w:val="pl-PL"/>
        </w:rPr>
      </w:pPr>
      <w:r w:rsidRPr="00501736">
        <w:rPr>
          <w:lang w:val="pl-PL"/>
        </w:rPr>
        <w:t>B.  </w:t>
      </w:r>
      <w:r w:rsidR="00FF65AF" w:rsidRPr="00501736">
        <w:rPr>
          <w:lang w:val="pl-PL"/>
        </w:rPr>
        <w:t>Nałożenie tzw. reżimu " więźnia niebezpiecznego"</w:t>
      </w:r>
    </w:p>
    <w:p w:rsidR="00AD79E2"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23</w:t>
      </w:r>
      <w:r w:rsidRPr="00501736">
        <w:rPr>
          <w:lang w:val="pl-PL"/>
        </w:rPr>
        <w:fldChar w:fldCharType="end"/>
      </w:r>
      <w:r w:rsidRPr="00501736">
        <w:rPr>
          <w:lang w:val="pl-PL"/>
        </w:rPr>
        <w:t>.  </w:t>
      </w:r>
      <w:r w:rsidR="00FF65AF" w:rsidRPr="00501736">
        <w:rPr>
          <w:lang w:val="pl-PL"/>
        </w:rPr>
        <w:t xml:space="preserve">W dniu 21 października 2003 roku Areszt </w:t>
      </w:r>
      <w:r w:rsidR="00D76718">
        <w:rPr>
          <w:lang w:val="pl-PL"/>
        </w:rPr>
        <w:t>Śledczy w Suwałkach wystąpił o za</w:t>
      </w:r>
      <w:r w:rsidR="00FF65AF" w:rsidRPr="00501736">
        <w:rPr>
          <w:lang w:val="pl-PL"/>
        </w:rPr>
        <w:t>klasy</w:t>
      </w:r>
      <w:r w:rsidR="003400E9" w:rsidRPr="00501736">
        <w:rPr>
          <w:lang w:val="pl-PL"/>
        </w:rPr>
        <w:t>fikowanie skarżącego jako tzw. "więźnia niebezpiecznego</w:t>
      </w:r>
      <w:r w:rsidR="00FF65AF" w:rsidRPr="00501736">
        <w:rPr>
          <w:lang w:val="pl-PL"/>
        </w:rPr>
        <w:t>". W swoim wniosku władze wskazały, że skarżący został osk</w:t>
      </w:r>
      <w:r w:rsidR="00D76718">
        <w:rPr>
          <w:lang w:val="pl-PL"/>
        </w:rPr>
        <w:t>arżony o popełnienie kilku przestępstw</w:t>
      </w:r>
      <w:r w:rsidR="00FF65AF" w:rsidRPr="00501736">
        <w:rPr>
          <w:lang w:val="pl-PL"/>
        </w:rPr>
        <w:t xml:space="preserve"> porwania dla okupu, rozbojów i usiłowania zabójstwa oraz kierowania międz</w:t>
      </w:r>
      <w:r w:rsidR="00D76718">
        <w:rPr>
          <w:lang w:val="pl-PL"/>
        </w:rPr>
        <w:t>ynarodową grupą przestępczą o charakterze zbrojnym. Skarżący był posz</w:t>
      </w:r>
      <w:r w:rsidR="00FF65AF" w:rsidRPr="00501736">
        <w:rPr>
          <w:lang w:val="pl-PL"/>
        </w:rPr>
        <w:t>ukiwany listem gończym i zatrzymany w Amste</w:t>
      </w:r>
      <w:r w:rsidR="00D76718">
        <w:rPr>
          <w:lang w:val="pl-PL"/>
        </w:rPr>
        <w:t>rdamie. Władze penitencjarne</w:t>
      </w:r>
      <w:r w:rsidR="00FF65AF" w:rsidRPr="00501736">
        <w:rPr>
          <w:lang w:val="pl-PL"/>
        </w:rPr>
        <w:t xml:space="preserve"> stwierdziły: "jego sytuacja osobista, charakter i zachowanie stwarza poważne zagrożenie dla społeczeństwa lub dla bezpieczeństwa aresztu śledczego". Wskazały one ponadto, że bezpieczeństwo wszystkich </w:t>
      </w:r>
      <w:r w:rsidR="00BD4EA4">
        <w:rPr>
          <w:lang w:val="pl-PL"/>
        </w:rPr>
        <w:t>konwojów</w:t>
      </w:r>
      <w:r w:rsidR="00FF65AF" w:rsidRPr="00501736">
        <w:rPr>
          <w:lang w:val="pl-PL"/>
        </w:rPr>
        <w:t xml:space="preserve"> skarżącego należy </w:t>
      </w:r>
      <w:r w:rsidR="00FF65AF" w:rsidRPr="00501736">
        <w:rPr>
          <w:lang w:val="pl-PL"/>
        </w:rPr>
        <w:lastRenderedPageBreak/>
        <w:t>wzmocnić "ze względu na charakter i sposób, w jaki zostały popełnione przestępstwa i fakt, że [skarżący] wcześniej trenował boks i sztuki walki". Wniosek zakończono: " Jest on osob</w:t>
      </w:r>
      <w:r w:rsidR="00BD4EA4">
        <w:rPr>
          <w:lang w:val="pl-PL"/>
        </w:rPr>
        <w:t>ą o wysokim stopniu demoralizacji</w:t>
      </w:r>
      <w:r w:rsidR="00FF65AF" w:rsidRPr="00501736">
        <w:rPr>
          <w:lang w:val="pl-PL"/>
        </w:rPr>
        <w:t>"</w:t>
      </w:r>
      <w:r w:rsidR="00AD79E2" w:rsidRPr="00501736">
        <w:rPr>
          <w:lang w:val="pl-PL"/>
        </w:rPr>
        <w:t>.</w:t>
      </w:r>
    </w:p>
    <w:p w:rsidR="00746E5E" w:rsidRPr="00501736" w:rsidRDefault="00FF65AF" w:rsidP="00746E5E">
      <w:pPr>
        <w:pStyle w:val="ECHRPara"/>
        <w:rPr>
          <w:lang w:val="pl-PL"/>
        </w:rPr>
      </w:pPr>
      <w:r w:rsidRPr="00501736">
        <w:rPr>
          <w:lang w:val="pl-PL"/>
        </w:rPr>
        <w:t xml:space="preserve">W tym </w:t>
      </w:r>
      <w:r w:rsidR="00BD4EA4">
        <w:rPr>
          <w:lang w:val="pl-PL"/>
        </w:rPr>
        <w:t>samym dniu, Komisja Penitencjarn</w:t>
      </w:r>
      <w:r w:rsidRPr="00501736">
        <w:rPr>
          <w:lang w:val="pl-PL"/>
        </w:rPr>
        <w:t>a Aresztu Śledczego w Lublinie postanowiła z</w:t>
      </w:r>
      <w:r w:rsidR="003400E9" w:rsidRPr="00501736">
        <w:rPr>
          <w:lang w:val="pl-PL"/>
        </w:rPr>
        <w:t>akwalifikować skarżącego jako "</w:t>
      </w:r>
      <w:r w:rsidRPr="00501736">
        <w:rPr>
          <w:lang w:val="pl-PL"/>
        </w:rPr>
        <w:t>więźnia niebezpiecznego". Komisja st</w:t>
      </w:r>
      <w:r w:rsidR="00BD4EA4">
        <w:rPr>
          <w:lang w:val="pl-PL"/>
        </w:rPr>
        <w:t>wierdziła, że ​​głównym powodem</w:t>
      </w:r>
      <w:r w:rsidRPr="00501736">
        <w:rPr>
          <w:lang w:val="pl-PL"/>
        </w:rPr>
        <w:t xml:space="preserve"> dla klasyfikacji było podejrzenie, że skarżący popełnił przestępstwa w ramach zorganizowanej grupy przestępczej (art 212a § 3 i § 4 (c) Kodeksu karnego wykonawczego</w:t>
      </w:r>
      <w:r w:rsidR="00282D54" w:rsidRPr="00501736">
        <w:rPr>
          <w:lang w:val="pl-PL"/>
        </w:rPr>
        <w:t>).</w:t>
      </w:r>
    </w:p>
    <w:p w:rsidR="00746E5E"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24</w:t>
      </w:r>
      <w:r w:rsidRPr="00501736">
        <w:rPr>
          <w:lang w:val="pl-PL"/>
        </w:rPr>
        <w:fldChar w:fldCharType="end"/>
      </w:r>
      <w:r w:rsidRPr="00501736">
        <w:rPr>
          <w:lang w:val="pl-PL"/>
        </w:rPr>
        <w:t>.  </w:t>
      </w:r>
      <w:r w:rsidR="003D4186" w:rsidRPr="00501736">
        <w:rPr>
          <w:lang w:val="pl-PL"/>
        </w:rPr>
        <w:t>W bliżej nieokreślonym dniu skarżą</w:t>
      </w:r>
      <w:r w:rsidR="00BD4EA4">
        <w:rPr>
          <w:lang w:val="pl-PL"/>
        </w:rPr>
        <w:t xml:space="preserve">cy wniósł skargę do Okręgowego </w:t>
      </w:r>
      <w:r w:rsidR="00642201">
        <w:rPr>
          <w:lang w:val="pl-PL"/>
        </w:rPr>
        <w:t>Inspektoratu Służby Więziennej</w:t>
      </w:r>
      <w:r w:rsidR="003D4186" w:rsidRPr="00501736">
        <w:rPr>
          <w:lang w:val="pl-PL"/>
        </w:rPr>
        <w:t xml:space="preserve"> w Lublinie</w:t>
      </w:r>
      <w:r w:rsidR="00642201">
        <w:rPr>
          <w:lang w:val="pl-PL"/>
        </w:rPr>
        <w:t>, która dotyczyła</w:t>
      </w:r>
      <w:r w:rsidR="003D4186" w:rsidRPr="00501736">
        <w:rPr>
          <w:lang w:val="pl-PL"/>
        </w:rPr>
        <w:t xml:space="preserve"> stałego monitoringu jego celi, wielokrotnych </w:t>
      </w:r>
      <w:r w:rsidR="003400E9" w:rsidRPr="00501736">
        <w:rPr>
          <w:lang w:val="pl-PL"/>
        </w:rPr>
        <w:t>przeszukiwań</w:t>
      </w:r>
      <w:r w:rsidR="003D4186" w:rsidRPr="00501736">
        <w:rPr>
          <w:lang w:val="pl-PL"/>
        </w:rPr>
        <w:t xml:space="preserve"> ciała i braku niekontrolowanych wizyt. W dniu 15 lutego 2010 roku skar</w:t>
      </w:r>
      <w:r w:rsidR="00642201">
        <w:rPr>
          <w:lang w:val="pl-PL"/>
        </w:rPr>
        <w:t>ga została uznana jako oczywiście</w:t>
      </w:r>
      <w:r w:rsidR="003D4186" w:rsidRPr="00501736">
        <w:rPr>
          <w:lang w:val="pl-PL"/>
        </w:rPr>
        <w:t xml:space="preserve"> bezzasadna</w:t>
      </w:r>
      <w:r w:rsidRPr="00501736">
        <w:rPr>
          <w:lang w:val="pl-PL"/>
        </w:rPr>
        <w:t>.</w:t>
      </w:r>
    </w:p>
    <w:p w:rsidR="00C123A7" w:rsidRPr="00501736" w:rsidRDefault="00282D5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25</w:t>
      </w:r>
      <w:r w:rsidRPr="00501736">
        <w:rPr>
          <w:lang w:val="pl-PL"/>
        </w:rPr>
        <w:fldChar w:fldCharType="end"/>
      </w:r>
      <w:r w:rsidRPr="00501736">
        <w:rPr>
          <w:lang w:val="pl-PL"/>
        </w:rPr>
        <w:t>.  </w:t>
      </w:r>
      <w:r w:rsidR="00C93142" w:rsidRPr="00501736">
        <w:rPr>
          <w:lang w:val="pl-PL"/>
        </w:rPr>
        <w:t>Co trzy miesiące Komisja Penitencjaria Aresztu Śledczego w Lublinie dokonywała przeglądu i potwierdzała swoją decyzję o zaklasyfikowaniu skarżąceg</w:t>
      </w:r>
      <w:r w:rsidR="003400E9" w:rsidRPr="00501736">
        <w:rPr>
          <w:lang w:val="pl-PL"/>
        </w:rPr>
        <w:t>o jako "więźnia niebezpiecznego</w:t>
      </w:r>
      <w:r w:rsidR="00C93142" w:rsidRPr="00501736">
        <w:rPr>
          <w:lang w:val="pl-PL"/>
        </w:rPr>
        <w:t>". Odpowiednie decyzje zostały ograniczone do krótkich opisów wniesionych przeciwko niemu zarzutów, a następnie przestępstw, za które został on skazany, które, wraz z jego "sytuacją osobistą", uzasadniały utrzymywanie poprzednich decyzji. We wnioskach o przed</w:t>
      </w:r>
      <w:r w:rsidR="00642201">
        <w:rPr>
          <w:lang w:val="pl-PL"/>
        </w:rPr>
        <w:t>łużenie okresu reżimu składanych przed każdą decyzją komisji, dyrektor a</w:t>
      </w:r>
      <w:r w:rsidR="00C93142" w:rsidRPr="00501736">
        <w:rPr>
          <w:lang w:val="pl-PL"/>
        </w:rPr>
        <w:t>resztu śledczego podkreślał gw</w:t>
      </w:r>
      <w:r w:rsidR="00642201">
        <w:rPr>
          <w:lang w:val="pl-PL"/>
        </w:rPr>
        <w:t>ałtowny charakter przestępstw</w:t>
      </w:r>
      <w:r w:rsidR="00C93142" w:rsidRPr="00501736">
        <w:rPr>
          <w:lang w:val="pl-PL"/>
        </w:rPr>
        <w:t xml:space="preserve"> rzekomo popełnionych przez skarżącego. We wnioskach z dnia 19 października 2004 i 9 stycznia 2005 roku władze odniosły się do "okoliczności osobistych” skarżącego (bezwzględny i okrutny sposób, w jaki zbrodnie zostały popełnione wraz ze znajomością technik boksu i sztuk walki)". W nowszych wnioskach władze aresztu śledczego wskazały, że skarżący nie podjął żadnego czynnego u</w:t>
      </w:r>
      <w:r w:rsidR="00642201">
        <w:rPr>
          <w:lang w:val="pl-PL"/>
        </w:rPr>
        <w:t>działu w "procesie resocjalizacji</w:t>
      </w:r>
      <w:r w:rsidR="00C93142" w:rsidRPr="00501736">
        <w:rPr>
          <w:lang w:val="pl-PL"/>
        </w:rPr>
        <w:t xml:space="preserve"> społecznej" i reprezentuje niski poziom moralny. Wszystkie decyzje Komisji oraz wnioski aresztu wyda</w:t>
      </w:r>
      <w:r w:rsidR="00501736" w:rsidRPr="00501736">
        <w:rPr>
          <w:lang w:val="pl-PL"/>
        </w:rPr>
        <w:t>wa</w:t>
      </w:r>
      <w:r w:rsidR="00C93142" w:rsidRPr="00501736">
        <w:rPr>
          <w:lang w:val="pl-PL"/>
        </w:rPr>
        <w:t>ne w okresie od kwietnia 2005 do 2012 miały podobną treść</w:t>
      </w:r>
      <w:r w:rsidR="00D6333D" w:rsidRPr="00501736">
        <w:rPr>
          <w:lang w:val="pl-PL"/>
        </w:rPr>
        <w:t>.</w:t>
      </w:r>
    </w:p>
    <w:p w:rsidR="00746E5E" w:rsidRPr="00501736" w:rsidRDefault="00C123A7"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26</w:t>
      </w:r>
      <w:r w:rsidRPr="00501736">
        <w:rPr>
          <w:lang w:val="pl-PL"/>
        </w:rPr>
        <w:fldChar w:fldCharType="end"/>
      </w:r>
      <w:r w:rsidRPr="00501736">
        <w:rPr>
          <w:lang w:val="pl-PL"/>
        </w:rPr>
        <w:t>.  </w:t>
      </w:r>
      <w:r w:rsidR="00C93142" w:rsidRPr="00501736">
        <w:rPr>
          <w:lang w:val="pl-PL"/>
        </w:rPr>
        <w:t>Skarżący odwołał się od niektórych z tych de</w:t>
      </w:r>
      <w:r w:rsidR="00501736" w:rsidRPr="00501736">
        <w:rPr>
          <w:lang w:val="pl-PL"/>
        </w:rPr>
        <w:t>cyzji. W szczególności, odwołał</w:t>
      </w:r>
      <w:r w:rsidR="00C93142" w:rsidRPr="00501736">
        <w:rPr>
          <w:lang w:val="pl-PL"/>
        </w:rPr>
        <w:t xml:space="preserve"> się od decyzji z dnia 2 kwietnia 2009 roku, ale to odwołanie </w:t>
      </w:r>
      <w:r w:rsidR="00642201">
        <w:rPr>
          <w:lang w:val="pl-PL"/>
        </w:rPr>
        <w:t>zostało oddalone</w:t>
      </w:r>
      <w:r w:rsidR="00C93142" w:rsidRPr="00501736">
        <w:rPr>
          <w:lang w:val="pl-PL"/>
        </w:rPr>
        <w:t xml:space="preserve"> przez Sąd Okręgowy w Lublinie w dniu 8 czerwca 2009 roku. Skarżący wniósł również odwołanie od decyzji Komisji</w:t>
      </w:r>
      <w:r w:rsidR="00642201">
        <w:rPr>
          <w:lang w:val="pl-PL"/>
        </w:rPr>
        <w:t xml:space="preserve"> z dnia 29 kwietnia 2011 roku, ale </w:t>
      </w:r>
      <w:r w:rsidR="00C93142" w:rsidRPr="00501736">
        <w:rPr>
          <w:lang w:val="pl-PL"/>
        </w:rPr>
        <w:t>w dniu 6 września 2011 roku Sąd O</w:t>
      </w:r>
      <w:r w:rsidR="00642201">
        <w:rPr>
          <w:lang w:val="pl-PL"/>
        </w:rPr>
        <w:t>kręgowy w Białymstoku utrzymał</w:t>
      </w:r>
      <w:r w:rsidR="00C93142" w:rsidRPr="00501736">
        <w:rPr>
          <w:lang w:val="pl-PL"/>
        </w:rPr>
        <w:t xml:space="preserve"> ją</w:t>
      </w:r>
      <w:r w:rsidR="00642201">
        <w:rPr>
          <w:lang w:val="pl-PL"/>
        </w:rPr>
        <w:t xml:space="preserve"> w mocy. Poza tym</w:t>
      </w:r>
      <w:r w:rsidR="00501736" w:rsidRPr="00501736">
        <w:rPr>
          <w:lang w:val="pl-PL"/>
        </w:rPr>
        <w:t xml:space="preserve"> skarżący twierdził, że odwołał</w:t>
      </w:r>
      <w:r w:rsidR="00C93142" w:rsidRPr="00501736">
        <w:rPr>
          <w:lang w:val="pl-PL"/>
        </w:rPr>
        <w:t xml:space="preserve"> się od decyzji z dnia 4 sierpnia 2011 roku, która został oddalona w dniu 11 października 2011. W dniu 26 marca 2012 roku Sąd Okręgowy w Białymstoku oddalił jego odwołanie od decyzji Komisji wydanej w dniu 27 stycznia 2012 roku. Sądy krajowe zbadały legalność zaskarżonych decyzji i stwierdziły, że zostały wydane zgodnie z przepisami prawa oraz po wnikliwej analizie sprawy. W szczególności właściwą uwagę należy zwrócić na charakter przestępstw rzekomo popełnionych przez skarżącego i których został on </w:t>
      </w:r>
      <w:r w:rsidR="00C93142" w:rsidRPr="00501736">
        <w:rPr>
          <w:lang w:val="pl-PL"/>
        </w:rPr>
        <w:lastRenderedPageBreak/>
        <w:t>później uznany za winnym. Sądy stwierdziły również, że władze oparły swoje decyzje na wyczerpującej ocenie zachowania skarżącego</w:t>
      </w:r>
      <w:r w:rsidR="00E972C0" w:rsidRPr="00501736">
        <w:rPr>
          <w:lang w:val="pl-PL"/>
        </w:rPr>
        <w:t>.</w:t>
      </w:r>
    </w:p>
    <w:p w:rsidR="00746E5E" w:rsidRPr="00501736" w:rsidRDefault="009E7FEE"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27</w:t>
      </w:r>
      <w:r w:rsidRPr="00501736">
        <w:rPr>
          <w:lang w:val="pl-PL"/>
        </w:rPr>
        <w:fldChar w:fldCharType="end"/>
      </w:r>
      <w:r w:rsidRPr="00501736">
        <w:rPr>
          <w:lang w:val="pl-PL"/>
        </w:rPr>
        <w:t>.  </w:t>
      </w:r>
      <w:r w:rsidR="00C93142" w:rsidRPr="00501736">
        <w:rPr>
          <w:lang w:val="pl-PL"/>
        </w:rPr>
        <w:t>W dniu 25 lipca 2012 roku w Komisja Penitencjaria Aresztu Śledczego w Białymstoku podjęła decyzję o zniesieniu środka. Komisja uznała, że ​​ska</w:t>
      </w:r>
      <w:r w:rsidR="00642201">
        <w:rPr>
          <w:lang w:val="pl-PL"/>
        </w:rPr>
        <w:t>rżący nie stanowi już zagrożenia</w:t>
      </w:r>
      <w:r w:rsidR="00C93142" w:rsidRPr="00501736">
        <w:rPr>
          <w:lang w:val="pl-PL"/>
        </w:rPr>
        <w:t xml:space="preserve"> dla bezpieczeństwa aresztu śledczego</w:t>
      </w:r>
      <w:r w:rsidR="00282D54" w:rsidRPr="00501736">
        <w:rPr>
          <w:lang w:val="pl-PL"/>
        </w:rPr>
        <w:t>.</w:t>
      </w:r>
    </w:p>
    <w:p w:rsidR="00282D54" w:rsidRPr="00501736" w:rsidRDefault="00282D54" w:rsidP="00746E5E">
      <w:pPr>
        <w:pStyle w:val="ECHRHeading2"/>
        <w:rPr>
          <w:lang w:val="pl-PL"/>
        </w:rPr>
      </w:pPr>
      <w:r w:rsidRPr="00501736">
        <w:rPr>
          <w:lang w:val="pl-PL"/>
        </w:rPr>
        <w:t>C.  </w:t>
      </w:r>
      <w:r w:rsidR="00C93142" w:rsidRPr="00501736">
        <w:rPr>
          <w:lang w:val="pl-PL"/>
        </w:rPr>
        <w:t>Ograniczenia dotyczące kontaktów skarżącego z rodziną</w:t>
      </w:r>
    </w:p>
    <w:p w:rsidR="00746E5E" w:rsidRPr="00501736" w:rsidRDefault="006A0EAF"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28</w:t>
      </w:r>
      <w:r w:rsidRPr="00501736">
        <w:rPr>
          <w:lang w:val="pl-PL"/>
        </w:rPr>
        <w:fldChar w:fldCharType="end"/>
      </w:r>
      <w:r w:rsidRPr="00501736">
        <w:rPr>
          <w:lang w:val="pl-PL"/>
        </w:rPr>
        <w:t>.  </w:t>
      </w:r>
      <w:r w:rsidR="005C56B2" w:rsidRPr="00501736">
        <w:rPr>
          <w:lang w:val="pl-PL"/>
        </w:rPr>
        <w:t>W dniu 11 października 2007 roku Sąd Okręgowy w Lublinie uwzględnił wniosek skarżącego o pozwolenie na wykonywanie połączeń telefonicznych z aresztu. Podczas jego dalszego zatrzymania w aresztach w Lublinie i Suwałkach skarżący był upoważniony do wykonania dwóch połączeń telefonicznych tygodniowo, z czego każde</w:t>
      </w:r>
      <w:r w:rsidR="00501736" w:rsidRPr="00501736">
        <w:rPr>
          <w:lang w:val="pl-PL"/>
        </w:rPr>
        <w:t>go</w:t>
      </w:r>
      <w:r w:rsidR="005C56B2" w:rsidRPr="00501736">
        <w:rPr>
          <w:lang w:val="pl-PL"/>
        </w:rPr>
        <w:t xml:space="preserve"> trwające</w:t>
      </w:r>
      <w:r w:rsidR="00501736" w:rsidRPr="00501736">
        <w:rPr>
          <w:lang w:val="pl-PL"/>
        </w:rPr>
        <w:t>go</w:t>
      </w:r>
      <w:r w:rsidR="005C56B2" w:rsidRPr="00501736">
        <w:rPr>
          <w:lang w:val="pl-PL"/>
        </w:rPr>
        <w:t xml:space="preserve"> dzies</w:t>
      </w:r>
      <w:r w:rsidR="002620F0">
        <w:rPr>
          <w:lang w:val="pl-PL"/>
        </w:rPr>
        <w:t>ięć minut. Na krótki okres</w:t>
      </w:r>
      <w:r w:rsidR="005C56B2" w:rsidRPr="00501736">
        <w:rPr>
          <w:lang w:val="pl-PL"/>
        </w:rPr>
        <w:t xml:space="preserve"> w 2010 roku korzyst</w:t>
      </w:r>
      <w:r w:rsidR="002620F0">
        <w:rPr>
          <w:lang w:val="pl-PL"/>
        </w:rPr>
        <w:t>anie z telefonu było ograniczone</w:t>
      </w:r>
      <w:r w:rsidR="005C56B2" w:rsidRPr="00501736">
        <w:rPr>
          <w:lang w:val="pl-PL"/>
        </w:rPr>
        <w:t xml:space="preserve"> do jednego razu raz w tygodniu, ale przedłużon</w:t>
      </w:r>
      <w:r w:rsidR="00501736" w:rsidRPr="00501736">
        <w:rPr>
          <w:lang w:val="pl-PL"/>
        </w:rPr>
        <w:t>o</w:t>
      </w:r>
      <w:r w:rsidR="005C56B2" w:rsidRPr="00501736">
        <w:rPr>
          <w:lang w:val="pl-PL"/>
        </w:rPr>
        <w:t xml:space="preserve"> czas trwania połączenia do 15 minut</w:t>
      </w:r>
      <w:r w:rsidR="002558EC" w:rsidRPr="00501736">
        <w:rPr>
          <w:lang w:val="pl-PL"/>
        </w:rPr>
        <w:t>.</w:t>
      </w:r>
    </w:p>
    <w:p w:rsidR="00014566" w:rsidRPr="00501736" w:rsidRDefault="006A0EAF"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29</w:t>
      </w:r>
      <w:r w:rsidRPr="00501736">
        <w:rPr>
          <w:lang w:val="pl-PL"/>
        </w:rPr>
        <w:fldChar w:fldCharType="end"/>
      </w:r>
      <w:r w:rsidRPr="00501736">
        <w:rPr>
          <w:lang w:val="pl-PL"/>
        </w:rPr>
        <w:t>.  </w:t>
      </w:r>
      <w:r w:rsidR="002620F0">
        <w:rPr>
          <w:lang w:val="pl-PL"/>
        </w:rPr>
        <w:t>Poza tym</w:t>
      </w:r>
      <w:r w:rsidR="005C56B2" w:rsidRPr="00501736">
        <w:rPr>
          <w:lang w:val="pl-PL"/>
        </w:rPr>
        <w:t xml:space="preserve"> skarżącemu często przyznawano dodatkowe rozmowy telefoniczne z jego rodziną, córką, adwokatem lub przedstawicielami dyplomatycznymi. W 2010 roku miało to miejsce osiem razy, a w 2011 roku siedem razy. Na jego prośbę, siedem razy w roku 2010 władze wydłużyły przydzielony czasu </w:t>
      </w:r>
      <w:r w:rsidR="00501736" w:rsidRPr="00501736">
        <w:rPr>
          <w:lang w:val="pl-PL"/>
        </w:rPr>
        <w:t>do</w:t>
      </w:r>
      <w:r w:rsidR="005C56B2" w:rsidRPr="00501736">
        <w:rPr>
          <w:lang w:val="pl-PL"/>
        </w:rPr>
        <w:t xml:space="preserve"> piętna</w:t>
      </w:r>
      <w:r w:rsidR="00501736" w:rsidRPr="00501736">
        <w:rPr>
          <w:lang w:val="pl-PL"/>
        </w:rPr>
        <w:t>stu</w:t>
      </w:r>
      <w:r w:rsidR="005C56B2" w:rsidRPr="00501736">
        <w:rPr>
          <w:lang w:val="pl-PL"/>
        </w:rPr>
        <w:t xml:space="preserve"> minut</w:t>
      </w:r>
      <w:r w:rsidR="003A3247" w:rsidRPr="00501736">
        <w:rPr>
          <w:lang w:val="pl-PL"/>
        </w:rPr>
        <w:t>.</w:t>
      </w:r>
    </w:p>
    <w:p w:rsidR="00B11F97" w:rsidRPr="00501736" w:rsidRDefault="00574D1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30</w:t>
      </w:r>
      <w:r w:rsidRPr="00501736">
        <w:rPr>
          <w:lang w:val="pl-PL"/>
        </w:rPr>
        <w:fldChar w:fldCharType="end"/>
      </w:r>
      <w:r w:rsidRPr="00501736">
        <w:rPr>
          <w:lang w:val="pl-PL"/>
        </w:rPr>
        <w:t>.  </w:t>
      </w:r>
      <w:r w:rsidR="00901ACE" w:rsidRPr="00501736">
        <w:rPr>
          <w:lang w:val="pl-PL"/>
        </w:rPr>
        <w:t xml:space="preserve">Wizyty rodziny skarżącemu, jego konkubiny i córki, były </w:t>
      </w:r>
      <w:r w:rsidR="002620F0">
        <w:rPr>
          <w:lang w:val="pl-PL"/>
        </w:rPr>
        <w:t>przedmiotem ograniczeń, ale mogły odbywać się</w:t>
      </w:r>
      <w:r w:rsidR="00901ACE" w:rsidRPr="00501736">
        <w:rPr>
          <w:lang w:val="pl-PL"/>
        </w:rPr>
        <w:t xml:space="preserve"> regularnie. Pierwsza wizyta jego konkubiny miała miejsce w sierpniu 2004 r</w:t>
      </w:r>
      <w:r w:rsidR="002620F0">
        <w:rPr>
          <w:lang w:val="pl-PL"/>
        </w:rPr>
        <w:t>oku, po której miały miejsce dwie</w:t>
      </w:r>
      <w:r w:rsidR="00901ACE" w:rsidRPr="00501736">
        <w:rPr>
          <w:lang w:val="pl-PL"/>
        </w:rPr>
        <w:t xml:space="preserve"> k</w:t>
      </w:r>
      <w:r w:rsidR="002620F0">
        <w:rPr>
          <w:lang w:val="pl-PL"/>
        </w:rPr>
        <w:t>olejne w tym samym roku. Z wykazu</w:t>
      </w:r>
      <w:r w:rsidR="00901ACE" w:rsidRPr="00501736">
        <w:rPr>
          <w:lang w:val="pl-PL"/>
        </w:rPr>
        <w:t xml:space="preserve"> wizyt przedłożone</w:t>
      </w:r>
      <w:r w:rsidR="002620F0">
        <w:rPr>
          <w:lang w:val="pl-PL"/>
        </w:rPr>
        <w:t>go</w:t>
      </w:r>
      <w:r w:rsidR="00901ACE" w:rsidRPr="00501736">
        <w:rPr>
          <w:lang w:val="pl-PL"/>
        </w:rPr>
        <w:t xml:space="preserve"> przez rząd i niekwestionowanego przez skarżącego wynika, że ​​między 2004 a 2009 roku miał co najmniej od dwóch do czterech wizyt rocznie. W 2010 roku miał w sumie osiem wizyt w większości z żoną i córką. Każda wizyta trwała od trzydziestu minut do dwóch godzin</w:t>
      </w:r>
      <w:r w:rsidR="001C0216" w:rsidRPr="00501736">
        <w:rPr>
          <w:lang w:val="pl-PL"/>
        </w:rPr>
        <w:t>.</w:t>
      </w:r>
    </w:p>
    <w:p w:rsidR="00B11F97" w:rsidRPr="00501736" w:rsidRDefault="00B11F97"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31</w:t>
      </w:r>
      <w:r w:rsidRPr="00501736">
        <w:rPr>
          <w:lang w:val="pl-PL"/>
        </w:rPr>
        <w:fldChar w:fldCharType="end"/>
      </w:r>
      <w:r w:rsidRPr="00501736">
        <w:rPr>
          <w:lang w:val="pl-PL"/>
        </w:rPr>
        <w:t>.  </w:t>
      </w:r>
      <w:r w:rsidR="00901ACE" w:rsidRPr="00501736">
        <w:rPr>
          <w:lang w:val="pl-PL"/>
        </w:rPr>
        <w:t>Skarżący nie był ograniczony w zakresie przyjmowania korespondencji od jego rodziny</w:t>
      </w:r>
      <w:r w:rsidRPr="00501736">
        <w:rPr>
          <w:lang w:val="pl-PL"/>
        </w:rPr>
        <w:t>.</w:t>
      </w:r>
    </w:p>
    <w:p w:rsidR="00E724F7" w:rsidRPr="00501736" w:rsidRDefault="00C576BA" w:rsidP="00746E5E">
      <w:pPr>
        <w:pStyle w:val="ECHRHeading2"/>
        <w:rPr>
          <w:lang w:val="pl-PL"/>
        </w:rPr>
      </w:pPr>
      <w:r w:rsidRPr="00501736">
        <w:rPr>
          <w:lang w:val="pl-PL"/>
        </w:rPr>
        <w:t>D.  </w:t>
      </w:r>
      <w:r w:rsidR="00901ACE" w:rsidRPr="00501736">
        <w:rPr>
          <w:lang w:val="pl-PL"/>
        </w:rPr>
        <w:t>Warunki w sądzie</w:t>
      </w:r>
    </w:p>
    <w:p w:rsidR="00E724F7" w:rsidRPr="00501736" w:rsidRDefault="00E0474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32</w:t>
      </w:r>
      <w:r w:rsidRPr="00501736">
        <w:rPr>
          <w:lang w:val="pl-PL"/>
        </w:rPr>
        <w:fldChar w:fldCharType="end"/>
      </w:r>
      <w:r w:rsidRPr="00501736">
        <w:rPr>
          <w:lang w:val="pl-PL"/>
        </w:rPr>
        <w:t>.  </w:t>
      </w:r>
      <w:r w:rsidR="00901ACE" w:rsidRPr="00501736">
        <w:rPr>
          <w:lang w:val="pl-PL"/>
        </w:rPr>
        <w:t>Rząd przyznał, że podczas rozprawy przed Sądem Okręgowym w Lubl</w:t>
      </w:r>
      <w:r w:rsidR="00DC4247">
        <w:rPr>
          <w:lang w:val="pl-PL"/>
        </w:rPr>
        <w:t>inie skarżący był umieszczony</w:t>
      </w:r>
      <w:r w:rsidR="00901ACE" w:rsidRPr="00501736">
        <w:rPr>
          <w:lang w:val="pl-PL"/>
        </w:rPr>
        <w:t xml:space="preserve"> w metalowej klatce oddzielającej go od sędziów i public</w:t>
      </w:r>
      <w:r w:rsidR="00DC4247">
        <w:rPr>
          <w:lang w:val="pl-PL"/>
        </w:rPr>
        <w:t>zności, a jednocześnie w klatce</w:t>
      </w:r>
      <w:r w:rsidR="00901ACE" w:rsidRPr="00501736">
        <w:rPr>
          <w:lang w:val="pl-PL"/>
        </w:rPr>
        <w:t xml:space="preserve"> jego ręce pozostawały w kajdankach</w:t>
      </w:r>
      <w:r w:rsidR="00E724F7" w:rsidRPr="00501736">
        <w:rPr>
          <w:lang w:val="pl-PL"/>
        </w:rPr>
        <w:t>.</w:t>
      </w:r>
    </w:p>
    <w:p w:rsidR="00E724F7" w:rsidRPr="00501736" w:rsidRDefault="00E0474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33</w:t>
      </w:r>
      <w:r w:rsidRPr="00501736">
        <w:rPr>
          <w:lang w:val="pl-PL"/>
        </w:rPr>
        <w:fldChar w:fldCharType="end"/>
      </w:r>
      <w:r w:rsidRPr="00501736">
        <w:rPr>
          <w:lang w:val="pl-PL"/>
        </w:rPr>
        <w:t>.  </w:t>
      </w:r>
      <w:r w:rsidR="00901ACE" w:rsidRPr="00501736">
        <w:rPr>
          <w:lang w:val="pl-PL"/>
        </w:rPr>
        <w:t>Strony nie przedstawiły szczegółowego opisu kla</w:t>
      </w:r>
      <w:r w:rsidR="00DC4247">
        <w:rPr>
          <w:lang w:val="pl-PL"/>
        </w:rPr>
        <w:t>t</w:t>
      </w:r>
      <w:r w:rsidR="00901ACE" w:rsidRPr="00501736">
        <w:rPr>
          <w:lang w:val="pl-PL"/>
        </w:rPr>
        <w:t>ki, w szczególności jej wymiarów. Nie jest też jasne, czy strażnicy znajdowali się wewnątrz klatki ze skarżącym czy też obok niej</w:t>
      </w:r>
      <w:r w:rsidR="002523B7" w:rsidRPr="00501736">
        <w:rPr>
          <w:lang w:val="pl-PL"/>
        </w:rPr>
        <w:t>.</w:t>
      </w:r>
    </w:p>
    <w:p w:rsidR="00E724F7" w:rsidRPr="00501736" w:rsidRDefault="00E0474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34</w:t>
      </w:r>
      <w:r w:rsidRPr="00501736">
        <w:rPr>
          <w:lang w:val="pl-PL"/>
        </w:rPr>
        <w:fldChar w:fldCharType="end"/>
      </w:r>
      <w:r w:rsidRPr="00501736">
        <w:rPr>
          <w:lang w:val="pl-PL"/>
        </w:rPr>
        <w:t>.  </w:t>
      </w:r>
      <w:r w:rsidR="00D64A2F" w:rsidRPr="00501736">
        <w:rPr>
          <w:lang w:val="pl-PL"/>
        </w:rPr>
        <w:t xml:space="preserve">Strony nie są zgodne co do liczby </w:t>
      </w:r>
      <w:r w:rsidR="00C82280">
        <w:rPr>
          <w:lang w:val="pl-PL"/>
        </w:rPr>
        <w:t>rozpraw</w:t>
      </w:r>
      <w:r w:rsidR="00D64A2F" w:rsidRPr="00501736">
        <w:rPr>
          <w:lang w:val="pl-PL"/>
        </w:rPr>
        <w:t xml:space="preserve">, podczas których skarżący pozostawał w klatce. Skarżący stwierdził, że został umieszczony w </w:t>
      </w:r>
      <w:r w:rsidR="00D64A2F" w:rsidRPr="00501736">
        <w:rPr>
          <w:lang w:val="pl-PL"/>
        </w:rPr>
        <w:lastRenderedPageBreak/>
        <w:t>metalowej kl</w:t>
      </w:r>
      <w:r w:rsidR="00DC4247">
        <w:rPr>
          <w:lang w:val="pl-PL"/>
        </w:rPr>
        <w:t>atce, a na rękach i nogach miał kajdanki</w:t>
      </w:r>
      <w:r w:rsidR="00D64A2F" w:rsidRPr="00501736">
        <w:rPr>
          <w:lang w:val="pl-PL"/>
        </w:rPr>
        <w:t xml:space="preserve"> podczas wszystkich rozpraw przed sądem,</w:t>
      </w:r>
      <w:r w:rsidR="005323FF">
        <w:rPr>
          <w:lang w:val="pl-PL"/>
        </w:rPr>
        <w:t xml:space="preserve"> tj.</w:t>
      </w:r>
      <w:r w:rsidR="00D64A2F" w:rsidRPr="00501736">
        <w:rPr>
          <w:lang w:val="pl-PL"/>
        </w:rPr>
        <w:t xml:space="preserve"> około 104. Rząd twierdz</w:t>
      </w:r>
      <w:r w:rsidR="005323FF">
        <w:rPr>
          <w:lang w:val="pl-PL"/>
        </w:rPr>
        <w:t>ił, że był umieszczany w klatce i skuty kajdankami podczas niektórych rozpraw</w:t>
      </w:r>
      <w:r w:rsidR="00D64A2F" w:rsidRPr="00501736">
        <w:rPr>
          <w:lang w:val="pl-PL"/>
        </w:rPr>
        <w:t xml:space="preserve"> przed Sądem Okręgowym w Lublinie, ale nie podczas ich wszystkich</w:t>
      </w:r>
      <w:r w:rsidR="002523B7" w:rsidRPr="00501736">
        <w:rPr>
          <w:lang w:val="pl-PL"/>
        </w:rPr>
        <w:t>.</w:t>
      </w:r>
    </w:p>
    <w:p w:rsidR="00746E5E" w:rsidRPr="00501736" w:rsidRDefault="00E0474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35</w:t>
      </w:r>
      <w:r w:rsidRPr="00501736">
        <w:rPr>
          <w:lang w:val="pl-PL"/>
        </w:rPr>
        <w:fldChar w:fldCharType="end"/>
      </w:r>
      <w:r w:rsidRPr="00501736">
        <w:rPr>
          <w:lang w:val="pl-PL"/>
        </w:rPr>
        <w:t>.  </w:t>
      </w:r>
      <w:r w:rsidR="00D64A2F" w:rsidRPr="00501736">
        <w:rPr>
          <w:lang w:val="pl-PL"/>
        </w:rPr>
        <w:t xml:space="preserve">Rząd twierdził, że w dniu 7 października 2010 roku skarżący otrzymał karę dyscyplinarną za </w:t>
      </w:r>
      <w:r w:rsidR="005323FF">
        <w:rPr>
          <w:lang w:val="pl-PL"/>
        </w:rPr>
        <w:t>groźby skierowane wobec strażnika więziennego</w:t>
      </w:r>
      <w:r w:rsidRPr="00501736">
        <w:rPr>
          <w:lang w:val="pl-PL"/>
        </w:rPr>
        <w:t>.</w:t>
      </w:r>
    </w:p>
    <w:p w:rsidR="00014566" w:rsidRPr="00501736" w:rsidRDefault="00014566" w:rsidP="00746E5E">
      <w:pPr>
        <w:pStyle w:val="ECHRHeading1"/>
        <w:rPr>
          <w:lang w:val="pl-PL"/>
        </w:rPr>
      </w:pPr>
      <w:r w:rsidRPr="00501736">
        <w:rPr>
          <w:lang w:val="pl-PL"/>
        </w:rPr>
        <w:t>II.  </w:t>
      </w:r>
      <w:r w:rsidR="00D64A2F" w:rsidRPr="00501736">
        <w:rPr>
          <w:lang w:val="pl-PL"/>
        </w:rPr>
        <w:t>WŁAŚCIWE PRAWO KRAJOWE I PRAKTYKA</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36</w:t>
      </w:r>
      <w:r w:rsidRPr="00501736">
        <w:rPr>
          <w:lang w:val="pl-PL"/>
        </w:rPr>
        <w:fldChar w:fldCharType="end"/>
      </w:r>
      <w:r w:rsidR="00014566" w:rsidRPr="00501736">
        <w:rPr>
          <w:lang w:val="pl-PL"/>
        </w:rPr>
        <w:t>.  </w:t>
      </w:r>
      <w:r w:rsidR="00D64A2F" w:rsidRPr="00501736">
        <w:rPr>
          <w:lang w:val="pl-PL"/>
        </w:rPr>
        <w:t>Właściwe prawo krajowe i p</w:t>
      </w:r>
      <w:r w:rsidR="005323FF">
        <w:rPr>
          <w:lang w:val="pl-PL"/>
        </w:rPr>
        <w:t>raktyka dotycząca nałożenia reżi</w:t>
      </w:r>
      <w:r w:rsidR="00D64A2F" w:rsidRPr="00501736">
        <w:rPr>
          <w:lang w:val="pl-PL"/>
        </w:rPr>
        <w:t xml:space="preserve">mu "więźnia niebezpiecznego" i odpowiednie dokumenty międzynarodowe są określone w wyrokach Trybunału w sprawach </w:t>
      </w:r>
      <w:r w:rsidR="00D64A2F" w:rsidRPr="00501736">
        <w:rPr>
          <w:i/>
          <w:lang w:val="pl-PL"/>
        </w:rPr>
        <w:t xml:space="preserve">Piechowicz </w:t>
      </w:r>
      <w:r w:rsidR="00C82280" w:rsidRPr="00501736">
        <w:rPr>
          <w:i/>
          <w:lang w:val="pl-PL"/>
        </w:rPr>
        <w:t>przeciwko Polsce</w:t>
      </w:r>
      <w:r w:rsidR="00D64A2F" w:rsidRPr="00501736">
        <w:rPr>
          <w:lang w:val="pl-PL"/>
        </w:rPr>
        <w:t xml:space="preserve"> (nr 20071/07, §§ 105-117 17 kwietnia 2012), oraz </w:t>
      </w:r>
      <w:proofErr w:type="spellStart"/>
      <w:r w:rsidR="00D64A2F" w:rsidRPr="00501736">
        <w:rPr>
          <w:i/>
          <w:lang w:val="pl-PL"/>
        </w:rPr>
        <w:t>Horych</w:t>
      </w:r>
      <w:proofErr w:type="spellEnd"/>
      <w:r w:rsidR="00D64A2F" w:rsidRPr="00501736">
        <w:rPr>
          <w:i/>
          <w:lang w:val="pl-PL"/>
        </w:rPr>
        <w:t xml:space="preserve"> przeciwko Polsce</w:t>
      </w:r>
      <w:r w:rsidR="00D64A2F" w:rsidRPr="00501736">
        <w:rPr>
          <w:lang w:val="pl-PL"/>
        </w:rPr>
        <w:t xml:space="preserve"> (nr 13621/08, §§ 44-56, 17 kwietnia 2012</w:t>
      </w:r>
      <w:r w:rsidR="00282D54" w:rsidRPr="00501736">
        <w:rPr>
          <w:lang w:val="pl-PL"/>
        </w:rPr>
        <w:t>).</w:t>
      </w:r>
    </w:p>
    <w:p w:rsidR="00014566" w:rsidRPr="00501736" w:rsidRDefault="00D64A2F" w:rsidP="00746E5E">
      <w:pPr>
        <w:pStyle w:val="ECHRTitle1"/>
        <w:rPr>
          <w:lang w:val="pl-PL"/>
        </w:rPr>
      </w:pPr>
      <w:r w:rsidRPr="00501736">
        <w:rPr>
          <w:lang w:val="pl-PL"/>
        </w:rPr>
        <w:t>PRAWO</w:t>
      </w:r>
    </w:p>
    <w:p w:rsidR="00014566" w:rsidRPr="00501736" w:rsidRDefault="00014566" w:rsidP="00746E5E">
      <w:pPr>
        <w:pStyle w:val="ECHRHeading1"/>
        <w:rPr>
          <w:lang w:val="pl-PL"/>
        </w:rPr>
      </w:pPr>
      <w:r w:rsidRPr="00501736">
        <w:rPr>
          <w:lang w:val="pl-PL"/>
        </w:rPr>
        <w:t>I.  </w:t>
      </w:r>
      <w:r w:rsidR="00D64A2F" w:rsidRPr="00501736">
        <w:rPr>
          <w:lang w:val="pl-PL"/>
        </w:rPr>
        <w:t>ZARZUT NARUSZENIA ARTYKUŁU 3 KONWENCJI Z POWODU NAŁOŻENIA REŻYMU "WIĘŹNIA NIEBEZPIECZNEGO"</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37</w:t>
      </w:r>
      <w:r w:rsidRPr="00501736">
        <w:rPr>
          <w:lang w:val="pl-PL"/>
        </w:rPr>
        <w:fldChar w:fldCharType="end"/>
      </w:r>
      <w:r w:rsidRPr="00501736">
        <w:rPr>
          <w:lang w:val="pl-PL"/>
        </w:rPr>
        <w:t>.  </w:t>
      </w:r>
      <w:r w:rsidR="00D64A2F" w:rsidRPr="00501736">
        <w:rPr>
          <w:lang w:val="pl-PL"/>
        </w:rPr>
        <w:t>Skarżący zarzucał, że został b</w:t>
      </w:r>
      <w:r w:rsidR="005323FF">
        <w:rPr>
          <w:lang w:val="pl-PL"/>
        </w:rPr>
        <w:t>ezprawnie za</w:t>
      </w:r>
      <w:r w:rsidR="00C82280">
        <w:rPr>
          <w:lang w:val="pl-PL"/>
        </w:rPr>
        <w:t>klasyfikowany jako "</w:t>
      </w:r>
      <w:r w:rsidR="00C82280" w:rsidRPr="00501736">
        <w:rPr>
          <w:lang w:val="pl-PL"/>
        </w:rPr>
        <w:t>więzień</w:t>
      </w:r>
      <w:r w:rsidR="00D64A2F" w:rsidRPr="00501736">
        <w:rPr>
          <w:lang w:val="pl-PL"/>
        </w:rPr>
        <w:t xml:space="preserve"> niebezpieczny " i poddany poniżającemu traktowaniu, </w:t>
      </w:r>
      <w:r w:rsidR="00C82280">
        <w:rPr>
          <w:lang w:val="pl-PL"/>
        </w:rPr>
        <w:t>zakazanemu</w:t>
      </w:r>
      <w:r w:rsidR="00D64A2F" w:rsidRPr="00501736">
        <w:rPr>
          <w:lang w:val="pl-PL"/>
        </w:rPr>
        <w:t xml:space="preserve"> w artykule 3 Konwencji, który brzmi następująco</w:t>
      </w:r>
      <w:r w:rsidRPr="00501736">
        <w:rPr>
          <w:lang w:val="pl-PL"/>
        </w:rPr>
        <w:t>:</w:t>
      </w:r>
    </w:p>
    <w:p w:rsidR="00FE4A72" w:rsidRPr="00501736" w:rsidRDefault="00FE4A72" w:rsidP="00746E5E">
      <w:pPr>
        <w:pStyle w:val="ECHRParaQuote"/>
        <w:rPr>
          <w:lang w:val="pl-PL"/>
        </w:rPr>
      </w:pPr>
      <w:r w:rsidRPr="00501736">
        <w:rPr>
          <w:lang w:val="pl-PL"/>
        </w:rPr>
        <w:t>“</w:t>
      </w:r>
      <w:r w:rsidR="00D64A2F" w:rsidRPr="00501736">
        <w:rPr>
          <w:lang w:val="pl-PL"/>
        </w:rPr>
        <w:t>Nikt nie może być poddany torturom ani nieludzkiemu lub poniżającemu traktowaniu albo karaniu</w:t>
      </w:r>
      <w:r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38</w:t>
      </w:r>
      <w:r w:rsidRPr="00501736">
        <w:rPr>
          <w:lang w:val="pl-PL"/>
        </w:rPr>
        <w:fldChar w:fldCharType="end"/>
      </w:r>
      <w:r w:rsidRPr="00501736">
        <w:rPr>
          <w:lang w:val="pl-PL"/>
        </w:rPr>
        <w:t>.  </w:t>
      </w:r>
      <w:r w:rsidR="00D64A2F" w:rsidRPr="00501736">
        <w:rPr>
          <w:lang w:val="pl-PL"/>
        </w:rPr>
        <w:t>Rząd zakwestionował ten argument</w:t>
      </w:r>
      <w:r w:rsidRPr="00501736">
        <w:rPr>
          <w:lang w:val="pl-PL"/>
        </w:rPr>
        <w:t>.</w:t>
      </w:r>
    </w:p>
    <w:p w:rsidR="00FE4A72" w:rsidRPr="00501736" w:rsidRDefault="00FE4A72" w:rsidP="00746E5E">
      <w:pPr>
        <w:pStyle w:val="ECHRHeading2"/>
        <w:rPr>
          <w:lang w:val="pl-PL"/>
        </w:rPr>
      </w:pPr>
      <w:r w:rsidRPr="00501736">
        <w:rPr>
          <w:lang w:val="pl-PL"/>
        </w:rPr>
        <w:t>A.  </w:t>
      </w:r>
      <w:r w:rsidR="00D64A2F" w:rsidRPr="00501736">
        <w:rPr>
          <w:lang w:val="pl-PL"/>
        </w:rPr>
        <w:t>Dopuszczalność</w:t>
      </w:r>
      <w:r w:rsidR="00C82280">
        <w:rPr>
          <w:lang w:val="pl-PL"/>
        </w:rPr>
        <w:t xml:space="preserve"> </w:t>
      </w:r>
      <w:r w:rsidR="00D64A2F" w:rsidRPr="00501736">
        <w:rPr>
          <w:lang w:val="pl-PL"/>
        </w:rPr>
        <w:t>skargi</w:t>
      </w:r>
    </w:p>
    <w:p w:rsidR="00FE4A72" w:rsidRPr="00501736" w:rsidRDefault="00FE4A72" w:rsidP="00746E5E">
      <w:pPr>
        <w:pStyle w:val="ECHRHeading3"/>
        <w:rPr>
          <w:lang w:val="pl-PL"/>
        </w:rPr>
      </w:pPr>
      <w:r w:rsidRPr="00501736">
        <w:rPr>
          <w:lang w:val="pl-PL"/>
        </w:rPr>
        <w:t>1.  </w:t>
      </w:r>
      <w:r w:rsidR="00D64A2F" w:rsidRPr="00501736">
        <w:rPr>
          <w:lang w:val="pl-PL"/>
        </w:rPr>
        <w:t>Stanowiska stron</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39</w:t>
      </w:r>
      <w:r w:rsidRPr="00501736">
        <w:rPr>
          <w:lang w:val="pl-PL"/>
        </w:rPr>
        <w:fldChar w:fldCharType="end"/>
      </w:r>
      <w:r w:rsidRPr="00501736">
        <w:rPr>
          <w:lang w:val="pl-PL"/>
        </w:rPr>
        <w:t>.  </w:t>
      </w:r>
      <w:r w:rsidR="00706417" w:rsidRPr="00501736">
        <w:rPr>
          <w:lang w:val="pl-PL"/>
        </w:rPr>
        <w:t>Rząd twierdził, że skarżący nie skorzystał z dostępnyc</w:t>
      </w:r>
      <w:r w:rsidR="005323FF">
        <w:rPr>
          <w:lang w:val="pl-PL"/>
        </w:rPr>
        <w:t>h środków w tym, że nie odwołał</w:t>
      </w:r>
      <w:r w:rsidR="00706417" w:rsidRPr="00501736">
        <w:rPr>
          <w:lang w:val="pl-PL"/>
        </w:rPr>
        <w:t xml:space="preserve"> się od wszystkich decyzji komisji penitencjarnej. </w:t>
      </w:r>
      <w:r w:rsidR="00C82280">
        <w:rPr>
          <w:lang w:val="pl-PL"/>
        </w:rPr>
        <w:t>N</w:t>
      </w:r>
      <w:r w:rsidR="00706417" w:rsidRPr="00501736">
        <w:rPr>
          <w:lang w:val="pl-PL"/>
        </w:rPr>
        <w:t xml:space="preserve">ie odwołał się </w:t>
      </w:r>
      <w:r w:rsidR="00C82280">
        <w:rPr>
          <w:lang w:val="pl-PL"/>
        </w:rPr>
        <w:t xml:space="preserve">on </w:t>
      </w:r>
      <w:r w:rsidR="00706417" w:rsidRPr="00501736">
        <w:rPr>
          <w:lang w:val="pl-PL"/>
        </w:rPr>
        <w:t xml:space="preserve">od pierwszej decyzji Komisji z dnia 21 października 2003 roku o nałożeniu na niego reżimu, ani </w:t>
      </w:r>
      <w:r w:rsidR="00C82280">
        <w:rPr>
          <w:lang w:val="pl-PL"/>
        </w:rPr>
        <w:t>od kolejnych</w:t>
      </w:r>
      <w:r w:rsidR="00706417" w:rsidRPr="00501736">
        <w:rPr>
          <w:lang w:val="pl-PL"/>
        </w:rPr>
        <w:t xml:space="preserve"> trzydziestu pięciu decyzj</w:t>
      </w:r>
      <w:r w:rsidR="00C82280">
        <w:rPr>
          <w:lang w:val="pl-PL"/>
        </w:rPr>
        <w:t>i</w:t>
      </w:r>
      <w:r w:rsidR="00706417" w:rsidRPr="00501736">
        <w:rPr>
          <w:lang w:val="pl-PL"/>
        </w:rPr>
        <w:t xml:space="preserve">. W rzeczywistości, odwołał się on tylko dwa razy, a mianowicie przeciwko decyzji z dnia 2 kwietnia 2009 roku (oddalone przez </w:t>
      </w:r>
      <w:r w:rsidR="005323FF">
        <w:rPr>
          <w:lang w:val="pl-PL"/>
        </w:rPr>
        <w:t>sąd w dniu 8 czerwca 2009) oraz</w:t>
      </w:r>
      <w:r w:rsidR="00706417" w:rsidRPr="00501736">
        <w:rPr>
          <w:lang w:val="pl-PL"/>
        </w:rPr>
        <w:t xml:space="preserve"> tej z dnia 27 stycznia 2012 roku (oddalone przez sąd w dniu 26 marca 2012 roku). Rząd argumentował, że skarżący został poinformowany </w:t>
      </w:r>
      <w:r w:rsidR="00C82280">
        <w:rPr>
          <w:lang w:val="pl-PL"/>
        </w:rPr>
        <w:t>w</w:t>
      </w:r>
      <w:r w:rsidR="00706417" w:rsidRPr="00501736">
        <w:rPr>
          <w:lang w:val="pl-PL"/>
        </w:rPr>
        <w:t xml:space="preserve"> każdym przypadku o terminie do wniesienia odwołania, </w:t>
      </w:r>
      <w:r w:rsidR="00706417" w:rsidRPr="00501736">
        <w:rPr>
          <w:lang w:val="pl-PL"/>
        </w:rPr>
        <w:lastRenderedPageBreak/>
        <w:t>ale pozostał całko</w:t>
      </w:r>
      <w:r w:rsidR="005323FF">
        <w:rPr>
          <w:lang w:val="pl-PL"/>
        </w:rPr>
        <w:t>wicie pasywny. Rząd stwierdził, że skarga winna zostać odrzucona</w:t>
      </w:r>
      <w:r w:rsidR="00706417" w:rsidRPr="00501736">
        <w:rPr>
          <w:lang w:val="pl-PL"/>
        </w:rPr>
        <w:t xml:space="preserve"> z braku wyczerpania krajowych środków odwoławczych</w:t>
      </w:r>
      <w:r w:rsidRPr="00501736">
        <w:rPr>
          <w:lang w:val="pl-PL"/>
        </w:rPr>
        <w:t>.</w:t>
      </w:r>
    </w:p>
    <w:p w:rsidR="00746E5E"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40</w:t>
      </w:r>
      <w:r w:rsidRPr="00501736">
        <w:rPr>
          <w:lang w:val="pl-PL"/>
        </w:rPr>
        <w:fldChar w:fldCharType="end"/>
      </w:r>
      <w:r w:rsidRPr="00501736">
        <w:rPr>
          <w:lang w:val="pl-PL"/>
        </w:rPr>
        <w:t>.  </w:t>
      </w:r>
      <w:r w:rsidR="00706417" w:rsidRPr="00501736">
        <w:rPr>
          <w:lang w:val="pl-PL"/>
        </w:rPr>
        <w:t>Skarżący nie zgodził s</w:t>
      </w:r>
      <w:r w:rsidR="005323FF">
        <w:rPr>
          <w:lang w:val="pl-PL"/>
        </w:rPr>
        <w:t>ię i stwierdził, że jego skargę należy uznać za dopuszczalną</w:t>
      </w:r>
      <w:r w:rsidR="00706417" w:rsidRPr="00501736">
        <w:rPr>
          <w:lang w:val="pl-PL"/>
        </w:rPr>
        <w:t xml:space="preserve">. Twierdził on, że odwołał się w sumie </w:t>
      </w:r>
      <w:r w:rsidR="00C82280" w:rsidRPr="00501736">
        <w:rPr>
          <w:lang w:val="pl-PL"/>
        </w:rPr>
        <w:t xml:space="preserve">od </w:t>
      </w:r>
      <w:r w:rsidR="00C82280">
        <w:rPr>
          <w:lang w:val="pl-PL"/>
        </w:rPr>
        <w:t>czterech</w:t>
      </w:r>
      <w:r w:rsidR="00C82280" w:rsidRPr="00501736">
        <w:rPr>
          <w:lang w:val="pl-PL"/>
        </w:rPr>
        <w:t xml:space="preserve"> decyzji</w:t>
      </w:r>
      <w:r w:rsidR="00706417" w:rsidRPr="00501736">
        <w:rPr>
          <w:lang w:val="pl-PL"/>
        </w:rPr>
        <w:t>. Skarżący</w:t>
      </w:r>
      <w:r w:rsidR="005323FF">
        <w:rPr>
          <w:lang w:val="pl-PL"/>
        </w:rPr>
        <w:t xml:space="preserve"> twierdził, że w świetle zasad K</w:t>
      </w:r>
      <w:r w:rsidR="00706417" w:rsidRPr="00501736">
        <w:rPr>
          <w:lang w:val="pl-PL"/>
        </w:rPr>
        <w:t>onwencji nie było konieczne, aby odwoływał się od każdej decyzji komisji. Ponadto wysłał listy do wielu instytucji i organizacji skarżąc się na naruszenie jego praw, w tym odnoś</w:t>
      </w:r>
      <w:r w:rsidR="005323FF">
        <w:rPr>
          <w:lang w:val="pl-PL"/>
        </w:rPr>
        <w:t>nie reżi</w:t>
      </w:r>
      <w:r w:rsidR="00706417" w:rsidRPr="00501736">
        <w:rPr>
          <w:lang w:val="pl-PL"/>
        </w:rPr>
        <w:t>mu "więźnia niebezpiecznego. Nawet, jeśli te listy do prezydenta, prokuratora generalnego i Parlamentu, a także do międzynarodowej organizacji praw człowieka, nie mogą być traktowane jako skuteczne środki odwoławcze, dowodzą one, że nie był on bierny</w:t>
      </w:r>
      <w:r w:rsidR="009E508E" w:rsidRPr="00501736">
        <w:rPr>
          <w:lang w:val="pl-PL"/>
        </w:rPr>
        <w:t>.</w:t>
      </w:r>
    </w:p>
    <w:p w:rsidR="00FE4A72" w:rsidRPr="00501736" w:rsidRDefault="00FE4A72" w:rsidP="00746E5E">
      <w:pPr>
        <w:pStyle w:val="ECHRHeading3"/>
        <w:rPr>
          <w:lang w:val="pl-PL"/>
        </w:rPr>
      </w:pPr>
      <w:r w:rsidRPr="00501736">
        <w:rPr>
          <w:lang w:val="pl-PL"/>
        </w:rPr>
        <w:t>2.  </w:t>
      </w:r>
      <w:r w:rsidR="00706417" w:rsidRPr="00501736">
        <w:rPr>
          <w:lang w:val="pl-PL"/>
        </w:rPr>
        <w:t>Ocena Trybunału</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41</w:t>
      </w:r>
      <w:r w:rsidRPr="00501736">
        <w:rPr>
          <w:lang w:val="pl-PL"/>
        </w:rPr>
        <w:fldChar w:fldCharType="end"/>
      </w:r>
      <w:r w:rsidRPr="00501736">
        <w:rPr>
          <w:lang w:val="pl-PL"/>
        </w:rPr>
        <w:t>.  </w:t>
      </w:r>
      <w:r w:rsidR="00840812" w:rsidRPr="00501736">
        <w:rPr>
          <w:lang w:val="pl-PL"/>
        </w:rPr>
        <w:t xml:space="preserve">Trybunał przypomina, że ​​chociaż Artykuł 35 § 1 Konwencji wymaga, </w:t>
      </w:r>
      <w:r w:rsidR="009C33DE">
        <w:rPr>
          <w:lang w:val="pl-PL"/>
        </w:rPr>
        <w:t>a</w:t>
      </w:r>
      <w:r w:rsidR="00840812" w:rsidRPr="00501736">
        <w:rPr>
          <w:lang w:val="pl-PL"/>
        </w:rPr>
        <w:t xml:space="preserve">by skargi, które mają być wniesione następnie przed Trybunałem </w:t>
      </w:r>
      <w:r w:rsidR="009C33DE">
        <w:rPr>
          <w:lang w:val="pl-PL"/>
        </w:rPr>
        <w:t>były</w:t>
      </w:r>
      <w:r w:rsidR="00840812" w:rsidRPr="00501736">
        <w:rPr>
          <w:lang w:val="pl-PL"/>
        </w:rPr>
        <w:t xml:space="preserve"> najpierw wn</w:t>
      </w:r>
      <w:r w:rsidR="009C33DE">
        <w:rPr>
          <w:lang w:val="pl-PL"/>
        </w:rPr>
        <w:t xml:space="preserve">oszone </w:t>
      </w:r>
      <w:r w:rsidR="00840812" w:rsidRPr="00501736">
        <w:rPr>
          <w:lang w:val="pl-PL"/>
        </w:rPr>
        <w:t xml:space="preserve">do właściwego organu krajowego, nie oznacza to, że należy odwołać się do środków, które są niewystarczające lub nieskuteczne (patrz </w:t>
      </w:r>
      <w:proofErr w:type="spellStart"/>
      <w:r w:rsidR="00840812" w:rsidRPr="00501736">
        <w:rPr>
          <w:i/>
          <w:lang w:val="pl-PL"/>
        </w:rPr>
        <w:t>Egmez</w:t>
      </w:r>
      <w:proofErr w:type="spellEnd"/>
      <w:r w:rsidR="00840812" w:rsidRPr="00501736">
        <w:rPr>
          <w:i/>
          <w:lang w:val="pl-PL"/>
        </w:rPr>
        <w:t xml:space="preserve"> </w:t>
      </w:r>
      <w:r w:rsidR="009C33DE" w:rsidRPr="00501736">
        <w:rPr>
          <w:i/>
          <w:lang w:val="pl-PL"/>
        </w:rPr>
        <w:t>przeciwko</w:t>
      </w:r>
      <w:r w:rsidR="00840812" w:rsidRPr="00501736">
        <w:rPr>
          <w:i/>
          <w:lang w:val="pl-PL"/>
        </w:rPr>
        <w:t xml:space="preserve"> Turcji</w:t>
      </w:r>
      <w:r w:rsidR="009C33DE">
        <w:rPr>
          <w:lang w:val="pl-PL"/>
        </w:rPr>
        <w:t xml:space="preserve"> nr </w:t>
      </w:r>
      <w:r w:rsidR="00840812" w:rsidRPr="00501736">
        <w:rPr>
          <w:lang w:val="pl-PL"/>
        </w:rPr>
        <w:t>30873 / 96, ECHR 2000-XII, §§ 65 i nast</w:t>
      </w:r>
      <w:r w:rsidRPr="00501736">
        <w:rPr>
          <w:lang w:val="pl-PL"/>
        </w:rPr>
        <w:t>.).</w:t>
      </w:r>
    </w:p>
    <w:p w:rsidR="00746E5E"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42</w:t>
      </w:r>
      <w:r w:rsidRPr="00501736">
        <w:rPr>
          <w:lang w:val="pl-PL"/>
        </w:rPr>
        <w:fldChar w:fldCharType="end"/>
      </w:r>
      <w:r w:rsidRPr="00501736">
        <w:rPr>
          <w:lang w:val="pl-PL"/>
        </w:rPr>
        <w:t>.  </w:t>
      </w:r>
      <w:r w:rsidR="00840812" w:rsidRPr="00501736">
        <w:rPr>
          <w:lang w:val="pl-PL"/>
        </w:rPr>
        <w:t>W niniejszej sprawie Trybunał zauważa, że ​​skarżący odwołał się do komisji penitencjarnej od co najmniej trzech decyzji klasyfikujących go jako więźnia niebezpiecznego (patrz sprzeciw stron odnośnie stanu faktycznego przedstawiony w pkt 26, 39 i 40 powyżej). Po tym, jak jego ostatnie odwołanie zostało oddalone przez sąd, skarżąc</w:t>
      </w:r>
      <w:r w:rsidR="005323FF">
        <w:rPr>
          <w:lang w:val="pl-PL"/>
        </w:rPr>
        <w:t>y pozostawał zaklasyfikowany w reżi</w:t>
      </w:r>
      <w:r w:rsidR="00840812" w:rsidRPr="00501736">
        <w:rPr>
          <w:lang w:val="pl-PL"/>
        </w:rPr>
        <w:t>mie przez kolejne cztery miesiące, po czym komisja penitencjarna podjęła decyzję o zniesieniu środka</w:t>
      </w:r>
      <w:r w:rsidRPr="00501736">
        <w:rPr>
          <w:lang w:val="pl-PL"/>
        </w:rPr>
        <w:t>.</w:t>
      </w:r>
    </w:p>
    <w:p w:rsidR="002631E6" w:rsidRPr="00501736" w:rsidRDefault="002631E6"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43</w:t>
      </w:r>
      <w:r w:rsidRPr="00501736">
        <w:rPr>
          <w:lang w:val="pl-PL"/>
        </w:rPr>
        <w:fldChar w:fldCharType="end"/>
      </w:r>
      <w:r w:rsidRPr="00501736">
        <w:rPr>
          <w:lang w:val="pl-PL"/>
        </w:rPr>
        <w:t>.  </w:t>
      </w:r>
      <w:r w:rsidR="00351C60" w:rsidRPr="00501736">
        <w:rPr>
          <w:lang w:val="pl-PL"/>
        </w:rPr>
        <w:t>Tr</w:t>
      </w:r>
      <w:r w:rsidR="005323FF">
        <w:rPr>
          <w:lang w:val="pl-PL"/>
        </w:rPr>
        <w:t>ybunał przypomina, że ​​art 35 K</w:t>
      </w:r>
      <w:r w:rsidR="00351C60" w:rsidRPr="00501736">
        <w:rPr>
          <w:lang w:val="pl-PL"/>
        </w:rPr>
        <w:t xml:space="preserve">onwencji, który określa zasady wyczerpania środków krajowych, przewiduje rozkład ciężaru dowodu. Jest obowiązkiem </w:t>
      </w:r>
      <w:r w:rsidR="005323FF">
        <w:rPr>
          <w:lang w:val="pl-PL"/>
        </w:rPr>
        <w:t>R</w:t>
      </w:r>
      <w:r w:rsidR="00351C60" w:rsidRPr="00501736">
        <w:rPr>
          <w:lang w:val="pl-PL"/>
        </w:rPr>
        <w:t>ządu, zarzucającego niewyczerpanie, przekonanie Trybunału, że środek był skuteczny i dostępny w teorii i praktyce w odpowiednim czasie, to znaczy, że był dostępny, by</w:t>
      </w:r>
      <w:r w:rsidR="00312C93">
        <w:rPr>
          <w:lang w:val="pl-PL"/>
        </w:rPr>
        <w:t>ł w stanie zadośćuczynić żądaniom skarżącego</w:t>
      </w:r>
      <w:r w:rsidR="00351C60" w:rsidRPr="00501736">
        <w:rPr>
          <w:lang w:val="pl-PL"/>
        </w:rPr>
        <w:t xml:space="preserve"> i zapewniał rozsądne szanse powodzenia. W nini</w:t>
      </w:r>
      <w:r w:rsidR="00312C93">
        <w:rPr>
          <w:lang w:val="pl-PL"/>
        </w:rPr>
        <w:t>ejszej sprawie Trybunał został do tego</w:t>
      </w:r>
      <w:r w:rsidR="00351C60" w:rsidRPr="00501736">
        <w:rPr>
          <w:lang w:val="pl-PL"/>
        </w:rPr>
        <w:t xml:space="preserve"> przekonan</w:t>
      </w:r>
      <w:r w:rsidR="00312C93">
        <w:rPr>
          <w:lang w:val="pl-PL"/>
        </w:rPr>
        <w:t>y poprzez dowody przedstawione p</w:t>
      </w:r>
      <w:r w:rsidR="00351C60" w:rsidRPr="00501736">
        <w:rPr>
          <w:lang w:val="pl-PL"/>
        </w:rPr>
        <w:t xml:space="preserve">rzez </w:t>
      </w:r>
      <w:r w:rsidR="00312C93">
        <w:rPr>
          <w:lang w:val="pl-PL"/>
        </w:rPr>
        <w:t>Rząd</w:t>
      </w:r>
      <w:r w:rsidRPr="00501736">
        <w:rPr>
          <w:lang w:val="pl-PL"/>
        </w:rPr>
        <w:t>.</w:t>
      </w:r>
    </w:p>
    <w:p w:rsidR="002631E6" w:rsidRPr="00501736" w:rsidRDefault="0065489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44</w:t>
      </w:r>
      <w:r w:rsidRPr="00501736">
        <w:rPr>
          <w:lang w:val="pl-PL"/>
        </w:rPr>
        <w:fldChar w:fldCharType="end"/>
      </w:r>
      <w:r w:rsidR="002631E6" w:rsidRPr="00501736">
        <w:rPr>
          <w:lang w:val="pl-PL"/>
        </w:rPr>
        <w:t>.  </w:t>
      </w:r>
      <w:r w:rsidR="00351C60" w:rsidRPr="00501736">
        <w:rPr>
          <w:lang w:val="pl-PL"/>
        </w:rPr>
        <w:t>W każdym razie w niniejszej s</w:t>
      </w:r>
      <w:r w:rsidR="00312C93">
        <w:rPr>
          <w:lang w:val="pl-PL"/>
        </w:rPr>
        <w:t>prawie rzekome</w:t>
      </w:r>
      <w:r w:rsidR="00351C60" w:rsidRPr="00501736">
        <w:rPr>
          <w:lang w:val="pl-PL"/>
        </w:rPr>
        <w:t xml:space="preserve"> niewykorzystanie środków krajowych jest nierozerwalnie związane z oceną Sądu w przedmiocie zasadności zaskarżanych środków, a w sz</w:t>
      </w:r>
      <w:r w:rsidR="00312C93">
        <w:rPr>
          <w:lang w:val="pl-PL"/>
        </w:rPr>
        <w:t>czególności w kwestii, czy tak długie stosowanie</w:t>
      </w:r>
      <w:r w:rsidR="00351C60" w:rsidRPr="00501736">
        <w:rPr>
          <w:lang w:val="pl-PL"/>
        </w:rPr>
        <w:t xml:space="preserve"> reżimu "więźnia niebezpiecznego " na skarżącego było odpowiednio uzasadnione przez władze. Zdaniem Trybunału, byłoby zatem bardziej odpowiednie zajęcie się argumentem rządu na etapie merytorycznym</w:t>
      </w:r>
      <w:r w:rsidR="002631E6" w:rsidRPr="00501736">
        <w:rPr>
          <w:lang w:val="pl-PL"/>
        </w:rPr>
        <w:t>.</w:t>
      </w:r>
    </w:p>
    <w:p w:rsidR="00FE4A72" w:rsidRPr="00501736" w:rsidRDefault="00654890" w:rsidP="00746E5E">
      <w:pPr>
        <w:pStyle w:val="ECHRPara"/>
        <w:rPr>
          <w:i/>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45</w:t>
      </w:r>
      <w:r w:rsidRPr="00501736">
        <w:rPr>
          <w:lang w:val="pl-PL"/>
        </w:rPr>
        <w:fldChar w:fldCharType="end"/>
      </w:r>
      <w:r w:rsidR="00FE4A72" w:rsidRPr="00501736">
        <w:rPr>
          <w:lang w:val="pl-PL"/>
        </w:rPr>
        <w:t>.  </w:t>
      </w:r>
      <w:r w:rsidR="00351C60" w:rsidRPr="00501736">
        <w:rPr>
          <w:lang w:val="pl-PL"/>
        </w:rPr>
        <w:t>Trybunał</w:t>
      </w:r>
      <w:r w:rsidR="00F25F4C">
        <w:rPr>
          <w:lang w:val="pl-PL"/>
        </w:rPr>
        <w:t xml:space="preserve"> w konsekwencji przyłącza</w:t>
      </w:r>
      <w:r w:rsidR="00351C60" w:rsidRPr="00501736">
        <w:rPr>
          <w:lang w:val="pl-PL"/>
        </w:rPr>
        <w:t xml:space="preserve"> zarzut Rządu o niedopuszczalności z powodu niewykorzystania</w:t>
      </w:r>
      <w:r w:rsidR="00F25F4C">
        <w:rPr>
          <w:lang w:val="pl-PL"/>
        </w:rPr>
        <w:t xml:space="preserve"> środka krajowego</w:t>
      </w:r>
      <w:r w:rsidR="00351C60" w:rsidRPr="00501736">
        <w:rPr>
          <w:lang w:val="pl-PL"/>
        </w:rPr>
        <w:t xml:space="preserve"> do </w:t>
      </w:r>
      <w:r w:rsidR="00351C60" w:rsidRPr="00501736">
        <w:rPr>
          <w:lang w:val="pl-PL"/>
        </w:rPr>
        <w:lastRenderedPageBreak/>
        <w:t xml:space="preserve">meritum sprawy (patrz </w:t>
      </w:r>
      <w:r w:rsidR="00351C60" w:rsidRPr="00501736">
        <w:rPr>
          <w:i/>
          <w:lang w:val="pl-PL"/>
        </w:rPr>
        <w:t>Romaniuk przeciwko Polsce</w:t>
      </w:r>
      <w:r w:rsidR="00351C60" w:rsidRPr="00501736">
        <w:rPr>
          <w:lang w:val="pl-PL"/>
        </w:rPr>
        <w:t>, nr 59285/12, § 26, 12 stycznia 2016)</w:t>
      </w:r>
      <w:r w:rsidR="00FE4A72"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46</w:t>
      </w:r>
      <w:r w:rsidRPr="00501736">
        <w:rPr>
          <w:lang w:val="pl-PL"/>
        </w:rPr>
        <w:fldChar w:fldCharType="end"/>
      </w:r>
      <w:r w:rsidRPr="00501736">
        <w:rPr>
          <w:lang w:val="pl-PL"/>
        </w:rPr>
        <w:t>.  </w:t>
      </w:r>
      <w:r w:rsidR="00351C60" w:rsidRPr="00501736">
        <w:rPr>
          <w:lang w:val="pl-PL"/>
        </w:rPr>
        <w:t>Trybunał zauważa ponadto, że skarga nie jest oczywiście nieuzasadniona w rozumieniu artykułu 35 § 3 Konwencji i nie jest niedopuszczalna z jakichkolwiek innych powodów. Należy zatem uznać ją za dopuszczalną</w:t>
      </w:r>
      <w:r w:rsidRPr="00501736">
        <w:rPr>
          <w:lang w:val="pl-PL"/>
        </w:rPr>
        <w:t>.</w:t>
      </w:r>
    </w:p>
    <w:p w:rsidR="00FE4A72" w:rsidRPr="00501736" w:rsidRDefault="00FE4A72" w:rsidP="00746E5E">
      <w:pPr>
        <w:pStyle w:val="ECHRHeading2"/>
        <w:rPr>
          <w:lang w:val="pl-PL"/>
        </w:rPr>
      </w:pPr>
      <w:r w:rsidRPr="00501736">
        <w:rPr>
          <w:lang w:val="pl-PL"/>
        </w:rPr>
        <w:t>B.  </w:t>
      </w:r>
      <w:r w:rsidR="00351C60" w:rsidRPr="00501736">
        <w:rPr>
          <w:lang w:val="pl-PL"/>
        </w:rPr>
        <w:t>Meritum skargi</w:t>
      </w:r>
    </w:p>
    <w:p w:rsidR="00FE4A72" w:rsidRPr="00501736" w:rsidRDefault="00FE4A72" w:rsidP="00746E5E">
      <w:pPr>
        <w:pStyle w:val="ECHRHeading3"/>
        <w:rPr>
          <w:lang w:val="pl-PL"/>
        </w:rPr>
      </w:pPr>
      <w:r w:rsidRPr="00501736">
        <w:rPr>
          <w:lang w:val="pl-PL"/>
        </w:rPr>
        <w:t>1.  </w:t>
      </w:r>
      <w:r w:rsidR="00351C60" w:rsidRPr="00501736">
        <w:rPr>
          <w:lang w:val="pl-PL"/>
        </w:rPr>
        <w:t>Skarżący</w:t>
      </w:r>
    </w:p>
    <w:p w:rsidR="00746E5E"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47</w:t>
      </w:r>
      <w:r w:rsidRPr="00501736">
        <w:rPr>
          <w:lang w:val="pl-PL"/>
        </w:rPr>
        <w:fldChar w:fldCharType="end"/>
      </w:r>
      <w:r w:rsidRPr="00501736">
        <w:rPr>
          <w:lang w:val="pl-PL"/>
        </w:rPr>
        <w:t>.  </w:t>
      </w:r>
      <w:r w:rsidR="00062B25" w:rsidRPr="00501736">
        <w:rPr>
          <w:lang w:val="pl-PL"/>
        </w:rPr>
        <w:t>Skarżący twierdził, że rzeczone przedłużone nałożenie reżimu "więźnia nie</w:t>
      </w:r>
      <w:r w:rsidR="00F25F4C">
        <w:rPr>
          <w:lang w:val="pl-PL"/>
        </w:rPr>
        <w:t>bezpiecznego" było naruszeniem A</w:t>
      </w:r>
      <w:r w:rsidR="00062B25" w:rsidRPr="00501736">
        <w:rPr>
          <w:lang w:val="pl-PL"/>
        </w:rPr>
        <w:t>rtykułu 3 Konwencji. Jego zdanie</w:t>
      </w:r>
      <w:r w:rsidR="00F25F4C">
        <w:rPr>
          <w:lang w:val="pl-PL"/>
        </w:rPr>
        <w:t>m</w:t>
      </w:r>
      <w:r w:rsidR="00062B25" w:rsidRPr="00501736">
        <w:rPr>
          <w:lang w:val="pl-PL"/>
        </w:rPr>
        <w:t xml:space="preserve"> nie było żadnych racjonalnych podstaw do poddawania go temu reżimowi. Wszystkie decyzje nakładające i rozszerzające reżim nie miały uzasadnienia i nie odnosiły się do jakichkolwiek indywidualnych okoliczności leżących po stronie skarżącego. Reżim został nałożony arbitralnie i był przedłużany automatycznie. Co więcej, jego dobre zachowanie w areszcie nie zostało</w:t>
      </w:r>
      <w:r w:rsidR="0075551E">
        <w:rPr>
          <w:lang w:val="pl-PL"/>
        </w:rPr>
        <w:t xml:space="preserve"> wzięte</w:t>
      </w:r>
      <w:r w:rsidR="009C33DE">
        <w:rPr>
          <w:lang w:val="pl-PL"/>
        </w:rPr>
        <w:t xml:space="preserve"> pod uwagę przez Komisję</w:t>
      </w:r>
      <w:r w:rsidRPr="00501736">
        <w:rPr>
          <w:lang w:val="pl-PL"/>
        </w:rPr>
        <w:t>.</w:t>
      </w:r>
    </w:p>
    <w:p w:rsidR="0004222E"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48</w:t>
      </w:r>
      <w:r w:rsidRPr="00501736">
        <w:rPr>
          <w:lang w:val="pl-PL"/>
        </w:rPr>
        <w:fldChar w:fldCharType="end"/>
      </w:r>
      <w:r w:rsidRPr="00501736">
        <w:rPr>
          <w:lang w:val="pl-PL"/>
        </w:rPr>
        <w:t>.  </w:t>
      </w:r>
      <w:r w:rsidR="0075551E">
        <w:rPr>
          <w:lang w:val="pl-PL"/>
        </w:rPr>
        <w:t>Twierdził, że był osadzony</w:t>
      </w:r>
      <w:r w:rsidR="003F4A04" w:rsidRPr="00501736">
        <w:rPr>
          <w:lang w:val="pl-PL"/>
        </w:rPr>
        <w:t xml:space="preserve"> w warunkach identycznych do tych opisanych przez Trybunał w wyroku w sprawie </w:t>
      </w:r>
      <w:r w:rsidR="003F4A04" w:rsidRPr="00501736">
        <w:rPr>
          <w:i/>
          <w:lang w:val="pl-PL"/>
        </w:rPr>
        <w:t>Piechowicz</w:t>
      </w:r>
      <w:r w:rsidR="0075551E">
        <w:rPr>
          <w:lang w:val="pl-PL"/>
        </w:rPr>
        <w:t>, lecz trzy razy dłużej. Był osadzony</w:t>
      </w:r>
      <w:r w:rsidR="003F4A04" w:rsidRPr="00501736">
        <w:rPr>
          <w:lang w:val="pl-PL"/>
        </w:rPr>
        <w:t xml:space="preserve"> w odosobnieniu przez prawie dziewięć lat, został</w:t>
      </w:r>
      <w:r w:rsidR="0075551E">
        <w:rPr>
          <w:lang w:val="pl-PL"/>
        </w:rPr>
        <w:t xml:space="preserve"> odizolowany od innych więźniów</w:t>
      </w:r>
      <w:r w:rsidR="003F4A04" w:rsidRPr="00501736">
        <w:rPr>
          <w:lang w:val="pl-PL"/>
        </w:rPr>
        <w:t xml:space="preserve"> </w:t>
      </w:r>
      <w:r w:rsidR="009C33DE">
        <w:rPr>
          <w:lang w:val="pl-PL"/>
        </w:rPr>
        <w:t>oraz</w:t>
      </w:r>
      <w:r w:rsidR="003F4A04" w:rsidRPr="00501736">
        <w:rPr>
          <w:lang w:val="pl-PL"/>
        </w:rPr>
        <w:t xml:space="preserve"> miał prawo do jednego samotnego spaceru po dziedzińcu </w:t>
      </w:r>
      <w:r w:rsidR="009C33DE">
        <w:rPr>
          <w:lang w:val="pl-PL"/>
        </w:rPr>
        <w:t>zakładu karnego</w:t>
      </w:r>
      <w:r w:rsidR="003F4A04" w:rsidRPr="00501736">
        <w:rPr>
          <w:lang w:val="pl-PL"/>
        </w:rPr>
        <w:t xml:space="preserve"> dziennie. Odniósł się on dalej do długotrwałego i nadmiernego oderwaniu od jego rodziny, świata zewnętrznego i innych zatrzymanych, a także innych og</w:t>
      </w:r>
      <w:r w:rsidR="009C33DE">
        <w:rPr>
          <w:lang w:val="pl-PL"/>
        </w:rPr>
        <w:t>raniczeń, takich jak noszenie "</w:t>
      </w:r>
      <w:r w:rsidR="003F4A04" w:rsidRPr="00501736">
        <w:rPr>
          <w:lang w:val="pl-PL"/>
        </w:rPr>
        <w:t xml:space="preserve">kajdanek zespolonych", rutynowe rewizje osobiste, do którym </w:t>
      </w:r>
      <w:r w:rsidR="0075551E">
        <w:rPr>
          <w:lang w:val="pl-PL"/>
        </w:rPr>
        <w:t>był poddawany dwa razy dziennie</w:t>
      </w:r>
      <w:r w:rsidR="003F4A04" w:rsidRPr="00501736">
        <w:rPr>
          <w:lang w:val="pl-PL"/>
        </w:rPr>
        <w:t xml:space="preserve"> oraz monitoring jego celi (w tym urządzeń sanitarnych) za pośrednictwem telewizji przemysłowej. Skarżący podkreślił, że wszelki ruch w celi były stale monitorowany. Za każdym razem, gdy wchodził lub wychodził z celi, co zazwyczaj zdarzyło się kilka razy dziennie, był poddawany poniżającemu, wyjątkowo natrętnemu przeszukiwaniu ciała przez dwóch do trzech strażników więziennych. To poniżało jego godność ludzką i spowodowało u niego poczucie niższości. Skarżący podkreś</w:t>
      </w:r>
      <w:r w:rsidR="00F34482">
        <w:rPr>
          <w:lang w:val="pl-PL"/>
        </w:rPr>
        <w:t>lił, że przez cały okres, przez</w:t>
      </w:r>
      <w:r w:rsidR="003F4A04" w:rsidRPr="00501736">
        <w:rPr>
          <w:lang w:val="pl-PL"/>
        </w:rPr>
        <w:t xml:space="preserve"> który był poddawany reżimowi, żadne nielegalne materiały nie zostały znalezione w celi podczas codziennych poszukiwań, ani nie okazywał żadnego gwałtownego lub destrukcyjnego zachowania. Potwierdził jeden incydent słowny, do którego został sprowokowany przez zachowanie strażników. Skarżący wskazał, że twierdzenia Rządu co do jego rzekomego szczególnego niebezpieczeństwa i znajomość technik walki nie zostały poparte żadnymi dowodami</w:t>
      </w:r>
      <w:r w:rsidR="0004222E" w:rsidRPr="00501736">
        <w:rPr>
          <w:lang w:val="pl-PL"/>
        </w:rPr>
        <w:t>.</w:t>
      </w:r>
    </w:p>
    <w:p w:rsidR="00FE4A72" w:rsidRPr="00501736" w:rsidRDefault="003F4A04" w:rsidP="00746E5E">
      <w:pPr>
        <w:pStyle w:val="ECHRPara"/>
        <w:rPr>
          <w:lang w:val="pl-PL"/>
        </w:rPr>
      </w:pPr>
      <w:r w:rsidRPr="00501736">
        <w:rPr>
          <w:lang w:val="pl-PL"/>
        </w:rPr>
        <w:t>Ostatecznie, skarżący podniósł, że ​​nie korzystał</w:t>
      </w:r>
      <w:r w:rsidR="00F34482">
        <w:rPr>
          <w:lang w:val="pl-PL"/>
        </w:rPr>
        <w:t xml:space="preserve"> z</w:t>
      </w:r>
      <w:r w:rsidRPr="00501736">
        <w:rPr>
          <w:lang w:val="pl-PL"/>
        </w:rPr>
        <w:t xml:space="preserve"> biblioteki, ponieważ nie było żadnych książek w języku litewskim, a ze względu na barierę </w:t>
      </w:r>
      <w:r w:rsidRPr="00501736">
        <w:rPr>
          <w:lang w:val="pl-PL"/>
        </w:rPr>
        <w:lastRenderedPageBreak/>
        <w:t xml:space="preserve">językową, </w:t>
      </w:r>
      <w:r w:rsidR="00F34482">
        <w:rPr>
          <w:lang w:val="pl-PL"/>
        </w:rPr>
        <w:t xml:space="preserve">nie </w:t>
      </w:r>
      <w:r w:rsidRPr="00501736">
        <w:rPr>
          <w:lang w:val="pl-PL"/>
        </w:rPr>
        <w:t xml:space="preserve">był w stanie oglądać telewizji. </w:t>
      </w:r>
      <w:r w:rsidR="009C33DE">
        <w:rPr>
          <w:lang w:val="pl-PL"/>
        </w:rPr>
        <w:t>N</w:t>
      </w:r>
      <w:r w:rsidRPr="00501736">
        <w:rPr>
          <w:lang w:val="pl-PL"/>
        </w:rPr>
        <w:t xml:space="preserve">ie otrzymał </w:t>
      </w:r>
      <w:r w:rsidR="009C33DE">
        <w:rPr>
          <w:lang w:val="pl-PL"/>
        </w:rPr>
        <w:t xml:space="preserve">on </w:t>
      </w:r>
      <w:r w:rsidRPr="00501736">
        <w:rPr>
          <w:lang w:val="pl-PL"/>
        </w:rPr>
        <w:t>żadnego wsparcia psychologicznego</w:t>
      </w:r>
      <w:r w:rsidR="009A7124" w:rsidRPr="00501736">
        <w:rPr>
          <w:lang w:val="pl-PL"/>
        </w:rPr>
        <w:t>.</w:t>
      </w:r>
    </w:p>
    <w:p w:rsidR="00FE4A72" w:rsidRPr="00501736" w:rsidRDefault="00FE4A72" w:rsidP="00746E5E">
      <w:pPr>
        <w:pStyle w:val="ECHRHeading3"/>
        <w:rPr>
          <w:lang w:val="pl-PL"/>
        </w:rPr>
      </w:pPr>
      <w:r w:rsidRPr="00501736">
        <w:rPr>
          <w:lang w:val="pl-PL"/>
        </w:rPr>
        <w:t>2.  </w:t>
      </w:r>
      <w:r w:rsidR="003F4A04" w:rsidRPr="00501736">
        <w:rPr>
          <w:lang w:val="pl-PL"/>
        </w:rPr>
        <w:t>Rząd</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49</w:t>
      </w:r>
      <w:r w:rsidRPr="00501736">
        <w:rPr>
          <w:lang w:val="pl-PL"/>
        </w:rPr>
        <w:fldChar w:fldCharType="end"/>
      </w:r>
      <w:r w:rsidRPr="00501736">
        <w:rPr>
          <w:lang w:val="pl-PL"/>
        </w:rPr>
        <w:t>.  </w:t>
      </w:r>
      <w:r w:rsidR="0050482E" w:rsidRPr="00501736">
        <w:rPr>
          <w:lang w:val="pl-PL"/>
        </w:rPr>
        <w:t xml:space="preserve">Rząd twierdził, że w niniejszym przypadku </w:t>
      </w:r>
      <w:r w:rsidR="00FB2D93">
        <w:rPr>
          <w:lang w:val="pl-PL"/>
        </w:rPr>
        <w:t xml:space="preserve">omawiane </w:t>
      </w:r>
      <w:r w:rsidR="0050482E" w:rsidRPr="00501736">
        <w:rPr>
          <w:lang w:val="pl-PL"/>
        </w:rPr>
        <w:t>traktowanie nie osiągnęło minimalnego poziomu surowości, wymaganej zgodnie z art 3</w:t>
      </w:r>
      <w:r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50</w:t>
      </w:r>
      <w:r w:rsidRPr="00501736">
        <w:rPr>
          <w:lang w:val="pl-PL"/>
        </w:rPr>
        <w:fldChar w:fldCharType="end"/>
      </w:r>
      <w:r w:rsidRPr="00501736">
        <w:rPr>
          <w:lang w:val="pl-PL"/>
        </w:rPr>
        <w:t>.  </w:t>
      </w:r>
      <w:r w:rsidR="0050482E" w:rsidRPr="00501736">
        <w:rPr>
          <w:lang w:val="pl-PL"/>
        </w:rPr>
        <w:t>Rząd utrzymywał, że skarżący został zaklasyfikowany jako "więzień niebezpieczny" zgodnie z właściwymi przepisami prawa</w:t>
      </w:r>
      <w:r w:rsidR="00FB2D93">
        <w:rPr>
          <w:lang w:val="pl-PL"/>
        </w:rPr>
        <w:t>, oraz że podważane</w:t>
      </w:r>
      <w:r w:rsidR="0050482E" w:rsidRPr="00501736">
        <w:rPr>
          <w:lang w:val="pl-PL"/>
        </w:rPr>
        <w:t xml:space="preserve"> środki miały podstaw</w:t>
      </w:r>
      <w:r w:rsidR="00FB2D93">
        <w:rPr>
          <w:lang w:val="pl-PL"/>
        </w:rPr>
        <w:t>ę prawną. Rząd stwierdził</w:t>
      </w:r>
      <w:r w:rsidR="0050482E" w:rsidRPr="00501736">
        <w:rPr>
          <w:lang w:val="pl-PL"/>
        </w:rPr>
        <w:t>, że zgodnie z art 212 (b) Kodeksu karnego wykonawczego, władze zostały zobowiązane do przeprowadzenia "rewizji osobistych" skarżącego za każdym razem, gdy w wychodził lub wchodził do celi. Twierdzono również, że skarżący był gwałtowną osobą podejrzewaną o wielu poważnych przestępstw, w tym porwania dla okupu i uszkodzenia ciała, popełnianych w roli kierującego zorganizowaną grupą przestępczą. Został</w:t>
      </w:r>
      <w:r w:rsidR="00386228">
        <w:rPr>
          <w:lang w:val="pl-PL"/>
        </w:rPr>
        <w:t xml:space="preserve"> on</w:t>
      </w:r>
      <w:r w:rsidR="0050482E" w:rsidRPr="00501736">
        <w:rPr>
          <w:lang w:val="pl-PL"/>
        </w:rPr>
        <w:t xml:space="preserve"> skazany za te przestępstwa. Skarżący miał znajomość technik walki i działał agresywnie wobec strażnikó</w:t>
      </w:r>
      <w:r w:rsidR="00386228">
        <w:rPr>
          <w:lang w:val="pl-PL"/>
        </w:rPr>
        <w:t>w, za co został ukarany karą dyscyplinarną</w:t>
      </w:r>
      <w:r w:rsidR="0050482E" w:rsidRPr="00501736">
        <w:rPr>
          <w:lang w:val="pl-PL"/>
        </w:rPr>
        <w:t xml:space="preserve"> </w:t>
      </w:r>
      <w:r w:rsidR="009C33DE">
        <w:rPr>
          <w:lang w:val="pl-PL"/>
        </w:rPr>
        <w:t>w</w:t>
      </w:r>
      <w:r w:rsidR="0050482E" w:rsidRPr="00501736">
        <w:rPr>
          <w:lang w:val="pl-PL"/>
        </w:rPr>
        <w:t xml:space="preserve"> jednym przypadku</w:t>
      </w:r>
      <w:r w:rsidR="003077B7"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51</w:t>
      </w:r>
      <w:r w:rsidRPr="00501736">
        <w:rPr>
          <w:lang w:val="pl-PL"/>
        </w:rPr>
        <w:fldChar w:fldCharType="end"/>
      </w:r>
      <w:r w:rsidRPr="00501736">
        <w:rPr>
          <w:lang w:val="pl-PL"/>
        </w:rPr>
        <w:t>.  </w:t>
      </w:r>
      <w:r w:rsidR="008625F7" w:rsidRPr="00501736">
        <w:rPr>
          <w:lang w:val="pl-PL"/>
        </w:rPr>
        <w:t>Stosowanie statusu "więźnia niebezpieczn</w:t>
      </w:r>
      <w:r w:rsidR="00386228">
        <w:rPr>
          <w:lang w:val="pl-PL"/>
        </w:rPr>
        <w:t>ego" w odniesieniu do skarżącego było weryfikowane co trzy miesiące. Gdy</w:t>
      </w:r>
      <w:r w:rsidR="008625F7" w:rsidRPr="00501736">
        <w:rPr>
          <w:lang w:val="pl-PL"/>
        </w:rPr>
        <w:t xml:space="preserve"> tylko Komisja zauważyła, że ​​doszło do poprawy postawy skarżącego, zniesiono reżim - w dniu 25 lipca 2012. W tych okolicznościach Rząd uznał, że poddanie skarżącego reżimowi było uzasadnione i konieczne dla zapobiegania ryzyku zakłócenia porządku w zakładzie karnym i utrzymania bezpieczeństwa w nim</w:t>
      </w:r>
      <w:r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52</w:t>
      </w:r>
      <w:r w:rsidRPr="00501736">
        <w:rPr>
          <w:lang w:val="pl-PL"/>
        </w:rPr>
        <w:fldChar w:fldCharType="end"/>
      </w:r>
      <w:r w:rsidRPr="00501736">
        <w:rPr>
          <w:lang w:val="pl-PL"/>
        </w:rPr>
        <w:t>.  </w:t>
      </w:r>
      <w:r w:rsidR="008625F7" w:rsidRPr="00501736">
        <w:rPr>
          <w:lang w:val="pl-PL"/>
        </w:rPr>
        <w:t>Rząd wskazał, że skarżący miał prawo do wizyty członka rodziny lub te</w:t>
      </w:r>
      <w:r w:rsidR="00386228">
        <w:rPr>
          <w:lang w:val="pl-PL"/>
        </w:rPr>
        <w:t>lefonu raz w tygodniu. Poza tym</w:t>
      </w:r>
      <w:r w:rsidR="008625F7" w:rsidRPr="00501736">
        <w:rPr>
          <w:lang w:val="pl-PL"/>
        </w:rPr>
        <w:t xml:space="preserve"> miał prawo do uczestniczenia w spotkaniach edukacyjnych i religijnych oraz do uprawiania sportu. Miał dos</w:t>
      </w:r>
      <w:r w:rsidR="00386228">
        <w:rPr>
          <w:lang w:val="pl-PL"/>
        </w:rPr>
        <w:t>tęp do prasy, radia i telewizji</w:t>
      </w:r>
      <w:r w:rsidR="008625F7" w:rsidRPr="00501736">
        <w:rPr>
          <w:lang w:val="pl-PL"/>
        </w:rPr>
        <w:t xml:space="preserve"> oraz do biblioteki. On sam zdecydował się pozostać w pojedynczej celi, mimo że została zaoferowana możliwość dzielenia celi z innym zatrzymanym. Rząd stwierdził, że traktowanie, któremu został poddany nie było niezgodn</w:t>
      </w:r>
      <w:r w:rsidR="009C33DE">
        <w:rPr>
          <w:lang w:val="pl-PL"/>
        </w:rPr>
        <w:t>e</w:t>
      </w:r>
      <w:r w:rsidR="008625F7" w:rsidRPr="00501736">
        <w:rPr>
          <w:lang w:val="pl-PL"/>
        </w:rPr>
        <w:t xml:space="preserve"> z artykułem 3 Konwencji. Zwrócił się do Trybunału, aby stwierdził brak naruszenia tego przepisu</w:t>
      </w:r>
      <w:r w:rsidRPr="00501736">
        <w:rPr>
          <w:lang w:val="pl-PL"/>
        </w:rPr>
        <w:t>.</w:t>
      </w:r>
    </w:p>
    <w:p w:rsidR="00FE4A72" w:rsidRPr="00501736" w:rsidRDefault="00FE4A72" w:rsidP="00746E5E">
      <w:pPr>
        <w:pStyle w:val="ECHRHeading3"/>
        <w:rPr>
          <w:lang w:val="pl-PL"/>
        </w:rPr>
      </w:pPr>
      <w:r w:rsidRPr="00501736">
        <w:rPr>
          <w:lang w:val="pl-PL"/>
        </w:rPr>
        <w:t>3.  </w:t>
      </w:r>
      <w:r w:rsidR="008625F7" w:rsidRPr="00501736">
        <w:rPr>
          <w:lang w:val="pl-PL"/>
        </w:rPr>
        <w:t>Ocena Trybunału</w:t>
      </w:r>
    </w:p>
    <w:p w:rsidR="00FE4A72" w:rsidRPr="00501736" w:rsidRDefault="00FE4A72" w:rsidP="00746E5E">
      <w:pPr>
        <w:pStyle w:val="ECHRHeading4"/>
        <w:rPr>
          <w:lang w:val="pl-PL"/>
        </w:rPr>
      </w:pPr>
      <w:r w:rsidRPr="00501736">
        <w:rPr>
          <w:lang w:val="pl-PL"/>
        </w:rPr>
        <w:t>(a)  </w:t>
      </w:r>
      <w:r w:rsidR="008625F7" w:rsidRPr="00501736">
        <w:rPr>
          <w:lang w:val="pl-PL"/>
        </w:rPr>
        <w:t>Ogólne zasady wynikające z orzecznictwa Trybunału</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53</w:t>
      </w:r>
      <w:r w:rsidRPr="00501736">
        <w:rPr>
          <w:lang w:val="pl-PL"/>
        </w:rPr>
        <w:fldChar w:fldCharType="end"/>
      </w:r>
      <w:r w:rsidRPr="00501736">
        <w:rPr>
          <w:lang w:val="pl-PL"/>
        </w:rPr>
        <w:t>.  </w:t>
      </w:r>
      <w:r w:rsidR="008625F7" w:rsidRPr="00501736">
        <w:rPr>
          <w:lang w:val="pl-PL"/>
        </w:rPr>
        <w:t xml:space="preserve">Odpowiednie zasady ogólne wynikające z jego orzecznictwa zostały niedawno podsumowane w wyrokach Trybunału w sprawach </w:t>
      </w:r>
      <w:r w:rsidR="008625F7" w:rsidRPr="00501736">
        <w:rPr>
          <w:i/>
          <w:lang w:val="pl-PL"/>
        </w:rPr>
        <w:t>Piechowicz przeciwko Polsce</w:t>
      </w:r>
      <w:r w:rsidR="008625F7" w:rsidRPr="00501736">
        <w:rPr>
          <w:lang w:val="pl-PL"/>
        </w:rPr>
        <w:t xml:space="preserve"> (patrz </w:t>
      </w:r>
      <w:r w:rsidR="008625F7" w:rsidRPr="00501736">
        <w:rPr>
          <w:i/>
          <w:lang w:val="pl-PL"/>
        </w:rPr>
        <w:t>Piechowicz</w:t>
      </w:r>
      <w:r w:rsidR="008625F7" w:rsidRPr="00501736">
        <w:rPr>
          <w:lang w:val="pl-PL"/>
        </w:rPr>
        <w:t xml:space="preserve">, cytowany powyżej, §§ 158-165) i </w:t>
      </w:r>
      <w:proofErr w:type="spellStart"/>
      <w:r w:rsidR="008625F7" w:rsidRPr="00501736">
        <w:rPr>
          <w:i/>
          <w:lang w:val="pl-PL"/>
        </w:rPr>
        <w:t>Horych</w:t>
      </w:r>
      <w:proofErr w:type="spellEnd"/>
      <w:r w:rsidR="008625F7" w:rsidRPr="00501736">
        <w:rPr>
          <w:i/>
          <w:lang w:val="pl-PL"/>
        </w:rPr>
        <w:t xml:space="preserve"> przeciwko Polsce</w:t>
      </w:r>
      <w:r w:rsidR="008625F7" w:rsidRPr="00501736">
        <w:rPr>
          <w:lang w:val="pl-PL"/>
        </w:rPr>
        <w:t xml:space="preserve"> (</w:t>
      </w:r>
      <w:proofErr w:type="spellStart"/>
      <w:r w:rsidR="008625F7" w:rsidRPr="00501736">
        <w:rPr>
          <w:lang w:val="pl-PL"/>
        </w:rPr>
        <w:t>Horych</w:t>
      </w:r>
      <w:proofErr w:type="spellEnd"/>
      <w:r w:rsidR="008625F7" w:rsidRPr="00501736">
        <w:rPr>
          <w:lang w:val="pl-PL"/>
        </w:rPr>
        <w:t xml:space="preserve"> </w:t>
      </w:r>
      <w:proofErr w:type="spellStart"/>
      <w:r w:rsidR="008625F7" w:rsidRPr="00501736">
        <w:rPr>
          <w:lang w:val="pl-PL"/>
        </w:rPr>
        <w:t>ww</w:t>
      </w:r>
      <w:proofErr w:type="spellEnd"/>
      <w:r w:rsidR="008625F7" w:rsidRPr="00501736">
        <w:rPr>
          <w:lang w:val="pl-PL"/>
        </w:rPr>
        <w:t xml:space="preserve"> , §§ 85-92)</w:t>
      </w:r>
      <w:r w:rsidRPr="00501736">
        <w:rPr>
          <w:lang w:val="pl-PL"/>
        </w:rPr>
        <w:t>.</w:t>
      </w:r>
    </w:p>
    <w:p w:rsidR="00FE4A72" w:rsidRPr="00501736" w:rsidRDefault="00FE4A72" w:rsidP="00746E5E">
      <w:pPr>
        <w:pStyle w:val="ECHRHeading4"/>
        <w:rPr>
          <w:lang w:val="pl-PL"/>
        </w:rPr>
      </w:pPr>
      <w:r w:rsidRPr="00501736">
        <w:rPr>
          <w:lang w:val="pl-PL"/>
        </w:rPr>
        <w:t>(b)  </w:t>
      </w:r>
      <w:r w:rsidR="008625F7" w:rsidRPr="00501736">
        <w:rPr>
          <w:lang w:val="pl-PL"/>
        </w:rPr>
        <w:t>Zastosowanie powyższych zasad w niniejszej sprawie</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54</w:t>
      </w:r>
      <w:r w:rsidRPr="00501736">
        <w:rPr>
          <w:lang w:val="pl-PL"/>
        </w:rPr>
        <w:fldChar w:fldCharType="end"/>
      </w:r>
      <w:r w:rsidRPr="00501736">
        <w:rPr>
          <w:lang w:val="pl-PL"/>
        </w:rPr>
        <w:t>.  </w:t>
      </w:r>
      <w:r w:rsidR="00E337E1" w:rsidRPr="00501736">
        <w:rPr>
          <w:lang w:val="pl-PL"/>
        </w:rPr>
        <w:t xml:space="preserve">Trybunał zauważa, że ​​nie ma sporu co do faktu, że od 21 października 2003 do 25 lipca 2012 roku, to znaczy, przez ponad osiem lat i </w:t>
      </w:r>
      <w:r w:rsidR="00E337E1" w:rsidRPr="00501736">
        <w:rPr>
          <w:lang w:val="pl-PL"/>
        </w:rPr>
        <w:lastRenderedPageBreak/>
        <w:t>dzie</w:t>
      </w:r>
      <w:r w:rsidR="00386228">
        <w:rPr>
          <w:lang w:val="pl-PL"/>
        </w:rPr>
        <w:t>więć miesięcy, skarżący został za</w:t>
      </w:r>
      <w:r w:rsidR="00E337E1" w:rsidRPr="00501736">
        <w:rPr>
          <w:lang w:val="pl-PL"/>
        </w:rPr>
        <w:t>klasyfikow</w:t>
      </w:r>
      <w:r w:rsidR="009C33DE">
        <w:rPr>
          <w:lang w:val="pl-PL"/>
        </w:rPr>
        <w:t>any jako tak zwany "</w:t>
      </w:r>
      <w:r w:rsidR="00E337E1" w:rsidRPr="00501736">
        <w:rPr>
          <w:lang w:val="pl-PL"/>
        </w:rPr>
        <w:t>więzień niebezpieczny" i w konsekwen</w:t>
      </w:r>
      <w:r w:rsidR="00386228">
        <w:rPr>
          <w:lang w:val="pl-PL"/>
        </w:rPr>
        <w:t>cji</w:t>
      </w:r>
      <w:r w:rsidR="00E337E1" w:rsidRPr="00501736">
        <w:rPr>
          <w:lang w:val="pl-PL"/>
        </w:rPr>
        <w:t xml:space="preserve"> poddany środkom podwyższonego bezpieczeństwa i różnym ograniczeniom (patrz: pkt 23 - 27 powyżej). Główne aspekty reżimu podniesione przez skarżącego i opisane poniżej nie zostały zakwestionowane przez rząd (patrz: pkt 48 i 50 powyżej). Szczegóły dotyczące głównych aspektów reżimu "więźnia niebezpiecznego" zostały również szeroko przeanalizowane w wyroku w sprawie </w:t>
      </w:r>
      <w:r w:rsidR="00E337E1" w:rsidRPr="00501736">
        <w:rPr>
          <w:i/>
          <w:lang w:val="pl-PL"/>
        </w:rPr>
        <w:t>Piechowicz</w:t>
      </w:r>
      <w:r w:rsidR="00E337E1" w:rsidRPr="00501736">
        <w:rPr>
          <w:lang w:val="pl-PL"/>
        </w:rPr>
        <w:t xml:space="preserve"> (cytowanym powyżej, § 166 z dalszymi odniesieniami</w:t>
      </w:r>
      <w:r w:rsidR="00733499"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55</w:t>
      </w:r>
      <w:r w:rsidRPr="00501736">
        <w:rPr>
          <w:lang w:val="pl-PL"/>
        </w:rPr>
        <w:fldChar w:fldCharType="end"/>
      </w:r>
      <w:r w:rsidRPr="00501736">
        <w:rPr>
          <w:lang w:val="pl-PL"/>
        </w:rPr>
        <w:t>.  </w:t>
      </w:r>
      <w:r w:rsidR="00E337E1" w:rsidRPr="00501736">
        <w:rPr>
          <w:lang w:val="pl-PL"/>
        </w:rPr>
        <w:t>Środki stosowane w przypadku skarżącego obejmowa</w:t>
      </w:r>
      <w:r w:rsidR="00386228">
        <w:rPr>
          <w:lang w:val="pl-PL"/>
        </w:rPr>
        <w:t>ły osadzenie</w:t>
      </w:r>
      <w:r w:rsidR="00E337E1" w:rsidRPr="00501736">
        <w:rPr>
          <w:lang w:val="pl-PL"/>
        </w:rPr>
        <w:t xml:space="preserve"> w specjalnym oddziale zakładu karneg</w:t>
      </w:r>
      <w:r w:rsidR="00386228">
        <w:rPr>
          <w:lang w:val="pl-PL"/>
        </w:rPr>
        <w:t>o o podwyższonym rygorze</w:t>
      </w:r>
      <w:r w:rsidR="00E337E1" w:rsidRPr="00501736">
        <w:rPr>
          <w:lang w:val="pl-PL"/>
        </w:rPr>
        <w:t xml:space="preserve"> i zwiększonym nadzorze jego ruchów wewnątrz i na zewnątrz celi, co oz</w:t>
      </w:r>
      <w:r w:rsidR="009C33DE">
        <w:rPr>
          <w:lang w:val="pl-PL"/>
        </w:rPr>
        <w:t>naczało, że musiał nosić tzw. "</w:t>
      </w:r>
      <w:r w:rsidR="00E337E1" w:rsidRPr="00501736">
        <w:rPr>
          <w:lang w:val="pl-PL"/>
        </w:rPr>
        <w:t>kajdanki zespolone" (kajdanki na ręce i nogi połączone ze sobą z łań</w:t>
      </w:r>
      <w:r w:rsidR="00386228">
        <w:rPr>
          <w:lang w:val="pl-PL"/>
        </w:rPr>
        <w:t>cuchem)</w:t>
      </w:r>
      <w:r w:rsidR="00E337E1" w:rsidRPr="00501736">
        <w:rPr>
          <w:lang w:val="pl-PL"/>
        </w:rPr>
        <w:t xml:space="preserve"> każdorazowo, gdy był zabierany na zewnątrz celi. Środki obejmowały jego separację od społeczności więziennej i ograniczenia w kontakcie z rodziną. Ponadto, za każdym razem, gdy opuszczał lub wchodził do celi był rutynowo podd</w:t>
      </w:r>
      <w:r w:rsidR="009C33DE">
        <w:rPr>
          <w:lang w:val="pl-PL"/>
        </w:rPr>
        <w:t>awany "pełnej rewizji osobistej</w:t>
      </w:r>
      <w:r w:rsidR="00E337E1" w:rsidRPr="00501736">
        <w:rPr>
          <w:lang w:val="pl-PL"/>
        </w:rPr>
        <w:t xml:space="preserve">" - szczegółowej kontroli jego ciała i ubrania, w których był zobowiązany, rozebrać się do naga i zrobić głębokie przysiady, aby umożliwić badania jego odbytu (patrz pkt 48 powyżej). Ponadto, jego cela, </w:t>
      </w:r>
      <w:r w:rsidR="00C26E63">
        <w:rPr>
          <w:lang w:val="pl-PL"/>
        </w:rPr>
        <w:t>w tym urządzenia sanitarne, były</w:t>
      </w:r>
      <w:r w:rsidR="00E337E1" w:rsidRPr="00501736">
        <w:rPr>
          <w:lang w:val="pl-PL"/>
        </w:rPr>
        <w:t xml:space="preserve"> stale monitorowan</w:t>
      </w:r>
      <w:r w:rsidR="009C33DE">
        <w:rPr>
          <w:lang w:val="pl-PL"/>
        </w:rPr>
        <w:t>e</w:t>
      </w:r>
      <w:r w:rsidR="00E337E1" w:rsidRPr="00501736">
        <w:rPr>
          <w:lang w:val="pl-PL"/>
        </w:rPr>
        <w:t xml:space="preserve"> za pośrednictwem telewizji przemysłowej</w:t>
      </w:r>
      <w:r w:rsidR="00733499" w:rsidRPr="00501736">
        <w:rPr>
          <w:lang w:val="pl-PL"/>
        </w:rPr>
        <w:t>.</w:t>
      </w:r>
    </w:p>
    <w:p w:rsidR="00746E5E" w:rsidRPr="00501736" w:rsidRDefault="00E337E1" w:rsidP="00746E5E">
      <w:pPr>
        <w:pStyle w:val="ECHRPara"/>
        <w:rPr>
          <w:lang w:val="pl-PL"/>
        </w:rPr>
      </w:pPr>
      <w:r w:rsidRPr="00501736">
        <w:rPr>
          <w:lang w:val="pl-PL"/>
        </w:rPr>
        <w:t>Rząd nie kwestionuje tych zarzutów. Podkreślił  on, że podczas pobytu w</w:t>
      </w:r>
      <w:r w:rsidR="009C33DE">
        <w:rPr>
          <w:lang w:val="pl-PL"/>
        </w:rPr>
        <w:t xml:space="preserve"> zakładzie karnym skarżący miał</w:t>
      </w:r>
      <w:r w:rsidRPr="00501736">
        <w:rPr>
          <w:lang w:val="pl-PL"/>
        </w:rPr>
        <w:t xml:space="preserve"> dostęp do pomieszczeń, takich jak biblioteki i mógł uczestniczyć w działalności kulturalnej. Co więcej, twierdził, że miał prawo do wizyt rodzinnych i wykonywania połączeń telefonicznych raz w tygodniu (patrz pkt 52 powyżej</w:t>
      </w:r>
      <w:r w:rsidR="00733499" w:rsidRPr="00501736">
        <w:rPr>
          <w:lang w:val="pl-PL"/>
        </w:rPr>
        <w:t>)</w:t>
      </w:r>
      <w:r w:rsidR="00FE4A72"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56</w:t>
      </w:r>
      <w:r w:rsidRPr="00501736">
        <w:rPr>
          <w:lang w:val="pl-PL"/>
        </w:rPr>
        <w:fldChar w:fldCharType="end"/>
      </w:r>
      <w:r w:rsidRPr="00501736">
        <w:rPr>
          <w:lang w:val="pl-PL"/>
        </w:rPr>
        <w:t>.  </w:t>
      </w:r>
      <w:r w:rsidR="00E337E1" w:rsidRPr="00501736">
        <w:rPr>
          <w:lang w:val="pl-PL"/>
        </w:rPr>
        <w:t>Strony nie są zgodne co do tego, czy negatywne konsekwencje wprowadzenia powyższych środków dla skarżącego były na tyle poważne, aby osiągnąć minimalny poziom dotkliwości wymagany do naruszenia artykułu 3 Konwencji</w:t>
      </w:r>
      <w:r w:rsidR="00733499"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57</w:t>
      </w:r>
      <w:r w:rsidRPr="00501736">
        <w:rPr>
          <w:lang w:val="pl-PL"/>
        </w:rPr>
        <w:fldChar w:fldCharType="end"/>
      </w:r>
      <w:r w:rsidRPr="00501736">
        <w:rPr>
          <w:lang w:val="pl-PL"/>
        </w:rPr>
        <w:t>.  </w:t>
      </w:r>
      <w:r w:rsidR="00E337E1" w:rsidRPr="00501736">
        <w:rPr>
          <w:lang w:val="pl-PL"/>
        </w:rPr>
        <w:t>Trybunał zauważa, że ​​decyzja z dnia 21 października 2003 r nakładająca reżim "więźnia niebezpiecznego" na skarżące</w:t>
      </w:r>
      <w:r w:rsidR="00C26E63">
        <w:rPr>
          <w:lang w:val="pl-PL"/>
        </w:rPr>
        <w:t>go była środkiem</w:t>
      </w:r>
      <w:r w:rsidR="00E337E1" w:rsidRPr="00501736">
        <w:rPr>
          <w:lang w:val="pl-PL"/>
        </w:rPr>
        <w:t xml:space="preserve"> uzasadnionym przez fakt, że skarżący został oskarżony o liczne przestępstwa z użyciem przemocy (patrz pkt 23 powyżej). Nie był</w:t>
      </w:r>
      <w:r w:rsidR="00C26E63">
        <w:rPr>
          <w:lang w:val="pl-PL"/>
        </w:rPr>
        <w:t>o zatem nieuzasadnione dla</w:t>
      </w:r>
      <w:r w:rsidR="00E337E1" w:rsidRPr="00501736">
        <w:rPr>
          <w:lang w:val="pl-PL"/>
        </w:rPr>
        <w:t xml:space="preserve"> uznanie</w:t>
      </w:r>
      <w:r w:rsidR="00C26E63">
        <w:rPr>
          <w:lang w:val="pl-PL"/>
        </w:rPr>
        <w:t xml:space="preserve"> przez władze, że</w:t>
      </w:r>
      <w:r w:rsidR="00E337E1" w:rsidRPr="00501736">
        <w:rPr>
          <w:lang w:val="pl-PL"/>
        </w:rPr>
        <w:t xml:space="preserve"> ze względu na zapewnienie bezpieczeństwa zakładu karnego, powinien on być poddany zaostrzonym kontrolom bezpieczeństwa, które wiążą  się ze zwiększonym i stałym nadzorem nad jego ruchów wewnątrz i na zewnątrz celi, ograniczeniem jego kontaktu i ko</w:t>
      </w:r>
      <w:r w:rsidR="00C26E63">
        <w:rPr>
          <w:lang w:val="pl-PL"/>
        </w:rPr>
        <w:t>munikacji z światem zewnętrznym</w:t>
      </w:r>
      <w:r w:rsidR="00E337E1" w:rsidRPr="00501736">
        <w:rPr>
          <w:lang w:val="pl-PL"/>
        </w:rPr>
        <w:t xml:space="preserve"> </w:t>
      </w:r>
      <w:r w:rsidR="0015516F">
        <w:rPr>
          <w:lang w:val="pl-PL"/>
        </w:rPr>
        <w:t xml:space="preserve">oraz </w:t>
      </w:r>
      <w:r w:rsidR="00E337E1" w:rsidRPr="00501736">
        <w:rPr>
          <w:lang w:val="pl-PL"/>
        </w:rPr>
        <w:t>pewną forma odseparowania od społeczności więziennej</w:t>
      </w:r>
      <w:r w:rsidRPr="00501736">
        <w:rPr>
          <w:lang w:val="pl-PL"/>
        </w:rPr>
        <w:t>.</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58</w:t>
      </w:r>
      <w:r w:rsidRPr="00501736">
        <w:rPr>
          <w:lang w:val="pl-PL"/>
        </w:rPr>
        <w:fldChar w:fldCharType="end"/>
      </w:r>
      <w:r w:rsidRPr="00501736">
        <w:rPr>
          <w:lang w:val="pl-PL"/>
        </w:rPr>
        <w:t>.  </w:t>
      </w:r>
      <w:r w:rsidR="00C26E63">
        <w:rPr>
          <w:lang w:val="pl-PL"/>
        </w:rPr>
        <w:t xml:space="preserve"> Jednakże</w:t>
      </w:r>
      <w:r w:rsidR="00E337E1" w:rsidRPr="00501736">
        <w:rPr>
          <w:lang w:val="pl-PL"/>
        </w:rPr>
        <w:t xml:space="preserve"> z powodów podanych poniżej, Trybunał nie może uznać, że dalsze rutynowe i masowe stosowanie pełnej gamy środków, które były dostępne dla władz w ramach tak zwanego reżimu "więźnia niebezpiecznego" przez prawie dziewięć lat było niezbędne w celu </w:t>
      </w:r>
      <w:r w:rsidR="00E337E1" w:rsidRPr="00501736">
        <w:rPr>
          <w:lang w:val="pl-PL"/>
        </w:rPr>
        <w:lastRenderedPageBreak/>
        <w:t>utrzymania bezpieczeństwa zakładu karnego i było zgodne z artykułem 3 Konwencji (</w:t>
      </w:r>
      <w:proofErr w:type="spellStart"/>
      <w:r w:rsidR="00E337E1" w:rsidRPr="00501736">
        <w:rPr>
          <w:lang w:val="pl-PL"/>
        </w:rPr>
        <w:t>zob</w:t>
      </w:r>
      <w:proofErr w:type="spellEnd"/>
      <w:r w:rsidR="00E337E1" w:rsidRPr="00501736">
        <w:rPr>
          <w:lang w:val="pl-PL"/>
        </w:rPr>
        <w:t xml:space="preserve"> </w:t>
      </w:r>
      <w:r w:rsidR="00E337E1" w:rsidRPr="00501736">
        <w:rPr>
          <w:i/>
          <w:lang w:val="pl-PL"/>
        </w:rPr>
        <w:t>Piechowicz</w:t>
      </w:r>
      <w:r w:rsidR="00E337E1" w:rsidRPr="00501736">
        <w:rPr>
          <w:lang w:val="pl-PL"/>
        </w:rPr>
        <w:t>, cytowany powyżej, § 170</w:t>
      </w:r>
      <w:r w:rsidR="00733499" w:rsidRPr="00501736">
        <w:rPr>
          <w:lang w:val="pl-PL"/>
        </w:rPr>
        <w:t>).</w:t>
      </w:r>
    </w:p>
    <w:p w:rsidR="00733499"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59</w:t>
      </w:r>
      <w:r w:rsidRPr="00501736">
        <w:rPr>
          <w:lang w:val="pl-PL"/>
        </w:rPr>
        <w:fldChar w:fldCharType="end"/>
      </w:r>
      <w:r w:rsidRPr="00501736">
        <w:rPr>
          <w:lang w:val="pl-PL"/>
        </w:rPr>
        <w:t>.  </w:t>
      </w:r>
      <w:r w:rsidR="00E337E1" w:rsidRPr="00501736">
        <w:rPr>
          <w:lang w:val="pl-PL"/>
        </w:rPr>
        <w:t>Pomimo, że skarżący b</w:t>
      </w:r>
      <w:r w:rsidR="00C26E63">
        <w:rPr>
          <w:lang w:val="pl-PL"/>
        </w:rPr>
        <w:t>ył osadzony</w:t>
      </w:r>
      <w:r w:rsidR="00E337E1" w:rsidRPr="00501736">
        <w:rPr>
          <w:lang w:val="pl-PL"/>
        </w:rPr>
        <w:t xml:space="preserve"> w odosobnionej celi w specjalnym oddzial</w:t>
      </w:r>
      <w:r w:rsidR="00C26E63">
        <w:rPr>
          <w:lang w:val="pl-PL"/>
        </w:rPr>
        <w:t>e o podwyższonym rygorze</w:t>
      </w:r>
      <w:r w:rsidR="00E337E1" w:rsidRPr="00501736">
        <w:rPr>
          <w:lang w:val="pl-PL"/>
        </w:rPr>
        <w:t xml:space="preserve"> w oddzieleniu od reszty zakładu karnego, nie był poddany całkowitej izolacji sensorycznej lub społecznej. Rząd stwierdził, że skarżący odrzucił ofertę dzielenia celi z innym zatrzymanym. Skarżący uzyskał zgodę na wizyty jego rodziny i wykonywanie połączeń telefonicznych (patrz pkt. 28 31 powyżej). Jednak ze względu na charakter i zakres innych ograniczeń, regulowane kontakty ze jego rodziną nie mogły wystarczająco złagodzić skumulowanych, niekorzystnych skutków nałożenia na skarżącego reżimu "więźnia niebezpiecznego"</w:t>
      </w:r>
      <w:r w:rsidR="00733499" w:rsidRPr="00501736">
        <w:rPr>
          <w:lang w:val="pl-PL"/>
        </w:rPr>
        <w:t>.</w:t>
      </w:r>
    </w:p>
    <w:p w:rsidR="00FF6362" w:rsidRPr="00501736" w:rsidRDefault="00FF636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60</w:t>
      </w:r>
      <w:r w:rsidRPr="00501736">
        <w:rPr>
          <w:lang w:val="pl-PL"/>
        </w:rPr>
        <w:fldChar w:fldCharType="end"/>
      </w:r>
      <w:r w:rsidRPr="00501736">
        <w:rPr>
          <w:lang w:val="pl-PL"/>
        </w:rPr>
        <w:t>.  </w:t>
      </w:r>
      <w:r w:rsidR="0004356E" w:rsidRPr="00501736">
        <w:rPr>
          <w:lang w:val="pl-PL"/>
        </w:rPr>
        <w:t>Nie wydaje się, aby władze dokonały jakiegokolwiek wysiłku, by przeciwdziałać skutkom izolacji skarżące</w:t>
      </w:r>
      <w:r w:rsidR="0015516F">
        <w:rPr>
          <w:lang w:val="pl-PL"/>
        </w:rPr>
        <w:t>go</w:t>
      </w:r>
      <w:r w:rsidR="0004356E" w:rsidRPr="00501736">
        <w:rPr>
          <w:lang w:val="pl-PL"/>
        </w:rPr>
        <w:t xml:space="preserve"> poprzez zapewnienie mu niezbędnej psychicznej lub fizycznej stymulacji, z wyjątkiem dziennych i samotnych spacerów w </w:t>
      </w:r>
      <w:r w:rsidR="0015516F">
        <w:rPr>
          <w:lang w:val="pl-PL"/>
        </w:rPr>
        <w:t xml:space="preserve">oddzielonym </w:t>
      </w:r>
      <w:r w:rsidR="0004356E" w:rsidRPr="00501736">
        <w:rPr>
          <w:lang w:val="pl-PL"/>
        </w:rPr>
        <w:t xml:space="preserve">obszarze (patrz </w:t>
      </w:r>
      <w:r w:rsidR="0004356E" w:rsidRPr="00501736">
        <w:rPr>
          <w:i/>
          <w:lang w:val="pl-PL"/>
        </w:rPr>
        <w:t>Piechowicz</w:t>
      </w:r>
      <w:r w:rsidR="0004356E" w:rsidRPr="00501736">
        <w:rPr>
          <w:lang w:val="pl-PL"/>
        </w:rPr>
        <w:t>, cytowany powyżej , §§ 172 i 173</w:t>
      </w:r>
      <w:r w:rsidRPr="00501736">
        <w:rPr>
          <w:lang w:val="pl-PL"/>
        </w:rPr>
        <w:t>).</w:t>
      </w:r>
    </w:p>
    <w:p w:rsidR="00FF6362" w:rsidRPr="00501736" w:rsidRDefault="00FF636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61</w:t>
      </w:r>
      <w:r w:rsidRPr="00501736">
        <w:rPr>
          <w:lang w:val="pl-PL"/>
        </w:rPr>
        <w:fldChar w:fldCharType="end"/>
      </w:r>
      <w:r w:rsidRPr="00501736">
        <w:rPr>
          <w:lang w:val="pl-PL"/>
        </w:rPr>
        <w:t>.  </w:t>
      </w:r>
      <w:r w:rsidR="0004356E" w:rsidRPr="00501736">
        <w:rPr>
          <w:lang w:val="pl-PL"/>
        </w:rPr>
        <w:t xml:space="preserve">Ponadto Trybunał nie jest przekonany, że skuwanie skarżącego było niezbędne na każdej okazji (patrz </w:t>
      </w:r>
      <w:r w:rsidR="0004356E" w:rsidRPr="00501736">
        <w:rPr>
          <w:i/>
          <w:lang w:val="pl-PL"/>
        </w:rPr>
        <w:t>Piechowicz</w:t>
      </w:r>
      <w:r w:rsidR="0004356E" w:rsidRPr="00501736">
        <w:rPr>
          <w:lang w:val="pl-PL"/>
        </w:rPr>
        <w:t>, cytowany powyżej, § 174</w:t>
      </w:r>
      <w:r w:rsidRPr="00501736">
        <w:rPr>
          <w:lang w:val="pl-PL"/>
        </w:rPr>
        <w:t>).</w:t>
      </w:r>
    </w:p>
    <w:p w:rsidR="00FF6362" w:rsidRPr="00501736" w:rsidRDefault="00FF636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62</w:t>
      </w:r>
      <w:r w:rsidRPr="00501736">
        <w:rPr>
          <w:lang w:val="pl-PL"/>
        </w:rPr>
        <w:fldChar w:fldCharType="end"/>
      </w:r>
      <w:r w:rsidRPr="00501736">
        <w:rPr>
          <w:lang w:val="pl-PL"/>
        </w:rPr>
        <w:t>.  </w:t>
      </w:r>
      <w:r w:rsidR="0004356E" w:rsidRPr="00501736">
        <w:rPr>
          <w:lang w:val="pl-PL"/>
        </w:rPr>
        <w:t xml:space="preserve">Trybunał ma jeszcze więcej wątpliwości w odniesieniu do pełnego przeszukiwania ciała, któremu skarżący był również poddawany codziennie, a nawet kilka razy dziennie, za każdym razem, gdy opuszczał lub powracał do jego celi. Trybunał stwierdził już w sprawie </w:t>
      </w:r>
      <w:r w:rsidR="0004356E" w:rsidRPr="00501736">
        <w:rPr>
          <w:i/>
          <w:lang w:val="pl-PL"/>
        </w:rPr>
        <w:t>Piechowicz</w:t>
      </w:r>
      <w:r w:rsidR="0004356E" w:rsidRPr="00501736">
        <w:rPr>
          <w:lang w:val="pl-PL"/>
        </w:rPr>
        <w:t xml:space="preserve"> (cytowanej powyżej, § 176), że o ile rewizje osobiste mogą okazać się niezbędne w celu zapewnienia bezpieczeństwa zakładu karnego lub w celu zapobieżenia zakł</w:t>
      </w:r>
      <w:r w:rsidR="0072099C">
        <w:rPr>
          <w:lang w:val="pl-PL"/>
        </w:rPr>
        <w:t>óceniu porządku lub przestępstwu</w:t>
      </w:r>
      <w:r w:rsidR="0004356E" w:rsidRPr="00501736">
        <w:rPr>
          <w:lang w:val="pl-PL"/>
        </w:rPr>
        <w:t>, nie został on przekonany argumentami Rządu, że takie systematyczne, natrętne i wyjątkowo kłopotliwe kontrole przeprowadzane codziennie, a nawet kilka razy dziennie, były niezbędne do zapewnienia bezpieczeństwa zakładu karnego. Rewizje osobiste przeprowadzono rutynowo i nie były związane z żadnymi konkre</w:t>
      </w:r>
      <w:r w:rsidR="0072099C">
        <w:rPr>
          <w:lang w:val="pl-PL"/>
        </w:rPr>
        <w:t>tnymi potrzebami bezpieczeństwa</w:t>
      </w:r>
      <w:r w:rsidR="0004356E" w:rsidRPr="00501736">
        <w:rPr>
          <w:lang w:val="pl-PL"/>
        </w:rPr>
        <w:t xml:space="preserve"> lub jakimkolwiek konkretnym podejrzeniem dotyczącym zachowania skarżącego</w:t>
      </w:r>
      <w:r w:rsidRPr="00501736">
        <w:rPr>
          <w:lang w:val="pl-PL"/>
        </w:rPr>
        <w:t>.</w:t>
      </w:r>
    </w:p>
    <w:p w:rsidR="00FF6362" w:rsidRPr="00501736" w:rsidRDefault="00FF636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63</w:t>
      </w:r>
      <w:r w:rsidRPr="00501736">
        <w:rPr>
          <w:lang w:val="pl-PL"/>
        </w:rPr>
        <w:fldChar w:fldCharType="end"/>
      </w:r>
      <w:r w:rsidRPr="00501736">
        <w:rPr>
          <w:lang w:val="pl-PL"/>
        </w:rPr>
        <w:t>.  </w:t>
      </w:r>
      <w:r w:rsidR="0004356E" w:rsidRPr="00501736">
        <w:rPr>
          <w:lang w:val="pl-PL"/>
        </w:rPr>
        <w:t xml:space="preserve">Biorąc pod uwagę, że skarżący został już poddany kilku innym rygorystycznym środkom kontroli i że władze nie opierały się na żadnych konkretnych i rzeczywistych wymaganiach związanych z bezpieczeństwem, Trybunał uważa, że ​​praktyka codziennych rewizji osobistych stosowanych wobec niego przez prawie dziewięć lat musiała spowodować u niego poczucie niższości, udręki i cierpienia, </w:t>
      </w:r>
      <w:r w:rsidR="0015516F">
        <w:rPr>
          <w:lang w:val="pl-PL"/>
        </w:rPr>
        <w:t>oraz skumulowanego dyskomfortu, które</w:t>
      </w:r>
      <w:r w:rsidR="0004356E" w:rsidRPr="00501736">
        <w:rPr>
          <w:lang w:val="pl-PL"/>
        </w:rPr>
        <w:t xml:space="preserve"> </w:t>
      </w:r>
      <w:r w:rsidR="0015516F">
        <w:rPr>
          <w:lang w:val="pl-PL"/>
        </w:rPr>
        <w:t>wykroczyły</w:t>
      </w:r>
      <w:r w:rsidR="0004356E" w:rsidRPr="00501736">
        <w:rPr>
          <w:lang w:val="pl-PL"/>
        </w:rPr>
        <w:t xml:space="preserve"> poza granice nieuniknionego cierpienia i poniżenia związanego z zastosowaniem aresztu (patrz </w:t>
      </w:r>
      <w:proofErr w:type="spellStart"/>
      <w:r w:rsidR="0004356E" w:rsidRPr="00501736">
        <w:rPr>
          <w:i/>
          <w:lang w:val="pl-PL"/>
        </w:rPr>
        <w:t>Horych</w:t>
      </w:r>
      <w:proofErr w:type="spellEnd"/>
      <w:r w:rsidR="0004356E" w:rsidRPr="00501736">
        <w:rPr>
          <w:lang w:val="pl-PL"/>
        </w:rPr>
        <w:t xml:space="preserve">, cytowany powyżej, § 101, praz </w:t>
      </w:r>
      <w:r w:rsidR="0004356E" w:rsidRPr="00501736">
        <w:rPr>
          <w:i/>
          <w:lang w:val="pl-PL"/>
        </w:rPr>
        <w:t>Piechowicz</w:t>
      </w:r>
      <w:r w:rsidR="0004356E" w:rsidRPr="00501736">
        <w:rPr>
          <w:lang w:val="pl-PL"/>
        </w:rPr>
        <w:t>, cytowany powyżej, §§ 175 i 176</w:t>
      </w:r>
      <w:r w:rsidR="002E421D" w:rsidRPr="00501736">
        <w:rPr>
          <w:lang w:val="pl-PL"/>
        </w:rPr>
        <w:t>).</w:t>
      </w:r>
    </w:p>
    <w:p w:rsidR="00746E5E" w:rsidRPr="00501736" w:rsidRDefault="009A749E"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64</w:t>
      </w:r>
      <w:r w:rsidRPr="00501736">
        <w:rPr>
          <w:lang w:val="pl-PL"/>
        </w:rPr>
        <w:fldChar w:fldCharType="end"/>
      </w:r>
      <w:r w:rsidRPr="00501736">
        <w:rPr>
          <w:lang w:val="pl-PL"/>
        </w:rPr>
        <w:t>.  </w:t>
      </w:r>
      <w:r w:rsidR="0004356E" w:rsidRPr="00501736">
        <w:rPr>
          <w:lang w:val="pl-PL"/>
        </w:rPr>
        <w:t>Ostatecznie, należy stwierdzić, że przy przedłużaniu reż</w:t>
      </w:r>
      <w:r w:rsidR="0015516F">
        <w:rPr>
          <w:lang w:val="pl-PL"/>
        </w:rPr>
        <w:t>i</w:t>
      </w:r>
      <w:r w:rsidR="0004356E" w:rsidRPr="00501736">
        <w:rPr>
          <w:lang w:val="pl-PL"/>
        </w:rPr>
        <w:t xml:space="preserve">mu, Komisja nie zajęła się kwestią, czy nastąpiły ewentualne zmiany okolicznościach uzasadniających dalsze stosowanie reżimu. Jak wynika z </w:t>
      </w:r>
      <w:r w:rsidR="0004356E" w:rsidRPr="00501736">
        <w:rPr>
          <w:lang w:val="pl-PL"/>
        </w:rPr>
        <w:lastRenderedPageBreak/>
        <w:t xml:space="preserve">odpowiednich decyzji, oprócz oryginalnego uzasadnienia, które zostało oparte </w:t>
      </w:r>
      <w:r w:rsidR="00D34A61">
        <w:rPr>
          <w:lang w:val="pl-PL"/>
        </w:rPr>
        <w:t>głównie na</w:t>
      </w:r>
      <w:r w:rsidR="0004356E" w:rsidRPr="00501736">
        <w:rPr>
          <w:lang w:val="pl-PL"/>
        </w:rPr>
        <w:t xml:space="preserve"> </w:t>
      </w:r>
      <w:r w:rsidR="00D34A61">
        <w:rPr>
          <w:lang w:val="pl-PL"/>
        </w:rPr>
        <w:t xml:space="preserve"> co prawda </w:t>
      </w:r>
      <w:r w:rsidR="0004356E" w:rsidRPr="00501736">
        <w:rPr>
          <w:lang w:val="pl-PL"/>
        </w:rPr>
        <w:t>bardzo poważnym charakterze zarzutów wobec skarżące</w:t>
      </w:r>
      <w:r w:rsidR="0015516F">
        <w:rPr>
          <w:lang w:val="pl-PL"/>
        </w:rPr>
        <w:t>go</w:t>
      </w:r>
      <w:r w:rsidR="0004356E" w:rsidRPr="00501736">
        <w:rPr>
          <w:lang w:val="pl-PL"/>
        </w:rPr>
        <w:t>, a także jego "</w:t>
      </w:r>
      <w:r w:rsidR="0004356E" w:rsidRPr="0015516F">
        <w:rPr>
          <w:lang w:val="pl-PL"/>
        </w:rPr>
        <w:t>sytuacji osobistej</w:t>
      </w:r>
      <w:r w:rsidR="0004356E" w:rsidRPr="00501736">
        <w:rPr>
          <w:lang w:val="pl-PL"/>
        </w:rPr>
        <w:t>", władze powt</w:t>
      </w:r>
      <w:r w:rsidR="00D34A61">
        <w:rPr>
          <w:lang w:val="pl-PL"/>
        </w:rPr>
        <w:t>arzały te same powody</w:t>
      </w:r>
      <w:r w:rsidR="0004356E" w:rsidRPr="00501736">
        <w:rPr>
          <w:lang w:val="pl-PL"/>
        </w:rPr>
        <w:t xml:space="preserve"> dla przedłużenia reżimu " więźnia niebezpiecznego” (patrz: pkt 25 i 47 powyżej). Trybunał stwierdził już w poprzednich sprawach, że ze względu na ścisłe, sztywne zasady nałożenia specjalnego reżimu i niejasno zdefiniowane "szczególne okoliczności" dla jego zaniechania, jak okreś</w:t>
      </w:r>
      <w:r w:rsidR="00D34A61">
        <w:rPr>
          <w:lang w:val="pl-PL"/>
        </w:rPr>
        <w:t xml:space="preserve">lone w art 212a § 3 </w:t>
      </w:r>
      <w:proofErr w:type="spellStart"/>
      <w:r w:rsidR="00D34A61">
        <w:rPr>
          <w:lang w:val="pl-PL"/>
        </w:rPr>
        <w:t>kkw</w:t>
      </w:r>
      <w:proofErr w:type="spellEnd"/>
      <w:r w:rsidR="00D34A61">
        <w:rPr>
          <w:lang w:val="pl-PL"/>
        </w:rPr>
        <w:t>, władze,</w:t>
      </w:r>
      <w:r w:rsidR="0004356E" w:rsidRPr="00501736">
        <w:rPr>
          <w:lang w:val="pl-PL"/>
        </w:rPr>
        <w:t xml:space="preserve"> w celu przedłużenia tego reżimu, nie były w istocie zobowiązane wzi</w:t>
      </w:r>
      <w:r w:rsidR="0015516F">
        <w:rPr>
          <w:lang w:val="pl-PL"/>
        </w:rPr>
        <w:t>ąć pod uwagę wszelkich zmian</w:t>
      </w:r>
      <w:r w:rsidR="0004356E" w:rsidRPr="00501736">
        <w:rPr>
          <w:lang w:val="pl-PL"/>
        </w:rPr>
        <w:t xml:space="preserve"> w syt</w:t>
      </w:r>
      <w:r w:rsidR="00963D96">
        <w:rPr>
          <w:lang w:val="pl-PL"/>
        </w:rPr>
        <w:t>uacji osobistej skarżącego, a w szczególności</w:t>
      </w:r>
      <w:r w:rsidR="00D34A61">
        <w:rPr>
          <w:lang w:val="pl-PL"/>
        </w:rPr>
        <w:t xml:space="preserve"> </w:t>
      </w:r>
      <w:r w:rsidR="00963D96">
        <w:rPr>
          <w:lang w:val="pl-PL"/>
        </w:rPr>
        <w:t>skumulowanych skutków dalszego stosowania podważanych środków</w:t>
      </w:r>
      <w:r w:rsidR="0004356E" w:rsidRPr="00501736">
        <w:rPr>
          <w:lang w:val="pl-PL"/>
        </w:rPr>
        <w:t xml:space="preserve"> (patrz </w:t>
      </w:r>
      <w:r w:rsidR="0004356E" w:rsidRPr="00501736">
        <w:rPr>
          <w:i/>
          <w:lang w:val="pl-PL"/>
        </w:rPr>
        <w:t>Piechowicz</w:t>
      </w:r>
      <w:r w:rsidR="0004356E" w:rsidRPr="00501736">
        <w:rPr>
          <w:lang w:val="pl-PL"/>
        </w:rPr>
        <w:t>, cytowany powyżej, § 177</w:t>
      </w:r>
      <w:r w:rsidR="00FF6362" w:rsidRPr="00501736">
        <w:rPr>
          <w:lang w:val="pl-PL"/>
        </w:rPr>
        <w:t>).</w:t>
      </w:r>
    </w:p>
    <w:p w:rsidR="00FF6362" w:rsidRPr="00501736" w:rsidRDefault="0004356E" w:rsidP="00746E5E">
      <w:pPr>
        <w:pStyle w:val="ECHRPara"/>
        <w:rPr>
          <w:lang w:val="pl-PL"/>
        </w:rPr>
      </w:pPr>
      <w:r w:rsidRPr="00501736">
        <w:rPr>
          <w:lang w:val="pl-PL"/>
        </w:rPr>
        <w:t>Trybunał uważa, że ​​w przedmiotowej sprawie wład</w:t>
      </w:r>
      <w:r w:rsidR="00963D96">
        <w:rPr>
          <w:lang w:val="pl-PL"/>
        </w:rPr>
        <w:t>ze nie wystarczająco uzasadniły</w:t>
      </w:r>
      <w:r w:rsidRPr="00501736">
        <w:rPr>
          <w:lang w:val="pl-PL"/>
        </w:rPr>
        <w:t xml:space="preserve"> przedłużenie reżimu</w:t>
      </w:r>
      <w:r w:rsidR="00963D96">
        <w:rPr>
          <w:lang w:val="pl-PL"/>
        </w:rPr>
        <w:t>,</w:t>
      </w:r>
      <w:r w:rsidRPr="00501736">
        <w:rPr>
          <w:lang w:val="pl-PL"/>
        </w:rPr>
        <w:t xml:space="preserve"> oraz że procedura przeglądu statusu "więźnia niebezpiecznego" skarżącego była czystą formalnością, ograniczającą się do powtarzania tych samych powodów</w:t>
      </w:r>
      <w:r w:rsidR="00FF6362" w:rsidRPr="00501736">
        <w:rPr>
          <w:lang w:val="pl-PL"/>
        </w:rPr>
        <w:t>.</w:t>
      </w:r>
    </w:p>
    <w:p w:rsidR="00746E5E" w:rsidRPr="00501736" w:rsidRDefault="00FF636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65</w:t>
      </w:r>
      <w:r w:rsidRPr="00501736">
        <w:rPr>
          <w:lang w:val="pl-PL"/>
        </w:rPr>
        <w:fldChar w:fldCharType="end"/>
      </w:r>
      <w:r w:rsidRPr="00501736">
        <w:rPr>
          <w:lang w:val="pl-PL"/>
        </w:rPr>
        <w:t>.  </w:t>
      </w:r>
      <w:r w:rsidR="00373035" w:rsidRPr="00501736">
        <w:rPr>
          <w:lang w:val="pl-PL"/>
        </w:rPr>
        <w:t>Podsumowując, biorąc pod uwagę skumulowane oddziaływanie reżimu "więźnia niebezpiecznego" na skarżącego, Trybunał stwierdza, że władze nie przedstawiły wystarczających i odpowiednich powodów, które mogłyby uzasadniać, w okolicznościach danej sprawy, stopnia nasilenia podjętych działań. W szczególności władze nie wykazały, że kwestionowane środki były konieczne w całości do osiągnięcia zgodnego z prawem celu, jakim jest zapewnienie bezpieczeństwa zakładu karnego</w:t>
      </w:r>
      <w:r w:rsidRPr="00501736">
        <w:rPr>
          <w:lang w:val="pl-PL"/>
        </w:rPr>
        <w:t>.</w:t>
      </w:r>
    </w:p>
    <w:p w:rsidR="00FF6362" w:rsidRPr="00501736" w:rsidRDefault="00FF6362" w:rsidP="00746E5E">
      <w:pPr>
        <w:pStyle w:val="ECHRPara"/>
        <w:rPr>
          <w:spacing w:val="-4"/>
          <w:lang w:val="pl-PL"/>
        </w:rPr>
      </w:pPr>
      <w:r w:rsidRPr="00501736">
        <w:rPr>
          <w:spacing w:val="-4"/>
          <w:lang w:val="pl-PL"/>
        </w:rPr>
        <w:fldChar w:fldCharType="begin"/>
      </w:r>
      <w:r w:rsidRPr="00501736">
        <w:rPr>
          <w:spacing w:val="-4"/>
          <w:lang w:val="pl-PL"/>
        </w:rPr>
        <w:instrText xml:space="preserve"> SEQ level0 \*arabic </w:instrText>
      </w:r>
      <w:r w:rsidRPr="00501736">
        <w:rPr>
          <w:spacing w:val="-4"/>
          <w:lang w:val="pl-PL"/>
        </w:rPr>
        <w:fldChar w:fldCharType="separate"/>
      </w:r>
      <w:r w:rsidR="00746E5E" w:rsidRPr="00501736">
        <w:rPr>
          <w:noProof/>
          <w:spacing w:val="-4"/>
          <w:lang w:val="pl-PL"/>
        </w:rPr>
        <w:t>66</w:t>
      </w:r>
      <w:r w:rsidRPr="00501736">
        <w:rPr>
          <w:spacing w:val="-4"/>
          <w:lang w:val="pl-PL"/>
        </w:rPr>
        <w:fldChar w:fldCharType="end"/>
      </w:r>
      <w:r w:rsidRPr="00501736">
        <w:rPr>
          <w:spacing w:val="-4"/>
          <w:lang w:val="pl-PL"/>
        </w:rPr>
        <w:t>.  </w:t>
      </w:r>
      <w:r w:rsidR="00373035" w:rsidRPr="00501736">
        <w:rPr>
          <w:lang w:val="pl-PL"/>
        </w:rPr>
        <w:t>Doszło więc do naruszenia artykułu 3 Konwencji. W konsekwencji, w szczególności w świetle ustaleń zawartych w pkt 64 powyżej, wstępny zarzut Rządu na podstawie braku wyczerpania środków krajowych (patrz pkt 45 powyżej), należy oddalić</w:t>
      </w:r>
      <w:r w:rsidRPr="00501736">
        <w:rPr>
          <w:spacing w:val="-4"/>
          <w:lang w:val="pl-PL"/>
        </w:rPr>
        <w:t>.</w:t>
      </w:r>
    </w:p>
    <w:p w:rsidR="00FE4A72" w:rsidRPr="00501736" w:rsidRDefault="00FE4A72" w:rsidP="00746E5E">
      <w:pPr>
        <w:pStyle w:val="ECHRHeading1"/>
        <w:rPr>
          <w:lang w:val="pl-PL"/>
        </w:rPr>
      </w:pPr>
      <w:r w:rsidRPr="00501736">
        <w:rPr>
          <w:lang w:val="pl-PL"/>
        </w:rPr>
        <w:t>II.  </w:t>
      </w:r>
      <w:r w:rsidR="00373035" w:rsidRPr="00501736">
        <w:rPr>
          <w:lang w:val="pl-PL"/>
        </w:rPr>
        <w:t xml:space="preserve">ZARZUT NARUSZENIA ARTYKUŁU 3 KONWENCJI Z POWODU UMIESZCZENIA SKARŻĄCEGO W METALOWEJ KLATCE PODCZAS </w:t>
      </w:r>
      <w:r w:rsidR="009968DC">
        <w:rPr>
          <w:lang w:val="pl-PL"/>
        </w:rPr>
        <w:t>ROZPRAW</w:t>
      </w:r>
    </w:p>
    <w:p w:rsidR="00FE4A72" w:rsidRPr="00501736" w:rsidRDefault="00FE4A72"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67</w:t>
      </w:r>
      <w:r w:rsidRPr="00501736">
        <w:rPr>
          <w:lang w:val="pl-PL"/>
        </w:rPr>
        <w:fldChar w:fldCharType="end"/>
      </w:r>
      <w:r w:rsidRPr="00501736">
        <w:rPr>
          <w:lang w:val="pl-PL"/>
        </w:rPr>
        <w:t>.  </w:t>
      </w:r>
      <w:r w:rsidR="00373035" w:rsidRPr="00501736">
        <w:rPr>
          <w:lang w:val="pl-PL"/>
        </w:rPr>
        <w:t>Skarżący zarzucił, że jego umieszczenie w metalowej klatce, skutego, w trakcie postępowania sądowego stanowiło kolejne naruszenie artykułu 3 Konwencji</w:t>
      </w:r>
      <w:r w:rsidR="008C1BE4" w:rsidRPr="00501736">
        <w:rPr>
          <w:lang w:val="pl-PL"/>
        </w:rPr>
        <w:t>.</w:t>
      </w:r>
    </w:p>
    <w:p w:rsidR="002B2A5C" w:rsidRPr="00501736" w:rsidRDefault="002B2A5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68</w:t>
      </w:r>
      <w:r w:rsidRPr="00501736">
        <w:rPr>
          <w:lang w:val="pl-PL"/>
        </w:rPr>
        <w:fldChar w:fldCharType="end"/>
      </w:r>
      <w:r w:rsidRPr="00501736">
        <w:rPr>
          <w:lang w:val="pl-PL"/>
        </w:rPr>
        <w:t>.  </w:t>
      </w:r>
      <w:r w:rsidR="00373035" w:rsidRPr="00501736">
        <w:rPr>
          <w:lang w:val="pl-PL"/>
        </w:rPr>
        <w:t>Rząd zakwestionował ten argument</w:t>
      </w:r>
      <w:r w:rsidRPr="00501736">
        <w:rPr>
          <w:lang w:val="pl-PL"/>
        </w:rPr>
        <w:t>.</w:t>
      </w:r>
    </w:p>
    <w:p w:rsidR="00FE4A72" w:rsidRPr="00501736" w:rsidRDefault="00C576BA" w:rsidP="00746E5E">
      <w:pPr>
        <w:pStyle w:val="ECHRHeading2"/>
        <w:rPr>
          <w:lang w:val="pl-PL"/>
        </w:rPr>
      </w:pPr>
      <w:r w:rsidRPr="00501736">
        <w:rPr>
          <w:lang w:val="pl-PL"/>
        </w:rPr>
        <w:t>A.  </w:t>
      </w:r>
      <w:r w:rsidR="00373035" w:rsidRPr="00501736">
        <w:rPr>
          <w:lang w:val="pl-PL"/>
        </w:rPr>
        <w:t>Dopuszczalność skargi</w:t>
      </w:r>
    </w:p>
    <w:p w:rsidR="00FE4A72" w:rsidRPr="00501736" w:rsidRDefault="002523B7"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69</w:t>
      </w:r>
      <w:r w:rsidRPr="00501736">
        <w:rPr>
          <w:lang w:val="pl-PL"/>
        </w:rPr>
        <w:fldChar w:fldCharType="end"/>
      </w:r>
      <w:r w:rsidRPr="00501736">
        <w:rPr>
          <w:lang w:val="pl-PL"/>
        </w:rPr>
        <w:t>.  </w:t>
      </w:r>
      <w:r w:rsidR="00373035" w:rsidRPr="00501736">
        <w:rPr>
          <w:lang w:val="pl-PL"/>
        </w:rPr>
        <w:t>Trybunał zauważa, że ​​skarga nie jest oczywiście bezzasadna w rozumieniu Artykułu 35 § 3 (a) Konwencji. Ponadto zauważa, że ​​nie jest ona niedopuszczalna z jakichkolwiek innych powodów. Należy zatem uznać ją za dopuszczalną</w:t>
      </w:r>
      <w:r w:rsidR="00FE4A72" w:rsidRPr="00501736">
        <w:rPr>
          <w:lang w:val="pl-PL"/>
        </w:rPr>
        <w:t>.</w:t>
      </w:r>
    </w:p>
    <w:p w:rsidR="00FE4A72" w:rsidRPr="00501736" w:rsidRDefault="00C576BA" w:rsidP="00746E5E">
      <w:pPr>
        <w:pStyle w:val="ECHRHeading2"/>
        <w:rPr>
          <w:lang w:val="pl-PL"/>
        </w:rPr>
      </w:pPr>
      <w:r w:rsidRPr="00501736">
        <w:rPr>
          <w:lang w:val="pl-PL"/>
        </w:rPr>
        <w:lastRenderedPageBreak/>
        <w:t>B.  </w:t>
      </w:r>
      <w:r w:rsidR="00373035" w:rsidRPr="00501736">
        <w:rPr>
          <w:lang w:val="pl-PL"/>
        </w:rPr>
        <w:t>Meritum skargi</w:t>
      </w:r>
    </w:p>
    <w:p w:rsidR="00FE4A72" w:rsidRPr="00501736" w:rsidRDefault="00C576BA" w:rsidP="00746E5E">
      <w:pPr>
        <w:pStyle w:val="ECHRHeading3"/>
        <w:rPr>
          <w:lang w:val="pl-PL"/>
        </w:rPr>
      </w:pPr>
      <w:r w:rsidRPr="00501736">
        <w:rPr>
          <w:lang w:val="pl-PL"/>
        </w:rPr>
        <w:t>1.  </w:t>
      </w:r>
      <w:r w:rsidR="00373035" w:rsidRPr="00501736">
        <w:rPr>
          <w:lang w:val="pl-PL"/>
        </w:rPr>
        <w:t>Stanowiska stron</w:t>
      </w:r>
    </w:p>
    <w:p w:rsidR="00746E5E" w:rsidRPr="00501736" w:rsidRDefault="004010D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70</w:t>
      </w:r>
      <w:r w:rsidRPr="00501736">
        <w:rPr>
          <w:lang w:val="pl-PL"/>
        </w:rPr>
        <w:fldChar w:fldCharType="end"/>
      </w:r>
      <w:r w:rsidRPr="00501736">
        <w:rPr>
          <w:lang w:val="pl-PL"/>
        </w:rPr>
        <w:t>.  </w:t>
      </w:r>
      <w:r w:rsidR="00373035" w:rsidRPr="00501736">
        <w:rPr>
          <w:lang w:val="pl-PL"/>
        </w:rPr>
        <w:t>Rząd potwierdził, że skarżący został</w:t>
      </w:r>
      <w:r w:rsidR="00EE720B">
        <w:rPr>
          <w:lang w:val="pl-PL"/>
        </w:rPr>
        <w:t xml:space="preserve"> umieszczony w metalowej klatce, w której był</w:t>
      </w:r>
      <w:r w:rsidR="00373035" w:rsidRPr="00501736">
        <w:rPr>
          <w:lang w:val="pl-PL"/>
        </w:rPr>
        <w:t xml:space="preserve"> skuty, podczas niektórych</w:t>
      </w:r>
      <w:r w:rsidR="00EE720B">
        <w:rPr>
          <w:lang w:val="pl-PL"/>
        </w:rPr>
        <w:t xml:space="preserve"> tylko, a nie wszystkich</w:t>
      </w:r>
      <w:r w:rsidR="00373035" w:rsidRPr="00501736">
        <w:rPr>
          <w:lang w:val="pl-PL"/>
        </w:rPr>
        <w:t xml:space="preserve"> rozpraw przed Sądem Okręgowym w Lub</w:t>
      </w:r>
      <w:r w:rsidR="00EE720B">
        <w:rPr>
          <w:lang w:val="pl-PL"/>
        </w:rPr>
        <w:t>linie. Działanie to było uzasadnione</w:t>
      </w:r>
      <w:r w:rsidR="00373035" w:rsidRPr="00501736">
        <w:rPr>
          <w:lang w:val="pl-PL"/>
        </w:rPr>
        <w:t xml:space="preserve"> ze względu na obawy ze strony towarzyszących strażników, że skarżący może </w:t>
      </w:r>
      <w:r w:rsidR="0015516F">
        <w:rPr>
          <w:lang w:val="pl-PL"/>
        </w:rPr>
        <w:t>zachowywać się gwałtownie</w:t>
      </w:r>
      <w:r w:rsidR="00EE720B">
        <w:rPr>
          <w:lang w:val="pl-PL"/>
        </w:rPr>
        <w:t xml:space="preserve"> na sali sądowej</w:t>
      </w:r>
      <w:r w:rsidR="00373035" w:rsidRPr="00501736">
        <w:rPr>
          <w:lang w:val="pl-PL"/>
        </w:rPr>
        <w:t xml:space="preserve"> lub podejmować próbę uciecz</w:t>
      </w:r>
      <w:r w:rsidR="00EE720B">
        <w:rPr>
          <w:lang w:val="pl-PL"/>
        </w:rPr>
        <w:t>ki. Względy bezpieczeństwa</w:t>
      </w:r>
      <w:r w:rsidR="00373035" w:rsidRPr="00501736">
        <w:rPr>
          <w:lang w:val="pl-PL"/>
        </w:rPr>
        <w:t xml:space="preserve"> został</w:t>
      </w:r>
      <w:r w:rsidR="0015516F">
        <w:rPr>
          <w:lang w:val="pl-PL"/>
        </w:rPr>
        <w:t>y</w:t>
      </w:r>
      <w:r w:rsidR="00373035" w:rsidRPr="00501736">
        <w:rPr>
          <w:lang w:val="pl-PL"/>
        </w:rPr>
        <w:t xml:space="preserve"> oparte na fakcie, że skarżący został oskarżony o brutalne zbrodnie popełnione w ramach zorganizowanej grupy przestępczej, w tym wymuszenia, uszkodzenia ciała i nielegalne pozb</w:t>
      </w:r>
      <w:r w:rsidR="0015516F">
        <w:rPr>
          <w:lang w:val="pl-PL"/>
        </w:rPr>
        <w:t>awienia wolności. Skarżący miał</w:t>
      </w:r>
      <w:r w:rsidR="00373035" w:rsidRPr="00501736">
        <w:rPr>
          <w:lang w:val="pl-PL"/>
        </w:rPr>
        <w:t xml:space="preserve"> również znajomość technik walki, które uczyniły go potencjalnie niebezpiecznym</w:t>
      </w:r>
      <w:r w:rsidR="00F94B23" w:rsidRPr="00501736">
        <w:rPr>
          <w:lang w:val="pl-PL"/>
        </w:rPr>
        <w:t>.</w:t>
      </w:r>
    </w:p>
    <w:p w:rsidR="00F94B23" w:rsidRPr="00501736" w:rsidRDefault="00373035" w:rsidP="00746E5E">
      <w:pPr>
        <w:pStyle w:val="ECHRPara"/>
        <w:rPr>
          <w:lang w:val="pl-PL"/>
        </w:rPr>
      </w:pPr>
      <w:r w:rsidRPr="00501736">
        <w:rPr>
          <w:lang w:val="pl-PL"/>
        </w:rPr>
        <w:t>Rząd stwierdził,</w:t>
      </w:r>
      <w:r w:rsidR="00EE720B">
        <w:rPr>
          <w:lang w:val="pl-PL"/>
        </w:rPr>
        <w:t xml:space="preserve"> że skarżący zagroził strażnikom więziennym</w:t>
      </w:r>
      <w:r w:rsidRPr="00501736">
        <w:rPr>
          <w:lang w:val="pl-PL"/>
        </w:rPr>
        <w:t>, za co został ukarany środkami dyscyplinarnymi w dniu 7 października 2010 r</w:t>
      </w:r>
      <w:r w:rsidR="00F94B23" w:rsidRPr="00501736">
        <w:rPr>
          <w:lang w:val="pl-PL"/>
        </w:rPr>
        <w:t>.</w:t>
      </w:r>
    </w:p>
    <w:p w:rsidR="00F94B23" w:rsidRPr="00501736" w:rsidRDefault="004010D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71</w:t>
      </w:r>
      <w:r w:rsidRPr="00501736">
        <w:rPr>
          <w:lang w:val="pl-PL"/>
        </w:rPr>
        <w:fldChar w:fldCharType="end"/>
      </w:r>
      <w:r w:rsidRPr="00501736">
        <w:rPr>
          <w:lang w:val="pl-PL"/>
        </w:rPr>
        <w:t>.  </w:t>
      </w:r>
      <w:r w:rsidR="00373035" w:rsidRPr="00501736">
        <w:rPr>
          <w:lang w:val="pl-PL"/>
        </w:rPr>
        <w:t>Rząd utrzymywał, że niniejsza sprawa różni się od tych, które zostały wc</w:t>
      </w:r>
      <w:r w:rsidR="00EE720B">
        <w:rPr>
          <w:lang w:val="pl-PL"/>
        </w:rPr>
        <w:t>ześniej zbadane przez Trybunał</w:t>
      </w:r>
      <w:r w:rsidR="00373035" w:rsidRPr="00501736">
        <w:rPr>
          <w:lang w:val="pl-PL"/>
        </w:rPr>
        <w:t xml:space="preserve"> tym, że zastosowanie metalowej klat</w:t>
      </w:r>
      <w:r w:rsidR="0015516F">
        <w:rPr>
          <w:lang w:val="pl-PL"/>
        </w:rPr>
        <w:t>ki</w:t>
      </w:r>
      <w:r w:rsidR="00373035" w:rsidRPr="00501736">
        <w:rPr>
          <w:lang w:val="pl-PL"/>
        </w:rPr>
        <w:t xml:space="preserve"> było uzasadnione brutalnym i niebezpiecznym charakterem skarżącego. Zwrócił się do Trybunału o stwierdzenie nienaruszenia artykułu 3 Konwencji</w:t>
      </w:r>
      <w:r w:rsidRPr="00501736">
        <w:rPr>
          <w:lang w:val="pl-PL"/>
        </w:rPr>
        <w:t>.</w:t>
      </w:r>
    </w:p>
    <w:p w:rsidR="00746E5E" w:rsidRPr="00501736" w:rsidRDefault="004010D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72</w:t>
      </w:r>
      <w:r w:rsidRPr="00501736">
        <w:rPr>
          <w:lang w:val="pl-PL"/>
        </w:rPr>
        <w:fldChar w:fldCharType="end"/>
      </w:r>
      <w:r w:rsidRPr="00501736">
        <w:rPr>
          <w:lang w:val="pl-PL"/>
        </w:rPr>
        <w:t>.  </w:t>
      </w:r>
      <w:r w:rsidR="00373035" w:rsidRPr="00501736">
        <w:rPr>
          <w:lang w:val="pl-PL"/>
        </w:rPr>
        <w:t>Skarżący twierdził, że podczas wszystkich 104 rozprawach przed Sądem Okręgow</w:t>
      </w:r>
      <w:r w:rsidR="00EE720B">
        <w:rPr>
          <w:lang w:val="pl-PL"/>
        </w:rPr>
        <w:t>ym w Lublinie był umieszczony</w:t>
      </w:r>
      <w:r w:rsidR="00373035" w:rsidRPr="00501736">
        <w:rPr>
          <w:lang w:val="pl-PL"/>
        </w:rPr>
        <w:t xml:space="preserve"> w met</w:t>
      </w:r>
      <w:r w:rsidR="00EE720B">
        <w:rPr>
          <w:lang w:val="pl-PL"/>
        </w:rPr>
        <w:t>alowej klatce. Jednocześnie</w:t>
      </w:r>
      <w:r w:rsidR="00373035" w:rsidRPr="00501736">
        <w:rPr>
          <w:lang w:val="pl-PL"/>
        </w:rPr>
        <w:t xml:space="preserve"> jego ręce i nogi były skute, powodując u niego znaczny dyskomfort podczas przesłuchań trwających od trzech do czterech godzin. Cierpiał wskutek z siniaków na rękach i nogach, i nie był w stanie rozprostować nogi lub robić notatek w swoim własnym języku</w:t>
      </w:r>
      <w:r w:rsidRPr="00501736">
        <w:rPr>
          <w:lang w:val="pl-PL"/>
        </w:rPr>
        <w:t>.</w:t>
      </w:r>
    </w:p>
    <w:p w:rsidR="00746E5E" w:rsidRPr="00501736" w:rsidRDefault="00E018B3"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73</w:t>
      </w:r>
      <w:r w:rsidRPr="00501736">
        <w:rPr>
          <w:lang w:val="pl-PL"/>
        </w:rPr>
        <w:fldChar w:fldCharType="end"/>
      </w:r>
      <w:r w:rsidRPr="00501736">
        <w:rPr>
          <w:lang w:val="pl-PL"/>
        </w:rPr>
        <w:t>.  </w:t>
      </w:r>
      <w:r w:rsidR="00373035" w:rsidRPr="00501736">
        <w:rPr>
          <w:lang w:val="pl-PL"/>
        </w:rPr>
        <w:t xml:space="preserve"> Według skarżącego stosowanie klatki w badaniu nie było regulowane przez żadne konkretne przepisy prawne, a nie było zatem możliwe, żeby odwołać się od nich. Podczas </w:t>
      </w:r>
      <w:r w:rsidR="009968DC">
        <w:rPr>
          <w:lang w:val="pl-PL"/>
        </w:rPr>
        <w:t>rozpraw</w:t>
      </w:r>
      <w:r w:rsidR="009968DC" w:rsidRPr="00501736">
        <w:rPr>
          <w:lang w:val="pl-PL"/>
        </w:rPr>
        <w:t xml:space="preserve"> </w:t>
      </w:r>
      <w:r w:rsidR="00373035" w:rsidRPr="00501736">
        <w:rPr>
          <w:lang w:val="pl-PL"/>
        </w:rPr>
        <w:t>składał wielokrotne pro</w:t>
      </w:r>
      <w:r w:rsidR="00EE720B">
        <w:rPr>
          <w:lang w:val="pl-PL"/>
        </w:rPr>
        <w:t>śby do przewodniczącego składu o</w:t>
      </w:r>
      <w:r w:rsidR="00373035" w:rsidRPr="00501736">
        <w:rPr>
          <w:lang w:val="pl-PL"/>
        </w:rPr>
        <w:t xml:space="preserve"> usunięcie kajdanek i wypuszczenie go z klatki. Jednak jego wnioski były </w:t>
      </w:r>
      <w:r w:rsidR="0015516F" w:rsidRPr="00501736">
        <w:rPr>
          <w:lang w:val="pl-PL"/>
        </w:rPr>
        <w:t>oddalane</w:t>
      </w:r>
      <w:r w:rsidR="00373035" w:rsidRPr="00501736">
        <w:rPr>
          <w:lang w:val="pl-PL"/>
        </w:rPr>
        <w:t>. Skarżący uznał, że ani sędzia, ani strażnicy nie podali żadnego rozsądnego uzasadnienia dla utrzymywania go zakutego i umieszczonego w klatce w</w:t>
      </w:r>
      <w:r w:rsidR="00EE720B">
        <w:rPr>
          <w:lang w:val="pl-PL"/>
        </w:rPr>
        <w:t xml:space="preserve"> toku całego postępowania</w:t>
      </w:r>
      <w:r w:rsidR="00373035" w:rsidRPr="00501736">
        <w:rPr>
          <w:lang w:val="pl-PL"/>
        </w:rPr>
        <w:t xml:space="preserve"> sądowym. Skarżący nie próbował uciekać, używać przemocy fizycznej ani wykazywał żadnych oznak agresji</w:t>
      </w:r>
      <w:r w:rsidRPr="00501736">
        <w:rPr>
          <w:lang w:val="pl-PL"/>
        </w:rPr>
        <w:t>.</w:t>
      </w:r>
    </w:p>
    <w:p w:rsidR="00746E5E" w:rsidRPr="00501736" w:rsidRDefault="00E018B3"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74</w:t>
      </w:r>
      <w:r w:rsidRPr="00501736">
        <w:rPr>
          <w:lang w:val="pl-PL"/>
        </w:rPr>
        <w:fldChar w:fldCharType="end"/>
      </w:r>
      <w:r w:rsidRPr="00501736">
        <w:rPr>
          <w:lang w:val="pl-PL"/>
        </w:rPr>
        <w:t>.  </w:t>
      </w:r>
      <w:r w:rsidR="00373035" w:rsidRPr="00501736">
        <w:rPr>
          <w:lang w:val="pl-PL"/>
        </w:rPr>
        <w:t>Takie traktowanie podczas proce</w:t>
      </w:r>
      <w:r w:rsidR="00EE720B">
        <w:rPr>
          <w:lang w:val="pl-PL"/>
        </w:rPr>
        <w:t>su spowodowało u niego skrajne</w:t>
      </w:r>
      <w:r w:rsidR="00373035" w:rsidRPr="00501736">
        <w:rPr>
          <w:lang w:val="pl-PL"/>
        </w:rPr>
        <w:t xml:space="preserve"> ci</w:t>
      </w:r>
      <w:r w:rsidR="00EE720B">
        <w:rPr>
          <w:lang w:val="pl-PL"/>
        </w:rPr>
        <w:t>erpienia fizyczne i psychiczne oraz</w:t>
      </w:r>
      <w:r w:rsidR="00373035" w:rsidRPr="00501736">
        <w:rPr>
          <w:lang w:val="pl-PL"/>
        </w:rPr>
        <w:t xml:space="preserve"> pozbawiło go możliwości aktywnego uczestnictwa w postępowaniu przeciwko niemu i wykonania jego prawa do obrony</w:t>
      </w:r>
      <w:r w:rsidR="004010D5" w:rsidRPr="00501736">
        <w:rPr>
          <w:lang w:val="pl-PL"/>
        </w:rPr>
        <w:t>.</w:t>
      </w:r>
    </w:p>
    <w:p w:rsidR="00E018B3" w:rsidRPr="00501736" w:rsidRDefault="00373035" w:rsidP="00746E5E">
      <w:pPr>
        <w:pStyle w:val="ECHRPara"/>
        <w:rPr>
          <w:lang w:val="pl-PL"/>
        </w:rPr>
      </w:pPr>
      <w:r w:rsidRPr="00501736">
        <w:rPr>
          <w:lang w:val="pl-PL"/>
        </w:rPr>
        <w:t>Skarżący st</w:t>
      </w:r>
      <w:r w:rsidR="00EE720B">
        <w:rPr>
          <w:lang w:val="pl-PL"/>
        </w:rPr>
        <w:t>wierdził, że został umieszczony</w:t>
      </w:r>
      <w:r w:rsidR="00294BE4">
        <w:rPr>
          <w:lang w:val="pl-PL"/>
        </w:rPr>
        <w:t xml:space="preserve"> w metalowej klatce i zakuty</w:t>
      </w:r>
      <w:r w:rsidRPr="00501736">
        <w:rPr>
          <w:lang w:val="pl-PL"/>
        </w:rPr>
        <w:t xml:space="preserve"> przez około 400 godzin postępowań sądowych, co stanowiło tortury z naruszeniem artykułu 3 Konwencji</w:t>
      </w:r>
      <w:r w:rsidR="00E018B3" w:rsidRPr="00501736">
        <w:rPr>
          <w:lang w:val="pl-PL"/>
        </w:rPr>
        <w:t>.</w:t>
      </w:r>
    </w:p>
    <w:p w:rsidR="00FE4A72" w:rsidRPr="00501736" w:rsidRDefault="00EA3EFC" w:rsidP="00746E5E">
      <w:pPr>
        <w:pStyle w:val="ECHRHeading3"/>
        <w:rPr>
          <w:lang w:val="pl-PL"/>
        </w:rPr>
      </w:pPr>
      <w:r w:rsidRPr="00501736">
        <w:rPr>
          <w:lang w:val="pl-PL"/>
        </w:rPr>
        <w:lastRenderedPageBreak/>
        <w:t>2.  </w:t>
      </w:r>
      <w:r w:rsidR="00373035" w:rsidRPr="00501736">
        <w:rPr>
          <w:lang w:val="pl-PL"/>
        </w:rPr>
        <w:t>Ocena Trybunału</w:t>
      </w:r>
    </w:p>
    <w:p w:rsidR="00746E5E" w:rsidRPr="00501736" w:rsidRDefault="00F44679"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75</w:t>
      </w:r>
      <w:r w:rsidRPr="00501736">
        <w:rPr>
          <w:lang w:val="pl-PL"/>
        </w:rPr>
        <w:fldChar w:fldCharType="end"/>
      </w:r>
      <w:r w:rsidRPr="00501736">
        <w:rPr>
          <w:lang w:val="pl-PL"/>
        </w:rPr>
        <w:t>.  </w:t>
      </w:r>
      <w:r w:rsidR="00373035" w:rsidRPr="00501736">
        <w:rPr>
          <w:lang w:val="pl-PL"/>
        </w:rPr>
        <w:t xml:space="preserve">Trybunał zauważa, że ​​postępowanie przed Sądem Okręgowym w Lublinie trwało od 4 stycznia 2007 roku do 20 stycznia 2010 roku z odbytymi co najmniej sześćdziesięcioma pięcioma </w:t>
      </w:r>
      <w:r w:rsidR="00373035" w:rsidRPr="000C66CF">
        <w:rPr>
          <w:lang w:val="pl-PL"/>
        </w:rPr>
        <w:t>rozprawami publicznymi</w:t>
      </w:r>
      <w:r w:rsidR="00373035" w:rsidRPr="00501736">
        <w:rPr>
          <w:lang w:val="pl-PL"/>
        </w:rPr>
        <w:t xml:space="preserve">. Strony nie są zgodne co do tego, czy skarżący był w metalowej klatce podczas wszystkich tych </w:t>
      </w:r>
      <w:r w:rsidR="000C66CF">
        <w:rPr>
          <w:lang w:val="pl-PL"/>
        </w:rPr>
        <w:t>rozpraw</w:t>
      </w:r>
      <w:r w:rsidR="00373035" w:rsidRPr="00501736">
        <w:rPr>
          <w:lang w:val="pl-PL"/>
        </w:rPr>
        <w:t>, czy tylko na niektórych z nich (patrz: pkt 34, 70 i 72 powyżej). Każda rozprawa trwała kilka godzin. Strony wydają się również różni</w:t>
      </w:r>
      <w:r w:rsidR="00294BE4">
        <w:rPr>
          <w:lang w:val="pl-PL"/>
        </w:rPr>
        <w:t>ć</w:t>
      </w:r>
      <w:r w:rsidR="00373035" w:rsidRPr="00501736">
        <w:rPr>
          <w:lang w:val="pl-PL"/>
        </w:rPr>
        <w:t xml:space="preserve"> się co do tego, czy skarżący pozostawał jedynie w kajdankach, czy też jego skute były jego ręce i nogi</w:t>
      </w:r>
      <w:r w:rsidR="00A35F68" w:rsidRPr="00501736">
        <w:rPr>
          <w:lang w:val="pl-PL"/>
        </w:rPr>
        <w:t>.</w:t>
      </w:r>
    </w:p>
    <w:p w:rsidR="00746E5E" w:rsidRPr="00501736" w:rsidRDefault="00373035" w:rsidP="00746E5E">
      <w:pPr>
        <w:pStyle w:val="ECHRPara"/>
        <w:rPr>
          <w:lang w:val="pl-PL"/>
        </w:rPr>
      </w:pPr>
      <w:r w:rsidRPr="00501736">
        <w:rPr>
          <w:lang w:val="pl-PL"/>
        </w:rPr>
        <w:t xml:space="preserve">Trybunał </w:t>
      </w:r>
      <w:r w:rsidR="00294BE4">
        <w:rPr>
          <w:lang w:val="pl-PL"/>
        </w:rPr>
        <w:t>zatem stwierdza, że ustalono, iż</w:t>
      </w:r>
      <w:r w:rsidRPr="00501736">
        <w:rPr>
          <w:lang w:val="pl-PL"/>
        </w:rPr>
        <w:t xml:space="preserve"> w okresie przynajmniej niektórych - a być może wszystkich - rozpraw przed sądem, skarżący był obserwowany przez publiczność w meta</w:t>
      </w:r>
      <w:r w:rsidR="000C66CF">
        <w:rPr>
          <w:lang w:val="pl-PL"/>
        </w:rPr>
        <w:t>lowej klatce skuty albo kajdankami na rękach albo w kajdankami zespolonymi</w:t>
      </w:r>
      <w:r w:rsidR="00A35F68" w:rsidRPr="00501736">
        <w:rPr>
          <w:lang w:val="pl-PL"/>
        </w:rPr>
        <w:t>.</w:t>
      </w:r>
    </w:p>
    <w:p w:rsidR="00FE4A72" w:rsidRPr="00501736" w:rsidRDefault="00E826BE"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76</w:t>
      </w:r>
      <w:r w:rsidRPr="00501736">
        <w:rPr>
          <w:lang w:val="pl-PL"/>
        </w:rPr>
        <w:fldChar w:fldCharType="end"/>
      </w:r>
      <w:r w:rsidR="008C1BE4" w:rsidRPr="00501736">
        <w:rPr>
          <w:lang w:val="pl-PL"/>
        </w:rPr>
        <w:t>.  </w:t>
      </w:r>
      <w:r w:rsidR="00373035" w:rsidRPr="00501736">
        <w:rPr>
          <w:lang w:val="pl-PL"/>
        </w:rPr>
        <w:t xml:space="preserve">Trybunał zauważa, że ​​już wcześniej stwierdził naruszenie artykułu 3, w przypadkach, w których skarżący został umieszczony w metalowej klatce podczas rozpraw sądowych (patrz </w:t>
      </w:r>
      <w:proofErr w:type="spellStart"/>
      <w:r w:rsidR="00373035" w:rsidRPr="00501736">
        <w:rPr>
          <w:i/>
          <w:lang w:val="pl-PL"/>
        </w:rPr>
        <w:t>Svinarenko</w:t>
      </w:r>
      <w:proofErr w:type="spellEnd"/>
      <w:r w:rsidR="00373035" w:rsidRPr="00501736">
        <w:rPr>
          <w:i/>
          <w:lang w:val="pl-PL"/>
        </w:rPr>
        <w:t xml:space="preserve"> i </w:t>
      </w:r>
      <w:proofErr w:type="spellStart"/>
      <w:r w:rsidR="00373035" w:rsidRPr="00501736">
        <w:rPr>
          <w:i/>
          <w:lang w:val="pl-PL"/>
        </w:rPr>
        <w:t>Slyadnev</w:t>
      </w:r>
      <w:proofErr w:type="spellEnd"/>
      <w:r w:rsidR="00373035" w:rsidRPr="00501736">
        <w:rPr>
          <w:i/>
          <w:lang w:val="pl-PL"/>
        </w:rPr>
        <w:t xml:space="preserve"> przeciwko Rosji</w:t>
      </w:r>
      <w:r w:rsidR="00373035" w:rsidRPr="00501736">
        <w:rPr>
          <w:lang w:val="pl-PL"/>
        </w:rPr>
        <w:t xml:space="preserve"> [GC], nr. 32541/08 i 43441 / 08, § 177, ECHR 2014 (fragmenty), </w:t>
      </w:r>
      <w:proofErr w:type="spellStart"/>
      <w:r w:rsidR="00373035" w:rsidRPr="00501736">
        <w:rPr>
          <w:lang w:val="pl-PL"/>
        </w:rPr>
        <w:t>Khodorkovskiy</w:t>
      </w:r>
      <w:proofErr w:type="spellEnd"/>
      <w:r w:rsidR="00373035" w:rsidRPr="00501736">
        <w:rPr>
          <w:lang w:val="pl-PL"/>
        </w:rPr>
        <w:t xml:space="preserve"> i Lebiediew </w:t>
      </w:r>
      <w:r w:rsidR="00373035" w:rsidRPr="00501736">
        <w:rPr>
          <w:i/>
          <w:lang w:val="pl-PL"/>
        </w:rPr>
        <w:t>przeciwko Rosji</w:t>
      </w:r>
      <w:r w:rsidR="00373035" w:rsidRPr="00501736">
        <w:rPr>
          <w:lang w:val="pl-PL"/>
        </w:rPr>
        <w:t xml:space="preserve">, nr-y. 11082/06 i 13772/05, §§ 485-486, 25 lipca 2013, </w:t>
      </w:r>
      <w:proofErr w:type="spellStart"/>
      <w:r w:rsidR="00373035" w:rsidRPr="00501736">
        <w:rPr>
          <w:lang w:val="pl-PL"/>
        </w:rPr>
        <w:t>Ashot</w:t>
      </w:r>
      <w:proofErr w:type="spellEnd"/>
      <w:r w:rsidR="00373035" w:rsidRPr="00501736">
        <w:rPr>
          <w:lang w:val="pl-PL"/>
        </w:rPr>
        <w:t xml:space="preserve"> </w:t>
      </w:r>
      <w:proofErr w:type="spellStart"/>
      <w:r w:rsidR="00373035" w:rsidRPr="00501736">
        <w:rPr>
          <w:lang w:val="pl-PL"/>
        </w:rPr>
        <w:t>Harutyunyan</w:t>
      </w:r>
      <w:proofErr w:type="spellEnd"/>
      <w:r w:rsidR="00373035" w:rsidRPr="00501736">
        <w:rPr>
          <w:lang w:val="pl-PL"/>
        </w:rPr>
        <w:t xml:space="preserve"> </w:t>
      </w:r>
      <w:r w:rsidR="00373035" w:rsidRPr="00501736">
        <w:rPr>
          <w:i/>
          <w:lang w:val="pl-PL"/>
        </w:rPr>
        <w:t>przeciwko</w:t>
      </w:r>
      <w:r w:rsidR="000C66CF">
        <w:rPr>
          <w:lang w:val="pl-PL"/>
        </w:rPr>
        <w:t xml:space="preserve"> Armenii, nr</w:t>
      </w:r>
      <w:r w:rsidR="00373035" w:rsidRPr="00501736">
        <w:rPr>
          <w:lang w:val="pl-PL"/>
        </w:rPr>
        <w:t xml:space="preserve"> 34334/04, §§ 126-29, 15 czerwca 2010 roku oraz </w:t>
      </w:r>
      <w:proofErr w:type="spellStart"/>
      <w:r w:rsidR="00373035" w:rsidRPr="00501736">
        <w:rPr>
          <w:i/>
          <w:lang w:val="pl-PL"/>
        </w:rPr>
        <w:t>Piruzyan</w:t>
      </w:r>
      <w:proofErr w:type="spellEnd"/>
      <w:r w:rsidR="00373035" w:rsidRPr="00501736">
        <w:rPr>
          <w:lang w:val="pl-PL"/>
        </w:rPr>
        <w:t xml:space="preserve"> </w:t>
      </w:r>
      <w:r w:rsidR="00373035" w:rsidRPr="00501736">
        <w:rPr>
          <w:i/>
          <w:lang w:val="pl-PL"/>
        </w:rPr>
        <w:t>przeciwko</w:t>
      </w:r>
      <w:r w:rsidR="00373035" w:rsidRPr="00501736">
        <w:rPr>
          <w:lang w:val="pl-PL"/>
        </w:rPr>
        <w:t xml:space="preserve"> Armenii, nr 33376/07, § 74, </w:t>
      </w:r>
      <w:r w:rsidR="00294BE4">
        <w:rPr>
          <w:lang w:val="pl-PL"/>
        </w:rPr>
        <w:t>26 czerwca 2012). Wbrew ocenie R</w:t>
      </w:r>
      <w:r w:rsidR="00373035" w:rsidRPr="00501736">
        <w:rPr>
          <w:lang w:val="pl-PL"/>
        </w:rPr>
        <w:t>ządu, okoliczności niniejszej sprawy są podobne. W szczególności Sąd Okręgowy w Lublinie nie podał uzasadnionej decyzji o umieszczeniu i utrzymaniu skarżącego w metalowej klatce. Jest zatem niemożliwe ustalenie, jakie były powody sądu są i czy zostały one oparte na niebezpieczeństwie skarżącego, jego zachowaniu podczas aresztowania lub jego rzekomej znajomości technik walki. Co więcej, wydaje się, że Sąd Okręgowy nie podjął żadnej formalnej decyzji w sprawie wniosków skarżącego o zwolnienie z klatki</w:t>
      </w:r>
      <w:r w:rsidR="00FE4A72" w:rsidRPr="00501736">
        <w:rPr>
          <w:lang w:val="pl-PL"/>
        </w:rPr>
        <w:t>.</w:t>
      </w:r>
    </w:p>
    <w:p w:rsidR="008C1BE4" w:rsidRPr="00501736" w:rsidRDefault="00DD7B83"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77</w:t>
      </w:r>
      <w:r w:rsidRPr="00501736">
        <w:rPr>
          <w:lang w:val="pl-PL"/>
        </w:rPr>
        <w:fldChar w:fldCharType="end"/>
      </w:r>
      <w:r w:rsidRPr="00501736">
        <w:rPr>
          <w:lang w:val="pl-PL"/>
        </w:rPr>
        <w:t>.  </w:t>
      </w:r>
      <w:r w:rsidR="00373035" w:rsidRPr="00501736">
        <w:rPr>
          <w:lang w:val="pl-PL"/>
        </w:rPr>
        <w:t>Trybunał uważa, że ​​taki surowy obraz postępowania sądowego może doprowadzić przeciętnego obserwatora do mniemania, że na rozprawie znajdował się skrajnie niebezpieczny przestępca. Ponadto zgadza się ze skarżącym, że taka forma ekspozycji publicznej było upokarzająca dla niego we własnych oczach, jeśli nie w oczach społeczeństwa i budzi jego poczucie niższości. Takie upokarzające traktowanie może łatwo wpłynąć na zdolność skarżącego do koncentracji i czujność psychicznej podczas postępowania w tak ważnej kwestii jak jego odpowiedzialność karna (</w:t>
      </w:r>
      <w:proofErr w:type="spellStart"/>
      <w:r w:rsidR="00373035" w:rsidRPr="00501736">
        <w:rPr>
          <w:i/>
          <w:lang w:val="pl-PL"/>
        </w:rPr>
        <w:t>Ashot</w:t>
      </w:r>
      <w:proofErr w:type="spellEnd"/>
      <w:r w:rsidR="00373035" w:rsidRPr="00501736">
        <w:rPr>
          <w:i/>
          <w:lang w:val="pl-PL"/>
        </w:rPr>
        <w:t xml:space="preserve"> </w:t>
      </w:r>
      <w:proofErr w:type="spellStart"/>
      <w:r w:rsidR="00373035" w:rsidRPr="00501736">
        <w:rPr>
          <w:i/>
          <w:lang w:val="pl-PL"/>
        </w:rPr>
        <w:t>Harutyunyan</w:t>
      </w:r>
      <w:proofErr w:type="spellEnd"/>
      <w:r w:rsidR="00373035" w:rsidRPr="00501736">
        <w:rPr>
          <w:lang w:val="pl-PL"/>
        </w:rPr>
        <w:t xml:space="preserve">, cytowany powyżej, § 128 i </w:t>
      </w:r>
      <w:proofErr w:type="spellStart"/>
      <w:r w:rsidR="00373035" w:rsidRPr="000C66CF">
        <w:rPr>
          <w:i/>
          <w:lang w:val="pl-PL"/>
        </w:rPr>
        <w:t>Khudoyorov</w:t>
      </w:r>
      <w:proofErr w:type="spellEnd"/>
      <w:r w:rsidR="00373035" w:rsidRPr="000C66CF">
        <w:rPr>
          <w:i/>
          <w:lang w:val="pl-PL"/>
        </w:rPr>
        <w:t xml:space="preserve"> przeciwko Rosji</w:t>
      </w:r>
      <w:r w:rsidR="000C66CF">
        <w:rPr>
          <w:lang w:val="pl-PL"/>
        </w:rPr>
        <w:t>, nr</w:t>
      </w:r>
      <w:r w:rsidR="00373035" w:rsidRPr="00501736">
        <w:rPr>
          <w:lang w:val="pl-PL"/>
        </w:rPr>
        <w:t xml:space="preserve"> 6847 / 02, § 119, ECHR 2005 X (wyciąg</w:t>
      </w:r>
      <w:r w:rsidR="00A41A8C">
        <w:rPr>
          <w:lang w:val="pl-PL"/>
        </w:rPr>
        <w:t>i)). Ponadto fakt, że kwestionowane</w:t>
      </w:r>
      <w:r w:rsidR="00373035" w:rsidRPr="00501736">
        <w:rPr>
          <w:lang w:val="pl-PL"/>
        </w:rPr>
        <w:t xml:space="preserve"> traktowanie odbyło się w sali sądowej w kontekście procesu skarżącego</w:t>
      </w:r>
      <w:r w:rsidR="00A41A8C">
        <w:rPr>
          <w:lang w:val="pl-PL"/>
        </w:rPr>
        <w:t>,</w:t>
      </w:r>
      <w:r w:rsidR="00373035" w:rsidRPr="00501736">
        <w:rPr>
          <w:lang w:val="pl-PL"/>
        </w:rPr>
        <w:t xml:space="preserve"> </w:t>
      </w:r>
      <w:r w:rsidR="000C66CF">
        <w:rPr>
          <w:lang w:val="pl-PL"/>
        </w:rPr>
        <w:t>przywołuje</w:t>
      </w:r>
      <w:r w:rsidR="00373035" w:rsidRPr="00501736">
        <w:rPr>
          <w:lang w:val="pl-PL"/>
        </w:rPr>
        <w:t xml:space="preserve"> zasadę domniemania niewinności w postępowaniu karnym</w:t>
      </w:r>
      <w:r w:rsidR="000C66CF">
        <w:rPr>
          <w:lang w:val="pl-PL"/>
        </w:rPr>
        <w:t>, jako jede</w:t>
      </w:r>
      <w:r w:rsidR="00373035" w:rsidRPr="00501736">
        <w:rPr>
          <w:lang w:val="pl-PL"/>
        </w:rPr>
        <w:t>n z elementów rzetelnego procesu (</w:t>
      </w:r>
      <w:proofErr w:type="spellStart"/>
      <w:r w:rsidR="00373035" w:rsidRPr="00501736">
        <w:rPr>
          <w:i/>
          <w:lang w:val="pl-PL"/>
        </w:rPr>
        <w:t>Svinarenko</w:t>
      </w:r>
      <w:proofErr w:type="spellEnd"/>
      <w:r w:rsidR="00373035" w:rsidRPr="00501736">
        <w:rPr>
          <w:i/>
          <w:lang w:val="pl-PL"/>
        </w:rPr>
        <w:t xml:space="preserve"> i </w:t>
      </w:r>
      <w:proofErr w:type="spellStart"/>
      <w:r w:rsidR="00373035" w:rsidRPr="00501736">
        <w:rPr>
          <w:i/>
          <w:lang w:val="pl-PL"/>
        </w:rPr>
        <w:t>Slyadnev</w:t>
      </w:r>
      <w:proofErr w:type="spellEnd"/>
      <w:r w:rsidR="00373035" w:rsidRPr="00501736">
        <w:rPr>
          <w:lang w:val="pl-PL"/>
        </w:rPr>
        <w:t>, cytowany powyżej, § 131</w:t>
      </w:r>
      <w:r w:rsidR="005641EF" w:rsidRPr="00501736">
        <w:rPr>
          <w:lang w:val="pl-PL"/>
        </w:rPr>
        <w:t>).</w:t>
      </w:r>
    </w:p>
    <w:p w:rsidR="00746E5E" w:rsidRPr="00501736" w:rsidRDefault="006B72C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78</w:t>
      </w:r>
      <w:r w:rsidRPr="00501736">
        <w:rPr>
          <w:lang w:val="pl-PL"/>
        </w:rPr>
        <w:fldChar w:fldCharType="end"/>
      </w:r>
      <w:r w:rsidRPr="00501736">
        <w:rPr>
          <w:lang w:val="pl-PL"/>
        </w:rPr>
        <w:t>.  </w:t>
      </w:r>
      <w:r w:rsidR="00373035" w:rsidRPr="00501736">
        <w:rPr>
          <w:lang w:val="pl-PL"/>
        </w:rPr>
        <w:t xml:space="preserve">Ponadto, będąc w klatce, skarżący był skuty kajdankami, a nawet (patrz: pkt 70 i 72 powyżej) kajdankami zespolonymi. Trybunał już </w:t>
      </w:r>
      <w:r w:rsidR="00373035" w:rsidRPr="00501736">
        <w:rPr>
          <w:lang w:val="pl-PL"/>
        </w:rPr>
        <w:lastRenderedPageBreak/>
        <w:t xml:space="preserve">wcześniej stwierdził naruszenie artykułu 3 w przypadku, gdy skarżący, który nie był osobą publiczną, był bezpodstawnie skuty kajdankami podczas rozpraw publicznych (patrz </w:t>
      </w:r>
      <w:proofErr w:type="spellStart"/>
      <w:r w:rsidR="00373035" w:rsidRPr="00501736">
        <w:rPr>
          <w:i/>
          <w:lang w:val="pl-PL"/>
        </w:rPr>
        <w:t>Gorodnichev</w:t>
      </w:r>
      <w:proofErr w:type="spellEnd"/>
      <w:r w:rsidR="00373035" w:rsidRPr="00501736">
        <w:rPr>
          <w:i/>
          <w:lang w:val="pl-PL"/>
        </w:rPr>
        <w:t xml:space="preserve"> przeciwko Rosji</w:t>
      </w:r>
      <w:r w:rsidR="00373035" w:rsidRPr="00501736">
        <w:rPr>
          <w:lang w:val="pl-PL"/>
        </w:rPr>
        <w:t>, nr 52058/99, §§ 105-109, 24 maj 2007). W niniejszej sprawie nie zost</w:t>
      </w:r>
      <w:r w:rsidR="00A41A8C">
        <w:rPr>
          <w:lang w:val="pl-PL"/>
        </w:rPr>
        <w:t>ało podane żadne konkretnego uzasadnienie</w:t>
      </w:r>
      <w:r w:rsidR="00373035" w:rsidRPr="00501736">
        <w:rPr>
          <w:lang w:val="pl-PL"/>
        </w:rPr>
        <w:t xml:space="preserve"> jednoczesnego stosowania obu środków bezpieczeństwa podczas procesu - klatki i kajdanek - przez władze lub rząd</w:t>
      </w:r>
      <w:r w:rsidRPr="00501736">
        <w:rPr>
          <w:lang w:val="pl-PL"/>
        </w:rPr>
        <w:t>.</w:t>
      </w:r>
    </w:p>
    <w:p w:rsidR="005E51F0" w:rsidRPr="00501736" w:rsidRDefault="008C1BE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79</w:t>
      </w:r>
      <w:r w:rsidRPr="00501736">
        <w:rPr>
          <w:lang w:val="pl-PL"/>
        </w:rPr>
        <w:fldChar w:fldCharType="end"/>
      </w:r>
      <w:r w:rsidRPr="00501736">
        <w:rPr>
          <w:lang w:val="pl-PL"/>
        </w:rPr>
        <w:t>.  </w:t>
      </w:r>
      <w:r w:rsidR="00373035" w:rsidRPr="00501736">
        <w:rPr>
          <w:lang w:val="pl-PL"/>
        </w:rPr>
        <w:t>W świetle powyższych rozważań należy stwierdzić, że nałożenie na skarżącego tak surowych i upokarzających środków w toku postępowania przed Sądem Okręgowym w Lublinie stanowiło poniżające traktowanie. Doszło więc do naruszenia artykułu 3 Konwencji z tego tytułu</w:t>
      </w:r>
      <w:r w:rsidR="00FE4A72" w:rsidRPr="00501736">
        <w:rPr>
          <w:lang w:val="pl-PL"/>
        </w:rPr>
        <w:t>.</w:t>
      </w:r>
    </w:p>
    <w:p w:rsidR="005E51F0" w:rsidRPr="00501736" w:rsidRDefault="0091308D" w:rsidP="00746E5E">
      <w:pPr>
        <w:pStyle w:val="ECHRHeading1"/>
        <w:rPr>
          <w:lang w:val="pl-PL"/>
        </w:rPr>
      </w:pPr>
      <w:r w:rsidRPr="00501736">
        <w:rPr>
          <w:lang w:val="pl-PL"/>
        </w:rPr>
        <w:t>III</w:t>
      </w:r>
      <w:r w:rsidR="005E51F0" w:rsidRPr="00501736">
        <w:rPr>
          <w:lang w:val="pl-PL"/>
        </w:rPr>
        <w:t>.  </w:t>
      </w:r>
      <w:r w:rsidR="00373035" w:rsidRPr="00501736">
        <w:rPr>
          <w:lang w:val="pl-PL"/>
        </w:rPr>
        <w:t>INNE ZARZUTY NARUSZENIA KONWENCJI</w:t>
      </w:r>
    </w:p>
    <w:p w:rsidR="005E51F0" w:rsidRPr="00501736" w:rsidRDefault="005E51F0" w:rsidP="00746E5E">
      <w:pPr>
        <w:pStyle w:val="ECHRHeading2"/>
        <w:outlineLvl w:val="0"/>
        <w:rPr>
          <w:lang w:val="pl-PL"/>
        </w:rPr>
      </w:pPr>
      <w:r w:rsidRPr="00501736">
        <w:rPr>
          <w:lang w:val="pl-PL"/>
        </w:rPr>
        <w:t>A.  </w:t>
      </w:r>
      <w:r w:rsidR="00373035" w:rsidRPr="00501736">
        <w:rPr>
          <w:lang w:val="pl-PL"/>
        </w:rPr>
        <w:t xml:space="preserve">Artykuł </w:t>
      </w:r>
      <w:r w:rsidR="00A25BBE" w:rsidRPr="00501736">
        <w:rPr>
          <w:lang w:val="pl-PL"/>
        </w:rPr>
        <w:t>6 §</w:t>
      </w:r>
      <w:r w:rsidR="00450B80" w:rsidRPr="00501736">
        <w:rPr>
          <w:lang w:val="pl-PL"/>
        </w:rPr>
        <w:t xml:space="preserve"> 3</w:t>
      </w:r>
    </w:p>
    <w:p w:rsidR="004152C0" w:rsidRPr="00501736" w:rsidRDefault="004152C0" w:rsidP="00746E5E">
      <w:pPr>
        <w:pStyle w:val="ECHRHeading3"/>
        <w:rPr>
          <w:lang w:val="pl-PL"/>
        </w:rPr>
      </w:pPr>
      <w:r w:rsidRPr="00501736">
        <w:rPr>
          <w:lang w:val="pl-PL"/>
        </w:rPr>
        <w:t>1.  </w:t>
      </w:r>
      <w:r w:rsidR="00373035" w:rsidRPr="00501736">
        <w:rPr>
          <w:lang w:val="pl-PL"/>
        </w:rPr>
        <w:t>Stanowiska stron</w:t>
      </w:r>
    </w:p>
    <w:p w:rsidR="005E51F0" w:rsidRPr="00501736" w:rsidRDefault="005E51F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80</w:t>
      </w:r>
      <w:r w:rsidRPr="00501736">
        <w:rPr>
          <w:lang w:val="pl-PL"/>
        </w:rPr>
        <w:fldChar w:fldCharType="end"/>
      </w:r>
      <w:r w:rsidRPr="00501736">
        <w:rPr>
          <w:lang w:val="pl-PL"/>
        </w:rPr>
        <w:t>.  </w:t>
      </w:r>
      <w:r w:rsidR="00373035" w:rsidRPr="00501736">
        <w:rPr>
          <w:lang w:val="pl-PL"/>
        </w:rPr>
        <w:t>Skarżący zarzuci</w:t>
      </w:r>
      <w:r w:rsidR="00001F5E">
        <w:rPr>
          <w:lang w:val="pl-PL"/>
        </w:rPr>
        <w:t>ł, że nie został mu ustanowiony obrońca, z którym</w:t>
      </w:r>
      <w:r w:rsidR="00373035" w:rsidRPr="00501736">
        <w:rPr>
          <w:lang w:val="pl-PL"/>
        </w:rPr>
        <w:t xml:space="preserve"> mógłby komunikować się w języku litewski</w:t>
      </w:r>
      <w:r w:rsidR="00001F5E">
        <w:rPr>
          <w:lang w:val="pl-PL"/>
        </w:rPr>
        <w:t>m lub rosyjskim i którego pisma</w:t>
      </w:r>
      <w:r w:rsidR="00373035" w:rsidRPr="00501736">
        <w:rPr>
          <w:lang w:val="pl-PL"/>
        </w:rPr>
        <w:t xml:space="preserve"> byłby w stanie w pełni </w:t>
      </w:r>
      <w:r w:rsidR="00001F5E">
        <w:rPr>
          <w:lang w:val="pl-PL"/>
        </w:rPr>
        <w:t>zrozumieć. Twierdził, że obrońca</w:t>
      </w:r>
      <w:r w:rsidR="00373035" w:rsidRPr="00501736">
        <w:rPr>
          <w:lang w:val="pl-PL"/>
        </w:rPr>
        <w:t xml:space="preserve"> mówił tylko po polsku, a sąd krajowy odmówił jego żądaniu dotyczącemu usług tłumacza podczas swoich spotkań z prawnikiem. W konsekwencji </w:t>
      </w:r>
      <w:r w:rsidR="000C66CF">
        <w:rPr>
          <w:lang w:val="pl-PL"/>
        </w:rPr>
        <w:t>obrońca nie był</w:t>
      </w:r>
      <w:r w:rsidR="00373035" w:rsidRPr="00501736">
        <w:rPr>
          <w:lang w:val="pl-PL"/>
        </w:rPr>
        <w:t xml:space="preserve"> w stanie wykonywać swoich obowiązków prawidłowo. Wn</w:t>
      </w:r>
      <w:r w:rsidR="00001F5E">
        <w:rPr>
          <w:lang w:val="pl-PL"/>
        </w:rPr>
        <w:t>ioski skarżącego o ustanowienie mu innego obrońcy zostały oddalone</w:t>
      </w:r>
      <w:r w:rsidR="00373035" w:rsidRPr="00501736">
        <w:rPr>
          <w:lang w:val="pl-PL"/>
        </w:rPr>
        <w:t xml:space="preserve"> przez sąd pierwszej instancji</w:t>
      </w:r>
      <w:r w:rsidR="004152C0" w:rsidRPr="00501736">
        <w:rPr>
          <w:lang w:val="pl-PL"/>
        </w:rPr>
        <w:t>.</w:t>
      </w:r>
    </w:p>
    <w:p w:rsidR="00746E5E" w:rsidRPr="00501736" w:rsidRDefault="005E51F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81</w:t>
      </w:r>
      <w:r w:rsidRPr="00501736">
        <w:rPr>
          <w:lang w:val="pl-PL"/>
        </w:rPr>
        <w:fldChar w:fldCharType="end"/>
      </w:r>
      <w:r w:rsidRPr="00501736">
        <w:rPr>
          <w:lang w:val="pl-PL"/>
        </w:rPr>
        <w:t>.  </w:t>
      </w:r>
      <w:r w:rsidR="005D328D" w:rsidRPr="00501736">
        <w:rPr>
          <w:lang w:val="pl-PL"/>
        </w:rPr>
        <w:t xml:space="preserve">Rząd utrzymywał, że prawo do obrony skarżącego zostało zagwarantowane w każdym stadium postępowania krajowego. Otrzymał pomoc prawną i jego kontakty z adwokatem z urzędu nie były utrudniane. Rząd stwierdził, że skarżący otrzymał przetłumaczone dokumenty z </w:t>
      </w:r>
      <w:r w:rsidR="00001F5E">
        <w:rPr>
          <w:lang w:val="pl-PL"/>
        </w:rPr>
        <w:t>jego akt, regularnie zapoznawał się z</w:t>
      </w:r>
      <w:r w:rsidR="005D328D" w:rsidRPr="00501736">
        <w:rPr>
          <w:lang w:val="pl-PL"/>
        </w:rPr>
        <w:t xml:space="preserve"> akta</w:t>
      </w:r>
      <w:r w:rsidR="00001F5E">
        <w:rPr>
          <w:lang w:val="pl-PL"/>
        </w:rPr>
        <w:t>mi w obecności tłumacza, a</w:t>
      </w:r>
      <w:r w:rsidR="005D328D" w:rsidRPr="00501736">
        <w:rPr>
          <w:lang w:val="pl-PL"/>
        </w:rPr>
        <w:t xml:space="preserve"> kilka razy prosił i otrzymał kopie dokumentów w języku polskim</w:t>
      </w:r>
      <w:r w:rsidR="00A25BBE" w:rsidRPr="00501736">
        <w:rPr>
          <w:lang w:val="pl-PL"/>
        </w:rPr>
        <w:t>.</w:t>
      </w:r>
    </w:p>
    <w:p w:rsidR="004152C0" w:rsidRPr="00501736" w:rsidRDefault="004152C0" w:rsidP="00746E5E">
      <w:pPr>
        <w:pStyle w:val="ECHRHeading3"/>
        <w:rPr>
          <w:lang w:val="pl-PL"/>
        </w:rPr>
      </w:pPr>
      <w:r w:rsidRPr="00501736">
        <w:rPr>
          <w:lang w:val="pl-PL"/>
        </w:rPr>
        <w:t>2.  </w:t>
      </w:r>
      <w:r w:rsidR="005D328D" w:rsidRPr="00501736">
        <w:rPr>
          <w:lang w:val="pl-PL"/>
        </w:rPr>
        <w:t>Ocena Trybunału</w:t>
      </w:r>
    </w:p>
    <w:p w:rsidR="004152C0" w:rsidRPr="00501736" w:rsidRDefault="00C576BA" w:rsidP="00746E5E">
      <w:pPr>
        <w:pStyle w:val="ECHRHeading4"/>
        <w:rPr>
          <w:lang w:val="pl-PL"/>
        </w:rPr>
      </w:pPr>
      <w:r w:rsidRPr="00501736">
        <w:rPr>
          <w:lang w:val="pl-PL"/>
        </w:rPr>
        <w:t>(a)  </w:t>
      </w:r>
      <w:r w:rsidR="005D328D" w:rsidRPr="00501736">
        <w:rPr>
          <w:lang w:val="pl-PL"/>
        </w:rPr>
        <w:t>Właściwe</w:t>
      </w:r>
      <w:r w:rsidR="004152C0" w:rsidRPr="00501736">
        <w:rPr>
          <w:lang w:val="pl-PL"/>
        </w:rPr>
        <w:t xml:space="preserve"> </w:t>
      </w:r>
      <w:r w:rsidR="005D328D" w:rsidRPr="00501736">
        <w:rPr>
          <w:lang w:val="pl-PL"/>
        </w:rPr>
        <w:t>zasady</w:t>
      </w:r>
    </w:p>
    <w:p w:rsidR="00B77B34" w:rsidRPr="00501736" w:rsidRDefault="00A72848"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82</w:t>
      </w:r>
      <w:r w:rsidRPr="00501736">
        <w:rPr>
          <w:lang w:val="pl-PL"/>
        </w:rPr>
        <w:fldChar w:fldCharType="end"/>
      </w:r>
      <w:r w:rsidRPr="00501736">
        <w:rPr>
          <w:lang w:val="pl-PL"/>
        </w:rPr>
        <w:t>.  </w:t>
      </w:r>
      <w:r w:rsidR="005D328D" w:rsidRPr="00501736">
        <w:rPr>
          <w:lang w:val="pl-PL"/>
        </w:rPr>
        <w:t>Trybunał po pierwsze zauważa, że ​​gwarancje w pkt. 3 artykułu 6 sta</w:t>
      </w:r>
      <w:r w:rsidR="000C66CF">
        <w:rPr>
          <w:lang w:val="pl-PL"/>
        </w:rPr>
        <w:t>n</w:t>
      </w:r>
      <w:r w:rsidR="005D328D" w:rsidRPr="00501736">
        <w:rPr>
          <w:lang w:val="pl-PL"/>
        </w:rPr>
        <w:t>owią specyficzne aspekty praw</w:t>
      </w:r>
      <w:r w:rsidR="000C66CF">
        <w:rPr>
          <w:lang w:val="pl-PL"/>
        </w:rPr>
        <w:t>a</w:t>
      </w:r>
      <w:r w:rsidR="005D328D" w:rsidRPr="00501736">
        <w:rPr>
          <w:lang w:val="pl-PL"/>
        </w:rPr>
        <w:t xml:space="preserve"> do rzetelnego procesu w postępowaniu karnym określonego w pkt. 1 tego samego artykułu. W związku z tym zarzut skarżącego będzie rozpatrywany na podstawie tych przepisów rozpatrywanych łącznie (patrz, między innymi, </w:t>
      </w:r>
      <w:proofErr w:type="spellStart"/>
      <w:r w:rsidR="005D328D" w:rsidRPr="00501736">
        <w:rPr>
          <w:i/>
          <w:lang w:val="pl-PL"/>
        </w:rPr>
        <w:t>Benham</w:t>
      </w:r>
      <w:proofErr w:type="spellEnd"/>
      <w:r w:rsidR="005D328D" w:rsidRPr="00501736">
        <w:rPr>
          <w:i/>
          <w:lang w:val="pl-PL"/>
        </w:rPr>
        <w:t xml:space="preserve"> przeciwko Wielkiej Brytanii</w:t>
      </w:r>
      <w:r w:rsidR="005D328D" w:rsidRPr="00501736">
        <w:rPr>
          <w:lang w:val="pl-PL"/>
        </w:rPr>
        <w:t xml:space="preserve">, 10 czerwca 1996, § 52, </w:t>
      </w:r>
      <w:r w:rsidR="005D328D" w:rsidRPr="00501736">
        <w:rPr>
          <w:i/>
          <w:lang w:val="pl-PL"/>
        </w:rPr>
        <w:t>Raporty orzeczeń i decyzji</w:t>
      </w:r>
      <w:r w:rsidR="005D328D" w:rsidRPr="00501736">
        <w:rPr>
          <w:lang w:val="pl-PL"/>
        </w:rPr>
        <w:t xml:space="preserve"> 1996 III</w:t>
      </w:r>
      <w:r w:rsidR="00450B80" w:rsidRPr="00501736">
        <w:rPr>
          <w:lang w:val="pl-PL"/>
        </w:rPr>
        <w:t>).</w:t>
      </w:r>
    </w:p>
    <w:p w:rsidR="004152C0" w:rsidRPr="00501736" w:rsidRDefault="00A72848"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83</w:t>
      </w:r>
      <w:r w:rsidRPr="00501736">
        <w:rPr>
          <w:lang w:val="pl-PL"/>
        </w:rPr>
        <w:fldChar w:fldCharType="end"/>
      </w:r>
      <w:r w:rsidRPr="00501736">
        <w:rPr>
          <w:lang w:val="pl-PL"/>
        </w:rPr>
        <w:t>.  </w:t>
      </w:r>
      <w:r w:rsidR="00865892" w:rsidRPr="00501736">
        <w:rPr>
          <w:lang w:val="pl-PL"/>
        </w:rPr>
        <w:t>Try</w:t>
      </w:r>
      <w:r w:rsidR="004E505C">
        <w:rPr>
          <w:lang w:val="pl-PL"/>
        </w:rPr>
        <w:t>bunał przypomina na wstępie, że</w:t>
      </w:r>
      <w:r w:rsidR="00865892" w:rsidRPr="00501736">
        <w:rPr>
          <w:lang w:val="pl-PL"/>
        </w:rPr>
        <w:t xml:space="preserve"> jako całość, Artykuł 6 Konwencji gwarantuje prawo oskarżonego do efektywnego udziału w procesie karnym. </w:t>
      </w:r>
      <w:r w:rsidR="00881714">
        <w:rPr>
          <w:lang w:val="pl-PL"/>
        </w:rPr>
        <w:t xml:space="preserve">Co do zasady </w:t>
      </w:r>
      <w:r w:rsidR="00865892" w:rsidRPr="00501736">
        <w:rPr>
          <w:lang w:val="pl-PL"/>
        </w:rPr>
        <w:t xml:space="preserve">obejmuje to nie tylko prawo do bycia </w:t>
      </w:r>
      <w:r w:rsidR="00865892" w:rsidRPr="00501736">
        <w:rPr>
          <w:lang w:val="pl-PL"/>
        </w:rPr>
        <w:lastRenderedPageBreak/>
        <w:t>obecnym, ale również</w:t>
      </w:r>
      <w:r w:rsidR="00881714">
        <w:rPr>
          <w:lang w:val="pl-PL"/>
        </w:rPr>
        <w:t xml:space="preserve"> – o ile to konieczne -</w:t>
      </w:r>
      <w:r w:rsidR="00865892" w:rsidRPr="00501736">
        <w:rPr>
          <w:lang w:val="pl-PL"/>
        </w:rPr>
        <w:t xml:space="preserve"> prawo</w:t>
      </w:r>
      <w:r w:rsidR="00881714">
        <w:rPr>
          <w:lang w:val="pl-PL"/>
        </w:rPr>
        <w:t xml:space="preserve"> do pomocy prawnej i śledzenia </w:t>
      </w:r>
      <w:r w:rsidR="00D950CC">
        <w:rPr>
          <w:lang w:val="pl-PL"/>
        </w:rPr>
        <w:t>postępowania. Prawa te</w:t>
      </w:r>
      <w:r w:rsidR="004E505C">
        <w:rPr>
          <w:lang w:val="pl-PL"/>
        </w:rPr>
        <w:t xml:space="preserve"> </w:t>
      </w:r>
      <w:r w:rsidR="001F1B81">
        <w:rPr>
          <w:lang w:val="pl-PL"/>
        </w:rPr>
        <w:t>mieszczą się</w:t>
      </w:r>
      <w:r w:rsidR="00865892" w:rsidRPr="00501736">
        <w:rPr>
          <w:lang w:val="pl-PL"/>
        </w:rPr>
        <w:t xml:space="preserve"> w samym pojęc</w:t>
      </w:r>
      <w:r w:rsidR="001F1B81">
        <w:rPr>
          <w:lang w:val="pl-PL"/>
        </w:rPr>
        <w:t>iu procedury kontradyktoryjnej</w:t>
      </w:r>
      <w:r w:rsidR="00865892" w:rsidRPr="00501736">
        <w:rPr>
          <w:lang w:val="pl-PL"/>
        </w:rPr>
        <w:t xml:space="preserve"> i </w:t>
      </w:r>
      <w:r w:rsidR="00D950CC">
        <w:rPr>
          <w:lang w:val="pl-PL"/>
        </w:rPr>
        <w:t xml:space="preserve">można je także wyprowadzić </w:t>
      </w:r>
      <w:r w:rsidR="00865892" w:rsidRPr="00501736">
        <w:rPr>
          <w:lang w:val="pl-PL"/>
        </w:rPr>
        <w:t xml:space="preserve">z gwarancji zawartych w punktach (c) i (e) artykułu 6 § 3 (zobacz, między innymi, </w:t>
      </w:r>
      <w:r w:rsidR="00865892" w:rsidRPr="00501736">
        <w:rPr>
          <w:i/>
          <w:lang w:val="pl-PL"/>
        </w:rPr>
        <w:t>Stanford przeciwko wielkiej Brytanii</w:t>
      </w:r>
      <w:r w:rsidR="00865892" w:rsidRPr="00501736">
        <w:rPr>
          <w:lang w:val="pl-PL"/>
        </w:rPr>
        <w:t xml:space="preserve"> 23 lutego 1994, § 26, Seria A nr. 282 A)</w:t>
      </w:r>
      <w:r w:rsidR="00B77B34" w:rsidRPr="00501736">
        <w:rPr>
          <w:lang w:val="pl-PL"/>
        </w:rPr>
        <w:t>.</w:t>
      </w:r>
    </w:p>
    <w:p w:rsidR="004152C0" w:rsidRPr="00501736" w:rsidRDefault="00A72848"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84</w:t>
      </w:r>
      <w:r w:rsidRPr="00501736">
        <w:rPr>
          <w:lang w:val="pl-PL"/>
        </w:rPr>
        <w:fldChar w:fldCharType="end"/>
      </w:r>
      <w:r w:rsidRPr="00501736">
        <w:rPr>
          <w:lang w:val="pl-PL"/>
        </w:rPr>
        <w:t>.  </w:t>
      </w:r>
      <w:r w:rsidR="00865892" w:rsidRPr="00501736">
        <w:rPr>
          <w:lang w:val="pl-PL"/>
        </w:rPr>
        <w:t xml:space="preserve">Artykuł 6 § 3 (c) nie może być </w:t>
      </w:r>
      <w:r w:rsidR="00D950CC">
        <w:rPr>
          <w:lang w:val="pl-PL"/>
        </w:rPr>
        <w:t>interpretowany</w:t>
      </w:r>
      <w:r w:rsidR="00C025FE" w:rsidRPr="00501736">
        <w:rPr>
          <w:lang w:val="pl-PL"/>
        </w:rPr>
        <w:t xml:space="preserve"> jako</w:t>
      </w:r>
      <w:r w:rsidR="00865892" w:rsidRPr="00501736">
        <w:rPr>
          <w:lang w:val="pl-PL"/>
        </w:rPr>
        <w:t xml:space="preserve"> </w:t>
      </w:r>
      <w:r w:rsidR="00CC4F74">
        <w:rPr>
          <w:lang w:val="pl-PL"/>
        </w:rPr>
        <w:t>zapewniający prawo</w:t>
      </w:r>
      <w:r w:rsidR="00C025FE">
        <w:rPr>
          <w:lang w:val="pl-PL"/>
        </w:rPr>
        <w:t xml:space="preserve"> do </w:t>
      </w:r>
      <w:r w:rsidR="00CC4F74">
        <w:rPr>
          <w:lang w:val="pl-PL"/>
        </w:rPr>
        <w:t>zmiany</w:t>
      </w:r>
      <w:r w:rsidR="00865892" w:rsidRPr="00501736">
        <w:rPr>
          <w:lang w:val="pl-PL"/>
        </w:rPr>
        <w:t xml:space="preserve"> obro</w:t>
      </w:r>
      <w:r w:rsidR="00C025FE">
        <w:rPr>
          <w:lang w:val="pl-PL"/>
        </w:rPr>
        <w:t>ńcy</w:t>
      </w:r>
      <w:r w:rsidR="00865892" w:rsidRPr="00501736">
        <w:rPr>
          <w:lang w:val="pl-PL"/>
        </w:rPr>
        <w:t xml:space="preserve"> z urzędu (patrz, między innymi, </w:t>
      </w:r>
      <w:proofErr w:type="spellStart"/>
      <w:r w:rsidR="00865892" w:rsidRPr="00501736">
        <w:rPr>
          <w:i/>
          <w:lang w:val="pl-PL"/>
        </w:rPr>
        <w:t>Erdem</w:t>
      </w:r>
      <w:proofErr w:type="spellEnd"/>
      <w:r w:rsidR="00865892" w:rsidRPr="00501736">
        <w:rPr>
          <w:i/>
          <w:lang w:val="pl-PL"/>
        </w:rPr>
        <w:t xml:space="preserve"> przeciwko Niemcom</w:t>
      </w:r>
      <w:r w:rsidR="00C025FE">
        <w:rPr>
          <w:lang w:val="pl-PL"/>
        </w:rPr>
        <w:t xml:space="preserve"> (grudzień), no. 38321/97, </w:t>
      </w:r>
      <w:r w:rsidR="00865892" w:rsidRPr="00501736">
        <w:rPr>
          <w:lang w:val="pl-PL"/>
        </w:rPr>
        <w:t xml:space="preserve">9 grudnia 1999) Jednak wyznaczenie obrońcy nie musi </w:t>
      </w:r>
      <w:r w:rsidR="00CC4F74">
        <w:rPr>
          <w:lang w:val="pl-PL"/>
        </w:rPr>
        <w:t>dotykać</w:t>
      </w:r>
      <w:r w:rsidR="00865892" w:rsidRPr="00501736">
        <w:rPr>
          <w:lang w:val="pl-PL"/>
        </w:rPr>
        <w:t xml:space="preserve"> kwestii zgodności z wymogami artykułu 6 § 3 (c). Chociaż przebieg obrony jest zasadniczo sprawą między oskarżonym a jego obrońcą, właściwe władze krajowe są zobowiązane do interwencji, jeśli istnieje oczywiste niezapewniani</w:t>
      </w:r>
      <w:r w:rsidR="00C025FE">
        <w:rPr>
          <w:lang w:val="pl-PL"/>
        </w:rPr>
        <w:t>e</w:t>
      </w:r>
      <w:r w:rsidR="00865892" w:rsidRPr="00501736">
        <w:rPr>
          <w:lang w:val="pl-PL"/>
        </w:rPr>
        <w:t xml:space="preserve"> przez wyznaczonego przez sąd obrońcę skutecznej reprezentacji lub jeżeli wiedza o tak</w:t>
      </w:r>
      <w:r w:rsidR="00CC4F74">
        <w:rPr>
          <w:lang w:val="pl-PL"/>
        </w:rPr>
        <w:t>im niezapewnianiu dotrze do władz</w:t>
      </w:r>
      <w:r w:rsidR="00865892" w:rsidRPr="00501736">
        <w:rPr>
          <w:lang w:val="pl-PL"/>
        </w:rPr>
        <w:t xml:space="preserve"> w jaki</w:t>
      </w:r>
      <w:r w:rsidR="00CC4F74">
        <w:rPr>
          <w:lang w:val="pl-PL"/>
        </w:rPr>
        <w:t>ś inny sposób. Niemniej jednak Państwo nie może odpowiadać</w:t>
      </w:r>
      <w:r w:rsidR="00865892" w:rsidRPr="00501736">
        <w:rPr>
          <w:lang w:val="pl-PL"/>
        </w:rPr>
        <w:t xml:space="preserve"> za każde niedocią</w:t>
      </w:r>
      <w:r w:rsidR="00F04409">
        <w:rPr>
          <w:lang w:val="pl-PL"/>
        </w:rPr>
        <w:t xml:space="preserve">gnięcie ze strony adwokata ustanowionego z </w:t>
      </w:r>
      <w:r w:rsidR="00D37B40">
        <w:rPr>
          <w:lang w:val="pl-PL"/>
        </w:rPr>
        <w:t>urzędu</w:t>
      </w:r>
      <w:r w:rsidR="00865892" w:rsidRPr="00501736">
        <w:rPr>
          <w:lang w:val="pl-PL"/>
        </w:rPr>
        <w:t xml:space="preserve"> (zobacz, między innymi, wyrok </w:t>
      </w:r>
      <w:proofErr w:type="spellStart"/>
      <w:r w:rsidR="00865892" w:rsidRPr="00501736">
        <w:rPr>
          <w:i/>
          <w:lang w:val="pl-PL"/>
        </w:rPr>
        <w:t>Kamasinski</w:t>
      </w:r>
      <w:proofErr w:type="spellEnd"/>
      <w:r w:rsidR="00865892" w:rsidRPr="00501736">
        <w:rPr>
          <w:i/>
          <w:lang w:val="pl-PL"/>
        </w:rPr>
        <w:t xml:space="preserve"> przeciwko Austrii</w:t>
      </w:r>
      <w:r w:rsidR="00865892" w:rsidRPr="00501736">
        <w:rPr>
          <w:lang w:val="pl-PL"/>
        </w:rPr>
        <w:t xml:space="preserve">, 19 grudnia 1989, § 65, Seria A, nr. 168, oraz </w:t>
      </w:r>
      <w:r w:rsidR="00865892" w:rsidRPr="00501736">
        <w:rPr>
          <w:i/>
          <w:lang w:val="pl-PL"/>
        </w:rPr>
        <w:t>Daud przeciwko Portugalii</w:t>
      </w:r>
      <w:r w:rsidR="00865892" w:rsidRPr="00501736">
        <w:rPr>
          <w:lang w:val="pl-PL"/>
        </w:rPr>
        <w:t xml:space="preserve">, 21 kwietnia 1998, § 38, </w:t>
      </w:r>
      <w:r w:rsidR="00865892" w:rsidRPr="00501736">
        <w:rPr>
          <w:i/>
          <w:lang w:val="pl-PL"/>
        </w:rPr>
        <w:t>Zbiór wyroków i decyzji</w:t>
      </w:r>
      <w:r w:rsidR="00865892" w:rsidRPr="00501736">
        <w:rPr>
          <w:lang w:val="pl-PL"/>
        </w:rPr>
        <w:t xml:space="preserve"> 1998 II)</w:t>
      </w:r>
      <w:r w:rsidR="00B77B34" w:rsidRPr="00501736">
        <w:rPr>
          <w:lang w:val="pl-PL"/>
        </w:rPr>
        <w:t>.</w:t>
      </w:r>
    </w:p>
    <w:p w:rsidR="00A72848" w:rsidRPr="00501736" w:rsidRDefault="00C576BA" w:rsidP="00746E5E">
      <w:pPr>
        <w:pStyle w:val="ECHRHeading4"/>
        <w:rPr>
          <w:lang w:val="pl-PL"/>
        </w:rPr>
      </w:pPr>
      <w:r w:rsidRPr="00501736">
        <w:rPr>
          <w:lang w:val="pl-PL"/>
        </w:rPr>
        <w:t>(</w:t>
      </w:r>
      <w:r w:rsidR="004152C0" w:rsidRPr="00501736">
        <w:rPr>
          <w:lang w:val="pl-PL"/>
        </w:rPr>
        <w:t>b)  </w:t>
      </w:r>
      <w:r w:rsidR="00865892" w:rsidRPr="00501736">
        <w:rPr>
          <w:lang w:val="pl-PL"/>
        </w:rPr>
        <w:t>Zastosowanie zasad do okoliczności sprawy</w:t>
      </w:r>
    </w:p>
    <w:p w:rsidR="00746E5E" w:rsidRPr="00501736" w:rsidRDefault="004152C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85</w:t>
      </w:r>
      <w:r w:rsidRPr="00501736">
        <w:rPr>
          <w:lang w:val="pl-PL"/>
        </w:rPr>
        <w:fldChar w:fldCharType="end"/>
      </w:r>
      <w:r w:rsidRPr="00501736">
        <w:rPr>
          <w:lang w:val="pl-PL"/>
        </w:rPr>
        <w:t>.  </w:t>
      </w:r>
      <w:r w:rsidR="00865892" w:rsidRPr="00501736">
        <w:rPr>
          <w:lang w:val="pl-PL"/>
        </w:rPr>
        <w:t xml:space="preserve">W niniejszym przypadku należy stwierdzić, że sąd wyznaczył adwokata </w:t>
      </w:r>
      <w:r w:rsidR="00C025FE">
        <w:rPr>
          <w:lang w:val="pl-PL"/>
        </w:rPr>
        <w:t xml:space="preserve">do </w:t>
      </w:r>
      <w:r w:rsidR="00865892" w:rsidRPr="00501736">
        <w:rPr>
          <w:lang w:val="pl-PL"/>
        </w:rPr>
        <w:t>pomocy prawnej dla skarżącego na początkowych etapach postępowania. Nie było kwestią sporną między stronami, że tłumacz języka litewskiego brał udział we wszystkich rozprawach. Przy kilku okazjach, za zgodą skarżącego, został on zastąpiony przez rosyjskiego tłumacza (patrz pkt 14 powyżej)</w:t>
      </w:r>
      <w:r w:rsidRPr="00501736">
        <w:rPr>
          <w:lang w:val="pl-PL"/>
        </w:rPr>
        <w:t>.</w:t>
      </w:r>
    </w:p>
    <w:p w:rsidR="00746E5E" w:rsidRPr="00501736" w:rsidRDefault="00055B3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86</w:t>
      </w:r>
      <w:r w:rsidRPr="00501736">
        <w:rPr>
          <w:lang w:val="pl-PL"/>
        </w:rPr>
        <w:fldChar w:fldCharType="end"/>
      </w:r>
      <w:r w:rsidRPr="00501736">
        <w:rPr>
          <w:lang w:val="pl-PL"/>
        </w:rPr>
        <w:t>.  </w:t>
      </w:r>
      <w:r w:rsidR="00865892" w:rsidRPr="00501736">
        <w:rPr>
          <w:lang w:val="pl-PL"/>
        </w:rPr>
        <w:t xml:space="preserve">Strony nie są zgodne co do tego, czy reprezentacja skarżącego może być uznana za wystarczającą w świetle faktu, że adwokat mówił tylko </w:t>
      </w:r>
      <w:r w:rsidR="00C025FE">
        <w:rPr>
          <w:lang w:val="pl-PL"/>
        </w:rPr>
        <w:t>po polsku</w:t>
      </w:r>
      <w:r w:rsidR="00865892" w:rsidRPr="00501736">
        <w:rPr>
          <w:lang w:val="pl-PL"/>
        </w:rPr>
        <w:t>, a skarżący twierdził, że nie ma znajomości tego języka. Skarżący twierdził, że nie otrzymał możliwość domagania się obecności tłumacza podczas swoich spotkań z prawnikiem. Rząd ut</w:t>
      </w:r>
      <w:r w:rsidR="00F04409">
        <w:rPr>
          <w:lang w:val="pl-PL"/>
        </w:rPr>
        <w:t>rzymywał, że pomoc tłumacza</w:t>
      </w:r>
      <w:r w:rsidR="00865892" w:rsidRPr="00501736">
        <w:rPr>
          <w:lang w:val="pl-PL"/>
        </w:rPr>
        <w:t xml:space="preserve"> otrzymana przez skarżącego b</w:t>
      </w:r>
      <w:r w:rsidR="00F04409">
        <w:rPr>
          <w:lang w:val="pl-PL"/>
        </w:rPr>
        <w:t>yło wystarczająca</w:t>
      </w:r>
      <w:r w:rsidR="00865892" w:rsidRPr="00501736">
        <w:rPr>
          <w:lang w:val="pl-PL"/>
        </w:rPr>
        <w:t>. W związku z tym należy stwierdzić, że skarżący nie przedstawił żadnych dowodów uzasadniających ten zarzut. W szczególności nie ma dowodów, że kiedykolwiek żądał lub odmówiono mu usług tłumacza na jego spotkaniach z prawnikiem</w:t>
      </w:r>
      <w:r w:rsidR="00F92CDC" w:rsidRPr="00501736">
        <w:rPr>
          <w:lang w:val="pl-PL"/>
        </w:rPr>
        <w:t>.</w:t>
      </w:r>
    </w:p>
    <w:p w:rsidR="00746E5E" w:rsidRPr="00501736" w:rsidRDefault="00055B34"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87</w:t>
      </w:r>
      <w:r w:rsidRPr="00501736">
        <w:rPr>
          <w:lang w:val="pl-PL"/>
        </w:rPr>
        <w:fldChar w:fldCharType="end"/>
      </w:r>
      <w:r w:rsidRPr="00501736">
        <w:rPr>
          <w:lang w:val="pl-PL"/>
        </w:rPr>
        <w:t>.  </w:t>
      </w:r>
      <w:r w:rsidR="00865892" w:rsidRPr="00501736">
        <w:rPr>
          <w:lang w:val="pl-PL"/>
        </w:rPr>
        <w:t>Trybunał zauważa, że ​​tłumacz wspierał</w:t>
      </w:r>
      <w:r w:rsidR="00F04409">
        <w:rPr>
          <w:lang w:val="pl-PL"/>
        </w:rPr>
        <w:t xml:space="preserve"> skarżącego w trakcie zapoznawania z</w:t>
      </w:r>
      <w:r w:rsidR="00865892" w:rsidRPr="00501736">
        <w:rPr>
          <w:lang w:val="pl-PL"/>
        </w:rPr>
        <w:t xml:space="preserve"> akt</w:t>
      </w:r>
      <w:r w:rsidR="00F04409">
        <w:rPr>
          <w:lang w:val="pl-PL"/>
        </w:rPr>
        <w:t>ami</w:t>
      </w:r>
      <w:r w:rsidR="00865892" w:rsidRPr="00501736">
        <w:rPr>
          <w:lang w:val="pl-PL"/>
        </w:rPr>
        <w:t xml:space="preserve"> i był obecny na rozprawach (patrz pkt 15 powyżej). Ponadto, jak wynika z uzasadnienia Sądu Apelacyjnego i orzeczeń Sądu Najwyższego, tłumacz był również obecny na</w:t>
      </w:r>
      <w:r w:rsidR="00F04409">
        <w:rPr>
          <w:lang w:val="pl-PL"/>
        </w:rPr>
        <w:t xml:space="preserve"> spotkaniach</w:t>
      </w:r>
      <w:r w:rsidR="00865892" w:rsidRPr="00501736">
        <w:rPr>
          <w:lang w:val="pl-PL"/>
        </w:rPr>
        <w:t xml:space="preserve"> pomiędzy </w:t>
      </w:r>
      <w:r w:rsidR="004A0826" w:rsidRPr="00501736">
        <w:rPr>
          <w:lang w:val="pl-PL"/>
        </w:rPr>
        <w:t>skarżącym</w:t>
      </w:r>
      <w:r w:rsidR="00865892" w:rsidRPr="00501736">
        <w:rPr>
          <w:lang w:val="pl-PL"/>
        </w:rPr>
        <w:t xml:space="preserve"> a adwokatem (patrz pkt 20 i 22 powyżej). Spotkania te odbyły się p</w:t>
      </w:r>
      <w:r w:rsidR="00F04409">
        <w:rPr>
          <w:lang w:val="pl-PL"/>
        </w:rPr>
        <w:t>rzed lub w trakcie przesłuchaniem</w:t>
      </w:r>
      <w:r w:rsidR="00865892" w:rsidRPr="00501736">
        <w:rPr>
          <w:lang w:val="pl-PL"/>
        </w:rPr>
        <w:t xml:space="preserve"> przed sądem i adwokat skarżącego był wspierany przez tłumacza. Na wniosek skarżącego sąd zarządzał </w:t>
      </w:r>
      <w:r w:rsidR="00865892" w:rsidRPr="00501736">
        <w:rPr>
          <w:lang w:val="pl-PL"/>
        </w:rPr>
        <w:lastRenderedPageBreak/>
        <w:t>przerwy w celu umożliwienia mu omówienia sprawy ze swoim prawnikiem z pomocą tłumacza. W zakresie, w jakim można wywnioskować, że skarżący zarzuca, że tłu</w:t>
      </w:r>
      <w:r w:rsidR="00F04409">
        <w:rPr>
          <w:lang w:val="pl-PL"/>
        </w:rPr>
        <w:t>macz nie był obecny, gdy obrońca odwiedzał skarżącego w zakładzie karnym</w:t>
      </w:r>
      <w:r w:rsidR="00865892" w:rsidRPr="00501736">
        <w:rPr>
          <w:lang w:val="pl-PL"/>
        </w:rPr>
        <w:t>, nie ma dowodów na to, że wniosek w tej sprawie został złożony do władz krajowych</w:t>
      </w:r>
      <w:r w:rsidR="00F92CDC" w:rsidRPr="00501736">
        <w:rPr>
          <w:lang w:val="pl-PL"/>
        </w:rPr>
        <w:t>.</w:t>
      </w:r>
    </w:p>
    <w:p w:rsidR="005D64FE" w:rsidRPr="00501736" w:rsidRDefault="0065489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88</w:t>
      </w:r>
      <w:r w:rsidRPr="00501736">
        <w:rPr>
          <w:lang w:val="pl-PL"/>
        </w:rPr>
        <w:fldChar w:fldCharType="end"/>
      </w:r>
      <w:r w:rsidR="00011A63" w:rsidRPr="00501736">
        <w:rPr>
          <w:lang w:val="pl-PL"/>
        </w:rPr>
        <w:t>.  </w:t>
      </w:r>
      <w:r w:rsidR="00865892" w:rsidRPr="00501736">
        <w:rPr>
          <w:lang w:val="pl-PL"/>
        </w:rPr>
        <w:t>Ponadto, jak ustalił Sąd Apelacyjny w Lublinie i Sąd Najwyższy, skarżący mógł przedk</w:t>
      </w:r>
      <w:r w:rsidR="00F04409">
        <w:rPr>
          <w:lang w:val="pl-PL"/>
        </w:rPr>
        <w:t>ładać pisemne wnioski w języku l</w:t>
      </w:r>
      <w:r w:rsidR="00865892" w:rsidRPr="00501736">
        <w:rPr>
          <w:lang w:val="pl-PL"/>
        </w:rPr>
        <w:t>itewskim do sądów, które zost</w:t>
      </w:r>
      <w:r w:rsidR="00F04409">
        <w:rPr>
          <w:lang w:val="pl-PL"/>
        </w:rPr>
        <w:t>ały przetłumaczone i włączone</w:t>
      </w:r>
      <w:r w:rsidR="00865892" w:rsidRPr="00501736">
        <w:rPr>
          <w:lang w:val="pl-PL"/>
        </w:rPr>
        <w:t xml:space="preserve"> do akt sprawy. Podczas proc</w:t>
      </w:r>
      <w:r w:rsidR="00F04409">
        <w:rPr>
          <w:lang w:val="pl-PL"/>
        </w:rPr>
        <w:t>esu był bardzo aktywny i składał wiele</w:t>
      </w:r>
      <w:r w:rsidR="008E46C4">
        <w:rPr>
          <w:lang w:val="pl-PL"/>
        </w:rPr>
        <w:t xml:space="preserve"> wniosków o dopuszczenie</w:t>
      </w:r>
      <w:r w:rsidR="00865892" w:rsidRPr="00501736">
        <w:rPr>
          <w:lang w:val="pl-PL"/>
        </w:rPr>
        <w:t xml:space="preserve"> nowyc</w:t>
      </w:r>
      <w:r w:rsidR="008E46C4">
        <w:rPr>
          <w:lang w:val="pl-PL"/>
        </w:rPr>
        <w:t>h dowodów, które zostały rozważone</w:t>
      </w:r>
      <w:r w:rsidR="00865892" w:rsidRPr="00501736">
        <w:rPr>
          <w:lang w:val="pl-PL"/>
        </w:rPr>
        <w:t xml:space="preserve"> przez sąd pierwszej instancji. W tych okolicznościach Trybunał</w:t>
      </w:r>
      <w:r w:rsidR="008E46C4">
        <w:rPr>
          <w:lang w:val="pl-PL"/>
        </w:rPr>
        <w:t xml:space="preserve"> uważa, że ​​pomoc tłumacza</w:t>
      </w:r>
      <w:r w:rsidR="00865892" w:rsidRPr="00501736">
        <w:rPr>
          <w:lang w:val="pl-PL"/>
        </w:rPr>
        <w:t xml:space="preserve"> przewidziana dla skarżącego była odpowiednia</w:t>
      </w:r>
      <w:r w:rsidR="005D64FE" w:rsidRPr="00501736">
        <w:rPr>
          <w:lang w:val="pl-PL"/>
        </w:rPr>
        <w:t>.</w:t>
      </w:r>
    </w:p>
    <w:p w:rsidR="00746E5E" w:rsidRPr="00501736" w:rsidRDefault="00EF743B"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89</w:t>
      </w:r>
      <w:r w:rsidRPr="00501736">
        <w:rPr>
          <w:lang w:val="pl-PL"/>
        </w:rPr>
        <w:fldChar w:fldCharType="end"/>
      </w:r>
      <w:r w:rsidRPr="00501736">
        <w:rPr>
          <w:lang w:val="pl-PL"/>
        </w:rPr>
        <w:t>.  </w:t>
      </w:r>
      <w:r w:rsidR="00865892" w:rsidRPr="00501736">
        <w:rPr>
          <w:lang w:val="pl-PL"/>
        </w:rPr>
        <w:t>Ostatecznie, Trybunał stwierdza, że skarżący wydaje się skarżyć na r</w:t>
      </w:r>
      <w:r w:rsidR="008E46C4">
        <w:rPr>
          <w:lang w:val="pl-PL"/>
        </w:rPr>
        <w:t>zekomy konflikt z jego obrońcą</w:t>
      </w:r>
      <w:r w:rsidR="00865892" w:rsidRPr="00501736">
        <w:rPr>
          <w:lang w:val="pl-PL"/>
        </w:rPr>
        <w:t xml:space="preserve"> wyznaczonym przez sąd</w:t>
      </w:r>
      <w:r w:rsidR="004A0826">
        <w:rPr>
          <w:lang w:val="pl-PL"/>
        </w:rPr>
        <w:t>,</w:t>
      </w:r>
      <w:r w:rsidR="00865892" w:rsidRPr="00501736">
        <w:rPr>
          <w:lang w:val="pl-PL"/>
        </w:rPr>
        <w:t xml:space="preserve"> panem M. C. W związku z tym należy zauważyć, że nie udało mu się uzasadnić tego zarzutu. Skarżący żądał o</w:t>
      </w:r>
      <w:r w:rsidR="008E46C4">
        <w:rPr>
          <w:lang w:val="pl-PL"/>
        </w:rPr>
        <w:t>dwołania jego obrońcy</w:t>
      </w:r>
      <w:r w:rsidR="00865892" w:rsidRPr="00501736">
        <w:rPr>
          <w:lang w:val="pl-PL"/>
        </w:rPr>
        <w:t xml:space="preserve"> z urzędu w jednym przypadku w 2007 roku, przy czym kopia tej decyzji nie została dostarczona do Trybunału (patrz pkt 16 powyżej). Nie ma dowodów, że powtórzył swój wniosek o odwołanie później. Co więcej, taki zarzut nie został podniesiony w ramach odwołania lub kasacji skarżącego, a sprawa nie została zbadana przez Sąd Apelacyjny i Sąd Najwyższy</w:t>
      </w:r>
      <w:r w:rsidRPr="00501736">
        <w:rPr>
          <w:lang w:val="pl-PL"/>
        </w:rPr>
        <w:t>.</w:t>
      </w:r>
    </w:p>
    <w:p w:rsidR="00EF743B" w:rsidRPr="00501736" w:rsidRDefault="00EF743B"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90</w:t>
      </w:r>
      <w:r w:rsidRPr="00501736">
        <w:rPr>
          <w:lang w:val="pl-PL"/>
        </w:rPr>
        <w:fldChar w:fldCharType="end"/>
      </w:r>
      <w:r w:rsidRPr="00501736">
        <w:rPr>
          <w:lang w:val="pl-PL"/>
        </w:rPr>
        <w:t>.  </w:t>
      </w:r>
      <w:r w:rsidR="00865892" w:rsidRPr="00501736">
        <w:rPr>
          <w:lang w:val="pl-PL"/>
        </w:rPr>
        <w:t>Tryb</w:t>
      </w:r>
      <w:r w:rsidR="008E46C4">
        <w:rPr>
          <w:lang w:val="pl-PL"/>
        </w:rPr>
        <w:t>unał zauważa również, że obrońca</w:t>
      </w:r>
      <w:r w:rsidR="00865892" w:rsidRPr="00501736">
        <w:rPr>
          <w:lang w:val="pl-PL"/>
        </w:rPr>
        <w:t xml:space="preserve"> z urzędu </w:t>
      </w:r>
      <w:r w:rsidR="008E46C4">
        <w:rPr>
          <w:lang w:val="pl-PL"/>
        </w:rPr>
        <w:t>skarżącego przedstawił apelację</w:t>
      </w:r>
      <w:r w:rsidR="00865892" w:rsidRPr="00501736">
        <w:rPr>
          <w:lang w:val="pl-PL"/>
        </w:rPr>
        <w:t xml:space="preserve"> w jego imieniu i nie ma dowodów </w:t>
      </w:r>
      <w:r w:rsidR="00865892" w:rsidRPr="00501736">
        <w:rPr>
          <w:i/>
          <w:lang w:val="pl-PL"/>
        </w:rPr>
        <w:t>prima facie</w:t>
      </w:r>
      <w:r w:rsidR="00865892" w:rsidRPr="00501736">
        <w:rPr>
          <w:lang w:val="pl-PL"/>
        </w:rPr>
        <w:t>, że reprezentacja prawnika była wadliwa lub w jakimkolwiek zakresie niewystarczająca (patrz paragraf 19 powyżej). Należy zauważyć, że skarga kasacyjna została przygotowana w imieniu skarżącego przez innego adwokata wyznaczonego w tym celu przez sąd krajowy</w:t>
      </w:r>
      <w:r w:rsidRPr="00501736">
        <w:rPr>
          <w:lang w:val="pl-PL"/>
        </w:rPr>
        <w:t>.</w:t>
      </w:r>
    </w:p>
    <w:p w:rsidR="00F92CDC" w:rsidRPr="00501736" w:rsidRDefault="001466BF"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91</w:t>
      </w:r>
      <w:r w:rsidRPr="00501736">
        <w:rPr>
          <w:lang w:val="pl-PL"/>
        </w:rPr>
        <w:fldChar w:fldCharType="end"/>
      </w:r>
      <w:r w:rsidRPr="00501736">
        <w:rPr>
          <w:lang w:val="pl-PL"/>
        </w:rPr>
        <w:t>.  </w:t>
      </w:r>
      <w:r w:rsidR="00865892" w:rsidRPr="00501736">
        <w:rPr>
          <w:lang w:val="pl-PL"/>
        </w:rPr>
        <w:t xml:space="preserve">Mając na uwadze powyższe, Sąd stwierdza, że ​​skarżący </w:t>
      </w:r>
      <w:r w:rsidR="004A0826">
        <w:rPr>
          <w:lang w:val="pl-PL"/>
        </w:rPr>
        <w:t>był</w:t>
      </w:r>
      <w:r w:rsidR="00865892" w:rsidRPr="00501736">
        <w:rPr>
          <w:lang w:val="pl-PL"/>
        </w:rPr>
        <w:t xml:space="preserve"> w stanie skutecznie uczestniczyć w jego procesie, i że w związku z tym postępowanie karne, traktowane jako całość, nie może być uznane za nieuczciwe (zob</w:t>
      </w:r>
      <w:r w:rsidR="004A0826">
        <w:rPr>
          <w:lang w:val="pl-PL"/>
        </w:rPr>
        <w:t>.</w:t>
      </w:r>
      <w:r w:rsidR="00865892" w:rsidRPr="00501736">
        <w:rPr>
          <w:lang w:val="pl-PL"/>
        </w:rPr>
        <w:t xml:space="preserve"> </w:t>
      </w:r>
      <w:proofErr w:type="spellStart"/>
      <w:r w:rsidR="00865892" w:rsidRPr="00501736">
        <w:rPr>
          <w:i/>
          <w:lang w:val="pl-PL"/>
        </w:rPr>
        <w:t>Lagerblom</w:t>
      </w:r>
      <w:proofErr w:type="spellEnd"/>
      <w:r w:rsidR="00865892" w:rsidRPr="00501736">
        <w:rPr>
          <w:i/>
          <w:lang w:val="pl-PL"/>
        </w:rPr>
        <w:t xml:space="preserve"> przeciwko Szwecji</w:t>
      </w:r>
      <w:r w:rsidR="00865892" w:rsidRPr="00501736">
        <w:rPr>
          <w:lang w:val="pl-PL"/>
        </w:rPr>
        <w:t>, nr. 26891/95, § 64, 14 stycznia 2003)</w:t>
      </w:r>
      <w:r w:rsidR="00DE4EA9" w:rsidRPr="00501736">
        <w:rPr>
          <w:lang w:val="pl-PL"/>
        </w:rPr>
        <w:t>.</w:t>
      </w:r>
    </w:p>
    <w:p w:rsidR="00DE4EA9" w:rsidRPr="00501736" w:rsidRDefault="00654890"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92</w:t>
      </w:r>
      <w:r w:rsidRPr="00501736">
        <w:rPr>
          <w:lang w:val="pl-PL"/>
        </w:rPr>
        <w:fldChar w:fldCharType="end"/>
      </w:r>
      <w:r w:rsidR="001466BF" w:rsidRPr="00501736">
        <w:rPr>
          <w:lang w:val="pl-PL"/>
        </w:rPr>
        <w:t>.  </w:t>
      </w:r>
      <w:r w:rsidR="00865892" w:rsidRPr="00501736">
        <w:rPr>
          <w:lang w:val="pl-PL"/>
        </w:rPr>
        <w:t>Wynika z tego, że ta część skargi jest oczywiście bezzasadna i musi zostać odrzucona zgodnie z artykułem 35 §§ 3 (a) i 4 Konwencji</w:t>
      </w:r>
      <w:r w:rsidR="00F92CDC" w:rsidRPr="00501736">
        <w:rPr>
          <w:lang w:val="pl-PL"/>
        </w:rPr>
        <w:t>.</w:t>
      </w:r>
    </w:p>
    <w:p w:rsidR="00746E5E" w:rsidRPr="00501736" w:rsidRDefault="00E97FB3" w:rsidP="00746E5E">
      <w:pPr>
        <w:pStyle w:val="ECHRHeading2"/>
        <w:rPr>
          <w:lang w:val="pl-PL"/>
        </w:rPr>
      </w:pPr>
      <w:r w:rsidRPr="00501736">
        <w:rPr>
          <w:lang w:val="pl-PL"/>
        </w:rPr>
        <w:t>B.  </w:t>
      </w:r>
      <w:r w:rsidR="00865892" w:rsidRPr="00501736">
        <w:rPr>
          <w:lang w:val="pl-PL"/>
        </w:rPr>
        <w:t>Artykuły 6 i 13 Konwencji</w:t>
      </w:r>
    </w:p>
    <w:p w:rsidR="00A25BBE" w:rsidRPr="00501736" w:rsidRDefault="00A25BBE"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93</w:t>
      </w:r>
      <w:r w:rsidRPr="00501736">
        <w:rPr>
          <w:lang w:val="pl-PL"/>
        </w:rPr>
        <w:fldChar w:fldCharType="end"/>
      </w:r>
      <w:r w:rsidRPr="00501736">
        <w:rPr>
          <w:lang w:val="pl-PL"/>
        </w:rPr>
        <w:t>.  </w:t>
      </w:r>
      <w:r w:rsidR="00CD6C5D" w:rsidRPr="00501736">
        <w:rPr>
          <w:lang w:val="pl-PL"/>
        </w:rPr>
        <w:t xml:space="preserve">Skarżący zarzucał naruszenie artykułów 6 i 13 Konwencji w związku ze sposobem, w jaki komisja penitencjarna zastosowała i przedłużyła reżim "więźnia </w:t>
      </w:r>
      <w:r w:rsidR="004A0826" w:rsidRPr="00501736">
        <w:rPr>
          <w:lang w:val="pl-PL"/>
        </w:rPr>
        <w:t>niebezpiecznego</w:t>
      </w:r>
      <w:r w:rsidR="00CD6C5D" w:rsidRPr="00501736">
        <w:rPr>
          <w:lang w:val="pl-PL"/>
        </w:rPr>
        <w:t>" w odniesieniu do niego, a także rzekomej nieskuteczności swoich odwołań od decyzji komisji</w:t>
      </w:r>
      <w:r w:rsidRPr="00501736">
        <w:rPr>
          <w:lang w:val="pl-PL"/>
        </w:rPr>
        <w:t>.</w:t>
      </w:r>
    </w:p>
    <w:p w:rsidR="00A25BBE" w:rsidRPr="00501736" w:rsidRDefault="00A25BBE"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94</w:t>
      </w:r>
      <w:r w:rsidRPr="00501736">
        <w:rPr>
          <w:lang w:val="pl-PL"/>
        </w:rPr>
        <w:fldChar w:fldCharType="end"/>
      </w:r>
      <w:r w:rsidRPr="00501736">
        <w:rPr>
          <w:lang w:val="pl-PL"/>
        </w:rPr>
        <w:t>.  </w:t>
      </w:r>
      <w:r w:rsidR="00CD6C5D" w:rsidRPr="00501736">
        <w:rPr>
          <w:lang w:val="pl-PL"/>
        </w:rPr>
        <w:t>Rząd zakwestionował ten argument</w:t>
      </w:r>
      <w:r w:rsidRPr="00501736">
        <w:rPr>
          <w:lang w:val="pl-PL"/>
        </w:rPr>
        <w:t>.</w:t>
      </w:r>
    </w:p>
    <w:p w:rsidR="00A25BBE" w:rsidRPr="00501736" w:rsidRDefault="00A25BBE" w:rsidP="00746E5E">
      <w:pPr>
        <w:pStyle w:val="ECHRPara"/>
        <w:rPr>
          <w:lang w:val="pl-PL"/>
        </w:rPr>
      </w:pPr>
      <w:r w:rsidRPr="00501736">
        <w:rPr>
          <w:lang w:val="pl-PL"/>
        </w:rPr>
        <w:lastRenderedPageBreak/>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95</w:t>
      </w:r>
      <w:r w:rsidRPr="00501736">
        <w:rPr>
          <w:lang w:val="pl-PL"/>
        </w:rPr>
        <w:fldChar w:fldCharType="end"/>
      </w:r>
      <w:r w:rsidRPr="00501736">
        <w:rPr>
          <w:lang w:val="pl-PL"/>
        </w:rPr>
        <w:t>.  </w:t>
      </w:r>
      <w:r w:rsidR="00CD6C5D" w:rsidRPr="00501736">
        <w:rPr>
          <w:lang w:val="pl-PL"/>
        </w:rPr>
        <w:t>Trybunał zauważa, że ​​zarzut ten jest powiązany z jednym badanym powyżej w artykule 3 Konwencji, a zatem również musi zostać uznany za dopuszczalny (patrz pkt 46 powyżej</w:t>
      </w:r>
      <w:r w:rsidRPr="00501736">
        <w:rPr>
          <w:lang w:val="pl-PL"/>
        </w:rPr>
        <w:t>).</w:t>
      </w:r>
    </w:p>
    <w:p w:rsidR="00A25BBE" w:rsidRPr="00501736" w:rsidRDefault="00A25BBE" w:rsidP="00746E5E">
      <w:pPr>
        <w:pStyle w:val="ECHRPara"/>
        <w:keepNext/>
        <w:keepLines/>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96</w:t>
      </w:r>
      <w:r w:rsidRPr="00501736">
        <w:rPr>
          <w:lang w:val="pl-PL"/>
        </w:rPr>
        <w:fldChar w:fldCharType="end"/>
      </w:r>
      <w:r w:rsidRPr="00501736">
        <w:rPr>
          <w:lang w:val="pl-PL"/>
        </w:rPr>
        <w:t>.  </w:t>
      </w:r>
      <w:r w:rsidR="00CD6C5D" w:rsidRPr="00501736">
        <w:rPr>
          <w:lang w:val="pl-PL"/>
        </w:rPr>
        <w:t xml:space="preserve">Trybunał zauważa, że ​​u podstaw skargi skarżącego na podstawie Artykułu 3 Konwencji </w:t>
      </w:r>
      <w:r w:rsidR="00D86D9D">
        <w:rPr>
          <w:lang w:val="pl-PL"/>
        </w:rPr>
        <w:t xml:space="preserve">leży </w:t>
      </w:r>
      <w:r w:rsidR="00CD6C5D" w:rsidRPr="00501736">
        <w:rPr>
          <w:lang w:val="pl-PL"/>
        </w:rPr>
        <w:t>nie tylko długotrwałe nałożenie reżimu "więźnia niebezpiecznego", ale także procedura przeglądu jego statusu (patrz: pkt 64-65 powyżej). Kwestie te zostały zbadane i doprowadziły do ​​stwierdzenia naruszenia tego przepisu (patrz paragraf 66 powyżej). W tych okolicznościach Trybunał uważa, że ​​</w:t>
      </w:r>
      <w:r w:rsidR="00D86D9D">
        <w:rPr>
          <w:lang w:val="pl-PL"/>
        </w:rPr>
        <w:t>nie powstaje</w:t>
      </w:r>
      <w:r w:rsidR="00CD6C5D" w:rsidRPr="00501736">
        <w:rPr>
          <w:lang w:val="pl-PL"/>
        </w:rPr>
        <w:t xml:space="preserve"> żadne odrębne zagadnienie </w:t>
      </w:r>
      <w:r w:rsidR="005D65EE">
        <w:rPr>
          <w:lang w:val="pl-PL"/>
        </w:rPr>
        <w:t xml:space="preserve">na podstawie </w:t>
      </w:r>
      <w:r w:rsidR="00CD6C5D" w:rsidRPr="00501736">
        <w:rPr>
          <w:lang w:val="pl-PL"/>
        </w:rPr>
        <w:t xml:space="preserve">artykułów 6 i 13 Konwencji, a </w:t>
      </w:r>
      <w:r w:rsidR="005D65EE">
        <w:rPr>
          <w:lang w:val="pl-PL"/>
        </w:rPr>
        <w:t xml:space="preserve">zatem nie będzie dokonywał jakichkolwiek ustaleń </w:t>
      </w:r>
      <w:r w:rsidR="00CD6C5D" w:rsidRPr="00501736">
        <w:rPr>
          <w:lang w:val="pl-PL"/>
        </w:rPr>
        <w:t xml:space="preserve">(patrz </w:t>
      </w:r>
      <w:r w:rsidR="00CD6C5D" w:rsidRPr="00501736">
        <w:rPr>
          <w:i/>
          <w:lang w:val="pl-PL"/>
        </w:rPr>
        <w:t>Prus przeciwko Polsce</w:t>
      </w:r>
      <w:r w:rsidR="00CD6C5D" w:rsidRPr="00501736">
        <w:rPr>
          <w:lang w:val="pl-PL"/>
        </w:rPr>
        <w:t>, nr 5136/11, § 43, 12 stycznia 2016</w:t>
      </w:r>
      <w:r w:rsidR="004C6947" w:rsidRPr="00501736">
        <w:rPr>
          <w:lang w:val="pl-PL"/>
        </w:rPr>
        <w:t>)</w:t>
      </w:r>
      <w:r w:rsidRPr="00501736">
        <w:rPr>
          <w:lang w:val="pl-PL"/>
        </w:rPr>
        <w:t>.</w:t>
      </w:r>
    </w:p>
    <w:p w:rsidR="00746E5E" w:rsidRPr="00501736" w:rsidRDefault="00C576BA" w:rsidP="00746E5E">
      <w:pPr>
        <w:pStyle w:val="ECHRHeading2"/>
        <w:rPr>
          <w:lang w:val="pl-PL"/>
        </w:rPr>
      </w:pPr>
      <w:r w:rsidRPr="00501736">
        <w:rPr>
          <w:lang w:val="pl-PL"/>
        </w:rPr>
        <w:t>C.  </w:t>
      </w:r>
      <w:r w:rsidR="00CD6C5D" w:rsidRPr="00501736">
        <w:rPr>
          <w:lang w:val="pl-PL"/>
        </w:rPr>
        <w:t>Artykuł 8 Konwencji</w:t>
      </w:r>
    </w:p>
    <w:p w:rsidR="00FB75CF" w:rsidRPr="00501736" w:rsidRDefault="00FB75CF" w:rsidP="00746E5E">
      <w:pPr>
        <w:pStyle w:val="ECHRHeading3"/>
        <w:rPr>
          <w:lang w:val="pl-PL"/>
        </w:rPr>
      </w:pPr>
      <w:r w:rsidRPr="00501736">
        <w:rPr>
          <w:lang w:val="pl-PL"/>
        </w:rPr>
        <w:t>1.  </w:t>
      </w:r>
      <w:r w:rsidR="00CD6C5D" w:rsidRPr="00501736">
        <w:rPr>
          <w:lang w:val="pl-PL"/>
        </w:rPr>
        <w:t>Stanowiska stron</w:t>
      </w:r>
    </w:p>
    <w:p w:rsidR="007F6707"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97</w:t>
      </w:r>
      <w:r w:rsidRPr="00501736">
        <w:rPr>
          <w:lang w:val="pl-PL"/>
        </w:rPr>
        <w:fldChar w:fldCharType="end"/>
      </w:r>
      <w:r w:rsidR="00014566" w:rsidRPr="00501736">
        <w:rPr>
          <w:lang w:val="pl-PL"/>
        </w:rPr>
        <w:t>.  </w:t>
      </w:r>
      <w:r w:rsidR="00CD6C5D" w:rsidRPr="00501736">
        <w:rPr>
          <w:lang w:val="pl-PL"/>
        </w:rPr>
        <w:t>Skarżący zarzucał naruszenie artykułu 8 Konwencji w odniesieniu do ograniczeń w kontakcie z rodziną. Uznał, że jej wizyty były nadmiernie ograniczone w liczbie i w sposobie, w którym miały one miejsce. W szczególności, zezwolenie na wykonywanie połączeń telefonicznych nie zostało udzielone do 2007 roku</w:t>
      </w:r>
      <w:r w:rsidR="007F6707" w:rsidRPr="00501736">
        <w:rPr>
          <w:lang w:val="pl-PL"/>
        </w:rPr>
        <w:t>.</w:t>
      </w:r>
    </w:p>
    <w:p w:rsidR="00654890" w:rsidRPr="00501736" w:rsidRDefault="00DC4B9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98</w:t>
      </w:r>
      <w:r w:rsidRPr="00501736">
        <w:rPr>
          <w:lang w:val="pl-PL"/>
        </w:rPr>
        <w:fldChar w:fldCharType="end"/>
      </w:r>
      <w:r w:rsidRPr="00501736">
        <w:rPr>
          <w:lang w:val="pl-PL"/>
        </w:rPr>
        <w:t>.  </w:t>
      </w:r>
      <w:r w:rsidR="00CD6C5D" w:rsidRPr="00501736">
        <w:rPr>
          <w:lang w:val="pl-PL"/>
        </w:rPr>
        <w:t xml:space="preserve">Jeśli chodzi o sposób, w jaki zostały zorganizowane wizyty, skarżący twierdził, że został oddzielony od </w:t>
      </w:r>
      <w:r w:rsidR="004A0826">
        <w:rPr>
          <w:lang w:val="pl-PL"/>
        </w:rPr>
        <w:t>odwiedzających kratą</w:t>
      </w:r>
      <w:r w:rsidR="00CD6C5D" w:rsidRPr="00501736">
        <w:rPr>
          <w:lang w:val="pl-PL"/>
        </w:rPr>
        <w:t xml:space="preserve"> lub szklaną przegrodą i musiał używać telefonu do komunikacji. Pierwsz</w:t>
      </w:r>
      <w:r w:rsidR="004A0826">
        <w:rPr>
          <w:lang w:val="pl-PL"/>
        </w:rPr>
        <w:t>a</w:t>
      </w:r>
      <w:r w:rsidR="00CD6C5D" w:rsidRPr="00501736">
        <w:rPr>
          <w:lang w:val="pl-PL"/>
        </w:rPr>
        <w:t xml:space="preserve"> "wizyta otwarta", gdy skarżący był w stanie siedzieć przy tym samym stole co gość, odbyła się w lutym 2007 roku</w:t>
      </w:r>
      <w:r w:rsidR="00654890" w:rsidRPr="00501736">
        <w:rPr>
          <w:lang w:val="pl-PL"/>
        </w:rPr>
        <w:t>.</w:t>
      </w:r>
    </w:p>
    <w:p w:rsidR="00BC38F5" w:rsidRPr="00501736" w:rsidRDefault="00DC4B9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99</w:t>
      </w:r>
      <w:r w:rsidRPr="00501736">
        <w:rPr>
          <w:lang w:val="pl-PL"/>
        </w:rPr>
        <w:fldChar w:fldCharType="end"/>
      </w:r>
      <w:r w:rsidRPr="00501736">
        <w:rPr>
          <w:lang w:val="pl-PL"/>
        </w:rPr>
        <w:t>.  </w:t>
      </w:r>
      <w:r w:rsidR="00CD6C5D" w:rsidRPr="00501736">
        <w:rPr>
          <w:lang w:val="pl-PL"/>
        </w:rPr>
        <w:t>Rząd twierdził, że skarżący nie został pozbawiony prawa do przyjmowania wizyt jego rodziny. Ograniczenia dotyczące liczby i czasu trwania takich wizyt i nadzoru, podczas gdy miały one miejsce, zostały nałożone zgodnie z prawem i były konieczne w przypadku skarżącego. Widział się on ze swoją żoną i córk</w:t>
      </w:r>
      <w:r w:rsidR="004A0826">
        <w:rPr>
          <w:lang w:val="pl-PL"/>
        </w:rPr>
        <w:t>ą</w:t>
      </w:r>
      <w:r w:rsidR="00CD6C5D" w:rsidRPr="00501736">
        <w:rPr>
          <w:lang w:val="pl-PL"/>
        </w:rPr>
        <w:t xml:space="preserve"> regularnie. Co więcej, wszystkie jego wnioski o wizyty przez jego adwokata i przedstawicieli litewskiej ambasady zostały </w:t>
      </w:r>
      <w:r w:rsidR="004A0826">
        <w:rPr>
          <w:lang w:val="pl-PL"/>
        </w:rPr>
        <w:t>uznane</w:t>
      </w:r>
      <w:r w:rsidR="00CD6C5D" w:rsidRPr="00501736">
        <w:rPr>
          <w:lang w:val="pl-PL"/>
        </w:rPr>
        <w:t xml:space="preserve">. Od października 2007 roku skarżący został uprawniony do wykonywania połączeń telefonicznych. Ogólnie rzecz biorąc, ograniczenia, którym został poddany zostały uzasadnione koniecznością zapewnienia prawidłowego toku postępowania karnego przeciwko niemu w świetle zarzutów przeciwko niemu, które obejmowały </w:t>
      </w:r>
      <w:r w:rsidR="00A3211B">
        <w:rPr>
          <w:lang w:val="pl-PL"/>
        </w:rPr>
        <w:t>kierowanie zorganizowaną grupą przestępczą</w:t>
      </w:r>
      <w:r w:rsidR="00BC38F5" w:rsidRPr="00501736">
        <w:rPr>
          <w:lang w:val="pl-PL"/>
        </w:rPr>
        <w:t>.</w:t>
      </w:r>
    </w:p>
    <w:p w:rsidR="00093BCD" w:rsidRPr="00501736" w:rsidRDefault="00C576BA" w:rsidP="00746E5E">
      <w:pPr>
        <w:pStyle w:val="ECHRHeading3"/>
        <w:rPr>
          <w:lang w:val="pl-PL"/>
        </w:rPr>
      </w:pPr>
      <w:r w:rsidRPr="00501736">
        <w:rPr>
          <w:lang w:val="pl-PL"/>
        </w:rPr>
        <w:t>2.  </w:t>
      </w:r>
      <w:r w:rsidR="00CD6C5D" w:rsidRPr="00501736">
        <w:rPr>
          <w:lang w:val="pl-PL"/>
        </w:rPr>
        <w:t>Ocena Trybunału</w:t>
      </w:r>
    </w:p>
    <w:p w:rsidR="00093BCD" w:rsidRPr="00501736" w:rsidRDefault="00093BCD"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100</w:t>
      </w:r>
      <w:r w:rsidRPr="00501736">
        <w:rPr>
          <w:lang w:val="pl-PL"/>
        </w:rPr>
        <w:fldChar w:fldCharType="end"/>
      </w:r>
      <w:r w:rsidRPr="00501736">
        <w:rPr>
          <w:lang w:val="pl-PL"/>
        </w:rPr>
        <w:t>.  </w:t>
      </w:r>
      <w:r w:rsidR="008F75A1" w:rsidRPr="00501736">
        <w:rPr>
          <w:lang w:val="pl-PL"/>
        </w:rPr>
        <w:t xml:space="preserve">Trybunał przypomina, że ​​tymczasowe aresztowanie, jak każdy inny środek pozbawiający osobę wolności, pociąga za sobą nieodłączne ograniczenia dotyczące życia prywatnego i rodzinnego tej osoby. Jednakże,  </w:t>
      </w:r>
      <w:r w:rsidR="008F75A1" w:rsidRPr="00501736">
        <w:rPr>
          <w:lang w:val="pl-PL"/>
        </w:rPr>
        <w:lastRenderedPageBreak/>
        <w:t>istotnym elementem prawa aresztowanego</w:t>
      </w:r>
      <w:r w:rsidR="00A87AB3">
        <w:rPr>
          <w:lang w:val="pl-PL"/>
        </w:rPr>
        <w:t xml:space="preserve"> jest</w:t>
      </w:r>
      <w:r w:rsidR="008F75A1" w:rsidRPr="00501736">
        <w:rPr>
          <w:lang w:val="pl-PL"/>
        </w:rPr>
        <w:t xml:space="preserve"> poszanowanie życia rodzinnego, którego </w:t>
      </w:r>
      <w:r w:rsidR="004A0826">
        <w:rPr>
          <w:lang w:val="pl-PL"/>
        </w:rPr>
        <w:t>pod</w:t>
      </w:r>
      <w:r w:rsidR="008F75A1" w:rsidRPr="00501736">
        <w:rPr>
          <w:lang w:val="pl-PL"/>
        </w:rPr>
        <w:t xml:space="preserve">trzymywanie władze umożliwiały mu - lub, jeśli zajdzie taka potrzeba, pomagają mu w </w:t>
      </w:r>
      <w:r w:rsidR="004A0826">
        <w:rPr>
          <w:lang w:val="pl-PL"/>
        </w:rPr>
        <w:t>pod</w:t>
      </w:r>
      <w:r w:rsidR="008F75A1" w:rsidRPr="00501736">
        <w:rPr>
          <w:lang w:val="pl-PL"/>
        </w:rPr>
        <w:t xml:space="preserve">trzymaniu. - kontakt z jego bliską rodziną (patrz </w:t>
      </w:r>
      <w:proofErr w:type="spellStart"/>
      <w:r w:rsidR="008F75A1" w:rsidRPr="00501736">
        <w:rPr>
          <w:i/>
          <w:lang w:val="pl-PL"/>
        </w:rPr>
        <w:t>Messina</w:t>
      </w:r>
      <w:proofErr w:type="spellEnd"/>
      <w:r w:rsidR="008F75A1" w:rsidRPr="00501736">
        <w:rPr>
          <w:i/>
          <w:lang w:val="pl-PL"/>
        </w:rPr>
        <w:t xml:space="preserve"> przeciwko Włochom</w:t>
      </w:r>
      <w:r w:rsidR="008F75A1" w:rsidRPr="00501736">
        <w:rPr>
          <w:lang w:val="pl-PL"/>
        </w:rPr>
        <w:t xml:space="preserve"> (nr 2. ), no. 25498/94, § 61, ECHR 2000 X</w:t>
      </w:r>
      <w:r w:rsidRPr="00501736">
        <w:rPr>
          <w:lang w:val="pl-PL"/>
        </w:rPr>
        <w:t>.</w:t>
      </w:r>
      <w:r w:rsidR="008F75A1" w:rsidRPr="00501736">
        <w:rPr>
          <w:lang w:val="pl-PL"/>
        </w:rPr>
        <w:t xml:space="preserve"> </w:t>
      </w:r>
    </w:p>
    <w:p w:rsidR="003068C2" w:rsidRPr="00501736" w:rsidRDefault="00093BCD"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101</w:t>
      </w:r>
      <w:r w:rsidRPr="00501736">
        <w:rPr>
          <w:lang w:val="pl-PL"/>
        </w:rPr>
        <w:fldChar w:fldCharType="end"/>
      </w:r>
      <w:r w:rsidRPr="00501736">
        <w:rPr>
          <w:lang w:val="pl-PL"/>
        </w:rPr>
        <w:t>.  </w:t>
      </w:r>
      <w:r w:rsidR="006F40B6" w:rsidRPr="00501736">
        <w:rPr>
          <w:lang w:val="pl-PL"/>
        </w:rPr>
        <w:t xml:space="preserve">Wracając do okoliczności niniejszej sprawy, Trybunał po pierwsze zauważa, że ​​skarżący nie przedstawił kopii wszelkich decyzji odmawiających mu wizyt rodzinnych. Trybunał nie jest więc w stanie ustalić, w jaki sposób władze wykonywały swoje uprawnienia dyskrecjonalne do ograniczenia prawa do odwiedzin (patrz </w:t>
      </w:r>
      <w:proofErr w:type="spellStart"/>
      <w:r w:rsidR="006F40B6" w:rsidRPr="00501736">
        <w:rPr>
          <w:i/>
          <w:lang w:val="pl-PL"/>
        </w:rPr>
        <w:t>Wegera</w:t>
      </w:r>
      <w:proofErr w:type="spellEnd"/>
      <w:r w:rsidR="006F40B6" w:rsidRPr="00501736">
        <w:rPr>
          <w:i/>
          <w:lang w:val="pl-PL"/>
        </w:rPr>
        <w:t xml:space="preserve"> przeciwko Polsce</w:t>
      </w:r>
      <w:r w:rsidR="006F40B6" w:rsidRPr="00501736">
        <w:rPr>
          <w:lang w:val="pl-PL"/>
        </w:rPr>
        <w:t>, nr. 141/07, §§ 74-75, 19 stycznia 2010). Nie wiadomo też, ile wniosków o wizyty składanych przez rodzinę skarżącemu zostało odrzucone przez władze, jeśli były jakieś</w:t>
      </w:r>
      <w:r w:rsidR="00814868" w:rsidRPr="00501736">
        <w:rPr>
          <w:lang w:val="pl-PL"/>
        </w:rPr>
        <w:t>.</w:t>
      </w:r>
    </w:p>
    <w:p w:rsidR="00746E5E" w:rsidRPr="00501736" w:rsidRDefault="000C547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102</w:t>
      </w:r>
      <w:r w:rsidRPr="00501736">
        <w:rPr>
          <w:lang w:val="pl-PL"/>
        </w:rPr>
        <w:fldChar w:fldCharType="end"/>
      </w:r>
      <w:r w:rsidRPr="00501736">
        <w:rPr>
          <w:lang w:val="pl-PL"/>
        </w:rPr>
        <w:t>.  </w:t>
      </w:r>
      <w:r w:rsidR="006F40B6" w:rsidRPr="00501736">
        <w:rPr>
          <w:lang w:val="pl-PL"/>
        </w:rPr>
        <w:t>J</w:t>
      </w:r>
      <w:r w:rsidR="00A87AB3">
        <w:rPr>
          <w:lang w:val="pl-PL"/>
        </w:rPr>
        <w:t>ak wynika ze stanowisk stron</w:t>
      </w:r>
      <w:r w:rsidR="006F40B6" w:rsidRPr="00501736">
        <w:rPr>
          <w:lang w:val="pl-PL"/>
        </w:rPr>
        <w:t xml:space="preserve"> skarżący nie mi</w:t>
      </w:r>
      <w:r w:rsidR="00A87AB3">
        <w:rPr>
          <w:lang w:val="pl-PL"/>
        </w:rPr>
        <w:t>ał zakazu wizyt w zakładzie karnym</w:t>
      </w:r>
      <w:r w:rsidR="006F40B6" w:rsidRPr="00501736">
        <w:rPr>
          <w:lang w:val="pl-PL"/>
        </w:rPr>
        <w:t>. Jeśli chodzi o wizyty rodziny skarżącego, czyli jego konkubiny i córk</w:t>
      </w:r>
      <w:r w:rsidR="004A0826">
        <w:rPr>
          <w:lang w:val="pl-PL"/>
        </w:rPr>
        <w:t>i</w:t>
      </w:r>
      <w:r w:rsidR="006F40B6" w:rsidRPr="00501736">
        <w:rPr>
          <w:lang w:val="pl-PL"/>
        </w:rPr>
        <w:t xml:space="preserve">, rząd przedstawił wyciąg z rejestru zakładu karnego zawierający listę wizyt, które miały miejsce (patrz pkt 30 powyżej). Na podstawie tego dokumentu wynika, że ​​skarżący miał wizyty </w:t>
      </w:r>
      <w:r w:rsidR="004A0826">
        <w:rPr>
          <w:lang w:val="pl-PL"/>
        </w:rPr>
        <w:t>regularnie, a każda</w:t>
      </w:r>
      <w:r w:rsidR="006F40B6" w:rsidRPr="00501736">
        <w:rPr>
          <w:lang w:val="pl-PL"/>
        </w:rPr>
        <w:t xml:space="preserve"> z nich trwała od pół godziny do dwóch godzin. Skarżący nie kwestionuje tego dowodu ani twierdzenia Rządu, że wszystkie prośby o wizyty składane przez przedstawicieli dyplomatycznych lub jego adwokata zostały </w:t>
      </w:r>
      <w:r w:rsidR="004A0826">
        <w:rPr>
          <w:lang w:val="pl-PL"/>
        </w:rPr>
        <w:t>u</w:t>
      </w:r>
      <w:r w:rsidR="00A87AB3">
        <w:rPr>
          <w:lang w:val="pl-PL"/>
        </w:rPr>
        <w:t>względnione</w:t>
      </w:r>
      <w:r w:rsidR="006F40B6" w:rsidRPr="00501736">
        <w:rPr>
          <w:lang w:val="pl-PL"/>
        </w:rPr>
        <w:t xml:space="preserve"> (patrz pkt 99 powyżej</w:t>
      </w:r>
      <w:r w:rsidR="00F36371" w:rsidRPr="00501736">
        <w:rPr>
          <w:lang w:val="pl-PL"/>
        </w:rPr>
        <w:t>)</w:t>
      </w:r>
      <w:r w:rsidR="003068C2" w:rsidRPr="00501736">
        <w:rPr>
          <w:lang w:val="pl-PL"/>
        </w:rPr>
        <w:t>.</w:t>
      </w:r>
    </w:p>
    <w:p w:rsidR="003068C2" w:rsidRPr="00501736" w:rsidRDefault="000C547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103</w:t>
      </w:r>
      <w:r w:rsidRPr="00501736">
        <w:rPr>
          <w:lang w:val="pl-PL"/>
        </w:rPr>
        <w:fldChar w:fldCharType="end"/>
      </w:r>
      <w:r w:rsidRPr="00501736">
        <w:rPr>
          <w:lang w:val="pl-PL"/>
        </w:rPr>
        <w:t>.  </w:t>
      </w:r>
      <w:r w:rsidR="005B0B05" w:rsidRPr="00501736">
        <w:rPr>
          <w:lang w:val="pl-PL"/>
        </w:rPr>
        <w:t>Jeśli chodzi o sposób, w jaki nadzorowane były wizyty, skarżący wskazał jedynie, że pierwsza wizyta, która pozwoliła na psychiczny kontakt z gościem bez przegrody odbyła się w roku 2007. Nie poinformował on Trybunału, ilu z tych "otwar</w:t>
      </w:r>
      <w:r w:rsidR="00A87AB3">
        <w:rPr>
          <w:lang w:val="pl-PL"/>
        </w:rPr>
        <w:t>tych wizyt "miało miejsce potem</w:t>
      </w:r>
      <w:r w:rsidR="005B0B05" w:rsidRPr="00501736">
        <w:rPr>
          <w:lang w:val="pl-PL"/>
        </w:rPr>
        <w:t xml:space="preserve"> </w:t>
      </w:r>
      <w:r w:rsidR="004A0826">
        <w:rPr>
          <w:lang w:val="pl-PL"/>
        </w:rPr>
        <w:t xml:space="preserve">oraz </w:t>
      </w:r>
      <w:r w:rsidR="005B0B05" w:rsidRPr="00501736">
        <w:rPr>
          <w:lang w:val="pl-PL"/>
        </w:rPr>
        <w:t>co było uzasadnieniem władz dla dalszych ograniczeń, o ile jaki</w:t>
      </w:r>
      <w:r w:rsidR="004A0826">
        <w:rPr>
          <w:lang w:val="pl-PL"/>
        </w:rPr>
        <w:t>e</w:t>
      </w:r>
      <w:r w:rsidR="005B0B05" w:rsidRPr="00501736">
        <w:rPr>
          <w:lang w:val="pl-PL"/>
        </w:rPr>
        <w:t>ś wystąpiły</w:t>
      </w:r>
      <w:r w:rsidR="003068C2" w:rsidRPr="00501736">
        <w:rPr>
          <w:lang w:val="pl-PL"/>
        </w:rPr>
        <w:t>.</w:t>
      </w:r>
    </w:p>
    <w:p w:rsidR="00746E5E" w:rsidRPr="00501736" w:rsidRDefault="00F36371"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104</w:t>
      </w:r>
      <w:r w:rsidRPr="00501736">
        <w:rPr>
          <w:lang w:val="pl-PL"/>
        </w:rPr>
        <w:fldChar w:fldCharType="end"/>
      </w:r>
      <w:r w:rsidRPr="00501736">
        <w:rPr>
          <w:lang w:val="pl-PL"/>
        </w:rPr>
        <w:t>.  </w:t>
      </w:r>
      <w:r w:rsidR="005B0B05" w:rsidRPr="00501736">
        <w:rPr>
          <w:lang w:val="pl-PL"/>
        </w:rPr>
        <w:t xml:space="preserve">Trybunał zauważa również, że nie zostało zakwestionowane przez strony, iż od 2007 roku skarżący został upoważniony do </w:t>
      </w:r>
      <w:r w:rsidR="004A0826">
        <w:rPr>
          <w:lang w:val="pl-PL"/>
        </w:rPr>
        <w:t>wy</w:t>
      </w:r>
      <w:r w:rsidR="005B0B05" w:rsidRPr="00501736">
        <w:rPr>
          <w:lang w:val="pl-PL"/>
        </w:rPr>
        <w:t>konywania regularnych połączeń telefonicznych do swojej rodziny (patrz paragrafy 28 - 29 powyżej</w:t>
      </w:r>
      <w:r w:rsidRPr="00501736">
        <w:rPr>
          <w:lang w:val="pl-PL"/>
        </w:rPr>
        <w:t>).</w:t>
      </w:r>
    </w:p>
    <w:p w:rsidR="00093BCD" w:rsidRPr="00501736" w:rsidRDefault="000C547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105</w:t>
      </w:r>
      <w:r w:rsidRPr="00501736">
        <w:rPr>
          <w:lang w:val="pl-PL"/>
        </w:rPr>
        <w:fldChar w:fldCharType="end"/>
      </w:r>
      <w:r w:rsidRPr="00501736">
        <w:rPr>
          <w:lang w:val="pl-PL"/>
        </w:rPr>
        <w:t>.  </w:t>
      </w:r>
      <w:r w:rsidR="005B0B05" w:rsidRPr="00501736">
        <w:rPr>
          <w:lang w:val="pl-PL"/>
        </w:rPr>
        <w:t>Na podstawie powyższego Trybunał nie uważa za ustalone, iżby restrykcje nałożone na liczbę wizyt rodzinnych i nadzór tych wizyt b</w:t>
      </w:r>
      <w:r w:rsidR="000B044E">
        <w:rPr>
          <w:lang w:val="pl-PL"/>
        </w:rPr>
        <w:t>yły wystarczająco nadmierne i aby</w:t>
      </w:r>
      <w:r w:rsidR="005B0B05" w:rsidRPr="00501736">
        <w:rPr>
          <w:lang w:val="pl-PL"/>
        </w:rPr>
        <w:t xml:space="preserve"> stanowiły naruszenie artykułu 8 Konwencji (porównując i zestawiając ze sprawą </w:t>
      </w:r>
      <w:r w:rsidR="005B0B05" w:rsidRPr="00501736">
        <w:rPr>
          <w:i/>
          <w:lang w:val="pl-PL"/>
        </w:rPr>
        <w:t>Piechowicz</w:t>
      </w:r>
      <w:r w:rsidR="005B0B05" w:rsidRPr="00501736">
        <w:rPr>
          <w:lang w:val="pl-PL"/>
        </w:rPr>
        <w:t>, cytowany powyżej §§ 219-222). Wynika z tego, że ta część skargi jest oczywiście bez</w:t>
      </w:r>
      <w:r w:rsidR="000B044E">
        <w:rPr>
          <w:lang w:val="pl-PL"/>
        </w:rPr>
        <w:t>zasadna i musi zostać odrzucona</w:t>
      </w:r>
      <w:r w:rsidR="005B0B05" w:rsidRPr="00501736">
        <w:rPr>
          <w:lang w:val="pl-PL"/>
        </w:rPr>
        <w:t xml:space="preserve"> zgodnie z artykułem 35 §§ 3 (a) i 4 Konwencji</w:t>
      </w:r>
      <w:r w:rsidRPr="00501736">
        <w:rPr>
          <w:lang w:val="pl-PL"/>
        </w:rPr>
        <w:t>.</w:t>
      </w:r>
    </w:p>
    <w:p w:rsidR="00746E5E" w:rsidRPr="00501736" w:rsidRDefault="000C5475"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106</w:t>
      </w:r>
      <w:r w:rsidRPr="00501736">
        <w:rPr>
          <w:lang w:val="pl-PL"/>
        </w:rPr>
        <w:fldChar w:fldCharType="end"/>
      </w:r>
      <w:r w:rsidRPr="00501736">
        <w:rPr>
          <w:lang w:val="pl-PL"/>
        </w:rPr>
        <w:t>.  </w:t>
      </w:r>
      <w:r w:rsidR="00C85946">
        <w:rPr>
          <w:lang w:val="pl-PL"/>
        </w:rPr>
        <w:t>Wreszcie</w:t>
      </w:r>
      <w:r w:rsidR="00F05F03">
        <w:rPr>
          <w:lang w:val="pl-PL"/>
        </w:rPr>
        <w:t xml:space="preserve"> zarzuty odnośnie tego, że</w:t>
      </w:r>
      <w:r w:rsidR="0028260D" w:rsidRPr="00501736">
        <w:rPr>
          <w:lang w:val="pl-PL"/>
        </w:rPr>
        <w:t xml:space="preserve"> ​​przed 2007 roku nie miał możliwości wykonywania połączeń telefonicznych oraz że wszystkie wizyty odbyły się w sposób uniemożliwiający mu bezpoś</w:t>
      </w:r>
      <w:r w:rsidR="00C85946">
        <w:rPr>
          <w:lang w:val="pl-PL"/>
        </w:rPr>
        <w:t>redni kontakt z gościem</w:t>
      </w:r>
      <w:r w:rsidR="00F05F03">
        <w:rPr>
          <w:lang w:val="pl-PL"/>
        </w:rPr>
        <w:t>, zostały podniesione po upływie terminu i</w:t>
      </w:r>
      <w:r w:rsidR="0028260D" w:rsidRPr="00501736">
        <w:rPr>
          <w:lang w:val="pl-PL"/>
        </w:rPr>
        <w:t xml:space="preserve"> muszą zostać odrzucone zgodnie z artykułem 35 §§ 1 i 4 Konwencji</w:t>
      </w:r>
      <w:r w:rsidR="003068C2" w:rsidRPr="00501736">
        <w:rPr>
          <w:lang w:val="pl-PL"/>
        </w:rPr>
        <w:t>.</w:t>
      </w:r>
    </w:p>
    <w:p w:rsidR="00014566" w:rsidRPr="00501736" w:rsidRDefault="00E97FB3" w:rsidP="00746E5E">
      <w:pPr>
        <w:pStyle w:val="ECHRHeading1"/>
        <w:rPr>
          <w:lang w:val="pl-PL"/>
        </w:rPr>
      </w:pPr>
      <w:r w:rsidRPr="00501736">
        <w:rPr>
          <w:lang w:val="pl-PL"/>
        </w:rPr>
        <w:lastRenderedPageBreak/>
        <w:t>IV</w:t>
      </w:r>
      <w:r w:rsidR="00014566" w:rsidRPr="00501736">
        <w:rPr>
          <w:lang w:val="pl-PL"/>
        </w:rPr>
        <w:t>.  </w:t>
      </w:r>
      <w:r w:rsidR="0028260D" w:rsidRPr="00501736">
        <w:rPr>
          <w:lang w:val="pl-PL"/>
        </w:rPr>
        <w:t>ZASTOSOWANIE ARTYKUŁU 41 KONWENCJI</w:t>
      </w:r>
    </w:p>
    <w:p w:rsidR="00014566" w:rsidRPr="00501736" w:rsidRDefault="001B64EC" w:rsidP="00746E5E">
      <w:pPr>
        <w:pStyle w:val="ECHRPara"/>
        <w:keepNext/>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107</w:t>
      </w:r>
      <w:r w:rsidRPr="00501736">
        <w:rPr>
          <w:lang w:val="pl-PL"/>
        </w:rPr>
        <w:fldChar w:fldCharType="end"/>
      </w:r>
      <w:r w:rsidR="00014566" w:rsidRPr="00501736">
        <w:rPr>
          <w:lang w:val="pl-PL"/>
        </w:rPr>
        <w:t>.  </w:t>
      </w:r>
      <w:r w:rsidR="0028260D" w:rsidRPr="00501736">
        <w:rPr>
          <w:lang w:val="pl-PL"/>
        </w:rPr>
        <w:t>Artykuł 41 Konwencji stanowi</w:t>
      </w:r>
      <w:r w:rsidR="00014566" w:rsidRPr="00501736">
        <w:rPr>
          <w:lang w:val="pl-PL"/>
        </w:rPr>
        <w:t>:</w:t>
      </w:r>
    </w:p>
    <w:p w:rsidR="00014566" w:rsidRPr="00501736" w:rsidRDefault="00014566" w:rsidP="00746E5E">
      <w:pPr>
        <w:pStyle w:val="ECHRParaQuote"/>
        <w:keepNext/>
        <w:keepLines/>
        <w:rPr>
          <w:lang w:val="pl-PL"/>
        </w:rPr>
      </w:pPr>
      <w:r w:rsidRPr="00501736">
        <w:rPr>
          <w:lang w:val="pl-PL"/>
        </w:rPr>
        <w:t>“</w:t>
      </w:r>
      <w:r w:rsidR="0028260D" w:rsidRPr="00501736">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poszkodowanego</w:t>
      </w:r>
      <w:r w:rsidRPr="00501736">
        <w:rPr>
          <w:lang w:val="pl-PL"/>
        </w:rPr>
        <w:t>.”</w:t>
      </w:r>
    </w:p>
    <w:p w:rsidR="00014566" w:rsidRPr="00501736" w:rsidRDefault="00014566" w:rsidP="00746E5E">
      <w:pPr>
        <w:pStyle w:val="ECHRHeading2"/>
        <w:keepLines w:val="0"/>
        <w:outlineLvl w:val="0"/>
        <w:rPr>
          <w:lang w:val="pl-PL"/>
        </w:rPr>
      </w:pPr>
      <w:r w:rsidRPr="00501736">
        <w:rPr>
          <w:lang w:val="pl-PL"/>
        </w:rPr>
        <w:t>A.  </w:t>
      </w:r>
      <w:r w:rsidR="0028260D" w:rsidRPr="00501736">
        <w:rPr>
          <w:lang w:val="pl-PL"/>
        </w:rPr>
        <w:t>Szkoda</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108</w:t>
      </w:r>
      <w:r w:rsidRPr="00501736">
        <w:rPr>
          <w:lang w:val="pl-PL"/>
        </w:rPr>
        <w:fldChar w:fldCharType="end"/>
      </w:r>
      <w:r w:rsidR="00014566" w:rsidRPr="00501736">
        <w:rPr>
          <w:lang w:val="pl-PL"/>
        </w:rPr>
        <w:t>.  </w:t>
      </w:r>
      <w:r w:rsidR="0028260D" w:rsidRPr="00501736">
        <w:rPr>
          <w:lang w:val="pl-PL"/>
        </w:rPr>
        <w:t>Skarżący domagał się</w:t>
      </w:r>
      <w:r w:rsidR="00014566" w:rsidRPr="00501736">
        <w:rPr>
          <w:lang w:val="pl-PL"/>
        </w:rPr>
        <w:t xml:space="preserve"> </w:t>
      </w:r>
      <w:r w:rsidR="0028260D" w:rsidRPr="00501736">
        <w:rPr>
          <w:lang w:val="pl-PL"/>
        </w:rPr>
        <w:t>135.000 euro (EUR</w:t>
      </w:r>
      <w:r w:rsidR="00F05F03">
        <w:rPr>
          <w:lang w:val="pl-PL"/>
        </w:rPr>
        <w:t>) z tytułu szkody niemajątkowej</w:t>
      </w:r>
      <w:r w:rsidR="00014566" w:rsidRPr="00501736">
        <w:rPr>
          <w:lang w:val="pl-PL"/>
        </w:rPr>
        <w:t>.</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109</w:t>
      </w:r>
      <w:r w:rsidRPr="00501736">
        <w:rPr>
          <w:lang w:val="pl-PL"/>
        </w:rPr>
        <w:fldChar w:fldCharType="end"/>
      </w:r>
      <w:r w:rsidR="00014566" w:rsidRPr="00501736">
        <w:rPr>
          <w:lang w:val="pl-PL"/>
        </w:rPr>
        <w:t>.  </w:t>
      </w:r>
      <w:r w:rsidR="0028260D" w:rsidRPr="00501736">
        <w:rPr>
          <w:lang w:val="pl-PL"/>
        </w:rPr>
        <w:t>Rząd zakwestionował roszczenia jako nadmierne</w:t>
      </w:r>
      <w:r w:rsidR="0017086B" w:rsidRPr="00501736">
        <w:rPr>
          <w:lang w:val="pl-PL"/>
        </w:rPr>
        <w:t>.</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110</w:t>
      </w:r>
      <w:r w:rsidRPr="00501736">
        <w:rPr>
          <w:lang w:val="pl-PL"/>
        </w:rPr>
        <w:fldChar w:fldCharType="end"/>
      </w:r>
      <w:r w:rsidR="0017086B" w:rsidRPr="00501736">
        <w:rPr>
          <w:lang w:val="pl-PL"/>
        </w:rPr>
        <w:t>.  </w:t>
      </w:r>
      <w:r w:rsidR="000E361C">
        <w:rPr>
          <w:lang w:val="pl-PL"/>
        </w:rPr>
        <w:t>Trybunał przyznaje</w:t>
      </w:r>
      <w:r w:rsidR="0028260D" w:rsidRPr="00501736">
        <w:rPr>
          <w:lang w:val="pl-PL"/>
        </w:rPr>
        <w:t xml:space="preserve"> skarżącemu 20.000 eur</w:t>
      </w:r>
      <w:r w:rsidR="00F05F03">
        <w:rPr>
          <w:lang w:val="pl-PL"/>
        </w:rPr>
        <w:t xml:space="preserve">o z tytułu </w:t>
      </w:r>
      <w:r w:rsidR="000E361C">
        <w:rPr>
          <w:lang w:val="pl-PL"/>
        </w:rPr>
        <w:t>szkody niemajątkowej</w:t>
      </w:r>
      <w:r w:rsidR="00014566" w:rsidRPr="00501736">
        <w:rPr>
          <w:lang w:val="pl-PL"/>
        </w:rPr>
        <w:t>.</w:t>
      </w:r>
    </w:p>
    <w:p w:rsidR="00014566" w:rsidRPr="00501736" w:rsidRDefault="00014566" w:rsidP="00746E5E">
      <w:pPr>
        <w:pStyle w:val="ECHRHeading2"/>
        <w:outlineLvl w:val="0"/>
        <w:rPr>
          <w:lang w:val="pl-PL"/>
        </w:rPr>
      </w:pPr>
      <w:r w:rsidRPr="00501736">
        <w:rPr>
          <w:lang w:val="pl-PL"/>
        </w:rPr>
        <w:t>B.  </w:t>
      </w:r>
      <w:r w:rsidR="0028260D" w:rsidRPr="00501736">
        <w:rPr>
          <w:lang w:val="pl-PL"/>
        </w:rPr>
        <w:t>Koszty i wydatki</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111</w:t>
      </w:r>
      <w:r w:rsidRPr="00501736">
        <w:rPr>
          <w:lang w:val="pl-PL"/>
        </w:rPr>
        <w:fldChar w:fldCharType="end"/>
      </w:r>
      <w:r w:rsidR="00014566" w:rsidRPr="00501736">
        <w:rPr>
          <w:lang w:val="pl-PL"/>
        </w:rPr>
        <w:t>.  </w:t>
      </w:r>
      <w:r w:rsidR="0028260D" w:rsidRPr="00501736">
        <w:rPr>
          <w:lang w:val="pl-PL"/>
        </w:rPr>
        <w:t>Skarżący domagał się również 579 EUR z tytułu kosztów i wydatków poniesionych przed Trybunałem</w:t>
      </w:r>
      <w:r w:rsidR="00014566" w:rsidRPr="00501736">
        <w:rPr>
          <w:lang w:val="pl-PL"/>
        </w:rPr>
        <w:t>.</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112</w:t>
      </w:r>
      <w:r w:rsidRPr="00501736">
        <w:rPr>
          <w:lang w:val="pl-PL"/>
        </w:rPr>
        <w:fldChar w:fldCharType="end"/>
      </w:r>
      <w:r w:rsidR="00014566" w:rsidRPr="00501736">
        <w:rPr>
          <w:lang w:val="pl-PL"/>
        </w:rPr>
        <w:t>.  </w:t>
      </w:r>
      <w:r w:rsidR="0028260D" w:rsidRPr="00501736">
        <w:rPr>
          <w:lang w:val="pl-PL"/>
        </w:rPr>
        <w:t>Rząd zakwestionował roszczenie</w:t>
      </w:r>
      <w:r w:rsidR="0017086B" w:rsidRPr="00501736">
        <w:rPr>
          <w:lang w:val="pl-PL"/>
        </w:rPr>
        <w:t>.</w:t>
      </w:r>
    </w:p>
    <w:p w:rsidR="0017086B"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113</w:t>
      </w:r>
      <w:r w:rsidRPr="00501736">
        <w:rPr>
          <w:lang w:val="pl-PL"/>
        </w:rPr>
        <w:fldChar w:fldCharType="end"/>
      </w:r>
      <w:r w:rsidR="00014566" w:rsidRPr="00501736">
        <w:rPr>
          <w:lang w:val="pl-PL"/>
        </w:rPr>
        <w:t>.  </w:t>
      </w:r>
      <w:r w:rsidR="0028260D" w:rsidRPr="00501736">
        <w:rPr>
          <w:lang w:val="pl-PL"/>
        </w:rPr>
        <w:t>Zgodnie z orzecznictwem Trybunału, skarżący jest uprawniony do zwrotu kosztów i wydatków jedynie w zakresie, w jakim zostało wykazane, że zostały one faktycznie i koniecznie poniesione oraz były rozsądne co do wysokości. W niniejszej sprawie, w nawiązaniu do dokumentów będących w posiadaniu Trybunału oraz powyższych kryteriów, Trybunał uzn</w:t>
      </w:r>
      <w:r w:rsidR="000E361C">
        <w:rPr>
          <w:lang w:val="pl-PL"/>
        </w:rPr>
        <w:t>aje za uzasadnione przyznać całą</w:t>
      </w:r>
      <w:r w:rsidR="0028260D" w:rsidRPr="00501736">
        <w:rPr>
          <w:lang w:val="pl-PL"/>
        </w:rPr>
        <w:t xml:space="preserve"> dochodzoną kwotę</w:t>
      </w:r>
      <w:r w:rsidR="0017086B" w:rsidRPr="00501736">
        <w:rPr>
          <w:lang w:val="pl-PL"/>
        </w:rPr>
        <w:t>.</w:t>
      </w:r>
    </w:p>
    <w:p w:rsidR="00014566" w:rsidRPr="00501736" w:rsidRDefault="00014566" w:rsidP="00746E5E">
      <w:pPr>
        <w:pStyle w:val="ECHRHeading2"/>
        <w:outlineLvl w:val="0"/>
        <w:rPr>
          <w:lang w:val="pl-PL"/>
        </w:rPr>
      </w:pPr>
      <w:r w:rsidRPr="00501736">
        <w:rPr>
          <w:lang w:val="pl-PL"/>
        </w:rPr>
        <w:t>C.  </w:t>
      </w:r>
      <w:r w:rsidR="0028260D" w:rsidRPr="00501736">
        <w:rPr>
          <w:lang w:val="pl-PL"/>
        </w:rPr>
        <w:t>Odsetki za zwłokę</w:t>
      </w:r>
    </w:p>
    <w:p w:rsidR="00014566" w:rsidRPr="00501736" w:rsidRDefault="001B64EC" w:rsidP="00746E5E">
      <w:pPr>
        <w:pStyle w:val="ECHRPara"/>
        <w:rPr>
          <w:lang w:val="pl-PL"/>
        </w:rPr>
      </w:pPr>
      <w:r w:rsidRPr="00501736">
        <w:rPr>
          <w:lang w:val="pl-PL"/>
        </w:rPr>
        <w:fldChar w:fldCharType="begin"/>
      </w:r>
      <w:r w:rsidRPr="00501736">
        <w:rPr>
          <w:lang w:val="pl-PL"/>
        </w:rPr>
        <w:instrText xml:space="preserve"> SEQ level0 \*arabic </w:instrText>
      </w:r>
      <w:r w:rsidRPr="00501736">
        <w:rPr>
          <w:lang w:val="pl-PL"/>
        </w:rPr>
        <w:fldChar w:fldCharType="separate"/>
      </w:r>
      <w:r w:rsidR="00746E5E" w:rsidRPr="00501736">
        <w:rPr>
          <w:noProof/>
          <w:lang w:val="pl-PL"/>
        </w:rPr>
        <w:t>114</w:t>
      </w:r>
      <w:r w:rsidRPr="00501736">
        <w:rPr>
          <w:lang w:val="pl-PL"/>
        </w:rPr>
        <w:fldChar w:fldCharType="end"/>
      </w:r>
      <w:r w:rsidR="00014566" w:rsidRPr="00501736">
        <w:rPr>
          <w:lang w:val="pl-PL"/>
        </w:rPr>
        <w:t>.  </w:t>
      </w:r>
      <w:r w:rsidR="0028260D" w:rsidRPr="00501736">
        <w:rPr>
          <w:rFonts w:ascii="Times New Roman" w:eastAsia="Times New Roman" w:hAnsi="Times New Roman" w:cs="Times New Roman"/>
          <w:szCs w:val="20"/>
          <w:lang w:val="pl-PL" w:eastAsia="fr-FR"/>
        </w:rPr>
        <w:t>Trybunał uznaje za właściwe, aby odsetki za zwłokę były oparte na marginalnej stopie procentowej Europejskiego Banku Centralnego, powiększonej o trzy punkty procentowe</w:t>
      </w:r>
      <w:r w:rsidR="00014566" w:rsidRPr="00501736">
        <w:rPr>
          <w:lang w:val="pl-PL"/>
        </w:rPr>
        <w:t>.</w:t>
      </w:r>
    </w:p>
    <w:p w:rsidR="00014566" w:rsidRPr="00501736" w:rsidRDefault="0028260D" w:rsidP="00746E5E">
      <w:pPr>
        <w:pStyle w:val="ECHRTitle1"/>
        <w:rPr>
          <w:lang w:val="pl-PL"/>
        </w:rPr>
      </w:pPr>
      <w:r w:rsidRPr="00501736">
        <w:rPr>
          <w:lang w:val="pl-PL"/>
        </w:rPr>
        <w:lastRenderedPageBreak/>
        <w:t>Z TYCH PRZYCZYN TRYBUNAŁ, JEDNOMYŚLNIE</w:t>
      </w:r>
      <w:r w:rsidR="001B64EC" w:rsidRPr="00501736">
        <w:rPr>
          <w:lang w:val="pl-PL"/>
        </w:rPr>
        <w:t>,</w:t>
      </w:r>
    </w:p>
    <w:p w:rsidR="00014566" w:rsidRPr="00501736" w:rsidRDefault="001B64EC" w:rsidP="00746E5E">
      <w:pPr>
        <w:pStyle w:val="JuList"/>
        <w:keepNext/>
        <w:keepLines/>
        <w:rPr>
          <w:lang w:val="pl-PL"/>
        </w:rPr>
      </w:pPr>
      <w:r w:rsidRPr="00501736">
        <w:rPr>
          <w:lang w:val="pl-PL"/>
        </w:rPr>
        <w:t>1.  </w:t>
      </w:r>
      <w:r w:rsidR="00746DBA" w:rsidRPr="00501736">
        <w:rPr>
          <w:i/>
          <w:lang w:val="pl-PL"/>
        </w:rPr>
        <w:t>Uznaje</w:t>
      </w:r>
      <w:r w:rsidR="00746DBA" w:rsidRPr="00501736">
        <w:rPr>
          <w:lang w:val="pl-PL"/>
        </w:rPr>
        <w:t xml:space="preserve"> skargę dotycz</w:t>
      </w:r>
      <w:r w:rsidR="000E361C">
        <w:rPr>
          <w:lang w:val="pl-PL"/>
        </w:rPr>
        <w:t>ącą długotrwałego nałożenia reżi</w:t>
      </w:r>
      <w:r w:rsidR="00746DBA" w:rsidRPr="00501736">
        <w:rPr>
          <w:lang w:val="pl-PL"/>
        </w:rPr>
        <w:t xml:space="preserve">mu "więźnia niebezpiecznego", umieszczenia skarżącego w klatce podczas </w:t>
      </w:r>
      <w:r w:rsidR="009968DC">
        <w:rPr>
          <w:lang w:val="pl-PL"/>
        </w:rPr>
        <w:t>rozpraw</w:t>
      </w:r>
      <w:r w:rsidR="009968DC" w:rsidRPr="00501736">
        <w:rPr>
          <w:lang w:val="pl-PL"/>
        </w:rPr>
        <w:t xml:space="preserve"> </w:t>
      </w:r>
      <w:r w:rsidR="000E361C">
        <w:rPr>
          <w:lang w:val="pl-PL"/>
        </w:rPr>
        <w:t>i braku sprawiedliwego procesu oraz</w:t>
      </w:r>
      <w:r w:rsidR="00746DBA" w:rsidRPr="00501736">
        <w:rPr>
          <w:lang w:val="pl-PL"/>
        </w:rPr>
        <w:t xml:space="preserve"> skutecznego środka prawnego w postępowaniu przed komisją penitencjarną, za dopuszczalną</w:t>
      </w:r>
      <w:r w:rsidR="0024303A">
        <w:rPr>
          <w:lang w:val="pl-PL"/>
        </w:rPr>
        <w:t>,</w:t>
      </w:r>
      <w:r w:rsidR="00746DBA" w:rsidRPr="00501736">
        <w:rPr>
          <w:lang w:val="pl-PL"/>
        </w:rPr>
        <w:t xml:space="preserve"> </w:t>
      </w:r>
      <w:r w:rsidR="0024303A">
        <w:rPr>
          <w:lang w:val="pl-PL"/>
        </w:rPr>
        <w:t>natomiast</w:t>
      </w:r>
      <w:r w:rsidR="008B13AC">
        <w:rPr>
          <w:lang w:val="pl-PL"/>
        </w:rPr>
        <w:t xml:space="preserve"> pozostałą</w:t>
      </w:r>
      <w:r w:rsidR="00746DBA" w:rsidRPr="00501736">
        <w:rPr>
          <w:lang w:val="pl-PL"/>
        </w:rPr>
        <w:t xml:space="preserve"> część skargi za niedopuszczalną</w:t>
      </w:r>
      <w:r w:rsidRPr="00501736">
        <w:rPr>
          <w:lang w:val="pl-PL"/>
        </w:rPr>
        <w:t>;</w:t>
      </w:r>
    </w:p>
    <w:p w:rsidR="00AD0448" w:rsidRPr="00501736" w:rsidRDefault="00AD0448" w:rsidP="00746E5E">
      <w:pPr>
        <w:pStyle w:val="JuList"/>
        <w:keepNext/>
        <w:keepLines/>
        <w:rPr>
          <w:lang w:val="pl-PL"/>
        </w:rPr>
      </w:pPr>
    </w:p>
    <w:p w:rsidR="00014566" w:rsidRPr="00501736" w:rsidRDefault="00DD61DE" w:rsidP="00746E5E">
      <w:pPr>
        <w:pStyle w:val="JuList"/>
        <w:keepNext/>
        <w:keepLines/>
        <w:rPr>
          <w:lang w:val="pl-PL"/>
        </w:rPr>
      </w:pPr>
      <w:r w:rsidRPr="00501736">
        <w:rPr>
          <w:lang w:val="pl-PL"/>
        </w:rPr>
        <w:t>2</w:t>
      </w:r>
      <w:r w:rsidR="00014566" w:rsidRPr="00501736">
        <w:rPr>
          <w:lang w:val="pl-PL"/>
        </w:rPr>
        <w:t>.  </w:t>
      </w:r>
      <w:r w:rsidR="00746DBA" w:rsidRPr="00501736">
        <w:rPr>
          <w:i/>
          <w:lang w:val="pl-PL"/>
        </w:rPr>
        <w:t>Stwierdza</w:t>
      </w:r>
      <w:r w:rsidR="00746DBA" w:rsidRPr="00501736">
        <w:rPr>
          <w:lang w:val="pl-PL"/>
        </w:rPr>
        <w:t>, że doszło do naruszenia artykułu 3 Konwencji z powodu długotrwałego nałożenia reżimu "więźnia niebezpiecznego" na skarżącego</w:t>
      </w:r>
      <w:r w:rsidR="00014566" w:rsidRPr="00501736">
        <w:rPr>
          <w:lang w:val="pl-PL"/>
        </w:rPr>
        <w:t>;</w:t>
      </w:r>
    </w:p>
    <w:p w:rsidR="00014566" w:rsidRPr="00501736" w:rsidRDefault="00014566" w:rsidP="00746E5E">
      <w:pPr>
        <w:pStyle w:val="JuList"/>
        <w:rPr>
          <w:lang w:val="pl-PL"/>
        </w:rPr>
      </w:pPr>
    </w:p>
    <w:p w:rsidR="00014566" w:rsidRPr="00501736" w:rsidRDefault="00DD61DE" w:rsidP="00746E5E">
      <w:pPr>
        <w:pStyle w:val="JuList"/>
        <w:rPr>
          <w:lang w:val="pl-PL"/>
        </w:rPr>
      </w:pPr>
      <w:r w:rsidRPr="00501736">
        <w:rPr>
          <w:lang w:val="pl-PL"/>
        </w:rPr>
        <w:t>3</w:t>
      </w:r>
      <w:r w:rsidR="00014566" w:rsidRPr="00501736">
        <w:rPr>
          <w:lang w:val="pl-PL"/>
        </w:rPr>
        <w:t>.  </w:t>
      </w:r>
      <w:r w:rsidR="00746DBA" w:rsidRPr="00501736">
        <w:rPr>
          <w:i/>
          <w:lang w:val="pl-PL"/>
        </w:rPr>
        <w:t>Stwierdza</w:t>
      </w:r>
      <w:r w:rsidR="00746DBA" w:rsidRPr="00501736">
        <w:rPr>
          <w:lang w:val="pl-PL"/>
        </w:rPr>
        <w:t>, że doszło do naruszenia artykułu 3 Konwencji z powodu umieszczenia skarżącego w metalowej klatce podczas postępowania sądowego</w:t>
      </w:r>
      <w:r w:rsidR="00014566" w:rsidRPr="00501736">
        <w:rPr>
          <w:lang w:val="pl-PL"/>
        </w:rPr>
        <w:t>;</w:t>
      </w:r>
    </w:p>
    <w:p w:rsidR="00014566" w:rsidRPr="00501736" w:rsidRDefault="00014566" w:rsidP="00746E5E">
      <w:pPr>
        <w:pStyle w:val="JuList"/>
        <w:rPr>
          <w:lang w:val="pl-PL"/>
        </w:rPr>
      </w:pPr>
    </w:p>
    <w:p w:rsidR="00DD61DE" w:rsidRPr="00501736" w:rsidRDefault="00DD61DE" w:rsidP="00746E5E">
      <w:pPr>
        <w:pStyle w:val="JuList"/>
        <w:rPr>
          <w:lang w:val="pl-PL"/>
        </w:rPr>
      </w:pPr>
      <w:r w:rsidRPr="00501736">
        <w:rPr>
          <w:lang w:val="pl-PL"/>
        </w:rPr>
        <w:t>4.  </w:t>
      </w:r>
      <w:r w:rsidR="00746DBA" w:rsidRPr="00501736">
        <w:rPr>
          <w:i/>
          <w:lang w:val="pl-PL"/>
        </w:rPr>
        <w:t>Stwierdza</w:t>
      </w:r>
      <w:r w:rsidR="00746DBA" w:rsidRPr="00501736">
        <w:rPr>
          <w:lang w:val="pl-PL"/>
        </w:rPr>
        <w:t>, że nie ma potrzeby badania skargi na podstawie artykułów 6 i 13 Konwencji</w:t>
      </w:r>
      <w:r w:rsidRPr="00501736">
        <w:rPr>
          <w:lang w:val="pl-PL"/>
        </w:rPr>
        <w:t>;</w:t>
      </w:r>
    </w:p>
    <w:p w:rsidR="00014566" w:rsidRPr="00501736" w:rsidRDefault="00014566" w:rsidP="00746E5E">
      <w:pPr>
        <w:pStyle w:val="JuList"/>
        <w:ind w:left="0" w:firstLine="0"/>
        <w:rPr>
          <w:lang w:val="pl-PL"/>
        </w:rPr>
      </w:pPr>
    </w:p>
    <w:p w:rsidR="00746E5E" w:rsidRPr="00501736" w:rsidRDefault="00DD61DE" w:rsidP="00746E5E">
      <w:pPr>
        <w:pStyle w:val="JuList"/>
        <w:rPr>
          <w:lang w:val="pl-PL"/>
        </w:rPr>
      </w:pPr>
      <w:r w:rsidRPr="00501736">
        <w:rPr>
          <w:lang w:val="pl-PL"/>
        </w:rPr>
        <w:t>5</w:t>
      </w:r>
      <w:r w:rsidR="00014566" w:rsidRPr="00501736">
        <w:rPr>
          <w:lang w:val="pl-PL"/>
        </w:rPr>
        <w:t>.  </w:t>
      </w:r>
      <w:r w:rsidR="00746DBA" w:rsidRPr="00501736">
        <w:rPr>
          <w:i/>
          <w:lang w:val="pl-PL"/>
        </w:rPr>
        <w:t>Stwierdza</w:t>
      </w:r>
    </w:p>
    <w:p w:rsidR="00014566" w:rsidRPr="00501736" w:rsidRDefault="00014566" w:rsidP="00746E5E">
      <w:pPr>
        <w:pStyle w:val="JuLista"/>
        <w:rPr>
          <w:lang w:val="pl-PL"/>
        </w:rPr>
      </w:pPr>
      <w:r w:rsidRPr="00501736">
        <w:rPr>
          <w:lang w:val="pl-PL"/>
        </w:rPr>
        <w:t>(a)  </w:t>
      </w:r>
      <w:r w:rsidR="00746DBA" w:rsidRPr="00501736">
        <w:rPr>
          <w:lang w:val="pl-PL"/>
        </w:rPr>
        <w:t>że pozwane Państwo ma wypłacić skarżącemu, w ciągu trzech miesięcy od dnia, w którym wyrok stanie się prawomocny zgodnie z artykułem 44 § 2 Konwencji, następujące kwoty, które będą przeliczone na walutę pozwanego państwa po kursie obowiązującym w dniu rozliczenia</w:t>
      </w:r>
      <w:r w:rsidRPr="00501736">
        <w:rPr>
          <w:lang w:val="pl-PL"/>
        </w:rPr>
        <w:t>:</w:t>
      </w:r>
    </w:p>
    <w:p w:rsidR="00014566" w:rsidRPr="00501736" w:rsidRDefault="0017086B" w:rsidP="00746E5E">
      <w:pPr>
        <w:pStyle w:val="JuListi"/>
        <w:rPr>
          <w:lang w:val="pl-PL"/>
        </w:rPr>
      </w:pPr>
      <w:r w:rsidRPr="00501736">
        <w:rPr>
          <w:lang w:val="pl-PL"/>
        </w:rPr>
        <w:t>(</w:t>
      </w:r>
      <w:r w:rsidR="00014566" w:rsidRPr="00501736">
        <w:rPr>
          <w:lang w:val="pl-PL"/>
        </w:rPr>
        <w:t>i)  </w:t>
      </w:r>
      <w:r w:rsidR="00746DBA" w:rsidRPr="00501736">
        <w:rPr>
          <w:lang w:val="pl-PL"/>
        </w:rPr>
        <w:t xml:space="preserve">20.000 </w:t>
      </w:r>
      <w:r w:rsidR="00014566" w:rsidRPr="00501736">
        <w:rPr>
          <w:lang w:val="pl-PL"/>
        </w:rPr>
        <w:t>EUR</w:t>
      </w:r>
      <w:r w:rsidR="00746DBA" w:rsidRPr="00501736">
        <w:rPr>
          <w:lang w:val="pl-PL"/>
        </w:rPr>
        <w:t>O</w:t>
      </w:r>
      <w:r w:rsidR="00014566" w:rsidRPr="00501736">
        <w:rPr>
          <w:lang w:val="pl-PL"/>
        </w:rPr>
        <w:t xml:space="preserve"> (</w:t>
      </w:r>
      <w:r w:rsidR="008B13AC">
        <w:rPr>
          <w:lang w:val="pl-PL"/>
        </w:rPr>
        <w:t>dwadzieścia tysię</w:t>
      </w:r>
      <w:r w:rsidR="00746DBA" w:rsidRPr="00501736">
        <w:rPr>
          <w:lang w:val="pl-PL"/>
        </w:rPr>
        <w:t>cy euro</w:t>
      </w:r>
      <w:r w:rsidR="00014566" w:rsidRPr="00501736">
        <w:rPr>
          <w:lang w:val="pl-PL"/>
        </w:rPr>
        <w:t xml:space="preserve">), </w:t>
      </w:r>
      <w:r w:rsidR="00746DBA" w:rsidRPr="00501736">
        <w:rPr>
          <w:lang w:val="pl-PL"/>
        </w:rPr>
        <w:t>powiększone</w:t>
      </w:r>
      <w:r w:rsidR="00746DBA" w:rsidRPr="00501736">
        <w:rPr>
          <w:rFonts w:ascii="Times New Roman" w:eastAsia="Times New Roman" w:hAnsi="Times New Roman" w:cs="Times New Roman"/>
          <w:lang w:val="pl-PL"/>
        </w:rPr>
        <w:t xml:space="preserve"> o wszelkie podatki, które mogą zostać nałożone na tę kwotę</w:t>
      </w:r>
      <w:r w:rsidR="00746DBA" w:rsidRPr="00501736">
        <w:rPr>
          <w:lang w:val="pl-PL"/>
        </w:rPr>
        <w:t>, z tytułu doznanej szkody niemajątkowej</w:t>
      </w:r>
      <w:r w:rsidR="00014566" w:rsidRPr="00501736">
        <w:rPr>
          <w:lang w:val="pl-PL"/>
        </w:rPr>
        <w:t>;</w:t>
      </w:r>
    </w:p>
    <w:p w:rsidR="00014566" w:rsidRPr="00501736" w:rsidRDefault="0017086B" w:rsidP="00746E5E">
      <w:pPr>
        <w:pStyle w:val="JuListi"/>
        <w:rPr>
          <w:lang w:val="pl-PL"/>
        </w:rPr>
      </w:pPr>
      <w:r w:rsidRPr="00501736">
        <w:rPr>
          <w:lang w:val="pl-PL"/>
        </w:rPr>
        <w:t>(i</w:t>
      </w:r>
      <w:r w:rsidR="00014566" w:rsidRPr="00501736">
        <w:rPr>
          <w:lang w:val="pl-PL"/>
        </w:rPr>
        <w:t>i)  </w:t>
      </w:r>
      <w:r w:rsidR="00746DBA" w:rsidRPr="00501736">
        <w:rPr>
          <w:lang w:val="pl-PL"/>
        </w:rPr>
        <w:t xml:space="preserve">579 </w:t>
      </w:r>
      <w:r w:rsidR="00014566" w:rsidRPr="00501736">
        <w:rPr>
          <w:lang w:val="pl-PL"/>
        </w:rPr>
        <w:t>EUR</w:t>
      </w:r>
      <w:r w:rsidR="00746DBA" w:rsidRPr="00501736">
        <w:rPr>
          <w:lang w:val="pl-PL"/>
        </w:rPr>
        <w:t>O</w:t>
      </w:r>
      <w:r w:rsidR="00014566" w:rsidRPr="00501736">
        <w:rPr>
          <w:lang w:val="pl-PL"/>
        </w:rPr>
        <w:t xml:space="preserve"> (</w:t>
      </w:r>
      <w:r w:rsidR="00746DBA" w:rsidRPr="00501736">
        <w:rPr>
          <w:lang w:val="pl-PL"/>
        </w:rPr>
        <w:t>(pięćset siedemdziesiąt dziewięć euro</w:t>
      </w:r>
      <w:r w:rsidR="00014566" w:rsidRPr="00501736">
        <w:rPr>
          <w:lang w:val="pl-PL"/>
        </w:rPr>
        <w:t xml:space="preserve">), </w:t>
      </w:r>
      <w:r w:rsidR="00746DBA" w:rsidRPr="00501736">
        <w:rPr>
          <w:lang w:val="pl-PL"/>
        </w:rPr>
        <w:t>powiększone</w:t>
      </w:r>
      <w:r w:rsidR="00746DBA" w:rsidRPr="00501736">
        <w:rPr>
          <w:rFonts w:ascii="Times New Roman" w:eastAsia="Times New Roman" w:hAnsi="Times New Roman" w:cs="Times New Roman"/>
          <w:lang w:val="pl-PL"/>
        </w:rPr>
        <w:t xml:space="preserve"> o wszelkie podatki, które mogą zostać</w:t>
      </w:r>
      <w:r w:rsidR="00746DBA" w:rsidRPr="00501736">
        <w:rPr>
          <w:lang w:val="pl-PL"/>
        </w:rPr>
        <w:t xml:space="preserve"> </w:t>
      </w:r>
      <w:r w:rsidR="00746DBA" w:rsidRPr="00501736">
        <w:rPr>
          <w:rFonts w:ascii="Times New Roman" w:eastAsia="Times New Roman" w:hAnsi="Times New Roman" w:cs="Times New Roman"/>
          <w:lang w:val="pl-PL"/>
        </w:rPr>
        <w:t xml:space="preserve">nałożone na skarżącego </w:t>
      </w:r>
      <w:r w:rsidR="00746DBA" w:rsidRPr="00501736">
        <w:rPr>
          <w:lang w:val="pl-PL"/>
        </w:rPr>
        <w:t>z tytułu kosztów i wydatków</w:t>
      </w:r>
    </w:p>
    <w:p w:rsidR="00014566" w:rsidRPr="00501736" w:rsidRDefault="00014566" w:rsidP="00746E5E">
      <w:pPr>
        <w:pStyle w:val="JuLista"/>
        <w:rPr>
          <w:lang w:val="pl-PL"/>
        </w:rPr>
      </w:pPr>
      <w:r w:rsidRPr="00501736">
        <w:rPr>
          <w:lang w:val="pl-PL"/>
        </w:rPr>
        <w:t>(b)  </w:t>
      </w:r>
      <w:r w:rsidR="00746DBA" w:rsidRPr="00501736">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sidRPr="00501736">
        <w:rPr>
          <w:lang w:val="pl-PL"/>
        </w:rPr>
        <w:t>;</w:t>
      </w:r>
    </w:p>
    <w:p w:rsidR="00014566" w:rsidRPr="00501736" w:rsidRDefault="00014566" w:rsidP="00746E5E">
      <w:pPr>
        <w:pStyle w:val="JuList"/>
        <w:rPr>
          <w:lang w:val="pl-PL"/>
        </w:rPr>
      </w:pPr>
    </w:p>
    <w:p w:rsidR="00014566" w:rsidRPr="00501736" w:rsidRDefault="00DD61DE" w:rsidP="00746E5E">
      <w:pPr>
        <w:pStyle w:val="JuList"/>
        <w:rPr>
          <w:lang w:val="pl-PL"/>
        </w:rPr>
      </w:pPr>
      <w:r w:rsidRPr="00501736">
        <w:rPr>
          <w:lang w:val="pl-PL"/>
        </w:rPr>
        <w:t>6</w:t>
      </w:r>
      <w:r w:rsidR="00014566" w:rsidRPr="00501736">
        <w:rPr>
          <w:lang w:val="pl-PL"/>
        </w:rPr>
        <w:t>.  </w:t>
      </w:r>
      <w:r w:rsidR="0028260D" w:rsidRPr="00501736">
        <w:rPr>
          <w:i/>
          <w:lang w:val="pl-PL"/>
        </w:rPr>
        <w:t>Oddala</w:t>
      </w:r>
      <w:r w:rsidR="0028260D" w:rsidRPr="00501736">
        <w:rPr>
          <w:lang w:val="pl-PL"/>
        </w:rPr>
        <w:t xml:space="preserve"> pozostałą część roszczenia skarżącego o</w:t>
      </w:r>
      <w:r w:rsidR="008B13AC">
        <w:rPr>
          <w:lang w:val="pl-PL"/>
        </w:rPr>
        <w:t xml:space="preserve"> słuszne</w:t>
      </w:r>
      <w:r w:rsidR="0028260D" w:rsidRPr="00501736">
        <w:rPr>
          <w:lang w:val="pl-PL"/>
        </w:rPr>
        <w:t xml:space="preserve"> zadośćuczynienie</w:t>
      </w:r>
      <w:r w:rsidR="00014566" w:rsidRPr="00501736">
        <w:rPr>
          <w:lang w:val="pl-PL"/>
        </w:rPr>
        <w:t>.</w:t>
      </w:r>
    </w:p>
    <w:p w:rsidR="00014566" w:rsidRPr="00501736" w:rsidRDefault="0028260D" w:rsidP="00746E5E">
      <w:pPr>
        <w:pStyle w:val="JuParaLast"/>
        <w:rPr>
          <w:lang w:val="pl-PL"/>
        </w:rPr>
      </w:pPr>
      <w:r w:rsidRPr="00501736">
        <w:rPr>
          <w:lang w:val="pl-PL"/>
        </w:rPr>
        <w:lastRenderedPageBreak/>
        <w:t>Sporządzono w języku angielskim, oraz obwieszczono pisemnie w dniu</w:t>
      </w:r>
      <w:r w:rsidR="00014566" w:rsidRPr="00501736">
        <w:rPr>
          <w:lang w:val="pl-PL"/>
        </w:rPr>
        <w:t xml:space="preserve"> </w:t>
      </w:r>
      <w:r w:rsidR="00DD7B83" w:rsidRPr="00501736">
        <w:rPr>
          <w:lang w:val="pl-PL"/>
        </w:rPr>
        <w:t xml:space="preserve">14 </w:t>
      </w:r>
      <w:r w:rsidRPr="00501736">
        <w:rPr>
          <w:lang w:val="pl-PL"/>
        </w:rPr>
        <w:t>czerwca</w:t>
      </w:r>
      <w:r w:rsidR="00DD7B83" w:rsidRPr="00501736">
        <w:rPr>
          <w:lang w:val="pl-PL"/>
        </w:rPr>
        <w:t xml:space="preserve"> 2016</w:t>
      </w:r>
      <w:r w:rsidR="00014566" w:rsidRPr="00501736">
        <w:rPr>
          <w:lang w:val="pl-PL"/>
        </w:rPr>
        <w:t xml:space="preserve">, </w:t>
      </w:r>
      <w:r w:rsidRPr="00501736">
        <w:rPr>
          <w:lang w:val="pl-PL"/>
        </w:rPr>
        <w:t>zgodnie z Regułą 77 §§ 2 i 3 Regulaminu Trybunału</w:t>
      </w:r>
      <w:r w:rsidR="00014566" w:rsidRPr="00501736">
        <w:rPr>
          <w:lang w:val="pl-PL"/>
        </w:rPr>
        <w:t>.</w:t>
      </w:r>
    </w:p>
    <w:p w:rsidR="00DD7B83" w:rsidRPr="00501736" w:rsidRDefault="00DD7B83" w:rsidP="00746E5E">
      <w:pPr>
        <w:tabs>
          <w:tab w:val="center" w:pos="1134"/>
          <w:tab w:val="center" w:pos="7088"/>
        </w:tabs>
        <w:spacing w:before="600"/>
        <w:ind w:right="272"/>
        <w:jc w:val="left"/>
        <w:rPr>
          <w:lang w:val="pl-PL"/>
        </w:rPr>
      </w:pPr>
      <w:r w:rsidRPr="00501736">
        <w:rPr>
          <w:lang w:val="pl-PL"/>
        </w:rPr>
        <w:tab/>
      </w:r>
      <w:proofErr w:type="spellStart"/>
      <w:r w:rsidRPr="00501736">
        <w:rPr>
          <w:lang w:val="pl-PL"/>
        </w:rPr>
        <w:t>Fatoş</w:t>
      </w:r>
      <w:proofErr w:type="spellEnd"/>
      <w:r w:rsidRPr="00501736">
        <w:rPr>
          <w:lang w:val="pl-PL"/>
        </w:rPr>
        <w:t xml:space="preserve"> </w:t>
      </w:r>
      <w:proofErr w:type="spellStart"/>
      <w:r w:rsidRPr="00501736">
        <w:rPr>
          <w:lang w:val="pl-PL"/>
        </w:rPr>
        <w:t>Aracı</w:t>
      </w:r>
      <w:proofErr w:type="spellEnd"/>
      <w:r w:rsidRPr="00501736">
        <w:rPr>
          <w:lang w:val="pl-PL"/>
        </w:rPr>
        <w:tab/>
      </w:r>
      <w:proofErr w:type="spellStart"/>
      <w:r w:rsidRPr="00501736">
        <w:rPr>
          <w:lang w:val="pl-PL"/>
        </w:rPr>
        <w:t>András</w:t>
      </w:r>
      <w:proofErr w:type="spellEnd"/>
      <w:r w:rsidRPr="00501736">
        <w:rPr>
          <w:lang w:val="pl-PL"/>
        </w:rPr>
        <w:t xml:space="preserve"> </w:t>
      </w:r>
      <w:proofErr w:type="spellStart"/>
      <w:r w:rsidRPr="00501736">
        <w:rPr>
          <w:lang w:val="pl-PL"/>
        </w:rPr>
        <w:t>Sajó</w:t>
      </w:r>
      <w:proofErr w:type="spellEnd"/>
      <w:r w:rsidRPr="00501736">
        <w:rPr>
          <w:lang w:val="pl-PL"/>
        </w:rPr>
        <w:br/>
      </w:r>
      <w:r w:rsidRPr="00501736">
        <w:rPr>
          <w:lang w:val="pl-PL"/>
        </w:rPr>
        <w:tab/>
      </w:r>
      <w:r w:rsidR="0028260D" w:rsidRPr="00501736">
        <w:rPr>
          <w:lang w:val="pl-PL"/>
        </w:rPr>
        <w:t>Zastępca Kanclerza</w:t>
      </w:r>
      <w:r w:rsidRPr="00501736">
        <w:rPr>
          <w:lang w:val="pl-PL"/>
        </w:rPr>
        <w:tab/>
      </w:r>
      <w:r w:rsidR="0028260D" w:rsidRPr="00501736">
        <w:rPr>
          <w:lang w:val="pl-PL"/>
        </w:rPr>
        <w:t>Przewodniczący</w:t>
      </w:r>
    </w:p>
    <w:p w:rsidR="00746E5E" w:rsidRPr="00501736" w:rsidRDefault="00746E5E" w:rsidP="00746E5E">
      <w:pPr>
        <w:tabs>
          <w:tab w:val="center" w:pos="1134"/>
          <w:tab w:val="center" w:pos="7088"/>
        </w:tabs>
        <w:spacing w:before="120"/>
        <w:ind w:right="272"/>
        <w:jc w:val="left"/>
        <w:rPr>
          <w:lang w:val="pl-PL"/>
        </w:rPr>
      </w:pPr>
    </w:p>
    <w:sectPr w:rsidR="00746E5E" w:rsidRPr="00501736" w:rsidSect="00672D3D">
      <w:headerReference w:type="even" r:id="rId12"/>
      <w:headerReference w:type="default" r:id="rId13"/>
      <w:headerReference w:type="first" r:id="rId14"/>
      <w:footnotePr>
        <w:numRestart w:val="eachPage"/>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012" w:rsidRDefault="00DF7012" w:rsidP="00014566">
      <w:r>
        <w:separator/>
      </w:r>
    </w:p>
  </w:endnote>
  <w:endnote w:type="continuationSeparator" w:id="0">
    <w:p w:rsidR="00DF7012" w:rsidRDefault="00DF7012"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012" w:rsidRDefault="00DF7012" w:rsidP="00014566">
      <w:r>
        <w:separator/>
      </w:r>
    </w:p>
  </w:footnote>
  <w:footnote w:type="continuationSeparator" w:id="0">
    <w:p w:rsidR="00DF7012" w:rsidRDefault="00DF7012"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75C" w:rsidRPr="00A842E7" w:rsidRDefault="005A175C" w:rsidP="00EE1DA9">
    <w:pPr>
      <w:pStyle w:val="ECHRHeader"/>
      <w:rPr>
        <w:lang w:val="pl-PL"/>
      </w:rPr>
    </w:pPr>
    <w:r>
      <w:rPr>
        <w:rStyle w:val="Numerstrony"/>
        <w:szCs w:val="18"/>
        <w:lang w:val="en-GB"/>
      </w:rPr>
      <w:fldChar w:fldCharType="begin"/>
    </w:r>
    <w:r w:rsidRPr="00A842E7">
      <w:rPr>
        <w:rStyle w:val="Numerstrony"/>
        <w:szCs w:val="18"/>
        <w:lang w:val="pl-PL"/>
      </w:rPr>
      <w:instrText xml:space="preserve"> PAGE </w:instrText>
    </w:r>
    <w:r>
      <w:rPr>
        <w:rStyle w:val="Numerstrony"/>
        <w:szCs w:val="18"/>
        <w:lang w:val="en-GB"/>
      </w:rPr>
      <w:fldChar w:fldCharType="separate"/>
    </w:r>
    <w:r w:rsidR="006A66E4">
      <w:rPr>
        <w:rStyle w:val="Numerstrony"/>
        <w:noProof/>
        <w:szCs w:val="18"/>
        <w:lang w:val="pl-PL"/>
      </w:rPr>
      <w:t>4</w:t>
    </w:r>
    <w:r>
      <w:rPr>
        <w:rStyle w:val="Numerstrony"/>
        <w:szCs w:val="18"/>
        <w:lang w:val="en-GB"/>
      </w:rPr>
      <w:fldChar w:fldCharType="end"/>
    </w:r>
    <w:r w:rsidRPr="00A842E7">
      <w:rPr>
        <w:lang w:val="pl-PL"/>
      </w:rPr>
      <w:tab/>
    </w:r>
    <w:r w:rsidR="00A842E7" w:rsidRPr="00A842E7">
      <w:rPr>
        <w:lang w:val="pl-PL"/>
      </w:rPr>
      <w:t xml:space="preserve">WYROK W SPRAWIE </w:t>
    </w:r>
    <w:r w:rsidRPr="00A842E7">
      <w:rPr>
        <w:lang w:val="pl-PL"/>
      </w:rPr>
      <w:t xml:space="preserve">PUGŽLYS </w:t>
    </w:r>
    <w:r w:rsidR="00A842E7" w:rsidRPr="00A842E7">
      <w:rPr>
        <w:lang w:val="pl-PL"/>
      </w:rPr>
      <w:t>p</w:t>
    </w:r>
    <w:r w:rsidRPr="00A842E7">
      <w:rPr>
        <w:lang w:val="pl-PL"/>
      </w:rPr>
      <w:t>. POL</w:t>
    </w:r>
    <w:r w:rsidR="00A842E7">
      <w:rPr>
        <w:lang w:val="pl-PL"/>
      </w:rPr>
      <w:t>SCE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75C" w:rsidRPr="00746DBA" w:rsidRDefault="005A175C" w:rsidP="00D60D87">
    <w:pPr>
      <w:pStyle w:val="ECHRHeader"/>
      <w:rPr>
        <w:lang w:val="pl-PL"/>
      </w:rPr>
    </w:pPr>
    <w:r w:rsidRPr="00D60D87">
      <w:rPr>
        <w:lang w:val="en-GB"/>
      </w:rPr>
      <w:tab/>
    </w:r>
    <w:r w:rsidRPr="00746DBA">
      <w:rPr>
        <w:lang w:val="pl-PL"/>
      </w:rPr>
      <w:t xml:space="preserve">WYROK W SPRAWIE PUGŽLYS </w:t>
    </w:r>
    <w:r>
      <w:rPr>
        <w:lang w:val="pl-PL"/>
      </w:rPr>
      <w:t>PRZECIWKO</w:t>
    </w:r>
    <w:r w:rsidRPr="00746DBA">
      <w:rPr>
        <w:lang w:val="pl-PL"/>
      </w:rPr>
      <w:t xml:space="preserve"> </w:t>
    </w:r>
    <w:r>
      <w:rPr>
        <w:lang w:val="pl-PL"/>
      </w:rPr>
      <w:t>POLSCE</w:t>
    </w:r>
    <w:r w:rsidRPr="00746DBA">
      <w:rPr>
        <w:lang w:val="pl-PL"/>
      </w:rPr>
      <w:tab/>
    </w:r>
    <w:r>
      <w:rPr>
        <w:rStyle w:val="Numerstrony"/>
        <w:szCs w:val="18"/>
        <w:lang w:val="en-GB"/>
      </w:rPr>
      <w:fldChar w:fldCharType="begin"/>
    </w:r>
    <w:r w:rsidRPr="00746DBA">
      <w:rPr>
        <w:rStyle w:val="Numerstrony"/>
        <w:szCs w:val="18"/>
        <w:lang w:val="pl-PL"/>
      </w:rPr>
      <w:instrText xml:space="preserve"> PAGE </w:instrText>
    </w:r>
    <w:r>
      <w:rPr>
        <w:rStyle w:val="Numerstrony"/>
        <w:szCs w:val="18"/>
        <w:lang w:val="en-GB"/>
      </w:rPr>
      <w:fldChar w:fldCharType="separate"/>
    </w:r>
    <w:r w:rsidR="006A66E4">
      <w:rPr>
        <w:rStyle w:val="Numerstrony"/>
        <w:noProof/>
        <w:szCs w:val="18"/>
        <w:lang w:val="pl-PL"/>
      </w:rPr>
      <w:t>3</w:t>
    </w:r>
    <w:r>
      <w:rPr>
        <w:rStyle w:val="Numerstrony"/>
        <w:szCs w:val="18"/>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3D" w:rsidRDefault="00672D3D" w:rsidP="00672D3D">
    <w:pPr>
      <w:pStyle w:val="Nagwek"/>
      <w:jc w:val="center"/>
    </w:pPr>
    <w:r>
      <w:rPr>
        <w:noProof/>
        <w:lang w:val="pl-PL" w:eastAsia="pl-PL"/>
      </w:rPr>
      <w:drawing>
        <wp:inline distT="0" distB="0" distL="0" distR="0" wp14:anchorId="21664CC2" wp14:editId="6C9B780E">
          <wp:extent cx="2962275" cy="1219200"/>
          <wp:effectExtent l="0" t="0" r="9525"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Lithuanian"/>
    <w:docVar w:name="NBEMMDOC" w:val="0"/>
    <w:docVar w:name="SignForeName" w:val="0"/>
  </w:docVars>
  <w:rsids>
    <w:rsidRoot w:val="001B64EC"/>
    <w:rsid w:val="00001F5E"/>
    <w:rsid w:val="000041F8"/>
    <w:rsid w:val="00004242"/>
    <w:rsid w:val="000042A8"/>
    <w:rsid w:val="00004308"/>
    <w:rsid w:val="00005BF0"/>
    <w:rsid w:val="00007154"/>
    <w:rsid w:val="000103AE"/>
    <w:rsid w:val="00011A63"/>
    <w:rsid w:val="00011D69"/>
    <w:rsid w:val="00012AD3"/>
    <w:rsid w:val="00014566"/>
    <w:rsid w:val="00015C2D"/>
    <w:rsid w:val="00015F00"/>
    <w:rsid w:val="00022C1D"/>
    <w:rsid w:val="00022F53"/>
    <w:rsid w:val="000263A1"/>
    <w:rsid w:val="00026C4B"/>
    <w:rsid w:val="00030921"/>
    <w:rsid w:val="00034987"/>
    <w:rsid w:val="0004222E"/>
    <w:rsid w:val="0004356E"/>
    <w:rsid w:val="000441C7"/>
    <w:rsid w:val="00055B34"/>
    <w:rsid w:val="000602DF"/>
    <w:rsid w:val="00061B05"/>
    <w:rsid w:val="00062973"/>
    <w:rsid w:val="00062B25"/>
    <w:rsid w:val="00062D5D"/>
    <w:rsid w:val="000632D5"/>
    <w:rsid w:val="000644EE"/>
    <w:rsid w:val="00067F28"/>
    <w:rsid w:val="000714D9"/>
    <w:rsid w:val="00080200"/>
    <w:rsid w:val="000808CC"/>
    <w:rsid w:val="000917B1"/>
    <w:rsid w:val="000925AD"/>
    <w:rsid w:val="00092D96"/>
    <w:rsid w:val="00093BCD"/>
    <w:rsid w:val="000A24EB"/>
    <w:rsid w:val="000B007E"/>
    <w:rsid w:val="000B044E"/>
    <w:rsid w:val="000B0C51"/>
    <w:rsid w:val="000B5BC0"/>
    <w:rsid w:val="000B6923"/>
    <w:rsid w:val="000C033C"/>
    <w:rsid w:val="000C5475"/>
    <w:rsid w:val="000C5F3C"/>
    <w:rsid w:val="000C66CF"/>
    <w:rsid w:val="000C6DCC"/>
    <w:rsid w:val="000D47AA"/>
    <w:rsid w:val="000D721F"/>
    <w:rsid w:val="000E069B"/>
    <w:rsid w:val="000E0E82"/>
    <w:rsid w:val="000E1DC5"/>
    <w:rsid w:val="000E223F"/>
    <w:rsid w:val="000E29BD"/>
    <w:rsid w:val="000E3568"/>
    <w:rsid w:val="000E361C"/>
    <w:rsid w:val="000E7D45"/>
    <w:rsid w:val="000F7851"/>
    <w:rsid w:val="00104E23"/>
    <w:rsid w:val="00110C63"/>
    <w:rsid w:val="00111B0C"/>
    <w:rsid w:val="00113A03"/>
    <w:rsid w:val="00120D6C"/>
    <w:rsid w:val="001257EC"/>
    <w:rsid w:val="00132C6A"/>
    <w:rsid w:val="00133D33"/>
    <w:rsid w:val="00134D64"/>
    <w:rsid w:val="00135A30"/>
    <w:rsid w:val="0013612C"/>
    <w:rsid w:val="00137FF6"/>
    <w:rsid w:val="00140522"/>
    <w:rsid w:val="00141650"/>
    <w:rsid w:val="001432BD"/>
    <w:rsid w:val="00144538"/>
    <w:rsid w:val="001466BF"/>
    <w:rsid w:val="0015516F"/>
    <w:rsid w:val="00162A12"/>
    <w:rsid w:val="00163670"/>
    <w:rsid w:val="00166530"/>
    <w:rsid w:val="00170246"/>
    <w:rsid w:val="0017086B"/>
    <w:rsid w:val="001737B6"/>
    <w:rsid w:val="00173C90"/>
    <w:rsid w:val="00180129"/>
    <w:rsid w:val="001832BD"/>
    <w:rsid w:val="00190CB1"/>
    <w:rsid w:val="0019435F"/>
    <w:rsid w:val="001943B5"/>
    <w:rsid w:val="00195134"/>
    <w:rsid w:val="00197C2F"/>
    <w:rsid w:val="001A145B"/>
    <w:rsid w:val="001A2140"/>
    <w:rsid w:val="001A255B"/>
    <w:rsid w:val="001A674C"/>
    <w:rsid w:val="001B3B24"/>
    <w:rsid w:val="001B64EC"/>
    <w:rsid w:val="001C0216"/>
    <w:rsid w:val="001C0F98"/>
    <w:rsid w:val="001C13A1"/>
    <w:rsid w:val="001C2A42"/>
    <w:rsid w:val="001D2105"/>
    <w:rsid w:val="001D5648"/>
    <w:rsid w:val="001D5D98"/>
    <w:rsid w:val="001D63ED"/>
    <w:rsid w:val="001D7348"/>
    <w:rsid w:val="001E035B"/>
    <w:rsid w:val="001E0961"/>
    <w:rsid w:val="001E3EAE"/>
    <w:rsid w:val="001E6F32"/>
    <w:rsid w:val="001F1B81"/>
    <w:rsid w:val="001F2145"/>
    <w:rsid w:val="001F4993"/>
    <w:rsid w:val="001F6262"/>
    <w:rsid w:val="001F67B0"/>
    <w:rsid w:val="001F7B3D"/>
    <w:rsid w:val="00205F9F"/>
    <w:rsid w:val="00206FF4"/>
    <w:rsid w:val="00210338"/>
    <w:rsid w:val="00211028"/>
    <w:rsid w:val="002115FC"/>
    <w:rsid w:val="00211642"/>
    <w:rsid w:val="002133F8"/>
    <w:rsid w:val="0021423C"/>
    <w:rsid w:val="00220773"/>
    <w:rsid w:val="00230D00"/>
    <w:rsid w:val="00231DF7"/>
    <w:rsid w:val="00231FD1"/>
    <w:rsid w:val="002339E0"/>
    <w:rsid w:val="00233CF8"/>
    <w:rsid w:val="0023575D"/>
    <w:rsid w:val="00237148"/>
    <w:rsid w:val="0024222D"/>
    <w:rsid w:val="0024303A"/>
    <w:rsid w:val="00244B0E"/>
    <w:rsid w:val="00244F6C"/>
    <w:rsid w:val="002464A1"/>
    <w:rsid w:val="00246CB0"/>
    <w:rsid w:val="0025046A"/>
    <w:rsid w:val="002523B7"/>
    <w:rsid w:val="0025302B"/>
    <w:rsid w:val="002532C5"/>
    <w:rsid w:val="002558EC"/>
    <w:rsid w:val="00260C03"/>
    <w:rsid w:val="002620F0"/>
    <w:rsid w:val="002631E6"/>
    <w:rsid w:val="0026540E"/>
    <w:rsid w:val="00265869"/>
    <w:rsid w:val="00275123"/>
    <w:rsid w:val="00275EC9"/>
    <w:rsid w:val="00282240"/>
    <w:rsid w:val="0028260D"/>
    <w:rsid w:val="00282D54"/>
    <w:rsid w:val="0028572A"/>
    <w:rsid w:val="002948AD"/>
    <w:rsid w:val="00294BE4"/>
    <w:rsid w:val="00294C92"/>
    <w:rsid w:val="00295A1C"/>
    <w:rsid w:val="002A01CC"/>
    <w:rsid w:val="002A4A2F"/>
    <w:rsid w:val="002A61B1"/>
    <w:rsid w:val="002A663C"/>
    <w:rsid w:val="002A6771"/>
    <w:rsid w:val="002B2A5C"/>
    <w:rsid w:val="002B2ACF"/>
    <w:rsid w:val="002B444B"/>
    <w:rsid w:val="002B4A8B"/>
    <w:rsid w:val="002B5887"/>
    <w:rsid w:val="002C0579"/>
    <w:rsid w:val="002C0692"/>
    <w:rsid w:val="002C0E27"/>
    <w:rsid w:val="002C3040"/>
    <w:rsid w:val="002D022D"/>
    <w:rsid w:val="002D24BB"/>
    <w:rsid w:val="002D325D"/>
    <w:rsid w:val="002E421D"/>
    <w:rsid w:val="002F2AF7"/>
    <w:rsid w:val="002F7E1C"/>
    <w:rsid w:val="00301A75"/>
    <w:rsid w:val="00302F70"/>
    <w:rsid w:val="0030336F"/>
    <w:rsid w:val="0030375E"/>
    <w:rsid w:val="003068C2"/>
    <w:rsid w:val="003077B7"/>
    <w:rsid w:val="00312A30"/>
    <w:rsid w:val="00312C93"/>
    <w:rsid w:val="00320F72"/>
    <w:rsid w:val="00322FE6"/>
    <w:rsid w:val="0032463E"/>
    <w:rsid w:val="00326224"/>
    <w:rsid w:val="0033195D"/>
    <w:rsid w:val="00332579"/>
    <w:rsid w:val="003330F9"/>
    <w:rsid w:val="00337EE4"/>
    <w:rsid w:val="003400E9"/>
    <w:rsid w:val="00340FFD"/>
    <w:rsid w:val="003506B1"/>
    <w:rsid w:val="00351C60"/>
    <w:rsid w:val="003541D9"/>
    <w:rsid w:val="00356AC7"/>
    <w:rsid w:val="00357CA8"/>
    <w:rsid w:val="003609FA"/>
    <w:rsid w:val="00364252"/>
    <w:rsid w:val="00367333"/>
    <w:rsid w:val="003710C8"/>
    <w:rsid w:val="00373035"/>
    <w:rsid w:val="00374807"/>
    <w:rsid w:val="003750BE"/>
    <w:rsid w:val="003773B9"/>
    <w:rsid w:val="00386228"/>
    <w:rsid w:val="00387B9D"/>
    <w:rsid w:val="0039364F"/>
    <w:rsid w:val="00393842"/>
    <w:rsid w:val="00393C29"/>
    <w:rsid w:val="00396686"/>
    <w:rsid w:val="0039778E"/>
    <w:rsid w:val="003A20B5"/>
    <w:rsid w:val="003A3247"/>
    <w:rsid w:val="003A4151"/>
    <w:rsid w:val="003A4683"/>
    <w:rsid w:val="003B13B7"/>
    <w:rsid w:val="003B1A12"/>
    <w:rsid w:val="003B3A8E"/>
    <w:rsid w:val="003B4941"/>
    <w:rsid w:val="003C3CB2"/>
    <w:rsid w:val="003C5714"/>
    <w:rsid w:val="003C6B9F"/>
    <w:rsid w:val="003C6E2A"/>
    <w:rsid w:val="003D0299"/>
    <w:rsid w:val="003D0526"/>
    <w:rsid w:val="003D382F"/>
    <w:rsid w:val="003D4186"/>
    <w:rsid w:val="003D5F86"/>
    <w:rsid w:val="003E4D93"/>
    <w:rsid w:val="003E6D80"/>
    <w:rsid w:val="003F05FA"/>
    <w:rsid w:val="003F1069"/>
    <w:rsid w:val="003F244A"/>
    <w:rsid w:val="003F30B8"/>
    <w:rsid w:val="003F4A04"/>
    <w:rsid w:val="003F4C45"/>
    <w:rsid w:val="003F5F7B"/>
    <w:rsid w:val="003F7D64"/>
    <w:rsid w:val="004010D5"/>
    <w:rsid w:val="00414300"/>
    <w:rsid w:val="004152C0"/>
    <w:rsid w:val="004178DA"/>
    <w:rsid w:val="00425C67"/>
    <w:rsid w:val="00427E7A"/>
    <w:rsid w:val="004314AB"/>
    <w:rsid w:val="00435D30"/>
    <w:rsid w:val="00436307"/>
    <w:rsid w:val="004369D5"/>
    <w:rsid w:val="00436C49"/>
    <w:rsid w:val="00445366"/>
    <w:rsid w:val="00445FC9"/>
    <w:rsid w:val="00447F5B"/>
    <w:rsid w:val="00450B80"/>
    <w:rsid w:val="00456EB2"/>
    <w:rsid w:val="00461DB0"/>
    <w:rsid w:val="00463926"/>
    <w:rsid w:val="004646E0"/>
    <w:rsid w:val="00464C9A"/>
    <w:rsid w:val="00474F3D"/>
    <w:rsid w:val="00477E3A"/>
    <w:rsid w:val="00483E5F"/>
    <w:rsid w:val="00485FF9"/>
    <w:rsid w:val="004907F0"/>
    <w:rsid w:val="0049140B"/>
    <w:rsid w:val="004923A5"/>
    <w:rsid w:val="00496BFB"/>
    <w:rsid w:val="004A0826"/>
    <w:rsid w:val="004A15C7"/>
    <w:rsid w:val="004A324B"/>
    <w:rsid w:val="004A5518"/>
    <w:rsid w:val="004B013B"/>
    <w:rsid w:val="004B112B"/>
    <w:rsid w:val="004B5547"/>
    <w:rsid w:val="004B6869"/>
    <w:rsid w:val="004B7D1C"/>
    <w:rsid w:val="004C01E4"/>
    <w:rsid w:val="004C086C"/>
    <w:rsid w:val="004C0E18"/>
    <w:rsid w:val="004C1F56"/>
    <w:rsid w:val="004C27BC"/>
    <w:rsid w:val="004C6947"/>
    <w:rsid w:val="004C7445"/>
    <w:rsid w:val="004D15F3"/>
    <w:rsid w:val="004D5311"/>
    <w:rsid w:val="004D5DCC"/>
    <w:rsid w:val="004D64E5"/>
    <w:rsid w:val="004E505C"/>
    <w:rsid w:val="004F10AF"/>
    <w:rsid w:val="004F11A4"/>
    <w:rsid w:val="004F2389"/>
    <w:rsid w:val="004F304D"/>
    <w:rsid w:val="004F61BE"/>
    <w:rsid w:val="004F66B1"/>
    <w:rsid w:val="00501736"/>
    <w:rsid w:val="0050482E"/>
    <w:rsid w:val="00511C07"/>
    <w:rsid w:val="005173A6"/>
    <w:rsid w:val="00520946"/>
    <w:rsid w:val="00520BAA"/>
    <w:rsid w:val="00525208"/>
    <w:rsid w:val="005257A5"/>
    <w:rsid w:val="005264C0"/>
    <w:rsid w:val="00526A8A"/>
    <w:rsid w:val="00531DF2"/>
    <w:rsid w:val="005323FF"/>
    <w:rsid w:val="005442EE"/>
    <w:rsid w:val="00547353"/>
    <w:rsid w:val="005474E7"/>
    <w:rsid w:val="005512A3"/>
    <w:rsid w:val="0055431E"/>
    <w:rsid w:val="00557058"/>
    <w:rsid w:val="005578CE"/>
    <w:rsid w:val="00562781"/>
    <w:rsid w:val="00563474"/>
    <w:rsid w:val="00563E83"/>
    <w:rsid w:val="005641EF"/>
    <w:rsid w:val="00565ECE"/>
    <w:rsid w:val="0056759C"/>
    <w:rsid w:val="0057271C"/>
    <w:rsid w:val="00572845"/>
    <w:rsid w:val="00574D14"/>
    <w:rsid w:val="005767D5"/>
    <w:rsid w:val="00576E20"/>
    <w:rsid w:val="00581DB8"/>
    <w:rsid w:val="00583127"/>
    <w:rsid w:val="00592772"/>
    <w:rsid w:val="0059574A"/>
    <w:rsid w:val="005A175C"/>
    <w:rsid w:val="005A1B9B"/>
    <w:rsid w:val="005A4940"/>
    <w:rsid w:val="005A6751"/>
    <w:rsid w:val="005B092E"/>
    <w:rsid w:val="005B0B05"/>
    <w:rsid w:val="005B152C"/>
    <w:rsid w:val="005B1EE0"/>
    <w:rsid w:val="005B2B24"/>
    <w:rsid w:val="005B4425"/>
    <w:rsid w:val="005B4B94"/>
    <w:rsid w:val="005B752D"/>
    <w:rsid w:val="005C3EE8"/>
    <w:rsid w:val="005C56B2"/>
    <w:rsid w:val="005D06B6"/>
    <w:rsid w:val="005D328D"/>
    <w:rsid w:val="005D34F9"/>
    <w:rsid w:val="005D4190"/>
    <w:rsid w:val="005D64FE"/>
    <w:rsid w:val="005D65EE"/>
    <w:rsid w:val="005D67A3"/>
    <w:rsid w:val="005E0B23"/>
    <w:rsid w:val="005E2988"/>
    <w:rsid w:val="005E2A43"/>
    <w:rsid w:val="005E3085"/>
    <w:rsid w:val="005E32A9"/>
    <w:rsid w:val="005E3900"/>
    <w:rsid w:val="005E51F0"/>
    <w:rsid w:val="005E5996"/>
    <w:rsid w:val="005E664D"/>
    <w:rsid w:val="005F51E1"/>
    <w:rsid w:val="00603F03"/>
    <w:rsid w:val="00604014"/>
    <w:rsid w:val="00611C80"/>
    <w:rsid w:val="0061605E"/>
    <w:rsid w:val="006169DC"/>
    <w:rsid w:val="00620692"/>
    <w:rsid w:val="0062305F"/>
    <w:rsid w:val="006242CA"/>
    <w:rsid w:val="00627507"/>
    <w:rsid w:val="00633717"/>
    <w:rsid w:val="006344E1"/>
    <w:rsid w:val="00637DBC"/>
    <w:rsid w:val="00642201"/>
    <w:rsid w:val="00644F2E"/>
    <w:rsid w:val="006545C4"/>
    <w:rsid w:val="00654890"/>
    <w:rsid w:val="00656779"/>
    <w:rsid w:val="00660499"/>
    <w:rsid w:val="00660A3E"/>
    <w:rsid w:val="00661971"/>
    <w:rsid w:val="00661CE8"/>
    <w:rsid w:val="00661DFD"/>
    <w:rsid w:val="006623D9"/>
    <w:rsid w:val="00664D35"/>
    <w:rsid w:val="0066550C"/>
    <w:rsid w:val="00666E31"/>
    <w:rsid w:val="00670D23"/>
    <w:rsid w:val="006716F2"/>
    <w:rsid w:val="00672D3D"/>
    <w:rsid w:val="00673C88"/>
    <w:rsid w:val="00677DCD"/>
    <w:rsid w:val="00682BF2"/>
    <w:rsid w:val="006859CE"/>
    <w:rsid w:val="00687171"/>
    <w:rsid w:val="00691270"/>
    <w:rsid w:val="00693438"/>
    <w:rsid w:val="00694BA8"/>
    <w:rsid w:val="006A037C"/>
    <w:rsid w:val="006A0A5D"/>
    <w:rsid w:val="006A0EAF"/>
    <w:rsid w:val="006A36F4"/>
    <w:rsid w:val="006A406F"/>
    <w:rsid w:val="006A5D3A"/>
    <w:rsid w:val="006A66E4"/>
    <w:rsid w:val="006B72C1"/>
    <w:rsid w:val="006B7307"/>
    <w:rsid w:val="006C23D4"/>
    <w:rsid w:val="006C7BB0"/>
    <w:rsid w:val="006C7BEC"/>
    <w:rsid w:val="006D3237"/>
    <w:rsid w:val="006E2E37"/>
    <w:rsid w:val="006E3CF1"/>
    <w:rsid w:val="006E5311"/>
    <w:rsid w:val="006E7E80"/>
    <w:rsid w:val="006F1DF9"/>
    <w:rsid w:val="006F24DB"/>
    <w:rsid w:val="006F40B6"/>
    <w:rsid w:val="006F48CA"/>
    <w:rsid w:val="006F64DD"/>
    <w:rsid w:val="006F65DA"/>
    <w:rsid w:val="00706417"/>
    <w:rsid w:val="00707644"/>
    <w:rsid w:val="007127C2"/>
    <w:rsid w:val="00715127"/>
    <w:rsid w:val="00715E8E"/>
    <w:rsid w:val="00720955"/>
    <w:rsid w:val="0072099C"/>
    <w:rsid w:val="00723580"/>
    <w:rsid w:val="00723755"/>
    <w:rsid w:val="00723825"/>
    <w:rsid w:val="0073136C"/>
    <w:rsid w:val="00731F0F"/>
    <w:rsid w:val="00733250"/>
    <w:rsid w:val="00733499"/>
    <w:rsid w:val="00740C67"/>
    <w:rsid w:val="00741404"/>
    <w:rsid w:val="007449E5"/>
    <w:rsid w:val="00746C5A"/>
    <w:rsid w:val="00746DBA"/>
    <w:rsid w:val="00746E5E"/>
    <w:rsid w:val="00747FF0"/>
    <w:rsid w:val="0075551E"/>
    <w:rsid w:val="00760BC4"/>
    <w:rsid w:val="00763C61"/>
    <w:rsid w:val="00764D4E"/>
    <w:rsid w:val="007659AE"/>
    <w:rsid w:val="00765A1F"/>
    <w:rsid w:val="00773E40"/>
    <w:rsid w:val="00775B6D"/>
    <w:rsid w:val="00775CD0"/>
    <w:rsid w:val="007763C9"/>
    <w:rsid w:val="00776D68"/>
    <w:rsid w:val="007811F7"/>
    <w:rsid w:val="007850EE"/>
    <w:rsid w:val="00785B95"/>
    <w:rsid w:val="00790E96"/>
    <w:rsid w:val="00793366"/>
    <w:rsid w:val="00794EFE"/>
    <w:rsid w:val="007A716F"/>
    <w:rsid w:val="007B270A"/>
    <w:rsid w:val="007B796D"/>
    <w:rsid w:val="007C0695"/>
    <w:rsid w:val="007C419A"/>
    <w:rsid w:val="007C4CC8"/>
    <w:rsid w:val="007C5426"/>
    <w:rsid w:val="007C5798"/>
    <w:rsid w:val="007C6C2C"/>
    <w:rsid w:val="007D26ED"/>
    <w:rsid w:val="007D4832"/>
    <w:rsid w:val="007E1E69"/>
    <w:rsid w:val="007E21B2"/>
    <w:rsid w:val="007E2C4E"/>
    <w:rsid w:val="007E5888"/>
    <w:rsid w:val="007F1905"/>
    <w:rsid w:val="007F2C30"/>
    <w:rsid w:val="007F5D36"/>
    <w:rsid w:val="007F6707"/>
    <w:rsid w:val="007F6C96"/>
    <w:rsid w:val="007F7B1D"/>
    <w:rsid w:val="00801300"/>
    <w:rsid w:val="008017DA"/>
    <w:rsid w:val="00802C64"/>
    <w:rsid w:val="00805E52"/>
    <w:rsid w:val="008061D0"/>
    <w:rsid w:val="00810B38"/>
    <w:rsid w:val="00814868"/>
    <w:rsid w:val="008204C7"/>
    <w:rsid w:val="00820992"/>
    <w:rsid w:val="00822C6D"/>
    <w:rsid w:val="00823602"/>
    <w:rsid w:val="0082422E"/>
    <w:rsid w:val="00824F9E"/>
    <w:rsid w:val="00825580"/>
    <w:rsid w:val="008255F5"/>
    <w:rsid w:val="008256D3"/>
    <w:rsid w:val="0083014E"/>
    <w:rsid w:val="0083214A"/>
    <w:rsid w:val="00834220"/>
    <w:rsid w:val="00834C4E"/>
    <w:rsid w:val="00837048"/>
    <w:rsid w:val="00840812"/>
    <w:rsid w:val="00845723"/>
    <w:rsid w:val="0084697A"/>
    <w:rsid w:val="00850E21"/>
    <w:rsid w:val="00851EF9"/>
    <w:rsid w:val="008577FD"/>
    <w:rsid w:val="00860B03"/>
    <w:rsid w:val="008625F7"/>
    <w:rsid w:val="00863FC7"/>
    <w:rsid w:val="0086497A"/>
    <w:rsid w:val="00865892"/>
    <w:rsid w:val="008713A1"/>
    <w:rsid w:val="008754AB"/>
    <w:rsid w:val="0088060C"/>
    <w:rsid w:val="00881714"/>
    <w:rsid w:val="00893576"/>
    <w:rsid w:val="00893E73"/>
    <w:rsid w:val="008971BC"/>
    <w:rsid w:val="00897B00"/>
    <w:rsid w:val="008A43C4"/>
    <w:rsid w:val="008B02DC"/>
    <w:rsid w:val="008B0B89"/>
    <w:rsid w:val="008B13AC"/>
    <w:rsid w:val="008B3A18"/>
    <w:rsid w:val="008B57CE"/>
    <w:rsid w:val="008B659F"/>
    <w:rsid w:val="008B660E"/>
    <w:rsid w:val="008C1BE4"/>
    <w:rsid w:val="008C26DE"/>
    <w:rsid w:val="008D2225"/>
    <w:rsid w:val="008D4752"/>
    <w:rsid w:val="008E271C"/>
    <w:rsid w:val="008E28F6"/>
    <w:rsid w:val="008E418E"/>
    <w:rsid w:val="008E46C4"/>
    <w:rsid w:val="008E5BC6"/>
    <w:rsid w:val="008E6A25"/>
    <w:rsid w:val="008E6F3E"/>
    <w:rsid w:val="008F3F1D"/>
    <w:rsid w:val="008F5193"/>
    <w:rsid w:val="008F75A1"/>
    <w:rsid w:val="009013A7"/>
    <w:rsid w:val="009017FB"/>
    <w:rsid w:val="009017FC"/>
    <w:rsid w:val="00901ACE"/>
    <w:rsid w:val="00903B43"/>
    <w:rsid w:val="0090506B"/>
    <w:rsid w:val="009050C9"/>
    <w:rsid w:val="009066FC"/>
    <w:rsid w:val="0091308D"/>
    <w:rsid w:val="009140A3"/>
    <w:rsid w:val="009144A2"/>
    <w:rsid w:val="0091510C"/>
    <w:rsid w:val="009259AC"/>
    <w:rsid w:val="00926F38"/>
    <w:rsid w:val="00934301"/>
    <w:rsid w:val="00936CD1"/>
    <w:rsid w:val="00941747"/>
    <w:rsid w:val="00941EFB"/>
    <w:rsid w:val="009429E4"/>
    <w:rsid w:val="00946C8C"/>
    <w:rsid w:val="00947AFB"/>
    <w:rsid w:val="00951D7D"/>
    <w:rsid w:val="00955513"/>
    <w:rsid w:val="009568D0"/>
    <w:rsid w:val="009630C7"/>
    <w:rsid w:val="00963D96"/>
    <w:rsid w:val="0097081A"/>
    <w:rsid w:val="009725D3"/>
    <w:rsid w:val="00972B55"/>
    <w:rsid w:val="0097370B"/>
    <w:rsid w:val="009743B7"/>
    <w:rsid w:val="009756DF"/>
    <w:rsid w:val="00976A50"/>
    <w:rsid w:val="0098228B"/>
    <w:rsid w:val="009828DA"/>
    <w:rsid w:val="00985BAB"/>
    <w:rsid w:val="009968DC"/>
    <w:rsid w:val="00997F03"/>
    <w:rsid w:val="009A46DF"/>
    <w:rsid w:val="009A7124"/>
    <w:rsid w:val="009A749E"/>
    <w:rsid w:val="009B1B5F"/>
    <w:rsid w:val="009B2EC2"/>
    <w:rsid w:val="009B6673"/>
    <w:rsid w:val="009C191B"/>
    <w:rsid w:val="009C2BD6"/>
    <w:rsid w:val="009C33DE"/>
    <w:rsid w:val="009D5A4E"/>
    <w:rsid w:val="009E1F32"/>
    <w:rsid w:val="009E508E"/>
    <w:rsid w:val="009E5829"/>
    <w:rsid w:val="009E5E55"/>
    <w:rsid w:val="009E776C"/>
    <w:rsid w:val="009E7FEE"/>
    <w:rsid w:val="00A01F67"/>
    <w:rsid w:val="00A04D68"/>
    <w:rsid w:val="00A062E0"/>
    <w:rsid w:val="00A102A8"/>
    <w:rsid w:val="00A1726E"/>
    <w:rsid w:val="00A204CF"/>
    <w:rsid w:val="00A2248F"/>
    <w:rsid w:val="00A23D49"/>
    <w:rsid w:val="00A25BBE"/>
    <w:rsid w:val="00A27004"/>
    <w:rsid w:val="00A30C29"/>
    <w:rsid w:val="00A317C2"/>
    <w:rsid w:val="00A3211B"/>
    <w:rsid w:val="00A34DD6"/>
    <w:rsid w:val="00A35F68"/>
    <w:rsid w:val="00A36819"/>
    <w:rsid w:val="00A36989"/>
    <w:rsid w:val="00A41A8C"/>
    <w:rsid w:val="00A43628"/>
    <w:rsid w:val="00A54192"/>
    <w:rsid w:val="00A54819"/>
    <w:rsid w:val="00A600C4"/>
    <w:rsid w:val="00A6035E"/>
    <w:rsid w:val="00A60762"/>
    <w:rsid w:val="00A6144C"/>
    <w:rsid w:val="00A66617"/>
    <w:rsid w:val="00A671F8"/>
    <w:rsid w:val="00A673A4"/>
    <w:rsid w:val="00A67DC4"/>
    <w:rsid w:val="00A70E58"/>
    <w:rsid w:val="00A724AE"/>
    <w:rsid w:val="00A72848"/>
    <w:rsid w:val="00A73329"/>
    <w:rsid w:val="00A82359"/>
    <w:rsid w:val="00A842E7"/>
    <w:rsid w:val="00A865D2"/>
    <w:rsid w:val="00A87AB3"/>
    <w:rsid w:val="00A94C20"/>
    <w:rsid w:val="00A951C6"/>
    <w:rsid w:val="00A96ED6"/>
    <w:rsid w:val="00AA227F"/>
    <w:rsid w:val="00AA3BC7"/>
    <w:rsid w:val="00AA6745"/>
    <w:rsid w:val="00AA754A"/>
    <w:rsid w:val="00AB099E"/>
    <w:rsid w:val="00AB4328"/>
    <w:rsid w:val="00AB52F9"/>
    <w:rsid w:val="00AB5FA0"/>
    <w:rsid w:val="00AC5307"/>
    <w:rsid w:val="00AD0448"/>
    <w:rsid w:val="00AD162D"/>
    <w:rsid w:val="00AD79E2"/>
    <w:rsid w:val="00AE0A2E"/>
    <w:rsid w:val="00AE354C"/>
    <w:rsid w:val="00AF1385"/>
    <w:rsid w:val="00AF4B07"/>
    <w:rsid w:val="00AF6186"/>
    <w:rsid w:val="00AF7A3A"/>
    <w:rsid w:val="00B01021"/>
    <w:rsid w:val="00B02A8E"/>
    <w:rsid w:val="00B11F97"/>
    <w:rsid w:val="00B160DB"/>
    <w:rsid w:val="00B20836"/>
    <w:rsid w:val="00B235BB"/>
    <w:rsid w:val="00B24A9B"/>
    <w:rsid w:val="00B27A44"/>
    <w:rsid w:val="00B30BBF"/>
    <w:rsid w:val="00B33C03"/>
    <w:rsid w:val="00B44E56"/>
    <w:rsid w:val="00B46543"/>
    <w:rsid w:val="00B46AAC"/>
    <w:rsid w:val="00B47D33"/>
    <w:rsid w:val="00B52BE0"/>
    <w:rsid w:val="00B54133"/>
    <w:rsid w:val="00B701ED"/>
    <w:rsid w:val="00B77B34"/>
    <w:rsid w:val="00B8086C"/>
    <w:rsid w:val="00B81BE1"/>
    <w:rsid w:val="00B861B4"/>
    <w:rsid w:val="00B86DFE"/>
    <w:rsid w:val="00B90990"/>
    <w:rsid w:val="00B922FF"/>
    <w:rsid w:val="00B9281E"/>
    <w:rsid w:val="00B93925"/>
    <w:rsid w:val="00B95187"/>
    <w:rsid w:val="00BA2D55"/>
    <w:rsid w:val="00BA71B1"/>
    <w:rsid w:val="00BB0637"/>
    <w:rsid w:val="00BB345F"/>
    <w:rsid w:val="00BB52D4"/>
    <w:rsid w:val="00BB5883"/>
    <w:rsid w:val="00BB5F3A"/>
    <w:rsid w:val="00BB68EA"/>
    <w:rsid w:val="00BC1C27"/>
    <w:rsid w:val="00BC38F5"/>
    <w:rsid w:val="00BC6BBF"/>
    <w:rsid w:val="00BD1572"/>
    <w:rsid w:val="00BD4A48"/>
    <w:rsid w:val="00BD4EA4"/>
    <w:rsid w:val="00BE14E3"/>
    <w:rsid w:val="00BE3774"/>
    <w:rsid w:val="00BE41E5"/>
    <w:rsid w:val="00BF0A6A"/>
    <w:rsid w:val="00BF0BBB"/>
    <w:rsid w:val="00BF4109"/>
    <w:rsid w:val="00BF4CC3"/>
    <w:rsid w:val="00C025FE"/>
    <w:rsid w:val="00C02735"/>
    <w:rsid w:val="00C054C7"/>
    <w:rsid w:val="00C057B5"/>
    <w:rsid w:val="00C123A7"/>
    <w:rsid w:val="00C22687"/>
    <w:rsid w:val="00C26E63"/>
    <w:rsid w:val="00C26EE5"/>
    <w:rsid w:val="00C32E4D"/>
    <w:rsid w:val="00C333A0"/>
    <w:rsid w:val="00C36A81"/>
    <w:rsid w:val="00C41974"/>
    <w:rsid w:val="00C42BE1"/>
    <w:rsid w:val="00C447AD"/>
    <w:rsid w:val="00C46490"/>
    <w:rsid w:val="00C53F4A"/>
    <w:rsid w:val="00C54125"/>
    <w:rsid w:val="00C55B54"/>
    <w:rsid w:val="00C576BA"/>
    <w:rsid w:val="00C6098E"/>
    <w:rsid w:val="00C6152C"/>
    <w:rsid w:val="00C621C2"/>
    <w:rsid w:val="00C675AA"/>
    <w:rsid w:val="00C70D4F"/>
    <w:rsid w:val="00C74810"/>
    <w:rsid w:val="00C82280"/>
    <w:rsid w:val="00C85946"/>
    <w:rsid w:val="00C90D68"/>
    <w:rsid w:val="00C93142"/>
    <w:rsid w:val="00C939FE"/>
    <w:rsid w:val="00CA4BDA"/>
    <w:rsid w:val="00CA6BF4"/>
    <w:rsid w:val="00CB1F66"/>
    <w:rsid w:val="00CB2951"/>
    <w:rsid w:val="00CB2F3D"/>
    <w:rsid w:val="00CB326C"/>
    <w:rsid w:val="00CB3A3E"/>
    <w:rsid w:val="00CB5B6F"/>
    <w:rsid w:val="00CC424F"/>
    <w:rsid w:val="00CC4F74"/>
    <w:rsid w:val="00CD1E4F"/>
    <w:rsid w:val="00CD2479"/>
    <w:rsid w:val="00CD282B"/>
    <w:rsid w:val="00CD4C35"/>
    <w:rsid w:val="00CD6C5D"/>
    <w:rsid w:val="00CD7369"/>
    <w:rsid w:val="00CE0B0E"/>
    <w:rsid w:val="00CE1D4E"/>
    <w:rsid w:val="00CE378D"/>
    <w:rsid w:val="00CE3831"/>
    <w:rsid w:val="00CE6813"/>
    <w:rsid w:val="00CF0857"/>
    <w:rsid w:val="00CF2CA9"/>
    <w:rsid w:val="00D00ABB"/>
    <w:rsid w:val="00D02EEC"/>
    <w:rsid w:val="00D03551"/>
    <w:rsid w:val="00D06A63"/>
    <w:rsid w:val="00D07E0E"/>
    <w:rsid w:val="00D11478"/>
    <w:rsid w:val="00D15ED0"/>
    <w:rsid w:val="00D21B3E"/>
    <w:rsid w:val="00D21FED"/>
    <w:rsid w:val="00D24251"/>
    <w:rsid w:val="00D343E2"/>
    <w:rsid w:val="00D34A61"/>
    <w:rsid w:val="00D34AA3"/>
    <w:rsid w:val="00D35814"/>
    <w:rsid w:val="00D361A2"/>
    <w:rsid w:val="00D37B40"/>
    <w:rsid w:val="00D44C2E"/>
    <w:rsid w:val="00D45414"/>
    <w:rsid w:val="00D53C0F"/>
    <w:rsid w:val="00D566BD"/>
    <w:rsid w:val="00D56EBC"/>
    <w:rsid w:val="00D57A4D"/>
    <w:rsid w:val="00D60AA7"/>
    <w:rsid w:val="00D60D87"/>
    <w:rsid w:val="00D6333D"/>
    <w:rsid w:val="00D6435F"/>
    <w:rsid w:val="00D64A2F"/>
    <w:rsid w:val="00D721A3"/>
    <w:rsid w:val="00D75E28"/>
    <w:rsid w:val="00D76718"/>
    <w:rsid w:val="00D772C2"/>
    <w:rsid w:val="00D8008E"/>
    <w:rsid w:val="00D82C45"/>
    <w:rsid w:val="00D86D9D"/>
    <w:rsid w:val="00D908A8"/>
    <w:rsid w:val="00D94145"/>
    <w:rsid w:val="00D950CC"/>
    <w:rsid w:val="00D96671"/>
    <w:rsid w:val="00D977B6"/>
    <w:rsid w:val="00DA0029"/>
    <w:rsid w:val="00DA4A31"/>
    <w:rsid w:val="00DA7B04"/>
    <w:rsid w:val="00DB36C2"/>
    <w:rsid w:val="00DB7196"/>
    <w:rsid w:val="00DC169B"/>
    <w:rsid w:val="00DC2AB9"/>
    <w:rsid w:val="00DC3D9D"/>
    <w:rsid w:val="00DC4247"/>
    <w:rsid w:val="00DC4B95"/>
    <w:rsid w:val="00DC4BF5"/>
    <w:rsid w:val="00DC51E2"/>
    <w:rsid w:val="00DC63F0"/>
    <w:rsid w:val="00DD507B"/>
    <w:rsid w:val="00DD578E"/>
    <w:rsid w:val="00DD61DE"/>
    <w:rsid w:val="00DD6EE5"/>
    <w:rsid w:val="00DD7252"/>
    <w:rsid w:val="00DD7B83"/>
    <w:rsid w:val="00DE386C"/>
    <w:rsid w:val="00DE4D35"/>
    <w:rsid w:val="00DE4EA9"/>
    <w:rsid w:val="00DF0549"/>
    <w:rsid w:val="00DF098B"/>
    <w:rsid w:val="00DF11C4"/>
    <w:rsid w:val="00DF210C"/>
    <w:rsid w:val="00DF4B6A"/>
    <w:rsid w:val="00DF5D1F"/>
    <w:rsid w:val="00DF7012"/>
    <w:rsid w:val="00E018B3"/>
    <w:rsid w:val="00E02C09"/>
    <w:rsid w:val="00E03DC6"/>
    <w:rsid w:val="00E045B0"/>
    <w:rsid w:val="00E04741"/>
    <w:rsid w:val="00E04D59"/>
    <w:rsid w:val="00E07DA1"/>
    <w:rsid w:val="00E123CB"/>
    <w:rsid w:val="00E133CD"/>
    <w:rsid w:val="00E13AD3"/>
    <w:rsid w:val="00E1557C"/>
    <w:rsid w:val="00E20E13"/>
    <w:rsid w:val="00E21DBC"/>
    <w:rsid w:val="00E260A4"/>
    <w:rsid w:val="00E275D7"/>
    <w:rsid w:val="00E27AF1"/>
    <w:rsid w:val="00E27DBE"/>
    <w:rsid w:val="00E32AB1"/>
    <w:rsid w:val="00E337E1"/>
    <w:rsid w:val="00E36C71"/>
    <w:rsid w:val="00E40404"/>
    <w:rsid w:val="00E42FD9"/>
    <w:rsid w:val="00E43515"/>
    <w:rsid w:val="00E459C6"/>
    <w:rsid w:val="00E46347"/>
    <w:rsid w:val="00E47589"/>
    <w:rsid w:val="00E54EA0"/>
    <w:rsid w:val="00E64915"/>
    <w:rsid w:val="00E661D4"/>
    <w:rsid w:val="00E66A5A"/>
    <w:rsid w:val="00E70091"/>
    <w:rsid w:val="00E720F5"/>
    <w:rsid w:val="00E724F7"/>
    <w:rsid w:val="00E76D47"/>
    <w:rsid w:val="00E826BE"/>
    <w:rsid w:val="00E849F7"/>
    <w:rsid w:val="00E90302"/>
    <w:rsid w:val="00E9597F"/>
    <w:rsid w:val="00E972C0"/>
    <w:rsid w:val="00E97396"/>
    <w:rsid w:val="00E97FB3"/>
    <w:rsid w:val="00EA185E"/>
    <w:rsid w:val="00EA3EFC"/>
    <w:rsid w:val="00EA592A"/>
    <w:rsid w:val="00EB0796"/>
    <w:rsid w:val="00EB14E4"/>
    <w:rsid w:val="00EB32A5"/>
    <w:rsid w:val="00EB34ED"/>
    <w:rsid w:val="00EB7BE0"/>
    <w:rsid w:val="00EC315E"/>
    <w:rsid w:val="00ED077C"/>
    <w:rsid w:val="00ED0858"/>
    <w:rsid w:val="00ED1190"/>
    <w:rsid w:val="00ED6544"/>
    <w:rsid w:val="00EE0277"/>
    <w:rsid w:val="00EE1DA9"/>
    <w:rsid w:val="00EE3E00"/>
    <w:rsid w:val="00EE5DD2"/>
    <w:rsid w:val="00EE720B"/>
    <w:rsid w:val="00EF41F1"/>
    <w:rsid w:val="00EF4F08"/>
    <w:rsid w:val="00EF743B"/>
    <w:rsid w:val="00F00A79"/>
    <w:rsid w:val="00F00E86"/>
    <w:rsid w:val="00F0150C"/>
    <w:rsid w:val="00F01B17"/>
    <w:rsid w:val="00F02ADD"/>
    <w:rsid w:val="00F04409"/>
    <w:rsid w:val="00F04631"/>
    <w:rsid w:val="00F05F03"/>
    <w:rsid w:val="00F07C1E"/>
    <w:rsid w:val="00F105DB"/>
    <w:rsid w:val="00F132BC"/>
    <w:rsid w:val="00F13D80"/>
    <w:rsid w:val="00F16AAA"/>
    <w:rsid w:val="00F21161"/>
    <w:rsid w:val="00F218EF"/>
    <w:rsid w:val="00F21BC7"/>
    <w:rsid w:val="00F25F4C"/>
    <w:rsid w:val="00F266A2"/>
    <w:rsid w:val="00F26AD8"/>
    <w:rsid w:val="00F32269"/>
    <w:rsid w:val="00F34482"/>
    <w:rsid w:val="00F36371"/>
    <w:rsid w:val="00F44679"/>
    <w:rsid w:val="00F461A5"/>
    <w:rsid w:val="00F47B5E"/>
    <w:rsid w:val="00F52936"/>
    <w:rsid w:val="00F55588"/>
    <w:rsid w:val="00F56A6F"/>
    <w:rsid w:val="00F5709C"/>
    <w:rsid w:val="00F60A8F"/>
    <w:rsid w:val="00F63EF4"/>
    <w:rsid w:val="00F64EF1"/>
    <w:rsid w:val="00F67DA3"/>
    <w:rsid w:val="00F7398C"/>
    <w:rsid w:val="00F77D2D"/>
    <w:rsid w:val="00F8765F"/>
    <w:rsid w:val="00F900A8"/>
    <w:rsid w:val="00F90767"/>
    <w:rsid w:val="00F92CDC"/>
    <w:rsid w:val="00F94B23"/>
    <w:rsid w:val="00F95566"/>
    <w:rsid w:val="00FA4EBF"/>
    <w:rsid w:val="00FA685B"/>
    <w:rsid w:val="00FB0C01"/>
    <w:rsid w:val="00FB2D93"/>
    <w:rsid w:val="00FB4FF1"/>
    <w:rsid w:val="00FB75CF"/>
    <w:rsid w:val="00FC18F2"/>
    <w:rsid w:val="00FC39E5"/>
    <w:rsid w:val="00FC3A78"/>
    <w:rsid w:val="00FC5FFE"/>
    <w:rsid w:val="00FD1005"/>
    <w:rsid w:val="00FD3180"/>
    <w:rsid w:val="00FD5CB6"/>
    <w:rsid w:val="00FD6C75"/>
    <w:rsid w:val="00FE4A72"/>
    <w:rsid w:val="00FE71B3"/>
    <w:rsid w:val="00FF42C5"/>
    <w:rsid w:val="00FF596A"/>
    <w:rsid w:val="00FF6362"/>
    <w:rsid w:val="00FF65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2FE6"/>
    <w:pPr>
      <w:jc w:val="both"/>
    </w:pPr>
    <w:rPr>
      <w:rFonts w:eastAsiaTheme="minorEastAsia"/>
      <w:sz w:val="24"/>
    </w:rPr>
  </w:style>
  <w:style w:type="paragraph" w:styleId="Nagwek1">
    <w:name w:val="heading 1"/>
    <w:basedOn w:val="Normalny"/>
    <w:next w:val="Normalny"/>
    <w:link w:val="Nagwek1Znak"/>
    <w:uiPriority w:val="99"/>
    <w:semiHidden/>
    <w:rsid w:val="00322F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22F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22F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22F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22F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22F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22F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22F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22F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22FE6"/>
    <w:rPr>
      <w:rFonts w:ascii="Tahoma" w:hAnsi="Tahoma" w:cs="Tahoma"/>
      <w:sz w:val="16"/>
      <w:szCs w:val="16"/>
    </w:rPr>
  </w:style>
  <w:style w:type="character" w:customStyle="1" w:styleId="TekstdymkaZnak">
    <w:name w:val="Tekst dymka Znak"/>
    <w:basedOn w:val="Domylnaczcionkaakapitu"/>
    <w:link w:val="Tekstdymka"/>
    <w:uiPriority w:val="99"/>
    <w:semiHidden/>
    <w:rsid w:val="00322FE6"/>
    <w:rPr>
      <w:rFonts w:ascii="Tahoma" w:eastAsiaTheme="minorEastAsia" w:hAnsi="Tahoma" w:cs="Tahoma"/>
      <w:sz w:val="16"/>
      <w:szCs w:val="16"/>
    </w:rPr>
  </w:style>
  <w:style w:type="character" w:styleId="Tytuksiki">
    <w:name w:val="Book Title"/>
    <w:uiPriority w:val="99"/>
    <w:semiHidden/>
    <w:qFormat/>
    <w:rsid w:val="00322FE6"/>
    <w:rPr>
      <w:i/>
      <w:iCs/>
      <w:smallCaps/>
      <w:spacing w:val="5"/>
    </w:rPr>
  </w:style>
  <w:style w:type="paragraph" w:customStyle="1" w:styleId="ECHRHeader">
    <w:name w:val="ECHR_Header"/>
    <w:aliases w:val="Ju_Header"/>
    <w:basedOn w:val="Nagwek"/>
    <w:uiPriority w:val="4"/>
    <w:qFormat/>
    <w:rsid w:val="00322F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22FE6"/>
    <w:pPr>
      <w:jc w:val="left"/>
    </w:pPr>
    <w:rPr>
      <w:sz w:val="8"/>
    </w:rPr>
  </w:style>
  <w:style w:type="character" w:styleId="Pogrubienie">
    <w:name w:val="Strong"/>
    <w:uiPriority w:val="99"/>
    <w:semiHidden/>
    <w:qFormat/>
    <w:rsid w:val="00322FE6"/>
    <w:rPr>
      <w:b/>
      <w:bCs/>
    </w:rPr>
  </w:style>
  <w:style w:type="paragraph" w:styleId="Bezodstpw">
    <w:name w:val="No Spacing"/>
    <w:basedOn w:val="Normalny"/>
    <w:link w:val="BezodstpwZnak"/>
    <w:semiHidden/>
    <w:qFormat/>
    <w:rsid w:val="00322FE6"/>
    <w:rPr>
      <w:sz w:val="22"/>
    </w:rPr>
  </w:style>
  <w:style w:type="character" w:customStyle="1" w:styleId="BezodstpwZnak">
    <w:name w:val="Bez odstępów Znak"/>
    <w:basedOn w:val="Domylnaczcionkaakapitu"/>
    <w:link w:val="Bezodstpw"/>
    <w:semiHidden/>
    <w:rsid w:val="00322FE6"/>
    <w:rPr>
      <w:rFonts w:eastAsiaTheme="minorEastAsia"/>
    </w:rPr>
  </w:style>
  <w:style w:type="paragraph" w:customStyle="1" w:styleId="ECHRFooterLine">
    <w:name w:val="ECHR_Footer_Line"/>
    <w:aliases w:val="Footer_Line"/>
    <w:basedOn w:val="Normalny"/>
    <w:next w:val="ECHRFooter"/>
    <w:uiPriority w:val="57"/>
    <w:semiHidden/>
    <w:rsid w:val="00322F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322FE6"/>
    <w:pPr>
      <w:numPr>
        <w:numId w:val="14"/>
      </w:numPr>
      <w:jc w:val="left"/>
    </w:pPr>
    <w:rPr>
      <w:b/>
    </w:rPr>
  </w:style>
  <w:style w:type="paragraph" w:customStyle="1" w:styleId="OpiPara">
    <w:name w:val="Opi_Para"/>
    <w:basedOn w:val="ECHRPara"/>
    <w:uiPriority w:val="46"/>
    <w:qFormat/>
    <w:rsid w:val="00322FE6"/>
  </w:style>
  <w:style w:type="paragraph" w:customStyle="1" w:styleId="JuParaSub">
    <w:name w:val="Ju_Para_Sub"/>
    <w:basedOn w:val="ECHRPara"/>
    <w:uiPriority w:val="13"/>
    <w:qFormat/>
    <w:rsid w:val="00322FE6"/>
    <w:pPr>
      <w:ind w:left="284"/>
    </w:pPr>
  </w:style>
  <w:style w:type="paragraph" w:customStyle="1" w:styleId="ECHRTitleCentre3">
    <w:name w:val="ECHR_Title_Centre_3"/>
    <w:aliases w:val="Ju_H_Article"/>
    <w:basedOn w:val="Normalny"/>
    <w:next w:val="ECHRParaQuote"/>
    <w:uiPriority w:val="27"/>
    <w:qFormat/>
    <w:rsid w:val="00322F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22F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22FE6"/>
  </w:style>
  <w:style w:type="paragraph" w:customStyle="1" w:styleId="OpiQuot">
    <w:name w:val="Opi_Quot"/>
    <w:basedOn w:val="ECHRParaQuote"/>
    <w:uiPriority w:val="48"/>
    <w:qFormat/>
    <w:rsid w:val="00322FE6"/>
  </w:style>
  <w:style w:type="paragraph" w:customStyle="1" w:styleId="OpiQuotSub">
    <w:name w:val="Opi_Quot_Sub"/>
    <w:basedOn w:val="JuQuotSub"/>
    <w:uiPriority w:val="49"/>
    <w:qFormat/>
    <w:rsid w:val="00322FE6"/>
  </w:style>
  <w:style w:type="paragraph" w:customStyle="1" w:styleId="ECHRTitleCentre2">
    <w:name w:val="ECHR_Title_Centre_2"/>
    <w:aliases w:val="Dec_H_Case"/>
    <w:basedOn w:val="Normalny"/>
    <w:next w:val="ECHRPara"/>
    <w:uiPriority w:val="8"/>
    <w:rsid w:val="00322FE6"/>
    <w:pPr>
      <w:spacing w:after="240"/>
      <w:jc w:val="center"/>
      <w:outlineLvl w:val="0"/>
    </w:pPr>
    <w:rPr>
      <w:rFonts w:asciiTheme="majorHAnsi" w:hAnsiTheme="majorHAnsi"/>
    </w:rPr>
  </w:style>
  <w:style w:type="paragraph" w:customStyle="1" w:styleId="JuTitle">
    <w:name w:val="Ju_Title"/>
    <w:basedOn w:val="Normalny"/>
    <w:next w:val="ECHRPara"/>
    <w:uiPriority w:val="3"/>
    <w:rsid w:val="00322F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22F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22F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22F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22F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22F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22F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22FE6"/>
    <w:pPr>
      <w:keepNext/>
      <w:keepLines/>
      <w:spacing w:before="240" w:after="120"/>
      <w:ind w:left="1236"/>
    </w:pPr>
    <w:rPr>
      <w:sz w:val="20"/>
    </w:rPr>
  </w:style>
  <w:style w:type="paragraph" w:customStyle="1" w:styleId="JuQuotSub">
    <w:name w:val="Ju_Quot_Sub"/>
    <w:basedOn w:val="ECHRParaQuote"/>
    <w:uiPriority w:val="15"/>
    <w:qFormat/>
    <w:rsid w:val="00322FE6"/>
    <w:pPr>
      <w:ind w:left="567"/>
    </w:pPr>
  </w:style>
  <w:style w:type="paragraph" w:customStyle="1" w:styleId="JuInitialled">
    <w:name w:val="Ju_Initialled"/>
    <w:basedOn w:val="Normalny"/>
    <w:uiPriority w:val="31"/>
    <w:qFormat/>
    <w:rsid w:val="00322FE6"/>
    <w:pPr>
      <w:tabs>
        <w:tab w:val="center" w:pos="6407"/>
      </w:tabs>
      <w:spacing w:before="720"/>
      <w:jc w:val="right"/>
    </w:pPr>
  </w:style>
  <w:style w:type="paragraph" w:customStyle="1" w:styleId="JuSigned">
    <w:name w:val="Ju_Signed"/>
    <w:basedOn w:val="Normalny"/>
    <w:next w:val="JuParaLast"/>
    <w:uiPriority w:val="32"/>
    <w:qFormat/>
    <w:rsid w:val="00322FE6"/>
    <w:pPr>
      <w:tabs>
        <w:tab w:val="center" w:pos="851"/>
        <w:tab w:val="center" w:pos="6407"/>
      </w:tabs>
      <w:spacing w:before="720"/>
      <w:jc w:val="left"/>
    </w:pPr>
  </w:style>
  <w:style w:type="paragraph" w:styleId="Nagwek">
    <w:name w:val="header"/>
    <w:basedOn w:val="Normalny"/>
    <w:link w:val="NagwekZnak"/>
    <w:uiPriority w:val="57"/>
    <w:semiHidden/>
    <w:rsid w:val="00322F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22FE6"/>
    <w:rPr>
      <w:sz w:val="24"/>
    </w:rPr>
  </w:style>
  <w:style w:type="character" w:customStyle="1" w:styleId="Nagwek1Znak">
    <w:name w:val="Nagłówek 1 Znak"/>
    <w:basedOn w:val="Domylnaczcionkaakapitu"/>
    <w:link w:val="Nagwek1"/>
    <w:uiPriority w:val="99"/>
    <w:semiHidden/>
    <w:rsid w:val="00322F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22F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22F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22FE6"/>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322FE6"/>
    <w:pPr>
      <w:tabs>
        <w:tab w:val="clear" w:pos="357"/>
      </w:tabs>
      <w:outlineLvl w:val="1"/>
    </w:pPr>
    <w:rPr>
      <w:b/>
    </w:rPr>
  </w:style>
  <w:style w:type="paragraph" w:customStyle="1" w:styleId="JuCase">
    <w:name w:val="Ju_Case"/>
    <w:basedOn w:val="Normalny"/>
    <w:next w:val="ECHRPara"/>
    <w:uiPriority w:val="10"/>
    <w:rsid w:val="00322FE6"/>
    <w:pPr>
      <w:ind w:firstLine="284"/>
    </w:pPr>
    <w:rPr>
      <w:b/>
    </w:rPr>
  </w:style>
  <w:style w:type="character" w:customStyle="1" w:styleId="Nagwek3Znak">
    <w:name w:val="Nagłówek 3 Znak"/>
    <w:basedOn w:val="Domylnaczcionkaakapitu"/>
    <w:link w:val="Nagwek3"/>
    <w:uiPriority w:val="99"/>
    <w:semiHidden/>
    <w:rsid w:val="00322F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22F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22FE6"/>
    <w:rPr>
      <w:rFonts w:asciiTheme="majorHAnsi" w:eastAsiaTheme="majorEastAsia" w:hAnsiTheme="majorHAnsi" w:cstheme="majorBidi"/>
      <w:b/>
      <w:bCs/>
      <w:color w:val="808080"/>
    </w:rPr>
  </w:style>
  <w:style w:type="character" w:styleId="Wyrnieniedelikatne">
    <w:name w:val="Subtle Emphasis"/>
    <w:uiPriority w:val="99"/>
    <w:semiHidden/>
    <w:qFormat/>
    <w:rsid w:val="00322F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22FE6"/>
    <w:pPr>
      <w:keepNext/>
      <w:keepLines/>
      <w:spacing w:before="720" w:after="240"/>
      <w:outlineLvl w:val="0"/>
    </w:pPr>
    <w:rPr>
      <w:rFonts w:asciiTheme="majorHAnsi" w:hAnsiTheme="majorHAnsi"/>
      <w:sz w:val="28"/>
    </w:rPr>
  </w:style>
  <w:style w:type="character" w:styleId="Uwydatnienie">
    <w:name w:val="Emphasis"/>
    <w:uiPriority w:val="99"/>
    <w:semiHidden/>
    <w:qFormat/>
    <w:rsid w:val="00322FE6"/>
    <w:rPr>
      <w:b/>
      <w:bCs/>
      <w:i/>
      <w:iCs/>
      <w:spacing w:val="10"/>
      <w:bdr w:val="none" w:sz="0" w:space="0" w:color="auto"/>
      <w:shd w:val="clear" w:color="auto" w:fill="auto"/>
    </w:rPr>
  </w:style>
  <w:style w:type="paragraph" w:styleId="Stopka">
    <w:name w:val="footer"/>
    <w:basedOn w:val="Normalny"/>
    <w:link w:val="StopkaZnak"/>
    <w:uiPriority w:val="57"/>
    <w:semiHidden/>
    <w:rsid w:val="00322F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22FE6"/>
    <w:rPr>
      <w:sz w:val="24"/>
    </w:rPr>
  </w:style>
  <w:style w:type="character" w:styleId="Odwoanieprzypisudolnego">
    <w:name w:val="footnote reference"/>
    <w:basedOn w:val="Domylnaczcionkaakapitu"/>
    <w:uiPriority w:val="99"/>
    <w:semiHidden/>
    <w:rsid w:val="00322FE6"/>
    <w:rPr>
      <w:vertAlign w:val="superscript"/>
    </w:rPr>
  </w:style>
  <w:style w:type="paragraph" w:styleId="Tekstprzypisudolnego">
    <w:name w:val="footnote text"/>
    <w:basedOn w:val="Normalny"/>
    <w:link w:val="TekstprzypisudolnegoZnak"/>
    <w:uiPriority w:val="99"/>
    <w:semiHidden/>
    <w:rsid w:val="00322FE6"/>
    <w:rPr>
      <w:sz w:val="20"/>
      <w:szCs w:val="20"/>
    </w:rPr>
  </w:style>
  <w:style w:type="character" w:customStyle="1" w:styleId="TekstprzypisudolnegoZnak">
    <w:name w:val="Tekst przypisu dolnego Znak"/>
    <w:basedOn w:val="Domylnaczcionkaakapitu"/>
    <w:link w:val="Tekstprzypisudolnego"/>
    <w:uiPriority w:val="99"/>
    <w:semiHidden/>
    <w:rsid w:val="00322FE6"/>
    <w:rPr>
      <w:rFonts w:eastAsiaTheme="minorEastAsia"/>
      <w:sz w:val="20"/>
      <w:szCs w:val="20"/>
    </w:rPr>
  </w:style>
  <w:style w:type="character" w:customStyle="1" w:styleId="Nagwek6Znak">
    <w:name w:val="Nagłówek 6 Znak"/>
    <w:basedOn w:val="Domylnaczcionkaakapitu"/>
    <w:link w:val="Nagwek6"/>
    <w:uiPriority w:val="99"/>
    <w:semiHidden/>
    <w:rsid w:val="00322F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22F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22F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22F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22FE6"/>
    <w:rPr>
      <w:color w:val="0072BC" w:themeColor="hyperlink"/>
      <w:u w:val="single"/>
    </w:rPr>
  </w:style>
  <w:style w:type="character" w:styleId="Wyrnienieintensywne">
    <w:name w:val="Intense Emphasis"/>
    <w:uiPriority w:val="99"/>
    <w:semiHidden/>
    <w:qFormat/>
    <w:rsid w:val="00322FE6"/>
    <w:rPr>
      <w:b/>
      <w:bCs/>
    </w:rPr>
  </w:style>
  <w:style w:type="paragraph" w:styleId="Cytatintensywny">
    <w:name w:val="Intense Quote"/>
    <w:basedOn w:val="Normalny"/>
    <w:next w:val="Normalny"/>
    <w:link w:val="CytatintensywnyZnak"/>
    <w:uiPriority w:val="99"/>
    <w:semiHidden/>
    <w:qFormat/>
    <w:rsid w:val="00322F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22FE6"/>
    <w:rPr>
      <w:rFonts w:eastAsiaTheme="minorEastAsia"/>
      <w:b/>
      <w:bCs/>
      <w:i/>
      <w:iCs/>
      <w:lang w:bidi="en-US"/>
    </w:rPr>
  </w:style>
  <w:style w:type="character" w:styleId="Odwoanieintensywne">
    <w:name w:val="Intense Reference"/>
    <w:uiPriority w:val="99"/>
    <w:semiHidden/>
    <w:qFormat/>
    <w:rsid w:val="00322FE6"/>
    <w:rPr>
      <w:smallCaps/>
      <w:spacing w:val="5"/>
      <w:u w:val="single"/>
    </w:rPr>
  </w:style>
  <w:style w:type="paragraph" w:styleId="Akapitzlist">
    <w:name w:val="List Paragraph"/>
    <w:basedOn w:val="Normalny"/>
    <w:uiPriority w:val="99"/>
    <w:semiHidden/>
    <w:qFormat/>
    <w:rsid w:val="00322F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22F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22FE6"/>
    <w:rPr>
      <w:rFonts w:eastAsiaTheme="minorEastAsia"/>
      <w:i/>
      <w:iCs/>
      <w:lang w:bidi="en-US"/>
    </w:rPr>
  </w:style>
  <w:style w:type="character" w:styleId="Odwoaniedelikatne">
    <w:name w:val="Subtle Reference"/>
    <w:uiPriority w:val="99"/>
    <w:semiHidden/>
    <w:qFormat/>
    <w:rsid w:val="00322FE6"/>
    <w:rPr>
      <w:smallCaps/>
    </w:rPr>
  </w:style>
  <w:style w:type="table" w:styleId="Tabela-Siatka">
    <w:name w:val="Table Grid"/>
    <w:basedOn w:val="Standardowy"/>
    <w:uiPriority w:val="59"/>
    <w:semiHidden/>
    <w:rsid w:val="00322F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22F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22FE6"/>
    <w:pPr>
      <w:spacing w:after="60"/>
      <w:ind w:left="680" w:right="340" w:hanging="340"/>
    </w:pPr>
  </w:style>
  <w:style w:type="paragraph" w:styleId="Spistreci3">
    <w:name w:val="toc 3"/>
    <w:basedOn w:val="Normalny"/>
    <w:next w:val="Normalny"/>
    <w:autoRedefine/>
    <w:uiPriority w:val="99"/>
    <w:semiHidden/>
    <w:rsid w:val="00322FE6"/>
    <w:pPr>
      <w:spacing w:after="60"/>
      <w:ind w:left="1020" w:right="340" w:hanging="340"/>
    </w:pPr>
  </w:style>
  <w:style w:type="paragraph" w:styleId="Spistreci4">
    <w:name w:val="toc 4"/>
    <w:basedOn w:val="Normalny"/>
    <w:next w:val="Normalny"/>
    <w:autoRedefine/>
    <w:uiPriority w:val="99"/>
    <w:semiHidden/>
    <w:rsid w:val="00322FE6"/>
    <w:pPr>
      <w:tabs>
        <w:tab w:val="right" w:leader="dot" w:pos="9017"/>
      </w:tabs>
      <w:spacing w:after="60"/>
      <w:ind w:left="1361" w:right="340" w:hanging="340"/>
    </w:pPr>
  </w:style>
  <w:style w:type="paragraph" w:styleId="Spistreci5">
    <w:name w:val="toc 5"/>
    <w:basedOn w:val="Normalny"/>
    <w:next w:val="Normalny"/>
    <w:autoRedefine/>
    <w:uiPriority w:val="99"/>
    <w:semiHidden/>
    <w:rsid w:val="00322FE6"/>
    <w:pPr>
      <w:spacing w:after="60"/>
      <w:ind w:left="1701" w:right="340" w:hanging="340"/>
    </w:pPr>
  </w:style>
  <w:style w:type="paragraph" w:styleId="Nagwekspisutreci">
    <w:name w:val="TOC Heading"/>
    <w:basedOn w:val="Nagwek1"/>
    <w:next w:val="Normalny"/>
    <w:uiPriority w:val="99"/>
    <w:semiHidden/>
    <w:qFormat/>
    <w:rsid w:val="00322F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22F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22FE6"/>
    <w:pPr>
      <w:spacing w:before="120" w:after="120"/>
      <w:ind w:left="425" w:firstLine="142"/>
    </w:pPr>
    <w:rPr>
      <w:sz w:val="20"/>
    </w:rPr>
  </w:style>
  <w:style w:type="paragraph" w:customStyle="1" w:styleId="ECHRPara">
    <w:name w:val="ECHR_Para"/>
    <w:aliases w:val="Ju_Para"/>
    <w:basedOn w:val="Normalny"/>
    <w:link w:val="ECHRParaChar"/>
    <w:uiPriority w:val="12"/>
    <w:qFormat/>
    <w:rsid w:val="00322F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2F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22F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22FE6"/>
    <w:pPr>
      <w:ind w:left="340" w:hanging="340"/>
    </w:pPr>
  </w:style>
  <w:style w:type="character" w:customStyle="1" w:styleId="JUNAMES">
    <w:name w:val="JU_NAMES"/>
    <w:uiPriority w:val="17"/>
    <w:qFormat/>
    <w:rsid w:val="00322FE6"/>
    <w:rPr>
      <w:caps w:val="0"/>
      <w:smallCaps/>
    </w:rPr>
  </w:style>
  <w:style w:type="paragraph" w:customStyle="1" w:styleId="JuParaLast">
    <w:name w:val="Ju_Para_Last"/>
    <w:basedOn w:val="Normalny"/>
    <w:next w:val="ECHRPara"/>
    <w:uiPriority w:val="30"/>
    <w:qFormat/>
    <w:rsid w:val="00322FE6"/>
    <w:pPr>
      <w:keepNext/>
      <w:keepLines/>
      <w:spacing w:before="240"/>
      <w:ind w:firstLine="284"/>
    </w:pPr>
  </w:style>
  <w:style w:type="character" w:customStyle="1" w:styleId="JuITMark">
    <w:name w:val="Ju_ITMark"/>
    <w:basedOn w:val="Domylnaczcionkaakapitu"/>
    <w:uiPriority w:val="38"/>
    <w:qFormat/>
    <w:rsid w:val="00322FE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22FE6"/>
    <w:pPr>
      <w:ind w:left="346" w:firstLine="0"/>
    </w:pPr>
  </w:style>
  <w:style w:type="paragraph" w:customStyle="1" w:styleId="JuListi">
    <w:name w:val="Ju_List_i"/>
    <w:basedOn w:val="Normalny"/>
    <w:next w:val="JuLista"/>
    <w:uiPriority w:val="28"/>
    <w:qFormat/>
    <w:rsid w:val="00322F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322F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322FE6"/>
  </w:style>
  <w:style w:type="paragraph" w:styleId="Podtytu">
    <w:name w:val="Subtitle"/>
    <w:basedOn w:val="Normalny"/>
    <w:next w:val="Normalny"/>
    <w:link w:val="PodtytuZnak"/>
    <w:uiPriority w:val="99"/>
    <w:semiHidden/>
    <w:qFormat/>
    <w:rsid w:val="00322F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22F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22F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322FE6"/>
    <w:pPr>
      <w:spacing w:before="240"/>
      <w:ind w:left="284"/>
    </w:pPr>
  </w:style>
  <w:style w:type="paragraph" w:customStyle="1" w:styleId="OpiH1">
    <w:name w:val="Opi_H_1"/>
    <w:basedOn w:val="ECHRHeading2"/>
    <w:uiPriority w:val="42"/>
    <w:qFormat/>
    <w:rsid w:val="00322FE6"/>
    <w:pPr>
      <w:ind w:left="635" w:hanging="357"/>
      <w:outlineLvl w:val="2"/>
    </w:pPr>
  </w:style>
  <w:style w:type="paragraph" w:customStyle="1" w:styleId="OpiHa0">
    <w:name w:val="Opi_H_a"/>
    <w:basedOn w:val="ECHRHeading3"/>
    <w:uiPriority w:val="43"/>
    <w:qFormat/>
    <w:rsid w:val="00322FE6"/>
    <w:pPr>
      <w:ind w:left="833" w:hanging="357"/>
      <w:outlineLvl w:val="3"/>
    </w:pPr>
    <w:rPr>
      <w:b/>
      <w:i w:val="0"/>
      <w:sz w:val="20"/>
    </w:rPr>
  </w:style>
  <w:style w:type="paragraph" w:customStyle="1" w:styleId="OpiHi">
    <w:name w:val="Opi_H_i"/>
    <w:basedOn w:val="ECHRHeading4"/>
    <w:uiPriority w:val="44"/>
    <w:qFormat/>
    <w:rsid w:val="00322FE6"/>
    <w:pPr>
      <w:ind w:left="1037" w:hanging="357"/>
      <w:outlineLvl w:val="4"/>
    </w:pPr>
    <w:rPr>
      <w:b w:val="0"/>
      <w:i/>
    </w:rPr>
  </w:style>
  <w:style w:type="paragraph" w:customStyle="1" w:styleId="DummyStyle">
    <w:name w:val="Dummy_Style"/>
    <w:basedOn w:val="Normalny"/>
    <w:semiHidden/>
    <w:qFormat/>
    <w:rsid w:val="00322FE6"/>
    <w:rPr>
      <w:color w:val="00B050"/>
    </w:rPr>
  </w:style>
  <w:style w:type="character" w:customStyle="1" w:styleId="ECHRParaChar">
    <w:name w:val="ECHR_Para Char"/>
    <w:aliases w:val="Ju_Para Char"/>
    <w:link w:val="ECHRPara"/>
    <w:uiPriority w:val="12"/>
    <w:rsid w:val="00DE4EA9"/>
    <w:rPr>
      <w:rFonts w:eastAsiaTheme="minorEastAsia"/>
      <w:sz w:val="24"/>
    </w:rPr>
  </w:style>
  <w:style w:type="paragraph" w:styleId="Poprawka">
    <w:name w:val="Revision"/>
    <w:hidden/>
    <w:uiPriority w:val="99"/>
    <w:semiHidden/>
    <w:rsid w:val="00E43515"/>
    <w:rPr>
      <w:rFonts w:eastAsiaTheme="minorEastAsia"/>
      <w:sz w:val="24"/>
    </w:rPr>
  </w:style>
  <w:style w:type="paragraph" w:customStyle="1" w:styleId="s32b251d">
    <w:name w:val="s32b251d"/>
    <w:basedOn w:val="Normalny"/>
    <w:rsid w:val="00A842E7"/>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A842E7"/>
  </w:style>
  <w:style w:type="character" w:customStyle="1" w:styleId="s556a1de3">
    <w:name w:val="s556a1de3"/>
    <w:basedOn w:val="Domylnaczcionkaakapitu"/>
    <w:rsid w:val="00A842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2FE6"/>
    <w:pPr>
      <w:jc w:val="both"/>
    </w:pPr>
    <w:rPr>
      <w:rFonts w:eastAsiaTheme="minorEastAsia"/>
      <w:sz w:val="24"/>
    </w:rPr>
  </w:style>
  <w:style w:type="paragraph" w:styleId="Nagwek1">
    <w:name w:val="heading 1"/>
    <w:basedOn w:val="Normalny"/>
    <w:next w:val="Normalny"/>
    <w:link w:val="Nagwek1Znak"/>
    <w:uiPriority w:val="99"/>
    <w:semiHidden/>
    <w:rsid w:val="00322F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22F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22F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22F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22F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22F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22F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22F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22F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22FE6"/>
    <w:rPr>
      <w:rFonts w:ascii="Tahoma" w:hAnsi="Tahoma" w:cs="Tahoma"/>
      <w:sz w:val="16"/>
      <w:szCs w:val="16"/>
    </w:rPr>
  </w:style>
  <w:style w:type="character" w:customStyle="1" w:styleId="TekstdymkaZnak">
    <w:name w:val="Tekst dymka Znak"/>
    <w:basedOn w:val="Domylnaczcionkaakapitu"/>
    <w:link w:val="Tekstdymka"/>
    <w:uiPriority w:val="99"/>
    <w:semiHidden/>
    <w:rsid w:val="00322FE6"/>
    <w:rPr>
      <w:rFonts w:ascii="Tahoma" w:eastAsiaTheme="minorEastAsia" w:hAnsi="Tahoma" w:cs="Tahoma"/>
      <w:sz w:val="16"/>
      <w:szCs w:val="16"/>
    </w:rPr>
  </w:style>
  <w:style w:type="character" w:styleId="Tytuksiki">
    <w:name w:val="Book Title"/>
    <w:uiPriority w:val="99"/>
    <w:semiHidden/>
    <w:qFormat/>
    <w:rsid w:val="00322FE6"/>
    <w:rPr>
      <w:i/>
      <w:iCs/>
      <w:smallCaps/>
      <w:spacing w:val="5"/>
    </w:rPr>
  </w:style>
  <w:style w:type="paragraph" w:customStyle="1" w:styleId="ECHRHeader">
    <w:name w:val="ECHR_Header"/>
    <w:aliases w:val="Ju_Header"/>
    <w:basedOn w:val="Nagwek"/>
    <w:uiPriority w:val="4"/>
    <w:qFormat/>
    <w:rsid w:val="00322F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22FE6"/>
    <w:pPr>
      <w:jc w:val="left"/>
    </w:pPr>
    <w:rPr>
      <w:sz w:val="8"/>
    </w:rPr>
  </w:style>
  <w:style w:type="character" w:styleId="Pogrubienie">
    <w:name w:val="Strong"/>
    <w:uiPriority w:val="99"/>
    <w:semiHidden/>
    <w:qFormat/>
    <w:rsid w:val="00322FE6"/>
    <w:rPr>
      <w:b/>
      <w:bCs/>
    </w:rPr>
  </w:style>
  <w:style w:type="paragraph" w:styleId="Bezodstpw">
    <w:name w:val="No Spacing"/>
    <w:basedOn w:val="Normalny"/>
    <w:link w:val="BezodstpwZnak"/>
    <w:semiHidden/>
    <w:qFormat/>
    <w:rsid w:val="00322FE6"/>
    <w:rPr>
      <w:sz w:val="22"/>
    </w:rPr>
  </w:style>
  <w:style w:type="character" w:customStyle="1" w:styleId="BezodstpwZnak">
    <w:name w:val="Bez odstępów Znak"/>
    <w:basedOn w:val="Domylnaczcionkaakapitu"/>
    <w:link w:val="Bezodstpw"/>
    <w:semiHidden/>
    <w:rsid w:val="00322FE6"/>
    <w:rPr>
      <w:rFonts w:eastAsiaTheme="minorEastAsia"/>
    </w:rPr>
  </w:style>
  <w:style w:type="paragraph" w:customStyle="1" w:styleId="ECHRFooterLine">
    <w:name w:val="ECHR_Footer_Line"/>
    <w:aliases w:val="Footer_Line"/>
    <w:basedOn w:val="Normalny"/>
    <w:next w:val="ECHRFooter"/>
    <w:uiPriority w:val="57"/>
    <w:semiHidden/>
    <w:rsid w:val="00322F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322FE6"/>
    <w:pPr>
      <w:numPr>
        <w:numId w:val="14"/>
      </w:numPr>
      <w:jc w:val="left"/>
    </w:pPr>
    <w:rPr>
      <w:b/>
    </w:rPr>
  </w:style>
  <w:style w:type="paragraph" w:customStyle="1" w:styleId="OpiPara">
    <w:name w:val="Opi_Para"/>
    <w:basedOn w:val="ECHRPara"/>
    <w:uiPriority w:val="46"/>
    <w:qFormat/>
    <w:rsid w:val="00322FE6"/>
  </w:style>
  <w:style w:type="paragraph" w:customStyle="1" w:styleId="JuParaSub">
    <w:name w:val="Ju_Para_Sub"/>
    <w:basedOn w:val="ECHRPara"/>
    <w:uiPriority w:val="13"/>
    <w:qFormat/>
    <w:rsid w:val="00322FE6"/>
    <w:pPr>
      <w:ind w:left="284"/>
    </w:pPr>
  </w:style>
  <w:style w:type="paragraph" w:customStyle="1" w:styleId="ECHRTitleCentre3">
    <w:name w:val="ECHR_Title_Centre_3"/>
    <w:aliases w:val="Ju_H_Article"/>
    <w:basedOn w:val="Normalny"/>
    <w:next w:val="ECHRParaQuote"/>
    <w:uiPriority w:val="27"/>
    <w:qFormat/>
    <w:rsid w:val="00322F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22F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22FE6"/>
  </w:style>
  <w:style w:type="paragraph" w:customStyle="1" w:styleId="OpiQuot">
    <w:name w:val="Opi_Quot"/>
    <w:basedOn w:val="ECHRParaQuote"/>
    <w:uiPriority w:val="48"/>
    <w:qFormat/>
    <w:rsid w:val="00322FE6"/>
  </w:style>
  <w:style w:type="paragraph" w:customStyle="1" w:styleId="OpiQuotSub">
    <w:name w:val="Opi_Quot_Sub"/>
    <w:basedOn w:val="JuQuotSub"/>
    <w:uiPriority w:val="49"/>
    <w:qFormat/>
    <w:rsid w:val="00322FE6"/>
  </w:style>
  <w:style w:type="paragraph" w:customStyle="1" w:styleId="ECHRTitleCentre2">
    <w:name w:val="ECHR_Title_Centre_2"/>
    <w:aliases w:val="Dec_H_Case"/>
    <w:basedOn w:val="Normalny"/>
    <w:next w:val="ECHRPara"/>
    <w:uiPriority w:val="8"/>
    <w:rsid w:val="00322FE6"/>
    <w:pPr>
      <w:spacing w:after="240"/>
      <w:jc w:val="center"/>
      <w:outlineLvl w:val="0"/>
    </w:pPr>
    <w:rPr>
      <w:rFonts w:asciiTheme="majorHAnsi" w:hAnsiTheme="majorHAnsi"/>
    </w:rPr>
  </w:style>
  <w:style w:type="paragraph" w:customStyle="1" w:styleId="JuTitle">
    <w:name w:val="Ju_Title"/>
    <w:basedOn w:val="Normalny"/>
    <w:next w:val="ECHRPara"/>
    <w:uiPriority w:val="3"/>
    <w:rsid w:val="00322F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22F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22F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22F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22F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22F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22F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22FE6"/>
    <w:pPr>
      <w:keepNext/>
      <w:keepLines/>
      <w:spacing w:before="240" w:after="120"/>
      <w:ind w:left="1236"/>
    </w:pPr>
    <w:rPr>
      <w:sz w:val="20"/>
    </w:rPr>
  </w:style>
  <w:style w:type="paragraph" w:customStyle="1" w:styleId="JuQuotSub">
    <w:name w:val="Ju_Quot_Sub"/>
    <w:basedOn w:val="ECHRParaQuote"/>
    <w:uiPriority w:val="15"/>
    <w:qFormat/>
    <w:rsid w:val="00322FE6"/>
    <w:pPr>
      <w:ind w:left="567"/>
    </w:pPr>
  </w:style>
  <w:style w:type="paragraph" w:customStyle="1" w:styleId="JuInitialled">
    <w:name w:val="Ju_Initialled"/>
    <w:basedOn w:val="Normalny"/>
    <w:uiPriority w:val="31"/>
    <w:qFormat/>
    <w:rsid w:val="00322FE6"/>
    <w:pPr>
      <w:tabs>
        <w:tab w:val="center" w:pos="6407"/>
      </w:tabs>
      <w:spacing w:before="720"/>
      <w:jc w:val="right"/>
    </w:pPr>
  </w:style>
  <w:style w:type="paragraph" w:customStyle="1" w:styleId="JuSigned">
    <w:name w:val="Ju_Signed"/>
    <w:basedOn w:val="Normalny"/>
    <w:next w:val="JuParaLast"/>
    <w:uiPriority w:val="32"/>
    <w:qFormat/>
    <w:rsid w:val="00322FE6"/>
    <w:pPr>
      <w:tabs>
        <w:tab w:val="center" w:pos="851"/>
        <w:tab w:val="center" w:pos="6407"/>
      </w:tabs>
      <w:spacing w:before="720"/>
      <w:jc w:val="left"/>
    </w:pPr>
  </w:style>
  <w:style w:type="paragraph" w:styleId="Nagwek">
    <w:name w:val="header"/>
    <w:basedOn w:val="Normalny"/>
    <w:link w:val="NagwekZnak"/>
    <w:uiPriority w:val="57"/>
    <w:semiHidden/>
    <w:rsid w:val="00322F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22FE6"/>
    <w:rPr>
      <w:sz w:val="24"/>
    </w:rPr>
  </w:style>
  <w:style w:type="character" w:customStyle="1" w:styleId="Nagwek1Znak">
    <w:name w:val="Nagłówek 1 Znak"/>
    <w:basedOn w:val="Domylnaczcionkaakapitu"/>
    <w:link w:val="Nagwek1"/>
    <w:uiPriority w:val="99"/>
    <w:semiHidden/>
    <w:rsid w:val="00322F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22F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22F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22FE6"/>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322FE6"/>
    <w:pPr>
      <w:tabs>
        <w:tab w:val="clear" w:pos="357"/>
      </w:tabs>
      <w:outlineLvl w:val="1"/>
    </w:pPr>
    <w:rPr>
      <w:b/>
    </w:rPr>
  </w:style>
  <w:style w:type="paragraph" w:customStyle="1" w:styleId="JuCase">
    <w:name w:val="Ju_Case"/>
    <w:basedOn w:val="Normalny"/>
    <w:next w:val="ECHRPara"/>
    <w:uiPriority w:val="10"/>
    <w:rsid w:val="00322FE6"/>
    <w:pPr>
      <w:ind w:firstLine="284"/>
    </w:pPr>
    <w:rPr>
      <w:b/>
    </w:rPr>
  </w:style>
  <w:style w:type="character" w:customStyle="1" w:styleId="Nagwek3Znak">
    <w:name w:val="Nagłówek 3 Znak"/>
    <w:basedOn w:val="Domylnaczcionkaakapitu"/>
    <w:link w:val="Nagwek3"/>
    <w:uiPriority w:val="99"/>
    <w:semiHidden/>
    <w:rsid w:val="00322F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22F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22FE6"/>
    <w:rPr>
      <w:rFonts w:asciiTheme="majorHAnsi" w:eastAsiaTheme="majorEastAsia" w:hAnsiTheme="majorHAnsi" w:cstheme="majorBidi"/>
      <w:b/>
      <w:bCs/>
      <w:color w:val="808080"/>
    </w:rPr>
  </w:style>
  <w:style w:type="character" w:styleId="Wyrnieniedelikatne">
    <w:name w:val="Subtle Emphasis"/>
    <w:uiPriority w:val="99"/>
    <w:semiHidden/>
    <w:qFormat/>
    <w:rsid w:val="00322F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22FE6"/>
    <w:pPr>
      <w:keepNext/>
      <w:keepLines/>
      <w:spacing w:before="720" w:after="240"/>
      <w:outlineLvl w:val="0"/>
    </w:pPr>
    <w:rPr>
      <w:rFonts w:asciiTheme="majorHAnsi" w:hAnsiTheme="majorHAnsi"/>
      <w:sz w:val="28"/>
    </w:rPr>
  </w:style>
  <w:style w:type="character" w:styleId="Uwydatnienie">
    <w:name w:val="Emphasis"/>
    <w:uiPriority w:val="99"/>
    <w:semiHidden/>
    <w:qFormat/>
    <w:rsid w:val="00322FE6"/>
    <w:rPr>
      <w:b/>
      <w:bCs/>
      <w:i/>
      <w:iCs/>
      <w:spacing w:val="10"/>
      <w:bdr w:val="none" w:sz="0" w:space="0" w:color="auto"/>
      <w:shd w:val="clear" w:color="auto" w:fill="auto"/>
    </w:rPr>
  </w:style>
  <w:style w:type="paragraph" w:styleId="Stopka">
    <w:name w:val="footer"/>
    <w:basedOn w:val="Normalny"/>
    <w:link w:val="StopkaZnak"/>
    <w:uiPriority w:val="57"/>
    <w:semiHidden/>
    <w:rsid w:val="00322F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22FE6"/>
    <w:rPr>
      <w:sz w:val="24"/>
    </w:rPr>
  </w:style>
  <w:style w:type="character" w:styleId="Odwoanieprzypisudolnego">
    <w:name w:val="footnote reference"/>
    <w:basedOn w:val="Domylnaczcionkaakapitu"/>
    <w:uiPriority w:val="99"/>
    <w:semiHidden/>
    <w:rsid w:val="00322FE6"/>
    <w:rPr>
      <w:vertAlign w:val="superscript"/>
    </w:rPr>
  </w:style>
  <w:style w:type="paragraph" w:styleId="Tekstprzypisudolnego">
    <w:name w:val="footnote text"/>
    <w:basedOn w:val="Normalny"/>
    <w:link w:val="TekstprzypisudolnegoZnak"/>
    <w:uiPriority w:val="99"/>
    <w:semiHidden/>
    <w:rsid w:val="00322FE6"/>
    <w:rPr>
      <w:sz w:val="20"/>
      <w:szCs w:val="20"/>
    </w:rPr>
  </w:style>
  <w:style w:type="character" w:customStyle="1" w:styleId="TekstprzypisudolnegoZnak">
    <w:name w:val="Tekst przypisu dolnego Znak"/>
    <w:basedOn w:val="Domylnaczcionkaakapitu"/>
    <w:link w:val="Tekstprzypisudolnego"/>
    <w:uiPriority w:val="99"/>
    <w:semiHidden/>
    <w:rsid w:val="00322FE6"/>
    <w:rPr>
      <w:rFonts w:eastAsiaTheme="minorEastAsia"/>
      <w:sz w:val="20"/>
      <w:szCs w:val="20"/>
    </w:rPr>
  </w:style>
  <w:style w:type="character" w:customStyle="1" w:styleId="Nagwek6Znak">
    <w:name w:val="Nagłówek 6 Znak"/>
    <w:basedOn w:val="Domylnaczcionkaakapitu"/>
    <w:link w:val="Nagwek6"/>
    <w:uiPriority w:val="99"/>
    <w:semiHidden/>
    <w:rsid w:val="00322F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22F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22F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22F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22FE6"/>
    <w:rPr>
      <w:color w:val="0072BC" w:themeColor="hyperlink"/>
      <w:u w:val="single"/>
    </w:rPr>
  </w:style>
  <w:style w:type="character" w:styleId="Wyrnienieintensywne">
    <w:name w:val="Intense Emphasis"/>
    <w:uiPriority w:val="99"/>
    <w:semiHidden/>
    <w:qFormat/>
    <w:rsid w:val="00322FE6"/>
    <w:rPr>
      <w:b/>
      <w:bCs/>
    </w:rPr>
  </w:style>
  <w:style w:type="paragraph" w:styleId="Cytatintensywny">
    <w:name w:val="Intense Quote"/>
    <w:basedOn w:val="Normalny"/>
    <w:next w:val="Normalny"/>
    <w:link w:val="CytatintensywnyZnak"/>
    <w:uiPriority w:val="99"/>
    <w:semiHidden/>
    <w:qFormat/>
    <w:rsid w:val="00322F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22FE6"/>
    <w:rPr>
      <w:rFonts w:eastAsiaTheme="minorEastAsia"/>
      <w:b/>
      <w:bCs/>
      <w:i/>
      <w:iCs/>
      <w:lang w:bidi="en-US"/>
    </w:rPr>
  </w:style>
  <w:style w:type="character" w:styleId="Odwoanieintensywne">
    <w:name w:val="Intense Reference"/>
    <w:uiPriority w:val="99"/>
    <w:semiHidden/>
    <w:qFormat/>
    <w:rsid w:val="00322FE6"/>
    <w:rPr>
      <w:smallCaps/>
      <w:spacing w:val="5"/>
      <w:u w:val="single"/>
    </w:rPr>
  </w:style>
  <w:style w:type="paragraph" w:styleId="Akapitzlist">
    <w:name w:val="List Paragraph"/>
    <w:basedOn w:val="Normalny"/>
    <w:uiPriority w:val="99"/>
    <w:semiHidden/>
    <w:qFormat/>
    <w:rsid w:val="00322F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22F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22FE6"/>
    <w:rPr>
      <w:rFonts w:eastAsiaTheme="minorEastAsia"/>
      <w:i/>
      <w:iCs/>
      <w:lang w:bidi="en-US"/>
    </w:rPr>
  </w:style>
  <w:style w:type="character" w:styleId="Odwoaniedelikatne">
    <w:name w:val="Subtle Reference"/>
    <w:uiPriority w:val="99"/>
    <w:semiHidden/>
    <w:qFormat/>
    <w:rsid w:val="00322FE6"/>
    <w:rPr>
      <w:smallCaps/>
    </w:rPr>
  </w:style>
  <w:style w:type="table" w:styleId="Tabela-Siatka">
    <w:name w:val="Table Grid"/>
    <w:basedOn w:val="Standardowy"/>
    <w:uiPriority w:val="59"/>
    <w:semiHidden/>
    <w:rsid w:val="00322F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22F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22FE6"/>
    <w:pPr>
      <w:spacing w:after="60"/>
      <w:ind w:left="680" w:right="340" w:hanging="340"/>
    </w:pPr>
  </w:style>
  <w:style w:type="paragraph" w:styleId="Spistreci3">
    <w:name w:val="toc 3"/>
    <w:basedOn w:val="Normalny"/>
    <w:next w:val="Normalny"/>
    <w:autoRedefine/>
    <w:uiPriority w:val="99"/>
    <w:semiHidden/>
    <w:rsid w:val="00322FE6"/>
    <w:pPr>
      <w:spacing w:after="60"/>
      <w:ind w:left="1020" w:right="340" w:hanging="340"/>
    </w:pPr>
  </w:style>
  <w:style w:type="paragraph" w:styleId="Spistreci4">
    <w:name w:val="toc 4"/>
    <w:basedOn w:val="Normalny"/>
    <w:next w:val="Normalny"/>
    <w:autoRedefine/>
    <w:uiPriority w:val="99"/>
    <w:semiHidden/>
    <w:rsid w:val="00322FE6"/>
    <w:pPr>
      <w:tabs>
        <w:tab w:val="right" w:leader="dot" w:pos="9017"/>
      </w:tabs>
      <w:spacing w:after="60"/>
      <w:ind w:left="1361" w:right="340" w:hanging="340"/>
    </w:pPr>
  </w:style>
  <w:style w:type="paragraph" w:styleId="Spistreci5">
    <w:name w:val="toc 5"/>
    <w:basedOn w:val="Normalny"/>
    <w:next w:val="Normalny"/>
    <w:autoRedefine/>
    <w:uiPriority w:val="99"/>
    <w:semiHidden/>
    <w:rsid w:val="00322FE6"/>
    <w:pPr>
      <w:spacing w:after="60"/>
      <w:ind w:left="1701" w:right="340" w:hanging="340"/>
    </w:pPr>
  </w:style>
  <w:style w:type="paragraph" w:styleId="Nagwekspisutreci">
    <w:name w:val="TOC Heading"/>
    <w:basedOn w:val="Nagwek1"/>
    <w:next w:val="Normalny"/>
    <w:uiPriority w:val="99"/>
    <w:semiHidden/>
    <w:qFormat/>
    <w:rsid w:val="00322F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22F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22FE6"/>
    <w:pPr>
      <w:spacing w:before="120" w:after="120"/>
      <w:ind w:left="425" w:firstLine="142"/>
    </w:pPr>
    <w:rPr>
      <w:sz w:val="20"/>
    </w:rPr>
  </w:style>
  <w:style w:type="paragraph" w:customStyle="1" w:styleId="ECHRPara">
    <w:name w:val="ECHR_Para"/>
    <w:aliases w:val="Ju_Para"/>
    <w:basedOn w:val="Normalny"/>
    <w:link w:val="ECHRParaChar"/>
    <w:uiPriority w:val="12"/>
    <w:qFormat/>
    <w:rsid w:val="00322F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2F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22F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22FE6"/>
    <w:pPr>
      <w:ind w:left="340" w:hanging="340"/>
    </w:pPr>
  </w:style>
  <w:style w:type="character" w:customStyle="1" w:styleId="JUNAMES">
    <w:name w:val="JU_NAMES"/>
    <w:uiPriority w:val="17"/>
    <w:qFormat/>
    <w:rsid w:val="00322FE6"/>
    <w:rPr>
      <w:caps w:val="0"/>
      <w:smallCaps/>
    </w:rPr>
  </w:style>
  <w:style w:type="paragraph" w:customStyle="1" w:styleId="JuParaLast">
    <w:name w:val="Ju_Para_Last"/>
    <w:basedOn w:val="Normalny"/>
    <w:next w:val="ECHRPara"/>
    <w:uiPriority w:val="30"/>
    <w:qFormat/>
    <w:rsid w:val="00322FE6"/>
    <w:pPr>
      <w:keepNext/>
      <w:keepLines/>
      <w:spacing w:before="240"/>
      <w:ind w:firstLine="284"/>
    </w:pPr>
  </w:style>
  <w:style w:type="character" w:customStyle="1" w:styleId="JuITMark">
    <w:name w:val="Ju_ITMark"/>
    <w:basedOn w:val="Domylnaczcionkaakapitu"/>
    <w:uiPriority w:val="38"/>
    <w:qFormat/>
    <w:rsid w:val="00322FE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22FE6"/>
    <w:pPr>
      <w:ind w:left="346" w:firstLine="0"/>
    </w:pPr>
  </w:style>
  <w:style w:type="paragraph" w:customStyle="1" w:styleId="JuListi">
    <w:name w:val="Ju_List_i"/>
    <w:basedOn w:val="Normalny"/>
    <w:next w:val="JuLista"/>
    <w:uiPriority w:val="28"/>
    <w:qFormat/>
    <w:rsid w:val="00322F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322F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322FE6"/>
  </w:style>
  <w:style w:type="paragraph" w:styleId="Podtytu">
    <w:name w:val="Subtitle"/>
    <w:basedOn w:val="Normalny"/>
    <w:next w:val="Normalny"/>
    <w:link w:val="PodtytuZnak"/>
    <w:uiPriority w:val="99"/>
    <w:semiHidden/>
    <w:qFormat/>
    <w:rsid w:val="00322F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22F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22F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322FE6"/>
    <w:pPr>
      <w:spacing w:before="240"/>
      <w:ind w:left="284"/>
    </w:pPr>
  </w:style>
  <w:style w:type="paragraph" w:customStyle="1" w:styleId="OpiH1">
    <w:name w:val="Opi_H_1"/>
    <w:basedOn w:val="ECHRHeading2"/>
    <w:uiPriority w:val="42"/>
    <w:qFormat/>
    <w:rsid w:val="00322FE6"/>
    <w:pPr>
      <w:ind w:left="635" w:hanging="357"/>
      <w:outlineLvl w:val="2"/>
    </w:pPr>
  </w:style>
  <w:style w:type="paragraph" w:customStyle="1" w:styleId="OpiHa0">
    <w:name w:val="Opi_H_a"/>
    <w:basedOn w:val="ECHRHeading3"/>
    <w:uiPriority w:val="43"/>
    <w:qFormat/>
    <w:rsid w:val="00322FE6"/>
    <w:pPr>
      <w:ind w:left="833" w:hanging="357"/>
      <w:outlineLvl w:val="3"/>
    </w:pPr>
    <w:rPr>
      <w:b/>
      <w:i w:val="0"/>
      <w:sz w:val="20"/>
    </w:rPr>
  </w:style>
  <w:style w:type="paragraph" w:customStyle="1" w:styleId="OpiHi">
    <w:name w:val="Opi_H_i"/>
    <w:basedOn w:val="ECHRHeading4"/>
    <w:uiPriority w:val="44"/>
    <w:qFormat/>
    <w:rsid w:val="00322FE6"/>
    <w:pPr>
      <w:ind w:left="1037" w:hanging="357"/>
      <w:outlineLvl w:val="4"/>
    </w:pPr>
    <w:rPr>
      <w:b w:val="0"/>
      <w:i/>
    </w:rPr>
  </w:style>
  <w:style w:type="paragraph" w:customStyle="1" w:styleId="DummyStyle">
    <w:name w:val="Dummy_Style"/>
    <w:basedOn w:val="Normalny"/>
    <w:semiHidden/>
    <w:qFormat/>
    <w:rsid w:val="00322FE6"/>
    <w:rPr>
      <w:color w:val="00B050"/>
    </w:rPr>
  </w:style>
  <w:style w:type="character" w:customStyle="1" w:styleId="ECHRParaChar">
    <w:name w:val="ECHR_Para Char"/>
    <w:aliases w:val="Ju_Para Char"/>
    <w:link w:val="ECHRPara"/>
    <w:uiPriority w:val="12"/>
    <w:rsid w:val="00DE4EA9"/>
    <w:rPr>
      <w:rFonts w:eastAsiaTheme="minorEastAsia"/>
      <w:sz w:val="24"/>
    </w:rPr>
  </w:style>
  <w:style w:type="paragraph" w:styleId="Poprawka">
    <w:name w:val="Revision"/>
    <w:hidden/>
    <w:uiPriority w:val="99"/>
    <w:semiHidden/>
    <w:rsid w:val="00E43515"/>
    <w:rPr>
      <w:rFonts w:eastAsiaTheme="minorEastAsia"/>
      <w:sz w:val="24"/>
    </w:rPr>
  </w:style>
  <w:style w:type="paragraph" w:customStyle="1" w:styleId="s32b251d">
    <w:name w:val="s32b251d"/>
    <w:basedOn w:val="Normalny"/>
    <w:rsid w:val="00A842E7"/>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A842E7"/>
  </w:style>
  <w:style w:type="character" w:customStyle="1" w:styleId="s556a1de3">
    <w:name w:val="s556a1de3"/>
    <w:basedOn w:val="Domylnaczcionkaakapitu"/>
    <w:rsid w:val="00A84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78590">
      <w:bodyDiv w:val="1"/>
      <w:marLeft w:val="0"/>
      <w:marRight w:val="0"/>
      <w:marTop w:val="0"/>
      <w:marBottom w:val="0"/>
      <w:divBdr>
        <w:top w:val="none" w:sz="0" w:space="0" w:color="auto"/>
        <w:left w:val="none" w:sz="0" w:space="0" w:color="auto"/>
        <w:bottom w:val="none" w:sz="0" w:space="0" w:color="auto"/>
        <w:right w:val="none" w:sz="0" w:space="0" w:color="auto"/>
      </w:divBdr>
      <w:divsChild>
        <w:div w:id="1590892776">
          <w:marLeft w:val="0"/>
          <w:marRight w:val="0"/>
          <w:marTop w:val="0"/>
          <w:marBottom w:val="0"/>
          <w:divBdr>
            <w:top w:val="none" w:sz="0" w:space="0" w:color="auto"/>
            <w:left w:val="none" w:sz="0" w:space="0" w:color="auto"/>
            <w:bottom w:val="none" w:sz="0" w:space="0" w:color="auto"/>
            <w:right w:val="none" w:sz="0" w:space="0" w:color="auto"/>
          </w:divBdr>
          <w:divsChild>
            <w:div w:id="2088337366">
              <w:marLeft w:val="0"/>
              <w:marRight w:val="0"/>
              <w:marTop w:val="0"/>
              <w:marBottom w:val="0"/>
              <w:divBdr>
                <w:top w:val="none" w:sz="0" w:space="0" w:color="auto"/>
                <w:left w:val="none" w:sz="0" w:space="0" w:color="auto"/>
                <w:bottom w:val="none" w:sz="0" w:space="0" w:color="auto"/>
                <w:right w:val="none" w:sz="0" w:space="0" w:color="auto"/>
              </w:divBdr>
              <w:divsChild>
                <w:div w:id="151458210">
                  <w:marLeft w:val="0"/>
                  <w:marRight w:val="0"/>
                  <w:marTop w:val="0"/>
                  <w:marBottom w:val="0"/>
                  <w:divBdr>
                    <w:top w:val="none" w:sz="0" w:space="0" w:color="auto"/>
                    <w:left w:val="none" w:sz="0" w:space="0" w:color="auto"/>
                    <w:bottom w:val="none" w:sz="0" w:space="0" w:color="auto"/>
                    <w:right w:val="none" w:sz="0" w:space="0" w:color="auto"/>
                  </w:divBdr>
                  <w:divsChild>
                    <w:div w:id="1855343972">
                      <w:marLeft w:val="0"/>
                      <w:marRight w:val="0"/>
                      <w:marTop w:val="0"/>
                      <w:marBottom w:val="0"/>
                      <w:divBdr>
                        <w:top w:val="none" w:sz="0" w:space="0" w:color="auto"/>
                        <w:left w:val="none" w:sz="0" w:space="0" w:color="auto"/>
                        <w:bottom w:val="none" w:sz="0" w:space="0" w:color="auto"/>
                        <w:right w:val="none" w:sz="0" w:space="0" w:color="auto"/>
                      </w:divBdr>
                      <w:divsChild>
                        <w:div w:id="1175150084">
                          <w:marLeft w:val="0"/>
                          <w:marRight w:val="0"/>
                          <w:marTop w:val="0"/>
                          <w:marBottom w:val="0"/>
                          <w:divBdr>
                            <w:top w:val="none" w:sz="0" w:space="0" w:color="auto"/>
                            <w:left w:val="none" w:sz="0" w:space="0" w:color="auto"/>
                            <w:bottom w:val="none" w:sz="0" w:space="0" w:color="auto"/>
                            <w:right w:val="none" w:sz="0" w:space="0" w:color="auto"/>
                          </w:divBdr>
                          <w:divsChild>
                            <w:div w:id="4032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164940">
      <w:bodyDiv w:val="1"/>
      <w:marLeft w:val="0"/>
      <w:marRight w:val="0"/>
      <w:marTop w:val="0"/>
      <w:marBottom w:val="0"/>
      <w:divBdr>
        <w:top w:val="none" w:sz="0" w:space="0" w:color="auto"/>
        <w:left w:val="none" w:sz="0" w:space="0" w:color="auto"/>
        <w:bottom w:val="none" w:sz="0" w:space="0" w:color="auto"/>
        <w:right w:val="none" w:sz="0" w:space="0" w:color="auto"/>
      </w:divBdr>
      <w:divsChild>
        <w:div w:id="971903819">
          <w:marLeft w:val="0"/>
          <w:marRight w:val="0"/>
          <w:marTop w:val="0"/>
          <w:marBottom w:val="0"/>
          <w:divBdr>
            <w:top w:val="none" w:sz="0" w:space="0" w:color="auto"/>
            <w:left w:val="none" w:sz="0" w:space="0" w:color="auto"/>
            <w:bottom w:val="none" w:sz="0" w:space="0" w:color="auto"/>
            <w:right w:val="none" w:sz="0" w:space="0" w:color="auto"/>
          </w:divBdr>
          <w:divsChild>
            <w:div w:id="1570461340">
              <w:marLeft w:val="0"/>
              <w:marRight w:val="0"/>
              <w:marTop w:val="0"/>
              <w:marBottom w:val="0"/>
              <w:divBdr>
                <w:top w:val="none" w:sz="0" w:space="0" w:color="auto"/>
                <w:left w:val="none" w:sz="0" w:space="0" w:color="auto"/>
                <w:bottom w:val="none" w:sz="0" w:space="0" w:color="auto"/>
                <w:right w:val="none" w:sz="0" w:space="0" w:color="auto"/>
              </w:divBdr>
              <w:divsChild>
                <w:div w:id="2109613061">
                  <w:marLeft w:val="0"/>
                  <w:marRight w:val="0"/>
                  <w:marTop w:val="0"/>
                  <w:marBottom w:val="0"/>
                  <w:divBdr>
                    <w:top w:val="none" w:sz="0" w:space="0" w:color="auto"/>
                    <w:left w:val="none" w:sz="0" w:space="0" w:color="auto"/>
                    <w:bottom w:val="none" w:sz="0" w:space="0" w:color="auto"/>
                    <w:right w:val="none" w:sz="0" w:space="0" w:color="auto"/>
                  </w:divBdr>
                  <w:divsChild>
                    <w:div w:id="1285650090">
                      <w:marLeft w:val="0"/>
                      <w:marRight w:val="0"/>
                      <w:marTop w:val="0"/>
                      <w:marBottom w:val="0"/>
                      <w:divBdr>
                        <w:top w:val="none" w:sz="0" w:space="0" w:color="auto"/>
                        <w:left w:val="none" w:sz="0" w:space="0" w:color="auto"/>
                        <w:bottom w:val="none" w:sz="0" w:space="0" w:color="auto"/>
                        <w:right w:val="none" w:sz="0" w:space="0" w:color="auto"/>
                      </w:divBdr>
                      <w:divsChild>
                        <w:div w:id="485172705">
                          <w:marLeft w:val="0"/>
                          <w:marRight w:val="0"/>
                          <w:marTop w:val="0"/>
                          <w:marBottom w:val="0"/>
                          <w:divBdr>
                            <w:top w:val="none" w:sz="0" w:space="0" w:color="auto"/>
                            <w:left w:val="none" w:sz="0" w:space="0" w:color="auto"/>
                            <w:bottom w:val="none" w:sz="0" w:space="0" w:color="auto"/>
                            <w:right w:val="none" w:sz="0" w:space="0" w:color="auto"/>
                          </w:divBdr>
                          <w:divsChild>
                            <w:div w:id="28169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475899">
      <w:bodyDiv w:val="1"/>
      <w:marLeft w:val="0"/>
      <w:marRight w:val="0"/>
      <w:marTop w:val="0"/>
      <w:marBottom w:val="0"/>
      <w:divBdr>
        <w:top w:val="none" w:sz="0" w:space="0" w:color="auto"/>
        <w:left w:val="none" w:sz="0" w:space="0" w:color="auto"/>
        <w:bottom w:val="none" w:sz="0" w:space="0" w:color="auto"/>
        <w:right w:val="none" w:sz="0" w:space="0" w:color="auto"/>
      </w:divBdr>
      <w:divsChild>
        <w:div w:id="1550266950">
          <w:marLeft w:val="0"/>
          <w:marRight w:val="0"/>
          <w:marTop w:val="0"/>
          <w:marBottom w:val="0"/>
          <w:divBdr>
            <w:top w:val="none" w:sz="0" w:space="0" w:color="auto"/>
            <w:left w:val="none" w:sz="0" w:space="0" w:color="auto"/>
            <w:bottom w:val="none" w:sz="0" w:space="0" w:color="auto"/>
            <w:right w:val="none" w:sz="0" w:space="0" w:color="auto"/>
          </w:divBdr>
          <w:divsChild>
            <w:div w:id="742871502">
              <w:marLeft w:val="0"/>
              <w:marRight w:val="0"/>
              <w:marTop w:val="0"/>
              <w:marBottom w:val="0"/>
              <w:divBdr>
                <w:top w:val="none" w:sz="0" w:space="0" w:color="auto"/>
                <w:left w:val="none" w:sz="0" w:space="0" w:color="auto"/>
                <w:bottom w:val="none" w:sz="0" w:space="0" w:color="auto"/>
                <w:right w:val="none" w:sz="0" w:space="0" w:color="auto"/>
              </w:divBdr>
              <w:divsChild>
                <w:div w:id="215629589">
                  <w:marLeft w:val="0"/>
                  <w:marRight w:val="0"/>
                  <w:marTop w:val="0"/>
                  <w:marBottom w:val="0"/>
                  <w:divBdr>
                    <w:top w:val="none" w:sz="0" w:space="0" w:color="auto"/>
                    <w:left w:val="none" w:sz="0" w:space="0" w:color="auto"/>
                    <w:bottom w:val="none" w:sz="0" w:space="0" w:color="auto"/>
                    <w:right w:val="none" w:sz="0" w:space="0" w:color="auto"/>
                  </w:divBdr>
                  <w:divsChild>
                    <w:div w:id="1558053251">
                      <w:marLeft w:val="0"/>
                      <w:marRight w:val="0"/>
                      <w:marTop w:val="0"/>
                      <w:marBottom w:val="0"/>
                      <w:divBdr>
                        <w:top w:val="none" w:sz="0" w:space="0" w:color="auto"/>
                        <w:left w:val="none" w:sz="0" w:space="0" w:color="auto"/>
                        <w:bottom w:val="none" w:sz="0" w:space="0" w:color="auto"/>
                        <w:right w:val="none" w:sz="0" w:space="0" w:color="auto"/>
                      </w:divBdr>
                      <w:divsChild>
                        <w:div w:id="456601649">
                          <w:marLeft w:val="0"/>
                          <w:marRight w:val="0"/>
                          <w:marTop w:val="0"/>
                          <w:marBottom w:val="0"/>
                          <w:divBdr>
                            <w:top w:val="none" w:sz="0" w:space="0" w:color="auto"/>
                            <w:left w:val="none" w:sz="0" w:space="0" w:color="auto"/>
                            <w:bottom w:val="none" w:sz="0" w:space="0" w:color="auto"/>
                            <w:right w:val="none" w:sz="0" w:space="0" w:color="auto"/>
                          </w:divBdr>
                          <w:divsChild>
                            <w:div w:id="173716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780318">
      <w:bodyDiv w:val="1"/>
      <w:marLeft w:val="0"/>
      <w:marRight w:val="0"/>
      <w:marTop w:val="0"/>
      <w:marBottom w:val="0"/>
      <w:divBdr>
        <w:top w:val="none" w:sz="0" w:space="0" w:color="auto"/>
        <w:left w:val="none" w:sz="0" w:space="0" w:color="auto"/>
        <w:bottom w:val="none" w:sz="0" w:space="0" w:color="auto"/>
        <w:right w:val="none" w:sz="0" w:space="0" w:color="auto"/>
      </w:divBdr>
      <w:divsChild>
        <w:div w:id="1372807643">
          <w:marLeft w:val="0"/>
          <w:marRight w:val="0"/>
          <w:marTop w:val="0"/>
          <w:marBottom w:val="0"/>
          <w:divBdr>
            <w:top w:val="none" w:sz="0" w:space="0" w:color="auto"/>
            <w:left w:val="none" w:sz="0" w:space="0" w:color="auto"/>
            <w:bottom w:val="none" w:sz="0" w:space="0" w:color="auto"/>
            <w:right w:val="none" w:sz="0" w:space="0" w:color="auto"/>
          </w:divBdr>
          <w:divsChild>
            <w:div w:id="156044491">
              <w:marLeft w:val="0"/>
              <w:marRight w:val="0"/>
              <w:marTop w:val="0"/>
              <w:marBottom w:val="0"/>
              <w:divBdr>
                <w:top w:val="none" w:sz="0" w:space="0" w:color="auto"/>
                <w:left w:val="none" w:sz="0" w:space="0" w:color="auto"/>
                <w:bottom w:val="none" w:sz="0" w:space="0" w:color="auto"/>
                <w:right w:val="none" w:sz="0" w:space="0" w:color="auto"/>
              </w:divBdr>
              <w:divsChild>
                <w:div w:id="525409175">
                  <w:marLeft w:val="0"/>
                  <w:marRight w:val="0"/>
                  <w:marTop w:val="0"/>
                  <w:marBottom w:val="0"/>
                  <w:divBdr>
                    <w:top w:val="none" w:sz="0" w:space="0" w:color="auto"/>
                    <w:left w:val="none" w:sz="0" w:space="0" w:color="auto"/>
                    <w:bottom w:val="none" w:sz="0" w:space="0" w:color="auto"/>
                    <w:right w:val="none" w:sz="0" w:space="0" w:color="auto"/>
                  </w:divBdr>
                  <w:divsChild>
                    <w:div w:id="1424759917">
                      <w:marLeft w:val="0"/>
                      <w:marRight w:val="0"/>
                      <w:marTop w:val="0"/>
                      <w:marBottom w:val="0"/>
                      <w:divBdr>
                        <w:top w:val="none" w:sz="0" w:space="0" w:color="auto"/>
                        <w:left w:val="none" w:sz="0" w:space="0" w:color="auto"/>
                        <w:bottom w:val="none" w:sz="0" w:space="0" w:color="auto"/>
                        <w:right w:val="none" w:sz="0" w:space="0" w:color="auto"/>
                      </w:divBdr>
                      <w:divsChild>
                        <w:div w:id="173033499">
                          <w:marLeft w:val="0"/>
                          <w:marRight w:val="0"/>
                          <w:marTop w:val="0"/>
                          <w:marBottom w:val="0"/>
                          <w:divBdr>
                            <w:top w:val="none" w:sz="0" w:space="0" w:color="auto"/>
                            <w:left w:val="none" w:sz="0" w:space="0" w:color="auto"/>
                            <w:bottom w:val="none" w:sz="0" w:space="0" w:color="auto"/>
                            <w:right w:val="none" w:sz="0" w:space="0" w:color="auto"/>
                          </w:divBdr>
                          <w:divsChild>
                            <w:div w:id="41015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523186">
      <w:bodyDiv w:val="1"/>
      <w:marLeft w:val="0"/>
      <w:marRight w:val="0"/>
      <w:marTop w:val="0"/>
      <w:marBottom w:val="0"/>
      <w:divBdr>
        <w:top w:val="none" w:sz="0" w:space="0" w:color="auto"/>
        <w:left w:val="none" w:sz="0" w:space="0" w:color="auto"/>
        <w:bottom w:val="none" w:sz="0" w:space="0" w:color="auto"/>
        <w:right w:val="none" w:sz="0" w:space="0" w:color="auto"/>
      </w:divBdr>
    </w:div>
    <w:div w:id="1251353300">
      <w:bodyDiv w:val="1"/>
      <w:marLeft w:val="0"/>
      <w:marRight w:val="0"/>
      <w:marTop w:val="0"/>
      <w:marBottom w:val="0"/>
      <w:divBdr>
        <w:top w:val="none" w:sz="0" w:space="0" w:color="auto"/>
        <w:left w:val="none" w:sz="0" w:space="0" w:color="auto"/>
        <w:bottom w:val="none" w:sz="0" w:space="0" w:color="auto"/>
        <w:right w:val="none" w:sz="0" w:space="0" w:color="auto"/>
      </w:divBdr>
    </w:div>
    <w:div w:id="1594507025">
      <w:bodyDiv w:val="1"/>
      <w:marLeft w:val="0"/>
      <w:marRight w:val="0"/>
      <w:marTop w:val="0"/>
      <w:marBottom w:val="0"/>
      <w:divBdr>
        <w:top w:val="none" w:sz="0" w:space="0" w:color="auto"/>
        <w:left w:val="none" w:sz="0" w:space="0" w:color="auto"/>
        <w:bottom w:val="none" w:sz="0" w:space="0" w:color="auto"/>
        <w:right w:val="none" w:sz="0" w:space="0" w:color="auto"/>
      </w:divBdr>
      <w:divsChild>
        <w:div w:id="417219825">
          <w:marLeft w:val="0"/>
          <w:marRight w:val="0"/>
          <w:marTop w:val="0"/>
          <w:marBottom w:val="0"/>
          <w:divBdr>
            <w:top w:val="none" w:sz="0" w:space="0" w:color="auto"/>
            <w:left w:val="none" w:sz="0" w:space="0" w:color="auto"/>
            <w:bottom w:val="none" w:sz="0" w:space="0" w:color="auto"/>
            <w:right w:val="none" w:sz="0" w:space="0" w:color="auto"/>
          </w:divBdr>
          <w:divsChild>
            <w:div w:id="1894270528">
              <w:marLeft w:val="0"/>
              <w:marRight w:val="0"/>
              <w:marTop w:val="0"/>
              <w:marBottom w:val="0"/>
              <w:divBdr>
                <w:top w:val="none" w:sz="0" w:space="0" w:color="auto"/>
                <w:left w:val="none" w:sz="0" w:space="0" w:color="auto"/>
                <w:bottom w:val="none" w:sz="0" w:space="0" w:color="auto"/>
                <w:right w:val="none" w:sz="0" w:space="0" w:color="auto"/>
              </w:divBdr>
              <w:divsChild>
                <w:div w:id="840655955">
                  <w:marLeft w:val="0"/>
                  <w:marRight w:val="0"/>
                  <w:marTop w:val="0"/>
                  <w:marBottom w:val="0"/>
                  <w:divBdr>
                    <w:top w:val="none" w:sz="0" w:space="0" w:color="auto"/>
                    <w:left w:val="none" w:sz="0" w:space="0" w:color="auto"/>
                    <w:bottom w:val="none" w:sz="0" w:space="0" w:color="auto"/>
                    <w:right w:val="none" w:sz="0" w:space="0" w:color="auto"/>
                  </w:divBdr>
                  <w:divsChild>
                    <w:div w:id="484006426">
                      <w:marLeft w:val="0"/>
                      <w:marRight w:val="0"/>
                      <w:marTop w:val="0"/>
                      <w:marBottom w:val="0"/>
                      <w:divBdr>
                        <w:top w:val="none" w:sz="0" w:space="0" w:color="auto"/>
                        <w:left w:val="none" w:sz="0" w:space="0" w:color="auto"/>
                        <w:bottom w:val="none" w:sz="0" w:space="0" w:color="auto"/>
                        <w:right w:val="none" w:sz="0" w:space="0" w:color="auto"/>
                      </w:divBdr>
                      <w:divsChild>
                        <w:div w:id="749695211">
                          <w:marLeft w:val="0"/>
                          <w:marRight w:val="0"/>
                          <w:marTop w:val="0"/>
                          <w:marBottom w:val="0"/>
                          <w:divBdr>
                            <w:top w:val="none" w:sz="0" w:space="0" w:color="auto"/>
                            <w:left w:val="none" w:sz="0" w:space="0" w:color="auto"/>
                            <w:bottom w:val="none" w:sz="0" w:space="0" w:color="auto"/>
                            <w:right w:val="none" w:sz="0" w:space="0" w:color="auto"/>
                          </w:divBdr>
                          <w:divsChild>
                            <w:div w:id="9870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1693558">
      <w:bodyDiv w:val="1"/>
      <w:marLeft w:val="0"/>
      <w:marRight w:val="0"/>
      <w:marTop w:val="0"/>
      <w:marBottom w:val="0"/>
      <w:divBdr>
        <w:top w:val="none" w:sz="0" w:space="0" w:color="auto"/>
        <w:left w:val="none" w:sz="0" w:space="0" w:color="auto"/>
        <w:bottom w:val="none" w:sz="0" w:space="0" w:color="auto"/>
        <w:right w:val="none" w:sz="0" w:space="0" w:color="auto"/>
      </w:divBdr>
      <w:divsChild>
        <w:div w:id="1340691478">
          <w:marLeft w:val="0"/>
          <w:marRight w:val="0"/>
          <w:marTop w:val="0"/>
          <w:marBottom w:val="0"/>
          <w:divBdr>
            <w:top w:val="none" w:sz="0" w:space="0" w:color="auto"/>
            <w:left w:val="none" w:sz="0" w:space="0" w:color="auto"/>
            <w:bottom w:val="none" w:sz="0" w:space="0" w:color="auto"/>
            <w:right w:val="none" w:sz="0" w:space="0" w:color="auto"/>
          </w:divBdr>
          <w:divsChild>
            <w:div w:id="1878274060">
              <w:marLeft w:val="0"/>
              <w:marRight w:val="0"/>
              <w:marTop w:val="0"/>
              <w:marBottom w:val="0"/>
              <w:divBdr>
                <w:top w:val="none" w:sz="0" w:space="0" w:color="auto"/>
                <w:left w:val="none" w:sz="0" w:space="0" w:color="auto"/>
                <w:bottom w:val="none" w:sz="0" w:space="0" w:color="auto"/>
                <w:right w:val="none" w:sz="0" w:space="0" w:color="auto"/>
              </w:divBdr>
              <w:divsChild>
                <w:div w:id="125895183">
                  <w:marLeft w:val="0"/>
                  <w:marRight w:val="0"/>
                  <w:marTop w:val="0"/>
                  <w:marBottom w:val="0"/>
                  <w:divBdr>
                    <w:top w:val="none" w:sz="0" w:space="0" w:color="auto"/>
                    <w:left w:val="none" w:sz="0" w:space="0" w:color="auto"/>
                    <w:bottom w:val="none" w:sz="0" w:space="0" w:color="auto"/>
                    <w:right w:val="none" w:sz="0" w:space="0" w:color="auto"/>
                  </w:divBdr>
                  <w:divsChild>
                    <w:div w:id="1981038333">
                      <w:marLeft w:val="0"/>
                      <w:marRight w:val="0"/>
                      <w:marTop w:val="0"/>
                      <w:marBottom w:val="0"/>
                      <w:divBdr>
                        <w:top w:val="none" w:sz="0" w:space="0" w:color="auto"/>
                        <w:left w:val="none" w:sz="0" w:space="0" w:color="auto"/>
                        <w:bottom w:val="none" w:sz="0" w:space="0" w:color="auto"/>
                        <w:right w:val="none" w:sz="0" w:space="0" w:color="auto"/>
                      </w:divBdr>
                      <w:divsChild>
                        <w:div w:id="1671642186">
                          <w:marLeft w:val="0"/>
                          <w:marRight w:val="0"/>
                          <w:marTop w:val="0"/>
                          <w:marBottom w:val="0"/>
                          <w:divBdr>
                            <w:top w:val="none" w:sz="0" w:space="0" w:color="auto"/>
                            <w:left w:val="none" w:sz="0" w:space="0" w:color="auto"/>
                            <w:bottom w:val="none" w:sz="0" w:space="0" w:color="auto"/>
                            <w:right w:val="none" w:sz="0" w:space="0" w:color="auto"/>
                          </w:divBdr>
                          <w:divsChild>
                            <w:div w:id="18721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97927">
      <w:bodyDiv w:val="1"/>
      <w:marLeft w:val="0"/>
      <w:marRight w:val="0"/>
      <w:marTop w:val="0"/>
      <w:marBottom w:val="0"/>
      <w:divBdr>
        <w:top w:val="none" w:sz="0" w:space="0" w:color="auto"/>
        <w:left w:val="none" w:sz="0" w:space="0" w:color="auto"/>
        <w:bottom w:val="none" w:sz="0" w:space="0" w:color="auto"/>
        <w:right w:val="none" w:sz="0" w:space="0" w:color="auto"/>
      </w:divBdr>
      <w:divsChild>
        <w:div w:id="1983734180">
          <w:marLeft w:val="0"/>
          <w:marRight w:val="0"/>
          <w:marTop w:val="0"/>
          <w:marBottom w:val="0"/>
          <w:divBdr>
            <w:top w:val="none" w:sz="0" w:space="0" w:color="auto"/>
            <w:left w:val="none" w:sz="0" w:space="0" w:color="auto"/>
            <w:bottom w:val="none" w:sz="0" w:space="0" w:color="auto"/>
            <w:right w:val="none" w:sz="0" w:space="0" w:color="auto"/>
          </w:divBdr>
          <w:divsChild>
            <w:div w:id="175266175">
              <w:marLeft w:val="0"/>
              <w:marRight w:val="0"/>
              <w:marTop w:val="0"/>
              <w:marBottom w:val="0"/>
              <w:divBdr>
                <w:top w:val="none" w:sz="0" w:space="0" w:color="auto"/>
                <w:left w:val="none" w:sz="0" w:space="0" w:color="auto"/>
                <w:bottom w:val="none" w:sz="0" w:space="0" w:color="auto"/>
                <w:right w:val="none" w:sz="0" w:space="0" w:color="auto"/>
              </w:divBdr>
              <w:divsChild>
                <w:div w:id="835071156">
                  <w:marLeft w:val="0"/>
                  <w:marRight w:val="0"/>
                  <w:marTop w:val="0"/>
                  <w:marBottom w:val="0"/>
                  <w:divBdr>
                    <w:top w:val="none" w:sz="0" w:space="0" w:color="auto"/>
                    <w:left w:val="none" w:sz="0" w:space="0" w:color="auto"/>
                    <w:bottom w:val="none" w:sz="0" w:space="0" w:color="auto"/>
                    <w:right w:val="none" w:sz="0" w:space="0" w:color="auto"/>
                  </w:divBdr>
                  <w:divsChild>
                    <w:div w:id="1993754907">
                      <w:marLeft w:val="0"/>
                      <w:marRight w:val="0"/>
                      <w:marTop w:val="0"/>
                      <w:marBottom w:val="0"/>
                      <w:divBdr>
                        <w:top w:val="none" w:sz="0" w:space="0" w:color="auto"/>
                        <w:left w:val="none" w:sz="0" w:space="0" w:color="auto"/>
                        <w:bottom w:val="none" w:sz="0" w:space="0" w:color="auto"/>
                        <w:right w:val="none" w:sz="0" w:space="0" w:color="auto"/>
                      </w:divBdr>
                      <w:divsChild>
                        <w:div w:id="369846419">
                          <w:marLeft w:val="0"/>
                          <w:marRight w:val="0"/>
                          <w:marTop w:val="0"/>
                          <w:marBottom w:val="0"/>
                          <w:divBdr>
                            <w:top w:val="none" w:sz="0" w:space="0" w:color="auto"/>
                            <w:left w:val="none" w:sz="0" w:space="0" w:color="auto"/>
                            <w:bottom w:val="none" w:sz="0" w:space="0" w:color="auto"/>
                            <w:right w:val="none" w:sz="0" w:space="0" w:color="auto"/>
                          </w:divBdr>
                          <w:divsChild>
                            <w:div w:id="18457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37008">
      <w:bodyDiv w:val="1"/>
      <w:marLeft w:val="0"/>
      <w:marRight w:val="0"/>
      <w:marTop w:val="0"/>
      <w:marBottom w:val="0"/>
      <w:divBdr>
        <w:top w:val="none" w:sz="0" w:space="0" w:color="auto"/>
        <w:left w:val="none" w:sz="0" w:space="0" w:color="auto"/>
        <w:bottom w:val="none" w:sz="0" w:space="0" w:color="auto"/>
        <w:right w:val="none" w:sz="0" w:space="0" w:color="auto"/>
      </w:divBdr>
      <w:divsChild>
        <w:div w:id="1679111231">
          <w:marLeft w:val="0"/>
          <w:marRight w:val="0"/>
          <w:marTop w:val="0"/>
          <w:marBottom w:val="0"/>
          <w:divBdr>
            <w:top w:val="none" w:sz="0" w:space="0" w:color="auto"/>
            <w:left w:val="none" w:sz="0" w:space="0" w:color="auto"/>
            <w:bottom w:val="none" w:sz="0" w:space="0" w:color="auto"/>
            <w:right w:val="none" w:sz="0" w:space="0" w:color="auto"/>
          </w:divBdr>
          <w:divsChild>
            <w:div w:id="2068261857">
              <w:marLeft w:val="0"/>
              <w:marRight w:val="0"/>
              <w:marTop w:val="0"/>
              <w:marBottom w:val="0"/>
              <w:divBdr>
                <w:top w:val="none" w:sz="0" w:space="0" w:color="auto"/>
                <w:left w:val="none" w:sz="0" w:space="0" w:color="auto"/>
                <w:bottom w:val="none" w:sz="0" w:space="0" w:color="auto"/>
                <w:right w:val="none" w:sz="0" w:space="0" w:color="auto"/>
              </w:divBdr>
              <w:divsChild>
                <w:div w:id="647980839">
                  <w:marLeft w:val="0"/>
                  <w:marRight w:val="0"/>
                  <w:marTop w:val="0"/>
                  <w:marBottom w:val="0"/>
                  <w:divBdr>
                    <w:top w:val="none" w:sz="0" w:space="0" w:color="auto"/>
                    <w:left w:val="none" w:sz="0" w:space="0" w:color="auto"/>
                    <w:bottom w:val="none" w:sz="0" w:space="0" w:color="auto"/>
                    <w:right w:val="none" w:sz="0" w:space="0" w:color="auto"/>
                  </w:divBdr>
                  <w:divsChild>
                    <w:div w:id="1782722107">
                      <w:marLeft w:val="0"/>
                      <w:marRight w:val="0"/>
                      <w:marTop w:val="0"/>
                      <w:marBottom w:val="0"/>
                      <w:divBdr>
                        <w:top w:val="none" w:sz="0" w:space="0" w:color="auto"/>
                        <w:left w:val="none" w:sz="0" w:space="0" w:color="auto"/>
                        <w:bottom w:val="none" w:sz="0" w:space="0" w:color="auto"/>
                        <w:right w:val="none" w:sz="0" w:space="0" w:color="auto"/>
                      </w:divBdr>
                      <w:divsChild>
                        <w:div w:id="187375658">
                          <w:marLeft w:val="0"/>
                          <w:marRight w:val="0"/>
                          <w:marTop w:val="0"/>
                          <w:marBottom w:val="0"/>
                          <w:divBdr>
                            <w:top w:val="none" w:sz="0" w:space="0" w:color="auto"/>
                            <w:left w:val="none" w:sz="0" w:space="0" w:color="auto"/>
                            <w:bottom w:val="none" w:sz="0" w:space="0" w:color="auto"/>
                            <w:right w:val="none" w:sz="0" w:space="0" w:color="auto"/>
                          </w:divBdr>
                          <w:divsChild>
                            <w:div w:id="115160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436938">
      <w:bodyDiv w:val="1"/>
      <w:marLeft w:val="0"/>
      <w:marRight w:val="0"/>
      <w:marTop w:val="0"/>
      <w:marBottom w:val="0"/>
      <w:divBdr>
        <w:top w:val="none" w:sz="0" w:space="0" w:color="auto"/>
        <w:left w:val="none" w:sz="0" w:space="0" w:color="auto"/>
        <w:bottom w:val="none" w:sz="0" w:space="0" w:color="auto"/>
        <w:right w:val="none" w:sz="0" w:space="0" w:color="auto"/>
      </w:divBdr>
      <w:divsChild>
        <w:div w:id="2137480698">
          <w:marLeft w:val="0"/>
          <w:marRight w:val="0"/>
          <w:marTop w:val="0"/>
          <w:marBottom w:val="0"/>
          <w:divBdr>
            <w:top w:val="none" w:sz="0" w:space="0" w:color="auto"/>
            <w:left w:val="none" w:sz="0" w:space="0" w:color="auto"/>
            <w:bottom w:val="none" w:sz="0" w:space="0" w:color="auto"/>
            <w:right w:val="none" w:sz="0" w:space="0" w:color="auto"/>
          </w:divBdr>
          <w:divsChild>
            <w:div w:id="801314634">
              <w:marLeft w:val="0"/>
              <w:marRight w:val="0"/>
              <w:marTop w:val="0"/>
              <w:marBottom w:val="0"/>
              <w:divBdr>
                <w:top w:val="none" w:sz="0" w:space="0" w:color="auto"/>
                <w:left w:val="none" w:sz="0" w:space="0" w:color="auto"/>
                <w:bottom w:val="none" w:sz="0" w:space="0" w:color="auto"/>
                <w:right w:val="none" w:sz="0" w:space="0" w:color="auto"/>
              </w:divBdr>
              <w:divsChild>
                <w:div w:id="1194004305">
                  <w:marLeft w:val="0"/>
                  <w:marRight w:val="0"/>
                  <w:marTop w:val="0"/>
                  <w:marBottom w:val="0"/>
                  <w:divBdr>
                    <w:top w:val="none" w:sz="0" w:space="0" w:color="auto"/>
                    <w:left w:val="none" w:sz="0" w:space="0" w:color="auto"/>
                    <w:bottom w:val="none" w:sz="0" w:space="0" w:color="auto"/>
                    <w:right w:val="none" w:sz="0" w:space="0" w:color="auto"/>
                  </w:divBdr>
                  <w:divsChild>
                    <w:div w:id="1835337086">
                      <w:marLeft w:val="0"/>
                      <w:marRight w:val="0"/>
                      <w:marTop w:val="0"/>
                      <w:marBottom w:val="0"/>
                      <w:divBdr>
                        <w:top w:val="none" w:sz="0" w:space="0" w:color="auto"/>
                        <w:left w:val="none" w:sz="0" w:space="0" w:color="auto"/>
                        <w:bottom w:val="none" w:sz="0" w:space="0" w:color="auto"/>
                        <w:right w:val="none" w:sz="0" w:space="0" w:color="auto"/>
                      </w:divBdr>
                      <w:divsChild>
                        <w:div w:id="42364882">
                          <w:marLeft w:val="0"/>
                          <w:marRight w:val="0"/>
                          <w:marTop w:val="0"/>
                          <w:marBottom w:val="0"/>
                          <w:divBdr>
                            <w:top w:val="none" w:sz="0" w:space="0" w:color="auto"/>
                            <w:left w:val="none" w:sz="0" w:space="0" w:color="auto"/>
                            <w:bottom w:val="none" w:sz="0" w:space="0" w:color="auto"/>
                            <w:right w:val="none" w:sz="0" w:space="0" w:color="auto"/>
                          </w:divBdr>
                          <w:divsChild>
                            <w:div w:id="6905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535BA-F259-46EE-AFCF-4C7D3BF27247}">
  <ds:schemaRefs>
    <ds:schemaRef ds:uri="http://schemas.microsoft.com/sharepoint/v3/contenttype/forms"/>
  </ds:schemaRefs>
</ds:datastoreItem>
</file>

<file path=customXml/itemProps2.xml><?xml version="1.0" encoding="utf-8"?>
<ds:datastoreItem xmlns:ds="http://schemas.openxmlformats.org/officeDocument/2006/customXml" ds:itemID="{2FA31F36-F895-4B3B-AB34-A6E4CD222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038732-2A4B-4815-9588-9E01A18AA4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0816BE-1015-4B39-AD45-9BF0CD475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8178</Words>
  <Characters>49072</Characters>
  <Application>Microsoft Office Word</Application>
  <DocSecurity>0</DocSecurity>
  <Lines>408</Lines>
  <Paragraphs>114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2016-08-03T08:35:00Z</dcterms:created>
  <dcterms:modified xsi:type="dcterms:W3CDTF">2017-05-24T07:58:00Z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