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CEA" w:rsidRPr="00872E5D" w:rsidRDefault="00452CEA" w:rsidP="00452CEA">
      <w:pPr>
        <w:jc w:val="center"/>
        <w:rPr>
          <w:b/>
          <w:snapToGrid w:val="0"/>
          <w:szCs w:val="24"/>
        </w:rPr>
      </w:pPr>
      <w:bookmarkStart w:id="0" w:name="_GoBack"/>
      <w:bookmarkEnd w:id="0"/>
    </w:p>
    <w:p w:rsidR="00452CEA" w:rsidRPr="00872E5D" w:rsidRDefault="00452CEA" w:rsidP="00452CEA">
      <w:pPr>
        <w:jc w:val="center"/>
        <w:rPr>
          <w:b/>
          <w:snapToGrid w:val="0"/>
          <w:szCs w:val="24"/>
        </w:rPr>
      </w:pPr>
    </w:p>
    <w:p w:rsidR="00452CEA" w:rsidRPr="00872E5D" w:rsidRDefault="00452CEA" w:rsidP="00452CEA">
      <w:pPr>
        <w:jc w:val="center"/>
      </w:pPr>
    </w:p>
    <w:p w:rsidR="00452CEA" w:rsidRPr="00872E5D" w:rsidRDefault="00452CEA" w:rsidP="00452CEA">
      <w:pPr>
        <w:tabs>
          <w:tab w:val="left" w:pos="5670"/>
        </w:tabs>
        <w:jc w:val="center"/>
        <w:rPr>
          <w:b/>
        </w:rPr>
      </w:pPr>
    </w:p>
    <w:p w:rsidR="00452CEA" w:rsidRPr="00872E5D" w:rsidRDefault="00452CEA" w:rsidP="00452CEA">
      <w:pPr>
        <w:jc w:val="center"/>
      </w:pPr>
    </w:p>
    <w:p w:rsidR="00452CEA" w:rsidRPr="00872E5D" w:rsidRDefault="00452CEA" w:rsidP="00452CEA">
      <w:pPr>
        <w:jc w:val="center"/>
      </w:pPr>
      <w:r w:rsidRPr="00872E5D">
        <w:t>GRAND CHAMBER</w:t>
      </w:r>
    </w:p>
    <w:p w:rsidR="00452CEA" w:rsidRPr="00872E5D" w:rsidRDefault="00452CEA" w:rsidP="00452CEA">
      <w:pPr>
        <w:tabs>
          <w:tab w:val="left" w:pos="4536"/>
        </w:tabs>
        <w:jc w:val="center"/>
      </w:pPr>
    </w:p>
    <w:p w:rsidR="00452CEA" w:rsidRPr="00872E5D" w:rsidRDefault="00452CEA" w:rsidP="00452CEA">
      <w:pPr>
        <w:jc w:val="center"/>
      </w:pPr>
    </w:p>
    <w:p w:rsidR="00452CEA" w:rsidRPr="00872E5D" w:rsidRDefault="00452CEA" w:rsidP="00452CEA">
      <w:pPr>
        <w:jc w:val="center"/>
      </w:pPr>
    </w:p>
    <w:p w:rsidR="00452CEA" w:rsidRPr="00872E5D" w:rsidRDefault="00452CEA" w:rsidP="00452CEA">
      <w:pPr>
        <w:jc w:val="center"/>
      </w:pPr>
    </w:p>
    <w:p w:rsidR="00452CEA" w:rsidRPr="00872E5D" w:rsidRDefault="00452CEA" w:rsidP="00452CEA">
      <w:pPr>
        <w:jc w:val="center"/>
      </w:pPr>
    </w:p>
    <w:p w:rsidR="00452CEA" w:rsidRPr="00872E5D" w:rsidRDefault="00452CEA" w:rsidP="00452CEA">
      <w:pPr>
        <w:jc w:val="center"/>
        <w:rPr>
          <w:b/>
        </w:rPr>
      </w:pPr>
      <w:bookmarkStart w:id="1" w:name="To"/>
      <w:r w:rsidRPr="00872E5D">
        <w:rPr>
          <w:b/>
        </w:rPr>
        <w:t xml:space="preserve">CASE </w:t>
      </w:r>
      <w:bookmarkEnd w:id="1"/>
      <w:r w:rsidRPr="00872E5D">
        <w:rPr>
          <w:b/>
        </w:rPr>
        <w:t>BOCHAN v. UKRAINE (no</w:t>
      </w:r>
      <w:r w:rsidR="004C340B" w:rsidRPr="00872E5D">
        <w:rPr>
          <w:b/>
        </w:rPr>
        <w:t>.</w:t>
      </w:r>
      <w:r w:rsidRPr="00872E5D">
        <w:rPr>
          <w:b/>
        </w:rPr>
        <w:t xml:space="preserve"> 2)</w:t>
      </w:r>
    </w:p>
    <w:p w:rsidR="00452CEA" w:rsidRPr="00872E5D" w:rsidRDefault="00452CEA" w:rsidP="00452CEA">
      <w:pPr>
        <w:jc w:val="center"/>
      </w:pPr>
    </w:p>
    <w:p w:rsidR="00452CEA" w:rsidRPr="00872E5D" w:rsidRDefault="00452CEA" w:rsidP="00452CEA">
      <w:pPr>
        <w:jc w:val="center"/>
        <w:rPr>
          <w:i/>
        </w:rPr>
      </w:pPr>
      <w:r w:rsidRPr="00872E5D">
        <w:rPr>
          <w:i/>
        </w:rPr>
        <w:t>(Application no</w:t>
      </w:r>
      <w:r w:rsidR="004C340B" w:rsidRPr="00872E5D">
        <w:rPr>
          <w:i/>
        </w:rPr>
        <w:t>.</w:t>
      </w:r>
      <w:r w:rsidRPr="00872E5D">
        <w:rPr>
          <w:i/>
        </w:rPr>
        <w:t xml:space="preserve"> 22251/08)</w:t>
      </w:r>
    </w:p>
    <w:p w:rsidR="00452CEA" w:rsidRPr="00872E5D" w:rsidRDefault="00452CEA" w:rsidP="00452CEA">
      <w:pPr>
        <w:jc w:val="center"/>
        <w:rPr>
          <w:szCs w:val="24"/>
        </w:rPr>
      </w:pPr>
    </w:p>
    <w:p w:rsidR="00452CEA" w:rsidRPr="00872E5D" w:rsidRDefault="00452CEA" w:rsidP="00452CEA">
      <w:pPr>
        <w:jc w:val="center"/>
        <w:rPr>
          <w:szCs w:val="24"/>
        </w:rPr>
      </w:pPr>
    </w:p>
    <w:p w:rsidR="00452CEA" w:rsidRPr="00872E5D" w:rsidRDefault="00452CEA" w:rsidP="00452CEA">
      <w:pPr>
        <w:jc w:val="center"/>
        <w:rPr>
          <w:szCs w:val="24"/>
        </w:rPr>
      </w:pPr>
    </w:p>
    <w:p w:rsidR="00452CEA" w:rsidRPr="00872E5D" w:rsidRDefault="00452CEA" w:rsidP="00452CEA">
      <w:pPr>
        <w:jc w:val="center"/>
        <w:rPr>
          <w:szCs w:val="24"/>
        </w:rPr>
      </w:pPr>
    </w:p>
    <w:p w:rsidR="00452CEA" w:rsidRPr="00872E5D" w:rsidRDefault="00452CEA" w:rsidP="00452CEA">
      <w:pPr>
        <w:jc w:val="center"/>
        <w:rPr>
          <w:szCs w:val="24"/>
        </w:rPr>
      </w:pPr>
    </w:p>
    <w:p w:rsidR="00452CEA" w:rsidRPr="00872E5D" w:rsidRDefault="00452CEA" w:rsidP="00452CEA">
      <w:pPr>
        <w:jc w:val="center"/>
        <w:rPr>
          <w:szCs w:val="24"/>
        </w:rPr>
      </w:pPr>
    </w:p>
    <w:p w:rsidR="00452CEA" w:rsidRPr="00872E5D" w:rsidRDefault="00452CEA" w:rsidP="00452CEA">
      <w:pPr>
        <w:jc w:val="center"/>
        <w:rPr>
          <w:szCs w:val="24"/>
        </w:rPr>
      </w:pPr>
    </w:p>
    <w:p w:rsidR="00452CEA" w:rsidRPr="00872E5D" w:rsidRDefault="00452CEA" w:rsidP="00452CEA">
      <w:pPr>
        <w:jc w:val="center"/>
        <w:rPr>
          <w:szCs w:val="24"/>
        </w:rPr>
      </w:pPr>
    </w:p>
    <w:p w:rsidR="00452CEA" w:rsidRPr="00872E5D" w:rsidRDefault="00452CEA" w:rsidP="00452CEA">
      <w:pPr>
        <w:jc w:val="center"/>
        <w:rPr>
          <w:szCs w:val="24"/>
        </w:rPr>
      </w:pPr>
    </w:p>
    <w:p w:rsidR="00452CEA" w:rsidRDefault="00452CEA" w:rsidP="00452CEA">
      <w:pPr>
        <w:jc w:val="center"/>
        <w:rPr>
          <w:szCs w:val="24"/>
        </w:rPr>
      </w:pPr>
      <w:r w:rsidRPr="00F679CB">
        <w:rPr>
          <w:szCs w:val="24"/>
        </w:rPr>
        <w:t>JUDGMENT</w:t>
      </w:r>
    </w:p>
    <w:p w:rsidR="00A83CC8" w:rsidRPr="00F679CB" w:rsidRDefault="00A83CC8" w:rsidP="00452CEA">
      <w:pPr>
        <w:jc w:val="center"/>
        <w:rPr>
          <w:szCs w:val="24"/>
          <w:highlight w:val="yellow"/>
        </w:rPr>
      </w:pPr>
    </w:p>
    <w:p w:rsidR="00452CEA" w:rsidRPr="00A83CC8" w:rsidRDefault="00A83CC8" w:rsidP="00452CEA">
      <w:pPr>
        <w:jc w:val="center"/>
        <w:rPr>
          <w:i/>
          <w:sz w:val="22"/>
          <w:lang w:val="en-GB"/>
        </w:rPr>
      </w:pPr>
      <w:r w:rsidRPr="00A83CC8">
        <w:rPr>
          <w:i/>
          <w:sz w:val="22"/>
          <w:lang w:val="en-GB"/>
        </w:rPr>
        <w:t>This version was rectified on 11 March 2015</w:t>
      </w:r>
    </w:p>
    <w:p w:rsidR="00A83CC8" w:rsidRPr="00A83CC8" w:rsidRDefault="00A83CC8" w:rsidP="00452CEA">
      <w:pPr>
        <w:jc w:val="center"/>
        <w:rPr>
          <w:i/>
          <w:sz w:val="22"/>
          <w:lang w:val="en-GB"/>
        </w:rPr>
      </w:pPr>
      <w:r w:rsidRPr="00A83CC8">
        <w:rPr>
          <w:i/>
          <w:sz w:val="22"/>
          <w:lang w:val="en-GB"/>
        </w:rPr>
        <w:t>under Rule 81of the Rules of Court.</w:t>
      </w:r>
    </w:p>
    <w:p w:rsidR="00452CEA" w:rsidRDefault="00452CEA" w:rsidP="00452CEA">
      <w:pPr>
        <w:jc w:val="center"/>
        <w:rPr>
          <w:szCs w:val="24"/>
        </w:rPr>
      </w:pPr>
    </w:p>
    <w:p w:rsidR="00A83CC8" w:rsidRPr="00872E5D" w:rsidRDefault="00A83CC8" w:rsidP="00452CEA">
      <w:pPr>
        <w:jc w:val="center"/>
        <w:rPr>
          <w:szCs w:val="24"/>
        </w:rPr>
      </w:pPr>
    </w:p>
    <w:p w:rsidR="00452CEA" w:rsidRPr="00872E5D" w:rsidRDefault="00452CEA" w:rsidP="00452CEA">
      <w:pPr>
        <w:jc w:val="center"/>
        <w:rPr>
          <w:szCs w:val="24"/>
        </w:rPr>
      </w:pPr>
      <w:r w:rsidRPr="00872E5D">
        <w:rPr>
          <w:szCs w:val="24"/>
        </w:rPr>
        <w:t>STRASBOURG</w:t>
      </w:r>
    </w:p>
    <w:p w:rsidR="00452CEA" w:rsidRDefault="00452CEA" w:rsidP="00452CEA">
      <w:pPr>
        <w:jc w:val="center"/>
        <w:rPr>
          <w:szCs w:val="24"/>
        </w:rPr>
      </w:pPr>
    </w:p>
    <w:p w:rsidR="00F106DA" w:rsidRPr="00872E5D" w:rsidRDefault="00F106DA" w:rsidP="00452CEA">
      <w:pPr>
        <w:jc w:val="center"/>
        <w:rPr>
          <w:szCs w:val="24"/>
        </w:rPr>
      </w:pPr>
    </w:p>
    <w:p w:rsidR="00452CEA" w:rsidRPr="00872E5D" w:rsidRDefault="00452CEA" w:rsidP="00452CEA">
      <w:pPr>
        <w:jc w:val="center"/>
        <w:rPr>
          <w:szCs w:val="24"/>
        </w:rPr>
      </w:pPr>
      <w:r w:rsidRPr="00872E5D">
        <w:rPr>
          <w:szCs w:val="24"/>
        </w:rPr>
        <w:t xml:space="preserve">5 </w:t>
      </w:r>
      <w:r w:rsidRPr="00452CEA">
        <w:rPr>
          <w:szCs w:val="24"/>
          <w:lang w:val="en-GB"/>
        </w:rPr>
        <w:t>February</w:t>
      </w:r>
      <w:r w:rsidRPr="00872E5D">
        <w:rPr>
          <w:szCs w:val="24"/>
        </w:rPr>
        <w:t xml:space="preserve"> 2015</w:t>
      </w:r>
    </w:p>
    <w:p w:rsidR="00452CEA" w:rsidRPr="00872E5D" w:rsidRDefault="00452CEA" w:rsidP="00452CEA">
      <w:pPr>
        <w:jc w:val="center"/>
        <w:rPr>
          <w:szCs w:val="24"/>
        </w:rPr>
      </w:pPr>
    </w:p>
    <w:p w:rsidR="00F679CB" w:rsidRPr="00872E5D" w:rsidRDefault="00F679CB" w:rsidP="00452CEA">
      <w:pPr>
        <w:jc w:val="center"/>
        <w:rPr>
          <w:szCs w:val="24"/>
        </w:rPr>
      </w:pPr>
    </w:p>
    <w:p w:rsidR="00452CEA" w:rsidRDefault="00452CEA" w:rsidP="00452CEA">
      <w:pPr>
        <w:jc w:val="center"/>
        <w:rPr>
          <w:szCs w:val="24"/>
        </w:rPr>
      </w:pPr>
    </w:p>
    <w:p w:rsidR="00DA7613" w:rsidRPr="00872E5D" w:rsidRDefault="00DA7613" w:rsidP="00452CEA">
      <w:pPr>
        <w:jc w:val="center"/>
        <w:rPr>
          <w:szCs w:val="24"/>
        </w:rPr>
      </w:pPr>
    </w:p>
    <w:p w:rsidR="00B3092D" w:rsidRDefault="00452CEA" w:rsidP="00B3092D">
      <w:pPr>
        <w:rPr>
          <w:lang w:val="en-GB"/>
        </w:rPr>
      </w:pPr>
      <w:r w:rsidRPr="00452CEA">
        <w:rPr>
          <w:i/>
          <w:szCs w:val="24"/>
          <w:lang w:val="en-GB"/>
        </w:rPr>
        <w:t>This judgment is final but may be subject to editorial revision</w:t>
      </w:r>
      <w:r w:rsidRPr="00872E5D">
        <w:rPr>
          <w:i/>
          <w:szCs w:val="24"/>
        </w:rPr>
        <w:t>.</w:t>
      </w:r>
    </w:p>
    <w:p w:rsidR="00E3356A" w:rsidRPr="00D5454C" w:rsidRDefault="00E3356A" w:rsidP="00D5454C">
      <w:pPr>
        <w:jc w:val="center"/>
        <w:rPr>
          <w:rFonts w:ascii="Times New Roman" w:hAnsi="Times New Roman" w:cs="Times New Roman"/>
          <w:szCs w:val="24"/>
          <w:lang w:val="en-GB"/>
        </w:rPr>
        <w:sectPr w:rsidR="00E3356A" w:rsidRPr="00D5454C" w:rsidSect="00E3356A">
          <w:headerReference w:type="default" r:id="rId12"/>
          <w:footerReference w:type="default" r:id="rId13"/>
          <w:headerReference w:type="first" r:id="rId14"/>
          <w:footerReference w:type="first" r:id="rId15"/>
          <w:footnotePr>
            <w:numRestart w:val="eachPage"/>
          </w:footnotePr>
          <w:pgSz w:w="11906" w:h="16838" w:code="9"/>
          <w:pgMar w:top="2274" w:right="1440" w:bottom="2274" w:left="1440" w:header="1701" w:footer="720" w:gutter="0"/>
          <w:pgNumType w:start="1"/>
          <w:cols w:space="720"/>
          <w:titlePg/>
          <w:docGrid w:linePitch="326"/>
        </w:sectPr>
      </w:pPr>
    </w:p>
    <w:p w:rsidR="00014566" w:rsidRPr="001922A7" w:rsidRDefault="00014566" w:rsidP="00D60D87">
      <w:pPr>
        <w:pStyle w:val="JuCase"/>
        <w:rPr>
          <w:bCs/>
          <w:lang w:val="en-GB"/>
        </w:rPr>
      </w:pPr>
      <w:r w:rsidRPr="001922A7">
        <w:rPr>
          <w:lang w:val="en-GB"/>
        </w:rPr>
        <w:lastRenderedPageBreak/>
        <w:t xml:space="preserve">In the case of </w:t>
      </w:r>
      <w:r w:rsidR="00DE3CC4" w:rsidRPr="001922A7">
        <w:rPr>
          <w:lang w:val="en-GB"/>
        </w:rPr>
        <w:t>Bochan v. Ukraine (</w:t>
      </w:r>
      <w:r w:rsidR="00C302FE">
        <w:rPr>
          <w:lang w:val="en-GB"/>
        </w:rPr>
        <w:t>n</w:t>
      </w:r>
      <w:r w:rsidR="00DE3CC4" w:rsidRPr="00C302FE">
        <w:rPr>
          <w:lang w:val="en-GB"/>
        </w:rPr>
        <w:t>o. 2)</w:t>
      </w:r>
      <w:r w:rsidRPr="00C302FE">
        <w:rPr>
          <w:lang w:val="en-GB"/>
        </w:rPr>
        <w:t>,</w:t>
      </w:r>
    </w:p>
    <w:p w:rsidR="00014566" w:rsidRPr="001922A7" w:rsidRDefault="00014566" w:rsidP="005E2A43">
      <w:pPr>
        <w:pStyle w:val="ECHRPara"/>
        <w:rPr>
          <w:lang w:val="en-GB"/>
        </w:rPr>
      </w:pPr>
      <w:r w:rsidRPr="001922A7">
        <w:rPr>
          <w:lang w:val="en-GB"/>
        </w:rPr>
        <w:t>The European Court of Human Rights (</w:t>
      </w:r>
      <w:r w:rsidR="00DE3CC4" w:rsidRPr="001922A7">
        <w:rPr>
          <w:lang w:val="en-GB"/>
        </w:rPr>
        <w:t>Grand Chamber</w:t>
      </w:r>
      <w:r w:rsidRPr="001922A7">
        <w:rPr>
          <w:lang w:val="en-GB"/>
        </w:rPr>
        <w:t xml:space="preserve">), sitting as a </w:t>
      </w:r>
      <w:r w:rsidR="00DE3CC4" w:rsidRPr="001922A7">
        <w:rPr>
          <w:lang w:val="en-GB"/>
        </w:rPr>
        <w:t>Grand Chamber</w:t>
      </w:r>
      <w:r w:rsidRPr="001922A7">
        <w:rPr>
          <w:lang w:val="en-GB"/>
        </w:rPr>
        <w:t xml:space="preserve"> composed of:</w:t>
      </w:r>
    </w:p>
    <w:p w:rsidR="00014566" w:rsidRPr="001922A7" w:rsidRDefault="00182918" w:rsidP="00DF0549">
      <w:pPr>
        <w:pStyle w:val="ECHRDecisionBody"/>
        <w:rPr>
          <w:lang w:val="en-GB"/>
        </w:rPr>
      </w:pPr>
      <w:r w:rsidRPr="001922A7">
        <w:rPr>
          <w:lang w:val="en-GB"/>
        </w:rPr>
        <w:tab/>
        <w:t>Dean Spielmann,</w:t>
      </w:r>
      <w:r w:rsidRPr="001922A7">
        <w:rPr>
          <w:i/>
          <w:lang w:val="en-GB"/>
        </w:rPr>
        <w:t xml:space="preserve"> President,</w:t>
      </w:r>
      <w:r w:rsidRPr="001922A7">
        <w:rPr>
          <w:i/>
          <w:lang w:val="en-GB"/>
        </w:rPr>
        <w:br/>
      </w:r>
      <w:r w:rsidRPr="001922A7">
        <w:rPr>
          <w:lang w:val="en-GB"/>
        </w:rPr>
        <w:tab/>
        <w:t>Josep Casadevall,</w:t>
      </w:r>
      <w:r w:rsidRPr="001922A7">
        <w:rPr>
          <w:i/>
          <w:lang w:val="en-GB"/>
        </w:rPr>
        <w:br/>
      </w:r>
      <w:r w:rsidRPr="001922A7">
        <w:rPr>
          <w:lang w:val="en-GB"/>
        </w:rPr>
        <w:tab/>
        <w:t>Guido Raimondi,</w:t>
      </w:r>
      <w:r w:rsidRPr="001922A7">
        <w:rPr>
          <w:i/>
          <w:lang w:val="en-GB"/>
        </w:rPr>
        <w:br/>
      </w:r>
      <w:r w:rsidRPr="001922A7">
        <w:rPr>
          <w:lang w:val="en-GB"/>
        </w:rPr>
        <w:tab/>
        <w:t>Ineta Ziemele,</w:t>
      </w:r>
      <w:r w:rsidRPr="001922A7">
        <w:rPr>
          <w:i/>
          <w:lang w:val="en-GB"/>
        </w:rPr>
        <w:br/>
      </w:r>
      <w:r w:rsidRPr="001922A7">
        <w:rPr>
          <w:lang w:val="en-GB"/>
        </w:rPr>
        <w:tab/>
        <w:t>Mark Villiger,</w:t>
      </w:r>
      <w:r w:rsidRPr="001922A7">
        <w:rPr>
          <w:i/>
          <w:lang w:val="en-GB"/>
        </w:rPr>
        <w:br/>
      </w:r>
      <w:r w:rsidRPr="001922A7">
        <w:rPr>
          <w:lang w:val="en-GB"/>
        </w:rPr>
        <w:tab/>
        <w:t>Isabelle Berro,</w:t>
      </w:r>
      <w:r w:rsidRPr="001922A7">
        <w:rPr>
          <w:i/>
          <w:lang w:val="en-GB"/>
        </w:rPr>
        <w:br/>
      </w:r>
      <w:r w:rsidRPr="001922A7">
        <w:rPr>
          <w:lang w:val="en-GB"/>
        </w:rPr>
        <w:tab/>
        <w:t>Boštjan M. Zupančič,</w:t>
      </w:r>
      <w:r w:rsidRPr="001922A7">
        <w:rPr>
          <w:i/>
          <w:lang w:val="en-GB"/>
        </w:rPr>
        <w:br/>
      </w:r>
      <w:r w:rsidRPr="001922A7">
        <w:rPr>
          <w:lang w:val="en-GB"/>
        </w:rPr>
        <w:tab/>
        <w:t>Alvina Gyulumyan,</w:t>
      </w:r>
      <w:r w:rsidRPr="001922A7">
        <w:rPr>
          <w:i/>
          <w:lang w:val="en-GB"/>
        </w:rPr>
        <w:br/>
      </w:r>
      <w:r w:rsidRPr="001922A7">
        <w:rPr>
          <w:lang w:val="en-GB"/>
        </w:rPr>
        <w:tab/>
        <w:t>Ganna Yudkivska,</w:t>
      </w:r>
      <w:r w:rsidRPr="001922A7">
        <w:rPr>
          <w:i/>
          <w:lang w:val="en-GB"/>
        </w:rPr>
        <w:br/>
      </w:r>
      <w:r w:rsidRPr="001922A7">
        <w:rPr>
          <w:lang w:val="en-GB"/>
        </w:rPr>
        <w:tab/>
        <w:t>Angelika Nußberger,</w:t>
      </w:r>
      <w:r w:rsidRPr="001922A7">
        <w:rPr>
          <w:i/>
          <w:lang w:val="en-GB"/>
        </w:rPr>
        <w:br/>
      </w:r>
      <w:r w:rsidRPr="001922A7">
        <w:rPr>
          <w:lang w:val="en-GB"/>
        </w:rPr>
        <w:tab/>
        <w:t>Erik Møse,</w:t>
      </w:r>
      <w:r w:rsidRPr="001922A7">
        <w:rPr>
          <w:i/>
          <w:lang w:val="en-GB"/>
        </w:rPr>
        <w:br/>
      </w:r>
      <w:r w:rsidRPr="001922A7">
        <w:rPr>
          <w:lang w:val="en-GB"/>
        </w:rPr>
        <w:tab/>
        <w:t>André Potocki,</w:t>
      </w:r>
      <w:r w:rsidRPr="001922A7">
        <w:rPr>
          <w:i/>
          <w:lang w:val="en-GB"/>
        </w:rPr>
        <w:br/>
      </w:r>
      <w:r w:rsidRPr="001922A7">
        <w:rPr>
          <w:lang w:val="en-GB"/>
        </w:rPr>
        <w:tab/>
        <w:t>Paul Lemmens,</w:t>
      </w:r>
      <w:r w:rsidRPr="001922A7">
        <w:rPr>
          <w:i/>
          <w:lang w:val="en-GB"/>
        </w:rPr>
        <w:br/>
      </w:r>
      <w:r w:rsidRPr="001922A7">
        <w:rPr>
          <w:lang w:val="en-GB"/>
        </w:rPr>
        <w:tab/>
        <w:t>Paul Mahoney,</w:t>
      </w:r>
      <w:r w:rsidRPr="001922A7">
        <w:rPr>
          <w:i/>
          <w:lang w:val="en-GB"/>
        </w:rPr>
        <w:br/>
      </w:r>
      <w:r w:rsidRPr="001922A7">
        <w:rPr>
          <w:lang w:val="en-GB"/>
        </w:rPr>
        <w:tab/>
        <w:t>Aleš Pejchal,</w:t>
      </w:r>
      <w:r w:rsidRPr="001922A7">
        <w:rPr>
          <w:i/>
          <w:lang w:val="en-GB"/>
        </w:rPr>
        <w:br/>
      </w:r>
      <w:r w:rsidRPr="001922A7">
        <w:rPr>
          <w:lang w:val="en-GB"/>
        </w:rPr>
        <w:tab/>
        <w:t>Krzysztof Wojtyczek,</w:t>
      </w:r>
      <w:r w:rsidRPr="001922A7">
        <w:rPr>
          <w:i/>
          <w:lang w:val="en-GB"/>
        </w:rPr>
        <w:br/>
      </w:r>
      <w:r w:rsidRPr="001922A7">
        <w:rPr>
          <w:lang w:val="en-GB"/>
        </w:rPr>
        <w:tab/>
        <w:t>Dmitry Dedov,</w:t>
      </w:r>
      <w:r w:rsidRPr="001922A7">
        <w:rPr>
          <w:i/>
          <w:lang w:val="en-GB"/>
        </w:rPr>
        <w:t xml:space="preserve"> judges,</w:t>
      </w:r>
      <w:r w:rsidRPr="001922A7">
        <w:rPr>
          <w:i/>
          <w:lang w:val="en-GB"/>
        </w:rPr>
        <w:br/>
      </w:r>
      <w:r w:rsidR="00014566" w:rsidRPr="001922A7">
        <w:rPr>
          <w:lang w:val="en-GB"/>
        </w:rPr>
        <w:t xml:space="preserve">and </w:t>
      </w:r>
      <w:r w:rsidR="001A6813" w:rsidRPr="001922A7">
        <w:rPr>
          <w:lang w:val="en-GB"/>
        </w:rPr>
        <w:t>Lawrence Early</w:t>
      </w:r>
      <w:r w:rsidR="00014566" w:rsidRPr="001922A7">
        <w:rPr>
          <w:lang w:val="en-GB"/>
        </w:rPr>
        <w:t xml:space="preserve">, </w:t>
      </w:r>
      <w:r w:rsidR="004148D5" w:rsidRPr="001922A7">
        <w:rPr>
          <w:i/>
          <w:iCs/>
          <w:lang w:val="en-GB"/>
        </w:rPr>
        <w:t>Jurisconsult</w:t>
      </w:r>
      <w:r w:rsidR="00014566" w:rsidRPr="001922A7">
        <w:rPr>
          <w:i/>
          <w:lang w:val="en-GB"/>
        </w:rPr>
        <w:t>,</w:t>
      </w:r>
    </w:p>
    <w:p w:rsidR="00014566" w:rsidRPr="001922A7" w:rsidRDefault="00014566" w:rsidP="00A11961">
      <w:pPr>
        <w:pStyle w:val="ECHRPara"/>
        <w:rPr>
          <w:lang w:val="en-GB"/>
        </w:rPr>
      </w:pPr>
      <w:r w:rsidRPr="001922A7">
        <w:rPr>
          <w:lang w:val="en-GB"/>
        </w:rPr>
        <w:t xml:space="preserve">Having deliberated in private on </w:t>
      </w:r>
      <w:r w:rsidR="00FC2BD7" w:rsidRPr="001922A7">
        <w:rPr>
          <w:lang w:val="en-GB"/>
        </w:rPr>
        <w:t xml:space="preserve">7 May and </w:t>
      </w:r>
      <w:r w:rsidR="00A11961">
        <w:rPr>
          <w:lang w:val="en-GB"/>
        </w:rPr>
        <w:t>19 November 2014</w:t>
      </w:r>
      <w:r w:rsidR="00A11961" w:rsidRPr="001922A7">
        <w:rPr>
          <w:lang w:val="en-GB"/>
        </w:rPr>
        <w:t>,</w:t>
      </w:r>
    </w:p>
    <w:p w:rsidR="00014566" w:rsidRPr="001922A7" w:rsidRDefault="00014566" w:rsidP="00C621C2">
      <w:pPr>
        <w:pStyle w:val="ECHRPara"/>
        <w:rPr>
          <w:lang w:val="en-GB"/>
        </w:rPr>
      </w:pPr>
      <w:r w:rsidRPr="001922A7">
        <w:rPr>
          <w:lang w:val="en-GB"/>
        </w:rPr>
        <w:t xml:space="preserve">Delivers the following judgment, which was adopted on </w:t>
      </w:r>
      <w:r w:rsidR="000D790F" w:rsidRPr="001922A7">
        <w:rPr>
          <w:lang w:val="en-GB"/>
        </w:rPr>
        <w:t>the last mentioned date</w:t>
      </w:r>
      <w:r w:rsidRPr="001922A7">
        <w:rPr>
          <w:lang w:val="en-GB"/>
        </w:rPr>
        <w:t>:</w:t>
      </w:r>
    </w:p>
    <w:p w:rsidR="00014566" w:rsidRPr="001922A7" w:rsidRDefault="00014566" w:rsidP="00014566">
      <w:pPr>
        <w:pStyle w:val="ECHRTitle1"/>
        <w:rPr>
          <w:lang w:val="en-GB"/>
        </w:rPr>
      </w:pPr>
      <w:r w:rsidRPr="001922A7">
        <w:rPr>
          <w:lang w:val="en-GB"/>
        </w:rPr>
        <w:t>PROCEDURE</w:t>
      </w:r>
    </w:p>
    <w:p w:rsidR="00DE3CC4" w:rsidRPr="001922A7" w:rsidRDefault="00DE3CC4" w:rsidP="00C621C2">
      <w:pPr>
        <w:pStyle w:val="ECHRPara"/>
        <w:rPr>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1</w:t>
      </w:r>
      <w:r w:rsidRPr="001922A7">
        <w:rPr>
          <w:lang w:val="en-GB"/>
        </w:rPr>
        <w:fldChar w:fldCharType="end"/>
      </w:r>
      <w:r w:rsidR="00014566" w:rsidRPr="001922A7">
        <w:rPr>
          <w:lang w:val="en-GB"/>
        </w:rPr>
        <w:t xml:space="preserve">.  The case originated in </w:t>
      </w:r>
      <w:r w:rsidRPr="001922A7">
        <w:rPr>
          <w:lang w:val="en-GB"/>
        </w:rPr>
        <w:t>an application (no. 22251/08)</w:t>
      </w:r>
      <w:r w:rsidR="00014566" w:rsidRPr="001922A7">
        <w:rPr>
          <w:lang w:val="en-GB"/>
        </w:rPr>
        <w:t xml:space="preserve"> against </w:t>
      </w:r>
      <w:r w:rsidRPr="001922A7">
        <w:rPr>
          <w:lang w:val="en-GB"/>
        </w:rPr>
        <w:t>Ukraine</w:t>
      </w:r>
      <w:r w:rsidR="00014566" w:rsidRPr="001922A7">
        <w:rPr>
          <w:lang w:val="en-GB"/>
        </w:rPr>
        <w:t xml:space="preserve"> lodged with the </w:t>
      </w:r>
      <w:r w:rsidRPr="001922A7">
        <w:rPr>
          <w:lang w:val="en-GB"/>
        </w:rPr>
        <w:t>Court under Article 34</w:t>
      </w:r>
      <w:r w:rsidR="00014566" w:rsidRPr="001922A7">
        <w:rPr>
          <w:lang w:val="en-GB"/>
        </w:rPr>
        <w:t xml:space="preserve"> of the Convention for the Protection of Human Rights and Fundamental Freedoms (“the Convention”) by </w:t>
      </w:r>
      <w:r w:rsidR="00F416C9" w:rsidRPr="001922A7">
        <w:rPr>
          <w:lang w:val="en-GB"/>
        </w:rPr>
        <w:t>a</w:t>
      </w:r>
      <w:r w:rsidRPr="001922A7">
        <w:rPr>
          <w:lang w:val="en-GB"/>
        </w:rPr>
        <w:t xml:space="preserve"> Ukrainian national, Ms Mariya Ivanivna Bochan (“the applicant”), on </w:t>
      </w:r>
      <w:r w:rsidR="002779C7" w:rsidRPr="001922A7">
        <w:rPr>
          <w:lang w:val="en-GB"/>
        </w:rPr>
        <w:t>7 </w:t>
      </w:r>
      <w:r w:rsidRPr="001922A7">
        <w:rPr>
          <w:lang w:val="en-GB"/>
        </w:rPr>
        <w:t>April 2008</w:t>
      </w:r>
      <w:r w:rsidR="00014566" w:rsidRPr="001922A7">
        <w:rPr>
          <w:lang w:val="en-GB"/>
        </w:rPr>
        <w:t>.</w:t>
      </w:r>
    </w:p>
    <w:p w:rsidR="00DE3CC4" w:rsidRPr="001922A7" w:rsidRDefault="00DE3CC4" w:rsidP="00C621C2">
      <w:pPr>
        <w:pStyle w:val="ECHRPara"/>
        <w:rPr>
          <w:szCs w:val="24"/>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2</w:t>
      </w:r>
      <w:r w:rsidRPr="001922A7">
        <w:rPr>
          <w:lang w:val="en-GB"/>
        </w:rPr>
        <w:fldChar w:fldCharType="end"/>
      </w:r>
      <w:r w:rsidR="00014566" w:rsidRPr="001922A7">
        <w:rPr>
          <w:lang w:val="en-GB"/>
        </w:rPr>
        <w:t>.  </w:t>
      </w:r>
      <w:r w:rsidRPr="001922A7">
        <w:rPr>
          <w:lang w:val="en-GB"/>
        </w:rPr>
        <w:t xml:space="preserve">The applicant was represented by </w:t>
      </w:r>
      <w:r w:rsidR="006E2562">
        <w:rPr>
          <w:lang w:val="en-GB"/>
        </w:rPr>
        <w:t xml:space="preserve">her son, </w:t>
      </w:r>
      <w:r w:rsidRPr="001922A7">
        <w:rPr>
          <w:lang w:val="en-GB"/>
        </w:rPr>
        <w:t xml:space="preserve">Mr I. Bochan, a lawyer practising in Ternopil. </w:t>
      </w:r>
      <w:r w:rsidR="00014566" w:rsidRPr="001922A7">
        <w:rPr>
          <w:lang w:val="en-GB"/>
        </w:rPr>
        <w:t xml:space="preserve">The </w:t>
      </w:r>
      <w:r w:rsidRPr="001922A7">
        <w:rPr>
          <w:szCs w:val="24"/>
          <w:lang w:val="en-GB"/>
        </w:rPr>
        <w:t>Ukrainian</w:t>
      </w:r>
      <w:r w:rsidR="00014566" w:rsidRPr="001922A7">
        <w:rPr>
          <w:szCs w:val="24"/>
          <w:lang w:val="en-GB"/>
        </w:rPr>
        <w:t xml:space="preserve"> Government (“the Government”) were represented by their Agent,</w:t>
      </w:r>
      <w:r w:rsidR="00F6783C" w:rsidRPr="001922A7">
        <w:rPr>
          <w:szCs w:val="24"/>
          <w:lang w:val="en-GB"/>
        </w:rPr>
        <w:t xml:space="preserve"> </w:t>
      </w:r>
      <w:r w:rsidR="007C3EA8" w:rsidRPr="001922A7">
        <w:rPr>
          <w:szCs w:val="24"/>
          <w:lang w:val="en-GB"/>
        </w:rPr>
        <w:t xml:space="preserve">most recently </w:t>
      </w:r>
      <w:r w:rsidR="00F6783C" w:rsidRPr="001922A7">
        <w:rPr>
          <w:szCs w:val="24"/>
          <w:lang w:val="en-GB"/>
        </w:rPr>
        <w:t>Ms</w:t>
      </w:r>
      <w:r w:rsidR="00014566" w:rsidRPr="001922A7">
        <w:rPr>
          <w:szCs w:val="24"/>
          <w:lang w:val="en-GB"/>
        </w:rPr>
        <w:t xml:space="preserve"> </w:t>
      </w:r>
      <w:r w:rsidR="00F6783C" w:rsidRPr="001922A7">
        <w:rPr>
          <w:szCs w:val="24"/>
          <w:lang w:val="en-GB"/>
        </w:rPr>
        <w:t>N. Sevostyanova</w:t>
      </w:r>
      <w:r w:rsidR="00014566" w:rsidRPr="001922A7">
        <w:rPr>
          <w:szCs w:val="24"/>
          <w:lang w:val="en-GB"/>
        </w:rPr>
        <w:t xml:space="preserve">, </w:t>
      </w:r>
      <w:r w:rsidR="00F6783C" w:rsidRPr="001922A7">
        <w:rPr>
          <w:szCs w:val="24"/>
          <w:lang w:val="en-GB"/>
        </w:rPr>
        <w:t>of the Ministry of Justice</w:t>
      </w:r>
      <w:r w:rsidR="00014566" w:rsidRPr="001922A7">
        <w:rPr>
          <w:szCs w:val="24"/>
          <w:lang w:val="en-GB"/>
        </w:rPr>
        <w:t>.</w:t>
      </w:r>
    </w:p>
    <w:p w:rsidR="00014566" w:rsidRPr="001922A7" w:rsidRDefault="00DE3CC4" w:rsidP="00C621C2">
      <w:pPr>
        <w:pStyle w:val="ECHRPara"/>
        <w:rPr>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3</w:t>
      </w:r>
      <w:r w:rsidRPr="001922A7">
        <w:rPr>
          <w:lang w:val="en-GB"/>
        </w:rPr>
        <w:fldChar w:fldCharType="end"/>
      </w:r>
      <w:r w:rsidRPr="001922A7">
        <w:rPr>
          <w:lang w:val="en-GB"/>
        </w:rPr>
        <w:t>.  The applicant</w:t>
      </w:r>
      <w:r w:rsidR="00904C9F" w:rsidRPr="001922A7">
        <w:rPr>
          <w:lang w:val="en-GB"/>
        </w:rPr>
        <w:t>,</w:t>
      </w:r>
      <w:r w:rsidRPr="001922A7">
        <w:rPr>
          <w:lang w:val="en-GB"/>
        </w:rPr>
        <w:t xml:space="preserve"> </w:t>
      </w:r>
      <w:r w:rsidR="00904C9F" w:rsidRPr="001922A7">
        <w:rPr>
          <w:rFonts w:ascii="Times New Roman" w:eastAsia="Times New Roman" w:hAnsi="Times New Roman" w:cs="Times New Roman"/>
          <w:szCs w:val="20"/>
          <w:lang w:val="en-GB"/>
        </w:rPr>
        <w:t xml:space="preserve">relying </w:t>
      </w:r>
      <w:r w:rsidR="00904C9F" w:rsidRPr="001922A7">
        <w:rPr>
          <w:lang w:val="en-GB"/>
        </w:rPr>
        <w:t>on Article</w:t>
      </w:r>
      <w:r w:rsidR="00080C30">
        <w:rPr>
          <w:lang w:val="en-GB"/>
        </w:rPr>
        <w:t xml:space="preserve"> </w:t>
      </w:r>
      <w:r w:rsidR="00904C9F" w:rsidRPr="001922A7">
        <w:rPr>
          <w:lang w:val="en-GB"/>
        </w:rPr>
        <w:t>6</w:t>
      </w:r>
      <w:r w:rsidR="00080C30">
        <w:rPr>
          <w:lang w:val="en-GB"/>
        </w:rPr>
        <w:t xml:space="preserve"> </w:t>
      </w:r>
      <w:r w:rsidR="00904C9F" w:rsidRPr="001922A7">
        <w:rPr>
          <w:rFonts w:cstheme="minorHAnsi"/>
          <w:lang w:val="en-GB"/>
        </w:rPr>
        <w:t>§</w:t>
      </w:r>
      <w:r w:rsidR="00080C30">
        <w:rPr>
          <w:lang w:val="en-GB"/>
        </w:rPr>
        <w:t xml:space="preserve"> </w:t>
      </w:r>
      <w:r w:rsidR="00904C9F" w:rsidRPr="001922A7">
        <w:rPr>
          <w:lang w:val="en-GB"/>
        </w:rPr>
        <w:t xml:space="preserve">1 of the Convention and Article 1 of Protocol No. 1, complained </w:t>
      </w:r>
      <w:r w:rsidR="00904C9F" w:rsidRPr="001922A7">
        <w:rPr>
          <w:rFonts w:ascii="Times New Roman" w:eastAsia="Times New Roman" w:hAnsi="Times New Roman" w:cs="Times New Roman"/>
          <w:szCs w:val="20"/>
          <w:lang w:val="en-GB"/>
        </w:rPr>
        <w:t>about the proceedings concerning her “appeal in the light of exceptional circumstances”</w:t>
      </w:r>
      <w:r w:rsidR="00F416C9" w:rsidRPr="001922A7">
        <w:rPr>
          <w:rFonts w:ascii="Times New Roman" w:eastAsia="Times New Roman" w:hAnsi="Times New Roman" w:cs="Times New Roman"/>
          <w:szCs w:val="20"/>
          <w:lang w:val="en-GB"/>
        </w:rPr>
        <w:t xml:space="preserve"> </w:t>
      </w:r>
      <w:r w:rsidR="006E2562">
        <w:rPr>
          <w:rFonts w:ascii="Times New Roman" w:eastAsia="Times New Roman" w:hAnsi="Times New Roman" w:cs="Times New Roman"/>
          <w:szCs w:val="20"/>
          <w:lang w:val="en-GB"/>
        </w:rPr>
        <w:t xml:space="preserve">grounded </w:t>
      </w:r>
      <w:r w:rsidR="00F416C9" w:rsidRPr="001922A7">
        <w:rPr>
          <w:rFonts w:ascii="Times New Roman" w:eastAsia="Times New Roman" w:hAnsi="Times New Roman" w:cs="Times New Roman"/>
          <w:szCs w:val="20"/>
          <w:lang w:val="en-GB" w:eastAsia="fr-FR"/>
        </w:rPr>
        <w:t>on the Court</w:t>
      </w:r>
      <w:r w:rsidR="009912A8">
        <w:rPr>
          <w:rFonts w:ascii="Times New Roman" w:eastAsia="Times New Roman" w:hAnsi="Times New Roman" w:cs="Times New Roman"/>
          <w:szCs w:val="20"/>
          <w:lang w:val="en-GB" w:eastAsia="fr-FR"/>
        </w:rPr>
        <w:t>’</w:t>
      </w:r>
      <w:r w:rsidR="00F416C9" w:rsidRPr="001922A7">
        <w:rPr>
          <w:rFonts w:ascii="Times New Roman" w:eastAsia="Times New Roman" w:hAnsi="Times New Roman" w:cs="Times New Roman"/>
          <w:szCs w:val="20"/>
          <w:lang w:val="en-GB" w:eastAsia="fr-FR"/>
        </w:rPr>
        <w:t>s judgment in the applicant</w:t>
      </w:r>
      <w:r w:rsidR="009912A8">
        <w:rPr>
          <w:rFonts w:ascii="Times New Roman" w:eastAsia="Times New Roman" w:hAnsi="Times New Roman" w:cs="Times New Roman"/>
          <w:szCs w:val="20"/>
          <w:lang w:val="en-GB" w:eastAsia="fr-FR"/>
        </w:rPr>
        <w:t>’</w:t>
      </w:r>
      <w:r w:rsidR="00F416C9" w:rsidRPr="001922A7">
        <w:rPr>
          <w:rFonts w:ascii="Times New Roman" w:eastAsia="Times New Roman" w:hAnsi="Times New Roman" w:cs="Times New Roman"/>
          <w:szCs w:val="20"/>
          <w:lang w:val="en-GB" w:eastAsia="fr-FR"/>
        </w:rPr>
        <w:t>s previous case</w:t>
      </w:r>
      <w:r w:rsidR="000C7B9F">
        <w:rPr>
          <w:rFonts w:ascii="Times New Roman" w:eastAsia="Times New Roman" w:hAnsi="Times New Roman" w:cs="Times New Roman"/>
          <w:szCs w:val="20"/>
          <w:lang w:val="en-GB" w:eastAsia="fr-FR"/>
        </w:rPr>
        <w:t xml:space="preserve"> </w:t>
      </w:r>
      <w:r w:rsidR="000C7B9F" w:rsidRPr="001922A7">
        <w:rPr>
          <w:rFonts w:ascii="Times New Roman" w:eastAsia="Times New Roman" w:hAnsi="Times New Roman" w:cs="Times New Roman"/>
          <w:iCs/>
          <w:szCs w:val="20"/>
          <w:lang w:val="en-GB"/>
        </w:rPr>
        <w:t xml:space="preserve">(see </w:t>
      </w:r>
      <w:r w:rsidR="000C7B9F" w:rsidRPr="001922A7">
        <w:rPr>
          <w:rFonts w:ascii="Times New Roman" w:eastAsia="Times New Roman" w:hAnsi="Times New Roman" w:cs="Times New Roman"/>
          <w:i/>
          <w:szCs w:val="20"/>
          <w:lang w:val="en-GB"/>
        </w:rPr>
        <w:t>Bochan v.</w:t>
      </w:r>
      <w:r w:rsidR="00080C30">
        <w:rPr>
          <w:rFonts w:ascii="Times New Roman" w:eastAsia="Times New Roman" w:hAnsi="Times New Roman" w:cs="Times New Roman"/>
          <w:i/>
          <w:szCs w:val="20"/>
          <w:lang w:val="en-GB"/>
        </w:rPr>
        <w:t xml:space="preserve"> </w:t>
      </w:r>
      <w:r w:rsidR="000C7B9F" w:rsidRPr="001922A7">
        <w:rPr>
          <w:rFonts w:ascii="Times New Roman" w:eastAsia="Times New Roman" w:hAnsi="Times New Roman" w:cs="Times New Roman"/>
          <w:i/>
          <w:szCs w:val="20"/>
          <w:lang w:val="en-GB"/>
        </w:rPr>
        <w:t>Ukraine</w:t>
      </w:r>
      <w:r w:rsidR="000C7B9F" w:rsidRPr="001922A7">
        <w:rPr>
          <w:rFonts w:ascii="Times New Roman" w:eastAsia="Times New Roman" w:hAnsi="Times New Roman" w:cs="Times New Roman"/>
          <w:szCs w:val="20"/>
          <w:lang w:val="en-GB"/>
        </w:rPr>
        <w:t>, no. 7577/02, 3 May 2007)</w:t>
      </w:r>
      <w:r w:rsidR="006E2562">
        <w:rPr>
          <w:rFonts w:ascii="Times New Roman" w:eastAsia="Times New Roman" w:hAnsi="Times New Roman" w:cs="Times New Roman"/>
          <w:szCs w:val="20"/>
          <w:lang w:val="en-GB" w:eastAsia="fr-FR"/>
        </w:rPr>
        <w:t>, as provided for under the applicable Ukrainian legislation</w:t>
      </w:r>
      <w:r w:rsidRPr="001922A7">
        <w:rPr>
          <w:lang w:val="en-GB"/>
        </w:rPr>
        <w:t>.</w:t>
      </w:r>
    </w:p>
    <w:p w:rsidR="00DE3CC4" w:rsidRPr="001922A7" w:rsidRDefault="00DE3CC4" w:rsidP="00C264C5">
      <w:pPr>
        <w:pStyle w:val="ECHRPara"/>
        <w:rPr>
          <w:lang w:val="en-GB"/>
        </w:rPr>
      </w:pPr>
      <w:r w:rsidRPr="001922A7">
        <w:rPr>
          <w:lang w:val="en-GB"/>
        </w:rPr>
        <w:lastRenderedPageBreak/>
        <w:fldChar w:fldCharType="begin"/>
      </w:r>
      <w:r w:rsidRPr="001922A7">
        <w:rPr>
          <w:lang w:val="en-GB"/>
        </w:rPr>
        <w:instrText xml:space="preserve"> SEQ level0 \*arabic </w:instrText>
      </w:r>
      <w:r w:rsidRPr="001922A7">
        <w:rPr>
          <w:lang w:val="en-GB"/>
        </w:rPr>
        <w:fldChar w:fldCharType="separate"/>
      </w:r>
      <w:r w:rsidR="00E15C77">
        <w:rPr>
          <w:noProof/>
          <w:lang w:val="en-GB"/>
        </w:rPr>
        <w:t>4</w:t>
      </w:r>
      <w:r w:rsidRPr="001922A7">
        <w:rPr>
          <w:lang w:val="en-GB"/>
        </w:rPr>
        <w:fldChar w:fldCharType="end"/>
      </w:r>
      <w:r w:rsidR="00014566" w:rsidRPr="001922A7">
        <w:rPr>
          <w:lang w:val="en-GB"/>
        </w:rPr>
        <w:t>.  </w:t>
      </w:r>
      <w:r w:rsidRPr="001922A7">
        <w:rPr>
          <w:lang w:val="en-GB"/>
        </w:rPr>
        <w:t>On 6 September 2011</w:t>
      </w:r>
      <w:r w:rsidR="00014566" w:rsidRPr="001922A7">
        <w:rPr>
          <w:lang w:val="en-GB"/>
        </w:rPr>
        <w:t xml:space="preserve"> the </w:t>
      </w:r>
      <w:r w:rsidRPr="001922A7">
        <w:rPr>
          <w:lang w:val="en-GB"/>
        </w:rPr>
        <w:t>application was communicated to the Government</w:t>
      </w:r>
      <w:r w:rsidR="00014566" w:rsidRPr="001922A7">
        <w:rPr>
          <w:lang w:val="en-GB"/>
        </w:rPr>
        <w:t>.</w:t>
      </w:r>
    </w:p>
    <w:p w:rsidR="001B6CA2" w:rsidRPr="001922A7" w:rsidRDefault="001B6CA2" w:rsidP="00C264C5">
      <w:pPr>
        <w:pStyle w:val="ECHRPara"/>
        <w:rPr>
          <w:rFonts w:ascii="Times New Roman" w:hAnsi="Times New Roman" w:cs="Times New Roman"/>
          <w:lang w:val="en-GB" w:eastAsia="fr-FR"/>
        </w:rPr>
      </w:pPr>
      <w:r w:rsidRPr="001922A7">
        <w:rPr>
          <w:rFonts w:ascii="Times New Roman" w:hAnsi="Times New Roman" w:cs="Times New Roman"/>
          <w:lang w:val="en-GB" w:eastAsia="fr-FR"/>
        </w:rPr>
        <w:fldChar w:fldCharType="begin"/>
      </w:r>
      <w:r w:rsidRPr="001922A7">
        <w:rPr>
          <w:rFonts w:ascii="Times New Roman" w:hAnsi="Times New Roman" w:cs="Times New Roman"/>
          <w:lang w:val="en-GB" w:eastAsia="fr-FR"/>
        </w:rPr>
        <w:instrText xml:space="preserve"> SEQ level0 \*arabic </w:instrText>
      </w:r>
      <w:r w:rsidRPr="001922A7">
        <w:rPr>
          <w:rFonts w:ascii="Times New Roman" w:hAnsi="Times New Roman" w:cs="Times New Roman"/>
          <w:lang w:val="en-GB" w:eastAsia="fr-FR"/>
        </w:rPr>
        <w:fldChar w:fldCharType="separate"/>
      </w:r>
      <w:r w:rsidR="00E15C77">
        <w:rPr>
          <w:rFonts w:ascii="Times New Roman" w:hAnsi="Times New Roman" w:cs="Times New Roman"/>
          <w:noProof/>
          <w:lang w:val="en-GB" w:eastAsia="fr-FR"/>
        </w:rPr>
        <w:t>5</w:t>
      </w:r>
      <w:r w:rsidRPr="001922A7">
        <w:rPr>
          <w:rFonts w:ascii="Times New Roman" w:hAnsi="Times New Roman" w:cs="Times New Roman"/>
          <w:lang w:val="en-GB" w:eastAsia="fr-FR"/>
        </w:rPr>
        <w:fldChar w:fldCharType="end"/>
      </w:r>
      <w:r w:rsidRPr="001922A7">
        <w:rPr>
          <w:rFonts w:ascii="Times New Roman" w:hAnsi="Times New Roman" w:cs="Times New Roman"/>
          <w:lang w:val="en-GB" w:eastAsia="fr-FR"/>
        </w:rPr>
        <w:t>.  </w:t>
      </w:r>
      <w:r w:rsidRPr="00C264C5">
        <w:rPr>
          <w:rStyle w:val="JuParaCar"/>
        </w:rPr>
        <w:t xml:space="preserve">On 19 November 2013 a </w:t>
      </w:r>
      <w:r w:rsidR="00054AB9" w:rsidRPr="00C264C5">
        <w:rPr>
          <w:rStyle w:val="JuParaCar"/>
        </w:rPr>
        <w:t>C</w:t>
      </w:r>
      <w:r w:rsidRPr="00C264C5">
        <w:rPr>
          <w:rStyle w:val="JuParaCar"/>
        </w:rPr>
        <w:t xml:space="preserve">hamber of the Fifth Section, composed of </w:t>
      </w:r>
      <w:r w:rsidR="001E31EE" w:rsidRPr="00C264C5">
        <w:rPr>
          <w:rStyle w:val="JuParaCar"/>
        </w:rPr>
        <w:t>Mark Villiger</w:t>
      </w:r>
      <w:r w:rsidRPr="00C264C5">
        <w:rPr>
          <w:rStyle w:val="JuParaCar"/>
        </w:rPr>
        <w:t xml:space="preserve">, President, </w:t>
      </w:r>
      <w:r w:rsidR="003019B7" w:rsidRPr="00C264C5">
        <w:rPr>
          <w:rStyle w:val="JuParaCar"/>
        </w:rPr>
        <w:t>Angelika Nußberger, Boštjan M. Zupančič, Ganna Yudkivska, André Potocki, Paul Lemmens, Aleš Pejchal</w:t>
      </w:r>
      <w:r w:rsidRPr="00C264C5">
        <w:rPr>
          <w:rStyle w:val="JuParaCar"/>
        </w:rPr>
        <w:t xml:space="preserve">, judges, and also of </w:t>
      </w:r>
      <w:r w:rsidR="00054AB9" w:rsidRPr="00C264C5">
        <w:rPr>
          <w:rStyle w:val="JuParaCar"/>
        </w:rPr>
        <w:t>Claudia Westerdiek</w:t>
      </w:r>
      <w:r w:rsidRPr="00C264C5">
        <w:rPr>
          <w:rStyle w:val="JuParaCar"/>
        </w:rPr>
        <w:t>, Section Registrar, relinquished jurisdiction in favour of the Grand Chamber, neither of the parties having objected to relinquishment (Article 30 of the Convention and Rule 72</w:t>
      </w:r>
      <w:r w:rsidR="00344C37" w:rsidRPr="00C264C5">
        <w:rPr>
          <w:rStyle w:val="JuParaCar"/>
        </w:rPr>
        <w:t xml:space="preserve"> of the Rules of Court</w:t>
      </w:r>
      <w:r w:rsidRPr="00C264C5">
        <w:rPr>
          <w:rStyle w:val="JuParaCar"/>
        </w:rPr>
        <w:t>).</w:t>
      </w:r>
    </w:p>
    <w:p w:rsidR="001B6CA2" w:rsidRPr="001922A7" w:rsidRDefault="001B6CA2" w:rsidP="00C264C5">
      <w:pPr>
        <w:pStyle w:val="ECHRPara"/>
        <w:rPr>
          <w:rFonts w:ascii="Times New Roman" w:hAnsi="Times New Roman" w:cs="Times New Roman"/>
          <w:lang w:val="en-GB" w:eastAsia="fr-FR"/>
        </w:rPr>
      </w:pPr>
      <w:r w:rsidRPr="001922A7">
        <w:rPr>
          <w:rFonts w:ascii="Times New Roman" w:hAnsi="Times New Roman" w:cs="Times New Roman"/>
          <w:lang w:val="en-GB" w:eastAsia="fr-FR"/>
        </w:rPr>
        <w:fldChar w:fldCharType="begin"/>
      </w:r>
      <w:r w:rsidRPr="001922A7">
        <w:rPr>
          <w:rFonts w:ascii="Times New Roman" w:hAnsi="Times New Roman" w:cs="Times New Roman"/>
          <w:lang w:val="en-GB" w:eastAsia="fr-FR"/>
        </w:rPr>
        <w:instrText xml:space="preserve"> SEQ level0 \*arabic </w:instrText>
      </w:r>
      <w:r w:rsidRPr="001922A7">
        <w:rPr>
          <w:rFonts w:ascii="Times New Roman" w:hAnsi="Times New Roman" w:cs="Times New Roman"/>
          <w:lang w:val="en-GB" w:eastAsia="fr-FR"/>
        </w:rPr>
        <w:fldChar w:fldCharType="separate"/>
      </w:r>
      <w:r w:rsidR="00E15C77">
        <w:rPr>
          <w:rFonts w:ascii="Times New Roman" w:hAnsi="Times New Roman" w:cs="Times New Roman"/>
          <w:noProof/>
          <w:lang w:val="en-GB" w:eastAsia="fr-FR"/>
        </w:rPr>
        <w:t>6</w:t>
      </w:r>
      <w:r w:rsidRPr="001922A7">
        <w:rPr>
          <w:rFonts w:ascii="Times New Roman" w:hAnsi="Times New Roman" w:cs="Times New Roman"/>
          <w:lang w:val="en-GB" w:eastAsia="fr-FR"/>
        </w:rPr>
        <w:fldChar w:fldCharType="end"/>
      </w:r>
      <w:r w:rsidRPr="001922A7">
        <w:rPr>
          <w:rFonts w:ascii="Times New Roman" w:hAnsi="Times New Roman" w:cs="Times New Roman"/>
          <w:lang w:val="en-GB" w:eastAsia="fr-FR"/>
        </w:rPr>
        <w:t>.  </w:t>
      </w:r>
      <w:r w:rsidRPr="00C264C5">
        <w:rPr>
          <w:rStyle w:val="JuParaCar"/>
        </w:rPr>
        <w:t>The composition of the Grand Chamber was determined according to the provisions of Article 26 §§ 4 and 5 of the Convention and Rule 24</w:t>
      </w:r>
      <w:r w:rsidR="003019B7" w:rsidRPr="00C264C5">
        <w:rPr>
          <w:rStyle w:val="JuParaCar"/>
        </w:rPr>
        <w:t xml:space="preserve"> of the Rules of Court</w:t>
      </w:r>
      <w:r w:rsidRPr="00C264C5">
        <w:rPr>
          <w:rStyle w:val="JuParaCar"/>
        </w:rPr>
        <w:t>.</w:t>
      </w:r>
    </w:p>
    <w:p w:rsidR="001B6CA2" w:rsidRPr="001922A7" w:rsidRDefault="001B6CA2" w:rsidP="00C264C5">
      <w:pPr>
        <w:pStyle w:val="ECHRPara"/>
        <w:rPr>
          <w:rFonts w:ascii="Times New Roman" w:hAnsi="Times New Roman" w:cs="Times New Roman"/>
          <w:lang w:val="en-GB" w:eastAsia="fr-FR"/>
        </w:rPr>
      </w:pPr>
      <w:r w:rsidRPr="001922A7">
        <w:rPr>
          <w:rFonts w:ascii="Times New Roman" w:hAnsi="Times New Roman" w:cs="Times New Roman"/>
          <w:lang w:val="en-GB" w:eastAsia="fr-FR"/>
        </w:rPr>
        <w:fldChar w:fldCharType="begin"/>
      </w:r>
      <w:r w:rsidRPr="001922A7">
        <w:rPr>
          <w:rFonts w:ascii="Times New Roman" w:hAnsi="Times New Roman" w:cs="Times New Roman"/>
          <w:lang w:val="en-GB" w:eastAsia="fr-FR"/>
        </w:rPr>
        <w:instrText xml:space="preserve"> SEQ level0 \*arabic </w:instrText>
      </w:r>
      <w:r w:rsidRPr="001922A7">
        <w:rPr>
          <w:rFonts w:ascii="Times New Roman" w:hAnsi="Times New Roman" w:cs="Times New Roman"/>
          <w:lang w:val="en-GB" w:eastAsia="fr-FR"/>
        </w:rPr>
        <w:fldChar w:fldCharType="separate"/>
      </w:r>
      <w:r w:rsidR="00E15C77">
        <w:rPr>
          <w:rFonts w:ascii="Times New Roman" w:hAnsi="Times New Roman" w:cs="Times New Roman"/>
          <w:noProof/>
          <w:lang w:val="en-GB" w:eastAsia="fr-FR"/>
        </w:rPr>
        <w:t>7</w:t>
      </w:r>
      <w:r w:rsidRPr="001922A7">
        <w:rPr>
          <w:rFonts w:ascii="Times New Roman" w:hAnsi="Times New Roman" w:cs="Times New Roman"/>
          <w:lang w:val="en-GB" w:eastAsia="fr-FR"/>
        </w:rPr>
        <w:fldChar w:fldCharType="end"/>
      </w:r>
      <w:r w:rsidRPr="001922A7">
        <w:rPr>
          <w:rFonts w:ascii="Times New Roman" w:hAnsi="Times New Roman" w:cs="Times New Roman"/>
          <w:lang w:val="en-GB" w:eastAsia="fr-FR"/>
        </w:rPr>
        <w:t>.  </w:t>
      </w:r>
      <w:r w:rsidRPr="00C264C5">
        <w:rPr>
          <w:rStyle w:val="JuParaCar"/>
        </w:rPr>
        <w:t>The applicant and the Government each filed written observations.</w:t>
      </w:r>
      <w:r w:rsidR="0060445B" w:rsidRPr="00C264C5">
        <w:rPr>
          <w:rStyle w:val="JuParaCar"/>
        </w:rPr>
        <w:t xml:space="preserve"> On </w:t>
      </w:r>
      <w:r w:rsidR="00625564" w:rsidRPr="00C264C5">
        <w:rPr>
          <w:rStyle w:val="JuParaCar"/>
        </w:rPr>
        <w:t>17 March 2014</w:t>
      </w:r>
      <w:r w:rsidR="0060445B" w:rsidRPr="00C264C5">
        <w:rPr>
          <w:rStyle w:val="JuParaCar"/>
        </w:rPr>
        <w:t>, after consulting the parties, the President of the Grand Chamber decided not to hold a hearing.</w:t>
      </w:r>
    </w:p>
    <w:p w:rsidR="00014566" w:rsidRPr="001922A7" w:rsidRDefault="00014566" w:rsidP="00294C92">
      <w:pPr>
        <w:pStyle w:val="ECHRTitle1"/>
        <w:rPr>
          <w:lang w:val="en-GB"/>
        </w:rPr>
      </w:pPr>
      <w:r w:rsidRPr="001922A7">
        <w:rPr>
          <w:lang w:val="en-GB"/>
        </w:rPr>
        <w:t>THE FACTS</w:t>
      </w:r>
    </w:p>
    <w:p w:rsidR="00014566" w:rsidRPr="001922A7" w:rsidRDefault="00014566" w:rsidP="00014566">
      <w:pPr>
        <w:pStyle w:val="ECHRHeading1"/>
        <w:rPr>
          <w:lang w:val="en-GB"/>
        </w:rPr>
      </w:pPr>
      <w:r w:rsidRPr="001922A7">
        <w:rPr>
          <w:lang w:val="en-GB"/>
        </w:rPr>
        <w:t>I.  THE CIRCUMSTANCES OF THE CASE</w:t>
      </w:r>
    </w:p>
    <w:p w:rsidR="00014566" w:rsidRPr="001922A7" w:rsidRDefault="00DE3CC4" w:rsidP="00C264C5">
      <w:pPr>
        <w:pStyle w:val="ECHRPara"/>
        <w:rPr>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8</w:t>
      </w:r>
      <w:r w:rsidRPr="001922A7">
        <w:rPr>
          <w:lang w:val="en-GB"/>
        </w:rPr>
        <w:fldChar w:fldCharType="end"/>
      </w:r>
      <w:r w:rsidR="00014566" w:rsidRPr="001922A7">
        <w:rPr>
          <w:lang w:val="en-GB"/>
        </w:rPr>
        <w:t xml:space="preserve">.  The </w:t>
      </w:r>
      <w:r w:rsidRPr="001922A7">
        <w:rPr>
          <w:lang w:val="en-GB"/>
        </w:rPr>
        <w:t xml:space="preserve">applicant was born in </w:t>
      </w:r>
      <w:r w:rsidR="00F60B11" w:rsidRPr="001922A7">
        <w:rPr>
          <w:lang w:val="en-GB"/>
        </w:rPr>
        <w:t>1917 and lives in Ternopil</w:t>
      </w:r>
      <w:r w:rsidR="00014566" w:rsidRPr="001922A7">
        <w:rPr>
          <w:lang w:val="en-GB"/>
        </w:rPr>
        <w:t>.</w:t>
      </w:r>
    </w:p>
    <w:p w:rsidR="00781C63" w:rsidRPr="001922A7" w:rsidRDefault="00781C63" w:rsidP="00C264C5">
      <w:pPr>
        <w:pStyle w:val="ECHRPara"/>
        <w:rPr>
          <w:rFonts w:ascii="Times New Roman" w:eastAsia="Times New Roman" w:hAnsi="Times New Roman" w:cs="Times New Roman"/>
          <w:szCs w:val="20"/>
          <w:lang w:val="en-GB" w:eastAsia="fr-FR"/>
        </w:rPr>
      </w:pPr>
      <w:r w:rsidRPr="001922A7">
        <w:rPr>
          <w:rFonts w:ascii="Times New Roman" w:eastAsia="Times New Roman" w:hAnsi="Times New Roman" w:cs="Times New Roman"/>
          <w:szCs w:val="20"/>
          <w:lang w:val="en-GB" w:eastAsia="fr-FR"/>
        </w:rPr>
        <w:fldChar w:fldCharType="begin"/>
      </w:r>
      <w:r w:rsidRPr="001922A7">
        <w:rPr>
          <w:rFonts w:ascii="Times New Roman" w:eastAsia="Times New Roman" w:hAnsi="Times New Roman" w:cs="Times New Roman"/>
          <w:szCs w:val="20"/>
          <w:lang w:val="en-GB" w:eastAsia="fr-FR"/>
        </w:rPr>
        <w:instrText xml:space="preserve"> SEQ level0 \*arabic </w:instrText>
      </w:r>
      <w:r w:rsidRPr="001922A7">
        <w:rPr>
          <w:rFonts w:ascii="Times New Roman" w:eastAsia="Times New Roman" w:hAnsi="Times New Roman" w:cs="Times New Roman"/>
          <w:szCs w:val="20"/>
          <w:lang w:val="en-GB" w:eastAsia="fr-FR"/>
        </w:rPr>
        <w:fldChar w:fldCharType="separate"/>
      </w:r>
      <w:r w:rsidR="00E15C77">
        <w:rPr>
          <w:rFonts w:ascii="Times New Roman" w:eastAsia="Times New Roman" w:hAnsi="Times New Roman" w:cs="Times New Roman"/>
          <w:noProof/>
          <w:szCs w:val="20"/>
          <w:lang w:val="en-GB" w:eastAsia="fr-FR"/>
        </w:rPr>
        <w:t>9</w:t>
      </w:r>
      <w:r w:rsidRPr="001922A7">
        <w:rPr>
          <w:rFonts w:ascii="Times New Roman" w:eastAsia="Times New Roman" w:hAnsi="Times New Roman" w:cs="Times New Roman"/>
          <w:szCs w:val="20"/>
          <w:lang w:val="en-GB" w:eastAsia="fr-FR"/>
        </w:rPr>
        <w:fldChar w:fldCharType="end"/>
      </w:r>
      <w:r w:rsidRPr="001922A7">
        <w:rPr>
          <w:rFonts w:ascii="Times New Roman" w:eastAsia="Times New Roman" w:hAnsi="Times New Roman" w:cs="Times New Roman"/>
          <w:szCs w:val="20"/>
          <w:lang w:val="en-GB" w:eastAsia="fr-FR"/>
        </w:rPr>
        <w:t>.  The facts of the case, as submitted by the parties, may be summarised as follows.</w:t>
      </w:r>
    </w:p>
    <w:p w:rsidR="00904C9F" w:rsidRPr="001922A7" w:rsidRDefault="00904C9F" w:rsidP="00904C9F">
      <w:pPr>
        <w:pStyle w:val="ECHRHeading2"/>
        <w:rPr>
          <w:rFonts w:eastAsia="Times New Roman"/>
          <w:lang w:val="en-GB" w:eastAsia="fr-FR"/>
        </w:rPr>
      </w:pPr>
      <w:r w:rsidRPr="001922A7">
        <w:rPr>
          <w:rFonts w:eastAsia="Times New Roman"/>
          <w:lang w:val="en-GB" w:eastAsia="fr-FR"/>
        </w:rPr>
        <w:t>A.  Factual background to the case</w:t>
      </w:r>
    </w:p>
    <w:p w:rsidR="00904C9F" w:rsidRPr="001922A7" w:rsidRDefault="00A002A7" w:rsidP="00C264C5">
      <w:pPr>
        <w:pStyle w:val="ECHRPara"/>
        <w:rPr>
          <w:rFonts w:ascii="Times New Roman" w:eastAsia="Times New Roman" w:hAnsi="Times New Roman" w:cs="Times New Roman"/>
          <w:szCs w:val="20"/>
          <w:lang w:val="en-GB" w:eastAsia="fr-FR"/>
        </w:rPr>
      </w:pPr>
      <w:r w:rsidRPr="001922A7">
        <w:rPr>
          <w:rFonts w:ascii="Times New Roman" w:eastAsia="Times New Roman" w:hAnsi="Times New Roman" w:cs="Times New Roman"/>
          <w:szCs w:val="20"/>
          <w:lang w:val="en-GB" w:eastAsia="fr-FR"/>
        </w:rPr>
        <w:fldChar w:fldCharType="begin"/>
      </w:r>
      <w:r w:rsidRPr="001922A7">
        <w:rPr>
          <w:rFonts w:ascii="Times New Roman" w:eastAsia="Times New Roman" w:hAnsi="Times New Roman" w:cs="Times New Roman"/>
          <w:szCs w:val="20"/>
          <w:lang w:val="en-GB" w:eastAsia="fr-FR"/>
        </w:rPr>
        <w:instrText xml:space="preserve"> SEQ level0 \*arabic </w:instrText>
      </w:r>
      <w:r w:rsidRPr="001922A7">
        <w:rPr>
          <w:rFonts w:ascii="Times New Roman" w:eastAsia="Times New Roman" w:hAnsi="Times New Roman" w:cs="Times New Roman"/>
          <w:szCs w:val="20"/>
          <w:lang w:val="en-GB" w:eastAsia="fr-FR"/>
        </w:rPr>
        <w:fldChar w:fldCharType="separate"/>
      </w:r>
      <w:r w:rsidR="00E15C77">
        <w:rPr>
          <w:rFonts w:ascii="Times New Roman" w:eastAsia="Times New Roman" w:hAnsi="Times New Roman" w:cs="Times New Roman"/>
          <w:noProof/>
          <w:szCs w:val="20"/>
          <w:lang w:val="en-GB" w:eastAsia="fr-FR"/>
        </w:rPr>
        <w:t>10</w:t>
      </w:r>
      <w:r w:rsidRPr="001922A7">
        <w:rPr>
          <w:rFonts w:ascii="Times New Roman" w:eastAsia="Times New Roman" w:hAnsi="Times New Roman" w:cs="Times New Roman"/>
          <w:szCs w:val="20"/>
          <w:lang w:val="en-GB" w:eastAsia="fr-FR"/>
        </w:rPr>
        <w:fldChar w:fldCharType="end"/>
      </w:r>
      <w:r w:rsidRPr="00C264C5">
        <w:rPr>
          <w:rStyle w:val="JuParaCar"/>
        </w:rPr>
        <w:t>.  </w:t>
      </w:r>
      <w:r w:rsidR="00904C9F" w:rsidRPr="00C264C5">
        <w:rPr>
          <w:rStyle w:val="JuParaCar"/>
        </w:rPr>
        <w:t>Since 1997 the applicant has claimed, so far unsuccessfully, title to part of a house, owned</w:t>
      </w:r>
      <w:r w:rsidR="00B5643C" w:rsidRPr="00C264C5">
        <w:rPr>
          <w:rStyle w:val="JuParaCar"/>
        </w:rPr>
        <w:t xml:space="preserve"> </w:t>
      </w:r>
      <w:r w:rsidR="00904C9F" w:rsidRPr="00C264C5">
        <w:rPr>
          <w:rStyle w:val="JuParaCar"/>
        </w:rPr>
        <w:t>by Mr</w:t>
      </w:r>
      <w:r w:rsidR="00080C30" w:rsidRPr="00C264C5">
        <w:rPr>
          <w:rStyle w:val="JuParaCar"/>
        </w:rPr>
        <w:t xml:space="preserve"> </w:t>
      </w:r>
      <w:r w:rsidR="00904C9F" w:rsidRPr="00C264C5">
        <w:rPr>
          <w:rStyle w:val="JuParaCar"/>
        </w:rPr>
        <w:t>M.</w:t>
      </w:r>
      <w:r w:rsidR="00E7383B" w:rsidRPr="00C264C5">
        <w:rPr>
          <w:rStyle w:val="JuParaCar"/>
        </w:rPr>
        <w:t xml:space="preserve"> at the material time</w:t>
      </w:r>
      <w:r w:rsidR="00904C9F" w:rsidRPr="00C264C5">
        <w:rPr>
          <w:rStyle w:val="JuParaCar"/>
        </w:rPr>
        <w:t>, and to the land on which it stands. Her claim is based on the following arguments: that the part of the house in question was constructed at her and her late husband</w:t>
      </w:r>
      <w:r w:rsidR="009912A8">
        <w:rPr>
          <w:rStyle w:val="JuParaCar"/>
        </w:rPr>
        <w:t>’</w:t>
      </w:r>
      <w:r w:rsidR="00904C9F" w:rsidRPr="00C264C5">
        <w:rPr>
          <w:rStyle w:val="JuParaCar"/>
        </w:rPr>
        <w:t>s expense; that her husband lawfully obtained title to the property, which she subsequently inherited; that it was not sold to Mr</w:t>
      </w:r>
      <w:r w:rsidR="00080C30" w:rsidRPr="00C264C5">
        <w:rPr>
          <w:rStyle w:val="JuParaCar"/>
        </w:rPr>
        <w:t xml:space="preserve"> </w:t>
      </w:r>
      <w:r w:rsidR="00904C9F" w:rsidRPr="00C264C5">
        <w:rPr>
          <w:rStyle w:val="JuParaCar"/>
        </w:rPr>
        <w:t xml:space="preserve">M. despite </w:t>
      </w:r>
      <w:r w:rsidR="00B850AB">
        <w:rPr>
          <w:rStyle w:val="JuParaCar"/>
        </w:rPr>
        <w:t>there</w:t>
      </w:r>
      <w:r w:rsidR="00904C9F" w:rsidRPr="00C264C5">
        <w:rPr>
          <w:rStyle w:val="JuParaCar"/>
        </w:rPr>
        <w:t xml:space="preserve"> having initially been an agreement with the applicant</w:t>
      </w:r>
      <w:r w:rsidR="009912A8">
        <w:rPr>
          <w:rStyle w:val="JuParaCar"/>
        </w:rPr>
        <w:t>’</w:t>
      </w:r>
      <w:r w:rsidR="00904C9F" w:rsidRPr="00C264C5">
        <w:rPr>
          <w:rStyle w:val="JuParaCar"/>
        </w:rPr>
        <w:t>s son to that effect; and that the sales contract on which Mr</w:t>
      </w:r>
      <w:r w:rsidR="00080C30" w:rsidRPr="00C264C5">
        <w:rPr>
          <w:rStyle w:val="JuParaCar"/>
        </w:rPr>
        <w:t xml:space="preserve"> </w:t>
      </w:r>
      <w:r w:rsidR="00904C9F" w:rsidRPr="00C264C5">
        <w:rPr>
          <w:rStyle w:val="JuParaCar"/>
        </w:rPr>
        <w:t>M.</w:t>
      </w:r>
      <w:r w:rsidR="009912A8">
        <w:rPr>
          <w:rStyle w:val="JuParaCar"/>
        </w:rPr>
        <w:t>’</w:t>
      </w:r>
      <w:r w:rsidR="00904C9F" w:rsidRPr="00C264C5">
        <w:rPr>
          <w:rStyle w:val="JuParaCar"/>
        </w:rPr>
        <w:t xml:space="preserve">s claim to the property </w:t>
      </w:r>
      <w:r w:rsidR="00BF247D" w:rsidRPr="00C264C5">
        <w:rPr>
          <w:rStyle w:val="JuParaCar"/>
        </w:rPr>
        <w:t>was</w:t>
      </w:r>
      <w:r w:rsidR="00904C9F" w:rsidRPr="00C264C5">
        <w:rPr>
          <w:rStyle w:val="JuParaCar"/>
        </w:rPr>
        <w:t xml:space="preserve"> based was forged.</w:t>
      </w:r>
    </w:p>
    <w:p w:rsidR="00904C9F" w:rsidRPr="001922A7" w:rsidRDefault="00904C9F" w:rsidP="00C264C5">
      <w:pPr>
        <w:pStyle w:val="ECHRPara"/>
        <w:rPr>
          <w:rFonts w:eastAsia="Times New Roman"/>
          <w:szCs w:val="24"/>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11</w:t>
      </w:r>
      <w:r w:rsidRPr="001922A7">
        <w:rPr>
          <w:rFonts w:eastAsia="Times New Roman"/>
          <w:lang w:val="en-GB" w:eastAsia="fr-FR"/>
        </w:rPr>
        <w:fldChar w:fldCharType="end"/>
      </w:r>
      <w:r w:rsidRPr="001922A7">
        <w:rPr>
          <w:rFonts w:eastAsia="Times New Roman"/>
          <w:lang w:val="en-GB" w:eastAsia="fr-FR"/>
        </w:rPr>
        <w:t>.  The applicant</w:t>
      </w:r>
      <w:r w:rsidR="009912A8">
        <w:rPr>
          <w:rFonts w:eastAsia="Times New Roman"/>
          <w:lang w:val="en-GB" w:eastAsia="fr-FR"/>
        </w:rPr>
        <w:t>’</w:t>
      </w:r>
      <w:r w:rsidRPr="001922A7">
        <w:rPr>
          <w:rFonts w:eastAsia="Times New Roman"/>
          <w:lang w:val="en-GB" w:eastAsia="fr-FR"/>
        </w:rPr>
        <w:t xml:space="preserve">s </w:t>
      </w:r>
      <w:r w:rsidR="00E04167">
        <w:rPr>
          <w:rFonts w:eastAsia="Times New Roman"/>
          <w:lang w:val="en-GB" w:eastAsia="fr-FR"/>
        </w:rPr>
        <w:t xml:space="preserve">property </w:t>
      </w:r>
      <w:r w:rsidRPr="001922A7">
        <w:rPr>
          <w:rFonts w:eastAsia="Times New Roman"/>
          <w:lang w:val="en-GB" w:eastAsia="fr-FR"/>
        </w:rPr>
        <w:t>c</w:t>
      </w:r>
      <w:r w:rsidR="006E2562">
        <w:rPr>
          <w:rFonts w:eastAsia="Times New Roman"/>
          <w:lang w:val="en-GB" w:eastAsia="fr-FR"/>
        </w:rPr>
        <w:t xml:space="preserve">laim </w:t>
      </w:r>
      <w:r w:rsidRPr="001922A7">
        <w:rPr>
          <w:rFonts w:eastAsia="Times New Roman"/>
          <w:lang w:val="en-GB" w:eastAsia="fr-FR"/>
        </w:rPr>
        <w:t xml:space="preserve">was considered on numerous occasions by the domestic courts. Eventually, following the reassignment of the case by the Supreme Court to </w:t>
      </w:r>
      <w:r w:rsidR="006E2562">
        <w:rPr>
          <w:rFonts w:eastAsia="Times New Roman"/>
          <w:lang w:val="en-GB" w:eastAsia="fr-FR"/>
        </w:rPr>
        <w:t xml:space="preserve">lower </w:t>
      </w:r>
      <w:r w:rsidRPr="001922A7">
        <w:rPr>
          <w:rFonts w:eastAsia="Times New Roman"/>
          <w:lang w:val="en-GB" w:eastAsia="fr-FR"/>
        </w:rPr>
        <w:t>courts with different territorial jurisdiction, the applicant</w:t>
      </w:r>
      <w:r w:rsidR="009912A8">
        <w:rPr>
          <w:rFonts w:eastAsia="Times New Roman"/>
          <w:lang w:val="en-GB" w:eastAsia="fr-FR"/>
        </w:rPr>
        <w:t>’</w:t>
      </w:r>
      <w:r w:rsidRPr="001922A7">
        <w:rPr>
          <w:rFonts w:eastAsia="Times New Roman"/>
          <w:lang w:val="en-GB" w:eastAsia="fr-FR"/>
        </w:rPr>
        <w:t xml:space="preserve">s claim was dismissed. </w:t>
      </w:r>
      <w:r w:rsidRPr="001922A7">
        <w:rPr>
          <w:rFonts w:eastAsia="Times New Roman"/>
          <w:szCs w:val="24"/>
          <w:lang w:val="en-GB" w:eastAsia="fr-FR"/>
        </w:rPr>
        <w:t xml:space="preserve">Relying on the statements of </w:t>
      </w:r>
      <w:r w:rsidR="006E2562">
        <w:rPr>
          <w:rFonts w:eastAsia="Times New Roman"/>
          <w:szCs w:val="24"/>
          <w:lang w:val="en-GB" w:eastAsia="fr-FR"/>
        </w:rPr>
        <w:t xml:space="preserve">17 </w:t>
      </w:r>
      <w:r w:rsidRPr="001922A7">
        <w:rPr>
          <w:rFonts w:eastAsia="Times New Roman"/>
          <w:szCs w:val="24"/>
          <w:lang w:val="en-GB" w:eastAsia="fr-FR"/>
        </w:rPr>
        <w:t>witnesses, one of whom was heard in person, and documents submitted by Mr</w:t>
      </w:r>
      <w:r w:rsidR="00080C30">
        <w:rPr>
          <w:rFonts w:eastAsia="Times New Roman"/>
          <w:szCs w:val="24"/>
          <w:lang w:val="en-GB" w:eastAsia="fr-FR"/>
        </w:rPr>
        <w:t xml:space="preserve"> </w:t>
      </w:r>
      <w:r w:rsidRPr="001922A7">
        <w:rPr>
          <w:rFonts w:eastAsia="Times New Roman"/>
          <w:szCs w:val="24"/>
          <w:lang w:val="en-GB" w:eastAsia="fr-FR"/>
        </w:rPr>
        <w:t>M., the courts at two levels of jurisdiction found that Mr</w:t>
      </w:r>
      <w:r w:rsidR="00111A06">
        <w:rPr>
          <w:rFonts w:eastAsia="Times New Roman"/>
          <w:szCs w:val="24"/>
          <w:lang w:val="en-GB" w:eastAsia="fr-FR"/>
        </w:rPr>
        <w:t> </w:t>
      </w:r>
      <w:r w:rsidRPr="001922A7">
        <w:rPr>
          <w:rFonts w:eastAsia="Times New Roman"/>
          <w:szCs w:val="24"/>
          <w:lang w:val="en-GB" w:eastAsia="fr-FR"/>
        </w:rPr>
        <w:t>M. had bought the foundations of the part of the house in question from the applicant</w:t>
      </w:r>
      <w:r w:rsidR="009912A8">
        <w:rPr>
          <w:rFonts w:eastAsia="Times New Roman"/>
          <w:szCs w:val="24"/>
          <w:lang w:val="en-GB" w:eastAsia="fr-FR"/>
        </w:rPr>
        <w:t>’</w:t>
      </w:r>
      <w:r w:rsidRPr="001922A7">
        <w:rPr>
          <w:rFonts w:eastAsia="Times New Roman"/>
          <w:szCs w:val="24"/>
          <w:lang w:val="en-GB" w:eastAsia="fr-FR"/>
        </w:rPr>
        <w:t xml:space="preserve">s son in 1993 and had subsequently built it at his own cost. </w:t>
      </w:r>
      <w:r w:rsidRPr="001922A7">
        <w:rPr>
          <w:rFonts w:eastAsia="Times New Roman"/>
          <w:szCs w:val="24"/>
          <w:lang w:val="en-GB" w:eastAsia="fr-FR"/>
        </w:rPr>
        <w:lastRenderedPageBreak/>
        <w:t>Mr</w:t>
      </w:r>
      <w:r w:rsidR="00325EF6">
        <w:rPr>
          <w:rFonts w:eastAsia="Times New Roman"/>
          <w:szCs w:val="24"/>
          <w:lang w:val="en-GB" w:eastAsia="fr-FR"/>
        </w:rPr>
        <w:t> </w:t>
      </w:r>
      <w:r w:rsidRPr="001922A7">
        <w:rPr>
          <w:rFonts w:eastAsia="Times New Roman"/>
          <w:szCs w:val="24"/>
          <w:lang w:val="en-GB" w:eastAsia="fr-FR"/>
        </w:rPr>
        <w:t xml:space="preserve">M., accordingly, was the lawful owner of that part of the house and had the right to use the land on which it had been constructed. </w:t>
      </w:r>
      <w:r w:rsidRPr="001922A7">
        <w:rPr>
          <w:rFonts w:eastAsia="Times New Roman"/>
          <w:lang w:val="en-GB" w:eastAsia="fr-FR"/>
        </w:rPr>
        <w:t xml:space="preserve">The final decision, upholding the </w:t>
      </w:r>
      <w:r w:rsidR="006E2562">
        <w:rPr>
          <w:rFonts w:eastAsia="Times New Roman"/>
          <w:lang w:val="en-GB" w:eastAsia="fr-FR"/>
        </w:rPr>
        <w:t>rul</w:t>
      </w:r>
      <w:r w:rsidRPr="001922A7">
        <w:rPr>
          <w:rFonts w:eastAsia="Times New Roman"/>
          <w:lang w:val="en-GB" w:eastAsia="fr-FR"/>
        </w:rPr>
        <w:t xml:space="preserve">ings of the lower courts, was taken by </w:t>
      </w:r>
      <w:r w:rsidRPr="001922A7">
        <w:rPr>
          <w:rFonts w:eastAsia="Times New Roman"/>
          <w:szCs w:val="24"/>
          <w:lang w:val="en-GB" w:eastAsia="fr-FR"/>
        </w:rPr>
        <w:t>the Supreme Court</w:t>
      </w:r>
      <w:r w:rsidRPr="001922A7">
        <w:rPr>
          <w:rFonts w:eastAsia="Times New Roman"/>
          <w:lang w:val="en-GB" w:eastAsia="fr-FR"/>
        </w:rPr>
        <w:t xml:space="preserve"> on </w:t>
      </w:r>
      <w:r w:rsidRPr="001922A7">
        <w:rPr>
          <w:rFonts w:eastAsia="Times New Roman"/>
          <w:szCs w:val="24"/>
          <w:lang w:val="en-GB" w:eastAsia="fr-FR"/>
        </w:rPr>
        <w:t>22</w:t>
      </w:r>
      <w:r w:rsidR="001F6295">
        <w:rPr>
          <w:rFonts w:eastAsia="Times New Roman"/>
          <w:szCs w:val="24"/>
          <w:lang w:val="en-GB" w:eastAsia="fr-FR"/>
        </w:rPr>
        <w:t xml:space="preserve"> </w:t>
      </w:r>
      <w:r w:rsidRPr="001922A7">
        <w:rPr>
          <w:rFonts w:eastAsia="Times New Roman"/>
          <w:szCs w:val="24"/>
          <w:lang w:val="en-GB" w:eastAsia="fr-FR"/>
        </w:rPr>
        <w:t>August 2002.</w:t>
      </w:r>
    </w:p>
    <w:p w:rsidR="00904C9F" w:rsidRPr="001922A7" w:rsidRDefault="00904C9F" w:rsidP="00C264C5">
      <w:pPr>
        <w:pStyle w:val="ECHRHeading2"/>
        <w:rPr>
          <w:rFonts w:eastAsia="Times New Roman"/>
          <w:lang w:val="en-GB" w:eastAsia="fr-FR"/>
        </w:rPr>
      </w:pPr>
      <w:r w:rsidRPr="00C264C5">
        <w:rPr>
          <w:rFonts w:eastAsia="Times New Roman"/>
          <w:lang w:val="en-GB" w:eastAsia="fr-FR"/>
        </w:rPr>
        <w:t>B.  The Court</w:t>
      </w:r>
      <w:r w:rsidR="009912A8">
        <w:rPr>
          <w:rFonts w:eastAsia="Times New Roman"/>
          <w:lang w:val="en-GB" w:eastAsia="fr-FR"/>
        </w:rPr>
        <w:t>’</w:t>
      </w:r>
      <w:r w:rsidRPr="00C264C5">
        <w:rPr>
          <w:rFonts w:eastAsia="Times New Roman"/>
          <w:lang w:val="en-GB" w:eastAsia="fr-FR"/>
        </w:rPr>
        <w:t>s judgment in the first case</w:t>
      </w:r>
    </w:p>
    <w:p w:rsidR="00904C9F" w:rsidRPr="001922A7" w:rsidRDefault="00904C9F"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12</w:t>
      </w:r>
      <w:r w:rsidRPr="001922A7">
        <w:rPr>
          <w:rFonts w:eastAsia="Times New Roman"/>
          <w:lang w:val="en-GB" w:eastAsia="fr-FR"/>
        </w:rPr>
        <w:fldChar w:fldCharType="end"/>
      </w:r>
      <w:r w:rsidRPr="001922A7">
        <w:rPr>
          <w:rFonts w:eastAsia="Times New Roman"/>
          <w:lang w:val="en-GB" w:eastAsia="fr-FR"/>
        </w:rPr>
        <w:t>.  On 17</w:t>
      </w:r>
      <w:r w:rsidR="00080C30">
        <w:rPr>
          <w:rFonts w:eastAsia="Times New Roman"/>
          <w:lang w:val="en-GB" w:eastAsia="fr-FR"/>
        </w:rPr>
        <w:t xml:space="preserve"> </w:t>
      </w:r>
      <w:r w:rsidRPr="001922A7">
        <w:rPr>
          <w:rFonts w:eastAsia="Times New Roman"/>
          <w:lang w:val="en-GB" w:eastAsia="fr-FR"/>
        </w:rPr>
        <w:t>July 2001 the applicant lodged an application with the Court, complaining in particular of unfairness in the domestic court proceedings concerning her claim. She also complained about the length of the proceedings and alleged a violation of Article</w:t>
      </w:r>
      <w:r w:rsidR="00080C30">
        <w:rPr>
          <w:rFonts w:eastAsia="Times New Roman"/>
          <w:lang w:val="en-GB" w:eastAsia="fr-FR"/>
        </w:rPr>
        <w:t xml:space="preserve"> </w:t>
      </w:r>
      <w:r w:rsidRPr="001922A7">
        <w:rPr>
          <w:rFonts w:eastAsia="Times New Roman"/>
          <w:lang w:val="en-GB" w:eastAsia="fr-FR"/>
        </w:rPr>
        <w:t>1 of Protocol</w:t>
      </w:r>
      <w:r w:rsidR="00080C30">
        <w:rPr>
          <w:rFonts w:eastAsia="Times New Roman"/>
          <w:lang w:val="en-GB" w:eastAsia="fr-FR"/>
        </w:rPr>
        <w:t xml:space="preserve"> </w:t>
      </w:r>
      <w:r w:rsidRPr="001922A7">
        <w:rPr>
          <w:rFonts w:eastAsia="Times New Roman"/>
          <w:lang w:val="en-GB" w:eastAsia="fr-FR"/>
        </w:rPr>
        <w:t>No.</w:t>
      </w:r>
      <w:r w:rsidR="00080C30">
        <w:rPr>
          <w:rFonts w:eastAsia="Times New Roman"/>
          <w:lang w:val="en-GB" w:eastAsia="fr-FR"/>
        </w:rPr>
        <w:t xml:space="preserve"> </w:t>
      </w:r>
      <w:r w:rsidRPr="001922A7">
        <w:rPr>
          <w:rFonts w:eastAsia="Times New Roman"/>
          <w:lang w:val="en-GB" w:eastAsia="fr-FR"/>
        </w:rPr>
        <w:t xml:space="preserve">1 to the Convention taken </w:t>
      </w:r>
      <w:r w:rsidR="00625564" w:rsidRPr="001922A7">
        <w:rPr>
          <w:rFonts w:eastAsia="Times New Roman"/>
          <w:lang w:val="en-GB" w:eastAsia="fr-FR"/>
        </w:rPr>
        <w:t>alone</w:t>
      </w:r>
      <w:r w:rsidRPr="001922A7">
        <w:rPr>
          <w:rFonts w:eastAsia="Times New Roman"/>
          <w:lang w:val="en-GB" w:eastAsia="fr-FR"/>
        </w:rPr>
        <w:t xml:space="preserve"> and in conjunction with Article 14 of the Convention on account of their outcome.</w:t>
      </w:r>
    </w:p>
    <w:p w:rsidR="00904C9F" w:rsidRPr="001922A7" w:rsidRDefault="00904C9F"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13</w:t>
      </w:r>
      <w:r w:rsidRPr="001922A7">
        <w:rPr>
          <w:rFonts w:eastAsia="Times New Roman"/>
          <w:lang w:val="en-GB" w:eastAsia="fr-FR"/>
        </w:rPr>
        <w:fldChar w:fldCharType="end"/>
      </w:r>
      <w:r w:rsidRPr="001922A7">
        <w:rPr>
          <w:rFonts w:eastAsia="Times New Roman"/>
          <w:lang w:val="en-GB" w:eastAsia="fr-FR"/>
        </w:rPr>
        <w:t>.  On 3</w:t>
      </w:r>
      <w:r w:rsidR="00080C30">
        <w:rPr>
          <w:rFonts w:eastAsia="Times New Roman"/>
          <w:lang w:val="en-GB" w:eastAsia="fr-FR"/>
        </w:rPr>
        <w:t xml:space="preserve"> </w:t>
      </w:r>
      <w:r w:rsidRPr="001922A7">
        <w:rPr>
          <w:rFonts w:eastAsia="Times New Roman"/>
          <w:lang w:val="en-GB" w:eastAsia="fr-FR"/>
        </w:rPr>
        <w:t xml:space="preserve">May 2007 the Court delivered a judgment </w:t>
      </w:r>
      <w:r w:rsidR="00625564" w:rsidRPr="001922A7">
        <w:rPr>
          <w:rFonts w:eastAsia="Times New Roman"/>
          <w:lang w:val="en-GB" w:eastAsia="fr-FR"/>
        </w:rPr>
        <w:t>in the case</w:t>
      </w:r>
      <w:r w:rsidRPr="001922A7">
        <w:rPr>
          <w:rFonts w:eastAsia="Times New Roman"/>
          <w:lang w:val="en-GB" w:eastAsia="fr-FR"/>
        </w:rPr>
        <w:t>, which became final on 3</w:t>
      </w:r>
      <w:r w:rsidR="00080C30">
        <w:rPr>
          <w:rFonts w:eastAsia="Times New Roman"/>
          <w:lang w:val="en-GB" w:eastAsia="fr-FR"/>
        </w:rPr>
        <w:t xml:space="preserve"> </w:t>
      </w:r>
      <w:r w:rsidRPr="001922A7">
        <w:rPr>
          <w:rFonts w:eastAsia="Times New Roman"/>
          <w:lang w:val="en-GB" w:eastAsia="fr-FR"/>
        </w:rPr>
        <w:t>August 2007. The Court held that there had been a violation of Article 6</w:t>
      </w:r>
      <w:r w:rsidR="00080C30">
        <w:rPr>
          <w:rFonts w:eastAsia="Times New Roman"/>
          <w:lang w:val="en-GB" w:eastAsia="fr-FR"/>
        </w:rPr>
        <w:t xml:space="preserve"> </w:t>
      </w:r>
      <w:r w:rsidRPr="001922A7">
        <w:rPr>
          <w:rFonts w:eastAsia="Times New Roman"/>
          <w:lang w:val="en-GB" w:eastAsia="fr-FR"/>
        </w:rPr>
        <w:t>§</w:t>
      </w:r>
      <w:r w:rsidR="00080C30">
        <w:rPr>
          <w:rFonts w:eastAsia="Times New Roman"/>
          <w:lang w:val="en-GB" w:eastAsia="fr-FR"/>
        </w:rPr>
        <w:t xml:space="preserve"> </w:t>
      </w:r>
      <w:r w:rsidRPr="001922A7">
        <w:rPr>
          <w:rFonts w:eastAsia="Times New Roman"/>
          <w:lang w:val="en-GB" w:eastAsia="fr-FR"/>
        </w:rPr>
        <w:t xml:space="preserve">1 of the Convention, </w:t>
      </w:r>
      <w:r w:rsidRPr="001922A7">
        <w:rPr>
          <w:rFonts w:eastAsia="Times New Roman"/>
          <w:szCs w:val="24"/>
          <w:lang w:val="en-GB" w:eastAsia="fr-FR"/>
        </w:rPr>
        <w:t xml:space="preserve">having regard to </w:t>
      </w:r>
      <w:r w:rsidRPr="001922A7">
        <w:rPr>
          <w:rFonts w:eastAsia="Times New Roman"/>
          <w:lang w:val="en-GB" w:eastAsia="fr-FR"/>
        </w:rPr>
        <w:t>the circumstances in which the applicant</w:t>
      </w:r>
      <w:r w:rsidR="009912A8">
        <w:rPr>
          <w:rFonts w:eastAsia="Times New Roman"/>
          <w:lang w:val="en-GB" w:eastAsia="fr-FR"/>
        </w:rPr>
        <w:t>’</w:t>
      </w:r>
      <w:r w:rsidRPr="001922A7">
        <w:rPr>
          <w:rFonts w:eastAsia="Times New Roman"/>
          <w:lang w:val="en-GB" w:eastAsia="fr-FR"/>
        </w:rPr>
        <w:t>s case had been reassigned by the Supreme Court and to the lack of sufficient reasoning in the domestic decisions, these issues being taken together and</w:t>
      </w:r>
      <w:r w:rsidRPr="001922A7">
        <w:rPr>
          <w:rFonts w:eastAsia="Times New Roman"/>
          <w:szCs w:val="24"/>
          <w:lang w:val="en-GB" w:eastAsia="fr-FR"/>
        </w:rPr>
        <w:t xml:space="preserve"> cumulatively </w:t>
      </w:r>
      <w:r w:rsidRPr="001922A7">
        <w:rPr>
          <w:rFonts w:eastAsia="Times New Roman"/>
          <w:lang w:val="en-GB" w:eastAsia="fr-FR"/>
        </w:rPr>
        <w:t xml:space="preserve">(see </w:t>
      </w:r>
      <w:r w:rsidRPr="001922A7">
        <w:rPr>
          <w:rFonts w:eastAsia="Times New Roman"/>
          <w:i/>
          <w:lang w:val="en-GB" w:eastAsia="fr-FR"/>
        </w:rPr>
        <w:t>Bochan</w:t>
      </w:r>
      <w:r w:rsidRPr="001922A7">
        <w:rPr>
          <w:rFonts w:eastAsia="Times New Roman"/>
          <w:lang w:val="en-GB" w:eastAsia="fr-FR"/>
        </w:rPr>
        <w:t>, cited above, § 85).</w:t>
      </w:r>
    </w:p>
    <w:p w:rsidR="00904C9F" w:rsidRPr="001922A7" w:rsidRDefault="00904C9F"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14</w:t>
      </w:r>
      <w:r w:rsidRPr="001922A7">
        <w:rPr>
          <w:rFonts w:eastAsia="Times New Roman"/>
          <w:lang w:val="en-GB" w:eastAsia="fr-FR"/>
        </w:rPr>
        <w:fldChar w:fldCharType="end"/>
      </w:r>
      <w:r w:rsidRPr="001922A7">
        <w:rPr>
          <w:rFonts w:eastAsia="Times New Roman"/>
          <w:lang w:val="en-GB" w:eastAsia="fr-FR"/>
        </w:rPr>
        <w:t>.  </w:t>
      </w:r>
      <w:r w:rsidR="00726EAC" w:rsidRPr="001922A7">
        <w:rPr>
          <w:rFonts w:eastAsia="Times New Roman"/>
          <w:lang w:val="en-GB" w:eastAsia="fr-FR"/>
        </w:rPr>
        <w:t>The</w:t>
      </w:r>
      <w:r w:rsidRPr="001922A7">
        <w:rPr>
          <w:rFonts w:eastAsia="Times New Roman"/>
          <w:lang w:val="en-GB" w:eastAsia="fr-FR"/>
        </w:rPr>
        <w:t xml:space="preserve"> Court reasoned as follows:</w:t>
      </w:r>
    </w:p>
    <w:p w:rsidR="00904C9F" w:rsidRPr="001922A7" w:rsidRDefault="00904C9F" w:rsidP="001B4C2E">
      <w:pPr>
        <w:pStyle w:val="ECHRParaQuote"/>
        <w:rPr>
          <w:rFonts w:eastAsia="Times New Roman"/>
          <w:lang w:val="en-GB" w:eastAsia="fr-FR"/>
        </w:rPr>
      </w:pPr>
      <w:r w:rsidRPr="001922A7">
        <w:rPr>
          <w:rFonts w:eastAsia="Times New Roman"/>
          <w:lang w:val="en-GB" w:eastAsia="fr-FR"/>
        </w:rPr>
        <w:t>“74.  ... [The] reassignment [of the applicant</w:t>
      </w:r>
      <w:r w:rsidR="009912A8">
        <w:rPr>
          <w:rFonts w:eastAsia="Times New Roman"/>
          <w:lang w:val="en-GB" w:eastAsia="fr-FR"/>
        </w:rPr>
        <w:t>’</w:t>
      </w:r>
      <w:r w:rsidRPr="001922A7">
        <w:rPr>
          <w:rFonts w:eastAsia="Times New Roman"/>
          <w:lang w:val="en-GB" w:eastAsia="fr-FR"/>
        </w:rPr>
        <w:t>s case] was ordered by the Supreme Court after having expressly disagreed with the findings of the lower courts as to the facts and having stated its position concerning one of the princip</w:t>
      </w:r>
      <w:r w:rsidR="006E2562">
        <w:rPr>
          <w:rFonts w:eastAsia="Times New Roman"/>
          <w:lang w:val="en-GB" w:eastAsia="fr-FR"/>
        </w:rPr>
        <w:t>a</w:t>
      </w:r>
      <w:r w:rsidRPr="001922A7">
        <w:rPr>
          <w:rFonts w:eastAsia="Times New Roman"/>
          <w:lang w:val="en-GB" w:eastAsia="fr-FR"/>
        </w:rPr>
        <w:t>l aspects of the case ... even before the new assessment of facts and taking of evidence by the lower courts took place ... Considering in addition the Supreme Court</w:t>
      </w:r>
      <w:r w:rsidR="009912A8">
        <w:rPr>
          <w:rFonts w:eastAsia="Times New Roman"/>
          <w:lang w:val="en-GB" w:eastAsia="fr-FR"/>
        </w:rPr>
        <w:t>’</w:t>
      </w:r>
      <w:r w:rsidRPr="001922A7">
        <w:rPr>
          <w:rFonts w:eastAsia="Times New Roman"/>
          <w:lang w:val="en-GB" w:eastAsia="fr-FR"/>
        </w:rPr>
        <w:t>s failure to provide reasons for the reassignment, the Court is of the opinion that the applicant</w:t>
      </w:r>
      <w:r w:rsidR="009912A8">
        <w:rPr>
          <w:rFonts w:eastAsia="Times New Roman"/>
          <w:lang w:val="en-GB" w:eastAsia="fr-FR"/>
        </w:rPr>
        <w:t>’</w:t>
      </w:r>
      <w:r w:rsidRPr="001922A7">
        <w:rPr>
          <w:rFonts w:eastAsia="Times New Roman"/>
          <w:lang w:val="en-GB" w:eastAsia="fr-FR"/>
        </w:rPr>
        <w:t>s fears that the judges of the Supreme Court, including its Deputy President, had a prefixed idea concerning the outcome of the case and that the judges to whom the case had been transferred on 9</w:t>
      </w:r>
      <w:r w:rsidR="00080C30">
        <w:rPr>
          <w:rFonts w:eastAsia="Times New Roman"/>
          <w:lang w:val="en-GB" w:eastAsia="fr-FR"/>
        </w:rPr>
        <w:t xml:space="preserve"> </w:t>
      </w:r>
      <w:r w:rsidRPr="001922A7">
        <w:rPr>
          <w:rFonts w:eastAsia="Times New Roman"/>
          <w:lang w:val="en-GB" w:eastAsia="fr-FR"/>
        </w:rPr>
        <w:t>October 2000 would have to consider the case in accordance with the Supreme Court</w:t>
      </w:r>
      <w:r w:rsidR="009912A8">
        <w:rPr>
          <w:rFonts w:eastAsia="Times New Roman"/>
          <w:lang w:val="en-GB" w:eastAsia="fr-FR"/>
        </w:rPr>
        <w:t>’</w:t>
      </w:r>
      <w:r w:rsidRPr="001922A7">
        <w:rPr>
          <w:rFonts w:eastAsia="Times New Roman"/>
          <w:lang w:val="en-GB" w:eastAsia="fr-FR"/>
        </w:rPr>
        <w:t>s view could be held to be objectively justified.</w:t>
      </w:r>
    </w:p>
    <w:p w:rsidR="00904C9F" w:rsidRPr="001922A7" w:rsidRDefault="00904C9F" w:rsidP="001B4C2E">
      <w:pPr>
        <w:pStyle w:val="ECHRParaQuote"/>
        <w:rPr>
          <w:rFonts w:eastAsia="Times New Roman"/>
          <w:lang w:val="en-GB"/>
        </w:rPr>
      </w:pPr>
      <w:r w:rsidRPr="001922A7">
        <w:rPr>
          <w:rFonts w:eastAsia="Times New Roman"/>
          <w:lang w:val="en-GB" w:eastAsia="fr-FR"/>
        </w:rPr>
        <w:t xml:space="preserve">75.  The Court considers that this overall procedural situation also disturbed the principle of legal certainty (see </w:t>
      </w:r>
      <w:r w:rsidRPr="001922A7">
        <w:rPr>
          <w:rFonts w:eastAsia="Times New Roman"/>
          <w:i/>
          <w:lang w:val="en-GB"/>
        </w:rPr>
        <w:t>Ryabykh v. Russia</w:t>
      </w:r>
      <w:r w:rsidRPr="001922A7">
        <w:rPr>
          <w:rFonts w:eastAsia="Times New Roman"/>
          <w:lang w:val="en-GB"/>
        </w:rPr>
        <w:t>,</w:t>
      </w:r>
      <w:r w:rsidRPr="001922A7">
        <w:rPr>
          <w:rFonts w:eastAsia="Times New Roman"/>
          <w:i/>
          <w:lang w:val="en-GB"/>
        </w:rPr>
        <w:t xml:space="preserve"> </w:t>
      </w:r>
      <w:r w:rsidRPr="001922A7">
        <w:rPr>
          <w:rFonts w:eastAsia="Times New Roman"/>
          <w:lang w:val="en-GB"/>
        </w:rPr>
        <w:t>no.</w:t>
      </w:r>
      <w:r w:rsidR="00080C30">
        <w:rPr>
          <w:rFonts w:eastAsia="Times New Roman"/>
          <w:lang w:val="en-GB"/>
        </w:rPr>
        <w:t xml:space="preserve"> </w:t>
      </w:r>
      <w:r w:rsidRPr="001922A7">
        <w:rPr>
          <w:rFonts w:eastAsia="Times New Roman"/>
          <w:lang w:val="en-GB"/>
        </w:rPr>
        <w:t>52854/99, §§</w:t>
      </w:r>
      <w:r w:rsidRPr="001922A7">
        <w:rPr>
          <w:rFonts w:eastAsia="Times New Roman"/>
          <w:lang w:val="en-GB" w:eastAsia="fr-FR"/>
        </w:rPr>
        <w:t xml:space="preserve"> 51-52</w:t>
      </w:r>
      <w:r w:rsidRPr="001922A7">
        <w:rPr>
          <w:rFonts w:eastAsia="Times New Roman"/>
          <w:lang w:val="en-GB"/>
        </w:rPr>
        <w:t>, ECHR</w:t>
      </w:r>
      <w:r w:rsidR="00BB7CF5">
        <w:rPr>
          <w:rFonts w:eastAsia="Times New Roman"/>
          <w:lang w:val="en-GB"/>
        </w:rPr>
        <w:t> </w:t>
      </w:r>
      <w:r w:rsidRPr="001922A7">
        <w:rPr>
          <w:rFonts w:eastAsia="Times New Roman"/>
          <w:lang w:val="en-GB"/>
        </w:rPr>
        <w:t>2003</w:t>
      </w:r>
      <w:r w:rsidRPr="001922A7">
        <w:rPr>
          <w:rFonts w:eastAsia="Times New Roman"/>
          <w:lang w:val="en-GB"/>
        </w:rPr>
        <w:noBreakHyphen/>
        <w:t>IX</w:t>
      </w:r>
      <w:r w:rsidRPr="001922A7">
        <w:rPr>
          <w:rFonts w:eastAsia="Times New Roman"/>
          <w:lang w:val="en-GB" w:eastAsia="fr-FR"/>
        </w:rPr>
        <w:t>). The fact that the Supreme Court</w:t>
      </w:r>
      <w:r w:rsidR="009912A8">
        <w:rPr>
          <w:rFonts w:eastAsia="Times New Roman"/>
          <w:lang w:val="en-GB" w:eastAsia="fr-FR"/>
        </w:rPr>
        <w:t>’</w:t>
      </w:r>
      <w:r w:rsidRPr="001922A7">
        <w:rPr>
          <w:rFonts w:eastAsia="Times New Roman"/>
          <w:lang w:val="en-GB" w:eastAsia="fr-FR"/>
        </w:rPr>
        <w:t>s views on the subject of the applicant</w:t>
      </w:r>
      <w:r w:rsidR="009912A8">
        <w:rPr>
          <w:rFonts w:eastAsia="Times New Roman"/>
          <w:lang w:val="en-GB" w:eastAsia="fr-FR"/>
        </w:rPr>
        <w:t>’</w:t>
      </w:r>
      <w:r w:rsidRPr="001922A7">
        <w:rPr>
          <w:rFonts w:eastAsia="Times New Roman"/>
          <w:lang w:val="en-GB" w:eastAsia="fr-FR"/>
        </w:rPr>
        <w:t>s case differed from those of the lower courts could not be a sole ground for its repeated re-examination. Higher courts</w:t>
      </w:r>
      <w:r w:rsidR="009912A8">
        <w:rPr>
          <w:rFonts w:eastAsia="Times New Roman"/>
          <w:lang w:val="en-GB" w:eastAsia="fr-FR"/>
        </w:rPr>
        <w:t>’</w:t>
      </w:r>
      <w:r w:rsidRPr="001922A7">
        <w:rPr>
          <w:rFonts w:eastAsia="Times New Roman"/>
          <w:lang w:val="en-GB" w:eastAsia="fr-FR"/>
        </w:rPr>
        <w:t xml:space="preserve"> power of review should be exercised for correction of judicial mistakes, miscarriages of justice, and not to substitute the lower courts</w:t>
      </w:r>
      <w:r w:rsidR="009912A8">
        <w:rPr>
          <w:rFonts w:eastAsia="Times New Roman"/>
          <w:lang w:val="en-GB" w:eastAsia="fr-FR"/>
        </w:rPr>
        <w:t>’</w:t>
      </w:r>
      <w:r w:rsidRPr="001922A7">
        <w:rPr>
          <w:rFonts w:eastAsia="Times New Roman"/>
          <w:lang w:val="en-GB" w:eastAsia="fr-FR"/>
        </w:rPr>
        <w:t xml:space="preserve"> assessment of facts.”</w:t>
      </w:r>
    </w:p>
    <w:p w:rsidR="00904C9F" w:rsidRPr="001922A7" w:rsidRDefault="00904C9F" w:rsidP="00C264C5">
      <w:pPr>
        <w:pStyle w:val="ECHRPara"/>
        <w:rPr>
          <w:rFonts w:eastAsia="Times New Roman"/>
          <w:szCs w:val="20"/>
          <w:lang w:val="en-GB" w:eastAsia="fr-FR"/>
        </w:rPr>
      </w:pPr>
      <w:r w:rsidRPr="001922A7">
        <w:rPr>
          <w:rFonts w:eastAsia="Times New Roman"/>
          <w:szCs w:val="20"/>
          <w:lang w:val="en-GB" w:eastAsia="fr-FR"/>
        </w:rPr>
        <w:fldChar w:fldCharType="begin"/>
      </w:r>
      <w:r w:rsidRPr="001922A7">
        <w:rPr>
          <w:rFonts w:eastAsia="Times New Roman"/>
          <w:szCs w:val="20"/>
          <w:lang w:val="en-GB" w:eastAsia="fr-FR"/>
        </w:rPr>
        <w:instrText xml:space="preserve"> SEQ level0 \*arabic </w:instrText>
      </w:r>
      <w:r w:rsidRPr="001922A7">
        <w:rPr>
          <w:rFonts w:eastAsia="Times New Roman"/>
          <w:szCs w:val="20"/>
          <w:lang w:val="en-GB" w:eastAsia="fr-FR"/>
        </w:rPr>
        <w:fldChar w:fldCharType="separate"/>
      </w:r>
      <w:r w:rsidR="00E15C77">
        <w:rPr>
          <w:rFonts w:eastAsia="Times New Roman"/>
          <w:noProof/>
          <w:szCs w:val="20"/>
          <w:lang w:val="en-GB" w:eastAsia="fr-FR"/>
        </w:rPr>
        <w:t>15</w:t>
      </w:r>
      <w:r w:rsidRPr="001922A7">
        <w:rPr>
          <w:rFonts w:eastAsia="Times New Roman"/>
          <w:szCs w:val="20"/>
          <w:lang w:val="en-GB" w:eastAsia="fr-FR"/>
        </w:rPr>
        <w:fldChar w:fldCharType="end"/>
      </w:r>
      <w:r w:rsidRPr="001922A7">
        <w:rPr>
          <w:rFonts w:eastAsia="Times New Roman"/>
          <w:szCs w:val="20"/>
          <w:lang w:val="en-GB" w:eastAsia="fr-FR"/>
        </w:rPr>
        <w:t>.  The Court further noted that t</w:t>
      </w:r>
      <w:r w:rsidRPr="001922A7">
        <w:rPr>
          <w:rFonts w:eastAsia="Times New Roman"/>
          <w:lang w:val="en-GB" w:eastAsia="fr-FR"/>
        </w:rPr>
        <w:t xml:space="preserve">he domestic courts had </w:t>
      </w:r>
      <w:r w:rsidR="006E2562">
        <w:rPr>
          <w:rFonts w:eastAsia="Times New Roman"/>
          <w:lang w:val="en-GB" w:eastAsia="fr-FR"/>
        </w:rPr>
        <w:t xml:space="preserve">afforded </w:t>
      </w:r>
      <w:r w:rsidRPr="001922A7">
        <w:rPr>
          <w:rFonts w:eastAsia="Times New Roman"/>
          <w:lang w:val="en-GB" w:eastAsia="fr-FR"/>
        </w:rPr>
        <w:t>no reply to the applicant</w:t>
      </w:r>
      <w:r w:rsidR="009912A8">
        <w:rPr>
          <w:rFonts w:eastAsia="Times New Roman"/>
          <w:lang w:val="en-GB" w:eastAsia="fr-FR"/>
        </w:rPr>
        <w:t>’</w:t>
      </w:r>
      <w:r w:rsidRPr="001922A7">
        <w:rPr>
          <w:rFonts w:eastAsia="Times New Roman"/>
          <w:lang w:val="en-GB" w:eastAsia="fr-FR"/>
        </w:rPr>
        <w:t>s submissions concerning the reliability of the witnesses</w:t>
      </w:r>
      <w:r w:rsidR="009912A8">
        <w:rPr>
          <w:rFonts w:eastAsia="Times New Roman"/>
          <w:lang w:val="en-GB" w:eastAsia="fr-FR"/>
        </w:rPr>
        <w:t>’</w:t>
      </w:r>
      <w:r w:rsidRPr="001922A7">
        <w:rPr>
          <w:rFonts w:eastAsia="Times New Roman"/>
          <w:lang w:val="en-GB" w:eastAsia="fr-FR"/>
        </w:rPr>
        <w:t xml:space="preserve"> statements and the validity of the documentary evidence, which had been </w:t>
      </w:r>
      <w:r w:rsidRPr="001922A7">
        <w:rPr>
          <w:rFonts w:eastAsia="Times New Roman"/>
          <w:szCs w:val="20"/>
          <w:lang w:val="en-GB" w:eastAsia="fr-FR"/>
        </w:rPr>
        <w:t xml:space="preserve">decisive for the outcome of the case (see </w:t>
      </w:r>
      <w:r w:rsidRPr="001922A7">
        <w:rPr>
          <w:rFonts w:eastAsia="Times New Roman"/>
          <w:i/>
          <w:szCs w:val="20"/>
          <w:lang w:val="en-GB" w:eastAsia="fr-FR"/>
        </w:rPr>
        <w:t>Bochan</w:t>
      </w:r>
      <w:r w:rsidRPr="001922A7">
        <w:rPr>
          <w:rFonts w:eastAsia="Times New Roman"/>
          <w:szCs w:val="20"/>
          <w:lang w:val="en-GB" w:eastAsia="fr-FR"/>
        </w:rPr>
        <w:t>, cited above, §§</w:t>
      </w:r>
      <w:r w:rsidR="00080C30">
        <w:rPr>
          <w:rFonts w:eastAsia="Times New Roman"/>
          <w:szCs w:val="20"/>
          <w:lang w:val="en-GB" w:eastAsia="fr-FR"/>
        </w:rPr>
        <w:t> </w:t>
      </w:r>
      <w:r w:rsidRPr="001922A7">
        <w:rPr>
          <w:rFonts w:eastAsia="Times New Roman"/>
          <w:szCs w:val="20"/>
          <w:lang w:val="en-GB" w:eastAsia="fr-FR"/>
        </w:rPr>
        <w:t>81-84)</w:t>
      </w:r>
      <w:r w:rsidRPr="001922A7">
        <w:rPr>
          <w:rFonts w:eastAsia="Times New Roman"/>
          <w:lang w:val="en-GB" w:eastAsia="fr-FR"/>
        </w:rPr>
        <w:t>.</w:t>
      </w:r>
    </w:p>
    <w:p w:rsidR="00904C9F" w:rsidRPr="001922A7" w:rsidRDefault="00904C9F"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16</w:t>
      </w:r>
      <w:r w:rsidRPr="001922A7">
        <w:rPr>
          <w:rFonts w:eastAsia="Times New Roman"/>
          <w:lang w:val="en-GB" w:eastAsia="fr-FR"/>
        </w:rPr>
        <w:fldChar w:fldCharType="end"/>
      </w:r>
      <w:r w:rsidRPr="001922A7">
        <w:rPr>
          <w:rFonts w:eastAsia="Times New Roman"/>
          <w:lang w:val="en-GB" w:eastAsia="fr-FR"/>
        </w:rPr>
        <w:t>.  Relying on the above findings under Article</w:t>
      </w:r>
      <w:r w:rsidR="00080C30">
        <w:rPr>
          <w:rFonts w:eastAsia="Times New Roman"/>
          <w:lang w:val="en-GB" w:eastAsia="fr-FR"/>
        </w:rPr>
        <w:t xml:space="preserve"> </w:t>
      </w:r>
      <w:r w:rsidRPr="001922A7">
        <w:rPr>
          <w:rFonts w:eastAsia="Times New Roman"/>
          <w:lang w:val="en-GB" w:eastAsia="fr-FR"/>
        </w:rPr>
        <w:t>6</w:t>
      </w:r>
      <w:r w:rsidR="00080C30">
        <w:rPr>
          <w:rFonts w:eastAsia="Times New Roman"/>
          <w:lang w:val="en-GB" w:eastAsia="fr-FR"/>
        </w:rPr>
        <w:t xml:space="preserve"> </w:t>
      </w:r>
      <w:r w:rsidRPr="001922A7">
        <w:rPr>
          <w:rFonts w:eastAsia="Times New Roman"/>
          <w:lang w:val="en-GB" w:eastAsia="fr-FR"/>
        </w:rPr>
        <w:t>§</w:t>
      </w:r>
      <w:r w:rsidR="00080C30">
        <w:rPr>
          <w:rFonts w:eastAsia="Times New Roman"/>
          <w:lang w:val="en-GB" w:eastAsia="fr-FR"/>
        </w:rPr>
        <w:t xml:space="preserve"> </w:t>
      </w:r>
      <w:r w:rsidRPr="001922A7">
        <w:rPr>
          <w:rFonts w:eastAsia="Times New Roman"/>
          <w:lang w:val="en-GB" w:eastAsia="fr-FR"/>
        </w:rPr>
        <w:t xml:space="preserve">1 of the Convention, the Court decided that it was not necessary </w:t>
      </w:r>
      <w:r w:rsidRPr="001922A7">
        <w:rPr>
          <w:rFonts w:eastAsia="Times New Roman"/>
          <w:lang w:val="en-GB"/>
        </w:rPr>
        <w:t>to rule on the applicant</w:t>
      </w:r>
      <w:r w:rsidR="009912A8">
        <w:rPr>
          <w:rFonts w:eastAsia="Times New Roman"/>
          <w:lang w:val="en-GB"/>
        </w:rPr>
        <w:t>’</w:t>
      </w:r>
      <w:r w:rsidRPr="001922A7">
        <w:rPr>
          <w:rFonts w:eastAsia="Times New Roman"/>
          <w:lang w:val="en-GB"/>
        </w:rPr>
        <w:t xml:space="preserve">s </w:t>
      </w:r>
      <w:r w:rsidRPr="001922A7">
        <w:rPr>
          <w:rFonts w:eastAsia="Times New Roman"/>
          <w:lang w:val="en-GB"/>
        </w:rPr>
        <w:lastRenderedPageBreak/>
        <w:t>complaint based on Article</w:t>
      </w:r>
      <w:r w:rsidR="00080C30">
        <w:rPr>
          <w:rFonts w:eastAsia="Times New Roman"/>
          <w:lang w:val="en-GB"/>
        </w:rPr>
        <w:t xml:space="preserve"> </w:t>
      </w:r>
      <w:r w:rsidRPr="001922A7">
        <w:rPr>
          <w:rFonts w:eastAsia="Times New Roman"/>
          <w:lang w:val="en-GB"/>
        </w:rPr>
        <w:t>1 of Protocol</w:t>
      </w:r>
      <w:r w:rsidR="00080C30">
        <w:rPr>
          <w:rFonts w:eastAsia="Times New Roman"/>
          <w:lang w:val="en-GB"/>
        </w:rPr>
        <w:t xml:space="preserve"> </w:t>
      </w:r>
      <w:r w:rsidRPr="001922A7">
        <w:rPr>
          <w:rFonts w:eastAsia="Times New Roman"/>
          <w:lang w:val="en-GB"/>
        </w:rPr>
        <w:t>No.</w:t>
      </w:r>
      <w:r w:rsidR="00080C30">
        <w:rPr>
          <w:rFonts w:eastAsia="Times New Roman"/>
          <w:lang w:val="en-GB"/>
        </w:rPr>
        <w:t xml:space="preserve"> </w:t>
      </w:r>
      <w:r w:rsidRPr="001922A7">
        <w:rPr>
          <w:rFonts w:eastAsia="Times New Roman"/>
          <w:lang w:val="en-GB"/>
        </w:rPr>
        <w:t xml:space="preserve">1, as it </w:t>
      </w:r>
      <w:r w:rsidRPr="001922A7">
        <w:rPr>
          <w:rFonts w:eastAsia="Times New Roman"/>
          <w:lang w:val="en-GB" w:eastAsia="fr-FR"/>
        </w:rPr>
        <w:t xml:space="preserve">raised no distinct issue (see </w:t>
      </w:r>
      <w:r w:rsidRPr="001922A7">
        <w:rPr>
          <w:rFonts w:eastAsia="Times New Roman"/>
          <w:i/>
          <w:lang w:val="en-GB" w:eastAsia="fr-FR"/>
        </w:rPr>
        <w:t>Bochan</w:t>
      </w:r>
      <w:r w:rsidRPr="001922A7">
        <w:rPr>
          <w:rFonts w:eastAsia="Times New Roman"/>
          <w:lang w:val="en-GB" w:eastAsia="fr-FR"/>
        </w:rPr>
        <w:t>, cited above, § 91).</w:t>
      </w:r>
    </w:p>
    <w:p w:rsidR="00904C9F" w:rsidRPr="001922A7" w:rsidRDefault="00904C9F"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17</w:t>
      </w:r>
      <w:r w:rsidRPr="001922A7">
        <w:rPr>
          <w:rFonts w:eastAsia="Times New Roman"/>
          <w:lang w:val="en-GB" w:eastAsia="fr-FR"/>
        </w:rPr>
        <w:fldChar w:fldCharType="end"/>
      </w:r>
      <w:r w:rsidRPr="001922A7">
        <w:rPr>
          <w:rFonts w:eastAsia="Times New Roman"/>
          <w:lang w:val="en-GB" w:eastAsia="fr-FR"/>
        </w:rPr>
        <w:t>.  The applicant</w:t>
      </w:r>
      <w:r w:rsidR="009912A8">
        <w:rPr>
          <w:rFonts w:eastAsia="Times New Roman"/>
          <w:lang w:val="en-GB" w:eastAsia="fr-FR"/>
        </w:rPr>
        <w:t>’</w:t>
      </w:r>
      <w:r w:rsidRPr="001922A7">
        <w:rPr>
          <w:rFonts w:eastAsia="Times New Roman"/>
          <w:lang w:val="en-GB" w:eastAsia="fr-FR"/>
        </w:rPr>
        <w:t>s complaints about the length of the proceedings and a violation of Article</w:t>
      </w:r>
      <w:r w:rsidR="00080C30">
        <w:rPr>
          <w:rFonts w:eastAsia="Times New Roman"/>
          <w:lang w:val="en-GB" w:eastAsia="fr-FR"/>
        </w:rPr>
        <w:t xml:space="preserve"> </w:t>
      </w:r>
      <w:r w:rsidRPr="001922A7">
        <w:rPr>
          <w:rFonts w:eastAsia="Times New Roman"/>
          <w:lang w:val="en-GB" w:eastAsia="fr-FR"/>
        </w:rPr>
        <w:t>1 of Protocol</w:t>
      </w:r>
      <w:r w:rsidR="00080C30">
        <w:rPr>
          <w:rFonts w:eastAsia="Times New Roman"/>
          <w:lang w:val="en-GB" w:eastAsia="fr-FR"/>
        </w:rPr>
        <w:t xml:space="preserve"> </w:t>
      </w:r>
      <w:r w:rsidRPr="001922A7">
        <w:rPr>
          <w:rFonts w:eastAsia="Times New Roman"/>
          <w:lang w:val="en-GB" w:eastAsia="fr-FR"/>
        </w:rPr>
        <w:t>No.</w:t>
      </w:r>
      <w:r w:rsidR="00080C30">
        <w:rPr>
          <w:rFonts w:eastAsia="Times New Roman"/>
          <w:lang w:val="en-GB" w:eastAsia="fr-FR"/>
        </w:rPr>
        <w:t xml:space="preserve"> </w:t>
      </w:r>
      <w:r w:rsidRPr="001922A7">
        <w:rPr>
          <w:rFonts w:eastAsia="Times New Roman"/>
          <w:lang w:val="en-GB" w:eastAsia="fr-FR"/>
        </w:rPr>
        <w:t>1 taken in conjunction with Article</w:t>
      </w:r>
      <w:r w:rsidR="00080C30">
        <w:rPr>
          <w:rFonts w:eastAsia="Times New Roman"/>
          <w:lang w:val="en-GB" w:eastAsia="fr-FR"/>
        </w:rPr>
        <w:t xml:space="preserve"> </w:t>
      </w:r>
      <w:r w:rsidRPr="001922A7">
        <w:rPr>
          <w:rFonts w:eastAsia="Times New Roman"/>
          <w:lang w:val="en-GB" w:eastAsia="fr-FR"/>
        </w:rPr>
        <w:t xml:space="preserve">14 of the Convention were dismissed as unsubstantiated (see </w:t>
      </w:r>
      <w:r w:rsidRPr="001922A7">
        <w:rPr>
          <w:rFonts w:eastAsia="Times New Roman"/>
          <w:i/>
          <w:lang w:val="en-GB" w:eastAsia="fr-FR"/>
        </w:rPr>
        <w:t>Bochan</w:t>
      </w:r>
      <w:r w:rsidRPr="001922A7">
        <w:rPr>
          <w:rFonts w:eastAsia="Times New Roman"/>
          <w:lang w:val="en-GB" w:eastAsia="fr-FR"/>
        </w:rPr>
        <w:t>, cited above, §§ 87 and 93).</w:t>
      </w:r>
    </w:p>
    <w:p w:rsidR="00904C9F" w:rsidRPr="001922A7" w:rsidRDefault="00904C9F" w:rsidP="00C264C5">
      <w:pPr>
        <w:pStyle w:val="ECHRPara"/>
        <w:rPr>
          <w:rFonts w:eastAsia="Times New Roman"/>
          <w:lang w:val="en-GB"/>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18</w:t>
      </w:r>
      <w:r w:rsidRPr="001922A7">
        <w:rPr>
          <w:rFonts w:eastAsia="Times New Roman"/>
          <w:lang w:val="en-GB" w:eastAsia="fr-FR"/>
        </w:rPr>
        <w:fldChar w:fldCharType="end"/>
      </w:r>
      <w:r w:rsidRPr="001922A7">
        <w:rPr>
          <w:rFonts w:eastAsia="Times New Roman"/>
          <w:lang w:val="en-GB" w:eastAsia="fr-FR"/>
        </w:rPr>
        <w:t>.  The applicant was awarded EUR</w:t>
      </w:r>
      <w:r w:rsidR="00080C30">
        <w:rPr>
          <w:rFonts w:eastAsia="Times New Roman"/>
          <w:lang w:val="en-GB" w:eastAsia="fr-FR"/>
        </w:rPr>
        <w:t xml:space="preserve"> </w:t>
      </w:r>
      <w:r w:rsidRPr="001922A7">
        <w:rPr>
          <w:rFonts w:eastAsia="Times New Roman"/>
          <w:lang w:val="en-GB" w:eastAsia="fr-FR"/>
        </w:rPr>
        <w:t xml:space="preserve">2,000 by way of just satisfaction in respect of non-pecuniary damage. The Court also noted </w:t>
      </w:r>
      <w:r w:rsidR="006E2562">
        <w:rPr>
          <w:rFonts w:eastAsia="Times New Roman"/>
          <w:lang w:val="en-GB" w:eastAsia="fr-FR"/>
        </w:rPr>
        <w:t>“</w:t>
      </w:r>
      <w:r w:rsidRPr="001922A7">
        <w:rPr>
          <w:rFonts w:eastAsia="Times New Roman"/>
          <w:lang w:val="en-GB" w:eastAsia="fr-FR"/>
        </w:rPr>
        <w:t>that the applicant w</w:t>
      </w:r>
      <w:r w:rsidR="00BF247D">
        <w:rPr>
          <w:rFonts w:eastAsia="Times New Roman"/>
          <w:lang w:val="en-GB" w:eastAsia="fr-FR"/>
        </w:rPr>
        <w:t>as entitled under Ukrainian law to request a</w:t>
      </w:r>
      <w:r w:rsidRPr="001922A7">
        <w:rPr>
          <w:rFonts w:eastAsia="Times New Roman"/>
          <w:lang w:val="en-GB" w:eastAsia="fr-FR"/>
        </w:rPr>
        <w:t xml:space="preserve"> rehearing of her case in the light of the Court</w:t>
      </w:r>
      <w:r w:rsidR="009912A8">
        <w:rPr>
          <w:rFonts w:eastAsia="Times New Roman"/>
          <w:lang w:val="en-GB" w:eastAsia="fr-FR"/>
        </w:rPr>
        <w:t>’</w:t>
      </w:r>
      <w:r w:rsidRPr="001922A7">
        <w:rPr>
          <w:rFonts w:eastAsia="Times New Roman"/>
          <w:lang w:val="en-GB" w:eastAsia="fr-FR"/>
        </w:rPr>
        <w:t>s finding that the domestic courts had not complied with Article</w:t>
      </w:r>
      <w:r w:rsidR="00080C30">
        <w:rPr>
          <w:rFonts w:eastAsia="Times New Roman"/>
          <w:lang w:val="en-GB" w:eastAsia="fr-FR"/>
        </w:rPr>
        <w:t xml:space="preserve"> </w:t>
      </w:r>
      <w:r w:rsidRPr="001922A7">
        <w:rPr>
          <w:rFonts w:eastAsia="Times New Roman"/>
          <w:lang w:val="en-GB" w:eastAsia="fr-FR"/>
        </w:rPr>
        <w:t>6 in her case</w:t>
      </w:r>
      <w:r w:rsidR="006E2562">
        <w:rPr>
          <w:rFonts w:eastAsia="Times New Roman"/>
          <w:lang w:val="en-GB" w:eastAsia="fr-FR"/>
        </w:rPr>
        <w:t>”</w:t>
      </w:r>
      <w:r w:rsidRPr="001922A7">
        <w:rPr>
          <w:rFonts w:eastAsia="Times New Roman"/>
          <w:lang w:val="en-GB" w:eastAsia="fr-FR"/>
        </w:rPr>
        <w:t xml:space="preserve"> (see </w:t>
      </w:r>
      <w:r w:rsidRPr="001922A7">
        <w:rPr>
          <w:rFonts w:eastAsia="Times New Roman"/>
          <w:i/>
          <w:lang w:val="en-GB" w:eastAsia="fr-FR"/>
        </w:rPr>
        <w:t>Bochan</w:t>
      </w:r>
      <w:r w:rsidRPr="001922A7">
        <w:rPr>
          <w:rFonts w:eastAsia="Times New Roman"/>
          <w:lang w:val="en-GB" w:eastAsia="fr-FR"/>
        </w:rPr>
        <w:t>, cited above, §§ 97 and 98)</w:t>
      </w:r>
      <w:r w:rsidRPr="001922A7">
        <w:rPr>
          <w:rFonts w:eastAsia="Times New Roman"/>
          <w:lang w:val="en-GB"/>
        </w:rPr>
        <w:t>.</w:t>
      </w:r>
    </w:p>
    <w:p w:rsidR="00904C9F" w:rsidRPr="001922A7" w:rsidRDefault="00904C9F" w:rsidP="00C264C5">
      <w:pPr>
        <w:pStyle w:val="ECHRPara"/>
        <w:rPr>
          <w:rFonts w:eastAsia="Times New Roman"/>
          <w:lang w:val="en-GB" w:eastAsia="fr-FR"/>
        </w:rPr>
      </w:pPr>
      <w:r w:rsidRPr="001922A7">
        <w:rPr>
          <w:rFonts w:eastAsia="Times New Roman"/>
          <w:lang w:val="en-GB"/>
        </w:rPr>
        <w:fldChar w:fldCharType="begin"/>
      </w:r>
      <w:r w:rsidRPr="001922A7">
        <w:rPr>
          <w:rFonts w:eastAsia="Times New Roman"/>
          <w:lang w:val="en-GB"/>
        </w:rPr>
        <w:instrText xml:space="preserve"> SEQ level0 \*arabic </w:instrText>
      </w:r>
      <w:r w:rsidRPr="001922A7">
        <w:rPr>
          <w:rFonts w:eastAsia="Times New Roman"/>
          <w:lang w:val="en-GB"/>
        </w:rPr>
        <w:fldChar w:fldCharType="separate"/>
      </w:r>
      <w:r w:rsidR="00E15C77">
        <w:rPr>
          <w:rFonts w:eastAsia="Times New Roman"/>
          <w:noProof/>
          <w:lang w:val="en-GB"/>
        </w:rPr>
        <w:t>19</w:t>
      </w:r>
      <w:r w:rsidRPr="001922A7">
        <w:rPr>
          <w:rFonts w:eastAsia="Times New Roman"/>
          <w:lang w:val="en-GB"/>
        </w:rPr>
        <w:fldChar w:fldCharType="end"/>
      </w:r>
      <w:r w:rsidRPr="001922A7">
        <w:rPr>
          <w:rFonts w:eastAsia="Times New Roman"/>
          <w:lang w:val="en-GB"/>
        </w:rPr>
        <w:t>.  To</w:t>
      </w:r>
      <w:r w:rsidR="00233EA1" w:rsidRPr="001922A7">
        <w:rPr>
          <w:rFonts w:eastAsia="Times New Roman"/>
          <w:lang w:val="en-GB"/>
        </w:rPr>
        <w:t xml:space="preserve"> </w:t>
      </w:r>
      <w:r w:rsidRPr="001922A7">
        <w:rPr>
          <w:rFonts w:eastAsia="Times New Roman"/>
          <w:lang w:val="en-GB"/>
        </w:rPr>
        <w:t xml:space="preserve">date, the Committee of Ministers </w:t>
      </w:r>
      <w:r w:rsidR="00915CA6">
        <w:rPr>
          <w:rFonts w:eastAsia="Times New Roman"/>
          <w:lang w:val="en-GB"/>
        </w:rPr>
        <w:t xml:space="preserve">of the Council of Europe </w:t>
      </w:r>
      <w:r w:rsidRPr="001922A7">
        <w:rPr>
          <w:rFonts w:eastAsia="Times New Roman"/>
          <w:lang w:val="en-GB"/>
        </w:rPr>
        <w:t>has not yet concluded the supervision of the execution of the judgment under Article 46</w:t>
      </w:r>
      <w:r w:rsidR="00080C30">
        <w:rPr>
          <w:rFonts w:eastAsia="Times New Roman"/>
          <w:lang w:val="en-GB"/>
        </w:rPr>
        <w:t xml:space="preserve"> </w:t>
      </w:r>
      <w:r w:rsidRPr="001922A7">
        <w:rPr>
          <w:rFonts w:eastAsia="Times New Roman"/>
          <w:lang w:val="en-GB"/>
        </w:rPr>
        <w:t>§</w:t>
      </w:r>
      <w:r w:rsidR="00080C30">
        <w:rPr>
          <w:rFonts w:eastAsia="Times New Roman"/>
          <w:lang w:val="en-GB"/>
        </w:rPr>
        <w:t xml:space="preserve"> </w:t>
      </w:r>
      <w:r w:rsidRPr="001922A7">
        <w:rPr>
          <w:rFonts w:eastAsia="Times New Roman"/>
          <w:lang w:val="en-GB"/>
        </w:rPr>
        <w:t>2 of the Convention.</w:t>
      </w:r>
    </w:p>
    <w:p w:rsidR="00904C9F" w:rsidRPr="001922A7" w:rsidRDefault="00904C9F" w:rsidP="00904C9F">
      <w:pPr>
        <w:pStyle w:val="ECHRHeading2"/>
        <w:rPr>
          <w:rFonts w:eastAsia="Times New Roman"/>
          <w:lang w:val="en-GB" w:eastAsia="fr-FR"/>
        </w:rPr>
      </w:pPr>
      <w:r w:rsidRPr="001922A7">
        <w:rPr>
          <w:rFonts w:eastAsia="Times New Roman"/>
          <w:lang w:val="en-GB" w:eastAsia="fr-FR"/>
        </w:rPr>
        <w:t>C.  </w:t>
      </w:r>
      <w:r w:rsidR="007978E7" w:rsidRPr="001922A7">
        <w:rPr>
          <w:rFonts w:eastAsia="Times New Roman"/>
          <w:lang w:val="en-GB" w:eastAsia="fr-FR"/>
        </w:rPr>
        <w:t>The applicant</w:t>
      </w:r>
      <w:r w:rsidR="009912A8">
        <w:rPr>
          <w:rFonts w:eastAsia="Times New Roman"/>
          <w:lang w:val="en-GB" w:eastAsia="fr-FR"/>
        </w:rPr>
        <w:t>’</w:t>
      </w:r>
      <w:r w:rsidR="007978E7" w:rsidRPr="001922A7">
        <w:rPr>
          <w:rFonts w:eastAsia="Times New Roman"/>
          <w:lang w:val="en-GB" w:eastAsia="fr-FR"/>
        </w:rPr>
        <w:t>s “a</w:t>
      </w:r>
      <w:r w:rsidRPr="001922A7">
        <w:rPr>
          <w:rFonts w:eastAsia="Times New Roman"/>
          <w:lang w:val="en-GB" w:eastAsia="fr-FR"/>
        </w:rPr>
        <w:t>ppeal in the light of exceptional circumstances”</w:t>
      </w:r>
    </w:p>
    <w:p w:rsidR="00904C9F" w:rsidRPr="001922A7" w:rsidRDefault="003D6133" w:rsidP="00C264C5">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E15C77">
        <w:rPr>
          <w:rFonts w:eastAsia="Times New Roman"/>
          <w:noProof/>
          <w:lang w:val="en-GB" w:eastAsia="fr-FR"/>
        </w:rPr>
        <w:t>20</w:t>
      </w:r>
      <w:r>
        <w:rPr>
          <w:rFonts w:eastAsia="Times New Roman"/>
          <w:lang w:val="en-GB" w:eastAsia="fr-FR"/>
        </w:rPr>
        <w:fldChar w:fldCharType="end"/>
      </w:r>
      <w:r>
        <w:rPr>
          <w:rFonts w:eastAsia="Times New Roman"/>
          <w:lang w:val="en-GB" w:eastAsia="fr-FR"/>
        </w:rPr>
        <w:t>.  </w:t>
      </w:r>
      <w:r w:rsidR="00904C9F" w:rsidRPr="001922A7">
        <w:rPr>
          <w:rFonts w:eastAsia="Times New Roman"/>
          <w:lang w:val="en-GB" w:eastAsia="fr-FR"/>
        </w:rPr>
        <w:t xml:space="preserve">On 14 June 2007 the applicant lodged with the Supreme Court </w:t>
      </w:r>
      <w:r w:rsidR="00C8795F" w:rsidRPr="001922A7">
        <w:rPr>
          <w:rFonts w:eastAsia="Times New Roman"/>
          <w:lang w:val="en-GB" w:eastAsia="fr-FR"/>
        </w:rPr>
        <w:t xml:space="preserve">an </w:t>
      </w:r>
      <w:r w:rsidR="00904C9F" w:rsidRPr="001922A7">
        <w:rPr>
          <w:rFonts w:eastAsia="Times New Roman"/>
          <w:lang w:val="en-GB" w:eastAsia="fr-FR"/>
        </w:rPr>
        <w:t>“appeal in the light of exc</w:t>
      </w:r>
      <w:r w:rsidR="00C8795F" w:rsidRPr="001922A7">
        <w:rPr>
          <w:rFonts w:eastAsia="Times New Roman"/>
          <w:lang w:val="en-GB" w:eastAsia="fr-FR"/>
        </w:rPr>
        <w:t xml:space="preserve">eptional circumstances” pursuant in particular to Articles 353-355 of the </w:t>
      </w:r>
      <w:r w:rsidR="00904C9F" w:rsidRPr="001922A7">
        <w:rPr>
          <w:rFonts w:eastAsia="Times New Roman"/>
          <w:lang w:val="en-GB" w:eastAsia="fr-FR"/>
        </w:rPr>
        <w:t xml:space="preserve">Code of Civil Procedure </w:t>
      </w:r>
      <w:r w:rsidR="00C8795F" w:rsidRPr="001922A7">
        <w:rPr>
          <w:rFonts w:eastAsia="Times New Roman"/>
          <w:lang w:val="en-GB" w:eastAsia="fr-FR"/>
        </w:rPr>
        <w:t xml:space="preserve">of 2004 </w:t>
      </w:r>
      <w:r w:rsidR="00904C9F" w:rsidRPr="001922A7">
        <w:rPr>
          <w:rFonts w:eastAsia="Times New Roman"/>
          <w:lang w:val="en-GB" w:eastAsia="fr-FR"/>
        </w:rPr>
        <w:t>(see paragraph 2</w:t>
      </w:r>
      <w:r w:rsidR="00283650" w:rsidRPr="001922A7">
        <w:rPr>
          <w:rFonts w:eastAsia="Times New Roman"/>
          <w:lang w:val="en-GB" w:eastAsia="fr-FR"/>
        </w:rPr>
        <w:t>4</w:t>
      </w:r>
      <w:r w:rsidR="00C264C5">
        <w:rPr>
          <w:rFonts w:eastAsia="Times New Roman"/>
          <w:lang w:val="en-GB" w:eastAsia="fr-FR"/>
        </w:rPr>
        <w:t xml:space="preserve"> </w:t>
      </w:r>
      <w:r w:rsidR="00904C9F" w:rsidRPr="001922A7">
        <w:rPr>
          <w:rFonts w:eastAsia="Times New Roman"/>
          <w:lang w:val="en-GB" w:eastAsia="fr-FR"/>
        </w:rPr>
        <w:t>below). Relying on the Court</w:t>
      </w:r>
      <w:r w:rsidR="009912A8">
        <w:rPr>
          <w:rFonts w:eastAsia="Times New Roman"/>
          <w:lang w:val="en-GB" w:eastAsia="fr-FR"/>
        </w:rPr>
        <w:t>’</w:t>
      </w:r>
      <w:r w:rsidR="00904C9F" w:rsidRPr="001922A7">
        <w:rPr>
          <w:rFonts w:eastAsia="Times New Roman"/>
          <w:lang w:val="en-GB" w:eastAsia="fr-FR"/>
        </w:rPr>
        <w:t>s judgment of 3</w:t>
      </w:r>
      <w:r w:rsidR="00080C30">
        <w:rPr>
          <w:rFonts w:eastAsia="Times New Roman"/>
          <w:lang w:val="en-GB" w:eastAsia="fr-FR"/>
        </w:rPr>
        <w:t xml:space="preserve"> </w:t>
      </w:r>
      <w:r w:rsidR="00904C9F" w:rsidRPr="001922A7">
        <w:rPr>
          <w:rFonts w:eastAsia="Times New Roman"/>
          <w:lang w:val="en-GB" w:eastAsia="fr-FR"/>
        </w:rPr>
        <w:t>May 2007, she asked the Supreme Court to quash the courts</w:t>
      </w:r>
      <w:r w:rsidR="009912A8">
        <w:rPr>
          <w:rFonts w:eastAsia="Times New Roman"/>
          <w:lang w:val="en-GB" w:eastAsia="fr-FR"/>
        </w:rPr>
        <w:t>’</w:t>
      </w:r>
      <w:r w:rsidR="00904C9F" w:rsidRPr="001922A7">
        <w:rPr>
          <w:rFonts w:eastAsia="Times New Roman"/>
          <w:lang w:val="en-GB" w:eastAsia="fr-FR"/>
        </w:rPr>
        <w:t xml:space="preserve"> decisions in her case and to adopt a new judgment allowing her claims in full. She joined </w:t>
      </w:r>
      <w:r w:rsidR="006E2562">
        <w:rPr>
          <w:rFonts w:eastAsia="Times New Roman"/>
          <w:lang w:val="en-GB" w:eastAsia="fr-FR"/>
        </w:rPr>
        <w:t xml:space="preserve">to her appeal </w:t>
      </w:r>
      <w:r w:rsidR="00904C9F" w:rsidRPr="001922A7">
        <w:rPr>
          <w:rFonts w:eastAsia="Times New Roman"/>
          <w:lang w:val="en-GB" w:eastAsia="fr-FR"/>
        </w:rPr>
        <w:t>copies of the Court</w:t>
      </w:r>
      <w:r w:rsidR="009912A8">
        <w:rPr>
          <w:rFonts w:eastAsia="Times New Roman"/>
          <w:lang w:val="en-GB" w:eastAsia="fr-FR"/>
        </w:rPr>
        <w:t>’</w:t>
      </w:r>
      <w:r w:rsidR="00904C9F" w:rsidRPr="001922A7">
        <w:rPr>
          <w:rFonts w:eastAsia="Times New Roman"/>
          <w:lang w:val="en-GB" w:eastAsia="fr-FR"/>
        </w:rPr>
        <w:t>s judgment and of the domestic decisions.</w:t>
      </w:r>
    </w:p>
    <w:p w:rsidR="00904C9F" w:rsidRPr="001922A7" w:rsidRDefault="00904C9F"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21</w:t>
      </w:r>
      <w:r w:rsidRPr="001922A7">
        <w:rPr>
          <w:rFonts w:eastAsia="Times New Roman"/>
          <w:lang w:val="en-GB" w:eastAsia="fr-FR"/>
        </w:rPr>
        <w:fldChar w:fldCharType="end"/>
      </w:r>
      <w:r w:rsidRPr="001922A7">
        <w:rPr>
          <w:rFonts w:eastAsia="Times New Roman"/>
          <w:lang w:val="en-GB" w:eastAsia="fr-FR"/>
        </w:rPr>
        <w:t xml:space="preserve">.  On 14 March 2008 a panel of </w:t>
      </w:r>
      <w:r w:rsidR="00E04167">
        <w:rPr>
          <w:rFonts w:eastAsia="Times New Roman"/>
          <w:lang w:val="en-GB" w:eastAsia="fr-FR"/>
        </w:rPr>
        <w:t>18</w:t>
      </w:r>
      <w:r w:rsidRPr="001922A7">
        <w:rPr>
          <w:rFonts w:eastAsia="Times New Roman"/>
          <w:lang w:val="en-GB" w:eastAsia="fr-FR"/>
        </w:rPr>
        <w:t xml:space="preserve"> judges of the Civil Division of the Supreme Court, having examined the appeal in chambers and relying on Article 358 of the Code of Civil Procedur</w:t>
      </w:r>
      <w:r w:rsidR="00C8795F" w:rsidRPr="001922A7">
        <w:rPr>
          <w:rFonts w:eastAsia="Times New Roman"/>
          <w:lang w:val="en-GB" w:eastAsia="fr-FR"/>
        </w:rPr>
        <w:t>e of 2004 (set out in paragraph</w:t>
      </w:r>
      <w:r w:rsidR="00080C30">
        <w:rPr>
          <w:rFonts w:eastAsia="Times New Roman"/>
          <w:lang w:val="en-GB" w:eastAsia="fr-FR"/>
        </w:rPr>
        <w:t xml:space="preserve"> </w:t>
      </w:r>
      <w:r w:rsidRPr="001922A7">
        <w:rPr>
          <w:rFonts w:eastAsia="Times New Roman"/>
          <w:lang w:val="en-GB" w:eastAsia="fr-FR"/>
        </w:rPr>
        <w:t>2</w:t>
      </w:r>
      <w:r w:rsidR="00283650" w:rsidRPr="001922A7">
        <w:rPr>
          <w:rFonts w:eastAsia="Times New Roman"/>
          <w:lang w:val="en-GB" w:eastAsia="fr-FR"/>
        </w:rPr>
        <w:t>4</w:t>
      </w:r>
      <w:r w:rsidRPr="001922A7">
        <w:rPr>
          <w:rFonts w:eastAsia="Times New Roman"/>
          <w:lang w:val="en-GB" w:eastAsia="fr-FR"/>
        </w:rPr>
        <w:t xml:space="preserve"> below), dismissed the applicant</w:t>
      </w:r>
      <w:r w:rsidR="009912A8">
        <w:rPr>
          <w:rFonts w:eastAsia="Times New Roman"/>
          <w:lang w:val="en-GB" w:eastAsia="fr-FR"/>
        </w:rPr>
        <w:t>’</w:t>
      </w:r>
      <w:r w:rsidRPr="001922A7">
        <w:rPr>
          <w:rFonts w:eastAsia="Times New Roman"/>
          <w:lang w:val="en-GB" w:eastAsia="fr-FR"/>
        </w:rPr>
        <w:t xml:space="preserve">s appeal. </w:t>
      </w:r>
      <w:r w:rsidR="00BE4E85">
        <w:rPr>
          <w:rFonts w:eastAsia="Times New Roman"/>
          <w:lang w:val="en-GB" w:eastAsia="fr-FR"/>
        </w:rPr>
        <w:t>The relevant part of</w:t>
      </w:r>
      <w:r w:rsidRPr="001922A7">
        <w:rPr>
          <w:rFonts w:eastAsia="Times New Roman"/>
          <w:lang w:val="en-GB" w:eastAsia="fr-FR"/>
        </w:rPr>
        <w:t xml:space="preserve"> the Supreme Court</w:t>
      </w:r>
      <w:r w:rsidR="009912A8">
        <w:rPr>
          <w:rFonts w:eastAsia="Times New Roman"/>
          <w:lang w:val="en-GB" w:eastAsia="fr-FR"/>
        </w:rPr>
        <w:t>’</w:t>
      </w:r>
      <w:r w:rsidRPr="001922A7">
        <w:rPr>
          <w:rFonts w:eastAsia="Times New Roman"/>
          <w:lang w:val="en-GB" w:eastAsia="fr-FR"/>
        </w:rPr>
        <w:t>s decision reads as follows:</w:t>
      </w:r>
    </w:p>
    <w:p w:rsidR="00904C9F" w:rsidRPr="001922A7" w:rsidRDefault="00904C9F" w:rsidP="001B4C2E">
      <w:pPr>
        <w:pStyle w:val="ECHRParaQuote"/>
        <w:rPr>
          <w:rFonts w:eastAsia="Times New Roman"/>
          <w:lang w:val="en-GB" w:eastAsia="fr-FR"/>
        </w:rPr>
      </w:pPr>
      <w:r w:rsidRPr="001922A7">
        <w:rPr>
          <w:rFonts w:eastAsia="Times New Roman"/>
          <w:lang w:val="en-GB" w:eastAsia="fr-FR"/>
        </w:rPr>
        <w:t>“By the judgment of 3</w:t>
      </w:r>
      <w:r w:rsidR="00080C30">
        <w:rPr>
          <w:rFonts w:eastAsia="Times New Roman"/>
          <w:lang w:val="en-GB" w:eastAsia="fr-FR"/>
        </w:rPr>
        <w:t xml:space="preserve"> </w:t>
      </w:r>
      <w:r w:rsidRPr="001922A7">
        <w:rPr>
          <w:rFonts w:eastAsia="Times New Roman"/>
          <w:lang w:val="en-GB" w:eastAsia="fr-FR"/>
        </w:rPr>
        <w:t>May 2007, the European Court of Human Rights declared the applicant</w:t>
      </w:r>
      <w:r w:rsidR="009912A8">
        <w:rPr>
          <w:rFonts w:eastAsia="Times New Roman"/>
          <w:lang w:val="en-GB" w:eastAsia="fr-FR"/>
        </w:rPr>
        <w:t>’</w:t>
      </w:r>
      <w:r w:rsidRPr="001922A7">
        <w:rPr>
          <w:rFonts w:eastAsia="Times New Roman"/>
          <w:lang w:val="en-GB" w:eastAsia="fr-FR"/>
        </w:rPr>
        <w:t>s complaints of unfairness in the proceedings and of a violation of Article</w:t>
      </w:r>
      <w:r w:rsidR="00080C30">
        <w:rPr>
          <w:rFonts w:eastAsia="Times New Roman"/>
          <w:lang w:val="en-GB" w:eastAsia="fr-FR"/>
        </w:rPr>
        <w:t xml:space="preserve"> </w:t>
      </w:r>
      <w:r w:rsidRPr="001922A7">
        <w:rPr>
          <w:rFonts w:eastAsia="Times New Roman"/>
          <w:lang w:val="en-GB" w:eastAsia="fr-FR"/>
        </w:rPr>
        <w:t>1 of Protocol</w:t>
      </w:r>
      <w:r w:rsidR="00080C30">
        <w:rPr>
          <w:rFonts w:eastAsia="Times New Roman"/>
          <w:lang w:val="en-GB" w:eastAsia="fr-FR"/>
        </w:rPr>
        <w:t xml:space="preserve"> </w:t>
      </w:r>
      <w:r w:rsidRPr="001922A7">
        <w:rPr>
          <w:rFonts w:eastAsia="Times New Roman"/>
          <w:lang w:val="en-GB" w:eastAsia="fr-FR"/>
        </w:rPr>
        <w:t>No.</w:t>
      </w:r>
      <w:r w:rsidR="00080C30">
        <w:rPr>
          <w:rFonts w:eastAsia="Times New Roman"/>
          <w:lang w:val="en-GB" w:eastAsia="fr-FR"/>
        </w:rPr>
        <w:t xml:space="preserve"> </w:t>
      </w:r>
      <w:r w:rsidRPr="001922A7">
        <w:rPr>
          <w:rFonts w:eastAsia="Times New Roman"/>
          <w:lang w:val="en-GB" w:eastAsia="fr-FR"/>
        </w:rPr>
        <w:t>1 admissible, and the remainder of the application inadmissible. A violation of Article 6</w:t>
      </w:r>
      <w:r w:rsidR="00080C30">
        <w:rPr>
          <w:rFonts w:eastAsia="Times New Roman"/>
          <w:lang w:val="en-GB" w:eastAsia="fr-FR"/>
        </w:rPr>
        <w:t xml:space="preserve"> </w:t>
      </w:r>
      <w:r w:rsidRPr="001922A7">
        <w:rPr>
          <w:rFonts w:eastAsia="Times New Roman"/>
          <w:lang w:val="en-GB" w:eastAsia="fr-FR"/>
        </w:rPr>
        <w:t>§</w:t>
      </w:r>
      <w:r w:rsidR="00080C30">
        <w:rPr>
          <w:rFonts w:eastAsia="Times New Roman"/>
          <w:lang w:val="en-GB" w:eastAsia="fr-FR"/>
        </w:rPr>
        <w:t xml:space="preserve"> </w:t>
      </w:r>
      <w:r w:rsidRPr="001922A7">
        <w:rPr>
          <w:rFonts w:eastAsia="Times New Roman"/>
          <w:lang w:val="en-GB" w:eastAsia="fr-FR"/>
        </w:rPr>
        <w:t>1 of the Convention ... was found in the case. [The Court] ordered that the respondent State was to pay the applicant, within three months from the date on which the judgment became final according to Article</w:t>
      </w:r>
      <w:r w:rsidR="00080C30">
        <w:rPr>
          <w:rFonts w:eastAsia="Times New Roman"/>
          <w:lang w:val="en-GB" w:eastAsia="fr-FR"/>
        </w:rPr>
        <w:t xml:space="preserve"> </w:t>
      </w:r>
      <w:r w:rsidRPr="001922A7">
        <w:rPr>
          <w:rFonts w:eastAsia="Times New Roman"/>
          <w:lang w:val="en-GB" w:eastAsia="fr-FR"/>
        </w:rPr>
        <w:t>44</w:t>
      </w:r>
      <w:r w:rsidR="00080C30">
        <w:rPr>
          <w:rFonts w:eastAsia="Times New Roman"/>
          <w:lang w:val="en-GB" w:eastAsia="fr-FR"/>
        </w:rPr>
        <w:t xml:space="preserve"> </w:t>
      </w:r>
      <w:r w:rsidRPr="001922A7">
        <w:rPr>
          <w:rFonts w:eastAsia="Times New Roman"/>
          <w:lang w:val="en-GB" w:eastAsia="fr-FR"/>
        </w:rPr>
        <w:t>§</w:t>
      </w:r>
      <w:r w:rsidR="00080C30">
        <w:rPr>
          <w:rFonts w:eastAsia="Times New Roman"/>
          <w:lang w:val="en-GB" w:eastAsia="fr-FR"/>
        </w:rPr>
        <w:t xml:space="preserve"> </w:t>
      </w:r>
      <w:r w:rsidRPr="001922A7">
        <w:rPr>
          <w:rFonts w:eastAsia="Times New Roman"/>
          <w:lang w:val="en-GB" w:eastAsia="fr-FR"/>
        </w:rPr>
        <w:t>2 of the Convention, EUR</w:t>
      </w:r>
      <w:r w:rsidR="00080C30">
        <w:rPr>
          <w:rFonts w:eastAsia="Times New Roman"/>
          <w:lang w:val="en-GB" w:eastAsia="fr-FR"/>
        </w:rPr>
        <w:t xml:space="preserve"> </w:t>
      </w:r>
      <w:r w:rsidRPr="001922A7">
        <w:rPr>
          <w:rFonts w:eastAsia="Times New Roman"/>
          <w:lang w:val="en-GB" w:eastAsia="fr-FR"/>
        </w:rPr>
        <w:t>2,000 (two thousand euros) in respect of non-pecuniary damage</w:t>
      </w:r>
      <w:r w:rsidR="00E464C3">
        <w:rPr>
          <w:rFonts w:eastAsia="Times New Roman"/>
          <w:lang w:val="en-GB" w:eastAsia="fr-FR"/>
        </w:rPr>
        <w:t xml:space="preserve"> </w:t>
      </w:r>
      <w:r w:rsidRPr="001922A7">
        <w:rPr>
          <w:rFonts w:eastAsia="Times New Roman"/>
          <w:lang w:val="en-GB" w:eastAsia="fr-FR"/>
        </w:rPr>
        <w:t>...</w:t>
      </w:r>
    </w:p>
    <w:p w:rsidR="00904C9F" w:rsidRPr="001922A7" w:rsidRDefault="00904C9F" w:rsidP="001B4C2E">
      <w:pPr>
        <w:pStyle w:val="ECHRParaQuote"/>
        <w:rPr>
          <w:rFonts w:eastAsia="Times New Roman"/>
          <w:lang w:val="en-GB" w:eastAsia="fr-FR"/>
        </w:rPr>
      </w:pPr>
      <w:r w:rsidRPr="001922A7">
        <w:rPr>
          <w:rFonts w:eastAsia="Times New Roman"/>
          <w:lang w:val="en-GB" w:eastAsia="fr-FR"/>
        </w:rPr>
        <w:t>In paragraph 64 of the judgment of the European Court of Human Rights, it is noted that the applicant</w:t>
      </w:r>
      <w:r w:rsidR="009912A8">
        <w:rPr>
          <w:rFonts w:eastAsia="Times New Roman"/>
          <w:lang w:val="en-GB" w:eastAsia="fr-FR"/>
        </w:rPr>
        <w:t>’</w:t>
      </w:r>
      <w:r w:rsidRPr="001922A7">
        <w:rPr>
          <w:rFonts w:eastAsia="Times New Roman"/>
          <w:lang w:val="en-GB" w:eastAsia="fr-FR"/>
        </w:rPr>
        <w:t>s submissions mainly concern four issues, namely:</w:t>
      </w:r>
    </w:p>
    <w:p w:rsidR="00904C9F" w:rsidRPr="001922A7" w:rsidRDefault="001F6295" w:rsidP="001B4C2E">
      <w:pPr>
        <w:pStyle w:val="ECHRParaQuote"/>
        <w:rPr>
          <w:rFonts w:eastAsia="Times New Roman"/>
          <w:lang w:val="en-GB" w:eastAsia="fr-FR"/>
        </w:rPr>
      </w:pPr>
      <w:r>
        <w:rPr>
          <w:rFonts w:eastAsia="Times New Roman"/>
          <w:lang w:val="en-GB" w:eastAsia="fr-FR"/>
        </w:rPr>
        <w:t>(a)  </w:t>
      </w:r>
      <w:r w:rsidR="00904C9F" w:rsidRPr="001922A7">
        <w:rPr>
          <w:rFonts w:eastAsia="Times New Roman"/>
          <w:lang w:val="en-GB" w:eastAsia="fr-FR"/>
        </w:rPr>
        <w:t>whether the courts, which dealt with [the applicant</w:t>
      </w:r>
      <w:r w:rsidR="009912A8">
        <w:rPr>
          <w:rFonts w:eastAsia="Times New Roman"/>
          <w:lang w:val="en-GB" w:eastAsia="fr-FR"/>
        </w:rPr>
        <w:t>’</w:t>
      </w:r>
      <w:r w:rsidR="00904C9F" w:rsidRPr="001922A7">
        <w:rPr>
          <w:rFonts w:eastAsia="Times New Roman"/>
          <w:lang w:val="en-GB" w:eastAsia="fr-FR"/>
        </w:rPr>
        <w:t>s] case, were independent and impartial;</w:t>
      </w:r>
    </w:p>
    <w:p w:rsidR="00904C9F" w:rsidRPr="001922A7" w:rsidRDefault="001F6295" w:rsidP="001B4C2E">
      <w:pPr>
        <w:pStyle w:val="ECHRParaQuote"/>
        <w:rPr>
          <w:rFonts w:eastAsia="Times New Roman"/>
          <w:lang w:val="en-GB" w:eastAsia="fr-FR"/>
        </w:rPr>
      </w:pPr>
      <w:r>
        <w:rPr>
          <w:rFonts w:eastAsia="Times New Roman"/>
          <w:lang w:val="en-GB" w:eastAsia="fr-FR"/>
        </w:rPr>
        <w:t>(b)  </w:t>
      </w:r>
      <w:r w:rsidR="00904C9F" w:rsidRPr="001922A7">
        <w:rPr>
          <w:rFonts w:eastAsia="Times New Roman"/>
          <w:lang w:val="en-GB" w:eastAsia="fr-FR"/>
        </w:rPr>
        <w:t>whether the fact that the case was heard by the Chemerovetsk Town Court prevented the applicant from participating in the proceedings;</w:t>
      </w:r>
    </w:p>
    <w:p w:rsidR="00904C9F" w:rsidRPr="001922A7" w:rsidRDefault="00904C9F" w:rsidP="001B4C2E">
      <w:pPr>
        <w:pStyle w:val="ECHRParaQuote"/>
        <w:rPr>
          <w:rFonts w:eastAsia="Times New Roman"/>
          <w:lang w:val="en-GB" w:eastAsia="fr-FR"/>
        </w:rPr>
      </w:pPr>
      <w:r w:rsidRPr="001922A7">
        <w:rPr>
          <w:rFonts w:eastAsia="Times New Roman"/>
          <w:lang w:val="en-GB" w:eastAsia="fr-FR"/>
        </w:rPr>
        <w:lastRenderedPageBreak/>
        <w:t>(c</w:t>
      </w:r>
      <w:r w:rsidR="001F6295">
        <w:rPr>
          <w:rFonts w:eastAsia="Times New Roman"/>
          <w:lang w:val="en-GB" w:eastAsia="fr-FR"/>
        </w:rPr>
        <w:t>)  </w:t>
      </w:r>
      <w:r w:rsidRPr="001922A7">
        <w:rPr>
          <w:rFonts w:eastAsia="Times New Roman"/>
          <w:lang w:val="en-GB" w:eastAsia="fr-FR"/>
        </w:rPr>
        <w:t>whether the principle of equality of arms was observed with regard to the failure of the domestic courts to hear the witnesses whose written statements the courts admitted as evidence;</w:t>
      </w:r>
    </w:p>
    <w:p w:rsidR="00904C9F" w:rsidRPr="001922A7" w:rsidRDefault="001F6295" w:rsidP="001B4C2E">
      <w:pPr>
        <w:pStyle w:val="ECHRParaQuote"/>
        <w:rPr>
          <w:rFonts w:eastAsia="Times New Roman"/>
          <w:lang w:val="en-GB" w:eastAsia="fr-FR"/>
        </w:rPr>
      </w:pPr>
      <w:r>
        <w:rPr>
          <w:rFonts w:eastAsia="Times New Roman"/>
          <w:lang w:val="en-GB" w:eastAsia="fr-FR"/>
        </w:rPr>
        <w:t>(d)  </w:t>
      </w:r>
      <w:r w:rsidR="00904C9F" w:rsidRPr="001922A7">
        <w:rPr>
          <w:rFonts w:eastAsia="Times New Roman"/>
          <w:lang w:val="en-GB" w:eastAsia="fr-FR"/>
        </w:rPr>
        <w:t>whether the final decisions given by the courts of first, appeal and cassation instances were sufficiently substantiated.</w:t>
      </w:r>
    </w:p>
    <w:p w:rsidR="00904C9F" w:rsidRPr="001922A7" w:rsidRDefault="00904C9F" w:rsidP="001B4C2E">
      <w:pPr>
        <w:pStyle w:val="ECHRParaQuote"/>
        <w:rPr>
          <w:rFonts w:eastAsia="Times New Roman"/>
          <w:lang w:val="en-GB" w:eastAsia="fr-FR"/>
        </w:rPr>
      </w:pPr>
      <w:r w:rsidRPr="001922A7">
        <w:rPr>
          <w:rFonts w:eastAsia="Times New Roman"/>
          <w:lang w:val="en-GB" w:eastAsia="fr-FR"/>
        </w:rPr>
        <w:t>As can be seen from the case</w:t>
      </w:r>
      <w:r w:rsidR="00BF247D">
        <w:rPr>
          <w:rFonts w:eastAsia="Times New Roman"/>
          <w:lang w:val="en-GB" w:eastAsia="fr-FR"/>
        </w:rPr>
        <w:t xml:space="preserve"> </w:t>
      </w:r>
      <w:r w:rsidRPr="001922A7">
        <w:rPr>
          <w:rFonts w:eastAsia="Times New Roman"/>
          <w:lang w:val="en-GB" w:eastAsia="fr-FR"/>
        </w:rPr>
        <w:t xml:space="preserve">materials, the applicant was represented in the [domestic] proceedings by her son, a lawyer ... During the entire duration of the proceedings she failed to appear before the court, </w:t>
      </w:r>
      <w:r w:rsidR="003F1F19" w:rsidRPr="001922A7">
        <w:rPr>
          <w:rFonts w:eastAsia="Times New Roman"/>
          <w:lang w:val="en-GB" w:eastAsia="fr-FR"/>
        </w:rPr>
        <w:t>al</w:t>
      </w:r>
      <w:r w:rsidRPr="001922A7">
        <w:rPr>
          <w:rFonts w:eastAsia="Times New Roman"/>
          <w:lang w:val="en-GB" w:eastAsia="fr-FR"/>
        </w:rPr>
        <w:t>though she was duly informed of the hearings.</w:t>
      </w:r>
    </w:p>
    <w:p w:rsidR="00904C9F" w:rsidRPr="001922A7" w:rsidRDefault="00904C9F" w:rsidP="001B4C2E">
      <w:pPr>
        <w:pStyle w:val="ECHRParaQuote"/>
        <w:rPr>
          <w:rFonts w:eastAsia="Times New Roman"/>
          <w:lang w:val="en-GB" w:eastAsia="fr-FR"/>
        </w:rPr>
      </w:pPr>
      <w:r w:rsidRPr="001922A7">
        <w:rPr>
          <w:rFonts w:eastAsia="Times New Roman"/>
          <w:lang w:val="en-GB" w:eastAsia="fr-FR"/>
        </w:rPr>
        <w:t>None of those taking part in the case, including Mr B.I. [the applicant</w:t>
      </w:r>
      <w:r w:rsidR="009912A8">
        <w:rPr>
          <w:rFonts w:eastAsia="Times New Roman"/>
          <w:lang w:val="en-GB" w:eastAsia="fr-FR"/>
        </w:rPr>
        <w:t>’</w:t>
      </w:r>
      <w:r w:rsidRPr="001922A7">
        <w:rPr>
          <w:rFonts w:eastAsia="Times New Roman"/>
          <w:lang w:val="en-GB" w:eastAsia="fr-FR"/>
        </w:rPr>
        <w:t>s son], asked for the witnesses to be summoned ... Mr B.I. failed to submit witness statements ... capable of proving that the house was constructed at his (or his father</w:t>
      </w:r>
      <w:r w:rsidR="009912A8">
        <w:rPr>
          <w:rFonts w:eastAsia="Times New Roman"/>
          <w:lang w:val="en-GB" w:eastAsia="fr-FR"/>
        </w:rPr>
        <w:t>’</w:t>
      </w:r>
      <w:r w:rsidRPr="001922A7">
        <w:rPr>
          <w:rFonts w:eastAsia="Times New Roman"/>
          <w:lang w:val="en-GB" w:eastAsia="fr-FR"/>
        </w:rPr>
        <w:t>s or his mother</w:t>
      </w:r>
      <w:r w:rsidR="009912A8">
        <w:rPr>
          <w:rFonts w:eastAsia="Times New Roman"/>
          <w:lang w:val="en-GB" w:eastAsia="fr-FR"/>
        </w:rPr>
        <w:t>’</w:t>
      </w:r>
      <w:r w:rsidRPr="001922A7">
        <w:rPr>
          <w:rFonts w:eastAsia="Times New Roman"/>
          <w:lang w:val="en-GB" w:eastAsia="fr-FR"/>
        </w:rPr>
        <w:t>s) expense.</w:t>
      </w:r>
    </w:p>
    <w:p w:rsidR="00904C9F" w:rsidRPr="001922A7" w:rsidRDefault="00904C9F" w:rsidP="001B4C2E">
      <w:pPr>
        <w:pStyle w:val="ECHRParaQuote"/>
        <w:rPr>
          <w:rFonts w:eastAsia="Times New Roman"/>
          <w:lang w:val="en-GB" w:eastAsia="fr-FR"/>
        </w:rPr>
      </w:pPr>
      <w:r w:rsidRPr="001922A7">
        <w:rPr>
          <w:rFonts w:eastAsia="Times New Roman"/>
          <w:lang w:val="en-GB" w:eastAsia="fr-FR"/>
        </w:rPr>
        <w:t>None of the parties, including Mr B.I., sought the withdrawal of the [first-instance] judge. Complaints of the court</w:t>
      </w:r>
      <w:r w:rsidR="009912A8">
        <w:rPr>
          <w:rFonts w:eastAsia="Times New Roman"/>
          <w:lang w:val="en-GB" w:eastAsia="fr-FR"/>
        </w:rPr>
        <w:t>’</w:t>
      </w:r>
      <w:r w:rsidRPr="001922A7">
        <w:rPr>
          <w:rFonts w:eastAsia="Times New Roman"/>
          <w:lang w:val="en-GB" w:eastAsia="fr-FR"/>
        </w:rPr>
        <w:t>s lack of objectivity ... were only raised by Mr</w:t>
      </w:r>
      <w:r w:rsidR="00824BFD" w:rsidRPr="001922A7">
        <w:rPr>
          <w:rFonts w:eastAsia="Times New Roman"/>
          <w:lang w:val="en-GB" w:eastAsia="fr-FR"/>
        </w:rPr>
        <w:t> </w:t>
      </w:r>
      <w:r w:rsidRPr="001922A7">
        <w:rPr>
          <w:rFonts w:eastAsia="Times New Roman"/>
          <w:lang w:val="en-GB" w:eastAsia="fr-FR"/>
        </w:rPr>
        <w:t>B.I. after the judgment had been adopted in the case.</w:t>
      </w:r>
    </w:p>
    <w:p w:rsidR="00904C9F" w:rsidRPr="001922A7" w:rsidRDefault="00904C9F" w:rsidP="001B4C2E">
      <w:pPr>
        <w:pStyle w:val="ECHRParaQuote"/>
        <w:rPr>
          <w:rFonts w:eastAsia="Times New Roman"/>
          <w:szCs w:val="24"/>
          <w:lang w:val="en-GB" w:eastAsia="fr-FR"/>
        </w:rPr>
      </w:pPr>
      <w:r w:rsidRPr="001922A7">
        <w:rPr>
          <w:rFonts w:eastAsia="Times New Roman"/>
          <w:lang w:val="en-GB" w:eastAsia="fr-FR"/>
        </w:rPr>
        <w:t>As can be seen from the case</w:t>
      </w:r>
      <w:r w:rsidR="00BE1DA7" w:rsidRPr="001922A7">
        <w:rPr>
          <w:rFonts w:eastAsia="Times New Roman"/>
          <w:lang w:val="en-GB" w:eastAsia="fr-FR"/>
        </w:rPr>
        <w:t xml:space="preserve"> </w:t>
      </w:r>
      <w:r w:rsidRPr="001922A7">
        <w:rPr>
          <w:rFonts w:eastAsia="Times New Roman"/>
          <w:lang w:val="en-GB" w:eastAsia="fr-FR"/>
        </w:rPr>
        <w:t>materials, the validity of the sales contract of 18</w:t>
      </w:r>
      <w:r w:rsidR="00824BFD" w:rsidRPr="001922A7">
        <w:rPr>
          <w:rFonts w:eastAsia="Times New Roman"/>
          <w:lang w:val="en-GB" w:eastAsia="fr-FR"/>
        </w:rPr>
        <w:t> </w:t>
      </w:r>
      <w:r w:rsidRPr="001922A7">
        <w:rPr>
          <w:rFonts w:eastAsia="Times New Roman"/>
          <w:lang w:val="en-GB" w:eastAsia="fr-FR"/>
        </w:rPr>
        <w:t>March 1993, according to which Mr M. purchased from Mr B.I. half of the foundations and some of the construction materials, was not challenged ... There is also a document confirming that the left-hand side of the house was constructed at Mr M.</w:t>
      </w:r>
      <w:r w:rsidR="009912A8">
        <w:rPr>
          <w:rFonts w:eastAsia="Times New Roman"/>
          <w:lang w:val="en-GB" w:eastAsia="fr-FR"/>
        </w:rPr>
        <w:t>’</w:t>
      </w:r>
      <w:r w:rsidRPr="001922A7">
        <w:rPr>
          <w:rFonts w:eastAsia="Times New Roman"/>
          <w:lang w:val="en-GB" w:eastAsia="fr-FR"/>
        </w:rPr>
        <w:t xml:space="preserve">s expense and a document </w:t>
      </w:r>
      <w:r w:rsidRPr="001922A7">
        <w:rPr>
          <w:rFonts w:eastAsia="Times New Roman"/>
          <w:szCs w:val="24"/>
          <w:lang w:val="en-GB" w:eastAsia="fr-FR"/>
        </w:rPr>
        <w:t>according to which Mr M. paid Mr</w:t>
      </w:r>
      <w:r w:rsidR="00080C30">
        <w:rPr>
          <w:rFonts w:eastAsia="Times New Roman"/>
          <w:szCs w:val="24"/>
          <w:lang w:val="en-GB" w:eastAsia="fr-FR"/>
        </w:rPr>
        <w:t xml:space="preserve"> </w:t>
      </w:r>
      <w:r w:rsidRPr="001922A7">
        <w:rPr>
          <w:rFonts w:eastAsia="Times New Roman"/>
          <w:szCs w:val="24"/>
          <w:lang w:val="en-GB" w:eastAsia="fr-FR"/>
        </w:rPr>
        <w:t>B.I.</w:t>
      </w:r>
      <w:r w:rsidR="00080C30">
        <w:rPr>
          <w:rFonts w:eastAsia="Times New Roman"/>
          <w:szCs w:val="24"/>
          <w:lang w:val="en-GB" w:eastAsia="fr-FR"/>
        </w:rPr>
        <w:t xml:space="preserve"> </w:t>
      </w:r>
      <w:r w:rsidRPr="001922A7">
        <w:rPr>
          <w:rFonts w:eastAsia="Times New Roman"/>
          <w:szCs w:val="24"/>
          <w:lang w:val="en-GB" w:eastAsia="fr-FR"/>
        </w:rPr>
        <w:t xml:space="preserve">1,550,000,000 karbovanets </w:t>
      </w:r>
      <w:r w:rsidRPr="001922A7">
        <w:rPr>
          <w:rFonts w:eastAsia="Times New Roman"/>
          <w:lang w:val="en-GB" w:eastAsia="fr-FR"/>
        </w:rPr>
        <w:t>[the former transitional currency of Ukraine before September 1996]</w:t>
      </w:r>
      <w:r w:rsidRPr="001922A7">
        <w:rPr>
          <w:rFonts w:eastAsia="Times New Roman"/>
          <w:szCs w:val="24"/>
          <w:lang w:val="en-GB" w:eastAsia="fr-FR"/>
        </w:rPr>
        <w:t xml:space="preserve"> for the foundations of the left-hand side of the house. These circumstances were not refuted by the expert examination in the case.</w:t>
      </w:r>
    </w:p>
    <w:p w:rsidR="00904C9F" w:rsidRPr="001922A7" w:rsidRDefault="00904C9F" w:rsidP="001B4C2E">
      <w:pPr>
        <w:pStyle w:val="ECHRParaQuote"/>
        <w:rPr>
          <w:rFonts w:eastAsia="Times New Roman"/>
          <w:lang w:val="en-GB" w:eastAsia="fr-FR"/>
        </w:rPr>
      </w:pPr>
      <w:r w:rsidRPr="001922A7">
        <w:rPr>
          <w:rFonts w:eastAsia="Times New Roman"/>
          <w:szCs w:val="24"/>
          <w:lang w:val="en-GB" w:eastAsia="fr-FR"/>
        </w:rPr>
        <w:t>In its judgment</w:t>
      </w:r>
      <w:r w:rsidR="008860FD">
        <w:rPr>
          <w:rFonts w:eastAsia="Times New Roman"/>
          <w:szCs w:val="24"/>
          <w:lang w:val="en-GB" w:eastAsia="fr-FR"/>
        </w:rPr>
        <w:t>,</w:t>
      </w:r>
      <w:r w:rsidRPr="001922A7">
        <w:rPr>
          <w:rFonts w:eastAsia="Times New Roman"/>
          <w:szCs w:val="24"/>
          <w:lang w:val="en-GB" w:eastAsia="fr-FR"/>
        </w:rPr>
        <w:t xml:space="preserve"> the European Court of Human Rights also noted that the applicant ... had failed to provide evidence </w:t>
      </w:r>
      <w:r w:rsidRPr="001922A7">
        <w:rPr>
          <w:rFonts w:eastAsia="Times New Roman"/>
          <w:lang w:val="en-GB" w:eastAsia="fr-FR"/>
        </w:rPr>
        <w:t>that she had suffered discrimination in the enjoyment of her property rights, contrary to Article 14 of the Convention read in conjunction with Article</w:t>
      </w:r>
      <w:r w:rsidR="00080C30">
        <w:rPr>
          <w:rFonts w:eastAsia="Times New Roman"/>
          <w:lang w:val="en-GB" w:eastAsia="fr-FR"/>
        </w:rPr>
        <w:t xml:space="preserve"> </w:t>
      </w:r>
      <w:r w:rsidRPr="001922A7">
        <w:rPr>
          <w:rFonts w:eastAsia="Times New Roman"/>
          <w:lang w:val="en-GB" w:eastAsia="fr-FR"/>
        </w:rPr>
        <w:t>1 of Protocol</w:t>
      </w:r>
      <w:r w:rsidR="00080C30">
        <w:rPr>
          <w:rFonts w:eastAsia="Times New Roman"/>
          <w:lang w:val="en-GB" w:eastAsia="fr-FR"/>
        </w:rPr>
        <w:t xml:space="preserve"> </w:t>
      </w:r>
      <w:r w:rsidRPr="001922A7">
        <w:rPr>
          <w:rFonts w:eastAsia="Times New Roman"/>
          <w:lang w:val="en-GB" w:eastAsia="fr-FR"/>
        </w:rPr>
        <w:t>No.</w:t>
      </w:r>
      <w:r w:rsidR="00080C30">
        <w:rPr>
          <w:rFonts w:eastAsia="Times New Roman"/>
          <w:lang w:val="en-GB" w:eastAsia="fr-FR"/>
        </w:rPr>
        <w:t xml:space="preserve"> </w:t>
      </w:r>
      <w:r w:rsidRPr="001922A7">
        <w:rPr>
          <w:rFonts w:eastAsia="Times New Roman"/>
          <w:lang w:val="en-GB" w:eastAsia="fr-FR"/>
        </w:rPr>
        <w:t>1, on account of the outcome of the civil proceedings. [The Court] concluded that the applicant</w:t>
      </w:r>
      <w:r w:rsidR="009912A8">
        <w:rPr>
          <w:rFonts w:eastAsia="Times New Roman"/>
          <w:lang w:val="en-GB" w:eastAsia="fr-FR"/>
        </w:rPr>
        <w:t>’</w:t>
      </w:r>
      <w:r w:rsidRPr="001922A7">
        <w:rPr>
          <w:rFonts w:eastAsia="Times New Roman"/>
          <w:lang w:val="en-GB" w:eastAsia="fr-FR"/>
        </w:rPr>
        <w:t>s complaints [under these provisions] were to be rejected as manifestly ill-founded pursuant to Article 35</w:t>
      </w:r>
      <w:r w:rsidR="00080C30">
        <w:rPr>
          <w:rFonts w:eastAsia="Times New Roman"/>
          <w:lang w:val="en-GB" w:eastAsia="fr-FR"/>
        </w:rPr>
        <w:t xml:space="preserve"> </w:t>
      </w:r>
      <w:r w:rsidRPr="001922A7">
        <w:rPr>
          <w:rFonts w:eastAsia="Times New Roman"/>
          <w:lang w:val="en-GB" w:eastAsia="fr-FR"/>
        </w:rPr>
        <w:t>§§ 3 and 4 of the Convention. Therefore, the European Court of Human Rights concluded that the [domestic] courts</w:t>
      </w:r>
      <w:r w:rsidR="009912A8">
        <w:rPr>
          <w:rFonts w:eastAsia="Times New Roman"/>
          <w:lang w:val="en-GB" w:eastAsia="fr-FR"/>
        </w:rPr>
        <w:t>’</w:t>
      </w:r>
      <w:r w:rsidRPr="001922A7">
        <w:rPr>
          <w:rFonts w:eastAsia="Times New Roman"/>
          <w:lang w:val="en-GB" w:eastAsia="fr-FR"/>
        </w:rPr>
        <w:t xml:space="preserve"> decisions were lawful and well-founded and decided to award the applicant compensation in the amount of EUR</w:t>
      </w:r>
      <w:r w:rsidR="00080C30">
        <w:rPr>
          <w:rFonts w:eastAsia="Times New Roman"/>
          <w:lang w:val="en-GB" w:eastAsia="fr-FR"/>
        </w:rPr>
        <w:t xml:space="preserve"> </w:t>
      </w:r>
      <w:r w:rsidRPr="001922A7">
        <w:rPr>
          <w:rFonts w:eastAsia="Times New Roman"/>
          <w:lang w:val="en-GB" w:eastAsia="fr-FR"/>
        </w:rPr>
        <w:t xml:space="preserve">2,000 only for the violation of the </w:t>
      </w:r>
      <w:r w:rsidR="009912A8">
        <w:rPr>
          <w:rFonts w:eastAsia="Times New Roman"/>
          <w:lang w:val="en-GB" w:eastAsia="fr-FR"/>
        </w:rPr>
        <w:t>‘</w:t>
      </w:r>
      <w:r w:rsidRPr="001922A7">
        <w:rPr>
          <w:rFonts w:eastAsia="Times New Roman"/>
          <w:lang w:val="en-GB" w:eastAsia="fr-FR"/>
        </w:rPr>
        <w:t>reasonable</w:t>
      </w:r>
      <w:r w:rsidR="006E2562">
        <w:rPr>
          <w:rFonts w:eastAsia="Times New Roman"/>
          <w:lang w:val="en-GB" w:eastAsia="fr-FR"/>
        </w:rPr>
        <w:t>-</w:t>
      </w:r>
      <w:r w:rsidRPr="001922A7">
        <w:rPr>
          <w:rFonts w:eastAsia="Times New Roman"/>
          <w:lang w:val="en-GB" w:eastAsia="fr-FR"/>
        </w:rPr>
        <w:t>time</w:t>
      </w:r>
      <w:r w:rsidR="009912A8">
        <w:rPr>
          <w:rFonts w:eastAsia="Times New Roman"/>
          <w:lang w:val="en-GB" w:eastAsia="fr-FR"/>
        </w:rPr>
        <w:t>’</w:t>
      </w:r>
      <w:r w:rsidRPr="001922A7">
        <w:rPr>
          <w:rFonts w:eastAsia="Times New Roman"/>
          <w:lang w:val="en-GB" w:eastAsia="fr-FR"/>
        </w:rPr>
        <w:t xml:space="preserve"> requirement by the Ukrainian courts.</w:t>
      </w:r>
    </w:p>
    <w:p w:rsidR="00BE4E85" w:rsidRDefault="00904C9F" w:rsidP="001B4C2E">
      <w:pPr>
        <w:pStyle w:val="ECHRParaQuote"/>
        <w:rPr>
          <w:rFonts w:eastAsia="Times New Roman"/>
          <w:lang w:val="en-GB" w:eastAsia="fr-FR"/>
        </w:rPr>
      </w:pPr>
      <w:r w:rsidRPr="001922A7">
        <w:rPr>
          <w:rFonts w:eastAsia="Times New Roman"/>
          <w:lang w:val="en-GB" w:eastAsia="fr-FR"/>
        </w:rPr>
        <w:t>In the light of the foregoing, the courts</w:t>
      </w:r>
      <w:r w:rsidR="009912A8">
        <w:rPr>
          <w:rFonts w:eastAsia="Times New Roman"/>
          <w:lang w:val="en-GB" w:eastAsia="fr-FR"/>
        </w:rPr>
        <w:t>’</w:t>
      </w:r>
      <w:r w:rsidRPr="001922A7">
        <w:rPr>
          <w:rFonts w:eastAsia="Times New Roman"/>
          <w:lang w:val="en-GB" w:eastAsia="fr-FR"/>
        </w:rPr>
        <w:t xml:space="preserve"> decisions in the case may not be quashed on the grounds mentioned in Mrs Bochan</w:t>
      </w:r>
      <w:r w:rsidR="009912A8">
        <w:rPr>
          <w:rFonts w:eastAsia="Times New Roman"/>
          <w:lang w:val="en-GB" w:eastAsia="fr-FR"/>
        </w:rPr>
        <w:t>’</w:t>
      </w:r>
      <w:r w:rsidRPr="001922A7">
        <w:rPr>
          <w:rFonts w:eastAsia="Times New Roman"/>
          <w:lang w:val="en-GB" w:eastAsia="fr-FR"/>
        </w:rPr>
        <w:t>s application.</w:t>
      </w:r>
    </w:p>
    <w:p w:rsidR="00BE4E85" w:rsidRPr="0031300B" w:rsidRDefault="003169E4" w:rsidP="001B4C2E">
      <w:pPr>
        <w:pStyle w:val="ECHRParaQuote"/>
        <w:rPr>
          <w:rFonts w:eastAsia="Times New Roman"/>
          <w:u w:val="single"/>
          <w:lang w:val="en-GB" w:eastAsia="fr-FR"/>
        </w:rPr>
      </w:pPr>
      <w:r>
        <w:rPr>
          <w:rFonts w:eastAsia="Times New Roman"/>
          <w:lang w:val="en-GB" w:eastAsia="fr-FR"/>
        </w:rPr>
        <w:t>Relying on</w:t>
      </w:r>
      <w:r w:rsidR="00BE4E85">
        <w:rPr>
          <w:rFonts w:eastAsia="Times New Roman"/>
          <w:lang w:val="en-GB" w:eastAsia="fr-FR"/>
        </w:rPr>
        <w:t xml:space="preserve"> [Article] 358 of the [Code of Civil Procedure</w:t>
      </w:r>
      <w:r w:rsidR="00771504">
        <w:rPr>
          <w:rFonts w:eastAsia="Times New Roman"/>
          <w:lang w:val="en-GB" w:eastAsia="fr-FR"/>
        </w:rPr>
        <w:t xml:space="preserve"> of Ukraine</w:t>
      </w:r>
      <w:r w:rsidR="00243207">
        <w:rPr>
          <w:rFonts w:eastAsia="Times New Roman"/>
          <w:lang w:val="en-GB" w:eastAsia="fr-FR"/>
        </w:rPr>
        <w:t>]</w:t>
      </w:r>
      <w:r w:rsidR="00771504">
        <w:rPr>
          <w:rFonts w:eastAsia="Times New Roman"/>
          <w:lang w:val="en-GB" w:eastAsia="fr-FR"/>
        </w:rPr>
        <w:t xml:space="preserve">, the panel of judges of the </w:t>
      </w:r>
      <w:r w:rsidR="00771504" w:rsidRPr="00771504">
        <w:rPr>
          <w:rFonts w:eastAsia="Times New Roman"/>
          <w:lang w:val="en-GB" w:eastAsia="fr-FR"/>
        </w:rPr>
        <w:t>Civil Division of the Supreme Court</w:t>
      </w:r>
      <w:r w:rsidR="00771504">
        <w:rPr>
          <w:rFonts w:eastAsia="Times New Roman"/>
          <w:lang w:val="en-GB" w:eastAsia="fr-FR"/>
        </w:rPr>
        <w:t xml:space="preserve"> of </w:t>
      </w:r>
      <w:r w:rsidR="00771504" w:rsidRPr="00E3356A">
        <w:rPr>
          <w:rFonts w:eastAsia="Times New Roman"/>
          <w:lang w:val="en-GB" w:eastAsia="fr-FR"/>
        </w:rPr>
        <w:t>Ukraine</w:t>
      </w:r>
    </w:p>
    <w:p w:rsidR="00771504" w:rsidRDefault="00BE4E85" w:rsidP="00904C9F">
      <w:pPr>
        <w:spacing w:before="120" w:after="120"/>
        <w:ind w:left="425" w:firstLine="142"/>
        <w:rPr>
          <w:rFonts w:ascii="Times New Roman" w:eastAsia="Times New Roman" w:hAnsi="Times New Roman" w:cs="Times New Roman"/>
          <w:sz w:val="20"/>
          <w:szCs w:val="20"/>
          <w:lang w:val="en-GB" w:eastAsia="fr-FR"/>
        </w:rPr>
      </w:pPr>
      <w:r>
        <w:rPr>
          <w:rFonts w:ascii="Times New Roman" w:eastAsia="Times New Roman" w:hAnsi="Times New Roman" w:cs="Times New Roman"/>
          <w:sz w:val="20"/>
          <w:szCs w:val="20"/>
          <w:lang w:val="en-GB" w:eastAsia="fr-FR"/>
        </w:rPr>
        <w:t>[Decided]</w:t>
      </w:r>
      <w:r w:rsidR="00771504">
        <w:rPr>
          <w:rFonts w:ascii="Times New Roman" w:eastAsia="Times New Roman" w:hAnsi="Times New Roman" w:cs="Times New Roman"/>
          <w:sz w:val="20"/>
          <w:szCs w:val="20"/>
          <w:lang w:val="en-GB" w:eastAsia="fr-FR"/>
        </w:rPr>
        <w:t>:</w:t>
      </w:r>
    </w:p>
    <w:p w:rsidR="00904C9F" w:rsidRPr="00F9445B" w:rsidRDefault="00771504" w:rsidP="001B4C2E">
      <w:pPr>
        <w:pStyle w:val="ECHRParaQuote"/>
        <w:rPr>
          <w:rFonts w:eastAsia="Times New Roman"/>
          <w:lang w:val="en-GB" w:eastAsia="fr-FR"/>
        </w:rPr>
      </w:pPr>
      <w:r>
        <w:rPr>
          <w:rFonts w:eastAsia="Times New Roman"/>
          <w:lang w:val="en-GB" w:eastAsia="fr-FR"/>
        </w:rPr>
        <w:t xml:space="preserve">To </w:t>
      </w:r>
      <w:r w:rsidR="00A34303">
        <w:rPr>
          <w:rFonts w:eastAsia="Times New Roman"/>
          <w:lang w:val="en-GB" w:eastAsia="fr-FR"/>
        </w:rPr>
        <w:t xml:space="preserve">refuse to allow </w:t>
      </w:r>
      <w:r w:rsidR="00BD5AE9">
        <w:rPr>
          <w:rFonts w:eastAsia="Times New Roman"/>
          <w:lang w:val="en-GB" w:eastAsia="fr-FR"/>
        </w:rPr>
        <w:t xml:space="preserve">the appeal </w:t>
      </w:r>
      <w:r w:rsidR="00F9445B">
        <w:rPr>
          <w:rFonts w:eastAsia="Times New Roman"/>
          <w:lang w:val="en-GB" w:eastAsia="fr-FR"/>
        </w:rPr>
        <w:t xml:space="preserve">[of </w:t>
      </w:r>
      <w:r w:rsidR="00F9445B" w:rsidRPr="00F9445B">
        <w:rPr>
          <w:rFonts w:eastAsia="Times New Roman"/>
          <w:lang w:val="en-GB" w:eastAsia="fr-FR"/>
        </w:rPr>
        <w:t>Mrs Bochan</w:t>
      </w:r>
      <w:r w:rsidR="00EC2807">
        <w:rPr>
          <w:rFonts w:eastAsia="Times New Roman"/>
          <w:lang w:val="en-GB" w:eastAsia="fr-FR"/>
        </w:rPr>
        <w:t xml:space="preserve"> M. I.</w:t>
      </w:r>
      <w:r w:rsidR="00F9445B">
        <w:rPr>
          <w:rFonts w:eastAsia="Times New Roman"/>
          <w:lang w:val="en-GB" w:eastAsia="fr-FR"/>
        </w:rPr>
        <w:t>] for review in the light of exceptional circumstances of the judgment of 19 January 2001 of the</w:t>
      </w:r>
      <w:r w:rsidR="00F9445B" w:rsidRPr="00F9445B">
        <w:t xml:space="preserve"> </w:t>
      </w:r>
      <w:r w:rsidR="00F9445B" w:rsidRPr="00F9445B">
        <w:rPr>
          <w:rFonts w:eastAsia="Times New Roman"/>
          <w:lang w:val="en-GB" w:eastAsia="fr-FR"/>
        </w:rPr>
        <w:t>Chemerovetsk Town Court</w:t>
      </w:r>
      <w:r w:rsidR="00F9445B">
        <w:rPr>
          <w:rFonts w:eastAsia="Times New Roman"/>
          <w:lang w:val="en-GB" w:eastAsia="fr-FR"/>
        </w:rPr>
        <w:t xml:space="preserve"> of the Khmelnytsk Region, the decision of 1 March 2001 of the</w:t>
      </w:r>
      <w:r w:rsidR="00F9445B" w:rsidRPr="00F9445B">
        <w:t xml:space="preserve"> </w:t>
      </w:r>
      <w:r w:rsidR="00F9445B" w:rsidRPr="00F9445B">
        <w:rPr>
          <w:rFonts w:eastAsia="Times New Roman"/>
          <w:lang w:val="en-GB" w:eastAsia="fr-FR"/>
        </w:rPr>
        <w:t>Khmelnytsk Regional Court</w:t>
      </w:r>
      <w:r w:rsidR="00F9445B">
        <w:rPr>
          <w:rFonts w:eastAsia="Times New Roman"/>
          <w:lang w:val="en-GB" w:eastAsia="fr-FR"/>
        </w:rPr>
        <w:t xml:space="preserve"> of Appeal and the decision of </w:t>
      </w:r>
      <w:r w:rsidR="00F9445B" w:rsidRPr="00F9445B">
        <w:rPr>
          <w:rFonts w:eastAsia="Times New Roman"/>
          <w:lang w:val="en-GB" w:eastAsia="fr-FR"/>
        </w:rPr>
        <w:t>22 August 2002</w:t>
      </w:r>
      <w:r w:rsidR="00F9445B">
        <w:rPr>
          <w:rFonts w:eastAsia="Times New Roman"/>
          <w:lang w:val="en-GB" w:eastAsia="fr-FR"/>
        </w:rPr>
        <w:t xml:space="preserve"> of the Supreme Court of Ukraine.</w:t>
      </w:r>
      <w:r w:rsidR="00904C9F" w:rsidRPr="001922A7">
        <w:rPr>
          <w:rFonts w:eastAsia="Times New Roman"/>
          <w:lang w:val="en-GB" w:eastAsia="fr-FR"/>
        </w:rPr>
        <w:t>”</w:t>
      </w:r>
    </w:p>
    <w:p w:rsidR="00904C9F" w:rsidRPr="001922A7" w:rsidRDefault="00904C9F"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22</w:t>
      </w:r>
      <w:r w:rsidRPr="001922A7">
        <w:rPr>
          <w:rFonts w:eastAsia="Times New Roman"/>
          <w:lang w:val="en-GB" w:eastAsia="fr-FR"/>
        </w:rPr>
        <w:fldChar w:fldCharType="end"/>
      </w:r>
      <w:r w:rsidRPr="001922A7">
        <w:rPr>
          <w:rFonts w:eastAsia="Times New Roman"/>
          <w:lang w:val="en-GB" w:eastAsia="fr-FR"/>
        </w:rPr>
        <w:t xml:space="preserve">.  On 8 April 2008 the applicant lodged a new “appeal in the light of exceptional circumstances” with the Supreme Court. She argued that the decision of 14 March 2008 had been based on an incorrect </w:t>
      </w:r>
      <w:r w:rsidR="006E2562">
        <w:rPr>
          <w:rFonts w:eastAsia="Times New Roman"/>
          <w:lang w:val="en-GB" w:eastAsia="fr-FR"/>
        </w:rPr>
        <w:t>“</w:t>
      </w:r>
      <w:r w:rsidRPr="001922A7">
        <w:rPr>
          <w:rFonts w:eastAsia="Times New Roman"/>
          <w:lang w:val="en-GB" w:eastAsia="fr-FR"/>
        </w:rPr>
        <w:t>interpretation</w:t>
      </w:r>
      <w:r w:rsidR="006E2562">
        <w:rPr>
          <w:rFonts w:eastAsia="Times New Roman"/>
          <w:lang w:val="en-GB" w:eastAsia="fr-FR"/>
        </w:rPr>
        <w:t>”</w:t>
      </w:r>
      <w:r w:rsidRPr="001922A7">
        <w:rPr>
          <w:rFonts w:eastAsia="Times New Roman"/>
          <w:lang w:val="en-GB" w:eastAsia="fr-FR"/>
        </w:rPr>
        <w:t xml:space="preserve"> </w:t>
      </w:r>
      <w:r w:rsidRPr="001922A7">
        <w:rPr>
          <w:rFonts w:eastAsia="Times New Roman"/>
          <w:lang w:val="en-GB" w:eastAsia="fr-FR"/>
        </w:rPr>
        <w:lastRenderedPageBreak/>
        <w:t>of the Court</w:t>
      </w:r>
      <w:r w:rsidR="009912A8">
        <w:rPr>
          <w:rFonts w:eastAsia="Times New Roman"/>
          <w:lang w:val="en-GB" w:eastAsia="fr-FR"/>
        </w:rPr>
        <w:t>’</w:t>
      </w:r>
      <w:r w:rsidRPr="001922A7">
        <w:rPr>
          <w:rFonts w:eastAsia="Times New Roman"/>
          <w:lang w:val="en-GB" w:eastAsia="fr-FR"/>
        </w:rPr>
        <w:t>s judgment of 3</w:t>
      </w:r>
      <w:r w:rsidR="00080C30">
        <w:rPr>
          <w:rFonts w:eastAsia="Times New Roman"/>
          <w:lang w:val="en-GB" w:eastAsia="fr-FR"/>
        </w:rPr>
        <w:t xml:space="preserve"> </w:t>
      </w:r>
      <w:r w:rsidRPr="001922A7">
        <w:rPr>
          <w:rFonts w:eastAsia="Times New Roman"/>
          <w:lang w:val="en-GB" w:eastAsia="fr-FR"/>
        </w:rPr>
        <w:t xml:space="preserve">May 2007 and </w:t>
      </w:r>
      <w:r w:rsidR="005407D7" w:rsidRPr="001922A7">
        <w:rPr>
          <w:rFonts w:eastAsia="Times New Roman"/>
          <w:lang w:val="en-GB" w:eastAsia="fr-FR"/>
        </w:rPr>
        <w:t>requested the Supreme Court to reconsider the merits of the case in the light of the Court</w:t>
      </w:r>
      <w:r w:rsidR="009912A8">
        <w:rPr>
          <w:rFonts w:eastAsia="Times New Roman"/>
          <w:lang w:val="en-GB" w:eastAsia="fr-FR"/>
        </w:rPr>
        <w:t>’</w:t>
      </w:r>
      <w:r w:rsidR="005407D7" w:rsidRPr="001922A7">
        <w:rPr>
          <w:rFonts w:eastAsia="Times New Roman"/>
          <w:lang w:val="en-GB" w:eastAsia="fr-FR"/>
        </w:rPr>
        <w:t xml:space="preserve">s findings under Article 6 § 1 of the Convention in that judgment </w:t>
      </w:r>
      <w:r w:rsidR="00D0127D">
        <w:rPr>
          <w:rFonts w:eastAsia="Times New Roman"/>
          <w:lang w:val="en-GB" w:eastAsia="fr-FR"/>
        </w:rPr>
        <w:t xml:space="preserve">as noted in </w:t>
      </w:r>
      <w:r w:rsidR="005407D7" w:rsidRPr="001922A7">
        <w:rPr>
          <w:rFonts w:eastAsia="Times New Roman"/>
          <w:lang w:val="en-GB" w:eastAsia="fr-FR"/>
        </w:rPr>
        <w:t>paragraph 15 above</w:t>
      </w:r>
      <w:r w:rsidRPr="001922A7">
        <w:rPr>
          <w:rFonts w:eastAsia="Times New Roman"/>
          <w:lang w:val="en-GB" w:eastAsia="fr-FR"/>
        </w:rPr>
        <w:t>.</w:t>
      </w:r>
    </w:p>
    <w:p w:rsidR="00904C9F" w:rsidRPr="001922A7" w:rsidRDefault="00904C9F"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23</w:t>
      </w:r>
      <w:r w:rsidRPr="001922A7">
        <w:rPr>
          <w:rFonts w:eastAsia="Times New Roman"/>
          <w:lang w:val="en-GB" w:eastAsia="fr-FR"/>
        </w:rPr>
        <w:fldChar w:fldCharType="end"/>
      </w:r>
      <w:r w:rsidRPr="001922A7">
        <w:rPr>
          <w:rFonts w:eastAsia="Times New Roman"/>
          <w:lang w:val="en-GB" w:eastAsia="fr-FR"/>
        </w:rPr>
        <w:t>.  On 5 June 2008 a panel of seven judges of the Civil Division of the Supreme Court, relying on Article 356 of the Code of Civil Procedure</w:t>
      </w:r>
      <w:r w:rsidR="00C8795F" w:rsidRPr="001922A7">
        <w:rPr>
          <w:rFonts w:eastAsia="Times New Roman"/>
          <w:lang w:val="en-GB" w:eastAsia="fr-FR"/>
        </w:rPr>
        <w:t xml:space="preserve"> of 2004</w:t>
      </w:r>
      <w:r w:rsidRPr="001922A7">
        <w:rPr>
          <w:rFonts w:eastAsia="Times New Roman"/>
          <w:lang w:val="en-GB" w:eastAsia="fr-FR"/>
        </w:rPr>
        <w:t xml:space="preserve">, declared the appeal inadmissible, as it contained no arguments capable of serving as grounds for reconsideration of the case in the light of exceptional circumstances pursuant to Article 354 of the Code of Civil Procedure </w:t>
      </w:r>
      <w:r w:rsidR="00C8795F" w:rsidRPr="001922A7">
        <w:rPr>
          <w:rFonts w:eastAsia="Times New Roman"/>
          <w:lang w:val="en-GB" w:eastAsia="fr-FR"/>
        </w:rPr>
        <w:t xml:space="preserve">of 2004 </w:t>
      </w:r>
      <w:r w:rsidRPr="001922A7">
        <w:rPr>
          <w:rFonts w:eastAsia="Times New Roman"/>
          <w:lang w:val="en-GB" w:eastAsia="fr-FR"/>
        </w:rPr>
        <w:t>(see paragraph 2</w:t>
      </w:r>
      <w:r w:rsidR="00283650" w:rsidRPr="001922A7">
        <w:rPr>
          <w:rFonts w:eastAsia="Times New Roman"/>
          <w:lang w:val="en-GB" w:eastAsia="fr-FR"/>
        </w:rPr>
        <w:t>4</w:t>
      </w:r>
      <w:r w:rsidRPr="001922A7">
        <w:rPr>
          <w:rFonts w:eastAsia="Times New Roman"/>
          <w:lang w:val="en-GB" w:eastAsia="fr-FR"/>
        </w:rPr>
        <w:t xml:space="preserve"> below </w:t>
      </w:r>
      <w:r w:rsidR="004A1CAD" w:rsidRPr="001922A7">
        <w:rPr>
          <w:rFonts w:eastAsia="Times New Roman"/>
          <w:lang w:val="en-GB" w:eastAsia="fr-FR"/>
        </w:rPr>
        <w:t xml:space="preserve">for the text of </w:t>
      </w:r>
      <w:r w:rsidRPr="001922A7">
        <w:rPr>
          <w:rFonts w:eastAsia="Times New Roman"/>
          <w:lang w:val="en-GB" w:eastAsia="fr-FR"/>
        </w:rPr>
        <w:t xml:space="preserve">Article 354 and </w:t>
      </w:r>
      <w:r w:rsidR="004A1CAD" w:rsidRPr="001922A7">
        <w:rPr>
          <w:rFonts w:eastAsia="Times New Roman"/>
          <w:lang w:val="en-GB" w:eastAsia="fr-FR"/>
        </w:rPr>
        <w:t xml:space="preserve">for the relevant extracts from </w:t>
      </w:r>
      <w:r w:rsidRPr="001922A7">
        <w:rPr>
          <w:rFonts w:eastAsia="Times New Roman"/>
          <w:lang w:val="en-GB" w:eastAsia="fr-FR"/>
        </w:rPr>
        <w:t>Article 356 of the Code).</w:t>
      </w:r>
    </w:p>
    <w:p w:rsidR="00014566" w:rsidRPr="001922A7" w:rsidRDefault="00B83FFA" w:rsidP="00014566">
      <w:pPr>
        <w:pStyle w:val="ECHRHeading1"/>
        <w:rPr>
          <w:lang w:val="en-GB"/>
        </w:rPr>
      </w:pPr>
      <w:r w:rsidRPr="001922A7">
        <w:rPr>
          <w:lang w:val="en-GB"/>
        </w:rPr>
        <w:t>II.  RELEVANT DOMESTIC LAW</w:t>
      </w:r>
    </w:p>
    <w:p w:rsidR="00B83FFA" w:rsidRPr="001922A7" w:rsidRDefault="00B83FFA" w:rsidP="00B83FFA">
      <w:pPr>
        <w:pStyle w:val="ECHRHeading2"/>
        <w:rPr>
          <w:rFonts w:eastAsia="Times New Roman"/>
          <w:lang w:val="en-GB" w:eastAsia="fr-FR"/>
        </w:rPr>
      </w:pPr>
      <w:r w:rsidRPr="001922A7">
        <w:rPr>
          <w:rFonts w:eastAsia="Times New Roman"/>
          <w:lang w:val="en-GB" w:eastAsia="fr-FR"/>
        </w:rPr>
        <w:t>A.  Code of Civil Procedure of 2004</w:t>
      </w:r>
    </w:p>
    <w:p w:rsidR="00B83FFA" w:rsidRPr="001922A7" w:rsidRDefault="00B83FFA"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24</w:t>
      </w:r>
      <w:r w:rsidRPr="001922A7">
        <w:rPr>
          <w:rFonts w:eastAsia="Times New Roman"/>
          <w:lang w:val="en-GB" w:eastAsia="fr-FR"/>
        </w:rPr>
        <w:fldChar w:fldCharType="end"/>
      </w:r>
      <w:r w:rsidRPr="001922A7">
        <w:rPr>
          <w:rFonts w:eastAsia="Times New Roman"/>
          <w:lang w:val="en-GB" w:eastAsia="fr-FR"/>
        </w:rPr>
        <w:t>.  The relevant extracts from the Code, as worded at the material time, read as follows:</w:t>
      </w:r>
    </w:p>
    <w:p w:rsidR="00B83FFA" w:rsidRPr="001922A7" w:rsidRDefault="00B83FFA" w:rsidP="001B4C2E">
      <w:pPr>
        <w:pStyle w:val="ECHRTitleCentre3"/>
        <w:rPr>
          <w:rFonts w:eastAsia="Times New Roman"/>
          <w:lang w:val="en-GB" w:eastAsia="fr-FR"/>
        </w:rPr>
      </w:pPr>
      <w:r w:rsidRPr="001922A7">
        <w:rPr>
          <w:rFonts w:eastAsia="Times New Roman"/>
          <w:lang w:val="en-GB" w:eastAsia="fr-FR"/>
        </w:rPr>
        <w:t>Article 353.</w:t>
      </w:r>
      <w:r w:rsidRPr="001922A7">
        <w:rPr>
          <w:rFonts w:eastAsia="Times New Roman"/>
          <w:szCs w:val="24"/>
          <w:lang w:val="en-GB" w:eastAsia="fr-FR"/>
        </w:rPr>
        <w:t xml:space="preserve"> </w:t>
      </w:r>
      <w:r w:rsidRPr="001922A7">
        <w:rPr>
          <w:rFonts w:eastAsia="Times New Roman"/>
          <w:lang w:val="en-GB" w:eastAsia="fr-FR"/>
        </w:rPr>
        <w:t>The right to challenge judicial decisions in the light of exceptional circumstances</w:t>
      </w:r>
    </w:p>
    <w:p w:rsidR="00B83FFA" w:rsidRPr="001922A7" w:rsidRDefault="00B83FFA" w:rsidP="001B4C2E">
      <w:pPr>
        <w:pStyle w:val="ECHRParaQuote"/>
        <w:rPr>
          <w:rFonts w:eastAsia="Times New Roman"/>
          <w:lang w:val="en-GB" w:eastAsia="fr-FR"/>
        </w:rPr>
      </w:pPr>
      <w:r w:rsidRPr="001922A7">
        <w:rPr>
          <w:rFonts w:eastAsia="Times New Roman"/>
          <w:lang w:val="en-GB" w:eastAsia="fr-FR"/>
        </w:rPr>
        <w:t>“1.  Parties to proceedings ... have the right to challenge before the Supreme Court of Ukraine judicial decisions in civil cases in the light of exceptional circumstances</w:t>
      </w:r>
      <w:r w:rsidR="00D0127D" w:rsidRPr="00D0127D">
        <w:rPr>
          <w:rFonts w:eastAsia="Times New Roman"/>
          <w:lang w:val="en-GB" w:eastAsia="fr-FR"/>
        </w:rPr>
        <w:t xml:space="preserve"> </w:t>
      </w:r>
      <w:r w:rsidR="00D0127D">
        <w:rPr>
          <w:rFonts w:eastAsia="Times New Roman"/>
          <w:lang w:val="en-GB" w:eastAsia="fr-FR"/>
        </w:rPr>
        <w:t xml:space="preserve">after [those decisions] </w:t>
      </w:r>
      <w:r w:rsidR="00F71E74">
        <w:rPr>
          <w:rFonts w:eastAsia="Times New Roman"/>
          <w:lang w:val="en-GB" w:eastAsia="fr-FR"/>
        </w:rPr>
        <w:t>have been</w:t>
      </w:r>
      <w:r w:rsidR="00D0127D">
        <w:rPr>
          <w:rFonts w:eastAsia="Times New Roman"/>
          <w:lang w:val="en-GB" w:eastAsia="fr-FR"/>
        </w:rPr>
        <w:t xml:space="preserve"> reviewed </w:t>
      </w:r>
      <w:r w:rsidR="00D0127D" w:rsidRPr="001922A7">
        <w:rPr>
          <w:rFonts w:eastAsia="Times New Roman"/>
          <w:lang w:val="en-GB" w:eastAsia="fr-FR"/>
        </w:rPr>
        <w:t>in cassation</w:t>
      </w:r>
      <w:r w:rsidRPr="001922A7">
        <w:rPr>
          <w:rFonts w:eastAsia="Times New Roman"/>
          <w:lang w:val="en-GB" w:eastAsia="fr-FR"/>
        </w:rPr>
        <w:t>.”</w:t>
      </w:r>
    </w:p>
    <w:p w:rsidR="00B83FFA" w:rsidRPr="001B4C2E" w:rsidRDefault="00B83FFA" w:rsidP="001B4C2E">
      <w:pPr>
        <w:pStyle w:val="ECHRTitleCentre3"/>
      </w:pPr>
      <w:r w:rsidRPr="001B4C2E">
        <w:t>Article 354. Grounds for an appeal in the light of exceptional circumstances</w:t>
      </w:r>
    </w:p>
    <w:p w:rsidR="00B83FFA" w:rsidRPr="001922A7" w:rsidRDefault="00B83FFA" w:rsidP="001B4C2E">
      <w:pPr>
        <w:pStyle w:val="ECHRParaQuote"/>
        <w:rPr>
          <w:rFonts w:eastAsia="Times New Roman"/>
          <w:lang w:val="en-GB" w:eastAsia="fr-FR"/>
        </w:rPr>
      </w:pPr>
      <w:r w:rsidRPr="001922A7">
        <w:rPr>
          <w:rFonts w:eastAsia="Times New Roman"/>
          <w:lang w:val="en-GB" w:eastAsia="fr-FR"/>
        </w:rPr>
        <w:t xml:space="preserve">“1.  After </w:t>
      </w:r>
      <w:r w:rsidR="0090565E" w:rsidRPr="0090565E">
        <w:rPr>
          <w:rFonts w:eastAsia="Times New Roman"/>
          <w:lang w:val="en-GB" w:eastAsia="fr-FR"/>
        </w:rPr>
        <w:t xml:space="preserve">judicial decisions in civil cases </w:t>
      </w:r>
      <w:r w:rsidR="00F71E74">
        <w:rPr>
          <w:rFonts w:eastAsia="Times New Roman"/>
          <w:lang w:val="en-GB" w:eastAsia="fr-FR"/>
        </w:rPr>
        <w:t>have been</w:t>
      </w:r>
      <w:r w:rsidR="0090565E">
        <w:rPr>
          <w:rFonts w:eastAsia="Times New Roman"/>
          <w:lang w:val="en-GB" w:eastAsia="fr-FR"/>
        </w:rPr>
        <w:t xml:space="preserve"> </w:t>
      </w:r>
      <w:r w:rsidR="00D0127D">
        <w:rPr>
          <w:rFonts w:eastAsia="Times New Roman"/>
          <w:lang w:val="en-GB" w:eastAsia="fr-FR"/>
        </w:rPr>
        <w:t xml:space="preserve">reviewed </w:t>
      </w:r>
      <w:r w:rsidRPr="001922A7">
        <w:rPr>
          <w:rFonts w:eastAsia="Times New Roman"/>
          <w:lang w:val="en-GB" w:eastAsia="fr-FR"/>
        </w:rPr>
        <w:t xml:space="preserve">in cassation, </w:t>
      </w:r>
      <w:r w:rsidR="0090565E">
        <w:rPr>
          <w:rFonts w:eastAsia="Times New Roman"/>
          <w:lang w:val="en-GB" w:eastAsia="fr-FR"/>
        </w:rPr>
        <w:t xml:space="preserve">they </w:t>
      </w:r>
      <w:r w:rsidRPr="001922A7">
        <w:rPr>
          <w:rFonts w:eastAsia="Times New Roman"/>
          <w:lang w:val="en-GB" w:eastAsia="fr-FR"/>
        </w:rPr>
        <w:t>may be reviewed in the light of exceptional circumstances if they are appealed against on the [following] grounds:</w:t>
      </w:r>
    </w:p>
    <w:p w:rsidR="00B83FFA" w:rsidRPr="001922A7" w:rsidRDefault="00B83FFA" w:rsidP="001B4C2E">
      <w:pPr>
        <w:pStyle w:val="ECHRParaQuote"/>
        <w:rPr>
          <w:rFonts w:eastAsia="Times New Roman"/>
          <w:lang w:val="en-GB" w:eastAsia="fr-FR"/>
        </w:rPr>
      </w:pPr>
      <w:r w:rsidRPr="001922A7">
        <w:rPr>
          <w:rFonts w:eastAsia="Times New Roman"/>
          <w:lang w:val="en-GB" w:eastAsia="fr-FR"/>
        </w:rPr>
        <w:t>(1) </w:t>
      </w:r>
      <w:r w:rsidR="001F6295">
        <w:rPr>
          <w:rFonts w:eastAsia="Times New Roman"/>
          <w:lang w:val="en-GB" w:eastAsia="fr-FR"/>
        </w:rPr>
        <w:t> </w:t>
      </w:r>
      <w:r w:rsidRPr="001922A7">
        <w:rPr>
          <w:rFonts w:eastAsia="Times New Roman"/>
          <w:lang w:val="en-GB" w:eastAsia="fr-FR"/>
        </w:rPr>
        <w:t>divergent application of the law by the cassation court (or courts);</w:t>
      </w:r>
    </w:p>
    <w:p w:rsidR="00B83FFA" w:rsidRPr="001922A7" w:rsidRDefault="00B83FFA" w:rsidP="001B4C2E">
      <w:pPr>
        <w:pStyle w:val="ECHRParaQuote"/>
        <w:rPr>
          <w:rFonts w:eastAsia="Times New Roman"/>
          <w:lang w:val="en-GB" w:eastAsia="fr-FR"/>
        </w:rPr>
      </w:pPr>
      <w:r w:rsidRPr="001922A7">
        <w:rPr>
          <w:rFonts w:eastAsia="Times New Roman"/>
          <w:lang w:val="en-GB" w:eastAsia="fr-FR"/>
        </w:rPr>
        <w:t>(2) </w:t>
      </w:r>
      <w:r w:rsidR="001F6295">
        <w:rPr>
          <w:rFonts w:eastAsia="Times New Roman"/>
          <w:lang w:val="en-GB" w:eastAsia="fr-FR"/>
        </w:rPr>
        <w:t> </w:t>
      </w:r>
      <w:r w:rsidRPr="001922A7">
        <w:rPr>
          <w:rFonts w:eastAsia="Times New Roman"/>
          <w:lang w:val="en-GB" w:eastAsia="fr-FR"/>
        </w:rPr>
        <w:t>a finding by an international judicial authority, whose jurisdiction has been recognised by Ukraine, that a [domestic] judicial decision violated the international commitments of Ukraine.”</w:t>
      </w:r>
    </w:p>
    <w:p w:rsidR="00B83FFA" w:rsidRPr="00296D23" w:rsidRDefault="00B83FFA" w:rsidP="00296D23">
      <w:pPr>
        <w:pStyle w:val="ECHRTitleCentre3"/>
      </w:pPr>
      <w:r w:rsidRPr="00296D23">
        <w:t>Article 355. Lodging of an appeal in the light of exceptional circumstances</w:t>
      </w:r>
    </w:p>
    <w:p w:rsidR="00B83FFA" w:rsidRPr="00296D23" w:rsidRDefault="00B83FFA" w:rsidP="00296D23">
      <w:pPr>
        <w:pStyle w:val="ECHRParaQuote"/>
      </w:pPr>
      <w:r w:rsidRPr="00296D23">
        <w:t>“1.  An appeal may be lodged within one month of the discovery of exceptional circumstances.</w:t>
      </w:r>
    </w:p>
    <w:p w:rsidR="00CF7EB3" w:rsidRPr="00296D23" w:rsidRDefault="00B83FFA" w:rsidP="00296D23">
      <w:pPr>
        <w:pStyle w:val="ECHRParaQuote"/>
      </w:pPr>
      <w:r w:rsidRPr="00296D23">
        <w:t xml:space="preserve">2.  An appeal in the light of exceptional circumstances </w:t>
      </w:r>
      <w:r w:rsidR="004D1F85" w:rsidRPr="00296D23">
        <w:t xml:space="preserve">is </w:t>
      </w:r>
      <w:r w:rsidR="00AD28FC" w:rsidRPr="00296D23">
        <w:t xml:space="preserve">to be </w:t>
      </w:r>
      <w:r w:rsidRPr="00296D23">
        <w:t>lodged in accordance with the rules applicable to cassation appeals</w:t>
      </w:r>
      <w:r w:rsidR="00CF7EB3" w:rsidRPr="00296D23">
        <w:t>.</w:t>
      </w:r>
    </w:p>
    <w:p w:rsidR="00B83FFA" w:rsidRPr="001922A7" w:rsidRDefault="00B83FFA" w:rsidP="00C264C5">
      <w:pPr>
        <w:pStyle w:val="ECHRParaQuote"/>
        <w:rPr>
          <w:rFonts w:eastAsia="Times New Roman"/>
          <w:lang w:val="en-GB" w:eastAsia="fr-FR"/>
        </w:rPr>
      </w:pPr>
      <w:r w:rsidRPr="001922A7">
        <w:rPr>
          <w:rFonts w:eastAsia="Times New Roman"/>
          <w:lang w:val="en-GB" w:eastAsia="fr-FR"/>
        </w:rPr>
        <w:t>...”</w:t>
      </w:r>
    </w:p>
    <w:p w:rsidR="00B83FFA" w:rsidRPr="001922A7" w:rsidRDefault="001F6295" w:rsidP="00296D23">
      <w:pPr>
        <w:pStyle w:val="ECHRTitleCentre3"/>
        <w:rPr>
          <w:rFonts w:eastAsia="Times New Roman"/>
          <w:lang w:val="en-GB" w:eastAsia="fr-FR"/>
        </w:rPr>
      </w:pPr>
      <w:r>
        <w:rPr>
          <w:rFonts w:eastAsia="Times New Roman"/>
          <w:lang w:val="en-GB" w:eastAsia="fr-FR"/>
        </w:rPr>
        <w:t xml:space="preserve">Article </w:t>
      </w:r>
      <w:r w:rsidR="00B83FFA" w:rsidRPr="001922A7">
        <w:rPr>
          <w:rFonts w:eastAsia="Times New Roman"/>
          <w:lang w:val="en-GB" w:eastAsia="fr-FR"/>
        </w:rPr>
        <w:t>356.</w:t>
      </w:r>
      <w:r w:rsidR="00B83FFA" w:rsidRPr="001922A7">
        <w:rPr>
          <w:rFonts w:eastAsia="Times New Roman"/>
          <w:szCs w:val="24"/>
          <w:lang w:val="en-GB" w:eastAsia="fr-FR"/>
        </w:rPr>
        <w:t xml:space="preserve"> </w:t>
      </w:r>
      <w:r w:rsidR="00B83FFA" w:rsidRPr="001922A7">
        <w:rPr>
          <w:rFonts w:eastAsia="Times New Roman"/>
          <w:lang w:val="en-GB" w:eastAsia="fr-FR"/>
        </w:rPr>
        <w:t>Admissibility of an appeal in the light of exceptional circumstances</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 xml:space="preserve">“1.  The question of admissibility of an appeal in the light of exceptional circumstances </w:t>
      </w:r>
      <w:r w:rsidR="00E3356A">
        <w:rPr>
          <w:rFonts w:eastAsia="Times New Roman"/>
          <w:lang w:val="en-GB" w:eastAsia="fr-FR"/>
        </w:rPr>
        <w:t>...</w:t>
      </w:r>
      <w:r w:rsidRPr="001922A7">
        <w:rPr>
          <w:rFonts w:eastAsia="Times New Roman"/>
          <w:lang w:val="en-GB" w:eastAsia="fr-FR"/>
        </w:rPr>
        <w:t xml:space="preserve"> </w:t>
      </w:r>
      <w:r w:rsidR="004D1F85">
        <w:rPr>
          <w:rFonts w:eastAsia="Times New Roman"/>
          <w:lang w:val="en-GB" w:eastAsia="fr-FR"/>
        </w:rPr>
        <w:t>is</w:t>
      </w:r>
      <w:r w:rsidR="00365869">
        <w:rPr>
          <w:rFonts w:eastAsia="Times New Roman"/>
          <w:lang w:val="en-GB" w:eastAsia="fr-FR"/>
        </w:rPr>
        <w:t xml:space="preserve"> to be</w:t>
      </w:r>
      <w:r w:rsidRPr="001922A7">
        <w:rPr>
          <w:rFonts w:eastAsia="Times New Roman"/>
          <w:lang w:val="en-GB" w:eastAsia="fr-FR"/>
        </w:rPr>
        <w:t xml:space="preserve"> decided </w:t>
      </w:r>
      <w:r w:rsidRPr="008B71E4">
        <w:rPr>
          <w:rFonts w:eastAsia="Times New Roman"/>
          <w:lang w:val="en-GB" w:eastAsia="fr-FR"/>
        </w:rPr>
        <w:t>in chambers</w:t>
      </w:r>
      <w:r w:rsidRPr="001922A7">
        <w:rPr>
          <w:rFonts w:eastAsia="Times New Roman"/>
          <w:lang w:val="en-GB" w:eastAsia="fr-FR"/>
        </w:rPr>
        <w:t xml:space="preserve"> by a panel of seven judges</w:t>
      </w:r>
      <w:r w:rsidR="00E464C3">
        <w:rPr>
          <w:rFonts w:eastAsia="Times New Roman"/>
          <w:lang w:val="en-GB" w:eastAsia="fr-FR"/>
        </w:rPr>
        <w:t xml:space="preserve"> </w:t>
      </w:r>
      <w:r w:rsidR="00E3356A">
        <w:rPr>
          <w:rFonts w:eastAsia="Times New Roman"/>
          <w:lang w:val="en-GB" w:eastAsia="fr-FR"/>
        </w:rPr>
        <w:t>...</w:t>
      </w:r>
    </w:p>
    <w:p w:rsidR="001B4C2E" w:rsidRDefault="00B83FFA" w:rsidP="00296D23">
      <w:pPr>
        <w:pStyle w:val="ECHRParaQuote"/>
        <w:rPr>
          <w:rFonts w:eastAsia="Times New Roman"/>
          <w:lang w:val="en-GB" w:eastAsia="fr-FR"/>
        </w:rPr>
      </w:pPr>
      <w:r w:rsidRPr="001922A7">
        <w:rPr>
          <w:rFonts w:eastAsia="Times New Roman"/>
          <w:lang w:val="en-GB" w:eastAsia="fr-FR"/>
        </w:rPr>
        <w:lastRenderedPageBreak/>
        <w:t xml:space="preserve">2.  An appeal </w:t>
      </w:r>
      <w:r w:rsidR="004D1F85">
        <w:rPr>
          <w:rFonts w:eastAsia="Times New Roman"/>
          <w:lang w:val="en-GB" w:eastAsia="fr-FR"/>
        </w:rPr>
        <w:t>is</w:t>
      </w:r>
      <w:r w:rsidR="00365869">
        <w:rPr>
          <w:rFonts w:eastAsia="Times New Roman"/>
          <w:lang w:val="en-GB" w:eastAsia="fr-FR"/>
        </w:rPr>
        <w:t xml:space="preserve"> to be</w:t>
      </w:r>
      <w:r w:rsidRPr="001922A7">
        <w:rPr>
          <w:rFonts w:eastAsia="Times New Roman"/>
          <w:lang w:val="en-GB" w:eastAsia="fr-FR"/>
        </w:rPr>
        <w:t xml:space="preserve"> declared admissible </w:t>
      </w:r>
      <w:r w:rsidR="00E3356A">
        <w:rPr>
          <w:rFonts w:eastAsia="Times New Roman"/>
          <w:lang w:val="en-GB" w:eastAsia="fr-FR"/>
        </w:rPr>
        <w:t>...</w:t>
      </w:r>
      <w:r w:rsidRPr="001922A7">
        <w:rPr>
          <w:rFonts w:eastAsia="Times New Roman"/>
          <w:lang w:val="en-GB" w:eastAsia="fr-FR"/>
        </w:rPr>
        <w:t xml:space="preserve"> if at least three judges decide so</w:t>
      </w:r>
      <w:r w:rsidR="00E464C3">
        <w:rPr>
          <w:rFonts w:eastAsia="Times New Roman"/>
          <w:lang w:val="en-GB" w:eastAsia="fr-FR"/>
        </w:rPr>
        <w:t xml:space="preserve"> </w:t>
      </w:r>
      <w:r w:rsidR="00E3356A">
        <w:rPr>
          <w:rFonts w:eastAsia="Times New Roman"/>
          <w:lang w:val="en-GB" w:eastAsia="fr-FR"/>
        </w:rPr>
        <w:t>...</w:t>
      </w:r>
    </w:p>
    <w:p w:rsidR="001B4C2E" w:rsidRDefault="00B83FFA" w:rsidP="00296D23">
      <w:pPr>
        <w:pStyle w:val="ECHRParaQuote"/>
        <w:rPr>
          <w:rFonts w:eastAsia="Times New Roman"/>
          <w:lang w:val="en-GB" w:eastAsia="fr-FR"/>
        </w:rPr>
      </w:pPr>
      <w:r w:rsidRPr="001922A7">
        <w:rPr>
          <w:rFonts w:eastAsia="Times New Roman"/>
          <w:lang w:val="en-GB" w:eastAsia="fr-FR"/>
        </w:rPr>
        <w:t xml:space="preserve">3.  The decision concerning the admissibility of an appeal </w:t>
      </w:r>
      <w:r w:rsidR="00E3356A">
        <w:rPr>
          <w:rFonts w:eastAsia="Times New Roman"/>
          <w:lang w:val="en-GB" w:eastAsia="fr-FR"/>
        </w:rPr>
        <w:t>...</w:t>
      </w:r>
      <w:r w:rsidRPr="001922A7">
        <w:rPr>
          <w:rFonts w:eastAsia="Times New Roman"/>
          <w:lang w:val="en-GB" w:eastAsia="fr-FR"/>
        </w:rPr>
        <w:t xml:space="preserve"> cannot be appealed against</w:t>
      </w:r>
      <w:r w:rsidR="00E464C3">
        <w:rPr>
          <w:rFonts w:eastAsia="Times New Roman"/>
          <w:lang w:val="en-GB" w:eastAsia="fr-FR"/>
        </w:rPr>
        <w:t xml:space="preserve"> </w:t>
      </w:r>
      <w:r w:rsidR="00E3356A">
        <w:rPr>
          <w:rFonts w:eastAsia="Times New Roman"/>
          <w:lang w:val="en-GB" w:eastAsia="fr-FR"/>
        </w:rPr>
        <w:t>...</w:t>
      </w:r>
    </w:p>
    <w:p w:rsidR="001B4C2E" w:rsidRDefault="00B83FFA" w:rsidP="00296D23">
      <w:pPr>
        <w:pStyle w:val="ECHRParaQuote"/>
        <w:rPr>
          <w:rFonts w:eastAsia="Times New Roman"/>
          <w:lang w:val="en-GB" w:eastAsia="fr-FR"/>
        </w:rPr>
      </w:pPr>
      <w:r w:rsidRPr="001922A7">
        <w:rPr>
          <w:rFonts w:eastAsia="Times New Roman"/>
          <w:lang w:val="en-GB" w:eastAsia="fr-FR"/>
        </w:rPr>
        <w:t xml:space="preserve">4.  A copy of the decision declaring an appeal admissible </w:t>
      </w:r>
      <w:r w:rsidR="00E3356A">
        <w:rPr>
          <w:rFonts w:eastAsia="Times New Roman"/>
          <w:lang w:val="en-GB" w:eastAsia="fr-FR"/>
        </w:rPr>
        <w:t>...</w:t>
      </w:r>
      <w:r w:rsidRPr="001922A7">
        <w:rPr>
          <w:rFonts w:eastAsia="Times New Roman"/>
          <w:lang w:val="en-GB" w:eastAsia="fr-FR"/>
        </w:rPr>
        <w:t xml:space="preserve"> </w:t>
      </w:r>
      <w:r w:rsidR="004D1F85">
        <w:rPr>
          <w:rFonts w:eastAsia="Times New Roman"/>
          <w:lang w:val="en-GB" w:eastAsia="fr-FR"/>
        </w:rPr>
        <w:t>is</w:t>
      </w:r>
      <w:r w:rsidRPr="001922A7">
        <w:rPr>
          <w:rFonts w:eastAsia="Times New Roman"/>
          <w:lang w:val="en-GB" w:eastAsia="fr-FR"/>
        </w:rPr>
        <w:t xml:space="preserve"> </w:t>
      </w:r>
      <w:r w:rsidR="00365869">
        <w:rPr>
          <w:rFonts w:eastAsia="Times New Roman"/>
          <w:lang w:val="en-GB" w:eastAsia="fr-FR"/>
        </w:rPr>
        <w:t xml:space="preserve">to be </w:t>
      </w:r>
      <w:r w:rsidRPr="001922A7">
        <w:rPr>
          <w:rFonts w:eastAsia="Times New Roman"/>
          <w:lang w:val="en-GB" w:eastAsia="fr-FR"/>
        </w:rPr>
        <w:t>sent to the parties</w:t>
      </w:r>
      <w:r w:rsidR="00E464C3">
        <w:rPr>
          <w:rFonts w:eastAsia="Times New Roman"/>
          <w:lang w:val="en-GB" w:eastAsia="fr-FR"/>
        </w:rPr>
        <w:t xml:space="preserve"> </w:t>
      </w:r>
      <w:r w:rsidR="00E3356A">
        <w:rPr>
          <w:rFonts w:eastAsia="Times New Roman"/>
          <w:lang w:val="en-GB" w:eastAsia="fr-FR"/>
        </w:rPr>
        <w:t>...</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 xml:space="preserve">5.  If an appeal has been declared admissible </w:t>
      </w:r>
      <w:r w:rsidR="00E3356A">
        <w:rPr>
          <w:rFonts w:eastAsia="Times New Roman"/>
          <w:lang w:val="en-GB" w:eastAsia="fr-FR"/>
        </w:rPr>
        <w:t>...</w:t>
      </w:r>
      <w:r w:rsidRPr="001922A7">
        <w:rPr>
          <w:rFonts w:eastAsia="Times New Roman"/>
          <w:lang w:val="en-GB" w:eastAsia="fr-FR"/>
        </w:rPr>
        <w:t xml:space="preserve"> the court may suspend the execution of the relevant decisions.</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 xml:space="preserve">6.  The rules set out in paragraphs 1 to 4 of this article </w:t>
      </w:r>
      <w:r w:rsidR="004D1F85">
        <w:rPr>
          <w:rFonts w:eastAsia="Times New Roman"/>
          <w:lang w:val="en-GB" w:eastAsia="fr-FR"/>
        </w:rPr>
        <w:t>are</w:t>
      </w:r>
      <w:r w:rsidR="004D1F85" w:rsidRPr="001922A7">
        <w:rPr>
          <w:rFonts w:eastAsia="Times New Roman"/>
          <w:lang w:val="en-GB" w:eastAsia="fr-FR"/>
        </w:rPr>
        <w:t xml:space="preserve"> </w:t>
      </w:r>
      <w:r w:rsidRPr="001922A7">
        <w:rPr>
          <w:rFonts w:eastAsia="Times New Roman"/>
          <w:lang w:val="en-GB" w:eastAsia="fr-FR"/>
        </w:rPr>
        <w:t>not applicable to an appeal lodged on the ground provided for in paragraph 2 of Article 354 of this Code.”</w:t>
      </w:r>
    </w:p>
    <w:p w:rsidR="00B83FFA" w:rsidRPr="001922A7" w:rsidRDefault="001F6295" w:rsidP="00296D23">
      <w:pPr>
        <w:pStyle w:val="ECHRTitleCentre3"/>
        <w:rPr>
          <w:rFonts w:eastAsia="Times New Roman"/>
          <w:lang w:val="en-GB" w:eastAsia="fr-FR"/>
        </w:rPr>
      </w:pPr>
      <w:r>
        <w:rPr>
          <w:rFonts w:eastAsia="Times New Roman"/>
          <w:lang w:val="en-GB" w:eastAsia="fr-FR"/>
        </w:rPr>
        <w:t xml:space="preserve">Article </w:t>
      </w:r>
      <w:r w:rsidR="00B83FFA" w:rsidRPr="001922A7">
        <w:rPr>
          <w:rFonts w:eastAsia="Times New Roman"/>
          <w:lang w:val="en-GB" w:eastAsia="fr-FR"/>
        </w:rPr>
        <w:t>357.</w:t>
      </w:r>
      <w:r w:rsidR="00B83FFA" w:rsidRPr="001922A7">
        <w:rPr>
          <w:rFonts w:eastAsia="Times New Roman"/>
          <w:szCs w:val="24"/>
          <w:lang w:val="en-GB" w:eastAsia="fr-FR"/>
        </w:rPr>
        <w:t xml:space="preserve"> </w:t>
      </w:r>
      <w:r w:rsidR="00B83FFA" w:rsidRPr="001922A7">
        <w:rPr>
          <w:rFonts w:eastAsia="Times New Roman"/>
          <w:lang w:val="en-GB" w:eastAsia="fr-FR"/>
        </w:rPr>
        <w:t>Procedure for examination in the light of exceptional circumstances</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“1.  Examination of a case in the light of exceptional circumstances is a kind of cassation procedure</w:t>
      </w:r>
      <w:r w:rsidR="001900EB">
        <w:rPr>
          <w:rFonts w:eastAsia="Times New Roman"/>
          <w:lang w:val="en-GB" w:eastAsia="fr-FR"/>
        </w:rPr>
        <w:t xml:space="preserve"> (</w:t>
      </w:r>
      <w:r w:rsidR="001900EB" w:rsidRPr="00E3356A">
        <w:rPr>
          <w:rFonts w:eastAsia="Times New Roman"/>
          <w:i/>
          <w:lang w:val="en-GB" w:eastAsia="fr-FR"/>
        </w:rPr>
        <w:t>різновидом касаційного провадження</w:t>
      </w:r>
      <w:r w:rsidR="001900EB">
        <w:rPr>
          <w:rFonts w:eastAsia="Times New Roman"/>
          <w:lang w:val="en-GB" w:eastAsia="fr-FR"/>
        </w:rPr>
        <w:t>)</w:t>
      </w:r>
      <w:r w:rsidRPr="001922A7">
        <w:rPr>
          <w:rFonts w:eastAsia="Times New Roman"/>
          <w:lang w:val="en-GB" w:eastAsia="fr-FR"/>
        </w:rPr>
        <w:t>.</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 xml:space="preserve">2.  The case </w:t>
      </w:r>
      <w:r w:rsidR="004D1F85">
        <w:rPr>
          <w:rFonts w:eastAsia="Times New Roman"/>
          <w:lang w:val="en-GB" w:eastAsia="fr-FR"/>
        </w:rPr>
        <w:t>is</w:t>
      </w:r>
      <w:r w:rsidRPr="001922A7">
        <w:rPr>
          <w:rFonts w:eastAsia="Times New Roman"/>
          <w:lang w:val="en-GB" w:eastAsia="fr-FR"/>
        </w:rPr>
        <w:t xml:space="preserve"> </w:t>
      </w:r>
      <w:r w:rsidR="00365869">
        <w:rPr>
          <w:rFonts w:eastAsia="Times New Roman"/>
          <w:lang w:val="en-GB" w:eastAsia="fr-FR"/>
        </w:rPr>
        <w:t xml:space="preserve">to be </w:t>
      </w:r>
      <w:r w:rsidRPr="001922A7">
        <w:rPr>
          <w:rFonts w:eastAsia="Times New Roman"/>
          <w:lang w:val="en-GB" w:eastAsia="fr-FR"/>
        </w:rPr>
        <w:t>heard by a panel of judges representing at least two-thirds of the members of the Civil Division of the Supreme Court of Ukraine</w:t>
      </w:r>
      <w:r w:rsidR="00E464C3">
        <w:rPr>
          <w:rFonts w:eastAsia="Times New Roman"/>
          <w:lang w:val="en-GB" w:eastAsia="fr-FR"/>
        </w:rPr>
        <w:t xml:space="preserve"> </w:t>
      </w:r>
      <w:r w:rsidRPr="001922A7">
        <w:rPr>
          <w:rFonts w:eastAsia="Times New Roman"/>
          <w:lang w:val="en-GB" w:eastAsia="fr-FR"/>
        </w:rPr>
        <w:t>...</w:t>
      </w:r>
    </w:p>
    <w:p w:rsidR="00B83FFA" w:rsidRPr="001922A7" w:rsidRDefault="00E3356A" w:rsidP="00296D23">
      <w:pPr>
        <w:pStyle w:val="ECHRParaQuote"/>
        <w:rPr>
          <w:rFonts w:eastAsia="Times New Roman"/>
          <w:lang w:val="en-GB" w:eastAsia="fr-FR"/>
        </w:rPr>
      </w:pPr>
      <w:r>
        <w:rPr>
          <w:rFonts w:eastAsia="Times New Roman"/>
          <w:lang w:val="en-GB" w:eastAsia="fr-FR"/>
        </w:rPr>
        <w:t>...</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 xml:space="preserve">4.  Examination of the case in the light of exceptional circumstances </w:t>
      </w:r>
      <w:r w:rsidR="004D1F85">
        <w:rPr>
          <w:rFonts w:eastAsia="Times New Roman"/>
          <w:lang w:val="en-GB" w:eastAsia="fr-FR"/>
        </w:rPr>
        <w:t>is</w:t>
      </w:r>
      <w:r w:rsidRPr="001922A7">
        <w:rPr>
          <w:rFonts w:eastAsia="Times New Roman"/>
          <w:lang w:val="en-GB" w:eastAsia="fr-FR"/>
        </w:rPr>
        <w:t xml:space="preserve"> </w:t>
      </w:r>
      <w:r w:rsidR="00365869">
        <w:rPr>
          <w:rFonts w:eastAsia="Times New Roman"/>
          <w:lang w:val="en-GB" w:eastAsia="fr-FR"/>
        </w:rPr>
        <w:t xml:space="preserve">to be </w:t>
      </w:r>
      <w:r w:rsidRPr="001922A7">
        <w:rPr>
          <w:rFonts w:eastAsia="Times New Roman"/>
          <w:lang w:val="en-GB" w:eastAsia="fr-FR"/>
        </w:rPr>
        <w:t>carried out under the rules applicable to cassation proceedings.”</w:t>
      </w:r>
    </w:p>
    <w:p w:rsidR="00B83FFA" w:rsidRPr="001922A7" w:rsidRDefault="00296D23" w:rsidP="00296D23">
      <w:pPr>
        <w:pStyle w:val="ECHRTitleCentre3"/>
        <w:rPr>
          <w:rFonts w:eastAsia="Times New Roman"/>
          <w:lang w:val="en-GB" w:eastAsia="fr-FR"/>
        </w:rPr>
      </w:pPr>
      <w:r>
        <w:rPr>
          <w:rFonts w:eastAsia="Times New Roman"/>
          <w:lang w:val="en-GB" w:eastAsia="fr-FR"/>
        </w:rPr>
        <w:t xml:space="preserve">Article </w:t>
      </w:r>
      <w:r w:rsidR="00B83FFA" w:rsidRPr="001922A7">
        <w:rPr>
          <w:rFonts w:eastAsia="Times New Roman"/>
          <w:lang w:val="en-GB" w:eastAsia="fr-FR"/>
        </w:rPr>
        <w:t>358.</w:t>
      </w:r>
      <w:r w:rsidR="00B83FFA" w:rsidRPr="001922A7">
        <w:rPr>
          <w:rFonts w:eastAsia="Times New Roman"/>
          <w:szCs w:val="24"/>
          <w:lang w:val="en-GB" w:eastAsia="fr-FR"/>
        </w:rPr>
        <w:t xml:space="preserve"> </w:t>
      </w:r>
      <w:r w:rsidR="00B83FFA" w:rsidRPr="001922A7">
        <w:rPr>
          <w:rFonts w:eastAsia="Times New Roman"/>
          <w:lang w:val="en-GB" w:eastAsia="fr-FR"/>
        </w:rPr>
        <w:t>The powers of the Supreme Court of Ukraine when examining cases in the light of exceptional circumstances</w:t>
      </w:r>
    </w:p>
    <w:p w:rsidR="00B83FFA" w:rsidRPr="00296D23" w:rsidRDefault="00B83FFA" w:rsidP="00296D23">
      <w:pPr>
        <w:pStyle w:val="ECHRParaQuote"/>
        <w:rPr>
          <w:rFonts w:eastAsia="Times New Roman"/>
          <w:lang w:val="en-GB" w:eastAsia="fr-FR"/>
        </w:rPr>
      </w:pPr>
      <w:r w:rsidRPr="00296D23">
        <w:rPr>
          <w:rFonts w:eastAsia="Times New Roman"/>
          <w:lang w:val="en-GB" w:eastAsia="fr-FR"/>
        </w:rPr>
        <w:t xml:space="preserve">“1.  When examining a case in the light of exceptional circumstances the Supreme Court of Ukraine </w:t>
      </w:r>
      <w:r w:rsidR="004D1F85" w:rsidRPr="00296D23">
        <w:rPr>
          <w:rFonts w:eastAsia="Times New Roman"/>
          <w:lang w:val="en-GB" w:eastAsia="fr-FR"/>
        </w:rPr>
        <w:t>has</w:t>
      </w:r>
      <w:r w:rsidRPr="00296D23">
        <w:rPr>
          <w:rFonts w:eastAsia="Times New Roman"/>
          <w:lang w:val="en-GB" w:eastAsia="fr-FR"/>
        </w:rPr>
        <w:t xml:space="preserve"> the power:</w:t>
      </w:r>
    </w:p>
    <w:p w:rsidR="00B83FFA" w:rsidRPr="00296D23" w:rsidRDefault="00B83FFA" w:rsidP="00296D23">
      <w:pPr>
        <w:pStyle w:val="ECHRParaQuote"/>
        <w:rPr>
          <w:rFonts w:eastAsia="Times New Roman"/>
          <w:lang w:val="en-GB" w:eastAsia="fr-FR"/>
        </w:rPr>
      </w:pPr>
      <w:r w:rsidRPr="00296D23">
        <w:rPr>
          <w:rFonts w:eastAsia="Times New Roman"/>
          <w:lang w:val="en-GB" w:eastAsia="fr-FR"/>
        </w:rPr>
        <w:t>(1) </w:t>
      </w:r>
      <w:r w:rsidR="001F6295" w:rsidRPr="00296D23">
        <w:rPr>
          <w:rFonts w:eastAsia="Times New Roman"/>
          <w:lang w:val="en-GB" w:eastAsia="fr-FR"/>
        </w:rPr>
        <w:t> </w:t>
      </w:r>
      <w:r w:rsidRPr="00296D23">
        <w:rPr>
          <w:rFonts w:eastAsia="Times New Roman"/>
          <w:lang w:val="en-GB" w:eastAsia="fr-FR"/>
        </w:rPr>
        <w:t xml:space="preserve">to dismiss an appeal and to leave a decision </w:t>
      </w:r>
      <w:r w:rsidR="00283A06" w:rsidRPr="00296D23">
        <w:rPr>
          <w:rFonts w:eastAsia="Times New Roman"/>
          <w:lang w:val="en-GB" w:eastAsia="fr-FR"/>
        </w:rPr>
        <w:t>un</w:t>
      </w:r>
      <w:r w:rsidRPr="00296D23">
        <w:rPr>
          <w:rFonts w:eastAsia="Times New Roman"/>
          <w:lang w:val="en-GB" w:eastAsia="fr-FR"/>
        </w:rPr>
        <w:t>change</w:t>
      </w:r>
      <w:r w:rsidR="00283A06" w:rsidRPr="00296D23">
        <w:rPr>
          <w:rFonts w:eastAsia="Times New Roman"/>
          <w:lang w:val="en-GB" w:eastAsia="fr-FR"/>
        </w:rPr>
        <w:t xml:space="preserve">d </w:t>
      </w:r>
      <w:r w:rsidRPr="00296D23">
        <w:rPr>
          <w:rFonts w:eastAsia="Times New Roman"/>
          <w:lang w:val="en-GB" w:eastAsia="fr-FR"/>
        </w:rPr>
        <w:t>...</w:t>
      </w:r>
    </w:p>
    <w:p w:rsidR="00B83FFA" w:rsidRPr="00296D23" w:rsidRDefault="00B83FFA" w:rsidP="00296D23">
      <w:pPr>
        <w:pStyle w:val="ECHRParaQuote"/>
        <w:rPr>
          <w:rFonts w:eastAsia="Times New Roman"/>
          <w:lang w:val="en-GB" w:eastAsia="fr-FR"/>
        </w:rPr>
      </w:pPr>
      <w:r w:rsidRPr="00296D23">
        <w:rPr>
          <w:rFonts w:eastAsia="Times New Roman"/>
          <w:lang w:val="en-GB" w:eastAsia="fr-FR"/>
        </w:rPr>
        <w:t>(2) </w:t>
      </w:r>
      <w:r w:rsidR="001F6295" w:rsidRPr="00296D23">
        <w:rPr>
          <w:rFonts w:eastAsia="Times New Roman"/>
          <w:lang w:val="en-GB" w:eastAsia="fr-FR"/>
        </w:rPr>
        <w:t> </w:t>
      </w:r>
      <w:r w:rsidRPr="00296D23">
        <w:rPr>
          <w:rFonts w:eastAsia="Times New Roman"/>
          <w:lang w:val="en-GB" w:eastAsia="fr-FR"/>
        </w:rPr>
        <w:t>to quash, in full or in part, a judicial decision and to remit the case for fresh consideration to the court of first instance, the court of appeal or the court of cassation</w:t>
      </w:r>
      <w:r w:rsidR="001B4C2E" w:rsidRPr="00296D23">
        <w:rPr>
          <w:rFonts w:eastAsia="Times New Roman"/>
          <w:lang w:val="en-GB" w:eastAsia="fr-FR"/>
        </w:rPr>
        <w:t xml:space="preserve"> </w:t>
      </w:r>
      <w:r w:rsidRPr="00296D23">
        <w:rPr>
          <w:rFonts w:eastAsia="Times New Roman"/>
          <w:lang w:val="en-GB" w:eastAsia="fr-FR"/>
        </w:rPr>
        <w:t>...</w:t>
      </w:r>
    </w:p>
    <w:p w:rsidR="00B83FFA" w:rsidRPr="00296D23" w:rsidRDefault="00B83FFA" w:rsidP="00296D23">
      <w:pPr>
        <w:pStyle w:val="ECHRParaQuote"/>
        <w:rPr>
          <w:rFonts w:eastAsia="Times New Roman"/>
          <w:lang w:val="en-GB" w:eastAsia="fr-FR"/>
        </w:rPr>
      </w:pPr>
      <w:r w:rsidRPr="00296D23">
        <w:rPr>
          <w:rFonts w:eastAsia="Times New Roman"/>
          <w:lang w:val="en-GB" w:eastAsia="fr-FR"/>
        </w:rPr>
        <w:t>(3) </w:t>
      </w:r>
      <w:r w:rsidR="001F6295" w:rsidRPr="00296D23">
        <w:rPr>
          <w:rFonts w:eastAsia="Times New Roman"/>
          <w:lang w:val="en-GB" w:eastAsia="fr-FR"/>
        </w:rPr>
        <w:t> </w:t>
      </w:r>
      <w:r w:rsidRPr="00296D23">
        <w:rPr>
          <w:rFonts w:eastAsia="Times New Roman"/>
          <w:lang w:val="en-GB" w:eastAsia="fr-FR"/>
        </w:rPr>
        <w:t>to quash a decision of the court of appeal or of the court of cassation and to uphold a decision which was wrongly quashed</w:t>
      </w:r>
      <w:r w:rsidR="00E464C3" w:rsidRPr="00296D23">
        <w:rPr>
          <w:rFonts w:eastAsia="Times New Roman"/>
          <w:lang w:val="en-GB" w:eastAsia="fr-FR"/>
        </w:rPr>
        <w:t xml:space="preserve"> </w:t>
      </w:r>
      <w:r w:rsidRPr="00296D23">
        <w:rPr>
          <w:rFonts w:eastAsia="Times New Roman"/>
          <w:lang w:val="en-GB" w:eastAsia="fr-FR"/>
        </w:rPr>
        <w:t>...</w:t>
      </w:r>
    </w:p>
    <w:p w:rsidR="00B83FFA" w:rsidRPr="00296D23" w:rsidRDefault="00B83FFA" w:rsidP="00296D23">
      <w:pPr>
        <w:pStyle w:val="ECHRParaQuote"/>
        <w:rPr>
          <w:rFonts w:eastAsia="Times New Roman"/>
          <w:lang w:val="en-GB" w:eastAsia="fr-FR"/>
        </w:rPr>
      </w:pPr>
      <w:r w:rsidRPr="00296D23">
        <w:rPr>
          <w:rFonts w:eastAsia="Times New Roman"/>
          <w:lang w:val="en-GB" w:eastAsia="fr-FR"/>
        </w:rPr>
        <w:t>(4) </w:t>
      </w:r>
      <w:r w:rsidR="001F6295" w:rsidRPr="00296D23">
        <w:rPr>
          <w:rFonts w:eastAsia="Times New Roman"/>
          <w:lang w:val="en-GB" w:eastAsia="fr-FR"/>
        </w:rPr>
        <w:t> </w:t>
      </w:r>
      <w:r w:rsidRPr="00296D23">
        <w:rPr>
          <w:rFonts w:eastAsia="Times New Roman"/>
          <w:lang w:val="en-GB" w:eastAsia="fr-FR"/>
        </w:rPr>
        <w:t>to quash the decisions in the case and to discontinue the proceedings</w:t>
      </w:r>
      <w:r w:rsidR="00E464C3" w:rsidRPr="00296D23">
        <w:rPr>
          <w:rFonts w:eastAsia="Times New Roman"/>
          <w:lang w:val="en-GB" w:eastAsia="fr-FR"/>
        </w:rPr>
        <w:t xml:space="preserve"> </w:t>
      </w:r>
      <w:r w:rsidRPr="00296D23">
        <w:rPr>
          <w:rFonts w:eastAsia="Times New Roman"/>
          <w:lang w:val="en-GB" w:eastAsia="fr-FR"/>
        </w:rPr>
        <w:t>...</w:t>
      </w:r>
    </w:p>
    <w:p w:rsidR="00B83FFA" w:rsidRPr="00C264C5" w:rsidRDefault="00B83FFA" w:rsidP="00C264C5">
      <w:pPr>
        <w:pStyle w:val="ECHRParaQuote"/>
      </w:pPr>
      <w:r w:rsidRPr="00296D23">
        <w:rPr>
          <w:rFonts w:eastAsia="Times New Roman"/>
          <w:lang w:val="en-GB" w:eastAsia="fr-FR"/>
        </w:rPr>
        <w:t>(5)</w:t>
      </w:r>
      <w:r w:rsidR="001F6295" w:rsidRPr="00296D23">
        <w:rPr>
          <w:rFonts w:eastAsia="Times New Roman"/>
          <w:lang w:val="en-GB" w:eastAsia="fr-FR"/>
        </w:rPr>
        <w:t> </w:t>
      </w:r>
      <w:r w:rsidRPr="00296D23">
        <w:rPr>
          <w:rFonts w:eastAsia="Times New Roman"/>
          <w:lang w:val="en-GB" w:eastAsia="fr-FR"/>
        </w:rPr>
        <w:t> to amend a decision or to adopt a new decision on the merits of the case</w:t>
      </w:r>
      <w:r w:rsidR="00E464C3" w:rsidRPr="00296D23">
        <w:rPr>
          <w:rFonts w:eastAsia="Times New Roman"/>
          <w:lang w:val="en-GB" w:eastAsia="fr-FR"/>
        </w:rPr>
        <w:t xml:space="preserve"> </w:t>
      </w:r>
      <w:r w:rsidRPr="00296D23">
        <w:rPr>
          <w:rFonts w:eastAsia="Times New Roman"/>
          <w:lang w:val="en-GB" w:eastAsia="fr-FR"/>
        </w:rPr>
        <w:t>...”</w:t>
      </w:r>
    </w:p>
    <w:p w:rsidR="00B83FFA" w:rsidRPr="00296D23" w:rsidRDefault="001F6295" w:rsidP="00C264C5">
      <w:pPr>
        <w:pStyle w:val="ECHRTitleCentre3"/>
        <w:rPr>
          <w:rFonts w:eastAsia="Times New Roman"/>
          <w:lang w:val="en-GB" w:eastAsia="fr-FR"/>
        </w:rPr>
      </w:pPr>
      <w:r w:rsidRPr="00296D23">
        <w:rPr>
          <w:rFonts w:eastAsia="Times New Roman"/>
          <w:lang w:val="en-GB" w:eastAsia="fr-FR"/>
        </w:rPr>
        <w:t xml:space="preserve">Article </w:t>
      </w:r>
      <w:r w:rsidR="00B83FFA" w:rsidRPr="00296D23">
        <w:rPr>
          <w:rFonts w:eastAsia="Times New Roman"/>
          <w:lang w:val="en-GB" w:eastAsia="fr-FR"/>
        </w:rPr>
        <w:t>360. The force of the Supreme Court</w:t>
      </w:r>
      <w:r w:rsidR="009912A8">
        <w:rPr>
          <w:rFonts w:eastAsia="Times New Roman"/>
          <w:lang w:val="en-GB" w:eastAsia="fr-FR"/>
        </w:rPr>
        <w:t>’</w:t>
      </w:r>
      <w:r w:rsidR="00B83FFA" w:rsidRPr="00296D23">
        <w:rPr>
          <w:rFonts w:eastAsia="Times New Roman"/>
          <w:lang w:val="en-GB" w:eastAsia="fr-FR"/>
        </w:rPr>
        <w:t>s decisions</w:t>
      </w:r>
    </w:p>
    <w:p w:rsidR="00B83FFA" w:rsidRPr="00296D23" w:rsidRDefault="00B83FFA" w:rsidP="00296D23">
      <w:pPr>
        <w:pStyle w:val="ECHRParaQuote"/>
        <w:rPr>
          <w:rFonts w:eastAsia="Times New Roman"/>
          <w:lang w:val="en-GB" w:eastAsia="fr-FR"/>
        </w:rPr>
      </w:pPr>
      <w:r w:rsidRPr="00296D23">
        <w:rPr>
          <w:rFonts w:eastAsia="Times New Roman"/>
          <w:lang w:val="en-GB" w:eastAsia="fr-FR"/>
        </w:rPr>
        <w:t>“1.  The decisions adopted by the Supreme Court of Ukraine in the light of exceptional circumstances have the force of law when delivered and cannot be appealed against.”</w:t>
      </w:r>
    </w:p>
    <w:p w:rsidR="00B83FFA" w:rsidRPr="001922A7" w:rsidRDefault="002C3F8E" w:rsidP="002C3F8E">
      <w:pPr>
        <w:pStyle w:val="ECHRHeading2"/>
        <w:rPr>
          <w:rFonts w:eastAsia="Times New Roman"/>
          <w:lang w:val="en-GB" w:eastAsia="fr-FR"/>
        </w:rPr>
      </w:pPr>
      <w:r w:rsidRPr="001922A7">
        <w:rPr>
          <w:rFonts w:eastAsia="Times New Roman"/>
          <w:lang w:val="en-GB" w:eastAsia="fr-FR"/>
        </w:rPr>
        <w:lastRenderedPageBreak/>
        <w:t>B</w:t>
      </w:r>
      <w:r w:rsidR="00B83FFA" w:rsidRPr="001922A7">
        <w:rPr>
          <w:rFonts w:eastAsia="Times New Roman"/>
          <w:lang w:val="en-GB" w:eastAsia="fr-FR"/>
        </w:rPr>
        <w:t>.  The Act on the Enforcement of Judgments and the Application of the Case-Law of the E</w:t>
      </w:r>
      <w:r w:rsidR="00B83FFA" w:rsidRPr="001922A7">
        <w:rPr>
          <w:rFonts w:eastAsia="Times New Roman"/>
          <w:color w:val="000000"/>
          <w:lang w:val="en-GB" w:eastAsia="fr-FR"/>
        </w:rPr>
        <w:t>uropean Court of Human Rights,</w:t>
      </w:r>
      <w:r w:rsidR="00B83FFA" w:rsidRPr="001922A7">
        <w:rPr>
          <w:rFonts w:eastAsia="Times New Roman"/>
          <w:lang w:val="en-GB" w:eastAsia="fr-FR"/>
        </w:rPr>
        <w:t xml:space="preserve"> </w:t>
      </w:r>
      <w:r w:rsidR="00E63D77">
        <w:rPr>
          <w:rFonts w:eastAsia="Times New Roman"/>
          <w:lang w:val="en-GB" w:eastAsia="fr-FR"/>
        </w:rPr>
        <w:t>2</w:t>
      </w:r>
      <w:r w:rsidR="00B83FFA" w:rsidRPr="001922A7">
        <w:rPr>
          <w:rFonts w:eastAsia="Times New Roman"/>
          <w:lang w:val="en-GB" w:eastAsia="fr-FR"/>
        </w:rPr>
        <w:t>3 February</w:t>
      </w:r>
      <w:r w:rsidR="00080C30">
        <w:rPr>
          <w:rFonts w:eastAsia="Times New Roman"/>
          <w:lang w:val="en-GB" w:eastAsia="fr-FR"/>
        </w:rPr>
        <w:t xml:space="preserve"> </w:t>
      </w:r>
      <w:r w:rsidR="00B83FFA" w:rsidRPr="001922A7">
        <w:rPr>
          <w:rFonts w:eastAsia="Times New Roman"/>
          <w:lang w:val="en-GB" w:eastAsia="fr-FR"/>
        </w:rPr>
        <w:t>2006</w:t>
      </w:r>
      <w:r w:rsidR="00E63D77">
        <w:rPr>
          <w:rStyle w:val="Odwoanieprzypisudolnego"/>
          <w:rFonts w:eastAsia="Times New Roman"/>
          <w:lang w:val="en-GB" w:eastAsia="fr-FR"/>
        </w:rPr>
        <w:footnoteReference w:id="1"/>
      </w:r>
    </w:p>
    <w:p w:rsidR="00B83FFA" w:rsidRPr="001922A7" w:rsidRDefault="00B83FFA"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25</w:t>
      </w:r>
      <w:r w:rsidRPr="001922A7">
        <w:rPr>
          <w:rFonts w:eastAsia="Times New Roman"/>
          <w:lang w:val="en-GB" w:eastAsia="fr-FR"/>
        </w:rPr>
        <w:fldChar w:fldCharType="end"/>
      </w:r>
      <w:r w:rsidRPr="001922A7">
        <w:rPr>
          <w:rFonts w:eastAsia="Times New Roman"/>
          <w:lang w:val="en-GB" w:eastAsia="fr-FR"/>
        </w:rPr>
        <w:t>.  The relevant parts of the Act, as worded at the material time, read as follows:</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“This Act regulates relations emanating from: the State</w:t>
      </w:r>
      <w:r w:rsidR="009912A8">
        <w:rPr>
          <w:rFonts w:eastAsia="Times New Roman"/>
          <w:lang w:val="en-GB" w:eastAsia="fr-FR"/>
        </w:rPr>
        <w:t>’</w:t>
      </w:r>
      <w:r w:rsidRPr="001922A7">
        <w:rPr>
          <w:rFonts w:eastAsia="Times New Roman"/>
          <w:lang w:val="en-GB" w:eastAsia="fr-FR"/>
        </w:rPr>
        <w:t>s obligation to enforce judgments of the European Court of Human Rights in cases against Ukraine; the necessity to eliminate the causes of a violation by Ukraine of the Convention for the Protection of Human Rights and Fundamental Freedoms and the Protocols thereto; the need to implement European human-rights standards in the legal and administrative practice of Ukraine; and the necessity to create conditions to reduce the number of applications against Ukraine before the European Court of Human Rights.”</w:t>
      </w:r>
    </w:p>
    <w:p w:rsidR="00B83FFA" w:rsidRPr="001922A7" w:rsidRDefault="00296D23" w:rsidP="00296D23">
      <w:pPr>
        <w:pStyle w:val="ECHRTitleCentre3"/>
        <w:rPr>
          <w:rFonts w:eastAsia="Times New Roman"/>
          <w:lang w:val="en-GB" w:eastAsia="fr-FR"/>
        </w:rPr>
      </w:pPr>
      <w:r>
        <w:rPr>
          <w:rFonts w:eastAsia="Times New Roman"/>
          <w:lang w:val="en-GB" w:eastAsia="fr-FR"/>
        </w:rPr>
        <w:t xml:space="preserve">Section </w:t>
      </w:r>
      <w:r w:rsidR="00B83FFA" w:rsidRPr="001922A7">
        <w:rPr>
          <w:rFonts w:eastAsia="Times New Roman"/>
          <w:lang w:val="en-GB" w:eastAsia="fr-FR"/>
        </w:rPr>
        <w:t>1.</w:t>
      </w:r>
      <w:r w:rsidR="00B83FFA" w:rsidRPr="001922A7">
        <w:rPr>
          <w:rFonts w:eastAsia="Times New Roman"/>
          <w:szCs w:val="24"/>
          <w:lang w:val="en-GB" w:eastAsia="fr-FR"/>
        </w:rPr>
        <w:t xml:space="preserve"> </w:t>
      </w:r>
      <w:r w:rsidR="00B83FFA" w:rsidRPr="001922A7">
        <w:rPr>
          <w:rFonts w:eastAsia="Times New Roman"/>
          <w:lang w:val="en-GB" w:eastAsia="fr-FR"/>
        </w:rPr>
        <w:t>Definitions</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 xml:space="preserve">“1.  For the purposes of this Act these terms </w:t>
      </w:r>
      <w:r w:rsidR="00C94EDB">
        <w:rPr>
          <w:rFonts w:eastAsia="Times New Roman"/>
          <w:lang w:val="en-GB" w:eastAsia="fr-FR"/>
        </w:rPr>
        <w:t>are</w:t>
      </w:r>
      <w:r w:rsidRPr="001922A7">
        <w:rPr>
          <w:rFonts w:eastAsia="Times New Roman"/>
          <w:lang w:val="en-GB" w:eastAsia="fr-FR"/>
        </w:rPr>
        <w:t xml:space="preserve"> used with the following meanings:</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w:t>
      </w:r>
    </w:p>
    <w:p w:rsidR="00B83FFA" w:rsidRPr="001922A7" w:rsidRDefault="00B83FFA" w:rsidP="00296D23">
      <w:pPr>
        <w:pStyle w:val="ECHRParaQuote"/>
        <w:rPr>
          <w:rFonts w:eastAsia="Times New Roman"/>
          <w:lang w:val="en-GB" w:eastAsia="fr-FR"/>
        </w:rPr>
      </w:pPr>
      <w:r w:rsidRPr="001922A7">
        <w:rPr>
          <w:rFonts w:eastAsia="Times New Roman"/>
          <w:i/>
          <w:lang w:val="en-GB" w:eastAsia="fr-FR"/>
        </w:rPr>
        <w:t>the Convention</w:t>
      </w:r>
      <w:r w:rsidRPr="001922A7">
        <w:rPr>
          <w:rFonts w:eastAsia="Times New Roman"/>
          <w:lang w:val="en-GB" w:eastAsia="fr-FR"/>
        </w:rPr>
        <w:t xml:space="preserve"> – the 1950 Convention </w:t>
      </w:r>
      <w:r w:rsidRPr="001922A7">
        <w:rPr>
          <w:rFonts w:eastAsia="Times New Roman"/>
          <w:color w:val="000000"/>
          <w:lang w:val="en-GB" w:eastAsia="fr-FR"/>
        </w:rPr>
        <w:t xml:space="preserve">for the Protection of Human Rights and Fundamental Freedoms and the Protocols thereto </w:t>
      </w:r>
      <w:r w:rsidRPr="001922A7">
        <w:rPr>
          <w:rFonts w:eastAsia="Times New Roman"/>
          <w:lang w:val="en-GB" w:eastAsia="fr-FR"/>
        </w:rPr>
        <w:t>agreed to be binding by [the Parliament] of Ukraine;</w:t>
      </w:r>
    </w:p>
    <w:p w:rsidR="00B83FFA" w:rsidRPr="001922A7" w:rsidRDefault="00B83FFA" w:rsidP="00296D23">
      <w:pPr>
        <w:pStyle w:val="ECHRParaQuote"/>
        <w:rPr>
          <w:rFonts w:eastAsia="Times New Roman"/>
          <w:color w:val="000000"/>
          <w:lang w:val="en-GB" w:eastAsia="fr-FR"/>
        </w:rPr>
      </w:pPr>
      <w:r w:rsidRPr="001922A7">
        <w:rPr>
          <w:rFonts w:eastAsia="Times New Roman"/>
          <w:i/>
          <w:lang w:val="en-GB" w:eastAsia="fr-FR"/>
        </w:rPr>
        <w:t>the Court</w:t>
      </w:r>
      <w:r w:rsidRPr="001922A7">
        <w:rPr>
          <w:rFonts w:eastAsia="Times New Roman"/>
          <w:lang w:val="en-GB" w:eastAsia="fr-FR"/>
        </w:rPr>
        <w:t xml:space="preserve"> – the </w:t>
      </w:r>
      <w:r w:rsidRPr="001922A7">
        <w:rPr>
          <w:rFonts w:eastAsia="Times New Roman"/>
          <w:color w:val="000000"/>
          <w:lang w:val="en-GB" w:eastAsia="fr-FR"/>
        </w:rPr>
        <w:t>European Court of Human Rights;</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w:t>
      </w:r>
    </w:p>
    <w:p w:rsidR="00B83FFA" w:rsidRPr="001922A7" w:rsidRDefault="00C94EDB" w:rsidP="00296D23">
      <w:pPr>
        <w:pStyle w:val="ECHRParaQuote"/>
        <w:rPr>
          <w:rFonts w:eastAsia="Times New Roman"/>
          <w:color w:val="000000"/>
          <w:lang w:val="en-GB" w:eastAsia="fr-FR"/>
        </w:rPr>
      </w:pPr>
      <w:r>
        <w:rPr>
          <w:rFonts w:eastAsia="Times New Roman"/>
          <w:i/>
          <w:lang w:val="en-GB" w:eastAsia="fr-FR"/>
        </w:rPr>
        <w:t>Beneficiary</w:t>
      </w:r>
      <w:r w:rsidR="00B83FFA" w:rsidRPr="001922A7">
        <w:rPr>
          <w:rFonts w:eastAsia="Times New Roman"/>
          <w:lang w:val="en-GB" w:eastAsia="fr-FR"/>
        </w:rPr>
        <w:t xml:space="preserve"> – (a) an applicant before the </w:t>
      </w:r>
      <w:r w:rsidR="00B83FFA" w:rsidRPr="001922A7">
        <w:rPr>
          <w:rFonts w:eastAsia="Times New Roman"/>
          <w:color w:val="000000"/>
          <w:lang w:val="en-GB" w:eastAsia="fr-FR"/>
        </w:rPr>
        <w:t xml:space="preserve">European Court of Human Rights in a case against Ukraine in whose favour the Court rendered its judgment or in whose case the </w:t>
      </w:r>
      <w:r w:rsidR="00B83FFA" w:rsidRPr="001922A7">
        <w:rPr>
          <w:rFonts w:eastAsia="Times New Roman"/>
          <w:lang w:val="en-GB" w:eastAsia="fr-FR"/>
        </w:rPr>
        <w:t>parties have reached a friendly settlement</w:t>
      </w:r>
      <w:r w:rsidR="00B83FFA" w:rsidRPr="001922A7">
        <w:rPr>
          <w:rFonts w:eastAsia="Times New Roman"/>
          <w:color w:val="000000"/>
          <w:lang w:val="en-GB" w:eastAsia="fr-FR"/>
        </w:rPr>
        <w:t>, or his representative, or his successor</w:t>
      </w:r>
      <w:r w:rsidR="00E464C3">
        <w:rPr>
          <w:rFonts w:eastAsia="Times New Roman"/>
          <w:color w:val="000000"/>
          <w:lang w:val="en-GB" w:eastAsia="fr-FR"/>
        </w:rPr>
        <w:t xml:space="preserve"> </w:t>
      </w:r>
      <w:r w:rsidR="00B83FFA" w:rsidRPr="001922A7">
        <w:rPr>
          <w:rFonts w:eastAsia="Times New Roman"/>
          <w:color w:val="000000"/>
          <w:lang w:val="en-GB" w:eastAsia="fr-FR"/>
        </w:rPr>
        <w:t>...</w:t>
      </w:r>
    </w:p>
    <w:p w:rsidR="00B83FFA" w:rsidRPr="001922A7" w:rsidRDefault="00B83FFA" w:rsidP="00296D23">
      <w:pPr>
        <w:pStyle w:val="ECHRParaQuote"/>
        <w:rPr>
          <w:rFonts w:eastAsia="Times New Roman"/>
          <w:lang w:val="en-GB" w:eastAsia="fr-FR"/>
        </w:rPr>
      </w:pPr>
      <w:r w:rsidRPr="001922A7">
        <w:rPr>
          <w:rFonts w:eastAsia="Times New Roman"/>
          <w:i/>
          <w:lang w:val="en-GB" w:eastAsia="fr-FR"/>
        </w:rPr>
        <w:t>Enforcement of [the Court</w:t>
      </w:r>
      <w:r w:rsidR="009912A8">
        <w:rPr>
          <w:rFonts w:eastAsia="Times New Roman"/>
          <w:i/>
          <w:lang w:val="en-GB" w:eastAsia="fr-FR"/>
        </w:rPr>
        <w:t>’</w:t>
      </w:r>
      <w:r w:rsidRPr="001922A7">
        <w:rPr>
          <w:rFonts w:eastAsia="Times New Roman"/>
          <w:i/>
          <w:lang w:val="en-GB" w:eastAsia="fr-FR"/>
        </w:rPr>
        <w:t>s] judgment</w:t>
      </w:r>
      <w:r w:rsidRPr="001922A7">
        <w:rPr>
          <w:rFonts w:eastAsia="Times New Roman"/>
          <w:lang w:val="en-GB" w:eastAsia="fr-FR"/>
        </w:rPr>
        <w:t xml:space="preserve"> – (a) payment of compensation to the </w:t>
      </w:r>
      <w:r w:rsidR="00C94EDB">
        <w:rPr>
          <w:rFonts w:eastAsia="Times New Roman"/>
          <w:lang w:val="en-GB" w:eastAsia="fr-FR"/>
        </w:rPr>
        <w:t>Beneficiary</w:t>
      </w:r>
      <w:r w:rsidRPr="001922A7">
        <w:rPr>
          <w:rFonts w:eastAsia="Times New Roman"/>
          <w:lang w:val="en-GB" w:eastAsia="fr-FR"/>
        </w:rPr>
        <w:t>; (b) adoption of individual measures; (c) adoption of general measures;</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w:t>
      </w:r>
    </w:p>
    <w:p w:rsidR="00B83FFA" w:rsidRPr="001922A7" w:rsidRDefault="001F6295" w:rsidP="00296D23">
      <w:pPr>
        <w:pStyle w:val="ECHRTitleCentre3"/>
        <w:rPr>
          <w:rFonts w:eastAsia="Times New Roman"/>
          <w:lang w:val="en-GB" w:eastAsia="fr-FR"/>
        </w:rPr>
      </w:pPr>
      <w:r>
        <w:rPr>
          <w:rFonts w:eastAsia="Times New Roman"/>
          <w:lang w:val="en-GB" w:eastAsia="fr-FR"/>
        </w:rPr>
        <w:t xml:space="preserve">Section </w:t>
      </w:r>
      <w:r w:rsidR="00B83FFA" w:rsidRPr="001922A7">
        <w:rPr>
          <w:rFonts w:eastAsia="Times New Roman"/>
          <w:lang w:val="en-GB" w:eastAsia="fr-FR"/>
        </w:rPr>
        <w:t>2.</w:t>
      </w:r>
      <w:r w:rsidR="00B83FFA" w:rsidRPr="001922A7">
        <w:rPr>
          <w:rFonts w:eastAsia="Times New Roman"/>
          <w:szCs w:val="24"/>
          <w:lang w:val="en-GB" w:eastAsia="fr-FR"/>
        </w:rPr>
        <w:t xml:space="preserve"> </w:t>
      </w:r>
      <w:r w:rsidR="00B83FFA" w:rsidRPr="001922A7">
        <w:rPr>
          <w:rFonts w:eastAsia="Times New Roman"/>
          <w:lang w:val="en-GB" w:eastAsia="fr-FR"/>
        </w:rPr>
        <w:t>Enforcement of [the Court</w:t>
      </w:r>
      <w:r w:rsidR="009912A8">
        <w:rPr>
          <w:rFonts w:eastAsia="Times New Roman"/>
          <w:lang w:val="en-GB" w:eastAsia="fr-FR"/>
        </w:rPr>
        <w:t>’</w:t>
      </w:r>
      <w:r w:rsidR="00B83FFA" w:rsidRPr="001922A7">
        <w:rPr>
          <w:rFonts w:eastAsia="Times New Roman"/>
          <w:lang w:val="en-GB" w:eastAsia="fr-FR"/>
        </w:rPr>
        <w:t>s] judgment</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“1.  The [Court</w:t>
      </w:r>
      <w:r w:rsidR="009912A8">
        <w:rPr>
          <w:rFonts w:eastAsia="Times New Roman"/>
          <w:lang w:val="en-GB" w:eastAsia="fr-FR"/>
        </w:rPr>
        <w:t>’</w:t>
      </w:r>
      <w:r w:rsidRPr="001922A7">
        <w:rPr>
          <w:rFonts w:eastAsia="Times New Roman"/>
          <w:lang w:val="en-GB" w:eastAsia="fr-FR"/>
        </w:rPr>
        <w:t xml:space="preserve">s] judgment </w:t>
      </w:r>
      <w:r w:rsidR="00C94EDB">
        <w:rPr>
          <w:rFonts w:eastAsia="Times New Roman"/>
          <w:lang w:val="en-GB" w:eastAsia="fr-FR"/>
        </w:rPr>
        <w:t>are</w:t>
      </w:r>
      <w:r w:rsidRPr="001922A7">
        <w:rPr>
          <w:rFonts w:eastAsia="Times New Roman"/>
          <w:lang w:val="en-GB" w:eastAsia="fr-FR"/>
        </w:rPr>
        <w:t xml:space="preserve"> </w:t>
      </w:r>
      <w:r w:rsidR="00365869">
        <w:rPr>
          <w:rFonts w:eastAsia="Times New Roman"/>
          <w:lang w:val="en-GB" w:eastAsia="fr-FR"/>
        </w:rPr>
        <w:t xml:space="preserve">to be </w:t>
      </w:r>
      <w:r w:rsidRPr="001922A7">
        <w:rPr>
          <w:rFonts w:eastAsia="Times New Roman"/>
          <w:lang w:val="en-GB" w:eastAsia="fr-FR"/>
        </w:rPr>
        <w:t>binding and enforceable for Ukraine in accordance with Article 46 of the Convention.</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 xml:space="preserve">2.  The procedure for enforcement of the judgment </w:t>
      </w:r>
      <w:r w:rsidR="00C94EDB">
        <w:rPr>
          <w:rFonts w:eastAsia="Times New Roman"/>
          <w:lang w:val="en-GB" w:eastAsia="fr-FR"/>
        </w:rPr>
        <w:t>is</w:t>
      </w:r>
      <w:r w:rsidR="00365869">
        <w:rPr>
          <w:rFonts w:eastAsia="Times New Roman"/>
          <w:lang w:val="en-GB" w:eastAsia="fr-FR"/>
        </w:rPr>
        <w:t xml:space="preserve"> to be</w:t>
      </w:r>
      <w:r w:rsidRPr="001922A7">
        <w:rPr>
          <w:rFonts w:eastAsia="Times New Roman"/>
          <w:lang w:val="en-GB" w:eastAsia="fr-FR"/>
        </w:rPr>
        <w:t xml:space="preserve"> determined by this Act, the Enforcement Proceedings Act, and by other regulations, having regard to the specific provisions of the present Act.”</w:t>
      </w:r>
    </w:p>
    <w:p w:rsidR="00B83FFA" w:rsidRPr="001922A7" w:rsidRDefault="001F6295" w:rsidP="00296D23">
      <w:pPr>
        <w:pStyle w:val="ECHRTitleCentre3"/>
        <w:rPr>
          <w:rFonts w:eastAsia="Times New Roman"/>
          <w:lang w:val="en-GB" w:eastAsia="fr-FR"/>
        </w:rPr>
      </w:pPr>
      <w:r>
        <w:rPr>
          <w:rFonts w:eastAsia="Times New Roman"/>
          <w:lang w:val="en-GB" w:eastAsia="fr-FR"/>
        </w:rPr>
        <w:t xml:space="preserve">Section </w:t>
      </w:r>
      <w:r w:rsidR="00B83FFA" w:rsidRPr="001922A7">
        <w:rPr>
          <w:rFonts w:eastAsia="Times New Roman"/>
          <w:lang w:val="en-GB" w:eastAsia="fr-FR"/>
        </w:rPr>
        <w:t>10.</w:t>
      </w:r>
      <w:r w:rsidR="00B83FFA" w:rsidRPr="001922A7">
        <w:rPr>
          <w:rFonts w:eastAsia="Times New Roman"/>
          <w:szCs w:val="24"/>
          <w:lang w:val="en-GB" w:eastAsia="fr-FR"/>
        </w:rPr>
        <w:t xml:space="preserve"> </w:t>
      </w:r>
      <w:r w:rsidR="00B83FFA" w:rsidRPr="001922A7">
        <w:rPr>
          <w:rFonts w:eastAsia="Times New Roman"/>
          <w:lang w:val="en-GB" w:eastAsia="fr-FR"/>
        </w:rPr>
        <w:t>Additional individual measures</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 xml:space="preserve">“1.  Individual measures </w:t>
      </w:r>
      <w:r w:rsidR="00C94EDB">
        <w:rPr>
          <w:rFonts w:eastAsia="Times New Roman"/>
          <w:lang w:val="en-GB" w:eastAsia="fr-FR"/>
        </w:rPr>
        <w:t>are</w:t>
      </w:r>
      <w:r w:rsidRPr="001922A7">
        <w:rPr>
          <w:rFonts w:eastAsia="Times New Roman"/>
          <w:lang w:val="en-GB" w:eastAsia="fr-FR"/>
        </w:rPr>
        <w:t xml:space="preserve"> </w:t>
      </w:r>
      <w:r w:rsidR="00365869">
        <w:rPr>
          <w:rFonts w:eastAsia="Times New Roman"/>
          <w:lang w:val="en-GB" w:eastAsia="fr-FR"/>
        </w:rPr>
        <w:t xml:space="preserve">to be </w:t>
      </w:r>
      <w:r w:rsidRPr="001922A7">
        <w:rPr>
          <w:rFonts w:eastAsia="Times New Roman"/>
          <w:lang w:val="en-GB" w:eastAsia="fr-FR"/>
        </w:rPr>
        <w:t xml:space="preserve">adopted in addition to the payment of compensation and are aimed at restoring the rights of the </w:t>
      </w:r>
      <w:r w:rsidR="00C94EDB">
        <w:rPr>
          <w:rFonts w:eastAsia="Times New Roman"/>
          <w:lang w:val="en-GB" w:eastAsia="fr-FR"/>
        </w:rPr>
        <w:t>Beneficiary</w:t>
      </w:r>
      <w:r w:rsidRPr="001922A7">
        <w:rPr>
          <w:rFonts w:eastAsia="Times New Roman"/>
          <w:lang w:val="en-GB" w:eastAsia="fr-FR"/>
        </w:rPr>
        <w:t xml:space="preserve"> [which have been] infringed.</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2. Individual measures include:</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lastRenderedPageBreak/>
        <w:t xml:space="preserve">(a)  restoring as far as possible the legal status which the </w:t>
      </w:r>
      <w:r w:rsidR="00C94EDB">
        <w:rPr>
          <w:rFonts w:eastAsia="Times New Roman"/>
          <w:lang w:val="en-GB" w:eastAsia="fr-FR"/>
        </w:rPr>
        <w:t>Beneficiary</w:t>
      </w:r>
      <w:r w:rsidRPr="001922A7">
        <w:rPr>
          <w:rFonts w:eastAsia="Times New Roman"/>
          <w:lang w:val="en-GB" w:eastAsia="fr-FR"/>
        </w:rPr>
        <w:t xml:space="preserve"> had before the Convention was violated (</w:t>
      </w:r>
      <w:r w:rsidRPr="001922A7">
        <w:rPr>
          <w:rFonts w:eastAsia="Times New Roman"/>
          <w:i/>
          <w:lang w:val="en-GB" w:eastAsia="fr-FR"/>
        </w:rPr>
        <w:t>restitutio in integrum</w:t>
      </w:r>
      <w:r w:rsidRPr="001922A7">
        <w:rPr>
          <w:rFonts w:eastAsia="Times New Roman"/>
          <w:lang w:val="en-GB" w:eastAsia="fr-FR"/>
        </w:rPr>
        <w:t>);</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w:t>
      </w:r>
    </w:p>
    <w:p w:rsidR="00B83FFA" w:rsidRPr="001922A7" w:rsidRDefault="001F6295" w:rsidP="00296D23">
      <w:pPr>
        <w:pStyle w:val="ECHRParaQuote"/>
        <w:rPr>
          <w:rFonts w:eastAsia="Times New Roman"/>
          <w:lang w:val="en-GB" w:eastAsia="fr-FR"/>
        </w:rPr>
      </w:pPr>
      <w:r>
        <w:rPr>
          <w:rFonts w:eastAsia="Times New Roman"/>
          <w:lang w:val="en-GB" w:eastAsia="fr-FR"/>
        </w:rPr>
        <w:t>3.  </w:t>
      </w:r>
      <w:r w:rsidR="00B83FFA" w:rsidRPr="001922A7">
        <w:rPr>
          <w:rFonts w:eastAsia="Times New Roman"/>
          <w:lang w:val="en-GB" w:eastAsia="fr-FR"/>
        </w:rPr>
        <w:t xml:space="preserve">The previous legal status of the </w:t>
      </w:r>
      <w:r w:rsidR="00C94EDB">
        <w:rPr>
          <w:rFonts w:eastAsia="Times New Roman"/>
          <w:lang w:val="en-GB" w:eastAsia="fr-FR"/>
        </w:rPr>
        <w:t>Beneficiary</w:t>
      </w:r>
      <w:r w:rsidR="00B83FFA" w:rsidRPr="001922A7">
        <w:rPr>
          <w:rFonts w:eastAsia="Times New Roman"/>
          <w:lang w:val="en-GB" w:eastAsia="fr-FR"/>
        </w:rPr>
        <w:t xml:space="preserve"> </w:t>
      </w:r>
      <w:r w:rsidR="00C94EDB">
        <w:rPr>
          <w:rFonts w:eastAsia="Times New Roman"/>
          <w:lang w:val="en-GB" w:eastAsia="fr-FR"/>
        </w:rPr>
        <w:t>is</w:t>
      </w:r>
      <w:r w:rsidR="00365869">
        <w:rPr>
          <w:rFonts w:eastAsia="Times New Roman"/>
          <w:lang w:val="en-GB" w:eastAsia="fr-FR"/>
        </w:rPr>
        <w:t xml:space="preserve"> to be</w:t>
      </w:r>
      <w:r w:rsidR="00B83FFA" w:rsidRPr="001922A7">
        <w:rPr>
          <w:rFonts w:eastAsia="Times New Roman"/>
          <w:lang w:val="en-GB" w:eastAsia="fr-FR"/>
        </w:rPr>
        <w:t xml:space="preserve"> restored, </w:t>
      </w:r>
      <w:r w:rsidR="00B83FFA" w:rsidRPr="0031300B">
        <w:rPr>
          <w:rFonts w:eastAsia="Times New Roman"/>
          <w:lang w:val="en-GB" w:eastAsia="fr-FR"/>
        </w:rPr>
        <w:t>inter alia</w:t>
      </w:r>
      <w:r w:rsidR="00B83FFA" w:rsidRPr="001922A7">
        <w:rPr>
          <w:rFonts w:eastAsia="Times New Roman"/>
          <w:lang w:val="en-GB" w:eastAsia="fr-FR"/>
        </w:rPr>
        <w:t>, by means of:</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(a)  reconsideration of the case by a court, including reopening of the proceedings in that case;</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(b)  reconsideration of the case by an administrative body.”</w:t>
      </w:r>
    </w:p>
    <w:p w:rsidR="00B83FFA" w:rsidRPr="001922A7" w:rsidRDefault="00B83FFA" w:rsidP="00296D23">
      <w:pPr>
        <w:pStyle w:val="ECHRTitleCentre3"/>
        <w:rPr>
          <w:rFonts w:eastAsia="Times New Roman"/>
          <w:lang w:val="en-GB" w:eastAsia="fr-FR"/>
        </w:rPr>
      </w:pPr>
      <w:r w:rsidRPr="001922A7">
        <w:rPr>
          <w:rFonts w:eastAsia="Times New Roman"/>
          <w:lang w:val="en-GB" w:eastAsia="fr-FR"/>
        </w:rPr>
        <w:t>Section</w:t>
      </w:r>
      <w:r w:rsidR="00296D23">
        <w:rPr>
          <w:rFonts w:eastAsia="Times New Roman"/>
          <w:lang w:val="en-GB" w:eastAsia="fr-FR"/>
        </w:rPr>
        <w:t xml:space="preserve"> </w:t>
      </w:r>
      <w:r w:rsidRPr="001922A7">
        <w:rPr>
          <w:rFonts w:eastAsia="Times New Roman"/>
          <w:lang w:val="en-GB" w:eastAsia="fr-FR"/>
        </w:rPr>
        <w:t>11. Actions which the Office of the Government</w:t>
      </w:r>
      <w:r w:rsidR="009912A8">
        <w:rPr>
          <w:rFonts w:eastAsia="Times New Roman"/>
          <w:lang w:val="en-GB" w:eastAsia="fr-FR"/>
        </w:rPr>
        <w:t>’</w:t>
      </w:r>
      <w:r w:rsidRPr="001922A7">
        <w:rPr>
          <w:rFonts w:eastAsia="Times New Roman"/>
          <w:lang w:val="en-GB" w:eastAsia="fr-FR"/>
        </w:rPr>
        <w:t>s Agent shall take with regard to individual measures</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“1.  The Office of the Government</w:t>
      </w:r>
      <w:r w:rsidR="009912A8">
        <w:rPr>
          <w:rFonts w:eastAsia="Times New Roman"/>
          <w:lang w:val="en-GB" w:eastAsia="fr-FR"/>
        </w:rPr>
        <w:t>’</w:t>
      </w:r>
      <w:r w:rsidRPr="001922A7">
        <w:rPr>
          <w:rFonts w:eastAsia="Times New Roman"/>
          <w:lang w:val="en-GB" w:eastAsia="fr-FR"/>
        </w:rPr>
        <w:t>s Agent, within three days from receipt of the Court</w:t>
      </w:r>
      <w:r w:rsidR="009912A8">
        <w:rPr>
          <w:rFonts w:eastAsia="Times New Roman"/>
          <w:lang w:val="en-GB" w:eastAsia="fr-FR"/>
        </w:rPr>
        <w:t>’</w:t>
      </w:r>
      <w:r w:rsidRPr="001922A7">
        <w:rPr>
          <w:rFonts w:eastAsia="Times New Roman"/>
          <w:lang w:val="en-GB" w:eastAsia="fr-FR"/>
        </w:rPr>
        <w:t>s notification that the judgment has become final:</w:t>
      </w:r>
    </w:p>
    <w:p w:rsidR="00B83FFA" w:rsidRPr="001922A7" w:rsidRDefault="00B83FFA" w:rsidP="00296D23">
      <w:pPr>
        <w:pStyle w:val="ECHRParaQuote"/>
        <w:rPr>
          <w:rFonts w:eastAsia="Times New Roman"/>
          <w:lang w:val="en-GB" w:eastAsia="fr-FR"/>
        </w:rPr>
      </w:pPr>
      <w:r w:rsidRPr="001922A7">
        <w:rPr>
          <w:rFonts w:eastAsia="Times New Roman"/>
          <w:lang w:val="en-GB" w:eastAsia="fr-FR"/>
        </w:rPr>
        <w:t>(a)  send</w:t>
      </w:r>
      <w:r w:rsidR="00693101">
        <w:rPr>
          <w:rFonts w:eastAsia="Times New Roman"/>
          <w:lang w:val="en-GB" w:eastAsia="fr-FR"/>
        </w:rPr>
        <w:t>s</w:t>
      </w:r>
      <w:r w:rsidRPr="001922A7">
        <w:rPr>
          <w:rFonts w:eastAsia="Times New Roman"/>
          <w:lang w:val="en-GB" w:eastAsia="fr-FR"/>
        </w:rPr>
        <w:t xml:space="preserve"> the </w:t>
      </w:r>
      <w:r w:rsidR="00C94EDB">
        <w:rPr>
          <w:rFonts w:eastAsia="Times New Roman"/>
          <w:lang w:val="en-GB" w:eastAsia="fr-FR"/>
        </w:rPr>
        <w:t>Beneficiary</w:t>
      </w:r>
      <w:r w:rsidRPr="001922A7">
        <w:rPr>
          <w:rFonts w:eastAsia="Times New Roman"/>
          <w:lang w:val="en-GB" w:eastAsia="fr-FR"/>
        </w:rPr>
        <w:t xml:space="preserve"> a notification explaining his right to initiate proceedings for the review of his case and/or to reopen the proceedings according to the law in force</w:t>
      </w:r>
      <w:r w:rsidR="00E464C3">
        <w:rPr>
          <w:rFonts w:eastAsia="Times New Roman"/>
          <w:lang w:val="en-GB" w:eastAsia="fr-FR"/>
        </w:rPr>
        <w:t xml:space="preserve"> </w:t>
      </w:r>
      <w:r w:rsidRPr="001922A7">
        <w:rPr>
          <w:rFonts w:eastAsia="Times New Roman"/>
          <w:lang w:val="en-GB" w:eastAsia="fr-FR"/>
        </w:rPr>
        <w:t>...”</w:t>
      </w:r>
    </w:p>
    <w:p w:rsidR="00B83FFA" w:rsidRPr="001922A7" w:rsidRDefault="00A37C27" w:rsidP="00B83FFA">
      <w:pPr>
        <w:pStyle w:val="ECHRHeading1"/>
        <w:rPr>
          <w:rFonts w:eastAsia="Times New Roman"/>
          <w:caps/>
          <w:lang w:val="en-GB" w:eastAsia="fr-FR"/>
        </w:rPr>
      </w:pPr>
      <w:r w:rsidRPr="001922A7">
        <w:rPr>
          <w:rFonts w:eastAsia="Times New Roman"/>
          <w:caps/>
          <w:lang w:val="en-GB" w:eastAsia="fr-FR"/>
        </w:rPr>
        <w:t>III</w:t>
      </w:r>
      <w:r w:rsidR="00B83FFA" w:rsidRPr="001922A7">
        <w:rPr>
          <w:rFonts w:eastAsia="Times New Roman"/>
          <w:caps/>
          <w:lang w:val="en-GB" w:eastAsia="fr-FR"/>
        </w:rPr>
        <w:t>.  Law and practice in the Council of Europe Member States</w:t>
      </w:r>
    </w:p>
    <w:p w:rsidR="00B83FFA" w:rsidRPr="001922A7" w:rsidRDefault="00B83FFA"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26</w:t>
      </w:r>
      <w:r w:rsidRPr="001922A7">
        <w:rPr>
          <w:rFonts w:eastAsia="Times New Roman"/>
          <w:lang w:val="en-GB" w:eastAsia="fr-FR"/>
        </w:rPr>
        <w:fldChar w:fldCharType="end"/>
      </w:r>
      <w:r w:rsidRPr="001922A7">
        <w:rPr>
          <w:rFonts w:eastAsia="Times New Roman"/>
          <w:lang w:val="en-GB" w:eastAsia="fr-FR"/>
        </w:rPr>
        <w:t>.  A comparative survey of national legislation and practice in thirty-</w:t>
      </w:r>
      <w:r w:rsidR="00C834DA">
        <w:rPr>
          <w:rFonts w:eastAsia="Times New Roman"/>
          <w:lang w:val="en-GB" w:eastAsia="fr-FR"/>
        </w:rPr>
        <w:t>eight</w:t>
      </w:r>
      <w:r w:rsidR="00C834DA" w:rsidRPr="001922A7">
        <w:rPr>
          <w:rFonts w:eastAsia="Times New Roman"/>
          <w:lang w:val="en-GB" w:eastAsia="fr-FR"/>
        </w:rPr>
        <w:t xml:space="preserve"> </w:t>
      </w:r>
      <w:r w:rsidRPr="001922A7">
        <w:rPr>
          <w:rFonts w:eastAsia="Times New Roman"/>
          <w:lang w:val="en-GB" w:eastAsia="fr-FR"/>
        </w:rPr>
        <w:t xml:space="preserve">of the Member States of the Council of Europe demonstrates that many States have put in place domestic mechanisms providing for the possibility to request review of </w:t>
      </w:r>
      <w:r w:rsidR="00A30936">
        <w:rPr>
          <w:rFonts w:eastAsia="Times New Roman"/>
          <w:lang w:val="en-GB" w:eastAsia="fr-FR"/>
        </w:rPr>
        <w:t xml:space="preserve">civil </w:t>
      </w:r>
      <w:r w:rsidRPr="001922A7">
        <w:rPr>
          <w:rFonts w:eastAsia="Times New Roman"/>
          <w:lang w:val="en-GB" w:eastAsia="fr-FR"/>
        </w:rPr>
        <w:t xml:space="preserve">cases terminated by a final judicial decision </w:t>
      </w:r>
      <w:r w:rsidRPr="001922A7">
        <w:rPr>
          <w:rFonts w:eastAsia="Times New Roman"/>
          <w:szCs w:val="24"/>
          <w:lang w:val="en-GB" w:eastAsia="fr-FR"/>
        </w:rPr>
        <w:t>on the basis of a finding of a violation of the Convention by the Court</w:t>
      </w:r>
      <w:r w:rsidRPr="001922A7">
        <w:rPr>
          <w:rFonts w:eastAsia="Times New Roman"/>
          <w:lang w:val="en-GB" w:eastAsia="fr-FR"/>
        </w:rPr>
        <w:t>. In particular, in twenty-</w:t>
      </w:r>
      <w:r w:rsidR="00C834DA">
        <w:rPr>
          <w:rFonts w:eastAsia="Times New Roman"/>
          <w:lang w:val="en-GB" w:eastAsia="fr-FR"/>
        </w:rPr>
        <w:t>two</w:t>
      </w:r>
      <w:r w:rsidR="00C834DA" w:rsidRPr="001922A7">
        <w:rPr>
          <w:rFonts w:eastAsia="Times New Roman"/>
          <w:lang w:val="en-GB" w:eastAsia="fr-FR"/>
        </w:rPr>
        <w:t xml:space="preserve"> </w:t>
      </w:r>
      <w:r w:rsidRPr="001922A7">
        <w:rPr>
          <w:rFonts w:eastAsia="Times New Roman"/>
          <w:lang w:val="en-GB" w:eastAsia="fr-FR"/>
        </w:rPr>
        <w:t>of the Member States</w:t>
      </w:r>
      <w:r w:rsidR="00BE1DA7" w:rsidRPr="001922A7">
        <w:rPr>
          <w:rFonts w:eastAsia="Times New Roman"/>
          <w:lang w:val="en-GB" w:eastAsia="fr-FR"/>
        </w:rPr>
        <w:t xml:space="preserve"> surveyed</w:t>
      </w:r>
      <w:r w:rsidRPr="001922A7">
        <w:rPr>
          <w:rFonts w:eastAsia="Times New Roman"/>
          <w:lang w:val="en-GB" w:eastAsia="fr-FR"/>
        </w:rPr>
        <w:t xml:space="preserve">, the domestic Code of Civil Procedure explicitly provides for the possibility for a successful applicant to request review of a </w:t>
      </w:r>
      <w:r w:rsidR="00A30936">
        <w:rPr>
          <w:rFonts w:eastAsia="Times New Roman"/>
          <w:lang w:val="en-GB" w:eastAsia="fr-FR"/>
        </w:rPr>
        <w:t xml:space="preserve">civil </w:t>
      </w:r>
      <w:r w:rsidRPr="001922A7">
        <w:rPr>
          <w:rFonts w:eastAsia="Times New Roman"/>
          <w:lang w:val="en-GB" w:eastAsia="fr-FR"/>
        </w:rPr>
        <w:t xml:space="preserve">case on the basis of a finding of a violation by the European Court of Human Rights or another international court. </w:t>
      </w:r>
      <w:r w:rsidRPr="001922A7">
        <w:rPr>
          <w:rFonts w:eastAsia="Times New Roman"/>
          <w:lang w:val="en-GB"/>
        </w:rPr>
        <w:t xml:space="preserve">This is so for Albania, </w:t>
      </w:r>
      <w:r w:rsidR="00C834DA">
        <w:rPr>
          <w:rFonts w:eastAsia="Times New Roman"/>
          <w:lang w:val="en-GB"/>
        </w:rPr>
        <w:t xml:space="preserve">Andorra, </w:t>
      </w:r>
      <w:r w:rsidRPr="001922A7">
        <w:rPr>
          <w:rFonts w:eastAsia="Times New Roman"/>
          <w:lang w:val="en-GB"/>
        </w:rPr>
        <w:t xml:space="preserve">Armenia, Azerbaijan, Croatia, the Czech Republic, Estonia, </w:t>
      </w:r>
      <w:r w:rsidRPr="001922A7">
        <w:rPr>
          <w:rFonts w:eastAsia="Times New Roman"/>
          <w:iCs/>
          <w:lang w:val="en-GB"/>
        </w:rPr>
        <w:t xml:space="preserve">the former Yugoslav Republic of Macedonia, Georgia, Germany, Latvia, Lithuania, Moldova, Montenegro, Norway, Portugal, Romania, Russia, Serbia, Slovakia, Switzerland and Turkey. </w:t>
      </w:r>
      <w:r w:rsidRPr="001922A7">
        <w:rPr>
          <w:rFonts w:eastAsia="Times New Roman"/>
          <w:lang w:val="en-GB" w:eastAsia="fr-FR"/>
        </w:rPr>
        <w:t xml:space="preserve">In all those States, requests for review are to be made to a court. However, the level of jurisdiction differs from Member State to Member State. In some, it is the highest court which entertains the request, that is the Supreme Court (which is the case in Albania, Azerbaijan, Estonia, and Lithuania) or the Constitutional Court (the Czech Republic). In others, the request is made to the court whose decision is challenged (Croatia, </w:t>
      </w:r>
      <w:r w:rsidRPr="001922A7">
        <w:rPr>
          <w:rFonts w:eastAsia="Times New Roman"/>
          <w:iCs/>
          <w:lang w:val="en-GB" w:eastAsia="fr-FR"/>
        </w:rPr>
        <w:t>the former Yugoslav Republic of Macedonia and Serbia</w:t>
      </w:r>
      <w:r w:rsidRPr="001922A7">
        <w:rPr>
          <w:rFonts w:eastAsia="Times New Roman"/>
          <w:lang w:val="en-GB" w:eastAsia="fr-FR"/>
        </w:rPr>
        <w:t>). Normally, review is not automatic and is subject to admissibility criteria, such as time-limits, an applicant</w:t>
      </w:r>
      <w:r w:rsidR="009912A8">
        <w:rPr>
          <w:rFonts w:eastAsia="Times New Roman"/>
          <w:lang w:val="en-GB" w:eastAsia="fr-FR"/>
        </w:rPr>
        <w:t>’</w:t>
      </w:r>
      <w:r w:rsidRPr="001922A7">
        <w:rPr>
          <w:rFonts w:eastAsia="Times New Roman"/>
          <w:lang w:val="en-GB" w:eastAsia="fr-FR"/>
        </w:rPr>
        <w:t xml:space="preserve">s standing and substantiation of the request </w:t>
      </w:r>
      <w:r w:rsidRPr="001922A7">
        <w:rPr>
          <w:rFonts w:eastAsiaTheme="minorHAnsi"/>
          <w:lang w:val="en-GB" w:eastAsia="fr-FR"/>
        </w:rPr>
        <w:t>(</w:t>
      </w:r>
      <w:r w:rsidR="00245B44" w:rsidRPr="00245B44">
        <w:rPr>
          <w:rFonts w:eastAsiaTheme="minorHAnsi"/>
          <w:lang w:val="en-GB" w:eastAsia="fr-FR"/>
        </w:rPr>
        <w:t>this is the case</w:t>
      </w:r>
      <w:r w:rsidR="00F315B1">
        <w:rPr>
          <w:rFonts w:eastAsiaTheme="minorHAnsi"/>
          <w:lang w:val="en-GB" w:eastAsia="fr-FR"/>
        </w:rPr>
        <w:t>, for example,</w:t>
      </w:r>
      <w:r w:rsidR="00245B44" w:rsidRPr="00245B44">
        <w:rPr>
          <w:rFonts w:eastAsiaTheme="minorHAnsi"/>
          <w:lang w:val="en-GB" w:eastAsia="fr-FR"/>
        </w:rPr>
        <w:t xml:space="preserve"> </w:t>
      </w:r>
      <w:r w:rsidR="00F315B1">
        <w:rPr>
          <w:rFonts w:eastAsiaTheme="minorHAnsi"/>
          <w:lang w:val="en-GB" w:eastAsia="fr-FR"/>
        </w:rPr>
        <w:t xml:space="preserve">in </w:t>
      </w:r>
      <w:r w:rsidRPr="001922A7">
        <w:rPr>
          <w:rFonts w:eastAsiaTheme="minorHAnsi"/>
          <w:lang w:val="en-GB" w:eastAsia="fr-FR"/>
        </w:rPr>
        <w:t xml:space="preserve">Albania, </w:t>
      </w:r>
      <w:r w:rsidRPr="001922A7">
        <w:rPr>
          <w:rFonts w:eastAsiaTheme="minorHAnsi"/>
          <w:iCs/>
          <w:lang w:val="en-GB" w:eastAsia="fr-FR"/>
        </w:rPr>
        <w:t>the former Yugoslav Republic of Macedonia</w:t>
      </w:r>
      <w:r w:rsidRPr="001922A7">
        <w:rPr>
          <w:rFonts w:eastAsiaTheme="minorHAnsi"/>
          <w:lang w:val="en-GB" w:eastAsia="fr-FR"/>
        </w:rPr>
        <w:t>, Georgia, Montenegro, and Turkey)</w:t>
      </w:r>
      <w:r w:rsidRPr="001922A7">
        <w:rPr>
          <w:rFonts w:eastAsia="Times New Roman"/>
          <w:lang w:val="en-GB" w:eastAsia="fr-FR"/>
        </w:rPr>
        <w:t xml:space="preserve">. Some domestic provisions provide for other </w:t>
      </w:r>
      <w:r w:rsidRPr="001922A7">
        <w:rPr>
          <w:rFonts w:eastAsia="Times New Roman"/>
          <w:lang w:val="en-GB" w:eastAsia="fr-FR"/>
        </w:rPr>
        <w:lastRenderedPageBreak/>
        <w:t>conditions to be met, for example that the serious consequence of the violation continues to exist (Romania), or that compensation has not remedied the breach (Slovakia), or that the applicant could not be compensated by any other means (Estonia).</w:t>
      </w:r>
    </w:p>
    <w:p w:rsidR="001B4C2E" w:rsidRDefault="00B83FFA"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27</w:t>
      </w:r>
      <w:r w:rsidRPr="001922A7">
        <w:rPr>
          <w:rFonts w:eastAsia="Times New Roman"/>
          <w:lang w:val="en-GB" w:eastAsia="fr-FR"/>
        </w:rPr>
        <w:fldChar w:fldCharType="end"/>
      </w:r>
      <w:r w:rsidRPr="001922A7">
        <w:rPr>
          <w:rFonts w:eastAsia="Times New Roman"/>
          <w:lang w:val="en-GB" w:eastAsia="fr-FR"/>
        </w:rPr>
        <w:t>.  While in sixteen of the thirty-</w:t>
      </w:r>
      <w:r w:rsidR="006F225C">
        <w:rPr>
          <w:rFonts w:eastAsia="Times New Roman"/>
          <w:lang w:val="en-GB" w:eastAsia="fr-FR"/>
        </w:rPr>
        <w:t>eight</w:t>
      </w:r>
      <w:r w:rsidR="006F225C" w:rsidRPr="001922A7">
        <w:rPr>
          <w:rFonts w:eastAsia="Times New Roman"/>
          <w:lang w:val="en-GB" w:eastAsia="fr-FR"/>
        </w:rPr>
        <w:t xml:space="preserve"> </w:t>
      </w:r>
      <w:r w:rsidRPr="001922A7">
        <w:rPr>
          <w:rFonts w:eastAsia="Times New Roman"/>
          <w:lang w:val="en-GB" w:eastAsia="fr-FR"/>
        </w:rPr>
        <w:t xml:space="preserve">Member States surveyed, review </w:t>
      </w:r>
      <w:r w:rsidR="002B17B8">
        <w:rPr>
          <w:rFonts w:eastAsia="Times New Roman"/>
          <w:lang w:val="en-GB" w:eastAsia="fr-FR"/>
        </w:rPr>
        <w:t xml:space="preserve">of civil cases </w:t>
      </w:r>
      <w:r w:rsidRPr="001922A7">
        <w:rPr>
          <w:rFonts w:eastAsia="Times New Roman"/>
          <w:lang w:val="en-GB" w:eastAsia="fr-FR"/>
        </w:rPr>
        <w:t>on the basis of a finding of a violation of the Convention by the Court is currently not explicitly provided for by the existing legal provisions (</w:t>
      </w:r>
      <w:r w:rsidR="00932028" w:rsidRPr="00932028">
        <w:rPr>
          <w:rFonts w:eastAsia="Times New Roman"/>
          <w:lang w:val="en-GB" w:eastAsia="fr-FR"/>
        </w:rPr>
        <w:t xml:space="preserve">this is the case in </w:t>
      </w:r>
      <w:r w:rsidRPr="001922A7">
        <w:rPr>
          <w:rFonts w:eastAsia="Times New Roman"/>
          <w:lang w:val="en-GB"/>
        </w:rPr>
        <w:t>Austria, Belgium, France, Greece, Hungary, Italy, Ireland, Liechtenstein, Luxembourg, Monaco, the Netherlands, Poland, Slovenia, Spain, Sweden and the United Kingdom (England and Wales)</w:t>
      </w:r>
      <w:r w:rsidRPr="001922A7">
        <w:rPr>
          <w:rFonts w:eastAsia="Times New Roman"/>
          <w:lang w:val="en-GB" w:eastAsia="fr-FR"/>
        </w:rPr>
        <w:t>), in some of those States it may still b</w:t>
      </w:r>
      <w:r w:rsidR="00B75683" w:rsidRPr="001922A7">
        <w:rPr>
          <w:rFonts w:eastAsia="Times New Roman"/>
          <w:lang w:val="en-GB" w:eastAsia="fr-FR"/>
        </w:rPr>
        <w:t xml:space="preserve">e open to applicants to seek </w:t>
      </w:r>
      <w:r w:rsidR="00A23B0D" w:rsidRPr="001922A7">
        <w:rPr>
          <w:rFonts w:eastAsia="Times New Roman"/>
          <w:lang w:val="en-GB" w:eastAsia="fr-FR"/>
        </w:rPr>
        <w:t>re</w:t>
      </w:r>
      <w:r w:rsidR="00C57073">
        <w:rPr>
          <w:rFonts w:eastAsia="Times New Roman"/>
          <w:lang w:val="en-GB" w:eastAsia="fr-FR"/>
        </w:rPr>
        <w:noBreakHyphen/>
      </w:r>
      <w:r w:rsidR="00A23B0D" w:rsidRPr="001922A7">
        <w:rPr>
          <w:rFonts w:eastAsia="Times New Roman"/>
          <w:lang w:val="en-GB" w:eastAsia="fr-FR"/>
        </w:rPr>
        <w:t>examination</w:t>
      </w:r>
      <w:r w:rsidRPr="001922A7">
        <w:rPr>
          <w:rFonts w:eastAsia="Times New Roman"/>
          <w:lang w:val="en-GB" w:eastAsia="fr-FR"/>
        </w:rPr>
        <w:t xml:space="preserve"> in such a situation pursuant to the procedure of review in the light of new facts emerging or procedural errors having been committed (for example, France, the Netherlands and Poland).</w:t>
      </w:r>
    </w:p>
    <w:p w:rsidR="00B83FFA" w:rsidRPr="001922A7" w:rsidRDefault="00A37C27" w:rsidP="00B83FFA">
      <w:pPr>
        <w:pStyle w:val="ECHRHeading1"/>
        <w:rPr>
          <w:rFonts w:eastAsia="Times New Roman"/>
          <w:caps/>
          <w:lang w:val="en-GB" w:eastAsia="fr-FR"/>
        </w:rPr>
      </w:pPr>
      <w:r w:rsidRPr="001922A7">
        <w:rPr>
          <w:rFonts w:eastAsia="Times New Roman"/>
          <w:caps/>
          <w:lang w:val="en-GB" w:eastAsia="fr-FR"/>
        </w:rPr>
        <w:t>I</w:t>
      </w:r>
      <w:r w:rsidR="00B83FFA" w:rsidRPr="001922A7">
        <w:rPr>
          <w:rFonts w:eastAsia="Times New Roman"/>
          <w:caps/>
          <w:lang w:val="en-GB" w:eastAsia="fr-FR"/>
        </w:rPr>
        <w:t>V.</w:t>
      </w:r>
      <w:r w:rsidR="00824BFD" w:rsidRPr="001922A7">
        <w:rPr>
          <w:rFonts w:eastAsia="Times New Roman"/>
          <w:caps/>
          <w:lang w:val="en-GB" w:eastAsia="fr-FR"/>
        </w:rPr>
        <w:t>  </w:t>
      </w:r>
      <w:r w:rsidR="004D0213" w:rsidRPr="004D0213">
        <w:rPr>
          <w:rFonts w:eastAsia="Times New Roman"/>
          <w:caps/>
          <w:lang w:val="en-GB" w:eastAsia="fr-FR"/>
        </w:rPr>
        <w:t>the Committee of Ministers</w:t>
      </w:r>
      <w:r w:rsidR="009912A8">
        <w:rPr>
          <w:rFonts w:eastAsia="Times New Roman"/>
          <w:caps/>
          <w:lang w:val="en-GB" w:eastAsia="fr-FR"/>
        </w:rPr>
        <w:t>’</w:t>
      </w:r>
      <w:r w:rsidR="004D0213" w:rsidRPr="004D0213">
        <w:rPr>
          <w:rFonts w:eastAsia="Times New Roman"/>
          <w:caps/>
          <w:lang w:val="en-GB" w:eastAsia="fr-FR"/>
        </w:rPr>
        <w:t xml:space="preserve"> RECOMMENDATION No.</w:t>
      </w:r>
      <w:r w:rsidR="00CB21EA">
        <w:rPr>
          <w:rFonts w:eastAsia="Times New Roman"/>
          <w:caps/>
          <w:lang w:val="en-GB" w:eastAsia="fr-FR"/>
        </w:rPr>
        <w:t> </w:t>
      </w:r>
      <w:r w:rsidR="004D0213" w:rsidRPr="004D0213">
        <w:rPr>
          <w:rFonts w:eastAsia="Times New Roman"/>
          <w:caps/>
          <w:lang w:val="en-GB" w:eastAsia="fr-FR"/>
        </w:rPr>
        <w:t>R</w:t>
      </w:r>
      <w:r w:rsidR="00CB21EA">
        <w:rPr>
          <w:rFonts w:eastAsia="Times New Roman"/>
          <w:caps/>
          <w:lang w:val="en-GB" w:eastAsia="fr-FR"/>
        </w:rPr>
        <w:t> </w:t>
      </w:r>
      <w:r w:rsidR="004D0213" w:rsidRPr="004D0213">
        <w:rPr>
          <w:rFonts w:eastAsia="Times New Roman"/>
          <w:caps/>
          <w:lang w:val="en-GB" w:eastAsia="fr-FR"/>
        </w:rPr>
        <w:t>(2000) 2</w:t>
      </w:r>
    </w:p>
    <w:p w:rsidR="00B83FFA" w:rsidRPr="001922A7" w:rsidRDefault="00B83FFA" w:rsidP="00C264C5">
      <w:pPr>
        <w:pStyle w:val="ECHRPara"/>
        <w:rPr>
          <w:rFonts w:eastAsia="Times New Roman"/>
          <w:lang w:val="en-GB"/>
        </w:rPr>
      </w:pPr>
      <w:r w:rsidRPr="001922A7">
        <w:rPr>
          <w:rFonts w:eastAsia="Times New Roman"/>
          <w:lang w:val="en-GB"/>
        </w:rPr>
        <w:fldChar w:fldCharType="begin"/>
      </w:r>
      <w:r w:rsidRPr="001922A7">
        <w:rPr>
          <w:rFonts w:eastAsia="Times New Roman"/>
          <w:lang w:val="en-GB"/>
        </w:rPr>
        <w:instrText xml:space="preserve"> SEQ level0 \*arabic </w:instrText>
      </w:r>
      <w:r w:rsidRPr="001922A7">
        <w:rPr>
          <w:rFonts w:eastAsia="Times New Roman"/>
          <w:lang w:val="en-GB"/>
        </w:rPr>
        <w:fldChar w:fldCharType="separate"/>
      </w:r>
      <w:r w:rsidR="00E15C77">
        <w:rPr>
          <w:rFonts w:eastAsia="Times New Roman"/>
          <w:noProof/>
          <w:lang w:val="en-GB"/>
        </w:rPr>
        <w:t>28</w:t>
      </w:r>
      <w:r w:rsidRPr="001922A7">
        <w:rPr>
          <w:rFonts w:eastAsia="Times New Roman"/>
          <w:lang w:val="en-GB"/>
        </w:rPr>
        <w:fldChar w:fldCharType="end"/>
      </w:r>
      <w:r w:rsidRPr="001922A7">
        <w:rPr>
          <w:rFonts w:eastAsia="Times New Roman"/>
          <w:lang w:val="en-GB"/>
        </w:rPr>
        <w:t xml:space="preserve">.  In its </w:t>
      </w:r>
      <w:r w:rsidRPr="001922A7">
        <w:rPr>
          <w:rFonts w:eastAsia="Times New Roman"/>
          <w:szCs w:val="20"/>
          <w:lang w:val="en-GB"/>
        </w:rPr>
        <w:t>Recommendation No. R</w:t>
      </w:r>
      <w:r w:rsidR="00D67F37">
        <w:rPr>
          <w:rFonts w:eastAsia="Times New Roman"/>
          <w:szCs w:val="20"/>
          <w:lang w:val="en-GB"/>
        </w:rPr>
        <w:t xml:space="preserve"> </w:t>
      </w:r>
      <w:r w:rsidRPr="001922A7">
        <w:rPr>
          <w:rFonts w:eastAsia="Times New Roman"/>
          <w:szCs w:val="20"/>
          <w:lang w:val="en-GB"/>
        </w:rPr>
        <w:t>(2000)</w:t>
      </w:r>
      <w:r w:rsidR="00D67F37">
        <w:rPr>
          <w:rFonts w:eastAsia="Times New Roman"/>
          <w:szCs w:val="20"/>
          <w:lang w:val="en-GB"/>
        </w:rPr>
        <w:t xml:space="preserve"> </w:t>
      </w:r>
      <w:r w:rsidRPr="001922A7">
        <w:rPr>
          <w:rFonts w:eastAsia="Times New Roman"/>
          <w:szCs w:val="20"/>
          <w:lang w:val="en-GB"/>
        </w:rPr>
        <w:t>2,</w:t>
      </w:r>
      <w:r w:rsidRPr="001922A7">
        <w:rPr>
          <w:lang w:val="en-GB"/>
        </w:rPr>
        <w:t xml:space="preserve"> </w:t>
      </w:r>
      <w:r w:rsidRPr="001922A7">
        <w:rPr>
          <w:rFonts w:eastAsia="Times New Roman"/>
          <w:szCs w:val="20"/>
          <w:lang w:val="en-GB"/>
        </w:rPr>
        <w:t>adopted on 19 January 2000 at the 694</w:t>
      </w:r>
      <w:r w:rsidRPr="001922A7">
        <w:rPr>
          <w:rFonts w:eastAsia="Times New Roman"/>
          <w:szCs w:val="20"/>
          <w:vertAlign w:val="superscript"/>
          <w:lang w:val="en-GB"/>
        </w:rPr>
        <w:t>th</w:t>
      </w:r>
      <w:r w:rsidRPr="001922A7">
        <w:rPr>
          <w:rFonts w:eastAsia="Times New Roman"/>
          <w:szCs w:val="20"/>
          <w:lang w:val="en-GB"/>
        </w:rPr>
        <w:t> meeting of the Ministers</w:t>
      </w:r>
      <w:r w:rsidR="009912A8">
        <w:rPr>
          <w:rFonts w:eastAsia="Times New Roman"/>
          <w:szCs w:val="20"/>
          <w:lang w:val="en-GB"/>
        </w:rPr>
        <w:t>’</w:t>
      </w:r>
      <w:r w:rsidRPr="001922A7">
        <w:rPr>
          <w:rFonts w:eastAsia="Times New Roman"/>
          <w:szCs w:val="20"/>
          <w:lang w:val="en-GB"/>
        </w:rPr>
        <w:t xml:space="preserve"> Deputies, </w:t>
      </w:r>
      <w:r w:rsidRPr="001922A7">
        <w:rPr>
          <w:rFonts w:eastAsia="Times New Roman"/>
          <w:lang w:val="en-GB"/>
        </w:rPr>
        <w:t>the Committee of Ministers noted that the practice in supervising the execution of the Court</w:t>
      </w:r>
      <w:r w:rsidR="009912A8">
        <w:rPr>
          <w:rFonts w:eastAsia="Times New Roman"/>
          <w:lang w:val="en-GB"/>
        </w:rPr>
        <w:t>’</w:t>
      </w:r>
      <w:r w:rsidRPr="001922A7">
        <w:rPr>
          <w:rFonts w:eastAsia="Times New Roman"/>
          <w:lang w:val="en-GB"/>
        </w:rPr>
        <w:t>s</w:t>
      </w:r>
      <w:r w:rsidR="00B75683" w:rsidRPr="001922A7">
        <w:rPr>
          <w:rFonts w:eastAsia="Times New Roman"/>
          <w:lang w:val="en-GB"/>
        </w:rPr>
        <w:t xml:space="preserve"> judgments demonstrated that </w:t>
      </w:r>
      <w:r w:rsidR="00A23B0D" w:rsidRPr="001922A7">
        <w:rPr>
          <w:rFonts w:eastAsia="Times New Roman"/>
          <w:lang w:val="en-GB"/>
        </w:rPr>
        <w:t>re-examination</w:t>
      </w:r>
      <w:r w:rsidRPr="001922A7">
        <w:rPr>
          <w:rFonts w:eastAsia="Times New Roman"/>
          <w:lang w:val="en-GB"/>
        </w:rPr>
        <w:t xml:space="preserve"> of a case or reopening of proceedings proved in certain circumstances the most efficient, if not the only, means of achieving </w:t>
      </w:r>
      <w:r w:rsidRPr="001922A7">
        <w:rPr>
          <w:rFonts w:eastAsia="Times New Roman"/>
          <w:i/>
          <w:lang w:val="en-GB"/>
        </w:rPr>
        <w:t>restitutio in integrum</w:t>
      </w:r>
      <w:r w:rsidRPr="001922A7">
        <w:rPr>
          <w:rFonts w:eastAsia="Times New Roman"/>
          <w:lang w:val="en-GB"/>
        </w:rPr>
        <w:t>. The Committee</w:t>
      </w:r>
      <w:r w:rsidR="00D01166" w:rsidRPr="001922A7">
        <w:rPr>
          <w:rFonts w:eastAsia="Times New Roman"/>
          <w:lang w:val="en-GB"/>
        </w:rPr>
        <w:t xml:space="preserve"> of Ministers</w:t>
      </w:r>
      <w:r w:rsidRPr="001922A7">
        <w:rPr>
          <w:rFonts w:eastAsia="Times New Roman"/>
          <w:lang w:val="en-GB"/>
        </w:rPr>
        <w:t>, therefore, called upon the States</w:t>
      </w:r>
      <w:r w:rsidR="00B75683" w:rsidRPr="001922A7">
        <w:rPr>
          <w:rFonts w:eastAsia="Times New Roman"/>
          <w:lang w:val="en-GB"/>
        </w:rPr>
        <w:t xml:space="preserve"> to introduce mechanisms for </w:t>
      </w:r>
      <w:r w:rsidR="00A23B0D" w:rsidRPr="001922A7">
        <w:rPr>
          <w:rFonts w:eastAsia="Times New Roman"/>
          <w:lang w:val="en-GB"/>
        </w:rPr>
        <w:t>re-examining</w:t>
      </w:r>
      <w:r w:rsidRPr="001922A7">
        <w:rPr>
          <w:rFonts w:eastAsia="Times New Roman"/>
          <w:lang w:val="en-GB"/>
        </w:rPr>
        <w:t xml:space="preserve"> a case following the finding of a violation of the Convention by the Court, especially where:</w:t>
      </w:r>
    </w:p>
    <w:p w:rsidR="00B83FFA" w:rsidRPr="001922A7" w:rsidRDefault="00B83FFA" w:rsidP="00296D23">
      <w:pPr>
        <w:pStyle w:val="ECHRParaQuote"/>
        <w:rPr>
          <w:rFonts w:eastAsia="Times New Roman"/>
          <w:lang w:val="en-GB" w:eastAsia="fr-FR"/>
        </w:rPr>
      </w:pPr>
      <w:r w:rsidRPr="001922A7">
        <w:rPr>
          <w:rFonts w:ascii="Times New Roman" w:eastAsia="Times New Roman" w:hAnsi="Times New Roman" w:cs="Times New Roman"/>
          <w:szCs w:val="24"/>
          <w:lang w:val="en-GB" w:eastAsia="fr-FR"/>
        </w:rPr>
        <w:t>“</w:t>
      </w:r>
      <w:r w:rsidR="001F6295">
        <w:rPr>
          <w:rFonts w:eastAsia="Times New Roman"/>
          <w:lang w:val="en-GB" w:eastAsia="fr-FR"/>
        </w:rPr>
        <w:t>(i)  </w:t>
      </w:r>
      <w:r w:rsidRPr="001922A7">
        <w:rPr>
          <w:rFonts w:eastAsia="Times New Roman"/>
          <w:lang w:val="en-GB" w:eastAsia="fr-FR"/>
        </w:rPr>
        <w:t>the injured party continues to suffer very serious negative consequences because of the outcome of the domestic decision at issue, which are not adequately remedied by the just satisfaction and cannot be rectified except by re-examination or reopening, and</w:t>
      </w:r>
    </w:p>
    <w:p w:rsidR="001B4C2E" w:rsidRDefault="001F6295" w:rsidP="00296D23">
      <w:pPr>
        <w:pStyle w:val="ECHRParaQuote"/>
        <w:rPr>
          <w:rFonts w:ascii="Times New Roman" w:eastAsia="Times New Roman" w:hAnsi="Times New Roman" w:cs="Times New Roman"/>
          <w:szCs w:val="24"/>
          <w:lang w:val="en-GB" w:eastAsia="fr-FR"/>
        </w:rPr>
      </w:pPr>
      <w:r>
        <w:rPr>
          <w:rFonts w:ascii="Times New Roman" w:eastAsia="Times New Roman" w:hAnsi="Times New Roman" w:cs="Times New Roman"/>
          <w:szCs w:val="24"/>
          <w:lang w:val="en-GB" w:eastAsia="fr-FR"/>
        </w:rPr>
        <w:t>(ii)  </w:t>
      </w:r>
      <w:r w:rsidR="00B83FFA" w:rsidRPr="001922A7">
        <w:rPr>
          <w:rFonts w:ascii="Times New Roman" w:eastAsia="Times New Roman" w:hAnsi="Times New Roman" w:cs="Times New Roman"/>
          <w:szCs w:val="24"/>
          <w:lang w:val="en-GB" w:eastAsia="fr-FR"/>
        </w:rPr>
        <w:t>the judgment of the Court leads to the conclusion that</w:t>
      </w:r>
    </w:p>
    <w:p w:rsidR="00B83FFA" w:rsidRPr="001922A7" w:rsidRDefault="001F6295" w:rsidP="00325C1D">
      <w:pPr>
        <w:pStyle w:val="ECHRParaQuote"/>
        <w:ind w:firstLine="295"/>
        <w:rPr>
          <w:rFonts w:ascii="Times New Roman" w:eastAsia="Times New Roman" w:hAnsi="Times New Roman" w:cs="Times New Roman"/>
          <w:szCs w:val="24"/>
          <w:lang w:val="en-GB" w:eastAsia="fr-FR"/>
        </w:rPr>
      </w:pPr>
      <w:r>
        <w:rPr>
          <w:rFonts w:ascii="Times New Roman" w:eastAsia="Times New Roman" w:hAnsi="Times New Roman" w:cs="Times New Roman"/>
          <w:szCs w:val="24"/>
          <w:lang w:val="en-GB" w:eastAsia="fr-FR"/>
        </w:rPr>
        <w:t>(a)  </w:t>
      </w:r>
      <w:r w:rsidR="00B83FFA" w:rsidRPr="001922A7">
        <w:rPr>
          <w:rFonts w:ascii="Times New Roman" w:eastAsia="Times New Roman" w:hAnsi="Times New Roman" w:cs="Times New Roman"/>
          <w:szCs w:val="24"/>
          <w:lang w:val="en-GB" w:eastAsia="fr-FR"/>
        </w:rPr>
        <w:t>the impugned domestic decision is on the merits contrary to the Convention, or</w:t>
      </w:r>
    </w:p>
    <w:p w:rsidR="00B83FFA" w:rsidRPr="001922A7" w:rsidRDefault="001F6295" w:rsidP="00325C1D">
      <w:pPr>
        <w:pStyle w:val="ECHRParaQuote"/>
        <w:ind w:firstLine="295"/>
        <w:rPr>
          <w:rFonts w:ascii="Times New Roman" w:eastAsia="Times New Roman" w:hAnsi="Times New Roman" w:cs="Times New Roman"/>
          <w:szCs w:val="24"/>
          <w:lang w:val="en-GB" w:eastAsia="fr-FR"/>
        </w:rPr>
      </w:pPr>
      <w:r>
        <w:rPr>
          <w:rFonts w:ascii="Times New Roman" w:eastAsia="Times New Roman" w:hAnsi="Times New Roman" w:cs="Times New Roman"/>
          <w:szCs w:val="24"/>
          <w:lang w:val="en-GB" w:eastAsia="fr-FR"/>
        </w:rPr>
        <w:t>(b)  </w:t>
      </w:r>
      <w:r w:rsidR="00B83FFA" w:rsidRPr="001922A7">
        <w:rPr>
          <w:rFonts w:ascii="Times New Roman" w:eastAsia="Times New Roman" w:hAnsi="Times New Roman" w:cs="Times New Roman"/>
          <w:szCs w:val="24"/>
          <w:lang w:val="en-GB" w:eastAsia="fr-FR"/>
        </w:rPr>
        <w:t>the violation found is based on procedural errors or shortcomings of such gravity that a serious doubt is cast on the outcome of the domestic proceedings complained of.”</w:t>
      </w:r>
    </w:p>
    <w:p w:rsidR="00014566" w:rsidRPr="001922A7" w:rsidRDefault="00014566" w:rsidP="00014566">
      <w:pPr>
        <w:pStyle w:val="ECHRTitle1"/>
        <w:rPr>
          <w:lang w:val="en-GB"/>
        </w:rPr>
      </w:pPr>
      <w:r w:rsidRPr="001922A7">
        <w:rPr>
          <w:lang w:val="en-GB"/>
        </w:rPr>
        <w:lastRenderedPageBreak/>
        <w:t>THE LAW</w:t>
      </w:r>
    </w:p>
    <w:p w:rsidR="000B5A6A" w:rsidRPr="001922A7" w:rsidRDefault="000B5A6A" w:rsidP="000B5A6A">
      <w:pPr>
        <w:pStyle w:val="ECHRHeading1"/>
        <w:rPr>
          <w:rFonts w:eastAsia="Times New Roman"/>
          <w:caps/>
          <w:lang w:val="en-GB" w:eastAsia="fr-FR"/>
        </w:rPr>
      </w:pPr>
      <w:r w:rsidRPr="001922A7">
        <w:rPr>
          <w:rFonts w:eastAsia="Times New Roman"/>
          <w:caps/>
          <w:lang w:val="en-GB" w:eastAsia="fr-FR"/>
        </w:rPr>
        <w:t>I.  </w:t>
      </w:r>
      <w:r w:rsidR="004463A3" w:rsidRPr="001922A7">
        <w:rPr>
          <w:rFonts w:eastAsia="Times New Roman"/>
          <w:caps/>
          <w:lang w:val="en-GB" w:eastAsia="fr-FR"/>
        </w:rPr>
        <w:t xml:space="preserve">ALLEGED VIOLATION OF ARTICLE 6 </w:t>
      </w:r>
      <w:r w:rsidR="004463A3" w:rsidRPr="001922A7">
        <w:rPr>
          <w:rFonts w:eastAsia="Times New Roman" w:cstheme="majorHAnsi"/>
          <w:caps/>
          <w:lang w:val="en-GB" w:eastAsia="fr-FR"/>
        </w:rPr>
        <w:t>§</w:t>
      </w:r>
      <w:r w:rsidR="004463A3" w:rsidRPr="001922A7">
        <w:rPr>
          <w:rFonts w:eastAsia="Times New Roman"/>
          <w:caps/>
          <w:lang w:val="en-GB" w:eastAsia="fr-FR"/>
        </w:rPr>
        <w:t xml:space="preserve"> 1 OF THE CONVENTION AND OF ARTICLE 1 OF PROTOCOL NO. 1</w:t>
      </w:r>
    </w:p>
    <w:p w:rsidR="004D0213" w:rsidRPr="001922A7" w:rsidRDefault="004D0213"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29</w:t>
      </w:r>
      <w:r w:rsidRPr="001922A7">
        <w:rPr>
          <w:rFonts w:eastAsia="Times New Roman"/>
          <w:lang w:val="en-GB" w:eastAsia="fr-FR"/>
        </w:rPr>
        <w:fldChar w:fldCharType="end"/>
      </w:r>
      <w:r w:rsidRPr="001922A7">
        <w:rPr>
          <w:rFonts w:eastAsia="Times New Roman"/>
          <w:lang w:val="en-GB" w:eastAsia="fr-FR"/>
        </w:rPr>
        <w:t xml:space="preserve">.  The applicant complained </w:t>
      </w:r>
      <w:r>
        <w:rPr>
          <w:rFonts w:eastAsia="Times New Roman"/>
          <w:lang w:val="en-GB" w:eastAsia="fr-FR"/>
        </w:rPr>
        <w:t>of</w:t>
      </w:r>
      <w:r w:rsidRPr="001922A7">
        <w:rPr>
          <w:rFonts w:eastAsia="Times New Roman"/>
          <w:lang w:val="en-GB" w:eastAsia="fr-FR"/>
        </w:rPr>
        <w:t xml:space="preserve"> the proceedings concerning her “appeal in the light of exceptional circumstances” </w:t>
      </w:r>
      <w:r>
        <w:rPr>
          <w:rFonts w:eastAsia="Times New Roman"/>
          <w:lang w:val="en-GB" w:eastAsia="fr-FR"/>
        </w:rPr>
        <w:t>(“ex</w:t>
      </w:r>
      <w:r w:rsidR="00EA0C94">
        <w:rPr>
          <w:rFonts w:eastAsia="Times New Roman"/>
          <w:lang w:val="en-GB" w:eastAsia="fr-FR"/>
        </w:rPr>
        <w:t xml:space="preserve">ceptional </w:t>
      </w:r>
      <w:r>
        <w:rPr>
          <w:rFonts w:eastAsia="Times New Roman"/>
          <w:lang w:val="en-GB" w:eastAsia="fr-FR"/>
        </w:rPr>
        <w:t xml:space="preserve">appeal”) </w:t>
      </w:r>
      <w:r w:rsidRPr="001922A7">
        <w:rPr>
          <w:rFonts w:eastAsia="Times New Roman"/>
          <w:lang w:val="en-GB" w:eastAsia="fr-FR"/>
        </w:rPr>
        <w:t>culminating in the Supreme Court</w:t>
      </w:r>
      <w:r w:rsidR="009912A8">
        <w:rPr>
          <w:rFonts w:eastAsia="Times New Roman"/>
          <w:lang w:val="en-GB" w:eastAsia="fr-FR"/>
        </w:rPr>
        <w:t>’</w:t>
      </w:r>
      <w:r w:rsidRPr="001922A7">
        <w:rPr>
          <w:rFonts w:eastAsia="Times New Roman"/>
          <w:lang w:val="en-GB" w:eastAsia="fr-FR"/>
        </w:rPr>
        <w:t xml:space="preserve">s decision of 14 March 2008. In particular, she argued that when dealing with her </w:t>
      </w:r>
      <w:r>
        <w:rPr>
          <w:rFonts w:eastAsia="Times New Roman"/>
          <w:lang w:val="en-GB" w:eastAsia="fr-FR"/>
        </w:rPr>
        <w:t>ex</w:t>
      </w:r>
      <w:r w:rsidR="00EA0C94">
        <w:rPr>
          <w:rFonts w:eastAsia="Times New Roman"/>
          <w:lang w:val="en-GB" w:eastAsia="fr-FR"/>
        </w:rPr>
        <w:t xml:space="preserve">ceptional </w:t>
      </w:r>
      <w:r>
        <w:rPr>
          <w:rFonts w:eastAsia="Times New Roman"/>
          <w:lang w:val="en-GB" w:eastAsia="fr-FR"/>
        </w:rPr>
        <w:t>appeal</w:t>
      </w:r>
      <w:r w:rsidRPr="001922A7">
        <w:rPr>
          <w:rFonts w:eastAsia="Times New Roman"/>
          <w:lang w:val="en-GB" w:eastAsia="fr-FR"/>
        </w:rPr>
        <w:t xml:space="preserve"> the Supreme Court had failed to take into account the Court</w:t>
      </w:r>
      <w:r w:rsidR="009912A8">
        <w:rPr>
          <w:rFonts w:eastAsia="Times New Roman"/>
          <w:lang w:val="en-GB" w:eastAsia="fr-FR"/>
        </w:rPr>
        <w:t>’</w:t>
      </w:r>
      <w:r w:rsidRPr="001922A7">
        <w:rPr>
          <w:rFonts w:eastAsia="Times New Roman"/>
          <w:lang w:val="en-GB" w:eastAsia="fr-FR"/>
        </w:rPr>
        <w:t xml:space="preserve">s findings under Article 6 § 1 of the Convention in </w:t>
      </w:r>
      <w:r>
        <w:rPr>
          <w:rFonts w:eastAsia="Times New Roman"/>
          <w:lang w:val="en-GB" w:eastAsia="fr-FR"/>
        </w:rPr>
        <w:t>its</w:t>
      </w:r>
      <w:r w:rsidRPr="001922A7">
        <w:rPr>
          <w:rFonts w:eastAsia="Times New Roman"/>
          <w:lang w:val="en-GB" w:eastAsia="fr-FR"/>
        </w:rPr>
        <w:t xml:space="preserve"> judgment of 3 May 2007 pertaining to the domestic courts</w:t>
      </w:r>
      <w:r w:rsidR="009912A8">
        <w:rPr>
          <w:rFonts w:eastAsia="Times New Roman"/>
          <w:lang w:val="en-GB" w:eastAsia="fr-FR"/>
        </w:rPr>
        <w:t>’</w:t>
      </w:r>
      <w:r w:rsidRPr="001922A7">
        <w:rPr>
          <w:rFonts w:eastAsia="Times New Roman"/>
          <w:lang w:val="en-GB" w:eastAsia="fr-FR"/>
        </w:rPr>
        <w:t xml:space="preserve"> assessment of evidence (see paragraph 15 above). </w:t>
      </w:r>
      <w:r>
        <w:rPr>
          <w:rFonts w:eastAsia="Times New Roman"/>
          <w:lang w:val="en-GB" w:eastAsia="fr-FR"/>
        </w:rPr>
        <w:t>It</w:t>
      </w:r>
      <w:r w:rsidRPr="001922A7">
        <w:rPr>
          <w:rFonts w:eastAsia="Times New Roman"/>
          <w:lang w:val="en-GB" w:eastAsia="fr-FR"/>
        </w:rPr>
        <w:t xml:space="preserve"> had </w:t>
      </w:r>
      <w:r>
        <w:rPr>
          <w:rFonts w:eastAsia="Times New Roman"/>
          <w:lang w:val="en-GB" w:eastAsia="fr-FR"/>
        </w:rPr>
        <w:t>also omitted</w:t>
      </w:r>
      <w:r w:rsidRPr="001922A7">
        <w:rPr>
          <w:rFonts w:eastAsia="Times New Roman"/>
          <w:lang w:val="en-GB" w:eastAsia="fr-FR"/>
        </w:rPr>
        <w:t xml:space="preserve"> </w:t>
      </w:r>
      <w:r>
        <w:rPr>
          <w:rFonts w:eastAsia="Times New Roman"/>
          <w:lang w:val="en-GB" w:eastAsia="fr-FR"/>
        </w:rPr>
        <w:t xml:space="preserve">to </w:t>
      </w:r>
      <w:r w:rsidRPr="001922A7">
        <w:rPr>
          <w:rFonts w:eastAsia="Times New Roman"/>
          <w:lang w:val="en-GB" w:eastAsia="fr-FR"/>
        </w:rPr>
        <w:t xml:space="preserve">address some important aspects of the case, </w:t>
      </w:r>
      <w:r>
        <w:rPr>
          <w:rFonts w:eastAsia="Times New Roman"/>
          <w:lang w:val="en-GB" w:eastAsia="fr-FR"/>
        </w:rPr>
        <w:t>notably</w:t>
      </w:r>
      <w:r w:rsidRPr="001922A7">
        <w:rPr>
          <w:rFonts w:eastAsia="Times New Roman"/>
          <w:lang w:val="en-GB" w:eastAsia="fr-FR"/>
        </w:rPr>
        <w:t xml:space="preserve"> the validity of </w:t>
      </w:r>
      <w:r>
        <w:rPr>
          <w:rFonts w:eastAsia="Times New Roman"/>
          <w:lang w:val="en-GB" w:eastAsia="fr-FR"/>
        </w:rPr>
        <w:t>the principal documentary evidence</w:t>
      </w:r>
      <w:r w:rsidRPr="001922A7">
        <w:rPr>
          <w:rFonts w:eastAsia="Times New Roman"/>
          <w:lang w:val="en-GB" w:eastAsia="fr-FR"/>
        </w:rPr>
        <w:t xml:space="preserve"> on which the domestic court</w:t>
      </w:r>
      <w:r>
        <w:rPr>
          <w:rFonts w:eastAsia="Times New Roman"/>
          <w:lang w:val="en-GB" w:eastAsia="fr-FR"/>
        </w:rPr>
        <w:t>s</w:t>
      </w:r>
      <w:r w:rsidR="009912A8">
        <w:rPr>
          <w:rFonts w:eastAsia="Times New Roman"/>
          <w:lang w:val="en-GB" w:eastAsia="fr-FR"/>
        </w:rPr>
        <w:t>’</w:t>
      </w:r>
      <w:r>
        <w:rPr>
          <w:rFonts w:eastAsia="Times New Roman"/>
          <w:lang w:val="en-GB" w:eastAsia="fr-FR"/>
        </w:rPr>
        <w:t xml:space="preserve"> decisions</w:t>
      </w:r>
      <w:r w:rsidRPr="001922A7">
        <w:rPr>
          <w:rFonts w:eastAsia="Times New Roman"/>
          <w:lang w:val="en-GB" w:eastAsia="fr-FR"/>
        </w:rPr>
        <w:t xml:space="preserve"> had been based</w:t>
      </w:r>
      <w:r w:rsidR="005234E7">
        <w:rPr>
          <w:rFonts w:eastAsia="Times New Roman"/>
          <w:lang w:val="en-GB" w:eastAsia="fr-FR"/>
        </w:rPr>
        <w:t xml:space="preserve">. Moreover, </w:t>
      </w:r>
      <w:r w:rsidRPr="001922A7">
        <w:rPr>
          <w:rFonts w:eastAsia="Times New Roman"/>
          <w:lang w:val="en-GB" w:eastAsia="fr-FR"/>
        </w:rPr>
        <w:t>its reasoning relating to the outcome of the applicant</w:t>
      </w:r>
      <w:r w:rsidR="009912A8">
        <w:rPr>
          <w:rFonts w:eastAsia="Times New Roman"/>
          <w:lang w:val="en-GB" w:eastAsia="fr-FR"/>
        </w:rPr>
        <w:t>’</w:t>
      </w:r>
      <w:r w:rsidRPr="001922A7">
        <w:rPr>
          <w:rFonts w:eastAsia="Times New Roman"/>
          <w:lang w:val="en-GB" w:eastAsia="fr-FR"/>
        </w:rPr>
        <w:t>s previous application had contradicted the Court</w:t>
      </w:r>
      <w:r w:rsidR="009912A8">
        <w:rPr>
          <w:rFonts w:eastAsia="Times New Roman"/>
          <w:lang w:val="en-GB" w:eastAsia="fr-FR"/>
        </w:rPr>
        <w:t>’</w:t>
      </w:r>
      <w:r>
        <w:rPr>
          <w:rFonts w:eastAsia="Times New Roman"/>
          <w:lang w:val="en-GB" w:eastAsia="fr-FR"/>
        </w:rPr>
        <w:t>s findings</w:t>
      </w:r>
      <w:r w:rsidRPr="001922A7">
        <w:rPr>
          <w:rFonts w:eastAsia="Times New Roman"/>
          <w:lang w:val="en-GB" w:eastAsia="fr-FR"/>
        </w:rPr>
        <w:t xml:space="preserve"> in </w:t>
      </w:r>
      <w:r w:rsidR="00BF247D">
        <w:rPr>
          <w:rFonts w:eastAsia="Times New Roman"/>
          <w:lang w:val="en-GB" w:eastAsia="fr-FR"/>
        </w:rPr>
        <w:t>th</w:t>
      </w:r>
      <w:r w:rsidR="00EA0C94">
        <w:rPr>
          <w:rFonts w:eastAsia="Times New Roman"/>
          <w:lang w:val="en-GB" w:eastAsia="fr-FR"/>
        </w:rPr>
        <w:t>e judgment of 3 May 2007</w:t>
      </w:r>
      <w:r w:rsidRPr="001922A7">
        <w:rPr>
          <w:rFonts w:eastAsia="Times New Roman"/>
          <w:lang w:val="en-GB" w:eastAsia="fr-FR"/>
        </w:rPr>
        <w:t xml:space="preserve"> (see paragraphs 13 and 18 above). According to the applicant, the unfair manner in which the Supreme Court had dealt with her </w:t>
      </w:r>
      <w:r>
        <w:rPr>
          <w:rFonts w:eastAsia="Times New Roman"/>
          <w:lang w:val="en-GB" w:eastAsia="fr-FR"/>
        </w:rPr>
        <w:t>ex</w:t>
      </w:r>
      <w:r w:rsidR="00EA0C94">
        <w:rPr>
          <w:rFonts w:eastAsia="Times New Roman"/>
          <w:lang w:val="en-GB" w:eastAsia="fr-FR"/>
        </w:rPr>
        <w:t xml:space="preserve">ceptional </w:t>
      </w:r>
      <w:r>
        <w:rPr>
          <w:rFonts w:eastAsia="Times New Roman"/>
          <w:lang w:val="en-GB" w:eastAsia="fr-FR"/>
        </w:rPr>
        <w:t>appeal</w:t>
      </w:r>
      <w:r w:rsidRPr="001922A7">
        <w:rPr>
          <w:rFonts w:eastAsia="Times New Roman"/>
          <w:lang w:val="en-GB" w:eastAsia="fr-FR"/>
        </w:rPr>
        <w:t xml:space="preserve"> had entailed a fresh violation of Article 6 § 1 of the Convention and Article 1 of Protocol No. 1. These provisions read, in so far as relevant to the applicant</w:t>
      </w:r>
      <w:r w:rsidR="009912A8">
        <w:rPr>
          <w:rFonts w:eastAsia="Times New Roman"/>
          <w:lang w:val="en-GB" w:eastAsia="fr-FR"/>
        </w:rPr>
        <w:t>’</w:t>
      </w:r>
      <w:r w:rsidRPr="001922A7">
        <w:rPr>
          <w:rFonts w:eastAsia="Times New Roman"/>
          <w:lang w:val="en-GB" w:eastAsia="fr-FR"/>
        </w:rPr>
        <w:t>s submissions, as follows:</w:t>
      </w:r>
    </w:p>
    <w:p w:rsidR="00E24964" w:rsidRPr="001922A7" w:rsidRDefault="00E24964" w:rsidP="00296D23">
      <w:pPr>
        <w:pStyle w:val="ECHRTitleCentre3"/>
        <w:rPr>
          <w:rFonts w:eastAsia="Times New Roman"/>
          <w:lang w:val="en-GB" w:eastAsia="fr-FR"/>
        </w:rPr>
      </w:pPr>
      <w:r w:rsidRPr="001922A7">
        <w:rPr>
          <w:rFonts w:eastAsia="Times New Roman"/>
          <w:lang w:val="en-GB" w:eastAsia="fr-FR"/>
        </w:rPr>
        <w:t>Article 6</w:t>
      </w:r>
      <w:r w:rsidR="00A30936">
        <w:rPr>
          <w:rFonts w:eastAsia="Times New Roman"/>
          <w:lang w:val="en-GB" w:eastAsia="fr-FR"/>
        </w:rPr>
        <w:t xml:space="preserve"> § 1</w:t>
      </w:r>
    </w:p>
    <w:p w:rsidR="00E24964" w:rsidRPr="001922A7" w:rsidRDefault="00E24964" w:rsidP="00296D23">
      <w:pPr>
        <w:pStyle w:val="ECHRParaQuote"/>
        <w:rPr>
          <w:rFonts w:eastAsia="Times New Roman"/>
          <w:lang w:val="en-GB" w:eastAsia="fr-FR"/>
        </w:rPr>
      </w:pPr>
      <w:r w:rsidRPr="001922A7">
        <w:rPr>
          <w:rFonts w:eastAsia="Times New Roman"/>
          <w:lang w:val="en-GB" w:eastAsia="fr-FR"/>
        </w:rPr>
        <w:t>“In the determination of his civil rights and obligations ... everyone is entitled to a fair ... hearing ... by [a] ... tribunal ...”</w:t>
      </w:r>
    </w:p>
    <w:p w:rsidR="00E24964" w:rsidRPr="00C264C5" w:rsidRDefault="00E24964" w:rsidP="00C264C5">
      <w:pPr>
        <w:pStyle w:val="ECHRTitleCentre3"/>
        <w:rPr>
          <w:rFonts w:eastAsia="Times New Roman"/>
          <w:lang w:val="en-GB" w:eastAsia="fr-FR"/>
        </w:rPr>
      </w:pPr>
      <w:r w:rsidRPr="00296D23">
        <w:rPr>
          <w:rFonts w:eastAsia="Times New Roman"/>
          <w:lang w:val="en-GB" w:eastAsia="fr-FR"/>
        </w:rPr>
        <w:t>Article 1 of Protocol No.</w:t>
      </w:r>
      <w:r w:rsidRPr="00C264C5">
        <w:rPr>
          <w:rFonts w:eastAsia="Times New Roman"/>
          <w:lang w:val="en-GB" w:eastAsia="fr-FR"/>
        </w:rPr>
        <w:t xml:space="preserve"> 1</w:t>
      </w:r>
    </w:p>
    <w:p w:rsidR="00E24964" w:rsidRPr="00296D23" w:rsidRDefault="00E24964" w:rsidP="00296D23">
      <w:pPr>
        <w:pStyle w:val="ECHRParaQuote"/>
        <w:rPr>
          <w:rFonts w:eastAsia="Times New Roman"/>
          <w:lang w:val="en-GB" w:eastAsia="fr-FR"/>
        </w:rPr>
      </w:pPr>
      <w:r w:rsidRPr="00296D23">
        <w:rPr>
          <w:rFonts w:eastAsia="Times New Roman"/>
          <w:lang w:val="en-GB" w:eastAsia="fr-FR"/>
        </w:rP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E24964" w:rsidRPr="00296D23" w:rsidRDefault="00E24964" w:rsidP="00296D23">
      <w:pPr>
        <w:pStyle w:val="ECHRParaQuote"/>
        <w:rPr>
          <w:rFonts w:eastAsia="Times New Roman"/>
          <w:lang w:val="en-GB" w:eastAsia="fr-FR"/>
        </w:rPr>
      </w:pPr>
      <w:r w:rsidRPr="00296D23">
        <w:rPr>
          <w:rFonts w:eastAsia="Times New Roman"/>
          <w:lang w:val="en-GB" w:eastAsia="fr-FR"/>
        </w:rP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BA4AA7" w:rsidRPr="001922A7" w:rsidRDefault="00E24964"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30</w:t>
      </w:r>
      <w:r w:rsidRPr="001922A7">
        <w:rPr>
          <w:rFonts w:eastAsia="Times New Roman"/>
          <w:lang w:val="en-GB" w:eastAsia="fr-FR"/>
        </w:rPr>
        <w:fldChar w:fldCharType="end"/>
      </w:r>
      <w:r w:rsidRPr="001922A7">
        <w:rPr>
          <w:rFonts w:eastAsia="Times New Roman"/>
          <w:lang w:val="en-GB" w:eastAsia="fr-FR"/>
        </w:rPr>
        <w:t>.  </w:t>
      </w:r>
      <w:r w:rsidR="00E354A7" w:rsidRPr="001922A7">
        <w:rPr>
          <w:rFonts w:eastAsia="Times New Roman"/>
          <w:lang w:val="en-GB" w:eastAsia="fr-FR"/>
        </w:rPr>
        <w:t>At the outset, t</w:t>
      </w:r>
      <w:r w:rsidRPr="001922A7">
        <w:rPr>
          <w:rFonts w:eastAsia="Times New Roman"/>
          <w:lang w:val="en-GB" w:eastAsia="fr-FR"/>
        </w:rPr>
        <w:t xml:space="preserve">he </w:t>
      </w:r>
      <w:r w:rsidR="000B5A6A" w:rsidRPr="001922A7">
        <w:rPr>
          <w:rFonts w:eastAsia="Times New Roman"/>
          <w:lang w:val="en-GB" w:eastAsia="fr-FR"/>
        </w:rPr>
        <w:t>Court</w:t>
      </w:r>
      <w:r w:rsidRPr="001922A7">
        <w:rPr>
          <w:rFonts w:eastAsia="Times New Roman"/>
          <w:lang w:val="en-GB" w:eastAsia="fr-FR"/>
        </w:rPr>
        <w:t xml:space="preserve"> </w:t>
      </w:r>
      <w:r w:rsidR="007214D8" w:rsidRPr="001922A7">
        <w:rPr>
          <w:rFonts w:eastAsia="Times New Roman"/>
          <w:lang w:val="en-GB" w:eastAsia="fr-FR"/>
        </w:rPr>
        <w:t>notes</w:t>
      </w:r>
      <w:r w:rsidRPr="001922A7">
        <w:rPr>
          <w:rFonts w:eastAsia="Times New Roman"/>
          <w:lang w:val="en-GB" w:eastAsia="fr-FR"/>
        </w:rPr>
        <w:t xml:space="preserve"> that the present application </w:t>
      </w:r>
      <w:r w:rsidR="00BA4AA7" w:rsidRPr="001922A7">
        <w:rPr>
          <w:rFonts w:eastAsia="Times New Roman"/>
          <w:lang w:val="en-GB" w:eastAsia="fr-FR"/>
        </w:rPr>
        <w:t xml:space="preserve">is a sequel to a previous application lodged by the same applicant in relation to civil </w:t>
      </w:r>
      <w:r w:rsidR="00A23B0D" w:rsidRPr="001922A7">
        <w:rPr>
          <w:rFonts w:eastAsia="Times New Roman"/>
          <w:lang w:val="en-GB" w:eastAsia="fr-FR"/>
        </w:rPr>
        <w:t xml:space="preserve">litigation </w:t>
      </w:r>
      <w:r w:rsidR="00BA4AA7" w:rsidRPr="001922A7">
        <w:rPr>
          <w:rFonts w:eastAsia="Times New Roman"/>
          <w:lang w:val="en-GB" w:eastAsia="fr-FR"/>
        </w:rPr>
        <w:t xml:space="preserve">concerning </w:t>
      </w:r>
      <w:r w:rsidR="00A23B0D" w:rsidRPr="001922A7">
        <w:rPr>
          <w:rFonts w:eastAsia="Times New Roman"/>
          <w:lang w:val="en-GB" w:eastAsia="fr-FR"/>
        </w:rPr>
        <w:t xml:space="preserve">a dispute over </w:t>
      </w:r>
      <w:r w:rsidR="00BA4AA7" w:rsidRPr="001922A7">
        <w:rPr>
          <w:rFonts w:eastAsia="Times New Roman"/>
          <w:lang w:val="en-GB" w:eastAsia="fr-FR"/>
        </w:rPr>
        <w:t xml:space="preserve">title to immovable property. </w:t>
      </w:r>
      <w:r w:rsidR="00A14938" w:rsidRPr="001922A7">
        <w:rPr>
          <w:rFonts w:eastAsia="Times New Roman"/>
          <w:lang w:val="en-GB" w:eastAsia="fr-FR"/>
        </w:rPr>
        <w:t xml:space="preserve">In </w:t>
      </w:r>
      <w:r w:rsidR="00A23B0D" w:rsidRPr="001922A7">
        <w:rPr>
          <w:rFonts w:eastAsia="Times New Roman"/>
          <w:lang w:val="en-GB" w:eastAsia="fr-FR"/>
        </w:rPr>
        <w:t xml:space="preserve">its </w:t>
      </w:r>
      <w:r w:rsidR="00A14938" w:rsidRPr="001922A7">
        <w:rPr>
          <w:rFonts w:eastAsia="Times New Roman"/>
          <w:lang w:val="en-GB" w:eastAsia="fr-FR"/>
        </w:rPr>
        <w:t xml:space="preserve">judgment </w:t>
      </w:r>
      <w:r w:rsidR="007214D8" w:rsidRPr="001922A7">
        <w:rPr>
          <w:rFonts w:eastAsia="Times New Roman"/>
          <w:lang w:val="en-GB" w:eastAsia="fr-FR"/>
        </w:rPr>
        <w:t xml:space="preserve">of 3 May 2007 </w:t>
      </w:r>
      <w:r w:rsidR="00A14938" w:rsidRPr="001922A7">
        <w:rPr>
          <w:rFonts w:eastAsia="Times New Roman"/>
          <w:lang w:val="en-GB" w:eastAsia="fr-FR"/>
        </w:rPr>
        <w:t xml:space="preserve">concerning that application, the Court </w:t>
      </w:r>
      <w:r w:rsidR="007C145F">
        <w:rPr>
          <w:rFonts w:eastAsia="Times New Roman"/>
          <w:lang w:val="en-GB" w:eastAsia="fr-FR"/>
        </w:rPr>
        <w:t xml:space="preserve">held </w:t>
      </w:r>
      <w:r w:rsidR="00A14938" w:rsidRPr="001922A7">
        <w:rPr>
          <w:rFonts w:eastAsia="Times New Roman"/>
          <w:lang w:val="en-GB" w:eastAsia="fr-FR"/>
        </w:rPr>
        <w:t>that the domestic courts</w:t>
      </w:r>
      <w:r w:rsidR="009912A8">
        <w:rPr>
          <w:rFonts w:eastAsia="Times New Roman"/>
          <w:lang w:val="en-GB" w:eastAsia="fr-FR"/>
        </w:rPr>
        <w:t>’</w:t>
      </w:r>
      <w:r w:rsidR="00A14938" w:rsidRPr="001922A7">
        <w:rPr>
          <w:rFonts w:eastAsia="Times New Roman"/>
          <w:lang w:val="en-GB" w:eastAsia="fr-FR"/>
        </w:rPr>
        <w:t xml:space="preserve"> decisions had been reached in proceedings </w:t>
      </w:r>
      <w:r w:rsidR="00A23B0D" w:rsidRPr="001922A7">
        <w:rPr>
          <w:rFonts w:eastAsia="Times New Roman"/>
          <w:lang w:val="en-GB" w:eastAsia="fr-FR"/>
        </w:rPr>
        <w:t xml:space="preserve">which failed </w:t>
      </w:r>
      <w:r w:rsidR="00A14938" w:rsidRPr="001922A7">
        <w:rPr>
          <w:rFonts w:eastAsia="Times New Roman"/>
          <w:lang w:val="en-GB" w:eastAsia="fr-FR"/>
        </w:rPr>
        <w:t>to respect Article 6 §</w:t>
      </w:r>
      <w:r w:rsidR="00080C30">
        <w:rPr>
          <w:rFonts w:eastAsia="Times New Roman"/>
          <w:lang w:val="en-GB" w:eastAsia="fr-FR"/>
        </w:rPr>
        <w:t xml:space="preserve"> </w:t>
      </w:r>
      <w:r w:rsidR="00A14938" w:rsidRPr="001922A7">
        <w:rPr>
          <w:rFonts w:eastAsia="Times New Roman"/>
          <w:lang w:val="en-GB" w:eastAsia="fr-FR"/>
        </w:rPr>
        <w:t>1 fair</w:t>
      </w:r>
      <w:r w:rsidR="007C145F">
        <w:rPr>
          <w:rFonts w:eastAsia="Times New Roman"/>
          <w:lang w:val="en-GB" w:eastAsia="fr-FR"/>
        </w:rPr>
        <w:t>-</w:t>
      </w:r>
      <w:r w:rsidR="00A14938" w:rsidRPr="001922A7">
        <w:rPr>
          <w:rFonts w:eastAsia="Times New Roman"/>
          <w:lang w:val="en-GB" w:eastAsia="fr-FR"/>
        </w:rPr>
        <w:t xml:space="preserve">hearing guarantees of independence and impartiality, legal certainty and the requirement to give sufficient reasons (see paragraphs </w:t>
      </w:r>
      <w:r w:rsidR="0042362F" w:rsidRPr="001922A7">
        <w:rPr>
          <w:rFonts w:eastAsia="Times New Roman"/>
          <w:lang w:val="en-GB" w:eastAsia="fr-FR"/>
        </w:rPr>
        <w:t>13-15</w:t>
      </w:r>
      <w:r w:rsidR="00A14938" w:rsidRPr="001922A7">
        <w:rPr>
          <w:rFonts w:eastAsia="Times New Roman"/>
          <w:lang w:val="en-GB" w:eastAsia="fr-FR"/>
        </w:rPr>
        <w:t xml:space="preserve"> above).</w:t>
      </w:r>
      <w:r w:rsidR="007214D8" w:rsidRPr="001922A7">
        <w:rPr>
          <w:lang w:val="en-GB"/>
        </w:rPr>
        <w:t xml:space="preserve"> </w:t>
      </w:r>
      <w:r w:rsidR="0029057E">
        <w:rPr>
          <w:lang w:val="en-GB"/>
        </w:rPr>
        <w:t xml:space="preserve">Relying </w:t>
      </w:r>
      <w:r w:rsidR="0029057E" w:rsidRPr="001922A7">
        <w:rPr>
          <w:rFonts w:eastAsia="Times New Roman"/>
          <w:lang w:val="en-GB" w:eastAsia="fr-FR"/>
        </w:rPr>
        <w:t>principally on the Court</w:t>
      </w:r>
      <w:r w:rsidR="009912A8">
        <w:rPr>
          <w:rFonts w:eastAsia="Times New Roman"/>
          <w:lang w:val="en-GB" w:eastAsia="fr-FR"/>
        </w:rPr>
        <w:t>’</w:t>
      </w:r>
      <w:r w:rsidR="0029057E" w:rsidRPr="001922A7">
        <w:rPr>
          <w:rFonts w:eastAsia="Times New Roman"/>
          <w:lang w:val="en-GB" w:eastAsia="fr-FR"/>
        </w:rPr>
        <w:t xml:space="preserve">s judgment </w:t>
      </w:r>
      <w:r w:rsidR="0029057E" w:rsidRPr="001922A7">
        <w:rPr>
          <w:rFonts w:eastAsia="Times New Roman"/>
          <w:lang w:val="en-GB" w:eastAsia="fr-FR"/>
        </w:rPr>
        <w:lastRenderedPageBreak/>
        <w:t>of 3</w:t>
      </w:r>
      <w:r w:rsidR="00080C30">
        <w:rPr>
          <w:rFonts w:eastAsia="Times New Roman"/>
          <w:lang w:val="en-GB" w:eastAsia="fr-FR"/>
        </w:rPr>
        <w:t xml:space="preserve"> </w:t>
      </w:r>
      <w:r w:rsidR="0029057E" w:rsidRPr="001922A7">
        <w:rPr>
          <w:rFonts w:eastAsia="Times New Roman"/>
          <w:lang w:val="en-GB" w:eastAsia="fr-FR"/>
        </w:rPr>
        <w:t>May 2007</w:t>
      </w:r>
      <w:r w:rsidR="0029057E">
        <w:rPr>
          <w:rFonts w:eastAsia="Times New Roman"/>
          <w:lang w:val="en-GB" w:eastAsia="fr-FR"/>
        </w:rPr>
        <w:t xml:space="preserve">, </w:t>
      </w:r>
      <w:r w:rsidR="0029057E">
        <w:rPr>
          <w:lang w:val="en-GB"/>
        </w:rPr>
        <w:t>the applicant lodged an ex</w:t>
      </w:r>
      <w:r w:rsidR="007C145F">
        <w:rPr>
          <w:lang w:val="en-GB"/>
        </w:rPr>
        <w:t xml:space="preserve">ceptional </w:t>
      </w:r>
      <w:r w:rsidR="0029057E">
        <w:rPr>
          <w:lang w:val="en-GB"/>
        </w:rPr>
        <w:t>appeal with the Supreme Court challenging the said decisions. In the proceedings decided in March 2008, which are the subject of her present application, t</w:t>
      </w:r>
      <w:r w:rsidR="0029057E" w:rsidRPr="001922A7">
        <w:rPr>
          <w:lang w:val="en-GB"/>
        </w:rPr>
        <w:t xml:space="preserve">he </w:t>
      </w:r>
      <w:r w:rsidR="0029057E">
        <w:rPr>
          <w:lang w:val="en-GB"/>
        </w:rPr>
        <w:t>Supreme Court rejected her appeal</w:t>
      </w:r>
      <w:r w:rsidR="007C145F">
        <w:rPr>
          <w:lang w:val="en-GB"/>
        </w:rPr>
        <w:t>,</w:t>
      </w:r>
      <w:r w:rsidR="0029057E">
        <w:rPr>
          <w:lang w:val="en-GB"/>
        </w:rPr>
        <w:t xml:space="preserve"> holding that </w:t>
      </w:r>
      <w:r w:rsidR="0029057E" w:rsidRPr="00647498">
        <w:rPr>
          <w:lang w:val="en-GB"/>
        </w:rPr>
        <w:t>the domestic decisions had been correct and well-founded.</w:t>
      </w:r>
    </w:p>
    <w:p w:rsidR="0029057E" w:rsidRPr="001922A7" w:rsidRDefault="0029057E"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31</w:t>
      </w:r>
      <w:r w:rsidRPr="001922A7">
        <w:rPr>
          <w:rFonts w:eastAsia="Times New Roman"/>
          <w:lang w:val="en-GB" w:eastAsia="fr-FR"/>
        </w:rPr>
        <w:fldChar w:fldCharType="end"/>
      </w:r>
      <w:r w:rsidRPr="001922A7">
        <w:rPr>
          <w:rFonts w:eastAsia="Times New Roman"/>
          <w:lang w:val="en-GB" w:eastAsia="fr-FR"/>
        </w:rPr>
        <w:t>.  </w:t>
      </w:r>
      <w:r w:rsidR="007C145F">
        <w:rPr>
          <w:rFonts w:eastAsia="Times New Roman"/>
          <w:lang w:val="en-GB" w:eastAsia="fr-FR"/>
        </w:rPr>
        <w:t>T</w:t>
      </w:r>
      <w:r>
        <w:rPr>
          <w:rFonts w:eastAsia="Times New Roman"/>
          <w:lang w:val="en-GB" w:eastAsia="fr-FR"/>
        </w:rPr>
        <w:t>he Court</w:t>
      </w:r>
      <w:r w:rsidR="00BF247D">
        <w:rPr>
          <w:rFonts w:eastAsia="Times New Roman"/>
          <w:lang w:val="en-GB" w:eastAsia="fr-FR"/>
        </w:rPr>
        <w:t xml:space="preserve"> must </w:t>
      </w:r>
      <w:r w:rsidR="007C145F">
        <w:rPr>
          <w:rFonts w:eastAsia="Times New Roman"/>
          <w:lang w:val="en-GB" w:eastAsia="fr-FR"/>
        </w:rPr>
        <w:t xml:space="preserve">determine </w:t>
      </w:r>
      <w:r w:rsidRPr="001922A7">
        <w:rPr>
          <w:rFonts w:eastAsia="Times New Roman"/>
          <w:lang w:val="en-GB" w:eastAsia="fr-FR"/>
        </w:rPr>
        <w:t xml:space="preserve">in the first place whether it is prevented by Article 46 of the Convention from dealing with the </w:t>
      </w:r>
      <w:r w:rsidR="007C145F">
        <w:rPr>
          <w:rFonts w:eastAsia="Times New Roman"/>
          <w:lang w:val="en-GB" w:eastAsia="fr-FR"/>
        </w:rPr>
        <w:t xml:space="preserve">various complaints made by the applicant, in view of </w:t>
      </w:r>
      <w:r w:rsidRPr="001922A7">
        <w:rPr>
          <w:rFonts w:eastAsia="Times New Roman"/>
          <w:lang w:val="en-GB" w:eastAsia="fr-FR"/>
        </w:rPr>
        <w:t xml:space="preserve">the distribution of powers </w:t>
      </w:r>
      <w:r w:rsidR="007C145F">
        <w:rPr>
          <w:rFonts w:eastAsia="Times New Roman"/>
          <w:lang w:val="en-GB" w:eastAsia="fr-FR"/>
        </w:rPr>
        <w:t xml:space="preserve">effected by the Convention </w:t>
      </w:r>
      <w:r w:rsidRPr="001922A7">
        <w:rPr>
          <w:rFonts w:eastAsia="Times New Roman"/>
          <w:lang w:val="en-GB" w:eastAsia="fr-FR"/>
        </w:rPr>
        <w:t xml:space="preserve">between the Committee of Ministers and the Court as regards the supervision of </w:t>
      </w:r>
      <w:r>
        <w:rPr>
          <w:rFonts w:eastAsia="Times New Roman"/>
          <w:lang w:val="en-GB" w:eastAsia="fr-FR"/>
        </w:rPr>
        <w:t xml:space="preserve">the </w:t>
      </w:r>
      <w:r w:rsidRPr="001922A7">
        <w:rPr>
          <w:rFonts w:eastAsia="Times New Roman"/>
          <w:lang w:val="en-GB" w:eastAsia="fr-FR"/>
        </w:rPr>
        <w:t>execution of the Court</w:t>
      </w:r>
      <w:r w:rsidR="009912A8">
        <w:rPr>
          <w:rFonts w:eastAsia="Times New Roman"/>
          <w:lang w:val="en-GB" w:eastAsia="fr-FR"/>
        </w:rPr>
        <w:t>’</w:t>
      </w:r>
      <w:r w:rsidRPr="001922A7">
        <w:rPr>
          <w:rFonts w:eastAsia="Times New Roman"/>
          <w:lang w:val="en-GB" w:eastAsia="fr-FR"/>
        </w:rPr>
        <w:t xml:space="preserve">s judgments (see, for instance, </w:t>
      </w:r>
      <w:r w:rsidRPr="001922A7">
        <w:rPr>
          <w:rFonts w:eastAsia="Times New Roman"/>
          <w:i/>
          <w:lang w:val="en-GB" w:eastAsia="fr-FR"/>
        </w:rPr>
        <w:t>Lyons and Others v. the United Kingdom</w:t>
      </w:r>
      <w:r w:rsidRPr="001922A7">
        <w:rPr>
          <w:rFonts w:eastAsia="Times New Roman"/>
          <w:lang w:val="en-GB" w:eastAsia="fr-FR"/>
        </w:rPr>
        <w:t xml:space="preserve"> </w:t>
      </w:r>
      <w:r w:rsidR="00557875">
        <w:rPr>
          <w:rFonts w:eastAsia="Times New Roman"/>
          <w:lang w:val="en-GB" w:eastAsia="fr-FR"/>
        </w:rPr>
        <w:t>(dec.), no. 15227/03, ECHR 2003</w:t>
      </w:r>
      <w:r w:rsidR="00557875">
        <w:rPr>
          <w:rFonts w:eastAsia="Times New Roman"/>
          <w:lang w:val="en-GB" w:eastAsia="fr-FR"/>
        </w:rPr>
        <w:noBreakHyphen/>
      </w:r>
      <w:r w:rsidRPr="001922A7">
        <w:rPr>
          <w:rFonts w:eastAsia="Times New Roman"/>
          <w:lang w:val="en-GB" w:eastAsia="fr-FR"/>
        </w:rPr>
        <w:t>IX).</w:t>
      </w:r>
      <w:r w:rsidRPr="00B13F30">
        <w:rPr>
          <w:rFonts w:eastAsia="Times New Roman"/>
        </w:rPr>
        <w:t xml:space="preserve"> </w:t>
      </w:r>
      <w:r>
        <w:rPr>
          <w:rFonts w:eastAsia="Times New Roman"/>
        </w:rPr>
        <w:t xml:space="preserve">Secondly, </w:t>
      </w:r>
      <w:r w:rsidR="007C145F">
        <w:rPr>
          <w:rFonts w:eastAsia="Times New Roman"/>
        </w:rPr>
        <w:t xml:space="preserve">insofar as it is not so prevented, </w:t>
      </w:r>
      <w:r>
        <w:rPr>
          <w:rFonts w:eastAsia="Times New Roman"/>
        </w:rPr>
        <w:t>it must examine</w:t>
      </w:r>
      <w:r w:rsidRPr="00EF363A">
        <w:rPr>
          <w:rFonts w:eastAsia="Times New Roman"/>
        </w:rPr>
        <w:t xml:space="preserve"> whether the domestic proceedings </w:t>
      </w:r>
      <w:r>
        <w:rPr>
          <w:rFonts w:eastAsia="Times New Roman"/>
        </w:rPr>
        <w:t>on the applicant</w:t>
      </w:r>
      <w:r w:rsidR="009912A8">
        <w:rPr>
          <w:rFonts w:eastAsia="Times New Roman"/>
        </w:rPr>
        <w:t>’</w:t>
      </w:r>
      <w:r>
        <w:rPr>
          <w:rFonts w:eastAsia="Times New Roman"/>
        </w:rPr>
        <w:t>s ex</w:t>
      </w:r>
      <w:r w:rsidR="007C145F">
        <w:rPr>
          <w:rFonts w:eastAsia="Times New Roman"/>
        </w:rPr>
        <w:t xml:space="preserve">ceptional </w:t>
      </w:r>
      <w:r>
        <w:rPr>
          <w:rFonts w:eastAsia="Times New Roman"/>
        </w:rPr>
        <w:t xml:space="preserve">appeal </w:t>
      </w:r>
      <w:r w:rsidRPr="00EF363A">
        <w:rPr>
          <w:rFonts w:eastAsia="Times New Roman"/>
        </w:rPr>
        <w:t xml:space="preserve">attracted the guarantees of the Convention, in particular those under </w:t>
      </w:r>
      <w:r>
        <w:rPr>
          <w:rFonts w:eastAsia="Times New Roman"/>
        </w:rPr>
        <w:t xml:space="preserve">its </w:t>
      </w:r>
      <w:r w:rsidRPr="00EF363A">
        <w:rPr>
          <w:rFonts w:eastAsia="Times New Roman"/>
        </w:rPr>
        <w:t>Article 6</w:t>
      </w:r>
      <w:r w:rsidR="00080C30">
        <w:rPr>
          <w:rFonts w:eastAsia="Times New Roman"/>
        </w:rPr>
        <w:t xml:space="preserve"> </w:t>
      </w:r>
      <w:r w:rsidRPr="00EF363A">
        <w:rPr>
          <w:rFonts w:eastAsia="Times New Roman"/>
        </w:rPr>
        <w:t>§</w:t>
      </w:r>
      <w:r w:rsidR="00080C30">
        <w:rPr>
          <w:rFonts w:eastAsia="Times New Roman"/>
        </w:rPr>
        <w:t xml:space="preserve"> </w:t>
      </w:r>
      <w:r w:rsidRPr="00EF363A">
        <w:rPr>
          <w:rFonts w:eastAsia="Times New Roman"/>
        </w:rPr>
        <w:t xml:space="preserve">1 (see </w:t>
      </w:r>
      <w:r w:rsidRPr="00EF363A">
        <w:rPr>
          <w:rFonts w:eastAsia="Times New Roman"/>
          <w:i/>
          <w:iCs/>
          <w:color w:val="000000"/>
          <w:szCs w:val="24"/>
          <w:lang w:eastAsia="en-GB"/>
        </w:rPr>
        <w:t>Steck-Risch and Others v. Liechtenstein</w:t>
      </w:r>
      <w:r w:rsidRPr="00EF363A">
        <w:rPr>
          <w:rFonts w:eastAsia="Times New Roman"/>
          <w:color w:val="000000"/>
          <w:szCs w:val="24"/>
          <w:lang w:eastAsia="en-GB"/>
        </w:rPr>
        <w:t xml:space="preserve"> </w:t>
      </w:r>
      <w:r w:rsidRPr="00EF363A">
        <w:rPr>
          <w:rFonts w:eastAsia="Times New Roman"/>
        </w:rPr>
        <w:t xml:space="preserve">(dec.), </w:t>
      </w:r>
      <w:r w:rsidRPr="00EF363A">
        <w:rPr>
          <w:rFonts w:eastAsia="Times New Roman"/>
          <w:color w:val="000000"/>
          <w:szCs w:val="24"/>
          <w:lang w:eastAsia="en-GB"/>
        </w:rPr>
        <w:t>no.</w:t>
      </w:r>
      <w:r w:rsidR="00080C30">
        <w:rPr>
          <w:rFonts w:eastAsia="Times New Roman"/>
          <w:color w:val="000000"/>
          <w:szCs w:val="24"/>
          <w:lang w:eastAsia="en-GB"/>
        </w:rPr>
        <w:t xml:space="preserve"> </w:t>
      </w:r>
      <w:r w:rsidRPr="00EF363A">
        <w:rPr>
          <w:rFonts w:eastAsia="Times New Roman"/>
          <w:color w:val="000000"/>
          <w:szCs w:val="24"/>
          <w:lang w:eastAsia="en-GB"/>
        </w:rPr>
        <w:t xml:space="preserve">29061/08, </w:t>
      </w:r>
      <w:r w:rsidRPr="00EF363A">
        <w:rPr>
          <w:rFonts w:eastAsia="Times New Roman"/>
        </w:rPr>
        <w:t>11 May 2010)</w:t>
      </w:r>
      <w:r w:rsidR="00416F78">
        <w:rPr>
          <w:rFonts w:eastAsia="Times New Roman"/>
        </w:rPr>
        <w:t xml:space="preserve"> and, if so, whether the requirements of </w:t>
      </w:r>
      <w:r w:rsidR="00557875">
        <w:rPr>
          <w:rFonts w:eastAsia="Times New Roman"/>
        </w:rPr>
        <w:t>Article 6 § </w:t>
      </w:r>
      <w:r w:rsidR="00416F78" w:rsidRPr="00416F78">
        <w:rPr>
          <w:rFonts w:eastAsia="Times New Roman"/>
        </w:rPr>
        <w:t>1</w:t>
      </w:r>
      <w:r w:rsidR="00416F78">
        <w:rPr>
          <w:rFonts w:eastAsia="Times New Roman"/>
        </w:rPr>
        <w:t xml:space="preserve"> were complied with</w:t>
      </w:r>
      <w:r w:rsidRPr="00EF363A">
        <w:rPr>
          <w:rFonts w:eastAsia="Times New Roman"/>
        </w:rPr>
        <w:t>.</w:t>
      </w:r>
    </w:p>
    <w:p w:rsidR="0029057E" w:rsidRPr="001922A7" w:rsidRDefault="0029057E"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32</w:t>
      </w:r>
      <w:r w:rsidRPr="001922A7">
        <w:rPr>
          <w:rFonts w:eastAsia="Times New Roman"/>
          <w:lang w:val="en-GB" w:eastAsia="fr-FR"/>
        </w:rPr>
        <w:fldChar w:fldCharType="end"/>
      </w:r>
      <w:r w:rsidRPr="001922A7">
        <w:rPr>
          <w:rFonts w:eastAsia="Times New Roman"/>
          <w:lang w:val="en-GB" w:eastAsia="fr-FR"/>
        </w:rPr>
        <w:t>.  </w:t>
      </w:r>
      <w:r w:rsidR="007C145F">
        <w:rPr>
          <w:rFonts w:eastAsia="Times New Roman"/>
          <w:lang w:val="en-GB" w:eastAsia="fr-FR"/>
        </w:rPr>
        <w:t xml:space="preserve">As a preliminary to this, it is to be noted </w:t>
      </w:r>
      <w:r w:rsidRPr="001922A7">
        <w:rPr>
          <w:rFonts w:eastAsia="Times New Roman"/>
          <w:lang w:val="en-GB" w:eastAsia="fr-FR"/>
        </w:rPr>
        <w:t>that the applicant</w:t>
      </w:r>
      <w:r w:rsidR="009912A8">
        <w:rPr>
          <w:rFonts w:eastAsia="Times New Roman"/>
          <w:lang w:val="en-GB" w:eastAsia="fr-FR"/>
        </w:rPr>
        <w:t>’</w:t>
      </w:r>
      <w:r w:rsidRPr="001922A7">
        <w:rPr>
          <w:rFonts w:eastAsia="Times New Roman"/>
          <w:lang w:val="en-GB" w:eastAsia="fr-FR"/>
        </w:rPr>
        <w:t xml:space="preserve">s complaints are principally directed against the proceedings in her </w:t>
      </w:r>
      <w:r>
        <w:rPr>
          <w:rFonts w:eastAsia="Times New Roman"/>
          <w:lang w:val="en-GB" w:eastAsia="fr-FR"/>
        </w:rPr>
        <w:t>ex</w:t>
      </w:r>
      <w:r w:rsidR="007C145F">
        <w:rPr>
          <w:rFonts w:eastAsia="Times New Roman"/>
          <w:lang w:val="en-GB" w:eastAsia="fr-FR"/>
        </w:rPr>
        <w:t xml:space="preserve">ceptional </w:t>
      </w:r>
      <w:r>
        <w:rPr>
          <w:rFonts w:eastAsia="Times New Roman"/>
          <w:lang w:val="en-GB" w:eastAsia="fr-FR"/>
        </w:rPr>
        <w:t>appeal</w:t>
      </w:r>
      <w:r w:rsidRPr="001922A7">
        <w:rPr>
          <w:rFonts w:eastAsia="Times New Roman"/>
          <w:lang w:val="en-GB" w:eastAsia="fr-FR"/>
        </w:rPr>
        <w:t xml:space="preserve"> lodged on 14 June 2007 and reje</w:t>
      </w:r>
      <w:r w:rsidR="00557875">
        <w:rPr>
          <w:rFonts w:eastAsia="Times New Roman"/>
          <w:lang w:val="en-GB" w:eastAsia="fr-FR"/>
        </w:rPr>
        <w:t>cted by the Supreme Court on 14 </w:t>
      </w:r>
      <w:r w:rsidRPr="001922A7">
        <w:rPr>
          <w:rFonts w:eastAsia="Times New Roman"/>
          <w:lang w:val="en-GB" w:eastAsia="fr-FR"/>
        </w:rPr>
        <w:t xml:space="preserve">March 2008. </w:t>
      </w:r>
      <w:r>
        <w:rPr>
          <w:rFonts w:eastAsia="Times New Roman"/>
          <w:lang w:val="en-GB" w:eastAsia="fr-FR"/>
        </w:rPr>
        <w:t>Bearing in mind</w:t>
      </w:r>
      <w:r w:rsidRPr="001922A7">
        <w:rPr>
          <w:rFonts w:eastAsia="Times New Roman"/>
          <w:lang w:val="en-GB" w:eastAsia="fr-FR"/>
        </w:rPr>
        <w:t xml:space="preserve"> the nature and outcome of the applicant</w:t>
      </w:r>
      <w:r w:rsidR="009912A8">
        <w:rPr>
          <w:rFonts w:eastAsia="Times New Roman"/>
          <w:lang w:val="en-GB" w:eastAsia="fr-FR"/>
        </w:rPr>
        <w:t>’</w:t>
      </w:r>
      <w:r w:rsidRPr="001922A7">
        <w:rPr>
          <w:rFonts w:eastAsia="Times New Roman"/>
          <w:lang w:val="en-GB" w:eastAsia="fr-FR"/>
        </w:rPr>
        <w:t xml:space="preserve">s </w:t>
      </w:r>
      <w:r w:rsidR="007C145F">
        <w:rPr>
          <w:rFonts w:eastAsia="Times New Roman"/>
          <w:lang w:val="en-GB" w:eastAsia="fr-FR"/>
        </w:rPr>
        <w:t xml:space="preserve">similar </w:t>
      </w:r>
      <w:r w:rsidRPr="001922A7">
        <w:rPr>
          <w:rFonts w:eastAsia="Times New Roman"/>
          <w:lang w:val="en-GB" w:eastAsia="fr-FR"/>
        </w:rPr>
        <w:t xml:space="preserve">subsequent appeal, rejected </w:t>
      </w:r>
      <w:r>
        <w:rPr>
          <w:rFonts w:eastAsia="Times New Roman"/>
          <w:lang w:val="en-GB" w:eastAsia="fr-FR"/>
        </w:rPr>
        <w:t xml:space="preserve">by the Supreme Court </w:t>
      </w:r>
      <w:r w:rsidRPr="001922A7">
        <w:rPr>
          <w:rFonts w:eastAsia="Times New Roman"/>
          <w:lang w:val="en-GB" w:eastAsia="fr-FR"/>
        </w:rPr>
        <w:t>on 5</w:t>
      </w:r>
      <w:r w:rsidR="00321CC1">
        <w:rPr>
          <w:rFonts w:eastAsia="Times New Roman"/>
          <w:lang w:val="en-GB" w:eastAsia="fr-FR"/>
        </w:rPr>
        <w:t> </w:t>
      </w:r>
      <w:r w:rsidRPr="001922A7">
        <w:rPr>
          <w:rFonts w:eastAsia="Times New Roman"/>
          <w:lang w:val="en-GB" w:eastAsia="fr-FR"/>
        </w:rPr>
        <w:t xml:space="preserve">June 2008, </w:t>
      </w:r>
      <w:r>
        <w:rPr>
          <w:rFonts w:eastAsia="Times New Roman"/>
          <w:lang w:val="en-GB" w:eastAsia="fr-FR"/>
        </w:rPr>
        <w:t xml:space="preserve">the Court </w:t>
      </w:r>
      <w:r w:rsidRPr="001922A7">
        <w:rPr>
          <w:rFonts w:eastAsia="Times New Roman"/>
          <w:lang w:val="en-GB" w:eastAsia="fr-FR"/>
        </w:rPr>
        <w:t xml:space="preserve">will also take into account </w:t>
      </w:r>
      <w:r>
        <w:rPr>
          <w:rFonts w:eastAsia="Times New Roman"/>
          <w:lang w:val="en-GB" w:eastAsia="fr-FR"/>
        </w:rPr>
        <w:t>the lat</w:t>
      </w:r>
      <w:r w:rsidR="001151C3">
        <w:rPr>
          <w:rFonts w:eastAsia="Times New Roman"/>
          <w:lang w:val="en-GB" w:eastAsia="fr-FR"/>
        </w:rPr>
        <w:t>t</w:t>
      </w:r>
      <w:r>
        <w:rPr>
          <w:rFonts w:eastAsia="Times New Roman"/>
          <w:lang w:val="en-GB" w:eastAsia="fr-FR"/>
        </w:rPr>
        <w:t xml:space="preserve">er proceedings </w:t>
      </w:r>
      <w:r w:rsidRPr="001922A7">
        <w:rPr>
          <w:rFonts w:eastAsia="Times New Roman"/>
          <w:lang w:val="en-GB" w:eastAsia="fr-FR"/>
        </w:rPr>
        <w:t>(see paragraph</w:t>
      </w:r>
      <w:r w:rsidR="00321CC1">
        <w:rPr>
          <w:rFonts w:eastAsia="Times New Roman"/>
          <w:lang w:val="en-GB" w:eastAsia="fr-FR"/>
        </w:rPr>
        <w:t>s</w:t>
      </w:r>
      <w:r w:rsidR="00557875">
        <w:rPr>
          <w:rFonts w:eastAsia="Times New Roman"/>
          <w:lang w:val="en-GB" w:eastAsia="fr-FR"/>
        </w:rPr>
        <w:t> </w:t>
      </w:r>
      <w:r w:rsidR="00321CC1">
        <w:rPr>
          <w:rFonts w:eastAsia="Times New Roman"/>
          <w:lang w:val="en-GB" w:eastAsia="fr-FR"/>
        </w:rPr>
        <w:t>5</w:t>
      </w:r>
      <w:r w:rsidR="00375CA9">
        <w:rPr>
          <w:rFonts w:eastAsia="Times New Roman"/>
          <w:lang w:val="en-GB" w:eastAsia="fr-FR"/>
        </w:rPr>
        <w:t>5</w:t>
      </w:r>
      <w:r w:rsidR="00321CC1">
        <w:rPr>
          <w:rFonts w:eastAsia="Times New Roman"/>
          <w:lang w:val="en-GB" w:eastAsia="fr-FR"/>
        </w:rPr>
        <w:t>-5</w:t>
      </w:r>
      <w:r w:rsidR="00375CA9">
        <w:rPr>
          <w:rFonts w:eastAsia="Times New Roman"/>
          <w:lang w:val="en-GB" w:eastAsia="fr-FR"/>
        </w:rPr>
        <w:t>6</w:t>
      </w:r>
      <w:r w:rsidRPr="001922A7">
        <w:rPr>
          <w:rFonts w:eastAsia="Times New Roman"/>
          <w:lang w:val="en-GB" w:eastAsia="fr-FR"/>
        </w:rPr>
        <w:t xml:space="preserve"> below).</w:t>
      </w:r>
    </w:p>
    <w:p w:rsidR="0029057E" w:rsidRPr="001922A7" w:rsidRDefault="0029057E" w:rsidP="0029057E">
      <w:pPr>
        <w:pStyle w:val="ECHRHeading2"/>
        <w:rPr>
          <w:rFonts w:eastAsia="Times New Roman"/>
          <w:lang w:val="en-GB" w:eastAsia="fr-FR"/>
        </w:rPr>
      </w:pPr>
      <w:r w:rsidRPr="001922A7">
        <w:rPr>
          <w:rFonts w:eastAsia="Times New Roman"/>
          <w:lang w:val="en-GB" w:eastAsia="fr-FR"/>
        </w:rPr>
        <w:t>A.  Whether the Court is prevented by Article 46 of the Convention from examining</w:t>
      </w:r>
      <w:r w:rsidR="007C145F">
        <w:rPr>
          <w:rFonts w:eastAsia="Times New Roman"/>
          <w:lang w:val="en-GB" w:eastAsia="fr-FR"/>
        </w:rPr>
        <w:t xml:space="preserve"> the complaints made in</w:t>
      </w:r>
      <w:r w:rsidRPr="001922A7">
        <w:rPr>
          <w:rFonts w:eastAsia="Times New Roman"/>
          <w:lang w:val="en-GB" w:eastAsia="fr-FR"/>
        </w:rPr>
        <w:t xml:space="preserve"> the present application</w:t>
      </w:r>
    </w:p>
    <w:p w:rsidR="0029057E" w:rsidRPr="001922A7" w:rsidRDefault="0029057E" w:rsidP="0029057E">
      <w:pPr>
        <w:pStyle w:val="ECHRHeading3"/>
        <w:rPr>
          <w:lang w:val="en-GB"/>
        </w:rPr>
      </w:pPr>
      <w:r w:rsidRPr="001922A7">
        <w:rPr>
          <w:lang w:val="en-GB"/>
        </w:rPr>
        <w:t>1.  General principles</w:t>
      </w:r>
    </w:p>
    <w:p w:rsidR="0029057E" w:rsidRPr="001922A7" w:rsidRDefault="0029057E" w:rsidP="0029057E">
      <w:pPr>
        <w:pStyle w:val="ECHRPara"/>
        <w:rPr>
          <w:i/>
          <w:szCs w:val="24"/>
          <w:lang w:val="en-GB"/>
        </w:rPr>
      </w:pPr>
      <w:r w:rsidRPr="001922A7">
        <w:rPr>
          <w:rFonts w:ascii="Times New Roman" w:eastAsia="Times New Roman" w:hAnsi="Times New Roman" w:cs="Times New Roman"/>
          <w:szCs w:val="20"/>
          <w:lang w:val="en-GB" w:eastAsia="fr-FR"/>
        </w:rPr>
        <w:fldChar w:fldCharType="begin"/>
      </w:r>
      <w:r w:rsidRPr="001922A7">
        <w:rPr>
          <w:rFonts w:ascii="Times New Roman" w:eastAsia="Times New Roman" w:hAnsi="Times New Roman" w:cs="Times New Roman"/>
          <w:szCs w:val="20"/>
          <w:lang w:val="en-GB" w:eastAsia="fr-FR"/>
        </w:rPr>
        <w:instrText xml:space="preserve"> SEQ level0 \*arabic </w:instrText>
      </w:r>
      <w:r w:rsidRPr="001922A7">
        <w:rPr>
          <w:rFonts w:ascii="Times New Roman" w:eastAsia="Times New Roman" w:hAnsi="Times New Roman" w:cs="Times New Roman"/>
          <w:szCs w:val="20"/>
          <w:lang w:val="en-GB" w:eastAsia="fr-FR"/>
        </w:rPr>
        <w:fldChar w:fldCharType="separate"/>
      </w:r>
      <w:r w:rsidR="00E15C77">
        <w:rPr>
          <w:rFonts w:ascii="Times New Roman" w:eastAsia="Times New Roman" w:hAnsi="Times New Roman" w:cs="Times New Roman"/>
          <w:noProof/>
          <w:szCs w:val="20"/>
          <w:lang w:val="en-GB" w:eastAsia="fr-FR"/>
        </w:rPr>
        <w:t>33</w:t>
      </w:r>
      <w:r w:rsidRPr="001922A7">
        <w:rPr>
          <w:rFonts w:ascii="Times New Roman" w:eastAsia="Times New Roman" w:hAnsi="Times New Roman" w:cs="Times New Roman"/>
          <w:szCs w:val="20"/>
          <w:lang w:val="en-GB" w:eastAsia="fr-FR"/>
        </w:rPr>
        <w:fldChar w:fldCharType="end"/>
      </w:r>
      <w:r w:rsidRPr="001922A7">
        <w:rPr>
          <w:rFonts w:ascii="Times New Roman" w:eastAsia="Times New Roman" w:hAnsi="Times New Roman" w:cs="Times New Roman"/>
          <w:szCs w:val="20"/>
          <w:lang w:val="en-GB" w:eastAsia="fr-FR"/>
        </w:rPr>
        <w:t>.  </w:t>
      </w:r>
      <w:r w:rsidR="000C5221">
        <w:rPr>
          <w:rFonts w:ascii="Times New Roman" w:eastAsia="Times New Roman" w:hAnsi="Times New Roman" w:cs="Times New Roman"/>
          <w:szCs w:val="20"/>
          <w:lang w:val="en-GB" w:eastAsia="fr-FR"/>
        </w:rPr>
        <w:t xml:space="preserve">The </w:t>
      </w:r>
      <w:r w:rsidRPr="001922A7">
        <w:rPr>
          <w:rFonts w:ascii="Times New Roman" w:eastAsia="Times New Roman" w:hAnsi="Times New Roman" w:cs="Times New Roman"/>
          <w:szCs w:val="20"/>
          <w:lang w:val="en-GB" w:eastAsia="fr-FR"/>
        </w:rPr>
        <w:t xml:space="preserve">question of compliance </w:t>
      </w:r>
      <w:r w:rsidR="007C145F">
        <w:rPr>
          <w:rFonts w:ascii="Times New Roman" w:eastAsia="Times New Roman" w:hAnsi="Times New Roman" w:cs="Times New Roman"/>
          <w:szCs w:val="20"/>
          <w:lang w:val="en-GB" w:eastAsia="fr-FR"/>
        </w:rPr>
        <w:t>by</w:t>
      </w:r>
      <w:r w:rsidRPr="001922A7">
        <w:rPr>
          <w:rFonts w:ascii="Times New Roman" w:eastAsia="Times New Roman" w:hAnsi="Times New Roman" w:cs="Times New Roman"/>
          <w:szCs w:val="20"/>
          <w:lang w:val="en-GB" w:eastAsia="fr-FR"/>
        </w:rPr>
        <w:t xml:space="preserve"> the High Contracting Parties with </w:t>
      </w:r>
      <w:r>
        <w:rPr>
          <w:rFonts w:ascii="Times New Roman" w:eastAsia="Times New Roman" w:hAnsi="Times New Roman" w:cs="Times New Roman"/>
          <w:szCs w:val="20"/>
          <w:lang w:val="en-GB" w:eastAsia="fr-FR"/>
        </w:rPr>
        <w:t>the Court</w:t>
      </w:r>
      <w:r w:rsidR="009912A8">
        <w:rPr>
          <w:rFonts w:ascii="Times New Roman" w:eastAsia="Times New Roman" w:hAnsi="Times New Roman" w:cs="Times New Roman"/>
          <w:szCs w:val="20"/>
          <w:lang w:val="en-GB" w:eastAsia="fr-FR"/>
        </w:rPr>
        <w:t>’</w:t>
      </w:r>
      <w:r>
        <w:rPr>
          <w:rFonts w:ascii="Times New Roman" w:eastAsia="Times New Roman" w:hAnsi="Times New Roman" w:cs="Times New Roman"/>
          <w:szCs w:val="20"/>
          <w:lang w:val="en-GB" w:eastAsia="fr-FR"/>
        </w:rPr>
        <w:t>s</w:t>
      </w:r>
      <w:r w:rsidRPr="001922A7">
        <w:rPr>
          <w:rFonts w:ascii="Times New Roman" w:eastAsia="Times New Roman" w:hAnsi="Times New Roman" w:cs="Times New Roman"/>
          <w:szCs w:val="20"/>
          <w:lang w:val="en-GB" w:eastAsia="fr-FR"/>
        </w:rPr>
        <w:t xml:space="preserve"> judgments falls outside </w:t>
      </w:r>
      <w:r>
        <w:rPr>
          <w:rFonts w:ascii="Times New Roman" w:eastAsia="Times New Roman" w:hAnsi="Times New Roman" w:cs="Times New Roman"/>
          <w:szCs w:val="20"/>
          <w:lang w:val="en-GB" w:eastAsia="fr-FR"/>
        </w:rPr>
        <w:t>its</w:t>
      </w:r>
      <w:r w:rsidRPr="001922A7">
        <w:rPr>
          <w:rFonts w:ascii="Times New Roman" w:eastAsia="Times New Roman" w:hAnsi="Times New Roman" w:cs="Times New Roman"/>
          <w:szCs w:val="20"/>
          <w:lang w:val="en-GB" w:eastAsia="fr-FR"/>
        </w:rPr>
        <w:t xml:space="preserve"> jurisdiction if it is not raised in the context of the “infringement procedure” provided for in Article 46 §§</w:t>
      </w:r>
      <w:r w:rsidR="00080C30">
        <w:rPr>
          <w:rFonts w:ascii="Times New Roman" w:eastAsia="Times New Roman" w:hAnsi="Times New Roman" w:cs="Times New Roman"/>
          <w:szCs w:val="20"/>
          <w:lang w:val="en-GB" w:eastAsia="fr-FR"/>
        </w:rPr>
        <w:t xml:space="preserve"> </w:t>
      </w:r>
      <w:r w:rsidR="00557875">
        <w:rPr>
          <w:rFonts w:ascii="Times New Roman" w:eastAsia="Times New Roman" w:hAnsi="Times New Roman" w:cs="Times New Roman"/>
          <w:szCs w:val="20"/>
          <w:lang w:val="en-GB" w:eastAsia="fr-FR"/>
        </w:rPr>
        <w:t>4 and </w:t>
      </w:r>
      <w:r w:rsidRPr="001922A7">
        <w:rPr>
          <w:rFonts w:ascii="Times New Roman" w:eastAsia="Times New Roman" w:hAnsi="Times New Roman" w:cs="Times New Roman"/>
          <w:szCs w:val="20"/>
          <w:lang w:val="en-GB" w:eastAsia="fr-FR"/>
        </w:rPr>
        <w:t xml:space="preserve">5 of the Convention (see </w:t>
      </w:r>
      <w:r w:rsidRPr="001922A7">
        <w:rPr>
          <w:rFonts w:ascii="Times New Roman" w:eastAsia="Times New Roman" w:hAnsi="Times New Roman" w:cs="Times New Roman"/>
          <w:i/>
          <w:lang w:val="en-GB"/>
        </w:rPr>
        <w:t>The United Macedonian Organisation Ilinden – PIRIN and Others v.</w:t>
      </w:r>
      <w:r w:rsidR="00080C30">
        <w:rPr>
          <w:rFonts w:ascii="Times New Roman" w:eastAsia="Times New Roman" w:hAnsi="Times New Roman" w:cs="Times New Roman"/>
          <w:i/>
          <w:lang w:val="en-GB"/>
        </w:rPr>
        <w:t xml:space="preserve"> </w:t>
      </w:r>
      <w:r w:rsidRPr="001922A7">
        <w:rPr>
          <w:rFonts w:ascii="Times New Roman" w:eastAsia="Times New Roman" w:hAnsi="Times New Roman" w:cs="Times New Roman"/>
          <w:i/>
          <w:lang w:val="en-GB"/>
        </w:rPr>
        <w:t>Bulgaria (no. 2)</w:t>
      </w:r>
      <w:r w:rsidRPr="001922A7">
        <w:rPr>
          <w:rFonts w:ascii="Times New Roman" w:eastAsia="Times New Roman" w:hAnsi="Times New Roman" w:cs="Times New Roman"/>
          <w:lang w:val="en-GB"/>
        </w:rPr>
        <w:t xml:space="preserve">, </w:t>
      </w:r>
      <w:r w:rsidRPr="001922A7">
        <w:rPr>
          <w:rFonts w:ascii="Times New Roman" w:eastAsia="Times New Roman" w:hAnsi="Times New Roman" w:cs="Times New Roman"/>
          <w:szCs w:val="20"/>
          <w:lang w:val="en-GB"/>
        </w:rPr>
        <w:t>nos. 41561/07 and 20972/08</w:t>
      </w:r>
      <w:r w:rsidRPr="001922A7">
        <w:rPr>
          <w:rFonts w:ascii="Times New Roman" w:eastAsia="Times New Roman" w:hAnsi="Times New Roman" w:cs="Times New Roman"/>
          <w:snapToGrid w:val="0"/>
          <w:szCs w:val="24"/>
          <w:lang w:val="en-GB"/>
        </w:rPr>
        <w:t>, § 56, 18</w:t>
      </w:r>
      <w:r w:rsidR="00C57073">
        <w:rPr>
          <w:rFonts w:ascii="Times New Roman" w:eastAsia="Times New Roman" w:hAnsi="Times New Roman" w:cs="Times New Roman"/>
          <w:snapToGrid w:val="0"/>
          <w:szCs w:val="24"/>
          <w:lang w:val="en-GB"/>
        </w:rPr>
        <w:t> </w:t>
      </w:r>
      <w:r w:rsidRPr="001922A7">
        <w:rPr>
          <w:rFonts w:ascii="Times New Roman" w:eastAsia="Times New Roman" w:hAnsi="Times New Roman" w:cs="Times New Roman"/>
          <w:snapToGrid w:val="0"/>
          <w:szCs w:val="24"/>
          <w:lang w:val="en-GB"/>
        </w:rPr>
        <w:t>October 2011</w:t>
      </w:r>
      <w:r w:rsidRPr="001922A7">
        <w:rPr>
          <w:rFonts w:ascii="Times New Roman" w:eastAsia="Times New Roman" w:hAnsi="Times New Roman" w:cs="Times New Roman"/>
          <w:szCs w:val="20"/>
          <w:lang w:val="en-GB" w:eastAsia="fr-FR"/>
        </w:rPr>
        <w:t>). Under Article</w:t>
      </w:r>
      <w:r w:rsidR="00080C30">
        <w:rPr>
          <w:rFonts w:ascii="Times New Roman" w:eastAsia="Times New Roman" w:hAnsi="Times New Roman" w:cs="Times New Roman"/>
          <w:szCs w:val="20"/>
          <w:lang w:val="en-GB" w:eastAsia="fr-FR"/>
        </w:rPr>
        <w:t xml:space="preserve"> </w:t>
      </w:r>
      <w:r w:rsidRPr="001922A7">
        <w:rPr>
          <w:rFonts w:ascii="Times New Roman" w:eastAsia="Times New Roman" w:hAnsi="Times New Roman" w:cs="Times New Roman"/>
          <w:szCs w:val="20"/>
          <w:lang w:val="en-GB" w:eastAsia="fr-FR"/>
        </w:rPr>
        <w:t>46</w:t>
      </w:r>
      <w:r w:rsidR="00080C30">
        <w:rPr>
          <w:rFonts w:ascii="Times New Roman" w:eastAsia="Times New Roman" w:hAnsi="Times New Roman" w:cs="Times New Roman"/>
          <w:szCs w:val="20"/>
          <w:lang w:val="en-GB" w:eastAsia="fr-FR"/>
        </w:rPr>
        <w:t xml:space="preserve"> </w:t>
      </w:r>
      <w:r w:rsidRPr="001922A7">
        <w:rPr>
          <w:rFonts w:ascii="Times New Roman" w:eastAsia="Times New Roman" w:hAnsi="Times New Roman" w:cs="Times New Roman"/>
          <w:szCs w:val="20"/>
          <w:lang w:val="en-GB" w:eastAsia="fr-FR"/>
        </w:rPr>
        <w:t>§</w:t>
      </w:r>
      <w:r w:rsidR="00080C30">
        <w:rPr>
          <w:rFonts w:ascii="Times New Roman" w:eastAsia="Times New Roman" w:hAnsi="Times New Roman" w:cs="Times New Roman"/>
          <w:szCs w:val="20"/>
          <w:lang w:val="en-GB" w:eastAsia="fr-FR"/>
        </w:rPr>
        <w:t xml:space="preserve"> </w:t>
      </w:r>
      <w:r w:rsidRPr="001922A7">
        <w:rPr>
          <w:rFonts w:ascii="Times New Roman" w:eastAsia="Times New Roman" w:hAnsi="Times New Roman" w:cs="Times New Roman"/>
          <w:szCs w:val="20"/>
          <w:lang w:val="en-GB" w:eastAsia="fr-FR"/>
        </w:rPr>
        <w:t>2, the Committee of Ministers is vested with the powers to supervise the execution of the Court</w:t>
      </w:r>
      <w:r w:rsidR="009912A8">
        <w:rPr>
          <w:rFonts w:ascii="Times New Roman" w:eastAsia="Times New Roman" w:hAnsi="Times New Roman" w:cs="Times New Roman"/>
          <w:szCs w:val="20"/>
          <w:lang w:val="en-GB" w:eastAsia="fr-FR"/>
        </w:rPr>
        <w:t>’</w:t>
      </w:r>
      <w:r w:rsidRPr="001922A7">
        <w:rPr>
          <w:rFonts w:ascii="Times New Roman" w:eastAsia="Times New Roman" w:hAnsi="Times New Roman" w:cs="Times New Roman"/>
          <w:szCs w:val="20"/>
          <w:lang w:val="en-GB" w:eastAsia="fr-FR"/>
        </w:rPr>
        <w:t xml:space="preserve">s judgments and evaluate the measures taken by respondent States. However, </w:t>
      </w:r>
      <w:r w:rsidRPr="001922A7">
        <w:rPr>
          <w:rFonts w:ascii="Times New Roman" w:eastAsia="Times New Roman" w:hAnsi="Times New Roman" w:cs="Times New Roman"/>
          <w:szCs w:val="20"/>
          <w:lang w:val="en-GB"/>
        </w:rPr>
        <w:t>the Committee of Ministers</w:t>
      </w:r>
      <w:r w:rsidR="009912A8">
        <w:rPr>
          <w:rFonts w:ascii="Times New Roman" w:eastAsia="Times New Roman" w:hAnsi="Times New Roman" w:cs="Times New Roman"/>
          <w:szCs w:val="20"/>
          <w:lang w:val="en-GB"/>
        </w:rPr>
        <w:t>’</w:t>
      </w:r>
      <w:r w:rsidRPr="001922A7">
        <w:rPr>
          <w:rFonts w:ascii="Times New Roman" w:eastAsia="Times New Roman" w:hAnsi="Times New Roman" w:cs="Times New Roman"/>
          <w:szCs w:val="20"/>
          <w:lang w:val="en-GB"/>
        </w:rPr>
        <w:t xml:space="preserve"> role in the sphere of execution of the Court</w:t>
      </w:r>
      <w:r w:rsidR="009912A8">
        <w:rPr>
          <w:rFonts w:ascii="Times New Roman" w:eastAsia="Times New Roman" w:hAnsi="Times New Roman" w:cs="Times New Roman"/>
          <w:szCs w:val="20"/>
          <w:lang w:val="en-GB"/>
        </w:rPr>
        <w:t>’</w:t>
      </w:r>
      <w:r w:rsidRPr="001922A7">
        <w:rPr>
          <w:rFonts w:ascii="Times New Roman" w:eastAsia="Times New Roman" w:hAnsi="Times New Roman" w:cs="Times New Roman"/>
          <w:szCs w:val="20"/>
          <w:lang w:val="en-GB"/>
        </w:rPr>
        <w:t xml:space="preserve">s judgments does not prevent the Court from examining a fresh application concerning measures taken by a respondent State in execution of a judgment if that application contains relevant new information relating to issues undecided by the initial judgment (see </w:t>
      </w:r>
      <w:r w:rsidRPr="001922A7">
        <w:rPr>
          <w:i/>
          <w:lang w:val="en-GB"/>
        </w:rPr>
        <w:t>Verein gegen Tierfabriken Schweiz (VgT) v. Switzerland (no.</w:t>
      </w:r>
      <w:r w:rsidR="00080C30">
        <w:rPr>
          <w:i/>
          <w:lang w:val="en-GB"/>
        </w:rPr>
        <w:t xml:space="preserve"> </w:t>
      </w:r>
      <w:r w:rsidRPr="001922A7">
        <w:rPr>
          <w:i/>
          <w:lang w:val="en-GB"/>
        </w:rPr>
        <w:t xml:space="preserve">2) </w:t>
      </w:r>
      <w:r w:rsidRPr="001922A7">
        <w:rPr>
          <w:lang w:val="en-GB"/>
        </w:rPr>
        <w:t xml:space="preserve">[GC], no. 32772/02, </w:t>
      </w:r>
      <w:r w:rsidRPr="001922A7">
        <w:rPr>
          <w:rFonts w:ascii="Times New Roman" w:eastAsia="Times New Roman" w:hAnsi="Times New Roman" w:cs="Times New Roman"/>
          <w:szCs w:val="20"/>
          <w:lang w:val="en-GB"/>
        </w:rPr>
        <w:t xml:space="preserve">§§ </w:t>
      </w:r>
      <w:r w:rsidRPr="001922A7">
        <w:rPr>
          <w:rFonts w:ascii="Times New Roman" w:eastAsia="Times New Roman" w:hAnsi="Times New Roman" w:cs="Times New Roman"/>
          <w:snapToGrid w:val="0"/>
          <w:szCs w:val="20"/>
          <w:lang w:val="en-GB"/>
        </w:rPr>
        <w:t>61</w:t>
      </w:r>
      <w:r w:rsidRPr="001922A7">
        <w:rPr>
          <w:rFonts w:ascii="Times New Roman" w:eastAsia="Times New Roman" w:hAnsi="Times New Roman" w:cs="Times New Roman"/>
          <w:snapToGrid w:val="0"/>
          <w:szCs w:val="20"/>
          <w:lang w:val="en-GB"/>
        </w:rPr>
        <w:noBreakHyphen/>
        <w:t>63</w:t>
      </w:r>
      <w:r w:rsidRPr="001922A7">
        <w:rPr>
          <w:lang w:val="en-GB"/>
        </w:rPr>
        <w:t>, ECHR 2009</w:t>
      </w:r>
      <w:r w:rsidRPr="001922A7">
        <w:rPr>
          <w:rFonts w:ascii="Times New Roman" w:eastAsia="Times New Roman" w:hAnsi="Times New Roman" w:cs="Times New Roman"/>
          <w:szCs w:val="20"/>
          <w:lang w:val="en-GB"/>
        </w:rPr>
        <w:t>).</w:t>
      </w:r>
    </w:p>
    <w:p w:rsidR="00E24964" w:rsidRPr="001922A7" w:rsidRDefault="00E24964" w:rsidP="00C264C5">
      <w:pPr>
        <w:pStyle w:val="ECHRPara"/>
        <w:rPr>
          <w:rFonts w:eastAsia="Times New Roman"/>
          <w:lang w:val="en-GB" w:eastAsia="fr-FR"/>
        </w:rPr>
      </w:pPr>
      <w:r w:rsidRPr="001922A7">
        <w:rPr>
          <w:rFonts w:eastAsia="Times New Roman"/>
          <w:lang w:val="en-GB" w:eastAsia="fr-FR"/>
        </w:rPr>
        <w:lastRenderedPageBreak/>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34</w:t>
      </w:r>
      <w:r w:rsidRPr="001922A7">
        <w:rPr>
          <w:rFonts w:eastAsia="Times New Roman"/>
          <w:lang w:val="en-GB" w:eastAsia="fr-FR"/>
        </w:rPr>
        <w:fldChar w:fldCharType="end"/>
      </w:r>
      <w:r w:rsidRPr="001922A7">
        <w:rPr>
          <w:rFonts w:eastAsia="Times New Roman"/>
          <w:lang w:val="en-GB" w:eastAsia="fr-FR"/>
        </w:rPr>
        <w:t xml:space="preserve">.  The relevant general principles were summarised in </w:t>
      </w:r>
      <w:r w:rsidRPr="001922A7">
        <w:rPr>
          <w:rFonts w:eastAsia="Times New Roman"/>
          <w:i/>
          <w:lang w:val="en-GB"/>
        </w:rPr>
        <w:t>Egmez v.</w:t>
      </w:r>
      <w:r w:rsidR="00C264C5">
        <w:rPr>
          <w:rFonts w:eastAsia="Times New Roman"/>
          <w:i/>
          <w:lang w:val="en-GB"/>
        </w:rPr>
        <w:t> </w:t>
      </w:r>
      <w:r w:rsidRPr="001922A7">
        <w:rPr>
          <w:rFonts w:eastAsia="Times New Roman"/>
          <w:i/>
          <w:lang w:val="en-GB"/>
        </w:rPr>
        <w:t xml:space="preserve">Cyprus </w:t>
      </w:r>
      <w:r w:rsidRPr="001922A7">
        <w:rPr>
          <w:rFonts w:eastAsia="Times New Roman"/>
          <w:lang w:val="en-GB"/>
        </w:rPr>
        <w:t>((dec.), no.</w:t>
      </w:r>
      <w:r w:rsidR="00AA7A26">
        <w:rPr>
          <w:rFonts w:eastAsia="Times New Roman"/>
          <w:lang w:val="en-GB"/>
        </w:rPr>
        <w:t xml:space="preserve"> </w:t>
      </w:r>
      <w:r w:rsidRPr="001922A7">
        <w:rPr>
          <w:rFonts w:eastAsia="Times New Roman"/>
          <w:lang w:val="en-GB" w:eastAsia="fr-FR"/>
        </w:rPr>
        <w:t>12214/07</w:t>
      </w:r>
      <w:r w:rsidRPr="001922A7">
        <w:rPr>
          <w:rFonts w:eastAsia="Times New Roman"/>
          <w:lang w:val="en-GB"/>
        </w:rPr>
        <w:t xml:space="preserve">, §§ 48-56, </w:t>
      </w:r>
      <w:r w:rsidRPr="001922A7">
        <w:rPr>
          <w:rFonts w:eastAsia="Times New Roman"/>
          <w:lang w:val="en-GB" w:eastAsia="fr-FR"/>
        </w:rPr>
        <w:t>18</w:t>
      </w:r>
      <w:r w:rsidR="00080C30">
        <w:rPr>
          <w:rFonts w:eastAsia="Times New Roman"/>
          <w:lang w:val="en-GB" w:eastAsia="fr-FR"/>
        </w:rPr>
        <w:t xml:space="preserve"> </w:t>
      </w:r>
      <w:r w:rsidRPr="001922A7">
        <w:rPr>
          <w:rFonts w:eastAsia="Times New Roman"/>
          <w:lang w:val="en-GB" w:eastAsia="fr-FR"/>
        </w:rPr>
        <w:t>September 2012)</w:t>
      </w:r>
      <w:r w:rsidR="00F34770" w:rsidRPr="001922A7">
        <w:rPr>
          <w:rFonts w:eastAsia="Times New Roman"/>
          <w:lang w:val="en-GB" w:eastAsia="fr-FR"/>
        </w:rPr>
        <w:t>, as follows</w:t>
      </w:r>
      <w:r w:rsidRPr="001922A7">
        <w:rPr>
          <w:rFonts w:eastAsia="Times New Roman"/>
          <w:lang w:val="en-GB" w:eastAsia="fr-FR"/>
        </w:rPr>
        <w:t>:</w:t>
      </w:r>
    </w:p>
    <w:p w:rsidR="00E24964" w:rsidRPr="001922A7" w:rsidRDefault="00E24964" w:rsidP="00AA7A26">
      <w:pPr>
        <w:pStyle w:val="ECHRParaQuote"/>
        <w:rPr>
          <w:rFonts w:eastAsia="Times New Roman"/>
          <w:lang w:val="en-GB" w:eastAsia="fr-FR"/>
        </w:rPr>
      </w:pPr>
      <w:r w:rsidRPr="001922A7">
        <w:rPr>
          <w:rFonts w:eastAsia="Times New Roman"/>
          <w:lang w:val="en-GB" w:eastAsia="fr-FR"/>
        </w:rPr>
        <w:t>“48.</w:t>
      </w:r>
      <w:r w:rsidR="00824BFD" w:rsidRPr="001922A7">
        <w:rPr>
          <w:rFonts w:eastAsia="Times New Roman"/>
          <w:lang w:val="en-GB" w:eastAsia="fr-FR"/>
        </w:rPr>
        <w:t>  </w:t>
      </w:r>
      <w:r w:rsidRPr="001922A7">
        <w:rPr>
          <w:rFonts w:eastAsia="Times New Roman"/>
          <w:lang w:val="en-GB" w:eastAsia="fr-FR"/>
        </w:rPr>
        <w:t xml:space="preserve">The Court reiterates that findings of a violation in its judgments are in principle declaratory (see </w:t>
      </w:r>
      <w:r w:rsidRPr="001922A7">
        <w:rPr>
          <w:rFonts w:eastAsia="Times New Roman"/>
          <w:i/>
          <w:lang w:val="en-GB" w:eastAsia="fr-FR"/>
        </w:rPr>
        <w:t>Krčmář and Others v.</w:t>
      </w:r>
      <w:r w:rsidR="001B4C2E">
        <w:rPr>
          <w:rFonts w:eastAsia="Times New Roman"/>
          <w:i/>
          <w:lang w:val="en-GB" w:eastAsia="fr-FR"/>
        </w:rPr>
        <w:t xml:space="preserve"> </w:t>
      </w:r>
      <w:r w:rsidRPr="001922A7">
        <w:rPr>
          <w:rFonts w:eastAsia="Times New Roman"/>
          <w:i/>
          <w:lang w:val="en-GB" w:eastAsia="fr-FR"/>
        </w:rPr>
        <w:t>the Czech Republic</w:t>
      </w:r>
      <w:r w:rsidRPr="001922A7">
        <w:rPr>
          <w:rFonts w:eastAsia="Times New Roman"/>
          <w:lang w:val="en-GB" w:eastAsia="fr-FR"/>
        </w:rPr>
        <w:t xml:space="preserve"> (dec.), no.</w:t>
      </w:r>
      <w:r w:rsidR="00824BFD" w:rsidRPr="001922A7">
        <w:rPr>
          <w:rFonts w:eastAsia="Times New Roman"/>
          <w:lang w:val="en-GB" w:eastAsia="fr-FR"/>
        </w:rPr>
        <w:t> </w:t>
      </w:r>
      <w:r w:rsidRPr="001922A7">
        <w:rPr>
          <w:rFonts w:eastAsia="Times New Roman"/>
          <w:lang w:val="en-GB" w:eastAsia="fr-FR"/>
        </w:rPr>
        <w:t xml:space="preserve">69190/01, 30 March 2004; </w:t>
      </w:r>
      <w:r w:rsidRPr="001922A7">
        <w:rPr>
          <w:rFonts w:eastAsia="Times New Roman"/>
          <w:i/>
          <w:lang w:val="en-GB" w:eastAsia="fr-FR"/>
        </w:rPr>
        <w:t>Lyons and Others v. the United Kingdom</w:t>
      </w:r>
      <w:r w:rsidRPr="001922A7">
        <w:rPr>
          <w:rFonts w:eastAsia="Times New Roman"/>
          <w:lang w:val="en-GB" w:eastAsia="fr-FR"/>
        </w:rPr>
        <w:t xml:space="preserve"> (dec.), no.</w:t>
      </w:r>
      <w:r w:rsidR="00824BFD" w:rsidRPr="001922A7">
        <w:rPr>
          <w:rFonts w:eastAsia="Times New Roman"/>
          <w:lang w:val="en-GB" w:eastAsia="fr-FR"/>
        </w:rPr>
        <w:t> </w:t>
      </w:r>
      <w:r w:rsidRPr="001922A7">
        <w:rPr>
          <w:rFonts w:eastAsia="Times New Roman"/>
          <w:lang w:val="en-GB" w:eastAsia="fr-FR"/>
        </w:rPr>
        <w:t xml:space="preserve">15227/03, ECHR 2003-IX; and </w:t>
      </w:r>
      <w:r w:rsidRPr="001922A7">
        <w:rPr>
          <w:rFonts w:eastAsia="Times New Roman"/>
          <w:i/>
          <w:lang w:val="en-GB" w:eastAsia="fr-FR"/>
        </w:rPr>
        <w:t>Marckx v. Belgium</w:t>
      </w:r>
      <w:r w:rsidRPr="001922A7">
        <w:rPr>
          <w:rFonts w:eastAsia="Times New Roman"/>
          <w:lang w:val="en-GB" w:eastAsia="fr-FR"/>
        </w:rPr>
        <w:t>, 13 June 1979, § 58, Series</w:t>
      </w:r>
      <w:r w:rsidR="00080C30">
        <w:rPr>
          <w:rFonts w:eastAsia="Times New Roman"/>
          <w:lang w:val="en-GB" w:eastAsia="fr-FR"/>
        </w:rPr>
        <w:t xml:space="preserve"> </w:t>
      </w:r>
      <w:r w:rsidRPr="001922A7">
        <w:rPr>
          <w:rFonts w:eastAsia="Times New Roman"/>
          <w:lang w:val="en-GB" w:eastAsia="fr-FR"/>
        </w:rPr>
        <w:t>A no.</w:t>
      </w:r>
      <w:r w:rsidR="00080C30">
        <w:rPr>
          <w:rFonts w:eastAsia="Times New Roman"/>
          <w:lang w:val="en-GB" w:eastAsia="fr-FR"/>
        </w:rPr>
        <w:t xml:space="preserve"> </w:t>
      </w:r>
      <w:r w:rsidRPr="001922A7">
        <w:rPr>
          <w:rFonts w:eastAsia="Times New Roman"/>
          <w:lang w:val="en-GB" w:eastAsia="fr-FR"/>
        </w:rPr>
        <w:t xml:space="preserve">31) and that, by Article 46 of the Convention, the High Contracting Parties undertook to abide by the final judgments of the Court in any case to which they were parties, execution being supervised by the Committee of Ministers (see, mutatis mutandis, </w:t>
      </w:r>
      <w:r w:rsidRPr="001922A7">
        <w:rPr>
          <w:rFonts w:eastAsia="Times New Roman"/>
          <w:i/>
          <w:lang w:val="en-GB" w:eastAsia="fr-FR"/>
        </w:rPr>
        <w:t>Papamichalopoulos and Others v.</w:t>
      </w:r>
      <w:r w:rsidR="00080C30">
        <w:rPr>
          <w:rFonts w:eastAsia="Times New Roman"/>
          <w:i/>
          <w:lang w:val="en-GB" w:eastAsia="fr-FR"/>
        </w:rPr>
        <w:t xml:space="preserve"> </w:t>
      </w:r>
      <w:r w:rsidRPr="001922A7">
        <w:rPr>
          <w:rFonts w:eastAsia="Times New Roman"/>
          <w:i/>
          <w:lang w:val="en-GB" w:eastAsia="fr-FR"/>
        </w:rPr>
        <w:t>Greece</w:t>
      </w:r>
      <w:r w:rsidRPr="001922A7">
        <w:rPr>
          <w:rFonts w:eastAsia="Times New Roman"/>
          <w:lang w:val="en-GB" w:eastAsia="fr-FR"/>
        </w:rPr>
        <w:t xml:space="preserve"> (Article 50), 31</w:t>
      </w:r>
      <w:r w:rsidR="00824BFD" w:rsidRPr="001922A7">
        <w:rPr>
          <w:rFonts w:eastAsia="Times New Roman"/>
          <w:lang w:val="en-GB" w:eastAsia="fr-FR"/>
        </w:rPr>
        <w:t> </w:t>
      </w:r>
      <w:r w:rsidRPr="001922A7">
        <w:rPr>
          <w:rFonts w:eastAsia="Times New Roman"/>
          <w:lang w:val="en-GB" w:eastAsia="fr-FR"/>
        </w:rPr>
        <w:t>October 1995, §</w:t>
      </w:r>
      <w:r w:rsidR="004924D6">
        <w:rPr>
          <w:rFonts w:eastAsia="Times New Roman"/>
          <w:lang w:val="en-GB" w:eastAsia="fr-FR"/>
        </w:rPr>
        <w:t> </w:t>
      </w:r>
      <w:r w:rsidRPr="001922A7">
        <w:rPr>
          <w:rFonts w:eastAsia="Times New Roman"/>
          <w:lang w:val="en-GB" w:eastAsia="fr-FR"/>
        </w:rPr>
        <w:t xml:space="preserve">34, Series A no. 330-B). It follows, inter alia, that a judgment in which the Court finds a breach of the Convention or its Protocols imposes on the respondent State a legal obligation not just to pay those concerned the sums awarded by way of just satisfaction, but also to choose, subject to supervision by the Committee of Ministers, the general and/or, if appropriate, individual measures to be adopted in their domestic legal order to put an end to the violation found by the Court and to redress so far as possible the effects (see </w:t>
      </w:r>
      <w:r w:rsidRPr="001922A7">
        <w:rPr>
          <w:rFonts w:eastAsia="Times New Roman"/>
          <w:i/>
          <w:lang w:val="en-GB" w:eastAsia="fr-FR"/>
        </w:rPr>
        <w:t xml:space="preserve">Pisano v. Italy </w:t>
      </w:r>
      <w:r w:rsidRPr="001922A7">
        <w:rPr>
          <w:rFonts w:eastAsia="Times New Roman"/>
          <w:lang w:val="en-GB" w:eastAsia="fr-FR"/>
        </w:rPr>
        <w:t>(striking out) [GC], no. 36732/97, §</w:t>
      </w:r>
      <w:r w:rsidR="004924D6">
        <w:rPr>
          <w:rFonts w:eastAsia="Times New Roman"/>
          <w:lang w:val="en-GB" w:eastAsia="fr-FR"/>
        </w:rPr>
        <w:t> </w:t>
      </w:r>
      <w:r w:rsidRPr="001922A7">
        <w:rPr>
          <w:rFonts w:eastAsia="Times New Roman"/>
          <w:lang w:val="en-GB" w:eastAsia="fr-FR"/>
        </w:rPr>
        <w:t>43, 24</w:t>
      </w:r>
      <w:r w:rsidR="004924D6">
        <w:rPr>
          <w:rFonts w:eastAsia="Times New Roman"/>
          <w:lang w:val="en-GB" w:eastAsia="fr-FR"/>
        </w:rPr>
        <w:t> </w:t>
      </w:r>
      <w:r w:rsidRPr="001922A7">
        <w:rPr>
          <w:rFonts w:eastAsia="Times New Roman"/>
          <w:lang w:val="en-GB" w:eastAsia="fr-FR"/>
        </w:rPr>
        <w:t xml:space="preserve">October 2002 and </w:t>
      </w:r>
      <w:r w:rsidRPr="001922A7">
        <w:rPr>
          <w:rFonts w:eastAsia="Times New Roman"/>
          <w:i/>
          <w:lang w:val="en-GB" w:eastAsia="fr-FR"/>
        </w:rPr>
        <w:t>Scozzari and Giunta v. Italy</w:t>
      </w:r>
      <w:r w:rsidRPr="001922A7">
        <w:rPr>
          <w:rFonts w:eastAsia="Times New Roman"/>
          <w:lang w:val="en-GB" w:eastAsia="fr-FR"/>
        </w:rPr>
        <w:t xml:space="preserve"> [GC</w:t>
      </w:r>
      <w:r w:rsidRPr="00AA7A26">
        <w:t>], nos. 39221/98 and 41963/98, §</w:t>
      </w:r>
      <w:r w:rsidR="004924D6">
        <w:rPr>
          <w:rFonts w:eastAsia="Times New Roman"/>
          <w:lang w:val="en-GB" w:eastAsia="fr-FR"/>
        </w:rPr>
        <w:t> </w:t>
      </w:r>
      <w:r w:rsidRPr="001922A7">
        <w:rPr>
          <w:rFonts w:eastAsia="Times New Roman"/>
          <w:lang w:val="en-GB" w:eastAsia="fr-FR"/>
        </w:rPr>
        <w:t>249, ECHR 2000-VIII). Subject to monitoring by the Committee of Ministers, the respondent State remains free to choose the means by which it will discharge its legal obligation under Article 46 of the Convention, provided that such means are compatible with the conclusions set out in the Court</w:t>
      </w:r>
      <w:r w:rsidR="009912A8">
        <w:rPr>
          <w:rFonts w:eastAsia="Times New Roman"/>
          <w:lang w:val="en-GB" w:eastAsia="fr-FR"/>
        </w:rPr>
        <w:t>’</w:t>
      </w:r>
      <w:r w:rsidRPr="001922A7">
        <w:rPr>
          <w:rFonts w:eastAsia="Times New Roman"/>
          <w:lang w:val="en-GB" w:eastAsia="fr-FR"/>
        </w:rPr>
        <w:t xml:space="preserve">s judgment (see the above-cited </w:t>
      </w:r>
      <w:r w:rsidRPr="001922A7">
        <w:rPr>
          <w:rFonts w:eastAsia="Times New Roman"/>
          <w:i/>
          <w:lang w:val="en-GB" w:eastAsia="fr-FR"/>
        </w:rPr>
        <w:t>Scozzari and Giunta</w:t>
      </w:r>
      <w:r w:rsidRPr="001922A7">
        <w:rPr>
          <w:rFonts w:eastAsia="Times New Roman"/>
          <w:lang w:val="en-GB" w:eastAsia="fr-FR"/>
        </w:rPr>
        <w:t xml:space="preserve"> judgment, § 249). For its part, the Court cannot assume any role in this dialogue (</w:t>
      </w:r>
      <w:r w:rsidRPr="001922A7">
        <w:rPr>
          <w:rFonts w:eastAsia="Times New Roman"/>
          <w:i/>
          <w:lang w:val="en-GB" w:eastAsia="fr-FR"/>
        </w:rPr>
        <w:t>Lyons and Others</w:t>
      </w:r>
      <w:r w:rsidRPr="001922A7">
        <w:rPr>
          <w:rFonts w:eastAsia="Times New Roman"/>
          <w:lang w:val="en-GB" w:eastAsia="fr-FR"/>
        </w:rPr>
        <w:t>, cited above).</w:t>
      </w:r>
    </w:p>
    <w:p w:rsidR="00E24964" w:rsidRPr="001922A7" w:rsidRDefault="00E24964" w:rsidP="00AA7A26">
      <w:pPr>
        <w:pStyle w:val="ECHRParaQuote"/>
        <w:rPr>
          <w:rFonts w:eastAsia="Times New Roman"/>
          <w:lang w:val="en-GB" w:eastAsia="fr-FR"/>
        </w:rPr>
      </w:pPr>
      <w:r w:rsidRPr="001922A7">
        <w:rPr>
          <w:rFonts w:eastAsia="Times New Roman"/>
          <w:lang w:val="en-GB" w:eastAsia="fr-FR"/>
        </w:rPr>
        <w:t>49.</w:t>
      </w:r>
      <w:r w:rsidR="00824BFD" w:rsidRPr="001922A7">
        <w:rPr>
          <w:rFonts w:eastAsia="Times New Roman"/>
          <w:lang w:val="en-GB" w:eastAsia="fr-FR"/>
        </w:rPr>
        <w:t>  </w:t>
      </w:r>
      <w:r w:rsidRPr="001922A7">
        <w:rPr>
          <w:rFonts w:eastAsia="Times New Roman"/>
          <w:lang w:val="en-GB" w:eastAsia="fr-FR"/>
        </w:rPr>
        <w:t xml:space="preserve">Although the Court can in certain situations indicate the specific remedy or other measure to be taken by the respondent State (see, for instance, </w:t>
      </w:r>
      <w:r w:rsidRPr="001922A7">
        <w:rPr>
          <w:rFonts w:eastAsia="Times New Roman"/>
          <w:i/>
          <w:lang w:val="en-GB" w:eastAsia="fr-FR"/>
        </w:rPr>
        <w:t>Assanidze v.</w:t>
      </w:r>
      <w:r w:rsidR="00824BFD" w:rsidRPr="001922A7">
        <w:rPr>
          <w:rFonts w:eastAsia="Times New Roman"/>
          <w:i/>
          <w:lang w:val="en-GB" w:eastAsia="fr-FR"/>
        </w:rPr>
        <w:t> </w:t>
      </w:r>
      <w:r w:rsidRPr="001922A7">
        <w:rPr>
          <w:rFonts w:eastAsia="Times New Roman"/>
          <w:i/>
          <w:lang w:val="en-GB" w:eastAsia="fr-FR"/>
        </w:rPr>
        <w:t>Georgia</w:t>
      </w:r>
      <w:r w:rsidRPr="001922A7">
        <w:rPr>
          <w:rFonts w:eastAsia="Times New Roman"/>
          <w:lang w:val="en-GB" w:eastAsia="fr-FR"/>
        </w:rPr>
        <w:t xml:space="preserve"> [GC], no. 71503/01, point 14 of the operative part, ECHR 2004-II; </w:t>
      </w:r>
      <w:r w:rsidRPr="001922A7">
        <w:rPr>
          <w:rFonts w:eastAsia="Times New Roman"/>
          <w:i/>
          <w:lang w:val="en-GB" w:eastAsia="fr-FR"/>
        </w:rPr>
        <w:t>Gençel v. Turkey</w:t>
      </w:r>
      <w:r w:rsidRPr="001922A7">
        <w:rPr>
          <w:rFonts w:eastAsia="Times New Roman"/>
          <w:lang w:val="en-GB" w:eastAsia="fr-FR"/>
        </w:rPr>
        <w:t xml:space="preserve">, no. 53431/99, § 27, 23 October 2003), it still falls to the Committee of Ministers to evaluate the implementation of such measures under Article 46 § 2 of the Convention (see </w:t>
      </w:r>
      <w:r w:rsidRPr="001922A7">
        <w:rPr>
          <w:rFonts w:eastAsia="Times New Roman"/>
          <w:i/>
          <w:lang w:val="en-GB" w:eastAsia="fr-FR"/>
        </w:rPr>
        <w:t>Greens and M.T. v. the United Kingdom</w:t>
      </w:r>
      <w:r w:rsidRPr="001922A7">
        <w:rPr>
          <w:rFonts w:eastAsia="Times New Roman"/>
          <w:lang w:val="en-GB" w:eastAsia="fr-FR"/>
        </w:rPr>
        <w:t>, nos.</w:t>
      </w:r>
      <w:r w:rsidR="00824BFD" w:rsidRPr="001922A7">
        <w:rPr>
          <w:rFonts w:eastAsia="Times New Roman"/>
          <w:lang w:val="en-GB" w:eastAsia="fr-FR"/>
        </w:rPr>
        <w:t> </w:t>
      </w:r>
      <w:r w:rsidRPr="001922A7">
        <w:rPr>
          <w:rFonts w:eastAsia="Times New Roman"/>
          <w:lang w:val="en-GB" w:eastAsia="fr-FR"/>
        </w:rPr>
        <w:t xml:space="preserve">60041/08 and 60054/08, § 107, 23 November 2010; </w:t>
      </w:r>
      <w:r w:rsidRPr="001922A7">
        <w:rPr>
          <w:rFonts w:eastAsia="Times New Roman"/>
          <w:i/>
          <w:lang w:val="en-GB" w:eastAsia="fr-FR"/>
        </w:rPr>
        <w:t>Suljagić v. Bosnia and Herzegovina</w:t>
      </w:r>
      <w:r w:rsidR="00325EF6">
        <w:rPr>
          <w:rFonts w:eastAsia="Times New Roman"/>
          <w:lang w:val="en-GB" w:eastAsia="fr-FR"/>
        </w:rPr>
        <w:t>, no. </w:t>
      </w:r>
      <w:r w:rsidRPr="001922A7">
        <w:rPr>
          <w:rFonts w:eastAsia="Times New Roman"/>
          <w:lang w:val="en-GB" w:eastAsia="fr-FR"/>
        </w:rPr>
        <w:t xml:space="preserve">27912/02, § 61, 3 November 2009; </w:t>
      </w:r>
      <w:r w:rsidRPr="001922A7">
        <w:rPr>
          <w:rFonts w:eastAsia="Times New Roman"/>
          <w:i/>
          <w:lang w:val="en-GB" w:eastAsia="fr-FR"/>
        </w:rPr>
        <w:t>Hutten Czapska v. Poland</w:t>
      </w:r>
      <w:r w:rsidRPr="001922A7">
        <w:rPr>
          <w:rFonts w:eastAsia="Times New Roman"/>
          <w:lang w:val="en-GB" w:eastAsia="fr-FR"/>
        </w:rPr>
        <w:t xml:space="preserve"> (friendly settlement) [GC], no. 35014/97, § 42, 28 April 2008; </w:t>
      </w:r>
      <w:r w:rsidRPr="001922A7">
        <w:rPr>
          <w:rFonts w:eastAsia="Times New Roman"/>
          <w:i/>
          <w:lang w:val="en-GB" w:eastAsia="fr-FR"/>
        </w:rPr>
        <w:t>Hutten Czapska v. Poland</w:t>
      </w:r>
      <w:r w:rsidR="00325EF6">
        <w:rPr>
          <w:rFonts w:eastAsia="Times New Roman"/>
          <w:lang w:val="en-GB" w:eastAsia="fr-FR"/>
        </w:rPr>
        <w:t xml:space="preserve"> [GC], no. </w:t>
      </w:r>
      <w:r w:rsidRPr="001922A7">
        <w:rPr>
          <w:rFonts w:eastAsia="Times New Roman"/>
          <w:lang w:val="en-GB" w:eastAsia="fr-FR"/>
        </w:rPr>
        <w:t xml:space="preserve">35014/97, §§ 231-239 and the operative part, ECHR 2006-VIII); </w:t>
      </w:r>
      <w:r w:rsidRPr="001922A7">
        <w:rPr>
          <w:rFonts w:eastAsia="Times New Roman"/>
          <w:i/>
          <w:lang w:val="en-GB" w:eastAsia="fr-FR"/>
        </w:rPr>
        <w:t>Broniowski v. Poland</w:t>
      </w:r>
      <w:r w:rsidRPr="001922A7">
        <w:rPr>
          <w:rFonts w:eastAsia="Times New Roman"/>
          <w:lang w:val="en-GB" w:eastAsia="fr-FR"/>
        </w:rPr>
        <w:t xml:space="preserve"> (friendly settlement) [GC], no. 31443/96, § 42, ECHR</w:t>
      </w:r>
      <w:r w:rsidR="00824BFD" w:rsidRPr="001922A7">
        <w:rPr>
          <w:rFonts w:eastAsia="Times New Roman"/>
          <w:lang w:val="en-GB" w:eastAsia="fr-FR"/>
        </w:rPr>
        <w:t> </w:t>
      </w:r>
      <w:r w:rsidRPr="001922A7">
        <w:rPr>
          <w:rFonts w:eastAsia="Times New Roman"/>
          <w:lang w:val="en-GB" w:eastAsia="fr-FR"/>
        </w:rPr>
        <w:t xml:space="preserve">2005-IX; and </w:t>
      </w:r>
      <w:r w:rsidRPr="001922A7">
        <w:rPr>
          <w:rFonts w:eastAsia="Times New Roman"/>
          <w:i/>
          <w:lang w:val="en-GB" w:eastAsia="fr-FR"/>
        </w:rPr>
        <w:t>Broniowski v. Poland</w:t>
      </w:r>
      <w:r w:rsidRPr="001922A7">
        <w:rPr>
          <w:rFonts w:eastAsia="Times New Roman"/>
          <w:lang w:val="en-GB" w:eastAsia="fr-FR"/>
        </w:rPr>
        <w:t xml:space="preserve"> [GC], no. 31443/96, §§ 189-194 and the operative p</w:t>
      </w:r>
      <w:r w:rsidR="00325EF6">
        <w:rPr>
          <w:rFonts w:eastAsia="Times New Roman"/>
          <w:lang w:val="en-GB" w:eastAsia="fr-FR"/>
        </w:rPr>
        <w:t>art, ECHR </w:t>
      </w:r>
      <w:r w:rsidRPr="001922A7">
        <w:rPr>
          <w:rFonts w:eastAsia="Times New Roman"/>
          <w:lang w:val="en-GB" w:eastAsia="fr-FR"/>
        </w:rPr>
        <w:t>2004-V).</w:t>
      </w:r>
    </w:p>
    <w:p w:rsidR="00325EF6" w:rsidRDefault="00E24964" w:rsidP="00325EF6">
      <w:pPr>
        <w:pStyle w:val="ECHRParaQuote"/>
        <w:rPr>
          <w:rFonts w:eastAsia="Times New Roman"/>
          <w:lang w:val="en-GB" w:eastAsia="fr-FR"/>
        </w:rPr>
      </w:pPr>
      <w:r w:rsidRPr="001922A7">
        <w:rPr>
          <w:rFonts w:eastAsia="Times New Roman"/>
          <w:lang w:val="en-GB" w:eastAsia="fr-FR"/>
        </w:rPr>
        <w:t>50.</w:t>
      </w:r>
      <w:r w:rsidR="00824BFD" w:rsidRPr="001922A7">
        <w:rPr>
          <w:rFonts w:eastAsia="Times New Roman"/>
          <w:lang w:val="en-GB" w:eastAsia="fr-FR"/>
        </w:rPr>
        <w:t>  </w:t>
      </w:r>
      <w:r w:rsidRPr="001922A7">
        <w:rPr>
          <w:rFonts w:eastAsia="Times New Roman"/>
          <w:lang w:val="en-GB" w:eastAsia="fr-FR"/>
        </w:rPr>
        <w:t>Consequently, the Court has consistently emphasised that it does not have jurisdiction to verify whether a Contracting Party has complied with the obligations imposed on it by one of the Court</w:t>
      </w:r>
      <w:r w:rsidR="009912A8">
        <w:rPr>
          <w:rFonts w:eastAsia="Times New Roman"/>
          <w:lang w:val="en-GB" w:eastAsia="fr-FR"/>
        </w:rPr>
        <w:t>’</w:t>
      </w:r>
      <w:r w:rsidRPr="001922A7">
        <w:rPr>
          <w:rFonts w:eastAsia="Times New Roman"/>
          <w:lang w:val="en-GB" w:eastAsia="fr-FR"/>
        </w:rPr>
        <w:t xml:space="preserve">s judgments. It has therefore refused to examine complaints concerning the failure by States to execute its judgments, declaring such complaints inadmissible </w:t>
      </w:r>
      <w:r w:rsidRPr="001922A7">
        <w:rPr>
          <w:rFonts w:eastAsia="Times New Roman"/>
          <w:i/>
          <w:lang w:val="en-GB" w:eastAsia="fr-FR"/>
        </w:rPr>
        <w:t>ratione materiae</w:t>
      </w:r>
      <w:r w:rsidRPr="001922A7">
        <w:rPr>
          <w:rFonts w:eastAsia="Times New Roman"/>
          <w:lang w:val="en-GB" w:eastAsia="fr-FR"/>
        </w:rPr>
        <w:t xml:space="preserve"> (see </w:t>
      </w:r>
      <w:r w:rsidRPr="001922A7">
        <w:rPr>
          <w:rFonts w:eastAsia="Times New Roman"/>
          <w:i/>
          <w:lang w:val="en-GB" w:eastAsia="fr-FR"/>
        </w:rPr>
        <w:t>Moldovan and Others v.</w:t>
      </w:r>
      <w:r w:rsidR="003422A4">
        <w:rPr>
          <w:rFonts w:eastAsia="Times New Roman"/>
          <w:i/>
          <w:lang w:val="en-GB" w:eastAsia="fr-FR"/>
        </w:rPr>
        <w:t xml:space="preserve"> </w:t>
      </w:r>
      <w:r w:rsidRPr="001922A7">
        <w:rPr>
          <w:rFonts w:eastAsia="Times New Roman"/>
          <w:i/>
          <w:lang w:val="en-GB" w:eastAsia="fr-FR"/>
        </w:rPr>
        <w:t>Moldova</w:t>
      </w:r>
      <w:r w:rsidRPr="001922A7">
        <w:rPr>
          <w:rFonts w:eastAsia="Times New Roman"/>
          <w:lang w:val="en-GB" w:eastAsia="fr-FR"/>
        </w:rPr>
        <w:t xml:space="preserve"> (dec.), no. 8229/04, 15 February 2011; </w:t>
      </w:r>
      <w:r w:rsidRPr="001922A7">
        <w:rPr>
          <w:rFonts w:eastAsia="Times New Roman"/>
          <w:i/>
          <w:lang w:val="en-GB" w:eastAsia="fr-FR"/>
        </w:rPr>
        <w:t>Dowsett v. the United Kingdom</w:t>
      </w:r>
      <w:r w:rsidRPr="001922A7">
        <w:rPr>
          <w:rFonts w:eastAsia="Times New Roman"/>
          <w:lang w:val="en-GB" w:eastAsia="fr-FR"/>
        </w:rPr>
        <w:t xml:space="preserve"> (no. 2) (dec.), no.</w:t>
      </w:r>
      <w:r w:rsidR="003422A4">
        <w:rPr>
          <w:rFonts w:eastAsia="Times New Roman"/>
          <w:lang w:val="en-GB" w:eastAsia="fr-FR"/>
        </w:rPr>
        <w:t xml:space="preserve"> </w:t>
      </w:r>
      <w:r w:rsidRPr="001922A7">
        <w:rPr>
          <w:rFonts w:eastAsia="Times New Roman"/>
          <w:lang w:val="en-GB" w:eastAsia="fr-FR"/>
        </w:rPr>
        <w:t xml:space="preserve">8559/08, 4 January 2011; </w:t>
      </w:r>
      <w:r w:rsidRPr="001922A7">
        <w:rPr>
          <w:rFonts w:eastAsia="Times New Roman"/>
          <w:i/>
          <w:lang w:val="en-GB" w:eastAsia="fr-FR"/>
        </w:rPr>
        <w:t>Öcalan v. Turkey</w:t>
      </w:r>
      <w:r w:rsidRPr="001922A7">
        <w:rPr>
          <w:rFonts w:eastAsia="Times New Roman"/>
          <w:lang w:val="en-GB" w:eastAsia="fr-FR"/>
        </w:rPr>
        <w:t xml:space="preserve"> (dec.), no. 5980/07, 6 July 2010; </w:t>
      </w:r>
      <w:r w:rsidRPr="001922A7">
        <w:rPr>
          <w:rFonts w:eastAsia="Times New Roman"/>
          <w:i/>
          <w:lang w:val="en-GB" w:eastAsia="fr-FR"/>
        </w:rPr>
        <w:t>Haase v. Germany</w:t>
      </w:r>
      <w:r w:rsidRPr="001922A7">
        <w:rPr>
          <w:rFonts w:eastAsia="Times New Roman"/>
          <w:lang w:val="en-GB" w:eastAsia="fr-FR"/>
        </w:rPr>
        <w:t>, no.</w:t>
      </w:r>
      <w:r w:rsidR="003422A4">
        <w:rPr>
          <w:rFonts w:eastAsia="Times New Roman"/>
          <w:lang w:val="en-GB" w:eastAsia="fr-FR"/>
        </w:rPr>
        <w:t xml:space="preserve"> </w:t>
      </w:r>
      <w:r w:rsidRPr="001922A7">
        <w:rPr>
          <w:rFonts w:eastAsia="Times New Roman"/>
          <w:lang w:val="en-GB" w:eastAsia="fr-FR"/>
        </w:rPr>
        <w:t xml:space="preserve">11057/02, ECHR 2004 III; </w:t>
      </w:r>
      <w:r w:rsidRPr="001922A7">
        <w:rPr>
          <w:rFonts w:eastAsia="Times New Roman"/>
          <w:i/>
          <w:lang w:val="en-GB" w:eastAsia="fr-FR"/>
        </w:rPr>
        <w:t>Komanický v. Slovakia</w:t>
      </w:r>
      <w:r w:rsidR="00325EF6">
        <w:rPr>
          <w:rFonts w:eastAsia="Times New Roman"/>
          <w:lang w:val="en-GB" w:eastAsia="fr-FR"/>
        </w:rPr>
        <w:t xml:space="preserve"> (dec.), no. </w:t>
      </w:r>
      <w:r w:rsidRPr="001922A7">
        <w:rPr>
          <w:rFonts w:eastAsia="Times New Roman"/>
          <w:lang w:val="en-GB" w:eastAsia="fr-FR"/>
        </w:rPr>
        <w:t xml:space="preserve">13677/03, 1 March 2005; </w:t>
      </w:r>
      <w:r w:rsidRPr="001922A7">
        <w:rPr>
          <w:rFonts w:eastAsia="Times New Roman"/>
          <w:i/>
          <w:lang w:val="en-GB" w:eastAsia="fr-FR"/>
        </w:rPr>
        <w:t>Lyons and Others</w:t>
      </w:r>
      <w:r w:rsidRPr="001922A7">
        <w:rPr>
          <w:rFonts w:eastAsia="Times New Roman"/>
          <w:lang w:val="en-GB" w:eastAsia="fr-FR"/>
        </w:rPr>
        <w:t xml:space="preserve">, cited above; </w:t>
      </w:r>
      <w:r w:rsidRPr="001922A7">
        <w:rPr>
          <w:rFonts w:eastAsia="Times New Roman"/>
          <w:i/>
          <w:lang w:val="en-GB" w:eastAsia="fr-FR"/>
        </w:rPr>
        <w:t>Krčmář and Others</w:t>
      </w:r>
      <w:r w:rsidRPr="001922A7">
        <w:rPr>
          <w:rFonts w:eastAsia="Times New Roman"/>
          <w:lang w:val="en-GB" w:eastAsia="fr-FR"/>
        </w:rPr>
        <w:t xml:space="preserve">, cited above; and </w:t>
      </w:r>
      <w:r w:rsidR="00CD78E4">
        <w:rPr>
          <w:rFonts w:eastAsia="Times New Roman"/>
          <w:lang w:val="en-GB" w:eastAsia="fr-FR"/>
        </w:rPr>
        <w:t>[</w:t>
      </w:r>
      <w:r w:rsidRPr="001922A7">
        <w:rPr>
          <w:rFonts w:eastAsia="Times New Roman"/>
          <w:i/>
          <w:lang w:val="en-GB" w:eastAsia="fr-FR"/>
        </w:rPr>
        <w:t>Fischer</w:t>
      </w:r>
      <w:r w:rsidR="00CD78E4">
        <w:rPr>
          <w:rFonts w:eastAsia="Times New Roman"/>
          <w:sz w:val="22"/>
          <w:lang w:val="en-GB" w:eastAsia="fr-FR"/>
        </w:rPr>
        <w:t>]</w:t>
      </w:r>
      <w:r w:rsidRPr="001922A7">
        <w:rPr>
          <w:rFonts w:eastAsia="Times New Roman"/>
          <w:i/>
          <w:lang w:val="en-GB" w:eastAsia="fr-FR"/>
        </w:rPr>
        <w:t xml:space="preserve"> v. Austria</w:t>
      </w:r>
      <w:r w:rsidRPr="001922A7">
        <w:rPr>
          <w:rFonts w:eastAsia="Times New Roman"/>
          <w:lang w:val="en-GB" w:eastAsia="fr-FR"/>
        </w:rPr>
        <w:t xml:space="preserve"> (dec.), no. 27569/02, ECHR</w:t>
      </w:r>
      <w:r w:rsidR="00824BFD" w:rsidRPr="001922A7">
        <w:rPr>
          <w:rFonts w:eastAsia="Times New Roman"/>
          <w:lang w:val="en-GB" w:eastAsia="fr-FR"/>
        </w:rPr>
        <w:t> </w:t>
      </w:r>
      <w:r w:rsidRPr="001922A7">
        <w:rPr>
          <w:rFonts w:eastAsia="Times New Roman"/>
          <w:lang w:val="en-GB" w:eastAsia="fr-FR"/>
        </w:rPr>
        <w:t>2003 VI).</w:t>
      </w:r>
    </w:p>
    <w:p w:rsidR="00E24964" w:rsidRPr="00325EF6" w:rsidRDefault="00E24964" w:rsidP="00325EF6">
      <w:pPr>
        <w:pStyle w:val="ECHRParaQuote"/>
        <w:rPr>
          <w:rFonts w:eastAsia="Times New Roman"/>
          <w:lang w:val="en-GB" w:eastAsia="fr-FR"/>
        </w:rPr>
      </w:pPr>
      <w:r w:rsidRPr="001922A7">
        <w:rPr>
          <w:rFonts w:eastAsia="Times New Roman"/>
          <w:lang w:val="en-GB" w:eastAsia="fr-FR"/>
        </w:rPr>
        <w:t>51.</w:t>
      </w:r>
      <w:r w:rsidR="00824BFD" w:rsidRPr="001922A7">
        <w:rPr>
          <w:rFonts w:eastAsia="Times New Roman"/>
          <w:lang w:val="en-GB" w:eastAsia="fr-FR"/>
        </w:rPr>
        <w:t>  </w:t>
      </w:r>
      <w:r w:rsidRPr="001922A7">
        <w:rPr>
          <w:rFonts w:eastAsia="Times New Roman"/>
          <w:lang w:val="en-GB" w:eastAsia="fr-FR"/>
        </w:rPr>
        <w:t>However, the Committee of Ministers</w:t>
      </w:r>
      <w:r w:rsidR="009912A8">
        <w:rPr>
          <w:rFonts w:eastAsia="Times New Roman"/>
          <w:lang w:val="en-GB" w:eastAsia="fr-FR"/>
        </w:rPr>
        <w:t>’</w:t>
      </w:r>
      <w:r w:rsidRPr="001922A7">
        <w:rPr>
          <w:rFonts w:eastAsia="Times New Roman"/>
          <w:lang w:val="en-GB" w:eastAsia="fr-FR"/>
        </w:rPr>
        <w:t xml:space="preserve"> role in this sphere does not mean that measures taken by a respondent State to remedy a violation found by the Court cannot raise a new issue undecided by the judgment (see </w:t>
      </w:r>
      <w:r w:rsidRPr="001922A7">
        <w:rPr>
          <w:rFonts w:eastAsia="Times New Roman"/>
          <w:i/>
          <w:lang w:val="en-GB" w:eastAsia="fr-FR"/>
        </w:rPr>
        <w:t xml:space="preserve">Verein gegen Tierfabriken Schweiz </w:t>
      </w:r>
      <w:r w:rsidRPr="001922A7">
        <w:rPr>
          <w:rFonts w:eastAsia="Times New Roman"/>
          <w:i/>
          <w:lang w:val="en-GB" w:eastAsia="fr-FR"/>
        </w:rPr>
        <w:lastRenderedPageBreak/>
        <w:t>(VgT)</w:t>
      </w:r>
      <w:r w:rsidRPr="001922A7">
        <w:rPr>
          <w:rFonts w:eastAsia="Times New Roman"/>
          <w:lang w:val="en-GB" w:eastAsia="fr-FR"/>
        </w:rPr>
        <w:t xml:space="preserve">, cited above, § 62; </w:t>
      </w:r>
      <w:r w:rsidRPr="001922A7">
        <w:rPr>
          <w:rFonts w:eastAsia="Times New Roman"/>
          <w:i/>
          <w:lang w:val="en-GB" w:eastAsia="fr-FR"/>
        </w:rPr>
        <w:t>Hakkar v. France</w:t>
      </w:r>
      <w:r w:rsidRPr="001922A7">
        <w:rPr>
          <w:rFonts w:eastAsia="Times New Roman"/>
          <w:lang w:val="en-GB" w:eastAsia="fr-FR"/>
        </w:rPr>
        <w:t xml:space="preserve"> (dec.), no.</w:t>
      </w:r>
      <w:r w:rsidR="003422A4">
        <w:rPr>
          <w:rFonts w:eastAsia="Times New Roman"/>
          <w:lang w:val="en-GB" w:eastAsia="fr-FR"/>
        </w:rPr>
        <w:t xml:space="preserve"> </w:t>
      </w:r>
      <w:r w:rsidRPr="001922A7">
        <w:rPr>
          <w:rFonts w:eastAsia="Times New Roman"/>
          <w:lang w:val="en-GB" w:eastAsia="fr-FR"/>
        </w:rPr>
        <w:t xml:space="preserve">43580/04, 7 April 2009; </w:t>
      </w:r>
      <w:r w:rsidRPr="001922A7">
        <w:rPr>
          <w:rFonts w:eastAsia="Times New Roman"/>
          <w:i/>
          <w:lang w:val="en-GB" w:eastAsia="fr-FR"/>
        </w:rPr>
        <w:t>Haase</w:t>
      </w:r>
      <w:r w:rsidRPr="001922A7">
        <w:rPr>
          <w:rFonts w:eastAsia="Times New Roman"/>
          <w:lang w:val="en-GB" w:eastAsia="fr-FR"/>
        </w:rPr>
        <w:t xml:space="preserve">, cited above; </w:t>
      </w:r>
      <w:r w:rsidR="00325EF6" w:rsidRPr="00B668D2">
        <w:rPr>
          <w:i/>
          <w:lang w:val="en-GB"/>
        </w:rPr>
        <w:t xml:space="preserve">Mehemi </w:t>
      </w:r>
      <w:r w:rsidR="00325EF6">
        <w:rPr>
          <w:lang w:val="en-GB"/>
        </w:rPr>
        <w:t>[</w:t>
      </w:r>
      <w:r w:rsidR="00325EF6" w:rsidRPr="00B668D2">
        <w:rPr>
          <w:i/>
          <w:lang w:val="en-GB"/>
        </w:rPr>
        <w:t>v. France (no. 2)</w:t>
      </w:r>
      <w:r w:rsidR="00325EF6" w:rsidRPr="00B668D2">
        <w:rPr>
          <w:lang w:val="en-GB"/>
        </w:rPr>
        <w:t>,</w:t>
      </w:r>
      <w:r w:rsidR="00325EF6" w:rsidRPr="00B668D2">
        <w:rPr>
          <w:i/>
          <w:lang w:val="en-GB"/>
        </w:rPr>
        <w:t xml:space="preserve"> </w:t>
      </w:r>
      <w:r w:rsidR="00325EF6" w:rsidRPr="00B668D2">
        <w:rPr>
          <w:lang w:val="en-GB"/>
        </w:rPr>
        <w:t xml:space="preserve">no. 53470/99, § </w:t>
      </w:r>
      <w:r w:rsidR="00325EF6" w:rsidRPr="001922A7">
        <w:rPr>
          <w:rFonts w:eastAsia="Times New Roman"/>
          <w:lang w:val="en-GB" w:eastAsia="fr-FR"/>
        </w:rPr>
        <w:t>43</w:t>
      </w:r>
      <w:r w:rsidR="00325EF6" w:rsidRPr="00B668D2">
        <w:rPr>
          <w:lang w:val="en-GB"/>
        </w:rPr>
        <w:t>, ECHR 2003</w:t>
      </w:r>
      <w:r w:rsidR="00325EF6" w:rsidRPr="00B668D2">
        <w:rPr>
          <w:lang w:val="en-GB"/>
        </w:rPr>
        <w:noBreakHyphen/>
        <w:t>IV</w:t>
      </w:r>
      <w:r w:rsidR="00325EF6">
        <w:rPr>
          <w:lang w:val="en-GB"/>
        </w:rPr>
        <w:t>]</w:t>
      </w:r>
      <w:r w:rsidRPr="001922A7">
        <w:rPr>
          <w:rFonts w:eastAsia="Times New Roman"/>
          <w:lang w:val="en-GB" w:eastAsia="fr-FR"/>
        </w:rPr>
        <w:t xml:space="preserve">; </w:t>
      </w:r>
      <w:r w:rsidRPr="001922A7">
        <w:rPr>
          <w:rFonts w:eastAsia="Times New Roman"/>
          <w:i/>
          <w:lang w:val="en-GB" w:eastAsia="fr-FR"/>
        </w:rPr>
        <w:t>Rongoni v. Italy</w:t>
      </w:r>
      <w:r w:rsidRPr="001922A7">
        <w:rPr>
          <w:rFonts w:eastAsia="Times New Roman"/>
          <w:lang w:val="en-GB" w:eastAsia="fr-FR"/>
        </w:rPr>
        <w:t xml:space="preserve">, no. 44531/98, § 13, 25 October 2001; </w:t>
      </w:r>
      <w:r w:rsidRPr="001922A7">
        <w:rPr>
          <w:rFonts w:eastAsia="Times New Roman"/>
          <w:i/>
          <w:lang w:val="en-GB" w:eastAsia="fr-FR"/>
        </w:rPr>
        <w:t>Rando v. Italy</w:t>
      </w:r>
      <w:r w:rsidRPr="001922A7">
        <w:rPr>
          <w:rFonts w:eastAsia="Times New Roman"/>
          <w:lang w:val="en-GB" w:eastAsia="fr-FR"/>
        </w:rPr>
        <w:t>, no. 38498/97, §</w:t>
      </w:r>
      <w:r w:rsidR="00FA0A50">
        <w:rPr>
          <w:rFonts w:eastAsia="Times New Roman"/>
          <w:lang w:val="en-GB" w:eastAsia="fr-FR"/>
        </w:rPr>
        <w:t> </w:t>
      </w:r>
      <w:r w:rsidRPr="001922A7">
        <w:rPr>
          <w:rFonts w:eastAsia="Times New Roman"/>
          <w:lang w:val="en-GB" w:eastAsia="fr-FR"/>
        </w:rPr>
        <w:t>17, 15</w:t>
      </w:r>
      <w:r w:rsidR="00824BFD" w:rsidRPr="001922A7">
        <w:rPr>
          <w:rFonts w:eastAsia="Times New Roman"/>
          <w:lang w:val="en-GB" w:eastAsia="fr-FR"/>
        </w:rPr>
        <w:t> </w:t>
      </w:r>
      <w:r w:rsidRPr="001922A7">
        <w:rPr>
          <w:rFonts w:eastAsia="Times New Roman"/>
          <w:lang w:val="en-GB" w:eastAsia="fr-FR"/>
        </w:rPr>
        <w:t xml:space="preserve">February 2000; </w:t>
      </w:r>
      <w:r w:rsidRPr="001922A7">
        <w:rPr>
          <w:rFonts w:eastAsia="Times New Roman"/>
          <w:i/>
          <w:lang w:val="en-GB" w:eastAsia="fr-FR"/>
        </w:rPr>
        <w:t>Leterme v.</w:t>
      </w:r>
      <w:r w:rsidR="003422A4">
        <w:rPr>
          <w:rFonts w:eastAsia="Times New Roman"/>
          <w:i/>
          <w:lang w:val="en-GB" w:eastAsia="fr-FR"/>
        </w:rPr>
        <w:t xml:space="preserve"> </w:t>
      </w:r>
      <w:r w:rsidRPr="001922A7">
        <w:rPr>
          <w:rFonts w:eastAsia="Times New Roman"/>
          <w:i/>
          <w:lang w:val="en-GB" w:eastAsia="fr-FR"/>
        </w:rPr>
        <w:t>France</w:t>
      </w:r>
      <w:r w:rsidRPr="001922A7">
        <w:rPr>
          <w:rFonts w:eastAsia="Times New Roman"/>
          <w:lang w:val="en-GB" w:eastAsia="fr-FR"/>
        </w:rPr>
        <w:t xml:space="preserve">, 29 April 1998, Reports 1998-III; </w:t>
      </w:r>
      <w:r w:rsidRPr="001922A7">
        <w:rPr>
          <w:rFonts w:eastAsia="Times New Roman"/>
          <w:i/>
          <w:lang w:val="en-GB" w:eastAsia="fr-FR"/>
        </w:rPr>
        <w:t>Pailot v.</w:t>
      </w:r>
      <w:r w:rsidR="00824BFD" w:rsidRPr="001922A7">
        <w:rPr>
          <w:rFonts w:eastAsia="Times New Roman"/>
          <w:i/>
          <w:lang w:val="en-GB" w:eastAsia="fr-FR"/>
        </w:rPr>
        <w:t> </w:t>
      </w:r>
      <w:r w:rsidRPr="001922A7">
        <w:rPr>
          <w:rFonts w:eastAsia="Times New Roman"/>
          <w:i/>
          <w:lang w:val="en-GB" w:eastAsia="fr-FR"/>
        </w:rPr>
        <w:t>France</w:t>
      </w:r>
      <w:r w:rsidRPr="001922A7">
        <w:rPr>
          <w:rFonts w:eastAsia="Times New Roman"/>
          <w:lang w:val="en-GB" w:eastAsia="fr-FR"/>
        </w:rPr>
        <w:t xml:space="preserve">, 22 April 1998, § 57, Reports 1998-II; and </w:t>
      </w:r>
      <w:r w:rsidRPr="001922A7">
        <w:rPr>
          <w:rFonts w:eastAsia="Times New Roman"/>
          <w:i/>
          <w:lang w:val="en-GB" w:eastAsia="fr-FR"/>
        </w:rPr>
        <w:t>Olsson v. Swede</w:t>
      </w:r>
      <w:r w:rsidRPr="001922A7">
        <w:rPr>
          <w:rFonts w:eastAsia="Times New Roman"/>
          <w:lang w:val="en-GB" w:eastAsia="fr-FR"/>
        </w:rPr>
        <w:t>n (no. 2), 27</w:t>
      </w:r>
      <w:r w:rsidR="00824BFD" w:rsidRPr="001922A7">
        <w:rPr>
          <w:rFonts w:eastAsia="Times New Roman"/>
          <w:lang w:val="en-GB" w:eastAsia="fr-FR"/>
        </w:rPr>
        <w:t> </w:t>
      </w:r>
      <w:r w:rsidRPr="001922A7">
        <w:rPr>
          <w:rFonts w:eastAsia="Times New Roman"/>
          <w:lang w:val="en-GB" w:eastAsia="fr-FR"/>
        </w:rPr>
        <w:t>November 1992, Series A no. 250) and, as such, form the subject of a new application that may be dealt with by the Court.</w:t>
      </w:r>
    </w:p>
    <w:p w:rsidR="00E24964" w:rsidRPr="001922A7" w:rsidRDefault="00E24964" w:rsidP="00AA7A26">
      <w:pPr>
        <w:pStyle w:val="ECHRParaQuote"/>
        <w:rPr>
          <w:rFonts w:eastAsia="Times New Roman"/>
          <w:lang w:val="en-GB" w:eastAsia="fr-FR"/>
        </w:rPr>
      </w:pPr>
      <w:r w:rsidRPr="001922A7">
        <w:rPr>
          <w:rFonts w:eastAsia="Times New Roman"/>
          <w:lang w:val="en-GB" w:eastAsia="fr-FR"/>
        </w:rPr>
        <w:t>52.</w:t>
      </w:r>
      <w:r w:rsidR="00824BFD" w:rsidRPr="001922A7">
        <w:rPr>
          <w:rFonts w:eastAsia="Times New Roman"/>
          <w:lang w:val="en-GB" w:eastAsia="fr-FR"/>
        </w:rPr>
        <w:t>  </w:t>
      </w:r>
      <w:r w:rsidRPr="001922A7">
        <w:rPr>
          <w:rFonts w:eastAsia="Times New Roman"/>
          <w:lang w:val="en-GB" w:eastAsia="fr-FR"/>
        </w:rPr>
        <w:t>On that basis, the Court has found that it had the competence to entertain complaints in a number of follow-up cases for example where the domestic authorities have carried out a fresh domestic examination of the case by way of implementation of one of the Court</w:t>
      </w:r>
      <w:r w:rsidR="009912A8">
        <w:rPr>
          <w:rFonts w:eastAsia="Times New Roman"/>
          <w:lang w:val="en-GB" w:eastAsia="fr-FR"/>
        </w:rPr>
        <w:t>’</w:t>
      </w:r>
      <w:r w:rsidRPr="001922A7">
        <w:rPr>
          <w:rFonts w:eastAsia="Times New Roman"/>
          <w:lang w:val="en-GB" w:eastAsia="fr-FR"/>
        </w:rPr>
        <w:t xml:space="preserve">s judgments whether by reopening of the proceedings (see </w:t>
      </w:r>
      <w:r w:rsidRPr="001922A7">
        <w:rPr>
          <w:rFonts w:eastAsia="Times New Roman"/>
          <w:i/>
          <w:lang w:val="en-GB" w:eastAsia="fr-FR"/>
        </w:rPr>
        <w:t>Emre v.</w:t>
      </w:r>
      <w:r w:rsidR="00CB21EA">
        <w:rPr>
          <w:rFonts w:eastAsia="Times New Roman"/>
          <w:i/>
          <w:lang w:val="en-GB" w:eastAsia="fr-FR"/>
        </w:rPr>
        <w:t> </w:t>
      </w:r>
      <w:r w:rsidRPr="001922A7">
        <w:rPr>
          <w:rFonts w:eastAsia="Times New Roman"/>
          <w:i/>
          <w:lang w:val="en-GB" w:eastAsia="fr-FR"/>
        </w:rPr>
        <w:t>Switzerland (no. 2)</w:t>
      </w:r>
      <w:r w:rsidRPr="001922A7">
        <w:rPr>
          <w:rFonts w:eastAsia="Times New Roman"/>
          <w:lang w:val="en-GB" w:eastAsia="fr-FR"/>
        </w:rPr>
        <w:t xml:space="preserve">, no. 5056/10, 11 October 2011, and </w:t>
      </w:r>
      <w:r w:rsidRPr="001922A7">
        <w:rPr>
          <w:rFonts w:eastAsia="Times New Roman"/>
          <w:i/>
          <w:lang w:val="en-GB" w:eastAsia="fr-FR"/>
        </w:rPr>
        <w:t>Hertel</w:t>
      </w:r>
      <w:r w:rsidRPr="001922A7">
        <w:rPr>
          <w:rFonts w:eastAsia="Times New Roman"/>
          <w:lang w:val="en-GB" w:eastAsia="fr-FR"/>
        </w:rPr>
        <w:t xml:space="preserve"> </w:t>
      </w:r>
      <w:r w:rsidR="00FA0A50">
        <w:rPr>
          <w:rFonts w:eastAsia="Times New Roman"/>
          <w:lang w:val="en-GB" w:eastAsia="fr-FR"/>
        </w:rPr>
        <w:t>[</w:t>
      </w:r>
      <w:r w:rsidR="00FA0A50" w:rsidRPr="00FA0A50">
        <w:rPr>
          <w:rFonts w:eastAsia="Times New Roman"/>
          <w:i/>
          <w:lang w:val="en-GB" w:eastAsia="fr-FR"/>
        </w:rPr>
        <w:t>v. Switzerland</w:t>
      </w:r>
      <w:r w:rsidR="00D32B3D">
        <w:rPr>
          <w:rFonts w:eastAsia="Times New Roman"/>
          <w:lang w:val="en-GB" w:eastAsia="fr-FR"/>
        </w:rPr>
        <w:t xml:space="preserve"> (dec.), no.</w:t>
      </w:r>
      <w:r w:rsidR="009C20BC">
        <w:rPr>
          <w:rFonts w:eastAsia="Times New Roman"/>
          <w:lang w:val="en-GB" w:eastAsia="fr-FR"/>
        </w:rPr>
        <w:t> </w:t>
      </w:r>
      <w:r w:rsidR="00FA0A50">
        <w:rPr>
          <w:rFonts w:eastAsia="Times New Roman"/>
          <w:lang w:val="en-GB" w:eastAsia="fr-FR"/>
        </w:rPr>
        <w:t>53440/99, ECHR </w:t>
      </w:r>
      <w:r w:rsidR="00FA0A50" w:rsidRPr="00FA0A50">
        <w:rPr>
          <w:rFonts w:eastAsia="Times New Roman"/>
          <w:lang w:val="en-GB" w:eastAsia="fr-FR"/>
        </w:rPr>
        <w:t>2002-I</w:t>
      </w:r>
      <w:r w:rsidR="00FA0A50">
        <w:rPr>
          <w:rFonts w:eastAsia="Times New Roman"/>
          <w:lang w:val="en-GB" w:eastAsia="fr-FR"/>
        </w:rPr>
        <w:t>]</w:t>
      </w:r>
      <w:r w:rsidRPr="001922A7">
        <w:rPr>
          <w:rFonts w:eastAsia="Times New Roman"/>
          <w:lang w:val="en-GB" w:eastAsia="fr-FR"/>
        </w:rPr>
        <w:t xml:space="preserve">) or by the initiation of </w:t>
      </w:r>
      <w:r w:rsidR="008D5D24">
        <w:rPr>
          <w:rFonts w:eastAsia="Times New Roman"/>
          <w:lang w:val="en-GB" w:eastAsia="fr-FR"/>
        </w:rPr>
        <w:t>[</w:t>
      </w:r>
      <w:r w:rsidRPr="001922A7">
        <w:rPr>
          <w:rFonts w:eastAsia="Times New Roman"/>
          <w:lang w:val="en-GB" w:eastAsia="fr-FR"/>
        </w:rPr>
        <w:t>a</w:t>
      </w:r>
      <w:r w:rsidR="008D5D24">
        <w:rPr>
          <w:rFonts w:eastAsia="Times New Roman"/>
          <w:lang w:val="en-GB" w:eastAsia="fr-FR"/>
        </w:rPr>
        <w:t>n]</w:t>
      </w:r>
      <w:r w:rsidRPr="001922A7">
        <w:rPr>
          <w:rFonts w:eastAsia="Times New Roman"/>
          <w:lang w:val="en-GB" w:eastAsia="fr-FR"/>
        </w:rPr>
        <w:t xml:space="preserve"> entire new set of domestic proceedings (see </w:t>
      </w:r>
      <w:r w:rsidRPr="001922A7">
        <w:rPr>
          <w:rFonts w:eastAsia="Times New Roman"/>
          <w:i/>
          <w:lang w:val="en-GB" w:eastAsia="fr-FR"/>
        </w:rPr>
        <w:t>The United Macedonian Organisation Ilinden – PIRIN and Others v. Bulgaria (no. 2)</w:t>
      </w:r>
      <w:r w:rsidRPr="001922A7">
        <w:rPr>
          <w:rFonts w:eastAsia="Times New Roman"/>
          <w:lang w:val="en-GB" w:eastAsia="fr-FR"/>
        </w:rPr>
        <w:t xml:space="preserve">, nos. 41561/07 and 20972/08, 18 October 2011 and </w:t>
      </w:r>
      <w:r w:rsidR="009F7640">
        <w:rPr>
          <w:rFonts w:eastAsia="Times New Roman"/>
          <w:i/>
          <w:lang w:val="en-GB" w:eastAsia="fr-FR"/>
        </w:rPr>
        <w:t>Liu v.</w:t>
      </w:r>
      <w:r w:rsidR="00CB21EA">
        <w:rPr>
          <w:rFonts w:eastAsia="Times New Roman"/>
          <w:i/>
          <w:lang w:val="en-GB" w:eastAsia="fr-FR"/>
        </w:rPr>
        <w:t> </w:t>
      </w:r>
      <w:r w:rsidR="009F7640">
        <w:rPr>
          <w:rFonts w:eastAsia="Times New Roman"/>
          <w:i/>
          <w:lang w:val="en-GB" w:eastAsia="fr-FR"/>
        </w:rPr>
        <w:t>Russia (no. </w:t>
      </w:r>
      <w:r w:rsidRPr="001922A7">
        <w:rPr>
          <w:rFonts w:eastAsia="Times New Roman"/>
          <w:i/>
          <w:lang w:val="en-GB" w:eastAsia="fr-FR"/>
        </w:rPr>
        <w:t>2)</w:t>
      </w:r>
      <w:r w:rsidRPr="001922A7">
        <w:rPr>
          <w:rFonts w:eastAsia="Times New Roman"/>
          <w:lang w:val="en-GB" w:eastAsia="fr-FR"/>
        </w:rPr>
        <w:t>, no.</w:t>
      </w:r>
      <w:r w:rsidR="004924D6">
        <w:rPr>
          <w:rFonts w:eastAsia="Times New Roman"/>
          <w:lang w:val="en-GB" w:eastAsia="fr-FR"/>
        </w:rPr>
        <w:t xml:space="preserve"> </w:t>
      </w:r>
      <w:r w:rsidRPr="001922A7">
        <w:rPr>
          <w:rFonts w:eastAsia="Times New Roman"/>
          <w:lang w:val="en-GB" w:eastAsia="fr-FR"/>
        </w:rPr>
        <w:t>29157/09, 26 July 2011).</w:t>
      </w:r>
    </w:p>
    <w:p w:rsidR="00C06D12" w:rsidRPr="00E24964" w:rsidRDefault="00C06D12" w:rsidP="00AA7A26">
      <w:pPr>
        <w:pStyle w:val="ECHRParaQuote"/>
        <w:rPr>
          <w:rFonts w:eastAsia="Times New Roman"/>
          <w:lang w:val="en-GB" w:eastAsia="fr-FR"/>
        </w:rPr>
      </w:pPr>
      <w:r w:rsidRPr="00E24964">
        <w:rPr>
          <w:rFonts w:eastAsia="Times New Roman"/>
          <w:lang w:val="en-GB" w:eastAsia="fr-FR"/>
        </w:rPr>
        <w:t>53.</w:t>
      </w:r>
      <w:r>
        <w:rPr>
          <w:rFonts w:eastAsia="Times New Roman"/>
          <w:lang w:val="en-GB" w:eastAsia="fr-FR"/>
        </w:rPr>
        <w:t>  </w:t>
      </w:r>
      <w:r w:rsidRPr="00E24964">
        <w:rPr>
          <w:rFonts w:eastAsia="Times New Roman"/>
          <w:lang w:val="en-GB" w:eastAsia="fr-FR"/>
        </w:rPr>
        <w:t xml:space="preserve">Moreover, in the specific context of a continuing violation of a Convention right following adoption of a judgment in which the Court has found a violation of that right during a certain period of time, it is not unusual for the Court to examine a second application concerning a violation of that right in the subsequent period (see, amongst others </w:t>
      </w:r>
      <w:r w:rsidRPr="00E24964">
        <w:rPr>
          <w:rFonts w:eastAsia="Times New Roman"/>
          <w:i/>
          <w:lang w:val="en-GB" w:eastAsia="fr-FR"/>
        </w:rPr>
        <w:t>Ivanţoc and Others v. Moldova and Russia</w:t>
      </w:r>
      <w:r w:rsidRPr="00E24964">
        <w:rPr>
          <w:rFonts w:eastAsia="Times New Roman"/>
          <w:lang w:val="en-GB" w:eastAsia="fr-FR"/>
        </w:rPr>
        <w:t xml:space="preserve">, no. 23687/05, §§ 93-96, 15 November 2011 regarding continuing detention; </w:t>
      </w:r>
      <w:r w:rsidRPr="00E24964">
        <w:rPr>
          <w:rFonts w:eastAsia="Times New Roman"/>
          <w:i/>
          <w:lang w:val="en-GB" w:eastAsia="fr-FR"/>
        </w:rPr>
        <w:t>Wasserman v. Russia (no. 2)</w:t>
      </w:r>
      <w:r w:rsidRPr="00E24964">
        <w:rPr>
          <w:rFonts w:eastAsia="Times New Roman"/>
          <w:lang w:val="en-GB" w:eastAsia="fr-FR"/>
        </w:rPr>
        <w:t>, no.</w:t>
      </w:r>
      <w:r w:rsidR="00056CEE">
        <w:rPr>
          <w:rFonts w:eastAsia="Times New Roman"/>
          <w:lang w:val="en-GB" w:eastAsia="fr-FR"/>
        </w:rPr>
        <w:t> </w:t>
      </w:r>
      <w:r w:rsidRPr="00E24964">
        <w:rPr>
          <w:rFonts w:eastAsia="Times New Roman"/>
          <w:lang w:val="en-GB" w:eastAsia="fr-FR"/>
        </w:rPr>
        <w:t>21071/05, §§ 36-3</w:t>
      </w:r>
      <w:r w:rsidR="000C5221">
        <w:rPr>
          <w:rFonts w:eastAsia="Times New Roman"/>
          <w:lang w:val="en-GB" w:eastAsia="fr-FR"/>
        </w:rPr>
        <w:t>7, 10 April 2008 as to the non-</w:t>
      </w:r>
      <w:r w:rsidRPr="00E24964">
        <w:rPr>
          <w:rFonts w:eastAsia="Times New Roman"/>
          <w:lang w:val="en-GB" w:eastAsia="fr-FR"/>
        </w:rPr>
        <w:t xml:space="preserve">enforcement of a domestic judgment; and </w:t>
      </w:r>
      <w:r w:rsidRPr="00E24964">
        <w:rPr>
          <w:rFonts w:eastAsia="Times New Roman"/>
          <w:i/>
          <w:lang w:val="en-GB" w:eastAsia="fr-FR"/>
        </w:rPr>
        <w:t>Rongoni v. Italy</w:t>
      </w:r>
      <w:r w:rsidRPr="00E24964">
        <w:rPr>
          <w:rFonts w:eastAsia="Times New Roman"/>
          <w:lang w:val="en-GB" w:eastAsia="fr-FR"/>
        </w:rPr>
        <w:t xml:space="preserve">, cited above, § 13, concerning length of proceedings). In such cases the </w:t>
      </w:r>
      <w:r w:rsidR="009912A8">
        <w:rPr>
          <w:rFonts w:eastAsia="Times New Roman"/>
          <w:lang w:val="en-GB" w:eastAsia="fr-FR"/>
        </w:rPr>
        <w:t>‘</w:t>
      </w:r>
      <w:r w:rsidRPr="00E24964">
        <w:rPr>
          <w:rFonts w:eastAsia="Times New Roman"/>
          <w:lang w:val="en-GB" w:eastAsia="fr-FR"/>
        </w:rPr>
        <w:t>new issue</w:t>
      </w:r>
      <w:r w:rsidR="009912A8">
        <w:rPr>
          <w:rFonts w:eastAsia="Times New Roman"/>
          <w:lang w:val="en-GB" w:eastAsia="fr-FR"/>
        </w:rPr>
        <w:t>’</w:t>
      </w:r>
      <w:r w:rsidRPr="00E24964">
        <w:rPr>
          <w:rFonts w:eastAsia="Times New Roman"/>
          <w:lang w:val="en-GB" w:eastAsia="fr-FR"/>
        </w:rPr>
        <w:t xml:space="preserve"> results from the continuation of the violation that formed the basis of the Court</w:t>
      </w:r>
      <w:r w:rsidR="009912A8">
        <w:rPr>
          <w:rFonts w:eastAsia="Times New Roman"/>
          <w:lang w:val="en-GB" w:eastAsia="fr-FR"/>
        </w:rPr>
        <w:t>’</w:t>
      </w:r>
      <w:r w:rsidRPr="00E24964">
        <w:rPr>
          <w:rFonts w:eastAsia="Times New Roman"/>
          <w:lang w:val="en-GB" w:eastAsia="fr-FR"/>
        </w:rPr>
        <w:t xml:space="preserve">s initial decision. The examination by the Court, however, is confined to the new periods concerned and any new complaints invoked in this respect (see for example, </w:t>
      </w:r>
      <w:r w:rsidRPr="00E24964">
        <w:rPr>
          <w:rFonts w:eastAsia="Times New Roman"/>
          <w:i/>
          <w:lang w:val="en-GB" w:eastAsia="fr-FR"/>
        </w:rPr>
        <w:t>Ivanţoc and Others</w:t>
      </w:r>
      <w:r w:rsidRPr="00E24964">
        <w:rPr>
          <w:rFonts w:eastAsia="Times New Roman"/>
          <w:lang w:val="en-GB" w:eastAsia="fr-FR"/>
        </w:rPr>
        <w:t>, cited above).</w:t>
      </w:r>
    </w:p>
    <w:p w:rsidR="00C06D12" w:rsidRPr="00E24964" w:rsidRDefault="00C06D12" w:rsidP="00AA7A26">
      <w:pPr>
        <w:pStyle w:val="ECHRParaQuote"/>
        <w:rPr>
          <w:rFonts w:eastAsia="Times New Roman"/>
          <w:lang w:val="en-GB" w:eastAsia="fr-FR"/>
        </w:rPr>
      </w:pPr>
      <w:r w:rsidRPr="00E24964">
        <w:rPr>
          <w:rFonts w:eastAsia="Times New Roman"/>
          <w:lang w:val="en-GB" w:eastAsia="fr-FR"/>
        </w:rPr>
        <w:t>54.</w:t>
      </w:r>
      <w:r>
        <w:rPr>
          <w:rFonts w:eastAsia="Times New Roman"/>
          <w:lang w:val="en-GB" w:eastAsia="fr-FR"/>
        </w:rPr>
        <w:t>  </w:t>
      </w:r>
      <w:r w:rsidRPr="00E24964">
        <w:rPr>
          <w:rFonts w:eastAsia="Times New Roman"/>
          <w:lang w:val="en-GB" w:eastAsia="fr-FR"/>
        </w:rPr>
        <w:t>It is clear from the Court</w:t>
      </w:r>
      <w:r w:rsidR="009912A8">
        <w:rPr>
          <w:rFonts w:eastAsia="Times New Roman"/>
          <w:lang w:val="en-GB" w:eastAsia="fr-FR"/>
        </w:rPr>
        <w:t>’</w:t>
      </w:r>
      <w:r w:rsidRPr="00E24964">
        <w:rPr>
          <w:rFonts w:eastAsia="Times New Roman"/>
          <w:lang w:val="en-GB" w:eastAsia="fr-FR"/>
        </w:rPr>
        <w:t xml:space="preserve">s case-law that the determination of the existence of a </w:t>
      </w:r>
      <w:r w:rsidR="009912A8">
        <w:rPr>
          <w:rFonts w:eastAsia="Times New Roman"/>
          <w:lang w:val="en-GB" w:eastAsia="fr-FR"/>
        </w:rPr>
        <w:t>‘</w:t>
      </w:r>
      <w:r w:rsidRPr="00E24964">
        <w:rPr>
          <w:rFonts w:eastAsia="Times New Roman"/>
          <w:lang w:val="en-GB" w:eastAsia="fr-FR"/>
        </w:rPr>
        <w:t>new issue</w:t>
      </w:r>
      <w:r w:rsidR="009912A8">
        <w:rPr>
          <w:rFonts w:eastAsia="Times New Roman"/>
          <w:lang w:val="en-GB" w:eastAsia="fr-FR"/>
        </w:rPr>
        <w:t>’</w:t>
      </w:r>
      <w:r w:rsidRPr="00E24964">
        <w:rPr>
          <w:rFonts w:eastAsia="Times New Roman"/>
          <w:lang w:val="en-GB" w:eastAsia="fr-FR"/>
        </w:rPr>
        <w:t xml:space="preserve"> very much depends on the specific circumstances of a given case and that distinctions between cases are not always clear-cut. So, for instance, in the </w:t>
      </w:r>
      <w:r w:rsidRPr="00E24964">
        <w:rPr>
          <w:rFonts w:eastAsia="Times New Roman"/>
          <w:i/>
          <w:lang w:val="en-GB" w:eastAsia="fr-FR"/>
        </w:rPr>
        <w:t xml:space="preserve">Verein gegen Tierfabriken Schweiz (VgT) </w:t>
      </w:r>
      <w:r w:rsidRPr="00E24964">
        <w:rPr>
          <w:rFonts w:eastAsia="Times New Roman"/>
          <w:lang w:val="en-GB" w:eastAsia="fr-FR"/>
        </w:rPr>
        <w:t>case (cited above), the Court found that it was competent to examine a complaint that the domestic court in question had dismissed an application to reopen proceedings following the Court</w:t>
      </w:r>
      <w:r w:rsidR="009912A8">
        <w:rPr>
          <w:rFonts w:eastAsia="Times New Roman"/>
          <w:lang w:val="en-GB" w:eastAsia="fr-FR"/>
        </w:rPr>
        <w:t>’</w:t>
      </w:r>
      <w:r w:rsidRPr="00E24964">
        <w:rPr>
          <w:rFonts w:eastAsia="Times New Roman"/>
          <w:lang w:val="en-GB" w:eastAsia="fr-FR"/>
        </w:rPr>
        <w:t xml:space="preserve">s judgment. The Court relied mainly on the fact that the grounds for dismissing the application were new and therefore constituted relevant new information capable of giving rise to a fresh violation of the Convention (see </w:t>
      </w:r>
      <w:r w:rsidRPr="00E24964">
        <w:rPr>
          <w:rFonts w:eastAsia="Times New Roman"/>
          <w:i/>
          <w:lang w:val="en-GB" w:eastAsia="fr-FR"/>
        </w:rPr>
        <w:t>Verein gegen Tierfabriken Schweiz (VgT)</w:t>
      </w:r>
      <w:r w:rsidRPr="00E24964">
        <w:rPr>
          <w:rFonts w:eastAsia="Times New Roman"/>
          <w:lang w:val="en-GB" w:eastAsia="fr-FR"/>
        </w:rPr>
        <w:t>, cited above, § 65). It further took into account the fact that the Committee of Ministers had ended its supervision of the execution of the Court</w:t>
      </w:r>
      <w:r w:rsidR="009912A8">
        <w:rPr>
          <w:rFonts w:eastAsia="Times New Roman"/>
          <w:lang w:val="en-GB" w:eastAsia="fr-FR"/>
        </w:rPr>
        <w:t>’</w:t>
      </w:r>
      <w:r w:rsidRPr="00E24964">
        <w:rPr>
          <w:rFonts w:eastAsia="Times New Roman"/>
          <w:lang w:val="en-GB" w:eastAsia="fr-FR"/>
        </w:rPr>
        <w:t xml:space="preserve">s judgment without taking into account the reopening refusal as it had not been informed of that decision. The Court considered that, from that standpoint also, the refusal in issue constituted a new fact (ibid, § 67). Similarly, in its recent judgment in the case of </w:t>
      </w:r>
      <w:r w:rsidRPr="00E24964">
        <w:rPr>
          <w:rFonts w:eastAsia="Times New Roman"/>
          <w:i/>
          <w:lang w:val="en-GB" w:eastAsia="fr-FR"/>
        </w:rPr>
        <w:t>Emre</w:t>
      </w:r>
      <w:r w:rsidRPr="00E24964">
        <w:rPr>
          <w:rFonts w:eastAsia="Times New Roman"/>
          <w:lang w:val="en-GB" w:eastAsia="fr-FR"/>
        </w:rPr>
        <w:t xml:space="preserve"> (cited above) the Court found that a new domestic judgment given following the reopening of the case, and in which the domestic court had proceeded to carry out a new balancing of interests, constituted a new fact. It also observed in this respect that the execution procedure before the Committee of Ministers had not yet commenced. Comparable complaints were, however, dismissed in the cases of </w:t>
      </w:r>
      <w:r w:rsidRPr="00E24964">
        <w:rPr>
          <w:rFonts w:eastAsia="Times New Roman"/>
          <w:i/>
          <w:lang w:val="en-GB" w:eastAsia="fr-FR"/>
        </w:rPr>
        <w:t xml:space="preserve">Schelling v. Austria (no. 2) </w:t>
      </w:r>
      <w:r w:rsidRPr="00E24964">
        <w:rPr>
          <w:rFonts w:eastAsia="Times New Roman"/>
          <w:lang w:val="en-GB" w:eastAsia="fr-FR"/>
        </w:rPr>
        <w:t xml:space="preserve">(dec.), no. 46128/07, 16 September 2010 and </w:t>
      </w:r>
      <w:r w:rsidRPr="00E24964">
        <w:rPr>
          <w:rFonts w:eastAsia="Times New Roman"/>
          <w:i/>
          <w:lang w:val="en-GB" w:eastAsia="fr-FR"/>
        </w:rPr>
        <w:t>Steck-Risch and Others v. Liechtenstein</w:t>
      </w:r>
      <w:r w:rsidRPr="00E24964">
        <w:rPr>
          <w:rFonts w:eastAsia="Times New Roman"/>
          <w:lang w:val="en-GB" w:eastAsia="fr-FR"/>
        </w:rPr>
        <w:t xml:space="preserve"> (dec.) no. 629061//08, 11 May 2010), as the Court considered, that on the facts, the decisions of the domestic courts refusing the applications for reopening were not based on or connected with relevant new grounds capable of giving rise to a fresh </w:t>
      </w:r>
      <w:r w:rsidRPr="00E24964">
        <w:rPr>
          <w:rFonts w:eastAsia="Times New Roman"/>
          <w:lang w:val="en-GB" w:eastAsia="fr-FR"/>
        </w:rPr>
        <w:lastRenderedPageBreak/>
        <w:t xml:space="preserve">violation of the Convention. Further, in </w:t>
      </w:r>
      <w:r w:rsidRPr="00E24964">
        <w:rPr>
          <w:rFonts w:eastAsia="Times New Roman"/>
          <w:i/>
          <w:lang w:val="en-GB" w:eastAsia="fr-FR"/>
        </w:rPr>
        <w:t>Steck-Risch</w:t>
      </w:r>
      <w:r w:rsidRPr="00E24964">
        <w:rPr>
          <w:rFonts w:eastAsia="Times New Roman"/>
          <w:lang w:val="en-GB" w:eastAsia="fr-FR"/>
        </w:rPr>
        <w:t xml:space="preserve"> the Court observed that the Committee of Ministers had ended its supervision of the execution of the Court</w:t>
      </w:r>
      <w:r w:rsidR="009912A8">
        <w:rPr>
          <w:rFonts w:eastAsia="Times New Roman"/>
          <w:lang w:val="en-GB" w:eastAsia="fr-FR"/>
        </w:rPr>
        <w:t>’</w:t>
      </w:r>
      <w:r w:rsidRPr="00E24964">
        <w:rPr>
          <w:rFonts w:eastAsia="Times New Roman"/>
          <w:lang w:val="en-GB" w:eastAsia="fr-FR"/>
        </w:rPr>
        <w:t>s previous judgment prior to the domestic court</w:t>
      </w:r>
      <w:r w:rsidR="009912A8">
        <w:rPr>
          <w:rFonts w:eastAsia="Times New Roman"/>
          <w:lang w:val="en-GB" w:eastAsia="fr-FR"/>
        </w:rPr>
        <w:t>’</w:t>
      </w:r>
      <w:r w:rsidRPr="00E24964">
        <w:rPr>
          <w:rFonts w:eastAsia="Times New Roman"/>
          <w:lang w:val="en-GB" w:eastAsia="fr-FR"/>
        </w:rPr>
        <w:t>s refusal to reopen the proceedings and without relying on the fact that a reopening request could be made. There was no relevant new information in this respect either.</w:t>
      </w:r>
    </w:p>
    <w:p w:rsidR="00E24964" w:rsidRPr="001922A7" w:rsidRDefault="00E24964" w:rsidP="00AA7A26">
      <w:pPr>
        <w:pStyle w:val="ECHRParaQuote"/>
        <w:rPr>
          <w:rFonts w:eastAsia="Times New Roman"/>
          <w:lang w:val="en-GB" w:eastAsia="fr-FR"/>
        </w:rPr>
      </w:pPr>
      <w:r w:rsidRPr="001922A7">
        <w:rPr>
          <w:rFonts w:eastAsia="Times New Roman"/>
          <w:lang w:val="en-GB" w:eastAsia="fr-FR"/>
        </w:rPr>
        <w:t>55.</w:t>
      </w:r>
      <w:r w:rsidR="00E2102F" w:rsidRPr="001922A7">
        <w:rPr>
          <w:rFonts w:eastAsia="Times New Roman"/>
          <w:lang w:val="en-GB" w:eastAsia="fr-FR"/>
        </w:rPr>
        <w:t>  </w:t>
      </w:r>
      <w:r w:rsidRPr="001922A7">
        <w:rPr>
          <w:rFonts w:eastAsia="Times New Roman"/>
          <w:lang w:val="en-GB" w:eastAsia="fr-FR"/>
        </w:rPr>
        <w:t xml:space="preserve">Reference should also be made in this context to the criteria established in the case-law concerning Article 35 § 2 (b), by which an application is to be declared inadmissible if it </w:t>
      </w:r>
      <w:r w:rsidR="009912A8">
        <w:rPr>
          <w:rFonts w:eastAsia="Times New Roman"/>
          <w:lang w:val="en-GB" w:eastAsia="fr-FR"/>
        </w:rPr>
        <w:t>‘</w:t>
      </w:r>
      <w:r w:rsidRPr="001922A7">
        <w:rPr>
          <w:rFonts w:eastAsia="Times New Roman"/>
          <w:lang w:val="en-GB" w:eastAsia="fr-FR"/>
        </w:rPr>
        <w:t>is substantially the same as a matter that has already been examined by the Court ... and contains no relevant new information</w:t>
      </w:r>
      <w:r w:rsidR="009912A8">
        <w:rPr>
          <w:rFonts w:eastAsia="Times New Roman"/>
          <w:lang w:val="en-GB" w:eastAsia="fr-FR"/>
        </w:rPr>
        <w:t>’</w:t>
      </w:r>
      <w:r w:rsidRPr="001922A7">
        <w:rPr>
          <w:rFonts w:eastAsia="Times New Roman"/>
          <w:lang w:val="en-GB" w:eastAsia="fr-FR"/>
        </w:rPr>
        <w:t xml:space="preserve">: (i) an application is considered as being </w:t>
      </w:r>
      <w:r w:rsidR="009912A8">
        <w:rPr>
          <w:rFonts w:eastAsia="Times New Roman"/>
          <w:lang w:val="en-GB" w:eastAsia="fr-FR"/>
        </w:rPr>
        <w:t>‘</w:t>
      </w:r>
      <w:r w:rsidRPr="001922A7">
        <w:rPr>
          <w:rFonts w:eastAsia="Times New Roman"/>
          <w:lang w:val="en-GB" w:eastAsia="fr-FR"/>
        </w:rPr>
        <w:t>substantially the same</w:t>
      </w:r>
      <w:r w:rsidR="009912A8">
        <w:rPr>
          <w:rFonts w:eastAsia="Times New Roman"/>
          <w:lang w:val="en-GB" w:eastAsia="fr-FR"/>
        </w:rPr>
        <w:t>’</w:t>
      </w:r>
      <w:r w:rsidRPr="001922A7">
        <w:rPr>
          <w:rFonts w:eastAsia="Times New Roman"/>
          <w:lang w:val="en-GB" w:eastAsia="fr-FR"/>
        </w:rPr>
        <w:t xml:space="preserve"> where the parties, the complaints and the facts are identical (see </w:t>
      </w:r>
      <w:r w:rsidRPr="001922A7">
        <w:rPr>
          <w:rFonts w:eastAsia="Times New Roman"/>
          <w:i/>
          <w:lang w:val="en-GB" w:eastAsia="fr-FR"/>
        </w:rPr>
        <w:t>Verein Gegen Tierfabriken Schweiz (VgT)</w:t>
      </w:r>
      <w:r w:rsidRPr="001922A7">
        <w:rPr>
          <w:rFonts w:eastAsia="Times New Roman"/>
          <w:lang w:val="en-GB" w:eastAsia="fr-FR"/>
        </w:rPr>
        <w:t xml:space="preserve"> cited above, § 63 and </w:t>
      </w:r>
      <w:r w:rsidRPr="001922A7">
        <w:rPr>
          <w:rFonts w:eastAsia="Times New Roman"/>
          <w:i/>
          <w:lang w:val="en-GB" w:eastAsia="fr-FR"/>
        </w:rPr>
        <w:t>Pauger v. Austria</w:t>
      </w:r>
      <w:r w:rsidRPr="001922A7">
        <w:rPr>
          <w:rFonts w:eastAsia="Times New Roman"/>
          <w:lang w:val="en-GB" w:eastAsia="fr-FR"/>
        </w:rPr>
        <w:t xml:space="preserve"> (dec.), nos. 16717/90 and 2487</w:t>
      </w:r>
      <w:r w:rsidR="00B96F32">
        <w:rPr>
          <w:rFonts w:eastAsia="Times New Roman"/>
          <w:lang w:val="en-GB" w:eastAsia="fr-FR"/>
        </w:rPr>
        <w:t>2/94, Commission decisions of 9 </w:t>
      </w:r>
      <w:r w:rsidRPr="001922A7">
        <w:rPr>
          <w:rFonts w:eastAsia="Times New Roman"/>
          <w:lang w:val="en-GB" w:eastAsia="fr-FR"/>
        </w:rPr>
        <w:t xml:space="preserve">January 1995); (ii) the concept of complaint is characterised by the facts alleged in it and not merely by the legal grounds or arguments relied on (see </w:t>
      </w:r>
      <w:r w:rsidR="00B96F32">
        <w:rPr>
          <w:rFonts w:eastAsia="Times New Roman"/>
          <w:i/>
          <w:lang w:val="en-GB" w:eastAsia="fr-FR"/>
        </w:rPr>
        <w:t>Guerra and Others v. </w:t>
      </w:r>
      <w:r w:rsidRPr="001922A7">
        <w:rPr>
          <w:rFonts w:eastAsia="Times New Roman"/>
          <w:i/>
          <w:lang w:val="en-GB" w:eastAsia="fr-FR"/>
        </w:rPr>
        <w:t>Italy</w:t>
      </w:r>
      <w:r w:rsidRPr="001922A7">
        <w:rPr>
          <w:rFonts w:eastAsia="Times New Roman"/>
          <w:lang w:val="en-GB" w:eastAsia="fr-FR"/>
        </w:rPr>
        <w:t xml:space="preserve">, 19 February 1998, § 44, Reports 1998-I and </w:t>
      </w:r>
      <w:r w:rsidRPr="001922A7">
        <w:rPr>
          <w:rFonts w:eastAsia="Times New Roman"/>
          <w:i/>
          <w:lang w:val="en-GB" w:eastAsia="fr-FR"/>
        </w:rPr>
        <w:t>Powell and Rayner v. the United Kingdom</w:t>
      </w:r>
      <w:r w:rsidRPr="001922A7">
        <w:rPr>
          <w:rFonts w:eastAsia="Times New Roman"/>
          <w:lang w:val="en-GB" w:eastAsia="fr-FR"/>
        </w:rPr>
        <w:t>, 21 February 1990, §</w:t>
      </w:r>
      <w:r w:rsidR="00E2102F" w:rsidRPr="001922A7">
        <w:rPr>
          <w:rFonts w:eastAsia="Times New Roman"/>
          <w:lang w:val="en-GB" w:eastAsia="fr-FR"/>
        </w:rPr>
        <w:t> </w:t>
      </w:r>
      <w:r w:rsidRPr="001922A7">
        <w:rPr>
          <w:rFonts w:eastAsia="Times New Roman"/>
          <w:lang w:val="en-GB" w:eastAsia="fr-FR"/>
        </w:rPr>
        <w:t xml:space="preserve">29, Series A no. 172); and (iii) where the applicant submits new information, the application will not be essentially the same as a previous application (see </w:t>
      </w:r>
      <w:r w:rsidRPr="001922A7">
        <w:rPr>
          <w:rFonts w:eastAsia="Times New Roman"/>
          <w:i/>
          <w:lang w:val="en-GB" w:eastAsia="fr-FR"/>
        </w:rPr>
        <w:t>Patera v.</w:t>
      </w:r>
      <w:r w:rsidR="00E2102F" w:rsidRPr="001922A7">
        <w:rPr>
          <w:rFonts w:eastAsia="Times New Roman"/>
          <w:i/>
          <w:lang w:val="en-GB" w:eastAsia="fr-FR"/>
        </w:rPr>
        <w:t> </w:t>
      </w:r>
      <w:r w:rsidRPr="001922A7">
        <w:rPr>
          <w:rFonts w:eastAsia="Times New Roman"/>
          <w:i/>
          <w:lang w:val="en-GB" w:eastAsia="fr-FR"/>
        </w:rPr>
        <w:t>the Czech Republic</w:t>
      </w:r>
      <w:r w:rsidRPr="001922A7">
        <w:rPr>
          <w:rFonts w:eastAsia="Times New Roman"/>
          <w:lang w:val="en-GB" w:eastAsia="fr-FR"/>
        </w:rPr>
        <w:t xml:space="preserve"> (dec.), no. 25326/03), Commission decision of 10</w:t>
      </w:r>
      <w:r w:rsidR="003422A4">
        <w:rPr>
          <w:rFonts w:eastAsia="Times New Roman"/>
          <w:lang w:val="en-GB" w:eastAsia="fr-FR"/>
        </w:rPr>
        <w:t xml:space="preserve"> </w:t>
      </w:r>
      <w:r w:rsidRPr="001922A7">
        <w:rPr>
          <w:rFonts w:eastAsia="Times New Roman"/>
          <w:lang w:val="en-GB" w:eastAsia="fr-FR"/>
        </w:rPr>
        <w:t xml:space="preserve">January 1996 and </w:t>
      </w:r>
      <w:r w:rsidRPr="001922A7">
        <w:rPr>
          <w:rFonts w:eastAsia="Times New Roman"/>
          <w:i/>
          <w:lang w:val="en-GB" w:eastAsia="fr-FR"/>
        </w:rPr>
        <w:t>Chappex v. Switzerland</w:t>
      </w:r>
      <w:r w:rsidRPr="001922A7">
        <w:rPr>
          <w:rFonts w:eastAsia="Times New Roman"/>
          <w:lang w:val="en-GB" w:eastAsia="fr-FR"/>
        </w:rPr>
        <w:t xml:space="preserve"> (dec.), no. 20338/92, Commission decision of 12</w:t>
      </w:r>
      <w:r w:rsidR="00E2102F" w:rsidRPr="001922A7">
        <w:rPr>
          <w:rFonts w:eastAsia="Times New Roman"/>
          <w:lang w:val="en-GB" w:eastAsia="fr-FR"/>
        </w:rPr>
        <w:t> </w:t>
      </w:r>
      <w:r w:rsidRPr="001922A7">
        <w:rPr>
          <w:rFonts w:eastAsia="Times New Roman"/>
          <w:lang w:val="en-GB" w:eastAsia="fr-FR"/>
        </w:rPr>
        <w:t>October 1994).</w:t>
      </w:r>
    </w:p>
    <w:p w:rsidR="00E24964" w:rsidRPr="001922A7" w:rsidRDefault="00E24964" w:rsidP="00AA7A26">
      <w:pPr>
        <w:pStyle w:val="ECHRParaQuote"/>
        <w:rPr>
          <w:rFonts w:eastAsia="Times New Roman"/>
          <w:lang w:val="en-GB" w:eastAsia="fr-FR"/>
        </w:rPr>
      </w:pPr>
      <w:r w:rsidRPr="001922A7">
        <w:rPr>
          <w:rFonts w:eastAsia="Times New Roman"/>
          <w:lang w:val="en-GB" w:eastAsia="fr-FR"/>
        </w:rPr>
        <w:t>56.</w:t>
      </w:r>
      <w:r w:rsidR="00E2102F" w:rsidRPr="001922A7">
        <w:rPr>
          <w:rFonts w:eastAsia="Times New Roman"/>
          <w:lang w:val="en-GB" w:eastAsia="fr-FR"/>
        </w:rPr>
        <w:t>  </w:t>
      </w:r>
      <w:r w:rsidRPr="001922A7">
        <w:rPr>
          <w:rFonts w:eastAsia="Times New Roman"/>
          <w:lang w:val="en-GB" w:eastAsia="fr-FR"/>
        </w:rPr>
        <w:t>Accordingly, the powers assigned to the Committee of Ministers by Article</w:t>
      </w:r>
      <w:r w:rsidR="003422A4">
        <w:rPr>
          <w:rFonts w:eastAsia="Times New Roman"/>
          <w:lang w:val="en-GB" w:eastAsia="fr-FR"/>
        </w:rPr>
        <w:t xml:space="preserve"> </w:t>
      </w:r>
      <w:r w:rsidRPr="001922A7">
        <w:rPr>
          <w:rFonts w:eastAsia="Times New Roman"/>
          <w:lang w:val="en-GB" w:eastAsia="fr-FR"/>
        </w:rPr>
        <w:t>46 to supervise the execution of the Court</w:t>
      </w:r>
      <w:r w:rsidR="009912A8">
        <w:rPr>
          <w:rFonts w:eastAsia="Times New Roman"/>
          <w:lang w:val="en-GB" w:eastAsia="fr-FR"/>
        </w:rPr>
        <w:t>’</w:t>
      </w:r>
      <w:r w:rsidRPr="001922A7">
        <w:rPr>
          <w:rFonts w:eastAsia="Times New Roman"/>
          <w:lang w:val="en-GB" w:eastAsia="fr-FR"/>
        </w:rPr>
        <w:t xml:space="preserve">s judgments and evaluate the implementation of the measures taken by the States under this Article will not be encroached on where the Court has to deal with relevant new information in the context of a fresh application (see </w:t>
      </w:r>
      <w:r w:rsidRPr="001922A7">
        <w:rPr>
          <w:rFonts w:eastAsia="Times New Roman"/>
          <w:i/>
          <w:lang w:val="en-GB" w:eastAsia="fr-FR"/>
        </w:rPr>
        <w:t>Verein Gegen Tierfabriken Schweiz (VgT)</w:t>
      </w:r>
      <w:r w:rsidRPr="001922A7">
        <w:rPr>
          <w:rFonts w:eastAsia="Times New Roman"/>
          <w:lang w:val="en-GB" w:eastAsia="fr-FR"/>
        </w:rPr>
        <w:t xml:space="preserve"> cited above, § 67).”</w:t>
      </w:r>
    </w:p>
    <w:p w:rsidR="004714A6" w:rsidRPr="001922A7" w:rsidRDefault="004714A6" w:rsidP="004714A6">
      <w:pPr>
        <w:pStyle w:val="ECHRHeading3"/>
        <w:rPr>
          <w:b/>
          <w:iCs/>
          <w:lang w:val="en-GB"/>
        </w:rPr>
      </w:pPr>
      <w:r w:rsidRPr="001922A7">
        <w:rPr>
          <w:lang w:val="en-GB"/>
        </w:rPr>
        <w:t>2.  </w:t>
      </w:r>
      <w:r w:rsidRPr="001922A7">
        <w:rPr>
          <w:iCs/>
          <w:lang w:val="en-GB"/>
        </w:rPr>
        <w:t>Application of the above principles to the present case</w:t>
      </w:r>
    </w:p>
    <w:p w:rsidR="0029057E" w:rsidRPr="001922A7" w:rsidRDefault="0029057E"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35</w:t>
      </w:r>
      <w:r w:rsidRPr="001922A7">
        <w:rPr>
          <w:rFonts w:eastAsia="Times New Roman"/>
          <w:lang w:val="en-GB" w:eastAsia="fr-FR"/>
        </w:rPr>
        <w:fldChar w:fldCharType="end"/>
      </w:r>
      <w:r w:rsidRPr="001922A7">
        <w:rPr>
          <w:rFonts w:eastAsia="Times New Roman"/>
          <w:lang w:val="en-GB" w:eastAsia="fr-FR"/>
        </w:rPr>
        <w:t xml:space="preserve">.  Turning to the present case, the Court </w:t>
      </w:r>
      <w:r>
        <w:rPr>
          <w:rFonts w:eastAsia="Times New Roman"/>
          <w:lang w:val="en-GB" w:eastAsia="fr-FR"/>
        </w:rPr>
        <w:t>considers</w:t>
      </w:r>
      <w:r w:rsidRPr="001922A7">
        <w:rPr>
          <w:rFonts w:eastAsia="Times New Roman"/>
          <w:lang w:val="en-GB" w:eastAsia="fr-FR"/>
        </w:rPr>
        <w:t xml:space="preserve"> that </w:t>
      </w:r>
      <w:r w:rsidR="00323B89">
        <w:rPr>
          <w:rFonts w:eastAsia="Times New Roman"/>
          <w:lang w:val="en-GB" w:eastAsia="fr-FR"/>
        </w:rPr>
        <w:t xml:space="preserve">some of </w:t>
      </w:r>
      <w:r w:rsidR="000C5221">
        <w:rPr>
          <w:rFonts w:eastAsia="Times New Roman"/>
          <w:lang w:val="en-GB" w:eastAsia="fr-FR"/>
        </w:rPr>
        <w:t>the applicant</w:t>
      </w:r>
      <w:r w:rsidR="009912A8">
        <w:rPr>
          <w:rFonts w:eastAsia="Times New Roman"/>
          <w:lang w:val="en-GB" w:eastAsia="fr-FR"/>
        </w:rPr>
        <w:t>’</w:t>
      </w:r>
      <w:r w:rsidR="00323B89">
        <w:rPr>
          <w:rFonts w:eastAsia="Times New Roman"/>
          <w:lang w:val="en-GB" w:eastAsia="fr-FR"/>
        </w:rPr>
        <w:t>s pleadings in the present case</w:t>
      </w:r>
      <w:r w:rsidR="000C5221">
        <w:rPr>
          <w:rFonts w:eastAsia="Times New Roman"/>
          <w:lang w:val="en-GB" w:eastAsia="fr-FR"/>
        </w:rPr>
        <w:t xml:space="preserve"> </w:t>
      </w:r>
      <w:r w:rsidRPr="001922A7">
        <w:rPr>
          <w:rFonts w:eastAsia="Times New Roman"/>
          <w:lang w:val="en-GB" w:eastAsia="fr-FR"/>
        </w:rPr>
        <w:t>may be understood as complaining about a</w:t>
      </w:r>
      <w:r w:rsidR="001455FC">
        <w:rPr>
          <w:rFonts w:eastAsia="Times New Roman"/>
          <w:lang w:val="en-GB" w:eastAsia="fr-FR"/>
        </w:rPr>
        <w:t>n alleged</w:t>
      </w:r>
      <w:r w:rsidRPr="001922A7">
        <w:rPr>
          <w:rFonts w:eastAsia="Times New Roman"/>
          <w:lang w:val="en-GB" w:eastAsia="fr-FR"/>
        </w:rPr>
        <w:t xml:space="preserve"> lack of proper execution of the Court</w:t>
      </w:r>
      <w:r w:rsidR="009912A8">
        <w:rPr>
          <w:rFonts w:eastAsia="Times New Roman"/>
          <w:lang w:val="en-GB" w:eastAsia="fr-FR"/>
        </w:rPr>
        <w:t>’</w:t>
      </w:r>
      <w:r w:rsidRPr="001922A7">
        <w:rPr>
          <w:rFonts w:eastAsia="Times New Roman"/>
          <w:lang w:val="en-GB" w:eastAsia="fr-FR"/>
        </w:rPr>
        <w:t>s judgment of 3</w:t>
      </w:r>
      <w:r w:rsidR="003422A4">
        <w:rPr>
          <w:rFonts w:eastAsia="Times New Roman"/>
          <w:lang w:val="en-GB" w:eastAsia="fr-FR"/>
        </w:rPr>
        <w:t xml:space="preserve"> </w:t>
      </w:r>
      <w:r w:rsidRPr="001922A7">
        <w:rPr>
          <w:rFonts w:eastAsia="Times New Roman"/>
          <w:lang w:val="en-GB" w:eastAsia="fr-FR"/>
        </w:rPr>
        <w:t xml:space="preserve">May 2007 in her previous case. The applicant </w:t>
      </w:r>
      <w:r w:rsidR="00323B89">
        <w:rPr>
          <w:rFonts w:eastAsia="Times New Roman"/>
          <w:lang w:val="en-GB" w:eastAsia="fr-FR"/>
        </w:rPr>
        <w:t xml:space="preserve">can in particular be understood as </w:t>
      </w:r>
      <w:r w:rsidR="001455FC">
        <w:rPr>
          <w:rFonts w:eastAsia="Times New Roman"/>
          <w:lang w:val="en-GB" w:eastAsia="fr-FR"/>
        </w:rPr>
        <w:t>arguing</w:t>
      </w:r>
      <w:r w:rsidRPr="001922A7">
        <w:rPr>
          <w:rFonts w:eastAsia="Times New Roman"/>
          <w:lang w:val="en-GB" w:eastAsia="fr-FR"/>
        </w:rPr>
        <w:t xml:space="preserve"> that the shortcomings in the original domestic proceedings that formed the subject-matt</w:t>
      </w:r>
      <w:r w:rsidR="00D27416">
        <w:rPr>
          <w:rFonts w:eastAsia="Times New Roman"/>
          <w:lang w:val="en-GB" w:eastAsia="fr-FR"/>
        </w:rPr>
        <w:t>er of the Court</w:t>
      </w:r>
      <w:r w:rsidR="009912A8">
        <w:rPr>
          <w:rFonts w:eastAsia="Times New Roman"/>
          <w:lang w:val="en-GB" w:eastAsia="fr-FR"/>
        </w:rPr>
        <w:t>’</w:t>
      </w:r>
      <w:r w:rsidR="00D27416">
        <w:rPr>
          <w:rFonts w:eastAsia="Times New Roman"/>
          <w:lang w:val="en-GB" w:eastAsia="fr-FR"/>
        </w:rPr>
        <w:t>s 2007 judgment</w:t>
      </w:r>
      <w:r w:rsidRPr="001922A7">
        <w:rPr>
          <w:rFonts w:eastAsia="Times New Roman"/>
          <w:lang w:val="en-GB" w:eastAsia="fr-FR"/>
        </w:rPr>
        <w:t xml:space="preserve"> were not remedied in the proceedings culminating in the Supreme Co</w:t>
      </w:r>
      <w:r w:rsidR="00321CC1">
        <w:rPr>
          <w:rFonts w:eastAsia="Times New Roman"/>
          <w:lang w:val="en-GB" w:eastAsia="fr-FR"/>
        </w:rPr>
        <w:t>urt</w:t>
      </w:r>
      <w:r w:rsidR="009912A8">
        <w:rPr>
          <w:rFonts w:eastAsia="Times New Roman"/>
          <w:lang w:val="en-GB" w:eastAsia="fr-FR"/>
        </w:rPr>
        <w:t>’</w:t>
      </w:r>
      <w:r w:rsidR="00321CC1">
        <w:rPr>
          <w:rFonts w:eastAsia="Times New Roman"/>
          <w:lang w:val="en-GB" w:eastAsia="fr-FR"/>
        </w:rPr>
        <w:t>s decision of 14 </w:t>
      </w:r>
      <w:r w:rsidR="00D27416">
        <w:rPr>
          <w:rFonts w:eastAsia="Times New Roman"/>
          <w:lang w:val="en-GB" w:eastAsia="fr-FR"/>
        </w:rPr>
        <w:t xml:space="preserve">March 2008, in </w:t>
      </w:r>
      <w:r w:rsidRPr="001922A7">
        <w:rPr>
          <w:rFonts w:eastAsia="Times New Roman"/>
          <w:lang w:val="en-GB" w:eastAsia="fr-FR"/>
        </w:rPr>
        <w:t xml:space="preserve">that the Supreme Court failed to address the validity of the principal documentary evidence on which the </w:t>
      </w:r>
      <w:r w:rsidR="00323B89">
        <w:rPr>
          <w:rFonts w:eastAsia="Times New Roman"/>
          <w:lang w:val="en-GB" w:eastAsia="fr-FR"/>
        </w:rPr>
        <w:t xml:space="preserve">contested </w:t>
      </w:r>
      <w:r w:rsidRPr="001922A7">
        <w:rPr>
          <w:rFonts w:eastAsia="Times New Roman"/>
          <w:lang w:val="en-GB" w:eastAsia="fr-FR"/>
        </w:rPr>
        <w:t>decisions of the domestic courts had been based (see paragraph 29 above). However, complaints of a failure either to execute the Court</w:t>
      </w:r>
      <w:r w:rsidR="009912A8">
        <w:rPr>
          <w:rFonts w:eastAsia="Times New Roman"/>
          <w:lang w:val="en-GB" w:eastAsia="fr-FR"/>
        </w:rPr>
        <w:t>’</w:t>
      </w:r>
      <w:r w:rsidRPr="001922A7">
        <w:rPr>
          <w:rFonts w:eastAsia="Times New Roman"/>
          <w:lang w:val="en-GB" w:eastAsia="fr-FR"/>
        </w:rPr>
        <w:t>s judgment or to redress a violation already found by the Court fall outside the Court</w:t>
      </w:r>
      <w:r w:rsidR="009912A8">
        <w:rPr>
          <w:rFonts w:eastAsia="Times New Roman"/>
          <w:lang w:val="en-GB" w:eastAsia="fr-FR"/>
        </w:rPr>
        <w:t>’</w:t>
      </w:r>
      <w:r w:rsidRPr="001922A7">
        <w:rPr>
          <w:rFonts w:eastAsia="Times New Roman"/>
          <w:lang w:val="en-GB" w:eastAsia="fr-FR"/>
        </w:rPr>
        <w:t xml:space="preserve">s competence </w:t>
      </w:r>
      <w:r w:rsidRPr="001922A7">
        <w:rPr>
          <w:rFonts w:eastAsia="Times New Roman"/>
          <w:i/>
          <w:lang w:val="en-GB" w:eastAsia="fr-FR"/>
        </w:rPr>
        <w:t>ratione materiae</w:t>
      </w:r>
      <w:r w:rsidRPr="001922A7">
        <w:rPr>
          <w:rFonts w:eastAsia="Times New Roman"/>
          <w:lang w:val="en-GB" w:eastAsia="fr-FR"/>
        </w:rPr>
        <w:t xml:space="preserve"> (see the summary of the Court</w:t>
      </w:r>
      <w:r w:rsidR="009912A8">
        <w:rPr>
          <w:rFonts w:eastAsia="Times New Roman"/>
          <w:lang w:val="en-GB" w:eastAsia="fr-FR"/>
        </w:rPr>
        <w:t>’</w:t>
      </w:r>
      <w:r w:rsidRPr="001922A7">
        <w:rPr>
          <w:rFonts w:eastAsia="Times New Roman"/>
          <w:lang w:val="en-GB" w:eastAsia="fr-FR"/>
        </w:rPr>
        <w:t xml:space="preserve">s case-law reproduced in the preceding paragraph, </w:t>
      </w:r>
      <w:r w:rsidR="00281E6F">
        <w:rPr>
          <w:rFonts w:eastAsia="Times New Roman"/>
          <w:lang w:val="en-GB" w:eastAsia="fr-FR"/>
        </w:rPr>
        <w:t>in particular</w:t>
      </w:r>
      <w:r w:rsidR="00D27416">
        <w:rPr>
          <w:rFonts w:eastAsia="Times New Roman"/>
          <w:lang w:val="en-GB" w:eastAsia="fr-FR"/>
        </w:rPr>
        <w:t xml:space="preserve"> </w:t>
      </w:r>
      <w:r w:rsidRPr="001922A7">
        <w:rPr>
          <w:rFonts w:eastAsia="Times New Roman"/>
          <w:i/>
          <w:lang w:val="en-GB" w:eastAsia="fr-FR"/>
        </w:rPr>
        <w:t>Lyons and Others</w:t>
      </w:r>
      <w:r w:rsidRPr="001922A7">
        <w:rPr>
          <w:rFonts w:eastAsia="Times New Roman"/>
          <w:lang w:val="en-GB" w:eastAsia="fr-FR"/>
        </w:rPr>
        <w:t>, cited above). Accordingly, the applicant</w:t>
      </w:r>
      <w:r w:rsidR="009912A8">
        <w:rPr>
          <w:rFonts w:eastAsia="Times New Roman"/>
          <w:lang w:val="en-GB" w:eastAsia="fr-FR"/>
        </w:rPr>
        <w:t>’</w:t>
      </w:r>
      <w:r w:rsidRPr="001922A7">
        <w:rPr>
          <w:rFonts w:eastAsia="Times New Roman"/>
          <w:lang w:val="en-GB" w:eastAsia="fr-FR"/>
        </w:rPr>
        <w:t>s complaints, in so far as they concern the failure to remedy the original violation of Article 6 § 1 of the Convention as found in the Court</w:t>
      </w:r>
      <w:r w:rsidR="009912A8">
        <w:rPr>
          <w:rFonts w:eastAsia="Times New Roman"/>
          <w:lang w:val="en-GB" w:eastAsia="fr-FR"/>
        </w:rPr>
        <w:t>’</w:t>
      </w:r>
      <w:r w:rsidRPr="001922A7">
        <w:rPr>
          <w:rFonts w:eastAsia="Times New Roman"/>
          <w:lang w:val="en-GB" w:eastAsia="fr-FR"/>
        </w:rPr>
        <w:t xml:space="preserve">s 2007 judgment, </w:t>
      </w:r>
      <w:r w:rsidR="00323B89">
        <w:rPr>
          <w:rFonts w:eastAsia="Times New Roman"/>
          <w:lang w:val="en-GB" w:eastAsia="fr-FR"/>
        </w:rPr>
        <w:t xml:space="preserve">must </w:t>
      </w:r>
      <w:r w:rsidRPr="001922A7">
        <w:rPr>
          <w:rFonts w:eastAsia="Times New Roman"/>
          <w:lang w:val="en-GB" w:eastAsia="fr-FR"/>
        </w:rPr>
        <w:t xml:space="preserve">be declared incompatible </w:t>
      </w:r>
      <w:r w:rsidRPr="00F51B99">
        <w:rPr>
          <w:rFonts w:eastAsia="Times New Roman"/>
          <w:i/>
          <w:lang w:val="en-GB" w:eastAsia="fr-FR"/>
        </w:rPr>
        <w:t>ratione materiae</w:t>
      </w:r>
      <w:r w:rsidRPr="00F51B99">
        <w:rPr>
          <w:rFonts w:eastAsia="Times New Roman"/>
          <w:lang w:val="en-GB" w:eastAsia="fr-FR"/>
        </w:rPr>
        <w:t xml:space="preserve"> </w:t>
      </w:r>
      <w:r w:rsidRPr="001922A7">
        <w:rPr>
          <w:rFonts w:eastAsia="Times New Roman"/>
          <w:lang w:val="en-GB" w:eastAsia="fr-FR"/>
        </w:rPr>
        <w:t>with the Convention pursuant to Article</w:t>
      </w:r>
      <w:r w:rsidR="003422A4">
        <w:rPr>
          <w:rFonts w:eastAsia="Times New Roman"/>
          <w:lang w:val="en-GB" w:eastAsia="fr-FR"/>
        </w:rPr>
        <w:t xml:space="preserve"> </w:t>
      </w:r>
      <w:r w:rsidRPr="001922A7">
        <w:rPr>
          <w:rFonts w:eastAsia="Times New Roman"/>
          <w:lang w:val="en-GB" w:eastAsia="fr-FR"/>
        </w:rPr>
        <w:t>35</w:t>
      </w:r>
      <w:r w:rsidR="003422A4">
        <w:rPr>
          <w:rFonts w:eastAsia="Times New Roman"/>
          <w:lang w:val="en-GB" w:eastAsia="fr-FR"/>
        </w:rPr>
        <w:t xml:space="preserve"> </w:t>
      </w:r>
      <w:r w:rsidRPr="001922A7">
        <w:rPr>
          <w:rFonts w:eastAsia="Times New Roman"/>
          <w:lang w:val="en-GB" w:eastAsia="fr-FR"/>
        </w:rPr>
        <w:t>§§</w:t>
      </w:r>
      <w:r w:rsidR="003422A4">
        <w:rPr>
          <w:rFonts w:eastAsia="Times New Roman"/>
          <w:lang w:val="en-GB" w:eastAsia="fr-FR"/>
        </w:rPr>
        <w:t xml:space="preserve"> </w:t>
      </w:r>
      <w:r w:rsidRPr="001922A7">
        <w:rPr>
          <w:rFonts w:eastAsia="Times New Roman"/>
          <w:lang w:val="en-GB" w:eastAsia="fr-FR"/>
        </w:rPr>
        <w:t>3</w:t>
      </w:r>
      <w:r w:rsidR="003422A4">
        <w:rPr>
          <w:rFonts w:eastAsia="Times New Roman"/>
          <w:lang w:val="en-GB" w:eastAsia="fr-FR"/>
        </w:rPr>
        <w:t xml:space="preserve"> </w:t>
      </w:r>
      <w:r w:rsidRPr="001922A7">
        <w:rPr>
          <w:rFonts w:eastAsia="Times New Roman"/>
          <w:lang w:val="en-GB" w:eastAsia="fr-FR"/>
        </w:rPr>
        <w:t>(a) and 4.</w:t>
      </w:r>
    </w:p>
    <w:p w:rsidR="0029057E" w:rsidRPr="001922A7" w:rsidRDefault="0029057E"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36</w:t>
      </w:r>
      <w:r w:rsidRPr="001922A7">
        <w:rPr>
          <w:rFonts w:eastAsia="Times New Roman"/>
          <w:lang w:val="en-GB" w:eastAsia="fr-FR"/>
        </w:rPr>
        <w:fldChar w:fldCharType="end"/>
      </w:r>
      <w:r w:rsidRPr="001922A7">
        <w:rPr>
          <w:rFonts w:eastAsia="Times New Roman"/>
          <w:lang w:val="en-GB" w:eastAsia="fr-FR"/>
        </w:rPr>
        <w:t>.  However, the applicant</w:t>
      </w:r>
      <w:r w:rsidR="009912A8">
        <w:rPr>
          <w:rFonts w:eastAsia="Times New Roman"/>
          <w:lang w:val="en-GB" w:eastAsia="fr-FR"/>
        </w:rPr>
        <w:t>’</w:t>
      </w:r>
      <w:r w:rsidRPr="001922A7">
        <w:rPr>
          <w:rFonts w:eastAsia="Times New Roman"/>
          <w:lang w:val="en-GB" w:eastAsia="fr-FR"/>
        </w:rPr>
        <w:t xml:space="preserve">s new application </w:t>
      </w:r>
      <w:r w:rsidR="00323B89">
        <w:rPr>
          <w:rFonts w:eastAsia="Times New Roman"/>
          <w:lang w:val="en-GB" w:eastAsia="fr-FR"/>
        </w:rPr>
        <w:t xml:space="preserve">also </w:t>
      </w:r>
      <w:r w:rsidR="001455FC">
        <w:rPr>
          <w:rFonts w:eastAsia="Times New Roman"/>
          <w:lang w:val="en-GB" w:eastAsia="fr-FR"/>
        </w:rPr>
        <w:t>raises</w:t>
      </w:r>
      <w:r w:rsidRPr="001922A7">
        <w:rPr>
          <w:rFonts w:eastAsia="Times New Roman"/>
          <w:lang w:val="en-GB" w:eastAsia="fr-FR"/>
        </w:rPr>
        <w:t xml:space="preserve"> a new </w:t>
      </w:r>
      <w:r w:rsidR="001455FC">
        <w:rPr>
          <w:rFonts w:eastAsia="Times New Roman"/>
          <w:lang w:val="en-GB" w:eastAsia="fr-FR"/>
        </w:rPr>
        <w:t>grievance</w:t>
      </w:r>
      <w:r w:rsidRPr="001922A7">
        <w:rPr>
          <w:rFonts w:eastAsia="Times New Roman"/>
          <w:lang w:val="en-GB" w:eastAsia="fr-FR"/>
        </w:rPr>
        <w:t xml:space="preserve"> going not so much to the outcome of the proceedings decided in </w:t>
      </w:r>
      <w:r w:rsidRPr="001922A7">
        <w:rPr>
          <w:rFonts w:eastAsia="Times New Roman"/>
          <w:lang w:val="en-GB" w:eastAsia="fr-FR"/>
        </w:rPr>
        <w:lastRenderedPageBreak/>
        <w:t>2008 by the Supreme Court as to the conduct and fairness of those proceedings – which were chronologically subsequent to and distinct from the domestic proceedings impugned in the Court</w:t>
      </w:r>
      <w:r w:rsidR="009912A8">
        <w:rPr>
          <w:rFonts w:eastAsia="Times New Roman"/>
          <w:lang w:val="en-GB" w:eastAsia="fr-FR"/>
        </w:rPr>
        <w:t>’</w:t>
      </w:r>
      <w:r w:rsidRPr="001922A7">
        <w:rPr>
          <w:rFonts w:eastAsia="Times New Roman"/>
          <w:lang w:val="en-GB" w:eastAsia="fr-FR"/>
        </w:rPr>
        <w:t>s 2007 judgment.</w:t>
      </w:r>
    </w:p>
    <w:p w:rsidR="0029057E" w:rsidRPr="001922A7" w:rsidRDefault="0029057E"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37</w:t>
      </w:r>
      <w:r w:rsidRPr="001922A7">
        <w:rPr>
          <w:rFonts w:eastAsia="Times New Roman"/>
          <w:lang w:val="en-GB" w:eastAsia="fr-FR"/>
        </w:rPr>
        <w:fldChar w:fldCharType="end"/>
      </w:r>
      <w:r w:rsidRPr="001922A7">
        <w:rPr>
          <w:rFonts w:eastAsia="Times New Roman"/>
          <w:lang w:val="en-GB" w:eastAsia="fr-FR"/>
        </w:rPr>
        <w:t>.  The applicant</w:t>
      </w:r>
      <w:r w:rsidR="009912A8">
        <w:rPr>
          <w:rFonts w:eastAsia="Times New Roman"/>
          <w:lang w:val="en-GB" w:eastAsia="fr-FR"/>
        </w:rPr>
        <w:t>’</w:t>
      </w:r>
      <w:r w:rsidRPr="001922A7">
        <w:rPr>
          <w:rFonts w:eastAsia="Times New Roman"/>
          <w:lang w:val="en-GB" w:eastAsia="fr-FR"/>
        </w:rPr>
        <w:t xml:space="preserve">s </w:t>
      </w:r>
      <w:r w:rsidRPr="0029057E">
        <w:rPr>
          <w:rFonts w:eastAsia="Times New Roman"/>
          <w:lang w:val="en-GB" w:eastAsia="fr-FR"/>
        </w:rPr>
        <w:t>claim</w:t>
      </w:r>
      <w:r w:rsidRPr="001922A7">
        <w:rPr>
          <w:rFonts w:eastAsia="Times New Roman"/>
          <w:lang w:val="en-GB" w:eastAsia="fr-FR"/>
        </w:rPr>
        <w:t xml:space="preserve"> in that regard, as it can be derived from her </w:t>
      </w:r>
      <w:r>
        <w:rPr>
          <w:rFonts w:eastAsia="Times New Roman"/>
          <w:lang w:val="en-GB" w:eastAsia="fr-FR"/>
        </w:rPr>
        <w:t>submissions</w:t>
      </w:r>
      <w:r w:rsidRPr="001922A7">
        <w:rPr>
          <w:rFonts w:eastAsia="Times New Roman"/>
          <w:lang w:val="en-GB" w:eastAsia="fr-FR"/>
        </w:rPr>
        <w:t xml:space="preserve">, concerns the manner in which the Supreme Court dealt with one of </w:t>
      </w:r>
      <w:r>
        <w:rPr>
          <w:rFonts w:eastAsia="Times New Roman"/>
          <w:lang w:val="en-GB" w:eastAsia="fr-FR"/>
        </w:rPr>
        <w:t>her</w:t>
      </w:r>
      <w:r w:rsidRPr="001922A7">
        <w:rPr>
          <w:rFonts w:eastAsia="Times New Roman"/>
          <w:lang w:val="en-GB" w:eastAsia="fr-FR"/>
        </w:rPr>
        <w:t xml:space="preserve"> principal arguments based on the Court</w:t>
      </w:r>
      <w:r w:rsidR="009912A8">
        <w:rPr>
          <w:rFonts w:eastAsia="Times New Roman"/>
          <w:lang w:val="en-GB" w:eastAsia="fr-FR"/>
        </w:rPr>
        <w:t>’</w:t>
      </w:r>
      <w:r w:rsidRPr="001922A7">
        <w:rPr>
          <w:rFonts w:eastAsia="Times New Roman"/>
          <w:lang w:val="en-GB" w:eastAsia="fr-FR"/>
        </w:rPr>
        <w:t xml:space="preserve">s </w:t>
      </w:r>
      <w:r w:rsidR="006F7920">
        <w:rPr>
          <w:rFonts w:eastAsia="Times New Roman"/>
          <w:lang w:val="en-GB" w:eastAsia="fr-FR"/>
        </w:rPr>
        <w:t xml:space="preserve">2007 </w:t>
      </w:r>
      <w:r w:rsidR="00C264C5">
        <w:rPr>
          <w:rFonts w:eastAsia="Times New Roman"/>
          <w:lang w:val="en-GB" w:eastAsia="fr-FR"/>
        </w:rPr>
        <w:t xml:space="preserve">judgment. </w:t>
      </w:r>
      <w:r>
        <w:rPr>
          <w:rFonts w:eastAsia="Times New Roman"/>
          <w:lang w:val="en-GB" w:eastAsia="fr-FR"/>
        </w:rPr>
        <w:t>In particular she maintained</w:t>
      </w:r>
      <w:r w:rsidRPr="001922A7">
        <w:rPr>
          <w:rFonts w:eastAsia="Times New Roman"/>
          <w:lang w:val="en-GB" w:eastAsia="fr-FR"/>
        </w:rPr>
        <w:t xml:space="preserve"> that the reasoning </w:t>
      </w:r>
      <w:r w:rsidR="005E5E62">
        <w:rPr>
          <w:rFonts w:eastAsia="Times New Roman"/>
          <w:lang w:val="en-GB" w:eastAsia="fr-FR"/>
        </w:rPr>
        <w:t xml:space="preserve">employed by </w:t>
      </w:r>
      <w:r w:rsidRPr="001922A7">
        <w:rPr>
          <w:rFonts w:eastAsia="Times New Roman"/>
          <w:lang w:val="en-GB" w:eastAsia="fr-FR"/>
        </w:rPr>
        <w:t>the Supreme Court in its decision of 14 March 2008 manifestly contradicted the Court</w:t>
      </w:r>
      <w:r w:rsidR="009912A8">
        <w:rPr>
          <w:rFonts w:eastAsia="Times New Roman"/>
          <w:lang w:val="en-GB" w:eastAsia="fr-FR"/>
        </w:rPr>
        <w:t>’</w:t>
      </w:r>
      <w:r w:rsidRPr="001922A7">
        <w:rPr>
          <w:rFonts w:eastAsia="Times New Roman"/>
          <w:lang w:val="en-GB" w:eastAsia="fr-FR"/>
        </w:rPr>
        <w:t>s pertinent findings in its</w:t>
      </w:r>
      <w:r w:rsidR="006F7920">
        <w:rPr>
          <w:rFonts w:eastAsia="Times New Roman"/>
          <w:lang w:val="en-GB" w:eastAsia="fr-FR"/>
        </w:rPr>
        <w:t xml:space="preserve"> 2007</w:t>
      </w:r>
      <w:r w:rsidRPr="001922A7">
        <w:rPr>
          <w:rFonts w:eastAsia="Times New Roman"/>
          <w:lang w:val="en-GB" w:eastAsia="fr-FR"/>
        </w:rPr>
        <w:t xml:space="preserve"> judgment (see paragraph 29 above). This new </w:t>
      </w:r>
      <w:r w:rsidR="001455FC">
        <w:rPr>
          <w:rFonts w:eastAsia="Times New Roman"/>
          <w:lang w:val="en-GB" w:eastAsia="fr-FR"/>
        </w:rPr>
        <w:t>grievance</w:t>
      </w:r>
      <w:r w:rsidRPr="001922A7">
        <w:rPr>
          <w:rFonts w:eastAsia="Times New Roman"/>
          <w:lang w:val="en-GB" w:eastAsia="fr-FR"/>
        </w:rPr>
        <w:t xml:space="preserve"> is thus about the manner in which the March 2008 decision </w:t>
      </w:r>
      <w:r>
        <w:rPr>
          <w:rFonts w:eastAsia="Times New Roman"/>
          <w:lang w:val="en-GB" w:eastAsia="fr-FR"/>
        </w:rPr>
        <w:t>had been</w:t>
      </w:r>
      <w:r w:rsidRPr="001922A7">
        <w:rPr>
          <w:rFonts w:eastAsia="Times New Roman"/>
          <w:lang w:val="en-GB" w:eastAsia="fr-FR"/>
        </w:rPr>
        <w:t xml:space="preserve"> reached in the proceedings concerning the applicant</w:t>
      </w:r>
      <w:r w:rsidR="009912A8">
        <w:rPr>
          <w:rFonts w:eastAsia="Times New Roman"/>
          <w:lang w:val="en-GB" w:eastAsia="fr-FR"/>
        </w:rPr>
        <w:t>’</w:t>
      </w:r>
      <w:r w:rsidRPr="001922A7">
        <w:rPr>
          <w:rFonts w:eastAsia="Times New Roman"/>
          <w:lang w:val="en-GB" w:eastAsia="fr-FR"/>
        </w:rPr>
        <w:t xml:space="preserve">s </w:t>
      </w:r>
      <w:r>
        <w:rPr>
          <w:rFonts w:eastAsia="Times New Roman"/>
          <w:lang w:val="en-GB" w:eastAsia="fr-FR"/>
        </w:rPr>
        <w:t>ex</w:t>
      </w:r>
      <w:r w:rsidR="005E5E62">
        <w:rPr>
          <w:rFonts w:eastAsia="Times New Roman"/>
          <w:lang w:val="en-GB" w:eastAsia="fr-FR"/>
        </w:rPr>
        <w:t xml:space="preserve">ceptional </w:t>
      </w:r>
      <w:r>
        <w:rPr>
          <w:rFonts w:eastAsia="Times New Roman"/>
          <w:lang w:val="en-GB" w:eastAsia="fr-FR"/>
        </w:rPr>
        <w:t>appeal</w:t>
      </w:r>
      <w:r w:rsidRPr="001922A7">
        <w:rPr>
          <w:rFonts w:eastAsia="Times New Roman"/>
          <w:lang w:val="en-GB" w:eastAsia="fr-FR"/>
        </w:rPr>
        <w:t xml:space="preserve">, not about </w:t>
      </w:r>
      <w:r w:rsidR="005E5E62">
        <w:rPr>
          <w:rFonts w:eastAsia="Times New Roman"/>
          <w:lang w:val="en-GB" w:eastAsia="fr-FR"/>
        </w:rPr>
        <w:t xml:space="preserve">either </w:t>
      </w:r>
      <w:r w:rsidRPr="001922A7">
        <w:rPr>
          <w:rFonts w:eastAsia="Times New Roman"/>
          <w:lang w:val="en-GB" w:eastAsia="fr-FR"/>
        </w:rPr>
        <w:t xml:space="preserve">their outcome as such </w:t>
      </w:r>
      <w:r w:rsidR="00F632A4">
        <w:rPr>
          <w:rFonts w:eastAsia="Times New Roman"/>
          <w:lang w:val="en-GB" w:eastAsia="fr-FR"/>
        </w:rPr>
        <w:t>or</w:t>
      </w:r>
      <w:r w:rsidRPr="001922A7">
        <w:rPr>
          <w:rFonts w:eastAsia="Times New Roman"/>
          <w:lang w:val="en-GB" w:eastAsia="fr-FR"/>
        </w:rPr>
        <w:t xml:space="preserve"> the effectiveness of the</w:t>
      </w:r>
      <w:r w:rsidRPr="009B6C8B">
        <w:rPr>
          <w:rFonts w:eastAsia="Times New Roman"/>
          <w:lang w:val="en-GB" w:eastAsia="fr-FR"/>
        </w:rPr>
        <w:t xml:space="preserve"> </w:t>
      </w:r>
      <w:r w:rsidRPr="001922A7">
        <w:rPr>
          <w:rFonts w:eastAsia="Times New Roman"/>
          <w:lang w:val="en-GB" w:eastAsia="fr-FR"/>
        </w:rPr>
        <w:t>national courts</w:t>
      </w:r>
      <w:r w:rsidR="009912A8">
        <w:rPr>
          <w:rFonts w:eastAsia="Times New Roman"/>
          <w:lang w:val="en-GB" w:eastAsia="fr-FR"/>
        </w:rPr>
        <w:t>’</w:t>
      </w:r>
      <w:r w:rsidRPr="001922A7">
        <w:rPr>
          <w:rFonts w:eastAsia="Times New Roman"/>
          <w:lang w:val="en-GB" w:eastAsia="fr-FR"/>
        </w:rPr>
        <w:t xml:space="preserve"> implementation of </w:t>
      </w:r>
      <w:r>
        <w:rPr>
          <w:rFonts w:eastAsia="Times New Roman"/>
          <w:lang w:val="en-GB" w:eastAsia="fr-FR"/>
        </w:rPr>
        <w:t>the</w:t>
      </w:r>
      <w:r w:rsidRPr="001922A7">
        <w:rPr>
          <w:rFonts w:eastAsia="Times New Roman"/>
          <w:lang w:val="en-GB" w:eastAsia="fr-FR"/>
        </w:rPr>
        <w:t xml:space="preserve"> Court</w:t>
      </w:r>
      <w:r w:rsidR="009912A8">
        <w:rPr>
          <w:rFonts w:eastAsia="Times New Roman"/>
          <w:lang w:val="en-GB" w:eastAsia="fr-FR"/>
        </w:rPr>
        <w:t>’</w:t>
      </w:r>
      <w:r w:rsidRPr="001922A7">
        <w:rPr>
          <w:rFonts w:eastAsia="Times New Roman"/>
          <w:lang w:val="en-GB" w:eastAsia="fr-FR"/>
        </w:rPr>
        <w:t xml:space="preserve">s judgment (compare and contrast with </w:t>
      </w:r>
      <w:r w:rsidR="00E8698D" w:rsidRPr="001922A7">
        <w:rPr>
          <w:rFonts w:eastAsia="Times New Roman"/>
          <w:i/>
          <w:lang w:val="en-GB" w:eastAsia="fr-FR"/>
        </w:rPr>
        <w:t>Steck-Risch and Others</w:t>
      </w:r>
      <w:r w:rsidR="00E8698D">
        <w:rPr>
          <w:rFonts w:eastAsia="Times New Roman"/>
          <w:lang w:val="en-GB" w:eastAsia="fr-FR"/>
        </w:rPr>
        <w:t>,</w:t>
      </w:r>
      <w:r w:rsidR="00E8698D" w:rsidRPr="001922A7">
        <w:rPr>
          <w:rFonts w:eastAsia="Times New Roman"/>
          <w:i/>
          <w:lang w:val="en-GB" w:eastAsia="fr-FR"/>
        </w:rPr>
        <w:t xml:space="preserve"> </w:t>
      </w:r>
      <w:r w:rsidRPr="001922A7">
        <w:rPr>
          <w:rFonts w:eastAsia="Times New Roman"/>
          <w:i/>
          <w:lang w:val="en-GB" w:eastAsia="fr-FR"/>
        </w:rPr>
        <w:t>Öcalan</w:t>
      </w:r>
      <w:r w:rsidRPr="001922A7">
        <w:rPr>
          <w:rFonts w:eastAsia="Times New Roman"/>
          <w:lang w:val="en-GB" w:eastAsia="fr-FR"/>
        </w:rPr>
        <w:t xml:space="preserve">, </w:t>
      </w:r>
      <w:r w:rsidR="00E8698D">
        <w:rPr>
          <w:rFonts w:eastAsia="Times New Roman"/>
          <w:lang w:val="en-GB" w:eastAsia="fr-FR"/>
        </w:rPr>
        <w:t xml:space="preserve">and </w:t>
      </w:r>
      <w:r w:rsidR="00E8698D">
        <w:rPr>
          <w:rFonts w:eastAsia="Times New Roman"/>
          <w:i/>
          <w:lang w:val="en-GB" w:eastAsia="fr-FR"/>
        </w:rPr>
        <w:t>Schelling (no. 2)</w:t>
      </w:r>
      <w:r w:rsidRPr="001922A7">
        <w:rPr>
          <w:rFonts w:eastAsia="Times New Roman"/>
          <w:lang w:val="en-GB" w:eastAsia="fr-FR"/>
        </w:rPr>
        <w:t>, cited above, in which no distinct unfairness was alleged in relation to the conduct of the relevant new proceedings brought by the applicants in those cases at the domestic level). Although the applicant</w:t>
      </w:r>
      <w:r w:rsidR="009912A8">
        <w:rPr>
          <w:rFonts w:eastAsia="Times New Roman"/>
          <w:lang w:val="en-GB" w:eastAsia="fr-FR"/>
        </w:rPr>
        <w:t>’</w:t>
      </w:r>
      <w:r w:rsidRPr="001922A7">
        <w:rPr>
          <w:rFonts w:eastAsia="Times New Roman"/>
          <w:lang w:val="en-GB" w:eastAsia="fr-FR"/>
        </w:rPr>
        <w:t xml:space="preserve">s </w:t>
      </w:r>
      <w:r w:rsidR="001455FC">
        <w:rPr>
          <w:rFonts w:eastAsia="Times New Roman"/>
          <w:lang w:val="en-GB" w:eastAsia="fr-FR"/>
        </w:rPr>
        <w:t>initiatives</w:t>
      </w:r>
      <w:r w:rsidRPr="001922A7">
        <w:rPr>
          <w:rFonts w:eastAsia="Times New Roman"/>
          <w:lang w:val="en-GB" w:eastAsia="fr-FR"/>
        </w:rPr>
        <w:t xml:space="preserve"> to have the domestic decisions in the present case reconsidered were undoubtedly connected with the execution of the Court</w:t>
      </w:r>
      <w:r w:rsidR="009912A8">
        <w:rPr>
          <w:rFonts w:eastAsia="Times New Roman"/>
          <w:lang w:val="en-GB" w:eastAsia="fr-FR"/>
        </w:rPr>
        <w:t>’</w:t>
      </w:r>
      <w:r w:rsidRPr="001922A7">
        <w:rPr>
          <w:rFonts w:eastAsia="Times New Roman"/>
          <w:lang w:val="en-GB" w:eastAsia="fr-FR"/>
        </w:rPr>
        <w:t xml:space="preserve">s judgment of 3 May 2007, her complaints about the unfairness of the subsequent judicial proceedings </w:t>
      </w:r>
      <w:r w:rsidR="005E5E62">
        <w:rPr>
          <w:rFonts w:eastAsia="Times New Roman"/>
          <w:lang w:val="en-GB" w:eastAsia="fr-FR"/>
        </w:rPr>
        <w:t xml:space="preserve">both </w:t>
      </w:r>
      <w:r w:rsidRPr="001922A7">
        <w:rPr>
          <w:rFonts w:eastAsia="Times New Roman"/>
          <w:lang w:val="en-GB" w:eastAsia="fr-FR"/>
        </w:rPr>
        <w:t xml:space="preserve">concern a situation </w:t>
      </w:r>
      <w:r w:rsidR="005E5E62">
        <w:rPr>
          <w:rFonts w:eastAsia="Times New Roman"/>
          <w:lang w:val="en-GB" w:eastAsia="fr-FR"/>
        </w:rPr>
        <w:t xml:space="preserve">distinct from that examined in that judgment and </w:t>
      </w:r>
      <w:r w:rsidRPr="001922A7">
        <w:rPr>
          <w:rFonts w:eastAsia="Times New Roman"/>
          <w:lang w:val="en-GB" w:eastAsia="fr-FR"/>
        </w:rPr>
        <w:t>contain relevant new information relating to issues undecided by that judgment.</w:t>
      </w:r>
    </w:p>
    <w:p w:rsidR="004B3229" w:rsidRPr="001922A7" w:rsidRDefault="00E24964"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38</w:t>
      </w:r>
      <w:r w:rsidRPr="001922A7">
        <w:rPr>
          <w:rFonts w:eastAsia="Times New Roman"/>
          <w:lang w:val="en-GB" w:eastAsia="fr-FR"/>
        </w:rPr>
        <w:fldChar w:fldCharType="end"/>
      </w:r>
      <w:r w:rsidRPr="001922A7">
        <w:rPr>
          <w:rFonts w:eastAsia="Times New Roman"/>
          <w:lang w:val="en-GB" w:eastAsia="fr-FR"/>
        </w:rPr>
        <w:t>.  </w:t>
      </w:r>
      <w:r w:rsidR="005E5E62">
        <w:rPr>
          <w:rFonts w:eastAsia="Times New Roman"/>
          <w:lang w:val="en-GB" w:eastAsia="fr-FR"/>
        </w:rPr>
        <w:t xml:space="preserve">As a consequence, </w:t>
      </w:r>
      <w:r w:rsidR="004B3229" w:rsidRPr="001922A7">
        <w:rPr>
          <w:rFonts w:eastAsia="Times New Roman"/>
          <w:lang w:val="en-GB" w:eastAsia="fr-FR"/>
        </w:rPr>
        <w:t>i</w:t>
      </w:r>
      <w:r w:rsidR="006C3831" w:rsidRPr="001922A7">
        <w:rPr>
          <w:rFonts w:eastAsia="Times New Roman"/>
          <w:lang w:val="en-GB" w:eastAsia="fr-FR"/>
        </w:rPr>
        <w:t xml:space="preserve">n the present case </w:t>
      </w:r>
      <w:r w:rsidR="004B3229" w:rsidRPr="001922A7">
        <w:rPr>
          <w:rFonts w:eastAsia="Times New Roman"/>
          <w:lang w:val="en-GB" w:eastAsia="fr-FR"/>
        </w:rPr>
        <w:t xml:space="preserve">the “new issue” the Court </w:t>
      </w:r>
      <w:r w:rsidR="009031FC" w:rsidRPr="001922A7">
        <w:rPr>
          <w:rFonts w:eastAsia="Times New Roman"/>
          <w:lang w:val="en-GB" w:eastAsia="fr-FR"/>
        </w:rPr>
        <w:t>is competent</w:t>
      </w:r>
      <w:r w:rsidR="004B3229" w:rsidRPr="001922A7">
        <w:rPr>
          <w:rFonts w:eastAsia="Times New Roman"/>
          <w:lang w:val="en-GB" w:eastAsia="fr-FR"/>
        </w:rPr>
        <w:t xml:space="preserve"> to examine, without encroaching on the prerogatives of the respondent State and the Committee of Ministers under Article 46 of the Convention, </w:t>
      </w:r>
      <w:r w:rsidR="004B335D" w:rsidRPr="001922A7">
        <w:rPr>
          <w:rFonts w:eastAsia="Times New Roman"/>
          <w:lang w:val="en-GB" w:eastAsia="fr-FR"/>
        </w:rPr>
        <w:t>concerns the alleged unfairness of the proceedings on the applicant</w:t>
      </w:r>
      <w:r w:rsidR="009912A8">
        <w:rPr>
          <w:rFonts w:eastAsia="Times New Roman"/>
          <w:lang w:val="en-GB" w:eastAsia="fr-FR"/>
        </w:rPr>
        <w:t>’</w:t>
      </w:r>
      <w:r w:rsidR="004B335D" w:rsidRPr="001922A7">
        <w:rPr>
          <w:rFonts w:eastAsia="Times New Roman"/>
          <w:lang w:val="en-GB" w:eastAsia="fr-FR"/>
        </w:rPr>
        <w:t xml:space="preserve">s </w:t>
      </w:r>
      <w:r w:rsidR="00F37C1E">
        <w:rPr>
          <w:rFonts w:eastAsia="Times New Roman"/>
          <w:lang w:val="en-GB" w:eastAsia="fr-FR"/>
        </w:rPr>
        <w:t>ex</w:t>
      </w:r>
      <w:r w:rsidR="005E5E62">
        <w:rPr>
          <w:rFonts w:eastAsia="Times New Roman"/>
          <w:lang w:val="en-GB" w:eastAsia="fr-FR"/>
        </w:rPr>
        <w:t xml:space="preserve">ceptional </w:t>
      </w:r>
      <w:r w:rsidR="00F37C1E">
        <w:rPr>
          <w:rFonts w:eastAsia="Times New Roman"/>
          <w:lang w:val="en-GB" w:eastAsia="fr-FR"/>
        </w:rPr>
        <w:t>appeal</w:t>
      </w:r>
      <w:r w:rsidR="00A7380B" w:rsidRPr="001922A7">
        <w:rPr>
          <w:rFonts w:eastAsia="Times New Roman"/>
          <w:lang w:val="en-GB" w:eastAsia="fr-FR"/>
        </w:rPr>
        <w:t>, as opposed to their outcome as such</w:t>
      </w:r>
      <w:r w:rsidR="005E5E62">
        <w:rPr>
          <w:rFonts w:eastAsia="Times New Roman"/>
          <w:lang w:val="en-GB" w:eastAsia="fr-FR"/>
        </w:rPr>
        <w:t xml:space="preserve"> and their impact on the proper execution of the Court</w:t>
      </w:r>
      <w:r w:rsidR="009912A8">
        <w:rPr>
          <w:rFonts w:eastAsia="Times New Roman"/>
          <w:lang w:val="en-GB" w:eastAsia="fr-FR"/>
        </w:rPr>
        <w:t>’</w:t>
      </w:r>
      <w:r w:rsidR="005E5E62">
        <w:rPr>
          <w:rFonts w:eastAsia="Times New Roman"/>
          <w:lang w:val="en-GB" w:eastAsia="fr-FR"/>
        </w:rPr>
        <w:t>s judgment of 3 May 2007</w:t>
      </w:r>
      <w:r w:rsidR="00A7380B" w:rsidRPr="001922A7">
        <w:rPr>
          <w:rFonts w:eastAsia="Times New Roman"/>
          <w:lang w:val="en-GB" w:eastAsia="fr-FR"/>
        </w:rPr>
        <w:t>.</w:t>
      </w:r>
    </w:p>
    <w:p w:rsidR="00542861" w:rsidRPr="001922A7" w:rsidRDefault="00BE6C8A"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39</w:t>
      </w:r>
      <w:r w:rsidRPr="001922A7">
        <w:rPr>
          <w:rFonts w:eastAsia="Times New Roman"/>
          <w:lang w:val="en-GB" w:eastAsia="fr-FR"/>
        </w:rPr>
        <w:fldChar w:fldCharType="end"/>
      </w:r>
      <w:r w:rsidRPr="001922A7">
        <w:rPr>
          <w:rFonts w:eastAsia="Times New Roman"/>
          <w:lang w:val="en-GB" w:eastAsia="fr-FR"/>
        </w:rPr>
        <w:t xml:space="preserve">.  Accordingly, the Court is not prevented by Article 46 of the Convention from </w:t>
      </w:r>
      <w:r w:rsidR="00C01A67" w:rsidRPr="001922A7">
        <w:rPr>
          <w:rFonts w:eastAsia="Times New Roman"/>
          <w:lang w:val="en-GB" w:eastAsia="fr-FR"/>
        </w:rPr>
        <w:t>examining</w:t>
      </w:r>
      <w:r w:rsidRPr="001922A7">
        <w:rPr>
          <w:rFonts w:eastAsia="Times New Roman"/>
          <w:lang w:val="en-GB" w:eastAsia="fr-FR"/>
        </w:rPr>
        <w:t xml:space="preserve"> the applicant</w:t>
      </w:r>
      <w:r w:rsidR="009912A8">
        <w:rPr>
          <w:rFonts w:eastAsia="Times New Roman"/>
          <w:lang w:val="en-GB" w:eastAsia="fr-FR"/>
        </w:rPr>
        <w:t>’</w:t>
      </w:r>
      <w:r w:rsidRPr="001922A7">
        <w:rPr>
          <w:rFonts w:eastAsia="Times New Roman"/>
          <w:lang w:val="en-GB" w:eastAsia="fr-FR"/>
        </w:rPr>
        <w:t xml:space="preserve">s new complaint about the unfairness of the proceedings culminating in the decision of the Supreme Court of 14 March 2008. The Court will now turn to the question </w:t>
      </w:r>
      <w:r w:rsidR="00226640" w:rsidRPr="001922A7">
        <w:rPr>
          <w:rFonts w:eastAsia="Times New Roman"/>
          <w:lang w:val="en-GB" w:eastAsia="fr-FR"/>
        </w:rPr>
        <w:t xml:space="preserve">whether </w:t>
      </w:r>
      <w:r w:rsidR="002E454B" w:rsidRPr="002E454B">
        <w:rPr>
          <w:rFonts w:eastAsia="Times New Roman"/>
          <w:lang w:val="en-GB" w:eastAsia="fr-FR"/>
        </w:rPr>
        <w:t xml:space="preserve">the impugned domestic proceedings attracted the </w:t>
      </w:r>
      <w:r w:rsidR="00550C13">
        <w:rPr>
          <w:rFonts w:eastAsia="Times New Roman"/>
          <w:lang w:val="en-GB" w:eastAsia="fr-FR"/>
        </w:rPr>
        <w:t xml:space="preserve">fairness </w:t>
      </w:r>
      <w:r w:rsidR="002E454B" w:rsidRPr="002E454B">
        <w:rPr>
          <w:rFonts w:eastAsia="Times New Roman"/>
          <w:lang w:val="en-GB" w:eastAsia="fr-FR"/>
        </w:rPr>
        <w:t>guarantees</w:t>
      </w:r>
      <w:r w:rsidR="00550C13">
        <w:rPr>
          <w:rFonts w:eastAsia="Times New Roman"/>
          <w:lang w:val="en-GB" w:eastAsia="fr-FR"/>
        </w:rPr>
        <w:t xml:space="preserve"> of</w:t>
      </w:r>
      <w:r w:rsidR="002E454B" w:rsidRPr="002E454B">
        <w:rPr>
          <w:rFonts w:eastAsia="Times New Roman"/>
          <w:lang w:val="en-GB" w:eastAsia="fr-FR"/>
        </w:rPr>
        <w:t xml:space="preserve"> Article 6</w:t>
      </w:r>
      <w:r w:rsidR="003422A4">
        <w:rPr>
          <w:rFonts w:eastAsia="Times New Roman"/>
          <w:lang w:val="en-GB" w:eastAsia="fr-FR"/>
        </w:rPr>
        <w:t xml:space="preserve"> </w:t>
      </w:r>
      <w:r w:rsidR="002E454B" w:rsidRPr="002E454B">
        <w:rPr>
          <w:rFonts w:eastAsia="Times New Roman"/>
          <w:lang w:val="en-GB" w:eastAsia="fr-FR"/>
        </w:rPr>
        <w:t>§</w:t>
      </w:r>
      <w:r w:rsidR="003422A4">
        <w:rPr>
          <w:rFonts w:eastAsia="Times New Roman"/>
          <w:lang w:val="en-GB" w:eastAsia="fr-FR"/>
        </w:rPr>
        <w:t xml:space="preserve"> </w:t>
      </w:r>
      <w:r w:rsidR="002E454B" w:rsidRPr="002E454B">
        <w:rPr>
          <w:rFonts w:eastAsia="Times New Roman"/>
          <w:lang w:val="en-GB" w:eastAsia="fr-FR"/>
        </w:rPr>
        <w:t>1</w:t>
      </w:r>
      <w:r w:rsidR="00550C13" w:rsidRPr="00550C13">
        <w:rPr>
          <w:rFonts w:eastAsia="Times New Roman"/>
          <w:lang w:val="en-GB" w:eastAsia="fr-FR"/>
        </w:rPr>
        <w:t xml:space="preserve"> </w:t>
      </w:r>
      <w:r w:rsidR="00550C13" w:rsidRPr="002E454B">
        <w:rPr>
          <w:rFonts w:eastAsia="Times New Roman"/>
          <w:lang w:val="en-GB" w:eastAsia="fr-FR"/>
        </w:rPr>
        <w:t>of the Convention</w:t>
      </w:r>
      <w:r w:rsidR="002E454B">
        <w:rPr>
          <w:rFonts w:eastAsia="Times New Roman"/>
          <w:lang w:val="en-GB" w:eastAsia="fr-FR"/>
        </w:rPr>
        <w:t>.</w:t>
      </w:r>
    </w:p>
    <w:p w:rsidR="00014566" w:rsidRPr="001922A7" w:rsidRDefault="003840CF" w:rsidP="0062363B">
      <w:pPr>
        <w:pStyle w:val="ECHRHeading2"/>
        <w:rPr>
          <w:lang w:val="en-GB"/>
        </w:rPr>
      </w:pPr>
      <w:r w:rsidRPr="001922A7">
        <w:rPr>
          <w:lang w:val="en-GB"/>
        </w:rPr>
        <w:t>B</w:t>
      </w:r>
      <w:r w:rsidR="00014566" w:rsidRPr="001922A7">
        <w:rPr>
          <w:lang w:val="en-GB"/>
        </w:rPr>
        <w:t>.  </w:t>
      </w:r>
      <w:r w:rsidRPr="001922A7">
        <w:rPr>
          <w:lang w:val="en-GB"/>
        </w:rPr>
        <w:t>Whether the applicant</w:t>
      </w:r>
      <w:r w:rsidR="009912A8">
        <w:rPr>
          <w:lang w:val="en-GB"/>
        </w:rPr>
        <w:t>’</w:t>
      </w:r>
      <w:r w:rsidRPr="001922A7">
        <w:rPr>
          <w:lang w:val="en-GB"/>
        </w:rPr>
        <w:t xml:space="preserve">s new complaint </w:t>
      </w:r>
      <w:r w:rsidR="006C61AD" w:rsidRPr="001922A7">
        <w:rPr>
          <w:lang w:val="en-GB"/>
        </w:rPr>
        <w:t xml:space="preserve">is compatible </w:t>
      </w:r>
      <w:r w:rsidR="006C61AD" w:rsidRPr="001922A7">
        <w:rPr>
          <w:i/>
          <w:lang w:val="en-GB"/>
        </w:rPr>
        <w:t>ratione materiae</w:t>
      </w:r>
      <w:r w:rsidRPr="001922A7">
        <w:rPr>
          <w:lang w:val="en-GB"/>
        </w:rPr>
        <w:t xml:space="preserve"> </w:t>
      </w:r>
      <w:r w:rsidR="006C61AD" w:rsidRPr="001922A7">
        <w:rPr>
          <w:lang w:val="en-GB"/>
        </w:rPr>
        <w:t xml:space="preserve">with </w:t>
      </w:r>
      <w:r w:rsidRPr="001922A7">
        <w:rPr>
          <w:lang w:val="en-GB"/>
        </w:rPr>
        <w:t xml:space="preserve">Article 6 </w:t>
      </w:r>
      <w:r w:rsidRPr="001922A7">
        <w:rPr>
          <w:rFonts w:cstheme="majorHAnsi"/>
          <w:lang w:val="en-GB"/>
        </w:rPr>
        <w:t>§</w:t>
      </w:r>
      <w:r w:rsidR="001F3E63" w:rsidRPr="001922A7">
        <w:rPr>
          <w:rFonts w:cstheme="majorHAnsi"/>
          <w:lang w:val="en-GB"/>
        </w:rPr>
        <w:t xml:space="preserve"> 1 of the Convention</w:t>
      </w:r>
    </w:p>
    <w:p w:rsidR="00E13151" w:rsidRPr="001922A7" w:rsidRDefault="00E13151" w:rsidP="00E13151">
      <w:pPr>
        <w:pStyle w:val="ECHRHeading3"/>
        <w:rPr>
          <w:lang w:val="en-GB"/>
        </w:rPr>
      </w:pPr>
      <w:r w:rsidRPr="001922A7">
        <w:rPr>
          <w:lang w:val="en-GB"/>
        </w:rPr>
        <w:t>1.  The parties</w:t>
      </w:r>
      <w:r w:rsidR="009912A8">
        <w:rPr>
          <w:lang w:val="en-GB"/>
        </w:rPr>
        <w:t>’</w:t>
      </w:r>
      <w:r w:rsidRPr="001922A7">
        <w:rPr>
          <w:lang w:val="en-GB"/>
        </w:rPr>
        <w:t xml:space="preserve"> submissions</w:t>
      </w:r>
    </w:p>
    <w:p w:rsidR="00E354A7" w:rsidRPr="001922A7" w:rsidRDefault="00E354A7"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40</w:t>
      </w:r>
      <w:r w:rsidRPr="001922A7">
        <w:rPr>
          <w:rFonts w:eastAsia="Times New Roman"/>
          <w:lang w:val="en-GB" w:eastAsia="fr-FR"/>
        </w:rPr>
        <w:fldChar w:fldCharType="end"/>
      </w:r>
      <w:r w:rsidRPr="001922A7">
        <w:rPr>
          <w:rFonts w:eastAsia="Times New Roman"/>
          <w:lang w:val="en-GB" w:eastAsia="fr-FR"/>
        </w:rPr>
        <w:t xml:space="preserve">.  The Government </w:t>
      </w:r>
      <w:r w:rsidR="00023EFF">
        <w:rPr>
          <w:rFonts w:eastAsia="Times New Roman"/>
          <w:lang w:val="en-GB" w:eastAsia="fr-FR"/>
        </w:rPr>
        <w:t>maintained</w:t>
      </w:r>
      <w:r w:rsidRPr="001922A7">
        <w:rPr>
          <w:rFonts w:eastAsia="Times New Roman"/>
          <w:lang w:val="en-GB" w:eastAsia="fr-FR"/>
        </w:rPr>
        <w:t xml:space="preserve"> that Article 6 of the Convention was inapplicable to the proceedings con</w:t>
      </w:r>
      <w:r w:rsidR="00B30139">
        <w:rPr>
          <w:rFonts w:eastAsia="Times New Roman"/>
          <w:lang w:val="en-GB" w:eastAsia="fr-FR"/>
        </w:rPr>
        <w:t>cerning the applicant</w:t>
      </w:r>
      <w:r w:rsidR="009912A8">
        <w:rPr>
          <w:rFonts w:eastAsia="Times New Roman"/>
          <w:lang w:val="en-GB" w:eastAsia="fr-FR"/>
        </w:rPr>
        <w:t>’</w:t>
      </w:r>
      <w:r w:rsidR="00B30139">
        <w:rPr>
          <w:rFonts w:eastAsia="Times New Roman"/>
          <w:lang w:val="en-GB" w:eastAsia="fr-FR"/>
        </w:rPr>
        <w:t>s “appeal</w:t>
      </w:r>
      <w:r w:rsidRPr="001922A7">
        <w:rPr>
          <w:rFonts w:eastAsia="Times New Roman"/>
          <w:lang w:val="en-GB" w:eastAsia="fr-FR"/>
        </w:rPr>
        <w:t xml:space="preserve"> in the light of exceptional circumstances”. They argued that the </w:t>
      </w:r>
      <w:r w:rsidR="00023EFF" w:rsidRPr="001922A7">
        <w:rPr>
          <w:rFonts w:eastAsia="Times New Roman"/>
          <w:lang w:val="en-GB" w:eastAsia="fr-FR"/>
        </w:rPr>
        <w:t>Supreme Court</w:t>
      </w:r>
      <w:r w:rsidR="009912A8">
        <w:rPr>
          <w:rFonts w:eastAsia="Times New Roman"/>
          <w:lang w:val="en-GB" w:eastAsia="fr-FR"/>
        </w:rPr>
        <w:t>’</w:t>
      </w:r>
      <w:r w:rsidR="00023EFF">
        <w:rPr>
          <w:rFonts w:eastAsia="Times New Roman"/>
          <w:lang w:val="en-GB" w:eastAsia="fr-FR"/>
        </w:rPr>
        <w:t>s</w:t>
      </w:r>
      <w:r w:rsidR="00023EFF" w:rsidRPr="001922A7">
        <w:rPr>
          <w:rFonts w:eastAsia="Times New Roman"/>
          <w:lang w:val="en-GB" w:eastAsia="fr-FR"/>
        </w:rPr>
        <w:t xml:space="preserve"> </w:t>
      </w:r>
      <w:r w:rsidRPr="001922A7">
        <w:rPr>
          <w:rFonts w:eastAsia="Times New Roman"/>
          <w:lang w:val="en-GB" w:eastAsia="fr-FR"/>
        </w:rPr>
        <w:lastRenderedPageBreak/>
        <w:t xml:space="preserve">decision of 14 March 2008, rejecting </w:t>
      </w:r>
      <w:r w:rsidR="00023EFF">
        <w:rPr>
          <w:rFonts w:eastAsia="Times New Roman"/>
          <w:lang w:val="en-GB" w:eastAsia="fr-FR"/>
        </w:rPr>
        <w:t>her</w:t>
      </w:r>
      <w:r w:rsidRPr="001922A7">
        <w:rPr>
          <w:rFonts w:eastAsia="Times New Roman"/>
          <w:lang w:val="en-GB" w:eastAsia="fr-FR"/>
        </w:rPr>
        <w:t xml:space="preserve"> first appeal, had been an interim one and had not determined her civil rights or obligations. </w:t>
      </w:r>
      <w:r w:rsidR="00023EFF">
        <w:rPr>
          <w:rFonts w:eastAsia="Times New Roman"/>
          <w:lang w:val="en-GB" w:eastAsia="fr-FR"/>
        </w:rPr>
        <w:t>I</w:t>
      </w:r>
      <w:r w:rsidRPr="001922A7">
        <w:rPr>
          <w:rFonts w:eastAsia="Times New Roman"/>
          <w:lang w:val="en-GB" w:eastAsia="fr-FR"/>
        </w:rPr>
        <w:t>t was the Supreme Court</w:t>
      </w:r>
      <w:r w:rsidR="009912A8">
        <w:rPr>
          <w:rFonts w:eastAsia="Times New Roman"/>
          <w:lang w:val="en-GB" w:eastAsia="fr-FR"/>
        </w:rPr>
        <w:t>’</w:t>
      </w:r>
      <w:r w:rsidR="00023EFF">
        <w:rPr>
          <w:rFonts w:eastAsia="Times New Roman"/>
          <w:lang w:val="en-GB" w:eastAsia="fr-FR"/>
        </w:rPr>
        <w:t>s later decision of 5 June 2008 rejecting her second appeal</w:t>
      </w:r>
      <w:r w:rsidRPr="001922A7">
        <w:rPr>
          <w:rFonts w:eastAsia="Times New Roman"/>
          <w:lang w:val="en-GB" w:eastAsia="fr-FR"/>
        </w:rPr>
        <w:t xml:space="preserve"> that had “defined” her civil rights and obligations. However, as </w:t>
      </w:r>
      <w:r w:rsidR="00D023D0">
        <w:rPr>
          <w:rFonts w:eastAsia="Times New Roman"/>
          <w:lang w:val="en-GB" w:eastAsia="fr-FR"/>
        </w:rPr>
        <w:t xml:space="preserve">the applicant </w:t>
      </w:r>
      <w:r w:rsidR="00023EFF">
        <w:rPr>
          <w:rFonts w:eastAsia="Times New Roman"/>
          <w:lang w:val="en-GB" w:eastAsia="fr-FR"/>
        </w:rPr>
        <w:t xml:space="preserve">did not </w:t>
      </w:r>
      <w:r w:rsidR="0050111C">
        <w:rPr>
          <w:rFonts w:eastAsia="Times New Roman"/>
          <w:lang w:val="en-GB" w:eastAsia="fr-FR"/>
        </w:rPr>
        <w:t>complain</w:t>
      </w:r>
      <w:r w:rsidR="00023EFF">
        <w:rPr>
          <w:rFonts w:eastAsia="Times New Roman"/>
          <w:lang w:val="en-GB" w:eastAsia="fr-FR"/>
        </w:rPr>
        <w:t xml:space="preserve"> </w:t>
      </w:r>
      <w:r w:rsidR="0073214E">
        <w:rPr>
          <w:rFonts w:eastAsia="Times New Roman"/>
          <w:lang w:val="en-GB" w:eastAsia="fr-FR"/>
        </w:rPr>
        <w:t>that the June 2008 proceedings</w:t>
      </w:r>
      <w:r w:rsidR="00592DF5">
        <w:rPr>
          <w:rFonts w:eastAsia="Times New Roman"/>
          <w:lang w:val="en-GB" w:eastAsia="fr-FR"/>
        </w:rPr>
        <w:t xml:space="preserve"> were flawed, Article </w:t>
      </w:r>
      <w:r w:rsidRPr="001922A7">
        <w:rPr>
          <w:rFonts w:eastAsia="Times New Roman"/>
          <w:lang w:val="en-GB" w:eastAsia="fr-FR"/>
        </w:rPr>
        <w:t xml:space="preserve">6 </w:t>
      </w:r>
      <w:r w:rsidR="008C0686">
        <w:rPr>
          <w:rFonts w:eastAsia="Times New Roman"/>
          <w:lang w:val="en-GB" w:eastAsia="fr-FR"/>
        </w:rPr>
        <w:t>was not applicable</w:t>
      </w:r>
      <w:r w:rsidRPr="001922A7">
        <w:rPr>
          <w:rFonts w:eastAsia="Times New Roman"/>
          <w:lang w:val="en-GB" w:eastAsia="fr-FR"/>
        </w:rPr>
        <w:t>.</w:t>
      </w:r>
    </w:p>
    <w:p w:rsidR="00E354A7" w:rsidRPr="001922A7" w:rsidRDefault="00E354A7" w:rsidP="00C264C5">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41</w:t>
      </w:r>
      <w:r w:rsidRPr="001922A7">
        <w:rPr>
          <w:rFonts w:eastAsia="Times New Roman"/>
          <w:lang w:val="en-GB" w:eastAsia="fr-FR"/>
        </w:rPr>
        <w:fldChar w:fldCharType="end"/>
      </w:r>
      <w:r w:rsidRPr="001922A7">
        <w:rPr>
          <w:rFonts w:eastAsia="Times New Roman"/>
          <w:lang w:val="en-GB" w:eastAsia="fr-FR"/>
        </w:rPr>
        <w:t xml:space="preserve">.  The applicant </w:t>
      </w:r>
      <w:r w:rsidR="00023EFF">
        <w:rPr>
          <w:rFonts w:eastAsia="Times New Roman"/>
          <w:lang w:val="en-GB" w:eastAsia="fr-FR"/>
        </w:rPr>
        <w:t xml:space="preserve">submitted </w:t>
      </w:r>
      <w:r w:rsidRPr="001922A7">
        <w:rPr>
          <w:rFonts w:eastAsia="Times New Roman"/>
          <w:lang w:val="en-GB" w:eastAsia="fr-FR"/>
        </w:rPr>
        <w:t>that Article 6</w:t>
      </w:r>
      <w:r w:rsidR="008D38D2" w:rsidRPr="001922A7">
        <w:rPr>
          <w:rFonts w:eastAsia="Times New Roman"/>
          <w:lang w:val="en-GB" w:eastAsia="fr-FR"/>
        </w:rPr>
        <w:t xml:space="preserve"> § 1</w:t>
      </w:r>
      <w:r w:rsidRPr="001922A7">
        <w:rPr>
          <w:rFonts w:eastAsia="Times New Roman"/>
          <w:lang w:val="en-GB" w:eastAsia="fr-FR"/>
        </w:rPr>
        <w:t xml:space="preserve"> of the Convention </w:t>
      </w:r>
      <w:r w:rsidR="00023EFF">
        <w:rPr>
          <w:rFonts w:eastAsia="Times New Roman"/>
          <w:lang w:val="en-GB" w:eastAsia="fr-FR"/>
        </w:rPr>
        <w:t>was</w:t>
      </w:r>
      <w:r w:rsidRPr="001922A7">
        <w:rPr>
          <w:rFonts w:eastAsia="Times New Roman"/>
          <w:lang w:val="en-GB" w:eastAsia="fr-FR"/>
        </w:rPr>
        <w:t xml:space="preserve"> applicable to the proceedings concerning her </w:t>
      </w:r>
      <w:r w:rsidR="00F37C1E">
        <w:rPr>
          <w:rFonts w:eastAsia="Times New Roman"/>
          <w:lang w:val="en-GB" w:eastAsia="fr-FR"/>
        </w:rPr>
        <w:t>ex</w:t>
      </w:r>
      <w:r w:rsidR="005E5E62">
        <w:rPr>
          <w:rFonts w:eastAsia="Times New Roman"/>
          <w:lang w:val="en-GB" w:eastAsia="fr-FR"/>
        </w:rPr>
        <w:t>ceptional</w:t>
      </w:r>
      <w:r w:rsidR="00F37C1E">
        <w:rPr>
          <w:rFonts w:eastAsia="Times New Roman"/>
          <w:lang w:val="en-GB" w:eastAsia="fr-FR"/>
        </w:rPr>
        <w:t xml:space="preserve"> appeal</w:t>
      </w:r>
      <w:r w:rsidRPr="001922A7">
        <w:rPr>
          <w:rFonts w:eastAsia="Times New Roman"/>
          <w:lang w:val="en-GB" w:eastAsia="fr-FR"/>
        </w:rPr>
        <w:t xml:space="preserve"> </w:t>
      </w:r>
      <w:r w:rsidR="003F290E" w:rsidRPr="001922A7">
        <w:rPr>
          <w:rFonts w:eastAsia="Times New Roman"/>
          <w:lang w:val="en-GB" w:eastAsia="fr-FR"/>
        </w:rPr>
        <w:t>culminating in</w:t>
      </w:r>
      <w:r w:rsidRPr="001922A7">
        <w:rPr>
          <w:rFonts w:eastAsia="Times New Roman"/>
          <w:lang w:val="en-GB" w:eastAsia="fr-FR"/>
        </w:rPr>
        <w:t xml:space="preserve"> the decision of the Supreme Court of 14 March 2008.</w:t>
      </w:r>
    </w:p>
    <w:p w:rsidR="00E13151" w:rsidRPr="001922A7" w:rsidRDefault="00E13151" w:rsidP="00E13151">
      <w:pPr>
        <w:pStyle w:val="ECHRHeading3"/>
        <w:rPr>
          <w:lang w:val="en-GB"/>
        </w:rPr>
      </w:pPr>
      <w:r w:rsidRPr="001922A7">
        <w:rPr>
          <w:lang w:val="en-GB"/>
        </w:rPr>
        <w:t>2.  The Court</w:t>
      </w:r>
      <w:r w:rsidR="009912A8">
        <w:rPr>
          <w:lang w:val="en-GB"/>
        </w:rPr>
        <w:t>’</w:t>
      </w:r>
      <w:r w:rsidRPr="001922A7">
        <w:rPr>
          <w:lang w:val="en-GB"/>
        </w:rPr>
        <w:t>s assessment</w:t>
      </w:r>
    </w:p>
    <w:p w:rsidR="00E13151" w:rsidRPr="001922A7" w:rsidRDefault="00E13151" w:rsidP="00E13151">
      <w:pPr>
        <w:pStyle w:val="ECHRHeading4"/>
        <w:rPr>
          <w:lang w:val="en-GB"/>
        </w:rPr>
      </w:pPr>
      <w:r w:rsidRPr="001922A7">
        <w:rPr>
          <w:lang w:val="en-GB"/>
        </w:rPr>
        <w:t>(a)  General principles</w:t>
      </w:r>
    </w:p>
    <w:p w:rsidR="00235D81" w:rsidRPr="001922A7" w:rsidRDefault="00405717" w:rsidP="00FA793D">
      <w:pPr>
        <w:pStyle w:val="ECHRPara"/>
        <w:rPr>
          <w:lang w:val="en-GB"/>
        </w:rPr>
      </w:pPr>
      <w:r w:rsidRPr="001922A7">
        <w:rPr>
          <w:rFonts w:ascii="Times New Roman" w:eastAsia="Times New Roman" w:hAnsi="Times New Roman" w:cs="Times New Roman"/>
          <w:szCs w:val="20"/>
          <w:lang w:val="en-GB"/>
        </w:rPr>
        <w:fldChar w:fldCharType="begin"/>
      </w:r>
      <w:r w:rsidRPr="001922A7">
        <w:rPr>
          <w:rFonts w:ascii="Times New Roman" w:eastAsia="Times New Roman" w:hAnsi="Times New Roman" w:cs="Times New Roman"/>
          <w:szCs w:val="20"/>
          <w:lang w:val="en-GB"/>
        </w:rPr>
        <w:instrText xml:space="preserve"> SEQ level0 \*arabic </w:instrText>
      </w:r>
      <w:r w:rsidRPr="001922A7">
        <w:rPr>
          <w:rFonts w:ascii="Times New Roman" w:eastAsia="Times New Roman" w:hAnsi="Times New Roman" w:cs="Times New Roman"/>
          <w:szCs w:val="20"/>
          <w:lang w:val="en-GB"/>
        </w:rPr>
        <w:fldChar w:fldCharType="separate"/>
      </w:r>
      <w:r w:rsidR="00E15C77">
        <w:rPr>
          <w:rFonts w:ascii="Times New Roman" w:eastAsia="Times New Roman" w:hAnsi="Times New Roman" w:cs="Times New Roman"/>
          <w:noProof/>
          <w:szCs w:val="20"/>
          <w:lang w:val="en-GB"/>
        </w:rPr>
        <w:t>42</w:t>
      </w:r>
      <w:r w:rsidRPr="001922A7">
        <w:rPr>
          <w:rFonts w:ascii="Times New Roman" w:eastAsia="Times New Roman" w:hAnsi="Times New Roman" w:cs="Times New Roman"/>
          <w:szCs w:val="20"/>
          <w:lang w:val="en-GB"/>
        </w:rPr>
        <w:fldChar w:fldCharType="end"/>
      </w:r>
      <w:r w:rsidRPr="001922A7">
        <w:rPr>
          <w:rFonts w:ascii="Times New Roman" w:eastAsia="Times New Roman" w:hAnsi="Times New Roman" w:cs="Times New Roman"/>
          <w:szCs w:val="20"/>
          <w:lang w:val="en-GB"/>
        </w:rPr>
        <w:t>.  </w:t>
      </w:r>
      <w:r w:rsidR="00FA793D" w:rsidRPr="001922A7">
        <w:rPr>
          <w:rFonts w:ascii="Times New Roman" w:eastAsia="Times New Roman" w:hAnsi="Times New Roman" w:cs="Times New Roman"/>
          <w:szCs w:val="20"/>
          <w:lang w:val="en-GB"/>
        </w:rPr>
        <w:t>The Court reiterates that for Article 6 § 1 in its “civil” limb to be applicable, there must be a dispute (“</w:t>
      </w:r>
      <w:r w:rsidR="00FA793D" w:rsidRPr="001922A7">
        <w:rPr>
          <w:rFonts w:ascii="Times New Roman" w:eastAsia="Times New Roman" w:hAnsi="Times New Roman" w:cs="Times New Roman"/>
          <w:i/>
          <w:szCs w:val="20"/>
          <w:lang w:val="en-GB"/>
        </w:rPr>
        <w:t>contestation</w:t>
      </w:r>
      <w:r w:rsidR="00FA793D" w:rsidRPr="001922A7">
        <w:rPr>
          <w:rFonts w:ascii="Times New Roman" w:eastAsia="Times New Roman" w:hAnsi="Times New Roman" w:cs="Times New Roman"/>
          <w:szCs w:val="20"/>
          <w:lang w:val="en-GB"/>
        </w:rPr>
        <w:t xml:space="preserve">” in the French text) over a “right” which can be said, at least on </w:t>
      </w:r>
      <w:r w:rsidR="00041FC8" w:rsidRPr="001922A7">
        <w:rPr>
          <w:rFonts w:ascii="Times New Roman" w:eastAsia="Times New Roman" w:hAnsi="Times New Roman" w:cs="Times New Roman"/>
          <w:szCs w:val="20"/>
          <w:lang w:val="en-GB"/>
        </w:rPr>
        <w:t>arguable grounds, to be recognis</w:t>
      </w:r>
      <w:r w:rsidR="00FA793D" w:rsidRPr="001922A7">
        <w:rPr>
          <w:rFonts w:ascii="Times New Roman" w:eastAsia="Times New Roman" w:hAnsi="Times New Roman" w:cs="Times New Roman"/>
          <w:szCs w:val="20"/>
          <w:lang w:val="en-GB"/>
        </w:rPr>
        <w:t xml:space="preserve">ed under domestic law, irrespective of whether </w:t>
      </w:r>
      <w:r w:rsidR="005E5E62">
        <w:rPr>
          <w:rFonts w:ascii="Times New Roman" w:eastAsia="Times New Roman" w:hAnsi="Times New Roman" w:cs="Times New Roman"/>
          <w:szCs w:val="20"/>
          <w:lang w:val="en-GB"/>
        </w:rPr>
        <w:t xml:space="preserve">that right </w:t>
      </w:r>
      <w:r w:rsidR="00FA793D" w:rsidRPr="001922A7">
        <w:rPr>
          <w:rFonts w:ascii="Times New Roman" w:eastAsia="Times New Roman" w:hAnsi="Times New Roman" w:cs="Times New Roman"/>
          <w:szCs w:val="20"/>
          <w:lang w:val="en-GB"/>
        </w:rPr>
        <w:t xml:space="preserve">is protected under the Convention. The dispute must be genuine and serious; it may relate not only to the actual existence of a right but also to its scope and the manner of its exercise; and, finally, the result of the proceedings must be directly decisive for the right in question, mere tenuous connections or remote consequences not being sufficient to bring Article 6 § 1 into play (see, among many other authorities, </w:t>
      </w:r>
      <w:r w:rsidR="00FD36B1" w:rsidRPr="001922A7">
        <w:rPr>
          <w:rFonts w:ascii="Times New Roman" w:eastAsia="Times New Roman" w:hAnsi="Times New Roman" w:cs="Times New Roman"/>
          <w:i/>
          <w:szCs w:val="20"/>
          <w:lang w:val="en-GB" w:eastAsia="fr-FR"/>
        </w:rPr>
        <w:t>Micallef v. Malta</w:t>
      </w:r>
      <w:r w:rsidR="00FD36B1" w:rsidRPr="001922A7">
        <w:rPr>
          <w:rFonts w:ascii="Times New Roman" w:eastAsia="Times New Roman" w:hAnsi="Times New Roman" w:cs="Times New Roman"/>
          <w:szCs w:val="20"/>
          <w:lang w:val="en-GB" w:eastAsia="fr-FR"/>
        </w:rPr>
        <w:t xml:space="preserve"> [GC], no. 17056/06, § 74, ECHR 2009</w:t>
      </w:r>
      <w:r w:rsidR="004114F6">
        <w:rPr>
          <w:snapToGrid w:val="0"/>
          <w:lang w:val="en-GB"/>
        </w:rPr>
        <w:t>; and</w:t>
      </w:r>
      <w:r w:rsidR="00FD36B1" w:rsidRPr="00FD36B1">
        <w:rPr>
          <w:i/>
          <w:lang w:val="en-GB"/>
        </w:rPr>
        <w:t xml:space="preserve"> </w:t>
      </w:r>
      <w:r w:rsidR="00FD36B1" w:rsidRPr="001922A7">
        <w:rPr>
          <w:i/>
          <w:lang w:val="en-GB"/>
        </w:rPr>
        <w:t xml:space="preserve">Boulois v. Luxembourg </w:t>
      </w:r>
      <w:r w:rsidR="00FD36B1" w:rsidRPr="001922A7">
        <w:rPr>
          <w:lang w:val="en-GB"/>
        </w:rPr>
        <w:t>[GC], no. 37575/04</w:t>
      </w:r>
      <w:r w:rsidR="00FD36B1" w:rsidRPr="001922A7">
        <w:rPr>
          <w:snapToGrid w:val="0"/>
          <w:szCs w:val="24"/>
          <w:lang w:val="en-GB"/>
        </w:rPr>
        <w:t xml:space="preserve">, § 90, </w:t>
      </w:r>
      <w:r w:rsidR="00FD36B1" w:rsidRPr="001922A7">
        <w:rPr>
          <w:snapToGrid w:val="0"/>
          <w:lang w:val="en-GB"/>
        </w:rPr>
        <w:t>ECHR 2012</w:t>
      </w:r>
      <w:r w:rsidR="00FA793D" w:rsidRPr="001922A7">
        <w:rPr>
          <w:rFonts w:ascii="Times New Roman" w:eastAsia="Times New Roman" w:hAnsi="Times New Roman" w:cs="Times New Roman"/>
          <w:szCs w:val="20"/>
          <w:lang w:val="en-GB"/>
        </w:rPr>
        <w:t>).</w:t>
      </w:r>
    </w:p>
    <w:p w:rsidR="007963D0" w:rsidRPr="001922A7" w:rsidRDefault="00F45D24" w:rsidP="007963D0">
      <w:pPr>
        <w:pStyle w:val="ECHRPara"/>
        <w:rPr>
          <w:rFonts w:ascii="Times New Roman" w:eastAsia="Times New Roman" w:hAnsi="Times New Roman" w:cs="Times New Roman"/>
          <w:szCs w:val="20"/>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43</w:t>
      </w:r>
      <w:r w:rsidRPr="001922A7">
        <w:rPr>
          <w:lang w:val="en-GB"/>
        </w:rPr>
        <w:fldChar w:fldCharType="end"/>
      </w:r>
      <w:r w:rsidR="00EF7F28" w:rsidRPr="001922A7">
        <w:rPr>
          <w:lang w:val="en-GB"/>
        </w:rPr>
        <w:t>.  </w:t>
      </w:r>
      <w:r w:rsidR="005E3AE9" w:rsidRPr="001922A7">
        <w:rPr>
          <w:lang w:val="en-GB"/>
        </w:rPr>
        <w:t xml:space="preserve">In this regard, </w:t>
      </w:r>
      <w:r w:rsidR="005E3AE9" w:rsidRPr="001922A7">
        <w:rPr>
          <w:rFonts w:ascii="Times New Roman" w:eastAsia="Times New Roman" w:hAnsi="Times New Roman" w:cs="Times New Roman"/>
          <w:szCs w:val="20"/>
          <w:lang w:val="en-GB"/>
        </w:rPr>
        <w:t xml:space="preserve">the character of the legislation which governs how the matter is to be determined (civil, commercial, administrative law, and so on) and that of the authority which is invested with jurisdiction in the matter (ordinary court, administrative body, and so forth) are </w:t>
      </w:r>
      <w:r w:rsidR="005E5E62">
        <w:rPr>
          <w:rFonts w:ascii="Times New Roman" w:eastAsia="Times New Roman" w:hAnsi="Times New Roman" w:cs="Times New Roman"/>
          <w:szCs w:val="20"/>
          <w:lang w:val="en-GB"/>
        </w:rPr>
        <w:t xml:space="preserve">not of decisive </w:t>
      </w:r>
      <w:r w:rsidR="005E3AE9" w:rsidRPr="001922A7">
        <w:rPr>
          <w:rFonts w:ascii="Times New Roman" w:eastAsia="Times New Roman" w:hAnsi="Times New Roman" w:cs="Times New Roman"/>
          <w:szCs w:val="20"/>
          <w:lang w:val="en-GB"/>
        </w:rPr>
        <w:t xml:space="preserve">consequence (see </w:t>
      </w:r>
      <w:r w:rsidR="00E13D8D" w:rsidRPr="001922A7">
        <w:rPr>
          <w:rFonts w:ascii="Times New Roman" w:eastAsia="Times New Roman" w:hAnsi="Times New Roman" w:cs="Times New Roman"/>
          <w:i/>
          <w:szCs w:val="20"/>
          <w:lang w:val="en-GB" w:eastAsia="fr-FR"/>
        </w:rPr>
        <w:t>Micallef</w:t>
      </w:r>
      <w:r w:rsidR="00E13D8D" w:rsidRPr="001922A7">
        <w:rPr>
          <w:rFonts w:ascii="Times New Roman" w:eastAsia="Times New Roman" w:hAnsi="Times New Roman" w:cs="Times New Roman"/>
          <w:szCs w:val="20"/>
          <w:lang w:val="en-GB" w:eastAsia="fr-FR"/>
        </w:rPr>
        <w:t xml:space="preserve">, </w:t>
      </w:r>
      <w:r w:rsidR="004114F6">
        <w:rPr>
          <w:rFonts w:ascii="Times New Roman" w:eastAsia="Times New Roman" w:hAnsi="Times New Roman" w:cs="Times New Roman"/>
          <w:szCs w:val="20"/>
          <w:lang w:val="en-GB" w:eastAsia="fr-FR"/>
        </w:rPr>
        <w:t>cited above</w:t>
      </w:r>
      <w:r w:rsidR="00E13D8D" w:rsidRPr="001922A7">
        <w:rPr>
          <w:rFonts w:ascii="Times New Roman" w:eastAsia="Times New Roman" w:hAnsi="Times New Roman" w:cs="Times New Roman"/>
          <w:szCs w:val="20"/>
          <w:lang w:val="en-GB" w:eastAsia="fr-FR"/>
        </w:rPr>
        <w:t xml:space="preserve">, </w:t>
      </w:r>
      <w:r w:rsidR="00242B9C" w:rsidRPr="00242B9C">
        <w:rPr>
          <w:rFonts w:ascii="Times New Roman" w:eastAsia="Times New Roman" w:hAnsi="Times New Roman" w:cs="Times New Roman"/>
          <w:szCs w:val="20"/>
          <w:lang w:val="en-GB" w:eastAsia="fr-FR"/>
        </w:rPr>
        <w:t>§ 74</w:t>
      </w:r>
      <w:r w:rsidR="005E3AE9" w:rsidRPr="001922A7">
        <w:rPr>
          <w:rFonts w:ascii="Times New Roman" w:eastAsia="Times New Roman" w:hAnsi="Times New Roman" w:cs="Times New Roman"/>
          <w:szCs w:val="20"/>
          <w:lang w:val="en-GB"/>
        </w:rPr>
        <w:t>).</w:t>
      </w:r>
    </w:p>
    <w:p w:rsidR="00735315" w:rsidRPr="001922A7" w:rsidRDefault="00735315" w:rsidP="00735315">
      <w:pPr>
        <w:pStyle w:val="ECHRHeading4"/>
        <w:rPr>
          <w:lang w:val="en-GB"/>
        </w:rPr>
      </w:pPr>
      <w:r w:rsidRPr="001922A7">
        <w:rPr>
          <w:lang w:val="en-GB"/>
        </w:rPr>
        <w:t xml:space="preserve">(b)  Case-law concerning </w:t>
      </w:r>
      <w:r w:rsidR="00041FC8" w:rsidRPr="001922A7">
        <w:rPr>
          <w:lang w:val="en-GB"/>
        </w:rPr>
        <w:t xml:space="preserve">the applicability of Article 6 to </w:t>
      </w:r>
      <w:r w:rsidRPr="001922A7">
        <w:rPr>
          <w:lang w:val="en-GB"/>
        </w:rPr>
        <w:t>proceedings on extraordinary appeals</w:t>
      </w:r>
    </w:p>
    <w:p w:rsidR="0029057E" w:rsidRDefault="0029057E" w:rsidP="0029057E">
      <w:pPr>
        <w:pStyle w:val="ECHRPara"/>
        <w:rPr>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44</w:t>
      </w:r>
      <w:r w:rsidRPr="001922A7">
        <w:rPr>
          <w:lang w:val="en-GB"/>
        </w:rPr>
        <w:fldChar w:fldCharType="end"/>
      </w:r>
      <w:r w:rsidRPr="001922A7">
        <w:rPr>
          <w:lang w:val="en-GB"/>
        </w:rPr>
        <w:t>.  </w:t>
      </w:r>
      <w:r>
        <w:rPr>
          <w:lang w:val="en-GB"/>
        </w:rPr>
        <w:t xml:space="preserve">In line with the above-mentioned principles, </w:t>
      </w:r>
      <w:r w:rsidRPr="00246CFF">
        <w:rPr>
          <w:rFonts w:ascii="Times New Roman" w:eastAsia="Times New Roman" w:hAnsi="Times New Roman" w:cs="Times New Roman"/>
          <w:szCs w:val="20"/>
        </w:rPr>
        <w:t xml:space="preserve">according to long standing and established case-law, the Convention does not guarantee a right to have a </w:t>
      </w:r>
      <w:r>
        <w:rPr>
          <w:rFonts w:ascii="Times New Roman" w:eastAsia="Times New Roman" w:hAnsi="Times New Roman" w:cs="Times New Roman"/>
          <w:szCs w:val="20"/>
        </w:rPr>
        <w:t xml:space="preserve">terminated </w:t>
      </w:r>
      <w:r w:rsidRPr="00246CFF">
        <w:rPr>
          <w:rFonts w:ascii="Times New Roman" w:eastAsia="Times New Roman" w:hAnsi="Times New Roman" w:cs="Times New Roman"/>
          <w:szCs w:val="20"/>
        </w:rPr>
        <w:t>case reopened</w:t>
      </w:r>
      <w:r>
        <w:rPr>
          <w:rFonts w:ascii="Times New Roman" w:eastAsia="Times New Roman" w:hAnsi="Times New Roman" w:cs="Times New Roman"/>
          <w:szCs w:val="20"/>
        </w:rPr>
        <w:t>.</w:t>
      </w:r>
      <w:r w:rsidRPr="00246CFF">
        <w:rPr>
          <w:rFonts w:ascii="Times New Roman" w:eastAsia="Times New Roman" w:hAnsi="Times New Roman" w:cs="Times New Roman"/>
          <w:szCs w:val="20"/>
        </w:rPr>
        <w:t xml:space="preserve"> </w:t>
      </w:r>
      <w:r>
        <w:rPr>
          <w:lang w:val="en-GB"/>
        </w:rPr>
        <w:t>E</w:t>
      </w:r>
      <w:r w:rsidRPr="001922A7">
        <w:rPr>
          <w:lang w:val="en-GB"/>
        </w:rPr>
        <w:t xml:space="preserve">xtraordinary appeals </w:t>
      </w:r>
      <w:r>
        <w:rPr>
          <w:lang w:val="en-GB"/>
        </w:rPr>
        <w:t xml:space="preserve">seeking the reopening of terminated </w:t>
      </w:r>
      <w:r w:rsidR="00732D40">
        <w:rPr>
          <w:lang w:val="en-GB"/>
        </w:rPr>
        <w:t xml:space="preserve">judicial </w:t>
      </w:r>
      <w:r>
        <w:rPr>
          <w:lang w:val="en-GB"/>
        </w:rPr>
        <w:t>proceedings do not n</w:t>
      </w:r>
      <w:r w:rsidRPr="001922A7">
        <w:rPr>
          <w:lang w:val="en-GB"/>
        </w:rPr>
        <w:t>ormally</w:t>
      </w:r>
      <w:r>
        <w:rPr>
          <w:lang w:val="en-GB"/>
        </w:rPr>
        <w:t xml:space="preserve"> involve</w:t>
      </w:r>
      <w:r w:rsidRPr="001922A7">
        <w:rPr>
          <w:lang w:val="en-GB"/>
        </w:rPr>
        <w:t xml:space="preserve"> </w:t>
      </w:r>
      <w:r w:rsidR="00242B9C">
        <w:rPr>
          <w:lang w:val="en-GB"/>
        </w:rPr>
        <w:t xml:space="preserve">the </w:t>
      </w:r>
      <w:r w:rsidRPr="001922A7">
        <w:rPr>
          <w:lang w:val="en-GB"/>
        </w:rPr>
        <w:t xml:space="preserve">determination of “civil rights and obligations” or of “any criminal charge” and therefore Article 6 is deemed inapplicable to them (see, among many other authorities, </w:t>
      </w:r>
      <w:r w:rsidRPr="001922A7">
        <w:rPr>
          <w:i/>
          <w:lang w:val="en-GB"/>
        </w:rPr>
        <w:t>X. v.</w:t>
      </w:r>
      <w:r w:rsidR="003422A4">
        <w:rPr>
          <w:i/>
          <w:lang w:val="en-GB"/>
        </w:rPr>
        <w:t xml:space="preserve"> </w:t>
      </w:r>
      <w:r w:rsidRPr="001922A7">
        <w:rPr>
          <w:i/>
          <w:lang w:val="en-GB"/>
        </w:rPr>
        <w:t>Austria</w:t>
      </w:r>
      <w:r w:rsidRPr="001922A7">
        <w:rPr>
          <w:lang w:val="en-GB"/>
        </w:rPr>
        <w:t>, no. 7761/77, Commission decision of 8</w:t>
      </w:r>
      <w:r w:rsidR="003422A4">
        <w:rPr>
          <w:lang w:val="en-GB"/>
        </w:rPr>
        <w:t xml:space="preserve"> </w:t>
      </w:r>
      <w:r w:rsidRPr="001922A7">
        <w:rPr>
          <w:lang w:val="en-GB"/>
        </w:rPr>
        <w:t>May 1978, D.R. 14, p.</w:t>
      </w:r>
      <w:r w:rsidR="003422A4">
        <w:rPr>
          <w:lang w:val="en-GB"/>
        </w:rPr>
        <w:t xml:space="preserve"> </w:t>
      </w:r>
      <w:r w:rsidRPr="001922A7">
        <w:rPr>
          <w:lang w:val="en-GB"/>
        </w:rPr>
        <w:t xml:space="preserve">171; </w:t>
      </w:r>
      <w:r w:rsidRPr="001922A7">
        <w:rPr>
          <w:i/>
          <w:lang w:val="en-GB"/>
        </w:rPr>
        <w:t>Surmont and De Meurechy v.</w:t>
      </w:r>
      <w:r w:rsidR="003422A4">
        <w:rPr>
          <w:i/>
          <w:lang w:val="en-GB"/>
        </w:rPr>
        <w:t xml:space="preserve"> </w:t>
      </w:r>
      <w:r w:rsidRPr="001922A7">
        <w:rPr>
          <w:i/>
          <w:lang w:val="en-GB"/>
        </w:rPr>
        <w:t>Belgium</w:t>
      </w:r>
      <w:r w:rsidRPr="001922A7">
        <w:rPr>
          <w:lang w:val="en-GB"/>
        </w:rPr>
        <w:t>, nos.</w:t>
      </w:r>
      <w:r w:rsidR="00467320">
        <w:rPr>
          <w:lang w:val="en-GB"/>
        </w:rPr>
        <w:t> </w:t>
      </w:r>
      <w:r w:rsidRPr="001922A7">
        <w:rPr>
          <w:lang w:val="en-GB"/>
        </w:rPr>
        <w:t>13601/88 and 13602/88, Commission decision of 6</w:t>
      </w:r>
      <w:r w:rsidR="003422A4">
        <w:rPr>
          <w:lang w:val="en-GB"/>
        </w:rPr>
        <w:t xml:space="preserve"> </w:t>
      </w:r>
      <w:r w:rsidRPr="001922A7">
        <w:rPr>
          <w:lang w:val="en-GB"/>
        </w:rPr>
        <w:t>July 1989, D.R. 62, p.</w:t>
      </w:r>
      <w:r w:rsidR="00C264C5">
        <w:rPr>
          <w:lang w:val="en-GB"/>
        </w:rPr>
        <w:t xml:space="preserve"> </w:t>
      </w:r>
      <w:r w:rsidRPr="001922A7">
        <w:rPr>
          <w:lang w:val="en-GB"/>
        </w:rPr>
        <w:t xml:space="preserve">284; </w:t>
      </w:r>
      <w:r w:rsidR="00557875">
        <w:rPr>
          <w:i/>
          <w:lang w:val="en-GB"/>
        </w:rPr>
        <w:t>J.F. v. </w:t>
      </w:r>
      <w:r w:rsidRPr="001922A7">
        <w:rPr>
          <w:i/>
          <w:lang w:val="en-GB"/>
        </w:rPr>
        <w:t>France</w:t>
      </w:r>
      <w:r w:rsidRPr="001922A7">
        <w:rPr>
          <w:lang w:val="en-GB"/>
        </w:rPr>
        <w:t xml:space="preserve"> (dec.), no.</w:t>
      </w:r>
      <w:r w:rsidR="003422A4">
        <w:rPr>
          <w:lang w:val="en-GB"/>
        </w:rPr>
        <w:t xml:space="preserve"> </w:t>
      </w:r>
      <w:r w:rsidRPr="001922A7">
        <w:rPr>
          <w:lang w:val="en-GB"/>
        </w:rPr>
        <w:t>39616/98, 20</w:t>
      </w:r>
      <w:r w:rsidR="003422A4">
        <w:rPr>
          <w:lang w:val="en-GB"/>
        </w:rPr>
        <w:t xml:space="preserve"> </w:t>
      </w:r>
      <w:r w:rsidRPr="001922A7">
        <w:rPr>
          <w:lang w:val="en-GB"/>
        </w:rPr>
        <w:t xml:space="preserve">April 1999; </w:t>
      </w:r>
      <w:r w:rsidRPr="001922A7">
        <w:rPr>
          <w:i/>
          <w:lang w:val="en-GB"/>
        </w:rPr>
        <w:t>Zawadzki v.</w:t>
      </w:r>
      <w:r w:rsidR="00467320">
        <w:rPr>
          <w:i/>
          <w:lang w:val="en-GB"/>
        </w:rPr>
        <w:t> </w:t>
      </w:r>
      <w:r w:rsidRPr="001922A7">
        <w:rPr>
          <w:i/>
          <w:lang w:val="en-GB"/>
        </w:rPr>
        <w:t>Poland</w:t>
      </w:r>
      <w:r w:rsidRPr="001922A7">
        <w:rPr>
          <w:lang w:val="en-GB"/>
        </w:rPr>
        <w:t xml:space="preserve"> (dec.) no. 34158/96, 6</w:t>
      </w:r>
      <w:r w:rsidR="003422A4">
        <w:rPr>
          <w:lang w:val="en-GB"/>
        </w:rPr>
        <w:t xml:space="preserve"> </w:t>
      </w:r>
      <w:r w:rsidRPr="001922A7">
        <w:rPr>
          <w:lang w:val="en-GB"/>
        </w:rPr>
        <w:t xml:space="preserve">July 1999; </w:t>
      </w:r>
      <w:r w:rsidRPr="001922A7">
        <w:rPr>
          <w:i/>
          <w:lang w:val="en-GB"/>
        </w:rPr>
        <w:t>Sonnleit</w:t>
      </w:r>
      <w:r w:rsidR="00CD78E4">
        <w:rPr>
          <w:i/>
          <w:lang w:val="en-GB"/>
        </w:rPr>
        <w:t>n</w:t>
      </w:r>
      <w:r w:rsidRPr="001922A7">
        <w:rPr>
          <w:i/>
          <w:lang w:val="en-GB"/>
        </w:rPr>
        <w:t>er v. Austria</w:t>
      </w:r>
      <w:r w:rsidRPr="001922A7">
        <w:rPr>
          <w:lang w:val="en-GB"/>
        </w:rPr>
        <w:t xml:space="preserve"> (dec.) no.</w:t>
      </w:r>
      <w:r w:rsidR="00467320">
        <w:rPr>
          <w:lang w:val="en-GB"/>
        </w:rPr>
        <w:t> </w:t>
      </w:r>
      <w:r w:rsidRPr="001922A7">
        <w:rPr>
          <w:lang w:val="en-GB"/>
        </w:rPr>
        <w:t xml:space="preserve">34813/97, 6 January 2000; </w:t>
      </w:r>
      <w:r w:rsidRPr="001922A7">
        <w:rPr>
          <w:i/>
          <w:lang w:val="en-GB"/>
        </w:rPr>
        <w:t>Sablon v.</w:t>
      </w:r>
      <w:r w:rsidR="003422A4">
        <w:rPr>
          <w:i/>
          <w:lang w:val="en-GB"/>
        </w:rPr>
        <w:t xml:space="preserve"> </w:t>
      </w:r>
      <w:r w:rsidRPr="001922A7">
        <w:rPr>
          <w:i/>
          <w:lang w:val="en-GB"/>
        </w:rPr>
        <w:t>Belgium</w:t>
      </w:r>
      <w:r w:rsidRPr="001922A7">
        <w:rPr>
          <w:lang w:val="en-GB"/>
        </w:rPr>
        <w:t>, no. 36445/97, §</w:t>
      </w:r>
      <w:r w:rsidR="003422A4">
        <w:rPr>
          <w:lang w:val="en-GB"/>
        </w:rPr>
        <w:t xml:space="preserve"> </w:t>
      </w:r>
      <w:r w:rsidRPr="001922A7">
        <w:rPr>
          <w:lang w:val="en-GB"/>
        </w:rPr>
        <w:t xml:space="preserve">86, </w:t>
      </w:r>
      <w:r w:rsidRPr="001922A7">
        <w:rPr>
          <w:lang w:val="en-GB"/>
        </w:rPr>
        <w:lastRenderedPageBreak/>
        <w:t xml:space="preserve">10 April 2001; </w:t>
      </w:r>
      <w:r w:rsidRPr="001922A7">
        <w:rPr>
          <w:i/>
          <w:lang w:val="en-GB"/>
        </w:rPr>
        <w:t>Valentin Gorizdra v. Moldova</w:t>
      </w:r>
      <w:r w:rsidRPr="001922A7">
        <w:rPr>
          <w:lang w:val="en-GB"/>
        </w:rPr>
        <w:t xml:space="preserve"> (dec.) no. 53180/99, 2</w:t>
      </w:r>
      <w:r w:rsidR="003422A4">
        <w:rPr>
          <w:lang w:val="en-GB"/>
        </w:rPr>
        <w:t xml:space="preserve"> </w:t>
      </w:r>
      <w:r w:rsidRPr="001922A7">
        <w:rPr>
          <w:lang w:val="en-GB"/>
        </w:rPr>
        <w:t xml:space="preserve">July 2002; </w:t>
      </w:r>
      <w:r w:rsidR="00557875">
        <w:rPr>
          <w:i/>
          <w:lang w:val="en-GB"/>
        </w:rPr>
        <w:t>Kucera v. </w:t>
      </w:r>
      <w:r w:rsidRPr="001922A7">
        <w:rPr>
          <w:i/>
          <w:lang w:val="en-GB"/>
        </w:rPr>
        <w:t>Austria</w:t>
      </w:r>
      <w:r w:rsidRPr="001922A7">
        <w:rPr>
          <w:lang w:val="en-GB"/>
        </w:rPr>
        <w:t xml:space="preserve">, no. 40072/98, 3 October 2002; </w:t>
      </w:r>
      <w:r w:rsidR="008F265A" w:rsidRPr="001922A7">
        <w:rPr>
          <w:i/>
          <w:lang w:val="en-GB"/>
        </w:rPr>
        <w:t>Fischer</w:t>
      </w:r>
      <w:r w:rsidR="008F265A">
        <w:rPr>
          <w:lang w:val="en-GB"/>
        </w:rPr>
        <w:t>, cited above</w:t>
      </w:r>
      <w:r w:rsidR="000923FA">
        <w:rPr>
          <w:rFonts w:ascii="Times New Roman" w:eastAsia="Times New Roman" w:hAnsi="Times New Roman" w:cs="Times New Roman"/>
          <w:szCs w:val="24"/>
          <w:lang w:eastAsia="fr-FR"/>
        </w:rPr>
        <w:t xml:space="preserve">; </w:t>
      </w:r>
      <w:r w:rsidR="00557875">
        <w:rPr>
          <w:i/>
          <w:lang w:val="en-GB"/>
        </w:rPr>
        <w:t>Jussy v. </w:t>
      </w:r>
      <w:r w:rsidRPr="001922A7">
        <w:rPr>
          <w:i/>
          <w:lang w:val="en-GB"/>
        </w:rPr>
        <w:t>France</w:t>
      </w:r>
      <w:r w:rsidRPr="001922A7">
        <w:rPr>
          <w:lang w:val="en-GB"/>
        </w:rPr>
        <w:t>,</w:t>
      </w:r>
      <w:r w:rsidRPr="001922A7">
        <w:rPr>
          <w:i/>
          <w:lang w:val="en-GB"/>
        </w:rPr>
        <w:t xml:space="preserve"> </w:t>
      </w:r>
      <w:r w:rsidRPr="001922A7">
        <w:rPr>
          <w:lang w:val="en-GB"/>
        </w:rPr>
        <w:t>no. 42277/98, § 18, 8</w:t>
      </w:r>
      <w:r w:rsidR="003422A4">
        <w:rPr>
          <w:lang w:val="en-GB"/>
        </w:rPr>
        <w:t xml:space="preserve"> </w:t>
      </w:r>
      <w:r w:rsidRPr="001922A7">
        <w:rPr>
          <w:lang w:val="en-GB"/>
        </w:rPr>
        <w:t xml:space="preserve">April 2003; </w:t>
      </w:r>
      <w:r w:rsidRPr="001922A7">
        <w:rPr>
          <w:i/>
          <w:lang w:val="en-GB"/>
        </w:rPr>
        <w:t>Dankevich v. Ukraine</w:t>
      </w:r>
      <w:r w:rsidRPr="001922A7">
        <w:rPr>
          <w:lang w:val="en-GB"/>
        </w:rPr>
        <w:t>,</w:t>
      </w:r>
      <w:r w:rsidRPr="001922A7">
        <w:rPr>
          <w:i/>
          <w:lang w:val="en-GB"/>
        </w:rPr>
        <w:t xml:space="preserve"> </w:t>
      </w:r>
      <w:r w:rsidR="00467320">
        <w:rPr>
          <w:lang w:val="en-GB"/>
        </w:rPr>
        <w:t>no. </w:t>
      </w:r>
      <w:r w:rsidRPr="001922A7">
        <w:rPr>
          <w:lang w:val="en-GB"/>
        </w:rPr>
        <w:t xml:space="preserve">40679/98, 29 April 2003; </w:t>
      </w:r>
      <w:r w:rsidRPr="001922A7">
        <w:rPr>
          <w:i/>
          <w:lang w:val="en-GB"/>
        </w:rPr>
        <w:t>Steck-Risch and Others</w:t>
      </w:r>
      <w:r w:rsidRPr="001922A7">
        <w:rPr>
          <w:lang w:val="en-GB"/>
        </w:rPr>
        <w:t xml:space="preserve">, cited above; </w:t>
      </w:r>
      <w:r w:rsidR="00E933AB" w:rsidRPr="001922A7">
        <w:rPr>
          <w:i/>
          <w:iCs/>
          <w:lang w:val="en-GB"/>
        </w:rPr>
        <w:t>Öcalan</w:t>
      </w:r>
      <w:r w:rsidR="00E933AB" w:rsidRPr="001922A7">
        <w:rPr>
          <w:lang w:val="en-GB"/>
        </w:rPr>
        <w:t xml:space="preserve">, cited above; </w:t>
      </w:r>
      <w:r w:rsidRPr="001922A7">
        <w:rPr>
          <w:i/>
          <w:lang w:val="en-GB"/>
        </w:rPr>
        <w:t>Schelling (no. 2)</w:t>
      </w:r>
      <w:r w:rsidRPr="001922A7">
        <w:rPr>
          <w:lang w:val="en-GB"/>
        </w:rPr>
        <w:t xml:space="preserve">, cited above; </w:t>
      </w:r>
      <w:r w:rsidRPr="001922A7">
        <w:rPr>
          <w:i/>
          <w:lang w:val="en-GB"/>
        </w:rPr>
        <w:t>Hurter v.</w:t>
      </w:r>
      <w:r w:rsidR="00467320">
        <w:rPr>
          <w:i/>
          <w:lang w:val="en-GB"/>
        </w:rPr>
        <w:t> </w:t>
      </w:r>
      <w:r w:rsidRPr="001922A7">
        <w:rPr>
          <w:i/>
          <w:lang w:val="en-GB"/>
        </w:rPr>
        <w:t>Switzerland</w:t>
      </w:r>
      <w:r w:rsidR="00557875">
        <w:rPr>
          <w:lang w:val="en-GB"/>
        </w:rPr>
        <w:t xml:space="preserve"> (dec.), no. </w:t>
      </w:r>
      <w:r w:rsidRPr="001922A7">
        <w:rPr>
          <w:lang w:val="en-GB"/>
        </w:rPr>
        <w:t>48111/07, 15</w:t>
      </w:r>
      <w:r w:rsidR="003422A4">
        <w:rPr>
          <w:lang w:val="en-GB"/>
        </w:rPr>
        <w:t xml:space="preserve"> </w:t>
      </w:r>
      <w:r w:rsidRPr="001922A7">
        <w:rPr>
          <w:lang w:val="en-GB"/>
        </w:rPr>
        <w:t xml:space="preserve">May 2012; </w:t>
      </w:r>
      <w:r w:rsidRPr="001922A7">
        <w:rPr>
          <w:i/>
          <w:lang w:val="en-GB"/>
        </w:rPr>
        <w:t>Dybeku v.</w:t>
      </w:r>
      <w:r w:rsidR="003422A4">
        <w:rPr>
          <w:i/>
          <w:lang w:val="en-GB"/>
        </w:rPr>
        <w:t xml:space="preserve"> </w:t>
      </w:r>
      <w:r w:rsidRPr="001922A7">
        <w:rPr>
          <w:i/>
          <w:lang w:val="en-GB"/>
        </w:rPr>
        <w:t>Albania</w:t>
      </w:r>
      <w:r w:rsidRPr="001922A7">
        <w:rPr>
          <w:lang w:val="en-GB"/>
        </w:rPr>
        <w:t xml:space="preserve"> (dec.), no. 557/12, §</w:t>
      </w:r>
      <w:r w:rsidR="003422A4">
        <w:rPr>
          <w:lang w:val="en-GB"/>
        </w:rPr>
        <w:t xml:space="preserve"> </w:t>
      </w:r>
      <w:r w:rsidRPr="001922A7">
        <w:rPr>
          <w:lang w:val="en-GB"/>
        </w:rPr>
        <w:t>30, 11</w:t>
      </w:r>
      <w:r w:rsidR="00557875">
        <w:rPr>
          <w:lang w:val="en-GB"/>
        </w:rPr>
        <w:t> </w:t>
      </w:r>
      <w:r w:rsidRPr="001922A7">
        <w:rPr>
          <w:lang w:val="en-GB"/>
        </w:rPr>
        <w:t>March 2014).</w:t>
      </w:r>
      <w:r>
        <w:rPr>
          <w:lang w:val="en-GB"/>
        </w:rPr>
        <w:t xml:space="preserve"> This is because</w:t>
      </w:r>
      <w:r w:rsidRPr="00561A67">
        <w:rPr>
          <w:lang w:val="en-GB"/>
        </w:rPr>
        <w:t xml:space="preserve">, in so far as the matter is covered by the </w:t>
      </w:r>
      <w:r w:rsidR="000636E8">
        <w:rPr>
          <w:lang w:val="en-GB"/>
        </w:rPr>
        <w:t xml:space="preserve">principle of </w:t>
      </w:r>
      <w:r>
        <w:rPr>
          <w:i/>
          <w:lang w:val="en-GB"/>
        </w:rPr>
        <w:t>res i</w:t>
      </w:r>
      <w:r w:rsidRPr="00561A67">
        <w:rPr>
          <w:i/>
          <w:lang w:val="en-GB"/>
        </w:rPr>
        <w:t>udicata</w:t>
      </w:r>
      <w:r w:rsidRPr="00561A67">
        <w:rPr>
          <w:lang w:val="en-GB"/>
        </w:rPr>
        <w:t xml:space="preserve"> of a final judgment in national proceedings, it cannot in principle be maintained that a subsequent extraordinary </w:t>
      </w:r>
      <w:r w:rsidR="005E5E62">
        <w:rPr>
          <w:lang w:val="en-GB"/>
        </w:rPr>
        <w:t xml:space="preserve">application or </w:t>
      </w:r>
      <w:r w:rsidRPr="00561A67">
        <w:rPr>
          <w:lang w:val="en-GB"/>
        </w:rPr>
        <w:t xml:space="preserve">appeal </w:t>
      </w:r>
      <w:r>
        <w:rPr>
          <w:lang w:val="en-GB"/>
        </w:rPr>
        <w:t>seeking</w:t>
      </w:r>
      <w:r w:rsidRPr="00561A67">
        <w:rPr>
          <w:lang w:val="en-GB"/>
        </w:rPr>
        <w:t xml:space="preserve"> revision of that judgment gives rise to an arguable claim as to the existence of a right recognised under national law or that the outcome of the proceedings in which it is decided whether or not to reconsider the same case is decisive</w:t>
      </w:r>
      <w:r w:rsidRPr="00561A67">
        <w:rPr>
          <w:i/>
          <w:lang w:val="en-GB"/>
        </w:rPr>
        <w:t xml:space="preserve"> </w:t>
      </w:r>
      <w:r w:rsidRPr="00561A67">
        <w:rPr>
          <w:lang w:val="en-GB"/>
        </w:rPr>
        <w:t xml:space="preserve">for the “determination of </w:t>
      </w:r>
      <w:r w:rsidR="00E3356A">
        <w:rPr>
          <w:lang w:val="en-GB"/>
        </w:rPr>
        <w:t>...</w:t>
      </w:r>
      <w:r w:rsidRPr="00561A67">
        <w:rPr>
          <w:lang w:val="en-GB"/>
        </w:rPr>
        <w:t xml:space="preserve"> civil rights or obligations or of any criminal charge”</w:t>
      </w:r>
      <w:r>
        <w:rPr>
          <w:lang w:val="en-GB"/>
        </w:rPr>
        <w:t xml:space="preserve"> (compare and contrast with </w:t>
      </w:r>
      <w:r w:rsidRPr="00A53C0D">
        <w:rPr>
          <w:rFonts w:ascii="Times New Roman" w:eastAsia="Times New Roman" w:hAnsi="Times New Roman" w:cs="Times New Roman"/>
          <w:i/>
          <w:szCs w:val="24"/>
          <w:lang w:val="en-GB" w:eastAsia="fr-FR"/>
        </w:rPr>
        <w:t>Melis v.</w:t>
      </w:r>
      <w:r w:rsidR="003422A4">
        <w:rPr>
          <w:rFonts w:ascii="Times New Roman" w:eastAsia="Times New Roman" w:hAnsi="Times New Roman" w:cs="Times New Roman"/>
          <w:i/>
          <w:szCs w:val="24"/>
          <w:lang w:val="en-GB" w:eastAsia="fr-FR"/>
        </w:rPr>
        <w:t xml:space="preserve"> </w:t>
      </w:r>
      <w:r w:rsidRPr="00A53C0D">
        <w:rPr>
          <w:rFonts w:ascii="Times New Roman" w:eastAsia="Times New Roman" w:hAnsi="Times New Roman" w:cs="Times New Roman"/>
          <w:i/>
          <w:szCs w:val="24"/>
          <w:lang w:val="en-GB" w:eastAsia="fr-FR"/>
        </w:rPr>
        <w:t>Greece</w:t>
      </w:r>
      <w:r w:rsidR="00557875">
        <w:rPr>
          <w:rFonts w:ascii="Times New Roman" w:eastAsia="Times New Roman" w:hAnsi="Times New Roman" w:cs="Times New Roman"/>
          <w:szCs w:val="24"/>
          <w:lang w:val="en-GB" w:eastAsia="fr-FR"/>
        </w:rPr>
        <w:t>, no. </w:t>
      </w:r>
      <w:r w:rsidRPr="00A53C0D">
        <w:rPr>
          <w:rFonts w:ascii="Times New Roman" w:eastAsia="Times New Roman" w:hAnsi="Times New Roman" w:cs="Times New Roman"/>
          <w:szCs w:val="24"/>
          <w:lang w:val="en-GB" w:eastAsia="fr-FR"/>
        </w:rPr>
        <w:t>30604/07, §§ 18-20, 22 July 2010</w:t>
      </w:r>
      <w:r>
        <w:rPr>
          <w:rFonts w:ascii="Times New Roman" w:eastAsia="Times New Roman" w:hAnsi="Times New Roman" w:cs="Times New Roman"/>
          <w:szCs w:val="24"/>
          <w:lang w:val="en-GB" w:eastAsia="fr-FR"/>
        </w:rPr>
        <w:t>, which departs from the said approach)</w:t>
      </w:r>
      <w:r w:rsidRPr="00561A67">
        <w:rPr>
          <w:lang w:val="en-GB"/>
        </w:rPr>
        <w:t>.</w:t>
      </w:r>
    </w:p>
    <w:p w:rsidR="005E5E62" w:rsidRDefault="00C014AB" w:rsidP="008847BC">
      <w:pPr>
        <w:pStyle w:val="ECHRPara"/>
        <w:rPr>
          <w:rFonts w:eastAsia="Times New Roman"/>
          <w:sz w:val="20"/>
          <w:szCs w:val="20"/>
          <w:lang w:val="en-GB" w:eastAsia="fr-FR"/>
        </w:rPr>
      </w:pPr>
      <w:r w:rsidRPr="00C014AB">
        <w:rPr>
          <w:rFonts w:eastAsia="Times New Roman"/>
          <w:lang w:val="en-GB" w:eastAsia="fr-FR"/>
        </w:rPr>
        <w:fldChar w:fldCharType="begin"/>
      </w:r>
      <w:r w:rsidRPr="00C014AB">
        <w:rPr>
          <w:rFonts w:eastAsia="Times New Roman"/>
          <w:lang w:val="en-GB" w:eastAsia="fr-FR"/>
        </w:rPr>
        <w:instrText xml:space="preserve"> SEQ level0 \*arabic </w:instrText>
      </w:r>
      <w:r w:rsidRPr="00C014AB">
        <w:rPr>
          <w:rFonts w:eastAsia="Times New Roman"/>
          <w:lang w:val="en-GB" w:eastAsia="fr-FR"/>
        </w:rPr>
        <w:fldChar w:fldCharType="separate"/>
      </w:r>
      <w:r w:rsidR="00E15C77">
        <w:rPr>
          <w:rFonts w:eastAsia="Times New Roman"/>
          <w:noProof/>
          <w:lang w:val="en-GB" w:eastAsia="fr-FR"/>
        </w:rPr>
        <w:t>45</w:t>
      </w:r>
      <w:r w:rsidRPr="00C014AB">
        <w:rPr>
          <w:rFonts w:eastAsia="Times New Roman"/>
          <w:lang w:val="en-GB" w:eastAsia="fr-FR"/>
        </w:rPr>
        <w:fldChar w:fldCharType="end"/>
      </w:r>
      <w:r w:rsidRPr="00C014AB">
        <w:rPr>
          <w:rFonts w:eastAsia="Times New Roman"/>
          <w:lang w:val="en-GB" w:eastAsia="fr-FR"/>
        </w:rPr>
        <w:t>.  </w:t>
      </w:r>
      <w:r w:rsidR="001B7DAC">
        <w:rPr>
          <w:rFonts w:eastAsia="Times New Roman"/>
          <w:lang w:val="en-GB" w:eastAsia="fr-FR"/>
        </w:rPr>
        <w:t>This</w:t>
      </w:r>
      <w:r w:rsidRPr="00C014AB">
        <w:rPr>
          <w:rFonts w:eastAsia="Times New Roman"/>
          <w:lang w:val="en-GB" w:eastAsia="fr-FR"/>
        </w:rPr>
        <w:t xml:space="preserve"> approach has been followed </w:t>
      </w:r>
      <w:r>
        <w:rPr>
          <w:rFonts w:eastAsia="Times New Roman"/>
          <w:lang w:val="en-GB" w:eastAsia="fr-FR"/>
        </w:rPr>
        <w:t>also</w:t>
      </w:r>
      <w:r w:rsidRPr="00C014AB">
        <w:rPr>
          <w:rFonts w:eastAsia="Times New Roman"/>
          <w:lang w:val="en-GB" w:eastAsia="fr-FR"/>
        </w:rPr>
        <w:t xml:space="preserve"> in cases where reopening </w:t>
      </w:r>
      <w:r w:rsidR="005E5E62">
        <w:rPr>
          <w:rFonts w:eastAsia="Times New Roman"/>
          <w:lang w:val="en-GB" w:eastAsia="fr-FR"/>
        </w:rPr>
        <w:t xml:space="preserve">of terminated domestic </w:t>
      </w:r>
      <w:r w:rsidR="005F1CA0">
        <w:rPr>
          <w:rFonts w:eastAsia="Times New Roman"/>
          <w:lang w:val="en-GB" w:eastAsia="fr-FR"/>
        </w:rPr>
        <w:t xml:space="preserve">judicial </w:t>
      </w:r>
      <w:r w:rsidR="005E5E62">
        <w:rPr>
          <w:rFonts w:eastAsia="Times New Roman"/>
          <w:lang w:val="en-GB" w:eastAsia="fr-FR"/>
        </w:rPr>
        <w:t xml:space="preserve">proceedings </w:t>
      </w:r>
      <w:r w:rsidRPr="00C014AB">
        <w:rPr>
          <w:rFonts w:eastAsia="Times New Roman"/>
          <w:lang w:val="en-GB" w:eastAsia="fr-FR"/>
        </w:rPr>
        <w:t xml:space="preserve">has been sought on the ground of a finding by the Court of a </w:t>
      </w:r>
      <w:r>
        <w:rPr>
          <w:rFonts w:eastAsia="Times New Roman"/>
          <w:lang w:val="en-GB" w:eastAsia="fr-FR"/>
        </w:rPr>
        <w:t>violation of the Convention (see, for instance,</w:t>
      </w:r>
      <w:r w:rsidR="000923FA" w:rsidRPr="000923FA">
        <w:rPr>
          <w:i/>
          <w:lang w:val="en-GB"/>
        </w:rPr>
        <w:t xml:space="preserve"> </w:t>
      </w:r>
      <w:r w:rsidR="000923FA" w:rsidRPr="001922A7">
        <w:rPr>
          <w:i/>
          <w:lang w:val="en-GB"/>
        </w:rPr>
        <w:t>Fischer</w:t>
      </w:r>
      <w:r w:rsidR="000923FA">
        <w:rPr>
          <w:lang w:val="en-GB"/>
        </w:rPr>
        <w:t>, cited above</w:t>
      </w:r>
      <w:r w:rsidRPr="00C014AB">
        <w:rPr>
          <w:rFonts w:eastAsia="Times New Roman"/>
          <w:lang w:val="en-GB" w:eastAsia="fr-FR"/>
        </w:rPr>
        <w:t xml:space="preserve">). </w:t>
      </w:r>
      <w:r w:rsidR="008D4E49" w:rsidRPr="008D4E49">
        <w:rPr>
          <w:rFonts w:eastAsia="Times New Roman"/>
          <w:lang w:val="en-GB" w:eastAsia="fr-FR"/>
        </w:rPr>
        <w:t>In declaring the applicant</w:t>
      </w:r>
      <w:r w:rsidR="009912A8">
        <w:rPr>
          <w:rFonts w:eastAsia="Times New Roman"/>
          <w:lang w:val="en-GB" w:eastAsia="fr-FR"/>
        </w:rPr>
        <w:t>’</w:t>
      </w:r>
      <w:r w:rsidR="008D4E49" w:rsidRPr="008D4E49">
        <w:rPr>
          <w:rFonts w:eastAsia="Times New Roman"/>
          <w:lang w:val="en-GB" w:eastAsia="fr-FR"/>
        </w:rPr>
        <w:t xml:space="preserve">s complaint under Article 6 inadmissible in </w:t>
      </w:r>
      <w:r w:rsidR="008D4E49" w:rsidRPr="008D4E49">
        <w:rPr>
          <w:rFonts w:eastAsia="Times New Roman"/>
          <w:i/>
          <w:iCs/>
          <w:lang w:val="en-GB" w:eastAsia="fr-FR"/>
        </w:rPr>
        <w:t>Verein gegen Tierfabriken Sc</w:t>
      </w:r>
      <w:r w:rsidR="00557875">
        <w:rPr>
          <w:rFonts w:eastAsia="Times New Roman"/>
          <w:i/>
          <w:iCs/>
          <w:lang w:val="en-GB" w:eastAsia="fr-FR"/>
        </w:rPr>
        <w:t>hweiz (VgT) v. Switzerland (no. </w:t>
      </w:r>
      <w:r w:rsidR="008D4E49" w:rsidRPr="008D4E49">
        <w:rPr>
          <w:rFonts w:eastAsia="Times New Roman"/>
          <w:i/>
          <w:iCs/>
          <w:lang w:val="en-GB" w:eastAsia="fr-FR"/>
        </w:rPr>
        <w:t>2)</w:t>
      </w:r>
      <w:r w:rsidR="008D4E49" w:rsidRPr="008D4E49">
        <w:rPr>
          <w:rFonts w:eastAsia="Times New Roman"/>
          <w:lang w:val="en-GB" w:eastAsia="fr-FR"/>
        </w:rPr>
        <w:t xml:space="preserve"> (no. 32772/02, § 24, 4 October 2007), the Chamber stated:</w:t>
      </w:r>
    </w:p>
    <w:p w:rsidR="00C014AB" w:rsidRPr="00C014AB" w:rsidRDefault="00C014AB" w:rsidP="005611CC">
      <w:pPr>
        <w:pStyle w:val="ECHRParaQuote"/>
        <w:rPr>
          <w:rFonts w:eastAsia="Times New Roman"/>
          <w:lang w:val="en-GB" w:eastAsia="fr-FR"/>
        </w:rPr>
      </w:pPr>
      <w:r w:rsidRPr="00C014AB">
        <w:rPr>
          <w:rFonts w:eastAsia="Times New Roman"/>
          <w:lang w:val="en-GB" w:eastAsia="fr-FR"/>
        </w:rPr>
        <w:t>“24.  </w:t>
      </w:r>
      <w:r w:rsidR="00E3356A">
        <w:rPr>
          <w:rFonts w:eastAsia="Times New Roman"/>
          <w:lang w:val="en-GB" w:eastAsia="fr-FR"/>
        </w:rPr>
        <w:t>...</w:t>
      </w:r>
      <w:r w:rsidR="00E464C3">
        <w:rPr>
          <w:rFonts w:eastAsia="Times New Roman"/>
          <w:lang w:val="en-GB" w:eastAsia="fr-FR"/>
        </w:rPr>
        <w:t xml:space="preserve"> </w:t>
      </w:r>
      <w:r w:rsidRPr="00C014AB">
        <w:rPr>
          <w:rFonts w:eastAsia="Times New Roman"/>
          <w:lang w:val="en-GB" w:eastAsia="fr-FR"/>
        </w:rPr>
        <w:t xml:space="preserve">It is clear from its case-law that this Article is not applicable to proceedings concerning an application for a retrial or for the reopening of civil proceedings (see </w:t>
      </w:r>
      <w:r w:rsidRPr="00C014AB">
        <w:rPr>
          <w:rFonts w:eastAsia="Times New Roman"/>
          <w:i/>
          <w:lang w:val="en-GB" w:eastAsia="fr-FR"/>
        </w:rPr>
        <w:t>Sablon v. Belgium</w:t>
      </w:r>
      <w:r w:rsidRPr="00C014AB">
        <w:rPr>
          <w:rFonts w:eastAsia="Times New Roman"/>
          <w:lang w:val="en-GB" w:eastAsia="fr-FR"/>
        </w:rPr>
        <w:t xml:space="preserve">, no. 36445/97, § 86, 10 April 2001). The Court sees no reason why this reasoning should not also be applied to an application to reopen proceedings after it has found a violation of the Convention (see, in relation to a criminal case, </w:t>
      </w:r>
      <w:r w:rsidR="00E967B2">
        <w:rPr>
          <w:rFonts w:eastAsia="Times New Roman"/>
          <w:lang w:val="en-GB" w:eastAsia="fr-FR"/>
        </w:rPr>
        <w:t>[</w:t>
      </w:r>
      <w:r w:rsidRPr="00C014AB">
        <w:rPr>
          <w:rFonts w:eastAsia="Times New Roman"/>
          <w:i/>
          <w:lang w:val="en-GB" w:eastAsia="fr-FR"/>
        </w:rPr>
        <w:t>Fischer</w:t>
      </w:r>
      <w:r w:rsidR="00E967B2">
        <w:rPr>
          <w:rFonts w:eastAsia="Times New Roman"/>
          <w:lang w:val="en-GB" w:eastAsia="fr-FR"/>
        </w:rPr>
        <w:t>]</w:t>
      </w:r>
      <w:r w:rsidRPr="00C014AB">
        <w:rPr>
          <w:rFonts w:eastAsia="Times New Roman"/>
          <w:i/>
          <w:lang w:val="en-GB" w:eastAsia="fr-FR"/>
        </w:rPr>
        <w:t xml:space="preserve"> v. Austria</w:t>
      </w:r>
      <w:r w:rsidRPr="00C014AB">
        <w:rPr>
          <w:rFonts w:eastAsia="Times New Roman"/>
          <w:lang w:val="en-GB" w:eastAsia="fr-FR"/>
        </w:rPr>
        <w:t xml:space="preserve"> (dec.), no. 27569/02, ECHR 2003</w:t>
      </w:r>
      <w:r w:rsidRPr="00C014AB">
        <w:rPr>
          <w:rFonts w:eastAsia="Times New Roman"/>
          <w:lang w:val="en-GB" w:eastAsia="fr-FR"/>
        </w:rPr>
        <w:noBreakHyphen/>
        <w:t xml:space="preserve">VI). It therefore considers that the complaint under Article 6 is incompatible </w:t>
      </w:r>
      <w:r w:rsidRPr="00C014AB">
        <w:rPr>
          <w:rFonts w:eastAsia="Times New Roman"/>
          <w:i/>
          <w:lang w:val="en-GB" w:eastAsia="fr-FR"/>
        </w:rPr>
        <w:t>ratione materiae</w:t>
      </w:r>
      <w:r w:rsidRPr="00C014AB">
        <w:rPr>
          <w:rFonts w:eastAsia="Times New Roman"/>
          <w:lang w:val="en-GB" w:eastAsia="fr-FR"/>
        </w:rPr>
        <w:t xml:space="preserve"> with the provisions of the Convention.”</w:t>
      </w:r>
    </w:p>
    <w:p w:rsidR="00DE3700" w:rsidRPr="001922A7" w:rsidRDefault="00DE3700" w:rsidP="00DE3700">
      <w:pPr>
        <w:pStyle w:val="ECHRPara"/>
        <w:rPr>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46</w:t>
      </w:r>
      <w:r w:rsidRPr="001922A7">
        <w:rPr>
          <w:lang w:val="en-GB"/>
        </w:rPr>
        <w:fldChar w:fldCharType="end"/>
      </w:r>
      <w:r w:rsidRPr="001922A7">
        <w:rPr>
          <w:lang w:val="en-GB"/>
        </w:rPr>
        <w:t>.  However, should an extraordinary appeal entail or actually result in reconsider</w:t>
      </w:r>
      <w:r w:rsidR="005E5E62">
        <w:rPr>
          <w:lang w:val="en-GB"/>
        </w:rPr>
        <w:t xml:space="preserve">ing </w:t>
      </w:r>
      <w:r w:rsidRPr="001922A7">
        <w:rPr>
          <w:lang w:val="en-GB"/>
        </w:rPr>
        <w:t>the case</w:t>
      </w:r>
      <w:r w:rsidR="005E5E62">
        <w:rPr>
          <w:lang w:val="en-GB"/>
        </w:rPr>
        <w:t xml:space="preserve"> afresh</w:t>
      </w:r>
      <w:r w:rsidRPr="001922A7">
        <w:rPr>
          <w:lang w:val="en-GB"/>
        </w:rPr>
        <w:t xml:space="preserve">, Article 6 applies to the “reconsideration” proceedings in the ordinary way (see, for instance, </w:t>
      </w:r>
      <w:r w:rsidR="00D53DBD" w:rsidRPr="001922A7">
        <w:rPr>
          <w:i/>
          <w:lang w:val="en-GB"/>
        </w:rPr>
        <w:t>Sablon</w:t>
      </w:r>
      <w:r w:rsidR="00D53DBD" w:rsidRPr="001922A7">
        <w:rPr>
          <w:lang w:val="en-GB"/>
        </w:rPr>
        <w:t>, cited above, §§</w:t>
      </w:r>
      <w:r w:rsidR="00E2102F" w:rsidRPr="001922A7">
        <w:rPr>
          <w:lang w:val="en-GB"/>
        </w:rPr>
        <w:t> </w:t>
      </w:r>
      <w:r w:rsidR="00D53DBD" w:rsidRPr="001922A7">
        <w:rPr>
          <w:lang w:val="en-GB"/>
        </w:rPr>
        <w:t xml:space="preserve">88-89; </w:t>
      </w:r>
      <w:r w:rsidRPr="001922A7">
        <w:rPr>
          <w:i/>
          <w:lang w:val="en-GB"/>
        </w:rPr>
        <w:t>Vanyan v.</w:t>
      </w:r>
      <w:r w:rsidR="003422A4">
        <w:rPr>
          <w:i/>
          <w:lang w:val="en-GB"/>
        </w:rPr>
        <w:t xml:space="preserve"> </w:t>
      </w:r>
      <w:r w:rsidRPr="001922A7">
        <w:rPr>
          <w:i/>
          <w:lang w:val="en-GB"/>
        </w:rPr>
        <w:t>Russia</w:t>
      </w:r>
      <w:r w:rsidRPr="001922A7">
        <w:rPr>
          <w:lang w:val="en-GB"/>
        </w:rPr>
        <w:t>, no. 53203/99, §</w:t>
      </w:r>
      <w:r w:rsidR="003422A4">
        <w:rPr>
          <w:lang w:val="en-GB"/>
        </w:rPr>
        <w:t xml:space="preserve"> </w:t>
      </w:r>
      <w:r w:rsidRPr="001922A7">
        <w:rPr>
          <w:lang w:val="en-GB"/>
        </w:rPr>
        <w:t>56, 15</w:t>
      </w:r>
      <w:r w:rsidR="003422A4">
        <w:rPr>
          <w:lang w:val="en-GB"/>
        </w:rPr>
        <w:t xml:space="preserve"> </w:t>
      </w:r>
      <w:r w:rsidRPr="001922A7">
        <w:rPr>
          <w:lang w:val="en-GB"/>
        </w:rPr>
        <w:t>December 2005;</w:t>
      </w:r>
      <w:r w:rsidRPr="001922A7">
        <w:rPr>
          <w:i/>
          <w:lang w:val="en-GB"/>
        </w:rPr>
        <w:t xml:space="preserve"> Zasurtsev v.</w:t>
      </w:r>
      <w:r w:rsidR="003422A4">
        <w:rPr>
          <w:i/>
          <w:lang w:val="en-GB"/>
        </w:rPr>
        <w:t xml:space="preserve"> </w:t>
      </w:r>
      <w:r w:rsidRPr="001922A7">
        <w:rPr>
          <w:i/>
          <w:lang w:val="en-GB"/>
        </w:rPr>
        <w:t>Russia</w:t>
      </w:r>
      <w:r w:rsidRPr="001922A7">
        <w:rPr>
          <w:lang w:val="en-GB"/>
        </w:rPr>
        <w:t>, no. 67051/01, §</w:t>
      </w:r>
      <w:r w:rsidR="003422A4">
        <w:rPr>
          <w:lang w:val="en-GB"/>
        </w:rPr>
        <w:t xml:space="preserve"> </w:t>
      </w:r>
      <w:r w:rsidRPr="001922A7">
        <w:rPr>
          <w:lang w:val="en-GB"/>
        </w:rPr>
        <w:t>62, 27</w:t>
      </w:r>
      <w:r w:rsidR="003422A4">
        <w:rPr>
          <w:lang w:val="en-GB"/>
        </w:rPr>
        <w:t xml:space="preserve"> </w:t>
      </w:r>
      <w:r w:rsidRPr="001922A7">
        <w:rPr>
          <w:lang w:val="en-GB"/>
        </w:rPr>
        <w:t xml:space="preserve">April 2006; </w:t>
      </w:r>
      <w:r w:rsidR="001C01F0" w:rsidRPr="001922A7">
        <w:rPr>
          <w:i/>
          <w:lang w:val="en-GB"/>
        </w:rPr>
        <w:t>Alekseyenko v. Russia</w:t>
      </w:r>
      <w:r w:rsidR="001C01F0" w:rsidRPr="001922A7">
        <w:rPr>
          <w:lang w:val="en-GB"/>
        </w:rPr>
        <w:t>, no. 74266/01, §</w:t>
      </w:r>
      <w:r w:rsidR="003422A4">
        <w:rPr>
          <w:lang w:val="en-GB"/>
        </w:rPr>
        <w:t xml:space="preserve"> </w:t>
      </w:r>
      <w:r w:rsidR="001C01F0" w:rsidRPr="001922A7">
        <w:rPr>
          <w:lang w:val="en-GB"/>
        </w:rPr>
        <w:t xml:space="preserve">55, </w:t>
      </w:r>
      <w:r w:rsidR="001C01F0" w:rsidRPr="00A315F6">
        <w:rPr>
          <w:lang w:val="en-GB"/>
        </w:rPr>
        <w:t>8 January 2009</w:t>
      </w:r>
      <w:r w:rsidR="001C01F0" w:rsidRPr="001922A7">
        <w:rPr>
          <w:lang w:val="en-GB"/>
        </w:rPr>
        <w:t xml:space="preserve">; </w:t>
      </w:r>
      <w:r w:rsidRPr="001922A7">
        <w:rPr>
          <w:i/>
          <w:lang w:val="en-GB"/>
        </w:rPr>
        <w:t>Hakkar</w:t>
      </w:r>
      <w:r w:rsidR="00E2102F" w:rsidRPr="001922A7">
        <w:rPr>
          <w:lang w:val="en-GB"/>
        </w:rPr>
        <w:t>,</w:t>
      </w:r>
      <w:r w:rsidRPr="001922A7">
        <w:rPr>
          <w:lang w:val="en-GB"/>
        </w:rPr>
        <w:t xml:space="preserve"> </w:t>
      </w:r>
      <w:r w:rsidR="00724923">
        <w:rPr>
          <w:lang w:val="en-GB"/>
        </w:rPr>
        <w:t>cited above</w:t>
      </w:r>
      <w:r w:rsidRPr="001922A7">
        <w:rPr>
          <w:lang w:val="en-GB"/>
        </w:rPr>
        <w:t xml:space="preserve">; and </w:t>
      </w:r>
      <w:r w:rsidRPr="001922A7">
        <w:rPr>
          <w:i/>
          <w:lang w:val="en-GB"/>
        </w:rPr>
        <w:t>Rizi v.</w:t>
      </w:r>
      <w:r w:rsidR="003422A4">
        <w:rPr>
          <w:i/>
          <w:lang w:val="en-GB"/>
        </w:rPr>
        <w:t xml:space="preserve"> </w:t>
      </w:r>
      <w:r w:rsidRPr="001922A7">
        <w:rPr>
          <w:i/>
          <w:lang w:val="en-GB"/>
        </w:rPr>
        <w:t>Albania</w:t>
      </w:r>
      <w:r w:rsidR="000056F4">
        <w:rPr>
          <w:i/>
          <w:lang w:val="en-GB"/>
        </w:rPr>
        <w:t xml:space="preserve"> </w:t>
      </w:r>
      <w:r w:rsidR="000056F4" w:rsidRPr="001922A7">
        <w:rPr>
          <w:lang w:val="en-GB"/>
        </w:rPr>
        <w:t>(dec.)</w:t>
      </w:r>
      <w:r w:rsidRPr="001922A7">
        <w:rPr>
          <w:lang w:val="en-GB"/>
        </w:rPr>
        <w:t>, no.</w:t>
      </w:r>
      <w:r w:rsidR="003422A4">
        <w:rPr>
          <w:lang w:val="en-GB"/>
        </w:rPr>
        <w:t xml:space="preserve"> </w:t>
      </w:r>
      <w:r w:rsidRPr="001922A7">
        <w:rPr>
          <w:lang w:val="en-GB"/>
        </w:rPr>
        <w:t>49201/06, §</w:t>
      </w:r>
      <w:r w:rsidR="003422A4">
        <w:rPr>
          <w:lang w:val="en-GB"/>
        </w:rPr>
        <w:t xml:space="preserve"> </w:t>
      </w:r>
      <w:r w:rsidRPr="001922A7">
        <w:rPr>
          <w:lang w:val="en-GB"/>
        </w:rPr>
        <w:t>47, 8 November 2011).</w:t>
      </w:r>
    </w:p>
    <w:p w:rsidR="0029057E" w:rsidRDefault="0029057E" w:rsidP="0029057E">
      <w:pPr>
        <w:pStyle w:val="ECHRPara"/>
        <w:rPr>
          <w:rFonts w:ascii="Times New Roman" w:eastAsia="Times New Roman" w:hAnsi="Times New Roman" w:cs="Times New Roman"/>
          <w:snapToGrid w:val="0"/>
          <w:szCs w:val="24"/>
          <w:lang w:val="en-GB" w:eastAsia="fr-FR"/>
        </w:rPr>
      </w:pPr>
      <w:r w:rsidRPr="001922A7">
        <w:rPr>
          <w:rFonts w:ascii="Times New Roman" w:eastAsia="Times New Roman" w:hAnsi="Times New Roman" w:cs="Times New Roman"/>
          <w:szCs w:val="24"/>
          <w:lang w:val="en-GB" w:eastAsia="fr-FR"/>
        </w:rPr>
        <w:fldChar w:fldCharType="begin"/>
      </w:r>
      <w:r w:rsidRPr="001922A7">
        <w:rPr>
          <w:rFonts w:ascii="Times New Roman" w:eastAsia="Times New Roman" w:hAnsi="Times New Roman" w:cs="Times New Roman"/>
          <w:szCs w:val="24"/>
          <w:lang w:val="en-GB" w:eastAsia="fr-FR"/>
        </w:rPr>
        <w:instrText xml:space="preserve"> SEQ level0 \*arabic </w:instrText>
      </w:r>
      <w:r w:rsidRPr="001922A7">
        <w:rPr>
          <w:rFonts w:ascii="Times New Roman" w:eastAsia="Times New Roman" w:hAnsi="Times New Roman" w:cs="Times New Roman"/>
          <w:szCs w:val="24"/>
          <w:lang w:val="en-GB" w:eastAsia="fr-FR"/>
        </w:rPr>
        <w:fldChar w:fldCharType="separate"/>
      </w:r>
      <w:r w:rsidR="00E15C77">
        <w:rPr>
          <w:rFonts w:ascii="Times New Roman" w:eastAsia="Times New Roman" w:hAnsi="Times New Roman" w:cs="Times New Roman"/>
          <w:noProof/>
          <w:szCs w:val="24"/>
          <w:lang w:val="en-GB" w:eastAsia="fr-FR"/>
        </w:rPr>
        <w:t>47</w:t>
      </w:r>
      <w:r w:rsidRPr="001922A7">
        <w:rPr>
          <w:rFonts w:ascii="Times New Roman" w:eastAsia="Times New Roman" w:hAnsi="Times New Roman" w:cs="Times New Roman"/>
          <w:szCs w:val="24"/>
          <w:lang w:val="en-GB" w:eastAsia="fr-FR"/>
        </w:rPr>
        <w:fldChar w:fldCharType="end"/>
      </w:r>
      <w:r w:rsidRPr="001922A7">
        <w:rPr>
          <w:rFonts w:ascii="Times New Roman" w:eastAsia="Times New Roman" w:hAnsi="Times New Roman" w:cs="Times New Roman"/>
          <w:szCs w:val="24"/>
          <w:lang w:val="en-GB" w:eastAsia="fr-FR"/>
        </w:rPr>
        <w:t>.  </w:t>
      </w:r>
      <w:r w:rsidR="00302C37">
        <w:rPr>
          <w:rFonts w:ascii="Times New Roman" w:eastAsia="Times New Roman" w:hAnsi="Times New Roman" w:cs="Times New Roman"/>
          <w:szCs w:val="24"/>
          <w:lang w:val="en-GB" w:eastAsia="fr-FR"/>
        </w:rPr>
        <w:t xml:space="preserve">Moreover, </w:t>
      </w:r>
      <w:r w:rsidRPr="001922A7">
        <w:rPr>
          <w:rFonts w:ascii="Times New Roman" w:eastAsia="Times New Roman" w:hAnsi="Times New Roman" w:cs="Times New Roman"/>
          <w:snapToGrid w:val="0"/>
          <w:szCs w:val="24"/>
          <w:lang w:val="en-GB" w:eastAsia="fr-FR"/>
        </w:rPr>
        <w:t xml:space="preserve">Article 6 </w:t>
      </w:r>
      <w:r>
        <w:rPr>
          <w:rFonts w:ascii="Times New Roman" w:eastAsia="Times New Roman" w:hAnsi="Times New Roman" w:cs="Times New Roman"/>
          <w:snapToGrid w:val="0"/>
          <w:szCs w:val="24"/>
          <w:lang w:val="en-GB" w:eastAsia="fr-FR"/>
        </w:rPr>
        <w:t>has</w:t>
      </w:r>
      <w:r w:rsidRPr="001922A7">
        <w:rPr>
          <w:rFonts w:ascii="Times New Roman" w:eastAsia="Times New Roman" w:hAnsi="Times New Roman" w:cs="Times New Roman"/>
          <w:snapToGrid w:val="0"/>
          <w:szCs w:val="24"/>
          <w:lang w:val="en-GB" w:eastAsia="fr-FR"/>
        </w:rPr>
        <w:t xml:space="preserve"> </w:t>
      </w:r>
      <w:r w:rsidR="00302C37">
        <w:rPr>
          <w:rFonts w:ascii="Times New Roman" w:eastAsia="Times New Roman" w:hAnsi="Times New Roman" w:cs="Times New Roman"/>
          <w:snapToGrid w:val="0"/>
          <w:szCs w:val="24"/>
          <w:lang w:val="en-GB" w:eastAsia="fr-FR"/>
        </w:rPr>
        <w:t xml:space="preserve">also </w:t>
      </w:r>
      <w:r>
        <w:rPr>
          <w:rFonts w:ascii="Times New Roman" w:eastAsia="Times New Roman" w:hAnsi="Times New Roman" w:cs="Times New Roman"/>
          <w:snapToGrid w:val="0"/>
          <w:szCs w:val="24"/>
          <w:lang w:val="en-GB" w:eastAsia="fr-FR"/>
        </w:rPr>
        <w:t xml:space="preserve">been found applicable in certain instances where the </w:t>
      </w:r>
      <w:r w:rsidRPr="001922A7">
        <w:rPr>
          <w:rFonts w:ascii="Times New Roman" w:eastAsia="Times New Roman" w:hAnsi="Times New Roman" w:cs="Times New Roman"/>
          <w:snapToGrid w:val="0"/>
          <w:szCs w:val="24"/>
          <w:lang w:val="en-GB" w:eastAsia="fr-FR"/>
        </w:rPr>
        <w:t xml:space="preserve">proceedings, although characterised as “extraordinary” or “exceptional” in domestic law, </w:t>
      </w:r>
      <w:r>
        <w:rPr>
          <w:rFonts w:ascii="Times New Roman" w:eastAsia="Times New Roman" w:hAnsi="Times New Roman" w:cs="Times New Roman"/>
          <w:snapToGrid w:val="0"/>
          <w:szCs w:val="24"/>
          <w:lang w:val="en-GB" w:eastAsia="fr-FR"/>
        </w:rPr>
        <w:t>were deemed to be</w:t>
      </w:r>
      <w:r w:rsidRPr="001922A7">
        <w:rPr>
          <w:rFonts w:ascii="Times New Roman" w:eastAsia="Times New Roman" w:hAnsi="Times New Roman" w:cs="Times New Roman"/>
          <w:snapToGrid w:val="0"/>
          <w:szCs w:val="24"/>
          <w:lang w:val="en-GB" w:eastAsia="fr-FR"/>
        </w:rPr>
        <w:t xml:space="preserve"> similar in nature and scope to ordinary appeal proceedings</w:t>
      </w:r>
      <w:r>
        <w:rPr>
          <w:rFonts w:ascii="Times New Roman" w:eastAsia="Times New Roman" w:hAnsi="Times New Roman" w:cs="Times New Roman"/>
          <w:snapToGrid w:val="0"/>
          <w:szCs w:val="24"/>
          <w:lang w:val="en-GB" w:eastAsia="fr-FR"/>
        </w:rPr>
        <w:t xml:space="preserve">, the national characterisation </w:t>
      </w:r>
      <w:r w:rsidR="00302C37">
        <w:rPr>
          <w:rFonts w:ascii="Times New Roman" w:eastAsia="Times New Roman" w:hAnsi="Times New Roman" w:cs="Times New Roman"/>
          <w:snapToGrid w:val="0"/>
          <w:szCs w:val="24"/>
          <w:lang w:val="en-GB" w:eastAsia="fr-FR"/>
        </w:rPr>
        <w:t xml:space="preserve">of the proceedings </w:t>
      </w:r>
      <w:r>
        <w:rPr>
          <w:rFonts w:ascii="Times New Roman" w:eastAsia="Times New Roman" w:hAnsi="Times New Roman" w:cs="Times New Roman"/>
          <w:snapToGrid w:val="0"/>
          <w:szCs w:val="24"/>
          <w:lang w:val="en-GB" w:eastAsia="fr-FR"/>
        </w:rPr>
        <w:t xml:space="preserve">not </w:t>
      </w:r>
      <w:r w:rsidR="00302C37">
        <w:rPr>
          <w:rFonts w:ascii="Times New Roman" w:eastAsia="Times New Roman" w:hAnsi="Times New Roman" w:cs="Times New Roman"/>
          <w:snapToGrid w:val="0"/>
          <w:szCs w:val="24"/>
          <w:lang w:val="en-GB" w:eastAsia="fr-FR"/>
        </w:rPr>
        <w:t xml:space="preserve">being </w:t>
      </w:r>
      <w:r>
        <w:rPr>
          <w:rFonts w:ascii="Times New Roman" w:eastAsia="Times New Roman" w:hAnsi="Times New Roman" w:cs="Times New Roman"/>
          <w:snapToGrid w:val="0"/>
          <w:szCs w:val="24"/>
          <w:lang w:val="en-GB" w:eastAsia="fr-FR"/>
        </w:rPr>
        <w:t>regarded as decisive for the issue of applicability.</w:t>
      </w:r>
    </w:p>
    <w:p w:rsidR="0029057E" w:rsidRPr="008847BC" w:rsidRDefault="00C32160" w:rsidP="008847BC">
      <w:pPr>
        <w:pStyle w:val="ECHRPara"/>
      </w:pPr>
      <w:r>
        <w:fldChar w:fldCharType="begin"/>
      </w:r>
      <w:r>
        <w:instrText xml:space="preserve"> SEQ level0 \*arabic </w:instrText>
      </w:r>
      <w:r>
        <w:fldChar w:fldCharType="separate"/>
      </w:r>
      <w:r w:rsidR="00E15C77">
        <w:rPr>
          <w:noProof/>
        </w:rPr>
        <w:t>48</w:t>
      </w:r>
      <w:r>
        <w:rPr>
          <w:noProof/>
        </w:rPr>
        <w:fldChar w:fldCharType="end"/>
      </w:r>
      <w:r w:rsidR="0029057E" w:rsidRPr="008847BC">
        <w:t xml:space="preserve">.  Thus, in </w:t>
      </w:r>
      <w:r w:rsidR="0029057E" w:rsidRPr="008A6E18">
        <w:rPr>
          <w:i/>
        </w:rPr>
        <w:t>San Leonard Band Club v.</w:t>
      </w:r>
      <w:r w:rsidR="008847BC" w:rsidRPr="008A6E18">
        <w:rPr>
          <w:i/>
        </w:rPr>
        <w:t xml:space="preserve"> </w:t>
      </w:r>
      <w:r w:rsidR="0029057E" w:rsidRPr="008A6E18">
        <w:rPr>
          <w:i/>
        </w:rPr>
        <w:t>Malta</w:t>
      </w:r>
      <w:r w:rsidR="0029057E" w:rsidRPr="008847BC">
        <w:t xml:space="preserve"> (no. 77562/01, §§ 41-48, ECHR</w:t>
      </w:r>
      <w:r w:rsidR="008847BC">
        <w:t xml:space="preserve"> </w:t>
      </w:r>
      <w:r w:rsidR="0029057E" w:rsidRPr="008847BC">
        <w:t>2004 IX), Article</w:t>
      </w:r>
      <w:r w:rsidR="003422A4" w:rsidRPr="008847BC">
        <w:t xml:space="preserve"> </w:t>
      </w:r>
      <w:r w:rsidR="0029057E" w:rsidRPr="008847BC">
        <w:t xml:space="preserve">6 was held to be applicable to proceedings </w:t>
      </w:r>
      <w:r w:rsidR="0029057E" w:rsidRPr="008847BC">
        <w:lastRenderedPageBreak/>
        <w:t xml:space="preserve">concerning a request for a new trial. The Court reasoned that the request was similar to an appeal on points of law before a court of cassation, the Maltese authorities did not exercise any discretionary power </w:t>
      </w:r>
      <w:r w:rsidR="005E5E62" w:rsidRPr="008847BC">
        <w:t>but</w:t>
      </w:r>
      <w:r w:rsidR="0029057E" w:rsidRPr="008847BC">
        <w:t xml:space="preserve"> were required to give a ruling on the request, and the outcome of the new trial procedure was decisive for the applicant company</w:t>
      </w:r>
      <w:r w:rsidR="009912A8">
        <w:t>’</w:t>
      </w:r>
      <w:r w:rsidR="0029057E" w:rsidRPr="008847BC">
        <w:t>s “civil rights and obligations”.</w:t>
      </w:r>
    </w:p>
    <w:p w:rsidR="002035C6" w:rsidRDefault="0029057E" w:rsidP="008847BC">
      <w:pPr>
        <w:pStyle w:val="ECHRPara"/>
        <w:rPr>
          <w:rFonts w:eastAsia="Times New Roman"/>
          <w:snapToGrid w:val="0"/>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49</w:t>
      </w:r>
      <w:r w:rsidRPr="001922A7">
        <w:rPr>
          <w:rFonts w:eastAsia="Times New Roman"/>
          <w:lang w:val="en-GB" w:eastAsia="fr-FR"/>
        </w:rPr>
        <w:fldChar w:fldCharType="end"/>
      </w:r>
      <w:r w:rsidRPr="001922A7">
        <w:rPr>
          <w:rFonts w:eastAsia="Times New Roman"/>
          <w:lang w:val="en-GB" w:eastAsia="fr-FR"/>
        </w:rPr>
        <w:t>.  </w:t>
      </w:r>
      <w:r>
        <w:rPr>
          <w:rFonts w:eastAsia="Times New Roman"/>
          <w:lang w:val="en-GB" w:eastAsia="fr-FR"/>
        </w:rPr>
        <w:t>Similarly, i</w:t>
      </w:r>
      <w:r w:rsidRPr="001922A7">
        <w:rPr>
          <w:rFonts w:eastAsia="Times New Roman"/>
          <w:lang w:val="en-GB" w:eastAsia="fr-FR"/>
        </w:rPr>
        <w:t xml:space="preserve">n </w:t>
      </w:r>
      <w:r w:rsidR="00AA7A26">
        <w:rPr>
          <w:rFonts w:eastAsia="Times New Roman"/>
          <w:i/>
          <w:lang w:val="en-GB" w:eastAsia="fr-FR"/>
        </w:rPr>
        <w:t xml:space="preserve">Maresti v. </w:t>
      </w:r>
      <w:r w:rsidRPr="001922A7">
        <w:rPr>
          <w:rFonts w:eastAsia="Times New Roman"/>
          <w:i/>
          <w:lang w:val="en-GB" w:eastAsia="fr-FR"/>
        </w:rPr>
        <w:t>Croatia</w:t>
      </w:r>
      <w:r w:rsidRPr="001922A7">
        <w:rPr>
          <w:rFonts w:eastAsia="Times New Roman"/>
          <w:lang w:val="en-GB" w:eastAsia="fr-FR"/>
        </w:rPr>
        <w:t xml:space="preserve"> (no. 55759/07</w:t>
      </w:r>
      <w:r>
        <w:rPr>
          <w:rFonts w:eastAsia="Times New Roman"/>
          <w:snapToGrid w:val="0"/>
          <w:lang w:val="en-GB" w:eastAsia="fr-FR"/>
        </w:rPr>
        <w:t>, 25</w:t>
      </w:r>
      <w:r w:rsidR="003422A4">
        <w:rPr>
          <w:rFonts w:eastAsia="Times New Roman"/>
          <w:snapToGrid w:val="0"/>
          <w:lang w:val="en-GB" w:eastAsia="fr-FR"/>
        </w:rPr>
        <w:t xml:space="preserve"> </w:t>
      </w:r>
      <w:r>
        <w:rPr>
          <w:rFonts w:eastAsia="Times New Roman"/>
          <w:snapToGrid w:val="0"/>
          <w:lang w:val="en-GB" w:eastAsia="fr-FR"/>
        </w:rPr>
        <w:t>June 2009)</w:t>
      </w:r>
      <w:r w:rsidRPr="001922A7">
        <w:rPr>
          <w:rFonts w:eastAsia="Times New Roman"/>
          <w:snapToGrid w:val="0"/>
          <w:lang w:val="en-GB" w:eastAsia="fr-FR"/>
        </w:rPr>
        <w:t xml:space="preserve"> the Court </w:t>
      </w:r>
      <w:r>
        <w:rPr>
          <w:rFonts w:eastAsia="Times New Roman"/>
          <w:snapToGrid w:val="0"/>
          <w:lang w:val="en-GB" w:eastAsia="fr-FR"/>
        </w:rPr>
        <w:t>found</w:t>
      </w:r>
      <w:r w:rsidRPr="001922A7">
        <w:rPr>
          <w:rFonts w:eastAsia="Times New Roman"/>
          <w:snapToGrid w:val="0"/>
          <w:lang w:val="en-GB" w:eastAsia="fr-FR"/>
        </w:rPr>
        <w:t xml:space="preserve"> that proceedings concerning a request for extraordinary review of a final judgment in a criminal case fell within the scope of Article 6. </w:t>
      </w:r>
      <w:r w:rsidR="0000110F">
        <w:rPr>
          <w:rFonts w:eastAsia="Times New Roman"/>
          <w:snapToGrid w:val="0"/>
          <w:lang w:val="en-GB" w:eastAsia="fr-FR"/>
        </w:rPr>
        <w:t>In examining the nature and</w:t>
      </w:r>
      <w:r w:rsidRPr="00CD72C7">
        <w:rPr>
          <w:rFonts w:eastAsia="Times New Roman"/>
          <w:snapToGrid w:val="0"/>
          <w:szCs w:val="24"/>
          <w:lang w:val="en-GB" w:eastAsia="fr-FR"/>
        </w:rPr>
        <w:t xml:space="preserve"> specific features of those proceedings</w:t>
      </w:r>
      <w:r w:rsidR="0000110F">
        <w:rPr>
          <w:rFonts w:eastAsia="Times New Roman"/>
          <w:snapToGrid w:val="0"/>
          <w:szCs w:val="24"/>
          <w:lang w:val="en-GB" w:eastAsia="fr-FR"/>
        </w:rPr>
        <w:t>,</w:t>
      </w:r>
      <w:r w:rsidRPr="00CD72C7">
        <w:rPr>
          <w:rFonts w:eastAsia="Times New Roman"/>
          <w:snapToGrid w:val="0"/>
          <w:szCs w:val="24"/>
          <w:lang w:val="en-GB" w:eastAsia="fr-FR"/>
        </w:rPr>
        <w:t xml:space="preserve"> </w:t>
      </w:r>
      <w:r w:rsidR="0000110F">
        <w:rPr>
          <w:rFonts w:eastAsia="Times New Roman"/>
          <w:snapToGrid w:val="0"/>
          <w:szCs w:val="24"/>
          <w:lang w:val="en-GB" w:eastAsia="fr-FR"/>
        </w:rPr>
        <w:t>i</w:t>
      </w:r>
      <w:r w:rsidRPr="00CD72C7">
        <w:rPr>
          <w:rFonts w:eastAsia="Times New Roman"/>
          <w:snapToGrid w:val="0"/>
          <w:szCs w:val="24"/>
          <w:lang w:val="en-GB" w:eastAsia="fr-FR"/>
        </w:rPr>
        <w:t>t noted that</w:t>
      </w:r>
      <w:r w:rsidRPr="00CD72C7">
        <w:rPr>
          <w:rFonts w:eastAsia="Times New Roman"/>
          <w:szCs w:val="24"/>
          <w:lang w:eastAsia="fr-FR"/>
        </w:rPr>
        <w:t xml:space="preserve"> </w:t>
      </w:r>
      <w:r w:rsidR="00CD72C7">
        <w:rPr>
          <w:rFonts w:eastAsia="Times New Roman"/>
          <w:szCs w:val="24"/>
          <w:lang w:eastAsia="fr-FR"/>
        </w:rPr>
        <w:t xml:space="preserve">the </w:t>
      </w:r>
      <w:r w:rsidR="00A1628D" w:rsidRPr="00A1628D">
        <w:rPr>
          <w:rFonts w:eastAsia="Times New Roman"/>
          <w:szCs w:val="24"/>
          <w:lang w:val="en-GB" w:eastAsia="fr-FR"/>
        </w:rPr>
        <w:t>request for extraordinary review</w:t>
      </w:r>
      <w:r w:rsidR="00CD72C7">
        <w:rPr>
          <w:rFonts w:eastAsia="Times New Roman"/>
          <w:szCs w:val="24"/>
          <w:lang w:eastAsia="fr-FR"/>
        </w:rPr>
        <w:t xml:space="preserve"> was available to the defendant for </w:t>
      </w:r>
      <w:r w:rsidR="00CD72C7" w:rsidRPr="00CD72C7">
        <w:rPr>
          <w:rFonts w:eastAsia="Times New Roman"/>
          <w:szCs w:val="24"/>
          <w:lang w:val="en-GB" w:eastAsia="fr-FR"/>
        </w:rPr>
        <w:t>strictly limited errors of law that operate</w:t>
      </w:r>
      <w:r w:rsidR="0000110F">
        <w:rPr>
          <w:rFonts w:eastAsia="Times New Roman"/>
          <w:szCs w:val="24"/>
          <w:lang w:val="en-GB" w:eastAsia="fr-FR"/>
        </w:rPr>
        <w:t>d</w:t>
      </w:r>
      <w:r w:rsidR="00CD72C7" w:rsidRPr="00CD72C7">
        <w:rPr>
          <w:rFonts w:eastAsia="Times New Roman"/>
          <w:szCs w:val="24"/>
          <w:lang w:val="en-GB" w:eastAsia="fr-FR"/>
        </w:rPr>
        <w:t xml:space="preserve"> to the </w:t>
      </w:r>
      <w:r w:rsidR="00CD72C7" w:rsidRPr="002035C6">
        <w:rPr>
          <w:rFonts w:eastAsia="Times New Roman"/>
          <w:szCs w:val="24"/>
          <w:lang w:val="en-GB" w:eastAsia="fr-FR"/>
        </w:rPr>
        <w:t>defendant</w:t>
      </w:r>
      <w:r w:rsidR="009912A8">
        <w:rPr>
          <w:rFonts w:eastAsia="Times New Roman"/>
          <w:szCs w:val="24"/>
          <w:lang w:val="en-GB" w:eastAsia="fr-FR"/>
        </w:rPr>
        <w:t>’</w:t>
      </w:r>
      <w:r w:rsidR="00CD72C7" w:rsidRPr="002035C6">
        <w:rPr>
          <w:rFonts w:eastAsia="Times New Roman"/>
          <w:szCs w:val="24"/>
          <w:lang w:val="en-GB" w:eastAsia="fr-FR"/>
        </w:rPr>
        <w:t xml:space="preserve">s detriment, </w:t>
      </w:r>
      <w:r w:rsidR="0000110F">
        <w:rPr>
          <w:rFonts w:eastAsia="Times New Roman"/>
          <w:szCs w:val="24"/>
          <w:lang w:val="en-GB" w:eastAsia="fr-FR"/>
        </w:rPr>
        <w:t xml:space="preserve">the request </w:t>
      </w:r>
      <w:r w:rsidR="00CD72C7" w:rsidRPr="002035C6">
        <w:rPr>
          <w:rFonts w:eastAsia="Times New Roman"/>
          <w:szCs w:val="24"/>
          <w:lang w:val="en-GB" w:eastAsia="fr-FR"/>
        </w:rPr>
        <w:t>had to be lodged within a strict</w:t>
      </w:r>
      <w:r w:rsidR="002035C6" w:rsidRPr="002035C6">
        <w:rPr>
          <w:rFonts w:eastAsia="Times New Roman"/>
          <w:szCs w:val="24"/>
          <w:lang w:val="en-GB" w:eastAsia="fr-FR"/>
        </w:rPr>
        <w:t xml:space="preserve"> one-month time limit following the service of the </w:t>
      </w:r>
      <w:r w:rsidR="002035C6">
        <w:rPr>
          <w:rFonts w:eastAsia="Times New Roman"/>
          <w:szCs w:val="24"/>
          <w:lang w:val="en-GB" w:eastAsia="fr-FR"/>
        </w:rPr>
        <w:t>appeal court</w:t>
      </w:r>
      <w:r w:rsidR="009912A8">
        <w:rPr>
          <w:rFonts w:eastAsia="Times New Roman"/>
          <w:szCs w:val="24"/>
          <w:lang w:val="en-GB" w:eastAsia="fr-FR"/>
        </w:rPr>
        <w:t>’</w:t>
      </w:r>
      <w:r w:rsidR="002035C6">
        <w:rPr>
          <w:rFonts w:eastAsia="Times New Roman"/>
          <w:szCs w:val="24"/>
          <w:lang w:val="en-GB" w:eastAsia="fr-FR"/>
        </w:rPr>
        <w:t xml:space="preserve">s </w:t>
      </w:r>
      <w:r w:rsidR="002035C6" w:rsidRPr="002035C6">
        <w:rPr>
          <w:rFonts w:eastAsia="Times New Roman"/>
          <w:szCs w:val="24"/>
          <w:lang w:val="en-GB" w:eastAsia="fr-FR"/>
        </w:rPr>
        <w:t>judgment on the defendant</w:t>
      </w:r>
      <w:r w:rsidR="002035C6">
        <w:rPr>
          <w:rFonts w:eastAsia="Times New Roman"/>
          <w:szCs w:val="24"/>
          <w:lang w:val="en-GB" w:eastAsia="fr-FR"/>
        </w:rPr>
        <w:t>,</w:t>
      </w:r>
      <w:r w:rsidR="00CD72C7" w:rsidRPr="002035C6">
        <w:rPr>
          <w:rFonts w:eastAsia="Times New Roman"/>
          <w:szCs w:val="24"/>
          <w:lang w:val="en-GB" w:eastAsia="fr-FR"/>
        </w:rPr>
        <w:t xml:space="preserve"> </w:t>
      </w:r>
      <w:r w:rsidR="002035C6">
        <w:rPr>
          <w:rFonts w:eastAsia="Times New Roman"/>
          <w:szCs w:val="24"/>
          <w:lang w:val="en-GB" w:eastAsia="fr-FR"/>
        </w:rPr>
        <w:t xml:space="preserve">and </w:t>
      </w:r>
      <w:r w:rsidR="002035C6" w:rsidRPr="002035C6">
        <w:rPr>
          <w:rFonts w:eastAsia="Times New Roman"/>
          <w:szCs w:val="24"/>
          <w:lang w:val="en-GB" w:eastAsia="fr-FR"/>
        </w:rPr>
        <w:t xml:space="preserve">reasons justifying extraordinary review </w:t>
      </w:r>
      <w:r w:rsidR="002035C6">
        <w:rPr>
          <w:rFonts w:eastAsia="Times New Roman"/>
          <w:szCs w:val="24"/>
          <w:lang w:val="en-GB" w:eastAsia="fr-FR"/>
        </w:rPr>
        <w:t>were</w:t>
      </w:r>
      <w:r w:rsidR="002035C6" w:rsidRPr="002035C6">
        <w:rPr>
          <w:rFonts w:eastAsia="Times New Roman"/>
          <w:szCs w:val="24"/>
          <w:lang w:val="en-GB" w:eastAsia="fr-FR"/>
        </w:rPr>
        <w:t xml:space="preserve"> expressly enumerated in the </w:t>
      </w:r>
      <w:r w:rsidR="002035C6">
        <w:rPr>
          <w:rFonts w:eastAsia="Times New Roman"/>
          <w:szCs w:val="24"/>
          <w:lang w:val="en-GB" w:eastAsia="fr-FR"/>
        </w:rPr>
        <w:t xml:space="preserve">Croatian </w:t>
      </w:r>
      <w:r w:rsidR="002035C6" w:rsidRPr="002035C6">
        <w:rPr>
          <w:rFonts w:eastAsia="Times New Roman"/>
          <w:szCs w:val="24"/>
          <w:lang w:val="en-GB" w:eastAsia="fr-FR"/>
        </w:rPr>
        <w:t xml:space="preserve">Code of Criminal Procedure and </w:t>
      </w:r>
      <w:r w:rsidR="002035C6">
        <w:rPr>
          <w:rFonts w:eastAsia="Times New Roman"/>
          <w:szCs w:val="24"/>
          <w:lang w:val="en-GB" w:eastAsia="fr-FR"/>
        </w:rPr>
        <w:t>we</w:t>
      </w:r>
      <w:r w:rsidR="002035C6" w:rsidRPr="002035C6">
        <w:rPr>
          <w:rFonts w:eastAsia="Times New Roman"/>
          <w:szCs w:val="24"/>
          <w:lang w:val="en-GB" w:eastAsia="fr-FR"/>
        </w:rPr>
        <w:t xml:space="preserve">re not subject to any discretionary decision </w:t>
      </w:r>
      <w:r w:rsidR="005E5E62">
        <w:rPr>
          <w:rFonts w:eastAsia="Times New Roman"/>
          <w:szCs w:val="24"/>
          <w:lang w:val="en-GB" w:eastAsia="fr-FR"/>
        </w:rPr>
        <w:t xml:space="preserve">on the part </w:t>
      </w:r>
      <w:r w:rsidR="002035C6" w:rsidRPr="002035C6">
        <w:rPr>
          <w:rFonts w:eastAsia="Times New Roman"/>
          <w:szCs w:val="24"/>
          <w:lang w:val="en-GB" w:eastAsia="fr-FR"/>
        </w:rPr>
        <w:t xml:space="preserve">of the </w:t>
      </w:r>
      <w:r w:rsidR="00CD72C7" w:rsidRPr="008140E5">
        <w:rPr>
          <w:rFonts w:eastAsia="Times New Roman"/>
          <w:snapToGrid w:val="0"/>
          <w:lang w:eastAsia="fr-FR"/>
        </w:rPr>
        <w:t>Croatian Supreme Court</w:t>
      </w:r>
      <w:r w:rsidR="002035C6">
        <w:rPr>
          <w:rFonts w:eastAsia="Times New Roman"/>
          <w:snapToGrid w:val="0"/>
          <w:szCs w:val="24"/>
          <w:lang w:eastAsia="fr-FR"/>
        </w:rPr>
        <w:t xml:space="preserve">. The Court further observed that </w:t>
      </w:r>
      <w:r w:rsidR="00A1628D">
        <w:rPr>
          <w:rFonts w:eastAsia="Times New Roman"/>
          <w:snapToGrid w:val="0"/>
          <w:szCs w:val="24"/>
          <w:lang w:eastAsia="fr-FR"/>
        </w:rPr>
        <w:t xml:space="preserve">the </w:t>
      </w:r>
      <w:r w:rsidR="00A1628D" w:rsidRPr="00A1628D">
        <w:rPr>
          <w:rFonts w:eastAsia="Times New Roman"/>
          <w:snapToGrid w:val="0"/>
          <w:szCs w:val="24"/>
          <w:lang w:val="en-GB" w:eastAsia="fr-FR"/>
        </w:rPr>
        <w:t xml:space="preserve">request for extraordinary review </w:t>
      </w:r>
      <w:r w:rsidR="00981724" w:rsidRPr="00981724">
        <w:rPr>
          <w:rFonts w:eastAsia="Times New Roman"/>
          <w:snapToGrid w:val="0"/>
          <w:szCs w:val="24"/>
          <w:lang w:val="en-GB" w:eastAsia="fr-FR"/>
        </w:rPr>
        <w:t>ha</w:t>
      </w:r>
      <w:r w:rsidR="00981724">
        <w:rPr>
          <w:rFonts w:eastAsia="Times New Roman"/>
          <w:snapToGrid w:val="0"/>
          <w:szCs w:val="24"/>
          <w:lang w:val="en-GB" w:eastAsia="fr-FR"/>
        </w:rPr>
        <w:t>d</w:t>
      </w:r>
      <w:r w:rsidR="00981724" w:rsidRPr="00981724">
        <w:rPr>
          <w:rFonts w:eastAsia="Times New Roman"/>
          <w:snapToGrid w:val="0"/>
          <w:szCs w:val="24"/>
          <w:lang w:val="en-GB" w:eastAsia="fr-FR"/>
        </w:rPr>
        <w:t xml:space="preserve"> its equivalent in </w:t>
      </w:r>
      <w:r w:rsidR="00B95C29">
        <w:rPr>
          <w:rFonts w:eastAsia="Times New Roman"/>
          <w:snapToGrid w:val="0"/>
          <w:szCs w:val="24"/>
          <w:lang w:val="en-GB" w:eastAsia="fr-FR"/>
        </w:rPr>
        <w:t xml:space="preserve">Croatian </w:t>
      </w:r>
      <w:r w:rsidR="00981724" w:rsidRPr="00981724">
        <w:rPr>
          <w:rFonts w:eastAsia="Times New Roman"/>
          <w:snapToGrid w:val="0"/>
          <w:szCs w:val="24"/>
          <w:lang w:val="en-GB" w:eastAsia="fr-FR"/>
        </w:rPr>
        <w:t>civil proceedings in the form of an appeal on points of law</w:t>
      </w:r>
      <w:r w:rsidR="00981724">
        <w:rPr>
          <w:rFonts w:eastAsia="Times New Roman"/>
          <w:snapToGrid w:val="0"/>
          <w:szCs w:val="24"/>
          <w:lang w:val="en-GB" w:eastAsia="fr-FR"/>
        </w:rPr>
        <w:t xml:space="preserve"> in civil cases, to which </w:t>
      </w:r>
      <w:r w:rsidR="00981724">
        <w:rPr>
          <w:rFonts w:eastAsia="Times New Roman"/>
          <w:snapToGrid w:val="0"/>
          <w:lang w:val="en-GB" w:eastAsia="fr-FR"/>
        </w:rPr>
        <w:t xml:space="preserve">Article 6 </w:t>
      </w:r>
      <w:r w:rsidR="00B30139">
        <w:rPr>
          <w:rFonts w:eastAsia="Times New Roman"/>
          <w:snapToGrid w:val="0"/>
          <w:lang w:val="en-GB" w:eastAsia="fr-FR"/>
        </w:rPr>
        <w:t>applied</w:t>
      </w:r>
      <w:r w:rsidR="00981724">
        <w:rPr>
          <w:rFonts w:eastAsia="Times New Roman"/>
          <w:snapToGrid w:val="0"/>
          <w:lang w:val="en-GB" w:eastAsia="fr-FR"/>
        </w:rPr>
        <w:t xml:space="preserve"> (see paragraphs 25-28 of the above-mentioned judgment).</w:t>
      </w:r>
    </w:p>
    <w:p w:rsidR="001B4C2E" w:rsidRDefault="005E5E62" w:rsidP="008847BC">
      <w:pPr>
        <w:pStyle w:val="ECHRPara"/>
        <w:rPr>
          <w:rFonts w:eastAsia="Times New Roman"/>
          <w:snapToGrid w:val="0"/>
          <w:lang w:val="en-GB" w:eastAsia="fr-FR"/>
        </w:rPr>
      </w:pPr>
      <w:r>
        <w:rPr>
          <w:rFonts w:eastAsia="Times New Roman"/>
          <w:snapToGrid w:val="0"/>
          <w:lang w:val="en-GB" w:eastAsia="fr-FR"/>
        </w:rPr>
        <w:fldChar w:fldCharType="begin"/>
      </w:r>
      <w:r>
        <w:rPr>
          <w:rFonts w:eastAsia="Times New Roman"/>
          <w:snapToGrid w:val="0"/>
          <w:lang w:val="en-GB" w:eastAsia="fr-FR"/>
        </w:rPr>
        <w:instrText xml:space="preserve"> SEQ level0 \*arabic </w:instrText>
      </w:r>
      <w:r>
        <w:rPr>
          <w:rFonts w:eastAsia="Times New Roman"/>
          <w:snapToGrid w:val="0"/>
          <w:lang w:val="en-GB" w:eastAsia="fr-FR"/>
        </w:rPr>
        <w:fldChar w:fldCharType="separate"/>
      </w:r>
      <w:r w:rsidR="00E15C77">
        <w:rPr>
          <w:rFonts w:eastAsia="Times New Roman"/>
          <w:noProof/>
          <w:snapToGrid w:val="0"/>
          <w:lang w:val="en-GB" w:eastAsia="fr-FR"/>
        </w:rPr>
        <w:t>50</w:t>
      </w:r>
      <w:r>
        <w:rPr>
          <w:rFonts w:eastAsia="Times New Roman"/>
          <w:snapToGrid w:val="0"/>
          <w:lang w:val="en-GB" w:eastAsia="fr-FR"/>
        </w:rPr>
        <w:fldChar w:fldCharType="end"/>
      </w:r>
      <w:r>
        <w:rPr>
          <w:rFonts w:eastAsia="Times New Roman"/>
          <w:snapToGrid w:val="0"/>
          <w:lang w:val="en-GB" w:eastAsia="fr-FR"/>
        </w:rPr>
        <w:t xml:space="preserve">.  In sum, while Article 6 § 1 is not normally </w:t>
      </w:r>
      <w:r w:rsidR="00AB3E3A">
        <w:rPr>
          <w:rFonts w:eastAsia="Times New Roman"/>
          <w:snapToGrid w:val="0"/>
          <w:lang w:val="en-GB" w:eastAsia="fr-FR"/>
        </w:rPr>
        <w:t xml:space="preserve">applicable to extraordinary appeals seeking the reopening of terminated </w:t>
      </w:r>
      <w:r w:rsidR="00742117">
        <w:rPr>
          <w:rFonts w:eastAsia="Times New Roman"/>
          <w:snapToGrid w:val="0"/>
          <w:lang w:val="en-GB" w:eastAsia="fr-FR"/>
        </w:rPr>
        <w:t xml:space="preserve">judicial </w:t>
      </w:r>
      <w:r w:rsidR="00AB3E3A">
        <w:rPr>
          <w:rFonts w:eastAsia="Times New Roman"/>
          <w:snapToGrid w:val="0"/>
          <w:lang w:val="en-GB" w:eastAsia="fr-FR"/>
        </w:rPr>
        <w:t>proceedings, the nature, scope and specific features of the proceedings on a given extraordinary appeal in the particular legal system concerned may be such as to bring the proceedings on that kind of appeal within the ambit of Article 6 § 1 and of the safeguards of a fair trial that it affords to litigants. The Court must accordingly examine the nature, scope and specific features of the exceptional appeal at issue in the instant case.</w:t>
      </w:r>
    </w:p>
    <w:p w:rsidR="002005CE" w:rsidRPr="001922A7" w:rsidRDefault="00735315" w:rsidP="00735315">
      <w:pPr>
        <w:pStyle w:val="ECHRHeading4"/>
        <w:rPr>
          <w:lang w:val="en-GB"/>
        </w:rPr>
      </w:pPr>
      <w:r w:rsidRPr="001922A7">
        <w:rPr>
          <w:lang w:val="en-GB"/>
        </w:rPr>
        <w:t>(c)  </w:t>
      </w:r>
      <w:r w:rsidRPr="001922A7">
        <w:rPr>
          <w:rFonts w:ascii="Times New Roman" w:eastAsia="Times New Roman" w:hAnsi="Times New Roman" w:cs="Times New Roman"/>
          <w:szCs w:val="20"/>
          <w:lang w:val="en-GB"/>
        </w:rPr>
        <w:t>Application of the above principles to the present case</w:t>
      </w:r>
    </w:p>
    <w:p w:rsidR="00FD0B91" w:rsidRPr="001922A7" w:rsidRDefault="00FD0B91" w:rsidP="008847BC">
      <w:pPr>
        <w:pStyle w:val="ECHRPara"/>
        <w:rPr>
          <w:rFonts w:eastAsia="Times New Roman"/>
          <w:lang w:val="en-GB" w:eastAsia="fr-FR"/>
        </w:rPr>
      </w:pPr>
      <w:r w:rsidRPr="001922A7">
        <w:rPr>
          <w:rFonts w:eastAsia="Times New Roman"/>
          <w:snapToGrid w:val="0"/>
          <w:lang w:val="en-GB" w:eastAsia="fr-FR"/>
        </w:rPr>
        <w:fldChar w:fldCharType="begin"/>
      </w:r>
      <w:r w:rsidRPr="001922A7">
        <w:rPr>
          <w:rFonts w:eastAsia="Times New Roman"/>
          <w:snapToGrid w:val="0"/>
          <w:lang w:val="en-GB" w:eastAsia="fr-FR"/>
        </w:rPr>
        <w:instrText xml:space="preserve"> SEQ level0 \*arabic </w:instrText>
      </w:r>
      <w:r w:rsidRPr="001922A7">
        <w:rPr>
          <w:rFonts w:eastAsia="Times New Roman"/>
          <w:snapToGrid w:val="0"/>
          <w:lang w:val="en-GB" w:eastAsia="fr-FR"/>
        </w:rPr>
        <w:fldChar w:fldCharType="separate"/>
      </w:r>
      <w:r w:rsidR="00E15C77">
        <w:rPr>
          <w:rFonts w:eastAsia="Times New Roman"/>
          <w:noProof/>
          <w:snapToGrid w:val="0"/>
          <w:lang w:val="en-GB" w:eastAsia="fr-FR"/>
        </w:rPr>
        <w:t>51</w:t>
      </w:r>
      <w:r w:rsidRPr="001922A7">
        <w:rPr>
          <w:rFonts w:eastAsia="Times New Roman"/>
          <w:snapToGrid w:val="0"/>
          <w:lang w:val="en-GB" w:eastAsia="fr-FR"/>
        </w:rPr>
        <w:fldChar w:fldCharType="end"/>
      </w:r>
      <w:r w:rsidRPr="001922A7">
        <w:rPr>
          <w:rFonts w:eastAsia="Times New Roman"/>
          <w:snapToGrid w:val="0"/>
          <w:lang w:val="en-GB" w:eastAsia="fr-FR"/>
        </w:rPr>
        <w:t xml:space="preserve">.  Turning </w:t>
      </w:r>
      <w:r>
        <w:rPr>
          <w:rFonts w:eastAsia="Times New Roman"/>
          <w:snapToGrid w:val="0"/>
          <w:lang w:val="en-GB" w:eastAsia="fr-FR"/>
        </w:rPr>
        <w:t xml:space="preserve">therefore </w:t>
      </w:r>
      <w:r w:rsidRPr="001922A7">
        <w:rPr>
          <w:rFonts w:eastAsia="Times New Roman"/>
          <w:snapToGrid w:val="0"/>
          <w:lang w:val="en-GB" w:eastAsia="fr-FR"/>
        </w:rPr>
        <w:t xml:space="preserve">to the concrete circumstances of the present case, </w:t>
      </w:r>
      <w:r>
        <w:rPr>
          <w:rFonts w:eastAsia="Times New Roman"/>
          <w:snapToGrid w:val="0"/>
          <w:lang w:val="en-GB" w:eastAsia="fr-FR"/>
        </w:rPr>
        <w:t>the Court notes that at the relevant time the Code of Civil Procedure guaranteed to parties to proceedings that had already terminated in a cassation decision “</w:t>
      </w:r>
      <w:r w:rsidRPr="000D4182">
        <w:rPr>
          <w:rFonts w:eastAsia="Times New Roman"/>
          <w:snapToGrid w:val="0"/>
          <w:lang w:val="en-GB" w:eastAsia="fr-FR"/>
        </w:rPr>
        <w:t>the right</w:t>
      </w:r>
      <w:r>
        <w:rPr>
          <w:rFonts w:eastAsia="Times New Roman"/>
          <w:i/>
          <w:snapToGrid w:val="0"/>
          <w:lang w:val="en-GB" w:eastAsia="fr-FR"/>
        </w:rPr>
        <w:t xml:space="preserve"> </w:t>
      </w:r>
      <w:r>
        <w:rPr>
          <w:rFonts w:eastAsia="Times New Roman"/>
          <w:snapToGrid w:val="0"/>
          <w:lang w:val="en-GB" w:eastAsia="fr-FR"/>
        </w:rPr>
        <w:t xml:space="preserve">to challenge before the Supreme Court </w:t>
      </w:r>
      <w:r w:rsidR="00E3356A">
        <w:rPr>
          <w:rFonts w:eastAsia="Times New Roman"/>
          <w:snapToGrid w:val="0"/>
          <w:lang w:val="en-GB" w:eastAsia="fr-FR"/>
        </w:rPr>
        <w:t>...</w:t>
      </w:r>
      <w:r>
        <w:rPr>
          <w:rFonts w:eastAsia="Times New Roman"/>
          <w:snapToGrid w:val="0"/>
          <w:lang w:val="en-GB" w:eastAsia="fr-FR"/>
        </w:rPr>
        <w:t xml:space="preserve"> judicial decisions in civil cases </w:t>
      </w:r>
      <w:r w:rsidRPr="005F496F">
        <w:rPr>
          <w:rFonts w:eastAsia="Times New Roman"/>
          <w:snapToGrid w:val="0"/>
          <w:lang w:val="en-GB" w:eastAsia="fr-FR"/>
        </w:rPr>
        <w:t>in the light of exceptional circumstances</w:t>
      </w:r>
      <w:r>
        <w:rPr>
          <w:rFonts w:eastAsia="Times New Roman"/>
          <w:snapToGrid w:val="0"/>
          <w:lang w:val="en-GB" w:eastAsia="fr-FR"/>
        </w:rPr>
        <w:t xml:space="preserve">” (Article 353, the introductory article in the part of the Code dealing with exceptional appeals – text set out at paragraph 24 above). By virtue of the following provision in the Code (Article 354 § 1 – text also set out at paragraph 24 above), </w:t>
      </w:r>
      <w:r w:rsidRPr="005F496F">
        <w:rPr>
          <w:rFonts w:eastAsia="Times New Roman"/>
          <w:snapToGrid w:val="0"/>
          <w:lang w:val="en-GB" w:eastAsia="fr-FR"/>
        </w:rPr>
        <w:t>“a finding by an international judicial authority, whose jurisdiction has been recognised by Ukraine, that a [domestic] judicial decision violated the international commitments of Ukraine”</w:t>
      </w:r>
      <w:r>
        <w:rPr>
          <w:rFonts w:eastAsia="Times New Roman"/>
          <w:snapToGrid w:val="0"/>
          <w:lang w:val="en-GB" w:eastAsia="fr-FR"/>
        </w:rPr>
        <w:t xml:space="preserve"> was one of the two grounds on which could be brought such an exceptional appeal</w:t>
      </w:r>
      <w:r w:rsidRPr="005F496F">
        <w:rPr>
          <w:rFonts w:eastAsia="Times New Roman"/>
          <w:snapToGrid w:val="0"/>
          <w:lang w:val="en-GB" w:eastAsia="fr-FR"/>
        </w:rPr>
        <w:t xml:space="preserve">. </w:t>
      </w:r>
      <w:r w:rsidR="00557875">
        <w:rPr>
          <w:rFonts w:eastAsia="Times New Roman"/>
          <w:snapToGrid w:val="0"/>
          <w:lang w:val="en-GB" w:eastAsia="fr-FR"/>
        </w:rPr>
        <w:t>Article </w:t>
      </w:r>
      <w:r w:rsidRPr="001922A7">
        <w:rPr>
          <w:rFonts w:eastAsia="Times New Roman"/>
          <w:snapToGrid w:val="0"/>
          <w:lang w:val="en-GB" w:eastAsia="fr-FR"/>
        </w:rPr>
        <w:t>357</w:t>
      </w:r>
      <w:r>
        <w:rPr>
          <w:rFonts w:eastAsia="Times New Roman"/>
          <w:snapToGrid w:val="0"/>
          <w:lang w:val="en-GB" w:eastAsia="fr-FR"/>
        </w:rPr>
        <w:t xml:space="preserve"> (ibid.) further defined “examination of a case in the light of </w:t>
      </w:r>
      <w:r>
        <w:rPr>
          <w:rFonts w:eastAsia="Times New Roman"/>
          <w:snapToGrid w:val="0"/>
          <w:lang w:val="en-GB" w:eastAsia="fr-FR"/>
        </w:rPr>
        <w:lastRenderedPageBreak/>
        <w:t xml:space="preserve">exceptional circumstances” </w:t>
      </w:r>
      <w:r w:rsidRPr="00F17FD6">
        <w:rPr>
          <w:rFonts w:eastAsia="Times New Roman"/>
          <w:snapToGrid w:val="0"/>
          <w:lang w:val="en-GB" w:eastAsia="fr-FR"/>
        </w:rPr>
        <w:t>as being “a kind of cassation procedure”, with the Supreme Court having the same powers of review as it had in cassation proceedings and the</w:t>
      </w:r>
      <w:r>
        <w:rPr>
          <w:rFonts w:eastAsia="Times New Roman"/>
          <w:snapToGrid w:val="0"/>
          <w:lang w:val="en-GB" w:eastAsia="fr-FR"/>
        </w:rPr>
        <w:t xml:space="preserve"> exceptional</w:t>
      </w:r>
      <w:r w:rsidRPr="00F17FD6">
        <w:rPr>
          <w:rFonts w:eastAsia="Times New Roman"/>
          <w:snapToGrid w:val="0"/>
          <w:lang w:val="en-GB" w:eastAsia="fr-FR"/>
        </w:rPr>
        <w:t xml:space="preserve"> appeal being subject to the same procedure as in cassation appeals. The Supreme Court</w:t>
      </w:r>
      <w:r w:rsidR="009912A8">
        <w:rPr>
          <w:rFonts w:eastAsia="Times New Roman"/>
          <w:snapToGrid w:val="0"/>
          <w:lang w:val="en-GB" w:eastAsia="fr-FR"/>
        </w:rPr>
        <w:t>’</w:t>
      </w:r>
      <w:r w:rsidRPr="00F17FD6">
        <w:rPr>
          <w:rFonts w:eastAsia="Times New Roman"/>
          <w:snapToGrid w:val="0"/>
          <w:lang w:val="en-GB" w:eastAsia="fr-FR"/>
        </w:rPr>
        <w:t xml:space="preserve">s powers of disposal of </w:t>
      </w:r>
      <w:r>
        <w:rPr>
          <w:rFonts w:eastAsia="Times New Roman"/>
          <w:snapToGrid w:val="0"/>
          <w:lang w:val="en-GB" w:eastAsia="fr-FR"/>
        </w:rPr>
        <w:t xml:space="preserve">an exceptional appeal </w:t>
      </w:r>
      <w:r w:rsidRPr="00F17FD6">
        <w:rPr>
          <w:rFonts w:eastAsia="Times New Roman"/>
          <w:snapToGrid w:val="0"/>
          <w:lang w:val="en-GB" w:eastAsia="fr-FR"/>
        </w:rPr>
        <w:t xml:space="preserve">were </w:t>
      </w:r>
      <w:r>
        <w:rPr>
          <w:rFonts w:eastAsia="Times New Roman"/>
          <w:snapToGrid w:val="0"/>
          <w:lang w:val="en-GB" w:eastAsia="fr-FR"/>
        </w:rPr>
        <w:t xml:space="preserve">likewise </w:t>
      </w:r>
      <w:r w:rsidRPr="00F17FD6">
        <w:rPr>
          <w:rFonts w:eastAsia="Times New Roman"/>
          <w:snapToGrid w:val="0"/>
          <w:lang w:val="en-GB" w:eastAsia="fr-FR"/>
        </w:rPr>
        <w:t>comparable to those it possessed in cassation appeals.</w:t>
      </w:r>
      <w:r w:rsidRPr="001922A7">
        <w:rPr>
          <w:rFonts w:eastAsia="Times New Roman"/>
          <w:snapToGrid w:val="0"/>
          <w:lang w:val="en-GB" w:eastAsia="fr-FR"/>
        </w:rPr>
        <w:t xml:space="preserve"> </w:t>
      </w:r>
      <w:r>
        <w:rPr>
          <w:rFonts w:eastAsia="Times New Roman"/>
          <w:snapToGrid w:val="0"/>
          <w:lang w:val="en-GB" w:eastAsia="fr-FR"/>
        </w:rPr>
        <w:t xml:space="preserve">Thus, the exceptional-appeal proceedings </w:t>
      </w:r>
      <w:r w:rsidRPr="001922A7">
        <w:rPr>
          <w:rFonts w:eastAsia="Times New Roman"/>
          <w:lang w:val="en-GB" w:eastAsia="fr-FR"/>
        </w:rPr>
        <w:t xml:space="preserve">could result in one of the </w:t>
      </w:r>
      <w:r>
        <w:rPr>
          <w:rFonts w:eastAsia="Times New Roman"/>
          <w:lang w:val="en-GB" w:eastAsia="fr-FR"/>
        </w:rPr>
        <w:t xml:space="preserve">different types of </w:t>
      </w:r>
      <w:r w:rsidRPr="001922A7">
        <w:rPr>
          <w:rFonts w:eastAsia="Times New Roman"/>
          <w:lang w:val="en-GB" w:eastAsia="fr-FR"/>
        </w:rPr>
        <w:t xml:space="preserve">decisions set out in Article 358 of the Code, </w:t>
      </w:r>
      <w:r>
        <w:rPr>
          <w:rFonts w:eastAsia="Times New Roman"/>
          <w:lang w:val="en-GB" w:eastAsia="fr-FR"/>
        </w:rPr>
        <w:t>in particular in a decision “</w:t>
      </w:r>
      <w:r w:rsidRPr="00B65A3E">
        <w:rPr>
          <w:rFonts w:eastAsia="Times New Roman"/>
          <w:lang w:val="en-GB" w:eastAsia="fr-FR"/>
        </w:rPr>
        <w:t xml:space="preserve">to dismiss an appeal and to leave </w:t>
      </w:r>
      <w:r>
        <w:rPr>
          <w:rFonts w:eastAsia="Times New Roman"/>
          <w:lang w:val="en-GB" w:eastAsia="fr-FR"/>
        </w:rPr>
        <w:t>[the contested]</w:t>
      </w:r>
      <w:r w:rsidRPr="00B65A3E">
        <w:rPr>
          <w:rFonts w:eastAsia="Times New Roman"/>
          <w:lang w:val="en-GB" w:eastAsia="fr-FR"/>
        </w:rPr>
        <w:t xml:space="preserve"> decision </w:t>
      </w:r>
      <w:r>
        <w:rPr>
          <w:rFonts w:eastAsia="Times New Roman"/>
          <w:lang w:val="en-GB" w:eastAsia="fr-FR"/>
        </w:rPr>
        <w:t>unchanged”, “</w:t>
      </w:r>
      <w:r w:rsidRPr="00644EF6">
        <w:rPr>
          <w:rFonts w:eastAsia="Times New Roman"/>
          <w:lang w:val="en-GB" w:eastAsia="fr-FR"/>
        </w:rPr>
        <w:t xml:space="preserve">to quash, in full or in part, </w:t>
      </w:r>
      <w:r w:rsidRPr="00DA6BC0">
        <w:rPr>
          <w:rFonts w:eastAsia="Times New Roman"/>
          <w:lang w:val="en-GB" w:eastAsia="fr-FR"/>
        </w:rPr>
        <w:t>[the contested]</w:t>
      </w:r>
      <w:r w:rsidRPr="00644EF6">
        <w:rPr>
          <w:rFonts w:eastAsia="Times New Roman"/>
          <w:lang w:val="en-GB" w:eastAsia="fr-FR"/>
        </w:rPr>
        <w:t xml:space="preserve"> judicial decision and to remit the case for fresh consideration</w:t>
      </w:r>
      <w:r>
        <w:rPr>
          <w:rFonts w:eastAsia="Times New Roman"/>
          <w:lang w:val="en-GB" w:eastAsia="fr-FR"/>
        </w:rPr>
        <w:t xml:space="preserve"> to the [competent lower court]”, “</w:t>
      </w:r>
      <w:r w:rsidRPr="00644EF6">
        <w:rPr>
          <w:rFonts w:eastAsia="Times New Roman"/>
          <w:lang w:val="en-GB" w:eastAsia="fr-FR"/>
        </w:rPr>
        <w:t xml:space="preserve">to quash </w:t>
      </w:r>
      <w:r>
        <w:rPr>
          <w:rFonts w:eastAsia="Times New Roman"/>
          <w:lang w:val="en-GB" w:eastAsia="fr-FR"/>
        </w:rPr>
        <w:t>[the contested]</w:t>
      </w:r>
      <w:r w:rsidRPr="00644EF6">
        <w:rPr>
          <w:rFonts w:eastAsia="Times New Roman"/>
          <w:lang w:val="en-GB" w:eastAsia="fr-FR"/>
        </w:rPr>
        <w:t xml:space="preserve"> decision of the court of appeal or of the court of cassation and to uphold a decision which was wrongly quashed</w:t>
      </w:r>
      <w:r>
        <w:rPr>
          <w:rFonts w:eastAsia="Times New Roman"/>
          <w:lang w:val="en-GB" w:eastAsia="fr-FR"/>
        </w:rPr>
        <w:t>”, or “</w:t>
      </w:r>
      <w:r w:rsidRPr="00B65A3E">
        <w:rPr>
          <w:rFonts w:eastAsia="Times New Roman"/>
          <w:lang w:val="en-GB" w:eastAsia="fr-FR"/>
        </w:rPr>
        <w:t xml:space="preserve">to amend </w:t>
      </w:r>
      <w:r>
        <w:rPr>
          <w:rFonts w:eastAsia="Times New Roman"/>
          <w:lang w:val="en-GB" w:eastAsia="fr-FR"/>
        </w:rPr>
        <w:t>[the contested]</w:t>
      </w:r>
      <w:r w:rsidRPr="00B65A3E">
        <w:rPr>
          <w:rFonts w:eastAsia="Times New Roman"/>
          <w:lang w:val="en-GB" w:eastAsia="fr-FR"/>
        </w:rPr>
        <w:t xml:space="preserve"> decision or </w:t>
      </w:r>
      <w:r w:rsidRPr="00644EF6">
        <w:rPr>
          <w:rFonts w:eastAsia="Times New Roman"/>
          <w:lang w:val="en-GB" w:eastAsia="fr-FR"/>
        </w:rPr>
        <w:t>to adopt a new decision on the merits of the case</w:t>
      </w:r>
      <w:r>
        <w:rPr>
          <w:rFonts w:eastAsia="Times New Roman"/>
          <w:lang w:val="en-GB" w:eastAsia="fr-FR"/>
        </w:rPr>
        <w:t xml:space="preserve">” </w:t>
      </w:r>
      <w:r w:rsidRPr="001922A7">
        <w:rPr>
          <w:rFonts w:eastAsia="Times New Roman"/>
          <w:lang w:val="en-GB" w:eastAsia="fr-FR"/>
        </w:rPr>
        <w:t>(ibid.).</w:t>
      </w:r>
    </w:p>
    <w:p w:rsidR="00FD0B91" w:rsidRPr="001922A7" w:rsidRDefault="00FD0B91" w:rsidP="008847BC">
      <w:pPr>
        <w:pStyle w:val="ECHRPara"/>
        <w:rPr>
          <w:rFonts w:eastAsia="Times New Roman"/>
          <w:snapToGrid w:val="0"/>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52</w:t>
      </w:r>
      <w:r w:rsidRPr="001922A7">
        <w:rPr>
          <w:rFonts w:eastAsia="Times New Roman"/>
          <w:lang w:val="en-GB" w:eastAsia="fr-FR"/>
        </w:rPr>
        <w:fldChar w:fldCharType="end"/>
      </w:r>
      <w:r w:rsidRPr="001922A7">
        <w:rPr>
          <w:rFonts w:eastAsia="Times New Roman"/>
          <w:lang w:val="en-GB" w:eastAsia="fr-FR"/>
        </w:rPr>
        <w:t>.  </w:t>
      </w:r>
      <w:r>
        <w:rPr>
          <w:rFonts w:eastAsia="Times New Roman"/>
          <w:lang w:val="en-GB" w:eastAsia="fr-FR"/>
        </w:rPr>
        <w:t>For the purposes of this Court</w:t>
      </w:r>
      <w:r w:rsidR="009912A8">
        <w:rPr>
          <w:rFonts w:eastAsia="Times New Roman"/>
          <w:lang w:val="en-GB" w:eastAsia="fr-FR"/>
        </w:rPr>
        <w:t>’</w:t>
      </w:r>
      <w:r>
        <w:rPr>
          <w:rFonts w:eastAsia="Times New Roman"/>
          <w:lang w:val="en-GB" w:eastAsia="fr-FR"/>
        </w:rPr>
        <w:t xml:space="preserve">s examination of </w:t>
      </w:r>
      <w:r>
        <w:rPr>
          <w:rFonts w:eastAsia="Times New Roman"/>
          <w:snapToGrid w:val="0"/>
          <w:lang w:val="en-GB" w:eastAsia="fr-FR"/>
        </w:rPr>
        <w:t>t</w:t>
      </w:r>
      <w:r w:rsidRPr="00007EAE">
        <w:rPr>
          <w:rFonts w:eastAsia="Times New Roman"/>
          <w:snapToGrid w:val="0"/>
          <w:lang w:val="en-GB" w:eastAsia="fr-FR"/>
        </w:rPr>
        <w:t xml:space="preserve">he nature and scope of </w:t>
      </w:r>
      <w:r w:rsidRPr="00B91B15">
        <w:rPr>
          <w:rFonts w:eastAsia="Times New Roman"/>
          <w:snapToGrid w:val="0"/>
          <w:lang w:val="en-GB" w:eastAsia="fr-FR"/>
        </w:rPr>
        <w:t xml:space="preserve">the </w:t>
      </w:r>
      <w:r>
        <w:rPr>
          <w:rFonts w:eastAsia="Times New Roman"/>
          <w:snapToGrid w:val="0"/>
          <w:lang w:val="en-GB" w:eastAsia="fr-FR"/>
        </w:rPr>
        <w:t xml:space="preserve">remedy exercised by the applicant </w:t>
      </w:r>
      <w:r w:rsidRPr="00B91B15">
        <w:rPr>
          <w:rFonts w:eastAsia="Times New Roman"/>
          <w:snapToGrid w:val="0"/>
          <w:lang w:val="en-GB" w:eastAsia="fr-FR"/>
        </w:rPr>
        <w:t>under the Code of Civil Procedure</w:t>
      </w:r>
      <w:r>
        <w:rPr>
          <w:rFonts w:eastAsia="Times New Roman"/>
          <w:snapToGrid w:val="0"/>
          <w:lang w:val="en-GB" w:eastAsia="fr-FR"/>
        </w:rPr>
        <w:t xml:space="preserve">, the background legislative context, represented by </w:t>
      </w:r>
      <w:r w:rsidRPr="00007EAE">
        <w:rPr>
          <w:rFonts w:eastAsia="Times New Roman"/>
          <w:snapToGrid w:val="0"/>
          <w:lang w:val="en-GB" w:eastAsia="fr-FR"/>
        </w:rPr>
        <w:t xml:space="preserve">the provisions of the 2006 Act </w:t>
      </w:r>
      <w:r>
        <w:rPr>
          <w:rFonts w:eastAsia="Times New Roman"/>
          <w:snapToGrid w:val="0"/>
          <w:lang w:val="en-GB" w:eastAsia="fr-FR"/>
        </w:rPr>
        <w:t>on the Enforcement of Judgments and the Application of the Case-Law of the European Court of Human Rights, is also capable of being of some relevance (see paragraph 25 above, which sets out the relevant parts of that Act). In particular, section 10(3)(a) of the 2006 Act states that “[t]he previous legal status of the Beneficiary” – that is, the successful applicant before this Court – “</w:t>
      </w:r>
      <w:r w:rsidRPr="00E538E8">
        <w:rPr>
          <w:rFonts w:eastAsia="Times New Roman"/>
          <w:snapToGrid w:val="0"/>
          <w:lang w:val="en-GB" w:eastAsia="fr-FR"/>
        </w:rPr>
        <w:t>i</w:t>
      </w:r>
      <w:r w:rsidRPr="00FE0A85">
        <w:rPr>
          <w:rFonts w:eastAsia="Times New Roman"/>
          <w:snapToGrid w:val="0"/>
          <w:lang w:val="en-GB" w:eastAsia="fr-FR"/>
        </w:rPr>
        <w:t>s</w:t>
      </w:r>
      <w:r w:rsidRPr="000D4182">
        <w:rPr>
          <w:rFonts w:eastAsia="Times New Roman"/>
          <w:snapToGrid w:val="0"/>
          <w:lang w:val="en-GB" w:eastAsia="fr-FR"/>
        </w:rPr>
        <w:t xml:space="preserve"> to be</w:t>
      </w:r>
      <w:r>
        <w:rPr>
          <w:rFonts w:eastAsia="Times New Roman"/>
          <w:i/>
          <w:snapToGrid w:val="0"/>
          <w:lang w:val="en-GB" w:eastAsia="fr-FR"/>
        </w:rPr>
        <w:t xml:space="preserve"> </w:t>
      </w:r>
      <w:r>
        <w:rPr>
          <w:rFonts w:eastAsia="Times New Roman"/>
          <w:snapToGrid w:val="0"/>
          <w:lang w:val="en-GB" w:eastAsia="fr-FR"/>
        </w:rPr>
        <w:t xml:space="preserve">restored, </w:t>
      </w:r>
      <w:r w:rsidRPr="000D4182">
        <w:rPr>
          <w:rFonts w:eastAsia="Times New Roman"/>
          <w:snapToGrid w:val="0"/>
          <w:lang w:val="en-GB" w:eastAsia="fr-FR"/>
        </w:rPr>
        <w:t>inter</w:t>
      </w:r>
      <w:r>
        <w:rPr>
          <w:rFonts w:eastAsia="Times New Roman"/>
          <w:i/>
          <w:snapToGrid w:val="0"/>
          <w:lang w:val="en-GB" w:eastAsia="fr-FR"/>
        </w:rPr>
        <w:t xml:space="preserve"> </w:t>
      </w:r>
      <w:r w:rsidRPr="0061516F">
        <w:rPr>
          <w:rFonts w:eastAsia="Times New Roman"/>
          <w:snapToGrid w:val="0"/>
          <w:lang w:val="en-GB" w:eastAsia="fr-FR"/>
        </w:rPr>
        <w:t>alia</w:t>
      </w:r>
      <w:r>
        <w:rPr>
          <w:rFonts w:eastAsia="Times New Roman"/>
          <w:snapToGrid w:val="0"/>
          <w:lang w:val="en-GB" w:eastAsia="fr-FR"/>
        </w:rPr>
        <w:t xml:space="preserve">, by means of a reconsideration of the case by a court, including reopening of the proceedings in that case” (ibid.). </w:t>
      </w:r>
      <w:r w:rsidRPr="00743F7F">
        <w:rPr>
          <w:rFonts w:eastAsia="Times New Roman"/>
          <w:snapToGrid w:val="0"/>
          <w:lang w:val="en-GB" w:eastAsia="fr-FR"/>
        </w:rPr>
        <w:t>Moreover</w:t>
      </w:r>
      <w:r w:rsidRPr="00644EF6">
        <w:rPr>
          <w:rFonts w:eastAsia="Times New Roman"/>
          <w:snapToGrid w:val="0"/>
          <w:lang w:val="en-GB" w:eastAsia="fr-FR"/>
        </w:rPr>
        <w:t xml:space="preserve">, according </w:t>
      </w:r>
      <w:r w:rsidRPr="001922A7">
        <w:rPr>
          <w:rFonts w:eastAsia="Times New Roman"/>
          <w:snapToGrid w:val="0"/>
          <w:lang w:val="en-GB" w:eastAsia="fr-FR"/>
        </w:rPr>
        <w:t xml:space="preserve">to section 11 § 1 (a) of the same Act, </w:t>
      </w:r>
      <w:r>
        <w:rPr>
          <w:rFonts w:eastAsia="Times New Roman"/>
          <w:snapToGrid w:val="0"/>
          <w:lang w:val="en-GB" w:eastAsia="fr-FR"/>
        </w:rPr>
        <w:t>t</w:t>
      </w:r>
      <w:r w:rsidRPr="001922A7">
        <w:rPr>
          <w:rFonts w:eastAsia="Times New Roman"/>
          <w:snapToGrid w:val="0"/>
          <w:lang w:val="en-GB" w:eastAsia="fr-FR"/>
        </w:rPr>
        <w:t>he Office of the Government</w:t>
      </w:r>
      <w:r w:rsidR="009912A8">
        <w:rPr>
          <w:rFonts w:eastAsia="Times New Roman"/>
          <w:snapToGrid w:val="0"/>
          <w:lang w:val="en-GB" w:eastAsia="fr-FR"/>
        </w:rPr>
        <w:t>’</w:t>
      </w:r>
      <w:r w:rsidRPr="001922A7">
        <w:rPr>
          <w:rFonts w:eastAsia="Times New Roman"/>
          <w:snapToGrid w:val="0"/>
          <w:lang w:val="en-GB" w:eastAsia="fr-FR"/>
        </w:rPr>
        <w:t xml:space="preserve">s Agent </w:t>
      </w:r>
      <w:r>
        <w:rPr>
          <w:rFonts w:eastAsia="Times New Roman"/>
          <w:snapToGrid w:val="0"/>
          <w:lang w:val="en-GB" w:eastAsia="fr-FR"/>
        </w:rPr>
        <w:t xml:space="preserve">is required to </w:t>
      </w:r>
      <w:r w:rsidRPr="001922A7">
        <w:rPr>
          <w:rFonts w:eastAsia="Times New Roman"/>
          <w:snapToGrid w:val="0"/>
          <w:lang w:val="en-GB" w:eastAsia="fr-FR"/>
        </w:rPr>
        <w:t xml:space="preserve">send the </w:t>
      </w:r>
      <w:r>
        <w:rPr>
          <w:rFonts w:eastAsia="Times New Roman"/>
          <w:snapToGrid w:val="0"/>
          <w:lang w:val="en-GB" w:eastAsia="fr-FR"/>
        </w:rPr>
        <w:t>Beneficiary</w:t>
      </w:r>
      <w:r w:rsidRPr="001922A7">
        <w:rPr>
          <w:rFonts w:eastAsia="Times New Roman"/>
          <w:snapToGrid w:val="0"/>
          <w:lang w:val="en-GB" w:eastAsia="fr-FR"/>
        </w:rPr>
        <w:t xml:space="preserve"> </w:t>
      </w:r>
      <w:r>
        <w:rPr>
          <w:rFonts w:eastAsia="Times New Roman"/>
          <w:snapToGrid w:val="0"/>
          <w:lang w:val="en-GB" w:eastAsia="fr-FR"/>
        </w:rPr>
        <w:t>“</w:t>
      </w:r>
      <w:r w:rsidRPr="001922A7">
        <w:rPr>
          <w:rFonts w:eastAsia="Times New Roman"/>
          <w:snapToGrid w:val="0"/>
          <w:lang w:val="en-GB" w:eastAsia="fr-FR"/>
        </w:rPr>
        <w:t xml:space="preserve">a notification explaining his </w:t>
      </w:r>
      <w:r w:rsidRPr="000D4182">
        <w:rPr>
          <w:rFonts w:eastAsia="Times New Roman"/>
          <w:snapToGrid w:val="0"/>
          <w:lang w:val="en-GB" w:eastAsia="fr-FR"/>
        </w:rPr>
        <w:t>right</w:t>
      </w:r>
      <w:r w:rsidRPr="00F847F2">
        <w:rPr>
          <w:rFonts w:eastAsia="Times New Roman"/>
          <w:snapToGrid w:val="0"/>
          <w:lang w:val="en-GB" w:eastAsia="fr-FR"/>
        </w:rPr>
        <w:t xml:space="preserve"> </w:t>
      </w:r>
      <w:r w:rsidRPr="000D4182">
        <w:rPr>
          <w:rFonts w:eastAsia="Times New Roman"/>
          <w:snapToGrid w:val="0"/>
          <w:lang w:val="en-GB" w:eastAsia="fr-FR"/>
        </w:rPr>
        <w:t>to initiate proceedings for the review</w:t>
      </w:r>
      <w:r w:rsidRPr="001922A7">
        <w:rPr>
          <w:rFonts w:eastAsia="Times New Roman"/>
          <w:snapToGrid w:val="0"/>
          <w:lang w:val="en-GB" w:eastAsia="fr-FR"/>
        </w:rPr>
        <w:t xml:space="preserve"> of his case </w:t>
      </w:r>
      <w:r w:rsidRPr="000D4182">
        <w:rPr>
          <w:rFonts w:eastAsia="Times New Roman"/>
          <w:snapToGrid w:val="0"/>
          <w:lang w:val="en-GB" w:eastAsia="fr-FR"/>
        </w:rPr>
        <w:t>and/or to reopen</w:t>
      </w:r>
      <w:r w:rsidRPr="00F847F2">
        <w:rPr>
          <w:rFonts w:eastAsia="Times New Roman"/>
          <w:snapToGrid w:val="0"/>
          <w:lang w:val="en-GB" w:eastAsia="fr-FR"/>
        </w:rPr>
        <w:t xml:space="preserve"> </w:t>
      </w:r>
      <w:r w:rsidRPr="000D4182">
        <w:rPr>
          <w:rFonts w:eastAsia="Times New Roman"/>
          <w:snapToGrid w:val="0"/>
          <w:lang w:val="en-GB" w:eastAsia="fr-FR"/>
        </w:rPr>
        <w:t>the proceedings</w:t>
      </w:r>
      <w:r w:rsidRPr="001922A7">
        <w:rPr>
          <w:rFonts w:eastAsia="Times New Roman"/>
          <w:i/>
          <w:snapToGrid w:val="0"/>
          <w:lang w:val="en-GB" w:eastAsia="fr-FR"/>
        </w:rPr>
        <w:t xml:space="preserve"> </w:t>
      </w:r>
      <w:r w:rsidRPr="001922A7">
        <w:rPr>
          <w:rFonts w:eastAsia="Times New Roman"/>
          <w:snapToGrid w:val="0"/>
          <w:lang w:val="en-GB" w:eastAsia="fr-FR"/>
        </w:rPr>
        <w:t>according to the law in force”.</w:t>
      </w:r>
    </w:p>
    <w:p w:rsidR="00FD0B91" w:rsidRPr="000D4182" w:rsidRDefault="00FD0B91" w:rsidP="00FD0B91">
      <w:pPr>
        <w:pStyle w:val="ECHRPara"/>
        <w:rPr>
          <w:lang w:val="en-GB"/>
        </w:rPr>
      </w:pPr>
      <w:r w:rsidRPr="001922A7">
        <w:rPr>
          <w:rFonts w:ascii="Times New Roman" w:eastAsia="Times New Roman" w:hAnsi="Times New Roman" w:cs="Times New Roman"/>
          <w:snapToGrid w:val="0"/>
          <w:szCs w:val="24"/>
          <w:lang w:val="en-GB" w:eastAsia="fr-FR"/>
        </w:rPr>
        <w:fldChar w:fldCharType="begin"/>
      </w:r>
      <w:r w:rsidRPr="001922A7">
        <w:rPr>
          <w:rFonts w:ascii="Times New Roman" w:eastAsia="Times New Roman" w:hAnsi="Times New Roman" w:cs="Times New Roman"/>
          <w:snapToGrid w:val="0"/>
          <w:szCs w:val="24"/>
          <w:lang w:val="en-GB" w:eastAsia="fr-FR"/>
        </w:rPr>
        <w:instrText xml:space="preserve"> SEQ level0 \*arabic </w:instrText>
      </w:r>
      <w:r w:rsidRPr="001922A7">
        <w:rPr>
          <w:rFonts w:ascii="Times New Roman" w:eastAsia="Times New Roman" w:hAnsi="Times New Roman" w:cs="Times New Roman"/>
          <w:snapToGrid w:val="0"/>
          <w:szCs w:val="24"/>
          <w:lang w:val="en-GB" w:eastAsia="fr-FR"/>
        </w:rPr>
        <w:fldChar w:fldCharType="separate"/>
      </w:r>
      <w:r w:rsidR="00E15C77">
        <w:rPr>
          <w:rFonts w:ascii="Times New Roman" w:eastAsia="Times New Roman" w:hAnsi="Times New Roman" w:cs="Times New Roman"/>
          <w:noProof/>
          <w:snapToGrid w:val="0"/>
          <w:szCs w:val="24"/>
          <w:lang w:val="en-GB" w:eastAsia="fr-FR"/>
        </w:rPr>
        <w:t>53</w:t>
      </w:r>
      <w:r w:rsidRPr="001922A7">
        <w:rPr>
          <w:rFonts w:ascii="Times New Roman" w:eastAsia="Times New Roman" w:hAnsi="Times New Roman" w:cs="Times New Roman"/>
          <w:snapToGrid w:val="0"/>
          <w:szCs w:val="24"/>
          <w:lang w:val="en-GB" w:eastAsia="fr-FR"/>
        </w:rPr>
        <w:fldChar w:fldCharType="end"/>
      </w:r>
      <w:r w:rsidRPr="001922A7">
        <w:rPr>
          <w:rFonts w:ascii="Times New Roman" w:eastAsia="Times New Roman" w:hAnsi="Times New Roman" w:cs="Times New Roman"/>
          <w:snapToGrid w:val="0"/>
          <w:szCs w:val="24"/>
          <w:lang w:val="en-GB" w:eastAsia="fr-FR"/>
        </w:rPr>
        <w:t>.  </w:t>
      </w:r>
      <w:r w:rsidRPr="00FE3B42">
        <w:rPr>
          <w:rFonts w:ascii="Times New Roman" w:eastAsia="Times New Roman" w:hAnsi="Times New Roman" w:cs="Times New Roman"/>
          <w:snapToGrid w:val="0"/>
          <w:szCs w:val="24"/>
          <w:lang w:val="en-GB" w:eastAsia="fr-FR"/>
        </w:rPr>
        <w:t>The</w:t>
      </w:r>
      <w:r>
        <w:rPr>
          <w:rFonts w:ascii="Times New Roman" w:eastAsia="Times New Roman" w:hAnsi="Times New Roman" w:cs="Times New Roman"/>
          <w:snapToGrid w:val="0"/>
          <w:szCs w:val="24"/>
          <w:lang w:val="en-GB" w:eastAsia="fr-FR"/>
        </w:rPr>
        <w:t xml:space="preserve"> </w:t>
      </w:r>
      <w:r w:rsidRPr="00FE3B42">
        <w:rPr>
          <w:rFonts w:ascii="Times New Roman" w:eastAsia="Times New Roman" w:hAnsi="Times New Roman" w:cs="Times New Roman"/>
          <w:snapToGrid w:val="0"/>
          <w:szCs w:val="24"/>
          <w:lang w:val="en-GB" w:eastAsia="fr-FR"/>
        </w:rPr>
        <w:t xml:space="preserve">applicable national legal framework thus </w:t>
      </w:r>
      <w:r>
        <w:rPr>
          <w:rFonts w:ascii="Times New Roman" w:eastAsia="Times New Roman" w:hAnsi="Times New Roman" w:cs="Times New Roman"/>
          <w:snapToGrid w:val="0"/>
          <w:szCs w:val="24"/>
          <w:lang w:val="en-GB" w:eastAsia="fr-FR"/>
        </w:rPr>
        <w:t xml:space="preserve">made </w:t>
      </w:r>
      <w:r w:rsidRPr="00FE3B42">
        <w:rPr>
          <w:rFonts w:ascii="Times New Roman" w:eastAsia="Times New Roman" w:hAnsi="Times New Roman" w:cs="Times New Roman"/>
          <w:snapToGrid w:val="0"/>
          <w:szCs w:val="24"/>
          <w:lang w:val="en-GB" w:eastAsia="fr-FR"/>
        </w:rPr>
        <w:t>available to the applicant</w:t>
      </w:r>
      <w:r w:rsidR="003C31B1">
        <w:rPr>
          <w:rFonts w:ascii="Times New Roman" w:eastAsia="Times New Roman" w:hAnsi="Times New Roman" w:cs="Times New Roman"/>
          <w:snapToGrid w:val="0"/>
          <w:szCs w:val="24"/>
          <w:lang w:val="en-GB" w:eastAsia="fr-FR"/>
        </w:rPr>
        <w:t xml:space="preserve"> </w:t>
      </w:r>
      <w:r w:rsidRPr="00FE3B42">
        <w:rPr>
          <w:rFonts w:ascii="Times New Roman" w:eastAsia="Times New Roman" w:hAnsi="Times New Roman" w:cs="Times New Roman"/>
          <w:snapToGrid w:val="0"/>
          <w:szCs w:val="24"/>
          <w:lang w:val="en-GB" w:eastAsia="fr-FR"/>
        </w:rPr>
        <w:t xml:space="preserve">a </w:t>
      </w:r>
      <w:r>
        <w:rPr>
          <w:rFonts w:ascii="Times New Roman" w:eastAsia="Times New Roman" w:hAnsi="Times New Roman" w:cs="Times New Roman"/>
          <w:snapToGrid w:val="0"/>
          <w:szCs w:val="24"/>
          <w:lang w:val="en-GB" w:eastAsia="fr-FR"/>
        </w:rPr>
        <w:t xml:space="preserve">remedy enabling a judicial </w:t>
      </w:r>
      <w:r w:rsidRPr="00FE3B42">
        <w:rPr>
          <w:rFonts w:ascii="Times New Roman" w:eastAsia="Times New Roman" w:hAnsi="Times New Roman" w:cs="Times New Roman"/>
          <w:snapToGrid w:val="0"/>
          <w:szCs w:val="24"/>
          <w:lang w:val="en-GB" w:eastAsia="fr-FR"/>
        </w:rPr>
        <w:t>review</w:t>
      </w:r>
      <w:r>
        <w:rPr>
          <w:rFonts w:ascii="Times New Roman" w:eastAsia="Times New Roman" w:hAnsi="Times New Roman" w:cs="Times New Roman"/>
          <w:snapToGrid w:val="0"/>
          <w:szCs w:val="24"/>
          <w:lang w:val="en-GB" w:eastAsia="fr-FR"/>
        </w:rPr>
        <w:t xml:space="preserve"> </w:t>
      </w:r>
      <w:r w:rsidRPr="00FE3B42">
        <w:rPr>
          <w:rFonts w:ascii="Times New Roman" w:eastAsia="Times New Roman" w:hAnsi="Times New Roman" w:cs="Times New Roman"/>
          <w:snapToGrid w:val="0"/>
          <w:szCs w:val="24"/>
          <w:lang w:val="en-GB" w:eastAsia="fr-FR"/>
        </w:rPr>
        <w:t xml:space="preserve">of </w:t>
      </w:r>
      <w:r w:rsidR="005A2542">
        <w:rPr>
          <w:rFonts w:ascii="Times New Roman" w:eastAsia="Times New Roman" w:hAnsi="Times New Roman" w:cs="Times New Roman"/>
          <w:snapToGrid w:val="0"/>
          <w:szCs w:val="24"/>
          <w:lang w:val="en-GB" w:eastAsia="fr-FR"/>
        </w:rPr>
        <w:t>her</w:t>
      </w:r>
      <w:r w:rsidR="005A2542" w:rsidRPr="00FE3B42">
        <w:rPr>
          <w:rFonts w:ascii="Times New Roman" w:eastAsia="Times New Roman" w:hAnsi="Times New Roman" w:cs="Times New Roman"/>
          <w:snapToGrid w:val="0"/>
          <w:szCs w:val="24"/>
          <w:lang w:val="en-GB" w:eastAsia="fr-FR"/>
        </w:rPr>
        <w:t xml:space="preserve"> </w:t>
      </w:r>
      <w:r w:rsidRPr="00FE3B42">
        <w:rPr>
          <w:rFonts w:ascii="Times New Roman" w:eastAsia="Times New Roman" w:hAnsi="Times New Roman" w:cs="Times New Roman"/>
          <w:snapToGrid w:val="0"/>
          <w:szCs w:val="24"/>
          <w:lang w:val="en-GB" w:eastAsia="fr-FR"/>
        </w:rPr>
        <w:t xml:space="preserve">civil case by the Supreme Court in the </w:t>
      </w:r>
      <w:r w:rsidR="005A2542">
        <w:rPr>
          <w:rFonts w:ascii="Times New Roman" w:eastAsia="Times New Roman" w:hAnsi="Times New Roman" w:cs="Times New Roman"/>
          <w:snapToGrid w:val="0"/>
          <w:szCs w:val="24"/>
          <w:lang w:val="en-GB" w:eastAsia="fr-FR"/>
        </w:rPr>
        <w:t>light</w:t>
      </w:r>
      <w:r w:rsidR="005A2542" w:rsidRPr="00FE3B42">
        <w:rPr>
          <w:rFonts w:ascii="Times New Roman" w:eastAsia="Times New Roman" w:hAnsi="Times New Roman" w:cs="Times New Roman"/>
          <w:snapToGrid w:val="0"/>
          <w:szCs w:val="24"/>
          <w:lang w:val="en-GB" w:eastAsia="fr-FR"/>
        </w:rPr>
        <w:t xml:space="preserve"> </w:t>
      </w:r>
      <w:r w:rsidRPr="00FE3B42">
        <w:rPr>
          <w:rFonts w:ascii="Times New Roman" w:eastAsia="Times New Roman" w:hAnsi="Times New Roman" w:cs="Times New Roman"/>
          <w:snapToGrid w:val="0"/>
          <w:szCs w:val="24"/>
          <w:lang w:val="en-GB" w:eastAsia="fr-FR"/>
        </w:rPr>
        <w:t xml:space="preserve">of </w:t>
      </w:r>
      <w:r w:rsidR="005A2542">
        <w:rPr>
          <w:rFonts w:ascii="Times New Roman" w:eastAsia="Times New Roman" w:hAnsi="Times New Roman" w:cs="Times New Roman"/>
          <w:snapToGrid w:val="0"/>
          <w:szCs w:val="24"/>
          <w:lang w:val="en-GB" w:eastAsia="fr-FR"/>
        </w:rPr>
        <w:t>the</w:t>
      </w:r>
      <w:r w:rsidR="005A2542" w:rsidRPr="00FE3B42">
        <w:rPr>
          <w:rFonts w:ascii="Times New Roman" w:eastAsia="Times New Roman" w:hAnsi="Times New Roman" w:cs="Times New Roman"/>
          <w:snapToGrid w:val="0"/>
          <w:szCs w:val="24"/>
          <w:lang w:val="en-GB" w:eastAsia="fr-FR"/>
        </w:rPr>
        <w:t xml:space="preserve"> </w:t>
      </w:r>
      <w:r w:rsidRPr="00FE3B42">
        <w:rPr>
          <w:rFonts w:ascii="Times New Roman" w:eastAsia="Times New Roman" w:hAnsi="Times New Roman" w:cs="Times New Roman"/>
          <w:snapToGrid w:val="0"/>
          <w:szCs w:val="24"/>
          <w:lang w:val="en-GB" w:eastAsia="fr-FR"/>
        </w:rPr>
        <w:t xml:space="preserve">finding of this Court that the original domestic decisions had been defective. </w:t>
      </w:r>
      <w:r>
        <w:rPr>
          <w:rFonts w:ascii="Times New Roman" w:eastAsia="Times New Roman" w:hAnsi="Times New Roman" w:cs="Times New Roman"/>
          <w:snapToGrid w:val="0"/>
          <w:szCs w:val="24"/>
          <w:lang w:val="en-GB" w:eastAsia="fr-FR"/>
        </w:rPr>
        <w:t xml:space="preserve">By virtue of the kind of judicial review that it provided for, </w:t>
      </w:r>
      <w:r w:rsidRPr="00644EF6">
        <w:rPr>
          <w:rFonts w:ascii="Times New Roman" w:eastAsia="Times New Roman" w:hAnsi="Times New Roman" w:cs="Times New Roman"/>
          <w:snapToGrid w:val="0"/>
          <w:szCs w:val="24"/>
          <w:lang w:val="en-GB" w:eastAsia="fr-FR"/>
        </w:rPr>
        <w:t>the</w:t>
      </w:r>
      <w:r>
        <w:rPr>
          <w:rFonts w:ascii="Times New Roman" w:eastAsia="Times New Roman" w:hAnsi="Times New Roman" w:cs="Times New Roman"/>
          <w:snapToGrid w:val="0"/>
          <w:szCs w:val="24"/>
          <w:lang w:val="en-GB" w:eastAsia="fr-FR"/>
        </w:rPr>
        <w:t xml:space="preserve"> exceptional</w:t>
      </w:r>
      <w:r w:rsidRPr="00644EF6">
        <w:rPr>
          <w:rFonts w:ascii="Times New Roman" w:eastAsia="Times New Roman" w:hAnsi="Times New Roman" w:cs="Times New Roman"/>
          <w:snapToGrid w:val="0"/>
          <w:szCs w:val="24"/>
          <w:lang w:val="en-GB" w:eastAsia="fr-FR"/>
        </w:rPr>
        <w:t xml:space="preserve"> appeal brought by the applicant</w:t>
      </w:r>
      <w:r w:rsidRPr="00644EF6" w:rsidDel="009F3DFE">
        <w:rPr>
          <w:rFonts w:ascii="Times New Roman" w:eastAsia="Times New Roman" w:hAnsi="Times New Roman" w:cs="Times New Roman"/>
          <w:snapToGrid w:val="0"/>
          <w:szCs w:val="24"/>
          <w:lang w:val="en-GB" w:eastAsia="fr-FR"/>
        </w:rPr>
        <w:t xml:space="preserve"> </w:t>
      </w:r>
      <w:r w:rsidRPr="00644EF6">
        <w:rPr>
          <w:rFonts w:ascii="Times New Roman" w:eastAsia="Times New Roman" w:hAnsi="Times New Roman" w:cs="Times New Roman"/>
          <w:snapToGrid w:val="0"/>
          <w:szCs w:val="24"/>
          <w:lang w:val="en-GB" w:eastAsia="fr-FR"/>
        </w:rPr>
        <w:t xml:space="preserve">can be viewed as a prolongation of the original (terminated) civil proceedings, akin to </w:t>
      </w:r>
      <w:r>
        <w:rPr>
          <w:rFonts w:ascii="Times New Roman" w:eastAsia="Times New Roman" w:hAnsi="Times New Roman" w:cs="Times New Roman"/>
          <w:snapToGrid w:val="0"/>
          <w:szCs w:val="24"/>
          <w:lang w:val="en-GB" w:eastAsia="fr-FR"/>
        </w:rPr>
        <w:t xml:space="preserve">a </w:t>
      </w:r>
      <w:r w:rsidRPr="00644EF6">
        <w:rPr>
          <w:rFonts w:ascii="Times New Roman" w:eastAsia="Times New Roman" w:hAnsi="Times New Roman" w:cs="Times New Roman"/>
          <w:snapToGrid w:val="0"/>
          <w:szCs w:val="24"/>
          <w:lang w:val="en-GB" w:eastAsia="fr-FR"/>
        </w:rPr>
        <w:t xml:space="preserve">cassation procedure as defined by Ukrainian law. </w:t>
      </w:r>
      <w:r w:rsidRPr="00405717">
        <w:rPr>
          <w:rFonts w:ascii="Times New Roman" w:eastAsia="Times New Roman" w:hAnsi="Times New Roman" w:cs="Times New Roman"/>
          <w:snapToGrid w:val="0"/>
          <w:szCs w:val="24"/>
          <w:lang w:val="en-GB" w:eastAsia="fr-FR"/>
        </w:rPr>
        <w:t>Th</w:t>
      </w:r>
      <w:r>
        <w:rPr>
          <w:rFonts w:ascii="Times New Roman" w:eastAsia="Times New Roman" w:hAnsi="Times New Roman" w:cs="Times New Roman"/>
          <w:snapToGrid w:val="0"/>
          <w:szCs w:val="24"/>
          <w:lang w:val="en-GB" w:eastAsia="fr-FR"/>
        </w:rPr>
        <w:t>i</w:t>
      </w:r>
      <w:r w:rsidRPr="00405717">
        <w:rPr>
          <w:rFonts w:ascii="Times New Roman" w:eastAsia="Times New Roman" w:hAnsi="Times New Roman" w:cs="Times New Roman"/>
          <w:snapToGrid w:val="0"/>
          <w:szCs w:val="24"/>
          <w:lang w:val="en-GB" w:eastAsia="fr-FR"/>
        </w:rPr>
        <w:t>s</w:t>
      </w:r>
      <w:r>
        <w:rPr>
          <w:rFonts w:ascii="Times New Roman" w:eastAsia="Times New Roman" w:hAnsi="Times New Roman" w:cs="Times New Roman"/>
          <w:snapToGrid w:val="0"/>
          <w:szCs w:val="24"/>
          <w:lang w:val="en-GB" w:eastAsia="fr-FR"/>
        </w:rPr>
        <w:t xml:space="preserve"> being so</w:t>
      </w:r>
      <w:r w:rsidRPr="00405717">
        <w:rPr>
          <w:rFonts w:ascii="Times New Roman" w:eastAsia="Times New Roman" w:hAnsi="Times New Roman" w:cs="Times New Roman"/>
          <w:snapToGrid w:val="0"/>
          <w:szCs w:val="24"/>
          <w:lang w:val="en-GB" w:eastAsia="fr-FR"/>
        </w:rPr>
        <w:t xml:space="preserve">, while the </w:t>
      </w:r>
      <w:r>
        <w:rPr>
          <w:rFonts w:ascii="Times New Roman" w:eastAsia="Times New Roman" w:hAnsi="Times New Roman" w:cs="Times New Roman"/>
          <w:snapToGrid w:val="0"/>
          <w:szCs w:val="24"/>
          <w:lang w:val="en-GB" w:eastAsia="fr-FR"/>
        </w:rPr>
        <w:t xml:space="preserve">special features </w:t>
      </w:r>
      <w:r w:rsidRPr="00405717">
        <w:rPr>
          <w:rFonts w:ascii="Times New Roman" w:eastAsia="Times New Roman" w:hAnsi="Times New Roman" w:cs="Times New Roman"/>
          <w:snapToGrid w:val="0"/>
          <w:szCs w:val="24"/>
          <w:lang w:val="en-GB" w:eastAsia="fr-FR"/>
        </w:rPr>
        <w:t>of this cassation-type procedure may affect the manner in which the prescribed procedural guarantees of Article</w:t>
      </w:r>
      <w:r w:rsidR="003422A4">
        <w:rPr>
          <w:rFonts w:ascii="Times New Roman" w:eastAsia="Times New Roman" w:hAnsi="Times New Roman" w:cs="Times New Roman"/>
          <w:snapToGrid w:val="0"/>
          <w:szCs w:val="24"/>
          <w:lang w:val="en-GB" w:eastAsia="fr-FR"/>
        </w:rPr>
        <w:t xml:space="preserve"> </w:t>
      </w:r>
      <w:r w:rsidRPr="00405717">
        <w:rPr>
          <w:rFonts w:ascii="Times New Roman" w:eastAsia="Times New Roman" w:hAnsi="Times New Roman" w:cs="Times New Roman"/>
          <w:snapToGrid w:val="0"/>
          <w:szCs w:val="24"/>
          <w:lang w:val="en-GB" w:eastAsia="fr-FR"/>
        </w:rPr>
        <w:t>6</w:t>
      </w:r>
      <w:r w:rsidR="003422A4">
        <w:rPr>
          <w:rFonts w:ascii="Times New Roman" w:eastAsia="Times New Roman" w:hAnsi="Times New Roman" w:cs="Times New Roman"/>
          <w:snapToGrid w:val="0"/>
          <w:szCs w:val="24"/>
          <w:lang w:val="en-GB" w:eastAsia="fr-FR"/>
        </w:rPr>
        <w:t xml:space="preserve"> </w:t>
      </w:r>
      <w:r w:rsidRPr="00405717">
        <w:rPr>
          <w:rFonts w:ascii="Times New Roman" w:eastAsia="Times New Roman" w:hAnsi="Times New Roman" w:cs="Times New Roman"/>
          <w:snapToGrid w:val="0"/>
          <w:szCs w:val="24"/>
          <w:lang w:val="en-GB" w:eastAsia="fr-FR"/>
        </w:rPr>
        <w:t>§</w:t>
      </w:r>
      <w:r w:rsidR="003422A4">
        <w:rPr>
          <w:rFonts w:ascii="Times New Roman" w:eastAsia="Times New Roman" w:hAnsi="Times New Roman" w:cs="Times New Roman"/>
          <w:snapToGrid w:val="0"/>
          <w:szCs w:val="24"/>
          <w:lang w:val="en-GB" w:eastAsia="fr-FR"/>
        </w:rPr>
        <w:t xml:space="preserve"> </w:t>
      </w:r>
      <w:r w:rsidRPr="00405717">
        <w:rPr>
          <w:rFonts w:ascii="Times New Roman" w:eastAsia="Times New Roman" w:hAnsi="Times New Roman" w:cs="Times New Roman"/>
          <w:snapToGrid w:val="0"/>
          <w:szCs w:val="24"/>
          <w:lang w:val="en-GB" w:eastAsia="fr-FR"/>
        </w:rPr>
        <w:t>1 operate</w:t>
      </w:r>
      <w:r>
        <w:rPr>
          <w:rFonts w:ascii="Times New Roman" w:eastAsia="Times New Roman" w:hAnsi="Times New Roman" w:cs="Times New Roman"/>
          <w:snapToGrid w:val="0"/>
          <w:szCs w:val="24"/>
          <w:lang w:val="en-GB" w:eastAsia="fr-FR"/>
        </w:rPr>
        <w:t xml:space="preserve"> (</w:t>
      </w:r>
      <w:r w:rsidR="00F40648">
        <w:rPr>
          <w:rFonts w:ascii="Times New Roman" w:eastAsia="Times New Roman" w:hAnsi="Times New Roman" w:cs="Times New Roman"/>
          <w:snapToGrid w:val="0"/>
          <w:szCs w:val="24"/>
          <w:lang w:val="en-GB" w:eastAsia="fr-FR"/>
        </w:rPr>
        <w:t xml:space="preserve">see </w:t>
      </w:r>
      <w:r w:rsidRPr="00081659">
        <w:rPr>
          <w:i/>
          <w:lang w:val="en-GB"/>
        </w:rPr>
        <w:t>Delcourt v. Belgium</w:t>
      </w:r>
      <w:r>
        <w:rPr>
          <w:lang w:val="en-GB"/>
        </w:rPr>
        <w:t>, 17 January 1970, §</w:t>
      </w:r>
      <w:r w:rsidR="003422A4">
        <w:rPr>
          <w:lang w:val="en-GB"/>
        </w:rPr>
        <w:t xml:space="preserve"> </w:t>
      </w:r>
      <w:r>
        <w:rPr>
          <w:lang w:val="en-GB"/>
        </w:rPr>
        <w:t>26</w:t>
      </w:r>
      <w:r w:rsidR="00557875">
        <w:rPr>
          <w:lang w:val="en-GB"/>
        </w:rPr>
        <w:t>, Series A no. </w:t>
      </w:r>
      <w:r w:rsidRPr="00081659">
        <w:rPr>
          <w:lang w:val="en-GB"/>
        </w:rPr>
        <w:t>11</w:t>
      </w:r>
      <w:r>
        <w:rPr>
          <w:rFonts w:ascii="Times New Roman" w:eastAsia="Times New Roman" w:hAnsi="Times New Roman" w:cs="Times New Roman"/>
          <w:snapToGrid w:val="0"/>
          <w:szCs w:val="24"/>
          <w:lang w:val="en-GB" w:eastAsia="fr-FR"/>
        </w:rPr>
        <w:t>)</w:t>
      </w:r>
      <w:r w:rsidRPr="00405717">
        <w:rPr>
          <w:rFonts w:ascii="Times New Roman" w:eastAsia="Times New Roman" w:hAnsi="Times New Roman" w:cs="Times New Roman"/>
          <w:snapToGrid w:val="0"/>
          <w:szCs w:val="24"/>
          <w:lang w:val="en-GB" w:eastAsia="fr-FR"/>
        </w:rPr>
        <w:t xml:space="preserve">, the </w:t>
      </w:r>
      <w:r>
        <w:rPr>
          <w:rFonts w:ascii="Times New Roman" w:eastAsia="Times New Roman" w:hAnsi="Times New Roman" w:cs="Times New Roman"/>
          <w:snapToGrid w:val="0"/>
          <w:szCs w:val="24"/>
          <w:lang w:val="en-GB" w:eastAsia="fr-FR"/>
        </w:rPr>
        <w:t>Court</w:t>
      </w:r>
      <w:r w:rsidRPr="00405717">
        <w:rPr>
          <w:rFonts w:ascii="Times New Roman" w:eastAsia="Times New Roman" w:hAnsi="Times New Roman" w:cs="Times New Roman"/>
          <w:snapToGrid w:val="0"/>
          <w:szCs w:val="24"/>
          <w:lang w:val="en-GB" w:eastAsia="fr-FR"/>
        </w:rPr>
        <w:t xml:space="preserve"> is of the view that those guarantees should be applicable to it in the same way </w:t>
      </w:r>
      <w:r>
        <w:rPr>
          <w:rFonts w:ascii="Times New Roman" w:eastAsia="Times New Roman" w:hAnsi="Times New Roman" w:cs="Times New Roman"/>
          <w:snapToGrid w:val="0"/>
          <w:szCs w:val="24"/>
          <w:lang w:val="en-GB" w:eastAsia="fr-FR"/>
        </w:rPr>
        <w:t xml:space="preserve">as </w:t>
      </w:r>
      <w:r w:rsidRPr="00405717">
        <w:rPr>
          <w:rFonts w:ascii="Times New Roman" w:eastAsia="Times New Roman" w:hAnsi="Times New Roman" w:cs="Times New Roman"/>
          <w:snapToGrid w:val="0"/>
          <w:szCs w:val="24"/>
          <w:lang w:val="en-GB" w:eastAsia="fr-FR"/>
        </w:rPr>
        <w:t>they apply to cassation proceedings in civil matters</w:t>
      </w:r>
      <w:r>
        <w:rPr>
          <w:rFonts w:ascii="Times New Roman" w:eastAsia="Times New Roman" w:hAnsi="Times New Roman" w:cs="Times New Roman"/>
          <w:snapToGrid w:val="0"/>
          <w:szCs w:val="24"/>
          <w:lang w:val="en-GB" w:eastAsia="fr-FR"/>
        </w:rPr>
        <w:t xml:space="preserve"> generally </w:t>
      </w:r>
      <w:r w:rsidRPr="00405717">
        <w:rPr>
          <w:rFonts w:ascii="Times New Roman" w:eastAsia="Times New Roman" w:hAnsi="Times New Roman" w:cs="Times New Roman"/>
          <w:snapToGrid w:val="0"/>
          <w:szCs w:val="24"/>
          <w:lang w:val="en-GB" w:eastAsia="fr-FR"/>
        </w:rPr>
        <w:t xml:space="preserve">(see, for instance, </w:t>
      </w:r>
      <w:r w:rsidRPr="00405717">
        <w:rPr>
          <w:rFonts w:ascii="Times New Roman" w:eastAsia="Times New Roman" w:hAnsi="Times New Roman" w:cs="Times New Roman"/>
          <w:i/>
          <w:iCs/>
          <w:snapToGrid w:val="0"/>
          <w:szCs w:val="24"/>
          <w:lang w:val="en-GB" w:eastAsia="fr-FR"/>
        </w:rPr>
        <w:t>Mushta v. Ukraine</w:t>
      </w:r>
      <w:r w:rsidRPr="00405717">
        <w:rPr>
          <w:rFonts w:ascii="Times New Roman" w:eastAsia="Times New Roman" w:hAnsi="Times New Roman" w:cs="Times New Roman"/>
          <w:snapToGrid w:val="0"/>
          <w:szCs w:val="24"/>
          <w:lang w:val="en-GB" w:eastAsia="fr-FR"/>
        </w:rPr>
        <w:t>, no. 8863/06, §</w:t>
      </w:r>
      <w:r w:rsidR="00A57C3B">
        <w:rPr>
          <w:rFonts w:ascii="Times New Roman" w:eastAsia="Times New Roman" w:hAnsi="Times New Roman" w:cs="Times New Roman"/>
          <w:snapToGrid w:val="0"/>
          <w:szCs w:val="24"/>
          <w:lang w:val="en-GB" w:eastAsia="fr-FR"/>
        </w:rPr>
        <w:t> </w:t>
      </w:r>
      <w:r w:rsidR="00557875">
        <w:rPr>
          <w:rFonts w:ascii="Times New Roman" w:eastAsia="Times New Roman" w:hAnsi="Times New Roman" w:cs="Times New Roman"/>
          <w:snapToGrid w:val="0"/>
          <w:szCs w:val="24"/>
          <w:lang w:val="en-GB" w:eastAsia="fr-FR"/>
        </w:rPr>
        <w:t>39, 18 </w:t>
      </w:r>
      <w:r w:rsidRPr="00405717">
        <w:rPr>
          <w:rFonts w:ascii="Times New Roman" w:eastAsia="Times New Roman" w:hAnsi="Times New Roman" w:cs="Times New Roman"/>
          <w:snapToGrid w:val="0"/>
          <w:szCs w:val="24"/>
          <w:lang w:val="en-GB" w:eastAsia="fr-FR"/>
        </w:rPr>
        <w:t xml:space="preserve">November 2010; and, </w:t>
      </w:r>
      <w:r w:rsidRPr="00405717">
        <w:rPr>
          <w:rFonts w:ascii="Times New Roman" w:eastAsia="Times New Roman" w:hAnsi="Times New Roman" w:cs="Times New Roman"/>
          <w:i/>
          <w:snapToGrid w:val="0"/>
          <w:szCs w:val="24"/>
          <w:lang w:val="en-GB" w:eastAsia="fr-FR"/>
        </w:rPr>
        <w:t>mutatis mutandis</w:t>
      </w:r>
      <w:r w:rsidRPr="00405717">
        <w:rPr>
          <w:rFonts w:ascii="Times New Roman" w:eastAsia="Times New Roman" w:hAnsi="Times New Roman" w:cs="Times New Roman"/>
          <w:snapToGrid w:val="0"/>
          <w:szCs w:val="24"/>
          <w:lang w:val="en-GB" w:eastAsia="fr-FR"/>
        </w:rPr>
        <w:t xml:space="preserve">, </w:t>
      </w:r>
      <w:r>
        <w:rPr>
          <w:rFonts w:ascii="Times New Roman" w:eastAsia="Times New Roman" w:hAnsi="Times New Roman" w:cs="Times New Roman"/>
          <w:i/>
          <w:snapToGrid w:val="0"/>
          <w:szCs w:val="24"/>
          <w:lang w:val="en-GB" w:eastAsia="fr-FR"/>
        </w:rPr>
        <w:t>San Leonard Band Club</w:t>
      </w:r>
      <w:r>
        <w:rPr>
          <w:rFonts w:ascii="Times New Roman" w:eastAsia="Times New Roman" w:hAnsi="Times New Roman" w:cs="Times New Roman"/>
          <w:snapToGrid w:val="0"/>
          <w:szCs w:val="24"/>
          <w:lang w:val="en-GB" w:eastAsia="fr-FR"/>
        </w:rPr>
        <w:t xml:space="preserve"> </w:t>
      </w:r>
      <w:r w:rsidRPr="00405717">
        <w:rPr>
          <w:rFonts w:ascii="Times New Roman" w:eastAsia="Times New Roman" w:hAnsi="Times New Roman" w:cs="Times New Roman"/>
          <w:snapToGrid w:val="0"/>
          <w:szCs w:val="24"/>
          <w:lang w:val="en-GB" w:eastAsia="fr-FR"/>
        </w:rPr>
        <w:t xml:space="preserve">and </w:t>
      </w:r>
      <w:r w:rsidRPr="00405717">
        <w:rPr>
          <w:rFonts w:ascii="Times New Roman" w:eastAsia="Times New Roman" w:hAnsi="Times New Roman" w:cs="Times New Roman"/>
          <w:i/>
          <w:snapToGrid w:val="0"/>
          <w:szCs w:val="24"/>
          <w:lang w:val="en-GB" w:eastAsia="fr-FR"/>
        </w:rPr>
        <w:t>Maresti</w:t>
      </w:r>
      <w:r w:rsidRPr="00405717">
        <w:rPr>
          <w:rFonts w:ascii="Times New Roman" w:eastAsia="Times New Roman" w:hAnsi="Times New Roman" w:cs="Times New Roman"/>
          <w:snapToGrid w:val="0"/>
          <w:szCs w:val="24"/>
          <w:lang w:val="en-GB" w:eastAsia="fr-FR"/>
        </w:rPr>
        <w:t xml:space="preserve">, </w:t>
      </w:r>
      <w:r>
        <w:rPr>
          <w:rFonts w:ascii="Times New Roman" w:eastAsia="Times New Roman" w:hAnsi="Times New Roman" w:cs="Times New Roman"/>
          <w:snapToGrid w:val="0"/>
          <w:szCs w:val="24"/>
          <w:lang w:val="en-GB" w:eastAsia="fr-FR"/>
        </w:rPr>
        <w:t>cited above at paragraphs 48-49</w:t>
      </w:r>
      <w:r w:rsidRPr="00405717">
        <w:rPr>
          <w:rFonts w:ascii="Times New Roman" w:eastAsia="Times New Roman" w:hAnsi="Times New Roman" w:cs="Times New Roman"/>
          <w:snapToGrid w:val="0"/>
          <w:szCs w:val="24"/>
          <w:lang w:val="en-GB" w:eastAsia="fr-FR"/>
        </w:rPr>
        <w:t>).</w:t>
      </w:r>
    </w:p>
    <w:p w:rsidR="00FD0B91" w:rsidRPr="001922A7" w:rsidRDefault="00FD0B91" w:rsidP="008847BC">
      <w:pPr>
        <w:pStyle w:val="ECHRPara"/>
        <w:rPr>
          <w:rFonts w:eastAsia="Times New Roman"/>
          <w:snapToGrid w:val="0"/>
          <w:szCs w:val="24"/>
          <w:lang w:val="en-GB" w:eastAsia="fr-FR"/>
        </w:rPr>
      </w:pPr>
      <w:r>
        <w:rPr>
          <w:rFonts w:eastAsia="Times New Roman"/>
          <w:snapToGrid w:val="0"/>
          <w:szCs w:val="24"/>
          <w:lang w:val="en-GB" w:eastAsia="fr-FR"/>
        </w:rPr>
        <w:lastRenderedPageBreak/>
        <w:fldChar w:fldCharType="begin"/>
      </w:r>
      <w:r>
        <w:rPr>
          <w:rFonts w:eastAsia="Times New Roman"/>
          <w:snapToGrid w:val="0"/>
          <w:szCs w:val="24"/>
          <w:lang w:val="en-GB" w:eastAsia="fr-FR"/>
        </w:rPr>
        <w:instrText xml:space="preserve"> SEQ level0 \*arabic </w:instrText>
      </w:r>
      <w:r>
        <w:rPr>
          <w:rFonts w:eastAsia="Times New Roman"/>
          <w:snapToGrid w:val="0"/>
          <w:szCs w:val="24"/>
          <w:lang w:val="en-GB" w:eastAsia="fr-FR"/>
        </w:rPr>
        <w:fldChar w:fldCharType="separate"/>
      </w:r>
      <w:r w:rsidR="00E15C77">
        <w:rPr>
          <w:rFonts w:eastAsia="Times New Roman"/>
          <w:noProof/>
          <w:snapToGrid w:val="0"/>
          <w:szCs w:val="24"/>
          <w:lang w:val="en-GB" w:eastAsia="fr-FR"/>
        </w:rPr>
        <w:t>54</w:t>
      </w:r>
      <w:r>
        <w:rPr>
          <w:rFonts w:eastAsia="Times New Roman"/>
          <w:snapToGrid w:val="0"/>
          <w:szCs w:val="24"/>
          <w:lang w:val="en-GB" w:eastAsia="fr-FR"/>
        </w:rPr>
        <w:fldChar w:fldCharType="end"/>
      </w:r>
      <w:r>
        <w:rPr>
          <w:rFonts w:eastAsia="Times New Roman"/>
          <w:snapToGrid w:val="0"/>
          <w:szCs w:val="24"/>
          <w:lang w:val="en-GB" w:eastAsia="fr-FR"/>
        </w:rPr>
        <w:t>.  </w:t>
      </w:r>
      <w:r w:rsidRPr="0015219B">
        <w:rPr>
          <w:rFonts w:eastAsia="Times New Roman"/>
          <w:lang w:val="en-GB" w:eastAsia="fr-FR"/>
        </w:rPr>
        <w:t xml:space="preserve">This conclusion, derived from the applicable Ukrainian legal </w:t>
      </w:r>
      <w:r>
        <w:rPr>
          <w:rFonts w:eastAsia="Times New Roman"/>
          <w:lang w:val="en-GB" w:eastAsia="fr-FR"/>
        </w:rPr>
        <w:t>provisions</w:t>
      </w:r>
      <w:r w:rsidRPr="0015219B">
        <w:rPr>
          <w:rFonts w:eastAsia="Times New Roman"/>
          <w:lang w:val="en-GB" w:eastAsia="fr-FR"/>
        </w:rPr>
        <w:t xml:space="preserve">, is corroborated by reference to the scope and nature of the </w:t>
      </w:r>
      <w:r>
        <w:rPr>
          <w:rFonts w:eastAsia="Times New Roman"/>
          <w:lang w:val="en-GB" w:eastAsia="fr-FR"/>
        </w:rPr>
        <w:t xml:space="preserve">“examination” </w:t>
      </w:r>
      <w:r w:rsidRPr="0015219B">
        <w:rPr>
          <w:rFonts w:eastAsia="Times New Roman"/>
          <w:lang w:val="en-GB" w:eastAsia="fr-FR"/>
        </w:rPr>
        <w:t>actually carried out by the Supreme Court on 14 March 2008</w:t>
      </w:r>
      <w:r>
        <w:rPr>
          <w:rFonts w:eastAsia="Times New Roman"/>
          <w:lang w:val="en-GB" w:eastAsia="fr-FR"/>
        </w:rPr>
        <w:t xml:space="preserve"> before it dismissed the applicant</w:t>
      </w:r>
      <w:r w:rsidR="009912A8">
        <w:rPr>
          <w:rFonts w:eastAsia="Times New Roman"/>
          <w:lang w:val="en-GB" w:eastAsia="fr-FR"/>
        </w:rPr>
        <w:t>’</w:t>
      </w:r>
      <w:r>
        <w:rPr>
          <w:rFonts w:eastAsia="Times New Roman"/>
          <w:lang w:val="en-GB" w:eastAsia="fr-FR"/>
        </w:rPr>
        <w:t xml:space="preserve">s exceptional appeal, </w:t>
      </w:r>
      <w:r w:rsidRPr="00973316">
        <w:rPr>
          <w:rFonts w:eastAsia="Times New Roman"/>
          <w:lang w:val="en-GB" w:eastAsia="fr-FR"/>
        </w:rPr>
        <w:t xml:space="preserve">leaving the contested decisions unchanged. </w:t>
      </w:r>
      <w:r w:rsidR="00B06829" w:rsidRPr="00B06829">
        <w:rPr>
          <w:rFonts w:eastAsia="Times New Roman"/>
          <w:lang w:val="en-GB" w:eastAsia="fr-FR"/>
        </w:rPr>
        <w:t xml:space="preserve">In the course of that examination the Supreme Court reviewed the case materials and the court decisions </w:t>
      </w:r>
      <w:r w:rsidR="00B06829">
        <w:rPr>
          <w:rFonts w:eastAsia="Times New Roman"/>
          <w:lang w:val="en-GB" w:eastAsia="fr-FR"/>
        </w:rPr>
        <w:t>from</w:t>
      </w:r>
      <w:r w:rsidR="00B06829" w:rsidRPr="00B06829">
        <w:rPr>
          <w:rFonts w:eastAsia="Times New Roman"/>
          <w:lang w:val="en-GB" w:eastAsia="fr-FR"/>
        </w:rPr>
        <w:t xml:space="preserve"> the original proceedings</w:t>
      </w:r>
      <w:r w:rsidR="00B06829">
        <w:rPr>
          <w:rFonts w:eastAsia="Times New Roman"/>
          <w:lang w:val="en-GB" w:eastAsia="fr-FR"/>
        </w:rPr>
        <w:t xml:space="preserve"> </w:t>
      </w:r>
      <w:r w:rsidRPr="0015219B">
        <w:rPr>
          <w:rFonts w:eastAsia="Times New Roman"/>
          <w:lang w:val="en-GB" w:eastAsia="fr-FR"/>
        </w:rPr>
        <w:t>in the light of the applicant</w:t>
      </w:r>
      <w:r w:rsidR="009912A8">
        <w:rPr>
          <w:rFonts w:eastAsia="Times New Roman"/>
          <w:lang w:val="en-GB" w:eastAsia="fr-FR"/>
        </w:rPr>
        <w:t>’</w:t>
      </w:r>
      <w:r w:rsidRPr="0015219B">
        <w:rPr>
          <w:rFonts w:eastAsia="Times New Roman"/>
          <w:lang w:val="en-GB" w:eastAsia="fr-FR"/>
        </w:rPr>
        <w:t>s new submissions based mainly on the Court</w:t>
      </w:r>
      <w:r w:rsidR="009912A8">
        <w:rPr>
          <w:rFonts w:eastAsia="Times New Roman"/>
          <w:lang w:val="en-GB" w:eastAsia="fr-FR"/>
        </w:rPr>
        <w:t>’</w:t>
      </w:r>
      <w:r w:rsidRPr="0015219B">
        <w:rPr>
          <w:rFonts w:eastAsia="Times New Roman"/>
          <w:lang w:val="en-GB" w:eastAsia="fr-FR"/>
        </w:rPr>
        <w:t xml:space="preserve">s judgment of 3 May 2007 (see paragraphs 20-21 above). Thus, what occurred in the proceedings in March 2008 can well be compared to </w:t>
      </w:r>
      <w:r>
        <w:rPr>
          <w:rFonts w:eastAsia="Times New Roman"/>
          <w:lang w:val="en-GB" w:eastAsia="fr-FR"/>
        </w:rPr>
        <w:t>the proceedings concerning</w:t>
      </w:r>
      <w:r w:rsidRPr="0015219B">
        <w:rPr>
          <w:rFonts w:eastAsia="Times New Roman"/>
          <w:lang w:val="en-GB" w:eastAsia="fr-FR"/>
        </w:rPr>
        <w:t xml:space="preserve"> the applicant</w:t>
      </w:r>
      <w:r w:rsidR="009912A8">
        <w:rPr>
          <w:rFonts w:eastAsia="Times New Roman"/>
          <w:lang w:val="en-GB" w:eastAsia="fr-FR"/>
        </w:rPr>
        <w:t>’</w:t>
      </w:r>
      <w:r w:rsidRPr="0015219B">
        <w:rPr>
          <w:rFonts w:eastAsia="Times New Roman"/>
          <w:lang w:val="en-GB" w:eastAsia="fr-FR"/>
        </w:rPr>
        <w:t xml:space="preserve">s cassation appeal decided by the Supreme Court in August 2002 (see paragraph 11 above and </w:t>
      </w:r>
      <w:r w:rsidRPr="0015219B">
        <w:rPr>
          <w:rFonts w:eastAsia="Times New Roman"/>
          <w:i/>
          <w:lang w:val="en-GB" w:eastAsia="fr-FR"/>
        </w:rPr>
        <w:t>Bochan</w:t>
      </w:r>
      <w:r w:rsidRPr="0015219B">
        <w:rPr>
          <w:rFonts w:eastAsia="Times New Roman"/>
          <w:lang w:val="en-GB" w:eastAsia="fr-FR"/>
        </w:rPr>
        <w:t xml:space="preserve">, cited above, § 39), to which Article 6 § 1 applied </w:t>
      </w:r>
      <w:r w:rsidRPr="0015219B">
        <w:rPr>
          <w:rFonts w:eastAsia="Times New Roman"/>
          <w:i/>
          <w:lang w:val="en-GB" w:eastAsia="fr-FR"/>
        </w:rPr>
        <w:t>ratione materiae</w:t>
      </w:r>
      <w:r w:rsidRPr="0015219B">
        <w:rPr>
          <w:rFonts w:eastAsia="Times New Roman"/>
          <w:lang w:val="en-GB" w:eastAsia="fr-FR"/>
        </w:rPr>
        <w:t xml:space="preserve">. For the Court, in March 2008 the Supreme Court </w:t>
      </w:r>
      <w:r>
        <w:rPr>
          <w:rFonts w:eastAsia="Times New Roman"/>
          <w:lang w:val="en-GB" w:eastAsia="fr-FR"/>
        </w:rPr>
        <w:t>reviewed</w:t>
      </w:r>
      <w:r w:rsidRPr="0015219B">
        <w:rPr>
          <w:rFonts w:eastAsia="Times New Roman"/>
          <w:lang w:val="en-GB" w:eastAsia="fr-FR"/>
        </w:rPr>
        <w:t xml:space="preserve"> the applicant</w:t>
      </w:r>
      <w:r w:rsidR="009912A8">
        <w:rPr>
          <w:rFonts w:eastAsia="Times New Roman"/>
          <w:lang w:val="en-GB" w:eastAsia="fr-FR"/>
        </w:rPr>
        <w:t>’</w:t>
      </w:r>
      <w:r w:rsidRPr="0015219B">
        <w:rPr>
          <w:rFonts w:eastAsia="Times New Roman"/>
          <w:lang w:val="en-GB" w:eastAsia="fr-FR"/>
        </w:rPr>
        <w:t xml:space="preserve">s </w:t>
      </w:r>
      <w:r>
        <w:rPr>
          <w:rFonts w:eastAsia="Times New Roman"/>
          <w:lang w:val="en-GB" w:eastAsia="fr-FR"/>
        </w:rPr>
        <w:t>civil case</w:t>
      </w:r>
      <w:r w:rsidRPr="0015219B">
        <w:rPr>
          <w:rFonts w:eastAsia="Times New Roman"/>
          <w:lang w:val="en-GB" w:eastAsia="fr-FR"/>
        </w:rPr>
        <w:t xml:space="preserve"> </w:t>
      </w:r>
      <w:r w:rsidRPr="00973316">
        <w:rPr>
          <w:rFonts w:eastAsia="Times New Roman"/>
          <w:lang w:val="en-GB" w:eastAsia="fr-FR"/>
        </w:rPr>
        <w:t>“in the light of exceptional circumstances”, namely the Court</w:t>
      </w:r>
      <w:r w:rsidR="009912A8">
        <w:rPr>
          <w:rFonts w:eastAsia="Times New Roman"/>
          <w:lang w:val="en-GB" w:eastAsia="fr-FR"/>
        </w:rPr>
        <w:t>’</w:t>
      </w:r>
      <w:r w:rsidRPr="00973316">
        <w:rPr>
          <w:rFonts w:eastAsia="Times New Roman"/>
          <w:lang w:val="en-GB" w:eastAsia="fr-FR"/>
        </w:rPr>
        <w:t>s 2007 judgment,</w:t>
      </w:r>
      <w:r>
        <w:rPr>
          <w:rFonts w:eastAsia="Times New Roman"/>
          <w:lang w:val="en-GB" w:eastAsia="fr-FR"/>
        </w:rPr>
        <w:t xml:space="preserve"> </w:t>
      </w:r>
      <w:r w:rsidRPr="0015219B">
        <w:rPr>
          <w:rFonts w:eastAsia="Times New Roman"/>
          <w:lang w:val="en-GB" w:eastAsia="fr-FR"/>
        </w:rPr>
        <w:t>in a cassation-type procedure</w:t>
      </w:r>
      <w:r>
        <w:rPr>
          <w:rFonts w:eastAsia="Times New Roman"/>
          <w:lang w:val="en-GB" w:eastAsia="fr-FR"/>
        </w:rPr>
        <w:t xml:space="preserve"> and found no cause to overturn the contested decisions.</w:t>
      </w:r>
      <w:r w:rsidRPr="0015219B">
        <w:rPr>
          <w:rFonts w:eastAsia="Times New Roman"/>
          <w:lang w:val="en-GB" w:eastAsia="fr-FR"/>
        </w:rPr>
        <w:t xml:space="preserve"> </w:t>
      </w:r>
      <w:r>
        <w:rPr>
          <w:rFonts w:eastAsia="Times New Roman"/>
          <w:lang w:val="en-GB" w:eastAsia="fr-FR"/>
        </w:rPr>
        <w:t>It thereby conducted a</w:t>
      </w:r>
      <w:r w:rsidRPr="0015219B">
        <w:rPr>
          <w:rFonts w:eastAsia="Times New Roman"/>
          <w:lang w:val="en-GB" w:eastAsia="fr-FR"/>
        </w:rPr>
        <w:t xml:space="preserve"> “reconsideration”</w:t>
      </w:r>
      <w:r w:rsidRPr="00577C18">
        <w:rPr>
          <w:rFonts w:eastAsia="Times New Roman"/>
          <w:lang w:val="en-GB" w:eastAsia="fr-FR"/>
        </w:rPr>
        <w:t xml:space="preserve">, </w:t>
      </w:r>
      <w:r>
        <w:rPr>
          <w:rFonts w:eastAsia="Times New Roman"/>
          <w:lang w:val="en-GB" w:eastAsia="fr-FR"/>
        </w:rPr>
        <w:t xml:space="preserve">as </w:t>
      </w:r>
      <w:r w:rsidRPr="00577C18">
        <w:rPr>
          <w:rFonts w:eastAsia="Times New Roman"/>
          <w:lang w:val="en-GB" w:eastAsia="fr-FR"/>
        </w:rPr>
        <w:t>the 2006 Act</w:t>
      </w:r>
      <w:r>
        <w:rPr>
          <w:rFonts w:eastAsia="Times New Roman"/>
          <w:lang w:val="en-GB" w:eastAsia="fr-FR"/>
        </w:rPr>
        <w:t xml:space="preserve"> termed it</w:t>
      </w:r>
      <w:r w:rsidRPr="00577C18">
        <w:rPr>
          <w:rFonts w:eastAsia="Times New Roman"/>
          <w:lang w:val="en-GB" w:eastAsia="fr-FR"/>
        </w:rPr>
        <w:t>,</w:t>
      </w:r>
      <w:r w:rsidRPr="0015219B">
        <w:rPr>
          <w:rFonts w:eastAsia="Times New Roman"/>
          <w:lang w:val="en-GB" w:eastAsia="fr-FR"/>
        </w:rPr>
        <w:t xml:space="preserve"> of her property claim on new and fresh grounds linked to its interpretation of the Court</w:t>
      </w:r>
      <w:r w:rsidR="009912A8">
        <w:rPr>
          <w:rFonts w:eastAsia="Times New Roman"/>
          <w:lang w:val="en-GB" w:eastAsia="fr-FR"/>
        </w:rPr>
        <w:t>’</w:t>
      </w:r>
      <w:r w:rsidRPr="0015219B">
        <w:rPr>
          <w:rFonts w:eastAsia="Times New Roman"/>
          <w:lang w:val="en-GB" w:eastAsia="fr-FR"/>
        </w:rPr>
        <w:t>s judgment of 3 May 2007, albeit deciding</w:t>
      </w:r>
      <w:r>
        <w:rPr>
          <w:rFonts w:eastAsia="Times New Roman"/>
          <w:lang w:val="en-GB" w:eastAsia="fr-FR"/>
        </w:rPr>
        <w:t xml:space="preserve"> not to change </w:t>
      </w:r>
      <w:r w:rsidRPr="0015219B">
        <w:rPr>
          <w:rFonts w:eastAsia="Times New Roman"/>
          <w:lang w:val="en-GB" w:eastAsia="fr-FR"/>
        </w:rPr>
        <w:t>the outcome of the case</w:t>
      </w:r>
      <w:r>
        <w:rPr>
          <w:rFonts w:eastAsia="Times New Roman"/>
          <w:lang w:val="en-GB" w:eastAsia="fr-FR"/>
        </w:rPr>
        <w:t xml:space="preserve"> and, in particular, not to order a full re</w:t>
      </w:r>
      <w:r w:rsidR="005005FC">
        <w:rPr>
          <w:rFonts w:eastAsia="Times New Roman"/>
          <w:lang w:val="en-GB" w:eastAsia="fr-FR"/>
        </w:rPr>
        <w:noBreakHyphen/>
      </w:r>
      <w:r>
        <w:rPr>
          <w:rFonts w:eastAsia="Times New Roman"/>
          <w:lang w:val="en-GB" w:eastAsia="fr-FR"/>
        </w:rPr>
        <w:t>hearing of the case by a lower court.</w:t>
      </w:r>
    </w:p>
    <w:p w:rsidR="00FD0B91" w:rsidRDefault="00FD0B91" w:rsidP="008847BC">
      <w:pPr>
        <w:pStyle w:val="ECHRPara"/>
        <w:rPr>
          <w:rFonts w:eastAsia="Times New Roman"/>
          <w:snapToGrid w:val="0"/>
          <w:szCs w:val="24"/>
          <w:lang w:val="en-GB" w:eastAsia="fr-FR"/>
        </w:rPr>
      </w:pPr>
      <w:r w:rsidRPr="001922A7">
        <w:rPr>
          <w:rFonts w:eastAsia="Times New Roman"/>
          <w:snapToGrid w:val="0"/>
          <w:szCs w:val="24"/>
          <w:lang w:val="en-GB" w:eastAsia="fr-FR"/>
        </w:rPr>
        <w:fldChar w:fldCharType="begin"/>
      </w:r>
      <w:r w:rsidRPr="001922A7">
        <w:rPr>
          <w:rFonts w:eastAsia="Times New Roman"/>
          <w:snapToGrid w:val="0"/>
          <w:szCs w:val="24"/>
          <w:lang w:val="en-GB" w:eastAsia="fr-FR"/>
        </w:rPr>
        <w:instrText xml:space="preserve"> SEQ level0 \*arabic </w:instrText>
      </w:r>
      <w:r w:rsidRPr="001922A7">
        <w:rPr>
          <w:rFonts w:eastAsia="Times New Roman"/>
          <w:snapToGrid w:val="0"/>
          <w:szCs w:val="24"/>
          <w:lang w:val="en-GB" w:eastAsia="fr-FR"/>
        </w:rPr>
        <w:fldChar w:fldCharType="separate"/>
      </w:r>
      <w:r w:rsidR="00E15C77">
        <w:rPr>
          <w:rFonts w:eastAsia="Times New Roman"/>
          <w:noProof/>
          <w:snapToGrid w:val="0"/>
          <w:szCs w:val="24"/>
          <w:lang w:val="en-GB" w:eastAsia="fr-FR"/>
        </w:rPr>
        <w:t>55</w:t>
      </w:r>
      <w:r w:rsidRPr="001922A7">
        <w:rPr>
          <w:rFonts w:eastAsia="Times New Roman"/>
          <w:snapToGrid w:val="0"/>
          <w:szCs w:val="24"/>
          <w:lang w:val="en-GB" w:eastAsia="fr-FR"/>
        </w:rPr>
        <w:fldChar w:fldCharType="end"/>
      </w:r>
      <w:r w:rsidRPr="001922A7">
        <w:rPr>
          <w:rFonts w:eastAsia="Times New Roman"/>
          <w:snapToGrid w:val="0"/>
          <w:szCs w:val="24"/>
          <w:lang w:val="en-GB" w:eastAsia="fr-FR"/>
        </w:rPr>
        <w:t>.  </w:t>
      </w:r>
      <w:r>
        <w:rPr>
          <w:rFonts w:eastAsia="Times New Roman"/>
          <w:snapToGrid w:val="0"/>
          <w:szCs w:val="24"/>
          <w:lang w:val="en-GB" w:eastAsia="fr-FR"/>
        </w:rPr>
        <w:t>The above considerations are not altered by the fact that,</w:t>
      </w:r>
      <w:r w:rsidRPr="001922A7">
        <w:rPr>
          <w:rFonts w:eastAsia="Times New Roman"/>
          <w:snapToGrid w:val="0"/>
          <w:szCs w:val="24"/>
          <w:lang w:val="en-GB" w:eastAsia="fr-FR"/>
        </w:rPr>
        <w:t xml:space="preserve"> </w:t>
      </w:r>
      <w:r>
        <w:rPr>
          <w:rFonts w:eastAsia="Times New Roman"/>
          <w:snapToGrid w:val="0"/>
          <w:szCs w:val="24"/>
          <w:lang w:val="en-GB" w:eastAsia="fr-FR"/>
        </w:rPr>
        <w:t>in June </w:t>
      </w:r>
      <w:r w:rsidRPr="001922A7">
        <w:rPr>
          <w:rFonts w:eastAsia="Times New Roman"/>
          <w:snapToGrid w:val="0"/>
          <w:szCs w:val="24"/>
          <w:lang w:val="en-GB" w:eastAsia="fr-FR"/>
        </w:rPr>
        <w:t>2008</w:t>
      </w:r>
      <w:r>
        <w:rPr>
          <w:rFonts w:eastAsia="Times New Roman"/>
          <w:snapToGrid w:val="0"/>
          <w:szCs w:val="24"/>
          <w:lang w:val="en-GB" w:eastAsia="fr-FR"/>
        </w:rPr>
        <w:t>,</w:t>
      </w:r>
      <w:r w:rsidRPr="001922A7">
        <w:rPr>
          <w:rFonts w:eastAsia="Times New Roman"/>
          <w:snapToGrid w:val="0"/>
          <w:szCs w:val="24"/>
          <w:lang w:val="en-GB" w:eastAsia="fr-FR"/>
        </w:rPr>
        <w:t xml:space="preserve"> the Supreme Court,</w:t>
      </w:r>
      <w:r w:rsidRPr="00445D3D">
        <w:rPr>
          <w:rFonts w:eastAsia="Times New Roman"/>
          <w:snapToGrid w:val="0"/>
          <w:szCs w:val="24"/>
          <w:lang w:val="en-GB" w:eastAsia="fr-FR"/>
        </w:rPr>
        <w:t xml:space="preserve"> </w:t>
      </w:r>
      <w:r w:rsidRPr="001922A7">
        <w:rPr>
          <w:rFonts w:eastAsia="Times New Roman"/>
          <w:snapToGrid w:val="0"/>
          <w:szCs w:val="24"/>
          <w:lang w:val="en-GB" w:eastAsia="fr-FR"/>
        </w:rPr>
        <w:t>relying on Article 356 of the Code</w:t>
      </w:r>
      <w:r>
        <w:rPr>
          <w:rFonts w:eastAsia="Times New Roman"/>
          <w:snapToGrid w:val="0"/>
          <w:szCs w:val="24"/>
          <w:lang w:val="en-GB" w:eastAsia="fr-FR"/>
        </w:rPr>
        <w:t>,</w:t>
      </w:r>
      <w:r w:rsidRPr="001922A7">
        <w:rPr>
          <w:rFonts w:eastAsia="Times New Roman"/>
          <w:snapToGrid w:val="0"/>
          <w:szCs w:val="24"/>
          <w:lang w:val="en-GB" w:eastAsia="fr-FR"/>
        </w:rPr>
        <w:t xml:space="preserve"> </w:t>
      </w:r>
      <w:r>
        <w:rPr>
          <w:rFonts w:eastAsia="Times New Roman"/>
          <w:snapToGrid w:val="0"/>
          <w:szCs w:val="24"/>
          <w:lang w:val="en-GB" w:eastAsia="fr-FR"/>
        </w:rPr>
        <w:t xml:space="preserve">rejected </w:t>
      </w:r>
      <w:r w:rsidRPr="001922A7">
        <w:rPr>
          <w:rFonts w:eastAsia="Times New Roman"/>
          <w:snapToGrid w:val="0"/>
          <w:szCs w:val="24"/>
          <w:lang w:val="en-GB" w:eastAsia="fr-FR"/>
        </w:rPr>
        <w:t>the applicant</w:t>
      </w:r>
      <w:r w:rsidR="009912A8">
        <w:rPr>
          <w:rFonts w:eastAsia="Times New Roman"/>
          <w:snapToGrid w:val="0"/>
          <w:szCs w:val="24"/>
          <w:lang w:val="en-GB" w:eastAsia="fr-FR"/>
        </w:rPr>
        <w:t>’</w:t>
      </w:r>
      <w:r w:rsidRPr="001922A7">
        <w:rPr>
          <w:rFonts w:eastAsia="Times New Roman"/>
          <w:snapToGrid w:val="0"/>
          <w:szCs w:val="24"/>
          <w:lang w:val="en-GB" w:eastAsia="fr-FR"/>
        </w:rPr>
        <w:t>s follow-up appeal</w:t>
      </w:r>
      <w:r w:rsidRPr="00445D3D">
        <w:rPr>
          <w:rFonts w:eastAsia="Times New Roman"/>
          <w:snapToGrid w:val="0"/>
          <w:szCs w:val="24"/>
          <w:lang w:val="en-GB" w:eastAsia="fr-FR"/>
        </w:rPr>
        <w:t xml:space="preserve"> </w:t>
      </w:r>
      <w:r>
        <w:rPr>
          <w:rFonts w:eastAsia="Times New Roman"/>
          <w:snapToGrid w:val="0"/>
          <w:szCs w:val="24"/>
          <w:lang w:val="en-GB" w:eastAsia="fr-FR"/>
        </w:rPr>
        <w:t xml:space="preserve">of April 2008 </w:t>
      </w:r>
      <w:r w:rsidRPr="001922A7">
        <w:rPr>
          <w:rFonts w:eastAsia="Times New Roman"/>
          <w:snapToGrid w:val="0"/>
          <w:szCs w:val="24"/>
          <w:lang w:val="en-GB" w:eastAsia="fr-FR"/>
        </w:rPr>
        <w:t>as inadmissible</w:t>
      </w:r>
      <w:r>
        <w:rPr>
          <w:rFonts w:eastAsia="Times New Roman"/>
          <w:snapToGrid w:val="0"/>
          <w:szCs w:val="24"/>
          <w:lang w:val="en-GB" w:eastAsia="fr-FR"/>
        </w:rPr>
        <w:t xml:space="preserve"> </w:t>
      </w:r>
      <w:r w:rsidRPr="001922A7">
        <w:rPr>
          <w:rFonts w:eastAsia="Times New Roman"/>
          <w:snapToGrid w:val="0"/>
          <w:szCs w:val="24"/>
          <w:lang w:val="en-GB" w:eastAsia="fr-FR"/>
        </w:rPr>
        <w:t>on formal grounds without any</w:t>
      </w:r>
      <w:r>
        <w:rPr>
          <w:rFonts w:eastAsia="Times New Roman"/>
          <w:snapToGrid w:val="0"/>
          <w:szCs w:val="24"/>
          <w:lang w:val="en-GB" w:eastAsia="fr-FR"/>
        </w:rPr>
        <w:t xml:space="preserve"> further </w:t>
      </w:r>
      <w:r w:rsidRPr="001922A7">
        <w:rPr>
          <w:rFonts w:eastAsia="Times New Roman"/>
          <w:snapToGrid w:val="0"/>
          <w:szCs w:val="24"/>
          <w:lang w:val="en-GB" w:eastAsia="fr-FR"/>
        </w:rPr>
        <w:t>“</w:t>
      </w:r>
      <w:r>
        <w:rPr>
          <w:rFonts w:eastAsia="Times New Roman"/>
          <w:snapToGrid w:val="0"/>
          <w:szCs w:val="24"/>
          <w:lang w:val="en-GB" w:eastAsia="fr-FR"/>
        </w:rPr>
        <w:t>examination” of the substantive aspects of the case (see paragraph 23 above).</w:t>
      </w:r>
    </w:p>
    <w:p w:rsidR="00FD0B91" w:rsidRPr="001922A7" w:rsidRDefault="00FD0B91" w:rsidP="008847BC">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56</w:t>
      </w:r>
      <w:r w:rsidRPr="001922A7">
        <w:rPr>
          <w:rFonts w:eastAsia="Times New Roman"/>
          <w:lang w:val="en-GB" w:eastAsia="fr-FR"/>
        </w:rPr>
        <w:fldChar w:fldCharType="end"/>
      </w:r>
      <w:r w:rsidRPr="001922A7">
        <w:rPr>
          <w:rFonts w:eastAsia="Times New Roman"/>
          <w:lang w:val="en-GB" w:eastAsia="fr-FR"/>
        </w:rPr>
        <w:t xml:space="preserve">.  Thus, in the light </w:t>
      </w:r>
      <w:r>
        <w:rPr>
          <w:rFonts w:eastAsia="Times New Roman"/>
          <w:lang w:val="en-GB" w:eastAsia="fr-FR"/>
        </w:rPr>
        <w:t xml:space="preserve">both </w:t>
      </w:r>
      <w:r w:rsidRPr="001922A7">
        <w:rPr>
          <w:rFonts w:eastAsia="Times New Roman"/>
          <w:lang w:val="en-GB" w:eastAsia="fr-FR"/>
        </w:rPr>
        <w:t xml:space="preserve">of the relevant </w:t>
      </w:r>
      <w:r>
        <w:rPr>
          <w:rFonts w:eastAsia="Times New Roman"/>
          <w:lang w:val="en-GB" w:eastAsia="fr-FR"/>
        </w:rPr>
        <w:t>provisions</w:t>
      </w:r>
      <w:r w:rsidRPr="001922A7">
        <w:rPr>
          <w:rFonts w:eastAsia="Times New Roman"/>
          <w:lang w:val="en-GB" w:eastAsia="fr-FR"/>
        </w:rPr>
        <w:t xml:space="preserve"> of the Ukrainian legislation and </w:t>
      </w:r>
      <w:r>
        <w:rPr>
          <w:rFonts w:eastAsia="Times New Roman"/>
          <w:lang w:val="en-GB" w:eastAsia="fr-FR"/>
        </w:rPr>
        <w:t xml:space="preserve">of </w:t>
      </w:r>
      <w:r w:rsidRPr="001922A7">
        <w:rPr>
          <w:rFonts w:eastAsia="Times New Roman"/>
          <w:lang w:val="en-GB" w:eastAsia="fr-FR"/>
        </w:rPr>
        <w:t xml:space="preserve">the nature </w:t>
      </w:r>
      <w:r>
        <w:rPr>
          <w:rFonts w:eastAsia="Times New Roman"/>
          <w:lang w:val="en-GB" w:eastAsia="fr-FR"/>
        </w:rPr>
        <w:t xml:space="preserve">and scope </w:t>
      </w:r>
      <w:r w:rsidRPr="001922A7">
        <w:rPr>
          <w:rFonts w:eastAsia="Times New Roman"/>
          <w:lang w:val="en-GB" w:eastAsia="fr-FR"/>
        </w:rPr>
        <w:t>of the proceedings culminating in the Supreme Court</w:t>
      </w:r>
      <w:r w:rsidR="009912A8">
        <w:rPr>
          <w:rFonts w:eastAsia="Times New Roman"/>
          <w:lang w:val="en-GB" w:eastAsia="fr-FR"/>
        </w:rPr>
        <w:t>’</w:t>
      </w:r>
      <w:r w:rsidRPr="001922A7">
        <w:rPr>
          <w:rFonts w:eastAsia="Times New Roman"/>
          <w:lang w:val="en-GB" w:eastAsia="fr-FR"/>
        </w:rPr>
        <w:t>s decision of 14</w:t>
      </w:r>
      <w:r w:rsidR="003422A4">
        <w:rPr>
          <w:rFonts w:eastAsia="Times New Roman"/>
          <w:lang w:val="en-GB" w:eastAsia="fr-FR"/>
        </w:rPr>
        <w:t xml:space="preserve"> </w:t>
      </w:r>
      <w:r w:rsidRPr="001922A7">
        <w:rPr>
          <w:rFonts w:eastAsia="Times New Roman"/>
          <w:lang w:val="en-GB" w:eastAsia="fr-FR"/>
        </w:rPr>
        <w:t>March 2008 in relation to the applicant</w:t>
      </w:r>
      <w:r w:rsidR="009912A8">
        <w:rPr>
          <w:rFonts w:eastAsia="Times New Roman"/>
          <w:lang w:val="en-GB" w:eastAsia="fr-FR"/>
        </w:rPr>
        <w:t>’</w:t>
      </w:r>
      <w:r w:rsidRPr="001922A7">
        <w:rPr>
          <w:rFonts w:eastAsia="Times New Roman"/>
          <w:lang w:val="en-GB" w:eastAsia="fr-FR"/>
        </w:rPr>
        <w:t xml:space="preserve">s </w:t>
      </w:r>
      <w:r>
        <w:rPr>
          <w:rFonts w:eastAsia="Times New Roman"/>
          <w:lang w:val="en-GB" w:eastAsia="fr-FR"/>
        </w:rPr>
        <w:t>exceptional appeal</w:t>
      </w:r>
      <w:r w:rsidRPr="001922A7">
        <w:rPr>
          <w:rFonts w:eastAsia="Times New Roman"/>
          <w:lang w:val="en-GB" w:eastAsia="fr-FR"/>
        </w:rPr>
        <w:t xml:space="preserve">, </w:t>
      </w:r>
      <w:r>
        <w:rPr>
          <w:rFonts w:eastAsia="Times New Roman"/>
          <w:lang w:val="en-GB" w:eastAsia="fr-FR"/>
        </w:rPr>
        <w:t xml:space="preserve">followed by its confirmatory decision of June 2008, </w:t>
      </w:r>
      <w:r w:rsidRPr="001922A7">
        <w:rPr>
          <w:rFonts w:eastAsia="Times New Roman"/>
          <w:lang w:val="en-GB" w:eastAsia="fr-FR"/>
        </w:rPr>
        <w:t>the Court considers that those proceedings were decisive for the determination of the applicant</w:t>
      </w:r>
      <w:r w:rsidR="009912A8">
        <w:rPr>
          <w:rFonts w:eastAsia="Times New Roman"/>
          <w:lang w:val="en-GB" w:eastAsia="fr-FR"/>
        </w:rPr>
        <w:t>’</w:t>
      </w:r>
      <w:r w:rsidRPr="001922A7">
        <w:rPr>
          <w:rFonts w:eastAsia="Times New Roman"/>
          <w:lang w:val="en-GB" w:eastAsia="fr-FR"/>
        </w:rPr>
        <w:t xml:space="preserve">s civil rights and obligations. </w:t>
      </w:r>
      <w:r>
        <w:rPr>
          <w:rFonts w:eastAsia="Times New Roman"/>
          <w:lang w:val="en-GB" w:eastAsia="fr-FR"/>
        </w:rPr>
        <w:t>Consequently</w:t>
      </w:r>
      <w:r w:rsidRPr="001922A7">
        <w:rPr>
          <w:rFonts w:eastAsia="Times New Roman"/>
          <w:lang w:val="en-GB" w:eastAsia="fr-FR"/>
        </w:rPr>
        <w:t xml:space="preserve">, the </w:t>
      </w:r>
      <w:r w:rsidRPr="00525A5F">
        <w:rPr>
          <w:rFonts w:eastAsia="Times New Roman"/>
          <w:lang w:val="en-GB" w:eastAsia="fr-FR"/>
        </w:rPr>
        <w:t xml:space="preserve">relevant </w:t>
      </w:r>
      <w:r w:rsidRPr="001922A7">
        <w:rPr>
          <w:rFonts w:eastAsia="Times New Roman"/>
          <w:lang w:val="en-GB" w:eastAsia="fr-FR"/>
        </w:rPr>
        <w:t>guarantees of Article</w:t>
      </w:r>
      <w:r w:rsidR="003422A4">
        <w:rPr>
          <w:rFonts w:eastAsia="Times New Roman"/>
          <w:lang w:val="en-GB" w:eastAsia="fr-FR"/>
        </w:rPr>
        <w:t xml:space="preserve"> </w:t>
      </w:r>
      <w:r w:rsidRPr="001922A7">
        <w:rPr>
          <w:rFonts w:eastAsia="Times New Roman"/>
          <w:lang w:val="en-GB" w:eastAsia="fr-FR"/>
        </w:rPr>
        <w:t xml:space="preserve">6 § 1 </w:t>
      </w:r>
      <w:r w:rsidR="003702E2">
        <w:rPr>
          <w:rFonts w:eastAsia="Times New Roman"/>
          <w:lang w:val="en-GB" w:eastAsia="fr-FR"/>
        </w:rPr>
        <w:t xml:space="preserve">applied </w:t>
      </w:r>
      <w:r w:rsidR="00F40648">
        <w:rPr>
          <w:rFonts w:eastAsia="Times New Roman"/>
          <w:lang w:val="en-GB" w:eastAsia="fr-FR"/>
        </w:rPr>
        <w:t xml:space="preserve">to </w:t>
      </w:r>
      <w:r w:rsidR="008F5B16">
        <w:rPr>
          <w:rFonts w:eastAsia="Times New Roman"/>
          <w:lang w:val="en-GB" w:eastAsia="fr-FR"/>
        </w:rPr>
        <w:t>those</w:t>
      </w:r>
      <w:r w:rsidR="00F40648">
        <w:rPr>
          <w:rFonts w:eastAsia="Times New Roman"/>
          <w:lang w:val="en-GB" w:eastAsia="fr-FR"/>
        </w:rPr>
        <w:t xml:space="preserve"> proceedings</w:t>
      </w:r>
      <w:r>
        <w:rPr>
          <w:rFonts w:eastAsia="Times New Roman"/>
          <w:lang w:val="en-GB" w:eastAsia="fr-FR"/>
        </w:rPr>
        <w:t xml:space="preserve">. Accordingly, </w:t>
      </w:r>
      <w:r w:rsidRPr="001922A7">
        <w:rPr>
          <w:rFonts w:eastAsia="Times New Roman"/>
          <w:lang w:val="en-GB" w:eastAsia="fr-FR"/>
        </w:rPr>
        <w:t>the Government</w:t>
      </w:r>
      <w:r w:rsidR="009912A8">
        <w:rPr>
          <w:rFonts w:eastAsia="Times New Roman"/>
          <w:lang w:val="en-GB" w:eastAsia="fr-FR"/>
        </w:rPr>
        <w:t>’</w:t>
      </w:r>
      <w:r w:rsidRPr="001922A7">
        <w:rPr>
          <w:rFonts w:eastAsia="Times New Roman"/>
          <w:lang w:val="en-GB" w:eastAsia="fr-FR"/>
        </w:rPr>
        <w:t xml:space="preserve">s objection concerning the applicability of </w:t>
      </w:r>
      <w:r>
        <w:rPr>
          <w:rFonts w:eastAsia="Times New Roman"/>
          <w:lang w:val="en-GB" w:eastAsia="fr-FR"/>
        </w:rPr>
        <w:t>that provision</w:t>
      </w:r>
      <w:r w:rsidRPr="001922A7">
        <w:rPr>
          <w:rFonts w:eastAsia="Times New Roman"/>
          <w:lang w:val="en-GB" w:eastAsia="fr-FR"/>
        </w:rPr>
        <w:t xml:space="preserve"> to the impugned proceedings </w:t>
      </w:r>
      <w:r>
        <w:rPr>
          <w:rFonts w:eastAsia="Times New Roman"/>
          <w:lang w:val="en-GB" w:eastAsia="fr-FR"/>
        </w:rPr>
        <w:t xml:space="preserve">is to </w:t>
      </w:r>
      <w:r w:rsidRPr="001922A7">
        <w:rPr>
          <w:rFonts w:eastAsia="Times New Roman"/>
          <w:lang w:val="en-GB" w:eastAsia="fr-FR"/>
        </w:rPr>
        <w:t>be rejected.</w:t>
      </w:r>
    </w:p>
    <w:p w:rsidR="00FD0B91" w:rsidRDefault="00FD0B91" w:rsidP="008847BC">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E15C77">
        <w:rPr>
          <w:rFonts w:eastAsia="Times New Roman"/>
          <w:noProof/>
          <w:lang w:val="en-GB" w:eastAsia="fr-FR"/>
        </w:rPr>
        <w:t>57</w:t>
      </w:r>
      <w:r>
        <w:rPr>
          <w:rFonts w:eastAsia="Times New Roman"/>
          <w:lang w:val="en-GB" w:eastAsia="fr-FR"/>
        </w:rPr>
        <w:fldChar w:fldCharType="end"/>
      </w:r>
      <w:r>
        <w:rPr>
          <w:rFonts w:eastAsia="Times New Roman"/>
          <w:lang w:val="en-GB" w:eastAsia="fr-FR"/>
        </w:rPr>
        <w:t>.  Independently of the conclusion as to the applicability of Article 6</w:t>
      </w:r>
      <w:r w:rsidR="00557875">
        <w:rPr>
          <w:rFonts w:eastAsia="Times New Roman"/>
          <w:lang w:val="en-GB" w:eastAsia="fr-FR"/>
        </w:rPr>
        <w:t xml:space="preserve"> </w:t>
      </w:r>
      <w:r>
        <w:rPr>
          <w:rFonts w:eastAsia="Times New Roman"/>
          <w:lang w:val="en-GB" w:eastAsia="fr-FR"/>
        </w:rPr>
        <w:t>§</w:t>
      </w:r>
      <w:r w:rsidR="00A57C3B">
        <w:rPr>
          <w:rFonts w:eastAsia="Times New Roman"/>
          <w:lang w:val="en-GB" w:eastAsia="fr-FR"/>
        </w:rPr>
        <w:t> </w:t>
      </w:r>
      <w:r w:rsidRPr="00483C68">
        <w:rPr>
          <w:rFonts w:eastAsia="Times New Roman"/>
          <w:lang w:val="en-GB" w:eastAsia="fr-FR"/>
        </w:rPr>
        <w:t xml:space="preserve">1 </w:t>
      </w:r>
      <w:r>
        <w:rPr>
          <w:rFonts w:eastAsia="Times New Roman"/>
          <w:lang w:val="en-GB" w:eastAsia="fr-FR"/>
        </w:rPr>
        <w:t xml:space="preserve">to the kind of proceedings at issue in the instant case, </w:t>
      </w:r>
      <w:r>
        <w:rPr>
          <w:rFonts w:eastAsia="Times New Roman"/>
          <w:lang w:val="en-GB"/>
        </w:rPr>
        <w:t xml:space="preserve">the Court would </w:t>
      </w:r>
      <w:r w:rsidRPr="001922A7">
        <w:rPr>
          <w:rFonts w:eastAsia="Times New Roman"/>
          <w:lang w:val="en-GB"/>
        </w:rPr>
        <w:t>reiterate that it is for the Contracting States to decide how best to implement the Court</w:t>
      </w:r>
      <w:r w:rsidR="009912A8">
        <w:rPr>
          <w:rFonts w:eastAsia="Times New Roman"/>
          <w:lang w:val="en-GB"/>
        </w:rPr>
        <w:t>’</w:t>
      </w:r>
      <w:r w:rsidRPr="001922A7">
        <w:rPr>
          <w:rFonts w:eastAsia="Times New Roman"/>
          <w:lang w:val="en-GB"/>
        </w:rPr>
        <w:t>s judgments without unduly upsetting the principle</w:t>
      </w:r>
      <w:r>
        <w:rPr>
          <w:rFonts w:eastAsia="Times New Roman"/>
          <w:lang w:val="en-GB"/>
        </w:rPr>
        <w:t>s</w:t>
      </w:r>
      <w:r w:rsidRPr="001922A7">
        <w:rPr>
          <w:rFonts w:eastAsia="Times New Roman"/>
          <w:lang w:val="en-GB"/>
        </w:rPr>
        <w:t xml:space="preserve"> of </w:t>
      </w:r>
      <w:r w:rsidRPr="001922A7">
        <w:rPr>
          <w:rFonts w:eastAsia="Times New Roman"/>
          <w:i/>
          <w:lang w:val="en-GB"/>
        </w:rPr>
        <w:t>res iudicata</w:t>
      </w:r>
      <w:r w:rsidRPr="001922A7">
        <w:rPr>
          <w:rFonts w:eastAsia="Times New Roman"/>
          <w:lang w:val="en-GB"/>
        </w:rPr>
        <w:t xml:space="preserve"> or legal certainty in civil litigation, in particular where such litigation concerns third parties with their own legitimate interests to </w:t>
      </w:r>
      <w:r>
        <w:rPr>
          <w:rFonts w:eastAsia="Times New Roman"/>
          <w:lang w:val="en-GB"/>
        </w:rPr>
        <w:t xml:space="preserve">be </w:t>
      </w:r>
      <w:r w:rsidRPr="001922A7">
        <w:rPr>
          <w:rFonts w:eastAsia="Times New Roman"/>
          <w:lang w:val="en-GB"/>
        </w:rPr>
        <w:t>protect</w:t>
      </w:r>
      <w:r>
        <w:rPr>
          <w:rFonts w:eastAsia="Times New Roman"/>
          <w:lang w:val="en-GB"/>
        </w:rPr>
        <w:t>ed</w:t>
      </w:r>
      <w:r w:rsidRPr="001922A7">
        <w:rPr>
          <w:rFonts w:eastAsia="Times New Roman"/>
          <w:lang w:val="en-GB"/>
        </w:rPr>
        <w:t xml:space="preserve">. Furthermore, even where a Contracting State provides for the possibility of requesting a reopening of terminated </w:t>
      </w:r>
      <w:r w:rsidR="00742117">
        <w:rPr>
          <w:rFonts w:eastAsia="Times New Roman"/>
          <w:lang w:val="en-GB"/>
        </w:rPr>
        <w:t xml:space="preserve">judicial </w:t>
      </w:r>
      <w:r>
        <w:rPr>
          <w:rFonts w:eastAsia="Times New Roman"/>
          <w:lang w:val="en-GB"/>
        </w:rPr>
        <w:t xml:space="preserve">proceedings </w:t>
      </w:r>
      <w:r w:rsidRPr="001922A7">
        <w:rPr>
          <w:rFonts w:eastAsia="Times New Roman"/>
          <w:lang w:val="en-GB"/>
        </w:rPr>
        <w:t xml:space="preserve">on the basis of a judgment of the Court, it is for the domestic authorities to provide for a procedure to deal with such requests and to set out criteria </w:t>
      </w:r>
      <w:r>
        <w:rPr>
          <w:rFonts w:eastAsia="Times New Roman"/>
          <w:lang w:val="en-GB"/>
        </w:rPr>
        <w:t xml:space="preserve">for </w:t>
      </w:r>
      <w:r>
        <w:rPr>
          <w:rFonts w:eastAsia="Times New Roman"/>
          <w:lang w:val="en-GB"/>
        </w:rPr>
        <w:lastRenderedPageBreak/>
        <w:t>determining</w:t>
      </w:r>
      <w:r w:rsidRPr="001922A7">
        <w:rPr>
          <w:rFonts w:eastAsia="Times New Roman"/>
          <w:lang w:val="en-GB"/>
        </w:rPr>
        <w:t xml:space="preserve"> whether the requested reopening is </w:t>
      </w:r>
      <w:r>
        <w:rPr>
          <w:rFonts w:eastAsia="Times New Roman"/>
          <w:lang w:val="en-GB"/>
        </w:rPr>
        <w:t xml:space="preserve">called for </w:t>
      </w:r>
      <w:r w:rsidRPr="001922A7">
        <w:rPr>
          <w:rFonts w:eastAsia="Times New Roman"/>
          <w:lang w:val="en-GB"/>
        </w:rPr>
        <w:t xml:space="preserve">in a particular case. There is no uniform approach among the Contracting States as to the </w:t>
      </w:r>
      <w:r w:rsidRPr="001922A7">
        <w:rPr>
          <w:rFonts w:eastAsia="Times New Roman"/>
          <w:lang w:val="en-GB" w:eastAsia="fr-FR"/>
        </w:rPr>
        <w:t xml:space="preserve">possibility of </w:t>
      </w:r>
      <w:r>
        <w:rPr>
          <w:rFonts w:eastAsia="Times New Roman"/>
          <w:lang w:val="en-GB" w:eastAsia="fr-FR"/>
        </w:rPr>
        <w:t>seek</w:t>
      </w:r>
      <w:r w:rsidRPr="001922A7">
        <w:rPr>
          <w:rFonts w:eastAsia="Times New Roman"/>
          <w:lang w:val="en-GB" w:eastAsia="fr-FR"/>
        </w:rPr>
        <w:t>ing reopening of terminated civil proceedings following a finding of a violation by this Court or as to the modalities of implementation of existing reopening mechanisms (see paragraphs 26-27 above).</w:t>
      </w:r>
    </w:p>
    <w:p w:rsidR="00C315B9" w:rsidRPr="001922A7" w:rsidRDefault="000C1537" w:rsidP="008847BC">
      <w:pPr>
        <w:pStyle w:val="ECHRPara"/>
        <w:rPr>
          <w:rFonts w:eastAsia="Times New Roman"/>
          <w:lang w:val="en-GB"/>
        </w:rPr>
      </w:pPr>
      <w:r w:rsidRPr="001922A7">
        <w:rPr>
          <w:rFonts w:eastAsia="Times New Roman"/>
          <w:lang w:val="en-GB"/>
        </w:rPr>
        <w:fldChar w:fldCharType="begin"/>
      </w:r>
      <w:r w:rsidRPr="001922A7">
        <w:rPr>
          <w:rFonts w:eastAsia="Times New Roman"/>
          <w:lang w:val="en-GB"/>
        </w:rPr>
        <w:instrText xml:space="preserve"> SEQ level0 \*arabic </w:instrText>
      </w:r>
      <w:r w:rsidRPr="001922A7">
        <w:rPr>
          <w:rFonts w:eastAsia="Times New Roman"/>
          <w:lang w:val="en-GB"/>
        </w:rPr>
        <w:fldChar w:fldCharType="separate"/>
      </w:r>
      <w:r w:rsidR="00E15C77">
        <w:rPr>
          <w:rFonts w:eastAsia="Times New Roman"/>
          <w:noProof/>
          <w:lang w:val="en-GB"/>
        </w:rPr>
        <w:t>58</w:t>
      </w:r>
      <w:r w:rsidRPr="001922A7">
        <w:rPr>
          <w:rFonts w:eastAsia="Times New Roman"/>
          <w:lang w:val="en-GB"/>
        </w:rPr>
        <w:fldChar w:fldCharType="end"/>
      </w:r>
      <w:r w:rsidRPr="001922A7">
        <w:rPr>
          <w:rFonts w:eastAsia="Times New Roman"/>
          <w:lang w:val="en-GB"/>
        </w:rPr>
        <w:t>.  However, t</w:t>
      </w:r>
      <w:r w:rsidR="00360CD9" w:rsidRPr="001922A7">
        <w:rPr>
          <w:rFonts w:eastAsia="Times New Roman"/>
          <w:lang w:val="en-GB"/>
        </w:rPr>
        <w:t xml:space="preserve">he </w:t>
      </w:r>
      <w:r w:rsidR="001A6B8C" w:rsidRPr="001A6B8C">
        <w:rPr>
          <w:rFonts w:eastAsia="Times New Roman"/>
          <w:lang w:val="en-GB"/>
        </w:rPr>
        <w:t>foregoing</w:t>
      </w:r>
      <w:r w:rsidR="00B92609" w:rsidRPr="001922A7">
        <w:rPr>
          <w:rFonts w:eastAsia="Times New Roman"/>
          <w:lang w:val="en-GB"/>
        </w:rPr>
        <w:t xml:space="preserve"> </w:t>
      </w:r>
      <w:r w:rsidR="00A93690" w:rsidRPr="001922A7">
        <w:rPr>
          <w:rFonts w:eastAsia="Times New Roman"/>
          <w:lang w:val="en-GB"/>
        </w:rPr>
        <w:t>considerations should not detract from the importance</w:t>
      </w:r>
      <w:r w:rsidR="007164BD">
        <w:rPr>
          <w:rFonts w:eastAsia="Times New Roman"/>
          <w:lang w:val="en-GB"/>
        </w:rPr>
        <w:t>, for the effectiveness of the Convention system,</w:t>
      </w:r>
      <w:r w:rsidR="00A93690" w:rsidRPr="001922A7">
        <w:rPr>
          <w:rFonts w:eastAsia="Times New Roman"/>
          <w:lang w:val="en-GB"/>
        </w:rPr>
        <w:t xml:space="preserve"> of ensuring that domestic procedures </w:t>
      </w:r>
      <w:r w:rsidR="00401BA4">
        <w:rPr>
          <w:rFonts w:eastAsia="Times New Roman"/>
          <w:lang w:val="en-GB"/>
        </w:rPr>
        <w:t>are</w:t>
      </w:r>
      <w:r w:rsidR="000E5390">
        <w:rPr>
          <w:rFonts w:eastAsia="Times New Roman"/>
          <w:lang w:val="en-GB"/>
        </w:rPr>
        <w:t xml:space="preserve"> </w:t>
      </w:r>
      <w:r w:rsidR="00A93690" w:rsidRPr="001922A7">
        <w:rPr>
          <w:rFonts w:eastAsia="Times New Roman"/>
          <w:lang w:val="en-GB"/>
        </w:rPr>
        <w:t>in pl</w:t>
      </w:r>
      <w:r w:rsidR="00B75683" w:rsidRPr="001922A7">
        <w:rPr>
          <w:rFonts w:eastAsia="Times New Roman"/>
          <w:lang w:val="en-GB"/>
        </w:rPr>
        <w:t>ace which allow a case to be re</w:t>
      </w:r>
      <w:r w:rsidR="00A93690" w:rsidRPr="001922A7">
        <w:rPr>
          <w:rFonts w:eastAsia="Times New Roman"/>
          <w:lang w:val="en-GB"/>
        </w:rPr>
        <w:t>visited in the light of a finding that Article 6</w:t>
      </w:r>
      <w:r w:rsidR="009912A8">
        <w:rPr>
          <w:rFonts w:eastAsia="Times New Roman"/>
          <w:lang w:val="en-GB"/>
        </w:rPr>
        <w:t>’</w:t>
      </w:r>
      <w:r w:rsidR="007164BD">
        <w:rPr>
          <w:rFonts w:eastAsia="Times New Roman"/>
          <w:lang w:val="en-GB"/>
        </w:rPr>
        <w:t xml:space="preserve">s safeguards of a fair trial </w:t>
      </w:r>
      <w:r w:rsidR="00A93690" w:rsidRPr="001922A7">
        <w:rPr>
          <w:rFonts w:eastAsia="Times New Roman"/>
          <w:lang w:val="en-GB"/>
        </w:rPr>
        <w:t>ha</w:t>
      </w:r>
      <w:r w:rsidR="007164BD">
        <w:rPr>
          <w:rFonts w:eastAsia="Times New Roman"/>
          <w:lang w:val="en-GB"/>
        </w:rPr>
        <w:t>ve</w:t>
      </w:r>
      <w:r w:rsidR="00A93690" w:rsidRPr="001922A7">
        <w:rPr>
          <w:rFonts w:eastAsia="Times New Roman"/>
          <w:lang w:val="en-GB"/>
        </w:rPr>
        <w:t xml:space="preserve"> been violated. On the contrary, such procedures may be regarded as an important aspect of the execution of its judgments </w:t>
      </w:r>
      <w:r w:rsidR="007164BD">
        <w:rPr>
          <w:rFonts w:eastAsia="Times New Roman"/>
          <w:lang w:val="en-GB"/>
        </w:rPr>
        <w:t xml:space="preserve">as governed by Article 46 of the Convention </w:t>
      </w:r>
      <w:r w:rsidR="00A93690" w:rsidRPr="001922A7">
        <w:rPr>
          <w:rFonts w:eastAsia="Times New Roman"/>
          <w:lang w:val="en-GB"/>
        </w:rPr>
        <w:t>and their availability demonstrates a Contracting State</w:t>
      </w:r>
      <w:r w:rsidR="009912A8">
        <w:rPr>
          <w:rFonts w:eastAsia="Times New Roman"/>
          <w:lang w:val="en-GB"/>
        </w:rPr>
        <w:t>’</w:t>
      </w:r>
      <w:r w:rsidR="00A93690" w:rsidRPr="001922A7">
        <w:rPr>
          <w:rFonts w:eastAsia="Times New Roman"/>
          <w:lang w:val="en-GB"/>
        </w:rPr>
        <w:t>s commitment to the Convention a</w:t>
      </w:r>
      <w:r w:rsidR="00CA483B">
        <w:rPr>
          <w:rFonts w:eastAsia="Times New Roman"/>
          <w:lang w:val="en-GB"/>
        </w:rPr>
        <w:t>nd to the Court</w:t>
      </w:r>
      <w:r w:rsidR="009912A8">
        <w:rPr>
          <w:rFonts w:eastAsia="Times New Roman"/>
          <w:lang w:val="en-GB"/>
        </w:rPr>
        <w:t>’</w:t>
      </w:r>
      <w:r w:rsidR="00CA483B">
        <w:rPr>
          <w:rFonts w:eastAsia="Times New Roman"/>
          <w:lang w:val="en-GB"/>
        </w:rPr>
        <w:t>s case-law (see</w:t>
      </w:r>
      <w:r w:rsidR="00A93690" w:rsidRPr="001922A7">
        <w:rPr>
          <w:rFonts w:eastAsia="Times New Roman"/>
          <w:lang w:val="en-GB"/>
        </w:rPr>
        <w:t xml:space="preserve"> </w:t>
      </w:r>
      <w:r w:rsidR="00A93690" w:rsidRPr="001922A7">
        <w:rPr>
          <w:rFonts w:eastAsia="Times New Roman"/>
          <w:i/>
          <w:lang w:val="en-GB"/>
        </w:rPr>
        <w:t>Lyons and Others</w:t>
      </w:r>
      <w:r w:rsidR="00A93690" w:rsidRPr="001922A7">
        <w:rPr>
          <w:rFonts w:eastAsia="Times New Roman"/>
          <w:lang w:val="en-GB"/>
        </w:rPr>
        <w:t>, cited above).</w:t>
      </w:r>
      <w:r w:rsidR="002347A7" w:rsidRPr="002347A7">
        <w:t xml:space="preserve"> </w:t>
      </w:r>
      <w:r w:rsidR="002347A7" w:rsidRPr="002347A7">
        <w:rPr>
          <w:rFonts w:eastAsia="Times New Roman"/>
          <w:lang w:val="en-GB"/>
        </w:rPr>
        <w:t xml:space="preserve">The Court </w:t>
      </w:r>
      <w:r w:rsidR="00D96895">
        <w:rPr>
          <w:rFonts w:eastAsia="Times New Roman"/>
          <w:lang w:val="en-GB"/>
        </w:rPr>
        <w:t>recalls in this connection</w:t>
      </w:r>
      <w:r w:rsidR="002347A7">
        <w:rPr>
          <w:rFonts w:eastAsia="Times New Roman"/>
          <w:lang w:val="en-GB"/>
        </w:rPr>
        <w:t xml:space="preserve"> </w:t>
      </w:r>
      <w:r w:rsidR="002347A7" w:rsidRPr="002347A7">
        <w:rPr>
          <w:rFonts w:eastAsia="Times New Roman"/>
          <w:lang w:val="en-GB"/>
        </w:rPr>
        <w:t>Recommendation No. R (2000) 2 adopted by the Committee of Ministers, in which the State</w:t>
      </w:r>
      <w:r w:rsidR="00E87C52">
        <w:rPr>
          <w:rFonts w:eastAsia="Times New Roman"/>
          <w:lang w:val="en-GB"/>
        </w:rPr>
        <w:t>s</w:t>
      </w:r>
      <w:r w:rsidR="002347A7" w:rsidRPr="002347A7">
        <w:rPr>
          <w:rFonts w:eastAsia="Times New Roman"/>
          <w:lang w:val="en-GB"/>
        </w:rPr>
        <w:t xml:space="preserve"> Parties to the Convention are called upon to ensure that there are adequate possibilities of reopening proceedings at domestic level where the Court has found a violation of the Convention</w:t>
      </w:r>
      <w:r w:rsidR="00EA7152">
        <w:rPr>
          <w:rFonts w:eastAsia="Times New Roman"/>
          <w:lang w:val="en-GB"/>
        </w:rPr>
        <w:t xml:space="preserve"> (see</w:t>
      </w:r>
      <w:r w:rsidR="00EA7152" w:rsidRPr="00EA7152">
        <w:rPr>
          <w:rFonts w:eastAsia="Times New Roman"/>
          <w:lang w:val="en-GB"/>
        </w:rPr>
        <w:t xml:space="preserve"> </w:t>
      </w:r>
      <w:r w:rsidR="00EA7152" w:rsidRPr="002347A7">
        <w:rPr>
          <w:rFonts w:eastAsia="Times New Roman"/>
          <w:lang w:val="en-GB"/>
        </w:rPr>
        <w:t>paragraph 28 above</w:t>
      </w:r>
      <w:r w:rsidR="00EA7152">
        <w:rPr>
          <w:rFonts w:eastAsia="Times New Roman"/>
          <w:lang w:val="en-GB"/>
        </w:rPr>
        <w:t>)</w:t>
      </w:r>
      <w:r w:rsidR="002347A7" w:rsidRPr="002347A7">
        <w:rPr>
          <w:rFonts w:eastAsia="Times New Roman"/>
          <w:lang w:val="en-GB"/>
        </w:rPr>
        <w:t xml:space="preserve">. It </w:t>
      </w:r>
      <w:r w:rsidR="00D96895">
        <w:rPr>
          <w:rFonts w:eastAsia="Times New Roman"/>
          <w:lang w:val="en-GB"/>
        </w:rPr>
        <w:t>reaffirms its view</w:t>
      </w:r>
      <w:r w:rsidR="002347A7" w:rsidRPr="002347A7">
        <w:rPr>
          <w:rFonts w:eastAsia="Times New Roman"/>
          <w:lang w:val="en-GB"/>
        </w:rPr>
        <w:t xml:space="preserve"> that such measures may represent “the most efficient, if not the only, means of achieving </w:t>
      </w:r>
      <w:r w:rsidR="002347A7" w:rsidRPr="002347A7">
        <w:rPr>
          <w:rFonts w:eastAsia="Times New Roman"/>
          <w:i/>
          <w:lang w:val="en-GB"/>
        </w:rPr>
        <w:t>restitutio in integrum</w:t>
      </w:r>
      <w:r w:rsidR="002347A7" w:rsidRPr="002347A7">
        <w:rPr>
          <w:rFonts w:eastAsia="Times New Roman"/>
          <w:lang w:val="en-GB"/>
        </w:rPr>
        <w:t xml:space="preserve">” (see </w:t>
      </w:r>
      <w:r w:rsidR="002347A7" w:rsidRPr="002347A7">
        <w:rPr>
          <w:rFonts w:eastAsia="Times New Roman"/>
          <w:i/>
          <w:lang w:val="en-GB"/>
        </w:rPr>
        <w:t>Verein gegen Tierfabriken Schweiz (VgT) (no. 2)</w:t>
      </w:r>
      <w:r w:rsidR="002347A7" w:rsidRPr="002347A7">
        <w:rPr>
          <w:rFonts w:eastAsia="Times New Roman"/>
          <w:lang w:val="en-GB"/>
        </w:rPr>
        <w:t xml:space="preserve">, </w:t>
      </w:r>
      <w:r w:rsidR="002347A7" w:rsidRPr="0020636F">
        <w:rPr>
          <w:rFonts w:eastAsia="Times New Roman"/>
          <w:lang w:val="en-GB"/>
        </w:rPr>
        <w:t xml:space="preserve">cited </w:t>
      </w:r>
      <w:r w:rsidR="00D71D8B" w:rsidRPr="0020636F">
        <w:rPr>
          <w:rFonts w:eastAsia="Times New Roman"/>
          <w:lang w:val="en-GB"/>
        </w:rPr>
        <w:t xml:space="preserve">at paragraph 33 </w:t>
      </w:r>
      <w:r w:rsidR="00557875">
        <w:rPr>
          <w:rFonts w:eastAsia="Times New Roman"/>
          <w:lang w:val="en-GB"/>
        </w:rPr>
        <w:t>above, §§ 33 and </w:t>
      </w:r>
      <w:r w:rsidR="002347A7" w:rsidRPr="0020636F">
        <w:rPr>
          <w:rFonts w:eastAsia="Times New Roman"/>
          <w:lang w:val="en-GB"/>
        </w:rPr>
        <w:t>89;</w:t>
      </w:r>
      <w:r w:rsidR="006C6CC5" w:rsidRPr="0020636F">
        <w:rPr>
          <w:rFonts w:eastAsia="Times New Roman"/>
          <w:lang w:val="en-GB"/>
        </w:rPr>
        <w:t xml:space="preserve"> and</w:t>
      </w:r>
      <w:r w:rsidR="002347A7" w:rsidRPr="0020636F">
        <w:rPr>
          <w:rFonts w:eastAsia="Times New Roman"/>
          <w:i/>
          <w:lang w:val="en-GB" w:eastAsia="fr-FR"/>
        </w:rPr>
        <w:t xml:space="preserve"> S</w:t>
      </w:r>
      <w:r w:rsidR="002347A7" w:rsidRPr="0020636F">
        <w:rPr>
          <w:rFonts w:eastAsia="Times New Roman"/>
          <w:i/>
          <w:lang w:val="en-GB"/>
        </w:rPr>
        <w:t>teck-Risch and Others</w:t>
      </w:r>
      <w:r w:rsidR="002347A7" w:rsidRPr="0020636F">
        <w:rPr>
          <w:rFonts w:eastAsia="Times New Roman"/>
          <w:lang w:val="en-GB"/>
        </w:rPr>
        <w:t xml:space="preserve">, </w:t>
      </w:r>
      <w:r w:rsidR="00EA7152" w:rsidRPr="0020636F">
        <w:rPr>
          <w:rFonts w:eastAsia="Times New Roman"/>
          <w:lang w:val="en-GB"/>
        </w:rPr>
        <w:t>cited above</w:t>
      </w:r>
      <w:r w:rsidR="002347A7" w:rsidRPr="002347A7">
        <w:rPr>
          <w:rFonts w:eastAsia="Times New Roman"/>
          <w:lang w:val="en-GB"/>
        </w:rPr>
        <w:t>).</w:t>
      </w:r>
    </w:p>
    <w:p w:rsidR="00C315B9" w:rsidRPr="001922A7" w:rsidRDefault="00581CBD" w:rsidP="0062363B">
      <w:pPr>
        <w:pStyle w:val="ECHRHeading2"/>
        <w:rPr>
          <w:lang w:val="en-GB"/>
        </w:rPr>
      </w:pPr>
      <w:r w:rsidRPr="001922A7">
        <w:rPr>
          <w:lang w:val="en-GB"/>
        </w:rPr>
        <w:t>C</w:t>
      </w:r>
      <w:r w:rsidR="00790726" w:rsidRPr="001922A7">
        <w:rPr>
          <w:lang w:val="en-GB"/>
        </w:rPr>
        <w:t>.  </w:t>
      </w:r>
      <w:r w:rsidR="00F5575F">
        <w:rPr>
          <w:rFonts w:eastAsia="Times New Roman"/>
          <w:lang w:val="en-GB" w:eastAsia="fr-FR"/>
        </w:rPr>
        <w:t>A</w:t>
      </w:r>
      <w:r w:rsidR="00790726" w:rsidRPr="001922A7">
        <w:rPr>
          <w:rFonts w:eastAsia="Times New Roman"/>
          <w:lang w:val="en-GB" w:eastAsia="fr-FR"/>
        </w:rPr>
        <w:t xml:space="preserve">s to </w:t>
      </w:r>
      <w:r w:rsidR="00EB4AA9" w:rsidRPr="0062363B">
        <w:t>whether</w:t>
      </w:r>
      <w:r w:rsidR="00EB4AA9">
        <w:rPr>
          <w:rFonts w:eastAsia="Times New Roman"/>
          <w:lang w:val="en-GB" w:eastAsia="fr-FR"/>
        </w:rPr>
        <w:t xml:space="preserve"> </w:t>
      </w:r>
      <w:r w:rsidR="00790726" w:rsidRPr="001922A7">
        <w:rPr>
          <w:rFonts w:eastAsia="Times New Roman"/>
          <w:lang w:val="en-GB" w:eastAsia="fr-FR"/>
        </w:rPr>
        <w:t>the applicant</w:t>
      </w:r>
      <w:r w:rsidR="009912A8">
        <w:rPr>
          <w:rFonts w:eastAsia="Times New Roman"/>
          <w:lang w:val="en-GB" w:eastAsia="fr-FR"/>
        </w:rPr>
        <w:t>’</w:t>
      </w:r>
      <w:r w:rsidR="00790726" w:rsidRPr="001922A7">
        <w:rPr>
          <w:rFonts w:eastAsia="Times New Roman"/>
          <w:lang w:val="en-GB" w:eastAsia="fr-FR"/>
        </w:rPr>
        <w:t>s new complaint</w:t>
      </w:r>
      <w:r w:rsidR="007164BD">
        <w:rPr>
          <w:rFonts w:eastAsia="Times New Roman"/>
          <w:lang w:val="en-GB" w:eastAsia="fr-FR"/>
        </w:rPr>
        <w:t xml:space="preserve"> under </w:t>
      </w:r>
      <w:r w:rsidR="00790726" w:rsidRPr="001922A7">
        <w:rPr>
          <w:rFonts w:eastAsia="Times New Roman"/>
          <w:lang w:val="en-GB" w:eastAsia="fr-FR"/>
        </w:rPr>
        <w:t>Article 6 § 1 of the Convention</w:t>
      </w:r>
      <w:r w:rsidR="00EB4AA9">
        <w:rPr>
          <w:rFonts w:eastAsia="Times New Roman"/>
          <w:lang w:val="en-GB" w:eastAsia="fr-FR"/>
        </w:rPr>
        <w:t xml:space="preserve"> satisfies the other admissibility conditions</w:t>
      </w:r>
    </w:p>
    <w:p w:rsidR="00C315B9" w:rsidRPr="001922A7" w:rsidRDefault="002D28F7" w:rsidP="00C315B9">
      <w:pPr>
        <w:pStyle w:val="ECHRPara"/>
        <w:rPr>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59</w:t>
      </w:r>
      <w:r w:rsidRPr="001922A7">
        <w:rPr>
          <w:lang w:val="en-GB"/>
        </w:rPr>
        <w:fldChar w:fldCharType="end"/>
      </w:r>
      <w:r w:rsidRPr="001922A7">
        <w:rPr>
          <w:lang w:val="en-GB"/>
        </w:rPr>
        <w:t>.  </w:t>
      </w:r>
      <w:r w:rsidR="00C315B9" w:rsidRPr="001922A7">
        <w:rPr>
          <w:lang w:val="en-GB"/>
        </w:rPr>
        <w:t xml:space="preserve">The Court </w:t>
      </w:r>
      <w:r w:rsidR="005E0EE4" w:rsidRPr="001922A7">
        <w:rPr>
          <w:lang w:val="en-GB"/>
        </w:rPr>
        <w:t xml:space="preserve">further </w:t>
      </w:r>
      <w:r w:rsidR="00D04291">
        <w:rPr>
          <w:lang w:val="en-GB"/>
        </w:rPr>
        <w:t xml:space="preserve">finds </w:t>
      </w:r>
      <w:r w:rsidR="00C315B9" w:rsidRPr="001922A7">
        <w:rPr>
          <w:lang w:val="en-GB"/>
        </w:rPr>
        <w:t xml:space="preserve">that </w:t>
      </w:r>
      <w:r w:rsidR="00B25C7F" w:rsidRPr="001922A7">
        <w:rPr>
          <w:lang w:val="en-GB"/>
        </w:rPr>
        <w:t>the applicant</w:t>
      </w:r>
      <w:r w:rsidR="009912A8">
        <w:rPr>
          <w:lang w:val="en-GB"/>
        </w:rPr>
        <w:t>’</w:t>
      </w:r>
      <w:r w:rsidR="00B25C7F" w:rsidRPr="001922A7">
        <w:rPr>
          <w:lang w:val="en-GB"/>
        </w:rPr>
        <w:t>s complaint about the unfairness of the proceedings culminating in the Supreme Court</w:t>
      </w:r>
      <w:r w:rsidR="009912A8">
        <w:rPr>
          <w:lang w:val="en-GB"/>
        </w:rPr>
        <w:t>’</w:t>
      </w:r>
      <w:r w:rsidR="00B25C7F" w:rsidRPr="001922A7">
        <w:rPr>
          <w:lang w:val="en-GB"/>
        </w:rPr>
        <w:t>s decision of 14 March 2008</w:t>
      </w:r>
      <w:r w:rsidR="00C315B9" w:rsidRPr="001922A7">
        <w:rPr>
          <w:lang w:val="en-GB"/>
        </w:rPr>
        <w:t xml:space="preserve"> </w:t>
      </w:r>
      <w:r w:rsidR="00B25C7F" w:rsidRPr="001922A7">
        <w:rPr>
          <w:lang w:val="en-GB"/>
        </w:rPr>
        <w:t xml:space="preserve">is </w:t>
      </w:r>
      <w:r w:rsidR="00C315B9" w:rsidRPr="001922A7">
        <w:rPr>
          <w:lang w:val="en-GB"/>
        </w:rPr>
        <w:t>not manifestly ill-founded wit</w:t>
      </w:r>
      <w:r w:rsidR="00C57073">
        <w:rPr>
          <w:lang w:val="en-GB"/>
        </w:rPr>
        <w:t xml:space="preserve">hin the meaning of Article </w:t>
      </w:r>
      <w:r w:rsidR="00B25C7F" w:rsidRPr="001922A7">
        <w:rPr>
          <w:lang w:val="en-GB"/>
        </w:rPr>
        <w:t>35</w:t>
      </w:r>
      <w:r w:rsidR="00C57073">
        <w:rPr>
          <w:lang w:val="en-GB"/>
        </w:rPr>
        <w:t xml:space="preserve"> </w:t>
      </w:r>
      <w:r w:rsidR="00B25C7F" w:rsidRPr="001922A7">
        <w:rPr>
          <w:lang w:val="en-GB"/>
        </w:rPr>
        <w:t>§</w:t>
      </w:r>
      <w:r w:rsidR="00C57073">
        <w:rPr>
          <w:lang w:val="en-GB"/>
        </w:rPr>
        <w:t xml:space="preserve"> </w:t>
      </w:r>
      <w:r w:rsidR="00C315B9" w:rsidRPr="001922A7">
        <w:rPr>
          <w:lang w:val="en-GB"/>
        </w:rPr>
        <w:t>3 (a) of the Convention</w:t>
      </w:r>
      <w:r w:rsidR="00D04291">
        <w:rPr>
          <w:lang w:val="en-GB"/>
        </w:rPr>
        <w:t xml:space="preserve"> and</w:t>
      </w:r>
      <w:r w:rsidR="00C315B9" w:rsidRPr="001922A7">
        <w:rPr>
          <w:lang w:val="en-GB"/>
        </w:rPr>
        <w:t xml:space="preserve"> that it is not inadmissible on any other ground. It must therefore be declared admissible.</w:t>
      </w:r>
    </w:p>
    <w:p w:rsidR="00014566" w:rsidRPr="001922A7" w:rsidRDefault="009660B9" w:rsidP="0062363B">
      <w:pPr>
        <w:pStyle w:val="ECHRHeading2"/>
        <w:rPr>
          <w:lang w:val="en-GB"/>
        </w:rPr>
      </w:pPr>
      <w:r w:rsidRPr="001922A7">
        <w:rPr>
          <w:lang w:val="en-GB"/>
        </w:rPr>
        <w:t>D</w:t>
      </w:r>
      <w:r w:rsidR="00014566" w:rsidRPr="001922A7">
        <w:rPr>
          <w:lang w:val="en-GB"/>
        </w:rPr>
        <w:t>.  Merits</w:t>
      </w:r>
      <w:r w:rsidRPr="001922A7">
        <w:rPr>
          <w:rFonts w:asciiTheme="minorHAnsi" w:eastAsiaTheme="minorEastAsia" w:hAnsiTheme="minorHAnsi" w:cstheme="minorBidi"/>
          <w:bCs w:val="0"/>
          <w:szCs w:val="22"/>
          <w:lang w:val="en-GB"/>
        </w:rPr>
        <w:t xml:space="preserve"> </w:t>
      </w:r>
      <w:r w:rsidRPr="0062363B">
        <w:t>of</w:t>
      </w:r>
      <w:r w:rsidRPr="001922A7">
        <w:rPr>
          <w:rFonts w:asciiTheme="minorHAnsi" w:eastAsiaTheme="minorEastAsia" w:hAnsiTheme="minorHAnsi" w:cstheme="minorBidi"/>
          <w:bCs w:val="0"/>
          <w:szCs w:val="22"/>
          <w:lang w:val="en-GB"/>
        </w:rPr>
        <w:t xml:space="preserve"> </w:t>
      </w:r>
      <w:r w:rsidRPr="001922A7">
        <w:rPr>
          <w:lang w:val="en-GB"/>
        </w:rPr>
        <w:t>the applicant</w:t>
      </w:r>
      <w:r w:rsidR="009912A8">
        <w:rPr>
          <w:lang w:val="en-GB"/>
        </w:rPr>
        <w:t>’</w:t>
      </w:r>
      <w:r w:rsidRPr="001922A7">
        <w:rPr>
          <w:lang w:val="en-GB"/>
        </w:rPr>
        <w:t>s new complaint under Article 6 § 1 of the Convention</w:t>
      </w:r>
    </w:p>
    <w:p w:rsidR="00014566" w:rsidRPr="001922A7" w:rsidRDefault="00DE3CC4" w:rsidP="00C621C2">
      <w:pPr>
        <w:pStyle w:val="ECHRPara"/>
        <w:rPr>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60</w:t>
      </w:r>
      <w:r w:rsidRPr="001922A7">
        <w:rPr>
          <w:lang w:val="en-GB"/>
        </w:rPr>
        <w:fldChar w:fldCharType="end"/>
      </w:r>
      <w:r w:rsidR="00014566" w:rsidRPr="001922A7">
        <w:rPr>
          <w:lang w:val="en-GB"/>
        </w:rPr>
        <w:t>.  </w:t>
      </w:r>
      <w:r w:rsidR="00892307" w:rsidRPr="00892307">
        <w:rPr>
          <w:lang w:val="en-GB"/>
        </w:rPr>
        <w:t>As regards the question of compliance with the requirements of Article 6 § 1 in the present case, the Court observes that the applicant</w:t>
      </w:r>
      <w:r w:rsidR="009912A8">
        <w:rPr>
          <w:lang w:val="en-GB"/>
        </w:rPr>
        <w:t>’</w:t>
      </w:r>
      <w:r w:rsidR="00892307" w:rsidRPr="00892307">
        <w:rPr>
          <w:lang w:val="en-GB"/>
        </w:rPr>
        <w:t>s unfairness complaint was directed specifically against the reasoning the Supreme Court employed in its decision of 14 March 2008.</w:t>
      </w:r>
    </w:p>
    <w:p w:rsidR="00405717" w:rsidRPr="001922A7" w:rsidRDefault="00405717" w:rsidP="008847BC">
      <w:pPr>
        <w:pStyle w:val="ECHRPara"/>
        <w:rPr>
          <w:rFonts w:eastAsia="Times New Roman"/>
          <w:lang w:val="en-GB"/>
        </w:rPr>
      </w:pPr>
      <w:r w:rsidRPr="001922A7">
        <w:rPr>
          <w:rFonts w:eastAsia="Times New Roman"/>
          <w:lang w:val="en-GB"/>
        </w:rPr>
        <w:fldChar w:fldCharType="begin"/>
      </w:r>
      <w:r w:rsidRPr="001922A7">
        <w:rPr>
          <w:rFonts w:eastAsia="Times New Roman"/>
          <w:lang w:val="en-GB"/>
        </w:rPr>
        <w:instrText xml:space="preserve"> SEQ level0 \*arabic </w:instrText>
      </w:r>
      <w:r w:rsidRPr="001922A7">
        <w:rPr>
          <w:rFonts w:eastAsia="Times New Roman"/>
          <w:lang w:val="en-GB"/>
        </w:rPr>
        <w:fldChar w:fldCharType="separate"/>
      </w:r>
      <w:r w:rsidR="00E15C77">
        <w:rPr>
          <w:rFonts w:eastAsia="Times New Roman"/>
          <w:noProof/>
          <w:lang w:val="en-GB"/>
        </w:rPr>
        <w:t>61</w:t>
      </w:r>
      <w:r w:rsidRPr="001922A7">
        <w:rPr>
          <w:rFonts w:eastAsia="Times New Roman"/>
          <w:lang w:val="en-GB"/>
        </w:rPr>
        <w:fldChar w:fldCharType="end"/>
      </w:r>
      <w:r w:rsidRPr="001922A7">
        <w:rPr>
          <w:rFonts w:eastAsia="Times New Roman"/>
          <w:lang w:val="en-GB"/>
        </w:rPr>
        <w:t>.  </w:t>
      </w:r>
      <w:r w:rsidR="00A54B10" w:rsidRPr="001922A7">
        <w:rPr>
          <w:rFonts w:eastAsia="Times New Roman"/>
          <w:lang w:val="en-GB"/>
        </w:rPr>
        <w:t xml:space="preserve">It </w:t>
      </w:r>
      <w:r w:rsidR="00806419" w:rsidRPr="001922A7">
        <w:rPr>
          <w:rFonts w:eastAsia="Times New Roman"/>
          <w:lang w:val="en-GB"/>
        </w:rPr>
        <w:t xml:space="preserve">reiterates that, according to its </w:t>
      </w:r>
      <w:r w:rsidR="00A54B10" w:rsidRPr="001922A7">
        <w:rPr>
          <w:rFonts w:eastAsia="Times New Roman"/>
          <w:lang w:val="en-GB"/>
        </w:rPr>
        <w:t>long-</w:t>
      </w:r>
      <w:r w:rsidR="00806419" w:rsidRPr="001922A7">
        <w:rPr>
          <w:rFonts w:eastAsia="Times New Roman"/>
          <w:lang w:val="en-GB"/>
        </w:rPr>
        <w:t>standing and established case-law, it is not for this Court to deal with alleged errors of law or fact committed by the national courts</w:t>
      </w:r>
      <w:r w:rsidR="00892307" w:rsidRPr="00892307">
        <w:rPr>
          <w:rFonts w:eastAsia="Times New Roman"/>
          <w:lang w:val="en-GB"/>
        </w:rPr>
        <w:t xml:space="preserve"> unless and in so far as they may have infringed rights and freedoms protected by the Convention</w:t>
      </w:r>
      <w:r w:rsidR="00806419" w:rsidRPr="001922A7">
        <w:rPr>
          <w:rFonts w:eastAsia="Times New Roman"/>
          <w:lang w:val="en-GB"/>
        </w:rPr>
        <w:t xml:space="preserve"> (see, for instance, </w:t>
      </w:r>
      <w:r w:rsidR="00806419" w:rsidRPr="001922A7">
        <w:rPr>
          <w:i/>
          <w:lang w:val="en-GB"/>
        </w:rPr>
        <w:t>García Ruiz v. Spain</w:t>
      </w:r>
      <w:r w:rsidR="00806419" w:rsidRPr="001922A7">
        <w:rPr>
          <w:lang w:val="en-GB"/>
        </w:rPr>
        <w:t xml:space="preserve"> [GC], no. 30544/96, §</w:t>
      </w:r>
      <w:r w:rsidR="00C57073">
        <w:rPr>
          <w:lang w:val="en-GB"/>
        </w:rPr>
        <w:t xml:space="preserve"> </w:t>
      </w:r>
      <w:r w:rsidR="00806419" w:rsidRPr="001922A7">
        <w:rPr>
          <w:lang w:val="en-GB"/>
        </w:rPr>
        <w:t>28, ECHR 1999</w:t>
      </w:r>
      <w:r w:rsidR="00806419" w:rsidRPr="001922A7">
        <w:rPr>
          <w:lang w:val="en-GB"/>
        </w:rPr>
        <w:noBreakHyphen/>
        <w:t>I</w:t>
      </w:r>
      <w:r w:rsidR="00806419" w:rsidRPr="001922A7">
        <w:rPr>
          <w:rFonts w:eastAsia="Times New Roman"/>
          <w:lang w:val="en-GB"/>
        </w:rPr>
        <w:t xml:space="preserve">; and </w:t>
      </w:r>
      <w:r w:rsidR="00806419" w:rsidRPr="001922A7">
        <w:rPr>
          <w:i/>
          <w:lang w:val="en-GB"/>
        </w:rPr>
        <w:lastRenderedPageBreak/>
        <w:t>Perez v.</w:t>
      </w:r>
      <w:r w:rsidR="00C57073">
        <w:rPr>
          <w:i/>
          <w:lang w:val="en-GB"/>
        </w:rPr>
        <w:t xml:space="preserve"> </w:t>
      </w:r>
      <w:r w:rsidR="00806419" w:rsidRPr="001922A7">
        <w:rPr>
          <w:i/>
          <w:lang w:val="en-GB"/>
        </w:rPr>
        <w:t xml:space="preserve">France </w:t>
      </w:r>
      <w:r w:rsidR="00806419" w:rsidRPr="001922A7">
        <w:rPr>
          <w:lang w:val="en-GB"/>
        </w:rPr>
        <w:t>[GC], no.</w:t>
      </w:r>
      <w:r w:rsidR="00C57073">
        <w:rPr>
          <w:lang w:val="en-GB"/>
        </w:rPr>
        <w:t xml:space="preserve"> </w:t>
      </w:r>
      <w:r w:rsidR="00806419" w:rsidRPr="001922A7">
        <w:rPr>
          <w:lang w:val="en-GB"/>
        </w:rPr>
        <w:t>47287/99, §</w:t>
      </w:r>
      <w:r w:rsidR="00C57073">
        <w:rPr>
          <w:lang w:val="en-GB"/>
        </w:rPr>
        <w:t xml:space="preserve"> </w:t>
      </w:r>
      <w:r w:rsidR="00806419" w:rsidRPr="001922A7">
        <w:rPr>
          <w:lang w:val="en-GB"/>
        </w:rPr>
        <w:t>82, ECHR 2004</w:t>
      </w:r>
      <w:r w:rsidR="00806419" w:rsidRPr="001922A7">
        <w:rPr>
          <w:lang w:val="en-GB"/>
        </w:rPr>
        <w:noBreakHyphen/>
        <w:t>I</w:t>
      </w:r>
      <w:r w:rsidR="00892307" w:rsidRPr="00892307">
        <w:rPr>
          <w:rFonts w:eastAsia="Times New Roman"/>
          <w:lang w:val="en-GB"/>
        </w:rPr>
        <w:t>), for instance where it can, exceptionally, be said that they are constitutive of “unfairness” incompatible with Article 6 of the Convention. While this provision</w:t>
      </w:r>
      <w:r w:rsidR="00FA2077" w:rsidRPr="001922A7">
        <w:rPr>
          <w:rFonts w:eastAsia="Times New Roman"/>
          <w:lang w:val="en-GB"/>
        </w:rPr>
        <w:t xml:space="preserve"> guarantees the right to a fair hearing, it does not lay down any rules on the admissibility of evidence or the way </w:t>
      </w:r>
      <w:r w:rsidR="007164BD">
        <w:rPr>
          <w:rFonts w:eastAsia="Times New Roman"/>
          <w:lang w:val="en-GB"/>
        </w:rPr>
        <w:t xml:space="preserve">in which evidence </w:t>
      </w:r>
      <w:r w:rsidR="00FA2077" w:rsidRPr="001922A7">
        <w:rPr>
          <w:rFonts w:eastAsia="Times New Roman"/>
          <w:lang w:val="en-GB"/>
        </w:rPr>
        <w:t xml:space="preserve">should be assessed, </w:t>
      </w:r>
      <w:r w:rsidR="007164BD">
        <w:rPr>
          <w:rFonts w:eastAsia="Times New Roman"/>
          <w:lang w:val="en-GB"/>
        </w:rPr>
        <w:t xml:space="preserve">these being </w:t>
      </w:r>
      <w:r w:rsidR="00FA2077" w:rsidRPr="001922A7">
        <w:rPr>
          <w:rFonts w:eastAsia="Times New Roman"/>
          <w:lang w:val="en-GB"/>
        </w:rPr>
        <w:t xml:space="preserve">primarily matters for regulation by national law and the national courts. Normally, </w:t>
      </w:r>
      <w:r w:rsidR="00892307">
        <w:rPr>
          <w:rFonts w:eastAsia="Times New Roman"/>
          <w:lang w:val="en-GB"/>
        </w:rPr>
        <w:t>issues</w:t>
      </w:r>
      <w:r w:rsidR="00FA2077" w:rsidRPr="001922A7">
        <w:rPr>
          <w:rFonts w:eastAsia="Times New Roman"/>
          <w:lang w:val="en-GB"/>
        </w:rPr>
        <w:t xml:space="preserve"> such as the weight attached by the national courts to given items of evidence or to findings or assessments </w:t>
      </w:r>
      <w:r w:rsidR="007164BD">
        <w:rPr>
          <w:rFonts w:eastAsia="Times New Roman"/>
          <w:lang w:val="en-GB"/>
        </w:rPr>
        <w:t xml:space="preserve">in issue </w:t>
      </w:r>
      <w:r w:rsidR="00FA2077" w:rsidRPr="001922A7">
        <w:rPr>
          <w:rFonts w:eastAsia="Times New Roman"/>
          <w:lang w:val="en-GB"/>
        </w:rPr>
        <w:t xml:space="preserve">before them for consideration are not for the Court to review. The </w:t>
      </w:r>
      <w:r w:rsidR="00896E77" w:rsidRPr="001922A7">
        <w:rPr>
          <w:rFonts w:eastAsia="Times New Roman"/>
          <w:lang w:val="en-GB"/>
        </w:rPr>
        <w:t xml:space="preserve">Court </w:t>
      </w:r>
      <w:r w:rsidR="00892307" w:rsidRPr="00892307">
        <w:rPr>
          <w:rFonts w:eastAsia="Times New Roman"/>
          <w:lang w:val="en-GB"/>
        </w:rPr>
        <w:t xml:space="preserve">should not act as a fourth instance and will not therefore question </w:t>
      </w:r>
      <w:r w:rsidR="00896E77" w:rsidRPr="001922A7">
        <w:rPr>
          <w:rFonts w:eastAsia="Times New Roman"/>
          <w:lang w:val="en-GB"/>
        </w:rPr>
        <w:t>under Article 6 § 1</w:t>
      </w:r>
      <w:r w:rsidR="00806419" w:rsidRPr="001922A7">
        <w:rPr>
          <w:rFonts w:eastAsia="Times New Roman"/>
          <w:lang w:val="en-GB"/>
        </w:rPr>
        <w:t xml:space="preserve"> the judgment of the national courts, unless their findings </w:t>
      </w:r>
      <w:r w:rsidR="007164BD">
        <w:rPr>
          <w:rFonts w:eastAsia="Times New Roman"/>
          <w:lang w:val="en-GB"/>
        </w:rPr>
        <w:t xml:space="preserve">can be regarded as </w:t>
      </w:r>
      <w:r w:rsidR="00806419" w:rsidRPr="001922A7">
        <w:rPr>
          <w:lang w:val="en-GB"/>
        </w:rPr>
        <w:t xml:space="preserve">arbitrary or </w:t>
      </w:r>
      <w:r w:rsidR="00B64EDE" w:rsidRPr="001922A7">
        <w:rPr>
          <w:lang w:val="en-GB"/>
        </w:rPr>
        <w:t xml:space="preserve">manifestly </w:t>
      </w:r>
      <w:r w:rsidR="00806419" w:rsidRPr="001922A7">
        <w:rPr>
          <w:lang w:val="en-GB"/>
        </w:rPr>
        <w:t xml:space="preserve">unreasonable (see, for instance, </w:t>
      </w:r>
      <w:r w:rsidR="00806419" w:rsidRPr="001922A7">
        <w:rPr>
          <w:i/>
          <w:lang w:val="en-GB"/>
        </w:rPr>
        <w:t>Dulaurans v.</w:t>
      </w:r>
      <w:r w:rsidR="0023660B">
        <w:rPr>
          <w:i/>
          <w:lang w:val="en-GB"/>
        </w:rPr>
        <w:t> </w:t>
      </w:r>
      <w:r w:rsidR="00806419" w:rsidRPr="001922A7">
        <w:rPr>
          <w:i/>
          <w:lang w:val="en-GB"/>
        </w:rPr>
        <w:t>France</w:t>
      </w:r>
      <w:r w:rsidR="00C57073">
        <w:rPr>
          <w:lang w:val="en-GB"/>
        </w:rPr>
        <w:t>, no.</w:t>
      </w:r>
      <w:r w:rsidR="00806419" w:rsidRPr="001922A7">
        <w:rPr>
          <w:lang w:val="en-GB"/>
        </w:rPr>
        <w:t xml:space="preserve"> 34553/97, §§ 33-34 and 38, 21</w:t>
      </w:r>
      <w:r w:rsidR="00C57073">
        <w:rPr>
          <w:lang w:val="en-GB"/>
        </w:rPr>
        <w:t xml:space="preserve"> </w:t>
      </w:r>
      <w:r w:rsidR="00806419" w:rsidRPr="001922A7">
        <w:rPr>
          <w:lang w:val="en-GB"/>
        </w:rPr>
        <w:t xml:space="preserve">March 2000; </w:t>
      </w:r>
      <w:r w:rsidR="00806419" w:rsidRPr="001922A7">
        <w:rPr>
          <w:rFonts w:eastAsia="Times New Roman"/>
          <w:i/>
          <w:lang w:val="en-GB"/>
        </w:rPr>
        <w:t>Khamidov v.</w:t>
      </w:r>
      <w:r w:rsidR="0023660B">
        <w:rPr>
          <w:rFonts w:eastAsia="Times New Roman"/>
          <w:i/>
          <w:lang w:val="en-GB"/>
        </w:rPr>
        <w:t> </w:t>
      </w:r>
      <w:r w:rsidR="00806419" w:rsidRPr="001922A7">
        <w:rPr>
          <w:rFonts w:eastAsia="Times New Roman"/>
          <w:i/>
          <w:lang w:val="en-GB"/>
        </w:rPr>
        <w:t>Russia</w:t>
      </w:r>
      <w:r w:rsidR="00557875">
        <w:rPr>
          <w:rFonts w:eastAsia="Times New Roman"/>
          <w:lang w:val="en-GB"/>
        </w:rPr>
        <w:t>, no. </w:t>
      </w:r>
      <w:r w:rsidR="00806419" w:rsidRPr="001922A7">
        <w:rPr>
          <w:rFonts w:eastAsia="Times New Roman"/>
          <w:lang w:val="en-GB"/>
        </w:rPr>
        <w:t xml:space="preserve">72118/01, § 170, 15 November 2007; and </w:t>
      </w:r>
      <w:r w:rsidR="00806419" w:rsidRPr="001922A7">
        <w:rPr>
          <w:i/>
          <w:lang w:val="en-GB"/>
        </w:rPr>
        <w:t>Anđelković v.</w:t>
      </w:r>
      <w:r w:rsidR="0023660B">
        <w:rPr>
          <w:i/>
          <w:lang w:val="en-GB"/>
        </w:rPr>
        <w:t> </w:t>
      </w:r>
      <w:r w:rsidR="00806419" w:rsidRPr="001922A7">
        <w:rPr>
          <w:i/>
          <w:lang w:val="en-GB"/>
        </w:rPr>
        <w:t>Serbia</w:t>
      </w:r>
      <w:r w:rsidR="00557875">
        <w:rPr>
          <w:lang w:val="en-GB"/>
        </w:rPr>
        <w:t>, no. </w:t>
      </w:r>
      <w:r w:rsidR="00806419" w:rsidRPr="001922A7">
        <w:rPr>
          <w:lang w:val="en-GB"/>
        </w:rPr>
        <w:t>1401/08</w:t>
      </w:r>
      <w:r w:rsidR="00892307">
        <w:rPr>
          <w:snapToGrid w:val="0"/>
          <w:lang w:val="en-GB"/>
        </w:rPr>
        <w:t>, § 24, 9 April 2013).</w:t>
      </w:r>
    </w:p>
    <w:p w:rsidR="00405717" w:rsidRPr="001922A7" w:rsidRDefault="00405717" w:rsidP="008847BC">
      <w:pPr>
        <w:pStyle w:val="ECHRPara"/>
        <w:rPr>
          <w:rFonts w:eastAsia="Times New Roman"/>
          <w:lang w:val="en-GB"/>
        </w:rPr>
      </w:pPr>
      <w:r w:rsidRPr="001922A7">
        <w:rPr>
          <w:rFonts w:eastAsia="Times New Roman"/>
          <w:lang w:val="en-GB"/>
        </w:rPr>
        <w:fldChar w:fldCharType="begin"/>
      </w:r>
      <w:r w:rsidRPr="001922A7">
        <w:rPr>
          <w:rFonts w:eastAsia="Times New Roman"/>
          <w:lang w:val="en-GB"/>
        </w:rPr>
        <w:instrText xml:space="preserve"> SEQ level0 \*arabic </w:instrText>
      </w:r>
      <w:r w:rsidRPr="001922A7">
        <w:rPr>
          <w:rFonts w:eastAsia="Times New Roman"/>
          <w:lang w:val="en-GB"/>
        </w:rPr>
        <w:fldChar w:fldCharType="separate"/>
      </w:r>
      <w:r w:rsidR="00E15C77">
        <w:rPr>
          <w:rFonts w:eastAsia="Times New Roman"/>
          <w:noProof/>
          <w:lang w:val="en-GB"/>
        </w:rPr>
        <w:t>62</w:t>
      </w:r>
      <w:r w:rsidRPr="001922A7">
        <w:rPr>
          <w:rFonts w:eastAsia="Times New Roman"/>
          <w:lang w:val="en-GB"/>
        </w:rPr>
        <w:fldChar w:fldCharType="end"/>
      </w:r>
      <w:r w:rsidRPr="001922A7">
        <w:rPr>
          <w:rFonts w:eastAsia="Times New Roman"/>
          <w:lang w:val="en-GB"/>
        </w:rPr>
        <w:t>.  </w:t>
      </w:r>
      <w:r w:rsidR="0075183E" w:rsidRPr="001922A7">
        <w:rPr>
          <w:rFonts w:eastAsia="Times New Roman"/>
          <w:lang w:val="en-GB"/>
        </w:rPr>
        <w:t>Thus, i</w:t>
      </w:r>
      <w:r w:rsidRPr="001922A7">
        <w:rPr>
          <w:rFonts w:eastAsia="Times New Roman"/>
          <w:lang w:val="en-GB"/>
        </w:rPr>
        <w:t xml:space="preserve">n </w:t>
      </w:r>
      <w:r w:rsidRPr="001922A7">
        <w:rPr>
          <w:rFonts w:eastAsia="Times New Roman"/>
          <w:i/>
          <w:lang w:val="en-GB"/>
        </w:rPr>
        <w:t>Dulaurans</w:t>
      </w:r>
      <w:r w:rsidRPr="001922A7">
        <w:rPr>
          <w:rFonts w:eastAsia="Times New Roman"/>
          <w:lang w:val="en-GB"/>
        </w:rPr>
        <w:t xml:space="preserve"> the Court found a violation of the right to a fair trial because the sole reason why the French Court of Cassation had arrived at its contested decision rejecting the applicant</w:t>
      </w:r>
      <w:r w:rsidR="009912A8">
        <w:rPr>
          <w:rFonts w:eastAsia="Times New Roman"/>
          <w:lang w:val="en-GB"/>
        </w:rPr>
        <w:t>’</w:t>
      </w:r>
      <w:r w:rsidRPr="001922A7">
        <w:rPr>
          <w:rFonts w:eastAsia="Times New Roman"/>
          <w:lang w:val="en-GB"/>
        </w:rPr>
        <w:t>s cassation appeal as inadmissible was the result of “</w:t>
      </w:r>
      <w:r w:rsidRPr="001922A7">
        <w:rPr>
          <w:rFonts w:eastAsia="Times New Roman"/>
          <w:i/>
          <w:lang w:val="en-GB"/>
        </w:rPr>
        <w:t>une erreur manifeste d</w:t>
      </w:r>
      <w:r w:rsidR="009912A8">
        <w:rPr>
          <w:rFonts w:eastAsia="Times New Roman"/>
          <w:i/>
          <w:lang w:val="en-GB"/>
        </w:rPr>
        <w:t>’</w:t>
      </w:r>
      <w:r w:rsidRPr="001922A7">
        <w:rPr>
          <w:rFonts w:eastAsia="Times New Roman"/>
          <w:i/>
          <w:lang w:val="en-GB"/>
        </w:rPr>
        <w:t>appréciation</w:t>
      </w:r>
      <w:r w:rsidRPr="001922A7">
        <w:rPr>
          <w:rFonts w:eastAsia="Times New Roman"/>
          <w:lang w:val="en-GB"/>
        </w:rPr>
        <w:t xml:space="preserve">” (“a manifest error of assessment”) (see </w:t>
      </w:r>
      <w:r w:rsidRPr="001922A7">
        <w:rPr>
          <w:rFonts w:eastAsia="Times New Roman"/>
          <w:i/>
          <w:lang w:val="en-GB"/>
        </w:rPr>
        <w:t>Dulaurans</w:t>
      </w:r>
      <w:r w:rsidRPr="001922A7">
        <w:rPr>
          <w:rFonts w:eastAsia="Times New Roman"/>
          <w:lang w:val="en-GB"/>
        </w:rPr>
        <w:t>, cited above). The thinking underlying this notion of “</w:t>
      </w:r>
      <w:r w:rsidRPr="001922A7">
        <w:rPr>
          <w:rFonts w:eastAsia="Times New Roman"/>
          <w:i/>
          <w:lang w:val="en-GB"/>
        </w:rPr>
        <w:t>erreur manifeste d</w:t>
      </w:r>
      <w:r w:rsidR="009912A8">
        <w:rPr>
          <w:rFonts w:eastAsia="Times New Roman"/>
          <w:i/>
          <w:lang w:val="en-GB"/>
        </w:rPr>
        <w:t>’</w:t>
      </w:r>
      <w:r w:rsidRPr="001922A7">
        <w:rPr>
          <w:rFonts w:eastAsia="Times New Roman"/>
          <w:i/>
          <w:lang w:val="en-GB"/>
        </w:rPr>
        <w:t>appréciation</w:t>
      </w:r>
      <w:r w:rsidRPr="001922A7">
        <w:rPr>
          <w:rFonts w:eastAsia="Times New Roman"/>
          <w:lang w:val="en-GB"/>
        </w:rPr>
        <w:t xml:space="preserve">” (a concept </w:t>
      </w:r>
      <w:r w:rsidR="005A2CA5">
        <w:rPr>
          <w:rFonts w:eastAsia="Times New Roman"/>
          <w:lang w:val="en-GB"/>
        </w:rPr>
        <w:t>of</w:t>
      </w:r>
      <w:r w:rsidRPr="001922A7">
        <w:rPr>
          <w:rFonts w:eastAsia="Times New Roman"/>
          <w:lang w:val="en-GB"/>
        </w:rPr>
        <w:t xml:space="preserve"> French administrative law), as used in the context of Article 6</w:t>
      </w:r>
      <w:r w:rsidR="008847BC">
        <w:rPr>
          <w:rFonts w:eastAsia="Times New Roman"/>
          <w:lang w:val="en-GB"/>
        </w:rPr>
        <w:t xml:space="preserve"> </w:t>
      </w:r>
      <w:r w:rsidRPr="001922A7">
        <w:rPr>
          <w:rFonts w:eastAsia="Times New Roman"/>
          <w:lang w:val="en-GB"/>
        </w:rPr>
        <w:t xml:space="preserve">§ 1 of the Convention, is doubtless that if the error of law or fact by the national court </w:t>
      </w:r>
      <w:r w:rsidR="007164BD">
        <w:rPr>
          <w:rFonts w:eastAsia="Times New Roman"/>
          <w:lang w:val="en-GB"/>
        </w:rPr>
        <w:t xml:space="preserve">is so evident as to </w:t>
      </w:r>
      <w:r w:rsidRPr="001922A7">
        <w:rPr>
          <w:rFonts w:eastAsia="Times New Roman"/>
          <w:lang w:val="en-GB"/>
        </w:rPr>
        <w:t xml:space="preserve">be characterised as a “manifest error” – that is to say, is an error that no reasonable court could ever have made –, it may be such as to disturb the fairness of the proceedings. In </w:t>
      </w:r>
      <w:r w:rsidRPr="001922A7">
        <w:rPr>
          <w:rFonts w:eastAsia="Times New Roman"/>
          <w:i/>
          <w:lang w:val="en-GB"/>
        </w:rPr>
        <w:t>Khamidov</w:t>
      </w:r>
      <w:r w:rsidRPr="001922A7">
        <w:rPr>
          <w:rFonts w:eastAsia="Times New Roman"/>
          <w:lang w:val="en-GB"/>
        </w:rPr>
        <w:t>, the unreasonableness of the domestic courts</w:t>
      </w:r>
      <w:r w:rsidR="009912A8">
        <w:rPr>
          <w:rFonts w:eastAsia="Times New Roman"/>
          <w:lang w:val="en-GB"/>
        </w:rPr>
        <w:t>’</w:t>
      </w:r>
      <w:r w:rsidRPr="001922A7">
        <w:rPr>
          <w:rFonts w:eastAsia="Times New Roman"/>
          <w:lang w:val="en-GB"/>
        </w:rPr>
        <w:t xml:space="preserve"> conclusion as to the facts was “so striking and palpable on the face” that the Court held that the proceedings complained of had to be regarded as “grossly arbitrary” (see </w:t>
      </w:r>
      <w:r w:rsidRPr="001922A7">
        <w:rPr>
          <w:rFonts w:eastAsia="Times New Roman"/>
          <w:i/>
          <w:lang w:val="en-GB"/>
        </w:rPr>
        <w:t>Khamidov</w:t>
      </w:r>
      <w:r w:rsidRPr="001922A7">
        <w:rPr>
          <w:rFonts w:eastAsia="Times New Roman"/>
          <w:lang w:val="en-GB"/>
        </w:rPr>
        <w:t>, cited ab</w:t>
      </w:r>
      <w:r w:rsidR="00557875">
        <w:rPr>
          <w:rFonts w:eastAsia="Times New Roman"/>
          <w:lang w:val="en-GB"/>
        </w:rPr>
        <w:t>ove, § </w:t>
      </w:r>
      <w:r w:rsidRPr="001922A7">
        <w:rPr>
          <w:rFonts w:eastAsia="Times New Roman"/>
          <w:lang w:val="en-GB"/>
        </w:rPr>
        <w:t xml:space="preserve">174). In </w:t>
      </w:r>
      <w:r w:rsidRPr="001922A7">
        <w:rPr>
          <w:rFonts w:eastAsia="Times New Roman"/>
          <w:i/>
          <w:lang w:val="en-GB"/>
        </w:rPr>
        <w:t>Anđelković</w:t>
      </w:r>
      <w:r w:rsidRPr="001922A7">
        <w:rPr>
          <w:rFonts w:eastAsia="Times New Roman"/>
          <w:lang w:val="en-GB"/>
        </w:rPr>
        <w:t>, the Court found that the arbitrariness of the domestic court</w:t>
      </w:r>
      <w:r w:rsidR="009912A8">
        <w:rPr>
          <w:rFonts w:eastAsia="Times New Roman"/>
          <w:lang w:val="en-GB"/>
        </w:rPr>
        <w:t>’</w:t>
      </w:r>
      <w:r w:rsidRPr="001922A7">
        <w:rPr>
          <w:rFonts w:eastAsia="Times New Roman"/>
          <w:lang w:val="en-GB"/>
        </w:rPr>
        <w:t xml:space="preserve">s decision, which principally had had no legal basis </w:t>
      </w:r>
      <w:r w:rsidR="007164BD">
        <w:rPr>
          <w:rFonts w:eastAsia="Times New Roman"/>
          <w:lang w:val="en-GB"/>
        </w:rPr>
        <w:t xml:space="preserve">in domestic law </w:t>
      </w:r>
      <w:r w:rsidRPr="001922A7">
        <w:rPr>
          <w:rFonts w:eastAsia="Times New Roman"/>
          <w:lang w:val="en-GB"/>
        </w:rPr>
        <w:t>and had not contained a</w:t>
      </w:r>
      <w:r w:rsidR="0026434D">
        <w:rPr>
          <w:rFonts w:eastAsia="Times New Roman"/>
          <w:lang w:val="en-GB"/>
        </w:rPr>
        <w:t>ny</w:t>
      </w:r>
      <w:r w:rsidRPr="001922A7">
        <w:rPr>
          <w:rFonts w:eastAsia="Times New Roman"/>
          <w:lang w:val="en-GB"/>
        </w:rPr>
        <w:t xml:space="preserve"> connection between the established facts, the applicable law and the outcome of the proceedings, amounted to a “denial of justice” (see </w:t>
      </w:r>
      <w:r w:rsidRPr="001922A7">
        <w:rPr>
          <w:i/>
          <w:lang w:val="en-GB"/>
        </w:rPr>
        <w:t>Anđelković</w:t>
      </w:r>
      <w:r w:rsidRPr="001922A7">
        <w:rPr>
          <w:lang w:val="en-GB"/>
        </w:rPr>
        <w:t>, cited above</w:t>
      </w:r>
      <w:r w:rsidRPr="001922A7">
        <w:rPr>
          <w:snapToGrid w:val="0"/>
          <w:lang w:val="en-GB"/>
        </w:rPr>
        <w:t>, § 27</w:t>
      </w:r>
      <w:r w:rsidRPr="001922A7">
        <w:rPr>
          <w:rFonts w:eastAsia="Times New Roman"/>
          <w:lang w:val="en-GB"/>
        </w:rPr>
        <w:t>).</w:t>
      </w:r>
    </w:p>
    <w:p w:rsidR="00DB367D" w:rsidRPr="001922A7" w:rsidRDefault="00A93690" w:rsidP="008847BC">
      <w:pPr>
        <w:pStyle w:val="ECHRPara"/>
        <w:rPr>
          <w:rFonts w:eastAsia="Times New Roman"/>
          <w:lang w:val="en-GB"/>
        </w:rPr>
      </w:pPr>
      <w:r w:rsidRPr="001922A7">
        <w:rPr>
          <w:rFonts w:eastAsia="Times New Roman"/>
          <w:lang w:val="en-GB"/>
        </w:rPr>
        <w:fldChar w:fldCharType="begin"/>
      </w:r>
      <w:r w:rsidRPr="001922A7">
        <w:rPr>
          <w:rFonts w:eastAsia="Times New Roman"/>
          <w:lang w:val="en-GB"/>
        </w:rPr>
        <w:instrText xml:space="preserve"> SEQ level0 \*arabic </w:instrText>
      </w:r>
      <w:r w:rsidRPr="001922A7">
        <w:rPr>
          <w:rFonts w:eastAsia="Times New Roman"/>
          <w:lang w:val="en-GB"/>
        </w:rPr>
        <w:fldChar w:fldCharType="separate"/>
      </w:r>
      <w:r w:rsidR="00E15C77">
        <w:rPr>
          <w:rFonts w:eastAsia="Times New Roman"/>
          <w:noProof/>
          <w:lang w:val="en-GB"/>
        </w:rPr>
        <w:t>63</w:t>
      </w:r>
      <w:r w:rsidRPr="001922A7">
        <w:rPr>
          <w:rFonts w:eastAsia="Times New Roman"/>
          <w:lang w:val="en-GB"/>
        </w:rPr>
        <w:fldChar w:fldCharType="end"/>
      </w:r>
      <w:r w:rsidRPr="001922A7">
        <w:rPr>
          <w:rFonts w:eastAsia="Times New Roman"/>
          <w:lang w:val="en-GB"/>
        </w:rPr>
        <w:t>.  </w:t>
      </w:r>
      <w:r w:rsidR="00405717" w:rsidRPr="001922A7">
        <w:rPr>
          <w:rFonts w:eastAsia="Times New Roman"/>
          <w:lang w:val="en-GB"/>
        </w:rPr>
        <w:t xml:space="preserve">In the present case, the </w:t>
      </w:r>
      <w:r w:rsidR="00D54204" w:rsidRPr="001922A7">
        <w:rPr>
          <w:rFonts w:eastAsia="Times New Roman"/>
          <w:lang w:val="en-GB"/>
        </w:rPr>
        <w:t>Court</w:t>
      </w:r>
      <w:r w:rsidR="00405717" w:rsidRPr="001922A7">
        <w:rPr>
          <w:rFonts w:eastAsia="Times New Roman"/>
          <w:lang w:val="en-GB"/>
        </w:rPr>
        <w:t xml:space="preserve"> </w:t>
      </w:r>
      <w:r w:rsidR="007164BD">
        <w:rPr>
          <w:rFonts w:eastAsia="Times New Roman"/>
          <w:lang w:val="en-GB"/>
        </w:rPr>
        <w:t xml:space="preserve">notes </w:t>
      </w:r>
      <w:r w:rsidR="00896E77" w:rsidRPr="001922A7">
        <w:rPr>
          <w:rFonts w:eastAsia="Times New Roman"/>
          <w:lang w:val="en-GB"/>
        </w:rPr>
        <w:t>that</w:t>
      </w:r>
      <w:r w:rsidR="00405717" w:rsidRPr="001922A7">
        <w:rPr>
          <w:rFonts w:eastAsia="Times New Roman"/>
          <w:lang w:val="en-GB"/>
        </w:rPr>
        <w:t xml:space="preserve"> in its decision </w:t>
      </w:r>
      <w:r w:rsidR="00896E77" w:rsidRPr="001922A7">
        <w:rPr>
          <w:rFonts w:eastAsia="Times New Roman"/>
          <w:lang w:val="en-GB"/>
        </w:rPr>
        <w:t>of</w:t>
      </w:r>
      <w:r w:rsidR="00405717" w:rsidRPr="001922A7">
        <w:rPr>
          <w:rFonts w:eastAsia="Times New Roman"/>
          <w:lang w:val="en-GB"/>
        </w:rPr>
        <w:t xml:space="preserve"> 14 March 2008 the Supreme Court grossly mis</w:t>
      </w:r>
      <w:r w:rsidR="007164BD">
        <w:rPr>
          <w:rFonts w:eastAsia="Times New Roman"/>
          <w:lang w:val="en-GB"/>
        </w:rPr>
        <w:t>represen</w:t>
      </w:r>
      <w:r w:rsidR="00405717" w:rsidRPr="001922A7">
        <w:rPr>
          <w:rFonts w:eastAsia="Times New Roman"/>
          <w:lang w:val="en-GB"/>
        </w:rPr>
        <w:t>ted the Court</w:t>
      </w:r>
      <w:r w:rsidR="009912A8">
        <w:rPr>
          <w:rFonts w:eastAsia="Times New Roman"/>
          <w:lang w:val="en-GB"/>
        </w:rPr>
        <w:t>’</w:t>
      </w:r>
      <w:r w:rsidR="00405717" w:rsidRPr="001922A7">
        <w:rPr>
          <w:rFonts w:eastAsia="Times New Roman"/>
          <w:lang w:val="en-GB"/>
        </w:rPr>
        <w:t xml:space="preserve">s findings in its judgment of 3 May 2007. In particular, the Supreme Court </w:t>
      </w:r>
      <w:r w:rsidR="007164BD">
        <w:rPr>
          <w:rFonts w:eastAsia="Times New Roman"/>
          <w:lang w:val="en-GB"/>
        </w:rPr>
        <w:t xml:space="preserve">recounted </w:t>
      </w:r>
      <w:r w:rsidR="00405717" w:rsidRPr="001922A7">
        <w:rPr>
          <w:rFonts w:eastAsia="Times New Roman"/>
          <w:lang w:val="en-GB"/>
        </w:rPr>
        <w:t>that this Court had found that the domestic courts</w:t>
      </w:r>
      <w:r w:rsidR="009912A8">
        <w:rPr>
          <w:rFonts w:eastAsia="Times New Roman"/>
          <w:lang w:val="en-GB"/>
        </w:rPr>
        <w:t>’</w:t>
      </w:r>
      <w:r w:rsidR="00405717" w:rsidRPr="001922A7">
        <w:rPr>
          <w:rFonts w:eastAsia="Times New Roman"/>
          <w:lang w:val="en-GB"/>
        </w:rPr>
        <w:t xml:space="preserve"> decisions in </w:t>
      </w:r>
      <w:r w:rsidR="00E41DA1">
        <w:rPr>
          <w:rFonts w:eastAsia="Times New Roman"/>
          <w:lang w:val="en-GB"/>
        </w:rPr>
        <w:t>her</w:t>
      </w:r>
      <w:r w:rsidR="00405717" w:rsidRPr="001922A7">
        <w:rPr>
          <w:rFonts w:eastAsia="Times New Roman"/>
          <w:lang w:val="en-GB"/>
        </w:rPr>
        <w:t xml:space="preserve"> case had been lawful and well-founded and that </w:t>
      </w:r>
      <w:r w:rsidR="00E41DA1">
        <w:rPr>
          <w:rFonts w:eastAsia="Times New Roman"/>
          <w:lang w:val="en-GB"/>
        </w:rPr>
        <w:t>she</w:t>
      </w:r>
      <w:r w:rsidR="00405717" w:rsidRPr="001922A7">
        <w:rPr>
          <w:rFonts w:eastAsia="Times New Roman"/>
          <w:lang w:val="en-GB"/>
        </w:rPr>
        <w:t xml:space="preserve"> had been awarded just satisfaction for the violation of the “reasonable-time” guarantee, </w:t>
      </w:r>
      <w:r w:rsidR="007164BD">
        <w:rPr>
          <w:rFonts w:eastAsia="Times New Roman"/>
          <w:lang w:val="en-GB"/>
        </w:rPr>
        <w:t xml:space="preserve">these being </w:t>
      </w:r>
      <w:r w:rsidR="00A774D8">
        <w:rPr>
          <w:rFonts w:eastAsia="Times New Roman"/>
          <w:lang w:val="en-GB"/>
        </w:rPr>
        <w:t>affirmations</w:t>
      </w:r>
      <w:r w:rsidR="007164BD">
        <w:rPr>
          <w:rFonts w:eastAsia="Times New Roman"/>
          <w:lang w:val="en-GB"/>
        </w:rPr>
        <w:t xml:space="preserve"> that are palpably incorrect </w:t>
      </w:r>
      <w:r w:rsidR="000257E3" w:rsidRPr="001922A7">
        <w:rPr>
          <w:rFonts w:eastAsia="Times New Roman"/>
          <w:lang w:val="en-GB"/>
        </w:rPr>
        <w:t>(see paragraphs 13-18 and 21 above)</w:t>
      </w:r>
      <w:r w:rsidR="00DB367D" w:rsidRPr="001922A7">
        <w:rPr>
          <w:rFonts w:eastAsia="Times New Roman"/>
          <w:lang w:val="en-GB"/>
        </w:rPr>
        <w:t>.</w:t>
      </w:r>
    </w:p>
    <w:p w:rsidR="007A010C" w:rsidRPr="001922A7" w:rsidRDefault="00D83FF5" w:rsidP="008847BC">
      <w:pPr>
        <w:pStyle w:val="ECHRPara"/>
        <w:rPr>
          <w:rFonts w:eastAsia="Times New Roman"/>
          <w:lang w:val="en-GB"/>
        </w:rPr>
      </w:pPr>
      <w:r>
        <w:rPr>
          <w:rFonts w:eastAsia="Times New Roman"/>
          <w:lang w:val="en-GB"/>
        </w:rPr>
        <w:fldChar w:fldCharType="begin"/>
      </w:r>
      <w:r>
        <w:rPr>
          <w:rFonts w:eastAsia="Times New Roman"/>
          <w:lang w:val="en-GB"/>
        </w:rPr>
        <w:instrText xml:space="preserve"> SEQ level0 \*arabic </w:instrText>
      </w:r>
      <w:r>
        <w:rPr>
          <w:rFonts w:eastAsia="Times New Roman"/>
          <w:lang w:val="en-GB"/>
        </w:rPr>
        <w:fldChar w:fldCharType="separate"/>
      </w:r>
      <w:r w:rsidR="00E15C77">
        <w:rPr>
          <w:rFonts w:eastAsia="Times New Roman"/>
          <w:noProof/>
          <w:lang w:val="en-GB"/>
        </w:rPr>
        <w:t>64</w:t>
      </w:r>
      <w:r>
        <w:rPr>
          <w:rFonts w:eastAsia="Times New Roman"/>
          <w:lang w:val="en-GB"/>
        </w:rPr>
        <w:fldChar w:fldCharType="end"/>
      </w:r>
      <w:r>
        <w:rPr>
          <w:rFonts w:eastAsia="Times New Roman"/>
          <w:lang w:val="en-GB"/>
        </w:rPr>
        <w:t>.  </w:t>
      </w:r>
      <w:r w:rsidR="00822A07" w:rsidRPr="001922A7">
        <w:rPr>
          <w:rFonts w:eastAsia="Times New Roman"/>
          <w:lang w:val="en-GB"/>
        </w:rPr>
        <w:t xml:space="preserve">The Court </w:t>
      </w:r>
      <w:r w:rsidR="00E41DA1">
        <w:rPr>
          <w:rFonts w:eastAsia="Times New Roman"/>
          <w:lang w:val="en-GB"/>
        </w:rPr>
        <w:t>observes</w:t>
      </w:r>
      <w:r w:rsidR="00822A07" w:rsidRPr="001922A7">
        <w:rPr>
          <w:rFonts w:eastAsia="Times New Roman"/>
          <w:lang w:val="en-GB"/>
        </w:rPr>
        <w:t xml:space="preserve"> that the Supreme Court</w:t>
      </w:r>
      <w:r w:rsidR="009912A8">
        <w:rPr>
          <w:rFonts w:eastAsia="Times New Roman"/>
          <w:lang w:val="en-GB"/>
        </w:rPr>
        <w:t>’</w:t>
      </w:r>
      <w:r w:rsidR="00822A07" w:rsidRPr="001922A7">
        <w:rPr>
          <w:rFonts w:eastAsia="Times New Roman"/>
          <w:lang w:val="en-GB"/>
        </w:rPr>
        <w:t xml:space="preserve">s reasoning </w:t>
      </w:r>
      <w:r w:rsidR="007164BD">
        <w:rPr>
          <w:rFonts w:eastAsia="Times New Roman"/>
          <w:lang w:val="en-GB"/>
        </w:rPr>
        <w:t>does</w:t>
      </w:r>
      <w:r w:rsidR="00CC6809" w:rsidRPr="001922A7">
        <w:rPr>
          <w:rFonts w:eastAsia="Times New Roman"/>
          <w:lang w:val="en-GB"/>
        </w:rPr>
        <w:t xml:space="preserve"> not</w:t>
      </w:r>
      <w:r w:rsidR="00822A07" w:rsidRPr="001922A7">
        <w:rPr>
          <w:rFonts w:eastAsia="Times New Roman"/>
          <w:lang w:val="en-GB"/>
        </w:rPr>
        <w:t xml:space="preserve"> </w:t>
      </w:r>
      <w:r w:rsidR="007164BD">
        <w:rPr>
          <w:rFonts w:eastAsia="Times New Roman"/>
          <w:lang w:val="en-GB"/>
        </w:rPr>
        <w:t xml:space="preserve">amount </w:t>
      </w:r>
      <w:r w:rsidR="00822A07" w:rsidRPr="001922A7">
        <w:rPr>
          <w:rFonts w:eastAsia="Times New Roman"/>
          <w:lang w:val="en-GB"/>
        </w:rPr>
        <w:t xml:space="preserve">merely </w:t>
      </w:r>
      <w:r w:rsidR="007164BD">
        <w:rPr>
          <w:rFonts w:eastAsia="Times New Roman"/>
          <w:lang w:val="en-GB"/>
        </w:rPr>
        <w:t xml:space="preserve">to </w:t>
      </w:r>
      <w:r w:rsidR="00822A07" w:rsidRPr="001922A7">
        <w:rPr>
          <w:rFonts w:eastAsia="Times New Roman"/>
          <w:lang w:val="en-GB"/>
        </w:rPr>
        <w:t xml:space="preserve">a different reading of a legal text. </w:t>
      </w:r>
      <w:r w:rsidR="00405717" w:rsidRPr="001922A7">
        <w:rPr>
          <w:rFonts w:eastAsia="Times New Roman"/>
          <w:lang w:val="en-GB"/>
        </w:rPr>
        <w:t xml:space="preserve">For the </w:t>
      </w:r>
      <w:r w:rsidR="00D54204" w:rsidRPr="001922A7">
        <w:rPr>
          <w:rFonts w:eastAsia="Times New Roman"/>
          <w:lang w:val="en-GB"/>
        </w:rPr>
        <w:t>Court</w:t>
      </w:r>
      <w:r w:rsidR="00405717" w:rsidRPr="001922A7">
        <w:rPr>
          <w:rFonts w:eastAsia="Times New Roman"/>
          <w:lang w:val="en-GB"/>
        </w:rPr>
        <w:t xml:space="preserve">, </w:t>
      </w:r>
      <w:r w:rsidR="00FC6A61" w:rsidRPr="001922A7">
        <w:rPr>
          <w:rFonts w:eastAsia="Times New Roman"/>
          <w:lang w:val="en-GB"/>
        </w:rPr>
        <w:t>it</w:t>
      </w:r>
      <w:r w:rsidR="002D28F7" w:rsidRPr="001922A7">
        <w:rPr>
          <w:rFonts w:eastAsia="Times New Roman"/>
          <w:lang w:val="en-GB"/>
        </w:rPr>
        <w:t xml:space="preserve"> </w:t>
      </w:r>
      <w:r w:rsidR="007164BD">
        <w:rPr>
          <w:rFonts w:eastAsia="Times New Roman"/>
          <w:lang w:val="en-GB"/>
        </w:rPr>
        <w:t xml:space="preserve">can </w:t>
      </w:r>
      <w:r w:rsidR="007164BD">
        <w:rPr>
          <w:rFonts w:eastAsia="Times New Roman"/>
          <w:lang w:val="en-GB"/>
        </w:rPr>
        <w:lastRenderedPageBreak/>
        <w:t xml:space="preserve">only </w:t>
      </w:r>
      <w:r w:rsidR="002D28F7" w:rsidRPr="001922A7">
        <w:rPr>
          <w:rFonts w:eastAsia="Times New Roman"/>
          <w:lang w:val="en-GB"/>
        </w:rPr>
        <w:t xml:space="preserve">be construed as </w:t>
      </w:r>
      <w:r w:rsidR="007164BD">
        <w:rPr>
          <w:rFonts w:eastAsia="Times New Roman"/>
          <w:lang w:val="en-GB"/>
        </w:rPr>
        <w:t xml:space="preserve">being </w:t>
      </w:r>
      <w:r w:rsidR="00F96829" w:rsidRPr="001922A7">
        <w:rPr>
          <w:rFonts w:eastAsia="Times New Roman"/>
          <w:lang w:val="en-GB"/>
        </w:rPr>
        <w:t>“</w:t>
      </w:r>
      <w:r w:rsidR="002D28F7" w:rsidRPr="001922A7">
        <w:rPr>
          <w:rFonts w:eastAsia="Times New Roman"/>
          <w:lang w:val="en-GB"/>
        </w:rPr>
        <w:t>grossly arbitrary</w:t>
      </w:r>
      <w:r w:rsidR="00F96829" w:rsidRPr="001922A7">
        <w:rPr>
          <w:rFonts w:eastAsia="Times New Roman"/>
          <w:lang w:val="en-GB"/>
        </w:rPr>
        <w:t>”</w:t>
      </w:r>
      <w:r w:rsidR="002D28F7" w:rsidRPr="001922A7">
        <w:rPr>
          <w:rFonts w:eastAsia="Times New Roman"/>
          <w:lang w:val="en-GB"/>
        </w:rPr>
        <w:t xml:space="preserve"> or </w:t>
      </w:r>
      <w:r w:rsidR="00045901">
        <w:rPr>
          <w:rFonts w:eastAsia="Times New Roman"/>
          <w:lang w:val="en-GB"/>
        </w:rPr>
        <w:t xml:space="preserve">as </w:t>
      </w:r>
      <w:r w:rsidR="007164BD">
        <w:rPr>
          <w:rFonts w:eastAsia="Times New Roman"/>
          <w:lang w:val="en-GB"/>
        </w:rPr>
        <w:t>entail</w:t>
      </w:r>
      <w:r w:rsidR="002D28F7" w:rsidRPr="001922A7">
        <w:rPr>
          <w:rFonts w:eastAsia="Times New Roman"/>
          <w:lang w:val="en-GB"/>
        </w:rPr>
        <w:t xml:space="preserve">ing a </w:t>
      </w:r>
      <w:r w:rsidR="00F96829" w:rsidRPr="001922A7">
        <w:rPr>
          <w:rFonts w:eastAsia="Times New Roman"/>
          <w:lang w:val="en-GB"/>
        </w:rPr>
        <w:t>“</w:t>
      </w:r>
      <w:r w:rsidR="002D28F7" w:rsidRPr="001922A7">
        <w:rPr>
          <w:rFonts w:eastAsia="Times New Roman"/>
          <w:lang w:val="en-GB"/>
        </w:rPr>
        <w:t>denial of justice</w:t>
      </w:r>
      <w:r w:rsidR="00F96829" w:rsidRPr="001922A7">
        <w:rPr>
          <w:rFonts w:eastAsia="Times New Roman"/>
          <w:lang w:val="en-GB"/>
        </w:rPr>
        <w:t>”</w:t>
      </w:r>
      <w:r w:rsidR="002D28F7" w:rsidRPr="001922A7">
        <w:rPr>
          <w:rFonts w:eastAsia="Times New Roman"/>
          <w:lang w:val="en-GB"/>
        </w:rPr>
        <w:t xml:space="preserve">, </w:t>
      </w:r>
      <w:r w:rsidR="00405717" w:rsidRPr="001922A7">
        <w:rPr>
          <w:rFonts w:eastAsia="Times New Roman"/>
          <w:lang w:val="en-GB"/>
        </w:rPr>
        <w:t xml:space="preserve">in the sense </w:t>
      </w:r>
      <w:r w:rsidR="002D28F7" w:rsidRPr="001922A7">
        <w:rPr>
          <w:rFonts w:eastAsia="Times New Roman"/>
          <w:lang w:val="en-GB"/>
        </w:rPr>
        <w:t xml:space="preserve">that the </w:t>
      </w:r>
      <w:r w:rsidR="00405717" w:rsidRPr="001922A7">
        <w:rPr>
          <w:rFonts w:eastAsia="Times New Roman"/>
          <w:lang w:val="en-GB"/>
        </w:rPr>
        <w:t>distort</w:t>
      </w:r>
      <w:r w:rsidR="007164BD">
        <w:rPr>
          <w:rFonts w:eastAsia="Times New Roman"/>
          <w:lang w:val="en-GB"/>
        </w:rPr>
        <w:t xml:space="preserve">ed presentation </w:t>
      </w:r>
      <w:r w:rsidR="00405717" w:rsidRPr="001922A7">
        <w:rPr>
          <w:rFonts w:eastAsia="Times New Roman"/>
          <w:lang w:val="en-GB"/>
        </w:rPr>
        <w:t xml:space="preserve">of </w:t>
      </w:r>
      <w:r w:rsidR="00CC6809" w:rsidRPr="001922A7">
        <w:rPr>
          <w:rFonts w:eastAsia="Times New Roman"/>
          <w:lang w:val="en-GB"/>
        </w:rPr>
        <w:t>the</w:t>
      </w:r>
      <w:r w:rsidR="00405717" w:rsidRPr="001922A7">
        <w:rPr>
          <w:rFonts w:eastAsia="Times New Roman"/>
          <w:lang w:val="en-GB"/>
        </w:rPr>
        <w:t xml:space="preserve"> 2007 judgment in the first </w:t>
      </w:r>
      <w:r w:rsidR="00405717" w:rsidRPr="001922A7">
        <w:rPr>
          <w:rFonts w:eastAsia="Times New Roman"/>
          <w:i/>
          <w:lang w:val="en-GB"/>
        </w:rPr>
        <w:t>Bochan</w:t>
      </w:r>
      <w:r w:rsidR="00405717" w:rsidRPr="001922A7">
        <w:rPr>
          <w:rFonts w:eastAsia="Times New Roman"/>
          <w:lang w:val="en-GB"/>
        </w:rPr>
        <w:t xml:space="preserve"> case (cited above)</w:t>
      </w:r>
      <w:r w:rsidR="002D28F7" w:rsidRPr="001922A7">
        <w:rPr>
          <w:rFonts w:eastAsia="Times New Roman"/>
          <w:lang w:val="en-GB"/>
        </w:rPr>
        <w:t xml:space="preserve"> had the effect of </w:t>
      </w:r>
      <w:r w:rsidR="00C675AE" w:rsidRPr="001922A7">
        <w:rPr>
          <w:rFonts w:eastAsia="Times New Roman"/>
          <w:lang w:val="en-GB"/>
        </w:rPr>
        <w:t>defeating</w:t>
      </w:r>
      <w:r w:rsidR="0018108E" w:rsidRPr="001922A7">
        <w:rPr>
          <w:rFonts w:eastAsia="Times New Roman"/>
          <w:lang w:val="en-GB"/>
        </w:rPr>
        <w:t xml:space="preserve"> the applicant</w:t>
      </w:r>
      <w:r w:rsidR="009912A8">
        <w:rPr>
          <w:rFonts w:eastAsia="Times New Roman"/>
          <w:lang w:val="en-GB"/>
        </w:rPr>
        <w:t>’</w:t>
      </w:r>
      <w:r w:rsidR="0018108E" w:rsidRPr="001922A7">
        <w:rPr>
          <w:rFonts w:eastAsia="Times New Roman"/>
          <w:lang w:val="en-GB"/>
        </w:rPr>
        <w:t xml:space="preserve">s attempt to have her </w:t>
      </w:r>
      <w:r w:rsidR="0018108E" w:rsidRPr="001922A7">
        <w:rPr>
          <w:rFonts w:eastAsia="Times New Roman"/>
          <w:lang w:val="en-GB" w:eastAsia="fr-FR"/>
        </w:rPr>
        <w:t>property claim examined in the light of the Court</w:t>
      </w:r>
      <w:r w:rsidR="009912A8">
        <w:rPr>
          <w:rFonts w:eastAsia="Times New Roman"/>
          <w:lang w:val="en-GB" w:eastAsia="fr-FR"/>
        </w:rPr>
        <w:t>’</w:t>
      </w:r>
      <w:r w:rsidR="0018108E" w:rsidRPr="001922A7">
        <w:rPr>
          <w:rFonts w:eastAsia="Times New Roman"/>
          <w:lang w:val="en-GB" w:eastAsia="fr-FR"/>
        </w:rPr>
        <w:t>s judgment in her previous case</w:t>
      </w:r>
      <w:r w:rsidR="00B02403">
        <w:rPr>
          <w:rFonts w:eastAsia="Times New Roman"/>
          <w:lang w:val="en-GB"/>
        </w:rPr>
        <w:t xml:space="preserve"> in the framework of the</w:t>
      </w:r>
      <w:r w:rsidR="00557875">
        <w:rPr>
          <w:rFonts w:eastAsia="Times New Roman"/>
          <w:lang w:val="en-GB"/>
        </w:rPr>
        <w:t xml:space="preserve"> cassation</w:t>
      </w:r>
      <w:r w:rsidR="00557875">
        <w:rPr>
          <w:rFonts w:eastAsia="Times New Roman"/>
          <w:lang w:val="en-GB"/>
        </w:rPr>
        <w:noBreakHyphen/>
      </w:r>
      <w:r w:rsidR="00262501">
        <w:rPr>
          <w:rFonts w:eastAsia="Times New Roman"/>
          <w:lang w:val="en-GB"/>
        </w:rPr>
        <w:t xml:space="preserve">type </w:t>
      </w:r>
      <w:r w:rsidR="00B02403">
        <w:rPr>
          <w:rFonts w:eastAsia="Times New Roman"/>
          <w:lang w:val="en-GB"/>
        </w:rPr>
        <w:t xml:space="preserve">procedure </w:t>
      </w:r>
      <w:r w:rsidR="00B02403" w:rsidRPr="00B02403">
        <w:rPr>
          <w:rFonts w:eastAsia="Times New Roman"/>
          <w:lang w:val="en-GB"/>
        </w:rPr>
        <w:t xml:space="preserve">provided for </w:t>
      </w:r>
      <w:r w:rsidR="00FC6A61" w:rsidRPr="001922A7">
        <w:rPr>
          <w:rFonts w:eastAsia="Times New Roman"/>
          <w:lang w:val="en-GB"/>
        </w:rPr>
        <w:t>under domestic law</w:t>
      </w:r>
      <w:r w:rsidR="007A010C" w:rsidRPr="001922A7">
        <w:rPr>
          <w:rFonts w:eastAsia="Times New Roman"/>
          <w:lang w:val="en-GB"/>
        </w:rPr>
        <w:t xml:space="preserve"> (</w:t>
      </w:r>
      <w:r w:rsidR="000257E3" w:rsidRPr="001922A7">
        <w:rPr>
          <w:rFonts w:eastAsia="Times New Roman"/>
          <w:lang w:val="en-GB"/>
        </w:rPr>
        <w:t>see paragraph</w:t>
      </w:r>
      <w:r w:rsidR="000C07FA">
        <w:rPr>
          <w:rFonts w:eastAsia="Times New Roman"/>
          <w:lang w:val="en-GB"/>
        </w:rPr>
        <w:t>s</w:t>
      </w:r>
      <w:r w:rsidR="00557875">
        <w:rPr>
          <w:rFonts w:eastAsia="Times New Roman"/>
          <w:lang w:val="en-GB"/>
        </w:rPr>
        <w:t> </w:t>
      </w:r>
      <w:r w:rsidR="00375CA9" w:rsidRPr="001922A7">
        <w:rPr>
          <w:rFonts w:eastAsia="Times New Roman"/>
          <w:lang w:val="en-GB"/>
        </w:rPr>
        <w:t>5</w:t>
      </w:r>
      <w:r w:rsidR="000C07FA">
        <w:rPr>
          <w:rFonts w:eastAsia="Times New Roman"/>
          <w:lang w:val="en-GB"/>
        </w:rPr>
        <w:t>1-53</w:t>
      </w:r>
      <w:r w:rsidR="00375CA9" w:rsidRPr="001922A7">
        <w:rPr>
          <w:rFonts w:eastAsia="Times New Roman"/>
          <w:lang w:val="en-GB"/>
        </w:rPr>
        <w:t xml:space="preserve"> </w:t>
      </w:r>
      <w:r w:rsidR="007A010C" w:rsidRPr="001922A7">
        <w:rPr>
          <w:rFonts w:eastAsia="Times New Roman"/>
          <w:lang w:val="en-GB"/>
        </w:rPr>
        <w:t>above)</w:t>
      </w:r>
      <w:r w:rsidR="00FC6A61" w:rsidRPr="001922A7">
        <w:rPr>
          <w:rFonts w:eastAsia="Times New Roman"/>
          <w:lang w:val="en-GB"/>
        </w:rPr>
        <w:t>.</w:t>
      </w:r>
      <w:r w:rsidR="007A010C" w:rsidRPr="001922A7">
        <w:rPr>
          <w:rFonts w:eastAsia="Times New Roman"/>
          <w:lang w:val="en-GB"/>
        </w:rPr>
        <w:t xml:space="preserve"> </w:t>
      </w:r>
      <w:r w:rsidR="0001547E">
        <w:rPr>
          <w:rFonts w:eastAsia="Times New Roman"/>
          <w:lang w:val="en-GB"/>
        </w:rPr>
        <w:t xml:space="preserve">In this regard, </w:t>
      </w:r>
      <w:r w:rsidR="00581E35">
        <w:rPr>
          <w:rFonts w:eastAsia="Times New Roman"/>
          <w:lang w:val="en-GB"/>
        </w:rPr>
        <w:t>it is to be noted</w:t>
      </w:r>
      <w:r w:rsidR="00FC4DBF">
        <w:rPr>
          <w:rFonts w:eastAsia="Times New Roman"/>
          <w:lang w:val="en-GB"/>
        </w:rPr>
        <w:t xml:space="preserve"> that </w:t>
      </w:r>
      <w:r w:rsidR="0001547E">
        <w:rPr>
          <w:rFonts w:eastAsia="Times New Roman"/>
          <w:lang w:val="en-GB"/>
        </w:rPr>
        <w:t xml:space="preserve">in its 2007 judgment </w:t>
      </w:r>
      <w:r w:rsidR="00234006">
        <w:rPr>
          <w:rFonts w:eastAsia="Times New Roman"/>
          <w:lang w:val="en-GB"/>
        </w:rPr>
        <w:t xml:space="preserve">the Court </w:t>
      </w:r>
      <w:r w:rsidR="0001547E">
        <w:rPr>
          <w:rFonts w:eastAsia="Times New Roman"/>
          <w:lang w:val="en-GB"/>
        </w:rPr>
        <w:t xml:space="preserve">found that, given </w:t>
      </w:r>
      <w:r w:rsidR="00FC4DBF">
        <w:rPr>
          <w:rFonts w:eastAsia="Times New Roman"/>
          <w:lang w:val="en-GB"/>
        </w:rPr>
        <w:t xml:space="preserve">the </w:t>
      </w:r>
      <w:r w:rsidR="00FC4DBF" w:rsidRPr="00FC4DBF">
        <w:rPr>
          <w:rFonts w:eastAsia="Times New Roman"/>
          <w:lang w:val="en-GB"/>
        </w:rPr>
        <w:t>circumstances in which the applicant</w:t>
      </w:r>
      <w:r w:rsidR="009912A8">
        <w:rPr>
          <w:rFonts w:eastAsia="Times New Roman"/>
          <w:lang w:val="en-GB"/>
        </w:rPr>
        <w:t>’</w:t>
      </w:r>
      <w:r w:rsidR="00FC4DBF" w:rsidRPr="00FC4DBF">
        <w:rPr>
          <w:rFonts w:eastAsia="Times New Roman"/>
          <w:lang w:val="en-GB"/>
        </w:rPr>
        <w:t xml:space="preserve">s case had been reassigned by the Supreme Court </w:t>
      </w:r>
      <w:r w:rsidR="00FC4DBF">
        <w:rPr>
          <w:rFonts w:eastAsia="Times New Roman"/>
          <w:lang w:val="en-GB"/>
        </w:rPr>
        <w:t>to lower courts</w:t>
      </w:r>
      <w:r w:rsidR="0001547E">
        <w:rPr>
          <w:rFonts w:eastAsia="Times New Roman"/>
          <w:lang w:val="en-GB"/>
        </w:rPr>
        <w:t>,</w:t>
      </w:r>
      <w:r w:rsidR="00FC4DBF">
        <w:rPr>
          <w:rFonts w:eastAsia="Times New Roman"/>
          <w:lang w:val="en-GB"/>
        </w:rPr>
        <w:t xml:space="preserve"> </w:t>
      </w:r>
      <w:r w:rsidR="0001547E">
        <w:rPr>
          <w:rFonts w:eastAsia="Times New Roman"/>
          <w:lang w:val="en-GB"/>
        </w:rPr>
        <w:t>the applicant</w:t>
      </w:r>
      <w:r w:rsidR="009912A8">
        <w:rPr>
          <w:rFonts w:eastAsia="Times New Roman"/>
          <w:lang w:val="en-GB"/>
        </w:rPr>
        <w:t>’</w:t>
      </w:r>
      <w:r w:rsidR="0001547E">
        <w:rPr>
          <w:rFonts w:eastAsia="Times New Roman"/>
          <w:lang w:val="en-GB"/>
        </w:rPr>
        <w:t xml:space="preserve">s </w:t>
      </w:r>
      <w:r w:rsidR="0001547E" w:rsidRPr="0001547E">
        <w:rPr>
          <w:rFonts w:eastAsia="Times New Roman"/>
          <w:lang w:val="en-GB"/>
        </w:rPr>
        <w:t>doubt</w:t>
      </w:r>
      <w:r w:rsidR="00C41D7B">
        <w:rPr>
          <w:rFonts w:eastAsia="Times New Roman"/>
          <w:lang w:val="en-GB"/>
        </w:rPr>
        <w:t>s</w:t>
      </w:r>
      <w:r w:rsidR="0001547E" w:rsidRPr="0001547E">
        <w:rPr>
          <w:rFonts w:eastAsia="Times New Roman"/>
          <w:lang w:val="en-GB"/>
        </w:rPr>
        <w:t xml:space="preserve"> regarding the impartiality of the judges dealing with the case, including the judges of the Supreme Court</w:t>
      </w:r>
      <w:r w:rsidR="0001547E">
        <w:rPr>
          <w:rFonts w:eastAsia="Times New Roman"/>
          <w:lang w:val="en-GB"/>
        </w:rPr>
        <w:t>, had been objectively justified (see paragraphs 13-15 above).</w:t>
      </w:r>
    </w:p>
    <w:p w:rsidR="00014566" w:rsidRPr="001922A7" w:rsidRDefault="00405717" w:rsidP="008847BC">
      <w:pPr>
        <w:pStyle w:val="ECHRPara"/>
        <w:rPr>
          <w:lang w:val="en-GB"/>
        </w:rPr>
      </w:pPr>
      <w:r w:rsidRPr="001922A7">
        <w:rPr>
          <w:rFonts w:eastAsia="Times New Roman"/>
          <w:lang w:val="en-GB"/>
        </w:rPr>
        <w:fldChar w:fldCharType="begin"/>
      </w:r>
      <w:r w:rsidRPr="001922A7">
        <w:rPr>
          <w:rFonts w:eastAsia="Times New Roman"/>
          <w:lang w:val="en-GB" w:eastAsia="fr-FR"/>
        </w:rPr>
        <w:instrText xml:space="preserve"> SEQ level0 \*arabic </w:instrText>
      </w:r>
      <w:r w:rsidRPr="001922A7">
        <w:rPr>
          <w:rFonts w:eastAsia="Times New Roman"/>
          <w:lang w:val="en-GB"/>
        </w:rPr>
        <w:fldChar w:fldCharType="separate"/>
      </w:r>
      <w:r w:rsidR="00E15C77">
        <w:rPr>
          <w:rFonts w:eastAsia="Times New Roman"/>
          <w:noProof/>
          <w:lang w:val="en-GB" w:eastAsia="fr-FR"/>
        </w:rPr>
        <w:t>65</w:t>
      </w:r>
      <w:r w:rsidRPr="001922A7">
        <w:rPr>
          <w:rFonts w:eastAsia="Times New Roman"/>
          <w:lang w:val="en-GB"/>
        </w:rPr>
        <w:fldChar w:fldCharType="end"/>
      </w:r>
      <w:r w:rsidRPr="001922A7">
        <w:rPr>
          <w:rFonts w:eastAsia="Times New Roman"/>
          <w:lang w:val="en-GB" w:eastAsia="fr-FR"/>
        </w:rPr>
        <w:t>.  </w:t>
      </w:r>
      <w:r w:rsidR="00DB367D" w:rsidRPr="001922A7">
        <w:rPr>
          <w:rFonts w:eastAsia="Times New Roman"/>
          <w:lang w:val="en-GB" w:eastAsia="fr-FR"/>
        </w:rPr>
        <w:t>Accordingly</w:t>
      </w:r>
      <w:r w:rsidR="007A010C" w:rsidRPr="001922A7">
        <w:rPr>
          <w:rFonts w:eastAsia="Times New Roman"/>
          <w:lang w:val="en-GB" w:eastAsia="fr-FR"/>
        </w:rPr>
        <w:t>,</w:t>
      </w:r>
      <w:r w:rsidR="007F6805" w:rsidRPr="001922A7">
        <w:rPr>
          <w:rFonts w:eastAsia="Times New Roman"/>
          <w:lang w:val="en-GB" w:eastAsia="fr-FR"/>
        </w:rPr>
        <w:t xml:space="preserve"> in the light of</w:t>
      </w:r>
      <w:r w:rsidR="007A010C" w:rsidRPr="001922A7">
        <w:rPr>
          <w:rFonts w:eastAsia="Times New Roman"/>
          <w:lang w:val="en-GB" w:eastAsia="fr-FR"/>
        </w:rPr>
        <w:t xml:space="preserve"> the </w:t>
      </w:r>
      <w:r w:rsidR="005C2D32" w:rsidRPr="001922A7">
        <w:rPr>
          <w:rFonts w:eastAsia="Times New Roman"/>
          <w:lang w:val="en-GB" w:eastAsia="fr-FR"/>
        </w:rPr>
        <w:t>Court</w:t>
      </w:r>
      <w:r w:rsidR="009912A8">
        <w:rPr>
          <w:rFonts w:eastAsia="Times New Roman"/>
          <w:lang w:val="en-GB" w:eastAsia="fr-FR"/>
        </w:rPr>
        <w:t>’</w:t>
      </w:r>
      <w:r w:rsidR="00DB367D" w:rsidRPr="001922A7">
        <w:rPr>
          <w:rFonts w:eastAsia="Times New Roman"/>
          <w:lang w:val="en-GB" w:eastAsia="fr-FR"/>
        </w:rPr>
        <w:t xml:space="preserve">s findings as to the nature and </w:t>
      </w:r>
      <w:r w:rsidR="002E05C1" w:rsidRPr="001922A7">
        <w:rPr>
          <w:rFonts w:eastAsia="Times New Roman"/>
          <w:lang w:val="en-GB" w:eastAsia="fr-FR"/>
        </w:rPr>
        <w:t xml:space="preserve">the </w:t>
      </w:r>
      <w:r w:rsidR="00DB367D" w:rsidRPr="001922A7">
        <w:rPr>
          <w:rFonts w:eastAsia="Times New Roman"/>
          <w:lang w:val="en-GB" w:eastAsia="fr-FR"/>
        </w:rPr>
        <w:t>implications of the defect in the Supreme Court</w:t>
      </w:r>
      <w:r w:rsidR="009912A8">
        <w:rPr>
          <w:rFonts w:eastAsia="Times New Roman"/>
          <w:lang w:val="en-GB" w:eastAsia="fr-FR"/>
        </w:rPr>
        <w:t>’</w:t>
      </w:r>
      <w:r w:rsidR="00DB367D" w:rsidRPr="001922A7">
        <w:rPr>
          <w:rFonts w:eastAsia="Times New Roman"/>
          <w:lang w:val="en-GB" w:eastAsia="fr-FR"/>
        </w:rPr>
        <w:t xml:space="preserve">s decision of </w:t>
      </w:r>
      <w:r w:rsidR="0026229F" w:rsidRPr="001922A7">
        <w:rPr>
          <w:rFonts w:eastAsia="Times New Roman"/>
          <w:lang w:val="en-GB"/>
        </w:rPr>
        <w:t>14 March 2008</w:t>
      </w:r>
      <w:r w:rsidR="005C2D32" w:rsidRPr="001922A7">
        <w:rPr>
          <w:rFonts w:eastAsia="Times New Roman"/>
          <w:lang w:val="en-GB" w:eastAsia="fr-FR"/>
        </w:rPr>
        <w:t xml:space="preserve"> </w:t>
      </w:r>
      <w:r w:rsidR="0026229F" w:rsidRPr="001922A7">
        <w:rPr>
          <w:rFonts w:eastAsia="Times New Roman"/>
          <w:lang w:val="en-GB" w:eastAsia="fr-FR"/>
        </w:rPr>
        <w:t xml:space="preserve">(see paragraphs </w:t>
      </w:r>
      <w:r w:rsidR="00D51DD1" w:rsidRPr="001922A7">
        <w:rPr>
          <w:rFonts w:eastAsia="Times New Roman"/>
          <w:lang w:val="en-GB" w:eastAsia="fr-FR"/>
        </w:rPr>
        <w:t>6</w:t>
      </w:r>
      <w:r w:rsidR="00D51DD1">
        <w:rPr>
          <w:rFonts w:eastAsia="Times New Roman"/>
          <w:lang w:val="en-GB" w:eastAsia="fr-FR"/>
        </w:rPr>
        <w:t>3</w:t>
      </w:r>
      <w:r w:rsidR="004423BF" w:rsidRPr="001922A7">
        <w:rPr>
          <w:rFonts w:eastAsia="Times New Roman"/>
          <w:lang w:val="en-GB" w:eastAsia="fr-FR"/>
        </w:rPr>
        <w:t>-</w:t>
      </w:r>
      <w:r w:rsidR="000731FE">
        <w:rPr>
          <w:rFonts w:eastAsia="Times New Roman"/>
          <w:lang w:val="en-GB" w:eastAsia="fr-FR"/>
        </w:rPr>
        <w:t>6</w:t>
      </w:r>
      <w:r w:rsidR="00D51DD1">
        <w:rPr>
          <w:rFonts w:eastAsia="Times New Roman"/>
          <w:lang w:val="en-GB" w:eastAsia="fr-FR"/>
        </w:rPr>
        <w:t>4</w:t>
      </w:r>
      <w:r w:rsidR="0026229F" w:rsidRPr="001922A7">
        <w:rPr>
          <w:rFonts w:eastAsia="Times New Roman"/>
          <w:lang w:val="en-GB" w:eastAsia="fr-FR"/>
        </w:rPr>
        <w:t xml:space="preserve"> above)</w:t>
      </w:r>
      <w:r w:rsidR="007F6805" w:rsidRPr="001922A7">
        <w:rPr>
          <w:rFonts w:eastAsia="Times New Roman"/>
          <w:lang w:val="en-GB" w:eastAsia="fr-FR"/>
        </w:rPr>
        <w:t>,</w:t>
      </w:r>
      <w:r w:rsidR="0026229F" w:rsidRPr="001922A7">
        <w:rPr>
          <w:rFonts w:eastAsia="Times New Roman"/>
          <w:lang w:val="en-GB" w:eastAsia="fr-FR"/>
        </w:rPr>
        <w:t xml:space="preserve"> </w:t>
      </w:r>
      <w:r w:rsidR="006D3EA9">
        <w:rPr>
          <w:rFonts w:eastAsia="Times New Roman"/>
          <w:lang w:val="en-GB" w:eastAsia="fr-FR"/>
        </w:rPr>
        <w:t>it must be concluded</w:t>
      </w:r>
      <w:r w:rsidR="0026229F" w:rsidRPr="001922A7">
        <w:rPr>
          <w:rFonts w:eastAsia="Times New Roman"/>
          <w:lang w:val="en-GB" w:eastAsia="fr-FR"/>
        </w:rPr>
        <w:t xml:space="preserve"> </w:t>
      </w:r>
      <w:r w:rsidR="007A010C" w:rsidRPr="001922A7">
        <w:rPr>
          <w:rFonts w:eastAsia="Times New Roman"/>
          <w:lang w:val="en-GB" w:eastAsia="fr-FR"/>
        </w:rPr>
        <w:t xml:space="preserve">that the impugned proceedings fell short </w:t>
      </w:r>
      <w:r w:rsidRPr="001922A7">
        <w:rPr>
          <w:rFonts w:eastAsia="Times New Roman"/>
          <w:lang w:val="en-GB" w:eastAsia="fr-FR"/>
        </w:rPr>
        <w:t>of the requirement of</w:t>
      </w:r>
      <w:r w:rsidR="001C4F9B">
        <w:rPr>
          <w:rFonts w:eastAsia="Times New Roman"/>
          <w:lang w:val="en-GB" w:eastAsia="fr-FR"/>
        </w:rPr>
        <w:t xml:space="preserve"> a</w:t>
      </w:r>
      <w:r w:rsidRPr="001922A7">
        <w:rPr>
          <w:rFonts w:eastAsia="Times New Roman"/>
          <w:lang w:val="en-GB" w:eastAsia="fr-FR"/>
        </w:rPr>
        <w:t xml:space="preserve"> “fair</w:t>
      </w:r>
      <w:r w:rsidR="001C4F9B">
        <w:rPr>
          <w:rFonts w:eastAsia="Times New Roman"/>
          <w:lang w:val="en-GB" w:eastAsia="fr-FR"/>
        </w:rPr>
        <w:t xml:space="preserve"> trial</w:t>
      </w:r>
      <w:r w:rsidRPr="001922A7">
        <w:rPr>
          <w:rFonts w:eastAsia="Times New Roman"/>
          <w:lang w:val="en-GB" w:eastAsia="fr-FR"/>
        </w:rPr>
        <w:t>” under Article 6 § 1</w:t>
      </w:r>
      <w:r w:rsidR="007A010C" w:rsidRPr="001922A7">
        <w:rPr>
          <w:rFonts w:eastAsia="Times New Roman"/>
          <w:lang w:val="en-GB" w:eastAsia="fr-FR"/>
        </w:rPr>
        <w:t xml:space="preserve"> of the Convention and that </w:t>
      </w:r>
      <w:r w:rsidR="007A010C" w:rsidRPr="001922A7">
        <w:rPr>
          <w:lang w:val="en-GB"/>
        </w:rPr>
        <w:t>there has been a violation of that provision</w:t>
      </w:r>
      <w:r w:rsidR="007A010C" w:rsidRPr="001922A7">
        <w:rPr>
          <w:rFonts w:eastAsia="Times New Roman"/>
          <w:lang w:val="en-GB" w:eastAsia="fr-FR"/>
        </w:rPr>
        <w:t>.</w:t>
      </w:r>
    </w:p>
    <w:p w:rsidR="009660B9" w:rsidRPr="001922A7" w:rsidRDefault="009660B9" w:rsidP="0062363B">
      <w:pPr>
        <w:pStyle w:val="ECHRHeading2"/>
        <w:rPr>
          <w:lang w:val="en-GB"/>
        </w:rPr>
      </w:pPr>
      <w:r w:rsidRPr="001922A7">
        <w:rPr>
          <w:lang w:val="en-GB"/>
        </w:rPr>
        <w:t>E.</w:t>
      </w:r>
      <w:r w:rsidR="00B30139">
        <w:rPr>
          <w:lang w:val="en-GB"/>
        </w:rPr>
        <w:t xml:space="preserve">  The </w:t>
      </w:r>
      <w:r w:rsidR="00B30139" w:rsidRPr="0062363B">
        <w:t>applicant</w:t>
      </w:r>
      <w:r w:rsidR="009912A8">
        <w:t>’</w:t>
      </w:r>
      <w:r w:rsidR="00B30139" w:rsidRPr="0062363B">
        <w:t>s</w:t>
      </w:r>
      <w:r w:rsidR="00B30139">
        <w:rPr>
          <w:lang w:val="en-GB"/>
        </w:rPr>
        <w:t xml:space="preserve"> new complaint</w:t>
      </w:r>
      <w:r w:rsidRPr="001922A7">
        <w:rPr>
          <w:lang w:val="en-GB"/>
        </w:rPr>
        <w:t xml:space="preserve"> in so far as it concerns Article 1 of Protocol No. 1</w:t>
      </w:r>
    </w:p>
    <w:p w:rsidR="000B5A6A" w:rsidRPr="001922A7" w:rsidRDefault="000B5A6A" w:rsidP="008847BC">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66</w:t>
      </w:r>
      <w:r w:rsidRPr="001922A7">
        <w:rPr>
          <w:rFonts w:eastAsia="Times New Roman"/>
          <w:lang w:val="en-GB" w:eastAsia="fr-FR"/>
        </w:rPr>
        <w:fldChar w:fldCharType="end"/>
      </w:r>
      <w:r w:rsidRPr="001922A7">
        <w:rPr>
          <w:rFonts w:eastAsia="Times New Roman"/>
          <w:lang w:val="en-GB" w:eastAsia="fr-FR"/>
        </w:rPr>
        <w:t xml:space="preserve">.  The applicant </w:t>
      </w:r>
      <w:r w:rsidR="001C4F9B">
        <w:rPr>
          <w:rFonts w:eastAsia="Times New Roman"/>
          <w:lang w:val="en-GB" w:eastAsia="fr-FR"/>
        </w:rPr>
        <w:t xml:space="preserve">contended </w:t>
      </w:r>
      <w:r w:rsidRPr="001922A7">
        <w:rPr>
          <w:rFonts w:eastAsia="Times New Roman"/>
          <w:lang w:val="en-GB" w:eastAsia="fr-FR"/>
        </w:rPr>
        <w:t xml:space="preserve">that she had been unlawfully deprived of her property on account of the proceedings on her </w:t>
      </w:r>
      <w:r w:rsidR="00F37C1E">
        <w:rPr>
          <w:rFonts w:eastAsia="Times New Roman"/>
          <w:lang w:val="en-GB" w:eastAsia="fr-FR"/>
        </w:rPr>
        <w:t>ex</w:t>
      </w:r>
      <w:r w:rsidR="001C4F9B">
        <w:rPr>
          <w:rFonts w:eastAsia="Times New Roman"/>
          <w:lang w:val="en-GB" w:eastAsia="fr-FR"/>
        </w:rPr>
        <w:t xml:space="preserve">ceptional </w:t>
      </w:r>
      <w:r w:rsidR="00F37C1E">
        <w:rPr>
          <w:rFonts w:eastAsia="Times New Roman"/>
          <w:lang w:val="en-GB" w:eastAsia="fr-FR"/>
        </w:rPr>
        <w:t>appeal</w:t>
      </w:r>
      <w:r w:rsidR="00540BD9" w:rsidRPr="001922A7">
        <w:rPr>
          <w:rFonts w:eastAsia="Times New Roman"/>
          <w:lang w:val="en-GB" w:eastAsia="fr-FR"/>
        </w:rPr>
        <w:t>. She</w:t>
      </w:r>
      <w:r w:rsidRPr="001922A7">
        <w:rPr>
          <w:rFonts w:eastAsia="Times New Roman"/>
          <w:lang w:val="en-GB" w:eastAsia="fr-FR"/>
        </w:rPr>
        <w:t xml:space="preserve"> relied upon Article</w:t>
      </w:r>
      <w:r w:rsidR="00C57073">
        <w:rPr>
          <w:rFonts w:eastAsia="Times New Roman"/>
          <w:lang w:val="en-GB" w:eastAsia="fr-FR"/>
        </w:rPr>
        <w:t xml:space="preserve"> </w:t>
      </w:r>
      <w:r w:rsidRPr="001922A7">
        <w:rPr>
          <w:rFonts w:eastAsia="Times New Roman"/>
          <w:lang w:val="en-GB" w:eastAsia="fr-FR"/>
        </w:rPr>
        <w:t>1 of Protocol</w:t>
      </w:r>
      <w:r w:rsidR="00C57073">
        <w:rPr>
          <w:rFonts w:eastAsia="Times New Roman"/>
          <w:lang w:val="en-GB" w:eastAsia="fr-FR"/>
        </w:rPr>
        <w:t xml:space="preserve"> </w:t>
      </w:r>
      <w:r w:rsidRPr="001922A7">
        <w:rPr>
          <w:rFonts w:eastAsia="Times New Roman"/>
          <w:lang w:val="en-GB" w:eastAsia="fr-FR"/>
        </w:rPr>
        <w:t>No.</w:t>
      </w:r>
      <w:r w:rsidR="00C57073">
        <w:rPr>
          <w:rFonts w:eastAsia="Times New Roman"/>
          <w:lang w:val="en-GB" w:eastAsia="fr-FR"/>
        </w:rPr>
        <w:t xml:space="preserve"> </w:t>
      </w:r>
      <w:r w:rsidRPr="001922A7">
        <w:rPr>
          <w:rFonts w:eastAsia="Times New Roman"/>
          <w:lang w:val="en-GB" w:eastAsia="fr-FR"/>
        </w:rPr>
        <w:t>1.</w:t>
      </w:r>
    </w:p>
    <w:p w:rsidR="00014566" w:rsidRPr="001922A7" w:rsidRDefault="00DE3CC4" w:rsidP="00C621C2">
      <w:pPr>
        <w:pStyle w:val="ECHRPara"/>
        <w:rPr>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67</w:t>
      </w:r>
      <w:r w:rsidRPr="001922A7">
        <w:rPr>
          <w:lang w:val="en-GB"/>
        </w:rPr>
        <w:fldChar w:fldCharType="end"/>
      </w:r>
      <w:r w:rsidR="00014566" w:rsidRPr="001922A7">
        <w:rPr>
          <w:lang w:val="en-GB"/>
        </w:rPr>
        <w:t xml:space="preserve">.  The Court </w:t>
      </w:r>
      <w:r w:rsidR="007D11B9">
        <w:rPr>
          <w:lang w:val="en-GB"/>
        </w:rPr>
        <w:t>observes</w:t>
      </w:r>
      <w:r w:rsidR="00014566" w:rsidRPr="001922A7">
        <w:rPr>
          <w:lang w:val="en-GB"/>
        </w:rPr>
        <w:t xml:space="preserve"> that this complaint is linked to the one examined above and must therefore likewise be declared admissible.</w:t>
      </w:r>
    </w:p>
    <w:p w:rsidR="00014566" w:rsidRPr="001922A7" w:rsidRDefault="00DE3CC4" w:rsidP="00C621C2">
      <w:pPr>
        <w:pStyle w:val="ECHRPara"/>
        <w:rPr>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68</w:t>
      </w:r>
      <w:r w:rsidRPr="001922A7">
        <w:rPr>
          <w:lang w:val="en-GB"/>
        </w:rPr>
        <w:fldChar w:fldCharType="end"/>
      </w:r>
      <w:r w:rsidR="00014566" w:rsidRPr="001922A7">
        <w:rPr>
          <w:lang w:val="en-GB"/>
        </w:rPr>
        <w:t xml:space="preserve">.  Having regard to its finding under Article </w:t>
      </w:r>
      <w:r w:rsidR="0060265E" w:rsidRPr="001922A7">
        <w:rPr>
          <w:lang w:val="en-GB"/>
        </w:rPr>
        <w:t>6 </w:t>
      </w:r>
      <w:r w:rsidR="0060265E" w:rsidRPr="001922A7">
        <w:rPr>
          <w:rFonts w:cstheme="minorHAnsi"/>
          <w:lang w:val="en-GB"/>
        </w:rPr>
        <w:t>§</w:t>
      </w:r>
      <w:r w:rsidR="0060265E" w:rsidRPr="001922A7">
        <w:rPr>
          <w:lang w:val="en-GB"/>
        </w:rPr>
        <w:t xml:space="preserve"> 1 of the Convention</w:t>
      </w:r>
      <w:r w:rsidR="00014566" w:rsidRPr="001922A7">
        <w:rPr>
          <w:lang w:val="en-GB"/>
        </w:rPr>
        <w:t xml:space="preserve"> (see paragraph </w:t>
      </w:r>
      <w:r w:rsidR="00D51DD1">
        <w:rPr>
          <w:lang w:val="en-GB"/>
        </w:rPr>
        <w:t>65</w:t>
      </w:r>
      <w:r w:rsidR="00D51DD1" w:rsidRPr="001922A7">
        <w:rPr>
          <w:lang w:val="en-GB"/>
        </w:rPr>
        <w:t xml:space="preserve"> </w:t>
      </w:r>
      <w:r w:rsidR="00014566" w:rsidRPr="001922A7">
        <w:rPr>
          <w:lang w:val="en-GB"/>
        </w:rPr>
        <w:t xml:space="preserve">above), the Court </w:t>
      </w:r>
      <w:r w:rsidR="008359FC" w:rsidRPr="001922A7">
        <w:rPr>
          <w:lang w:val="en-GB"/>
        </w:rPr>
        <w:t>finds</w:t>
      </w:r>
      <w:r w:rsidR="00014566" w:rsidRPr="001922A7">
        <w:rPr>
          <w:lang w:val="en-GB"/>
        </w:rPr>
        <w:t xml:space="preserve"> that it is not necessary to examine whether, in this case, there has been a violation of </w:t>
      </w:r>
      <w:r w:rsidR="0060265E" w:rsidRPr="001922A7">
        <w:rPr>
          <w:rFonts w:ascii="Times New Roman" w:eastAsia="Times New Roman" w:hAnsi="Times New Roman" w:cs="Times New Roman"/>
          <w:szCs w:val="20"/>
          <w:lang w:val="en-GB"/>
        </w:rPr>
        <w:t>Article</w:t>
      </w:r>
      <w:r w:rsidR="008847BC">
        <w:rPr>
          <w:rFonts w:ascii="Times New Roman" w:eastAsia="Times New Roman" w:hAnsi="Times New Roman" w:cs="Times New Roman"/>
          <w:szCs w:val="20"/>
          <w:lang w:val="en-GB"/>
        </w:rPr>
        <w:t xml:space="preserve"> </w:t>
      </w:r>
      <w:r w:rsidR="00705E39" w:rsidRPr="001922A7">
        <w:rPr>
          <w:rFonts w:ascii="Times New Roman" w:eastAsia="Times New Roman" w:hAnsi="Times New Roman" w:cs="Times New Roman"/>
          <w:szCs w:val="20"/>
          <w:lang w:val="en-GB"/>
        </w:rPr>
        <w:t>1 of Protocol</w:t>
      </w:r>
      <w:r w:rsidR="0023660B">
        <w:rPr>
          <w:rFonts w:ascii="Times New Roman" w:eastAsia="Times New Roman" w:hAnsi="Times New Roman" w:cs="Times New Roman"/>
          <w:szCs w:val="20"/>
          <w:lang w:val="en-GB"/>
        </w:rPr>
        <w:t> </w:t>
      </w:r>
      <w:r w:rsidR="00705E39" w:rsidRPr="001922A7">
        <w:rPr>
          <w:rFonts w:ascii="Times New Roman" w:eastAsia="Times New Roman" w:hAnsi="Times New Roman" w:cs="Times New Roman"/>
          <w:szCs w:val="20"/>
          <w:lang w:val="en-GB"/>
        </w:rPr>
        <w:t>No.</w:t>
      </w:r>
      <w:r w:rsidR="0023660B">
        <w:rPr>
          <w:rFonts w:ascii="Times New Roman" w:eastAsia="Times New Roman" w:hAnsi="Times New Roman" w:cs="Times New Roman"/>
          <w:szCs w:val="20"/>
          <w:lang w:val="en-GB"/>
        </w:rPr>
        <w:t> </w:t>
      </w:r>
      <w:r w:rsidR="0060265E" w:rsidRPr="001922A7">
        <w:rPr>
          <w:rFonts w:ascii="Times New Roman" w:eastAsia="Times New Roman" w:hAnsi="Times New Roman" w:cs="Times New Roman"/>
          <w:szCs w:val="20"/>
          <w:lang w:val="en-GB"/>
        </w:rPr>
        <w:t>1.</w:t>
      </w:r>
    </w:p>
    <w:p w:rsidR="00014566" w:rsidRPr="001922A7" w:rsidRDefault="009660B9" w:rsidP="00014566">
      <w:pPr>
        <w:pStyle w:val="ECHRHeading1"/>
        <w:rPr>
          <w:lang w:val="en-GB"/>
        </w:rPr>
      </w:pPr>
      <w:r w:rsidRPr="001922A7">
        <w:rPr>
          <w:lang w:val="en-GB"/>
        </w:rPr>
        <w:t>II</w:t>
      </w:r>
      <w:r w:rsidR="00014566" w:rsidRPr="001922A7">
        <w:rPr>
          <w:lang w:val="en-GB"/>
        </w:rPr>
        <w:t>.  APPLICATION OF ARTICLE 41 OF THE CONVENTION</w:t>
      </w:r>
    </w:p>
    <w:p w:rsidR="00014566" w:rsidRPr="001922A7" w:rsidRDefault="00DE3CC4" w:rsidP="00C621C2">
      <w:pPr>
        <w:pStyle w:val="ECHRPara"/>
        <w:rPr>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69</w:t>
      </w:r>
      <w:r w:rsidRPr="001922A7">
        <w:rPr>
          <w:lang w:val="en-GB"/>
        </w:rPr>
        <w:fldChar w:fldCharType="end"/>
      </w:r>
      <w:r w:rsidR="00014566" w:rsidRPr="001922A7">
        <w:rPr>
          <w:lang w:val="en-GB"/>
        </w:rPr>
        <w:t>.  Article 41 of the Convention provides:</w:t>
      </w:r>
    </w:p>
    <w:p w:rsidR="00014566" w:rsidRPr="001922A7" w:rsidRDefault="00014566" w:rsidP="00014566">
      <w:pPr>
        <w:pStyle w:val="ECHRParaQuote"/>
        <w:keepNext/>
        <w:keepLines/>
        <w:rPr>
          <w:lang w:val="en-GB"/>
        </w:rPr>
      </w:pPr>
      <w:r w:rsidRPr="001922A7">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1922A7" w:rsidRDefault="00014566" w:rsidP="0062363B">
      <w:pPr>
        <w:pStyle w:val="ECHRHeading2"/>
        <w:rPr>
          <w:lang w:val="en-GB"/>
        </w:rPr>
      </w:pPr>
      <w:r w:rsidRPr="001922A7">
        <w:rPr>
          <w:lang w:val="en-GB"/>
        </w:rPr>
        <w:t>A.  </w:t>
      </w:r>
      <w:r w:rsidRPr="0062363B">
        <w:t>Damage</w:t>
      </w:r>
    </w:p>
    <w:p w:rsidR="00014566" w:rsidRPr="001922A7" w:rsidRDefault="00DE3CC4" w:rsidP="00C621C2">
      <w:pPr>
        <w:pStyle w:val="ECHRPara"/>
        <w:rPr>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70</w:t>
      </w:r>
      <w:r w:rsidRPr="001922A7">
        <w:rPr>
          <w:lang w:val="en-GB"/>
        </w:rPr>
        <w:fldChar w:fldCharType="end"/>
      </w:r>
      <w:r w:rsidR="00014566" w:rsidRPr="001922A7">
        <w:rPr>
          <w:lang w:val="en-GB"/>
        </w:rPr>
        <w:t xml:space="preserve">.  The applicant claimed </w:t>
      </w:r>
      <w:r w:rsidR="00BC43AC" w:rsidRPr="001922A7">
        <w:rPr>
          <w:rFonts w:ascii="Times New Roman" w:eastAsia="Times New Roman" w:hAnsi="Times New Roman" w:cs="Times New Roman"/>
          <w:szCs w:val="20"/>
          <w:lang w:val="en-GB" w:eastAsia="fr-FR"/>
        </w:rPr>
        <w:t xml:space="preserve">300,000 </w:t>
      </w:r>
      <w:r w:rsidR="00BC43AC" w:rsidRPr="001922A7">
        <w:rPr>
          <w:lang w:val="en-GB"/>
        </w:rPr>
        <w:t xml:space="preserve">euros (EUR) in respect of </w:t>
      </w:r>
      <w:r w:rsidR="00014566" w:rsidRPr="001922A7">
        <w:rPr>
          <w:lang w:val="en-GB"/>
        </w:rPr>
        <w:t>damage</w:t>
      </w:r>
      <w:r w:rsidR="00BC43AC" w:rsidRPr="001922A7">
        <w:rPr>
          <w:rFonts w:ascii="Times New Roman" w:eastAsia="Times New Roman" w:hAnsi="Times New Roman" w:cs="Times New Roman"/>
          <w:szCs w:val="20"/>
          <w:lang w:val="en-GB" w:eastAsia="fr-FR"/>
        </w:rPr>
        <w:t xml:space="preserve"> </w:t>
      </w:r>
      <w:r w:rsidR="00B30139">
        <w:rPr>
          <w:rFonts w:ascii="Times New Roman" w:eastAsia="Times New Roman" w:hAnsi="Times New Roman" w:cs="Times New Roman"/>
          <w:szCs w:val="20"/>
          <w:lang w:val="en-GB" w:eastAsia="fr-FR"/>
        </w:rPr>
        <w:t xml:space="preserve">resulting from </w:t>
      </w:r>
      <w:r w:rsidR="00BC43AC" w:rsidRPr="001922A7">
        <w:rPr>
          <w:rFonts w:ascii="Times New Roman" w:eastAsia="Times New Roman" w:hAnsi="Times New Roman" w:cs="Times New Roman"/>
          <w:szCs w:val="20"/>
          <w:lang w:val="en-GB" w:eastAsia="fr-FR"/>
        </w:rPr>
        <w:t>the alleged violation of her rights under Article 6 of the Convention and Article 1 of Protocol No. 1.</w:t>
      </w:r>
    </w:p>
    <w:p w:rsidR="00BC43AC" w:rsidRPr="001922A7" w:rsidRDefault="00BC43AC" w:rsidP="008847BC">
      <w:pPr>
        <w:pStyle w:val="ECHRPara"/>
        <w:rPr>
          <w:rFonts w:eastAsia="Times New Roman"/>
          <w:lang w:val="en-GB" w:eastAsia="fr-FR"/>
        </w:rPr>
      </w:pPr>
      <w:r w:rsidRPr="001922A7">
        <w:rPr>
          <w:rFonts w:eastAsia="Times New Roman"/>
          <w:lang w:val="en-GB" w:eastAsia="fr-FR"/>
        </w:rPr>
        <w:lastRenderedPageBreak/>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71</w:t>
      </w:r>
      <w:r w:rsidRPr="001922A7">
        <w:rPr>
          <w:rFonts w:eastAsia="Times New Roman"/>
          <w:lang w:val="en-GB" w:eastAsia="fr-FR"/>
        </w:rPr>
        <w:fldChar w:fldCharType="end"/>
      </w:r>
      <w:r w:rsidRPr="001922A7">
        <w:rPr>
          <w:rFonts w:eastAsia="Times New Roman"/>
          <w:lang w:val="en-GB" w:eastAsia="fr-FR"/>
        </w:rPr>
        <w:t>.  The Government argued that the applicant had not specified the nature of the damage she had allegedly suffered on account of the Supreme Court</w:t>
      </w:r>
      <w:r w:rsidR="009912A8">
        <w:rPr>
          <w:rFonts w:eastAsia="Times New Roman"/>
          <w:lang w:val="en-GB" w:eastAsia="fr-FR"/>
        </w:rPr>
        <w:t>’</w:t>
      </w:r>
      <w:r w:rsidRPr="001922A7">
        <w:rPr>
          <w:rFonts w:eastAsia="Times New Roman"/>
          <w:lang w:val="en-GB" w:eastAsia="fr-FR"/>
        </w:rPr>
        <w:t>s decision in her case and had provided no evidence in support of her claim. Accordingly, the claim should be rejected in full.</w:t>
      </w:r>
    </w:p>
    <w:p w:rsidR="00A5328B" w:rsidRPr="001922A7" w:rsidRDefault="00A5328B" w:rsidP="008847BC">
      <w:pPr>
        <w:pStyle w:val="ECHRPara"/>
        <w:rPr>
          <w:rFonts w:eastAsia="Times New Roman"/>
          <w:lang w:val="en-GB" w:eastAsia="fr-FR"/>
        </w:rPr>
      </w:pPr>
      <w:r w:rsidRPr="001922A7">
        <w:rPr>
          <w:rFonts w:eastAsia="Times New Roman"/>
          <w:lang w:val="en-GB" w:eastAsia="fr-FR"/>
        </w:rPr>
        <w:fldChar w:fldCharType="begin"/>
      </w:r>
      <w:r w:rsidRPr="001922A7">
        <w:rPr>
          <w:rFonts w:eastAsia="Times New Roman"/>
          <w:lang w:val="en-GB" w:eastAsia="fr-FR"/>
        </w:rPr>
        <w:instrText xml:space="preserve"> SEQ level0 \*arabic </w:instrText>
      </w:r>
      <w:r w:rsidRPr="001922A7">
        <w:rPr>
          <w:rFonts w:eastAsia="Times New Roman"/>
          <w:lang w:val="en-GB" w:eastAsia="fr-FR"/>
        </w:rPr>
        <w:fldChar w:fldCharType="separate"/>
      </w:r>
      <w:r w:rsidR="00E15C77">
        <w:rPr>
          <w:rFonts w:eastAsia="Times New Roman"/>
          <w:noProof/>
          <w:lang w:val="en-GB" w:eastAsia="fr-FR"/>
        </w:rPr>
        <w:t>72</w:t>
      </w:r>
      <w:r w:rsidRPr="001922A7">
        <w:rPr>
          <w:rFonts w:eastAsia="Times New Roman"/>
          <w:lang w:val="en-GB" w:eastAsia="fr-FR"/>
        </w:rPr>
        <w:fldChar w:fldCharType="end"/>
      </w:r>
      <w:r w:rsidRPr="001922A7">
        <w:rPr>
          <w:rFonts w:eastAsia="Times New Roman"/>
          <w:lang w:val="en-GB" w:eastAsia="fr-FR"/>
        </w:rPr>
        <w:t xml:space="preserve">.  The </w:t>
      </w:r>
      <w:r w:rsidR="000B5A6A" w:rsidRPr="001922A7">
        <w:rPr>
          <w:rFonts w:eastAsia="Times New Roman"/>
          <w:lang w:val="en-GB" w:eastAsia="fr-FR"/>
        </w:rPr>
        <w:t>Court</w:t>
      </w:r>
      <w:r w:rsidRPr="001922A7">
        <w:rPr>
          <w:rFonts w:eastAsia="Times New Roman"/>
          <w:lang w:val="en-GB" w:eastAsia="fr-FR"/>
        </w:rPr>
        <w:t xml:space="preserve"> notes that the applicant did not provide any details as to the nature of the alleged damage or its gravity</w:t>
      </w:r>
      <w:r w:rsidR="00BC43AC" w:rsidRPr="001922A7">
        <w:rPr>
          <w:rFonts w:eastAsia="Times New Roman"/>
          <w:lang w:val="en-GB" w:eastAsia="fr-FR"/>
        </w:rPr>
        <w:t>. Nevertheless</w:t>
      </w:r>
      <w:r w:rsidRPr="001922A7">
        <w:rPr>
          <w:rFonts w:eastAsia="Times New Roman"/>
          <w:lang w:val="en-GB" w:eastAsia="fr-FR"/>
        </w:rPr>
        <w:t xml:space="preserve">, </w:t>
      </w:r>
      <w:r w:rsidR="00D74B34">
        <w:rPr>
          <w:rFonts w:eastAsia="Times New Roman"/>
          <w:lang w:val="en-GB" w:eastAsia="fr-FR"/>
        </w:rPr>
        <w:t>it</w:t>
      </w:r>
      <w:r w:rsidRPr="001922A7">
        <w:rPr>
          <w:rFonts w:eastAsia="Times New Roman"/>
          <w:lang w:val="en-GB" w:eastAsia="fr-FR"/>
        </w:rPr>
        <w:t xml:space="preserve"> </w:t>
      </w:r>
      <w:r w:rsidR="00362E93" w:rsidRPr="001922A7">
        <w:rPr>
          <w:rFonts w:eastAsia="Times New Roman"/>
          <w:lang w:val="en-GB" w:eastAsia="fr-FR"/>
        </w:rPr>
        <w:t>considers</w:t>
      </w:r>
      <w:r w:rsidR="00BC43AC" w:rsidRPr="001922A7">
        <w:rPr>
          <w:rFonts w:eastAsia="Times New Roman"/>
          <w:lang w:val="en-GB" w:eastAsia="fr-FR"/>
        </w:rPr>
        <w:t xml:space="preserve"> </w:t>
      </w:r>
      <w:r w:rsidRPr="001922A7">
        <w:rPr>
          <w:rFonts w:eastAsia="Times New Roman"/>
          <w:lang w:val="en-GB" w:eastAsia="fr-FR"/>
        </w:rPr>
        <w:t xml:space="preserve">that the applicant must have suffered some distress and anxiety on account of the “unfair” </w:t>
      </w:r>
      <w:r w:rsidR="00710579" w:rsidRPr="001922A7">
        <w:rPr>
          <w:rFonts w:eastAsia="Times New Roman"/>
          <w:lang w:val="en-GB" w:eastAsia="fr-FR"/>
        </w:rPr>
        <w:t>manner</w:t>
      </w:r>
      <w:r w:rsidR="00EA1EA9" w:rsidRPr="001922A7">
        <w:rPr>
          <w:rFonts w:eastAsia="Times New Roman"/>
          <w:lang w:val="en-GB" w:eastAsia="fr-FR"/>
        </w:rPr>
        <w:t xml:space="preserve"> in which</w:t>
      </w:r>
      <w:r w:rsidRPr="001922A7">
        <w:rPr>
          <w:rFonts w:eastAsia="Times New Roman"/>
          <w:lang w:val="en-GB" w:eastAsia="fr-FR"/>
        </w:rPr>
        <w:t xml:space="preserve"> the Supreme Court </w:t>
      </w:r>
      <w:r w:rsidR="00710579" w:rsidRPr="001922A7">
        <w:rPr>
          <w:rFonts w:eastAsia="Times New Roman"/>
          <w:lang w:val="en-GB" w:eastAsia="fr-FR"/>
        </w:rPr>
        <w:t xml:space="preserve">dealt with </w:t>
      </w:r>
      <w:r w:rsidR="00FE2FD2" w:rsidRPr="001922A7">
        <w:rPr>
          <w:rFonts w:eastAsia="Times New Roman"/>
          <w:lang w:val="en-GB" w:eastAsia="fr-FR"/>
        </w:rPr>
        <w:t xml:space="preserve">her </w:t>
      </w:r>
      <w:r w:rsidR="001C4F9B">
        <w:rPr>
          <w:rFonts w:eastAsia="Times New Roman"/>
          <w:lang w:val="en-GB" w:eastAsia="fr-FR"/>
        </w:rPr>
        <w:t xml:space="preserve">exceptional </w:t>
      </w:r>
      <w:r w:rsidR="00F37C1E">
        <w:rPr>
          <w:rFonts w:eastAsia="Times New Roman"/>
          <w:lang w:val="en-GB" w:eastAsia="fr-FR"/>
        </w:rPr>
        <w:t>appeal</w:t>
      </w:r>
      <w:r w:rsidR="00710579" w:rsidRPr="001922A7">
        <w:rPr>
          <w:rFonts w:eastAsia="Times New Roman"/>
          <w:lang w:val="en-GB" w:eastAsia="fr-FR"/>
        </w:rPr>
        <w:t xml:space="preserve">, which, as a consequence, </w:t>
      </w:r>
      <w:r w:rsidRPr="001922A7">
        <w:rPr>
          <w:rFonts w:eastAsia="Times New Roman"/>
          <w:lang w:val="en-GB" w:eastAsia="fr-FR"/>
        </w:rPr>
        <w:t xml:space="preserve">set at naught </w:t>
      </w:r>
      <w:r w:rsidR="00EB4AA9">
        <w:rPr>
          <w:rFonts w:eastAsia="Times New Roman"/>
          <w:lang w:val="en-GB" w:eastAsia="fr-FR"/>
        </w:rPr>
        <w:t xml:space="preserve">her </w:t>
      </w:r>
      <w:r w:rsidRPr="001922A7">
        <w:rPr>
          <w:rFonts w:eastAsia="Times New Roman"/>
          <w:lang w:val="en-GB" w:eastAsia="fr-FR"/>
        </w:rPr>
        <w:t xml:space="preserve">attempts to </w:t>
      </w:r>
      <w:r w:rsidR="00B75683" w:rsidRPr="001922A7">
        <w:rPr>
          <w:rFonts w:eastAsia="Times New Roman"/>
          <w:lang w:val="en-GB" w:eastAsia="fr-FR"/>
        </w:rPr>
        <w:t xml:space="preserve">have her property claim </w:t>
      </w:r>
      <w:r w:rsidR="00A23B0D" w:rsidRPr="001922A7">
        <w:rPr>
          <w:rFonts w:eastAsia="Times New Roman"/>
          <w:lang w:val="en-GB" w:eastAsia="fr-FR"/>
        </w:rPr>
        <w:t>examined</w:t>
      </w:r>
      <w:r w:rsidRPr="001922A7">
        <w:rPr>
          <w:rFonts w:eastAsia="Times New Roman"/>
          <w:lang w:val="en-GB" w:eastAsia="fr-FR"/>
        </w:rPr>
        <w:t xml:space="preserve"> in the light of the Court</w:t>
      </w:r>
      <w:r w:rsidR="009912A8">
        <w:rPr>
          <w:rFonts w:eastAsia="Times New Roman"/>
          <w:lang w:val="en-GB" w:eastAsia="fr-FR"/>
        </w:rPr>
        <w:t>’</w:t>
      </w:r>
      <w:r w:rsidRPr="001922A7">
        <w:rPr>
          <w:rFonts w:eastAsia="Times New Roman"/>
          <w:lang w:val="en-GB" w:eastAsia="fr-FR"/>
        </w:rPr>
        <w:t>s judgment in h</w:t>
      </w:r>
      <w:r w:rsidR="00DC561C" w:rsidRPr="001922A7">
        <w:rPr>
          <w:rFonts w:eastAsia="Times New Roman"/>
          <w:lang w:val="en-GB" w:eastAsia="fr-FR"/>
        </w:rPr>
        <w:t xml:space="preserve">er previous case </w:t>
      </w:r>
      <w:r w:rsidR="009412B1" w:rsidRPr="009412B1">
        <w:rPr>
          <w:rFonts w:eastAsia="Times New Roman"/>
          <w:lang w:val="en-GB" w:eastAsia="fr-FR"/>
        </w:rPr>
        <w:t xml:space="preserve">in the framework of the </w:t>
      </w:r>
      <w:r w:rsidR="00262501">
        <w:rPr>
          <w:rFonts w:eastAsia="Times New Roman"/>
          <w:lang w:val="en-GB" w:eastAsia="fr-FR"/>
        </w:rPr>
        <w:t xml:space="preserve">cassation-type </w:t>
      </w:r>
      <w:r w:rsidR="009412B1" w:rsidRPr="009412B1">
        <w:rPr>
          <w:rFonts w:eastAsia="Times New Roman"/>
          <w:lang w:val="en-GB" w:eastAsia="fr-FR"/>
        </w:rPr>
        <w:t xml:space="preserve">procedure provided for under domestic law </w:t>
      </w:r>
      <w:r w:rsidR="00DC561C" w:rsidRPr="001922A7">
        <w:rPr>
          <w:rFonts w:eastAsia="Times New Roman"/>
          <w:lang w:val="en-GB" w:eastAsia="fr-FR"/>
        </w:rPr>
        <w:t>(see paragraph</w:t>
      </w:r>
      <w:r w:rsidRPr="001922A7">
        <w:rPr>
          <w:rFonts w:eastAsia="Times New Roman"/>
          <w:lang w:val="en-GB" w:eastAsia="fr-FR"/>
        </w:rPr>
        <w:t xml:space="preserve"> </w:t>
      </w:r>
      <w:r w:rsidR="00D83FF5">
        <w:rPr>
          <w:rFonts w:eastAsia="Times New Roman"/>
          <w:lang w:val="en-GB" w:eastAsia="fr-FR"/>
        </w:rPr>
        <w:t>6</w:t>
      </w:r>
      <w:r w:rsidR="00D51DD1">
        <w:rPr>
          <w:rFonts w:eastAsia="Times New Roman"/>
          <w:lang w:val="en-GB" w:eastAsia="fr-FR"/>
        </w:rPr>
        <w:t>4</w:t>
      </w:r>
      <w:r w:rsidR="00BC43AC" w:rsidRPr="001922A7">
        <w:rPr>
          <w:rFonts w:eastAsia="Times New Roman"/>
          <w:lang w:val="en-GB" w:eastAsia="fr-FR"/>
        </w:rPr>
        <w:t xml:space="preserve"> </w:t>
      </w:r>
      <w:r w:rsidR="00FE2FD2" w:rsidRPr="001922A7">
        <w:rPr>
          <w:rFonts w:eastAsia="Times New Roman"/>
          <w:lang w:val="en-GB" w:eastAsia="fr-FR"/>
        </w:rPr>
        <w:t>above).</w:t>
      </w:r>
      <w:r w:rsidR="00B2772A" w:rsidRPr="001922A7">
        <w:rPr>
          <w:rFonts w:eastAsia="Times New Roman"/>
          <w:lang w:val="en-GB" w:eastAsia="fr-FR"/>
        </w:rPr>
        <w:t xml:space="preserve"> </w:t>
      </w:r>
      <w:r w:rsidR="001C4F9B">
        <w:rPr>
          <w:rFonts w:eastAsia="Times New Roman"/>
          <w:lang w:val="en-GB" w:eastAsia="fr-FR"/>
        </w:rPr>
        <w:t>T</w:t>
      </w:r>
      <w:r w:rsidR="00B2772A" w:rsidRPr="001922A7">
        <w:rPr>
          <w:rFonts w:eastAsia="Times New Roman"/>
          <w:lang w:val="en-GB" w:eastAsia="fr-FR"/>
        </w:rPr>
        <w:t xml:space="preserve">he Court </w:t>
      </w:r>
      <w:r w:rsidR="001C4F9B">
        <w:rPr>
          <w:rFonts w:eastAsia="Times New Roman"/>
          <w:lang w:val="en-GB" w:eastAsia="fr-FR"/>
        </w:rPr>
        <w:t>does</w:t>
      </w:r>
      <w:r w:rsidR="00B2772A" w:rsidRPr="001922A7">
        <w:rPr>
          <w:rFonts w:eastAsia="Times New Roman"/>
          <w:lang w:val="en-GB" w:eastAsia="fr-FR"/>
        </w:rPr>
        <w:t xml:space="preserve"> not </w:t>
      </w:r>
      <w:r w:rsidR="001C4F9B">
        <w:rPr>
          <w:rFonts w:eastAsia="Times New Roman"/>
          <w:lang w:val="en-GB" w:eastAsia="fr-FR"/>
        </w:rPr>
        <w:t xml:space="preserve">judge it appropriate </w:t>
      </w:r>
      <w:r w:rsidR="00B2772A" w:rsidRPr="001922A7">
        <w:rPr>
          <w:rFonts w:eastAsia="Times New Roman"/>
          <w:lang w:val="en-GB" w:eastAsia="fr-FR"/>
        </w:rPr>
        <w:t xml:space="preserve">to examine </w:t>
      </w:r>
      <w:r w:rsidR="00710579" w:rsidRPr="001922A7">
        <w:rPr>
          <w:rFonts w:eastAsia="Times New Roman"/>
          <w:lang w:val="en-GB" w:eastAsia="fr-FR"/>
        </w:rPr>
        <w:t xml:space="preserve">whether any </w:t>
      </w:r>
      <w:r w:rsidR="00390AD0" w:rsidRPr="001922A7">
        <w:rPr>
          <w:rFonts w:eastAsia="Times New Roman"/>
          <w:lang w:val="en-GB" w:eastAsia="fr-FR"/>
        </w:rPr>
        <w:t>f</w:t>
      </w:r>
      <w:r w:rsidR="00710579" w:rsidRPr="001922A7">
        <w:rPr>
          <w:rFonts w:eastAsia="Times New Roman"/>
          <w:lang w:val="en-GB" w:eastAsia="fr-FR"/>
        </w:rPr>
        <w:t xml:space="preserve">urther </w:t>
      </w:r>
      <w:r w:rsidR="00010B57" w:rsidRPr="001922A7">
        <w:rPr>
          <w:rFonts w:eastAsia="Times New Roman"/>
          <w:lang w:val="en-GB" w:eastAsia="fr-FR"/>
        </w:rPr>
        <w:t>reconsideration of the applicant</w:t>
      </w:r>
      <w:r w:rsidR="009912A8">
        <w:rPr>
          <w:rFonts w:eastAsia="Times New Roman"/>
          <w:lang w:val="en-GB" w:eastAsia="fr-FR"/>
        </w:rPr>
        <w:t>’</w:t>
      </w:r>
      <w:r w:rsidR="00010B57" w:rsidRPr="001922A7">
        <w:rPr>
          <w:rFonts w:eastAsia="Times New Roman"/>
          <w:lang w:val="en-GB" w:eastAsia="fr-FR"/>
        </w:rPr>
        <w:t xml:space="preserve">s </w:t>
      </w:r>
      <w:r w:rsidR="001C4F9B">
        <w:rPr>
          <w:rFonts w:eastAsia="Times New Roman"/>
          <w:lang w:val="en-GB" w:eastAsia="fr-FR"/>
        </w:rPr>
        <w:t xml:space="preserve">property claim at domestic level </w:t>
      </w:r>
      <w:r w:rsidR="00710579" w:rsidRPr="001922A7">
        <w:rPr>
          <w:rFonts w:eastAsia="Times New Roman"/>
          <w:lang w:val="en-GB" w:eastAsia="fr-FR"/>
        </w:rPr>
        <w:t xml:space="preserve">is </w:t>
      </w:r>
      <w:r w:rsidR="00010B57" w:rsidRPr="001922A7">
        <w:rPr>
          <w:rFonts w:eastAsia="Times New Roman"/>
          <w:lang w:val="en-GB" w:eastAsia="fr-FR"/>
        </w:rPr>
        <w:t xml:space="preserve">feasible in the circumstances, </w:t>
      </w:r>
      <w:r w:rsidR="00B2772A" w:rsidRPr="001922A7">
        <w:rPr>
          <w:rFonts w:eastAsia="Times New Roman"/>
          <w:lang w:val="en-GB" w:eastAsia="fr-FR"/>
        </w:rPr>
        <w:t xml:space="preserve">given in particular </w:t>
      </w:r>
      <w:r w:rsidR="00EA1EA9" w:rsidRPr="001922A7">
        <w:rPr>
          <w:rFonts w:eastAsia="Times New Roman"/>
          <w:lang w:val="en-GB" w:eastAsia="fr-FR"/>
        </w:rPr>
        <w:t xml:space="preserve">the </w:t>
      </w:r>
      <w:r w:rsidR="001C4F9B">
        <w:rPr>
          <w:rFonts w:eastAsia="Times New Roman"/>
          <w:lang w:val="en-GB" w:eastAsia="fr-FR"/>
        </w:rPr>
        <w:t xml:space="preserve">considerable time that has elapsed in the meantime as well as the </w:t>
      </w:r>
      <w:r w:rsidR="00B2772A" w:rsidRPr="001922A7">
        <w:rPr>
          <w:rFonts w:eastAsia="Times New Roman"/>
          <w:lang w:val="en-GB" w:eastAsia="fr-FR"/>
        </w:rPr>
        <w:t xml:space="preserve">possible implications of such reconsideration for </w:t>
      </w:r>
      <w:r w:rsidR="00EA1EA9" w:rsidRPr="001922A7">
        <w:rPr>
          <w:rFonts w:eastAsia="Times New Roman"/>
          <w:lang w:val="en-GB" w:eastAsia="fr-FR"/>
        </w:rPr>
        <w:t>the principle</w:t>
      </w:r>
      <w:r w:rsidR="00B1617A">
        <w:rPr>
          <w:rFonts w:eastAsia="Times New Roman"/>
          <w:lang w:val="en-GB" w:eastAsia="fr-FR"/>
        </w:rPr>
        <w:t>s</w:t>
      </w:r>
      <w:r w:rsidR="00EA1EA9" w:rsidRPr="001922A7">
        <w:rPr>
          <w:rFonts w:eastAsia="Times New Roman"/>
          <w:lang w:val="en-GB" w:eastAsia="fr-FR"/>
        </w:rPr>
        <w:t xml:space="preserve"> of </w:t>
      </w:r>
      <w:r w:rsidR="00B2772A" w:rsidRPr="001922A7">
        <w:rPr>
          <w:rFonts w:eastAsia="Times New Roman"/>
          <w:i/>
          <w:lang w:val="en-GB"/>
        </w:rPr>
        <w:t>res iudicata</w:t>
      </w:r>
      <w:r w:rsidR="00B2772A" w:rsidRPr="001922A7">
        <w:rPr>
          <w:rFonts w:eastAsia="Times New Roman"/>
          <w:lang w:val="en-GB"/>
        </w:rPr>
        <w:t xml:space="preserve"> </w:t>
      </w:r>
      <w:r w:rsidR="00B1617A">
        <w:rPr>
          <w:rFonts w:eastAsia="Times New Roman"/>
          <w:lang w:val="en-GB"/>
        </w:rPr>
        <w:t>and</w:t>
      </w:r>
      <w:r w:rsidR="00B2772A" w:rsidRPr="001922A7">
        <w:rPr>
          <w:rFonts w:eastAsia="Times New Roman"/>
          <w:lang w:val="en-GB"/>
        </w:rPr>
        <w:t xml:space="preserve"> legal certainty in the terminated civil litigation</w:t>
      </w:r>
      <w:r w:rsidR="001C4F9B">
        <w:rPr>
          <w:rFonts w:eastAsia="Times New Roman"/>
          <w:lang w:val="en-GB"/>
        </w:rPr>
        <w:t xml:space="preserve"> and for the legitimate interests of third parties. On the other hand, the reality is now that </w:t>
      </w:r>
      <w:r w:rsidR="00B2772A" w:rsidRPr="001922A7">
        <w:rPr>
          <w:rFonts w:eastAsia="Times New Roman"/>
          <w:lang w:val="en-GB" w:eastAsia="fr-FR"/>
        </w:rPr>
        <w:t xml:space="preserve">the </w:t>
      </w:r>
      <w:r w:rsidR="001B0DCF" w:rsidRPr="001922A7">
        <w:rPr>
          <w:rFonts w:eastAsia="Times New Roman"/>
          <w:lang w:val="en-GB" w:eastAsia="fr-FR"/>
        </w:rPr>
        <w:t xml:space="preserve">applicant </w:t>
      </w:r>
      <w:r w:rsidR="001C4F9B">
        <w:rPr>
          <w:rFonts w:eastAsia="Times New Roman"/>
          <w:lang w:val="en-GB" w:eastAsia="fr-FR"/>
        </w:rPr>
        <w:t xml:space="preserve">must </w:t>
      </w:r>
      <w:r w:rsidR="001B0DCF" w:rsidRPr="001922A7">
        <w:rPr>
          <w:rFonts w:eastAsia="Times New Roman"/>
          <w:lang w:val="en-GB" w:eastAsia="fr-FR"/>
        </w:rPr>
        <w:t xml:space="preserve">be </w:t>
      </w:r>
      <w:r w:rsidR="001C4F9B">
        <w:rPr>
          <w:rFonts w:eastAsia="Times New Roman"/>
          <w:lang w:val="en-GB" w:eastAsia="fr-FR"/>
        </w:rPr>
        <w:t>taken</w:t>
      </w:r>
      <w:r w:rsidR="001B0DCF" w:rsidRPr="001922A7">
        <w:rPr>
          <w:rFonts w:eastAsia="Times New Roman"/>
          <w:lang w:val="en-GB" w:eastAsia="fr-FR"/>
        </w:rPr>
        <w:t xml:space="preserve">, for the purposes of the </w:t>
      </w:r>
      <w:r w:rsidR="00E43DD6" w:rsidRPr="001922A7">
        <w:rPr>
          <w:rFonts w:eastAsia="Times New Roman"/>
          <w:lang w:val="en-GB" w:eastAsia="fr-FR"/>
        </w:rPr>
        <w:t>Court</w:t>
      </w:r>
      <w:r w:rsidR="009912A8">
        <w:rPr>
          <w:rFonts w:eastAsia="Times New Roman"/>
          <w:lang w:val="en-GB" w:eastAsia="fr-FR"/>
        </w:rPr>
        <w:t>’</w:t>
      </w:r>
      <w:r w:rsidR="00E43DD6" w:rsidRPr="001922A7">
        <w:rPr>
          <w:rFonts w:eastAsia="Times New Roman"/>
          <w:lang w:val="en-GB" w:eastAsia="fr-FR"/>
        </w:rPr>
        <w:t xml:space="preserve">s </w:t>
      </w:r>
      <w:r w:rsidR="001B0DCF" w:rsidRPr="001922A7">
        <w:rPr>
          <w:rFonts w:eastAsia="Times New Roman"/>
          <w:lang w:val="en-GB" w:eastAsia="fr-FR"/>
        </w:rPr>
        <w:t xml:space="preserve">assessment under Article 41, as having </w:t>
      </w:r>
      <w:r w:rsidR="001C4F9B">
        <w:rPr>
          <w:rFonts w:eastAsia="Times New Roman"/>
          <w:lang w:val="en-GB" w:eastAsia="fr-FR"/>
        </w:rPr>
        <w:t>no</w:t>
      </w:r>
      <w:r w:rsidR="001B0DCF" w:rsidRPr="001922A7">
        <w:rPr>
          <w:rFonts w:eastAsia="Times New Roman"/>
          <w:lang w:val="en-GB" w:eastAsia="fr-FR"/>
        </w:rPr>
        <w:t xml:space="preserve"> practical opportunity </w:t>
      </w:r>
      <w:r w:rsidR="001C4F9B">
        <w:rPr>
          <w:rFonts w:eastAsia="Times New Roman"/>
          <w:lang w:val="en-GB" w:eastAsia="fr-FR"/>
        </w:rPr>
        <w:t xml:space="preserve">available to her </w:t>
      </w:r>
      <w:r w:rsidR="001B0DCF" w:rsidRPr="001922A7">
        <w:rPr>
          <w:rFonts w:eastAsia="Times New Roman"/>
          <w:lang w:val="en-GB" w:eastAsia="fr-FR"/>
        </w:rPr>
        <w:t xml:space="preserve">to remedy the violation found in her case at the domestic level. </w:t>
      </w:r>
      <w:r w:rsidR="00BD66A4" w:rsidRPr="001922A7">
        <w:rPr>
          <w:rFonts w:eastAsia="Times New Roman"/>
          <w:lang w:val="en-GB" w:eastAsia="fr-FR"/>
        </w:rPr>
        <w:t xml:space="preserve">Thus, </w:t>
      </w:r>
      <w:r w:rsidR="00BD66A4" w:rsidRPr="001922A7">
        <w:rPr>
          <w:lang w:val="en-GB"/>
        </w:rPr>
        <w:t>m</w:t>
      </w:r>
      <w:r w:rsidR="00D67A9B" w:rsidRPr="001922A7">
        <w:rPr>
          <w:lang w:val="en-GB"/>
        </w:rPr>
        <w:t xml:space="preserve">aking its assessment on an equitable basis, the Court considers it reasonable to award </w:t>
      </w:r>
      <w:r w:rsidR="00D67A9B" w:rsidRPr="001922A7">
        <w:rPr>
          <w:rFonts w:eastAsia="Times New Roman"/>
          <w:lang w:val="en-GB" w:eastAsia="fr-FR"/>
        </w:rPr>
        <w:t xml:space="preserve">the applicant </w:t>
      </w:r>
      <w:r w:rsidR="00BC43AC" w:rsidRPr="001922A7">
        <w:rPr>
          <w:rFonts w:eastAsia="Times New Roman"/>
          <w:lang w:val="en-GB" w:eastAsia="fr-FR"/>
        </w:rPr>
        <w:t>EUR</w:t>
      </w:r>
      <w:r w:rsidR="00C57073">
        <w:rPr>
          <w:rFonts w:eastAsia="Times New Roman"/>
          <w:lang w:val="en-GB" w:eastAsia="fr-FR"/>
        </w:rPr>
        <w:t xml:space="preserve"> </w:t>
      </w:r>
      <w:r w:rsidR="0007543E">
        <w:rPr>
          <w:rFonts w:eastAsia="Times New Roman"/>
          <w:lang w:val="en-GB" w:eastAsia="fr-FR"/>
        </w:rPr>
        <w:t>10</w:t>
      </w:r>
      <w:r w:rsidRPr="001922A7">
        <w:rPr>
          <w:rFonts w:eastAsia="Times New Roman"/>
          <w:lang w:val="en-GB" w:eastAsia="fr-FR"/>
        </w:rPr>
        <w:t>,</w:t>
      </w:r>
      <w:r w:rsidR="00BC43AC" w:rsidRPr="001922A7">
        <w:rPr>
          <w:rFonts w:eastAsia="Times New Roman"/>
          <w:lang w:val="en-GB" w:eastAsia="fr-FR"/>
        </w:rPr>
        <w:t>0</w:t>
      </w:r>
      <w:r w:rsidRPr="001922A7">
        <w:rPr>
          <w:rFonts w:eastAsia="Times New Roman"/>
          <w:lang w:val="en-GB" w:eastAsia="fr-FR"/>
        </w:rPr>
        <w:t xml:space="preserve">00 </w:t>
      </w:r>
      <w:r w:rsidR="00B1617A">
        <w:rPr>
          <w:rFonts w:eastAsia="Times New Roman"/>
          <w:lang w:val="en-GB" w:eastAsia="fr-FR"/>
        </w:rPr>
        <w:t xml:space="preserve">for </w:t>
      </w:r>
      <w:r w:rsidR="00B1617A" w:rsidRPr="001922A7">
        <w:rPr>
          <w:lang w:val="en-GB"/>
        </w:rPr>
        <w:t xml:space="preserve">non-pecuniary </w:t>
      </w:r>
      <w:r w:rsidR="006A37A8" w:rsidRPr="001922A7">
        <w:rPr>
          <w:lang w:val="en-GB"/>
        </w:rPr>
        <w:t>damage</w:t>
      </w:r>
      <w:r w:rsidR="006A37A8" w:rsidRPr="00966758">
        <w:t>,</w:t>
      </w:r>
      <w:r w:rsidR="00966758" w:rsidRPr="00966758">
        <w:rPr>
          <w:lang w:val="en-GB"/>
        </w:rPr>
        <w:t xml:space="preserve"> plus any tax that may be chargeable on that amount</w:t>
      </w:r>
      <w:r w:rsidRPr="001922A7">
        <w:rPr>
          <w:rFonts w:eastAsia="Times New Roman"/>
          <w:lang w:val="en-GB" w:eastAsia="fr-FR"/>
        </w:rPr>
        <w:t>.</w:t>
      </w:r>
    </w:p>
    <w:p w:rsidR="008F109B" w:rsidRPr="002449C1" w:rsidRDefault="008F109B" w:rsidP="008F109B">
      <w:pPr>
        <w:pStyle w:val="ECHRHeading2"/>
      </w:pPr>
      <w:r w:rsidRPr="002449C1">
        <w:t>B.  Costs and expenses</w:t>
      </w:r>
    </w:p>
    <w:p w:rsidR="008F109B" w:rsidRPr="002449C1" w:rsidRDefault="00C32160" w:rsidP="008F109B">
      <w:pPr>
        <w:pStyle w:val="ECHRPara"/>
      </w:pPr>
      <w:r>
        <w:fldChar w:fldCharType="begin"/>
      </w:r>
      <w:r>
        <w:instrText xml:space="preserve"> SEQ level0 \*arabic </w:instrText>
      </w:r>
      <w:r>
        <w:fldChar w:fldCharType="separate"/>
      </w:r>
      <w:r w:rsidR="00E15C77">
        <w:rPr>
          <w:noProof/>
        </w:rPr>
        <w:t>73</w:t>
      </w:r>
      <w:r>
        <w:rPr>
          <w:noProof/>
        </w:rPr>
        <w:fldChar w:fldCharType="end"/>
      </w:r>
      <w:r w:rsidR="009815AA">
        <w:t>.  </w:t>
      </w:r>
      <w:r w:rsidR="008F109B" w:rsidRPr="00AC080C">
        <w:t xml:space="preserve">The applicant did not submit </w:t>
      </w:r>
      <w:r w:rsidR="00B30139">
        <w:t>a claim for costs and expenses.</w:t>
      </w:r>
    </w:p>
    <w:p w:rsidR="008F109B" w:rsidRPr="002449C1" w:rsidRDefault="008F109B" w:rsidP="008F109B">
      <w:pPr>
        <w:pStyle w:val="ECHRHeading2"/>
      </w:pPr>
      <w:r w:rsidRPr="002449C1">
        <w:t>C.  Default interest</w:t>
      </w:r>
    </w:p>
    <w:p w:rsidR="00014566" w:rsidRPr="001922A7" w:rsidRDefault="00DE3CC4" w:rsidP="00C621C2">
      <w:pPr>
        <w:pStyle w:val="ECHRPara"/>
        <w:rPr>
          <w:lang w:val="en-GB"/>
        </w:rPr>
      </w:pPr>
      <w:r w:rsidRPr="001922A7">
        <w:rPr>
          <w:lang w:val="en-GB"/>
        </w:rPr>
        <w:fldChar w:fldCharType="begin"/>
      </w:r>
      <w:r w:rsidRPr="001922A7">
        <w:rPr>
          <w:lang w:val="en-GB"/>
        </w:rPr>
        <w:instrText xml:space="preserve"> SEQ level0 \*arabic </w:instrText>
      </w:r>
      <w:r w:rsidRPr="001922A7">
        <w:rPr>
          <w:lang w:val="en-GB"/>
        </w:rPr>
        <w:fldChar w:fldCharType="separate"/>
      </w:r>
      <w:r w:rsidR="00E15C77">
        <w:rPr>
          <w:noProof/>
          <w:lang w:val="en-GB"/>
        </w:rPr>
        <w:t>74</w:t>
      </w:r>
      <w:r w:rsidRPr="001922A7">
        <w:rPr>
          <w:lang w:val="en-GB"/>
        </w:rPr>
        <w:fldChar w:fldCharType="end"/>
      </w:r>
      <w:r w:rsidR="00014566" w:rsidRPr="001922A7">
        <w:rPr>
          <w:lang w:val="en-GB"/>
        </w:rPr>
        <w:t>.  The Court considers it appropriate that the default interest rate should be based on the marginal lending rate of the European Central Bank, to which should be added three percentage points.</w:t>
      </w:r>
    </w:p>
    <w:p w:rsidR="00014566" w:rsidRPr="001922A7" w:rsidRDefault="00014566" w:rsidP="00014566">
      <w:pPr>
        <w:pStyle w:val="ECHRTitle1"/>
        <w:rPr>
          <w:lang w:val="en-GB"/>
        </w:rPr>
      </w:pPr>
      <w:r w:rsidRPr="001922A7">
        <w:rPr>
          <w:lang w:val="en-GB"/>
        </w:rPr>
        <w:t>FOR THESE REASONS, THE COURT</w:t>
      </w:r>
      <w:r w:rsidR="00DE3CC4" w:rsidRPr="001922A7">
        <w:rPr>
          <w:lang w:val="en-GB"/>
        </w:rPr>
        <w:t>, UNANIMOUSLY,</w:t>
      </w:r>
    </w:p>
    <w:p w:rsidR="00014566" w:rsidRPr="001922A7" w:rsidRDefault="00A5328B" w:rsidP="00C621C2">
      <w:pPr>
        <w:pStyle w:val="JuList"/>
        <w:rPr>
          <w:lang w:val="en-GB"/>
        </w:rPr>
      </w:pPr>
      <w:r w:rsidRPr="001922A7">
        <w:rPr>
          <w:lang w:val="en-GB"/>
        </w:rPr>
        <w:t>1</w:t>
      </w:r>
      <w:r w:rsidR="00014566" w:rsidRPr="001922A7">
        <w:rPr>
          <w:lang w:val="en-GB"/>
        </w:rPr>
        <w:t>.  </w:t>
      </w:r>
      <w:r w:rsidR="00014566" w:rsidRPr="001922A7">
        <w:rPr>
          <w:i/>
          <w:lang w:val="en-GB"/>
        </w:rPr>
        <w:t>Declares</w:t>
      </w:r>
      <w:r w:rsidR="00DE3CC4" w:rsidRPr="001922A7">
        <w:rPr>
          <w:lang w:val="en-GB"/>
        </w:rPr>
        <w:t xml:space="preserve"> </w:t>
      </w:r>
      <w:r w:rsidRPr="001922A7">
        <w:rPr>
          <w:lang w:val="en-GB"/>
        </w:rPr>
        <w:t>the applicant</w:t>
      </w:r>
      <w:r w:rsidR="009912A8">
        <w:rPr>
          <w:lang w:val="en-GB"/>
        </w:rPr>
        <w:t>’</w:t>
      </w:r>
      <w:r w:rsidRPr="001922A7">
        <w:rPr>
          <w:lang w:val="en-GB"/>
        </w:rPr>
        <w:t>s complaint</w:t>
      </w:r>
      <w:r w:rsidR="003F1BFA" w:rsidRPr="003F1BFA">
        <w:t xml:space="preserve"> </w:t>
      </w:r>
      <w:r w:rsidR="003F1BFA">
        <w:t xml:space="preserve">under </w:t>
      </w:r>
      <w:r w:rsidR="003F1BFA" w:rsidRPr="003F1BFA">
        <w:t>Article 6 § 1 of the Convention about the unfairness of the proceedings culminating in the deci</w:t>
      </w:r>
      <w:r w:rsidR="003F1BFA">
        <w:t>sion of the Supreme Court of 14</w:t>
      </w:r>
      <w:r w:rsidR="005E5413">
        <w:t xml:space="preserve"> </w:t>
      </w:r>
      <w:r w:rsidR="003F1BFA" w:rsidRPr="003F1BFA">
        <w:t>March 2008</w:t>
      </w:r>
      <w:r w:rsidR="003F1BFA">
        <w:t xml:space="preserve"> and </w:t>
      </w:r>
      <w:r w:rsidR="00253555">
        <w:t>her</w:t>
      </w:r>
      <w:r w:rsidR="003F1BFA">
        <w:t xml:space="preserve"> complaint </w:t>
      </w:r>
      <w:r w:rsidR="003F1BFA" w:rsidRPr="003F1BFA">
        <w:t>under Article</w:t>
      </w:r>
      <w:r w:rsidR="005E5413">
        <w:t> </w:t>
      </w:r>
      <w:r w:rsidR="003F1BFA" w:rsidRPr="003F1BFA">
        <w:t>1</w:t>
      </w:r>
      <w:r w:rsidR="005E5413">
        <w:t> </w:t>
      </w:r>
      <w:r w:rsidR="003F1BFA" w:rsidRPr="003F1BFA">
        <w:t xml:space="preserve">of Protocol No. 1 to the Convention </w:t>
      </w:r>
      <w:r w:rsidR="003F1BFA" w:rsidRPr="003F1BFA">
        <w:rPr>
          <w:lang w:val="en-GB"/>
        </w:rPr>
        <w:t xml:space="preserve">that she had been </w:t>
      </w:r>
      <w:r w:rsidR="003F1BFA" w:rsidRPr="003F1BFA">
        <w:rPr>
          <w:lang w:val="en-GB"/>
        </w:rPr>
        <w:lastRenderedPageBreak/>
        <w:t>unlawfully deprived of her property on account of th</w:t>
      </w:r>
      <w:r w:rsidR="003F1BFA">
        <w:rPr>
          <w:lang w:val="en-GB"/>
        </w:rPr>
        <w:t xml:space="preserve">ose </w:t>
      </w:r>
      <w:r w:rsidR="003F1BFA" w:rsidRPr="003F1BFA">
        <w:rPr>
          <w:lang w:val="en-GB"/>
        </w:rPr>
        <w:t xml:space="preserve">proceedings </w:t>
      </w:r>
      <w:r w:rsidRPr="001922A7">
        <w:rPr>
          <w:lang w:val="en-GB"/>
        </w:rPr>
        <w:t xml:space="preserve">admissible and </w:t>
      </w:r>
      <w:r w:rsidR="00014566" w:rsidRPr="001922A7">
        <w:rPr>
          <w:lang w:val="en-GB"/>
        </w:rPr>
        <w:t xml:space="preserve">the remainder of the </w:t>
      </w:r>
      <w:r w:rsidR="00DE3CC4" w:rsidRPr="001922A7">
        <w:rPr>
          <w:lang w:val="en-GB"/>
        </w:rPr>
        <w:t>application</w:t>
      </w:r>
      <w:r w:rsidR="00014566" w:rsidRPr="001922A7">
        <w:rPr>
          <w:lang w:val="en-GB"/>
        </w:rPr>
        <w:t xml:space="preserve"> </w:t>
      </w:r>
      <w:r w:rsidR="003F1BFA">
        <w:rPr>
          <w:lang w:val="en-GB"/>
        </w:rPr>
        <w:t>in</w:t>
      </w:r>
      <w:r w:rsidR="00014566" w:rsidRPr="001922A7">
        <w:rPr>
          <w:lang w:val="en-GB"/>
        </w:rPr>
        <w:t>admissible;</w:t>
      </w:r>
    </w:p>
    <w:p w:rsidR="00014566" w:rsidRPr="001922A7" w:rsidRDefault="00014566" w:rsidP="00080C30">
      <w:pPr>
        <w:pStyle w:val="JuList"/>
        <w:ind w:left="0" w:firstLine="0"/>
        <w:rPr>
          <w:lang w:val="en-GB"/>
        </w:rPr>
      </w:pPr>
    </w:p>
    <w:p w:rsidR="00014566" w:rsidRPr="001922A7" w:rsidRDefault="00A5328B" w:rsidP="00C621C2">
      <w:pPr>
        <w:pStyle w:val="JuList"/>
        <w:rPr>
          <w:lang w:val="en-GB"/>
        </w:rPr>
      </w:pPr>
      <w:r w:rsidRPr="001922A7">
        <w:rPr>
          <w:lang w:val="en-GB"/>
        </w:rPr>
        <w:t>2</w:t>
      </w:r>
      <w:r w:rsidR="00014566" w:rsidRPr="001922A7">
        <w:rPr>
          <w:lang w:val="en-GB"/>
        </w:rPr>
        <w:t>.  </w:t>
      </w:r>
      <w:r w:rsidR="00014566" w:rsidRPr="001922A7">
        <w:rPr>
          <w:i/>
          <w:lang w:val="en-GB"/>
        </w:rPr>
        <w:t>Holds</w:t>
      </w:r>
      <w:r w:rsidR="00DE3CC4" w:rsidRPr="001922A7">
        <w:rPr>
          <w:lang w:val="en-GB"/>
        </w:rPr>
        <w:t xml:space="preserve"> </w:t>
      </w:r>
      <w:r w:rsidR="00014566" w:rsidRPr="001922A7">
        <w:rPr>
          <w:lang w:val="en-GB"/>
        </w:rPr>
        <w:t xml:space="preserve">that there has been a violation of </w:t>
      </w:r>
      <w:r w:rsidRPr="001922A7">
        <w:rPr>
          <w:lang w:val="en-GB"/>
        </w:rPr>
        <w:t>Article 6 § 1 of the Convention</w:t>
      </w:r>
      <w:r w:rsidR="00014566" w:rsidRPr="001922A7">
        <w:rPr>
          <w:lang w:val="en-GB"/>
        </w:rPr>
        <w:t>;</w:t>
      </w:r>
    </w:p>
    <w:p w:rsidR="00014566" w:rsidRPr="001922A7" w:rsidRDefault="00014566" w:rsidP="00C621C2">
      <w:pPr>
        <w:pStyle w:val="JuList"/>
        <w:rPr>
          <w:lang w:val="en-GB"/>
        </w:rPr>
      </w:pPr>
    </w:p>
    <w:p w:rsidR="00014566" w:rsidRPr="001922A7" w:rsidRDefault="00A5328B" w:rsidP="00C621C2">
      <w:pPr>
        <w:pStyle w:val="JuList"/>
        <w:rPr>
          <w:lang w:val="en-GB"/>
        </w:rPr>
      </w:pPr>
      <w:r w:rsidRPr="001922A7">
        <w:rPr>
          <w:lang w:val="en-GB"/>
        </w:rPr>
        <w:t>3</w:t>
      </w:r>
      <w:r w:rsidR="00014566" w:rsidRPr="001922A7">
        <w:rPr>
          <w:lang w:val="en-GB"/>
        </w:rPr>
        <w:t>.  </w:t>
      </w:r>
      <w:r w:rsidR="00014566" w:rsidRPr="001922A7">
        <w:rPr>
          <w:i/>
          <w:lang w:val="en-GB"/>
        </w:rPr>
        <w:t>Holds</w:t>
      </w:r>
      <w:r w:rsidR="00DE3CC4" w:rsidRPr="001922A7">
        <w:rPr>
          <w:lang w:val="en-GB"/>
        </w:rPr>
        <w:t xml:space="preserve"> </w:t>
      </w:r>
      <w:r w:rsidR="00014566" w:rsidRPr="001922A7">
        <w:rPr>
          <w:lang w:val="en-GB"/>
        </w:rPr>
        <w:t xml:space="preserve">that there is no need to examine the complaint under </w:t>
      </w:r>
      <w:r w:rsidRPr="001922A7">
        <w:rPr>
          <w:lang w:val="en-GB"/>
        </w:rPr>
        <w:t>Article 1 of Protocol No. 1</w:t>
      </w:r>
      <w:r w:rsidR="00145340" w:rsidRPr="001922A7">
        <w:rPr>
          <w:lang w:val="en-GB"/>
        </w:rPr>
        <w:t xml:space="preserve"> to the Convention</w:t>
      </w:r>
      <w:r w:rsidR="00014566" w:rsidRPr="001922A7">
        <w:rPr>
          <w:lang w:val="en-GB"/>
        </w:rPr>
        <w:t>;</w:t>
      </w:r>
    </w:p>
    <w:p w:rsidR="00014566" w:rsidRPr="001922A7" w:rsidRDefault="00014566" w:rsidP="00C621C2">
      <w:pPr>
        <w:pStyle w:val="JuList"/>
        <w:rPr>
          <w:lang w:val="en-GB"/>
        </w:rPr>
      </w:pPr>
    </w:p>
    <w:p w:rsidR="001B4C2E" w:rsidRDefault="00A5328B" w:rsidP="00C621C2">
      <w:pPr>
        <w:pStyle w:val="JuList"/>
        <w:rPr>
          <w:lang w:val="en-GB"/>
        </w:rPr>
      </w:pPr>
      <w:r w:rsidRPr="001922A7">
        <w:rPr>
          <w:lang w:val="en-GB"/>
        </w:rPr>
        <w:t>4</w:t>
      </w:r>
      <w:r w:rsidR="00014566" w:rsidRPr="001922A7">
        <w:rPr>
          <w:lang w:val="en-GB"/>
        </w:rPr>
        <w:t>.  </w:t>
      </w:r>
      <w:r w:rsidR="00014566" w:rsidRPr="001922A7">
        <w:rPr>
          <w:i/>
          <w:lang w:val="en-GB"/>
        </w:rPr>
        <w:t>Holds</w:t>
      </w:r>
    </w:p>
    <w:p w:rsidR="00014566" w:rsidRPr="001922A7" w:rsidRDefault="00014566" w:rsidP="00014566">
      <w:pPr>
        <w:pStyle w:val="JuLista"/>
        <w:rPr>
          <w:lang w:val="en-GB"/>
        </w:rPr>
      </w:pPr>
      <w:r w:rsidRPr="001922A7">
        <w:rPr>
          <w:lang w:val="en-GB"/>
        </w:rPr>
        <w:t xml:space="preserve">(a)  that the respondent State is to pay the applicant, within three months, </w:t>
      </w:r>
      <w:r w:rsidR="00A5328B" w:rsidRPr="001922A7">
        <w:rPr>
          <w:lang w:val="en-GB"/>
        </w:rPr>
        <w:t xml:space="preserve">EUR </w:t>
      </w:r>
      <w:r w:rsidR="0007543E">
        <w:rPr>
          <w:lang w:val="en-GB"/>
        </w:rPr>
        <w:t>10</w:t>
      </w:r>
      <w:r w:rsidR="00A5328B" w:rsidRPr="001922A7">
        <w:rPr>
          <w:lang w:val="en-GB"/>
        </w:rPr>
        <w:t>,000 (</w:t>
      </w:r>
      <w:r w:rsidR="0007543E">
        <w:rPr>
          <w:lang w:val="en-GB"/>
        </w:rPr>
        <w:t>ten</w:t>
      </w:r>
      <w:r w:rsidR="0007543E" w:rsidRPr="001922A7">
        <w:rPr>
          <w:lang w:val="en-GB"/>
        </w:rPr>
        <w:t xml:space="preserve"> </w:t>
      </w:r>
      <w:r w:rsidR="00A5328B" w:rsidRPr="001922A7">
        <w:rPr>
          <w:lang w:val="en-GB"/>
        </w:rPr>
        <w:t>thousand euros)</w:t>
      </w:r>
      <w:r w:rsidR="00680C33" w:rsidRPr="00680C33">
        <w:rPr>
          <w:lang w:val="en-GB"/>
        </w:rPr>
        <w:t xml:space="preserve">, plus any tax that may be chargeable, </w:t>
      </w:r>
      <w:r w:rsidR="00B1617A">
        <w:rPr>
          <w:rFonts w:ascii="Times New Roman" w:eastAsia="Times New Roman" w:hAnsi="Times New Roman" w:cs="Times New Roman"/>
          <w:szCs w:val="20"/>
          <w:lang w:val="en-GB" w:eastAsia="fr-FR"/>
        </w:rPr>
        <w:t xml:space="preserve">for </w:t>
      </w:r>
      <w:r w:rsidR="00B1617A" w:rsidRPr="001922A7">
        <w:rPr>
          <w:lang w:val="en-GB"/>
        </w:rPr>
        <w:t>non-pecuniary damage</w:t>
      </w:r>
      <w:r w:rsidRPr="001922A7">
        <w:rPr>
          <w:lang w:val="en-GB"/>
        </w:rPr>
        <w:t xml:space="preserve">, to be converted into </w:t>
      </w:r>
      <w:r w:rsidRPr="001922A7">
        <w:rPr>
          <w:color w:val="000000"/>
          <w:lang w:val="en-GB"/>
        </w:rPr>
        <w:t>the currency of the respondent State</w:t>
      </w:r>
      <w:r w:rsidR="00FB7AD6" w:rsidRPr="001922A7">
        <w:rPr>
          <w:color w:val="000000"/>
          <w:lang w:val="en-GB"/>
        </w:rPr>
        <w:t xml:space="preserve"> </w:t>
      </w:r>
      <w:r w:rsidRPr="001922A7">
        <w:rPr>
          <w:lang w:val="en-GB"/>
        </w:rPr>
        <w:t>at the rate applicable at the date of settlement</w:t>
      </w:r>
      <w:r w:rsidR="00FB7AD6" w:rsidRPr="001922A7">
        <w:rPr>
          <w:lang w:val="en-GB"/>
        </w:rPr>
        <w:t>;</w:t>
      </w:r>
    </w:p>
    <w:p w:rsidR="00014566" w:rsidRPr="001922A7" w:rsidRDefault="00014566" w:rsidP="00014566">
      <w:pPr>
        <w:pStyle w:val="JuLista"/>
        <w:rPr>
          <w:lang w:val="en-GB"/>
        </w:rPr>
      </w:pPr>
      <w:r w:rsidRPr="001922A7">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1922A7" w:rsidRDefault="00014566" w:rsidP="00C621C2">
      <w:pPr>
        <w:pStyle w:val="JuList"/>
        <w:rPr>
          <w:lang w:val="en-GB"/>
        </w:rPr>
      </w:pPr>
    </w:p>
    <w:p w:rsidR="00014566" w:rsidRPr="001922A7" w:rsidRDefault="00FB7AD6" w:rsidP="00C621C2">
      <w:pPr>
        <w:pStyle w:val="JuList"/>
        <w:rPr>
          <w:lang w:val="en-GB"/>
        </w:rPr>
      </w:pPr>
      <w:r w:rsidRPr="001922A7">
        <w:rPr>
          <w:lang w:val="en-GB"/>
        </w:rPr>
        <w:t>5</w:t>
      </w:r>
      <w:r w:rsidR="00014566" w:rsidRPr="001922A7">
        <w:rPr>
          <w:lang w:val="en-GB"/>
        </w:rPr>
        <w:t>.  </w:t>
      </w:r>
      <w:r w:rsidR="00014566" w:rsidRPr="001922A7">
        <w:rPr>
          <w:i/>
          <w:lang w:val="en-GB"/>
        </w:rPr>
        <w:t>Dismisses</w:t>
      </w:r>
      <w:r w:rsidR="00DE3CC4" w:rsidRPr="001922A7">
        <w:rPr>
          <w:lang w:val="en-GB"/>
        </w:rPr>
        <w:t xml:space="preserve"> </w:t>
      </w:r>
      <w:r w:rsidR="00014566" w:rsidRPr="001922A7">
        <w:rPr>
          <w:lang w:val="en-GB"/>
        </w:rPr>
        <w:t>the remainder of the applicant</w:t>
      </w:r>
      <w:r w:rsidR="009912A8">
        <w:rPr>
          <w:lang w:val="en-GB"/>
        </w:rPr>
        <w:t>’</w:t>
      </w:r>
      <w:r w:rsidR="00DE3CC4" w:rsidRPr="001922A7">
        <w:rPr>
          <w:lang w:val="en-GB"/>
        </w:rPr>
        <w:t>s</w:t>
      </w:r>
      <w:r w:rsidR="00014566" w:rsidRPr="001922A7">
        <w:rPr>
          <w:lang w:val="en-GB"/>
        </w:rPr>
        <w:t xml:space="preserve"> claim for just satisfaction.</w:t>
      </w:r>
    </w:p>
    <w:p w:rsidR="00014566" w:rsidRPr="001922A7" w:rsidRDefault="00014566" w:rsidP="00014566">
      <w:pPr>
        <w:pStyle w:val="JuParaLast"/>
        <w:rPr>
          <w:lang w:val="en-GB"/>
        </w:rPr>
      </w:pPr>
      <w:r w:rsidRPr="001922A7">
        <w:rPr>
          <w:lang w:val="en-GB"/>
        </w:rPr>
        <w:t>Done in English</w:t>
      </w:r>
      <w:r w:rsidR="001855D6">
        <w:rPr>
          <w:lang w:val="en-GB"/>
        </w:rPr>
        <w:t xml:space="preserve"> and in French</w:t>
      </w:r>
      <w:r w:rsidRPr="001922A7">
        <w:rPr>
          <w:lang w:val="en-GB"/>
        </w:rPr>
        <w:t xml:space="preserve">, and notified in writing on </w:t>
      </w:r>
      <w:r w:rsidR="00C302FE">
        <w:rPr>
          <w:lang w:val="en-GB"/>
        </w:rPr>
        <w:t>5 February 2015</w:t>
      </w:r>
      <w:r w:rsidRPr="001922A7">
        <w:rPr>
          <w:lang w:val="en-GB"/>
        </w:rPr>
        <w:t>, pursuant to Rule 77 §§ 2 and 3 of the Rules of Court.</w:t>
      </w:r>
    </w:p>
    <w:p w:rsidR="002D43EA" w:rsidRPr="002D43EA" w:rsidRDefault="00014566" w:rsidP="002D43EA">
      <w:pPr>
        <w:pStyle w:val="JuSigned"/>
        <w:rPr>
          <w:lang w:val="en-GB"/>
        </w:rPr>
      </w:pPr>
      <w:r w:rsidRPr="001922A7">
        <w:rPr>
          <w:lang w:val="en-GB"/>
        </w:rPr>
        <w:tab/>
      </w:r>
      <w:r w:rsidR="00FB7AD6" w:rsidRPr="001922A7">
        <w:rPr>
          <w:lang w:val="en-GB"/>
        </w:rPr>
        <w:t>Lawrence Early</w:t>
      </w:r>
      <w:r w:rsidRPr="001922A7">
        <w:rPr>
          <w:lang w:val="en-GB"/>
        </w:rPr>
        <w:tab/>
      </w:r>
      <w:r w:rsidR="00DE3CC4" w:rsidRPr="001922A7">
        <w:rPr>
          <w:szCs w:val="24"/>
          <w:lang w:val="en-GB"/>
        </w:rPr>
        <w:t>Dean Spielmann</w:t>
      </w:r>
      <w:r w:rsidR="00557875">
        <w:rPr>
          <w:szCs w:val="24"/>
          <w:lang w:val="en-GB"/>
        </w:rPr>
        <w:br/>
      </w:r>
      <w:r w:rsidRPr="001922A7">
        <w:rPr>
          <w:lang w:val="en-GB"/>
        </w:rPr>
        <w:tab/>
      </w:r>
      <w:r w:rsidR="001922A7" w:rsidRPr="001922A7">
        <w:rPr>
          <w:iCs/>
          <w:lang w:val="en-GB"/>
        </w:rPr>
        <w:t>Jurisconsult</w:t>
      </w:r>
      <w:r w:rsidR="002D43EA">
        <w:rPr>
          <w:lang w:val="en-GB"/>
        </w:rPr>
        <w:tab/>
        <w:t>President</w:t>
      </w:r>
    </w:p>
    <w:p w:rsidR="002D43EA" w:rsidRPr="00A83F4D" w:rsidRDefault="002D43EA" w:rsidP="001B4C2E">
      <w:pPr>
        <w:pStyle w:val="JuParaLast"/>
      </w:pPr>
      <w:r w:rsidRPr="00A83F4D">
        <w:t>In accordance with Article 45 § 2 of the Convention and Rule 74 § 2 of the Rules of Court, the following separate opinions are annexed to this judgment:</w:t>
      </w:r>
    </w:p>
    <w:p w:rsidR="002D43EA" w:rsidRDefault="002D43EA" w:rsidP="002D43EA">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t xml:space="preserve">(a)  joint concurring opinion </w:t>
      </w:r>
      <w:r w:rsidRPr="00BC4F91">
        <w:rPr>
          <w:rFonts w:ascii="Times New Roman" w:eastAsia="Times New Roman" w:hAnsi="Times New Roman" w:cs="Times New Roman"/>
          <w:szCs w:val="20"/>
          <w:lang w:val="en-GB" w:eastAsia="fr-FR"/>
        </w:rPr>
        <w:t>of Judge</w:t>
      </w:r>
      <w:r>
        <w:rPr>
          <w:rFonts w:ascii="Times New Roman" w:eastAsia="Times New Roman" w:hAnsi="Times New Roman" w:cs="Times New Roman"/>
          <w:szCs w:val="20"/>
          <w:lang w:val="en-GB" w:eastAsia="fr-FR"/>
        </w:rPr>
        <w:t>s</w:t>
      </w:r>
      <w:r w:rsidRPr="00BC4F91">
        <w:rPr>
          <w:rFonts w:ascii="Times New Roman" w:eastAsia="Times New Roman" w:hAnsi="Times New Roman" w:cs="Times New Roman"/>
          <w:szCs w:val="20"/>
          <w:lang w:val="en-GB" w:eastAsia="fr-FR"/>
        </w:rPr>
        <w:t xml:space="preserve"> Yudkivska </w:t>
      </w:r>
      <w:r>
        <w:rPr>
          <w:rFonts w:ascii="Times New Roman" w:eastAsia="Times New Roman" w:hAnsi="Times New Roman" w:cs="Times New Roman"/>
          <w:szCs w:val="20"/>
          <w:lang w:val="en-GB" w:eastAsia="fr-FR"/>
        </w:rPr>
        <w:t>and Lemmens;</w:t>
      </w:r>
    </w:p>
    <w:p w:rsidR="002D43EA" w:rsidRDefault="002D43EA" w:rsidP="002D43EA">
      <w:pPr>
        <w:pStyle w:val="ECHRPara"/>
        <w:rPr>
          <w:rFonts w:eastAsia="Times New Roman"/>
          <w:lang w:val="en-GB" w:eastAsia="fr-FR"/>
        </w:rPr>
      </w:pPr>
      <w:r>
        <w:rPr>
          <w:rFonts w:eastAsia="Times New Roman"/>
          <w:lang w:val="en-GB" w:eastAsia="fr-FR"/>
        </w:rPr>
        <w:t xml:space="preserve">(b)  concurring opinion of Judge </w:t>
      </w:r>
      <w:r w:rsidRPr="00BC4F91">
        <w:rPr>
          <w:rFonts w:eastAsia="Times New Roman"/>
          <w:lang w:val="en-GB" w:eastAsia="fr-FR"/>
        </w:rPr>
        <w:t>Wojtyczek.</w:t>
      </w:r>
    </w:p>
    <w:p w:rsidR="002D43EA" w:rsidRDefault="002D43EA" w:rsidP="002D43EA">
      <w:pPr>
        <w:pStyle w:val="JuInitialled"/>
      </w:pPr>
      <w:r>
        <w:t>D.S.</w:t>
      </w:r>
      <w:r w:rsidRPr="00A83F4D">
        <w:br/>
      </w:r>
      <w:r w:rsidR="00601720">
        <w:t>T.</w:t>
      </w:r>
      <w:r>
        <w:t>L.E.</w:t>
      </w:r>
    </w:p>
    <w:p w:rsidR="00BC78CC" w:rsidRDefault="00BC78CC" w:rsidP="008847BC">
      <w:pPr>
        <w:pStyle w:val="ECHRPara"/>
        <w:rPr>
          <w:rFonts w:eastAsia="Times New Roman"/>
          <w:lang w:val="en-GB" w:eastAsia="fr-FR"/>
        </w:rPr>
        <w:sectPr w:rsidR="00BC78CC" w:rsidSect="008174E8">
          <w:headerReference w:type="even" r:id="rId16"/>
          <w:footnotePr>
            <w:numRestart w:val="eachPage"/>
          </w:footnotePr>
          <w:pgSz w:w="11906" w:h="16838" w:code="9"/>
          <w:pgMar w:top="2274" w:right="2274" w:bottom="2274" w:left="2274" w:header="1701" w:footer="720" w:gutter="0"/>
          <w:pgNumType w:start="1"/>
          <w:cols w:space="720"/>
          <w:docGrid w:linePitch="326"/>
        </w:sectPr>
      </w:pPr>
    </w:p>
    <w:p w:rsidR="00BC78CC" w:rsidRDefault="00BC78CC" w:rsidP="008847BC">
      <w:pPr>
        <w:pStyle w:val="OpiPara"/>
        <w:rPr>
          <w:rFonts w:eastAsia="Times New Roman"/>
          <w:lang w:val="en-GB" w:eastAsia="fr-FR"/>
        </w:rPr>
      </w:pPr>
    </w:p>
    <w:p w:rsidR="0030160B" w:rsidRPr="00607A00" w:rsidRDefault="0030160B" w:rsidP="000E1CF6">
      <w:pPr>
        <w:pStyle w:val="ECHRTitleCentre1"/>
      </w:pPr>
      <w:r w:rsidRPr="00607A00">
        <w:t>JOINT CONCURRING OPINION OF JUDGES YUDKIVSKA AND LEMMENS</w:t>
      </w:r>
    </w:p>
    <w:p w:rsidR="0030160B" w:rsidRPr="00607A00" w:rsidRDefault="0059749C" w:rsidP="000E1CF6">
      <w:pPr>
        <w:pStyle w:val="OpiPara"/>
      </w:pPr>
      <w:r>
        <w:t>1.  </w:t>
      </w:r>
      <w:r w:rsidR="0030160B" w:rsidRPr="00607A00">
        <w:t>We wholeheartedly concur with the conclusion that Article 6 § 1 has been violated.</w:t>
      </w:r>
    </w:p>
    <w:p w:rsidR="0030160B" w:rsidRPr="00607A00" w:rsidRDefault="0030160B" w:rsidP="000E1CF6">
      <w:pPr>
        <w:pStyle w:val="OpiPara"/>
      </w:pPr>
      <w:r w:rsidRPr="00607A00">
        <w:t>On this point, the judgment constitutes an important step forward in the protection offered by the Convention to applicants who have successfully complained of a violation of their fundamental rights, and who subsequently attempt to obtain a reopening of the domestic proceedings.</w:t>
      </w:r>
    </w:p>
    <w:p w:rsidR="0030160B" w:rsidRPr="00607A00" w:rsidRDefault="0059749C" w:rsidP="000E1CF6">
      <w:pPr>
        <w:pStyle w:val="OpiPara"/>
      </w:pPr>
      <w:r>
        <w:t>2.  </w:t>
      </w:r>
      <w:r w:rsidR="0030160B" w:rsidRPr="00607A00">
        <w:t>We nevertheless would like to indicate that, in so far as the judgment examines the applicability of Article 6 § 1 to the proceedings before the Supreme Court, we would have preferred a somewhat broader reasoning.</w:t>
      </w:r>
    </w:p>
    <w:p w:rsidR="0030160B" w:rsidRPr="00607A00" w:rsidRDefault="0030160B" w:rsidP="000E1CF6">
      <w:pPr>
        <w:pStyle w:val="OpiPara"/>
      </w:pPr>
      <w:r w:rsidRPr="00607A00">
        <w:t>In our opinion, it is sufficient to note that the proceedings concerned the judicial review of the decisions of the domestic courts, including the original decision of the Supreme Court of 22 August 200</w:t>
      </w:r>
      <w:r w:rsidR="00872E5D">
        <w:t>2</w:t>
      </w:r>
      <w:r w:rsidRPr="00607A00">
        <w:t>, following the finding by our Court that the proceedings before the Supreme Court had been unfair. We attach much importance to the fact that the exceptional appeal brought by the applicant can be viewed as a prolongation of the original proceedings, akin to a cassation procedure (see paragraph 53 of the judgment).</w:t>
      </w:r>
    </w:p>
    <w:p w:rsidR="0030160B" w:rsidRPr="00607A00" w:rsidRDefault="0030160B" w:rsidP="000E1CF6">
      <w:pPr>
        <w:pStyle w:val="OpiPara"/>
      </w:pPr>
      <w:r w:rsidRPr="00607A00">
        <w:t>By contrast, we do not think that it is necessary to take account of the way in which the Supreme Court actually carried out its functions in the exceptional appeal proceedings (see paragraph 54 of the judgment). The applicability of Article 6 § 1 should not depend on the outcome of the proceedings, in particular not on the fact that the cassation court may have examined to some extent the merits of the original claim.</w:t>
      </w:r>
    </w:p>
    <w:p w:rsidR="0030160B" w:rsidRPr="00607A00" w:rsidRDefault="0059749C" w:rsidP="000E1CF6">
      <w:pPr>
        <w:pStyle w:val="OpiPara"/>
      </w:pPr>
      <w:r>
        <w:t>3.  </w:t>
      </w:r>
      <w:r w:rsidR="0030160B" w:rsidRPr="00607A00">
        <w:t xml:space="preserve">We would also like to stress that the principles of </w:t>
      </w:r>
      <w:r w:rsidR="0030160B" w:rsidRPr="00607A00">
        <w:rPr>
          <w:i/>
          <w:iCs/>
        </w:rPr>
        <w:t>res iudicata</w:t>
      </w:r>
      <w:r w:rsidR="0030160B" w:rsidRPr="00607A00">
        <w:t xml:space="preserve"> and legal certainty referred to in paragraph 57 of the judgment cannot be unduly upset in cases like the present one, since the possibility of reopening terminated proceedings is at the outset provided for by national law.</w:t>
      </w:r>
    </w:p>
    <w:p w:rsidR="0030160B" w:rsidRPr="00607A00" w:rsidRDefault="0030160B" w:rsidP="000E1CF6">
      <w:pPr>
        <w:pStyle w:val="OpiPara"/>
      </w:pPr>
      <w:r w:rsidRPr="00607A00">
        <w:t>In this respect we reiterate that the Convention must be interpreted as guaranteeing rights which are practical and effective. Stressing, as a matter of principle, the inalterability of domestic decisions found by this Court to be in breach of the Convention could mean depriving the Court</w:t>
      </w:r>
      <w:r w:rsidR="009912A8">
        <w:t>’</w:t>
      </w:r>
      <w:r w:rsidRPr="00607A00">
        <w:t>s judgments of much of their real effect, thus rendering the Strasbourg remedy illusory.</w:t>
      </w:r>
    </w:p>
    <w:p w:rsidR="0030160B" w:rsidRPr="00607A00" w:rsidRDefault="0059749C" w:rsidP="000E1CF6">
      <w:pPr>
        <w:pStyle w:val="OpiPara"/>
      </w:pPr>
      <w:r>
        <w:t>4.  </w:t>
      </w:r>
      <w:r w:rsidR="0030160B" w:rsidRPr="00607A00">
        <w:t>We take the opportunity to observe that we would generally be in favour of a much broader approach towards the applicability of Article 6 § 1 in civil proceedings.</w:t>
      </w:r>
    </w:p>
    <w:p w:rsidR="00C302FE" w:rsidRDefault="0030160B" w:rsidP="008847BC">
      <w:pPr>
        <w:pStyle w:val="OpiPara"/>
      </w:pPr>
      <w:r w:rsidRPr="00607A00">
        <w:t xml:space="preserve">We should ask ourselves whether Article 6 § 1 does not apply to </w:t>
      </w:r>
      <w:r w:rsidRPr="00607A00">
        <w:rPr>
          <w:i/>
        </w:rPr>
        <w:t>all</w:t>
      </w:r>
      <w:r w:rsidRPr="00607A00">
        <w:t xml:space="preserve"> judicial proceedings concerning legally protected rights or interests, regardless of the extent to which they are held to be decisive for the determination of any (civil) rights and obligations. To hold so would avoid </w:t>
      </w:r>
      <w:r w:rsidRPr="00607A00">
        <w:lastRenderedPageBreak/>
        <w:t>the lengthy examination of whether or not specific proceedings, having regard to their specific features, fall within the scope of Article 6 § 1.</w:t>
      </w:r>
    </w:p>
    <w:p w:rsidR="00C302FE" w:rsidRDefault="00C302FE" w:rsidP="008847BC">
      <w:pPr>
        <w:pStyle w:val="ECHRPara"/>
      </w:pPr>
      <w:r>
        <w:br w:type="page"/>
      </w:r>
    </w:p>
    <w:p w:rsidR="0030160B" w:rsidRPr="00607A00" w:rsidRDefault="0030160B" w:rsidP="0059749C">
      <w:pPr>
        <w:pStyle w:val="ECHRTitleCentre1"/>
        <w:spacing w:before="480"/>
        <w:rPr>
          <w:lang w:val="en-GB"/>
        </w:rPr>
      </w:pPr>
      <w:r w:rsidRPr="00607A00">
        <w:rPr>
          <w:lang w:val="en-GB"/>
        </w:rPr>
        <w:lastRenderedPageBreak/>
        <w:t>CONCURRING OPINION OF JUDGE WOJTYCZEK</w:t>
      </w:r>
    </w:p>
    <w:p w:rsidR="0030160B" w:rsidRDefault="0030160B" w:rsidP="000E1CF6">
      <w:pPr>
        <w:pStyle w:val="OpiTranslation"/>
        <w:rPr>
          <w:lang w:val="uk-UA"/>
        </w:rPr>
      </w:pPr>
      <w:r w:rsidRPr="00607A00">
        <w:rPr>
          <w:lang w:val="en-GB"/>
        </w:rPr>
        <w:t>(Translation)</w:t>
      </w:r>
    </w:p>
    <w:p w:rsidR="00A153E9" w:rsidRPr="00A153E9" w:rsidRDefault="00A153E9" w:rsidP="00A153E9">
      <w:pPr>
        <w:pStyle w:val="OpiPara"/>
        <w:rPr>
          <w:lang w:val="uk-UA"/>
        </w:rPr>
      </w:pPr>
    </w:p>
    <w:p w:rsidR="0030160B" w:rsidRPr="00607A00" w:rsidRDefault="0059749C" w:rsidP="000E1CF6">
      <w:pPr>
        <w:pStyle w:val="OpiPara"/>
        <w:rPr>
          <w:lang w:val="en-GB"/>
        </w:rPr>
      </w:pPr>
      <w:r>
        <w:rPr>
          <w:lang w:val="en-GB"/>
        </w:rPr>
        <w:t>1.  </w:t>
      </w:r>
      <w:r w:rsidR="0030160B" w:rsidRPr="00607A00">
        <w:rPr>
          <w:lang w:val="en-GB"/>
        </w:rPr>
        <w:t>In the present case I voted with the majority in finding a violation of Article 6 § 1 of the Convention. However, I have some doubts as to the reasoning of the judgment and in particular the considerations regarding the applicability of Article 6 to proceedings examining extraordinary appeals against judicial decisions.</w:t>
      </w:r>
    </w:p>
    <w:p w:rsidR="0030160B" w:rsidRPr="00607A00" w:rsidRDefault="0059749C" w:rsidP="000E1CF6">
      <w:pPr>
        <w:pStyle w:val="OpiPara"/>
        <w:rPr>
          <w:lang w:val="en-GB"/>
        </w:rPr>
      </w:pPr>
      <w:r>
        <w:rPr>
          <w:lang w:val="en-GB"/>
        </w:rPr>
        <w:t>2.  </w:t>
      </w:r>
      <w:r w:rsidR="0030160B" w:rsidRPr="00607A00">
        <w:rPr>
          <w:lang w:val="en-GB"/>
        </w:rPr>
        <w:t>The question whether and to what extent Article 6 applies to proceedings examining extraordinary appeals against judicial decisions or individual administrative decisions is a very difficult one, in view of the considerable complexity of procedural law and its diversity in Europe. In addition to the substantive difficulties there are linguistic issues, which are particularly acute in this legal sphere since many of the legal terms used in Contracting Parties</w:t>
      </w:r>
      <w:r w:rsidR="009912A8">
        <w:rPr>
          <w:lang w:val="en-GB"/>
        </w:rPr>
        <w:t>’</w:t>
      </w:r>
      <w:r w:rsidR="0030160B" w:rsidRPr="00607A00">
        <w:rPr>
          <w:lang w:val="en-GB"/>
        </w:rPr>
        <w:t xml:space="preserve"> legislation have no equivalent in the official languages of the Court.</w:t>
      </w:r>
    </w:p>
    <w:p w:rsidR="0030160B" w:rsidRPr="00607A00" w:rsidRDefault="0030160B" w:rsidP="000E1CF6">
      <w:pPr>
        <w:pStyle w:val="OpiPara"/>
        <w:rPr>
          <w:lang w:val="en-GB"/>
        </w:rPr>
      </w:pPr>
      <w:r w:rsidRPr="00607A00">
        <w:rPr>
          <w:lang w:val="en-GB"/>
        </w:rPr>
        <w:t xml:space="preserve">I note that in its previous case-law the Court has accepted the applicability of Article 6 to “cassation appeals” in judicial proceedings in certain States, even where such an appeal is regarded as an extraordinary remedy under national law. On the other hand, the Court has deemed Article 6 to be inapplicable, in principle, to proceedings examining a request for “the reopening of judicial proceedings” (see the judgments cited in paragraph 44 of the judgment). At the same time, the Court held in several cases that Article 6 was applicable to other extraordinary remedies provided for in certain States (see, in particular, the judgments in </w:t>
      </w:r>
      <w:r w:rsidRPr="00607A00">
        <w:rPr>
          <w:i/>
          <w:lang w:val="en-GB"/>
        </w:rPr>
        <w:t>Melis v.</w:t>
      </w:r>
      <w:r w:rsidR="00E06A20">
        <w:rPr>
          <w:i/>
          <w:lang w:val="en-GB"/>
        </w:rPr>
        <w:t xml:space="preserve"> </w:t>
      </w:r>
      <w:r w:rsidRPr="00607A00">
        <w:rPr>
          <w:i/>
          <w:lang w:val="en-GB"/>
        </w:rPr>
        <w:t>Greece</w:t>
      </w:r>
      <w:r w:rsidRPr="00607A00">
        <w:rPr>
          <w:lang w:val="en-GB"/>
        </w:rPr>
        <w:t>,</w:t>
      </w:r>
      <w:r w:rsidRPr="00607A00">
        <w:rPr>
          <w:i/>
          <w:lang w:val="en-GB"/>
        </w:rPr>
        <w:t xml:space="preserve"> </w:t>
      </w:r>
      <w:r w:rsidRPr="00607A00">
        <w:rPr>
          <w:lang w:val="en-GB"/>
        </w:rPr>
        <w:t>no. 30604/07</w:t>
      </w:r>
      <w:r w:rsidR="00990137">
        <w:rPr>
          <w:lang w:val="en-GB"/>
        </w:rPr>
        <w:t xml:space="preserve">, </w:t>
      </w:r>
      <w:r w:rsidR="00990137" w:rsidRPr="00990137">
        <w:t xml:space="preserve">§ 19, </w:t>
      </w:r>
      <w:r w:rsidRPr="00607A00">
        <w:rPr>
          <w:lang w:val="en-GB"/>
        </w:rPr>
        <w:t xml:space="preserve">22 July 2010; </w:t>
      </w:r>
      <w:r w:rsidRPr="00607A00">
        <w:rPr>
          <w:i/>
          <w:lang w:val="en-GB"/>
        </w:rPr>
        <w:t>San Leonard Band Club v.</w:t>
      </w:r>
      <w:r w:rsidR="00E06A20">
        <w:rPr>
          <w:i/>
          <w:lang w:val="en-GB"/>
        </w:rPr>
        <w:t xml:space="preserve"> </w:t>
      </w:r>
      <w:r w:rsidRPr="00607A00">
        <w:rPr>
          <w:i/>
          <w:lang w:val="en-GB"/>
        </w:rPr>
        <w:t>Malta</w:t>
      </w:r>
      <w:r w:rsidRPr="00607A00">
        <w:rPr>
          <w:lang w:val="en-GB"/>
        </w:rPr>
        <w:t>,</w:t>
      </w:r>
      <w:r w:rsidRPr="00607A00">
        <w:rPr>
          <w:i/>
          <w:lang w:val="en-GB"/>
        </w:rPr>
        <w:t xml:space="preserve"> </w:t>
      </w:r>
      <w:r w:rsidRPr="00607A00">
        <w:rPr>
          <w:lang w:val="en-GB"/>
        </w:rPr>
        <w:t xml:space="preserve">no. 77562/01, ECHR 2004-IX; </w:t>
      </w:r>
      <w:r w:rsidRPr="00607A00">
        <w:rPr>
          <w:i/>
          <w:lang w:val="en-GB"/>
        </w:rPr>
        <w:t>Maresti v.</w:t>
      </w:r>
      <w:r w:rsidR="00E06A20">
        <w:rPr>
          <w:i/>
          <w:lang w:val="en-GB"/>
        </w:rPr>
        <w:t xml:space="preserve"> </w:t>
      </w:r>
      <w:r w:rsidRPr="00607A00">
        <w:rPr>
          <w:i/>
          <w:lang w:val="en-GB"/>
        </w:rPr>
        <w:t>Croatia</w:t>
      </w:r>
      <w:r w:rsidRPr="00607A00">
        <w:rPr>
          <w:lang w:val="en-GB"/>
        </w:rPr>
        <w:t>, no. 55759/07, 25</w:t>
      </w:r>
      <w:r w:rsidR="00E06A20">
        <w:rPr>
          <w:lang w:val="en-GB"/>
        </w:rPr>
        <w:t xml:space="preserve"> </w:t>
      </w:r>
      <w:r w:rsidRPr="00607A00">
        <w:rPr>
          <w:lang w:val="en-GB"/>
        </w:rPr>
        <w:t xml:space="preserve">June 2009; and </w:t>
      </w:r>
      <w:r w:rsidRPr="00607A00">
        <w:rPr>
          <w:i/>
          <w:lang w:val="en-GB"/>
        </w:rPr>
        <w:t>J.S. and A.S. v. Poland</w:t>
      </w:r>
      <w:r w:rsidRPr="00607A00">
        <w:rPr>
          <w:lang w:val="en-GB"/>
        </w:rPr>
        <w:t>, no. 40732/98, 24 May 2005).</w:t>
      </w:r>
    </w:p>
    <w:p w:rsidR="0030160B" w:rsidRPr="00607A00" w:rsidRDefault="0030160B" w:rsidP="000E1CF6">
      <w:pPr>
        <w:pStyle w:val="OpiPara"/>
        <w:rPr>
          <w:lang w:val="en-GB"/>
        </w:rPr>
      </w:pPr>
      <w:r w:rsidRPr="00607A00">
        <w:rPr>
          <w:lang w:val="en-GB"/>
        </w:rPr>
        <w:t xml:space="preserve">Various arguments were advanced in those judgments to justify the applicability of Article 6. In </w:t>
      </w:r>
      <w:r w:rsidRPr="00607A00">
        <w:rPr>
          <w:i/>
          <w:lang w:val="en-GB"/>
        </w:rPr>
        <w:t>San Leonard Band Club</w:t>
      </w:r>
      <w:r w:rsidRPr="00607A00">
        <w:rPr>
          <w:lang w:val="en-GB"/>
        </w:rPr>
        <w:t>, concerning a request for a new criminal trial, the Court emphasised three factors: (1) a request for a retrial was the only means in Maltese law of challenging a decision that had been upheld on appeal; (2) the request in the case in question had been founded on the allegedly erroneous application of the law; and (3) if the statutory conditions were met, the request triggered a fresh trial without there being any discretion to decide whether it was appropriate.</w:t>
      </w:r>
    </w:p>
    <w:p w:rsidR="0030160B" w:rsidRPr="00607A00" w:rsidRDefault="0030160B" w:rsidP="000E1CF6">
      <w:pPr>
        <w:pStyle w:val="OpiPara"/>
        <w:rPr>
          <w:lang w:val="en-GB"/>
        </w:rPr>
      </w:pPr>
      <w:r w:rsidRPr="00607A00">
        <w:rPr>
          <w:lang w:val="en-GB"/>
        </w:rPr>
        <w:t xml:space="preserve">In </w:t>
      </w:r>
      <w:r w:rsidRPr="00607A00">
        <w:rPr>
          <w:i/>
          <w:lang w:val="en-GB"/>
        </w:rPr>
        <w:t>Melis</w:t>
      </w:r>
      <w:r w:rsidRPr="00607A00">
        <w:rPr>
          <w:lang w:val="en-GB"/>
        </w:rPr>
        <w:t xml:space="preserve">, which concerned an application to reopen proceedings, the Court stressed the “decisive factor </w:t>
      </w:r>
      <w:r w:rsidR="00557875">
        <w:rPr>
          <w:lang w:val="en-GB"/>
        </w:rPr>
        <w:t>...</w:t>
      </w:r>
      <w:r w:rsidRPr="00607A00">
        <w:rPr>
          <w:lang w:val="en-GB"/>
        </w:rPr>
        <w:t xml:space="preserve"> that, in the present case, an application to reopen the proceedings was the only legal remedy by which the applicant could have the appeal judgment in civil proceedings set aside and have his ownership rights restored” (§ 19).</w:t>
      </w:r>
    </w:p>
    <w:p w:rsidR="0030160B" w:rsidRPr="00607A00" w:rsidRDefault="0030160B" w:rsidP="000E1CF6">
      <w:pPr>
        <w:pStyle w:val="OpiPara"/>
        <w:rPr>
          <w:lang w:val="en-GB"/>
        </w:rPr>
      </w:pPr>
      <w:r w:rsidRPr="00607A00">
        <w:rPr>
          <w:lang w:val="en-GB"/>
        </w:rPr>
        <w:t xml:space="preserve">In </w:t>
      </w:r>
      <w:r w:rsidRPr="00607A00">
        <w:rPr>
          <w:i/>
          <w:lang w:val="en-GB"/>
        </w:rPr>
        <w:t>Maresti</w:t>
      </w:r>
      <w:r w:rsidRPr="00607A00">
        <w:rPr>
          <w:lang w:val="en-GB"/>
        </w:rPr>
        <w:t xml:space="preserve">, concerning a request for extraordinary review of a criminal judgment, the applicability of Article 6 was justified primarily by the </w:t>
      </w:r>
      <w:r w:rsidRPr="00607A00">
        <w:rPr>
          <w:lang w:val="en-GB"/>
        </w:rPr>
        <w:lastRenderedPageBreak/>
        <w:t>argument that the remedy in question was similar to a cassation appeal in civil proceedings. The Court further stressed that, in lodging the request, the applicant had relied on the fact that criminal prosecution in his case was barred by law.</w:t>
      </w:r>
    </w:p>
    <w:p w:rsidR="0030160B" w:rsidRPr="00607A00" w:rsidRDefault="0030160B" w:rsidP="000E1CF6">
      <w:pPr>
        <w:pStyle w:val="OpiPara"/>
      </w:pPr>
      <w:r w:rsidRPr="00607A00">
        <w:rPr>
          <w:lang w:val="en-GB"/>
        </w:rPr>
        <w:t>It is also interesting to note that the judgment in</w:t>
      </w:r>
      <w:r w:rsidRPr="00607A00">
        <w:rPr>
          <w:i/>
          <w:lang w:val="en-GB"/>
        </w:rPr>
        <w:t xml:space="preserve"> J.S. and A.S. v. Poland</w:t>
      </w:r>
      <w:r w:rsidRPr="00607A00">
        <w:rPr>
          <w:lang w:val="en-GB"/>
        </w:rPr>
        <w:t xml:space="preserve"> found Article 6 to be applicable to one of the extraordinary remedies provided for by Polish administrative procedure, in this instance an application for an individual administrative decision characterised by particularly serious flaws to be declared null and void. This remedy enables applicants to obtain a review of the lawfulness of a final individual administrative decision even a number of years after it has been given. Hence, individuals who lodge an application for a declaration of nullity in respect of a final individual administrative decision given a number of years previously, and relating to civil rights or obligations within the meaning of the Convention, are entitled to a hearing </w:t>
      </w:r>
      <w:r w:rsidRPr="00607A00">
        <w:t>within a reasonable time by an independent and impartial tribunal which must determine their claims on the merits. In support of its finding that Article 6 was applicable the Court pointed out that the applicants in the case in question had not sought the reopening of the administrative proceedings, but merely a finding that a past administrative decision was null and void.</w:t>
      </w:r>
    </w:p>
    <w:p w:rsidR="0030160B" w:rsidRPr="00607A00" w:rsidRDefault="0059749C" w:rsidP="000E1CF6">
      <w:pPr>
        <w:pStyle w:val="OpiPara"/>
      </w:pPr>
      <w:r>
        <w:t>3.  </w:t>
      </w:r>
      <w:r w:rsidR="0030160B" w:rsidRPr="00607A00">
        <w:t>Without entering into a comparative analysis of procedural law, we can note briefly that, in many legal systems, “cassation appeals” are subject to very strict time-limits and concern points of law, whereas “requests for the reopening of proceedings” may be lodged many years later and are founded in particular on new facts, new evidence or certain serious procedural defects. We can therefore observe, in a very intuitive manner, that the examination of a cassation appeal constitutes in a sense a “natural prolongation” of the original proceedings, focusing at that stage on issues concerning the interpretation of the applicable law and prolonging for the parties the state of uncertainty as to the outcome of the proceedings. The reopening of proceedings appears to be more exceptional and may occur a very long time after a final judicial decision was handed down in the original proceedings.</w:t>
      </w:r>
    </w:p>
    <w:p w:rsidR="0030160B" w:rsidRPr="00607A00" w:rsidRDefault="0030160B" w:rsidP="000E1CF6">
      <w:pPr>
        <w:pStyle w:val="OpiPara"/>
        <w:rPr>
          <w:lang w:val="en-GB"/>
        </w:rPr>
      </w:pPr>
      <w:r w:rsidRPr="00607A00">
        <w:rPr>
          <w:lang w:val="en-GB"/>
        </w:rPr>
        <w:t>On the other hand, it is important to stress that a cassation appeal, in many legal systems, primarily serves the public interest. It is a means of establishing the correct interpretation of the law and harmonising the case</w:t>
      </w:r>
      <w:r w:rsidR="0059749C">
        <w:rPr>
          <w:lang w:val="en-GB"/>
        </w:rPr>
        <w:noBreakHyphen/>
      </w:r>
      <w:r w:rsidRPr="00607A00">
        <w:rPr>
          <w:lang w:val="en-GB"/>
        </w:rPr>
        <w:t xml:space="preserve">law of the lower courts. </w:t>
      </w:r>
      <w:r w:rsidRPr="00695D5A">
        <w:rPr>
          <w:lang w:val="en-GB"/>
        </w:rPr>
        <w:t xml:space="preserve">Persons </w:t>
      </w:r>
      <w:r w:rsidRPr="000B5AE2">
        <w:rPr>
          <w:lang w:val="en-GB"/>
        </w:rPr>
        <w:t>wishing to</w:t>
      </w:r>
      <w:r w:rsidRPr="00A016C2">
        <w:rPr>
          <w:lang w:val="en-GB"/>
        </w:rPr>
        <w:t xml:space="preserve"> lodge</w:t>
      </w:r>
      <w:r w:rsidRPr="00607A00">
        <w:rPr>
          <w:lang w:val="en-GB"/>
        </w:rPr>
        <w:t xml:space="preserve"> an appeal of this kind must demonstrate the public interest in having it examined. By contrast, a request to reopen proceedings is very often not subject to any such condition. It may therefore serve to protect subjective rights without it being necessary to demonstrate that there is a public interest in having it examined. Moreover, injustices remedied by means of the reopening of proceedings and linked to factual errors are often much more glaring than the often unavoidable hesitations in interpreting the law which are overcome </w:t>
      </w:r>
      <w:r w:rsidRPr="00607A00">
        <w:rPr>
          <w:lang w:val="en-GB"/>
        </w:rPr>
        <w:lastRenderedPageBreak/>
        <w:t>by means of a cassation appeal. Furthermore, cassation appeals are often subject to a preliminary filtering procedure enabling their admissibility to be assessed before they are examined on the merits.</w:t>
      </w:r>
    </w:p>
    <w:p w:rsidR="0030160B" w:rsidRPr="00607A00" w:rsidRDefault="0030160B" w:rsidP="000E1CF6">
      <w:pPr>
        <w:pStyle w:val="OpiPara"/>
        <w:rPr>
          <w:lang w:val="en-GB"/>
        </w:rPr>
      </w:pPr>
      <w:r w:rsidRPr="00607A00">
        <w:rPr>
          <w:lang w:val="en-GB"/>
        </w:rPr>
        <w:t>The Court has held in various judgments that the examination of a request for proceedings to be reopened is not in itself a procedure leading to the determination of the parties</w:t>
      </w:r>
      <w:r w:rsidR="009912A8">
        <w:rPr>
          <w:lang w:val="en-GB"/>
        </w:rPr>
        <w:t>’</w:t>
      </w:r>
      <w:r w:rsidRPr="00607A00">
        <w:rPr>
          <w:lang w:val="en-GB"/>
        </w:rPr>
        <w:t xml:space="preserve"> rights or obligations or of a criminal charge. A fresh determination of the parties</w:t>
      </w:r>
      <w:r w:rsidR="009912A8">
        <w:rPr>
          <w:lang w:val="en-GB"/>
        </w:rPr>
        <w:t>’</w:t>
      </w:r>
      <w:r w:rsidRPr="00607A00">
        <w:rPr>
          <w:lang w:val="en-GB"/>
        </w:rPr>
        <w:t xml:space="preserve"> rights and obligations takes place only once the decision to reopen the proceedings has been taken. I note, for my part, that in some countries a cassation appeal has a number of similarities in this regard. During the first stage, the competent court examines the admissibility of the appeal. During the second stage, it rules on the merits, possibly setting aside the impugned judgment. During the third stage, where applicable, another court will determine afresh the parties</w:t>
      </w:r>
      <w:r w:rsidR="009912A8">
        <w:rPr>
          <w:lang w:val="en-GB"/>
        </w:rPr>
        <w:t>’</w:t>
      </w:r>
      <w:r w:rsidRPr="00607A00">
        <w:rPr>
          <w:lang w:val="en-GB"/>
        </w:rPr>
        <w:t xml:space="preserve"> rights and obligations.</w:t>
      </w:r>
    </w:p>
    <w:p w:rsidR="0030160B" w:rsidRPr="00607A00" w:rsidRDefault="0030160B" w:rsidP="000E1CF6">
      <w:pPr>
        <w:pStyle w:val="OpiPara"/>
        <w:rPr>
          <w:lang w:val="en-GB"/>
        </w:rPr>
      </w:pPr>
      <w:r w:rsidRPr="00607A00">
        <w:rPr>
          <w:lang w:val="en-GB"/>
        </w:rPr>
        <w:t>Against this background, can we really draw a distinction between the two types of extraordinary remedies for the purposes of the applicability of Article 6? One may doubt it. In any event, a convincing reply in the affirmative would require an in-depth survey of procedural law in the various States. An analysis of the Court</w:t>
      </w:r>
      <w:r w:rsidR="009912A8">
        <w:rPr>
          <w:lang w:val="en-GB"/>
        </w:rPr>
        <w:t>’</w:t>
      </w:r>
      <w:r w:rsidRPr="00607A00">
        <w:rPr>
          <w:lang w:val="en-GB"/>
        </w:rPr>
        <w:t xml:space="preserve">s judgments and decisions leads to the conclusion that the case-law has not established precise criteria by which to decide which extraordinary remedies come within the ambit of Article 6 of the Convention. Furthermore, in my view, the approach taken in </w:t>
      </w:r>
      <w:r w:rsidRPr="00607A00">
        <w:rPr>
          <w:i/>
          <w:lang w:val="en-GB"/>
        </w:rPr>
        <w:t xml:space="preserve">J.S. and A.S. </w:t>
      </w:r>
      <w:r w:rsidRPr="00607A00">
        <w:rPr>
          <w:lang w:val="en-GB"/>
        </w:rPr>
        <w:t>is difficult to reconcile with the Court</w:t>
      </w:r>
      <w:r w:rsidR="009912A8">
        <w:rPr>
          <w:lang w:val="en-GB"/>
        </w:rPr>
        <w:t>’</w:t>
      </w:r>
      <w:r w:rsidRPr="00607A00">
        <w:rPr>
          <w:lang w:val="en-GB"/>
        </w:rPr>
        <w:t>s case-law concerning remedies enabling review of decisions handed down in the various types of proceedings. The case-law surveyed discloses a very high degree of uncertainty for litigants and for the Contracting Parties to the Convention.</w:t>
      </w:r>
    </w:p>
    <w:p w:rsidR="0030160B" w:rsidRPr="00607A00" w:rsidRDefault="0059749C" w:rsidP="000E1CF6">
      <w:pPr>
        <w:pStyle w:val="OpiPara"/>
        <w:rPr>
          <w:lang w:val="en-GB"/>
        </w:rPr>
      </w:pPr>
      <w:r>
        <w:rPr>
          <w:lang w:val="en-GB"/>
        </w:rPr>
        <w:t>4.  </w:t>
      </w:r>
      <w:r w:rsidR="0030160B" w:rsidRPr="00607A00">
        <w:rPr>
          <w:lang w:val="en-GB"/>
        </w:rPr>
        <w:t xml:space="preserve">The case of </w:t>
      </w:r>
      <w:r w:rsidR="0030160B" w:rsidRPr="00607A00">
        <w:rPr>
          <w:i/>
          <w:lang w:val="en-GB"/>
        </w:rPr>
        <w:t>Bochan v. Ukraine</w:t>
      </w:r>
      <w:r w:rsidR="0030160B" w:rsidRPr="00607A00">
        <w:rPr>
          <w:lang w:val="en-GB"/>
        </w:rPr>
        <w:t xml:space="preserve"> presented a good opportunity to clarify the Court</w:t>
      </w:r>
      <w:r w:rsidR="009912A8">
        <w:rPr>
          <w:lang w:val="en-GB"/>
        </w:rPr>
        <w:t>’</w:t>
      </w:r>
      <w:r w:rsidR="0030160B" w:rsidRPr="00607A00">
        <w:rPr>
          <w:lang w:val="en-GB"/>
        </w:rPr>
        <w:t>s case-law concerning the applicability of Article 6 to extraordinary appeals in judicial proceedings, at least in civil cases.</w:t>
      </w:r>
    </w:p>
    <w:p w:rsidR="0030160B" w:rsidRPr="00607A00" w:rsidRDefault="0030160B" w:rsidP="000E1CF6">
      <w:pPr>
        <w:pStyle w:val="OpiPara"/>
        <w:rPr>
          <w:lang w:val="en-GB"/>
        </w:rPr>
      </w:pPr>
      <w:r w:rsidRPr="00607A00">
        <w:rPr>
          <w:lang w:val="en-GB"/>
        </w:rPr>
        <w:t>The majority states as follows in paragraph 50: “In sum, while Article 6 §</w:t>
      </w:r>
      <w:r w:rsidR="00F84F34">
        <w:rPr>
          <w:lang w:val="en-GB"/>
        </w:rPr>
        <w:t> </w:t>
      </w:r>
      <w:r w:rsidRPr="00607A00">
        <w:rPr>
          <w:lang w:val="en-GB"/>
        </w:rPr>
        <w:t>1 is not normally applicable to extraordinary appeals seeking the reopening of terminated judicial proceedings, the nature, scope and specific features of the proceedings on a given extraordinary appeal in the particular legal system concerned may be such as to bring the proceedings on that kind of appeal within the ambit of Article 6 § 1 and of the safeguards of a fair trial that it affords to litigants.” In analysing the appeal in question, the Court emphasises the similarities with a “cassation appeal” and the fact that the appeal may be regarded as a prolongation of the original proceedings, before analysing the review conducted by the Ukrainian Supreme Court in the case in question. I regret the fact that the reasoning of the judgment does not offer more specific general criteria for deciding which factors as regards the nature, scope and particular features of a given set of proceedings are decisive in order for Article 6 to apply.</w:t>
      </w:r>
    </w:p>
    <w:p w:rsidR="0030160B" w:rsidRPr="00607A00" w:rsidRDefault="0030160B" w:rsidP="000E1CF6">
      <w:pPr>
        <w:pStyle w:val="OpiPara"/>
        <w:rPr>
          <w:lang w:val="en-GB"/>
        </w:rPr>
      </w:pPr>
      <w:r w:rsidRPr="00607A00">
        <w:rPr>
          <w:lang w:val="en-GB"/>
        </w:rPr>
        <w:lastRenderedPageBreak/>
        <w:t xml:space="preserve">The uncertainty as to the precise scope of application of Article 6 appears to be reflected in the reasoning. For instance, in paragraph 44 </w:t>
      </w:r>
      <w:r w:rsidRPr="00607A00">
        <w:rPr>
          <w:i/>
          <w:lang w:val="en-GB"/>
        </w:rPr>
        <w:t>in fine</w:t>
      </w:r>
      <w:r w:rsidRPr="00607A00">
        <w:rPr>
          <w:lang w:val="en-GB"/>
        </w:rPr>
        <w:t xml:space="preserve"> the Court summarises in the following terms the established case-law concerning extraordinary appeals: </w:t>
      </w:r>
      <w:r w:rsidRPr="00695D5A">
        <w:rPr>
          <w:lang w:val="en-GB"/>
        </w:rPr>
        <w:t>“</w:t>
      </w:r>
      <w:r w:rsidR="0020636F" w:rsidRPr="00695D5A">
        <w:rPr>
          <w:lang w:val="en-GB"/>
        </w:rPr>
        <w:t>[</w:t>
      </w:r>
      <w:r w:rsidR="00695D5A" w:rsidRPr="00695D5A">
        <w:rPr>
          <w:lang w:val="en-GB"/>
        </w:rPr>
        <w:t>T</w:t>
      </w:r>
      <w:r w:rsidR="00950D6A" w:rsidRPr="00695D5A">
        <w:rPr>
          <w:lang w:val="en-GB"/>
        </w:rPr>
        <w:t>his is because,</w:t>
      </w:r>
      <w:r w:rsidR="00695D5A" w:rsidRPr="00695D5A">
        <w:rPr>
          <w:lang w:val="en-GB"/>
        </w:rPr>
        <w:t>]</w:t>
      </w:r>
      <w:r w:rsidRPr="00607A00">
        <w:rPr>
          <w:lang w:val="en-GB"/>
        </w:rPr>
        <w:t xml:space="preserve"> in so far as the matter is covered by the principle of </w:t>
      </w:r>
      <w:r w:rsidRPr="00607A00">
        <w:rPr>
          <w:i/>
          <w:lang w:val="en-GB"/>
        </w:rPr>
        <w:t>res iudicata</w:t>
      </w:r>
      <w:r w:rsidRPr="00607A00">
        <w:rPr>
          <w:lang w:val="en-GB"/>
        </w:rPr>
        <w:t xml:space="preserve"> of a final judgment in national proceedings, it cannot in principle be maintained that a subsequent extraordinary application or appeal seeking revision of that judgment gives rise to an arguable claim as to the existence of a right recognised under national law or that the outcome of the proceedings in which it is decided whether or not to reconsider the same case is decisive</w:t>
      </w:r>
      <w:r w:rsidRPr="00607A00">
        <w:rPr>
          <w:i/>
          <w:lang w:val="en-GB"/>
        </w:rPr>
        <w:t xml:space="preserve"> </w:t>
      </w:r>
      <w:r w:rsidRPr="00607A00">
        <w:rPr>
          <w:lang w:val="en-GB"/>
        </w:rPr>
        <w:t xml:space="preserve">for the </w:t>
      </w:r>
      <w:r w:rsidR="009912A8">
        <w:rPr>
          <w:lang w:val="en-GB"/>
        </w:rPr>
        <w:t>‘</w:t>
      </w:r>
      <w:r w:rsidRPr="00607A00">
        <w:rPr>
          <w:lang w:val="en-GB"/>
        </w:rPr>
        <w:t xml:space="preserve">determination of </w:t>
      </w:r>
      <w:r w:rsidR="00557875">
        <w:rPr>
          <w:lang w:val="en-GB"/>
        </w:rPr>
        <w:t>...</w:t>
      </w:r>
      <w:r w:rsidRPr="00607A00">
        <w:rPr>
          <w:lang w:val="en-GB"/>
        </w:rPr>
        <w:t xml:space="preserve"> civil rights or obligations or of any criminal charge</w:t>
      </w:r>
      <w:r w:rsidR="009912A8">
        <w:rPr>
          <w:lang w:val="en-GB"/>
        </w:rPr>
        <w:t>’</w:t>
      </w:r>
      <w:r w:rsidRPr="00607A00">
        <w:rPr>
          <w:lang w:val="en-GB"/>
        </w:rPr>
        <w:t>.” I note that this argument, used to explain why Article 6 does not apply to requests for proceedings to be reopened, weighs equally in favour of the inapplicability of Article 6 to cassation appeals in legal systems where such appeals are directed against judicial decisions considered to be final and enforceable in domestic law.</w:t>
      </w:r>
    </w:p>
    <w:p w:rsidR="0030160B" w:rsidRPr="00607A00" w:rsidRDefault="0030160B" w:rsidP="000E1CF6">
      <w:pPr>
        <w:pStyle w:val="OpiPara"/>
        <w:rPr>
          <w:lang w:val="en-GB"/>
        </w:rPr>
      </w:pPr>
      <w:r w:rsidRPr="00607A00">
        <w:rPr>
          <w:lang w:val="en-GB"/>
        </w:rPr>
        <w:t xml:space="preserve">Furthermore, in paragraph 47, the majority notes that the Court has also found Article 6 to be applicable to proceedings deemed to be similar to ordinary appeal proceedings. At the same time, in paragraph 48, which supposedly illustrates this argument, it notes that the </w:t>
      </w:r>
      <w:r w:rsidRPr="00607A00">
        <w:rPr>
          <w:i/>
          <w:lang w:val="en-GB"/>
        </w:rPr>
        <w:t>San Leonard Band Club</w:t>
      </w:r>
      <w:r w:rsidRPr="00607A00">
        <w:rPr>
          <w:lang w:val="en-GB"/>
        </w:rPr>
        <w:t xml:space="preserve"> judgment stressed that a “request for a new trial” in Maltese law was similar to an appeal on points of law before a court of cassation. However, an ordinary appeal and a cassation appeal are two very different remedies.</w:t>
      </w:r>
    </w:p>
    <w:p w:rsidR="0030160B" w:rsidRPr="00607A00" w:rsidRDefault="0059749C" w:rsidP="000E1CF6">
      <w:pPr>
        <w:pStyle w:val="OpiPara"/>
        <w:rPr>
          <w:lang w:val="en-GB"/>
        </w:rPr>
      </w:pPr>
      <w:r>
        <w:rPr>
          <w:lang w:val="en-GB"/>
        </w:rPr>
        <w:t>5.  </w:t>
      </w:r>
      <w:r w:rsidR="0030160B" w:rsidRPr="00607A00">
        <w:rPr>
          <w:lang w:val="en-GB"/>
        </w:rPr>
        <w:t>Article 6 of the Convention requires disputes concerning civil rights and obligations to be determined within a reasonable time by an independent and impartial tribunal established by law. The wording of this provision does not exclude its application to extraordinary appeals against judicial decisions which have determined the parties</w:t>
      </w:r>
      <w:r w:rsidR="009912A8">
        <w:rPr>
          <w:lang w:val="en-GB"/>
        </w:rPr>
        <w:t>’</w:t>
      </w:r>
      <w:r w:rsidR="0030160B" w:rsidRPr="00607A00">
        <w:rPr>
          <w:lang w:val="en-GB"/>
        </w:rPr>
        <w:t xml:space="preserve"> civil rights and obligations with final effect (within the meaning of domestic law). Furthermore, Article 6 is designed to ensure the effective protection of persons involved in civil and criminal proceedings against procedural injustice. The teleological argument therefore weighs in favour of the broadest possible application of this provision to the various ordinary and extraordinary appeals. In these circumstances it would appear more convincing to regard Article 6 as being applicable – at least in principle – to all extraordinary remedies in judicial proceedings. However, if its scope is to remain limited to certain types of extraordinary remedies, it is essential to define these on the basis of precise criteria.</w:t>
      </w:r>
    </w:p>
    <w:p w:rsidR="0030160B" w:rsidRPr="00607A00" w:rsidRDefault="0030160B" w:rsidP="000E1CF6">
      <w:pPr>
        <w:pStyle w:val="OpiPara"/>
        <w:rPr>
          <w:lang w:val="en-GB"/>
        </w:rPr>
      </w:pPr>
      <w:r w:rsidRPr="00607A00">
        <w:rPr>
          <w:lang w:val="en-GB"/>
        </w:rPr>
        <w:t>It should be stressed that these conclusions concern judicial proceedings. The applicability of Article 6 to extraordinary remedies in administrative proceedings is a different issue which would require separate examination.</w:t>
      </w:r>
    </w:p>
    <w:p w:rsidR="0030160B" w:rsidRPr="00607A00" w:rsidRDefault="0059749C" w:rsidP="000E1CF6">
      <w:pPr>
        <w:pStyle w:val="OpiPara"/>
        <w:rPr>
          <w:lang w:val="en-GB"/>
        </w:rPr>
      </w:pPr>
      <w:r>
        <w:rPr>
          <w:lang w:val="en-GB"/>
        </w:rPr>
        <w:t>6.  </w:t>
      </w:r>
      <w:r w:rsidR="0030160B" w:rsidRPr="00607A00">
        <w:rPr>
          <w:lang w:val="en-GB"/>
        </w:rPr>
        <w:t xml:space="preserve">The present case also concerns the very delicate issue of the effects of judgments of the Court finding a violation of the Convention in civil proceedings or arising from a judicial decision in a civil case. Judicial </w:t>
      </w:r>
      <w:r w:rsidR="0030160B" w:rsidRPr="00607A00">
        <w:rPr>
          <w:lang w:val="en-GB"/>
        </w:rPr>
        <w:lastRenderedPageBreak/>
        <w:t>decisions in civil cases very often serve to determine disputes between parties with opposing interests. When one of the parties challenges before the Court the compatibility with the Convention of the procedure applied or the decision given, the outcome of the proceedings before the Court affects the rights and interests of the other parties. Although the Court examines the vertical relationship (that is, the relationship between the applicant and the State) and rules on violations of the Convention attributed to the State authorities, the judgment finding a violation of the applicant</w:t>
      </w:r>
      <w:r w:rsidR="009912A8">
        <w:rPr>
          <w:lang w:val="en-GB"/>
        </w:rPr>
        <w:t>’</w:t>
      </w:r>
      <w:r w:rsidR="0030160B" w:rsidRPr="00607A00">
        <w:rPr>
          <w:lang w:val="en-GB"/>
        </w:rPr>
        <w:t>s rights on account of civil proceedings or of a judicial decision in a civil case will have a bearing on the protection afforded to the rights of the other parties to the proceedings and necessarily has a horizontal dimension, that is, pertaining to relations between private parties. The continuing extension by the case</w:t>
      </w:r>
      <w:r w:rsidR="0030160B" w:rsidRPr="00607A00">
        <w:rPr>
          <w:lang w:val="en-GB"/>
        </w:rPr>
        <w:noBreakHyphen/>
        <w:t>law of the scope of application of Convention rights to relationships between private</w:t>
      </w:r>
      <w:r w:rsidR="0030160B" w:rsidRPr="00607A00">
        <w:rPr>
          <w:lang w:val="en-GB"/>
        </w:rPr>
        <w:noBreakHyphen/>
        <w:t xml:space="preserve">law parties (in German: </w:t>
      </w:r>
      <w:r w:rsidR="0030160B" w:rsidRPr="00607A00">
        <w:rPr>
          <w:i/>
          <w:lang w:val="en-GB"/>
        </w:rPr>
        <w:t>Drittwirkung</w:t>
      </w:r>
      <w:r w:rsidR="0030160B" w:rsidRPr="00607A00">
        <w:rPr>
          <w:lang w:val="en-GB"/>
        </w:rPr>
        <w:t>) heightens this tendency.</w:t>
      </w:r>
    </w:p>
    <w:p w:rsidR="0030160B" w:rsidRPr="00607A00" w:rsidRDefault="0030160B" w:rsidP="000E1CF6">
      <w:pPr>
        <w:pStyle w:val="OpiPara"/>
        <w:rPr>
          <w:lang w:val="en-GB"/>
        </w:rPr>
      </w:pPr>
      <w:r w:rsidRPr="00607A00">
        <w:rPr>
          <w:lang w:val="en-GB"/>
        </w:rPr>
        <w:t>This influence of the Court</w:t>
      </w:r>
      <w:r w:rsidR="009912A8">
        <w:rPr>
          <w:lang w:val="en-GB"/>
        </w:rPr>
        <w:t>’</w:t>
      </w:r>
      <w:r w:rsidRPr="00607A00">
        <w:rPr>
          <w:lang w:val="en-GB"/>
        </w:rPr>
        <w:t>s judgments would be even more profound if the finding of a violation of the Convention in civil proceedings or arising from a judicial decision in a civil case were to lead to the reopening of those proceedings. The reasoning of the judgment in the present case quite rightly notes the absence of consensus between the High Contracting Parties in this sphere (see paragraph 57 of the judgment). It also notes, very pertinently, the possible implications of reconsideration of the applicant</w:t>
      </w:r>
      <w:r w:rsidR="009912A8">
        <w:rPr>
          <w:lang w:val="en-GB"/>
        </w:rPr>
        <w:t>’</w:t>
      </w:r>
      <w:r w:rsidRPr="00607A00">
        <w:rPr>
          <w:lang w:val="en-GB"/>
        </w:rPr>
        <w:t xml:space="preserve">s case “for the principles of </w:t>
      </w:r>
      <w:r w:rsidRPr="00607A00">
        <w:rPr>
          <w:i/>
          <w:lang w:val="en-GB"/>
        </w:rPr>
        <w:t>res iudicata</w:t>
      </w:r>
      <w:r w:rsidRPr="00607A00">
        <w:rPr>
          <w:lang w:val="en-GB"/>
        </w:rPr>
        <w:t xml:space="preserve"> and legal certainty in the terminated civil litigation and for the legitimate interests of third parties” (paragraph 72). However, the reasoning of the decision appears to express a certain preference for ensuring that possibilities exist to reopen civil proceedings in order to facilitate execution of the Court</w:t>
      </w:r>
      <w:r w:rsidR="009912A8">
        <w:rPr>
          <w:lang w:val="en-GB"/>
        </w:rPr>
        <w:t>’</w:t>
      </w:r>
      <w:r w:rsidRPr="00607A00">
        <w:rPr>
          <w:lang w:val="en-GB"/>
        </w:rPr>
        <w:t>s judgments (paragraph 58). Personally, I would have preferred to include some qualifications in the Court</w:t>
      </w:r>
      <w:r w:rsidR="009912A8">
        <w:rPr>
          <w:lang w:val="en-GB"/>
        </w:rPr>
        <w:t>’</w:t>
      </w:r>
      <w:r w:rsidRPr="00607A00">
        <w:rPr>
          <w:lang w:val="en-GB"/>
        </w:rPr>
        <w:t>s reasoning.</w:t>
      </w:r>
    </w:p>
    <w:p w:rsidR="0030160B" w:rsidRPr="00607A00" w:rsidRDefault="0030160B" w:rsidP="000E1CF6">
      <w:pPr>
        <w:pStyle w:val="OpiPara"/>
        <w:rPr>
          <w:lang w:val="en-GB"/>
        </w:rPr>
      </w:pPr>
      <w:r w:rsidRPr="00607A00">
        <w:rPr>
          <w:lang w:val="en-GB"/>
        </w:rPr>
        <w:t>Each party to civil proceedings is entitled to a stable final decision, delivered within a reasonable time. A final decision, even one that is defective from the standpoint of the Convention, creates legitimate expectations as to its stability, in particular if the opposing party acted in good faith in a situation where the violations of the Convention were not obvious in the light of the Court</w:t>
      </w:r>
      <w:r w:rsidR="009912A8">
        <w:rPr>
          <w:lang w:val="en-GB"/>
        </w:rPr>
        <w:t>’</w:t>
      </w:r>
      <w:r w:rsidRPr="00607A00">
        <w:rPr>
          <w:lang w:val="en-GB"/>
        </w:rPr>
        <w:t>s existing case-law. The need to secure the stability of final judicial decisions determining cases involving private parties and the legitimate interests of all the parties to the proceedings constitutes a strong argument against the reopening of civil proceedings following a judgment by the Court finding a violation of the Convention. The reopening of such proceedings may even result in a breach of the other parties</w:t>
      </w:r>
      <w:r w:rsidR="009912A8">
        <w:rPr>
          <w:lang w:val="en-GB"/>
        </w:rPr>
        <w:t>’</w:t>
      </w:r>
      <w:r w:rsidRPr="00607A00">
        <w:rPr>
          <w:lang w:val="en-GB"/>
        </w:rPr>
        <w:t xml:space="preserve"> rights protected by the Convention. Nevertheless, it cannot be ruled out that in some situations a final decision by a domestic civil court will create an injustice in relations between private parties which is so glaring that it can only be remedied by setting aside or amending the decision given. </w:t>
      </w:r>
      <w:r w:rsidRPr="00607A00">
        <w:rPr>
          <w:lang w:val="en-GB"/>
        </w:rPr>
        <w:lastRenderedPageBreak/>
        <w:t>Generally speaking, however, in the types of situation considered here, just satisfaction will most often consist in compensation by the State.</w:t>
      </w:r>
    </w:p>
    <w:p w:rsidR="0030160B" w:rsidRPr="00607A00" w:rsidRDefault="0059749C" w:rsidP="000E1CF6">
      <w:pPr>
        <w:pStyle w:val="OpiPara"/>
        <w:rPr>
          <w:lang w:val="en-GB"/>
        </w:rPr>
      </w:pPr>
      <w:r>
        <w:rPr>
          <w:lang w:val="en-GB"/>
        </w:rPr>
        <w:t>7.  </w:t>
      </w:r>
      <w:r w:rsidR="0030160B" w:rsidRPr="00607A00">
        <w:rPr>
          <w:lang w:val="en-GB"/>
        </w:rPr>
        <w:t>The question of the effects of the Court</w:t>
      </w:r>
      <w:r w:rsidR="009912A8">
        <w:rPr>
          <w:lang w:val="en-GB"/>
        </w:rPr>
        <w:t>’</w:t>
      </w:r>
      <w:r w:rsidR="0030160B" w:rsidRPr="00607A00">
        <w:rPr>
          <w:lang w:val="en-GB"/>
        </w:rPr>
        <w:t>s judgments is intrinsically linked to the question of the procedure before the Court. All procedural rules must be suited to the purpose and object of the proceedings and must ensure effective protection of the legitimate interests of all the parties concerned. Moreover, they must guarantee the undisputed procedural legitimacy of the decisions given.</w:t>
      </w:r>
    </w:p>
    <w:p w:rsidR="0030160B" w:rsidRPr="00607A00" w:rsidRDefault="0030160B" w:rsidP="000E1CF6">
      <w:pPr>
        <w:pStyle w:val="OpiPara"/>
        <w:rPr>
          <w:lang w:val="en-GB"/>
        </w:rPr>
      </w:pPr>
      <w:r w:rsidRPr="00607A00">
        <w:rPr>
          <w:lang w:val="en-GB"/>
        </w:rPr>
        <w:t xml:space="preserve">Procedural justice requires in particular that all the persons concerned by the outcome of the proceedings are guaranteed the right to be heard. As Seneca observed in </w:t>
      </w:r>
      <w:r w:rsidRPr="00607A00">
        <w:rPr>
          <w:i/>
          <w:lang w:val="en-GB"/>
        </w:rPr>
        <w:t>Medea</w:t>
      </w:r>
      <w:r w:rsidRPr="00607A00">
        <w:rPr>
          <w:lang w:val="en-GB"/>
        </w:rPr>
        <w:t>:</w:t>
      </w:r>
      <w:r w:rsidRPr="00607A00">
        <w:rPr>
          <w:i/>
          <w:lang w:val="en-GB"/>
        </w:rPr>
        <w:t xml:space="preserve"> Qui statuit aliquid parte inaudita altera, aequum licet statuerit, haud aequus fuit</w:t>
      </w:r>
      <w:r w:rsidRPr="00607A00">
        <w:rPr>
          <w:lang w:val="en-GB"/>
        </w:rPr>
        <w:t>. The more far-reaching the effects of the Court</w:t>
      </w:r>
      <w:r w:rsidR="009912A8">
        <w:rPr>
          <w:lang w:val="en-GB"/>
        </w:rPr>
        <w:t>’</w:t>
      </w:r>
      <w:r w:rsidRPr="00607A00">
        <w:rPr>
          <w:lang w:val="en-GB"/>
        </w:rPr>
        <w:t>s judgments the more vital it is to ensure that all the persons concerned have the right to be heard. Developments in case-law and practice regarding the effects and execution of the Court</w:t>
      </w:r>
      <w:r w:rsidR="009912A8">
        <w:rPr>
          <w:lang w:val="en-GB"/>
        </w:rPr>
        <w:t>’</w:t>
      </w:r>
      <w:r w:rsidRPr="00607A00">
        <w:rPr>
          <w:lang w:val="en-GB"/>
        </w:rPr>
        <w:t>s judgments may call for adjustments to be made to the applicable procedural rules.</w:t>
      </w:r>
    </w:p>
    <w:p w:rsidR="0030160B" w:rsidRPr="00607A00" w:rsidRDefault="0059749C" w:rsidP="000E1CF6">
      <w:pPr>
        <w:pStyle w:val="OpiPara"/>
        <w:rPr>
          <w:lang w:val="en-GB"/>
        </w:rPr>
      </w:pPr>
      <w:r>
        <w:rPr>
          <w:lang w:val="en-GB"/>
        </w:rPr>
        <w:t>8.  </w:t>
      </w:r>
      <w:r w:rsidR="0030160B" w:rsidRPr="00607A00">
        <w:rPr>
          <w:lang w:val="en-GB"/>
        </w:rPr>
        <w:t>In examining applications alleging human rights violations in civil proceedings or arising from judicial decisions in civil cases, determining disputes between individuals or legal persons governed by private law, the rights of the party opposing the applicant party must never be overlooked. That is because the Court</w:t>
      </w:r>
      <w:r w:rsidR="009912A8">
        <w:rPr>
          <w:lang w:val="en-GB"/>
        </w:rPr>
        <w:t>’</w:t>
      </w:r>
      <w:r w:rsidR="0030160B" w:rsidRPr="00607A00">
        <w:rPr>
          <w:lang w:val="en-GB"/>
        </w:rPr>
        <w:t>s finding of a violation of the Convention on account of a judicial decision in a civil case may have practical and legal consequences for the other parties to the civil proceedings and for the implementation of their rights. This problem is particularly acute in the case of applications against States whose legal systems (like that in Ukraine) allow the reopening of civil proceedings following a judgment of the Court.</w:t>
      </w:r>
    </w:p>
    <w:p w:rsidR="0030160B" w:rsidRPr="00607A00" w:rsidRDefault="0030160B" w:rsidP="000E1CF6">
      <w:pPr>
        <w:pStyle w:val="OpiPara"/>
        <w:rPr>
          <w:lang w:val="en-GB"/>
        </w:rPr>
      </w:pPr>
      <w:r w:rsidRPr="00607A00">
        <w:rPr>
          <w:lang w:val="en-GB"/>
        </w:rPr>
        <w:t xml:space="preserve">It should be noted here that, in its judgment in </w:t>
      </w:r>
      <w:r w:rsidRPr="00607A00">
        <w:rPr>
          <w:i/>
          <w:lang w:val="en-GB"/>
        </w:rPr>
        <w:t>Ruiz-Mateos v. Spain</w:t>
      </w:r>
      <w:r w:rsidRPr="00607A00">
        <w:rPr>
          <w:lang w:val="en-GB"/>
        </w:rPr>
        <w:t xml:space="preserve"> (23 June 1993, Series A no. 262), the Court examined the right of the persons concerned to be heard in constitutional review proceedings. The issue had arisen in the context of the relationship between the civil proceedings and the constitutional review proceedings. In that case a Spanish court, in the course of a civil dispute, had referred a preliminary question to the Constitutional Court as to the constitutionality of the legislation applicable in the case. The Court found a violation of the Convention on the grounds that, in the proceedings for concrete review of the legislation before the Constitutional Court, the Spanish authorities had not secured to one of the parties to the civil proceedings the right to submit observations on the opposing party</w:t>
      </w:r>
      <w:r w:rsidR="009912A8">
        <w:rPr>
          <w:lang w:val="en-GB"/>
        </w:rPr>
        <w:t>’</w:t>
      </w:r>
      <w:r w:rsidRPr="00607A00">
        <w:rPr>
          <w:lang w:val="en-GB"/>
        </w:rPr>
        <w:t>s position regarding the issue of the constitutionality of a statute (§ 67).</w:t>
      </w:r>
    </w:p>
    <w:p w:rsidR="0030160B" w:rsidRPr="00607A00" w:rsidRDefault="0059749C" w:rsidP="000E1CF6">
      <w:pPr>
        <w:pStyle w:val="OpiPara"/>
        <w:rPr>
          <w:lang w:val="en-GB"/>
        </w:rPr>
      </w:pPr>
      <w:r>
        <w:rPr>
          <w:lang w:val="en-GB"/>
        </w:rPr>
        <w:t>9.  </w:t>
      </w:r>
      <w:r w:rsidR="0030160B" w:rsidRPr="00607A00">
        <w:rPr>
          <w:lang w:val="en-GB"/>
        </w:rPr>
        <w:t xml:space="preserve">It is undeniable that the procedure whereby the Court examines individual applications has many specific features distinguishing it from procedures before the various domestic supreme courts. While a judgment of the Court may be important as regards implementation of the rights of other parties to the domestic proceedings, it does not establish rights or </w:t>
      </w:r>
      <w:r w:rsidR="0030160B" w:rsidRPr="00607A00">
        <w:rPr>
          <w:lang w:val="en-GB"/>
        </w:rPr>
        <w:lastRenderedPageBreak/>
        <w:t>obligations for them with direct effect in the Contracting Parties. However, given that in the types of situation considered third parties are often affected by the outcome of the proceedings before the Court, the approach taken in the case of</w:t>
      </w:r>
      <w:r w:rsidR="0030160B" w:rsidRPr="00607A00">
        <w:rPr>
          <w:i/>
          <w:lang w:val="en-GB"/>
        </w:rPr>
        <w:t xml:space="preserve"> Ruiz-Mateos</w:t>
      </w:r>
      <w:r w:rsidR="0030160B" w:rsidRPr="00607A00">
        <w:rPr>
          <w:lang w:val="en-GB"/>
        </w:rPr>
        <w:t xml:space="preserve"> in the context of the relationship between civil proceedings and proceedings to review legislation also holds true in the context of the relationship between domestic civil proceedings and proceedings before the European Court of Human Rights.</w:t>
      </w:r>
    </w:p>
    <w:p w:rsidR="0030160B" w:rsidRPr="00607A00" w:rsidRDefault="0030160B" w:rsidP="000E1CF6">
      <w:pPr>
        <w:pStyle w:val="OpiPara"/>
        <w:rPr>
          <w:lang w:val="en-GB"/>
        </w:rPr>
      </w:pPr>
      <w:r w:rsidRPr="00607A00">
        <w:rPr>
          <w:lang w:val="en-GB"/>
        </w:rPr>
        <w:t>The Convention does not guarantee the other parties to domestic proceedings who are concerned by the impugned judicial decision the right to be heard by the Court. It is true that under Article 36 § 2 of the Convention, as supplemented by Rule 44 § 3 of the Rules of Court, the President of the Chamber may, in the interests of the proper administration of justice, authorise or invite any person concerned who is not the applicant to submit written comments or, in exceptional circumstances, to take part in the hearing. The Court sometimes makes use of this possibility, in particular in cases dealing with family law. The approach adopted strikes me as inadequate, as the option, left to the discretion of the President of the Chamber, of hearing the views of a person who is concerned does not equate to a guarantee of the right to be heard. It is not always used where the rights of third parties are concerned.</w:t>
      </w:r>
    </w:p>
    <w:p w:rsidR="0030160B" w:rsidRPr="00607A00" w:rsidRDefault="0030160B" w:rsidP="000E1CF6">
      <w:pPr>
        <w:pStyle w:val="OpiPara"/>
        <w:rPr>
          <w:lang w:val="en-GB"/>
        </w:rPr>
      </w:pPr>
      <w:r w:rsidRPr="00607A00">
        <w:rPr>
          <w:lang w:val="en-GB"/>
        </w:rPr>
        <w:t>When sitting in cases dealing with violations of the Convention in civil proceedings or arising from a judicial decision in a civil case, I invariably wonder whether the other parties concerned should not be granted the right to submit observations to the Court. Is it right to give a decision without hearing the other parties concerned? Ensuring that they have the right to be heard would not only give greater effect to the principles of procedural justice, but in many cases would also afford greater insight into the issues under examination.</w:t>
      </w:r>
    </w:p>
    <w:p w:rsidR="004D15F3" w:rsidRPr="001922A7" w:rsidRDefault="0030160B" w:rsidP="000E1CF6">
      <w:pPr>
        <w:pStyle w:val="OpiPara"/>
        <w:rPr>
          <w:lang w:val="en-GB"/>
        </w:rPr>
      </w:pPr>
      <w:r w:rsidRPr="00607A00">
        <w:rPr>
          <w:lang w:val="en-GB"/>
        </w:rPr>
        <w:t>Given the case-law developments referred to above, the rules applicable to the procedure for the examination of applications by the Court do not confer a sufficient degree of procedural legitimacy on the decisions given. Against that background, it is time to rethink the procedure before the Court in order better to adapt it to the requirements of procedural justice.</w:t>
      </w:r>
    </w:p>
    <w:sectPr w:rsidR="004D15F3" w:rsidRPr="001922A7" w:rsidSect="00BC78CC">
      <w:headerReference w:type="even" r:id="rId17"/>
      <w:headerReference w:type="default" r:id="rId18"/>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160" w:rsidRDefault="00C32160" w:rsidP="00014566">
      <w:r>
        <w:separator/>
      </w:r>
    </w:p>
  </w:endnote>
  <w:endnote w:type="continuationSeparator" w:id="0">
    <w:p w:rsidR="00C32160" w:rsidRDefault="00C32160"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0AB" w:rsidRPr="00150BFA" w:rsidRDefault="00B850AB" w:rsidP="001B4C2E">
    <w:pPr>
      <w:jc w:val="center"/>
      <w:rPr>
        <w:sz w:val="4"/>
        <w:szCs w:val="4"/>
      </w:rPr>
    </w:pPr>
  </w:p>
  <w:p w:rsidR="00B850AB" w:rsidRDefault="00B850A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0AB" w:rsidRPr="00150BFA" w:rsidRDefault="00B850AB" w:rsidP="001B4C2E">
    <w:pPr>
      <w:jc w:val="center"/>
    </w:pPr>
    <w:r>
      <w:rPr>
        <w:noProof/>
        <w:lang w:val="pl-PL" w:eastAsia="pl-PL"/>
      </w:rPr>
      <w:drawing>
        <wp:inline distT="0" distB="0" distL="0" distR="0" wp14:anchorId="09A194AC" wp14:editId="16D13C9D">
          <wp:extent cx="771525" cy="619125"/>
          <wp:effectExtent l="0" t="0" r="9525" b="9525"/>
          <wp:docPr id="72" name="Picture 7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850AB" w:rsidRDefault="00B850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160" w:rsidRDefault="00C32160" w:rsidP="00014566">
      <w:r>
        <w:separator/>
      </w:r>
    </w:p>
  </w:footnote>
  <w:footnote w:type="continuationSeparator" w:id="0">
    <w:p w:rsidR="00C32160" w:rsidRDefault="00C32160" w:rsidP="00014566">
      <w:r>
        <w:continuationSeparator/>
      </w:r>
    </w:p>
  </w:footnote>
  <w:footnote w:id="1">
    <w:p w:rsidR="00B850AB" w:rsidRPr="00E63D77" w:rsidRDefault="00B850AB">
      <w:pPr>
        <w:pStyle w:val="Tekstprzypisudolnego"/>
      </w:pPr>
      <w:r>
        <w:rPr>
          <w:rStyle w:val="Odwoanieprzypisudolnego"/>
        </w:rPr>
        <w:footnoteRef/>
      </w:r>
      <w:r>
        <w:t xml:space="preserve"> Rectified on 11 March 2015: the text was “3 February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0AB" w:rsidRPr="00A366F9" w:rsidRDefault="00B850AB" w:rsidP="00A8515B">
    <w:pPr>
      <w:pStyle w:val="Kopflinks"/>
      <w:rPr>
        <w:lang w:val="en-US"/>
      </w:rPr>
    </w:pPr>
    <w:r>
      <w:tab/>
    </w:r>
    <w:r>
      <w:rPr>
        <w:sz w:val="20"/>
        <w:lang w:val="en-US"/>
      </w:rPr>
      <w:t xml:space="preserve">BOCHAN </w:t>
    </w:r>
    <w:r>
      <w:rPr>
        <w:caps w:val="0"/>
        <w:sz w:val="20"/>
        <w:lang w:val="en-US"/>
      </w:rPr>
      <w:t>v</w:t>
    </w:r>
    <w:r>
      <w:rPr>
        <w:sz w:val="20"/>
        <w:lang w:val="en-US"/>
      </w:rPr>
      <w:t xml:space="preserve">. </w:t>
    </w:r>
    <w:r w:rsidRPr="00C302FE">
      <w:rPr>
        <w:sz w:val="20"/>
        <w:lang w:val="en-US"/>
      </w:rPr>
      <w:t>UKRAINE (</w:t>
    </w:r>
    <w:r w:rsidRPr="00C302FE">
      <w:rPr>
        <w:caps w:val="0"/>
        <w:sz w:val="20"/>
        <w:lang w:val="en-US"/>
      </w:rPr>
      <w:t>no</w:t>
    </w:r>
    <w:r w:rsidRPr="00C302FE">
      <w:rPr>
        <w:sz w:val="20"/>
        <w:lang w:val="en-US"/>
      </w:rPr>
      <w:t>. 2) JUDGMENT</w:t>
    </w:r>
    <w:r w:rsidRPr="00A366F9">
      <w:rPr>
        <w:lang w:val="en-US"/>
      </w:rPr>
      <w:tab/>
    </w:r>
    <w:r>
      <w:fldChar w:fldCharType="begin"/>
    </w:r>
    <w:r w:rsidRPr="00A366F9">
      <w:rPr>
        <w:lang w:val="en-US"/>
      </w:rPr>
      <w:instrText xml:space="preserve"> PAGE  \* MERGEFORMAT </w:instrText>
    </w:r>
    <w:r>
      <w:fldChar w:fldCharType="separate"/>
    </w:r>
    <w:r w:rsidR="00050BA1">
      <w:rPr>
        <w:noProof/>
        <w:lang w:val="en-US"/>
      </w:rPr>
      <w:t>1</w:t>
    </w:r>
    <w:r>
      <w:fldChar w:fldCharType="end"/>
    </w:r>
  </w:p>
  <w:p w:rsidR="00B850AB" w:rsidRDefault="00B850AB" w:rsidP="00E3356A">
    <w:pPr>
      <w:pStyle w:val="ECHRHeader"/>
      <w:tabs>
        <w:tab w:val="clear" w:pos="3686"/>
        <w:tab w:val="center" w:pos="3648"/>
      </w:tabs>
      <w:ind w:right="1032"/>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0AB" w:rsidRPr="00A45145" w:rsidRDefault="00B850AB" w:rsidP="001B4C2E">
    <w:pPr>
      <w:jc w:val="center"/>
    </w:pPr>
    <w:r>
      <w:rPr>
        <w:noProof/>
        <w:lang w:val="pl-PL" w:eastAsia="pl-PL"/>
      </w:rPr>
      <w:drawing>
        <wp:inline distT="0" distB="0" distL="0" distR="0" wp14:anchorId="12F58C88" wp14:editId="711CF30D">
          <wp:extent cx="2962275" cy="1219200"/>
          <wp:effectExtent l="0" t="0" r="9525" b="0"/>
          <wp:docPr id="71" name="Picture 7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850AB" w:rsidRPr="00D31801" w:rsidRDefault="00B850AB">
    <w:pPr>
      <w:pStyle w:val="Nagwek"/>
      <w:ind w:left="-142"/>
      <w:jc w:val="center"/>
      <w:rPr>
        <w:sz w:val="4"/>
        <w:szCs w:val="4"/>
      </w:rPr>
    </w:pPr>
  </w:p>
  <w:p w:rsidR="00B850AB" w:rsidRDefault="00B850A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0AB" w:rsidRPr="00FF2306" w:rsidRDefault="00B850AB"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50BA1">
      <w:rPr>
        <w:rStyle w:val="Numerstrony"/>
        <w:noProof/>
        <w:szCs w:val="18"/>
        <w:lang w:val="en-GB"/>
      </w:rPr>
      <w:t>26</w:t>
    </w:r>
    <w:r>
      <w:rPr>
        <w:rStyle w:val="Numerstrony"/>
        <w:szCs w:val="18"/>
        <w:lang w:val="en-GB"/>
      </w:rPr>
      <w:fldChar w:fldCharType="end"/>
    </w:r>
    <w:r w:rsidRPr="00FF2306">
      <w:rPr>
        <w:lang w:val="en-GB"/>
      </w:rPr>
      <w:tab/>
    </w:r>
    <w:r>
      <w:rPr>
        <w:sz w:val="20"/>
      </w:rPr>
      <w:t>BOCHAN</w:t>
    </w:r>
    <w:r w:rsidRPr="00A8515B">
      <w:rPr>
        <w:sz w:val="20"/>
      </w:rPr>
      <w:t xml:space="preserve"> </w:t>
    </w:r>
    <w:r>
      <w:rPr>
        <w:sz w:val="20"/>
      </w:rPr>
      <w:t xml:space="preserve">v. </w:t>
    </w:r>
    <w:r w:rsidRPr="00C302FE">
      <w:rPr>
        <w:sz w:val="20"/>
      </w:rPr>
      <w:t xml:space="preserve">UKRAINE </w:t>
    </w:r>
    <w:r>
      <w:rPr>
        <w:sz w:val="20"/>
      </w:rPr>
      <w:t>(no. 2)</w:t>
    </w:r>
    <w:r w:rsidRPr="00C302FE">
      <w:rPr>
        <w:sz w:val="20"/>
      </w:rP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0AB" w:rsidRPr="00FF2306" w:rsidRDefault="00B850AB" w:rsidP="00FA17DA">
    <w:pPr>
      <w:pStyle w:val="ECHRHeader"/>
      <w:jc w:val="cent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50BA1">
      <w:rPr>
        <w:rStyle w:val="Numerstrony"/>
        <w:noProof/>
        <w:szCs w:val="18"/>
        <w:lang w:val="en-GB"/>
      </w:rPr>
      <w:t>34</w:t>
    </w:r>
    <w:r>
      <w:rPr>
        <w:rStyle w:val="Numerstrony"/>
        <w:szCs w:val="18"/>
        <w:lang w:val="en-GB"/>
      </w:rPr>
      <w:fldChar w:fldCharType="end"/>
    </w:r>
    <w:r w:rsidRPr="00FF2306">
      <w:rPr>
        <w:lang w:val="en-GB"/>
      </w:rPr>
      <w:tab/>
    </w:r>
    <w:r>
      <w:rPr>
        <w:sz w:val="20"/>
      </w:rPr>
      <w:t xml:space="preserve">BOCHAN v. </w:t>
    </w:r>
    <w:r w:rsidRPr="00C302FE">
      <w:rPr>
        <w:sz w:val="20"/>
      </w:rPr>
      <w:t>UKRAINE (no. 2) JUDGMENT</w:t>
    </w:r>
    <w:r>
      <w:rPr>
        <w:sz w:val="20"/>
      </w:rPr>
      <w:t xml:space="preserve"> – </w:t>
    </w:r>
    <w:r w:rsidRPr="00A366F9">
      <w:tab/>
    </w:r>
    <w:r>
      <w:rPr>
        <w:sz w:val="20"/>
      </w:rPr>
      <w:br/>
      <w:t>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0AB" w:rsidRPr="00A366F9" w:rsidRDefault="00B850AB" w:rsidP="00057D75">
    <w:pPr>
      <w:pStyle w:val="Kopflinks"/>
      <w:jc w:val="center"/>
      <w:rPr>
        <w:lang w:val="en-US"/>
      </w:rPr>
    </w:pPr>
    <w:r>
      <w:rPr>
        <w:sz w:val="20"/>
        <w:lang w:val="en-US"/>
      </w:rPr>
      <w:tab/>
    </w:r>
    <w:r w:rsidRPr="00C302FE">
      <w:rPr>
        <w:sz w:val="20"/>
        <w:lang w:val="en-US"/>
      </w:rPr>
      <w:t xml:space="preserve">BOCHAN </w:t>
    </w:r>
    <w:r w:rsidRPr="00C302FE">
      <w:rPr>
        <w:caps w:val="0"/>
        <w:sz w:val="20"/>
        <w:lang w:val="en-US"/>
      </w:rPr>
      <w:t>v</w:t>
    </w:r>
    <w:r w:rsidRPr="00C302FE">
      <w:rPr>
        <w:sz w:val="20"/>
        <w:lang w:val="en-US"/>
      </w:rPr>
      <w:t>. UKRAINE (</w:t>
    </w:r>
    <w:r w:rsidRPr="00C302FE">
      <w:rPr>
        <w:caps w:val="0"/>
        <w:sz w:val="20"/>
        <w:lang w:val="en-US"/>
      </w:rPr>
      <w:t>no</w:t>
    </w:r>
    <w:r w:rsidRPr="00C302FE">
      <w:rPr>
        <w:sz w:val="20"/>
        <w:lang w:val="en-US"/>
      </w:rPr>
      <w:t>. 2) JUDGMENT</w:t>
    </w:r>
    <w:r>
      <w:rPr>
        <w:sz w:val="20"/>
        <w:lang w:val="en-US"/>
      </w:rPr>
      <w:t xml:space="preserve"> – </w:t>
    </w:r>
    <w:r w:rsidRPr="00A366F9">
      <w:rPr>
        <w:lang w:val="en-US"/>
      </w:rPr>
      <w:tab/>
    </w:r>
    <w:r>
      <w:fldChar w:fldCharType="begin"/>
    </w:r>
    <w:r w:rsidRPr="00A366F9">
      <w:rPr>
        <w:lang w:val="en-US"/>
      </w:rPr>
      <w:instrText xml:space="preserve"> PAGE  \* MERGEFORMAT </w:instrText>
    </w:r>
    <w:r>
      <w:fldChar w:fldCharType="separate"/>
    </w:r>
    <w:r w:rsidR="00050BA1">
      <w:rPr>
        <w:noProof/>
        <w:lang w:val="en-US"/>
      </w:rPr>
      <w:t>35</w:t>
    </w:r>
    <w:r>
      <w:fldChar w:fldCharType="end"/>
    </w:r>
    <w:r>
      <w:rPr>
        <w:sz w:val="20"/>
        <w:lang w:val="en-US"/>
      </w:rPr>
      <w:br/>
      <w:t>seParate opinions</w:t>
    </w:r>
  </w:p>
  <w:p w:rsidR="00B850AB" w:rsidRDefault="00B850AB" w:rsidP="00E3356A">
    <w:pPr>
      <w:pStyle w:val="ECHRHeader"/>
      <w:tabs>
        <w:tab w:val="clear" w:pos="3686"/>
        <w:tab w:val="center" w:pos="3648"/>
      </w:tabs>
      <w:ind w:right="1032"/>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1"/>
  </w:num>
  <w:num w:numId="6">
    <w:abstractNumId w:val="13"/>
  </w:num>
  <w:num w:numId="7">
    <w:abstractNumId w:val="11"/>
  </w:num>
  <w:num w:numId="8">
    <w:abstractNumId w:val="14"/>
  </w:num>
  <w:num w:numId="9">
    <w:abstractNumId w:val="10"/>
  </w:num>
  <w:num w:numId="10">
    <w:abstractNumId w:val="9"/>
  </w:num>
  <w:num w:numId="11">
    <w:abstractNumId w:val="1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DE3CC4"/>
    <w:rsid w:val="0000106B"/>
    <w:rsid w:val="0000110F"/>
    <w:rsid w:val="000041F8"/>
    <w:rsid w:val="000042A8"/>
    <w:rsid w:val="00004308"/>
    <w:rsid w:val="000056F4"/>
    <w:rsid w:val="00005BF0"/>
    <w:rsid w:val="0000602B"/>
    <w:rsid w:val="00006E47"/>
    <w:rsid w:val="00007154"/>
    <w:rsid w:val="00007EAE"/>
    <w:rsid w:val="000103AE"/>
    <w:rsid w:val="00010B57"/>
    <w:rsid w:val="00011D69"/>
    <w:rsid w:val="00012AD3"/>
    <w:rsid w:val="00014566"/>
    <w:rsid w:val="0001547E"/>
    <w:rsid w:val="00015C2D"/>
    <w:rsid w:val="00015F00"/>
    <w:rsid w:val="00016841"/>
    <w:rsid w:val="00022C1D"/>
    <w:rsid w:val="00023EFF"/>
    <w:rsid w:val="000241FA"/>
    <w:rsid w:val="0002426D"/>
    <w:rsid w:val="000257E3"/>
    <w:rsid w:val="000268F1"/>
    <w:rsid w:val="00027BFB"/>
    <w:rsid w:val="00034987"/>
    <w:rsid w:val="00035269"/>
    <w:rsid w:val="00041BBF"/>
    <w:rsid w:val="00041FC8"/>
    <w:rsid w:val="00045901"/>
    <w:rsid w:val="00050BA1"/>
    <w:rsid w:val="00054AB9"/>
    <w:rsid w:val="00056117"/>
    <w:rsid w:val="00056CEE"/>
    <w:rsid w:val="00057D75"/>
    <w:rsid w:val="000602DF"/>
    <w:rsid w:val="00061B05"/>
    <w:rsid w:val="00061C6F"/>
    <w:rsid w:val="000632D5"/>
    <w:rsid w:val="000636E8"/>
    <w:rsid w:val="000644EE"/>
    <w:rsid w:val="00065E07"/>
    <w:rsid w:val="00071BA4"/>
    <w:rsid w:val="00071C0C"/>
    <w:rsid w:val="000731FE"/>
    <w:rsid w:val="000750BE"/>
    <w:rsid w:val="0007543E"/>
    <w:rsid w:val="00076AE6"/>
    <w:rsid w:val="00077219"/>
    <w:rsid w:val="00080B80"/>
    <w:rsid w:val="00080C30"/>
    <w:rsid w:val="000923FA"/>
    <w:rsid w:val="000925AD"/>
    <w:rsid w:val="00093BAC"/>
    <w:rsid w:val="00095B4F"/>
    <w:rsid w:val="000A24EB"/>
    <w:rsid w:val="000A42D3"/>
    <w:rsid w:val="000A531B"/>
    <w:rsid w:val="000A5AF2"/>
    <w:rsid w:val="000A5CAF"/>
    <w:rsid w:val="000A6794"/>
    <w:rsid w:val="000A7AD7"/>
    <w:rsid w:val="000B5A6A"/>
    <w:rsid w:val="000B5AE2"/>
    <w:rsid w:val="000B6923"/>
    <w:rsid w:val="000B6EC9"/>
    <w:rsid w:val="000C07FA"/>
    <w:rsid w:val="000C0A7F"/>
    <w:rsid w:val="000C148F"/>
    <w:rsid w:val="000C1537"/>
    <w:rsid w:val="000C513A"/>
    <w:rsid w:val="000C5221"/>
    <w:rsid w:val="000C5F3C"/>
    <w:rsid w:val="000C6DCC"/>
    <w:rsid w:val="000C7B9F"/>
    <w:rsid w:val="000D1CA0"/>
    <w:rsid w:val="000D47AA"/>
    <w:rsid w:val="000D49BB"/>
    <w:rsid w:val="000D52A6"/>
    <w:rsid w:val="000D721F"/>
    <w:rsid w:val="000D790F"/>
    <w:rsid w:val="000E069B"/>
    <w:rsid w:val="000E0E82"/>
    <w:rsid w:val="000E1176"/>
    <w:rsid w:val="000E1CF6"/>
    <w:rsid w:val="000E1DC5"/>
    <w:rsid w:val="000E223F"/>
    <w:rsid w:val="000E2373"/>
    <w:rsid w:val="000E4284"/>
    <w:rsid w:val="000E5390"/>
    <w:rsid w:val="000E7D45"/>
    <w:rsid w:val="000F2921"/>
    <w:rsid w:val="000F7851"/>
    <w:rsid w:val="00102EDE"/>
    <w:rsid w:val="00104E23"/>
    <w:rsid w:val="00104EA8"/>
    <w:rsid w:val="00111A06"/>
    <w:rsid w:val="00111B0C"/>
    <w:rsid w:val="001151C3"/>
    <w:rsid w:val="001207F0"/>
    <w:rsid w:val="00120D6C"/>
    <w:rsid w:val="001210E8"/>
    <w:rsid w:val="001244BA"/>
    <w:rsid w:val="001257EC"/>
    <w:rsid w:val="00133747"/>
    <w:rsid w:val="00133D33"/>
    <w:rsid w:val="00134D64"/>
    <w:rsid w:val="00135A30"/>
    <w:rsid w:val="00135B29"/>
    <w:rsid w:val="0013612C"/>
    <w:rsid w:val="00137FF6"/>
    <w:rsid w:val="00140FF0"/>
    <w:rsid w:val="00141650"/>
    <w:rsid w:val="0014189F"/>
    <w:rsid w:val="00141FF0"/>
    <w:rsid w:val="0014229B"/>
    <w:rsid w:val="00145340"/>
    <w:rsid w:val="001455FC"/>
    <w:rsid w:val="00147C48"/>
    <w:rsid w:val="0015219B"/>
    <w:rsid w:val="001522CB"/>
    <w:rsid w:val="00152DD9"/>
    <w:rsid w:val="001537C3"/>
    <w:rsid w:val="001540B4"/>
    <w:rsid w:val="00155FDE"/>
    <w:rsid w:val="00162A12"/>
    <w:rsid w:val="001641BA"/>
    <w:rsid w:val="00164FCD"/>
    <w:rsid w:val="001663FE"/>
    <w:rsid w:val="00166530"/>
    <w:rsid w:val="001710E0"/>
    <w:rsid w:val="00171276"/>
    <w:rsid w:val="00174911"/>
    <w:rsid w:val="001757EE"/>
    <w:rsid w:val="001779AA"/>
    <w:rsid w:val="0018108E"/>
    <w:rsid w:val="001813BF"/>
    <w:rsid w:val="00182918"/>
    <w:rsid w:val="00182E52"/>
    <w:rsid w:val="001832BD"/>
    <w:rsid w:val="00184223"/>
    <w:rsid w:val="001855D6"/>
    <w:rsid w:val="00185DFB"/>
    <w:rsid w:val="001900EB"/>
    <w:rsid w:val="00191576"/>
    <w:rsid w:val="001922A7"/>
    <w:rsid w:val="001943B5"/>
    <w:rsid w:val="00195134"/>
    <w:rsid w:val="001A145B"/>
    <w:rsid w:val="001A29FE"/>
    <w:rsid w:val="001A57B0"/>
    <w:rsid w:val="001A59A1"/>
    <w:rsid w:val="001A5EF3"/>
    <w:rsid w:val="001A674C"/>
    <w:rsid w:val="001A6813"/>
    <w:rsid w:val="001A6B8C"/>
    <w:rsid w:val="001B06BF"/>
    <w:rsid w:val="001B090A"/>
    <w:rsid w:val="001B0DCF"/>
    <w:rsid w:val="001B3B24"/>
    <w:rsid w:val="001B4C2E"/>
    <w:rsid w:val="001B6CA2"/>
    <w:rsid w:val="001B7DAC"/>
    <w:rsid w:val="001C01F0"/>
    <w:rsid w:val="001C0F98"/>
    <w:rsid w:val="001C2A42"/>
    <w:rsid w:val="001C4491"/>
    <w:rsid w:val="001C4F9B"/>
    <w:rsid w:val="001D2044"/>
    <w:rsid w:val="001D63ED"/>
    <w:rsid w:val="001D7348"/>
    <w:rsid w:val="001E035B"/>
    <w:rsid w:val="001E0961"/>
    <w:rsid w:val="001E18DF"/>
    <w:rsid w:val="001E31EE"/>
    <w:rsid w:val="001E3EAE"/>
    <w:rsid w:val="001E49F7"/>
    <w:rsid w:val="001E4B3C"/>
    <w:rsid w:val="001E6F32"/>
    <w:rsid w:val="001F2145"/>
    <w:rsid w:val="001F3E63"/>
    <w:rsid w:val="001F4A20"/>
    <w:rsid w:val="001F6262"/>
    <w:rsid w:val="001F6295"/>
    <w:rsid w:val="001F67B0"/>
    <w:rsid w:val="001F7B3D"/>
    <w:rsid w:val="002005CE"/>
    <w:rsid w:val="002014DA"/>
    <w:rsid w:val="00202507"/>
    <w:rsid w:val="00202CA2"/>
    <w:rsid w:val="002035C6"/>
    <w:rsid w:val="00205F9F"/>
    <w:rsid w:val="0020636F"/>
    <w:rsid w:val="00206F50"/>
    <w:rsid w:val="00210338"/>
    <w:rsid w:val="002115FC"/>
    <w:rsid w:val="00212EA2"/>
    <w:rsid w:val="002138F0"/>
    <w:rsid w:val="0021423C"/>
    <w:rsid w:val="00215FAB"/>
    <w:rsid w:val="00226640"/>
    <w:rsid w:val="00230D00"/>
    <w:rsid w:val="00231DF7"/>
    <w:rsid w:val="00231FD1"/>
    <w:rsid w:val="002339E0"/>
    <w:rsid w:val="00233CF8"/>
    <w:rsid w:val="00233EA1"/>
    <w:rsid w:val="00233F29"/>
    <w:rsid w:val="00234006"/>
    <w:rsid w:val="002347A7"/>
    <w:rsid w:val="0023575D"/>
    <w:rsid w:val="00235D81"/>
    <w:rsid w:val="00236119"/>
    <w:rsid w:val="0023660B"/>
    <w:rsid w:val="00237148"/>
    <w:rsid w:val="00237A61"/>
    <w:rsid w:val="0024222D"/>
    <w:rsid w:val="0024265D"/>
    <w:rsid w:val="00242A9B"/>
    <w:rsid w:val="00242B9C"/>
    <w:rsid w:val="00243207"/>
    <w:rsid w:val="00243C3C"/>
    <w:rsid w:val="00244B0E"/>
    <w:rsid w:val="00244F6C"/>
    <w:rsid w:val="00245B44"/>
    <w:rsid w:val="0024689D"/>
    <w:rsid w:val="002532C5"/>
    <w:rsid w:val="00253555"/>
    <w:rsid w:val="00254802"/>
    <w:rsid w:val="00260C03"/>
    <w:rsid w:val="0026229F"/>
    <w:rsid w:val="00262501"/>
    <w:rsid w:val="002637EA"/>
    <w:rsid w:val="0026434D"/>
    <w:rsid w:val="0026540E"/>
    <w:rsid w:val="002670B7"/>
    <w:rsid w:val="00272251"/>
    <w:rsid w:val="00272D25"/>
    <w:rsid w:val="00275123"/>
    <w:rsid w:val="002779C7"/>
    <w:rsid w:val="00281E6F"/>
    <w:rsid w:val="00282240"/>
    <w:rsid w:val="00283650"/>
    <w:rsid w:val="00283A06"/>
    <w:rsid w:val="002850C2"/>
    <w:rsid w:val="002874C7"/>
    <w:rsid w:val="00287CCF"/>
    <w:rsid w:val="0029057E"/>
    <w:rsid w:val="0029069C"/>
    <w:rsid w:val="00294011"/>
    <w:rsid w:val="002948AD"/>
    <w:rsid w:val="00294C92"/>
    <w:rsid w:val="0029590D"/>
    <w:rsid w:val="00296D23"/>
    <w:rsid w:val="0029792E"/>
    <w:rsid w:val="002A01CC"/>
    <w:rsid w:val="002A11E1"/>
    <w:rsid w:val="002A1319"/>
    <w:rsid w:val="002A61B1"/>
    <w:rsid w:val="002A663C"/>
    <w:rsid w:val="002B154C"/>
    <w:rsid w:val="002B17B8"/>
    <w:rsid w:val="002B1DF1"/>
    <w:rsid w:val="002B3E7D"/>
    <w:rsid w:val="002B444B"/>
    <w:rsid w:val="002B5887"/>
    <w:rsid w:val="002B5BC3"/>
    <w:rsid w:val="002B7D68"/>
    <w:rsid w:val="002C00A8"/>
    <w:rsid w:val="002C0692"/>
    <w:rsid w:val="002C085E"/>
    <w:rsid w:val="002C0E27"/>
    <w:rsid w:val="002C1E0F"/>
    <w:rsid w:val="002C3040"/>
    <w:rsid w:val="002C3F8E"/>
    <w:rsid w:val="002C4482"/>
    <w:rsid w:val="002C58DA"/>
    <w:rsid w:val="002C712A"/>
    <w:rsid w:val="002D022D"/>
    <w:rsid w:val="002D24BB"/>
    <w:rsid w:val="002D28F7"/>
    <w:rsid w:val="002D2C3E"/>
    <w:rsid w:val="002D43EA"/>
    <w:rsid w:val="002D4E18"/>
    <w:rsid w:val="002E05C1"/>
    <w:rsid w:val="002E2B36"/>
    <w:rsid w:val="002E454B"/>
    <w:rsid w:val="002E66C1"/>
    <w:rsid w:val="002F2AF7"/>
    <w:rsid w:val="002F7E1C"/>
    <w:rsid w:val="0030160B"/>
    <w:rsid w:val="003019B7"/>
    <w:rsid w:val="00301A75"/>
    <w:rsid w:val="00302C37"/>
    <w:rsid w:val="00302F70"/>
    <w:rsid w:val="0030336F"/>
    <w:rsid w:val="0030375E"/>
    <w:rsid w:val="00304E6F"/>
    <w:rsid w:val="00312A30"/>
    <w:rsid w:val="00312E73"/>
    <w:rsid w:val="0031300B"/>
    <w:rsid w:val="003169E4"/>
    <w:rsid w:val="0031709D"/>
    <w:rsid w:val="00320F72"/>
    <w:rsid w:val="00321CC1"/>
    <w:rsid w:val="00323B89"/>
    <w:rsid w:val="0032463E"/>
    <w:rsid w:val="00324852"/>
    <w:rsid w:val="00325C1D"/>
    <w:rsid w:val="00325EF6"/>
    <w:rsid w:val="00326224"/>
    <w:rsid w:val="0032676B"/>
    <w:rsid w:val="00331E2C"/>
    <w:rsid w:val="00334CD4"/>
    <w:rsid w:val="00335B05"/>
    <w:rsid w:val="00337EE4"/>
    <w:rsid w:val="00340FFD"/>
    <w:rsid w:val="003422A4"/>
    <w:rsid w:val="00344555"/>
    <w:rsid w:val="00344C37"/>
    <w:rsid w:val="00345342"/>
    <w:rsid w:val="003506B1"/>
    <w:rsid w:val="0035124D"/>
    <w:rsid w:val="0035194D"/>
    <w:rsid w:val="00352A17"/>
    <w:rsid w:val="003540EF"/>
    <w:rsid w:val="003542FA"/>
    <w:rsid w:val="00356AC7"/>
    <w:rsid w:val="003573BB"/>
    <w:rsid w:val="00357B73"/>
    <w:rsid w:val="003609FA"/>
    <w:rsid w:val="00360CD9"/>
    <w:rsid w:val="00361A44"/>
    <w:rsid w:val="00362E93"/>
    <w:rsid w:val="00365869"/>
    <w:rsid w:val="00365A04"/>
    <w:rsid w:val="00365F81"/>
    <w:rsid w:val="003702E2"/>
    <w:rsid w:val="003710C8"/>
    <w:rsid w:val="00371296"/>
    <w:rsid w:val="003750BE"/>
    <w:rsid w:val="003751A6"/>
    <w:rsid w:val="00375CA9"/>
    <w:rsid w:val="003767A0"/>
    <w:rsid w:val="0038097B"/>
    <w:rsid w:val="003832FA"/>
    <w:rsid w:val="003840CF"/>
    <w:rsid w:val="00387B9D"/>
    <w:rsid w:val="00390AD0"/>
    <w:rsid w:val="0039364F"/>
    <w:rsid w:val="00396686"/>
    <w:rsid w:val="0039778E"/>
    <w:rsid w:val="003A17F2"/>
    <w:rsid w:val="003A27B5"/>
    <w:rsid w:val="003A4A80"/>
    <w:rsid w:val="003B0C1D"/>
    <w:rsid w:val="003B380D"/>
    <w:rsid w:val="003B3F29"/>
    <w:rsid w:val="003B4347"/>
    <w:rsid w:val="003B45D5"/>
    <w:rsid w:val="003B4941"/>
    <w:rsid w:val="003B6017"/>
    <w:rsid w:val="003C31B1"/>
    <w:rsid w:val="003C426B"/>
    <w:rsid w:val="003C5714"/>
    <w:rsid w:val="003C6B9F"/>
    <w:rsid w:val="003C6E2A"/>
    <w:rsid w:val="003D0089"/>
    <w:rsid w:val="003D0299"/>
    <w:rsid w:val="003D3ABF"/>
    <w:rsid w:val="003D3E9D"/>
    <w:rsid w:val="003D6133"/>
    <w:rsid w:val="003D67E9"/>
    <w:rsid w:val="003E063A"/>
    <w:rsid w:val="003E214C"/>
    <w:rsid w:val="003E3F32"/>
    <w:rsid w:val="003E463C"/>
    <w:rsid w:val="003E6D80"/>
    <w:rsid w:val="003F05FA"/>
    <w:rsid w:val="003F1BFA"/>
    <w:rsid w:val="003F1F19"/>
    <w:rsid w:val="003F244A"/>
    <w:rsid w:val="003F290E"/>
    <w:rsid w:val="003F2B38"/>
    <w:rsid w:val="003F30B8"/>
    <w:rsid w:val="003F3501"/>
    <w:rsid w:val="003F49BD"/>
    <w:rsid w:val="003F4C45"/>
    <w:rsid w:val="003F5F7B"/>
    <w:rsid w:val="003F721C"/>
    <w:rsid w:val="003F7D64"/>
    <w:rsid w:val="00401BA4"/>
    <w:rsid w:val="00402359"/>
    <w:rsid w:val="00402409"/>
    <w:rsid w:val="00405351"/>
    <w:rsid w:val="00405717"/>
    <w:rsid w:val="004113B1"/>
    <w:rsid w:val="004114F6"/>
    <w:rsid w:val="00411FEF"/>
    <w:rsid w:val="00412D11"/>
    <w:rsid w:val="00414300"/>
    <w:rsid w:val="004148D5"/>
    <w:rsid w:val="00416F78"/>
    <w:rsid w:val="004179C2"/>
    <w:rsid w:val="0042362F"/>
    <w:rsid w:val="00423AEA"/>
    <w:rsid w:val="00425C67"/>
    <w:rsid w:val="004268A7"/>
    <w:rsid w:val="00427E7A"/>
    <w:rsid w:val="004321DB"/>
    <w:rsid w:val="00436307"/>
    <w:rsid w:val="00436C49"/>
    <w:rsid w:val="00440BC1"/>
    <w:rsid w:val="00441136"/>
    <w:rsid w:val="004423BF"/>
    <w:rsid w:val="0044302B"/>
    <w:rsid w:val="004446BE"/>
    <w:rsid w:val="00445366"/>
    <w:rsid w:val="004463A3"/>
    <w:rsid w:val="00447B0D"/>
    <w:rsid w:val="00447F5B"/>
    <w:rsid w:val="00452CEA"/>
    <w:rsid w:val="00454330"/>
    <w:rsid w:val="0045651E"/>
    <w:rsid w:val="00457092"/>
    <w:rsid w:val="0046174C"/>
    <w:rsid w:val="00461DB0"/>
    <w:rsid w:val="004630F6"/>
    <w:rsid w:val="00463926"/>
    <w:rsid w:val="004646E0"/>
    <w:rsid w:val="00464C9A"/>
    <w:rsid w:val="00467320"/>
    <w:rsid w:val="004714A6"/>
    <w:rsid w:val="00471AB3"/>
    <w:rsid w:val="00474C4E"/>
    <w:rsid w:val="00474F3D"/>
    <w:rsid w:val="004775EE"/>
    <w:rsid w:val="004778CD"/>
    <w:rsid w:val="00477E3A"/>
    <w:rsid w:val="00477EBC"/>
    <w:rsid w:val="00480E3A"/>
    <w:rsid w:val="00482A7F"/>
    <w:rsid w:val="00483C68"/>
    <w:rsid w:val="00483E5F"/>
    <w:rsid w:val="00485FF9"/>
    <w:rsid w:val="00487540"/>
    <w:rsid w:val="004907F0"/>
    <w:rsid w:val="0049140B"/>
    <w:rsid w:val="004915E8"/>
    <w:rsid w:val="004923A5"/>
    <w:rsid w:val="004924D6"/>
    <w:rsid w:val="00493A15"/>
    <w:rsid w:val="0049407E"/>
    <w:rsid w:val="004945C6"/>
    <w:rsid w:val="004947B6"/>
    <w:rsid w:val="00494C95"/>
    <w:rsid w:val="00496BFB"/>
    <w:rsid w:val="00497D08"/>
    <w:rsid w:val="004A15C7"/>
    <w:rsid w:val="004A1A06"/>
    <w:rsid w:val="004A1CAD"/>
    <w:rsid w:val="004B00A9"/>
    <w:rsid w:val="004B013B"/>
    <w:rsid w:val="004B112B"/>
    <w:rsid w:val="004B3229"/>
    <w:rsid w:val="004B335D"/>
    <w:rsid w:val="004B7BFF"/>
    <w:rsid w:val="004C01E4"/>
    <w:rsid w:val="004C086C"/>
    <w:rsid w:val="004C1784"/>
    <w:rsid w:val="004C1F56"/>
    <w:rsid w:val="004C27BC"/>
    <w:rsid w:val="004C340B"/>
    <w:rsid w:val="004C6C94"/>
    <w:rsid w:val="004D0213"/>
    <w:rsid w:val="004D15F3"/>
    <w:rsid w:val="004D1F85"/>
    <w:rsid w:val="004D5311"/>
    <w:rsid w:val="004D5DCC"/>
    <w:rsid w:val="004E2A11"/>
    <w:rsid w:val="004E2F3F"/>
    <w:rsid w:val="004F10AF"/>
    <w:rsid w:val="004F11A4"/>
    <w:rsid w:val="004F2389"/>
    <w:rsid w:val="004F304D"/>
    <w:rsid w:val="004F5A68"/>
    <w:rsid w:val="004F61BE"/>
    <w:rsid w:val="004F66B1"/>
    <w:rsid w:val="005005FC"/>
    <w:rsid w:val="0050111C"/>
    <w:rsid w:val="0050584A"/>
    <w:rsid w:val="00506E6B"/>
    <w:rsid w:val="00511C07"/>
    <w:rsid w:val="00512E75"/>
    <w:rsid w:val="005141FA"/>
    <w:rsid w:val="005173A6"/>
    <w:rsid w:val="0051786E"/>
    <w:rsid w:val="00520BAA"/>
    <w:rsid w:val="00522747"/>
    <w:rsid w:val="00522C5B"/>
    <w:rsid w:val="005234E7"/>
    <w:rsid w:val="00524B9D"/>
    <w:rsid w:val="00525208"/>
    <w:rsid w:val="005257A5"/>
    <w:rsid w:val="00525A5F"/>
    <w:rsid w:val="005264C0"/>
    <w:rsid w:val="00526A8A"/>
    <w:rsid w:val="00530FC9"/>
    <w:rsid w:val="00531DF2"/>
    <w:rsid w:val="00536C6D"/>
    <w:rsid w:val="00540063"/>
    <w:rsid w:val="005404DB"/>
    <w:rsid w:val="005407D7"/>
    <w:rsid w:val="00540BD9"/>
    <w:rsid w:val="00542861"/>
    <w:rsid w:val="00544231"/>
    <w:rsid w:val="005442EE"/>
    <w:rsid w:val="0054676E"/>
    <w:rsid w:val="0054698A"/>
    <w:rsid w:val="00546A47"/>
    <w:rsid w:val="00547353"/>
    <w:rsid w:val="005474E7"/>
    <w:rsid w:val="00550C13"/>
    <w:rsid w:val="005512A3"/>
    <w:rsid w:val="00551579"/>
    <w:rsid w:val="00553469"/>
    <w:rsid w:val="00553847"/>
    <w:rsid w:val="00557875"/>
    <w:rsid w:val="005578CE"/>
    <w:rsid w:val="005611CC"/>
    <w:rsid w:val="00561A67"/>
    <w:rsid w:val="00562781"/>
    <w:rsid w:val="005706E6"/>
    <w:rsid w:val="00571B77"/>
    <w:rsid w:val="0057271C"/>
    <w:rsid w:val="00572845"/>
    <w:rsid w:val="00575803"/>
    <w:rsid w:val="00577C18"/>
    <w:rsid w:val="00580A0A"/>
    <w:rsid w:val="00580D24"/>
    <w:rsid w:val="00581CBD"/>
    <w:rsid w:val="00581E35"/>
    <w:rsid w:val="00591716"/>
    <w:rsid w:val="00592772"/>
    <w:rsid w:val="00592DF5"/>
    <w:rsid w:val="00592EB5"/>
    <w:rsid w:val="00593461"/>
    <w:rsid w:val="0059574A"/>
    <w:rsid w:val="0059689E"/>
    <w:rsid w:val="0059749C"/>
    <w:rsid w:val="005A1B9B"/>
    <w:rsid w:val="005A2542"/>
    <w:rsid w:val="005A2914"/>
    <w:rsid w:val="005A2CA5"/>
    <w:rsid w:val="005A3429"/>
    <w:rsid w:val="005A4203"/>
    <w:rsid w:val="005A6751"/>
    <w:rsid w:val="005A6D1E"/>
    <w:rsid w:val="005B00E5"/>
    <w:rsid w:val="005B092E"/>
    <w:rsid w:val="005B152C"/>
    <w:rsid w:val="005B1EE0"/>
    <w:rsid w:val="005B2B24"/>
    <w:rsid w:val="005B4425"/>
    <w:rsid w:val="005B48F3"/>
    <w:rsid w:val="005B4B94"/>
    <w:rsid w:val="005C203B"/>
    <w:rsid w:val="005C2D32"/>
    <w:rsid w:val="005C3EE8"/>
    <w:rsid w:val="005D34F9"/>
    <w:rsid w:val="005D4190"/>
    <w:rsid w:val="005D5327"/>
    <w:rsid w:val="005D67A3"/>
    <w:rsid w:val="005D7294"/>
    <w:rsid w:val="005D7E73"/>
    <w:rsid w:val="005E0EE4"/>
    <w:rsid w:val="005E0FF4"/>
    <w:rsid w:val="005E1BB9"/>
    <w:rsid w:val="005E21F2"/>
    <w:rsid w:val="005E2988"/>
    <w:rsid w:val="005E2A43"/>
    <w:rsid w:val="005E3085"/>
    <w:rsid w:val="005E3AE9"/>
    <w:rsid w:val="005E5413"/>
    <w:rsid w:val="005E5DBC"/>
    <w:rsid w:val="005E5E62"/>
    <w:rsid w:val="005E6B89"/>
    <w:rsid w:val="005F1CA0"/>
    <w:rsid w:val="005F496F"/>
    <w:rsid w:val="005F51E1"/>
    <w:rsid w:val="00601720"/>
    <w:rsid w:val="0060265E"/>
    <w:rsid w:val="0060445B"/>
    <w:rsid w:val="0060757E"/>
    <w:rsid w:val="00611C80"/>
    <w:rsid w:val="00613392"/>
    <w:rsid w:val="0061516F"/>
    <w:rsid w:val="00620692"/>
    <w:rsid w:val="00621354"/>
    <w:rsid w:val="0062363B"/>
    <w:rsid w:val="0062403B"/>
    <w:rsid w:val="006242CA"/>
    <w:rsid w:val="00625564"/>
    <w:rsid w:val="00627507"/>
    <w:rsid w:val="00633717"/>
    <w:rsid w:val="006344E1"/>
    <w:rsid w:val="00634632"/>
    <w:rsid w:val="00634C7B"/>
    <w:rsid w:val="00635FBB"/>
    <w:rsid w:val="0063680A"/>
    <w:rsid w:val="006369C5"/>
    <w:rsid w:val="006418FB"/>
    <w:rsid w:val="00643B4B"/>
    <w:rsid w:val="00644BF1"/>
    <w:rsid w:val="00644EF6"/>
    <w:rsid w:val="00647498"/>
    <w:rsid w:val="006545C4"/>
    <w:rsid w:val="00655879"/>
    <w:rsid w:val="006564D0"/>
    <w:rsid w:val="00661971"/>
    <w:rsid w:val="00661CE8"/>
    <w:rsid w:val="00661F7B"/>
    <w:rsid w:val="006623D9"/>
    <w:rsid w:val="00664667"/>
    <w:rsid w:val="0066550C"/>
    <w:rsid w:val="00665A1E"/>
    <w:rsid w:val="006716F2"/>
    <w:rsid w:val="00680461"/>
    <w:rsid w:val="006806BF"/>
    <w:rsid w:val="00680C33"/>
    <w:rsid w:val="00682BF2"/>
    <w:rsid w:val="00683C4C"/>
    <w:rsid w:val="006859CE"/>
    <w:rsid w:val="006876B8"/>
    <w:rsid w:val="00691270"/>
    <w:rsid w:val="00693101"/>
    <w:rsid w:val="00694BA8"/>
    <w:rsid w:val="00695D5A"/>
    <w:rsid w:val="00695EB7"/>
    <w:rsid w:val="00697E4F"/>
    <w:rsid w:val="006A037C"/>
    <w:rsid w:val="006A36F4"/>
    <w:rsid w:val="006A37A8"/>
    <w:rsid w:val="006A406F"/>
    <w:rsid w:val="006A5D3A"/>
    <w:rsid w:val="006B141E"/>
    <w:rsid w:val="006C132F"/>
    <w:rsid w:val="006C23D4"/>
    <w:rsid w:val="006C3831"/>
    <w:rsid w:val="006C61AD"/>
    <w:rsid w:val="006C6CC5"/>
    <w:rsid w:val="006C7BB0"/>
    <w:rsid w:val="006D3156"/>
    <w:rsid w:val="006D3237"/>
    <w:rsid w:val="006D3EA9"/>
    <w:rsid w:val="006D5D98"/>
    <w:rsid w:val="006D7F08"/>
    <w:rsid w:val="006E2562"/>
    <w:rsid w:val="006E2E37"/>
    <w:rsid w:val="006E3CF1"/>
    <w:rsid w:val="006E3F0A"/>
    <w:rsid w:val="006E4165"/>
    <w:rsid w:val="006E7E80"/>
    <w:rsid w:val="006F0A55"/>
    <w:rsid w:val="006F225C"/>
    <w:rsid w:val="006F344E"/>
    <w:rsid w:val="006F48CA"/>
    <w:rsid w:val="006F64DD"/>
    <w:rsid w:val="006F7920"/>
    <w:rsid w:val="00705D04"/>
    <w:rsid w:val="00705E39"/>
    <w:rsid w:val="007070E6"/>
    <w:rsid w:val="0070783D"/>
    <w:rsid w:val="00710579"/>
    <w:rsid w:val="00714622"/>
    <w:rsid w:val="00715127"/>
    <w:rsid w:val="00715B9F"/>
    <w:rsid w:val="00715E8E"/>
    <w:rsid w:val="007164BD"/>
    <w:rsid w:val="0071695F"/>
    <w:rsid w:val="007214D8"/>
    <w:rsid w:val="00721590"/>
    <w:rsid w:val="00723580"/>
    <w:rsid w:val="00723755"/>
    <w:rsid w:val="00724923"/>
    <w:rsid w:val="00726EAC"/>
    <w:rsid w:val="00730199"/>
    <w:rsid w:val="00731041"/>
    <w:rsid w:val="0073136C"/>
    <w:rsid w:val="0073198B"/>
    <w:rsid w:val="00731F0F"/>
    <w:rsid w:val="0073214E"/>
    <w:rsid w:val="00732432"/>
    <w:rsid w:val="00732D40"/>
    <w:rsid w:val="00733250"/>
    <w:rsid w:val="00734EFF"/>
    <w:rsid w:val="00735315"/>
    <w:rsid w:val="00736ABA"/>
    <w:rsid w:val="00741404"/>
    <w:rsid w:val="00742117"/>
    <w:rsid w:val="007426FD"/>
    <w:rsid w:val="00743F7F"/>
    <w:rsid w:val="007449E5"/>
    <w:rsid w:val="00746C5A"/>
    <w:rsid w:val="00747FF0"/>
    <w:rsid w:val="0075183E"/>
    <w:rsid w:val="0075329B"/>
    <w:rsid w:val="0076171A"/>
    <w:rsid w:val="00764D4E"/>
    <w:rsid w:val="00765A1F"/>
    <w:rsid w:val="00765F84"/>
    <w:rsid w:val="00771504"/>
    <w:rsid w:val="0077237D"/>
    <w:rsid w:val="00775B6D"/>
    <w:rsid w:val="00776C2D"/>
    <w:rsid w:val="00776D68"/>
    <w:rsid w:val="00777302"/>
    <w:rsid w:val="00780312"/>
    <w:rsid w:val="00781C63"/>
    <w:rsid w:val="007850EE"/>
    <w:rsid w:val="00785B95"/>
    <w:rsid w:val="00785EF6"/>
    <w:rsid w:val="0079005D"/>
    <w:rsid w:val="0079066A"/>
    <w:rsid w:val="00790726"/>
    <w:rsid w:val="00790BC6"/>
    <w:rsid w:val="00790E96"/>
    <w:rsid w:val="00793366"/>
    <w:rsid w:val="00793B16"/>
    <w:rsid w:val="007963D0"/>
    <w:rsid w:val="00796995"/>
    <w:rsid w:val="00796CA9"/>
    <w:rsid w:val="007978E7"/>
    <w:rsid w:val="007A010C"/>
    <w:rsid w:val="007A1579"/>
    <w:rsid w:val="007A716F"/>
    <w:rsid w:val="007B270A"/>
    <w:rsid w:val="007B29C7"/>
    <w:rsid w:val="007B3E79"/>
    <w:rsid w:val="007B5FE4"/>
    <w:rsid w:val="007B6169"/>
    <w:rsid w:val="007B7119"/>
    <w:rsid w:val="007C023D"/>
    <w:rsid w:val="007C0695"/>
    <w:rsid w:val="007C088A"/>
    <w:rsid w:val="007C145F"/>
    <w:rsid w:val="007C3EA8"/>
    <w:rsid w:val="007C419A"/>
    <w:rsid w:val="007C4CC8"/>
    <w:rsid w:val="007C5426"/>
    <w:rsid w:val="007C5798"/>
    <w:rsid w:val="007D11B9"/>
    <w:rsid w:val="007D4832"/>
    <w:rsid w:val="007D5E37"/>
    <w:rsid w:val="007E21B2"/>
    <w:rsid w:val="007E2C4E"/>
    <w:rsid w:val="007F0E45"/>
    <w:rsid w:val="007F1905"/>
    <w:rsid w:val="007F49CD"/>
    <w:rsid w:val="007F5A59"/>
    <w:rsid w:val="007F6805"/>
    <w:rsid w:val="007F6CCD"/>
    <w:rsid w:val="007F7513"/>
    <w:rsid w:val="007F760A"/>
    <w:rsid w:val="00801300"/>
    <w:rsid w:val="00802C64"/>
    <w:rsid w:val="00805E52"/>
    <w:rsid w:val="00805EA7"/>
    <w:rsid w:val="008061D0"/>
    <w:rsid w:val="00806419"/>
    <w:rsid w:val="00806F77"/>
    <w:rsid w:val="00810B38"/>
    <w:rsid w:val="00813AD6"/>
    <w:rsid w:val="008140E5"/>
    <w:rsid w:val="0081528F"/>
    <w:rsid w:val="008174E8"/>
    <w:rsid w:val="008204C7"/>
    <w:rsid w:val="00820645"/>
    <w:rsid w:val="00820992"/>
    <w:rsid w:val="00822A07"/>
    <w:rsid w:val="00823602"/>
    <w:rsid w:val="00824BFD"/>
    <w:rsid w:val="008255B4"/>
    <w:rsid w:val="008255F5"/>
    <w:rsid w:val="0083014E"/>
    <w:rsid w:val="0083214A"/>
    <w:rsid w:val="00832896"/>
    <w:rsid w:val="008334D5"/>
    <w:rsid w:val="00834220"/>
    <w:rsid w:val="008359FC"/>
    <w:rsid w:val="0083715E"/>
    <w:rsid w:val="008407E4"/>
    <w:rsid w:val="008437A3"/>
    <w:rsid w:val="00845723"/>
    <w:rsid w:val="00845A15"/>
    <w:rsid w:val="00851EF9"/>
    <w:rsid w:val="008577FD"/>
    <w:rsid w:val="00860B03"/>
    <w:rsid w:val="00863EB8"/>
    <w:rsid w:val="0086497A"/>
    <w:rsid w:val="0086529F"/>
    <w:rsid w:val="008713A1"/>
    <w:rsid w:val="00872E5D"/>
    <w:rsid w:val="008754AB"/>
    <w:rsid w:val="00875D96"/>
    <w:rsid w:val="008768E5"/>
    <w:rsid w:val="0088060C"/>
    <w:rsid w:val="00884008"/>
    <w:rsid w:val="008847BC"/>
    <w:rsid w:val="0088596C"/>
    <w:rsid w:val="008860FD"/>
    <w:rsid w:val="00892250"/>
    <w:rsid w:val="00892307"/>
    <w:rsid w:val="00893576"/>
    <w:rsid w:val="00893E73"/>
    <w:rsid w:val="00895814"/>
    <w:rsid w:val="00896E77"/>
    <w:rsid w:val="008A1DC3"/>
    <w:rsid w:val="008A37EC"/>
    <w:rsid w:val="008A3A1F"/>
    <w:rsid w:val="008A6E18"/>
    <w:rsid w:val="008B02DC"/>
    <w:rsid w:val="008B164F"/>
    <w:rsid w:val="008B21C4"/>
    <w:rsid w:val="008B290B"/>
    <w:rsid w:val="008B438D"/>
    <w:rsid w:val="008B4C6A"/>
    <w:rsid w:val="008B57CE"/>
    <w:rsid w:val="008B71E4"/>
    <w:rsid w:val="008C0686"/>
    <w:rsid w:val="008C26DE"/>
    <w:rsid w:val="008C3AE9"/>
    <w:rsid w:val="008D2225"/>
    <w:rsid w:val="008D3205"/>
    <w:rsid w:val="008D3844"/>
    <w:rsid w:val="008D38D2"/>
    <w:rsid w:val="008D4752"/>
    <w:rsid w:val="008D4E49"/>
    <w:rsid w:val="008D5D24"/>
    <w:rsid w:val="008D6D5A"/>
    <w:rsid w:val="008D6F2B"/>
    <w:rsid w:val="008D7752"/>
    <w:rsid w:val="008E271C"/>
    <w:rsid w:val="008E418E"/>
    <w:rsid w:val="008E5BC6"/>
    <w:rsid w:val="008E5C05"/>
    <w:rsid w:val="008E6A25"/>
    <w:rsid w:val="008F109B"/>
    <w:rsid w:val="008F166E"/>
    <w:rsid w:val="008F265A"/>
    <w:rsid w:val="008F365E"/>
    <w:rsid w:val="008F5193"/>
    <w:rsid w:val="008F5B16"/>
    <w:rsid w:val="008F5D26"/>
    <w:rsid w:val="00900ABE"/>
    <w:rsid w:val="009013A7"/>
    <w:rsid w:val="009017FB"/>
    <w:rsid w:val="009017FC"/>
    <w:rsid w:val="009031FC"/>
    <w:rsid w:val="00903AB8"/>
    <w:rsid w:val="00904C9F"/>
    <w:rsid w:val="0090506B"/>
    <w:rsid w:val="009050C9"/>
    <w:rsid w:val="0090565E"/>
    <w:rsid w:val="009066FC"/>
    <w:rsid w:val="0091404A"/>
    <w:rsid w:val="009140A3"/>
    <w:rsid w:val="009144A2"/>
    <w:rsid w:val="0091510C"/>
    <w:rsid w:val="00915CA6"/>
    <w:rsid w:val="00916024"/>
    <w:rsid w:val="009215CF"/>
    <w:rsid w:val="0092287D"/>
    <w:rsid w:val="00923A02"/>
    <w:rsid w:val="009259AC"/>
    <w:rsid w:val="00926F38"/>
    <w:rsid w:val="00932028"/>
    <w:rsid w:val="00934301"/>
    <w:rsid w:val="009343E3"/>
    <w:rsid w:val="009349A2"/>
    <w:rsid w:val="009353A5"/>
    <w:rsid w:val="00936CD1"/>
    <w:rsid w:val="009376A1"/>
    <w:rsid w:val="00940F25"/>
    <w:rsid w:val="009412B1"/>
    <w:rsid w:val="00941747"/>
    <w:rsid w:val="00941EFB"/>
    <w:rsid w:val="00944A31"/>
    <w:rsid w:val="00946345"/>
    <w:rsid w:val="00947AFB"/>
    <w:rsid w:val="00950411"/>
    <w:rsid w:val="00950618"/>
    <w:rsid w:val="00950D6A"/>
    <w:rsid w:val="00951D7D"/>
    <w:rsid w:val="0096042D"/>
    <w:rsid w:val="00960BCC"/>
    <w:rsid w:val="009619E4"/>
    <w:rsid w:val="009630C7"/>
    <w:rsid w:val="00963DF4"/>
    <w:rsid w:val="009656A4"/>
    <w:rsid w:val="009660B9"/>
    <w:rsid w:val="00966758"/>
    <w:rsid w:val="0096750F"/>
    <w:rsid w:val="00972B55"/>
    <w:rsid w:val="00973316"/>
    <w:rsid w:val="009743B7"/>
    <w:rsid w:val="00974790"/>
    <w:rsid w:val="009815AA"/>
    <w:rsid w:val="00981724"/>
    <w:rsid w:val="00981A50"/>
    <w:rsid w:val="0098228B"/>
    <w:rsid w:val="009828DA"/>
    <w:rsid w:val="00983DF4"/>
    <w:rsid w:val="00985B2E"/>
    <w:rsid w:val="00985BAB"/>
    <w:rsid w:val="00990137"/>
    <w:rsid w:val="009912A8"/>
    <w:rsid w:val="0099568E"/>
    <w:rsid w:val="00995FD6"/>
    <w:rsid w:val="009A42F0"/>
    <w:rsid w:val="009B04CD"/>
    <w:rsid w:val="009B1B5F"/>
    <w:rsid w:val="009B37A1"/>
    <w:rsid w:val="009B4B04"/>
    <w:rsid w:val="009B5465"/>
    <w:rsid w:val="009B6673"/>
    <w:rsid w:val="009C106E"/>
    <w:rsid w:val="009C191B"/>
    <w:rsid w:val="009C20BC"/>
    <w:rsid w:val="009C2BD6"/>
    <w:rsid w:val="009D09BB"/>
    <w:rsid w:val="009D6ABD"/>
    <w:rsid w:val="009E17C8"/>
    <w:rsid w:val="009E1F32"/>
    <w:rsid w:val="009E28A1"/>
    <w:rsid w:val="009E776C"/>
    <w:rsid w:val="009E7B33"/>
    <w:rsid w:val="009F3DFE"/>
    <w:rsid w:val="009F6EB6"/>
    <w:rsid w:val="009F7640"/>
    <w:rsid w:val="00A002A7"/>
    <w:rsid w:val="00A016C2"/>
    <w:rsid w:val="00A11961"/>
    <w:rsid w:val="00A14938"/>
    <w:rsid w:val="00A14E5D"/>
    <w:rsid w:val="00A153C5"/>
    <w:rsid w:val="00A153E9"/>
    <w:rsid w:val="00A156D1"/>
    <w:rsid w:val="00A1628D"/>
    <w:rsid w:val="00A17248"/>
    <w:rsid w:val="00A1726E"/>
    <w:rsid w:val="00A17BAB"/>
    <w:rsid w:val="00A204CF"/>
    <w:rsid w:val="00A23B0D"/>
    <w:rsid w:val="00A23D49"/>
    <w:rsid w:val="00A27004"/>
    <w:rsid w:val="00A30936"/>
    <w:rsid w:val="00A30C29"/>
    <w:rsid w:val="00A315F6"/>
    <w:rsid w:val="00A319DA"/>
    <w:rsid w:val="00A33D72"/>
    <w:rsid w:val="00A34303"/>
    <w:rsid w:val="00A34DD6"/>
    <w:rsid w:val="00A36819"/>
    <w:rsid w:val="00A36989"/>
    <w:rsid w:val="00A37C27"/>
    <w:rsid w:val="00A408A0"/>
    <w:rsid w:val="00A41C39"/>
    <w:rsid w:val="00A43628"/>
    <w:rsid w:val="00A47831"/>
    <w:rsid w:val="00A51932"/>
    <w:rsid w:val="00A5328B"/>
    <w:rsid w:val="00A53750"/>
    <w:rsid w:val="00A53C0D"/>
    <w:rsid w:val="00A54192"/>
    <w:rsid w:val="00A5451A"/>
    <w:rsid w:val="00A54B10"/>
    <w:rsid w:val="00A568A7"/>
    <w:rsid w:val="00A57C3B"/>
    <w:rsid w:val="00A6035E"/>
    <w:rsid w:val="00A60573"/>
    <w:rsid w:val="00A6144C"/>
    <w:rsid w:val="00A66617"/>
    <w:rsid w:val="00A671F8"/>
    <w:rsid w:val="00A673A4"/>
    <w:rsid w:val="00A7216C"/>
    <w:rsid w:val="00A724AE"/>
    <w:rsid w:val="00A73329"/>
    <w:rsid w:val="00A7380B"/>
    <w:rsid w:val="00A75DAA"/>
    <w:rsid w:val="00A76D77"/>
    <w:rsid w:val="00A774D8"/>
    <w:rsid w:val="00A82359"/>
    <w:rsid w:val="00A83432"/>
    <w:rsid w:val="00A83CC8"/>
    <w:rsid w:val="00A8515B"/>
    <w:rsid w:val="00A86125"/>
    <w:rsid w:val="00A865D2"/>
    <w:rsid w:val="00A86D09"/>
    <w:rsid w:val="00A87D63"/>
    <w:rsid w:val="00A93690"/>
    <w:rsid w:val="00A94C20"/>
    <w:rsid w:val="00A96048"/>
    <w:rsid w:val="00AA21F4"/>
    <w:rsid w:val="00AA227F"/>
    <w:rsid w:val="00AA3BC7"/>
    <w:rsid w:val="00AA41B0"/>
    <w:rsid w:val="00AA49EF"/>
    <w:rsid w:val="00AA4FD4"/>
    <w:rsid w:val="00AA754A"/>
    <w:rsid w:val="00AA7A26"/>
    <w:rsid w:val="00AB0304"/>
    <w:rsid w:val="00AB099E"/>
    <w:rsid w:val="00AB3E3A"/>
    <w:rsid w:val="00AB4328"/>
    <w:rsid w:val="00AB6EBA"/>
    <w:rsid w:val="00AB78CA"/>
    <w:rsid w:val="00AC0EBD"/>
    <w:rsid w:val="00AC137C"/>
    <w:rsid w:val="00AC5309"/>
    <w:rsid w:val="00AD28FC"/>
    <w:rsid w:val="00AE0A2E"/>
    <w:rsid w:val="00AE180A"/>
    <w:rsid w:val="00AE354C"/>
    <w:rsid w:val="00AF1260"/>
    <w:rsid w:val="00AF30D4"/>
    <w:rsid w:val="00AF3EA4"/>
    <w:rsid w:val="00AF4B07"/>
    <w:rsid w:val="00AF6186"/>
    <w:rsid w:val="00AF7A3A"/>
    <w:rsid w:val="00B02403"/>
    <w:rsid w:val="00B06829"/>
    <w:rsid w:val="00B10719"/>
    <w:rsid w:val="00B126D5"/>
    <w:rsid w:val="00B13F30"/>
    <w:rsid w:val="00B160DB"/>
    <w:rsid w:val="00B1617A"/>
    <w:rsid w:val="00B20836"/>
    <w:rsid w:val="00B219A3"/>
    <w:rsid w:val="00B235BB"/>
    <w:rsid w:val="00B244E6"/>
    <w:rsid w:val="00B25C7F"/>
    <w:rsid w:val="00B2772A"/>
    <w:rsid w:val="00B27A44"/>
    <w:rsid w:val="00B27DC8"/>
    <w:rsid w:val="00B30139"/>
    <w:rsid w:val="00B3092D"/>
    <w:rsid w:val="00B30BBF"/>
    <w:rsid w:val="00B33C03"/>
    <w:rsid w:val="00B341FF"/>
    <w:rsid w:val="00B44E56"/>
    <w:rsid w:val="00B46543"/>
    <w:rsid w:val="00B47D33"/>
    <w:rsid w:val="00B509CE"/>
    <w:rsid w:val="00B52BE0"/>
    <w:rsid w:val="00B54133"/>
    <w:rsid w:val="00B54169"/>
    <w:rsid w:val="00B5643C"/>
    <w:rsid w:val="00B64EDE"/>
    <w:rsid w:val="00B65A3E"/>
    <w:rsid w:val="00B66AA0"/>
    <w:rsid w:val="00B67F6E"/>
    <w:rsid w:val="00B701ED"/>
    <w:rsid w:val="00B71FFB"/>
    <w:rsid w:val="00B74DE2"/>
    <w:rsid w:val="00B75683"/>
    <w:rsid w:val="00B75BBD"/>
    <w:rsid w:val="00B7694D"/>
    <w:rsid w:val="00B8086C"/>
    <w:rsid w:val="00B824E1"/>
    <w:rsid w:val="00B82EC6"/>
    <w:rsid w:val="00B830D0"/>
    <w:rsid w:val="00B83FFA"/>
    <w:rsid w:val="00B850AB"/>
    <w:rsid w:val="00B861B4"/>
    <w:rsid w:val="00B86DFE"/>
    <w:rsid w:val="00B90990"/>
    <w:rsid w:val="00B91B15"/>
    <w:rsid w:val="00B922FF"/>
    <w:rsid w:val="00B92307"/>
    <w:rsid w:val="00B92609"/>
    <w:rsid w:val="00B9281E"/>
    <w:rsid w:val="00B93925"/>
    <w:rsid w:val="00B95187"/>
    <w:rsid w:val="00B95C29"/>
    <w:rsid w:val="00B96F32"/>
    <w:rsid w:val="00BA1D38"/>
    <w:rsid w:val="00BA20B1"/>
    <w:rsid w:val="00BA2D55"/>
    <w:rsid w:val="00BA33A7"/>
    <w:rsid w:val="00BA4AA7"/>
    <w:rsid w:val="00BA61EB"/>
    <w:rsid w:val="00BA71B1"/>
    <w:rsid w:val="00BA7CF6"/>
    <w:rsid w:val="00BB0637"/>
    <w:rsid w:val="00BB2632"/>
    <w:rsid w:val="00BB26E0"/>
    <w:rsid w:val="00BB345F"/>
    <w:rsid w:val="00BB42FF"/>
    <w:rsid w:val="00BB68EA"/>
    <w:rsid w:val="00BB7CF5"/>
    <w:rsid w:val="00BC1A90"/>
    <w:rsid w:val="00BC1C27"/>
    <w:rsid w:val="00BC43AC"/>
    <w:rsid w:val="00BC4F91"/>
    <w:rsid w:val="00BC6BBF"/>
    <w:rsid w:val="00BC78CC"/>
    <w:rsid w:val="00BD1572"/>
    <w:rsid w:val="00BD1839"/>
    <w:rsid w:val="00BD32AB"/>
    <w:rsid w:val="00BD5AE9"/>
    <w:rsid w:val="00BD66A4"/>
    <w:rsid w:val="00BE101C"/>
    <w:rsid w:val="00BE14E3"/>
    <w:rsid w:val="00BE1DA7"/>
    <w:rsid w:val="00BE3774"/>
    <w:rsid w:val="00BE41E5"/>
    <w:rsid w:val="00BE4E85"/>
    <w:rsid w:val="00BE6C8A"/>
    <w:rsid w:val="00BF247D"/>
    <w:rsid w:val="00BF31E2"/>
    <w:rsid w:val="00BF37BA"/>
    <w:rsid w:val="00BF4109"/>
    <w:rsid w:val="00BF4812"/>
    <w:rsid w:val="00BF4CC3"/>
    <w:rsid w:val="00C014AB"/>
    <w:rsid w:val="00C01A67"/>
    <w:rsid w:val="00C054C7"/>
    <w:rsid w:val="00C057B5"/>
    <w:rsid w:val="00C06D12"/>
    <w:rsid w:val="00C07AB9"/>
    <w:rsid w:val="00C12A62"/>
    <w:rsid w:val="00C144B8"/>
    <w:rsid w:val="00C16482"/>
    <w:rsid w:val="00C225BE"/>
    <w:rsid w:val="00C22687"/>
    <w:rsid w:val="00C24299"/>
    <w:rsid w:val="00C25F96"/>
    <w:rsid w:val="00C264B2"/>
    <w:rsid w:val="00C264C5"/>
    <w:rsid w:val="00C302FE"/>
    <w:rsid w:val="00C315B9"/>
    <w:rsid w:val="00C32160"/>
    <w:rsid w:val="00C32E4D"/>
    <w:rsid w:val="00C333A0"/>
    <w:rsid w:val="00C358F9"/>
    <w:rsid w:val="00C36A81"/>
    <w:rsid w:val="00C379BC"/>
    <w:rsid w:val="00C41974"/>
    <w:rsid w:val="00C41D7B"/>
    <w:rsid w:val="00C426B6"/>
    <w:rsid w:val="00C520AB"/>
    <w:rsid w:val="00C52643"/>
    <w:rsid w:val="00C536A6"/>
    <w:rsid w:val="00C53F4A"/>
    <w:rsid w:val="00C54125"/>
    <w:rsid w:val="00C55B54"/>
    <w:rsid w:val="00C57073"/>
    <w:rsid w:val="00C6098E"/>
    <w:rsid w:val="00C6152C"/>
    <w:rsid w:val="00C621C0"/>
    <w:rsid w:val="00C621C2"/>
    <w:rsid w:val="00C675AE"/>
    <w:rsid w:val="00C70E74"/>
    <w:rsid w:val="00C720DD"/>
    <w:rsid w:val="00C74810"/>
    <w:rsid w:val="00C802DB"/>
    <w:rsid w:val="00C8179A"/>
    <w:rsid w:val="00C834DA"/>
    <w:rsid w:val="00C8795F"/>
    <w:rsid w:val="00C90D68"/>
    <w:rsid w:val="00C923FE"/>
    <w:rsid w:val="00C939FE"/>
    <w:rsid w:val="00C94EDB"/>
    <w:rsid w:val="00CA0771"/>
    <w:rsid w:val="00CA2A9F"/>
    <w:rsid w:val="00CA483B"/>
    <w:rsid w:val="00CA4BDA"/>
    <w:rsid w:val="00CA6AC6"/>
    <w:rsid w:val="00CA78C3"/>
    <w:rsid w:val="00CB1F66"/>
    <w:rsid w:val="00CB21EA"/>
    <w:rsid w:val="00CB2951"/>
    <w:rsid w:val="00CB45EE"/>
    <w:rsid w:val="00CB7DCA"/>
    <w:rsid w:val="00CC0EE0"/>
    <w:rsid w:val="00CC49B2"/>
    <w:rsid w:val="00CC6809"/>
    <w:rsid w:val="00CC7A52"/>
    <w:rsid w:val="00CD1AFB"/>
    <w:rsid w:val="00CD1BC6"/>
    <w:rsid w:val="00CD282B"/>
    <w:rsid w:val="00CD4C35"/>
    <w:rsid w:val="00CD72C7"/>
    <w:rsid w:val="00CD7369"/>
    <w:rsid w:val="00CD78E4"/>
    <w:rsid w:val="00CE0B0E"/>
    <w:rsid w:val="00CE2B0D"/>
    <w:rsid w:val="00CE3831"/>
    <w:rsid w:val="00CE385B"/>
    <w:rsid w:val="00CE42F4"/>
    <w:rsid w:val="00CE5237"/>
    <w:rsid w:val="00CE5DFF"/>
    <w:rsid w:val="00CE738A"/>
    <w:rsid w:val="00CF0E25"/>
    <w:rsid w:val="00CF4C06"/>
    <w:rsid w:val="00CF7705"/>
    <w:rsid w:val="00CF7EB3"/>
    <w:rsid w:val="00D00ABB"/>
    <w:rsid w:val="00D01166"/>
    <w:rsid w:val="00D0127D"/>
    <w:rsid w:val="00D023D0"/>
    <w:rsid w:val="00D02EEC"/>
    <w:rsid w:val="00D03551"/>
    <w:rsid w:val="00D04291"/>
    <w:rsid w:val="00D0636F"/>
    <w:rsid w:val="00D06A63"/>
    <w:rsid w:val="00D070B7"/>
    <w:rsid w:val="00D07E0E"/>
    <w:rsid w:val="00D11478"/>
    <w:rsid w:val="00D15ED0"/>
    <w:rsid w:val="00D20450"/>
    <w:rsid w:val="00D21B3E"/>
    <w:rsid w:val="00D21FED"/>
    <w:rsid w:val="00D23BCA"/>
    <w:rsid w:val="00D23EA1"/>
    <w:rsid w:val="00D24251"/>
    <w:rsid w:val="00D257F9"/>
    <w:rsid w:val="00D26141"/>
    <w:rsid w:val="00D27416"/>
    <w:rsid w:val="00D320F2"/>
    <w:rsid w:val="00D32B3D"/>
    <w:rsid w:val="00D343E2"/>
    <w:rsid w:val="00D357DA"/>
    <w:rsid w:val="00D361A2"/>
    <w:rsid w:val="00D366E8"/>
    <w:rsid w:val="00D406D0"/>
    <w:rsid w:val="00D43CAA"/>
    <w:rsid w:val="00D44188"/>
    <w:rsid w:val="00D44C2E"/>
    <w:rsid w:val="00D45414"/>
    <w:rsid w:val="00D45454"/>
    <w:rsid w:val="00D45E27"/>
    <w:rsid w:val="00D501E3"/>
    <w:rsid w:val="00D5123F"/>
    <w:rsid w:val="00D51DD1"/>
    <w:rsid w:val="00D52507"/>
    <w:rsid w:val="00D53B44"/>
    <w:rsid w:val="00D53DBD"/>
    <w:rsid w:val="00D54204"/>
    <w:rsid w:val="00D5454C"/>
    <w:rsid w:val="00D566BD"/>
    <w:rsid w:val="00D57A4D"/>
    <w:rsid w:val="00D60AA7"/>
    <w:rsid w:val="00D60D87"/>
    <w:rsid w:val="00D62CE1"/>
    <w:rsid w:val="00D63A43"/>
    <w:rsid w:val="00D6435F"/>
    <w:rsid w:val="00D67A9B"/>
    <w:rsid w:val="00D67F37"/>
    <w:rsid w:val="00D71D8B"/>
    <w:rsid w:val="00D72206"/>
    <w:rsid w:val="00D73AE5"/>
    <w:rsid w:val="00D74B34"/>
    <w:rsid w:val="00D75E28"/>
    <w:rsid w:val="00D772C2"/>
    <w:rsid w:val="00D8008E"/>
    <w:rsid w:val="00D800C7"/>
    <w:rsid w:val="00D820D6"/>
    <w:rsid w:val="00D82C45"/>
    <w:rsid w:val="00D83FF5"/>
    <w:rsid w:val="00D902FB"/>
    <w:rsid w:val="00D908A8"/>
    <w:rsid w:val="00D913BF"/>
    <w:rsid w:val="00D915A5"/>
    <w:rsid w:val="00D939A1"/>
    <w:rsid w:val="00D96895"/>
    <w:rsid w:val="00D97419"/>
    <w:rsid w:val="00D977B6"/>
    <w:rsid w:val="00DA1E59"/>
    <w:rsid w:val="00DA2E6B"/>
    <w:rsid w:val="00DA4A31"/>
    <w:rsid w:val="00DA585F"/>
    <w:rsid w:val="00DA6BC0"/>
    <w:rsid w:val="00DA7613"/>
    <w:rsid w:val="00DA7B04"/>
    <w:rsid w:val="00DB1A83"/>
    <w:rsid w:val="00DB1D2C"/>
    <w:rsid w:val="00DB23C4"/>
    <w:rsid w:val="00DB3363"/>
    <w:rsid w:val="00DB367D"/>
    <w:rsid w:val="00DB36C2"/>
    <w:rsid w:val="00DB6E30"/>
    <w:rsid w:val="00DC169B"/>
    <w:rsid w:val="00DC2AB9"/>
    <w:rsid w:val="00DC35F9"/>
    <w:rsid w:val="00DC561C"/>
    <w:rsid w:val="00DC63F0"/>
    <w:rsid w:val="00DD0390"/>
    <w:rsid w:val="00DD66BE"/>
    <w:rsid w:val="00DD6EE5"/>
    <w:rsid w:val="00DD7A5E"/>
    <w:rsid w:val="00DE3700"/>
    <w:rsid w:val="00DE386C"/>
    <w:rsid w:val="00DE3CC4"/>
    <w:rsid w:val="00DE492C"/>
    <w:rsid w:val="00DE4D35"/>
    <w:rsid w:val="00DE5572"/>
    <w:rsid w:val="00DE6C5A"/>
    <w:rsid w:val="00DF0549"/>
    <w:rsid w:val="00DF098B"/>
    <w:rsid w:val="00DF11C4"/>
    <w:rsid w:val="00DF210C"/>
    <w:rsid w:val="00DF4050"/>
    <w:rsid w:val="00DF4B6A"/>
    <w:rsid w:val="00E02C09"/>
    <w:rsid w:val="00E04167"/>
    <w:rsid w:val="00E04D59"/>
    <w:rsid w:val="00E06A20"/>
    <w:rsid w:val="00E07224"/>
    <w:rsid w:val="00E07DA1"/>
    <w:rsid w:val="00E123CB"/>
    <w:rsid w:val="00E12CDC"/>
    <w:rsid w:val="00E13151"/>
    <w:rsid w:val="00E13D8D"/>
    <w:rsid w:val="00E15C77"/>
    <w:rsid w:val="00E20E13"/>
    <w:rsid w:val="00E2102F"/>
    <w:rsid w:val="00E21DBC"/>
    <w:rsid w:val="00E22525"/>
    <w:rsid w:val="00E24964"/>
    <w:rsid w:val="00E26DA2"/>
    <w:rsid w:val="00E275D7"/>
    <w:rsid w:val="00E27DBE"/>
    <w:rsid w:val="00E323AB"/>
    <w:rsid w:val="00E32581"/>
    <w:rsid w:val="00E32AB1"/>
    <w:rsid w:val="00E3356A"/>
    <w:rsid w:val="00E354A7"/>
    <w:rsid w:val="00E36C71"/>
    <w:rsid w:val="00E37577"/>
    <w:rsid w:val="00E40404"/>
    <w:rsid w:val="00E41DA1"/>
    <w:rsid w:val="00E4399D"/>
    <w:rsid w:val="00E43DD6"/>
    <w:rsid w:val="00E459C6"/>
    <w:rsid w:val="00E464C3"/>
    <w:rsid w:val="00E47589"/>
    <w:rsid w:val="00E50E44"/>
    <w:rsid w:val="00E515A1"/>
    <w:rsid w:val="00E5165F"/>
    <w:rsid w:val="00E52210"/>
    <w:rsid w:val="00E52218"/>
    <w:rsid w:val="00E538E8"/>
    <w:rsid w:val="00E54197"/>
    <w:rsid w:val="00E62CDA"/>
    <w:rsid w:val="00E63D77"/>
    <w:rsid w:val="00E64915"/>
    <w:rsid w:val="00E661D4"/>
    <w:rsid w:val="00E70091"/>
    <w:rsid w:val="00E7067B"/>
    <w:rsid w:val="00E720F5"/>
    <w:rsid w:val="00E7383B"/>
    <w:rsid w:val="00E75C51"/>
    <w:rsid w:val="00E76D47"/>
    <w:rsid w:val="00E849F7"/>
    <w:rsid w:val="00E84E78"/>
    <w:rsid w:val="00E8698D"/>
    <w:rsid w:val="00E87C52"/>
    <w:rsid w:val="00E90302"/>
    <w:rsid w:val="00E933AB"/>
    <w:rsid w:val="00E94868"/>
    <w:rsid w:val="00E957E4"/>
    <w:rsid w:val="00E967B2"/>
    <w:rsid w:val="00E97396"/>
    <w:rsid w:val="00E97B48"/>
    <w:rsid w:val="00EA0C94"/>
    <w:rsid w:val="00EA14F6"/>
    <w:rsid w:val="00EA185E"/>
    <w:rsid w:val="00EA1EA9"/>
    <w:rsid w:val="00EA592A"/>
    <w:rsid w:val="00EA5A65"/>
    <w:rsid w:val="00EA5D5C"/>
    <w:rsid w:val="00EA654E"/>
    <w:rsid w:val="00EA7152"/>
    <w:rsid w:val="00EB119B"/>
    <w:rsid w:val="00EB14E4"/>
    <w:rsid w:val="00EB32A5"/>
    <w:rsid w:val="00EB34ED"/>
    <w:rsid w:val="00EB43AC"/>
    <w:rsid w:val="00EB4AA9"/>
    <w:rsid w:val="00EB4CA6"/>
    <w:rsid w:val="00EB5358"/>
    <w:rsid w:val="00EB67B2"/>
    <w:rsid w:val="00EB6F71"/>
    <w:rsid w:val="00EB7BE0"/>
    <w:rsid w:val="00EC018D"/>
    <w:rsid w:val="00EC03DD"/>
    <w:rsid w:val="00EC0927"/>
    <w:rsid w:val="00EC2807"/>
    <w:rsid w:val="00EC315E"/>
    <w:rsid w:val="00EC43FF"/>
    <w:rsid w:val="00EC448B"/>
    <w:rsid w:val="00EC5146"/>
    <w:rsid w:val="00EC6684"/>
    <w:rsid w:val="00ED0008"/>
    <w:rsid w:val="00ED077C"/>
    <w:rsid w:val="00ED1190"/>
    <w:rsid w:val="00ED33E2"/>
    <w:rsid w:val="00ED5FB9"/>
    <w:rsid w:val="00ED6544"/>
    <w:rsid w:val="00EE0277"/>
    <w:rsid w:val="00EE0AF7"/>
    <w:rsid w:val="00EE1DA9"/>
    <w:rsid w:val="00EE24ED"/>
    <w:rsid w:val="00EE3E00"/>
    <w:rsid w:val="00EE5DD2"/>
    <w:rsid w:val="00EF03A7"/>
    <w:rsid w:val="00EF711C"/>
    <w:rsid w:val="00EF77E3"/>
    <w:rsid w:val="00EF7E12"/>
    <w:rsid w:val="00EF7F28"/>
    <w:rsid w:val="00F00A79"/>
    <w:rsid w:val="00F00E86"/>
    <w:rsid w:val="00F056A0"/>
    <w:rsid w:val="00F07C1E"/>
    <w:rsid w:val="00F105AA"/>
    <w:rsid w:val="00F105DB"/>
    <w:rsid w:val="00F106DA"/>
    <w:rsid w:val="00F132BC"/>
    <w:rsid w:val="00F13D80"/>
    <w:rsid w:val="00F15B44"/>
    <w:rsid w:val="00F16AAA"/>
    <w:rsid w:val="00F17FD6"/>
    <w:rsid w:val="00F203B0"/>
    <w:rsid w:val="00F21161"/>
    <w:rsid w:val="00F218EF"/>
    <w:rsid w:val="00F21BC7"/>
    <w:rsid w:val="00F241A2"/>
    <w:rsid w:val="00F266A2"/>
    <w:rsid w:val="00F30110"/>
    <w:rsid w:val="00F315B1"/>
    <w:rsid w:val="00F32269"/>
    <w:rsid w:val="00F34770"/>
    <w:rsid w:val="00F36354"/>
    <w:rsid w:val="00F37C1E"/>
    <w:rsid w:val="00F40648"/>
    <w:rsid w:val="00F416C9"/>
    <w:rsid w:val="00F42150"/>
    <w:rsid w:val="00F431D2"/>
    <w:rsid w:val="00F4432D"/>
    <w:rsid w:val="00F45D24"/>
    <w:rsid w:val="00F47DF2"/>
    <w:rsid w:val="00F51B99"/>
    <w:rsid w:val="00F531EE"/>
    <w:rsid w:val="00F554EA"/>
    <w:rsid w:val="00F5575F"/>
    <w:rsid w:val="00F56A6F"/>
    <w:rsid w:val="00F5709C"/>
    <w:rsid w:val="00F60409"/>
    <w:rsid w:val="00F60B11"/>
    <w:rsid w:val="00F62DA2"/>
    <w:rsid w:val="00F632A4"/>
    <w:rsid w:val="00F64EF1"/>
    <w:rsid w:val="00F67354"/>
    <w:rsid w:val="00F6783C"/>
    <w:rsid w:val="00F679CB"/>
    <w:rsid w:val="00F71E74"/>
    <w:rsid w:val="00F728E6"/>
    <w:rsid w:val="00F775F6"/>
    <w:rsid w:val="00F847F2"/>
    <w:rsid w:val="00F84F34"/>
    <w:rsid w:val="00F8765F"/>
    <w:rsid w:val="00F90767"/>
    <w:rsid w:val="00F9445B"/>
    <w:rsid w:val="00F96829"/>
    <w:rsid w:val="00F9739A"/>
    <w:rsid w:val="00FA0A50"/>
    <w:rsid w:val="00FA17DA"/>
    <w:rsid w:val="00FA2077"/>
    <w:rsid w:val="00FA5BA9"/>
    <w:rsid w:val="00FA660E"/>
    <w:rsid w:val="00FA685B"/>
    <w:rsid w:val="00FA6864"/>
    <w:rsid w:val="00FA793D"/>
    <w:rsid w:val="00FB0C01"/>
    <w:rsid w:val="00FB26F5"/>
    <w:rsid w:val="00FB6F26"/>
    <w:rsid w:val="00FB7AD6"/>
    <w:rsid w:val="00FC0D8C"/>
    <w:rsid w:val="00FC18F2"/>
    <w:rsid w:val="00FC2BD7"/>
    <w:rsid w:val="00FC39E5"/>
    <w:rsid w:val="00FC3A78"/>
    <w:rsid w:val="00FC4DBF"/>
    <w:rsid w:val="00FC6819"/>
    <w:rsid w:val="00FC6A61"/>
    <w:rsid w:val="00FD0B91"/>
    <w:rsid w:val="00FD1005"/>
    <w:rsid w:val="00FD36B1"/>
    <w:rsid w:val="00FD4929"/>
    <w:rsid w:val="00FD6C75"/>
    <w:rsid w:val="00FE043C"/>
    <w:rsid w:val="00FE0A85"/>
    <w:rsid w:val="00FE1E59"/>
    <w:rsid w:val="00FE2FD2"/>
    <w:rsid w:val="00FE3B42"/>
    <w:rsid w:val="00FE5907"/>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B4C2E"/>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B4C2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B4C2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1B4C2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B4C2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1B4C2E"/>
    <w:rPr>
      <w:i/>
      <w:iCs/>
      <w:smallCaps/>
      <w:spacing w:val="5"/>
    </w:rPr>
  </w:style>
  <w:style w:type="paragraph" w:customStyle="1" w:styleId="ECHRHeader">
    <w:name w:val="ECHR_Header"/>
    <w:aliases w:val="Ju_Header"/>
    <w:basedOn w:val="Nagwek"/>
    <w:uiPriority w:val="4"/>
    <w:qFormat/>
    <w:rsid w:val="001B4C2E"/>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1B4C2E"/>
  </w:style>
  <w:style w:type="character" w:styleId="Pogrubienie">
    <w:name w:val="Strong"/>
    <w:uiPriority w:val="99"/>
    <w:semiHidden/>
    <w:qFormat/>
    <w:rsid w:val="001B4C2E"/>
    <w:rPr>
      <w:b/>
      <w:bCs/>
    </w:rPr>
  </w:style>
  <w:style w:type="paragraph" w:styleId="Bezodstpw">
    <w:name w:val="No Spacing"/>
    <w:basedOn w:val="Normalny"/>
    <w:link w:val="BezodstpwZnak"/>
    <w:semiHidden/>
    <w:qFormat/>
    <w:rsid w:val="001B4C2E"/>
    <w:rPr>
      <w:sz w:val="22"/>
    </w:rPr>
  </w:style>
  <w:style w:type="character" w:customStyle="1" w:styleId="BezodstpwZnak">
    <w:name w:val="Bez odstępów Znak"/>
    <w:basedOn w:val="Domylnaczcionkaakapitu"/>
    <w:link w:val="Bezodstpw"/>
    <w:semiHidden/>
    <w:rsid w:val="001B4C2E"/>
    <w:rPr>
      <w:rFonts w:eastAsiaTheme="minorEastAsia"/>
    </w:rPr>
  </w:style>
  <w:style w:type="paragraph" w:customStyle="1" w:styleId="JuParaSub">
    <w:name w:val="Ju_Para_Sub"/>
    <w:basedOn w:val="ECHRPara"/>
    <w:uiPriority w:val="13"/>
    <w:qFormat/>
    <w:rsid w:val="001B4C2E"/>
    <w:pPr>
      <w:ind w:left="284"/>
    </w:pPr>
  </w:style>
  <w:style w:type="paragraph" w:customStyle="1" w:styleId="OpiParaSub">
    <w:name w:val="Opi_Para_Sub"/>
    <w:basedOn w:val="JuParaSub"/>
    <w:uiPriority w:val="47"/>
    <w:qFormat/>
    <w:rsid w:val="001B4C2E"/>
  </w:style>
  <w:style w:type="paragraph" w:customStyle="1" w:styleId="OpiQuot">
    <w:name w:val="Opi_Quot"/>
    <w:basedOn w:val="ECHRParaQuote"/>
    <w:uiPriority w:val="48"/>
    <w:qFormat/>
    <w:rsid w:val="001B4C2E"/>
  </w:style>
  <w:style w:type="paragraph" w:customStyle="1" w:styleId="OpiQuotSub">
    <w:name w:val="Opi_Quot_Sub"/>
    <w:basedOn w:val="JuQuotSub"/>
    <w:uiPriority w:val="49"/>
    <w:qFormat/>
    <w:rsid w:val="001B4C2E"/>
  </w:style>
  <w:style w:type="paragraph" w:customStyle="1" w:styleId="ECHRTitleCentre3">
    <w:name w:val="ECHR_Title_Centre_3"/>
    <w:aliases w:val="Ju_H_Article"/>
    <w:basedOn w:val="Normalny"/>
    <w:next w:val="ECHRParaQuote"/>
    <w:uiPriority w:val="27"/>
    <w:qFormat/>
    <w:rsid w:val="001B4C2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B4C2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1B4C2E"/>
    <w:pPr>
      <w:ind w:left="567"/>
    </w:pPr>
  </w:style>
  <w:style w:type="paragraph" w:customStyle="1" w:styleId="JuInitialled">
    <w:name w:val="Ju_Initialled"/>
    <w:basedOn w:val="Normalny"/>
    <w:uiPriority w:val="31"/>
    <w:qFormat/>
    <w:rsid w:val="001B4C2E"/>
    <w:pPr>
      <w:tabs>
        <w:tab w:val="center" w:pos="6407"/>
      </w:tabs>
      <w:spacing w:before="720"/>
      <w:jc w:val="right"/>
    </w:pPr>
  </w:style>
  <w:style w:type="paragraph" w:customStyle="1" w:styleId="OpiHA">
    <w:name w:val="Opi_H_A"/>
    <w:basedOn w:val="ECHRHeading1"/>
    <w:next w:val="OpiPara"/>
    <w:uiPriority w:val="41"/>
    <w:qFormat/>
    <w:rsid w:val="001B4C2E"/>
    <w:pPr>
      <w:tabs>
        <w:tab w:val="clear" w:pos="357"/>
      </w:tabs>
      <w:outlineLvl w:val="1"/>
    </w:pPr>
    <w:rPr>
      <w:b/>
    </w:rPr>
  </w:style>
  <w:style w:type="character" w:customStyle="1" w:styleId="JUNAMES">
    <w:name w:val="JU_NAMES"/>
    <w:uiPriority w:val="17"/>
    <w:qFormat/>
    <w:rsid w:val="001B4C2E"/>
    <w:rPr>
      <w:caps w:val="0"/>
      <w:smallCaps/>
    </w:rPr>
  </w:style>
  <w:style w:type="paragraph" w:customStyle="1" w:styleId="OpiTranslation">
    <w:name w:val="Opi_Translation"/>
    <w:basedOn w:val="Normalny"/>
    <w:next w:val="OpiPara"/>
    <w:uiPriority w:val="40"/>
    <w:qFormat/>
    <w:rsid w:val="001B4C2E"/>
    <w:pPr>
      <w:jc w:val="center"/>
      <w:outlineLvl w:val="0"/>
    </w:pPr>
    <w:rPr>
      <w:i/>
    </w:rPr>
  </w:style>
  <w:style w:type="paragraph" w:styleId="Tytu">
    <w:name w:val="Title"/>
    <w:basedOn w:val="Normalny"/>
    <w:next w:val="Normalny"/>
    <w:link w:val="TytuZnak"/>
    <w:uiPriority w:val="99"/>
    <w:semiHidden/>
    <w:qFormat/>
    <w:rsid w:val="001B4C2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B4C2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B4C2E"/>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ECHRPara"/>
    <w:uiPriority w:val="22"/>
    <w:qFormat/>
    <w:rsid w:val="001B4C2E"/>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ECHRPara"/>
    <w:uiPriority w:val="23"/>
    <w:qFormat/>
    <w:rsid w:val="001B4C2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B4C2E"/>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ECHRPara"/>
    <w:uiPriority w:val="25"/>
    <w:qFormat/>
    <w:rsid w:val="001B4C2E"/>
    <w:pPr>
      <w:keepNext/>
      <w:keepLines/>
      <w:spacing w:before="240" w:after="120"/>
      <w:ind w:left="1236"/>
    </w:pPr>
    <w:rPr>
      <w:sz w:val="20"/>
    </w:rPr>
  </w:style>
  <w:style w:type="paragraph" w:customStyle="1" w:styleId="OpiH1">
    <w:name w:val="Opi_H_1"/>
    <w:basedOn w:val="ECHRHeading2"/>
    <w:uiPriority w:val="42"/>
    <w:qFormat/>
    <w:rsid w:val="001B4C2E"/>
    <w:pPr>
      <w:ind w:left="635" w:hanging="357"/>
      <w:outlineLvl w:val="2"/>
    </w:pPr>
  </w:style>
  <w:style w:type="paragraph" w:customStyle="1" w:styleId="OpiHa0">
    <w:name w:val="Opi_H_a"/>
    <w:basedOn w:val="ECHRHeading3"/>
    <w:uiPriority w:val="43"/>
    <w:qFormat/>
    <w:rsid w:val="001B4C2E"/>
    <w:pPr>
      <w:ind w:left="833" w:hanging="357"/>
      <w:outlineLvl w:val="3"/>
    </w:pPr>
    <w:rPr>
      <w:b/>
      <w:i w:val="0"/>
      <w:sz w:val="20"/>
    </w:rPr>
  </w:style>
  <w:style w:type="paragraph" w:customStyle="1" w:styleId="OpiHi">
    <w:name w:val="Opi_H_i"/>
    <w:basedOn w:val="ECHRHeading4"/>
    <w:uiPriority w:val="44"/>
    <w:qFormat/>
    <w:rsid w:val="001B4C2E"/>
    <w:pPr>
      <w:ind w:left="1037" w:hanging="357"/>
      <w:outlineLvl w:val="4"/>
    </w:pPr>
    <w:rPr>
      <w:b w:val="0"/>
      <w:i/>
    </w:rPr>
  </w:style>
  <w:style w:type="paragraph" w:styleId="Nagwek">
    <w:name w:val="header"/>
    <w:basedOn w:val="Normalny"/>
    <w:link w:val="NagwekZnak"/>
    <w:uiPriority w:val="48"/>
    <w:rsid w:val="00941747"/>
    <w:pPr>
      <w:tabs>
        <w:tab w:val="center" w:pos="4536"/>
        <w:tab w:val="right" w:pos="9696"/>
      </w:tabs>
      <w:ind w:left="-680" w:right="-680"/>
    </w:pPr>
  </w:style>
  <w:style w:type="character" w:customStyle="1" w:styleId="NagwekZnak">
    <w:name w:val="Nagłówek Znak"/>
    <w:basedOn w:val="Domylnaczcionkaakapitu"/>
    <w:link w:val="Nagwek"/>
    <w:uiPriority w:val="48"/>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B4C2E"/>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ECHRPara"/>
    <w:uiPriority w:val="20"/>
    <w:qFormat/>
    <w:rsid w:val="001B4C2E"/>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1B4C2E"/>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1B4C2E"/>
    <w:rPr>
      <w:rFonts w:asciiTheme="majorHAnsi" w:eastAsiaTheme="majorEastAsia" w:hAnsiTheme="majorHAnsi" w:cstheme="majorBidi"/>
      <w:b/>
      <w:bCs/>
      <w:color w:val="808080"/>
    </w:rPr>
  </w:style>
  <w:style w:type="character" w:styleId="Wyrnieniedelikatne">
    <w:name w:val="Subtle Emphasis"/>
    <w:uiPriority w:val="99"/>
    <w:semiHidden/>
    <w:qFormat/>
    <w:rsid w:val="001B4C2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B4C2E"/>
    <w:pPr>
      <w:keepNext/>
      <w:keepLines/>
      <w:spacing w:before="720" w:after="240"/>
      <w:outlineLvl w:val="0"/>
    </w:pPr>
    <w:rPr>
      <w:rFonts w:asciiTheme="majorHAnsi" w:hAnsiTheme="majorHAnsi"/>
      <w:sz w:val="28"/>
    </w:rPr>
  </w:style>
  <w:style w:type="character" w:styleId="Uwydatnienie">
    <w:name w:val="Emphasis"/>
    <w:uiPriority w:val="99"/>
    <w:semiHidden/>
    <w:qFormat/>
    <w:rsid w:val="001B4C2E"/>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1B4C2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B4C2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B4C2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1B4C2E"/>
    <w:rPr>
      <w:b/>
      <w:bCs/>
    </w:rPr>
  </w:style>
  <w:style w:type="paragraph" w:styleId="Cytatintensywny">
    <w:name w:val="Intense Quote"/>
    <w:basedOn w:val="Normalny"/>
    <w:next w:val="Normalny"/>
    <w:link w:val="CytatintensywnyZnak"/>
    <w:uiPriority w:val="99"/>
    <w:semiHidden/>
    <w:qFormat/>
    <w:rsid w:val="001B4C2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1B4C2E"/>
    <w:rPr>
      <w:rFonts w:eastAsiaTheme="minorEastAsia"/>
      <w:b/>
      <w:bCs/>
      <w:i/>
      <w:iCs/>
      <w:lang w:bidi="en-US"/>
    </w:rPr>
  </w:style>
  <w:style w:type="character" w:styleId="Odwoanieintensywne">
    <w:name w:val="Intense Reference"/>
    <w:uiPriority w:val="99"/>
    <w:semiHidden/>
    <w:qFormat/>
    <w:rsid w:val="001B4C2E"/>
    <w:rPr>
      <w:smallCaps/>
      <w:spacing w:val="5"/>
      <w:u w:val="single"/>
    </w:rPr>
  </w:style>
  <w:style w:type="paragraph" w:styleId="Akapitzlist">
    <w:name w:val="List Paragraph"/>
    <w:basedOn w:val="Normalny"/>
    <w:uiPriority w:val="99"/>
    <w:semiHidden/>
    <w:qFormat/>
    <w:rsid w:val="001B4C2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B4C2E"/>
    <w:pPr>
      <w:spacing w:before="200"/>
      <w:ind w:left="360" w:right="360"/>
    </w:pPr>
    <w:rPr>
      <w:i/>
      <w:iCs/>
      <w:sz w:val="22"/>
      <w:lang w:bidi="en-US"/>
    </w:rPr>
  </w:style>
  <w:style w:type="character" w:customStyle="1" w:styleId="CytatZnak">
    <w:name w:val="Cytat Znak"/>
    <w:basedOn w:val="Domylnaczcionkaakapitu"/>
    <w:link w:val="Cytat"/>
    <w:uiPriority w:val="99"/>
    <w:semiHidden/>
    <w:rsid w:val="001B4C2E"/>
    <w:rPr>
      <w:rFonts w:eastAsiaTheme="minorEastAsia"/>
      <w:i/>
      <w:iCs/>
      <w:lang w:bidi="en-US"/>
    </w:rPr>
  </w:style>
  <w:style w:type="character" w:styleId="Odwoaniedelikatne">
    <w:name w:val="Subtle Reference"/>
    <w:uiPriority w:val="99"/>
    <w:semiHidden/>
    <w:qFormat/>
    <w:rsid w:val="001B4C2E"/>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1B4C2E"/>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1B4C2E"/>
    <w:pPr>
      <w:spacing w:before="120" w:after="120"/>
      <w:ind w:left="425" w:firstLine="142"/>
    </w:pPr>
    <w:rPr>
      <w:sz w:val="20"/>
    </w:rPr>
  </w:style>
  <w:style w:type="paragraph" w:customStyle="1" w:styleId="ECHRPara">
    <w:name w:val="ECHR_Para"/>
    <w:aliases w:val="Ju_Para,Left,First line:  0 cm"/>
    <w:basedOn w:val="Normalny"/>
    <w:link w:val="JuParaCar"/>
    <w:uiPriority w:val="12"/>
    <w:qFormat/>
    <w:rsid w:val="001B4C2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1B4C2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1B4C2E"/>
    <w:pPr>
      <w:ind w:left="340" w:hanging="340"/>
    </w:pPr>
  </w:style>
  <w:style w:type="paragraph" w:customStyle="1" w:styleId="JuSigned">
    <w:name w:val="Ju_Signed"/>
    <w:basedOn w:val="Normalny"/>
    <w:next w:val="JuParaLast"/>
    <w:uiPriority w:val="32"/>
    <w:qFormat/>
    <w:rsid w:val="001B4C2E"/>
    <w:pPr>
      <w:tabs>
        <w:tab w:val="center" w:pos="851"/>
        <w:tab w:val="center" w:pos="6407"/>
      </w:tabs>
      <w:spacing w:before="720"/>
      <w:jc w:val="left"/>
    </w:pPr>
  </w:style>
  <w:style w:type="paragraph" w:customStyle="1" w:styleId="JuParaLast">
    <w:name w:val="Ju_Para_Last"/>
    <w:basedOn w:val="Normalny"/>
    <w:next w:val="ECHRPara"/>
    <w:uiPriority w:val="30"/>
    <w:qFormat/>
    <w:rsid w:val="001B4C2E"/>
    <w:pPr>
      <w:keepNext/>
      <w:keepLines/>
      <w:spacing w:before="240"/>
      <w:ind w:firstLine="284"/>
    </w:pPr>
  </w:style>
  <w:style w:type="paragraph" w:customStyle="1" w:styleId="JuCourt">
    <w:name w:val="Ju_Court"/>
    <w:basedOn w:val="Normalny"/>
    <w:next w:val="Normalny"/>
    <w:uiPriority w:val="16"/>
    <w:qFormat/>
    <w:rsid w:val="001B4C2E"/>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1B4C2E"/>
    <w:pPr>
      <w:ind w:left="346" w:firstLine="0"/>
    </w:pPr>
  </w:style>
  <w:style w:type="paragraph" w:customStyle="1" w:styleId="JuListi">
    <w:name w:val="Ju_List_i"/>
    <w:basedOn w:val="Normalny"/>
    <w:next w:val="JuLista"/>
    <w:uiPriority w:val="28"/>
    <w:qFormat/>
    <w:rsid w:val="001B4C2E"/>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1B4C2E"/>
    <w:rPr>
      <w:vanish w:val="0"/>
      <w:color w:val="auto"/>
      <w:sz w:val="14"/>
    </w:rPr>
  </w:style>
  <w:style w:type="paragraph" w:styleId="Podtytu">
    <w:name w:val="Subtitle"/>
    <w:basedOn w:val="Normalny"/>
    <w:next w:val="Normalny"/>
    <w:link w:val="PodtytuZnak"/>
    <w:uiPriority w:val="99"/>
    <w:semiHidden/>
    <w:qFormat/>
    <w:rsid w:val="001B4C2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B4C2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ar">
    <w:name w:val="Ju_Para Car"/>
    <w:link w:val="ECHRPara"/>
    <w:uiPriority w:val="12"/>
    <w:rsid w:val="00946345"/>
    <w:rPr>
      <w:rFonts w:eastAsiaTheme="minorEastAsia"/>
      <w:sz w:val="24"/>
    </w:rPr>
  </w:style>
  <w:style w:type="character" w:customStyle="1" w:styleId="JuParaChar">
    <w:name w:val="Ju_Para Char"/>
    <w:aliases w:val="ECHR_Para Char"/>
    <w:uiPriority w:val="12"/>
    <w:rsid w:val="008F109B"/>
    <w:rPr>
      <w:rFonts w:eastAsiaTheme="minorEastAsia"/>
      <w:sz w:val="24"/>
      <w:lang w:val="en-US" w:eastAsia="en-US"/>
    </w:rPr>
  </w:style>
  <w:style w:type="paragraph" w:styleId="Poprawka">
    <w:name w:val="Revision"/>
    <w:hidden/>
    <w:uiPriority w:val="99"/>
    <w:semiHidden/>
    <w:rsid w:val="002C00A8"/>
    <w:rPr>
      <w:rFonts w:eastAsiaTheme="minorEastAsia"/>
      <w:sz w:val="24"/>
    </w:rPr>
  </w:style>
  <w:style w:type="paragraph" w:customStyle="1" w:styleId="Kopflinks">
    <w:name w:val="Kopf_links"/>
    <w:basedOn w:val="Normalny"/>
    <w:rsid w:val="00A8515B"/>
    <w:pPr>
      <w:tabs>
        <w:tab w:val="center" w:pos="3686"/>
        <w:tab w:val="right" w:pos="7371"/>
      </w:tabs>
      <w:suppressAutoHyphens/>
      <w:jc w:val="left"/>
    </w:pPr>
    <w:rPr>
      <w:rFonts w:ascii="Times New Roman" w:eastAsia="Times New Roman" w:hAnsi="Times New Roman" w:cs="Times New Roman"/>
      <w:caps/>
      <w:sz w:val="18"/>
      <w:szCs w:val="20"/>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B4C2E"/>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B4C2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B4C2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1B4C2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B4C2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1B4C2E"/>
    <w:rPr>
      <w:i/>
      <w:iCs/>
      <w:smallCaps/>
      <w:spacing w:val="5"/>
    </w:rPr>
  </w:style>
  <w:style w:type="paragraph" w:customStyle="1" w:styleId="ECHRHeader">
    <w:name w:val="ECHR_Header"/>
    <w:aliases w:val="Ju_Header"/>
    <w:basedOn w:val="Nagwek"/>
    <w:uiPriority w:val="4"/>
    <w:qFormat/>
    <w:rsid w:val="001B4C2E"/>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1B4C2E"/>
  </w:style>
  <w:style w:type="character" w:styleId="Pogrubienie">
    <w:name w:val="Strong"/>
    <w:uiPriority w:val="99"/>
    <w:semiHidden/>
    <w:qFormat/>
    <w:rsid w:val="001B4C2E"/>
    <w:rPr>
      <w:b/>
      <w:bCs/>
    </w:rPr>
  </w:style>
  <w:style w:type="paragraph" w:styleId="Bezodstpw">
    <w:name w:val="No Spacing"/>
    <w:basedOn w:val="Normalny"/>
    <w:link w:val="BezodstpwZnak"/>
    <w:semiHidden/>
    <w:qFormat/>
    <w:rsid w:val="001B4C2E"/>
    <w:rPr>
      <w:sz w:val="22"/>
    </w:rPr>
  </w:style>
  <w:style w:type="character" w:customStyle="1" w:styleId="BezodstpwZnak">
    <w:name w:val="Bez odstępów Znak"/>
    <w:basedOn w:val="Domylnaczcionkaakapitu"/>
    <w:link w:val="Bezodstpw"/>
    <w:semiHidden/>
    <w:rsid w:val="001B4C2E"/>
    <w:rPr>
      <w:rFonts w:eastAsiaTheme="minorEastAsia"/>
    </w:rPr>
  </w:style>
  <w:style w:type="paragraph" w:customStyle="1" w:styleId="JuParaSub">
    <w:name w:val="Ju_Para_Sub"/>
    <w:basedOn w:val="ECHRPara"/>
    <w:uiPriority w:val="13"/>
    <w:qFormat/>
    <w:rsid w:val="001B4C2E"/>
    <w:pPr>
      <w:ind w:left="284"/>
    </w:pPr>
  </w:style>
  <w:style w:type="paragraph" w:customStyle="1" w:styleId="OpiParaSub">
    <w:name w:val="Opi_Para_Sub"/>
    <w:basedOn w:val="JuParaSub"/>
    <w:uiPriority w:val="47"/>
    <w:qFormat/>
    <w:rsid w:val="001B4C2E"/>
  </w:style>
  <w:style w:type="paragraph" w:customStyle="1" w:styleId="OpiQuot">
    <w:name w:val="Opi_Quot"/>
    <w:basedOn w:val="ECHRParaQuote"/>
    <w:uiPriority w:val="48"/>
    <w:qFormat/>
    <w:rsid w:val="001B4C2E"/>
  </w:style>
  <w:style w:type="paragraph" w:customStyle="1" w:styleId="OpiQuotSub">
    <w:name w:val="Opi_Quot_Sub"/>
    <w:basedOn w:val="JuQuotSub"/>
    <w:uiPriority w:val="49"/>
    <w:qFormat/>
    <w:rsid w:val="001B4C2E"/>
  </w:style>
  <w:style w:type="paragraph" w:customStyle="1" w:styleId="ECHRTitleCentre3">
    <w:name w:val="ECHR_Title_Centre_3"/>
    <w:aliases w:val="Ju_H_Article"/>
    <w:basedOn w:val="Normalny"/>
    <w:next w:val="ECHRParaQuote"/>
    <w:uiPriority w:val="27"/>
    <w:qFormat/>
    <w:rsid w:val="001B4C2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B4C2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1B4C2E"/>
    <w:pPr>
      <w:ind w:left="567"/>
    </w:pPr>
  </w:style>
  <w:style w:type="paragraph" w:customStyle="1" w:styleId="JuInitialled">
    <w:name w:val="Ju_Initialled"/>
    <w:basedOn w:val="Normalny"/>
    <w:uiPriority w:val="31"/>
    <w:qFormat/>
    <w:rsid w:val="001B4C2E"/>
    <w:pPr>
      <w:tabs>
        <w:tab w:val="center" w:pos="6407"/>
      </w:tabs>
      <w:spacing w:before="720"/>
      <w:jc w:val="right"/>
    </w:pPr>
  </w:style>
  <w:style w:type="paragraph" w:customStyle="1" w:styleId="OpiHA">
    <w:name w:val="Opi_H_A"/>
    <w:basedOn w:val="ECHRHeading1"/>
    <w:next w:val="OpiPara"/>
    <w:uiPriority w:val="41"/>
    <w:qFormat/>
    <w:rsid w:val="001B4C2E"/>
    <w:pPr>
      <w:tabs>
        <w:tab w:val="clear" w:pos="357"/>
      </w:tabs>
      <w:outlineLvl w:val="1"/>
    </w:pPr>
    <w:rPr>
      <w:b/>
    </w:rPr>
  </w:style>
  <w:style w:type="character" w:customStyle="1" w:styleId="JUNAMES">
    <w:name w:val="JU_NAMES"/>
    <w:uiPriority w:val="17"/>
    <w:qFormat/>
    <w:rsid w:val="001B4C2E"/>
    <w:rPr>
      <w:caps w:val="0"/>
      <w:smallCaps/>
    </w:rPr>
  </w:style>
  <w:style w:type="paragraph" w:customStyle="1" w:styleId="OpiTranslation">
    <w:name w:val="Opi_Translation"/>
    <w:basedOn w:val="Normalny"/>
    <w:next w:val="OpiPara"/>
    <w:uiPriority w:val="40"/>
    <w:qFormat/>
    <w:rsid w:val="001B4C2E"/>
    <w:pPr>
      <w:jc w:val="center"/>
      <w:outlineLvl w:val="0"/>
    </w:pPr>
    <w:rPr>
      <w:i/>
    </w:rPr>
  </w:style>
  <w:style w:type="paragraph" w:styleId="Tytu">
    <w:name w:val="Title"/>
    <w:basedOn w:val="Normalny"/>
    <w:next w:val="Normalny"/>
    <w:link w:val="TytuZnak"/>
    <w:uiPriority w:val="99"/>
    <w:semiHidden/>
    <w:qFormat/>
    <w:rsid w:val="001B4C2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B4C2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B4C2E"/>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ECHRPara"/>
    <w:uiPriority w:val="22"/>
    <w:qFormat/>
    <w:rsid w:val="001B4C2E"/>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ECHRPara"/>
    <w:uiPriority w:val="23"/>
    <w:qFormat/>
    <w:rsid w:val="001B4C2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B4C2E"/>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ECHRPara"/>
    <w:uiPriority w:val="25"/>
    <w:qFormat/>
    <w:rsid w:val="001B4C2E"/>
    <w:pPr>
      <w:keepNext/>
      <w:keepLines/>
      <w:spacing w:before="240" w:after="120"/>
      <w:ind w:left="1236"/>
    </w:pPr>
    <w:rPr>
      <w:sz w:val="20"/>
    </w:rPr>
  </w:style>
  <w:style w:type="paragraph" w:customStyle="1" w:styleId="OpiH1">
    <w:name w:val="Opi_H_1"/>
    <w:basedOn w:val="ECHRHeading2"/>
    <w:uiPriority w:val="42"/>
    <w:qFormat/>
    <w:rsid w:val="001B4C2E"/>
    <w:pPr>
      <w:ind w:left="635" w:hanging="357"/>
      <w:outlineLvl w:val="2"/>
    </w:pPr>
  </w:style>
  <w:style w:type="paragraph" w:customStyle="1" w:styleId="OpiHa0">
    <w:name w:val="Opi_H_a"/>
    <w:basedOn w:val="ECHRHeading3"/>
    <w:uiPriority w:val="43"/>
    <w:qFormat/>
    <w:rsid w:val="001B4C2E"/>
    <w:pPr>
      <w:ind w:left="833" w:hanging="357"/>
      <w:outlineLvl w:val="3"/>
    </w:pPr>
    <w:rPr>
      <w:b/>
      <w:i w:val="0"/>
      <w:sz w:val="20"/>
    </w:rPr>
  </w:style>
  <w:style w:type="paragraph" w:customStyle="1" w:styleId="OpiHi">
    <w:name w:val="Opi_H_i"/>
    <w:basedOn w:val="ECHRHeading4"/>
    <w:uiPriority w:val="44"/>
    <w:qFormat/>
    <w:rsid w:val="001B4C2E"/>
    <w:pPr>
      <w:ind w:left="1037" w:hanging="357"/>
      <w:outlineLvl w:val="4"/>
    </w:pPr>
    <w:rPr>
      <w:b w:val="0"/>
      <w:i/>
    </w:rPr>
  </w:style>
  <w:style w:type="paragraph" w:styleId="Nagwek">
    <w:name w:val="header"/>
    <w:basedOn w:val="Normalny"/>
    <w:link w:val="NagwekZnak"/>
    <w:uiPriority w:val="48"/>
    <w:rsid w:val="00941747"/>
    <w:pPr>
      <w:tabs>
        <w:tab w:val="center" w:pos="4536"/>
        <w:tab w:val="right" w:pos="9696"/>
      </w:tabs>
      <w:ind w:left="-680" w:right="-680"/>
    </w:pPr>
  </w:style>
  <w:style w:type="character" w:customStyle="1" w:styleId="NagwekZnak">
    <w:name w:val="Nagłówek Znak"/>
    <w:basedOn w:val="Domylnaczcionkaakapitu"/>
    <w:link w:val="Nagwek"/>
    <w:uiPriority w:val="48"/>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B4C2E"/>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ECHRPara"/>
    <w:uiPriority w:val="20"/>
    <w:qFormat/>
    <w:rsid w:val="001B4C2E"/>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1B4C2E"/>
    <w:rPr>
      <w:color w:val="00B050"/>
    </w:rPr>
  </w:style>
  <w:style w:type="paragraph" w:customStyle="1" w:styleId="JuCase">
    <w:name w:val="Ju_Case"/>
    <w:basedOn w:val="Normalny"/>
    <w:next w:val="Normalny"/>
    <w:uiPriority w:val="10"/>
    <w:rsid w:val="00D60D87"/>
    <w:pPr>
      <w:ind w:firstLine="284"/>
    </w:pPr>
    <w:rPr>
      <w:b/>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9"/>
    <w:semiHidden/>
    <w:rsid w:val="001B4C2E"/>
    <w:rPr>
      <w:rFonts w:asciiTheme="majorHAnsi" w:eastAsiaTheme="majorEastAsia" w:hAnsiTheme="majorHAnsi" w:cstheme="majorBidi"/>
      <w:b/>
      <w:bCs/>
      <w:color w:val="808080"/>
    </w:rPr>
  </w:style>
  <w:style w:type="character" w:styleId="Wyrnieniedelikatne">
    <w:name w:val="Subtle Emphasis"/>
    <w:uiPriority w:val="99"/>
    <w:semiHidden/>
    <w:qFormat/>
    <w:rsid w:val="001B4C2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B4C2E"/>
    <w:pPr>
      <w:keepNext/>
      <w:keepLines/>
      <w:spacing w:before="720" w:after="240"/>
      <w:outlineLvl w:val="0"/>
    </w:pPr>
    <w:rPr>
      <w:rFonts w:asciiTheme="majorHAnsi" w:hAnsiTheme="majorHAnsi"/>
      <w:sz w:val="28"/>
    </w:rPr>
  </w:style>
  <w:style w:type="character" w:styleId="Uwydatnienie">
    <w:name w:val="Emphasis"/>
    <w:uiPriority w:val="99"/>
    <w:semiHidden/>
    <w:qFormat/>
    <w:rsid w:val="001B4C2E"/>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1B4C2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B4C2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B4C2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1B4C2E"/>
    <w:rPr>
      <w:b/>
      <w:bCs/>
    </w:rPr>
  </w:style>
  <w:style w:type="paragraph" w:styleId="Cytatintensywny">
    <w:name w:val="Intense Quote"/>
    <w:basedOn w:val="Normalny"/>
    <w:next w:val="Normalny"/>
    <w:link w:val="CytatintensywnyZnak"/>
    <w:uiPriority w:val="99"/>
    <w:semiHidden/>
    <w:qFormat/>
    <w:rsid w:val="001B4C2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1B4C2E"/>
    <w:rPr>
      <w:rFonts w:eastAsiaTheme="minorEastAsia"/>
      <w:b/>
      <w:bCs/>
      <w:i/>
      <w:iCs/>
      <w:lang w:bidi="en-US"/>
    </w:rPr>
  </w:style>
  <w:style w:type="character" w:styleId="Odwoanieintensywne">
    <w:name w:val="Intense Reference"/>
    <w:uiPriority w:val="99"/>
    <w:semiHidden/>
    <w:qFormat/>
    <w:rsid w:val="001B4C2E"/>
    <w:rPr>
      <w:smallCaps/>
      <w:spacing w:val="5"/>
      <w:u w:val="single"/>
    </w:rPr>
  </w:style>
  <w:style w:type="paragraph" w:styleId="Akapitzlist">
    <w:name w:val="List Paragraph"/>
    <w:basedOn w:val="Normalny"/>
    <w:uiPriority w:val="99"/>
    <w:semiHidden/>
    <w:qFormat/>
    <w:rsid w:val="001B4C2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B4C2E"/>
    <w:pPr>
      <w:spacing w:before="200"/>
      <w:ind w:left="360" w:right="360"/>
    </w:pPr>
    <w:rPr>
      <w:i/>
      <w:iCs/>
      <w:sz w:val="22"/>
      <w:lang w:bidi="en-US"/>
    </w:rPr>
  </w:style>
  <w:style w:type="character" w:customStyle="1" w:styleId="CytatZnak">
    <w:name w:val="Cytat Znak"/>
    <w:basedOn w:val="Domylnaczcionkaakapitu"/>
    <w:link w:val="Cytat"/>
    <w:uiPriority w:val="99"/>
    <w:semiHidden/>
    <w:rsid w:val="001B4C2E"/>
    <w:rPr>
      <w:rFonts w:eastAsiaTheme="minorEastAsia"/>
      <w:i/>
      <w:iCs/>
      <w:lang w:bidi="en-US"/>
    </w:rPr>
  </w:style>
  <w:style w:type="character" w:styleId="Odwoaniedelikatne">
    <w:name w:val="Subtle Reference"/>
    <w:uiPriority w:val="99"/>
    <w:semiHidden/>
    <w:qFormat/>
    <w:rsid w:val="001B4C2E"/>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1B4C2E"/>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1B4C2E"/>
    <w:pPr>
      <w:spacing w:before="120" w:after="120"/>
      <w:ind w:left="425" w:firstLine="142"/>
    </w:pPr>
    <w:rPr>
      <w:sz w:val="20"/>
    </w:rPr>
  </w:style>
  <w:style w:type="paragraph" w:customStyle="1" w:styleId="ECHRPara">
    <w:name w:val="ECHR_Para"/>
    <w:aliases w:val="Ju_Para,Left,First line:  0 cm"/>
    <w:basedOn w:val="Normalny"/>
    <w:link w:val="JuParaCar"/>
    <w:uiPriority w:val="12"/>
    <w:qFormat/>
    <w:rsid w:val="001B4C2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1B4C2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1B4C2E"/>
    <w:pPr>
      <w:ind w:left="340" w:hanging="340"/>
    </w:pPr>
  </w:style>
  <w:style w:type="paragraph" w:customStyle="1" w:styleId="JuSigned">
    <w:name w:val="Ju_Signed"/>
    <w:basedOn w:val="Normalny"/>
    <w:next w:val="JuParaLast"/>
    <w:uiPriority w:val="32"/>
    <w:qFormat/>
    <w:rsid w:val="001B4C2E"/>
    <w:pPr>
      <w:tabs>
        <w:tab w:val="center" w:pos="851"/>
        <w:tab w:val="center" w:pos="6407"/>
      </w:tabs>
      <w:spacing w:before="720"/>
      <w:jc w:val="left"/>
    </w:pPr>
  </w:style>
  <w:style w:type="paragraph" w:customStyle="1" w:styleId="JuParaLast">
    <w:name w:val="Ju_Para_Last"/>
    <w:basedOn w:val="Normalny"/>
    <w:next w:val="ECHRPara"/>
    <w:uiPriority w:val="30"/>
    <w:qFormat/>
    <w:rsid w:val="001B4C2E"/>
    <w:pPr>
      <w:keepNext/>
      <w:keepLines/>
      <w:spacing w:before="240"/>
      <w:ind w:firstLine="284"/>
    </w:pPr>
  </w:style>
  <w:style w:type="paragraph" w:customStyle="1" w:styleId="JuCourt">
    <w:name w:val="Ju_Court"/>
    <w:basedOn w:val="Normalny"/>
    <w:next w:val="Normalny"/>
    <w:uiPriority w:val="16"/>
    <w:qFormat/>
    <w:rsid w:val="001B4C2E"/>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1B4C2E"/>
    <w:pPr>
      <w:ind w:left="346" w:firstLine="0"/>
    </w:pPr>
  </w:style>
  <w:style w:type="paragraph" w:customStyle="1" w:styleId="JuListi">
    <w:name w:val="Ju_List_i"/>
    <w:basedOn w:val="Normalny"/>
    <w:next w:val="JuLista"/>
    <w:uiPriority w:val="28"/>
    <w:qFormat/>
    <w:rsid w:val="001B4C2E"/>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8"/>
      </w:numPr>
    </w:pPr>
  </w:style>
  <w:style w:type="character" w:customStyle="1" w:styleId="JuITMark">
    <w:name w:val="Ju_ITMark"/>
    <w:basedOn w:val="Domylnaczcionkaakapitu"/>
    <w:uiPriority w:val="38"/>
    <w:qFormat/>
    <w:rsid w:val="001B4C2E"/>
    <w:rPr>
      <w:vanish w:val="0"/>
      <w:color w:val="auto"/>
      <w:sz w:val="14"/>
    </w:rPr>
  </w:style>
  <w:style w:type="paragraph" w:styleId="Podtytu">
    <w:name w:val="Subtitle"/>
    <w:basedOn w:val="Normalny"/>
    <w:next w:val="Normalny"/>
    <w:link w:val="PodtytuZnak"/>
    <w:uiPriority w:val="99"/>
    <w:semiHidden/>
    <w:qFormat/>
    <w:rsid w:val="001B4C2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B4C2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9"/>
      </w:numPr>
    </w:pPr>
  </w:style>
  <w:style w:type="numbering" w:styleId="1ai">
    <w:name w:val="Outline List 1"/>
    <w:basedOn w:val="Bezlisty"/>
    <w:uiPriority w:val="99"/>
    <w:semiHidden/>
    <w:rsid w:val="00014566"/>
    <w:pPr>
      <w:numPr>
        <w:numId w:val="10"/>
      </w:numPr>
    </w:pPr>
  </w:style>
  <w:style w:type="numbering" w:styleId="Artykusekcja">
    <w:name w:val="Outline List 3"/>
    <w:basedOn w:val="Bezlisty"/>
    <w:uiPriority w:val="99"/>
    <w:semiHidden/>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12"/>
      </w:numPr>
      <w:contextualSpacing/>
    </w:pPr>
  </w:style>
  <w:style w:type="paragraph" w:styleId="Listapunktowana3">
    <w:name w:val="List Bullet 3"/>
    <w:basedOn w:val="Normalny"/>
    <w:uiPriority w:val="99"/>
    <w:semiHidden/>
    <w:rsid w:val="00014566"/>
    <w:pPr>
      <w:numPr>
        <w:numId w:val="13"/>
      </w:numPr>
      <w:contextualSpacing/>
    </w:pPr>
  </w:style>
  <w:style w:type="paragraph" w:styleId="Listapunktowana4">
    <w:name w:val="List Bullet 4"/>
    <w:basedOn w:val="Normalny"/>
    <w:uiPriority w:val="99"/>
    <w:semiHidden/>
    <w:rsid w:val="00014566"/>
    <w:pPr>
      <w:numPr>
        <w:numId w:val="14"/>
      </w:numPr>
      <w:contextualSpacing/>
    </w:pPr>
  </w:style>
  <w:style w:type="paragraph" w:styleId="Listapunktowana5">
    <w:name w:val="List Bullet 5"/>
    <w:basedOn w:val="Normalny"/>
    <w:uiPriority w:val="99"/>
    <w:semiHidden/>
    <w:rsid w:val="00014566"/>
    <w:pPr>
      <w:numPr>
        <w:numId w:val="15"/>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16"/>
      </w:numPr>
      <w:contextualSpacing/>
    </w:pPr>
  </w:style>
  <w:style w:type="paragraph" w:styleId="Listanumerowana2">
    <w:name w:val="List Number 2"/>
    <w:basedOn w:val="Normalny"/>
    <w:uiPriority w:val="99"/>
    <w:semiHidden/>
    <w:rsid w:val="00014566"/>
    <w:pPr>
      <w:numPr>
        <w:numId w:val="17"/>
      </w:numPr>
      <w:contextualSpacing/>
    </w:pPr>
  </w:style>
  <w:style w:type="paragraph" w:styleId="Listanumerowana3">
    <w:name w:val="List Number 3"/>
    <w:basedOn w:val="Normalny"/>
    <w:uiPriority w:val="99"/>
    <w:semiHidden/>
    <w:rsid w:val="00014566"/>
    <w:pPr>
      <w:numPr>
        <w:numId w:val="18"/>
      </w:numPr>
      <w:contextualSpacing/>
    </w:pPr>
  </w:style>
  <w:style w:type="paragraph" w:styleId="Listanumerowana4">
    <w:name w:val="List Number 4"/>
    <w:basedOn w:val="Normalny"/>
    <w:uiPriority w:val="99"/>
    <w:semiHidden/>
    <w:rsid w:val="00014566"/>
    <w:pPr>
      <w:numPr>
        <w:numId w:val="19"/>
      </w:numPr>
      <w:contextualSpacing/>
    </w:pPr>
  </w:style>
  <w:style w:type="paragraph" w:styleId="Listanumerowana5">
    <w:name w:val="List Number 5"/>
    <w:basedOn w:val="Normalny"/>
    <w:uiPriority w:val="99"/>
    <w:semiHidden/>
    <w:rsid w:val="00014566"/>
    <w:pPr>
      <w:numPr>
        <w:numId w:val="20"/>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ar">
    <w:name w:val="Ju_Para Car"/>
    <w:link w:val="ECHRPara"/>
    <w:uiPriority w:val="12"/>
    <w:rsid w:val="00946345"/>
    <w:rPr>
      <w:rFonts w:eastAsiaTheme="minorEastAsia"/>
      <w:sz w:val="24"/>
    </w:rPr>
  </w:style>
  <w:style w:type="character" w:customStyle="1" w:styleId="JuParaChar">
    <w:name w:val="Ju_Para Char"/>
    <w:aliases w:val="ECHR_Para Char"/>
    <w:uiPriority w:val="12"/>
    <w:rsid w:val="008F109B"/>
    <w:rPr>
      <w:rFonts w:eastAsiaTheme="minorEastAsia"/>
      <w:sz w:val="24"/>
      <w:lang w:val="en-US" w:eastAsia="en-US"/>
    </w:rPr>
  </w:style>
  <w:style w:type="paragraph" w:styleId="Poprawka">
    <w:name w:val="Revision"/>
    <w:hidden/>
    <w:uiPriority w:val="99"/>
    <w:semiHidden/>
    <w:rsid w:val="002C00A8"/>
    <w:rPr>
      <w:rFonts w:eastAsiaTheme="minorEastAsia"/>
      <w:sz w:val="24"/>
    </w:rPr>
  </w:style>
  <w:style w:type="paragraph" w:customStyle="1" w:styleId="Kopflinks">
    <w:name w:val="Kopf_links"/>
    <w:basedOn w:val="Normalny"/>
    <w:rsid w:val="00A8515B"/>
    <w:pPr>
      <w:tabs>
        <w:tab w:val="center" w:pos="3686"/>
        <w:tab w:val="right" w:pos="7371"/>
      </w:tabs>
      <w:suppressAutoHyphens/>
      <w:jc w:val="left"/>
    </w:pPr>
    <w:rPr>
      <w:rFonts w:ascii="Times New Roman" w:eastAsia="Times New Roman" w:hAnsi="Times New Roman" w:cs="Times New Roman"/>
      <w:caps/>
      <w:sz w:val="18"/>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87190">
      <w:bodyDiv w:val="1"/>
      <w:marLeft w:val="0"/>
      <w:marRight w:val="0"/>
      <w:marTop w:val="0"/>
      <w:marBottom w:val="0"/>
      <w:divBdr>
        <w:top w:val="none" w:sz="0" w:space="0" w:color="auto"/>
        <w:left w:val="none" w:sz="0" w:space="0" w:color="auto"/>
        <w:bottom w:val="none" w:sz="0" w:space="0" w:color="auto"/>
        <w:right w:val="none" w:sz="0" w:space="0" w:color="auto"/>
      </w:divBdr>
      <w:divsChild>
        <w:div w:id="1744521181">
          <w:marLeft w:val="0"/>
          <w:marRight w:val="0"/>
          <w:marTop w:val="0"/>
          <w:marBottom w:val="0"/>
          <w:divBdr>
            <w:top w:val="none" w:sz="0" w:space="0" w:color="auto"/>
            <w:left w:val="none" w:sz="0" w:space="0" w:color="auto"/>
            <w:bottom w:val="none" w:sz="0" w:space="0" w:color="auto"/>
            <w:right w:val="none" w:sz="0" w:space="0" w:color="auto"/>
          </w:divBdr>
          <w:divsChild>
            <w:div w:id="1174301176">
              <w:marLeft w:val="0"/>
              <w:marRight w:val="0"/>
              <w:marTop w:val="0"/>
              <w:marBottom w:val="0"/>
              <w:divBdr>
                <w:top w:val="none" w:sz="0" w:space="0" w:color="auto"/>
                <w:left w:val="none" w:sz="0" w:space="0" w:color="auto"/>
                <w:bottom w:val="none" w:sz="0" w:space="0" w:color="auto"/>
                <w:right w:val="none" w:sz="0" w:space="0" w:color="auto"/>
              </w:divBdr>
              <w:divsChild>
                <w:div w:id="1018653055">
                  <w:marLeft w:val="0"/>
                  <w:marRight w:val="0"/>
                  <w:marTop w:val="0"/>
                  <w:marBottom w:val="0"/>
                  <w:divBdr>
                    <w:top w:val="none" w:sz="0" w:space="0" w:color="auto"/>
                    <w:left w:val="none" w:sz="0" w:space="0" w:color="auto"/>
                    <w:bottom w:val="none" w:sz="0" w:space="0" w:color="auto"/>
                    <w:right w:val="none" w:sz="0" w:space="0" w:color="auto"/>
                  </w:divBdr>
                  <w:divsChild>
                    <w:div w:id="937830244">
                      <w:marLeft w:val="0"/>
                      <w:marRight w:val="0"/>
                      <w:marTop w:val="0"/>
                      <w:marBottom w:val="0"/>
                      <w:divBdr>
                        <w:top w:val="none" w:sz="0" w:space="0" w:color="auto"/>
                        <w:left w:val="none" w:sz="0" w:space="0" w:color="auto"/>
                        <w:bottom w:val="none" w:sz="0" w:space="0" w:color="auto"/>
                        <w:right w:val="none" w:sz="0" w:space="0" w:color="auto"/>
                      </w:divBdr>
                      <w:divsChild>
                        <w:div w:id="491872244">
                          <w:marLeft w:val="0"/>
                          <w:marRight w:val="0"/>
                          <w:marTop w:val="0"/>
                          <w:marBottom w:val="0"/>
                          <w:divBdr>
                            <w:top w:val="none" w:sz="0" w:space="0" w:color="auto"/>
                            <w:left w:val="none" w:sz="0" w:space="0" w:color="auto"/>
                            <w:bottom w:val="none" w:sz="0" w:space="0" w:color="auto"/>
                            <w:right w:val="none" w:sz="0" w:space="0" w:color="auto"/>
                          </w:divBdr>
                        </w:div>
                        <w:div w:id="75709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8927573">
      <w:bodyDiv w:val="1"/>
      <w:marLeft w:val="0"/>
      <w:marRight w:val="0"/>
      <w:marTop w:val="0"/>
      <w:marBottom w:val="0"/>
      <w:divBdr>
        <w:top w:val="none" w:sz="0" w:space="0" w:color="auto"/>
        <w:left w:val="none" w:sz="0" w:space="0" w:color="auto"/>
        <w:bottom w:val="none" w:sz="0" w:space="0" w:color="auto"/>
        <w:right w:val="none" w:sz="0" w:space="0" w:color="auto"/>
      </w:divBdr>
      <w:divsChild>
        <w:div w:id="363210032">
          <w:marLeft w:val="0"/>
          <w:marRight w:val="0"/>
          <w:marTop w:val="0"/>
          <w:marBottom w:val="0"/>
          <w:divBdr>
            <w:top w:val="none" w:sz="0" w:space="0" w:color="auto"/>
            <w:left w:val="none" w:sz="0" w:space="0" w:color="auto"/>
            <w:bottom w:val="none" w:sz="0" w:space="0" w:color="auto"/>
            <w:right w:val="none" w:sz="0" w:space="0" w:color="auto"/>
          </w:divBdr>
          <w:divsChild>
            <w:div w:id="1427768791">
              <w:marLeft w:val="0"/>
              <w:marRight w:val="0"/>
              <w:marTop w:val="0"/>
              <w:marBottom w:val="0"/>
              <w:divBdr>
                <w:top w:val="none" w:sz="0" w:space="0" w:color="auto"/>
                <w:left w:val="none" w:sz="0" w:space="0" w:color="auto"/>
                <w:bottom w:val="none" w:sz="0" w:space="0" w:color="auto"/>
                <w:right w:val="none" w:sz="0" w:space="0" w:color="auto"/>
              </w:divBdr>
              <w:divsChild>
                <w:div w:id="1007291939">
                  <w:marLeft w:val="0"/>
                  <w:marRight w:val="0"/>
                  <w:marTop w:val="0"/>
                  <w:marBottom w:val="0"/>
                  <w:divBdr>
                    <w:top w:val="none" w:sz="0" w:space="0" w:color="auto"/>
                    <w:left w:val="none" w:sz="0" w:space="0" w:color="auto"/>
                    <w:bottom w:val="none" w:sz="0" w:space="0" w:color="auto"/>
                    <w:right w:val="none" w:sz="0" w:space="0" w:color="auto"/>
                  </w:divBdr>
                  <w:divsChild>
                    <w:div w:id="8728260">
                      <w:marLeft w:val="0"/>
                      <w:marRight w:val="0"/>
                      <w:marTop w:val="0"/>
                      <w:marBottom w:val="0"/>
                      <w:divBdr>
                        <w:top w:val="none" w:sz="0" w:space="0" w:color="auto"/>
                        <w:left w:val="none" w:sz="0" w:space="0" w:color="auto"/>
                        <w:bottom w:val="none" w:sz="0" w:space="0" w:color="auto"/>
                        <w:right w:val="none" w:sz="0" w:space="0" w:color="auto"/>
                      </w:divBdr>
                      <w:divsChild>
                        <w:div w:id="1863589596">
                          <w:marLeft w:val="0"/>
                          <w:marRight w:val="0"/>
                          <w:marTop w:val="0"/>
                          <w:marBottom w:val="0"/>
                          <w:divBdr>
                            <w:top w:val="none" w:sz="0" w:space="0" w:color="auto"/>
                            <w:left w:val="none" w:sz="0" w:space="0" w:color="auto"/>
                            <w:bottom w:val="none" w:sz="0" w:space="0" w:color="auto"/>
                            <w:right w:val="none" w:sz="0" w:space="0" w:color="auto"/>
                          </w:divBdr>
                          <w:divsChild>
                            <w:div w:id="49376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59943132">
      <w:bodyDiv w:val="1"/>
      <w:marLeft w:val="0"/>
      <w:marRight w:val="0"/>
      <w:marTop w:val="0"/>
      <w:marBottom w:val="0"/>
      <w:divBdr>
        <w:top w:val="none" w:sz="0" w:space="0" w:color="auto"/>
        <w:left w:val="none" w:sz="0" w:space="0" w:color="auto"/>
        <w:bottom w:val="none" w:sz="0" w:space="0" w:color="auto"/>
        <w:right w:val="none" w:sz="0" w:space="0" w:color="auto"/>
      </w:divBdr>
      <w:divsChild>
        <w:div w:id="304162662">
          <w:marLeft w:val="0"/>
          <w:marRight w:val="0"/>
          <w:marTop w:val="0"/>
          <w:marBottom w:val="0"/>
          <w:divBdr>
            <w:top w:val="none" w:sz="0" w:space="0" w:color="auto"/>
            <w:left w:val="none" w:sz="0" w:space="0" w:color="auto"/>
            <w:bottom w:val="none" w:sz="0" w:space="0" w:color="auto"/>
            <w:right w:val="none" w:sz="0" w:space="0" w:color="auto"/>
          </w:divBdr>
          <w:divsChild>
            <w:div w:id="1086220626">
              <w:marLeft w:val="0"/>
              <w:marRight w:val="0"/>
              <w:marTop w:val="0"/>
              <w:marBottom w:val="0"/>
              <w:divBdr>
                <w:top w:val="none" w:sz="0" w:space="0" w:color="auto"/>
                <w:left w:val="none" w:sz="0" w:space="0" w:color="auto"/>
                <w:bottom w:val="none" w:sz="0" w:space="0" w:color="auto"/>
                <w:right w:val="none" w:sz="0" w:space="0" w:color="auto"/>
              </w:divBdr>
              <w:divsChild>
                <w:div w:id="818157805">
                  <w:marLeft w:val="0"/>
                  <w:marRight w:val="0"/>
                  <w:marTop w:val="0"/>
                  <w:marBottom w:val="0"/>
                  <w:divBdr>
                    <w:top w:val="none" w:sz="0" w:space="0" w:color="auto"/>
                    <w:left w:val="none" w:sz="0" w:space="0" w:color="auto"/>
                    <w:bottom w:val="none" w:sz="0" w:space="0" w:color="auto"/>
                    <w:right w:val="none" w:sz="0" w:space="0" w:color="auto"/>
                  </w:divBdr>
                  <w:divsChild>
                    <w:div w:id="2131705601">
                      <w:marLeft w:val="0"/>
                      <w:marRight w:val="0"/>
                      <w:marTop w:val="0"/>
                      <w:marBottom w:val="0"/>
                      <w:divBdr>
                        <w:top w:val="none" w:sz="0" w:space="0" w:color="auto"/>
                        <w:left w:val="none" w:sz="0" w:space="0" w:color="auto"/>
                        <w:bottom w:val="none" w:sz="0" w:space="0" w:color="auto"/>
                        <w:right w:val="none" w:sz="0" w:space="0" w:color="auto"/>
                      </w:divBdr>
                      <w:divsChild>
                        <w:div w:id="494616133">
                          <w:marLeft w:val="0"/>
                          <w:marRight w:val="0"/>
                          <w:marTop w:val="0"/>
                          <w:marBottom w:val="0"/>
                          <w:divBdr>
                            <w:top w:val="none" w:sz="0" w:space="0" w:color="auto"/>
                            <w:left w:val="none" w:sz="0" w:space="0" w:color="auto"/>
                            <w:bottom w:val="none" w:sz="0" w:space="0" w:color="auto"/>
                            <w:right w:val="none" w:sz="0" w:space="0" w:color="auto"/>
                          </w:divBdr>
                          <w:divsChild>
                            <w:div w:id="205377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BA4B9-411F-41ED-8F38-FC2C756DCE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D58FE3F-D3AC-4F27-A136-1C24D867946A}">
  <ds:schemaRefs>
    <ds:schemaRef ds:uri="http://schemas.microsoft.com/sharepoint/v3/contenttype/forms"/>
  </ds:schemaRefs>
</ds:datastoreItem>
</file>

<file path=customXml/itemProps3.xml><?xml version="1.0" encoding="utf-8"?>
<ds:datastoreItem xmlns:ds="http://schemas.openxmlformats.org/officeDocument/2006/customXml" ds:itemID="{9DC50BD0-1285-4670-BE24-1C6D8ED1338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0B51952-D190-4C09-A327-6197810F7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13855</Words>
  <Characters>83132</Characters>
  <Application>Microsoft Office Word</Application>
  <DocSecurity>0</DocSecurity>
  <Lines>692</Lines>
  <Paragraphs>193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96794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2017-05-19T13:40:00Z</dcterms:created>
  <dcterms:modified xsi:type="dcterms:W3CDTF">2017-05-19T13:40:00Z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